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2.xml" ContentType="application/vnd.ms-office.chartcolorstyle+xml"/>
  <Override PartName="/word/charts/chart/style1.xml" ContentType="application/vnd.ms-office.chartstyle+xml"/>
  <Override PartName="/word/charts/chart/style2.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drawings/drawing6.xml" ContentType="application/vnd.openxmlformats-officedocument.drawingml.chartshap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5.0 -->
  <w:body>
    <w:p w:rsidR="00FA664A" w:rsidRPr="006E5D3C" w:rsidP="006E5D3C" w14:paraId="00574FD8" w14:textId="77777777">
      <w:pPr>
        <w:pStyle w:val="Heading1"/>
      </w:pPr>
      <w:bookmarkStart w:id="0" w:name="_Hlk22549494"/>
      <w:bookmarkStart w:id="1" w:name="_Toc88780445"/>
      <w:bookmarkStart w:id="2" w:name="_Toc88780522"/>
      <w:bookmarkStart w:id="3" w:name="_Toc88780598"/>
      <w:bookmarkStart w:id="4" w:name="_Hlk86656768"/>
      <w:bookmarkEnd w:id="0"/>
      <w:r w:rsidRPr="006E5D3C">
        <w:t>FEDERAL COMMUNICATIONS COMMISSION</w:t>
      </w:r>
      <w:bookmarkEnd w:id="1"/>
      <w:bookmarkEnd w:id="2"/>
      <w:bookmarkEnd w:id="3"/>
    </w:p>
    <w:p w:rsidR="00FA664A" w:rsidRPr="000F05C1" w:rsidP="00247869" w14:paraId="05DF1252" w14:textId="77777777">
      <w:pPr>
        <w:spacing w:before="500"/>
        <w:jc w:val="center"/>
        <w:rPr>
          <w:b/>
          <w:sz w:val="22"/>
          <w:szCs w:val="22"/>
        </w:rPr>
      </w:pPr>
      <w:r>
        <w:rPr>
          <w:noProof/>
        </w:rPr>
        <w:drawing>
          <wp:inline distT="0" distB="0" distL="0" distR="0">
            <wp:extent cx="3237230" cy="3238500"/>
            <wp:effectExtent l="0" t="0" r="1270" b="0"/>
            <wp:docPr id="11" name="Picture 3" descr="Seal of Federal Communications Commission, United States">
              <a:extLst xmlns:a="http://schemas.openxmlformats.org/drawingml/2006/main">
                <a:ext xmlns:a="http://schemas.openxmlformats.org/drawingml/2006/main" uri="{FF2B5EF4-FFF2-40B4-BE49-F238E27FC236}">
                  <a16:creationId xmlns:a16="http://schemas.microsoft.com/office/drawing/2014/main" id="{A0CBE283-1A2D-4266-8CDE-FE01641A35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Seal of Federal Communications Commission, United States">
                      <a:extLst>
                        <a:ext xmlns:a="http://schemas.openxmlformats.org/drawingml/2006/main" uri="{FF2B5EF4-FFF2-40B4-BE49-F238E27FC236}">
                          <a16:creationId xmlns:a16="http://schemas.microsoft.com/office/drawing/2014/main" id="{A0CBE283-1A2D-4266-8CDE-FE01641A35E8}"/>
                        </a:ext>
                      </a:extLst>
                    </pic:cNvPr>
                    <pic:cNvPicPr>
                      <a:picLocks noChangeAspect="1"/>
                    </pic:cNvPicPr>
                  </pic:nvPicPr>
                  <pic:blipFill>
                    <a:blip xmlns:r="http://schemas.openxmlformats.org/officeDocument/2006/relationships" r:embed="rId5"/>
                    <a:stretch>
                      <a:fillRect/>
                    </a:stretch>
                  </pic:blipFill>
                  <pic:spPr>
                    <a:xfrm>
                      <a:off x="0" y="0"/>
                      <a:ext cx="3239195" cy="3240466"/>
                    </a:xfrm>
                    <a:prstGeom prst="rect">
                      <a:avLst/>
                    </a:prstGeom>
                  </pic:spPr>
                  <a:extLst>
                    <a:ext xmlns:a="http://schemas.openxmlformats.org/drawingml/2006/main" uri="{FF2B5EF4-FFF2-40B4-BE49-F238E27FC236}">
                      <a16:creationId xmlns:a16="http://schemas.microsoft.com/office/drawing/2014/main" id="{A0CBE283-1A2D-4266-8CDE-FE01641A35E8}"/>
                    </a:ext>
                  </a:extLst>
                </pic:pic>
              </a:graphicData>
            </a:graphic>
          </wp:inline>
        </w:drawing>
      </w:r>
    </w:p>
    <w:p w:rsidR="00FA664A" w:rsidRPr="0070796A" w:rsidP="007A7BD1" w14:paraId="08E4AEE6" w14:textId="77777777">
      <w:pPr>
        <w:spacing w:before="780"/>
        <w:jc w:val="center"/>
        <w:rPr>
          <w:b/>
          <w:color w:val="000E2A"/>
          <w:sz w:val="84"/>
          <w:szCs w:val="84"/>
          <w14:shadow w14:blurRad="50800" w14:dist="50800" w14:dir="5400000" w14:sx="0" w14:sy="0" w14:kx="0" w14:ky="0" w14:algn="ctr">
            <w14:srgbClr w14:val="002060"/>
          </w14:shadow>
          <w14:textOutline w14:w="0">
            <w14:noFill/>
            <w14:prstDash w14:val="solid"/>
            <w14:round/>
          </w14:textOutline>
          <w14:props3d w14:extrusionH="57150" w14:prstMaterial="softEdge">
            <w14:bevelT w14:w="25400" w14:h="38100" w14:prst="circle"/>
          </w14:props3d>
        </w:rPr>
      </w:pPr>
      <w:r w:rsidRPr="0070796A">
        <w:rPr>
          <w:b/>
          <w:color w:val="002060"/>
          <w:sz w:val="84"/>
          <w:szCs w:val="84"/>
          <w14:shadow w14:blurRad="50800" w14:dist="50800" w14:dir="5400000" w14:sx="100000" w14:sy="100000" w14:kx="0" w14:ky="0" w14:algn="ctr">
            <w14:srgbClr w14:val="002060"/>
          </w14:shadow>
          <w14:textOutline w14:w="9525">
            <w14:solidFill>
              <w14:schemeClr w14:val="bg1"/>
            </w14:solidFill>
            <w14:prstDash w14:val="solid"/>
            <w14:round/>
          </w14:textOutline>
        </w:rPr>
        <w:t>Agency Financial Report</w:t>
      </w:r>
    </w:p>
    <w:p w:rsidR="00FA664A" w:rsidRPr="00A25C03" w:rsidP="00A25C03" w14:paraId="12843D46" w14:textId="341CD381">
      <w:pPr>
        <w:jc w:val="center"/>
        <w:rPr>
          <w:b/>
          <w:color w:val="000099"/>
          <w:sz w:val="96"/>
          <w:szCs w:val="96"/>
        </w:rPr>
      </w:pPr>
      <w:r w:rsidRPr="00AE411B">
        <w:rPr>
          <w:b/>
          <w:color w:val="FF0000"/>
          <w:sz w:val="96"/>
          <w:szCs w:val="96"/>
          <w14:glow w14:rad="1397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Fiscal Year 20</w:t>
      </w:r>
      <w:r>
        <w:rPr>
          <w:b/>
          <w:color w:val="FF0000"/>
          <w:sz w:val="96"/>
          <w:szCs w:val="96"/>
          <w14:glow w14:rad="139700">
            <w14:schemeClr w14:val="accent5">
              <w14:alpha w14:val="60000"/>
              <w14:satMod w14:val="175000"/>
            </w14:schemeClr>
          </w14:glow>
          <w14:shadow w14:blurRad="12700" w14:dist="38100" w14:dir="2700000" w14:sx="100000" w14:sy="100000" w14:kx="0" w14:ky="0" w14:algn="tl">
            <w14:schemeClr w14:val="bg1">
              <w14:lumMod w14:val="50000"/>
            </w14:schemeClr>
          </w14:shadow>
          <w14:textOutline w14:w="9525">
            <w14:solidFill>
              <w14:schemeClr w14:val="bg1"/>
            </w14:solidFill>
            <w14:prstDash w14:val="solid"/>
            <w14:round/>
          </w14:textOutline>
        </w:rPr>
        <w:t>21</w:t>
      </w:r>
    </w:p>
    <w:p w:rsidR="00FA664A" w:rsidP="00FA664A" w14:paraId="762F5AA7" w14:textId="77777777"/>
    <w:p w:rsidR="00FA664A" w:rsidP="00FA664A" w14:paraId="52AB68B3" w14:textId="77777777"/>
    <w:p w:rsidR="00FA664A" w:rsidP="00FA664A" w14:paraId="14DC8132" w14:textId="77777777">
      <w:pPr>
        <w:sectPr w:rsidSect="00E61CC9">
          <w:footerReference w:type="even" r:id="rId6"/>
          <w:pgSz w:w="12240" w:h="15840" w:code="1"/>
          <w:pgMar w:top="1440" w:right="1152" w:bottom="1440" w:left="1152" w:header="720" w:footer="720" w:gutter="0"/>
          <w:pgBorders w:display="firstPage" w:offsetFrom="page">
            <w:top w:val="threeDEngrave" w:sz="24" w:space="31" w:color="001132"/>
            <w:left w:val="threeDEngrave" w:sz="24" w:space="31" w:color="001132"/>
            <w:bottom w:val="threeDEmboss" w:sz="24" w:space="31" w:color="001132"/>
            <w:right w:val="threeDEmboss" w:sz="24" w:space="31" w:color="001132"/>
          </w:pgBorders>
          <w:pgNumType w:start="1"/>
          <w:cols w:space="720"/>
          <w:docGrid w:linePitch="360"/>
        </w:sectPr>
      </w:pPr>
    </w:p>
    <w:p w:rsidR="00AB284F" w:rsidRPr="000471A2" w:rsidP="00B7378E" w14:paraId="16BD1AA5" w14:textId="77777777">
      <w:pPr>
        <w:pStyle w:val="Heading2"/>
        <w:spacing w:before="240"/>
        <w:jc w:val="center"/>
        <w:rPr>
          <w:sz w:val="32"/>
          <w:szCs w:val="32"/>
        </w:rPr>
      </w:pPr>
      <w:r w:rsidRPr="000471A2">
        <w:rPr>
          <w:sz w:val="32"/>
          <w:szCs w:val="32"/>
        </w:rPr>
        <w:t>TABLE OF CONTENTS</w:t>
      </w:r>
    </w:p>
    <w:p w:rsidR="00AB284F" w:rsidRPr="00830843" w:rsidP="00830843" w14:paraId="2802EF60" w14:textId="26EC259F">
      <w:pPr>
        <w:pStyle w:val="TOC1"/>
        <w:rPr>
          <w:rFonts w:eastAsiaTheme="minorEastAsia"/>
          <w:bCs/>
          <w:lang w:eastAsia="zh-CN"/>
        </w:rPr>
      </w:pPr>
      <w:r w:rsidRPr="006D37E1">
        <w:rPr>
          <w:sz w:val="22"/>
          <w:szCs w:val="22"/>
        </w:rPr>
        <w:fldChar w:fldCharType="begin"/>
      </w:r>
      <w:r w:rsidRPr="006D37E1">
        <w:rPr>
          <w:sz w:val="22"/>
          <w:szCs w:val="22"/>
        </w:rPr>
        <w:instrText xml:space="preserve"> TOC \o "1-5" \h \z \u </w:instrText>
      </w:r>
      <w:r w:rsidRPr="006D37E1">
        <w:rPr>
          <w:sz w:val="22"/>
          <w:szCs w:val="22"/>
        </w:rPr>
        <w:fldChar w:fldCharType="separate"/>
      </w:r>
      <w:hyperlink w:anchor="_Toc88780599" w:history="1">
        <w:r w:rsidRPr="00830843">
          <w:rPr>
            <w:rStyle w:val="Hyperlink"/>
          </w:rPr>
          <w:t>I.</w:t>
        </w:r>
        <w:r w:rsidRPr="00830843">
          <w:rPr>
            <w:rFonts w:eastAsiaTheme="minorEastAsia"/>
            <w:bCs/>
            <w:lang w:eastAsia="zh-CN"/>
          </w:rPr>
          <w:tab/>
        </w:r>
        <w:r w:rsidRPr="00830843">
          <w:rPr>
            <w:rStyle w:val="Hyperlink"/>
          </w:rPr>
          <w:t>MANAGEMENT’S DISCUSSION AND ANALYSIS (UNAUDITED)</w:t>
        </w:r>
        <w:r w:rsidRPr="00830843">
          <w:rPr>
            <w:webHidden/>
          </w:rPr>
          <w:tab/>
        </w:r>
        <w:r w:rsidRPr="00830843">
          <w:rPr>
            <w:webHidden/>
          </w:rPr>
          <w:fldChar w:fldCharType="begin"/>
        </w:r>
        <w:r w:rsidRPr="00830843">
          <w:rPr>
            <w:webHidden/>
          </w:rPr>
          <w:instrText xml:space="preserve"> PAGEREF _Toc88780599 \h </w:instrText>
        </w:r>
        <w:r w:rsidRPr="00830843">
          <w:rPr>
            <w:webHidden/>
          </w:rPr>
          <w:fldChar w:fldCharType="separate"/>
        </w:r>
        <w:r w:rsidR="005624DC">
          <w:rPr>
            <w:webHidden/>
          </w:rPr>
          <w:t>3</w:t>
        </w:r>
        <w:r w:rsidRPr="00830843">
          <w:rPr>
            <w:webHidden/>
          </w:rPr>
          <w:fldChar w:fldCharType="end"/>
        </w:r>
      </w:hyperlink>
    </w:p>
    <w:p w:rsidR="00AB284F" w:rsidRPr="006D37E1" w:rsidP="0071413A" w14:paraId="13A60E5E" w14:textId="715B6C59">
      <w:pPr>
        <w:pStyle w:val="TOC3"/>
        <w:rPr>
          <w:rFonts w:eastAsiaTheme="minorEastAsia" w:cs="Times New Roman"/>
          <w:noProof/>
          <w:szCs w:val="22"/>
          <w:lang w:eastAsia="zh-CN"/>
        </w:rPr>
      </w:pPr>
      <w:hyperlink w:anchor="_Toc88780600" w:history="1">
        <w:r w:rsidRPr="006D37E1">
          <w:rPr>
            <w:rStyle w:val="Hyperlink"/>
            <w:noProof/>
            <w:szCs w:val="22"/>
          </w:rPr>
          <w:t xml:space="preserve">Message from the </w:t>
        </w:r>
        <w:r w:rsidR="00550C36">
          <w:rPr>
            <w:rStyle w:val="Hyperlink"/>
            <w:noProof/>
            <w:szCs w:val="22"/>
          </w:rPr>
          <w:t>C</w:t>
        </w:r>
        <w:r w:rsidRPr="006D37E1">
          <w:rPr>
            <w:rStyle w:val="Hyperlink"/>
            <w:noProof/>
            <w:szCs w:val="22"/>
          </w:rPr>
          <w:t>hairwoman</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_Toc88780600 \h </w:instrText>
        </w:r>
        <w:r w:rsidRPr="006D37E1">
          <w:rPr>
            <w:rFonts w:cs="Times New Roman"/>
            <w:noProof/>
            <w:webHidden/>
            <w:szCs w:val="22"/>
          </w:rPr>
          <w:fldChar w:fldCharType="separate"/>
        </w:r>
        <w:r w:rsidR="005624DC">
          <w:rPr>
            <w:rFonts w:cs="Times New Roman"/>
            <w:noProof/>
            <w:webHidden/>
            <w:szCs w:val="22"/>
          </w:rPr>
          <w:t>3</w:t>
        </w:r>
        <w:r w:rsidRPr="006D37E1">
          <w:rPr>
            <w:rFonts w:cs="Times New Roman"/>
            <w:noProof/>
            <w:webHidden/>
            <w:szCs w:val="22"/>
          </w:rPr>
          <w:fldChar w:fldCharType="end"/>
        </w:r>
      </w:hyperlink>
    </w:p>
    <w:p w:rsidR="00AB284F" w:rsidRPr="006D37E1" w:rsidP="0071413A" w14:paraId="6481F37A" w14:textId="36878447">
      <w:pPr>
        <w:pStyle w:val="TOC3"/>
        <w:spacing w:after="0"/>
        <w:rPr>
          <w:rFonts w:eastAsiaTheme="minorEastAsia" w:cs="Times New Roman"/>
          <w:noProof/>
          <w:szCs w:val="22"/>
          <w:lang w:eastAsia="zh-CN"/>
        </w:rPr>
      </w:pPr>
      <w:hyperlink w:anchor="_Toc88780601" w:history="1">
        <w:r w:rsidRPr="006D37E1">
          <w:rPr>
            <w:rStyle w:val="Hyperlink"/>
            <w:noProof/>
            <w:szCs w:val="22"/>
          </w:rPr>
          <w:t>Overview of the Federal Communications Commission</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_Toc88780601 \h </w:instrText>
        </w:r>
        <w:r w:rsidRPr="006D37E1">
          <w:rPr>
            <w:rFonts w:cs="Times New Roman"/>
            <w:noProof/>
            <w:webHidden/>
            <w:szCs w:val="22"/>
          </w:rPr>
          <w:fldChar w:fldCharType="separate"/>
        </w:r>
        <w:r w:rsidR="005624DC">
          <w:rPr>
            <w:rFonts w:cs="Times New Roman"/>
            <w:noProof/>
            <w:webHidden/>
            <w:szCs w:val="22"/>
          </w:rPr>
          <w:t>4</w:t>
        </w:r>
        <w:r w:rsidRPr="006D37E1">
          <w:rPr>
            <w:rFonts w:cs="Times New Roman"/>
            <w:noProof/>
            <w:webHidden/>
            <w:szCs w:val="22"/>
          </w:rPr>
          <w:fldChar w:fldCharType="end"/>
        </w:r>
      </w:hyperlink>
    </w:p>
    <w:p w:rsidR="00AB284F" w:rsidRPr="006D37E1" w14:paraId="68668C86" w14:textId="481345A7">
      <w:pPr>
        <w:pStyle w:val="TOC4"/>
        <w:tabs>
          <w:tab w:val="right" w:leader="dot" w:pos="9350"/>
        </w:tabs>
        <w:rPr>
          <w:rFonts w:ascii="Times New Roman" w:hAnsi="Times New Roman" w:eastAsiaTheme="minorEastAsia" w:cs="Times New Roman"/>
          <w:noProof/>
          <w:sz w:val="22"/>
          <w:szCs w:val="22"/>
          <w:lang w:eastAsia="zh-CN"/>
        </w:rPr>
      </w:pPr>
      <w:hyperlink w:anchor="_Toc88780602" w:history="1">
        <w:r w:rsidRPr="006D37E1">
          <w:rPr>
            <w:rStyle w:val="Hyperlink"/>
            <w:rFonts w:ascii="Times New Roman" w:hAnsi="Times New Roman"/>
            <w:noProof/>
            <w:sz w:val="22"/>
            <w:szCs w:val="22"/>
          </w:rPr>
          <w:t>Introduction</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_Toc88780602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4</w:t>
        </w:r>
        <w:r w:rsidRPr="006D37E1">
          <w:rPr>
            <w:rFonts w:ascii="Times New Roman" w:hAnsi="Times New Roman" w:cs="Times New Roman"/>
            <w:noProof/>
            <w:webHidden/>
            <w:sz w:val="22"/>
            <w:szCs w:val="22"/>
          </w:rPr>
          <w:fldChar w:fldCharType="end"/>
        </w:r>
      </w:hyperlink>
    </w:p>
    <w:p w:rsidR="00AB284F" w:rsidRPr="006D37E1" w14:paraId="4129DE86" w14:textId="63C1B38F">
      <w:pPr>
        <w:pStyle w:val="TOC4"/>
        <w:tabs>
          <w:tab w:val="right" w:leader="dot" w:pos="9350"/>
        </w:tabs>
        <w:rPr>
          <w:rFonts w:ascii="Times New Roman" w:hAnsi="Times New Roman" w:eastAsiaTheme="minorEastAsia" w:cs="Times New Roman"/>
          <w:noProof/>
          <w:sz w:val="22"/>
          <w:szCs w:val="22"/>
          <w:lang w:eastAsia="zh-CN"/>
        </w:rPr>
      </w:pPr>
      <w:hyperlink w:anchor="_Toc88780603" w:history="1">
        <w:r w:rsidRPr="006D37E1">
          <w:rPr>
            <w:rStyle w:val="Hyperlink"/>
            <w:rFonts w:ascii="Times New Roman" w:hAnsi="Times New Roman"/>
            <w:noProof/>
            <w:sz w:val="22"/>
            <w:szCs w:val="22"/>
          </w:rPr>
          <w:t>About the Federal Communications Commission</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_Toc88780603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4</w:t>
        </w:r>
        <w:r w:rsidRPr="006D37E1">
          <w:rPr>
            <w:rFonts w:ascii="Times New Roman" w:hAnsi="Times New Roman" w:cs="Times New Roman"/>
            <w:noProof/>
            <w:webHidden/>
            <w:sz w:val="22"/>
            <w:szCs w:val="22"/>
          </w:rPr>
          <w:fldChar w:fldCharType="end"/>
        </w:r>
      </w:hyperlink>
    </w:p>
    <w:p w:rsidR="00AB284F" w:rsidRPr="006D37E1" w14:paraId="7E4A9F74" w14:textId="728FDD12">
      <w:pPr>
        <w:pStyle w:val="TOC4"/>
        <w:tabs>
          <w:tab w:val="right" w:leader="dot" w:pos="9350"/>
        </w:tabs>
        <w:rPr>
          <w:rFonts w:ascii="Times New Roman" w:hAnsi="Times New Roman" w:eastAsiaTheme="minorEastAsia" w:cs="Times New Roman"/>
          <w:noProof/>
          <w:sz w:val="22"/>
          <w:szCs w:val="22"/>
          <w:lang w:eastAsia="zh-CN"/>
        </w:rPr>
      </w:pPr>
      <w:hyperlink w:anchor="_Toc88780604" w:history="1">
        <w:r w:rsidRPr="006D37E1">
          <w:rPr>
            <w:rStyle w:val="Hyperlink"/>
            <w:rFonts w:ascii="Times New Roman" w:hAnsi="Times New Roman"/>
            <w:noProof/>
            <w:sz w:val="22"/>
            <w:szCs w:val="22"/>
          </w:rPr>
          <w:t>Senior Leadership</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_Toc88780604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4</w:t>
        </w:r>
        <w:r w:rsidRPr="006D37E1">
          <w:rPr>
            <w:rFonts w:ascii="Times New Roman" w:hAnsi="Times New Roman" w:cs="Times New Roman"/>
            <w:noProof/>
            <w:webHidden/>
            <w:sz w:val="22"/>
            <w:szCs w:val="22"/>
          </w:rPr>
          <w:fldChar w:fldCharType="end"/>
        </w:r>
      </w:hyperlink>
    </w:p>
    <w:p w:rsidR="00AB284F" w:rsidRPr="006D37E1" w14:paraId="0FD4311C" w14:textId="512CD0C5">
      <w:pPr>
        <w:pStyle w:val="TOC4"/>
        <w:tabs>
          <w:tab w:val="right" w:leader="dot" w:pos="9350"/>
        </w:tabs>
        <w:rPr>
          <w:rFonts w:ascii="Times New Roman" w:hAnsi="Times New Roman" w:eastAsiaTheme="minorEastAsia" w:cs="Times New Roman"/>
          <w:noProof/>
          <w:sz w:val="22"/>
          <w:szCs w:val="22"/>
          <w:lang w:eastAsia="zh-CN"/>
        </w:rPr>
      </w:pPr>
      <w:hyperlink w:anchor="_Toc88780605" w:history="1">
        <w:r w:rsidRPr="006D37E1">
          <w:rPr>
            <w:rStyle w:val="Hyperlink"/>
            <w:rFonts w:ascii="Times New Roman" w:hAnsi="Times New Roman"/>
            <w:noProof/>
            <w:sz w:val="22"/>
            <w:szCs w:val="22"/>
          </w:rPr>
          <w:t>Mission</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_Toc88780605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5</w:t>
        </w:r>
        <w:r w:rsidRPr="006D37E1">
          <w:rPr>
            <w:rFonts w:ascii="Times New Roman" w:hAnsi="Times New Roman" w:cs="Times New Roman"/>
            <w:noProof/>
            <w:webHidden/>
            <w:sz w:val="22"/>
            <w:szCs w:val="22"/>
          </w:rPr>
          <w:fldChar w:fldCharType="end"/>
        </w:r>
      </w:hyperlink>
    </w:p>
    <w:p w:rsidR="00AB284F" w:rsidRPr="006D37E1" w14:paraId="5A6CBE56" w14:textId="48AA344D">
      <w:pPr>
        <w:pStyle w:val="TOC4"/>
        <w:tabs>
          <w:tab w:val="right" w:leader="dot" w:pos="9350"/>
        </w:tabs>
        <w:rPr>
          <w:rFonts w:ascii="Times New Roman" w:hAnsi="Times New Roman" w:eastAsiaTheme="minorEastAsia" w:cs="Times New Roman"/>
          <w:noProof/>
          <w:sz w:val="22"/>
          <w:szCs w:val="22"/>
          <w:lang w:eastAsia="zh-CN"/>
        </w:rPr>
      </w:pPr>
      <w:hyperlink w:anchor="_Toc88780606" w:history="1">
        <w:r w:rsidRPr="006D37E1">
          <w:rPr>
            <w:rStyle w:val="Hyperlink"/>
            <w:rFonts w:ascii="Times New Roman" w:hAnsi="Times New Roman"/>
            <w:noProof/>
            <w:sz w:val="22"/>
            <w:szCs w:val="22"/>
          </w:rPr>
          <w:t>Organizational Structure</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_Toc88780606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5</w:t>
        </w:r>
        <w:r w:rsidRPr="006D37E1">
          <w:rPr>
            <w:rFonts w:ascii="Times New Roman" w:hAnsi="Times New Roman" w:cs="Times New Roman"/>
            <w:noProof/>
            <w:webHidden/>
            <w:sz w:val="22"/>
            <w:szCs w:val="22"/>
          </w:rPr>
          <w:fldChar w:fldCharType="end"/>
        </w:r>
      </w:hyperlink>
    </w:p>
    <w:p w:rsidR="00AB284F" w:rsidRPr="006D37E1" w14:paraId="18CEC7CE" w14:textId="15789473">
      <w:pPr>
        <w:pStyle w:val="TOC4"/>
        <w:tabs>
          <w:tab w:val="right" w:leader="dot" w:pos="9350"/>
        </w:tabs>
        <w:rPr>
          <w:rFonts w:ascii="Times New Roman" w:hAnsi="Times New Roman" w:eastAsiaTheme="minorEastAsia" w:cs="Times New Roman"/>
          <w:noProof/>
          <w:sz w:val="22"/>
          <w:szCs w:val="22"/>
          <w:lang w:eastAsia="zh-CN"/>
        </w:rPr>
      </w:pPr>
      <w:hyperlink w:anchor="_Toc88780607" w:history="1">
        <w:r w:rsidRPr="006D37E1">
          <w:rPr>
            <w:rStyle w:val="Hyperlink"/>
            <w:rFonts w:ascii="Times New Roman" w:hAnsi="Times New Roman"/>
            <w:noProof/>
            <w:sz w:val="22"/>
            <w:szCs w:val="22"/>
          </w:rPr>
          <w:t>The Bureaus</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_Toc88780607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5</w:t>
        </w:r>
        <w:r w:rsidRPr="006D37E1">
          <w:rPr>
            <w:rFonts w:ascii="Times New Roman" w:hAnsi="Times New Roman" w:cs="Times New Roman"/>
            <w:noProof/>
            <w:webHidden/>
            <w:sz w:val="22"/>
            <w:szCs w:val="22"/>
          </w:rPr>
          <w:fldChar w:fldCharType="end"/>
        </w:r>
      </w:hyperlink>
    </w:p>
    <w:p w:rsidR="00AB284F" w:rsidRPr="006D37E1" w14:paraId="4FD3E627" w14:textId="368E11B0">
      <w:pPr>
        <w:pStyle w:val="TOC4"/>
        <w:tabs>
          <w:tab w:val="right" w:leader="dot" w:pos="9350"/>
        </w:tabs>
        <w:rPr>
          <w:rFonts w:ascii="Times New Roman" w:hAnsi="Times New Roman" w:eastAsiaTheme="minorEastAsia" w:cs="Times New Roman"/>
          <w:noProof/>
          <w:sz w:val="22"/>
          <w:szCs w:val="22"/>
          <w:lang w:eastAsia="zh-CN"/>
        </w:rPr>
      </w:pPr>
      <w:hyperlink w:anchor="_Toc88780608" w:history="1">
        <w:r w:rsidRPr="006D37E1">
          <w:rPr>
            <w:rStyle w:val="Hyperlink"/>
            <w:rFonts w:ascii="Times New Roman" w:hAnsi="Times New Roman"/>
            <w:noProof/>
            <w:sz w:val="22"/>
            <w:szCs w:val="22"/>
          </w:rPr>
          <w:t>Organizational Chart</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_Toc88780608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8</w:t>
        </w:r>
        <w:r w:rsidRPr="006D37E1">
          <w:rPr>
            <w:rFonts w:ascii="Times New Roman" w:hAnsi="Times New Roman" w:cs="Times New Roman"/>
            <w:noProof/>
            <w:webHidden/>
            <w:sz w:val="22"/>
            <w:szCs w:val="22"/>
          </w:rPr>
          <w:fldChar w:fldCharType="end"/>
        </w:r>
      </w:hyperlink>
    </w:p>
    <w:p w:rsidR="00AB284F" w:rsidRPr="006D37E1" w14:paraId="0F31487A" w14:textId="2F9A2D41">
      <w:pPr>
        <w:pStyle w:val="TOC4"/>
        <w:tabs>
          <w:tab w:val="right" w:leader="dot" w:pos="9350"/>
        </w:tabs>
        <w:rPr>
          <w:rFonts w:ascii="Times New Roman" w:hAnsi="Times New Roman" w:eastAsiaTheme="minorEastAsia" w:cs="Times New Roman"/>
          <w:noProof/>
          <w:sz w:val="22"/>
          <w:szCs w:val="22"/>
          <w:lang w:eastAsia="zh-CN"/>
        </w:rPr>
      </w:pPr>
      <w:hyperlink w:anchor="_Toc88780609" w:history="1">
        <w:r w:rsidRPr="006D37E1">
          <w:rPr>
            <w:rStyle w:val="Hyperlink"/>
            <w:rFonts w:ascii="Times New Roman" w:hAnsi="Times New Roman"/>
            <w:noProof/>
            <w:sz w:val="22"/>
            <w:szCs w:val="22"/>
          </w:rPr>
          <w:t>Map of FCC Enforcement Bureau’s Field Offices</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_Toc88780609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9</w:t>
        </w:r>
        <w:r w:rsidRPr="006D37E1">
          <w:rPr>
            <w:rFonts w:ascii="Times New Roman" w:hAnsi="Times New Roman" w:cs="Times New Roman"/>
            <w:noProof/>
            <w:webHidden/>
            <w:sz w:val="22"/>
            <w:szCs w:val="22"/>
          </w:rPr>
          <w:fldChar w:fldCharType="end"/>
        </w:r>
      </w:hyperlink>
    </w:p>
    <w:p w:rsidR="00AB284F" w:rsidRPr="006D37E1" w14:paraId="70B62FC8" w14:textId="1106B1B6">
      <w:pPr>
        <w:pStyle w:val="TOC4"/>
        <w:tabs>
          <w:tab w:val="right" w:leader="dot" w:pos="9350"/>
        </w:tabs>
        <w:rPr>
          <w:rFonts w:ascii="Times New Roman" w:hAnsi="Times New Roman" w:eastAsiaTheme="minorEastAsia" w:cs="Times New Roman"/>
          <w:noProof/>
          <w:sz w:val="22"/>
          <w:szCs w:val="22"/>
          <w:lang w:eastAsia="zh-CN"/>
        </w:rPr>
      </w:pPr>
      <w:hyperlink w:anchor="_Toc88780610" w:history="1">
        <w:r w:rsidRPr="006D37E1">
          <w:rPr>
            <w:rStyle w:val="Hyperlink"/>
            <w:rFonts w:ascii="Times New Roman" w:hAnsi="Times New Roman"/>
            <w:noProof/>
            <w:sz w:val="22"/>
            <w:szCs w:val="22"/>
          </w:rPr>
          <w:t>Strategic Goals and Objectives</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_Toc88780610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10</w:t>
        </w:r>
        <w:r w:rsidRPr="006D37E1">
          <w:rPr>
            <w:rFonts w:ascii="Times New Roman" w:hAnsi="Times New Roman" w:cs="Times New Roman"/>
            <w:noProof/>
            <w:webHidden/>
            <w:sz w:val="22"/>
            <w:szCs w:val="22"/>
          </w:rPr>
          <w:fldChar w:fldCharType="end"/>
        </w:r>
      </w:hyperlink>
    </w:p>
    <w:p w:rsidR="00AB284F" w:rsidRPr="006D37E1" w14:paraId="5F6F5A60" w14:textId="44341669">
      <w:pPr>
        <w:pStyle w:val="TOC4"/>
        <w:tabs>
          <w:tab w:val="right" w:leader="dot" w:pos="9350"/>
        </w:tabs>
        <w:rPr>
          <w:rFonts w:ascii="Times New Roman" w:hAnsi="Times New Roman" w:eastAsiaTheme="minorEastAsia" w:cs="Times New Roman"/>
          <w:noProof/>
          <w:sz w:val="22"/>
          <w:szCs w:val="22"/>
          <w:lang w:eastAsia="zh-CN"/>
        </w:rPr>
      </w:pPr>
      <w:hyperlink w:anchor="_Toc88780615" w:history="1">
        <w:r w:rsidRPr="006D37E1">
          <w:rPr>
            <w:rStyle w:val="Hyperlink"/>
            <w:rFonts w:ascii="Times New Roman" w:hAnsi="Times New Roman"/>
            <w:noProof/>
            <w:sz w:val="22"/>
            <w:szCs w:val="22"/>
          </w:rPr>
          <w:t>Strategies &amp; Resources to Achieve Goals</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_Toc88780615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11</w:t>
        </w:r>
        <w:r w:rsidRPr="006D37E1">
          <w:rPr>
            <w:rFonts w:ascii="Times New Roman" w:hAnsi="Times New Roman" w:cs="Times New Roman"/>
            <w:noProof/>
            <w:webHidden/>
            <w:sz w:val="22"/>
            <w:szCs w:val="22"/>
          </w:rPr>
          <w:fldChar w:fldCharType="end"/>
        </w:r>
      </w:hyperlink>
    </w:p>
    <w:p w:rsidR="00AB284F" w:rsidRPr="006D37E1" w14:paraId="4DEAEE90" w14:textId="1D23C43D">
      <w:pPr>
        <w:pStyle w:val="TOC4"/>
        <w:tabs>
          <w:tab w:val="right" w:leader="dot" w:pos="9350"/>
        </w:tabs>
        <w:rPr>
          <w:rFonts w:ascii="Times New Roman" w:hAnsi="Times New Roman" w:eastAsiaTheme="minorEastAsia" w:cs="Times New Roman"/>
          <w:noProof/>
          <w:sz w:val="22"/>
          <w:szCs w:val="22"/>
          <w:lang w:eastAsia="zh-CN"/>
        </w:rPr>
      </w:pPr>
      <w:hyperlink w:anchor="_Toc88780616" w:history="1">
        <w:r w:rsidRPr="006D37E1">
          <w:rPr>
            <w:rStyle w:val="Hyperlink"/>
            <w:rFonts w:ascii="Times New Roman" w:hAnsi="Times New Roman"/>
            <w:noProof/>
            <w:sz w:val="22"/>
            <w:szCs w:val="22"/>
          </w:rPr>
          <w:t>Components of the Commission for Financial Statements Purposes</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_Toc88780616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11</w:t>
        </w:r>
        <w:r w:rsidRPr="006D37E1">
          <w:rPr>
            <w:rFonts w:ascii="Times New Roman" w:hAnsi="Times New Roman" w:cs="Times New Roman"/>
            <w:noProof/>
            <w:webHidden/>
            <w:sz w:val="22"/>
            <w:szCs w:val="22"/>
          </w:rPr>
          <w:fldChar w:fldCharType="end"/>
        </w:r>
      </w:hyperlink>
    </w:p>
    <w:p w:rsidR="00AB284F" w:rsidRPr="006D37E1" w:rsidP="00CA2029" w14:paraId="48CEF469" w14:textId="388192F4">
      <w:pPr>
        <w:pStyle w:val="TOC4"/>
        <w:tabs>
          <w:tab w:val="right" w:leader="dot" w:pos="9350"/>
        </w:tabs>
        <w:spacing w:after="120"/>
        <w:rPr>
          <w:rFonts w:ascii="Times New Roman" w:hAnsi="Times New Roman" w:eastAsiaTheme="minorEastAsia" w:cs="Times New Roman"/>
          <w:noProof/>
          <w:sz w:val="22"/>
          <w:szCs w:val="22"/>
          <w:lang w:eastAsia="zh-CN"/>
        </w:rPr>
      </w:pPr>
      <w:hyperlink w:anchor="_Toc88780617" w:history="1">
        <w:r w:rsidRPr="006D37E1">
          <w:rPr>
            <w:rStyle w:val="Hyperlink"/>
            <w:rFonts w:ascii="Times New Roman" w:hAnsi="Times New Roman"/>
            <w:noProof/>
            <w:sz w:val="22"/>
            <w:szCs w:val="22"/>
          </w:rPr>
          <w:t>Payment Integrity</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_Toc88780617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13</w:t>
        </w:r>
        <w:r w:rsidRPr="006D37E1">
          <w:rPr>
            <w:rFonts w:ascii="Times New Roman" w:hAnsi="Times New Roman" w:cs="Times New Roman"/>
            <w:noProof/>
            <w:webHidden/>
            <w:sz w:val="22"/>
            <w:szCs w:val="22"/>
          </w:rPr>
          <w:fldChar w:fldCharType="end"/>
        </w:r>
      </w:hyperlink>
    </w:p>
    <w:p w:rsidR="00AB284F" w:rsidRPr="006D37E1" w:rsidP="0071413A" w14:paraId="468341C7" w14:textId="4271DF7D">
      <w:pPr>
        <w:pStyle w:val="TOC3"/>
        <w:rPr>
          <w:rFonts w:eastAsiaTheme="minorEastAsia" w:cs="Times New Roman"/>
          <w:noProof/>
          <w:szCs w:val="22"/>
          <w:lang w:eastAsia="zh-CN"/>
        </w:rPr>
      </w:pPr>
      <w:hyperlink w:anchor="_Toc88780618" w:history="1">
        <w:r w:rsidRPr="006D37E1">
          <w:rPr>
            <w:rStyle w:val="Hyperlink"/>
            <w:noProof/>
            <w:szCs w:val="22"/>
          </w:rPr>
          <w:t>Performance Highlights</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_Toc88780618 \h </w:instrText>
        </w:r>
        <w:r w:rsidRPr="006D37E1">
          <w:rPr>
            <w:rFonts w:cs="Times New Roman"/>
            <w:noProof/>
            <w:webHidden/>
            <w:szCs w:val="22"/>
          </w:rPr>
          <w:fldChar w:fldCharType="separate"/>
        </w:r>
        <w:r w:rsidR="005624DC">
          <w:rPr>
            <w:rFonts w:cs="Times New Roman"/>
            <w:noProof/>
            <w:webHidden/>
            <w:szCs w:val="22"/>
          </w:rPr>
          <w:t>14</w:t>
        </w:r>
        <w:r w:rsidRPr="006D37E1">
          <w:rPr>
            <w:rFonts w:cs="Times New Roman"/>
            <w:noProof/>
            <w:webHidden/>
            <w:szCs w:val="22"/>
          </w:rPr>
          <w:fldChar w:fldCharType="end"/>
        </w:r>
      </w:hyperlink>
    </w:p>
    <w:p w:rsidR="00AB284F" w:rsidRPr="006D37E1" w:rsidP="0071413A" w14:paraId="27158CBF" w14:textId="43E69EDA">
      <w:pPr>
        <w:pStyle w:val="TOC3"/>
        <w:rPr>
          <w:rFonts w:eastAsiaTheme="minorEastAsia" w:cs="Times New Roman"/>
          <w:noProof/>
          <w:szCs w:val="22"/>
          <w:lang w:eastAsia="zh-CN"/>
        </w:rPr>
      </w:pPr>
      <w:hyperlink w:anchor="_Toc88780632" w:history="1">
        <w:r w:rsidRPr="006D37E1">
          <w:rPr>
            <w:rStyle w:val="Hyperlink"/>
            <w:noProof/>
            <w:szCs w:val="22"/>
          </w:rPr>
          <w:t>Overall Status of Audit Recommendations</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_Toc88780632 \h </w:instrText>
        </w:r>
        <w:r w:rsidRPr="006D37E1">
          <w:rPr>
            <w:rFonts w:cs="Times New Roman"/>
            <w:noProof/>
            <w:webHidden/>
            <w:szCs w:val="22"/>
          </w:rPr>
          <w:fldChar w:fldCharType="separate"/>
        </w:r>
        <w:r w:rsidR="005624DC">
          <w:rPr>
            <w:rFonts w:cs="Times New Roman"/>
            <w:noProof/>
            <w:webHidden/>
            <w:szCs w:val="22"/>
          </w:rPr>
          <w:t>20</w:t>
        </w:r>
        <w:r w:rsidRPr="006D37E1">
          <w:rPr>
            <w:rFonts w:cs="Times New Roman"/>
            <w:noProof/>
            <w:webHidden/>
            <w:szCs w:val="22"/>
          </w:rPr>
          <w:fldChar w:fldCharType="end"/>
        </w:r>
      </w:hyperlink>
    </w:p>
    <w:p w:rsidR="00AB284F" w:rsidRPr="006D37E1" w:rsidP="0071413A" w14:paraId="00C53D67" w14:textId="329A3818">
      <w:pPr>
        <w:pStyle w:val="TOC3"/>
        <w:rPr>
          <w:rFonts w:eastAsiaTheme="minorEastAsia" w:cs="Times New Roman"/>
          <w:noProof/>
          <w:szCs w:val="22"/>
          <w:lang w:eastAsia="zh-CN"/>
        </w:rPr>
      </w:pPr>
      <w:hyperlink w:anchor="_Toc88780633" w:history="1">
        <w:r w:rsidRPr="006D37E1">
          <w:rPr>
            <w:rStyle w:val="Hyperlink"/>
            <w:noProof/>
            <w:szCs w:val="22"/>
          </w:rPr>
          <w:t>Management Assurances</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_Toc88780633 \h </w:instrText>
        </w:r>
        <w:r w:rsidRPr="006D37E1">
          <w:rPr>
            <w:rFonts w:cs="Times New Roman"/>
            <w:noProof/>
            <w:webHidden/>
            <w:szCs w:val="22"/>
          </w:rPr>
          <w:fldChar w:fldCharType="separate"/>
        </w:r>
        <w:r w:rsidR="005624DC">
          <w:rPr>
            <w:rFonts w:cs="Times New Roman"/>
            <w:noProof/>
            <w:webHidden/>
            <w:szCs w:val="22"/>
          </w:rPr>
          <w:t>21</w:t>
        </w:r>
        <w:r w:rsidRPr="006D37E1">
          <w:rPr>
            <w:rFonts w:cs="Times New Roman"/>
            <w:noProof/>
            <w:webHidden/>
            <w:szCs w:val="22"/>
          </w:rPr>
          <w:fldChar w:fldCharType="end"/>
        </w:r>
      </w:hyperlink>
    </w:p>
    <w:p w:rsidR="00AB284F" w:rsidRPr="006D37E1" w:rsidP="0071413A" w14:paraId="563E65BB" w14:textId="40672242">
      <w:pPr>
        <w:pStyle w:val="TOC3"/>
        <w:rPr>
          <w:rFonts w:eastAsiaTheme="minorEastAsia" w:cs="Times New Roman"/>
          <w:noProof/>
          <w:szCs w:val="22"/>
          <w:lang w:eastAsia="zh-CN"/>
        </w:rPr>
      </w:pPr>
      <w:hyperlink w:anchor="_Toc88780638" w:history="1">
        <w:r w:rsidRPr="006D37E1">
          <w:rPr>
            <w:rStyle w:val="Hyperlink"/>
            <w:noProof/>
            <w:szCs w:val="22"/>
          </w:rPr>
          <w:t>Financial Management Systems Strategy</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_Toc88780638 \h </w:instrText>
        </w:r>
        <w:r w:rsidRPr="006D37E1">
          <w:rPr>
            <w:rFonts w:cs="Times New Roman"/>
            <w:noProof/>
            <w:webHidden/>
            <w:szCs w:val="22"/>
          </w:rPr>
          <w:fldChar w:fldCharType="separate"/>
        </w:r>
        <w:r w:rsidR="005624DC">
          <w:rPr>
            <w:rFonts w:cs="Times New Roman"/>
            <w:noProof/>
            <w:webHidden/>
            <w:szCs w:val="22"/>
          </w:rPr>
          <w:t>23</w:t>
        </w:r>
        <w:r w:rsidRPr="006D37E1">
          <w:rPr>
            <w:rFonts w:cs="Times New Roman"/>
            <w:noProof/>
            <w:webHidden/>
            <w:szCs w:val="22"/>
          </w:rPr>
          <w:fldChar w:fldCharType="end"/>
        </w:r>
      </w:hyperlink>
    </w:p>
    <w:p w:rsidR="00AB284F" w:rsidRPr="006D37E1" w:rsidP="0071413A" w14:paraId="32D1ABF9" w14:textId="678D47B4">
      <w:pPr>
        <w:pStyle w:val="TOC3"/>
        <w:rPr>
          <w:rFonts w:eastAsiaTheme="minorEastAsia" w:cs="Times New Roman"/>
          <w:noProof/>
          <w:szCs w:val="22"/>
          <w:lang w:eastAsia="zh-CN"/>
        </w:rPr>
      </w:pPr>
      <w:hyperlink w:anchor="_Toc88780639" w:history="1">
        <w:r w:rsidRPr="006D37E1">
          <w:rPr>
            <w:rStyle w:val="Hyperlink"/>
            <w:noProof/>
            <w:szCs w:val="22"/>
          </w:rPr>
          <w:t>Financial Discussion and Analysis</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_Toc88780639 \h </w:instrText>
        </w:r>
        <w:r w:rsidRPr="006D37E1">
          <w:rPr>
            <w:rFonts w:cs="Times New Roman"/>
            <w:noProof/>
            <w:webHidden/>
            <w:szCs w:val="22"/>
          </w:rPr>
          <w:fldChar w:fldCharType="separate"/>
        </w:r>
        <w:r w:rsidR="005624DC">
          <w:rPr>
            <w:rFonts w:cs="Times New Roman"/>
            <w:noProof/>
            <w:webHidden/>
            <w:szCs w:val="22"/>
          </w:rPr>
          <w:t>24</w:t>
        </w:r>
        <w:r w:rsidRPr="006D37E1">
          <w:rPr>
            <w:rFonts w:cs="Times New Roman"/>
            <w:noProof/>
            <w:webHidden/>
            <w:szCs w:val="22"/>
          </w:rPr>
          <w:fldChar w:fldCharType="end"/>
        </w:r>
      </w:hyperlink>
    </w:p>
    <w:p w:rsidR="00AB284F" w:rsidRPr="006D37E1" w:rsidP="0071413A" w14:paraId="55C77912" w14:textId="7BD16E92">
      <w:pPr>
        <w:pStyle w:val="TOC3"/>
        <w:rPr>
          <w:rFonts w:eastAsiaTheme="minorEastAsia" w:cs="Times New Roman"/>
          <w:noProof/>
          <w:szCs w:val="22"/>
          <w:lang w:eastAsia="zh-CN"/>
        </w:rPr>
      </w:pPr>
      <w:hyperlink w:anchor="_Toc88780642" w:history="1">
        <w:r w:rsidRPr="006D37E1">
          <w:rPr>
            <w:rStyle w:val="Hyperlink"/>
            <w:noProof/>
            <w:szCs w:val="22"/>
          </w:rPr>
          <w:t>Other Key Financial Statement Highlights</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_Toc88780642 \h </w:instrText>
        </w:r>
        <w:r w:rsidRPr="006D37E1">
          <w:rPr>
            <w:rFonts w:cs="Times New Roman"/>
            <w:noProof/>
            <w:webHidden/>
            <w:szCs w:val="22"/>
          </w:rPr>
          <w:fldChar w:fldCharType="separate"/>
        </w:r>
        <w:r w:rsidR="005624DC">
          <w:rPr>
            <w:rFonts w:cs="Times New Roman"/>
            <w:noProof/>
            <w:webHidden/>
            <w:szCs w:val="22"/>
          </w:rPr>
          <w:t>31</w:t>
        </w:r>
        <w:r w:rsidRPr="006D37E1">
          <w:rPr>
            <w:rFonts w:cs="Times New Roman"/>
            <w:noProof/>
            <w:webHidden/>
            <w:szCs w:val="22"/>
          </w:rPr>
          <w:fldChar w:fldCharType="end"/>
        </w:r>
      </w:hyperlink>
    </w:p>
    <w:p w:rsidR="00AB284F" w:rsidRPr="006227BE" w:rsidP="004E487D" w14:paraId="6D3583A6" w14:textId="0843BFF0">
      <w:pPr>
        <w:pStyle w:val="TOC2"/>
        <w:rPr>
          <w:rFonts w:eastAsiaTheme="minorEastAsia"/>
          <w:lang w:eastAsia="zh-CN"/>
        </w:rPr>
      </w:pPr>
      <w:hyperlink w:anchor="_Toc88780645" w:history="1">
        <w:r w:rsidRPr="006227BE">
          <w:rPr>
            <w:rStyle w:val="Hyperlink"/>
          </w:rPr>
          <w:t>II.</w:t>
        </w:r>
        <w:r w:rsidRPr="006227BE">
          <w:rPr>
            <w:rFonts w:eastAsiaTheme="minorEastAsia"/>
            <w:lang w:eastAsia="zh-CN"/>
          </w:rPr>
          <w:tab/>
        </w:r>
        <w:r w:rsidRPr="006227BE">
          <w:rPr>
            <w:rStyle w:val="Hyperlink"/>
          </w:rPr>
          <w:t>Financial Statements and Auditors’ Report</w:t>
        </w:r>
        <w:r w:rsidRPr="006227BE">
          <w:rPr>
            <w:webHidden/>
          </w:rPr>
          <w:tab/>
        </w:r>
        <w:r w:rsidRPr="006227BE">
          <w:rPr>
            <w:webHidden/>
          </w:rPr>
          <w:fldChar w:fldCharType="begin"/>
        </w:r>
        <w:r w:rsidRPr="006227BE">
          <w:rPr>
            <w:webHidden/>
          </w:rPr>
          <w:instrText xml:space="preserve"> PAGEREF _Toc88780645 \h </w:instrText>
        </w:r>
        <w:r w:rsidRPr="006227BE">
          <w:rPr>
            <w:webHidden/>
          </w:rPr>
          <w:fldChar w:fldCharType="separate"/>
        </w:r>
        <w:r w:rsidR="005624DC">
          <w:rPr>
            <w:webHidden/>
          </w:rPr>
          <w:t>33</w:t>
        </w:r>
        <w:r w:rsidRPr="006227BE">
          <w:rPr>
            <w:webHidden/>
          </w:rPr>
          <w:fldChar w:fldCharType="end"/>
        </w:r>
      </w:hyperlink>
    </w:p>
    <w:p w:rsidR="00AB284F" w:rsidRPr="006D37E1" w:rsidP="0071413A" w14:paraId="39085ABC" w14:textId="36442FF1">
      <w:pPr>
        <w:pStyle w:val="TOC3"/>
        <w:rPr>
          <w:rFonts w:eastAsiaTheme="minorEastAsia" w:cs="Times New Roman"/>
          <w:noProof/>
          <w:szCs w:val="22"/>
          <w:lang w:eastAsia="zh-CN"/>
        </w:rPr>
      </w:pPr>
      <w:hyperlink w:anchor="_Toc88780646" w:history="1">
        <w:r w:rsidRPr="006D37E1">
          <w:rPr>
            <w:rStyle w:val="Hyperlink"/>
            <w:noProof/>
            <w:szCs w:val="22"/>
          </w:rPr>
          <w:t>Transmittal from Office of Inspector General</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_Toc88780646 \h </w:instrText>
        </w:r>
        <w:r w:rsidRPr="006D37E1">
          <w:rPr>
            <w:rFonts w:cs="Times New Roman"/>
            <w:noProof/>
            <w:webHidden/>
            <w:szCs w:val="22"/>
          </w:rPr>
          <w:fldChar w:fldCharType="separate"/>
        </w:r>
        <w:r w:rsidR="005624DC">
          <w:rPr>
            <w:rFonts w:cs="Times New Roman"/>
            <w:noProof/>
            <w:webHidden/>
            <w:szCs w:val="22"/>
          </w:rPr>
          <w:t>33</w:t>
        </w:r>
        <w:r w:rsidRPr="006D37E1">
          <w:rPr>
            <w:rFonts w:cs="Times New Roman"/>
            <w:noProof/>
            <w:webHidden/>
            <w:szCs w:val="22"/>
          </w:rPr>
          <w:fldChar w:fldCharType="end"/>
        </w:r>
      </w:hyperlink>
    </w:p>
    <w:p w:rsidR="00AB284F" w:rsidRPr="006D37E1" w:rsidP="0071413A" w14:paraId="108DB9A3" w14:textId="41336DE0">
      <w:pPr>
        <w:pStyle w:val="TOC3"/>
        <w:rPr>
          <w:rFonts w:eastAsiaTheme="minorEastAsia" w:cs="Times New Roman"/>
          <w:noProof/>
          <w:szCs w:val="22"/>
          <w:lang w:eastAsia="zh-CN"/>
        </w:rPr>
      </w:pPr>
      <w:hyperlink w:anchor="_Toc88780647" w:history="1">
        <w:r w:rsidRPr="006D37E1">
          <w:rPr>
            <w:rStyle w:val="Hyperlink"/>
            <w:noProof/>
            <w:szCs w:val="22"/>
          </w:rPr>
          <w:t>Independent Auditor’s Report</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_Toc88780647 \h </w:instrText>
        </w:r>
        <w:r w:rsidRPr="006D37E1">
          <w:rPr>
            <w:rFonts w:cs="Times New Roman"/>
            <w:noProof/>
            <w:webHidden/>
            <w:szCs w:val="22"/>
          </w:rPr>
          <w:fldChar w:fldCharType="separate"/>
        </w:r>
        <w:r w:rsidR="005624DC">
          <w:rPr>
            <w:rFonts w:cs="Times New Roman"/>
            <w:noProof/>
            <w:webHidden/>
            <w:szCs w:val="22"/>
          </w:rPr>
          <w:t>35</w:t>
        </w:r>
        <w:r w:rsidRPr="006D37E1">
          <w:rPr>
            <w:rFonts w:cs="Times New Roman"/>
            <w:noProof/>
            <w:webHidden/>
            <w:szCs w:val="22"/>
          </w:rPr>
          <w:fldChar w:fldCharType="end"/>
        </w:r>
      </w:hyperlink>
    </w:p>
    <w:p w:rsidR="00AB284F" w:rsidRPr="006D37E1" w:rsidP="0071413A" w14:paraId="72D96929" w14:textId="598E1095">
      <w:pPr>
        <w:pStyle w:val="TOC3"/>
        <w:rPr>
          <w:rFonts w:eastAsiaTheme="minorEastAsia" w:cs="Times New Roman"/>
          <w:noProof/>
          <w:szCs w:val="22"/>
          <w:lang w:eastAsia="zh-CN"/>
        </w:rPr>
      </w:pPr>
      <w:hyperlink w:anchor="_Toc88780656" w:history="1">
        <w:r w:rsidRPr="006D37E1">
          <w:rPr>
            <w:rStyle w:val="Hyperlink"/>
            <w:noProof/>
            <w:szCs w:val="22"/>
          </w:rPr>
          <w:t>Independent Auditor’s Report on Internal Control over Financial Reporting</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_Toc88780656 \h </w:instrText>
        </w:r>
        <w:r w:rsidRPr="006D37E1">
          <w:rPr>
            <w:rFonts w:cs="Times New Roman"/>
            <w:noProof/>
            <w:webHidden/>
            <w:szCs w:val="22"/>
          </w:rPr>
          <w:fldChar w:fldCharType="separate"/>
        </w:r>
        <w:r w:rsidR="005624DC">
          <w:rPr>
            <w:rFonts w:cs="Times New Roman"/>
            <w:noProof/>
            <w:webHidden/>
            <w:szCs w:val="22"/>
          </w:rPr>
          <w:t>38</w:t>
        </w:r>
        <w:r w:rsidRPr="006D37E1">
          <w:rPr>
            <w:rFonts w:cs="Times New Roman"/>
            <w:noProof/>
            <w:webHidden/>
            <w:szCs w:val="22"/>
          </w:rPr>
          <w:fldChar w:fldCharType="end"/>
        </w:r>
      </w:hyperlink>
    </w:p>
    <w:p w:rsidR="00AB284F" w:rsidRPr="006D37E1" w:rsidP="00A95F28" w14:paraId="4EF64940" w14:textId="563AB423">
      <w:pPr>
        <w:pStyle w:val="TOC3"/>
        <w:rPr>
          <w:rFonts w:eastAsiaTheme="minorEastAsia"/>
          <w:bCs/>
          <w:noProof/>
          <w:lang w:eastAsia="zh-CN"/>
        </w:rPr>
      </w:pPr>
      <w:hyperlink w:anchor="_Toc88780666" w:history="1">
        <w:r w:rsidRPr="006D37E1">
          <w:rPr>
            <w:rStyle w:val="Hyperlink"/>
            <w:noProof/>
            <w:szCs w:val="22"/>
          </w:rPr>
          <w:t>Independent Auditor’s Report on Compliance with Laws, Regulations,  Contracts, and Grant Agreements</w:t>
        </w:r>
        <w:r w:rsidRPr="006D37E1">
          <w:rPr>
            <w:noProof/>
            <w:webHidden/>
          </w:rPr>
          <w:tab/>
        </w:r>
        <w:r w:rsidRPr="006D37E1">
          <w:rPr>
            <w:noProof/>
            <w:webHidden/>
          </w:rPr>
          <w:fldChar w:fldCharType="begin"/>
        </w:r>
        <w:r w:rsidRPr="006D37E1">
          <w:rPr>
            <w:noProof/>
            <w:webHidden/>
          </w:rPr>
          <w:instrText xml:space="preserve"> PAGEREF _Toc88780666 \h </w:instrText>
        </w:r>
        <w:r w:rsidRPr="006D37E1">
          <w:rPr>
            <w:noProof/>
            <w:webHidden/>
          </w:rPr>
          <w:fldChar w:fldCharType="separate"/>
        </w:r>
        <w:r w:rsidR="005624DC">
          <w:rPr>
            <w:noProof/>
            <w:webHidden/>
          </w:rPr>
          <w:t>45</w:t>
        </w:r>
        <w:r w:rsidRPr="006D37E1">
          <w:rPr>
            <w:noProof/>
            <w:webHidden/>
          </w:rPr>
          <w:fldChar w:fldCharType="end"/>
        </w:r>
      </w:hyperlink>
    </w:p>
    <w:p w:rsidR="00AB284F" w:rsidRPr="006D37E1" w:rsidP="0071413A" w14:paraId="4F127FEB" w14:textId="7AAFBDAE">
      <w:pPr>
        <w:pStyle w:val="TOC3"/>
        <w:rPr>
          <w:rFonts w:eastAsiaTheme="minorEastAsia" w:cs="Times New Roman"/>
          <w:noProof/>
          <w:szCs w:val="22"/>
          <w:lang w:eastAsia="zh-CN"/>
        </w:rPr>
      </w:pPr>
      <w:hyperlink w:anchor="_Toc88780669" w:history="1">
        <w:r w:rsidRPr="006D37E1">
          <w:rPr>
            <w:rStyle w:val="Hyperlink"/>
            <w:noProof/>
            <w:szCs w:val="22"/>
          </w:rPr>
          <w:t>Commission’s Response to Independent Auditor’s Reports</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_Toc88780669 \h </w:instrText>
        </w:r>
        <w:r w:rsidRPr="006D37E1">
          <w:rPr>
            <w:rFonts w:cs="Times New Roman"/>
            <w:noProof/>
            <w:webHidden/>
            <w:szCs w:val="22"/>
          </w:rPr>
          <w:fldChar w:fldCharType="separate"/>
        </w:r>
        <w:r w:rsidR="005624DC">
          <w:rPr>
            <w:rFonts w:cs="Times New Roman"/>
            <w:noProof/>
            <w:webHidden/>
            <w:szCs w:val="22"/>
          </w:rPr>
          <w:t>47</w:t>
        </w:r>
        <w:r w:rsidRPr="006D37E1">
          <w:rPr>
            <w:rFonts w:cs="Times New Roman"/>
            <w:noProof/>
            <w:webHidden/>
            <w:szCs w:val="22"/>
          </w:rPr>
          <w:fldChar w:fldCharType="end"/>
        </w:r>
      </w:hyperlink>
    </w:p>
    <w:p w:rsidR="00AB284F" w:rsidRPr="006D37E1" w:rsidP="0071413A" w14:paraId="13C23D34" w14:textId="5B51787E">
      <w:pPr>
        <w:pStyle w:val="TOC3"/>
        <w:rPr>
          <w:rFonts w:eastAsiaTheme="minorEastAsia" w:cs="Times New Roman"/>
          <w:noProof/>
          <w:szCs w:val="22"/>
          <w:lang w:eastAsia="zh-CN"/>
        </w:rPr>
      </w:pPr>
      <w:hyperlink w:anchor="_Toc88780670" w:history="1">
        <w:r w:rsidRPr="006D37E1">
          <w:rPr>
            <w:rStyle w:val="Hyperlink"/>
            <w:noProof/>
            <w:szCs w:val="22"/>
          </w:rPr>
          <w:t>Principal Statements</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_Toc88780670 \h </w:instrText>
        </w:r>
        <w:r w:rsidRPr="006D37E1">
          <w:rPr>
            <w:rFonts w:cs="Times New Roman"/>
            <w:noProof/>
            <w:webHidden/>
            <w:szCs w:val="22"/>
          </w:rPr>
          <w:fldChar w:fldCharType="separate"/>
        </w:r>
        <w:r w:rsidR="005624DC">
          <w:rPr>
            <w:rFonts w:cs="Times New Roman"/>
            <w:noProof/>
            <w:webHidden/>
            <w:szCs w:val="22"/>
          </w:rPr>
          <w:t>48</w:t>
        </w:r>
        <w:r w:rsidRPr="006D37E1">
          <w:rPr>
            <w:rFonts w:cs="Times New Roman"/>
            <w:noProof/>
            <w:webHidden/>
            <w:szCs w:val="22"/>
          </w:rPr>
          <w:fldChar w:fldCharType="end"/>
        </w:r>
      </w:hyperlink>
    </w:p>
    <w:p w:rsidR="00AB284F" w:rsidRPr="006D37E1" w14:paraId="1DB2BDC6" w14:textId="1026EFBB">
      <w:pPr>
        <w:pStyle w:val="TOC4"/>
        <w:tabs>
          <w:tab w:val="right" w:leader="dot" w:pos="9350"/>
        </w:tabs>
        <w:rPr>
          <w:rFonts w:ascii="Times New Roman" w:hAnsi="Times New Roman" w:eastAsiaTheme="minorEastAsia" w:cs="Times New Roman"/>
          <w:noProof/>
          <w:sz w:val="22"/>
          <w:szCs w:val="22"/>
          <w:lang w:eastAsia="zh-CN"/>
        </w:rPr>
      </w:pPr>
      <w:hyperlink w:anchor="_Toc88780671" w:history="1">
        <w:r w:rsidRPr="006D37E1">
          <w:rPr>
            <w:rStyle w:val="Hyperlink"/>
            <w:rFonts w:ascii="Times New Roman" w:hAnsi="Times New Roman"/>
            <w:noProof/>
            <w:sz w:val="22"/>
            <w:szCs w:val="22"/>
          </w:rPr>
          <w:t>Consolidated Balance Sheets</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_Toc88780671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48</w:t>
        </w:r>
        <w:r w:rsidRPr="006D37E1">
          <w:rPr>
            <w:rFonts w:ascii="Times New Roman" w:hAnsi="Times New Roman" w:cs="Times New Roman"/>
            <w:noProof/>
            <w:webHidden/>
            <w:sz w:val="22"/>
            <w:szCs w:val="22"/>
          </w:rPr>
          <w:fldChar w:fldCharType="end"/>
        </w:r>
      </w:hyperlink>
    </w:p>
    <w:p w:rsidR="00AB284F" w:rsidRPr="006D37E1" w14:paraId="6D270C26" w14:textId="4328C0E5">
      <w:pPr>
        <w:pStyle w:val="TOC4"/>
        <w:tabs>
          <w:tab w:val="right" w:leader="dot" w:pos="9350"/>
        </w:tabs>
        <w:rPr>
          <w:rFonts w:ascii="Times New Roman" w:hAnsi="Times New Roman" w:eastAsiaTheme="minorEastAsia" w:cs="Times New Roman"/>
          <w:noProof/>
          <w:sz w:val="22"/>
          <w:szCs w:val="22"/>
          <w:lang w:eastAsia="zh-CN"/>
        </w:rPr>
      </w:pPr>
      <w:hyperlink w:anchor="_Toc88780672" w:history="1">
        <w:r w:rsidRPr="006D37E1">
          <w:rPr>
            <w:rStyle w:val="Hyperlink"/>
            <w:rFonts w:ascii="Times New Roman" w:hAnsi="Times New Roman"/>
            <w:noProof/>
            <w:sz w:val="22"/>
            <w:szCs w:val="22"/>
          </w:rPr>
          <w:t>Consolidated Statements of Net Cost</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_Toc88780672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49</w:t>
        </w:r>
        <w:r w:rsidRPr="006D37E1">
          <w:rPr>
            <w:rFonts w:ascii="Times New Roman" w:hAnsi="Times New Roman" w:cs="Times New Roman"/>
            <w:noProof/>
            <w:webHidden/>
            <w:sz w:val="22"/>
            <w:szCs w:val="22"/>
          </w:rPr>
          <w:fldChar w:fldCharType="end"/>
        </w:r>
      </w:hyperlink>
    </w:p>
    <w:p w:rsidR="00AB284F" w:rsidRPr="006D37E1" w14:paraId="0E0A08FD" w14:textId="09E19FA5">
      <w:pPr>
        <w:pStyle w:val="TOC4"/>
        <w:tabs>
          <w:tab w:val="right" w:leader="dot" w:pos="9350"/>
        </w:tabs>
        <w:rPr>
          <w:rFonts w:ascii="Times New Roman" w:hAnsi="Times New Roman" w:eastAsiaTheme="minorEastAsia" w:cs="Times New Roman"/>
          <w:noProof/>
          <w:sz w:val="22"/>
          <w:szCs w:val="22"/>
          <w:lang w:eastAsia="zh-CN"/>
        </w:rPr>
      </w:pPr>
      <w:hyperlink w:anchor="_Toc88780673" w:history="1">
        <w:r w:rsidRPr="006D37E1">
          <w:rPr>
            <w:rStyle w:val="Hyperlink"/>
            <w:rFonts w:ascii="Times New Roman" w:hAnsi="Times New Roman"/>
            <w:noProof/>
            <w:sz w:val="22"/>
            <w:szCs w:val="22"/>
          </w:rPr>
          <w:t>Consolidated Statements of Changes in Net Position</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_Toc88780673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50</w:t>
        </w:r>
        <w:r w:rsidRPr="006D37E1">
          <w:rPr>
            <w:rFonts w:ascii="Times New Roman" w:hAnsi="Times New Roman" w:cs="Times New Roman"/>
            <w:noProof/>
            <w:webHidden/>
            <w:sz w:val="22"/>
            <w:szCs w:val="22"/>
          </w:rPr>
          <w:fldChar w:fldCharType="end"/>
        </w:r>
      </w:hyperlink>
    </w:p>
    <w:p w:rsidR="00AB284F" w:rsidRPr="006D37E1" w14:paraId="32079D10" w14:textId="7D2416C1">
      <w:pPr>
        <w:pStyle w:val="TOC4"/>
        <w:tabs>
          <w:tab w:val="right" w:leader="dot" w:pos="9350"/>
        </w:tabs>
        <w:rPr>
          <w:rFonts w:ascii="Times New Roman" w:hAnsi="Times New Roman" w:eastAsiaTheme="minorEastAsia" w:cs="Times New Roman"/>
          <w:noProof/>
          <w:sz w:val="22"/>
          <w:szCs w:val="22"/>
          <w:lang w:eastAsia="zh-CN"/>
        </w:rPr>
      </w:pPr>
      <w:hyperlink w:anchor="_Toc88780674" w:history="1">
        <w:r w:rsidRPr="006D37E1">
          <w:rPr>
            <w:rStyle w:val="Hyperlink"/>
            <w:rFonts w:ascii="Times New Roman" w:hAnsi="Times New Roman"/>
            <w:noProof/>
            <w:sz w:val="22"/>
            <w:szCs w:val="22"/>
          </w:rPr>
          <w:t>Combined Statements of Budgetary Resources</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_Toc88780674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51</w:t>
        </w:r>
        <w:r w:rsidRPr="006D37E1">
          <w:rPr>
            <w:rFonts w:ascii="Times New Roman" w:hAnsi="Times New Roman" w:cs="Times New Roman"/>
            <w:noProof/>
            <w:webHidden/>
            <w:sz w:val="22"/>
            <w:szCs w:val="22"/>
          </w:rPr>
          <w:fldChar w:fldCharType="end"/>
        </w:r>
      </w:hyperlink>
    </w:p>
    <w:p w:rsidR="00AB284F" w:rsidRPr="006D37E1" w:rsidP="003311DC" w14:paraId="69214FC4" w14:textId="7F5CB4DC">
      <w:pPr>
        <w:pStyle w:val="TOC4"/>
        <w:tabs>
          <w:tab w:val="right" w:leader="dot" w:pos="9350"/>
        </w:tabs>
        <w:spacing w:after="120"/>
        <w:rPr>
          <w:rFonts w:ascii="Times New Roman" w:hAnsi="Times New Roman" w:eastAsiaTheme="minorEastAsia" w:cs="Times New Roman"/>
          <w:noProof/>
          <w:sz w:val="22"/>
          <w:szCs w:val="22"/>
          <w:lang w:eastAsia="zh-CN"/>
        </w:rPr>
      </w:pPr>
      <w:hyperlink w:anchor="_Toc88780675" w:history="1">
        <w:r w:rsidRPr="006D37E1">
          <w:rPr>
            <w:rStyle w:val="Hyperlink"/>
            <w:rFonts w:ascii="Times New Roman" w:hAnsi="Times New Roman"/>
            <w:noProof/>
            <w:sz w:val="22"/>
            <w:szCs w:val="22"/>
          </w:rPr>
          <w:t>Consolidated Statements of Custodial Activity</w:t>
        </w:r>
        <w:r w:rsidRPr="006D37E1">
          <w:rPr>
            <w:rFonts w:ascii="Times New Roman" w:hAnsi="Times New Roman" w:cs="Times New Roman"/>
            <w:noProof/>
            <w:webHidden/>
            <w:sz w:val="22"/>
            <w:szCs w:val="22"/>
          </w:rPr>
          <w:tab/>
        </w:r>
        <w:r w:rsidRPr="006D37E1">
          <w:rPr>
            <w:rFonts w:ascii="Times New Roman" w:hAnsi="Times New Roman" w:cs="Times New Roman"/>
            <w:noProof/>
            <w:webHidden/>
            <w:sz w:val="22"/>
            <w:szCs w:val="22"/>
          </w:rPr>
          <w:fldChar w:fldCharType="begin"/>
        </w:r>
        <w:r w:rsidRPr="006D37E1">
          <w:rPr>
            <w:rFonts w:ascii="Times New Roman" w:hAnsi="Times New Roman" w:cs="Times New Roman"/>
            <w:noProof/>
            <w:webHidden/>
            <w:sz w:val="22"/>
            <w:szCs w:val="22"/>
          </w:rPr>
          <w:instrText xml:space="preserve"> PAGEREF _Toc88780675 \h </w:instrText>
        </w:r>
        <w:r w:rsidRPr="006D37E1">
          <w:rPr>
            <w:rFonts w:ascii="Times New Roman" w:hAnsi="Times New Roman" w:cs="Times New Roman"/>
            <w:noProof/>
            <w:webHidden/>
            <w:sz w:val="22"/>
            <w:szCs w:val="22"/>
          </w:rPr>
          <w:fldChar w:fldCharType="separate"/>
        </w:r>
        <w:r w:rsidR="005624DC">
          <w:rPr>
            <w:rFonts w:ascii="Times New Roman" w:hAnsi="Times New Roman" w:cs="Times New Roman"/>
            <w:noProof/>
            <w:webHidden/>
            <w:sz w:val="22"/>
            <w:szCs w:val="22"/>
          </w:rPr>
          <w:t>52</w:t>
        </w:r>
        <w:r w:rsidRPr="006D37E1">
          <w:rPr>
            <w:rFonts w:ascii="Times New Roman" w:hAnsi="Times New Roman" w:cs="Times New Roman"/>
            <w:noProof/>
            <w:webHidden/>
            <w:sz w:val="22"/>
            <w:szCs w:val="22"/>
          </w:rPr>
          <w:fldChar w:fldCharType="end"/>
        </w:r>
      </w:hyperlink>
    </w:p>
    <w:p w:rsidR="00AB284F" w:rsidRPr="006D37E1" w:rsidP="0071413A" w14:paraId="3DFE140E" w14:textId="09FD0C7B">
      <w:pPr>
        <w:pStyle w:val="TOC3"/>
        <w:rPr>
          <w:rFonts w:eastAsiaTheme="minorEastAsia" w:cs="Times New Roman"/>
          <w:noProof/>
          <w:szCs w:val="22"/>
          <w:lang w:eastAsia="zh-CN"/>
        </w:rPr>
      </w:pPr>
      <w:hyperlink w:anchor="_Toc88780676" w:history="1">
        <w:r w:rsidRPr="006D37E1">
          <w:rPr>
            <w:rStyle w:val="Hyperlink"/>
            <w:noProof/>
            <w:szCs w:val="22"/>
          </w:rPr>
          <w:t>Notes to the Principal Financial Statements</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_Toc88780676 \h </w:instrText>
        </w:r>
        <w:r w:rsidRPr="006D37E1">
          <w:rPr>
            <w:rFonts w:cs="Times New Roman"/>
            <w:noProof/>
            <w:webHidden/>
            <w:szCs w:val="22"/>
          </w:rPr>
          <w:fldChar w:fldCharType="separate"/>
        </w:r>
        <w:r w:rsidR="005624DC">
          <w:rPr>
            <w:rFonts w:cs="Times New Roman"/>
            <w:noProof/>
            <w:webHidden/>
            <w:szCs w:val="22"/>
          </w:rPr>
          <w:t>53</w:t>
        </w:r>
        <w:r w:rsidRPr="006D37E1">
          <w:rPr>
            <w:rFonts w:cs="Times New Roman"/>
            <w:noProof/>
            <w:webHidden/>
            <w:szCs w:val="22"/>
          </w:rPr>
          <w:fldChar w:fldCharType="end"/>
        </w:r>
      </w:hyperlink>
    </w:p>
    <w:p w:rsidR="00AB284F" w:rsidRPr="006D37E1" w:rsidP="0071413A" w14:paraId="23BFC067" w14:textId="3085ED40">
      <w:pPr>
        <w:pStyle w:val="TOC3"/>
        <w:rPr>
          <w:rFonts w:eastAsiaTheme="minorEastAsia" w:cs="Times New Roman"/>
          <w:noProof/>
          <w:szCs w:val="22"/>
          <w:lang w:eastAsia="zh-CN"/>
        </w:rPr>
      </w:pPr>
      <w:hyperlink w:anchor="_Toc88780718" w:history="1">
        <w:r w:rsidRPr="006D37E1">
          <w:rPr>
            <w:rStyle w:val="Hyperlink"/>
            <w:noProof/>
            <w:szCs w:val="22"/>
          </w:rPr>
          <w:t>Required Supplementary Information</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_Toc88780718 \h </w:instrText>
        </w:r>
        <w:r w:rsidRPr="006D37E1">
          <w:rPr>
            <w:rFonts w:cs="Times New Roman"/>
            <w:noProof/>
            <w:webHidden/>
            <w:szCs w:val="22"/>
          </w:rPr>
          <w:fldChar w:fldCharType="separate"/>
        </w:r>
        <w:r w:rsidR="005624DC">
          <w:rPr>
            <w:rFonts w:cs="Times New Roman"/>
            <w:noProof/>
            <w:webHidden/>
            <w:szCs w:val="22"/>
          </w:rPr>
          <w:t>83</w:t>
        </w:r>
        <w:r w:rsidRPr="006D37E1">
          <w:rPr>
            <w:rFonts w:cs="Times New Roman"/>
            <w:noProof/>
            <w:webHidden/>
            <w:szCs w:val="22"/>
          </w:rPr>
          <w:fldChar w:fldCharType="end"/>
        </w:r>
      </w:hyperlink>
    </w:p>
    <w:p w:rsidR="00AB284F" w:rsidRPr="00227E6E" w:rsidP="004E487D" w14:paraId="0E44F076" w14:textId="123A503F">
      <w:pPr>
        <w:pStyle w:val="TOC2"/>
        <w:rPr>
          <w:rFonts w:eastAsiaTheme="minorEastAsia"/>
          <w:bCs/>
          <w:lang w:eastAsia="zh-CN"/>
        </w:rPr>
      </w:pPr>
      <w:hyperlink w:anchor="_Toc88780719" w:history="1">
        <w:r w:rsidRPr="00227E6E">
          <w:rPr>
            <w:rStyle w:val="Hyperlink"/>
          </w:rPr>
          <w:t>III.</w:t>
        </w:r>
        <w:r w:rsidRPr="00227E6E">
          <w:rPr>
            <w:rFonts w:eastAsiaTheme="minorEastAsia"/>
            <w:bCs/>
            <w:lang w:eastAsia="zh-CN"/>
          </w:rPr>
          <w:tab/>
        </w:r>
        <w:r w:rsidRPr="00227E6E">
          <w:rPr>
            <w:rStyle w:val="Hyperlink"/>
          </w:rPr>
          <w:t>OTHER INFORMATION (UNAUDITED)</w:t>
        </w:r>
        <w:r w:rsidRPr="00227E6E">
          <w:rPr>
            <w:webHidden/>
          </w:rPr>
          <w:tab/>
        </w:r>
        <w:r w:rsidRPr="00227E6E">
          <w:rPr>
            <w:webHidden/>
          </w:rPr>
          <w:fldChar w:fldCharType="begin"/>
        </w:r>
        <w:r w:rsidRPr="00227E6E">
          <w:rPr>
            <w:webHidden/>
          </w:rPr>
          <w:instrText xml:space="preserve"> PAGEREF _Toc88780719 \h </w:instrText>
        </w:r>
        <w:r w:rsidRPr="00227E6E">
          <w:rPr>
            <w:webHidden/>
          </w:rPr>
          <w:fldChar w:fldCharType="separate"/>
        </w:r>
        <w:r w:rsidR="005624DC">
          <w:rPr>
            <w:webHidden/>
          </w:rPr>
          <w:t>87</w:t>
        </w:r>
        <w:r w:rsidRPr="00227E6E">
          <w:rPr>
            <w:webHidden/>
          </w:rPr>
          <w:fldChar w:fldCharType="end"/>
        </w:r>
      </w:hyperlink>
    </w:p>
    <w:p w:rsidR="00AB284F" w:rsidRPr="006D37E1" w:rsidP="0071413A" w14:paraId="05C98576" w14:textId="4B112608">
      <w:pPr>
        <w:pStyle w:val="TOC3"/>
        <w:rPr>
          <w:rFonts w:eastAsiaTheme="minorEastAsia" w:cs="Times New Roman"/>
          <w:noProof/>
          <w:szCs w:val="22"/>
          <w:lang w:eastAsia="zh-CN"/>
        </w:rPr>
      </w:pPr>
      <w:hyperlink w:anchor="_Toc88780720" w:history="1">
        <w:r w:rsidRPr="006D37E1">
          <w:rPr>
            <w:rStyle w:val="Hyperlink"/>
            <w:noProof/>
            <w:szCs w:val="22"/>
          </w:rPr>
          <w:t>Summary of Financial Statement Audit</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_Toc88780720 \h </w:instrText>
        </w:r>
        <w:r w:rsidRPr="006D37E1">
          <w:rPr>
            <w:rFonts w:cs="Times New Roman"/>
            <w:noProof/>
            <w:webHidden/>
            <w:szCs w:val="22"/>
          </w:rPr>
          <w:fldChar w:fldCharType="separate"/>
        </w:r>
        <w:r w:rsidR="005624DC">
          <w:rPr>
            <w:rFonts w:cs="Times New Roman"/>
            <w:noProof/>
            <w:webHidden/>
            <w:szCs w:val="22"/>
          </w:rPr>
          <w:t>87</w:t>
        </w:r>
        <w:r w:rsidRPr="006D37E1">
          <w:rPr>
            <w:rFonts w:cs="Times New Roman"/>
            <w:noProof/>
            <w:webHidden/>
            <w:szCs w:val="22"/>
          </w:rPr>
          <w:fldChar w:fldCharType="end"/>
        </w:r>
      </w:hyperlink>
    </w:p>
    <w:p w:rsidR="00AB284F" w:rsidRPr="006D37E1" w:rsidP="0071413A" w14:paraId="1F11A1E3" w14:textId="77E70AB0">
      <w:pPr>
        <w:pStyle w:val="TOC3"/>
        <w:rPr>
          <w:rFonts w:eastAsiaTheme="minorEastAsia" w:cs="Times New Roman"/>
          <w:noProof/>
          <w:szCs w:val="22"/>
          <w:lang w:eastAsia="zh-CN"/>
        </w:rPr>
      </w:pPr>
      <w:hyperlink w:anchor="_Toc88780721" w:history="1">
        <w:r w:rsidRPr="006D37E1">
          <w:rPr>
            <w:rStyle w:val="Hyperlink"/>
            <w:noProof/>
            <w:szCs w:val="22"/>
          </w:rPr>
          <w:t>Summary of Management Assurances</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_Toc88780721 \h </w:instrText>
        </w:r>
        <w:r w:rsidRPr="006D37E1">
          <w:rPr>
            <w:rFonts w:cs="Times New Roman"/>
            <w:noProof/>
            <w:webHidden/>
            <w:szCs w:val="22"/>
          </w:rPr>
          <w:fldChar w:fldCharType="separate"/>
        </w:r>
        <w:r w:rsidR="005624DC">
          <w:rPr>
            <w:rFonts w:cs="Times New Roman"/>
            <w:noProof/>
            <w:webHidden/>
            <w:szCs w:val="22"/>
          </w:rPr>
          <w:t>87</w:t>
        </w:r>
        <w:r w:rsidRPr="006D37E1">
          <w:rPr>
            <w:rFonts w:cs="Times New Roman"/>
            <w:noProof/>
            <w:webHidden/>
            <w:szCs w:val="22"/>
          </w:rPr>
          <w:fldChar w:fldCharType="end"/>
        </w:r>
      </w:hyperlink>
    </w:p>
    <w:p w:rsidR="00AB284F" w:rsidRPr="006D37E1" w:rsidP="0071413A" w14:paraId="027C46C7" w14:textId="798C1D4F">
      <w:pPr>
        <w:pStyle w:val="TOC3"/>
        <w:rPr>
          <w:rFonts w:eastAsiaTheme="minorEastAsia" w:cs="Times New Roman"/>
          <w:noProof/>
          <w:szCs w:val="22"/>
          <w:lang w:eastAsia="zh-CN"/>
        </w:rPr>
      </w:pPr>
      <w:hyperlink w:anchor="_Toc88780722" w:history="1">
        <w:r w:rsidRPr="006D37E1">
          <w:rPr>
            <w:rStyle w:val="Hyperlink"/>
            <w:noProof/>
            <w:szCs w:val="22"/>
          </w:rPr>
          <w:t>Payment Integrity</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_Toc88780722 \h </w:instrText>
        </w:r>
        <w:r w:rsidRPr="006D37E1">
          <w:rPr>
            <w:rFonts w:cs="Times New Roman"/>
            <w:noProof/>
            <w:webHidden/>
            <w:szCs w:val="22"/>
          </w:rPr>
          <w:fldChar w:fldCharType="separate"/>
        </w:r>
        <w:r w:rsidR="005624DC">
          <w:rPr>
            <w:rFonts w:cs="Times New Roman"/>
            <w:noProof/>
            <w:webHidden/>
            <w:szCs w:val="22"/>
          </w:rPr>
          <w:t>88</w:t>
        </w:r>
        <w:r w:rsidRPr="006D37E1">
          <w:rPr>
            <w:rFonts w:cs="Times New Roman"/>
            <w:noProof/>
            <w:webHidden/>
            <w:szCs w:val="22"/>
          </w:rPr>
          <w:fldChar w:fldCharType="end"/>
        </w:r>
      </w:hyperlink>
    </w:p>
    <w:p w:rsidR="00AB284F" w:rsidRPr="006D37E1" w:rsidP="0071413A" w14:paraId="1B8B2449" w14:textId="271CEA64">
      <w:pPr>
        <w:pStyle w:val="TOC3"/>
        <w:rPr>
          <w:rFonts w:eastAsiaTheme="minorEastAsia" w:cs="Times New Roman"/>
          <w:noProof/>
          <w:szCs w:val="22"/>
          <w:lang w:eastAsia="zh-CN"/>
        </w:rPr>
      </w:pPr>
      <w:hyperlink w:anchor="_Toc88780727" w:history="1">
        <w:r w:rsidRPr="006D37E1">
          <w:rPr>
            <w:rStyle w:val="Hyperlink"/>
            <w:noProof/>
            <w:szCs w:val="22"/>
          </w:rPr>
          <w:t>Schedule of Civil Monetary Penalties</w:t>
        </w:r>
        <w:r w:rsidRPr="006D37E1">
          <w:rPr>
            <w:rFonts w:cs="Times New Roman"/>
            <w:noProof/>
            <w:webHidden/>
            <w:szCs w:val="22"/>
          </w:rPr>
          <w:tab/>
        </w:r>
        <w:r w:rsidRPr="006D37E1">
          <w:rPr>
            <w:rFonts w:cs="Times New Roman"/>
            <w:noProof/>
            <w:webHidden/>
            <w:szCs w:val="22"/>
          </w:rPr>
          <w:fldChar w:fldCharType="begin"/>
        </w:r>
        <w:r w:rsidRPr="006D37E1">
          <w:rPr>
            <w:rFonts w:cs="Times New Roman"/>
            <w:noProof/>
            <w:webHidden/>
            <w:szCs w:val="22"/>
          </w:rPr>
          <w:instrText xml:space="preserve"> PAGEREF _Toc88780727 \h </w:instrText>
        </w:r>
        <w:r w:rsidRPr="006D37E1">
          <w:rPr>
            <w:rFonts w:cs="Times New Roman"/>
            <w:noProof/>
            <w:webHidden/>
            <w:szCs w:val="22"/>
          </w:rPr>
          <w:fldChar w:fldCharType="separate"/>
        </w:r>
        <w:r w:rsidR="005624DC">
          <w:rPr>
            <w:rFonts w:cs="Times New Roman"/>
            <w:noProof/>
            <w:webHidden/>
            <w:szCs w:val="22"/>
          </w:rPr>
          <w:t>92</w:t>
        </w:r>
        <w:r w:rsidRPr="006D37E1">
          <w:rPr>
            <w:rFonts w:cs="Times New Roman"/>
            <w:noProof/>
            <w:webHidden/>
            <w:szCs w:val="22"/>
          </w:rPr>
          <w:fldChar w:fldCharType="end"/>
        </w:r>
      </w:hyperlink>
    </w:p>
    <w:p w:rsidR="0084777A" w:rsidRPr="00C4187C" w:rsidP="00F91877" w14:paraId="6D772EC0" w14:textId="365C09FB">
      <w:pPr>
        <w:pStyle w:val="TOC3"/>
        <w:rPr>
          <w:szCs w:val="22"/>
        </w:rPr>
      </w:pPr>
      <w:hyperlink w:anchor="_Toc88780728" w:history="1">
        <w:r w:rsidRPr="006D37E1" w:rsidR="00AB284F">
          <w:rPr>
            <w:rStyle w:val="Hyperlink"/>
            <w:noProof/>
            <w:szCs w:val="22"/>
          </w:rPr>
          <w:t>Office of Inspector General’s Management and Performance Challenges</w:t>
        </w:r>
        <w:r w:rsidRPr="006D37E1" w:rsidR="00AB284F">
          <w:rPr>
            <w:rFonts w:cs="Times New Roman"/>
            <w:noProof/>
            <w:webHidden/>
            <w:szCs w:val="22"/>
          </w:rPr>
          <w:tab/>
        </w:r>
        <w:r w:rsidRPr="006D37E1" w:rsidR="00AB284F">
          <w:rPr>
            <w:rFonts w:cs="Times New Roman"/>
            <w:noProof/>
            <w:webHidden/>
            <w:szCs w:val="22"/>
          </w:rPr>
          <w:fldChar w:fldCharType="begin"/>
        </w:r>
        <w:r w:rsidRPr="006D37E1" w:rsidR="00AB284F">
          <w:rPr>
            <w:rFonts w:cs="Times New Roman"/>
            <w:noProof/>
            <w:webHidden/>
            <w:szCs w:val="22"/>
          </w:rPr>
          <w:instrText xml:space="preserve"> PAGEREF _Toc88780728 \h </w:instrText>
        </w:r>
        <w:r w:rsidRPr="006D37E1" w:rsidR="00AB284F">
          <w:rPr>
            <w:rFonts w:cs="Times New Roman"/>
            <w:noProof/>
            <w:webHidden/>
            <w:szCs w:val="22"/>
          </w:rPr>
          <w:fldChar w:fldCharType="separate"/>
        </w:r>
        <w:r w:rsidR="005624DC">
          <w:rPr>
            <w:rFonts w:cs="Times New Roman"/>
            <w:noProof/>
            <w:webHidden/>
            <w:szCs w:val="22"/>
          </w:rPr>
          <w:t>94</w:t>
        </w:r>
        <w:r w:rsidRPr="006D37E1" w:rsidR="00AB284F">
          <w:rPr>
            <w:rFonts w:cs="Times New Roman"/>
            <w:noProof/>
            <w:webHidden/>
            <w:szCs w:val="22"/>
          </w:rPr>
          <w:fldChar w:fldCharType="end"/>
        </w:r>
      </w:hyperlink>
      <w:r w:rsidRPr="006D37E1" w:rsidR="00AB284F">
        <w:rPr>
          <w:rFonts w:cs="Times New Roman"/>
          <w:szCs w:val="22"/>
        </w:rPr>
        <w:fldChar w:fldCharType="end"/>
      </w:r>
    </w:p>
    <w:p w:rsidR="0084777A" w:rsidRPr="00F81143" w:rsidP="0084777A" w14:paraId="2953DCC7" w14:textId="02A17E0A">
      <w:pPr>
        <w:pStyle w:val="StyleTOCHeadingTimesNewRomanBoldText11"/>
        <w:spacing w:before="240" w:after="440"/>
        <w:sectPr w:rsidSect="00227B45">
          <w:headerReference w:type="even" r:id="rId7"/>
          <w:headerReference w:type="default" r:id="rId8"/>
          <w:footerReference w:type="even" r:id="rId9"/>
          <w:headerReference w:type="first" r:id="rId10"/>
          <w:pgSz w:w="12240" w:h="15840" w:code="1"/>
          <w:pgMar w:top="1440" w:right="1440" w:bottom="1440" w:left="1440" w:header="720" w:footer="720" w:gutter="0"/>
          <w:pgNumType w:fmt="lowerRoman" w:start="1"/>
          <w:cols w:space="720"/>
          <w:docGrid w:linePitch="360"/>
        </w:sectPr>
      </w:pPr>
    </w:p>
    <w:p w:rsidR="003308A8" w:rsidP="00E506E1" w14:paraId="634B0D38" w14:textId="77777777">
      <w:pPr>
        <w:pStyle w:val="Heading2"/>
        <w:numPr>
          <w:ilvl w:val="0"/>
          <w:numId w:val="23"/>
        </w:numPr>
        <w:ind w:left="360"/>
      </w:pPr>
      <w:bookmarkStart w:id="5" w:name="_Toc88780523"/>
      <w:bookmarkStart w:id="6" w:name="_Toc88780599"/>
      <w:r w:rsidRPr="00234EAE">
        <w:t>MANAGEMENT’S DISCUSSION AND ANALYSIS (UNAUDITED)</w:t>
      </w:r>
      <w:bookmarkStart w:id="7" w:name="_Toc467000218"/>
      <w:bookmarkEnd w:id="5"/>
      <w:bookmarkEnd w:id="6"/>
    </w:p>
    <w:p w:rsidR="003308A8" w:rsidRPr="003308A8" w:rsidP="003308A8" w14:paraId="0C1AC544" w14:textId="7BE302D2">
      <w:pPr>
        <w:pStyle w:val="Heading3"/>
      </w:pPr>
      <w:bookmarkStart w:id="8" w:name="_Toc88780524"/>
      <w:bookmarkStart w:id="9" w:name="_Toc88780600"/>
      <w:bookmarkStart w:id="10" w:name="_Hlk23924445"/>
      <w:r w:rsidRPr="003308A8">
        <w:t xml:space="preserve">Message from the </w:t>
      </w:r>
      <w:r w:rsidR="00531359">
        <w:t>C</w:t>
      </w:r>
      <w:r w:rsidRPr="003308A8">
        <w:t>hairwoman</w:t>
      </w:r>
      <w:bookmarkEnd w:id="8"/>
      <w:bookmarkEnd w:id="9"/>
    </w:p>
    <w:bookmarkEnd w:id="7"/>
    <w:bookmarkEnd w:id="10"/>
    <w:p w:rsidR="00F545A9" w:rsidRPr="00684F86" w:rsidP="002F1251" w14:paraId="263AF668" w14:textId="52EC8FFC">
      <w:pPr>
        <w:spacing w:after="260"/>
        <w:jc w:val="both"/>
        <w:rPr>
          <w:rFonts w:eastAsia="Calibri"/>
          <w:sz w:val="22"/>
          <w:szCs w:val="22"/>
        </w:rPr>
      </w:pPr>
      <w:r w:rsidRPr="00684F86">
        <w:rPr>
          <w:rFonts w:eastAsia="Calibri"/>
          <w:sz w:val="22"/>
          <w:szCs w:val="22"/>
        </w:rPr>
        <w:t>As Chairwoman of the Federal Communications Commission (FCC or Commission), I am pleased to present the FCC’s fiscal year (FY) 2021 Agency Financial Report.</w:t>
      </w:r>
      <w:r w:rsidR="00C933B2">
        <w:rPr>
          <w:rFonts w:eastAsia="Calibri"/>
          <w:sz w:val="22"/>
          <w:szCs w:val="22"/>
        </w:rPr>
        <w:t xml:space="preserve"> </w:t>
      </w:r>
      <w:r w:rsidRPr="00684F86">
        <w:rPr>
          <w:rFonts w:eastAsia="Calibri"/>
          <w:sz w:val="22"/>
          <w:szCs w:val="22"/>
        </w:rPr>
        <w:t>This report provides financial and performance information about the FCC’s activities over the course of FY 2021.</w:t>
      </w:r>
    </w:p>
    <w:p w:rsidR="00F545A9" w:rsidRPr="00163458" w:rsidP="003308A8" w14:paraId="4177AE78" w14:textId="304B1294">
      <w:pPr>
        <w:spacing w:after="240"/>
        <w:jc w:val="both"/>
        <w:rPr>
          <w:rFonts w:eastAsia="Calibri"/>
          <w:spacing w:val="2"/>
          <w:sz w:val="22"/>
          <w:szCs w:val="22"/>
        </w:rPr>
      </w:pPr>
      <w:r w:rsidRPr="00163458">
        <w:rPr>
          <w:rFonts w:eastAsia="Calibri"/>
          <w:spacing w:val="2"/>
          <w:sz w:val="22"/>
          <w:szCs w:val="22"/>
        </w:rPr>
        <w:t>The Federal Communications Commission has mounted what I believe is an extraordinary response to a historic crisis.</w:t>
      </w:r>
      <w:r w:rsidRPr="00163458" w:rsidR="00C933B2">
        <w:rPr>
          <w:rFonts w:eastAsia="Calibri"/>
          <w:spacing w:val="2"/>
          <w:sz w:val="22"/>
          <w:szCs w:val="22"/>
        </w:rPr>
        <w:t xml:space="preserve"> </w:t>
      </w:r>
      <w:r w:rsidRPr="00163458">
        <w:rPr>
          <w:rFonts w:eastAsia="Calibri"/>
          <w:spacing w:val="2"/>
          <w:sz w:val="22"/>
          <w:szCs w:val="22"/>
        </w:rPr>
        <w:t>Nothing has shined a light on the challenges brought by lack of broadband like this pandemic.</w:t>
      </w:r>
      <w:r w:rsidRPr="00163458" w:rsidR="00C933B2">
        <w:rPr>
          <w:rFonts w:eastAsia="Calibri"/>
          <w:spacing w:val="2"/>
          <w:sz w:val="22"/>
          <w:szCs w:val="22"/>
        </w:rPr>
        <w:t xml:space="preserve"> </w:t>
      </w:r>
      <w:r w:rsidRPr="00163458">
        <w:rPr>
          <w:rFonts w:eastAsia="Calibri"/>
          <w:spacing w:val="2"/>
          <w:sz w:val="22"/>
          <w:szCs w:val="22"/>
        </w:rPr>
        <w:t>It has revealed hard truths about the digital divide, the homework gap, and the consequences that come from being disconnected.</w:t>
      </w:r>
      <w:r w:rsidRPr="00163458" w:rsidR="00C933B2">
        <w:rPr>
          <w:rFonts w:eastAsia="Calibri"/>
          <w:spacing w:val="2"/>
          <w:sz w:val="22"/>
          <w:szCs w:val="22"/>
        </w:rPr>
        <w:t xml:space="preserve"> </w:t>
      </w:r>
      <w:r w:rsidRPr="00163458">
        <w:rPr>
          <w:rFonts w:eastAsia="Calibri"/>
          <w:spacing w:val="2"/>
          <w:sz w:val="22"/>
          <w:szCs w:val="22"/>
        </w:rPr>
        <w:t>Because those who cannot connect are denied—denied access to education, jobs, healthcare, and opportunity.</w:t>
      </w:r>
      <w:r w:rsidRPr="00163458" w:rsidR="00C933B2">
        <w:rPr>
          <w:rFonts w:eastAsia="Calibri"/>
          <w:spacing w:val="2"/>
          <w:sz w:val="22"/>
          <w:szCs w:val="22"/>
        </w:rPr>
        <w:t xml:space="preserve"> </w:t>
      </w:r>
      <w:r w:rsidRPr="00163458">
        <w:rPr>
          <w:rFonts w:eastAsia="Calibri"/>
          <w:spacing w:val="2"/>
          <w:sz w:val="22"/>
          <w:szCs w:val="22"/>
        </w:rPr>
        <w:t>Thanks to our work, as of November 9, 2021 over seven million families enduring economic hardship and food insecurity during this pandemic are now connected to high-speed internet service.</w:t>
      </w:r>
      <w:r w:rsidRPr="00163458" w:rsidR="00C933B2">
        <w:rPr>
          <w:rFonts w:eastAsia="Calibri"/>
          <w:spacing w:val="2"/>
          <w:sz w:val="22"/>
          <w:szCs w:val="22"/>
        </w:rPr>
        <w:t xml:space="preserve"> </w:t>
      </w:r>
      <w:r w:rsidRPr="00163458">
        <w:rPr>
          <w:rFonts w:eastAsia="Calibri"/>
          <w:spacing w:val="2"/>
          <w:sz w:val="22"/>
          <w:szCs w:val="22"/>
        </w:rPr>
        <w:t>That means they can keep up with work, apply for jobs, seek and receive healthcare, and get the information they need to access essential services in their communities.</w:t>
      </w:r>
      <w:r w:rsidRPr="00163458" w:rsidR="00C933B2">
        <w:rPr>
          <w:rFonts w:eastAsia="Calibri"/>
          <w:spacing w:val="2"/>
          <w:sz w:val="22"/>
          <w:szCs w:val="22"/>
        </w:rPr>
        <w:t xml:space="preserve"> </w:t>
      </w:r>
      <w:r w:rsidRPr="00163458">
        <w:rPr>
          <w:rFonts w:eastAsia="Calibri"/>
          <w:spacing w:val="2"/>
          <w:sz w:val="22"/>
          <w:szCs w:val="22"/>
        </w:rPr>
        <w:t>Thanks to our program to help end the homework gap, as of November 9, 2021 school-aged children have access to almost seven million connected devices that will help them keep up with their schoolwork and develop the skills they need for success in the digital age.</w:t>
      </w:r>
      <w:r w:rsidRPr="00163458" w:rsidR="00C933B2">
        <w:rPr>
          <w:rFonts w:eastAsia="Calibri"/>
          <w:spacing w:val="2"/>
          <w:sz w:val="22"/>
          <w:szCs w:val="22"/>
        </w:rPr>
        <w:t xml:space="preserve"> </w:t>
      </w:r>
      <w:r w:rsidRPr="00163458">
        <w:rPr>
          <w:rFonts w:eastAsia="Calibri"/>
          <w:spacing w:val="2"/>
          <w:sz w:val="22"/>
          <w:szCs w:val="22"/>
        </w:rPr>
        <w:t>Plus, we have healthcare centers nationwide that are receiving much needed funding support to assist with efforts to expand telehealth.</w:t>
      </w:r>
      <w:r w:rsidRPr="00163458" w:rsidR="00C933B2">
        <w:rPr>
          <w:rFonts w:eastAsia="Calibri"/>
          <w:spacing w:val="2"/>
          <w:sz w:val="22"/>
          <w:szCs w:val="22"/>
        </w:rPr>
        <w:t xml:space="preserve"> </w:t>
      </w:r>
      <w:r w:rsidRPr="00163458">
        <w:rPr>
          <w:rFonts w:eastAsia="Calibri"/>
          <w:spacing w:val="2"/>
          <w:sz w:val="22"/>
          <w:szCs w:val="22"/>
        </w:rPr>
        <w:t>Also recently, the FCC kicked off a mid-band spectrum auction that will help ensure that 5G networks reach everyone, everywhere in the country.</w:t>
      </w:r>
      <w:r w:rsidRPr="00163458" w:rsidR="00C933B2">
        <w:rPr>
          <w:rFonts w:eastAsia="Calibri"/>
          <w:spacing w:val="2"/>
          <w:sz w:val="22"/>
          <w:szCs w:val="22"/>
        </w:rPr>
        <w:t xml:space="preserve"> </w:t>
      </w:r>
      <w:r w:rsidRPr="00163458">
        <w:rPr>
          <w:rFonts w:eastAsia="Calibri"/>
          <w:spacing w:val="2"/>
          <w:sz w:val="22"/>
          <w:szCs w:val="22"/>
        </w:rPr>
        <w:t>We did not choose how this coronavirus crisis began, but I believe that we do have a choice when it comes to the legacy that this crisis leaves behind.</w:t>
      </w:r>
      <w:r w:rsidRPr="00163458" w:rsidR="00C933B2">
        <w:rPr>
          <w:rFonts w:eastAsia="Calibri"/>
          <w:spacing w:val="2"/>
          <w:sz w:val="22"/>
          <w:szCs w:val="22"/>
        </w:rPr>
        <w:t xml:space="preserve"> </w:t>
      </w:r>
      <w:r w:rsidRPr="00163458">
        <w:rPr>
          <w:rFonts w:eastAsia="Calibri"/>
          <w:spacing w:val="2"/>
          <w:sz w:val="22"/>
          <w:szCs w:val="22"/>
        </w:rPr>
        <w:t>We need to use this moment to build a foundation for new growth and new opportunity in the post-pandemic world.</w:t>
      </w:r>
      <w:r w:rsidRPr="00163458" w:rsidR="00C933B2">
        <w:rPr>
          <w:rFonts w:eastAsia="Calibri"/>
          <w:spacing w:val="2"/>
          <w:sz w:val="22"/>
          <w:szCs w:val="22"/>
        </w:rPr>
        <w:t xml:space="preserve"> </w:t>
      </w:r>
    </w:p>
    <w:p w:rsidR="00F545A9" w:rsidRPr="00684F86" w:rsidP="000A164A" w14:paraId="1F229E91" w14:textId="29BD42EA">
      <w:pPr>
        <w:spacing w:after="280"/>
        <w:jc w:val="both"/>
        <w:rPr>
          <w:rFonts w:eastAsia="Calibri"/>
          <w:sz w:val="22"/>
          <w:szCs w:val="22"/>
        </w:rPr>
      </w:pPr>
      <w:r>
        <w:rPr>
          <w:rFonts w:eastAsia="Calibri"/>
          <w:sz w:val="22"/>
          <w:szCs w:val="22"/>
        </w:rPr>
        <w:t>As for management of the Commission, the pandemic has also presented challenges as the FCC has needed to innovate to deliver upon its mission in a largely remote work environment.</w:t>
      </w:r>
      <w:r w:rsidR="00C933B2">
        <w:rPr>
          <w:rFonts w:eastAsia="Calibri"/>
          <w:sz w:val="22"/>
          <w:szCs w:val="22"/>
        </w:rPr>
        <w:t xml:space="preserve"> </w:t>
      </w:r>
      <w:r>
        <w:rPr>
          <w:rFonts w:eastAsia="Calibri"/>
          <w:sz w:val="22"/>
          <w:szCs w:val="22"/>
        </w:rPr>
        <w:t>Despite these challenges, the FCC has again demonstrated its commitment to sound financial management and has</w:t>
      </w:r>
      <w:r w:rsidRPr="00B95665">
        <w:rPr>
          <w:rFonts w:eastAsia="Calibri"/>
          <w:sz w:val="22"/>
          <w:szCs w:val="22"/>
        </w:rPr>
        <w:t xml:space="preserve"> received</w:t>
      </w:r>
      <w:r>
        <w:rPr>
          <w:rFonts w:eastAsia="Calibri"/>
          <w:sz w:val="22"/>
          <w:szCs w:val="22"/>
        </w:rPr>
        <w:t xml:space="preserve"> for the </w:t>
      </w:r>
      <w:r w:rsidRPr="00977E6D">
        <w:rPr>
          <w:rFonts w:eastAsia="Calibri"/>
          <w:sz w:val="22"/>
          <w:szCs w:val="22"/>
        </w:rPr>
        <w:t>sixteenth straight year</w:t>
      </w:r>
      <w:r w:rsidRPr="00B95665">
        <w:rPr>
          <w:rFonts w:eastAsia="Calibri"/>
          <w:sz w:val="22"/>
          <w:szCs w:val="22"/>
        </w:rPr>
        <w:t xml:space="preserve"> an “unmodified” opinion on its financial statements from the FCC’s Office of Inspector General’s independent auditors.</w:t>
      </w:r>
      <w:r w:rsidR="00C933B2">
        <w:rPr>
          <w:rFonts w:eastAsia="Calibri"/>
          <w:sz w:val="22"/>
          <w:szCs w:val="22"/>
        </w:rPr>
        <w:t xml:space="preserve"> </w:t>
      </w:r>
      <w:r>
        <w:rPr>
          <w:rFonts w:eastAsia="Calibri"/>
          <w:sz w:val="22"/>
          <w:szCs w:val="22"/>
        </w:rPr>
        <w:t>I am grateful to the staff of the FCC who work diligently every year to ensure that the Commission has strong financial controls in place and who work to provide all of the necessary information to the independent auditors as part of the financial audit process</w:t>
      </w:r>
      <w:r w:rsidRPr="00684F86">
        <w:rPr>
          <w:rFonts w:eastAsia="Calibri"/>
          <w:sz w:val="22"/>
          <w:szCs w:val="22"/>
        </w:rPr>
        <w:t>.</w:t>
      </w:r>
      <w:r w:rsidR="00C933B2">
        <w:rPr>
          <w:rFonts w:eastAsia="Calibri"/>
          <w:sz w:val="22"/>
          <w:szCs w:val="22"/>
        </w:rPr>
        <w:t xml:space="preserve"> </w:t>
      </w:r>
      <w:r>
        <w:rPr>
          <w:rFonts w:eastAsia="Calibri"/>
          <w:sz w:val="22"/>
          <w:szCs w:val="22"/>
        </w:rPr>
        <w:t>The Inspector General and its auditors do make some recommendations to the FCC for additional improvements, and the FCC concurs with these recommendations.</w:t>
      </w:r>
      <w:r w:rsidR="00C933B2">
        <w:rPr>
          <w:rFonts w:eastAsia="Calibri"/>
          <w:sz w:val="22"/>
          <w:szCs w:val="22"/>
        </w:rPr>
        <w:t xml:space="preserve"> </w:t>
      </w:r>
      <w:r>
        <w:rPr>
          <w:rFonts w:eastAsia="Calibri"/>
          <w:sz w:val="22"/>
          <w:szCs w:val="22"/>
        </w:rPr>
        <w:t>The FCC’s staff will work to take any and all necessary steps to implement corrective actions to continue to strengthen the operations of the FCC.</w:t>
      </w:r>
      <w:r w:rsidR="00C933B2">
        <w:rPr>
          <w:rFonts w:eastAsia="Calibri"/>
          <w:sz w:val="22"/>
          <w:szCs w:val="22"/>
        </w:rPr>
        <w:t xml:space="preserve"> </w:t>
      </w:r>
      <w:r>
        <w:rPr>
          <w:rFonts w:eastAsia="Calibri"/>
          <w:sz w:val="22"/>
          <w:szCs w:val="22"/>
        </w:rPr>
        <w:t>In closing, I would like to thank all of the FCC’s staff for their hard work this past fiscal year.</w:t>
      </w:r>
      <w:r w:rsidR="00C933B2">
        <w:rPr>
          <w:rFonts w:eastAsia="Calibri"/>
          <w:sz w:val="22"/>
          <w:szCs w:val="22"/>
        </w:rPr>
        <w:t xml:space="preserve"> </w:t>
      </w:r>
      <w:r w:rsidRPr="004606BE">
        <w:rPr>
          <w:rFonts w:eastAsia="Calibri"/>
          <w:sz w:val="22"/>
          <w:szCs w:val="22"/>
        </w:rPr>
        <w:t>The FCC staff is not just uncommonly talented and knowledgeable about communications law and policy, it’s also an exceptional group of public servants.</w:t>
      </w:r>
      <w:r w:rsidR="00C933B2">
        <w:rPr>
          <w:rFonts w:eastAsia="Calibri"/>
          <w:sz w:val="22"/>
          <w:szCs w:val="22"/>
        </w:rPr>
        <w:t xml:space="preserve"> </w:t>
      </w:r>
      <w:r>
        <w:rPr>
          <w:rFonts w:eastAsia="Calibri"/>
          <w:sz w:val="22"/>
          <w:szCs w:val="22"/>
        </w:rPr>
        <w:t xml:space="preserve">Thank you for your public service. </w:t>
      </w:r>
    </w:p>
    <w:p w:rsidR="00F545A9" w:rsidP="000A164A" w14:paraId="75D3ACCD" w14:textId="77777777">
      <w:pPr>
        <w:spacing w:line="256" w:lineRule="auto"/>
        <w:jc w:val="both"/>
        <w:rPr>
          <w:rFonts w:eastAsia="Calibri"/>
          <w:sz w:val="22"/>
          <w:szCs w:val="22"/>
        </w:rPr>
      </w:pPr>
      <w:r>
        <w:rPr>
          <w:noProof/>
        </w:rPr>
        <w:drawing>
          <wp:inline distT="0" distB="0" distL="0" distR="0">
            <wp:extent cx="2038350" cy="295275"/>
            <wp:effectExtent l="0" t="0" r="0" b="9525"/>
            <wp:docPr id="679" name="Picture 679" descr="Signature of Jessica Rosenworcel."/>
            <wp:cNvGraphicFramePr/>
            <a:graphic xmlns:a="http://schemas.openxmlformats.org/drawingml/2006/main">
              <a:graphicData uri="http://schemas.openxmlformats.org/drawingml/2006/picture">
                <pic:pic xmlns:pic="http://schemas.openxmlformats.org/drawingml/2006/picture">
                  <pic:nvPicPr>
                    <pic:cNvPr id="679" name="Picture 679" descr="Signature of Jessica Rosenworcel."/>
                    <pic:cNvPicPr/>
                  </pic:nvPicPr>
                  <pic:blipFill>
                    <a:blip xmlns:r="http://schemas.openxmlformats.org/officeDocument/2006/relationships" r:embed="rId11"/>
                    <a:stretch>
                      <a:fillRect/>
                    </a:stretch>
                  </pic:blipFill>
                  <pic:spPr>
                    <a:xfrm>
                      <a:off x="0" y="0"/>
                      <a:ext cx="2041354" cy="295710"/>
                    </a:xfrm>
                    <a:prstGeom prst="rect">
                      <a:avLst/>
                    </a:prstGeom>
                  </pic:spPr>
                </pic:pic>
              </a:graphicData>
            </a:graphic>
          </wp:inline>
        </w:drawing>
      </w:r>
    </w:p>
    <w:p w:rsidR="00F545A9" w:rsidRPr="00684F86" w:rsidP="00C50C58" w14:paraId="15445A10" w14:textId="77777777">
      <w:pPr>
        <w:spacing w:before="260" w:line="256" w:lineRule="auto"/>
        <w:jc w:val="both"/>
        <w:rPr>
          <w:rFonts w:eastAsia="Calibri"/>
          <w:sz w:val="22"/>
          <w:szCs w:val="22"/>
        </w:rPr>
      </w:pPr>
      <w:r w:rsidRPr="00684F86">
        <w:rPr>
          <w:rFonts w:eastAsia="Calibri"/>
          <w:sz w:val="22"/>
          <w:szCs w:val="22"/>
        </w:rPr>
        <w:t xml:space="preserve">Jessica </w:t>
      </w:r>
      <w:r w:rsidRPr="00684F86">
        <w:rPr>
          <w:rFonts w:eastAsia="Calibri"/>
          <w:sz w:val="22"/>
          <w:szCs w:val="22"/>
        </w:rPr>
        <w:t>Rosenworcel</w:t>
      </w:r>
    </w:p>
    <w:p w:rsidR="00F545A9" w:rsidP="00F6268A" w14:paraId="7A3FCE5B" w14:textId="77777777">
      <w:pPr>
        <w:spacing w:line="256" w:lineRule="auto"/>
        <w:jc w:val="both"/>
        <w:rPr>
          <w:rFonts w:eastAsia="Calibri"/>
          <w:sz w:val="22"/>
          <w:szCs w:val="22"/>
        </w:rPr>
      </w:pPr>
      <w:r>
        <w:rPr>
          <w:rFonts w:eastAsia="Calibri"/>
          <w:sz w:val="22"/>
          <w:szCs w:val="22"/>
        </w:rPr>
        <w:t>Chairwoman</w:t>
      </w:r>
    </w:p>
    <w:p w:rsidR="00F545A9" w:rsidP="00F6268A" w14:paraId="7CDC8240" w14:textId="77777777">
      <w:pPr>
        <w:spacing w:line="256" w:lineRule="auto"/>
        <w:jc w:val="both"/>
        <w:rPr>
          <w:rFonts w:eastAsia="Calibri"/>
          <w:sz w:val="22"/>
          <w:szCs w:val="22"/>
        </w:rPr>
      </w:pPr>
      <w:r w:rsidRPr="00684F86">
        <w:rPr>
          <w:rFonts w:eastAsia="Calibri"/>
          <w:sz w:val="22"/>
          <w:szCs w:val="22"/>
        </w:rPr>
        <w:t xml:space="preserve">November </w:t>
      </w:r>
      <w:r>
        <w:rPr>
          <w:rFonts w:eastAsia="Calibri"/>
          <w:sz w:val="22"/>
          <w:szCs w:val="22"/>
        </w:rPr>
        <w:t>15</w:t>
      </w:r>
      <w:r w:rsidRPr="00684F86">
        <w:rPr>
          <w:rFonts w:eastAsia="Calibri"/>
          <w:sz w:val="22"/>
          <w:szCs w:val="22"/>
        </w:rPr>
        <w:t>, 2021</w:t>
      </w:r>
    </w:p>
    <w:p w:rsidR="00F545A9" w:rsidRPr="00F545A9" w:rsidP="00F545A9" w14:paraId="0BE879CD" w14:textId="70955542">
      <w:pPr>
        <w:sectPr w:rsidSect="00054929">
          <w:headerReference w:type="default" r:id="rId12"/>
          <w:footerReference w:type="default" r:id="rId13"/>
          <w:pgSz w:w="12240" w:h="15840" w:code="1"/>
          <w:pgMar w:top="1152" w:right="1440" w:bottom="1152" w:left="1440" w:header="720" w:footer="720" w:gutter="0"/>
          <w:cols w:space="720"/>
        </w:sectPr>
      </w:pPr>
    </w:p>
    <w:p w:rsidR="00E559C0" w:rsidRPr="00BE3C1E" w:rsidP="00BE3C1E" w14:paraId="4F906173" w14:textId="2BE85A99">
      <w:pPr>
        <w:pStyle w:val="Heading3"/>
      </w:pPr>
      <w:bookmarkStart w:id="11" w:name="_Toc88780525"/>
      <w:bookmarkStart w:id="12" w:name="_Toc88780601"/>
      <w:r w:rsidRPr="00BE3C1E">
        <w:t>Overview of the Federal Communications Commission</w:t>
      </w:r>
      <w:bookmarkStart w:id="13" w:name="_Toc467000219"/>
      <w:bookmarkEnd w:id="11"/>
      <w:bookmarkEnd w:id="12"/>
    </w:p>
    <w:p w:rsidR="00E559C0" w:rsidRPr="004745C2" w:rsidP="005F32A3" w14:paraId="598B5BB1" w14:textId="77777777">
      <w:pPr>
        <w:pStyle w:val="Heading4"/>
        <w:spacing w:after="260"/>
      </w:pPr>
      <w:bookmarkStart w:id="14" w:name="_Toc88780602"/>
      <w:r w:rsidRPr="004745C2">
        <w:t>Introduction</w:t>
      </w:r>
      <w:bookmarkEnd w:id="14"/>
    </w:p>
    <w:p w:rsidR="00E559C0" w:rsidRPr="000F05C1" w:rsidP="003308A8" w14:paraId="68DFEB3A" w14:textId="38D5BC15">
      <w:pPr>
        <w:spacing w:after="240"/>
        <w:jc w:val="both"/>
        <w:rPr>
          <w:color w:val="000000"/>
          <w:sz w:val="22"/>
          <w:szCs w:val="22"/>
        </w:rPr>
      </w:pPr>
      <w:r>
        <w:rPr>
          <w:color w:val="000000"/>
          <w:sz w:val="22"/>
          <w:szCs w:val="22"/>
        </w:rPr>
        <w:t xml:space="preserve">Office of Management and Budget (OMB) Circular No. A-136, </w:t>
      </w:r>
      <w:r w:rsidRPr="00F36F44">
        <w:rPr>
          <w:color w:val="000000"/>
          <w:sz w:val="22"/>
          <w:szCs w:val="22"/>
        </w:rPr>
        <w:t xml:space="preserve">released on </w:t>
      </w:r>
      <w:r>
        <w:rPr>
          <w:color w:val="000000"/>
          <w:sz w:val="22"/>
          <w:szCs w:val="22"/>
        </w:rPr>
        <w:t>August 10, 2021, states that agencies may choose to produce either a consolidated Performance and Accountability Report (PAR) or a separate Agency Financial Report (AFR) with an Annual Performance Report (APR).</w:t>
      </w:r>
      <w:r w:rsidR="00C933B2">
        <w:rPr>
          <w:color w:val="000000"/>
          <w:sz w:val="22"/>
          <w:szCs w:val="22"/>
        </w:rPr>
        <w:t xml:space="preserve"> </w:t>
      </w:r>
      <w:r>
        <w:rPr>
          <w:color w:val="000000"/>
          <w:sz w:val="22"/>
          <w:szCs w:val="22"/>
        </w:rPr>
        <w:t>The Federal Communications Commission (FCC, Agency, or Commission) has chosen to produce the AFR.</w:t>
      </w:r>
      <w:r w:rsidR="00C933B2">
        <w:rPr>
          <w:color w:val="000000"/>
          <w:sz w:val="22"/>
          <w:szCs w:val="22"/>
        </w:rPr>
        <w:t xml:space="preserve"> </w:t>
      </w:r>
      <w:r>
        <w:rPr>
          <w:color w:val="000000"/>
          <w:sz w:val="22"/>
          <w:szCs w:val="22"/>
        </w:rPr>
        <w:t xml:space="preserve">The FCC will include its Fiscal Year (FY) </w:t>
      </w:r>
      <w:r w:rsidR="004C3721">
        <w:rPr>
          <w:color w:val="000000"/>
          <w:sz w:val="22"/>
          <w:szCs w:val="22"/>
        </w:rPr>
        <w:t xml:space="preserve">2021 </w:t>
      </w:r>
      <w:r>
        <w:rPr>
          <w:color w:val="000000"/>
          <w:sz w:val="22"/>
          <w:szCs w:val="22"/>
        </w:rPr>
        <w:t xml:space="preserve">APR with its Congressional Budget Justification and will post it on the Commission’s website </w:t>
      </w:r>
      <w:r w:rsidRPr="001B45E0">
        <w:rPr>
          <w:sz w:val="22"/>
          <w:szCs w:val="22"/>
        </w:rPr>
        <w:t xml:space="preserve">at </w:t>
      </w:r>
      <w:hyperlink r:id="rId14" w:history="1">
        <w:r w:rsidRPr="00FD54C3" w:rsidR="004F7D9D">
          <w:rPr>
            <w:rStyle w:val="Hyperlink"/>
            <w:sz w:val="22"/>
            <w:szCs w:val="22"/>
          </w:rPr>
          <w:t>https://www.fcc.gov/about/strategic-plans-budget</w:t>
        </w:r>
      </w:hyperlink>
      <w:r>
        <w:rPr>
          <w:color w:val="000000"/>
          <w:sz w:val="22"/>
          <w:szCs w:val="22"/>
        </w:rPr>
        <w:t>.</w:t>
      </w:r>
    </w:p>
    <w:p w:rsidR="00E559C0" w:rsidRPr="00E35CDA" w:rsidP="00EE0264" w14:paraId="25767728" w14:textId="77777777">
      <w:pPr>
        <w:spacing w:after="260"/>
        <w:rPr>
          <w:sz w:val="22"/>
          <w:szCs w:val="22"/>
        </w:rPr>
      </w:pPr>
      <w:r w:rsidRPr="00E35CDA">
        <w:rPr>
          <w:sz w:val="22"/>
          <w:szCs w:val="22"/>
        </w:rPr>
        <w:t>The Commission’s AFR includes three sections:</w:t>
      </w:r>
    </w:p>
    <w:p w:rsidR="00E559C0" w:rsidP="003308A8" w14:paraId="65B3F740" w14:textId="55F5E0E7">
      <w:pPr>
        <w:autoSpaceDE w:val="0"/>
        <w:autoSpaceDN w:val="0"/>
        <w:adjustRightInd w:val="0"/>
        <w:spacing w:after="240"/>
        <w:jc w:val="both"/>
        <w:rPr>
          <w:color w:val="000000"/>
          <w:sz w:val="22"/>
          <w:szCs w:val="22"/>
        </w:rPr>
      </w:pPr>
      <w:r>
        <w:rPr>
          <w:color w:val="000000"/>
          <w:sz w:val="22"/>
          <w:szCs w:val="22"/>
        </w:rPr>
        <w:t>Section 1</w:t>
      </w:r>
      <w:r w:rsidRPr="000F05C1">
        <w:rPr>
          <w:color w:val="000000"/>
          <w:sz w:val="22"/>
          <w:szCs w:val="22"/>
        </w:rPr>
        <w:t xml:space="preserve"> con</w:t>
      </w:r>
      <w:r>
        <w:rPr>
          <w:color w:val="000000"/>
          <w:sz w:val="22"/>
          <w:szCs w:val="22"/>
        </w:rPr>
        <w:t>sists of Management’s Discussion and Analysis (MD&amp;A) that presents a message from the Chair</w:t>
      </w:r>
      <w:r w:rsidR="00341B96">
        <w:rPr>
          <w:color w:val="000000"/>
          <w:sz w:val="22"/>
          <w:szCs w:val="22"/>
        </w:rPr>
        <w:t>wo</w:t>
      </w:r>
      <w:r>
        <w:rPr>
          <w:color w:val="000000"/>
          <w:sz w:val="22"/>
          <w:szCs w:val="22"/>
        </w:rPr>
        <w:t>man, an overview of the FCC, including the senior leadership</w:t>
      </w:r>
      <w:r w:rsidRPr="00197470">
        <w:rPr>
          <w:color w:val="000000"/>
          <w:sz w:val="22"/>
          <w:szCs w:val="22"/>
        </w:rPr>
        <w:t xml:space="preserve">, Agency’s </w:t>
      </w:r>
      <w:r>
        <w:rPr>
          <w:color w:val="000000"/>
          <w:sz w:val="22"/>
          <w:szCs w:val="22"/>
        </w:rPr>
        <w:t>m</w:t>
      </w:r>
      <w:r w:rsidRPr="00197470">
        <w:rPr>
          <w:color w:val="000000"/>
          <w:sz w:val="22"/>
          <w:szCs w:val="22"/>
        </w:rPr>
        <w:t>ission</w:t>
      </w:r>
      <w:r>
        <w:rPr>
          <w:color w:val="000000"/>
          <w:sz w:val="22"/>
          <w:szCs w:val="22"/>
        </w:rPr>
        <w:t xml:space="preserve"> statement, organizational structure, organizational chart, map of field offices, strategic goals and objectives, strategies and resources to achieve goals, entity components for financial statement purposes, payment integrity, performance highlights, overall status of audit recommendations, management assurances, financial management systems strategy, financial discussion and analysis, and other key financial statement analysis.</w:t>
      </w:r>
    </w:p>
    <w:p w:rsidR="00E559C0" w:rsidP="003308A8" w14:paraId="4BB5D136" w14:textId="1B59BA58">
      <w:pPr>
        <w:autoSpaceDE w:val="0"/>
        <w:autoSpaceDN w:val="0"/>
        <w:adjustRightInd w:val="0"/>
        <w:spacing w:after="240"/>
        <w:jc w:val="both"/>
        <w:rPr>
          <w:color w:val="000000"/>
          <w:sz w:val="22"/>
          <w:szCs w:val="22"/>
        </w:rPr>
      </w:pPr>
      <w:r>
        <w:rPr>
          <w:color w:val="000000"/>
          <w:sz w:val="22"/>
          <w:szCs w:val="22"/>
        </w:rPr>
        <w:t>Section 2 contains the Commission’s financial information.</w:t>
      </w:r>
      <w:r w:rsidR="00C933B2">
        <w:rPr>
          <w:color w:val="000000"/>
          <w:sz w:val="22"/>
          <w:szCs w:val="22"/>
        </w:rPr>
        <w:t xml:space="preserve"> </w:t>
      </w:r>
      <w:r>
        <w:rPr>
          <w:color w:val="000000"/>
          <w:sz w:val="22"/>
          <w:szCs w:val="22"/>
        </w:rPr>
        <w:t>This section contains the independent auditor’s reports, Commission’s response to the independent auditor’s reports, consolidated financial statements, notes to the financial statements, and required supplementary information.</w:t>
      </w:r>
    </w:p>
    <w:p w:rsidR="00E559C0" w:rsidP="002B4A95" w14:paraId="2A237974" w14:textId="77777777">
      <w:pPr>
        <w:autoSpaceDE w:val="0"/>
        <w:autoSpaceDN w:val="0"/>
        <w:adjustRightInd w:val="0"/>
        <w:spacing w:after="560"/>
        <w:jc w:val="both"/>
        <w:rPr>
          <w:color w:val="000000"/>
          <w:sz w:val="22"/>
          <w:szCs w:val="22"/>
        </w:rPr>
      </w:pPr>
      <w:r>
        <w:rPr>
          <w:color w:val="000000"/>
          <w:sz w:val="22"/>
          <w:szCs w:val="22"/>
        </w:rPr>
        <w:t xml:space="preserve">Section </w:t>
      </w:r>
      <w:r w:rsidRPr="000F05C1">
        <w:rPr>
          <w:color w:val="000000"/>
          <w:sz w:val="22"/>
          <w:szCs w:val="22"/>
        </w:rPr>
        <w:t xml:space="preserve">3 presents </w:t>
      </w:r>
      <w:r>
        <w:rPr>
          <w:color w:val="000000"/>
          <w:sz w:val="22"/>
          <w:szCs w:val="22"/>
        </w:rPr>
        <w:t xml:space="preserve">other information such as a summary of financial statement audit and management assurances, required reporting on payment integrity pursuant to the Payment Integrity Information Act of 2019, management and performance challenges from the Office of Inspector General, </w:t>
      </w:r>
      <w:r w:rsidRPr="00123ACF">
        <w:rPr>
          <w:color w:val="000000"/>
          <w:sz w:val="22"/>
          <w:szCs w:val="22"/>
        </w:rPr>
        <w:t>and a schedule of civil monetary penalties.</w:t>
      </w:r>
    </w:p>
    <w:p w:rsidR="00E559C0" w:rsidRPr="003C4934" w:rsidP="002B4A95" w14:paraId="0E2DBE69" w14:textId="77777777">
      <w:pPr>
        <w:pStyle w:val="Heading4"/>
        <w:spacing w:after="220"/>
      </w:pPr>
      <w:bookmarkStart w:id="15" w:name="_Toc88780603"/>
      <w:r w:rsidRPr="00DB6FF0">
        <w:t>About the Federal Communications Commission</w:t>
      </w:r>
      <w:bookmarkEnd w:id="15"/>
    </w:p>
    <w:p w:rsidR="00E559C0" w:rsidP="00B96C06" w14:paraId="5479B993" w14:textId="6B3BE143">
      <w:pPr>
        <w:autoSpaceDE w:val="0"/>
        <w:autoSpaceDN w:val="0"/>
        <w:adjustRightInd w:val="0"/>
        <w:spacing w:after="260"/>
        <w:jc w:val="both"/>
        <w:rPr>
          <w:color w:val="000000"/>
          <w:sz w:val="22"/>
          <w:szCs w:val="22"/>
        </w:rPr>
      </w:pPr>
      <w:r w:rsidRPr="000F05C1">
        <w:rPr>
          <w:color w:val="000000"/>
          <w:sz w:val="22"/>
          <w:szCs w:val="22"/>
        </w:rPr>
        <w:t xml:space="preserve">The </w:t>
      </w:r>
      <w:r>
        <w:rPr>
          <w:color w:val="000000"/>
          <w:sz w:val="22"/>
          <w:szCs w:val="22"/>
        </w:rPr>
        <w:t xml:space="preserve">FCC </w:t>
      </w:r>
      <w:r w:rsidRPr="000F05C1">
        <w:rPr>
          <w:color w:val="000000"/>
          <w:sz w:val="22"/>
          <w:szCs w:val="22"/>
        </w:rPr>
        <w:t>is an independent regulatory agency</w:t>
      </w:r>
      <w:r>
        <w:rPr>
          <w:color w:val="000000"/>
          <w:sz w:val="22"/>
          <w:szCs w:val="22"/>
        </w:rPr>
        <w:t xml:space="preserve"> of the </w:t>
      </w:r>
      <w:r w:rsidRPr="000F05C1">
        <w:rPr>
          <w:color w:val="000000"/>
          <w:sz w:val="22"/>
          <w:szCs w:val="22"/>
        </w:rPr>
        <w:t>United States (U.S.) Government.</w:t>
      </w:r>
      <w:r w:rsidR="00C933B2">
        <w:rPr>
          <w:color w:val="000000"/>
          <w:sz w:val="22"/>
          <w:szCs w:val="22"/>
        </w:rPr>
        <w:t xml:space="preserve"> </w:t>
      </w:r>
      <w:r w:rsidRPr="000F05C1">
        <w:rPr>
          <w:color w:val="000000"/>
          <w:sz w:val="22"/>
          <w:szCs w:val="22"/>
        </w:rPr>
        <w:t xml:space="preserve">The </w:t>
      </w:r>
      <w:r>
        <w:rPr>
          <w:color w:val="000000"/>
          <w:sz w:val="22"/>
          <w:szCs w:val="22"/>
        </w:rPr>
        <w:t xml:space="preserve">FCC </w:t>
      </w:r>
      <w:r w:rsidRPr="000F05C1">
        <w:rPr>
          <w:color w:val="000000"/>
          <w:sz w:val="22"/>
          <w:szCs w:val="22"/>
        </w:rPr>
        <w:t>is charged with regulating interstate and international communications by radio, television, wire, satellite, and cable.</w:t>
      </w:r>
      <w:r w:rsidR="00C933B2">
        <w:rPr>
          <w:color w:val="000000"/>
          <w:sz w:val="22"/>
          <w:szCs w:val="22"/>
        </w:rPr>
        <w:t xml:space="preserve"> </w:t>
      </w:r>
      <w:r w:rsidRPr="000F05C1">
        <w:rPr>
          <w:color w:val="000000"/>
          <w:sz w:val="22"/>
          <w:szCs w:val="22"/>
        </w:rPr>
        <w:t xml:space="preserve">The </w:t>
      </w:r>
      <w:r>
        <w:rPr>
          <w:color w:val="000000"/>
          <w:sz w:val="22"/>
          <w:szCs w:val="22"/>
        </w:rPr>
        <w:t>Commission</w:t>
      </w:r>
      <w:r w:rsidRPr="000F05C1">
        <w:rPr>
          <w:color w:val="000000"/>
          <w:sz w:val="22"/>
          <w:szCs w:val="22"/>
        </w:rPr>
        <w:t xml:space="preserve"> also regulates </w:t>
      </w:r>
      <w:r w:rsidRPr="007E3121">
        <w:rPr>
          <w:color w:val="000000"/>
          <w:sz w:val="22"/>
          <w:szCs w:val="22"/>
        </w:rPr>
        <w:t>telecommunications, advanced communication services, and video programming for people with disabilities,</w:t>
      </w:r>
      <w:r w:rsidRPr="000F05C1">
        <w:rPr>
          <w:color w:val="000000"/>
          <w:sz w:val="22"/>
          <w:szCs w:val="22"/>
        </w:rPr>
        <w:t xml:space="preserve"> as set forth in </w:t>
      </w:r>
      <w:r>
        <w:rPr>
          <w:color w:val="000000"/>
          <w:sz w:val="22"/>
          <w:szCs w:val="22"/>
        </w:rPr>
        <w:t>various sections of the Communications Act.</w:t>
      </w:r>
      <w:r w:rsidR="00C933B2">
        <w:rPr>
          <w:color w:val="000000"/>
          <w:sz w:val="22"/>
          <w:szCs w:val="22"/>
        </w:rPr>
        <w:t xml:space="preserve"> </w:t>
      </w:r>
    </w:p>
    <w:p w:rsidR="00E559C0" w:rsidRPr="008B4E28" w:rsidP="005F32A3" w14:paraId="5BA861B2" w14:textId="22458674">
      <w:pPr>
        <w:autoSpaceDE w:val="0"/>
        <w:autoSpaceDN w:val="0"/>
        <w:adjustRightInd w:val="0"/>
        <w:spacing w:before="80" w:after="520"/>
        <w:jc w:val="both"/>
        <w:rPr>
          <w:color w:val="000000"/>
          <w:spacing w:val="1"/>
          <w:sz w:val="22"/>
          <w:szCs w:val="22"/>
        </w:rPr>
      </w:pPr>
      <w:r w:rsidRPr="008B4E28">
        <w:rPr>
          <w:color w:val="000000"/>
          <w:spacing w:val="1"/>
          <w:sz w:val="22"/>
          <w:szCs w:val="22"/>
        </w:rPr>
        <w:t>The Commission’s headquarters is located in Washington, D.C.</w:t>
      </w:r>
      <w:r w:rsidRPr="008B4E28" w:rsidR="00C933B2">
        <w:rPr>
          <w:color w:val="000000"/>
          <w:spacing w:val="1"/>
          <w:sz w:val="22"/>
          <w:szCs w:val="22"/>
        </w:rPr>
        <w:t xml:space="preserve"> </w:t>
      </w:r>
      <w:r w:rsidRPr="008B4E28">
        <w:rPr>
          <w:color w:val="000000"/>
          <w:spacing w:val="1"/>
          <w:sz w:val="22"/>
          <w:szCs w:val="22"/>
        </w:rPr>
        <w:t>It has 13 field offices throughout the nation, including three regional offices located in Atlanta, GA, Columbia, MD, and Los Angeles, CA.</w:t>
      </w:r>
    </w:p>
    <w:p w:rsidR="00E559C0" w:rsidRPr="00FA2145" w:rsidP="004745C2" w14:paraId="3D499DEA" w14:textId="77777777">
      <w:pPr>
        <w:pStyle w:val="Heading4"/>
      </w:pPr>
      <w:bookmarkStart w:id="16" w:name="_Toc88780604"/>
      <w:r w:rsidRPr="00DB6FF0">
        <w:t>Senior Leadership</w:t>
      </w:r>
      <w:bookmarkEnd w:id="16"/>
    </w:p>
    <w:p w:rsidR="00E559C0" w:rsidRPr="000A39BA" w:rsidP="00C94565" w14:paraId="31D5EB37" w14:textId="7FFC0F9A">
      <w:pPr>
        <w:autoSpaceDE w:val="0"/>
        <w:autoSpaceDN w:val="0"/>
        <w:adjustRightInd w:val="0"/>
        <w:spacing w:after="240"/>
        <w:jc w:val="both"/>
        <w:rPr>
          <w:color w:val="000000"/>
          <w:sz w:val="22"/>
          <w:szCs w:val="22"/>
        </w:rPr>
      </w:pPr>
      <w:r w:rsidRPr="000A39BA">
        <w:rPr>
          <w:sz w:val="22"/>
          <w:szCs w:val="22"/>
        </w:rPr>
        <w:t>The FCC is directed by five Commissioners appointed by the President and confirmed by the Senate for five-year terms, except when filling the unexpired term of a previous Commissioner.</w:t>
      </w:r>
      <w:r w:rsidR="00C933B2">
        <w:rPr>
          <w:sz w:val="22"/>
          <w:szCs w:val="22"/>
        </w:rPr>
        <w:t xml:space="preserve"> </w:t>
      </w:r>
      <w:r w:rsidRPr="000A39BA">
        <w:rPr>
          <w:sz w:val="22"/>
          <w:szCs w:val="22"/>
        </w:rPr>
        <w:t>Only three Commissioners can be from the same political party at any given time.</w:t>
      </w:r>
      <w:r w:rsidR="00C933B2">
        <w:rPr>
          <w:sz w:val="22"/>
          <w:szCs w:val="22"/>
        </w:rPr>
        <w:t xml:space="preserve"> </w:t>
      </w:r>
      <w:r w:rsidRPr="000A39BA">
        <w:rPr>
          <w:sz w:val="22"/>
          <w:szCs w:val="22"/>
        </w:rPr>
        <w:t xml:space="preserve">The President designates one of the Commissioners to serve as the Chair. </w:t>
      </w:r>
    </w:p>
    <w:p w:rsidR="00E559C0" w:rsidRPr="0099028F" w:rsidP="00992193" w14:paraId="741C5158" w14:textId="7FD92101">
      <w:pPr>
        <w:spacing w:after="360"/>
        <w:jc w:val="both"/>
        <w:rPr>
          <w:sz w:val="22"/>
          <w:szCs w:val="22"/>
        </w:rPr>
      </w:pPr>
      <w:r w:rsidRPr="0099028F">
        <w:rPr>
          <w:sz w:val="22"/>
          <w:szCs w:val="22"/>
        </w:rPr>
        <w:t>The Chair</w:t>
      </w:r>
      <w:r>
        <w:rPr>
          <w:sz w:val="22"/>
          <w:szCs w:val="22"/>
        </w:rPr>
        <w:t xml:space="preserve"> </w:t>
      </w:r>
      <w:r w:rsidRPr="0099028F">
        <w:rPr>
          <w:sz w:val="22"/>
          <w:szCs w:val="22"/>
        </w:rPr>
        <w:t>serves as the Chief Executive Officer of the Commission, supervising all FCC activities, delegating responsibilities to Offices and Bureaus, and formally representing the Commission before the Congress and the Administration.</w:t>
      </w:r>
    </w:p>
    <w:p w:rsidR="00E559C0" w:rsidRPr="0099028F" w:rsidP="00C94565" w14:paraId="541C1CA2" w14:textId="1485C37C">
      <w:pPr>
        <w:autoSpaceDE w:val="0"/>
        <w:autoSpaceDN w:val="0"/>
        <w:adjustRightInd w:val="0"/>
        <w:spacing w:after="240"/>
        <w:jc w:val="both"/>
        <w:rPr>
          <w:color w:val="000000"/>
          <w:sz w:val="22"/>
          <w:szCs w:val="22"/>
        </w:rPr>
      </w:pPr>
      <w:r>
        <w:rPr>
          <w:color w:val="000000"/>
          <w:sz w:val="22"/>
          <w:szCs w:val="22"/>
        </w:rPr>
        <w:t>Currently, the Commission has only four Commissioners.</w:t>
      </w:r>
      <w:r w:rsidR="00C933B2">
        <w:rPr>
          <w:color w:val="000000"/>
          <w:sz w:val="22"/>
          <w:szCs w:val="22"/>
        </w:rPr>
        <w:t xml:space="preserve"> </w:t>
      </w:r>
      <w:r w:rsidRPr="0099028F">
        <w:rPr>
          <w:color w:val="000000"/>
          <w:sz w:val="22"/>
          <w:szCs w:val="22"/>
        </w:rPr>
        <w:t>The current Chair</w:t>
      </w:r>
      <w:r>
        <w:rPr>
          <w:color w:val="000000"/>
          <w:sz w:val="22"/>
          <w:szCs w:val="22"/>
        </w:rPr>
        <w:t xml:space="preserve"> </w:t>
      </w:r>
      <w:r w:rsidRPr="0099028F">
        <w:rPr>
          <w:color w:val="000000"/>
          <w:sz w:val="22"/>
          <w:szCs w:val="22"/>
        </w:rPr>
        <w:t>and the Commissioners are:</w:t>
      </w:r>
    </w:p>
    <w:p w:rsidR="00E559C0" w:rsidP="00E559C0" w14:paraId="28FF7587" w14:textId="77777777">
      <w:pPr>
        <w:numPr>
          <w:ilvl w:val="0"/>
          <w:numId w:val="7"/>
        </w:numPr>
        <w:tabs>
          <w:tab w:val="clear" w:pos="360"/>
          <w:tab w:val="num" w:pos="720"/>
        </w:tabs>
        <w:autoSpaceDE w:val="0"/>
        <w:autoSpaceDN w:val="0"/>
        <w:adjustRightInd w:val="0"/>
        <w:ind w:left="720"/>
        <w:jc w:val="both"/>
        <w:rPr>
          <w:color w:val="000000"/>
          <w:sz w:val="22"/>
          <w:szCs w:val="22"/>
        </w:rPr>
      </w:pPr>
      <w:r>
        <w:rPr>
          <w:color w:val="000000"/>
          <w:sz w:val="22"/>
          <w:szCs w:val="22"/>
        </w:rPr>
        <w:t xml:space="preserve">Chairwoman </w:t>
      </w:r>
      <w:r w:rsidRPr="00AB4A29">
        <w:rPr>
          <w:color w:val="000000"/>
          <w:sz w:val="22"/>
          <w:szCs w:val="22"/>
        </w:rPr>
        <w:t xml:space="preserve">Jessica </w:t>
      </w:r>
      <w:r w:rsidRPr="00AB4A29">
        <w:rPr>
          <w:color w:val="000000"/>
          <w:sz w:val="22"/>
          <w:szCs w:val="22"/>
        </w:rPr>
        <w:t>Rosenworcel</w:t>
      </w:r>
    </w:p>
    <w:p w:rsidR="00E559C0" w:rsidRPr="00E2061A" w:rsidP="00E559C0" w14:paraId="6B4C7A28" w14:textId="77777777">
      <w:pPr>
        <w:numPr>
          <w:ilvl w:val="0"/>
          <w:numId w:val="7"/>
        </w:numPr>
        <w:tabs>
          <w:tab w:val="clear" w:pos="360"/>
          <w:tab w:val="num" w:pos="720"/>
        </w:tabs>
        <w:autoSpaceDE w:val="0"/>
        <w:autoSpaceDN w:val="0"/>
        <w:adjustRightInd w:val="0"/>
        <w:ind w:left="720"/>
        <w:jc w:val="both"/>
        <w:rPr>
          <w:color w:val="000000"/>
          <w:sz w:val="22"/>
          <w:szCs w:val="22"/>
        </w:rPr>
      </w:pPr>
      <w:r>
        <w:rPr>
          <w:color w:val="000000"/>
          <w:sz w:val="22"/>
          <w:szCs w:val="22"/>
        </w:rPr>
        <w:t xml:space="preserve">Commissioner Brendan </w:t>
      </w:r>
      <w:r>
        <w:rPr>
          <w:color w:val="000000"/>
          <w:sz w:val="22"/>
          <w:szCs w:val="22"/>
        </w:rPr>
        <w:t>Carr</w:t>
      </w:r>
      <w:r>
        <w:rPr>
          <w:color w:val="000000"/>
          <w:sz w:val="22"/>
          <w:szCs w:val="22"/>
        </w:rPr>
        <w:t xml:space="preserve"> </w:t>
      </w:r>
    </w:p>
    <w:p w:rsidR="00E559C0" w:rsidP="00E559C0" w14:paraId="6FF7409F" w14:textId="77777777">
      <w:pPr>
        <w:numPr>
          <w:ilvl w:val="0"/>
          <w:numId w:val="7"/>
        </w:numPr>
        <w:tabs>
          <w:tab w:val="clear" w:pos="360"/>
          <w:tab w:val="num" w:pos="720"/>
        </w:tabs>
        <w:autoSpaceDE w:val="0"/>
        <w:autoSpaceDN w:val="0"/>
        <w:adjustRightInd w:val="0"/>
        <w:ind w:left="720"/>
        <w:jc w:val="both"/>
        <w:rPr>
          <w:color w:val="000000"/>
          <w:sz w:val="22"/>
          <w:szCs w:val="22"/>
        </w:rPr>
      </w:pPr>
      <w:r>
        <w:rPr>
          <w:color w:val="000000"/>
          <w:sz w:val="22"/>
          <w:szCs w:val="22"/>
        </w:rPr>
        <w:t>Commissioner Geoffrey Starks</w:t>
      </w:r>
    </w:p>
    <w:p w:rsidR="00E559C0" w:rsidRPr="00122685" w:rsidP="004F56D0" w14:paraId="7B7709C5" w14:textId="77777777">
      <w:pPr>
        <w:numPr>
          <w:ilvl w:val="0"/>
          <w:numId w:val="7"/>
        </w:numPr>
        <w:tabs>
          <w:tab w:val="clear" w:pos="360"/>
          <w:tab w:val="num" w:pos="720"/>
        </w:tabs>
        <w:autoSpaceDE w:val="0"/>
        <w:autoSpaceDN w:val="0"/>
        <w:adjustRightInd w:val="0"/>
        <w:spacing w:after="520"/>
        <w:ind w:left="720"/>
        <w:jc w:val="both"/>
        <w:rPr>
          <w:color w:val="000000"/>
          <w:sz w:val="22"/>
          <w:szCs w:val="22"/>
        </w:rPr>
      </w:pPr>
      <w:r w:rsidRPr="00122685">
        <w:rPr>
          <w:color w:val="000000"/>
          <w:sz w:val="22"/>
          <w:szCs w:val="22"/>
        </w:rPr>
        <w:t xml:space="preserve">Commissioner </w:t>
      </w:r>
      <w:r>
        <w:rPr>
          <w:color w:val="000000"/>
          <w:sz w:val="22"/>
          <w:szCs w:val="22"/>
        </w:rPr>
        <w:t>Nathan Simington</w:t>
      </w:r>
    </w:p>
    <w:p w:rsidR="00E559C0" w:rsidRPr="00FA2145" w:rsidP="004745C2" w14:paraId="7D6D459B" w14:textId="77777777">
      <w:pPr>
        <w:pStyle w:val="Heading4"/>
      </w:pPr>
      <w:bookmarkStart w:id="17" w:name="_Toc88780605"/>
      <w:r w:rsidRPr="00FA204C">
        <w:t>Mission</w:t>
      </w:r>
      <w:bookmarkEnd w:id="17"/>
    </w:p>
    <w:p w:rsidR="00E559C0" w:rsidRPr="0089240C" w:rsidP="004F56D0" w14:paraId="79BE710A" w14:textId="41659F52">
      <w:pPr>
        <w:autoSpaceDE w:val="0"/>
        <w:autoSpaceDN w:val="0"/>
        <w:adjustRightInd w:val="0"/>
        <w:spacing w:after="520"/>
        <w:jc w:val="both"/>
        <w:rPr>
          <w:sz w:val="22"/>
          <w:szCs w:val="22"/>
        </w:rPr>
      </w:pPr>
      <w:r w:rsidRPr="0089240C">
        <w:rPr>
          <w:sz w:val="22"/>
          <w:szCs w:val="22"/>
        </w:rPr>
        <w:t>As specified in section one of the Communications Act of 1934, as ame</w:t>
      </w:r>
      <w:r>
        <w:rPr>
          <w:sz w:val="22"/>
          <w:szCs w:val="22"/>
        </w:rPr>
        <w:t xml:space="preserve">nded, the Commission’s </w:t>
      </w:r>
      <w:r w:rsidRPr="0089240C">
        <w:rPr>
          <w:sz w:val="22"/>
          <w:szCs w:val="22"/>
        </w:rPr>
        <w:t>mission is to “make available, so far as possible, to all the people of the United States, without discrimination on the basis of race, color, religion, national origin, or sex, rapid, efficient, Nation-wide, and world-wide wire and radio communication service with adequate facilities at reasonable charges.”</w:t>
      </w:r>
      <w:r>
        <w:rPr>
          <w:rStyle w:val="FootnoteReference"/>
          <w:color w:val="000000"/>
          <w:sz w:val="22"/>
          <w:szCs w:val="22"/>
        </w:rPr>
        <w:footnoteReference w:id="3"/>
      </w:r>
      <w:r w:rsidR="00C933B2">
        <w:rPr>
          <w:sz w:val="22"/>
          <w:szCs w:val="22"/>
        </w:rPr>
        <w:t xml:space="preserve"> </w:t>
      </w:r>
      <w:r w:rsidRPr="0089240C">
        <w:rPr>
          <w:sz w:val="22"/>
          <w:szCs w:val="22"/>
        </w:rPr>
        <w:t>In addition, section one provides that the Commission was created “for the purpose of the national defense” and “for the purpose of promoting safety of life and property through the use of wire and radio communications.”</w:t>
      </w:r>
      <w:r>
        <w:rPr>
          <w:rStyle w:val="FootnoteReference"/>
          <w:color w:val="000000"/>
          <w:sz w:val="22"/>
          <w:szCs w:val="22"/>
        </w:rPr>
        <w:footnoteReference w:id="4"/>
      </w:r>
      <w:r w:rsidR="00C933B2">
        <w:rPr>
          <w:sz w:val="22"/>
          <w:szCs w:val="22"/>
        </w:rPr>
        <w:t xml:space="preserve"> </w:t>
      </w:r>
    </w:p>
    <w:p w:rsidR="00E559C0" w:rsidRPr="00FA2145" w:rsidP="004745C2" w14:paraId="3EBC638A" w14:textId="77777777">
      <w:pPr>
        <w:pStyle w:val="Heading4"/>
      </w:pPr>
      <w:bookmarkStart w:id="18" w:name="_Toc88780606"/>
      <w:r w:rsidRPr="00DB6FF0">
        <w:t>Organizational Structure</w:t>
      </w:r>
      <w:bookmarkEnd w:id="18"/>
    </w:p>
    <w:p w:rsidR="00E559C0" w:rsidRPr="000F05C1" w:rsidP="004F56D0" w14:paraId="256D9C7E" w14:textId="542FD8AD">
      <w:pPr>
        <w:autoSpaceDE w:val="0"/>
        <w:autoSpaceDN w:val="0"/>
        <w:adjustRightInd w:val="0"/>
        <w:spacing w:after="520"/>
        <w:jc w:val="both"/>
        <w:rPr>
          <w:color w:val="000000"/>
          <w:sz w:val="22"/>
          <w:szCs w:val="22"/>
        </w:rPr>
      </w:pPr>
      <w:r>
        <w:rPr>
          <w:color w:val="000000"/>
          <w:sz w:val="22"/>
          <w:szCs w:val="22"/>
        </w:rPr>
        <w:t>In order to accomplish its strategic plan, t</w:t>
      </w:r>
      <w:r w:rsidRPr="000F05C1">
        <w:rPr>
          <w:color w:val="000000"/>
          <w:sz w:val="22"/>
          <w:szCs w:val="22"/>
        </w:rPr>
        <w:t xml:space="preserve">he </w:t>
      </w:r>
      <w:r>
        <w:rPr>
          <w:color w:val="000000"/>
          <w:sz w:val="22"/>
          <w:szCs w:val="22"/>
        </w:rPr>
        <w:t>FCC is organized by function.</w:t>
      </w:r>
      <w:r w:rsidR="00C933B2">
        <w:rPr>
          <w:color w:val="000000"/>
          <w:sz w:val="22"/>
          <w:szCs w:val="22"/>
        </w:rPr>
        <w:t xml:space="preserve"> </w:t>
      </w:r>
      <w:r>
        <w:rPr>
          <w:color w:val="000000"/>
          <w:sz w:val="22"/>
          <w:szCs w:val="22"/>
        </w:rPr>
        <w:t>There are seven Bureaus and ten Offices.</w:t>
      </w:r>
      <w:r w:rsidR="00C933B2">
        <w:rPr>
          <w:color w:val="000000"/>
          <w:sz w:val="22"/>
          <w:szCs w:val="22"/>
        </w:rPr>
        <w:t xml:space="preserve"> </w:t>
      </w:r>
      <w:r>
        <w:rPr>
          <w:color w:val="000000"/>
          <w:sz w:val="22"/>
          <w:szCs w:val="22"/>
        </w:rPr>
        <w:t>The Bureaus and the Office of Engineering and Technology process applications for licenses to operate facilities and provide communication services, analyze complaints from consumers and other licensees, conduct investigations, develop and implement regulatory programs, and participate in hearings and workshops.</w:t>
      </w:r>
      <w:r w:rsidR="00C933B2">
        <w:rPr>
          <w:color w:val="000000"/>
          <w:sz w:val="22"/>
          <w:szCs w:val="22"/>
        </w:rPr>
        <w:t xml:space="preserve"> </w:t>
      </w:r>
      <w:r>
        <w:rPr>
          <w:color w:val="000000"/>
          <w:sz w:val="22"/>
          <w:szCs w:val="22"/>
        </w:rPr>
        <w:t>Generally, the Offices provide specialized support services, and in addition, the Office of Economics and Analytics manages the auctions program.</w:t>
      </w:r>
      <w:r w:rsidR="00C933B2">
        <w:rPr>
          <w:color w:val="000000"/>
          <w:sz w:val="22"/>
          <w:szCs w:val="22"/>
        </w:rPr>
        <w:t xml:space="preserve"> </w:t>
      </w:r>
      <w:r>
        <w:rPr>
          <w:color w:val="000000"/>
          <w:sz w:val="22"/>
          <w:szCs w:val="22"/>
        </w:rPr>
        <w:t>The Bureaus and Offices regularly join forces and share expertise in addressing FCC-related issues.</w:t>
      </w:r>
    </w:p>
    <w:p w:rsidR="00E559C0" w:rsidRPr="00FA204C" w:rsidP="004745C2" w14:paraId="23B0DE58" w14:textId="77777777">
      <w:pPr>
        <w:pStyle w:val="Heading4"/>
      </w:pPr>
      <w:bookmarkStart w:id="19" w:name="_Toc88780607"/>
      <w:r w:rsidRPr="00FA204C">
        <w:t>The Bureaus</w:t>
      </w:r>
      <w:bookmarkEnd w:id="19"/>
    </w:p>
    <w:p w:rsidR="00E559C0" w:rsidRPr="00FC0A28" w:rsidP="004F56D0" w14:paraId="0ACA203F" w14:textId="6B075F50">
      <w:pPr>
        <w:numPr>
          <w:ilvl w:val="0"/>
          <w:numId w:val="12"/>
        </w:numPr>
        <w:spacing w:after="280"/>
        <w:ind w:left="360"/>
        <w:jc w:val="both"/>
        <w:rPr>
          <w:sz w:val="22"/>
          <w:szCs w:val="22"/>
        </w:rPr>
      </w:pPr>
      <w:r w:rsidRPr="00FC0A28">
        <w:rPr>
          <w:b/>
          <w:bCs/>
          <w:sz w:val="22"/>
          <w:szCs w:val="22"/>
        </w:rPr>
        <w:t>The Consumer &amp; Governmental Affairs Bureau</w:t>
      </w:r>
      <w:r w:rsidRPr="00FC0A28">
        <w:rPr>
          <w:sz w:val="22"/>
          <w:szCs w:val="22"/>
        </w:rPr>
        <w:t xml:space="preserve"> develops and implements consumer policies, including disability access and policies affecting Tribal nations and state and local governments.</w:t>
      </w:r>
      <w:r w:rsidR="00C933B2">
        <w:rPr>
          <w:sz w:val="22"/>
          <w:szCs w:val="22"/>
        </w:rPr>
        <w:t xml:space="preserve"> </w:t>
      </w:r>
      <w:r w:rsidRPr="00FC0A28">
        <w:rPr>
          <w:sz w:val="22"/>
          <w:szCs w:val="22"/>
        </w:rPr>
        <w:t>The Bureau also serves as the public face of the Commission through outreach and education and responds to consumer inquiries and informal complaints.</w:t>
      </w:r>
      <w:r w:rsidR="00C933B2">
        <w:rPr>
          <w:sz w:val="22"/>
          <w:szCs w:val="22"/>
        </w:rPr>
        <w:t xml:space="preserve"> </w:t>
      </w:r>
      <w:r w:rsidRPr="00FC0A28">
        <w:rPr>
          <w:sz w:val="22"/>
          <w:szCs w:val="22"/>
        </w:rPr>
        <w:t>The Bureau maintains collaborative partnerships with consumer-facing organizations and state, local, and Tribal governments in such areas as implementation of critical initiatives, implementation of new technologies, and emergency preparedness.</w:t>
      </w:r>
      <w:r w:rsidR="00C933B2">
        <w:rPr>
          <w:sz w:val="22"/>
          <w:szCs w:val="22"/>
        </w:rPr>
        <w:t xml:space="preserve"> </w:t>
      </w:r>
      <w:r w:rsidRPr="00FC0A28">
        <w:rPr>
          <w:sz w:val="22"/>
          <w:szCs w:val="22"/>
        </w:rPr>
        <w:t>In addition, the Bureau’s Disability Rights Office provides expert policy and compliance advice on accessibility with respect to various forms of communications for persons with disabilities.</w:t>
      </w:r>
      <w:r w:rsidR="00C933B2">
        <w:rPr>
          <w:sz w:val="22"/>
          <w:szCs w:val="22"/>
        </w:rPr>
        <w:t xml:space="preserve"> </w:t>
      </w:r>
      <w:r w:rsidRPr="00FC0A28">
        <w:rPr>
          <w:sz w:val="22"/>
          <w:szCs w:val="22"/>
        </w:rPr>
        <w:t>The Bureau also ensures public facing access to the Commission for persons with disabilities via a team of American Sign Language interpreters and accessible formats specialists.</w:t>
      </w:r>
      <w:r w:rsidR="00C933B2">
        <w:rPr>
          <w:sz w:val="22"/>
          <w:szCs w:val="22"/>
        </w:rPr>
        <w:t xml:space="preserve"> </w:t>
      </w:r>
    </w:p>
    <w:p w:rsidR="00E559C0" w:rsidRPr="00FC0A28" w:rsidP="00652882" w14:paraId="511B2F90" w14:textId="03A2A2A8">
      <w:pPr>
        <w:numPr>
          <w:ilvl w:val="0"/>
          <w:numId w:val="12"/>
        </w:numPr>
        <w:spacing w:after="240"/>
        <w:ind w:left="360"/>
        <w:jc w:val="both"/>
        <w:rPr>
          <w:sz w:val="22"/>
          <w:szCs w:val="22"/>
        </w:rPr>
      </w:pPr>
      <w:r w:rsidRPr="00FC0A28">
        <w:rPr>
          <w:b/>
          <w:bCs/>
          <w:sz w:val="22"/>
          <w:szCs w:val="22"/>
        </w:rPr>
        <w:t>The Enforcement Bureau</w:t>
      </w:r>
      <w:r w:rsidRPr="00FC0A28">
        <w:rPr>
          <w:sz w:val="22"/>
          <w:szCs w:val="22"/>
        </w:rPr>
        <w:t xml:space="preserve"> enforces the Communications Act and the FCC’s rules.</w:t>
      </w:r>
      <w:r w:rsidR="00C933B2">
        <w:rPr>
          <w:sz w:val="22"/>
          <w:szCs w:val="22"/>
        </w:rPr>
        <w:t xml:space="preserve"> </w:t>
      </w:r>
      <w:r w:rsidRPr="00FC0A28">
        <w:rPr>
          <w:sz w:val="22"/>
          <w:szCs w:val="22"/>
        </w:rPr>
        <w:t>It acts to protect consumers, ensure efficient use of spectrum, further public safety, promote competition, resolve disputes, and protect the integrity of FCC programs and activities from fraud, waste, and abuse.</w:t>
      </w:r>
    </w:p>
    <w:p w:rsidR="00E559C0" w:rsidRPr="00FC0A28" w:rsidP="00652882" w14:paraId="66E784D3" w14:textId="46780FCA">
      <w:pPr>
        <w:numPr>
          <w:ilvl w:val="0"/>
          <w:numId w:val="12"/>
        </w:numPr>
        <w:spacing w:after="240"/>
        <w:ind w:left="360"/>
        <w:jc w:val="both"/>
        <w:rPr>
          <w:sz w:val="22"/>
          <w:szCs w:val="22"/>
        </w:rPr>
      </w:pPr>
      <w:r w:rsidRPr="00FC0A28">
        <w:rPr>
          <w:b/>
          <w:bCs/>
          <w:sz w:val="22"/>
          <w:szCs w:val="22"/>
        </w:rPr>
        <w:t>The International Bureau</w:t>
      </w:r>
      <w:r w:rsidRPr="00FC0A28">
        <w:rPr>
          <w:sz w:val="22"/>
          <w:szCs w:val="22"/>
        </w:rPr>
        <w:t xml:space="preserve"> administers the FCC’s international telecommunications and satellite programs and policies, including licensing and regulatory functions.</w:t>
      </w:r>
      <w:r w:rsidR="00C933B2">
        <w:rPr>
          <w:sz w:val="22"/>
          <w:szCs w:val="22"/>
        </w:rPr>
        <w:t xml:space="preserve"> </w:t>
      </w:r>
      <w:r w:rsidRPr="00FC0A28">
        <w:rPr>
          <w:sz w:val="22"/>
          <w:szCs w:val="22"/>
        </w:rPr>
        <w:t xml:space="preserve">The Bureau promotes pro-competitive policies abroad, coordinates the FCC’s global spectrum activities, and advocates for U.S. </w:t>
      </w:r>
      <w:r w:rsidRPr="00FC0A28">
        <w:rPr>
          <w:sz w:val="22"/>
          <w:szCs w:val="22"/>
        </w:rPr>
        <w:t>interests in international communications and competition.</w:t>
      </w:r>
      <w:r w:rsidR="00C933B2">
        <w:rPr>
          <w:sz w:val="22"/>
          <w:szCs w:val="22"/>
        </w:rPr>
        <w:t xml:space="preserve"> </w:t>
      </w:r>
      <w:r w:rsidRPr="00FC0A28">
        <w:rPr>
          <w:sz w:val="22"/>
          <w:szCs w:val="22"/>
        </w:rPr>
        <w:t>The Bureau works to promote high-quality, reliable, interconnected, and interoperable communications infrastructure on a global scale.</w:t>
      </w:r>
    </w:p>
    <w:p w:rsidR="00E559C0" w:rsidRPr="00FC0A28" w:rsidP="00652882" w14:paraId="4C8D9EB0" w14:textId="77777777">
      <w:pPr>
        <w:numPr>
          <w:ilvl w:val="0"/>
          <w:numId w:val="12"/>
        </w:numPr>
        <w:spacing w:after="240"/>
        <w:ind w:left="360"/>
        <w:jc w:val="both"/>
        <w:rPr>
          <w:sz w:val="22"/>
          <w:szCs w:val="22"/>
        </w:rPr>
      </w:pPr>
      <w:r w:rsidRPr="00FC0A28">
        <w:rPr>
          <w:b/>
          <w:bCs/>
          <w:sz w:val="22"/>
          <w:szCs w:val="22"/>
        </w:rPr>
        <w:t>The Media Bureau</w:t>
      </w:r>
      <w:r w:rsidRPr="00FC0A28">
        <w:rPr>
          <w:sz w:val="22"/>
          <w:szCs w:val="22"/>
        </w:rPr>
        <w:t xml:space="preserve"> recommends, develops, and administers the policy and licensing programs relating to electronic media, including broadcast, cable, and satellite television in the United States and its territories.</w:t>
      </w:r>
    </w:p>
    <w:p w:rsidR="00E559C0" w:rsidRPr="00FC0A28" w:rsidP="00652882" w14:paraId="5888E681" w14:textId="5E3F49DF">
      <w:pPr>
        <w:numPr>
          <w:ilvl w:val="0"/>
          <w:numId w:val="12"/>
        </w:numPr>
        <w:spacing w:after="240"/>
        <w:ind w:left="360"/>
        <w:jc w:val="both"/>
        <w:rPr>
          <w:sz w:val="22"/>
          <w:szCs w:val="22"/>
        </w:rPr>
      </w:pPr>
      <w:r w:rsidRPr="00FC0A28">
        <w:rPr>
          <w:b/>
          <w:bCs/>
          <w:sz w:val="22"/>
          <w:szCs w:val="22"/>
        </w:rPr>
        <w:t xml:space="preserve">The Public Safety and Homeland Security Bureau </w:t>
      </w:r>
      <w:r w:rsidRPr="00FC0A28">
        <w:rPr>
          <w:bCs/>
          <w:sz w:val="22"/>
          <w:szCs w:val="22"/>
        </w:rPr>
        <w:t>develops and</w:t>
      </w:r>
      <w:r w:rsidRPr="00FC0A28">
        <w:rPr>
          <w:b/>
          <w:bCs/>
          <w:sz w:val="22"/>
          <w:szCs w:val="22"/>
        </w:rPr>
        <w:t xml:space="preserve"> </w:t>
      </w:r>
      <w:r w:rsidRPr="00FC0A28">
        <w:rPr>
          <w:sz w:val="22"/>
          <w:szCs w:val="22"/>
        </w:rPr>
        <w:t>implements policies and programs to strengthen public safety communications and interoperability, homeland security, national security, emergency management and preparedness, disaster management, and network reliability and resiliency.</w:t>
      </w:r>
      <w:r w:rsidR="00C933B2">
        <w:rPr>
          <w:sz w:val="22"/>
          <w:szCs w:val="22"/>
        </w:rPr>
        <w:t xml:space="preserve"> </w:t>
      </w:r>
      <w:r w:rsidRPr="00FC0A28">
        <w:rPr>
          <w:sz w:val="22"/>
          <w:szCs w:val="22"/>
        </w:rPr>
        <w:t>These efforts include rulemaking proceedings that promote more efficient use of public safety spectrum, improve public alerting mechanisms, enhance the nation’s 911 emergency calling system, and establish frameworks for communications prioritization during crises.</w:t>
      </w:r>
      <w:r w:rsidR="00C933B2">
        <w:rPr>
          <w:sz w:val="22"/>
          <w:szCs w:val="22"/>
        </w:rPr>
        <w:t xml:space="preserve"> </w:t>
      </w:r>
      <w:r w:rsidRPr="00FC0A28">
        <w:rPr>
          <w:sz w:val="22"/>
          <w:szCs w:val="22"/>
        </w:rPr>
        <w:t>The Bureau also maintains 24/7 operations capability and promotes Commission preparedness to assist the public, first responders, the communications industry, and all levels of government in responding to emergencies and major disasters where reliable public safety communications are essential.</w:t>
      </w:r>
      <w:r w:rsidR="00C933B2">
        <w:rPr>
          <w:sz w:val="22"/>
          <w:szCs w:val="22"/>
        </w:rPr>
        <w:t xml:space="preserve"> </w:t>
      </w:r>
      <w:r w:rsidRPr="00FC0A28">
        <w:rPr>
          <w:sz w:val="22"/>
          <w:szCs w:val="22"/>
        </w:rPr>
        <w:t>Finally, the Bureau coordinates the Commission’s national security mission and consults with the Defense Commissioner pursuant to 47 CFR § 0.181 of the Commission’s rules.</w:t>
      </w:r>
    </w:p>
    <w:p w:rsidR="00E559C0" w:rsidRPr="00FC0A28" w:rsidP="00652882" w14:paraId="6C1F5540" w14:textId="0CAE9392">
      <w:pPr>
        <w:numPr>
          <w:ilvl w:val="0"/>
          <w:numId w:val="12"/>
        </w:numPr>
        <w:spacing w:after="240"/>
        <w:ind w:left="360"/>
        <w:jc w:val="both"/>
        <w:rPr>
          <w:sz w:val="22"/>
          <w:szCs w:val="22"/>
        </w:rPr>
      </w:pPr>
      <w:r w:rsidRPr="00FC0A28">
        <w:rPr>
          <w:b/>
          <w:bCs/>
          <w:sz w:val="22"/>
          <w:szCs w:val="22"/>
        </w:rPr>
        <w:t>The Wireless Telecommunications Bureau</w:t>
      </w:r>
      <w:r w:rsidRPr="00FC0A28">
        <w:rPr>
          <w:sz w:val="22"/>
          <w:szCs w:val="22"/>
        </w:rPr>
        <w:t xml:space="preserve"> is responsible for wireless telecommunications programs and policies in the United States and its territories, including licensing and regulatory functions. Wireless communications services include cellular, paging, personal communications, mobile broadband, and other radio services used by businesses and private citizens.</w:t>
      </w:r>
      <w:r w:rsidR="00C933B2">
        <w:rPr>
          <w:sz w:val="22"/>
          <w:szCs w:val="22"/>
        </w:rPr>
        <w:t xml:space="preserve"> </w:t>
      </w:r>
    </w:p>
    <w:p w:rsidR="00E559C0" w:rsidRPr="00FC0A28" w:rsidP="00F54828" w14:paraId="3B20EE08" w14:textId="204EA573">
      <w:pPr>
        <w:numPr>
          <w:ilvl w:val="0"/>
          <w:numId w:val="12"/>
        </w:numPr>
        <w:spacing w:after="320"/>
        <w:ind w:left="360"/>
        <w:jc w:val="both"/>
        <w:rPr>
          <w:sz w:val="22"/>
          <w:szCs w:val="22"/>
        </w:rPr>
      </w:pPr>
      <w:r w:rsidRPr="00FC0A28">
        <w:rPr>
          <w:b/>
          <w:bCs/>
          <w:sz w:val="22"/>
          <w:szCs w:val="22"/>
        </w:rPr>
        <w:t>The Wireline Competition Bureau</w:t>
      </w:r>
      <w:r w:rsidRPr="00FC0A28">
        <w:rPr>
          <w:sz w:val="22"/>
          <w:szCs w:val="22"/>
        </w:rPr>
        <w:t xml:space="preserve"> develops, recommends, and implements policies and programs for wireline telecommunications, fixed (as opposed to mobile) broadband and telephone lines, striving to promote the widespread development and availability of these services.</w:t>
      </w:r>
      <w:r w:rsidR="00C933B2">
        <w:rPr>
          <w:sz w:val="22"/>
          <w:szCs w:val="22"/>
        </w:rPr>
        <w:t xml:space="preserve"> </w:t>
      </w:r>
      <w:r w:rsidRPr="00FC0A28">
        <w:rPr>
          <w:sz w:val="22"/>
          <w:szCs w:val="22"/>
        </w:rPr>
        <w:t>The Bureau has primary responsibility for the Universal Service Fund which helps connect all Americans to communications networks.</w:t>
      </w:r>
    </w:p>
    <w:p w:rsidR="00E559C0" w:rsidRPr="00FC0A28" w:rsidP="00652882" w14:paraId="50E7EA3A" w14:textId="77777777">
      <w:pPr>
        <w:numPr>
          <w:ilvl w:val="0"/>
          <w:numId w:val="12"/>
        </w:numPr>
        <w:spacing w:after="240"/>
        <w:ind w:left="360"/>
        <w:jc w:val="both"/>
        <w:rPr>
          <w:sz w:val="22"/>
          <w:szCs w:val="22"/>
        </w:rPr>
      </w:pPr>
      <w:r w:rsidRPr="00FC0A28">
        <w:rPr>
          <w:b/>
          <w:bCs/>
          <w:sz w:val="22"/>
          <w:szCs w:val="22"/>
        </w:rPr>
        <w:t>The Office of Administrative Law Judges</w:t>
      </w:r>
      <w:r w:rsidRPr="00FC0A28">
        <w:rPr>
          <w:sz w:val="22"/>
          <w:szCs w:val="22"/>
        </w:rPr>
        <w:t xml:space="preserve"> is composed of one judge (and associated staff) who presides over hearings and issues decisions on matters referred by the FCC.</w:t>
      </w:r>
    </w:p>
    <w:p w:rsidR="00E559C0" w:rsidRPr="00FC0A28" w:rsidP="00652882" w14:paraId="77A56055" w14:textId="77777777">
      <w:pPr>
        <w:numPr>
          <w:ilvl w:val="0"/>
          <w:numId w:val="12"/>
        </w:numPr>
        <w:spacing w:after="240"/>
        <w:ind w:left="360"/>
        <w:jc w:val="both"/>
        <w:rPr>
          <w:sz w:val="22"/>
          <w:szCs w:val="22"/>
        </w:rPr>
      </w:pPr>
      <w:r w:rsidRPr="00FC0A28">
        <w:rPr>
          <w:b/>
          <w:bCs/>
          <w:sz w:val="22"/>
          <w:szCs w:val="22"/>
        </w:rPr>
        <w:t>The Office of Communications Business Opportunities</w:t>
      </w:r>
      <w:r w:rsidRPr="00FC0A28">
        <w:rPr>
          <w:sz w:val="22"/>
          <w:szCs w:val="22"/>
        </w:rPr>
        <w:t xml:space="preserve"> promotes competition and innovation in the provision and ownership of telecommunications services by supporting opportunities for small businesses as well as women and minority-owned communications businesses.</w:t>
      </w:r>
    </w:p>
    <w:p w:rsidR="00E559C0" w:rsidRPr="00FC0A28" w:rsidP="00652882" w14:paraId="6C2A97A7" w14:textId="736D7C54">
      <w:pPr>
        <w:numPr>
          <w:ilvl w:val="0"/>
          <w:numId w:val="12"/>
        </w:numPr>
        <w:spacing w:after="240"/>
        <w:ind w:left="360"/>
        <w:jc w:val="both"/>
        <w:rPr>
          <w:sz w:val="22"/>
          <w:szCs w:val="22"/>
        </w:rPr>
      </w:pPr>
      <w:r w:rsidRPr="00FC0A28">
        <w:rPr>
          <w:b/>
          <w:sz w:val="22"/>
          <w:szCs w:val="22"/>
        </w:rPr>
        <w:t>The Office of Economics and Analytics</w:t>
      </w:r>
      <w:r w:rsidRPr="00FC0A28">
        <w:rPr>
          <w:sz w:val="22"/>
          <w:szCs w:val="22"/>
        </w:rPr>
        <w:t xml:space="preserve"> provides objective economic analysis to support Commission policy making and implements agency-wide data practices and policies, including implementing significant economically-relevant data collections.</w:t>
      </w:r>
      <w:r w:rsidR="00C933B2">
        <w:rPr>
          <w:sz w:val="22"/>
          <w:szCs w:val="22"/>
        </w:rPr>
        <w:t xml:space="preserve"> </w:t>
      </w:r>
      <w:r w:rsidRPr="00FC0A28">
        <w:rPr>
          <w:sz w:val="22"/>
          <w:szCs w:val="22"/>
        </w:rPr>
        <w:t>The Office also manages the FCC’s auctions in support of and in coordination with the FCC’s Bureaus and Offices.</w:t>
      </w:r>
    </w:p>
    <w:p w:rsidR="00E559C0" w:rsidRPr="00FC0A28" w:rsidP="00652882" w14:paraId="21F6BA8E" w14:textId="374BD4D6">
      <w:pPr>
        <w:numPr>
          <w:ilvl w:val="0"/>
          <w:numId w:val="12"/>
        </w:numPr>
        <w:spacing w:after="240"/>
        <w:ind w:left="360"/>
        <w:jc w:val="both"/>
        <w:rPr>
          <w:sz w:val="22"/>
          <w:szCs w:val="22"/>
        </w:rPr>
      </w:pPr>
      <w:r w:rsidRPr="00FC0A28">
        <w:rPr>
          <w:b/>
          <w:bCs/>
          <w:sz w:val="22"/>
          <w:szCs w:val="22"/>
        </w:rPr>
        <w:t>The Office of Engineering and Technology</w:t>
      </w:r>
      <w:r w:rsidRPr="00FC0A28">
        <w:rPr>
          <w:sz w:val="22"/>
          <w:szCs w:val="22"/>
        </w:rPr>
        <w:t xml:space="preserve"> advises the FCC on technical and engineering matters. This Office develops and administers FCC decisions regarding spectrum allocations and unlicensed devices and coordinates use of the spectrum with the Executive Branch.</w:t>
      </w:r>
      <w:r w:rsidR="00C933B2">
        <w:rPr>
          <w:sz w:val="22"/>
          <w:szCs w:val="22"/>
        </w:rPr>
        <w:t xml:space="preserve"> </w:t>
      </w:r>
      <w:r w:rsidRPr="00FC0A28">
        <w:rPr>
          <w:sz w:val="22"/>
          <w:szCs w:val="22"/>
        </w:rPr>
        <w:t>The Office also oversees the Commission’s equipment authorization program to ensure compliance with technical rules and its experimental licensing program to promote new and innovative technologies and services.</w:t>
      </w:r>
    </w:p>
    <w:p w:rsidR="00E559C0" w:rsidRPr="00FC0A28" w:rsidP="00652882" w14:paraId="1CBE6D71" w14:textId="77777777">
      <w:pPr>
        <w:numPr>
          <w:ilvl w:val="0"/>
          <w:numId w:val="12"/>
        </w:numPr>
        <w:spacing w:after="240"/>
        <w:ind w:left="360"/>
        <w:jc w:val="both"/>
        <w:rPr>
          <w:sz w:val="22"/>
          <w:szCs w:val="22"/>
        </w:rPr>
      </w:pPr>
      <w:r w:rsidRPr="00FC0A28">
        <w:rPr>
          <w:b/>
          <w:bCs/>
          <w:sz w:val="22"/>
          <w:szCs w:val="22"/>
        </w:rPr>
        <w:t>The Office of the General Counsel</w:t>
      </w:r>
      <w:r w:rsidRPr="00FC0A28">
        <w:rPr>
          <w:sz w:val="22"/>
          <w:szCs w:val="22"/>
        </w:rPr>
        <w:t xml:space="preserve"> serves as the FCC’s chief legal advisor.</w:t>
      </w:r>
    </w:p>
    <w:p w:rsidR="00C56364" w:rsidP="00652882" w14:paraId="63B7528B" w14:textId="77777777">
      <w:pPr>
        <w:numPr>
          <w:ilvl w:val="0"/>
          <w:numId w:val="12"/>
        </w:numPr>
        <w:spacing w:after="240"/>
        <w:ind w:left="360"/>
        <w:jc w:val="both"/>
        <w:rPr>
          <w:sz w:val="22"/>
          <w:szCs w:val="22"/>
        </w:rPr>
        <w:sectPr w:rsidSect="00054929">
          <w:pgSz w:w="12240" w:h="15840" w:code="1"/>
          <w:pgMar w:top="1152" w:right="1440" w:bottom="1152" w:left="1440" w:header="720" w:footer="720" w:gutter="0"/>
          <w:cols w:space="720"/>
        </w:sectPr>
      </w:pPr>
      <w:r w:rsidRPr="00FC0A28">
        <w:rPr>
          <w:b/>
          <w:bCs/>
          <w:sz w:val="22"/>
          <w:szCs w:val="22"/>
        </w:rPr>
        <w:t>The Office of the Inspector General</w:t>
      </w:r>
      <w:r w:rsidRPr="00FC0A28">
        <w:rPr>
          <w:sz w:val="22"/>
          <w:szCs w:val="22"/>
        </w:rPr>
        <w:t xml:space="preserve"> conducts and supervises audits and investigations relating to FCC programs and operations.</w:t>
      </w:r>
    </w:p>
    <w:p w:rsidR="00E559C0" w:rsidRPr="00FC0A28" w:rsidP="006072BF" w14:paraId="338A2077" w14:textId="77777777">
      <w:pPr>
        <w:numPr>
          <w:ilvl w:val="0"/>
          <w:numId w:val="12"/>
        </w:numPr>
        <w:spacing w:before="480" w:after="260"/>
        <w:ind w:left="360"/>
        <w:jc w:val="both"/>
        <w:rPr>
          <w:sz w:val="22"/>
          <w:szCs w:val="22"/>
        </w:rPr>
      </w:pPr>
      <w:r w:rsidRPr="00FC0A28">
        <w:rPr>
          <w:b/>
          <w:sz w:val="22"/>
          <w:szCs w:val="22"/>
        </w:rPr>
        <w:t>T</w:t>
      </w:r>
      <w:r w:rsidRPr="00FC0A28">
        <w:rPr>
          <w:b/>
          <w:bCs/>
          <w:sz w:val="22"/>
          <w:szCs w:val="22"/>
        </w:rPr>
        <w:t>he Office of Legislative Affairs</w:t>
      </w:r>
      <w:r w:rsidRPr="00FC0A28">
        <w:rPr>
          <w:sz w:val="22"/>
          <w:szCs w:val="22"/>
        </w:rPr>
        <w:t xml:space="preserve"> serves as the liaison between the FCC and Congress, as well as other Federal agencies.</w:t>
      </w:r>
    </w:p>
    <w:p w:rsidR="00E559C0" w:rsidRPr="00FC0A28" w:rsidP="006072BF" w14:paraId="50E99DC0" w14:textId="77777777">
      <w:pPr>
        <w:numPr>
          <w:ilvl w:val="0"/>
          <w:numId w:val="12"/>
        </w:numPr>
        <w:spacing w:after="260"/>
        <w:ind w:left="360"/>
        <w:jc w:val="both"/>
        <w:rPr>
          <w:sz w:val="22"/>
          <w:szCs w:val="22"/>
        </w:rPr>
      </w:pPr>
      <w:r w:rsidRPr="00FC0A28">
        <w:rPr>
          <w:b/>
          <w:bCs/>
          <w:sz w:val="22"/>
          <w:szCs w:val="22"/>
        </w:rPr>
        <w:t>The Office of the Managing Director</w:t>
      </w:r>
      <w:r w:rsidRPr="00FC0A28">
        <w:rPr>
          <w:sz w:val="22"/>
          <w:szCs w:val="22"/>
        </w:rPr>
        <w:t xml:space="preserve"> administers and manages the FCC.</w:t>
      </w:r>
    </w:p>
    <w:p w:rsidR="00E559C0" w:rsidRPr="00FC0A28" w:rsidP="00652882" w14:paraId="4A317A87" w14:textId="77777777">
      <w:pPr>
        <w:numPr>
          <w:ilvl w:val="0"/>
          <w:numId w:val="12"/>
        </w:numPr>
        <w:spacing w:after="240"/>
        <w:ind w:left="360"/>
        <w:jc w:val="both"/>
        <w:rPr>
          <w:sz w:val="22"/>
          <w:szCs w:val="22"/>
        </w:rPr>
      </w:pPr>
      <w:r w:rsidRPr="00FC0A28">
        <w:rPr>
          <w:b/>
          <w:bCs/>
          <w:sz w:val="22"/>
          <w:szCs w:val="22"/>
        </w:rPr>
        <w:t>The Office of Media Relations</w:t>
      </w:r>
      <w:r w:rsidRPr="00FC0A28">
        <w:rPr>
          <w:sz w:val="22"/>
          <w:szCs w:val="22"/>
        </w:rPr>
        <w:t xml:space="preserve"> informs the media of FCC decisions and serves as the FCC’s main point of contact with the media.</w:t>
      </w:r>
    </w:p>
    <w:p w:rsidR="00E559C0" w:rsidRPr="00FC0A28" w:rsidP="006072BF" w14:paraId="2D047E8D" w14:textId="77777777">
      <w:pPr>
        <w:numPr>
          <w:ilvl w:val="0"/>
          <w:numId w:val="12"/>
        </w:numPr>
        <w:spacing w:after="260"/>
        <w:ind w:left="360"/>
        <w:jc w:val="both"/>
        <w:rPr>
          <w:sz w:val="22"/>
          <w:szCs w:val="22"/>
        </w:rPr>
      </w:pPr>
      <w:r w:rsidRPr="00FC0A28">
        <w:rPr>
          <w:b/>
          <w:sz w:val="22"/>
          <w:szCs w:val="22"/>
        </w:rPr>
        <w:t>The Office of Workplace Diversity</w:t>
      </w:r>
      <w:r w:rsidRPr="00FC0A28">
        <w:rPr>
          <w:sz w:val="22"/>
          <w:szCs w:val="22"/>
        </w:rPr>
        <w:t xml:space="preserve"> develops, coordinates, evaluates, and recommends to the Commission policies, programs, and practices that foster a diverse workforce, and promotes and ensures equal employment opportunity (EEO) for all employees and applicants without regard to race, color, religion, sex (including pregnancy and gender identity), sexual orientation, national origin, age, disability (mental, intellectual, or physical), marital status, parental status, political affiliation, genetic information (including medical history), or any other basis protected by law.</w:t>
      </w:r>
    </w:p>
    <w:p w:rsidR="00E559C0" w:rsidRPr="00C933B2" w:rsidP="00E559C0" w14:paraId="1C9E2EFF" w14:textId="51FA4B77">
      <w:pPr>
        <w:autoSpaceDE w:val="0"/>
        <w:autoSpaceDN w:val="0"/>
        <w:adjustRightInd w:val="0"/>
        <w:jc w:val="both"/>
        <w:rPr>
          <w:sz w:val="22"/>
          <w:szCs w:val="22"/>
        </w:rPr>
      </w:pPr>
      <w:r w:rsidRPr="00114328">
        <w:rPr>
          <w:color w:val="000000"/>
          <w:sz w:val="22"/>
          <w:szCs w:val="22"/>
        </w:rPr>
        <w:t>Additional information on specific Bureau and Office responsibilities can be found in Title 47 of the Code of Federal Regulations and on the Commission’s web site at</w:t>
      </w:r>
      <w:r w:rsidRPr="00BB451D">
        <w:rPr>
          <w:sz w:val="22"/>
          <w:szCs w:val="22"/>
        </w:rPr>
        <w:t>:</w:t>
      </w:r>
      <w:r w:rsidR="00C933B2">
        <w:rPr>
          <w:sz w:val="22"/>
          <w:szCs w:val="22"/>
        </w:rPr>
        <w:t xml:space="preserve"> </w:t>
      </w:r>
      <w:hyperlink r:id="rId15" w:history="1">
        <w:r w:rsidRPr="00027156" w:rsidR="00730EB3">
          <w:rPr>
            <w:rStyle w:val="Hyperlink"/>
            <w:sz w:val="22"/>
            <w:szCs w:val="22"/>
          </w:rPr>
          <w:t>http://www.fcc.gov</w:t>
        </w:r>
      </w:hyperlink>
      <w:r w:rsidRPr="00BB451D">
        <w:rPr>
          <w:sz w:val="22"/>
          <w:szCs w:val="22"/>
        </w:rPr>
        <w:t xml:space="preserve">. </w:t>
      </w:r>
    </w:p>
    <w:p w:rsidR="00E559C0" w:rsidP="00E559C0" w14:paraId="7B7D9ACA" w14:textId="77777777">
      <w:pPr>
        <w:autoSpaceDE w:val="0"/>
        <w:autoSpaceDN w:val="0"/>
        <w:adjustRightInd w:val="0"/>
        <w:jc w:val="both"/>
        <w:rPr>
          <w:color w:val="000000"/>
          <w:sz w:val="22"/>
          <w:szCs w:val="22"/>
        </w:rPr>
        <w:sectPr w:rsidSect="00054929">
          <w:pgSz w:w="12240" w:h="15840" w:code="1"/>
          <w:pgMar w:top="1152" w:right="1440" w:bottom="1152" w:left="1440" w:header="720" w:footer="720" w:gutter="0"/>
          <w:cols w:space="720"/>
        </w:sectPr>
      </w:pPr>
    </w:p>
    <w:p w:rsidR="00E559C0" w:rsidP="004745C2" w14:paraId="1CA83364" w14:textId="77777777">
      <w:pPr>
        <w:pStyle w:val="Heading4"/>
      </w:pPr>
      <w:bookmarkStart w:id="20" w:name="_Toc88780608"/>
      <w:r w:rsidRPr="00DB6FF0">
        <w:t>Organizational Chart</w:t>
      </w:r>
      <w:bookmarkEnd w:id="20"/>
    </w:p>
    <w:p w:rsidR="00E559C0" w:rsidRPr="0048762A" w:rsidP="00B952D8" w14:paraId="58AC9B43" w14:textId="08A64347">
      <w:pPr>
        <w:jc w:val="center"/>
      </w:pPr>
      <w:r>
        <w:rPr>
          <w:noProof/>
        </w:rPr>
        <w:drawing>
          <wp:inline distT="0" distB="0" distL="0" distR="0">
            <wp:extent cx="6126480" cy="7190740"/>
            <wp:effectExtent l="0" t="0" r="7620" b="0"/>
            <wp:docPr id="4" name="Picture 4" descr="An organizational chart showing 6 levels with Commissioners (Jessica Rosenworcel, Chairwoman; Brendan Carr, Geoffrey Starks, Nathan Simington) at the top. On the second level are Office of Inspector General and Office of Administrative Law Judges. On the third level are Office of Engineering and Technology (Electromagnetic Compatibility Division, Laboratory Division, Policy &amp; Rules Division, Administrative Staff), Office of General Counsel (Administrative Law Division, Litigation Division), Office of Managing Director (Human Resources Management, Information Technology Center, Financial Operations, Administrative Operations, Performance Eval. and Record Mgmt Secretary) and Office of Media Relations (Media Services Staff, Internet Services Staff, Audio-Visual Staff). On the fourth level are Office of Communications Business Opportunities, Office of Economics and Analytics (Economic Analysis Division, Auctions Division, Data Division, Industry Analysis Division), Office of Legislative Affairs and Office of Workplace Diversity. On the fifth level are the Consumer and Governmental Affairs Bureau (Admin. &amp; Management Office, Consumer Inquiries &amp; Complaints Division, Consumer Policy Division, Office of Native Affairs &amp; Policy, Reference Information Center, Disability Rights Office, Consumer Affairs &amp; Outreach Division, Office of Intergovernmental Affairs, Web &amp; Print Publishing Division), Wireless Telecommunications Bureau (Management &amp; Resources Staff Technologies, Systems &amp; Innovation Division, Competition &amp; Infrastructure Policy Division, Mobility Division, Broadband Division), Media Bureau (Management &amp; Resources Staff Policy Division, Industry Analysis Division, Audio Division, Video Division), Enforcement Bureau (Office of Management &amp; Resources Telecommunications Consumers Division, Spectrum Enforcement Division, Market Disputes Resolution Division, Investigations &amp; Hearing Division, Fraud Division, Regional &amp; Field Offices). On the sixth level are the Wireline Competition Bureau (Admin. &amp; Mgmt Office, Competition Policy Division, Pricing Policy Division, Telecommunications Access Policy Division), Public Safety (Admin. &amp; Management Office, Policy &amp; Licensing Division, Cybersecurity &amp; Communications Reliability Division, Operations &amp; Emergency Management Division) and Homeland Security Bureau and International Bureau (Management &amp; Administrative Staff, Telecommunications &amp; Analysis Division, Satellite Division, Global Strategy &amp; Negotiation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organizational chart showing 6 levels with Commissioners (Jessica Rosenworcel, Chairwoman; Brendan Carr, Geoffrey Starks, Nathan Simington) at the top. On the second level are Office of Inspector General and Office of Administrative Law Judges. On the third level are Office of Engineering and Technology (Electromagnetic Compatibility Division, Laboratory Division, Policy &amp; Rules Division, Administrative Staff), Office of General Counsel (Administrative Law Division, Litigation Division), Office of Managing Director (Human Resources Management, Information Technology Center, Financial Operations, Administrative Operations, Performance Eval. and Record Mgmt Secretary) and Office of Media Relations (Media Services Staff, Internet Services Staff, Audio-Visual Staff). On the fourth level are Office of Communications Business Opportunities, Office of Economics and Analytics (Economic Analysis Division, Auctions Division, Data Division, Industry Analysis Division), Office of Legislative Affairs and Office of Workplace Diversity. On the fifth level are the Consumer and Governmental Affairs Bureau (Admin. &amp; Management Office, Consumer Inquiries &amp; Complaints Division, Consumer Policy Division, Office of Native Affairs &amp; Policy, Reference Information Center, Disability Rights Office, Consumer Affairs &amp; Outreach Division, Office of Intergovernmental Affairs, Web &amp; Print Publishing Division), Wireless Telecommunications Bureau (Management &amp; Resources Staff Technologies, Systems &amp; Innovation Division, Competition &amp; Infrastructure Policy Division, Mobility Division, Broadband Division), Media Bureau (Management &amp; Resources Staff Policy Division, Industry Analysis Division, Audio Division, Video Division), Enforcement Bureau (Office of Management &amp; Resources Telecommunications Consumers Division, Spectrum Enforcement Division, Market Disputes Resolution Division, Investigations &amp; Hearing Division, Fraud Division, Regional &amp; Field Offices). On the sixth level are the Wireline Competition Bureau (Admin. &amp; Mgmt Office, Competition Policy Division, Pricing Policy Division, Telecommunications Access Policy Division), Public Safety (Admin. &amp; Management Office, Policy &amp; Licensing Division, Cybersecurity &amp; Communications Reliability Division, Operations &amp; Emergency Management Division) and Homeland Security Bureau and International Bureau (Management &amp; Administrative Staff, Telecommunications &amp; Analysis Division, Satellite Division, Global Strategy &amp; Negotiation Division)."/>
                    <pic:cNvPicPr/>
                  </pic:nvPicPr>
                  <pic:blipFill>
                    <a:blip xmlns:r="http://schemas.openxmlformats.org/officeDocument/2006/relationships" r:embed="rId16"/>
                    <a:stretch>
                      <a:fillRect/>
                    </a:stretch>
                  </pic:blipFill>
                  <pic:spPr>
                    <a:xfrm>
                      <a:off x="0" y="0"/>
                      <a:ext cx="6126480" cy="7190740"/>
                    </a:xfrm>
                    <a:prstGeom prst="rect">
                      <a:avLst/>
                    </a:prstGeom>
                  </pic:spPr>
                </pic:pic>
              </a:graphicData>
            </a:graphic>
          </wp:inline>
        </w:drawing>
      </w:r>
    </w:p>
    <w:p w:rsidR="00E559C0" w:rsidRPr="00B95994" w:rsidP="00E559C0" w14:paraId="70CD308E" w14:textId="77777777">
      <w:pPr>
        <w:autoSpaceDE w:val="0"/>
        <w:autoSpaceDN w:val="0"/>
        <w:adjustRightInd w:val="0"/>
        <w:rPr>
          <w:b/>
          <w:bCs/>
          <w:szCs w:val="24"/>
        </w:rPr>
        <w:sectPr w:rsidSect="00AC364F">
          <w:headerReference w:type="default" r:id="rId17"/>
          <w:footerReference w:type="default" r:id="rId18"/>
          <w:pgSz w:w="12240" w:h="15840" w:code="1"/>
          <w:pgMar w:top="1152" w:right="1296" w:bottom="1152" w:left="1296" w:header="720" w:footer="720" w:gutter="0"/>
          <w:cols w:space="720"/>
        </w:sectPr>
      </w:pPr>
    </w:p>
    <w:p w:rsidR="00E559C0" w:rsidRPr="00FA2145" w:rsidP="004745C2" w14:paraId="0ACCA1EA" w14:textId="77777777">
      <w:pPr>
        <w:pStyle w:val="Heading4"/>
      </w:pPr>
      <w:bookmarkStart w:id="21" w:name="_Toc88780609"/>
      <w:r w:rsidRPr="00DB6FF0">
        <w:t>Map of FCC Enforcement Bureau’s Field Offices</w:t>
      </w:r>
      <w:bookmarkEnd w:id="21"/>
    </w:p>
    <w:p w:rsidR="00E559C0" w:rsidRPr="00CE2556" w:rsidP="00CE2556" w14:paraId="3DA91446" w14:textId="77777777">
      <w:r>
        <w:rPr>
          <w:noProof/>
        </w:rPr>
        <w:drawing>
          <wp:inline distT="0" distB="0" distL="0" distR="0">
            <wp:extent cx="5871210" cy="4352925"/>
            <wp:effectExtent l="0" t="0" r="0" b="0"/>
            <wp:docPr id="30" name="Picture 30" descr="Illustration depicting map of FCC Enforcement Bureau's field offices. The map is categorized in three regions, Region 1, 2 and 3. Region 1 comprises of Boston, NYC, Chicago and Columbia (HQ) and (MD), region 2 of Atlanta (HQ), Dallas, New Orleans, Miami and San Juan and region 3 of Portland, San Francisco, Los Angeles (HQ), Denver, Anchorage and Honolulu. Office in in 250 mi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llustration depicting map of FCC Enforcement Bureau's field offices. The map is categorized in three regions, Region 1, 2 and 3. Region 1 comprises of Boston, NYC, Chicago and Columbia (HQ) and (MD), region 2 of Atlanta (HQ), Dallas, New Orleans, Miami and San Juan and region 3 of Portland, San Francisco, Los Angeles (HQ), Denver, Anchorage and Honolulu. Office in in 250 mi radius."/>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871210" cy="4352925"/>
                    </a:xfrm>
                    <a:prstGeom prst="rect">
                      <a:avLst/>
                    </a:prstGeom>
                    <a:noFill/>
                  </pic:spPr>
                </pic:pic>
              </a:graphicData>
            </a:graphic>
          </wp:inline>
        </w:drawing>
      </w:r>
    </w:p>
    <w:p w:rsidR="00E559C0" w:rsidRPr="00767B4F" w:rsidP="00767B4F" w14:paraId="5B22F9B3" w14:textId="66C75B26">
      <w:pPr>
        <w:spacing w:before="240"/>
        <w:jc w:val="both"/>
        <w:rPr>
          <w:bCs/>
          <w:sz w:val="22"/>
          <w:szCs w:val="22"/>
        </w:rPr>
      </w:pPr>
      <w:r>
        <w:rPr>
          <w:sz w:val="22"/>
          <w:szCs w:val="22"/>
        </w:rPr>
        <w:t>Note:</w:t>
      </w:r>
      <w:r w:rsidR="00C933B2">
        <w:rPr>
          <w:sz w:val="22"/>
          <w:szCs w:val="22"/>
        </w:rPr>
        <w:t xml:space="preserve"> </w:t>
      </w:r>
      <w:r w:rsidRPr="0089240C">
        <w:rPr>
          <w:sz w:val="22"/>
          <w:szCs w:val="22"/>
        </w:rPr>
        <w:t>T</w:t>
      </w:r>
      <w:r w:rsidRPr="0089240C">
        <w:rPr>
          <w:bCs/>
          <w:sz w:val="22"/>
          <w:szCs w:val="22"/>
        </w:rPr>
        <w:t xml:space="preserve">he San Juan and Anchorage offices are not </w:t>
      </w:r>
      <w:r>
        <w:rPr>
          <w:bCs/>
          <w:sz w:val="22"/>
          <w:szCs w:val="22"/>
        </w:rPr>
        <w:t>staffed</w:t>
      </w:r>
      <w:r w:rsidRPr="0089240C">
        <w:rPr>
          <w:bCs/>
          <w:sz w:val="22"/>
          <w:szCs w:val="22"/>
        </w:rPr>
        <w:t xml:space="preserve"> by Full-Time Equivalents (FTEs) on a regular basis</w:t>
      </w:r>
      <w:r>
        <w:rPr>
          <w:bCs/>
          <w:sz w:val="22"/>
          <w:szCs w:val="22"/>
        </w:rPr>
        <w:t>.</w:t>
      </w:r>
    </w:p>
    <w:p w:rsidR="00E559C0" w:rsidRPr="001629B9" w:rsidP="001629B9" w14:paraId="05A61997" w14:textId="77777777">
      <w:pPr>
        <w:rPr>
          <w:highlight w:val="green"/>
        </w:rPr>
        <w:sectPr w:rsidSect="0047257B">
          <w:headerReference w:type="even" r:id="rId20"/>
          <w:headerReference w:type="default" r:id="rId21"/>
          <w:footerReference w:type="even" r:id="rId22"/>
          <w:footerReference w:type="default" r:id="rId23"/>
          <w:headerReference w:type="first" r:id="rId24"/>
          <w:pgSz w:w="12240" w:h="15840" w:code="1"/>
          <w:pgMar w:top="1260" w:right="1440" w:bottom="1152" w:left="1440" w:header="720" w:footer="720" w:gutter="0"/>
          <w:cols w:space="720"/>
        </w:sectPr>
      </w:pPr>
      <w:bookmarkStart w:id="22" w:name="_Toc467000225"/>
      <w:bookmarkEnd w:id="13"/>
    </w:p>
    <w:p w:rsidR="00E559C0" w:rsidRPr="008C10DD" w:rsidP="004745C2" w14:paraId="50305A6B" w14:textId="5D904838">
      <w:pPr>
        <w:pStyle w:val="Heading4"/>
      </w:pPr>
      <w:bookmarkStart w:id="23" w:name="_Toc88780610"/>
      <w:r w:rsidRPr="00DB6FF0">
        <w:t>Strategic Goals and Objectives</w:t>
      </w:r>
      <w:bookmarkEnd w:id="22"/>
      <w:bookmarkEnd w:id="23"/>
    </w:p>
    <w:p w:rsidR="00E559C0" w:rsidRPr="00FD21F3" w:rsidP="007C4903" w14:paraId="1049B160" w14:textId="18C304DA">
      <w:pPr>
        <w:spacing w:after="240"/>
        <w:jc w:val="both"/>
        <w:rPr>
          <w:sz w:val="22"/>
          <w:szCs w:val="22"/>
        </w:rPr>
      </w:pPr>
      <w:r w:rsidRPr="00FD21F3">
        <w:rPr>
          <w:sz w:val="22"/>
          <w:szCs w:val="22"/>
        </w:rPr>
        <w:t>The FCC is responsible to Congress and the American people for developing a regulatory environment to encourage the private sector to build, maintain, and upgrade next-generation networks so that the benefits of advanced communications services are available to all Americans.</w:t>
      </w:r>
      <w:r w:rsidRPr="00FD21F3" w:rsidR="00C933B2">
        <w:rPr>
          <w:sz w:val="22"/>
          <w:szCs w:val="22"/>
        </w:rPr>
        <w:t xml:space="preserve"> </w:t>
      </w:r>
      <w:r w:rsidRPr="00FD21F3">
        <w:rPr>
          <w:sz w:val="22"/>
          <w:szCs w:val="22"/>
        </w:rPr>
        <w:t>The FCC will work to foster a competitive, dynamic, and innovative market for communications services through policies that promote the introduction of new technologies and services and ensure that Commission actions promote entrepreneurship and remove barriers to entry and investment.</w:t>
      </w:r>
      <w:r w:rsidRPr="00FD21F3" w:rsidR="00C933B2">
        <w:rPr>
          <w:sz w:val="22"/>
          <w:szCs w:val="22"/>
        </w:rPr>
        <w:t xml:space="preserve"> </w:t>
      </w:r>
      <w:r w:rsidRPr="00FD21F3">
        <w:rPr>
          <w:sz w:val="22"/>
          <w:szCs w:val="22"/>
        </w:rPr>
        <w:t>The Commission will also strive to develop policies that promote the public interest, improve the quality of communications services available to those with disabilities, and protect public safety.</w:t>
      </w:r>
      <w:r w:rsidRPr="00FD21F3" w:rsidR="00C933B2">
        <w:rPr>
          <w:sz w:val="22"/>
          <w:szCs w:val="22"/>
        </w:rPr>
        <w:t xml:space="preserve"> </w:t>
      </w:r>
      <w:r w:rsidRPr="00FD21F3">
        <w:rPr>
          <w:sz w:val="22"/>
          <w:szCs w:val="22"/>
        </w:rPr>
        <w:t xml:space="preserve">The FCC will continue to improve its processes to deliver on the needs of today and the future in a more proactive and efficient manner. </w:t>
      </w:r>
    </w:p>
    <w:p w:rsidR="00E559C0" w:rsidP="007C4903" w14:paraId="385415AA" w14:textId="21C9B291">
      <w:pPr>
        <w:spacing w:after="240"/>
        <w:jc w:val="both"/>
        <w:rPr>
          <w:sz w:val="22"/>
          <w:szCs w:val="22"/>
        </w:rPr>
      </w:pPr>
      <w:r>
        <w:rPr>
          <w:sz w:val="22"/>
          <w:szCs w:val="22"/>
        </w:rPr>
        <w:t xml:space="preserve">The FCC’s FY 2021 Agency Financial Report reflects the strategic and performance goals included in the FCC's FY 2021 Budget proposal, which contains the FCC's FY 2021 performance plan, and was submitted to Congress in February of 2020, prior to Chairwoman </w:t>
      </w:r>
      <w:r>
        <w:rPr>
          <w:sz w:val="22"/>
          <w:szCs w:val="22"/>
        </w:rPr>
        <w:t>Rosenworcel’s</w:t>
      </w:r>
      <w:r>
        <w:rPr>
          <w:sz w:val="22"/>
          <w:szCs w:val="22"/>
        </w:rPr>
        <w:t xml:space="preserve"> tenure as the FCC's agency head. Pursuant to the GPRA Modernization Act of 2010, P.L. 111-352, and OMB Circular A-11, the FCC has updated its strategic and performance goals since the Presidential transition in January of 2021 to reflect the priorities of the administration of the FCC under its new Chairwoman.</w:t>
      </w:r>
      <w:r w:rsidR="00C933B2">
        <w:rPr>
          <w:sz w:val="22"/>
          <w:szCs w:val="22"/>
        </w:rPr>
        <w:t xml:space="preserve"> </w:t>
      </w:r>
    </w:p>
    <w:p w:rsidR="00E559C0" w:rsidRPr="00984F23" w:rsidP="00F93B8B" w14:paraId="1E2A02D0" w14:textId="5BCD3F8D">
      <w:pPr>
        <w:spacing w:after="320"/>
        <w:jc w:val="both"/>
        <w:rPr>
          <w:spacing w:val="2"/>
          <w:sz w:val="22"/>
          <w:szCs w:val="22"/>
        </w:rPr>
      </w:pPr>
      <w:r w:rsidRPr="00984F23">
        <w:rPr>
          <w:spacing w:val="2"/>
          <w:sz w:val="22"/>
          <w:szCs w:val="22"/>
        </w:rPr>
        <w:t>The new strategic goals, which can be found in the performance plan section of the FCC's FY 2022 Budget proposal, include:</w:t>
      </w:r>
      <w:r w:rsidRPr="00984F23" w:rsidR="00C933B2">
        <w:rPr>
          <w:spacing w:val="2"/>
          <w:sz w:val="22"/>
          <w:szCs w:val="22"/>
        </w:rPr>
        <w:t xml:space="preserve"> </w:t>
      </w:r>
      <w:r w:rsidRPr="00984F23">
        <w:rPr>
          <w:spacing w:val="2"/>
          <w:sz w:val="22"/>
          <w:szCs w:val="22"/>
        </w:rPr>
        <w:t>Pursue a “100 Percent” Broadband Policy; Promote Diversity, Equity, Inclusion, and Accessibility; Empower Consumers</w:t>
      </w:r>
      <w:r w:rsidRPr="00984F23" w:rsidR="00AC0505">
        <w:rPr>
          <w:spacing w:val="2"/>
          <w:sz w:val="22"/>
          <w:szCs w:val="22"/>
        </w:rPr>
        <w:t xml:space="preserve">; </w:t>
      </w:r>
      <w:r w:rsidRPr="00984F23">
        <w:rPr>
          <w:spacing w:val="2"/>
          <w:sz w:val="22"/>
          <w:szCs w:val="22"/>
        </w:rPr>
        <w:t>Enhance Public Safety and National Security; Advance America’s Global Competitiveness; and Foster Operational Excellence.</w:t>
      </w:r>
      <w:r w:rsidRPr="00984F23" w:rsidR="00C933B2">
        <w:rPr>
          <w:spacing w:val="2"/>
          <w:sz w:val="22"/>
          <w:szCs w:val="22"/>
        </w:rPr>
        <w:t xml:space="preserve"> </w:t>
      </w:r>
      <w:r w:rsidRPr="00984F23">
        <w:rPr>
          <w:spacing w:val="2"/>
          <w:sz w:val="22"/>
          <w:szCs w:val="22"/>
        </w:rPr>
        <w:t>For additional information on the FCC's new goals, please see the FCC's FY 2022 Budget proposal, which is available at:</w:t>
      </w:r>
      <w:r w:rsidRPr="00984F23" w:rsidR="00C933B2">
        <w:rPr>
          <w:spacing w:val="2"/>
          <w:sz w:val="22"/>
          <w:szCs w:val="22"/>
        </w:rPr>
        <w:t xml:space="preserve"> </w:t>
      </w:r>
      <w:hyperlink r:id="rId14" w:history="1">
        <w:r w:rsidRPr="004F7D9D">
          <w:rPr>
            <w:rStyle w:val="Hyperlink"/>
            <w:spacing w:val="2"/>
            <w:sz w:val="22"/>
            <w:szCs w:val="22"/>
          </w:rPr>
          <w:t>https://www.fcc.gov/about/strategic-plans-budget</w:t>
        </w:r>
      </w:hyperlink>
      <w:r w:rsidRPr="00984F23">
        <w:rPr>
          <w:spacing w:val="2"/>
          <w:sz w:val="22"/>
          <w:szCs w:val="22"/>
        </w:rPr>
        <w:t>.</w:t>
      </w:r>
      <w:r w:rsidRPr="00984F23" w:rsidR="00C933B2">
        <w:rPr>
          <w:spacing w:val="2"/>
          <w:sz w:val="22"/>
          <w:szCs w:val="22"/>
        </w:rPr>
        <w:t xml:space="preserve"> </w:t>
      </w:r>
      <w:r w:rsidRPr="00984F23">
        <w:rPr>
          <w:spacing w:val="2"/>
          <w:sz w:val="22"/>
          <w:szCs w:val="22"/>
        </w:rPr>
        <w:t xml:space="preserve">The FCC has already made significant progress in FY 2021 towards implementing Chairwoman </w:t>
      </w:r>
      <w:r w:rsidRPr="00984F23">
        <w:rPr>
          <w:spacing w:val="2"/>
          <w:sz w:val="22"/>
          <w:szCs w:val="22"/>
        </w:rPr>
        <w:t>Rosenworcel’s</w:t>
      </w:r>
      <w:r w:rsidRPr="00984F23">
        <w:rPr>
          <w:spacing w:val="2"/>
          <w:sz w:val="22"/>
          <w:szCs w:val="22"/>
        </w:rPr>
        <w:t xml:space="preserve"> priorities.</w:t>
      </w:r>
      <w:r w:rsidRPr="00984F23" w:rsidR="00C933B2">
        <w:rPr>
          <w:spacing w:val="2"/>
          <w:sz w:val="22"/>
          <w:szCs w:val="22"/>
        </w:rPr>
        <w:t xml:space="preserve"> </w:t>
      </w:r>
      <w:r w:rsidRPr="00984F23">
        <w:rPr>
          <w:spacing w:val="2"/>
          <w:sz w:val="22"/>
          <w:szCs w:val="22"/>
        </w:rPr>
        <w:t>However, for the purposes of reporting on its activities in FY 2021, the FCC is presenting the performance information under the goals as they existed in the FCC's FY 2021 performance plan in accordance with OMB reporting guidelines. The FCC’s new goals will be reflected next year in the FCC’s Agency Financial Report for FY 2022.</w:t>
      </w:r>
      <w:r w:rsidRPr="00984F23" w:rsidR="00C933B2">
        <w:rPr>
          <w:spacing w:val="2"/>
          <w:sz w:val="22"/>
          <w:szCs w:val="22"/>
        </w:rPr>
        <w:t xml:space="preserve"> </w:t>
      </w:r>
      <w:r w:rsidRPr="00984F23">
        <w:rPr>
          <w:spacing w:val="2"/>
          <w:sz w:val="22"/>
          <w:szCs w:val="22"/>
        </w:rPr>
        <w:t>For FY 2021, the FCC, in accordance with its statutory authority and mission, established the following four strategic goals:</w:t>
      </w:r>
    </w:p>
    <w:p w:rsidR="00E559C0" w:rsidRPr="001A427B" w:rsidP="00F407D3" w14:paraId="2EB3191D" w14:textId="2378C429">
      <w:pPr>
        <w:pStyle w:val="Heading5"/>
      </w:pPr>
      <w:bookmarkStart w:id="24" w:name="_Toc88780611"/>
      <w:r w:rsidRPr="001A427B">
        <w:t>Strategic Goal 1:</w:t>
      </w:r>
      <w:r w:rsidRPr="001A427B" w:rsidR="00C933B2">
        <w:t xml:space="preserve"> </w:t>
      </w:r>
      <w:r w:rsidRPr="001A427B">
        <w:t>Closing the Digital Divide</w:t>
      </w:r>
      <w:bookmarkEnd w:id="24"/>
    </w:p>
    <w:p w:rsidR="00E559C0" w:rsidRPr="00E43B97" w:rsidP="00F93B8B" w14:paraId="0907FD7B" w14:textId="42BCB7AF">
      <w:pPr>
        <w:spacing w:after="300"/>
        <w:jc w:val="both"/>
        <w:rPr>
          <w:spacing w:val="2"/>
          <w:sz w:val="22"/>
          <w:szCs w:val="22"/>
        </w:rPr>
      </w:pPr>
      <w:r w:rsidRPr="00E43B97">
        <w:rPr>
          <w:i/>
          <w:spacing w:val="2"/>
          <w:sz w:val="22"/>
          <w:szCs w:val="22"/>
        </w:rPr>
        <w:t>Develop a regulatory environment to encourage the private sector to build, maintain, and upgrade next-generation networks so that the benefits of advanced communications services are available to all Americans.</w:t>
      </w:r>
      <w:r w:rsidRPr="00E43B97" w:rsidR="00C933B2">
        <w:rPr>
          <w:i/>
          <w:spacing w:val="2"/>
          <w:sz w:val="22"/>
          <w:szCs w:val="22"/>
        </w:rPr>
        <w:t xml:space="preserve"> </w:t>
      </w:r>
      <w:r w:rsidRPr="00E43B97">
        <w:rPr>
          <w:i/>
          <w:spacing w:val="2"/>
          <w:sz w:val="22"/>
          <w:szCs w:val="22"/>
        </w:rPr>
        <w:t>Where the business case for infrastructure investment doesn’t exist, employ effective and efficient means to facilitate deployment and access to affordable broadband in all areas of the country.</w:t>
      </w:r>
      <w:r w:rsidRPr="00E43B97" w:rsidR="00C933B2">
        <w:rPr>
          <w:spacing w:val="2"/>
          <w:sz w:val="22"/>
          <w:szCs w:val="22"/>
        </w:rPr>
        <w:t xml:space="preserve"> </w:t>
      </w:r>
    </w:p>
    <w:p w:rsidR="00E559C0" w:rsidRPr="00733D97" w:rsidP="00F407D3" w14:paraId="5609A3B8" w14:textId="506FFAEB">
      <w:pPr>
        <w:pStyle w:val="Heading5"/>
      </w:pPr>
      <w:bookmarkStart w:id="25" w:name="_Toc88780612"/>
      <w:r w:rsidRPr="00733D97">
        <w:t>Strategic Goal 2:</w:t>
      </w:r>
      <w:r w:rsidR="00C933B2">
        <w:t xml:space="preserve"> </w:t>
      </w:r>
      <w:r w:rsidRPr="00733D97">
        <w:t>Pro</w:t>
      </w:r>
      <w:r>
        <w:t>moting Innovation</w:t>
      </w:r>
      <w:bookmarkEnd w:id="25"/>
    </w:p>
    <w:p w:rsidR="00E559C0" w:rsidRPr="000D17FF" w:rsidP="007C4903" w14:paraId="41B7B762" w14:textId="77A8590F">
      <w:pPr>
        <w:spacing w:after="240"/>
        <w:jc w:val="both"/>
        <w:rPr>
          <w:sz w:val="22"/>
          <w:szCs w:val="22"/>
        </w:rPr>
      </w:pPr>
      <w:r>
        <w:rPr>
          <w:i/>
          <w:sz w:val="22"/>
          <w:szCs w:val="22"/>
        </w:rPr>
        <w:t>Foster a competitive, dynamic, and innovative market for communications services through policies that promote the introduction of new technologies and services.</w:t>
      </w:r>
      <w:r w:rsidR="00C933B2">
        <w:rPr>
          <w:i/>
          <w:sz w:val="22"/>
          <w:szCs w:val="22"/>
        </w:rPr>
        <w:t xml:space="preserve"> </w:t>
      </w:r>
      <w:r>
        <w:rPr>
          <w:i/>
          <w:sz w:val="22"/>
          <w:szCs w:val="22"/>
        </w:rPr>
        <w:t>Ensure that the FCC’s actions and regulations reflect the realities of the current marketplace, promote entrepreneurship, expand economic opportunity, and remove barriers to entry and investment.</w:t>
      </w:r>
      <w:r w:rsidR="00C933B2">
        <w:rPr>
          <w:i/>
          <w:sz w:val="22"/>
          <w:szCs w:val="22"/>
        </w:rPr>
        <w:t xml:space="preserve"> </w:t>
      </w:r>
    </w:p>
    <w:p w:rsidR="00E559C0" w:rsidRPr="00733D97" w:rsidP="00F407D3" w14:paraId="4E9A770D" w14:textId="3DEC9087">
      <w:pPr>
        <w:pStyle w:val="Heading5"/>
      </w:pPr>
      <w:bookmarkStart w:id="26" w:name="_Toc88780613"/>
      <w:r w:rsidRPr="00733D97">
        <w:t>Strategic Goal 3:</w:t>
      </w:r>
      <w:r w:rsidR="00C933B2">
        <w:t xml:space="preserve"> </w:t>
      </w:r>
      <w:r>
        <w:t>Protecting Consumers and Public Safety</w:t>
      </w:r>
      <w:bookmarkEnd w:id="26"/>
    </w:p>
    <w:p w:rsidR="00E559C0" w:rsidP="00E13BDA" w14:paraId="2B79F629" w14:textId="77777777">
      <w:pPr>
        <w:spacing w:after="600"/>
        <w:jc w:val="both"/>
        <w:rPr>
          <w:i/>
          <w:sz w:val="22"/>
          <w:szCs w:val="22"/>
        </w:rPr>
      </w:pPr>
      <w:r>
        <w:rPr>
          <w:i/>
          <w:sz w:val="22"/>
          <w:szCs w:val="22"/>
        </w:rPr>
        <w:t>Develop policies that promote the public interest by providing consumers with freedom from unwanted and intrusive communications, improving the quality of communications services available to those with disabilities, and protecting public safety.</w:t>
      </w:r>
    </w:p>
    <w:p w:rsidR="00E559C0" w:rsidRPr="00733D97" w:rsidP="00F407D3" w14:paraId="12F9C481" w14:textId="147A20CD">
      <w:pPr>
        <w:pStyle w:val="Heading5"/>
      </w:pPr>
      <w:bookmarkStart w:id="27" w:name="_Toc88780614"/>
      <w:r>
        <w:t>Strategic Goal 4:</w:t>
      </w:r>
      <w:r w:rsidR="00C933B2">
        <w:t xml:space="preserve"> </w:t>
      </w:r>
      <w:r>
        <w:t>Reforming the FCC’s Processes</w:t>
      </w:r>
      <w:bookmarkEnd w:id="27"/>
    </w:p>
    <w:p w:rsidR="00E559C0" w:rsidRPr="00E36FA2" w:rsidP="00AA75FC" w14:paraId="412E4B16" w14:textId="4214B64D">
      <w:pPr>
        <w:spacing w:after="520"/>
        <w:jc w:val="both"/>
        <w:rPr>
          <w:i/>
          <w:sz w:val="22"/>
          <w:szCs w:val="22"/>
        </w:rPr>
      </w:pPr>
      <w:r w:rsidRPr="000D17FF">
        <w:rPr>
          <w:i/>
          <w:sz w:val="22"/>
          <w:szCs w:val="22"/>
        </w:rPr>
        <w:t>M</w:t>
      </w:r>
      <w:r>
        <w:rPr>
          <w:i/>
          <w:sz w:val="22"/>
          <w:szCs w:val="22"/>
        </w:rPr>
        <w:t>odernize and streamline the FCC’s operations and programs to increase transparency, improve decision-making, build consensus, reduce regulatory burdens, and simplify the public’s interactions with the agency.</w:t>
      </w:r>
    </w:p>
    <w:p w:rsidR="00E559C0" w:rsidRPr="00FA2145" w:rsidP="00AA75FC" w14:paraId="6157F92A" w14:textId="0C55F8AE">
      <w:pPr>
        <w:pStyle w:val="Heading4"/>
        <w:spacing w:after="200"/>
      </w:pPr>
      <w:bookmarkStart w:id="28" w:name="_Toc88780615"/>
      <w:r w:rsidRPr="00DB6FF0">
        <w:t>Strategies &amp; Resources to Achieve Goals</w:t>
      </w:r>
      <w:bookmarkEnd w:id="28"/>
      <w:r w:rsidR="00C933B2">
        <w:t xml:space="preserve"> </w:t>
      </w:r>
    </w:p>
    <w:p w:rsidR="00E559C0" w:rsidP="007B0CA9" w14:paraId="73923E69" w14:textId="45C7BB2D">
      <w:pPr>
        <w:spacing w:after="580"/>
        <w:jc w:val="both"/>
        <w:rPr>
          <w:sz w:val="22"/>
          <w:szCs w:val="22"/>
        </w:rPr>
      </w:pPr>
      <w:r>
        <w:rPr>
          <w:sz w:val="22"/>
          <w:szCs w:val="22"/>
        </w:rPr>
        <w:t>The Commission has identified strategies and resources to achieve its performance goals for each strategic goal.</w:t>
      </w:r>
      <w:r w:rsidR="00C933B2">
        <w:rPr>
          <w:sz w:val="22"/>
          <w:szCs w:val="22"/>
        </w:rPr>
        <w:t xml:space="preserve"> </w:t>
      </w:r>
      <w:r>
        <w:rPr>
          <w:sz w:val="22"/>
          <w:szCs w:val="22"/>
        </w:rPr>
        <w:t>Details on the Commission’s strategies and resources for achieving its strategic goals are included in the Commission’s strategic plan at:</w:t>
      </w:r>
      <w:r w:rsidR="00C933B2">
        <w:rPr>
          <w:sz w:val="22"/>
          <w:szCs w:val="22"/>
        </w:rPr>
        <w:t xml:space="preserve"> </w:t>
      </w:r>
      <w:hyperlink r:id="rId14" w:history="1">
        <w:r>
          <w:rPr>
            <w:rStyle w:val="Hyperlink"/>
            <w:sz w:val="22"/>
            <w:szCs w:val="22"/>
          </w:rPr>
          <w:t>https://www.fcc.gov/about/strategic-plans-budget</w:t>
        </w:r>
      </w:hyperlink>
      <w:r w:rsidRPr="00BB451D">
        <w:rPr>
          <w:sz w:val="22"/>
          <w:szCs w:val="22"/>
        </w:rPr>
        <w:t xml:space="preserve">. </w:t>
      </w:r>
    </w:p>
    <w:p w:rsidR="00E559C0" w:rsidP="001A427B" w14:paraId="3462528A" w14:textId="77777777">
      <w:pPr>
        <w:pStyle w:val="Heading4"/>
      </w:pPr>
      <w:bookmarkStart w:id="29" w:name="_Toc88780616"/>
      <w:r w:rsidRPr="00DD60E7">
        <w:t>Components of the Commission for Financial Statements Purposes</w:t>
      </w:r>
      <w:bookmarkEnd w:id="29"/>
    </w:p>
    <w:p w:rsidR="00E559C0" w:rsidRPr="00F6775A" w:rsidP="007B0CA9" w14:paraId="5340F07E" w14:textId="77777777">
      <w:pPr>
        <w:autoSpaceDE w:val="0"/>
        <w:autoSpaceDN w:val="0"/>
        <w:adjustRightInd w:val="0"/>
        <w:spacing w:after="260"/>
        <w:jc w:val="both"/>
        <w:rPr>
          <w:sz w:val="22"/>
          <w:szCs w:val="22"/>
        </w:rPr>
      </w:pPr>
      <w:r w:rsidRPr="00F6775A">
        <w:rPr>
          <w:sz w:val="22"/>
          <w:szCs w:val="22"/>
        </w:rPr>
        <w:t>In addition to the activities directly undertaken by the above bureaus and offices, the Commission’s components for financial statement purposes include:</w:t>
      </w:r>
    </w:p>
    <w:p w:rsidR="00E559C0" w:rsidRPr="00144A34" w:rsidP="00A26E7B" w14:paraId="0EA48927" w14:textId="77A02910">
      <w:pPr>
        <w:autoSpaceDE w:val="0"/>
        <w:autoSpaceDN w:val="0"/>
        <w:adjustRightInd w:val="0"/>
        <w:spacing w:after="240"/>
        <w:jc w:val="both"/>
        <w:rPr>
          <w:sz w:val="22"/>
          <w:szCs w:val="22"/>
        </w:rPr>
      </w:pPr>
      <w:r w:rsidRPr="00144A34">
        <w:rPr>
          <w:bCs/>
          <w:i/>
          <w:iCs/>
          <w:sz w:val="22"/>
          <w:szCs w:val="22"/>
          <w:u w:val="single"/>
        </w:rPr>
        <w:t>Universal Service Fund (USF)</w:t>
      </w:r>
      <w:r w:rsidRPr="00144A34">
        <w:rPr>
          <w:bCs/>
          <w:iCs/>
          <w:sz w:val="22"/>
          <w:szCs w:val="22"/>
        </w:rPr>
        <w:t xml:space="preserve"> – </w:t>
      </w:r>
      <w:r w:rsidRPr="00144A34">
        <w:rPr>
          <w:sz w:val="22"/>
          <w:szCs w:val="22"/>
        </w:rPr>
        <w:t>The Telecommunications Act of 1996, amended the Communications Act of 1934 to codify and modify the Commission’s longstanding policy of promoting universal telecommunications service throughout the nation.</w:t>
      </w:r>
      <w:r>
        <w:rPr>
          <w:sz w:val="22"/>
          <w:szCs w:val="22"/>
          <w:vertAlign w:val="superscript"/>
        </w:rPr>
        <w:footnoteReference w:id="5"/>
      </w:r>
      <w:r w:rsidRPr="00144A34" w:rsidR="00C933B2">
        <w:rPr>
          <w:sz w:val="22"/>
          <w:szCs w:val="22"/>
        </w:rPr>
        <w:t xml:space="preserve"> </w:t>
      </w:r>
      <w:r w:rsidRPr="00144A34">
        <w:rPr>
          <w:sz w:val="22"/>
          <w:szCs w:val="22"/>
        </w:rPr>
        <w:t>Pursuant to section 254(d) of the Act, the Commission established rules and regulations governing how certain telecommunications service providers contribute to the USF and how those monies are disbursed.</w:t>
      </w:r>
      <w:r>
        <w:rPr>
          <w:sz w:val="22"/>
          <w:szCs w:val="22"/>
          <w:vertAlign w:val="superscript"/>
        </w:rPr>
        <w:footnoteReference w:id="6"/>
      </w:r>
      <w:r w:rsidRPr="00144A34" w:rsidR="00C933B2">
        <w:rPr>
          <w:sz w:val="22"/>
          <w:szCs w:val="22"/>
        </w:rPr>
        <w:t xml:space="preserve"> </w:t>
      </w:r>
      <w:r w:rsidRPr="00144A34">
        <w:rPr>
          <w:sz w:val="22"/>
          <w:szCs w:val="22"/>
        </w:rPr>
        <w:t>For budgetary purposes, for FY 2019 and prior years, the USF comprised five elements that consisted of the four USF programs and the Telecommunications Relay Service (TRS) Fund.</w:t>
      </w:r>
      <w:r w:rsidRPr="00144A34" w:rsidR="00C933B2">
        <w:rPr>
          <w:sz w:val="22"/>
          <w:szCs w:val="22"/>
        </w:rPr>
        <w:t xml:space="preserve"> </w:t>
      </w:r>
      <w:r w:rsidRPr="00144A34">
        <w:rPr>
          <w:sz w:val="22"/>
          <w:szCs w:val="22"/>
        </w:rPr>
        <w:t>The four USF programs include:</w:t>
      </w:r>
      <w:r w:rsidRPr="00144A34" w:rsidR="00C933B2">
        <w:rPr>
          <w:sz w:val="22"/>
          <w:szCs w:val="22"/>
        </w:rPr>
        <w:t xml:space="preserve"> </w:t>
      </w:r>
      <w:r w:rsidRPr="00144A34">
        <w:rPr>
          <w:sz w:val="22"/>
          <w:szCs w:val="22"/>
        </w:rPr>
        <w:t>the High Cost Program (also known as the Connect America Fund), the Lifeline Program, the Rural Health Care Program, and the Schools and Libraries Program (also known as E-Rate).</w:t>
      </w:r>
      <w:r w:rsidRPr="00144A34" w:rsidR="00C933B2">
        <w:rPr>
          <w:sz w:val="22"/>
          <w:szCs w:val="22"/>
        </w:rPr>
        <w:t xml:space="preserve"> </w:t>
      </w:r>
      <w:r w:rsidRPr="00144A34">
        <w:rPr>
          <w:sz w:val="22"/>
          <w:szCs w:val="22"/>
        </w:rPr>
        <w:t xml:space="preserve">Starting with FY 2020, TRS numbers are shown under its own separate account. </w:t>
      </w:r>
    </w:p>
    <w:p w:rsidR="00E559C0" w:rsidRPr="00E43B97" w:rsidP="00F26762" w14:paraId="62B00667" w14:textId="73AF030B">
      <w:pPr>
        <w:spacing w:after="240"/>
        <w:jc w:val="both"/>
        <w:rPr>
          <w:spacing w:val="2"/>
          <w:sz w:val="22"/>
          <w:szCs w:val="22"/>
        </w:rPr>
      </w:pPr>
      <w:r w:rsidRPr="00E43B97">
        <w:rPr>
          <w:spacing w:val="2"/>
          <w:sz w:val="22"/>
          <w:szCs w:val="22"/>
        </w:rPr>
        <w:t>The Universal Service Administrative Company (USAC) administers the four USF programs and the Connected Care Pilot Program (CCPP) under the Commission’s direction.</w:t>
      </w:r>
      <w:r w:rsidRPr="00E43B97" w:rsidR="00C933B2">
        <w:rPr>
          <w:spacing w:val="2"/>
          <w:sz w:val="22"/>
          <w:szCs w:val="22"/>
        </w:rPr>
        <w:t xml:space="preserve"> </w:t>
      </w:r>
      <w:r w:rsidRPr="00E43B97">
        <w:rPr>
          <w:spacing w:val="2"/>
          <w:sz w:val="22"/>
          <w:szCs w:val="22"/>
        </w:rPr>
        <w:t>These four programs and the CCPP are funded through mandatory contributions from U.S. telecommunications service providers, including local and long-distance phone companies, wireless and paging companies, payphone providers, and providers of interconnected Voice over Internet Protocol (VoIP) services.</w:t>
      </w:r>
      <w:r w:rsidRPr="00E43B97" w:rsidR="00C933B2">
        <w:rPr>
          <w:spacing w:val="2"/>
          <w:sz w:val="22"/>
          <w:szCs w:val="22"/>
        </w:rPr>
        <w:t xml:space="preserve"> </w:t>
      </w:r>
      <w:r w:rsidRPr="00E43B97">
        <w:rPr>
          <w:spacing w:val="2"/>
          <w:sz w:val="22"/>
          <w:szCs w:val="22"/>
        </w:rPr>
        <w:t>The High Cost Program provides funding to eligible service providers to help defray the cost of serving customers in high cost and rural areas.</w:t>
      </w:r>
      <w:r w:rsidRPr="00E43B97" w:rsidR="00C933B2">
        <w:rPr>
          <w:spacing w:val="2"/>
          <w:sz w:val="22"/>
          <w:szCs w:val="22"/>
        </w:rPr>
        <w:t xml:space="preserve"> </w:t>
      </w:r>
      <w:r w:rsidRPr="00E43B97">
        <w:rPr>
          <w:spacing w:val="2"/>
          <w:sz w:val="22"/>
          <w:szCs w:val="22"/>
        </w:rPr>
        <w:t>The Lifeline Program provides monthly discounts to help make communications services more affordable for low-income consumers.</w:t>
      </w:r>
      <w:r w:rsidRPr="00E43B97" w:rsidR="00C933B2">
        <w:rPr>
          <w:spacing w:val="2"/>
          <w:sz w:val="22"/>
          <w:szCs w:val="22"/>
        </w:rPr>
        <w:t xml:space="preserve"> </w:t>
      </w:r>
      <w:r w:rsidRPr="00E43B97">
        <w:rPr>
          <w:spacing w:val="2"/>
          <w:sz w:val="22"/>
          <w:szCs w:val="22"/>
        </w:rPr>
        <w:t>The Rural Health Care Program provides support for both telecommunications and advanced telecommunications and information services for eligible health care providers.</w:t>
      </w:r>
      <w:r w:rsidRPr="00E43B97" w:rsidR="00C933B2">
        <w:rPr>
          <w:spacing w:val="2"/>
          <w:sz w:val="22"/>
          <w:szCs w:val="22"/>
        </w:rPr>
        <w:t xml:space="preserve"> </w:t>
      </w:r>
      <w:r w:rsidRPr="00E43B97">
        <w:rPr>
          <w:spacing w:val="2"/>
          <w:sz w:val="22"/>
          <w:szCs w:val="22"/>
        </w:rPr>
        <w:t>The E-Rate Program</w:t>
      </w:r>
      <w:r w:rsidRPr="00E43B97">
        <w:rPr>
          <w:spacing w:val="2"/>
        </w:rPr>
        <w:t xml:space="preserve"> </w:t>
      </w:r>
      <w:r w:rsidRPr="00E43B97">
        <w:rPr>
          <w:spacing w:val="2"/>
          <w:sz w:val="22"/>
          <w:szCs w:val="22"/>
        </w:rPr>
        <w:t>provides discounts for telecommunications, Internet access, and internal connections to eligible schools and libraries.</w:t>
      </w:r>
      <w:r w:rsidRPr="00E43B97" w:rsidR="00C933B2">
        <w:rPr>
          <w:spacing w:val="2"/>
          <w:sz w:val="22"/>
          <w:szCs w:val="22"/>
        </w:rPr>
        <w:t xml:space="preserve"> </w:t>
      </w:r>
      <w:r w:rsidRPr="00E43B97">
        <w:rPr>
          <w:spacing w:val="2"/>
          <w:sz w:val="22"/>
          <w:szCs w:val="22"/>
        </w:rPr>
        <w:t>Lastly, the CCPP provides support to help defray health care providers’ costs of providing connected care services, particularly to low-income Americans and veterans.</w:t>
      </w:r>
      <w:r w:rsidRPr="00E43B97" w:rsidR="00C933B2">
        <w:rPr>
          <w:spacing w:val="2"/>
          <w:sz w:val="22"/>
          <w:szCs w:val="22"/>
        </w:rPr>
        <w:t xml:space="preserve"> </w:t>
      </w:r>
      <w:r w:rsidRPr="00E43B97">
        <w:rPr>
          <w:spacing w:val="2"/>
          <w:sz w:val="22"/>
          <w:szCs w:val="22"/>
        </w:rPr>
        <w:t>In FY 2021, the USF accounted for approximately $9,190 million in new available funds on the Commission’s Combined Statement of Budgetary Resources.</w:t>
      </w:r>
      <w:r w:rsidRPr="00E43B97" w:rsidR="00C933B2">
        <w:rPr>
          <w:spacing w:val="2"/>
          <w:sz w:val="22"/>
          <w:szCs w:val="22"/>
        </w:rPr>
        <w:t xml:space="preserve"> </w:t>
      </w:r>
      <w:r w:rsidRPr="00E43B97">
        <w:rPr>
          <w:spacing w:val="2"/>
          <w:sz w:val="22"/>
          <w:szCs w:val="22"/>
        </w:rPr>
        <w:t xml:space="preserve">Additional information on USAC and the USF can be found at </w:t>
      </w:r>
      <w:hyperlink r:id="rId25" w:history="1">
        <w:r w:rsidRPr="00E43B97">
          <w:rPr>
            <w:color w:val="0000FF"/>
            <w:spacing w:val="2"/>
            <w:sz w:val="22"/>
            <w:szCs w:val="22"/>
            <w:u w:val="single"/>
          </w:rPr>
          <w:t>http://www.usac.org</w:t>
        </w:r>
      </w:hyperlink>
      <w:r w:rsidRPr="00E43B97">
        <w:rPr>
          <w:spacing w:val="2"/>
          <w:sz w:val="22"/>
          <w:szCs w:val="22"/>
        </w:rPr>
        <w:t xml:space="preserve"> and</w:t>
      </w:r>
      <w:r w:rsidRPr="00E43B97">
        <w:rPr>
          <w:color w:val="0000FF"/>
          <w:spacing w:val="2"/>
          <w:sz w:val="22"/>
          <w:szCs w:val="22"/>
        </w:rPr>
        <w:t xml:space="preserve"> </w:t>
      </w:r>
      <w:hyperlink r:id="rId26" w:history="1">
        <w:r w:rsidRPr="00E43B97">
          <w:rPr>
            <w:color w:val="0000FF"/>
            <w:spacing w:val="2"/>
            <w:sz w:val="22"/>
            <w:szCs w:val="22"/>
            <w:u w:val="single"/>
          </w:rPr>
          <w:t>https://www.fcc.gov/general/universal-service</w:t>
        </w:r>
      </w:hyperlink>
      <w:r w:rsidRPr="00E43B97">
        <w:rPr>
          <w:color w:val="0000FF"/>
          <w:spacing w:val="2"/>
          <w:sz w:val="22"/>
          <w:szCs w:val="22"/>
        </w:rPr>
        <w:t>.</w:t>
      </w:r>
    </w:p>
    <w:p w:rsidR="00E559C0" w:rsidRPr="00F6775A" w:rsidP="00D263E5" w14:paraId="13F81814" w14:textId="0B7AA330">
      <w:pPr>
        <w:autoSpaceDE w:val="0"/>
        <w:autoSpaceDN w:val="0"/>
        <w:adjustRightInd w:val="0"/>
        <w:spacing w:after="260"/>
        <w:jc w:val="both"/>
        <w:rPr>
          <w:sz w:val="22"/>
          <w:szCs w:val="22"/>
        </w:rPr>
      </w:pPr>
      <w:r w:rsidRPr="00F6775A">
        <w:rPr>
          <w:bCs/>
          <w:i/>
          <w:iCs/>
          <w:sz w:val="22"/>
          <w:szCs w:val="22"/>
          <w:u w:val="single"/>
        </w:rPr>
        <w:t>Telecommunication Relay Service (TRS) Fund</w:t>
      </w:r>
      <w:r w:rsidRPr="00F6775A">
        <w:rPr>
          <w:bCs/>
          <w:iCs/>
          <w:sz w:val="22"/>
          <w:szCs w:val="22"/>
        </w:rPr>
        <w:t xml:space="preserve"> –</w:t>
      </w:r>
      <w:r w:rsidRPr="00F6775A">
        <w:rPr>
          <w:b/>
          <w:bCs/>
          <w:i/>
          <w:iCs/>
          <w:sz w:val="22"/>
          <w:szCs w:val="22"/>
        </w:rPr>
        <w:t xml:space="preserve"> </w:t>
      </w:r>
      <w:r w:rsidRPr="00F6775A">
        <w:rPr>
          <w:sz w:val="22"/>
          <w:szCs w:val="22"/>
        </w:rPr>
        <w:t>The TRS Fund represents a program established under section 225 of the Act.</w:t>
      </w:r>
      <w:r>
        <w:rPr>
          <w:sz w:val="22"/>
          <w:szCs w:val="22"/>
          <w:vertAlign w:val="superscript"/>
        </w:rPr>
        <w:footnoteReference w:id="7"/>
      </w:r>
      <w:r w:rsidR="00C933B2">
        <w:rPr>
          <w:sz w:val="22"/>
          <w:szCs w:val="22"/>
        </w:rPr>
        <w:t xml:space="preserve"> </w:t>
      </w:r>
      <w:r w:rsidRPr="00F6775A">
        <w:rPr>
          <w:sz w:val="22"/>
          <w:szCs w:val="22"/>
        </w:rPr>
        <w:t xml:space="preserve">This statute provides for a mechanism to support relay services necessary for </w:t>
      </w:r>
      <w:r w:rsidRPr="00F6775A">
        <w:rPr>
          <w:sz w:val="22"/>
          <w:szCs w:val="22"/>
        </w:rPr>
        <w:t>telecommunications access by speech or hearing-impaired populations.</w:t>
      </w:r>
      <w:r w:rsidR="00C933B2">
        <w:rPr>
          <w:sz w:val="22"/>
          <w:szCs w:val="22"/>
        </w:rPr>
        <w:t xml:space="preserve"> </w:t>
      </w:r>
      <w:r w:rsidRPr="00F6775A">
        <w:rPr>
          <w:sz w:val="22"/>
          <w:szCs w:val="22"/>
        </w:rPr>
        <w:t xml:space="preserve">Prior to FY 2020, the TRS </w:t>
      </w:r>
      <w:r>
        <w:rPr>
          <w:sz w:val="22"/>
          <w:szCs w:val="22"/>
        </w:rPr>
        <w:t>F</w:t>
      </w:r>
      <w:r w:rsidRPr="00F6775A">
        <w:rPr>
          <w:sz w:val="22"/>
          <w:szCs w:val="22"/>
        </w:rPr>
        <w:t>und was included under USF.</w:t>
      </w:r>
      <w:r w:rsidR="00C933B2">
        <w:rPr>
          <w:sz w:val="22"/>
          <w:szCs w:val="22"/>
        </w:rPr>
        <w:t xml:space="preserve"> </w:t>
      </w:r>
      <w:r w:rsidRPr="00F6775A">
        <w:rPr>
          <w:sz w:val="22"/>
          <w:szCs w:val="22"/>
        </w:rPr>
        <w:t xml:space="preserve">Beginning </w:t>
      </w:r>
      <w:r>
        <w:rPr>
          <w:sz w:val="22"/>
          <w:szCs w:val="22"/>
        </w:rPr>
        <w:t xml:space="preserve">with </w:t>
      </w:r>
      <w:r w:rsidRPr="00F6775A">
        <w:rPr>
          <w:sz w:val="22"/>
          <w:szCs w:val="22"/>
        </w:rPr>
        <w:t>FY 2020, TRS is reported under its own separate account approved by OMB in FY 2019.</w:t>
      </w:r>
    </w:p>
    <w:p w:rsidR="00E559C0" w:rsidRPr="00F6775A" w:rsidP="00DF299D" w14:paraId="071EA66B" w14:textId="3030125B">
      <w:pPr>
        <w:autoSpaceDE w:val="0"/>
        <w:autoSpaceDN w:val="0"/>
        <w:adjustRightInd w:val="0"/>
        <w:spacing w:after="260"/>
        <w:jc w:val="both"/>
        <w:rPr>
          <w:b/>
          <w:bCs/>
          <w:i/>
          <w:iCs/>
          <w:sz w:val="22"/>
          <w:szCs w:val="22"/>
        </w:rPr>
      </w:pPr>
      <w:r w:rsidRPr="00F6775A">
        <w:rPr>
          <w:sz w:val="22"/>
          <w:szCs w:val="22"/>
        </w:rPr>
        <w:t>Rolka</w:t>
      </w:r>
      <w:r w:rsidRPr="00F6775A">
        <w:rPr>
          <w:sz w:val="22"/>
          <w:szCs w:val="22"/>
        </w:rPr>
        <w:t xml:space="preserve"> </w:t>
      </w:r>
      <w:r w:rsidRPr="00F6775A">
        <w:rPr>
          <w:sz w:val="22"/>
          <w:szCs w:val="22"/>
        </w:rPr>
        <w:t>Loube</w:t>
      </w:r>
      <w:r w:rsidRPr="00F6775A">
        <w:rPr>
          <w:sz w:val="22"/>
          <w:szCs w:val="22"/>
        </w:rPr>
        <w:t>, LLC (RL) is the administrator for the TRS Fund.</w:t>
      </w:r>
      <w:r w:rsidR="00C933B2">
        <w:rPr>
          <w:sz w:val="22"/>
          <w:szCs w:val="22"/>
        </w:rPr>
        <w:t xml:space="preserve"> </w:t>
      </w:r>
      <w:r w:rsidRPr="00F6775A">
        <w:rPr>
          <w:sz w:val="22"/>
          <w:szCs w:val="22"/>
        </w:rPr>
        <w:t>The TRS Fund compensates TRS providers for the reasonable costs of providing interstate telephone transmission services that enable a person with a hearing or speech disability to communicate with a person without hearing or speech disabilities.</w:t>
      </w:r>
      <w:r w:rsidR="00C933B2">
        <w:rPr>
          <w:sz w:val="22"/>
          <w:szCs w:val="22"/>
        </w:rPr>
        <w:t xml:space="preserve"> </w:t>
      </w:r>
      <w:r w:rsidRPr="00F6775A">
        <w:rPr>
          <w:sz w:val="22"/>
          <w:szCs w:val="22"/>
        </w:rPr>
        <w:t>The costs of providing interstate TRS are recovered from subscribers of interstate telecommunications services.</w:t>
      </w:r>
      <w:r w:rsidR="00C933B2">
        <w:rPr>
          <w:sz w:val="22"/>
          <w:szCs w:val="22"/>
        </w:rPr>
        <w:t xml:space="preserve"> </w:t>
      </w:r>
      <w:r w:rsidRPr="00F6775A">
        <w:rPr>
          <w:sz w:val="22"/>
          <w:szCs w:val="22"/>
        </w:rPr>
        <w:t>In FY 202</w:t>
      </w:r>
      <w:r>
        <w:rPr>
          <w:sz w:val="22"/>
          <w:szCs w:val="22"/>
        </w:rPr>
        <w:t>1</w:t>
      </w:r>
      <w:r w:rsidRPr="00F6775A">
        <w:rPr>
          <w:sz w:val="22"/>
          <w:szCs w:val="22"/>
        </w:rPr>
        <w:t xml:space="preserve">, the TRS Fund accounted for approximately </w:t>
      </w:r>
      <w:r w:rsidRPr="00D005C7">
        <w:rPr>
          <w:sz w:val="22"/>
          <w:szCs w:val="22"/>
        </w:rPr>
        <w:t>$</w:t>
      </w:r>
      <w:r>
        <w:rPr>
          <w:sz w:val="22"/>
          <w:szCs w:val="22"/>
        </w:rPr>
        <w:t>1,562</w:t>
      </w:r>
      <w:r w:rsidRPr="00D005C7">
        <w:rPr>
          <w:sz w:val="22"/>
          <w:szCs w:val="22"/>
        </w:rPr>
        <w:t xml:space="preserve"> million</w:t>
      </w:r>
      <w:r w:rsidRPr="00F6775A">
        <w:rPr>
          <w:sz w:val="22"/>
          <w:szCs w:val="22"/>
        </w:rPr>
        <w:t xml:space="preserve"> in new available funds on the Commission's Combined Statement of Budgetary Resources.</w:t>
      </w:r>
      <w:r w:rsidR="00C933B2">
        <w:rPr>
          <w:sz w:val="22"/>
          <w:szCs w:val="22"/>
        </w:rPr>
        <w:t xml:space="preserve"> </w:t>
      </w:r>
      <w:r w:rsidRPr="00F6775A">
        <w:rPr>
          <w:sz w:val="22"/>
          <w:szCs w:val="22"/>
        </w:rPr>
        <w:t xml:space="preserve">Additional information on RL and the TRS Fund can be found at </w:t>
      </w:r>
      <w:hyperlink r:id="rId27" w:history="1">
        <w:r w:rsidRPr="00F6775A">
          <w:rPr>
            <w:color w:val="0000FF"/>
            <w:sz w:val="22"/>
            <w:szCs w:val="22"/>
            <w:u w:val="single"/>
          </w:rPr>
          <w:t>http://www.rolkaloube.com/</w:t>
        </w:r>
      </w:hyperlink>
      <w:r w:rsidRPr="00F6775A">
        <w:rPr>
          <w:sz w:val="22"/>
          <w:szCs w:val="22"/>
        </w:rPr>
        <w:t xml:space="preserve"> and</w:t>
      </w:r>
      <w:r w:rsidRPr="00F6775A">
        <w:rPr>
          <w:color w:val="0000FF"/>
          <w:sz w:val="22"/>
          <w:szCs w:val="22"/>
        </w:rPr>
        <w:t xml:space="preserve"> </w:t>
      </w:r>
      <w:hyperlink r:id="rId28" w:history="1">
        <w:r w:rsidRPr="00F6775A">
          <w:rPr>
            <w:color w:val="0000FF"/>
            <w:sz w:val="22"/>
            <w:szCs w:val="22"/>
            <w:u w:val="single"/>
          </w:rPr>
          <w:t>https://www.fcc.gov/general/telecommunications-relay-services-trs</w:t>
        </w:r>
      </w:hyperlink>
      <w:r w:rsidRPr="00F6775A">
        <w:rPr>
          <w:sz w:val="22"/>
          <w:szCs w:val="22"/>
        </w:rPr>
        <w:t>.</w:t>
      </w:r>
    </w:p>
    <w:p w:rsidR="00E559C0" w:rsidRPr="00F6775A" w:rsidP="00121C10" w14:paraId="4B2A7D54" w14:textId="21448DFD">
      <w:pPr>
        <w:autoSpaceDE w:val="0"/>
        <w:autoSpaceDN w:val="0"/>
        <w:adjustRightInd w:val="0"/>
        <w:spacing w:after="240"/>
        <w:jc w:val="both"/>
        <w:rPr>
          <w:sz w:val="22"/>
          <w:szCs w:val="22"/>
        </w:rPr>
      </w:pPr>
      <w:r w:rsidRPr="00F6775A">
        <w:rPr>
          <w:sz w:val="22"/>
          <w:szCs w:val="22"/>
        </w:rPr>
        <w:t>For further clarification on the financial relationships between the Commission and these components, see Note 1 of the financial statements in Section 2.</w:t>
      </w:r>
      <w:r w:rsidR="00C933B2">
        <w:rPr>
          <w:sz w:val="22"/>
          <w:szCs w:val="22"/>
        </w:rPr>
        <w:t xml:space="preserve"> </w:t>
      </w:r>
      <w:r w:rsidRPr="00F6775A">
        <w:rPr>
          <w:sz w:val="22"/>
          <w:szCs w:val="22"/>
        </w:rPr>
        <w:t xml:space="preserve">Also, see the chart below which shows the relative size of the component funds in comparison to the major sources of funds for the Commission. </w:t>
      </w:r>
    </w:p>
    <w:p w:rsidR="00E559C0" w:rsidRPr="00F6775A" w:rsidP="00E559C0" w14:paraId="6243AB35" w14:textId="599F7E53">
      <w:pPr>
        <w:autoSpaceDE w:val="0"/>
        <w:autoSpaceDN w:val="0"/>
        <w:adjustRightInd w:val="0"/>
        <w:jc w:val="center"/>
        <w:rPr>
          <w:sz w:val="22"/>
          <w:szCs w:val="22"/>
        </w:rPr>
      </w:pPr>
      <w:r>
        <w:rPr>
          <w:noProof/>
        </w:rPr>
        <w:drawing>
          <wp:inline distT="0" distB="0" distL="0" distR="0">
            <wp:extent cx="5838825" cy="4819650"/>
            <wp:effectExtent l="0" t="0" r="9525" b="0"/>
            <wp:docPr id="19" name="Chart 19" descr="Pie chart depicting FY 2021 sources of new available funds (Dollars in Millions). The total new available funds is $23,847 out of which 13% is FCC-EBCF-EBBP with $3,200, 30% is FCC-ECF with $7,172, 8% is FCC- S&amp;T Network with $1,900, 38% is USF with $9,190, 7% is TRS with $1,562, less than 1% FCC-Auctions Program with $134 , 2% is FCC-Appropriations with $374, 1% is FCC-COVID-Telehealth with $250 and less than 1% is FCC-Broadband DATA Act with $65.">
              <a:extLst xmlns:a="http://schemas.openxmlformats.org/drawingml/2006/main">
                <a:ext xmlns:a="http://schemas.openxmlformats.org/drawingml/2006/main" uri="{FF2B5EF4-FFF2-40B4-BE49-F238E27FC236}">
                  <a16:creationId xmlns:a16="http://schemas.microsoft.com/office/drawing/2014/main" id="{72E0C75F-21E6-42D3-A46F-37E308B91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559C0" w:rsidP="00946647" w14:paraId="3CC9823B" w14:textId="09F2407B">
      <w:pPr>
        <w:autoSpaceDE w:val="0"/>
        <w:autoSpaceDN w:val="0"/>
        <w:adjustRightInd w:val="0"/>
        <w:spacing w:before="240" w:after="260"/>
        <w:jc w:val="both"/>
        <w:rPr>
          <w:rFonts w:eastAsiaTheme="minorHAnsi"/>
          <w:color w:val="000000"/>
          <w:sz w:val="22"/>
          <w:szCs w:val="22"/>
        </w:rPr>
      </w:pPr>
      <w:r>
        <w:rPr>
          <w:rFonts w:eastAsiaTheme="minorHAnsi"/>
          <w:color w:val="000000"/>
          <w:sz w:val="22"/>
          <w:szCs w:val="22"/>
        </w:rPr>
        <w:t>The $7,172 million appropriation in the Emergency Connectivity Fund (ECF) is authorized as a part of the American Rescue Plan Act of 2021</w:t>
      </w:r>
      <w:r>
        <w:rPr>
          <w:rFonts w:eastAsiaTheme="minorHAnsi"/>
          <w:color w:val="000000"/>
          <w:sz w:val="22"/>
          <w:szCs w:val="22"/>
          <w:vertAlign w:val="superscript"/>
        </w:rPr>
        <w:footnoteReference w:id="8"/>
      </w:r>
      <w:r>
        <w:rPr>
          <w:rFonts w:eastAsiaTheme="minorHAnsi"/>
          <w:color w:val="000000"/>
          <w:sz w:val="22"/>
          <w:szCs w:val="22"/>
        </w:rPr>
        <w:t xml:space="preserve"> to help support remote learning by providing </w:t>
      </w:r>
      <w:r w:rsidRPr="00671B54">
        <w:rPr>
          <w:rFonts w:eastAsiaTheme="minorHAnsi"/>
          <w:color w:val="000000"/>
          <w:sz w:val="22"/>
          <w:szCs w:val="22"/>
        </w:rPr>
        <w:t xml:space="preserve">funding to schools and </w:t>
      </w:r>
      <w:r w:rsidRPr="00671B54">
        <w:rPr>
          <w:rFonts w:eastAsiaTheme="minorHAnsi"/>
          <w:color w:val="000000"/>
          <w:sz w:val="22"/>
          <w:szCs w:val="22"/>
        </w:rPr>
        <w:t>libraries for the reasonable costs of eligible equipment and services</w:t>
      </w:r>
      <w:r>
        <w:rPr>
          <w:rFonts w:eastAsiaTheme="minorHAnsi"/>
          <w:color w:val="000000"/>
          <w:sz w:val="22"/>
          <w:szCs w:val="22"/>
        </w:rPr>
        <w:t>.</w:t>
      </w:r>
      <w:r w:rsidR="00C933B2">
        <w:rPr>
          <w:rFonts w:eastAsiaTheme="minorHAnsi"/>
          <w:color w:val="000000"/>
          <w:sz w:val="22"/>
          <w:szCs w:val="22"/>
        </w:rPr>
        <w:t xml:space="preserve"> </w:t>
      </w:r>
      <w:r>
        <w:rPr>
          <w:rFonts w:eastAsiaTheme="minorHAnsi"/>
          <w:color w:val="000000"/>
          <w:sz w:val="22"/>
          <w:szCs w:val="22"/>
        </w:rPr>
        <w:t>The $3,200 million is appropriated for the Emergency Broadband Connectivity Fund - Emergency Broadband Benefit Program (EBCF-EBBP) under the Consolidated Appropriation Act, 2021</w:t>
      </w:r>
      <w:r>
        <w:rPr>
          <w:rFonts w:eastAsiaTheme="minorHAnsi"/>
          <w:color w:val="000000"/>
          <w:sz w:val="22"/>
          <w:szCs w:val="22"/>
          <w:vertAlign w:val="superscript"/>
        </w:rPr>
        <w:footnoteReference w:id="9"/>
      </w:r>
      <w:r>
        <w:rPr>
          <w:rFonts w:eastAsiaTheme="minorHAnsi"/>
          <w:color w:val="000000"/>
          <w:sz w:val="22"/>
          <w:szCs w:val="22"/>
        </w:rPr>
        <w:t xml:space="preserve"> to help low-income households pay for broadband services and connected internet devices by providing discounts to eligible recipients.</w:t>
      </w:r>
      <w:r w:rsidR="00C933B2">
        <w:rPr>
          <w:rFonts w:eastAsiaTheme="minorHAnsi"/>
          <w:color w:val="000000"/>
          <w:sz w:val="22"/>
          <w:szCs w:val="22"/>
        </w:rPr>
        <w:t xml:space="preserve"> </w:t>
      </w:r>
    </w:p>
    <w:p w:rsidR="00E559C0" w:rsidP="00657E06" w14:paraId="2741B02C" w14:textId="58E986AD">
      <w:pPr>
        <w:autoSpaceDE w:val="0"/>
        <w:autoSpaceDN w:val="0"/>
        <w:adjustRightInd w:val="0"/>
        <w:spacing w:after="260"/>
        <w:jc w:val="both"/>
        <w:rPr>
          <w:rFonts w:eastAsiaTheme="minorHAnsi"/>
          <w:color w:val="000000"/>
          <w:sz w:val="22"/>
          <w:szCs w:val="22"/>
        </w:rPr>
      </w:pPr>
      <w:r>
        <w:rPr>
          <w:rFonts w:eastAsiaTheme="minorHAnsi"/>
          <w:color w:val="000000"/>
          <w:sz w:val="22"/>
          <w:szCs w:val="22"/>
        </w:rPr>
        <w:t>The $1,900 million appropriation for the Secured and Trusted Communications Networks</w:t>
      </w:r>
      <w:r w:rsidR="00C933B2">
        <w:rPr>
          <w:rFonts w:eastAsiaTheme="minorHAnsi"/>
          <w:color w:val="000000"/>
          <w:sz w:val="22"/>
          <w:szCs w:val="22"/>
        </w:rPr>
        <w:t xml:space="preserve"> </w:t>
      </w:r>
      <w:r>
        <w:rPr>
          <w:rFonts w:eastAsiaTheme="minorHAnsi"/>
          <w:color w:val="000000"/>
          <w:sz w:val="22"/>
          <w:szCs w:val="22"/>
        </w:rPr>
        <w:t>Reimbursement Program (S&amp;T Networks) is also a part of the Consolidated Appropriation Act</w:t>
      </w:r>
      <w:bookmarkStart w:id="30" w:name="_Hlk80054260"/>
      <w:r>
        <w:rPr>
          <w:rFonts w:eastAsiaTheme="minorHAnsi"/>
          <w:color w:val="000000"/>
          <w:sz w:val="22"/>
          <w:szCs w:val="22"/>
          <w:vertAlign w:val="superscript"/>
        </w:rPr>
        <w:footnoteReference w:id="10"/>
      </w:r>
      <w:bookmarkEnd w:id="30"/>
      <w:r>
        <w:rPr>
          <w:rFonts w:eastAsiaTheme="minorHAnsi"/>
          <w:color w:val="000000"/>
          <w:sz w:val="22"/>
          <w:szCs w:val="22"/>
        </w:rPr>
        <w:t xml:space="preserve"> to</w:t>
      </w:r>
      <w:r w:rsidRPr="006436CD">
        <w:rPr>
          <w:rFonts w:eastAsiaTheme="minorHAnsi"/>
          <w:color w:val="000000"/>
          <w:sz w:val="22"/>
          <w:szCs w:val="22"/>
        </w:rPr>
        <w:t xml:space="preserve"> remove, replace, and dispose of communications equipment and services that pose a national security threat</w:t>
      </w:r>
      <w:r>
        <w:rPr>
          <w:rFonts w:eastAsiaTheme="minorHAnsi"/>
          <w:color w:val="000000"/>
          <w:sz w:val="22"/>
          <w:szCs w:val="22"/>
        </w:rPr>
        <w:t>.</w:t>
      </w:r>
      <w:r w:rsidR="00C933B2">
        <w:rPr>
          <w:rFonts w:eastAsiaTheme="minorHAnsi"/>
          <w:color w:val="000000"/>
          <w:sz w:val="22"/>
          <w:szCs w:val="22"/>
        </w:rPr>
        <w:t xml:space="preserve"> </w:t>
      </w:r>
    </w:p>
    <w:p w:rsidR="00E559C0" w:rsidP="00B26D82" w14:paraId="73D680B8" w14:textId="43C52739">
      <w:pPr>
        <w:autoSpaceDE w:val="0"/>
        <w:autoSpaceDN w:val="0"/>
        <w:adjustRightInd w:val="0"/>
        <w:spacing w:after="260"/>
        <w:jc w:val="both"/>
        <w:rPr>
          <w:rFonts w:eastAsiaTheme="minorHAnsi"/>
          <w:color w:val="000000"/>
          <w:sz w:val="22"/>
          <w:szCs w:val="22"/>
        </w:rPr>
      </w:pPr>
      <w:r w:rsidRPr="00F6775A">
        <w:rPr>
          <w:rFonts w:eastAsiaTheme="minorHAnsi"/>
          <w:color w:val="000000"/>
          <w:sz w:val="22"/>
          <w:szCs w:val="22"/>
        </w:rPr>
        <w:t xml:space="preserve">The </w:t>
      </w:r>
      <w:r>
        <w:rPr>
          <w:rFonts w:eastAsiaTheme="minorHAnsi"/>
          <w:color w:val="000000"/>
          <w:sz w:val="22"/>
          <w:szCs w:val="22"/>
        </w:rPr>
        <w:t>Commission’s a</w:t>
      </w:r>
      <w:r w:rsidRPr="00F6775A">
        <w:rPr>
          <w:rFonts w:eastAsiaTheme="minorHAnsi"/>
          <w:color w:val="000000"/>
          <w:sz w:val="22"/>
          <w:szCs w:val="22"/>
        </w:rPr>
        <w:t>ppropriations of $</w:t>
      </w:r>
      <w:r>
        <w:rPr>
          <w:rFonts w:eastAsiaTheme="minorHAnsi"/>
          <w:color w:val="000000"/>
          <w:sz w:val="22"/>
          <w:szCs w:val="22"/>
        </w:rPr>
        <w:t>374</w:t>
      </w:r>
      <w:r w:rsidRPr="00F6775A">
        <w:rPr>
          <w:rFonts w:eastAsiaTheme="minorHAnsi"/>
          <w:color w:val="000000"/>
          <w:sz w:val="22"/>
          <w:szCs w:val="22"/>
        </w:rPr>
        <w:t xml:space="preserve"> million</w:t>
      </w:r>
      <w:r>
        <w:rPr>
          <w:rFonts w:eastAsiaTheme="minorHAnsi"/>
          <w:color w:val="000000"/>
          <w:sz w:val="22"/>
          <w:szCs w:val="22"/>
        </w:rPr>
        <w:t xml:space="preserve"> reflects the authority for the Commission to collect regulatory fees.</w:t>
      </w:r>
      <w:r w:rsidR="00C933B2">
        <w:rPr>
          <w:rFonts w:eastAsiaTheme="minorHAnsi"/>
          <w:color w:val="000000"/>
          <w:sz w:val="22"/>
          <w:szCs w:val="22"/>
        </w:rPr>
        <w:t xml:space="preserve"> </w:t>
      </w:r>
      <w:r>
        <w:rPr>
          <w:rFonts w:eastAsiaTheme="minorHAnsi"/>
          <w:color w:val="000000"/>
          <w:sz w:val="22"/>
          <w:szCs w:val="22"/>
        </w:rPr>
        <w:t>The $374 million includes additional $33 million specially dedicated to implement the requirements of the Broadband Deployment Accuracy and Technological Availability Act (Broadband DATA Act).</w:t>
      </w:r>
      <w:r w:rsidR="00C933B2">
        <w:rPr>
          <w:rFonts w:eastAsiaTheme="minorHAnsi"/>
          <w:color w:val="000000"/>
          <w:sz w:val="22"/>
          <w:szCs w:val="22"/>
        </w:rPr>
        <w:t xml:space="preserve"> </w:t>
      </w:r>
      <w:r w:rsidRPr="00F6775A">
        <w:rPr>
          <w:rFonts w:eastAsiaTheme="minorHAnsi"/>
          <w:color w:val="000000"/>
          <w:sz w:val="22"/>
          <w:szCs w:val="22"/>
        </w:rPr>
        <w:t>The $</w:t>
      </w:r>
      <w:r>
        <w:rPr>
          <w:rFonts w:eastAsiaTheme="minorHAnsi"/>
          <w:color w:val="000000"/>
          <w:sz w:val="22"/>
          <w:szCs w:val="22"/>
        </w:rPr>
        <w:t>250</w:t>
      </w:r>
      <w:r w:rsidRPr="00F6775A">
        <w:rPr>
          <w:rFonts w:eastAsiaTheme="minorHAnsi"/>
          <w:color w:val="000000"/>
          <w:sz w:val="22"/>
          <w:szCs w:val="22"/>
        </w:rPr>
        <w:t xml:space="preserve"> million in the chart above is </w:t>
      </w:r>
      <w:r>
        <w:rPr>
          <w:rFonts w:eastAsiaTheme="minorHAnsi"/>
          <w:color w:val="000000"/>
          <w:sz w:val="22"/>
          <w:szCs w:val="22"/>
        </w:rPr>
        <w:t>the fund, under Consolidated Appropriations Act</w:t>
      </w:r>
      <w:r>
        <w:rPr>
          <w:rFonts w:eastAsiaTheme="minorHAnsi"/>
          <w:color w:val="000000"/>
          <w:sz w:val="22"/>
          <w:szCs w:val="22"/>
          <w:vertAlign w:val="superscript"/>
        </w:rPr>
        <w:footnoteReference w:id="11"/>
      </w:r>
      <w:r>
        <w:rPr>
          <w:rFonts w:eastAsiaTheme="minorHAnsi"/>
          <w:color w:val="000000"/>
          <w:sz w:val="22"/>
          <w:szCs w:val="22"/>
        </w:rPr>
        <w:t xml:space="preserve">, appropriated in addition to the amount in FY 2020 </w:t>
      </w:r>
      <w:r w:rsidRPr="00F6775A">
        <w:rPr>
          <w:rFonts w:eastAsiaTheme="minorHAnsi"/>
          <w:color w:val="000000"/>
          <w:sz w:val="22"/>
          <w:szCs w:val="22"/>
        </w:rPr>
        <w:t xml:space="preserve">to </w:t>
      </w:r>
      <w:r>
        <w:rPr>
          <w:rFonts w:eastAsiaTheme="minorHAnsi"/>
          <w:color w:val="000000"/>
          <w:sz w:val="22"/>
          <w:szCs w:val="22"/>
        </w:rPr>
        <w:t xml:space="preserve">continue to </w:t>
      </w:r>
      <w:r w:rsidRPr="00F6775A">
        <w:rPr>
          <w:rFonts w:eastAsiaTheme="minorHAnsi"/>
          <w:color w:val="000000"/>
          <w:sz w:val="22"/>
          <w:szCs w:val="22"/>
        </w:rPr>
        <w:t>support health care providers “to address coronavirus by providing telecommunications services, information services, and devices necessary to enable the provision of telehealth services” in response to the coronavirus disease 2019 (COVID-19) pandemic.</w:t>
      </w:r>
      <w:r>
        <w:rPr>
          <w:rFonts w:eastAsiaTheme="minorHAnsi"/>
          <w:color w:val="000000"/>
          <w:sz w:val="22"/>
          <w:szCs w:val="22"/>
          <w:vertAlign w:val="superscript"/>
        </w:rPr>
        <w:footnoteReference w:id="12"/>
      </w:r>
      <w:r w:rsidR="00C933B2">
        <w:rPr>
          <w:rFonts w:eastAsiaTheme="minorHAnsi"/>
          <w:color w:val="000000"/>
          <w:sz w:val="22"/>
          <w:szCs w:val="22"/>
        </w:rPr>
        <w:t xml:space="preserve"> </w:t>
      </w:r>
    </w:p>
    <w:p w:rsidR="00E559C0" w:rsidP="008F2B18" w14:paraId="4F1DFE61" w14:textId="33D1EC1A">
      <w:pPr>
        <w:autoSpaceDE w:val="0"/>
        <w:autoSpaceDN w:val="0"/>
        <w:adjustRightInd w:val="0"/>
        <w:spacing w:after="480"/>
        <w:jc w:val="both"/>
        <w:rPr>
          <w:color w:val="000000"/>
          <w:sz w:val="22"/>
          <w:szCs w:val="22"/>
        </w:rPr>
      </w:pPr>
      <w:r w:rsidRPr="00F6775A">
        <w:rPr>
          <w:rFonts w:eastAsiaTheme="minorHAnsi"/>
          <w:color w:val="000000"/>
          <w:sz w:val="22"/>
          <w:szCs w:val="22"/>
        </w:rPr>
        <w:t>T</w:t>
      </w:r>
      <w:r w:rsidRPr="00F6775A">
        <w:rPr>
          <w:rFonts w:eastAsia="Calibri"/>
          <w:color w:val="000000"/>
          <w:sz w:val="22"/>
          <w:szCs w:val="22"/>
        </w:rPr>
        <w:t>he $13</w:t>
      </w:r>
      <w:r>
        <w:rPr>
          <w:rFonts w:eastAsia="Calibri"/>
          <w:color w:val="000000"/>
          <w:sz w:val="22"/>
          <w:szCs w:val="22"/>
        </w:rPr>
        <w:t>4</w:t>
      </w:r>
      <w:r w:rsidRPr="00F6775A">
        <w:rPr>
          <w:rFonts w:eastAsia="Calibri"/>
          <w:color w:val="000000"/>
          <w:sz w:val="22"/>
          <w:szCs w:val="22"/>
        </w:rPr>
        <w:t xml:space="preserve"> million for the </w:t>
      </w:r>
      <w:r>
        <w:rPr>
          <w:rFonts w:eastAsia="Calibri"/>
          <w:color w:val="000000"/>
          <w:sz w:val="22"/>
          <w:szCs w:val="22"/>
        </w:rPr>
        <w:t>Commission</w:t>
      </w:r>
      <w:r w:rsidRPr="00F6775A">
        <w:rPr>
          <w:rFonts w:eastAsia="Calibri"/>
          <w:color w:val="000000"/>
          <w:sz w:val="22"/>
          <w:szCs w:val="22"/>
        </w:rPr>
        <w:t>’s Auctions program is c</w:t>
      </w:r>
      <w:r w:rsidRPr="00F6775A">
        <w:rPr>
          <w:color w:val="000000"/>
          <w:sz w:val="22"/>
          <w:szCs w:val="22"/>
        </w:rPr>
        <w:t>ollections from auction revenues used to offset the cost of performing auctions-related activities.</w:t>
      </w:r>
      <w:r w:rsidR="00C933B2">
        <w:rPr>
          <w:color w:val="000000"/>
          <w:sz w:val="22"/>
          <w:szCs w:val="22"/>
        </w:rPr>
        <w:t xml:space="preserve"> </w:t>
      </w:r>
      <w:r w:rsidRPr="00957F00">
        <w:rPr>
          <w:sz w:val="22"/>
          <w:szCs w:val="22"/>
        </w:rPr>
        <w:t>The</w:t>
      </w:r>
      <w:r>
        <w:rPr>
          <w:sz w:val="22"/>
          <w:szCs w:val="22"/>
        </w:rPr>
        <w:t xml:space="preserve"> $65 million authorized under the</w:t>
      </w:r>
      <w:r w:rsidRPr="00957F00">
        <w:rPr>
          <w:sz w:val="22"/>
          <w:szCs w:val="22"/>
        </w:rPr>
        <w:t xml:space="preserve"> Consolidated Appropriations Act</w:t>
      </w:r>
      <w:r>
        <w:rPr>
          <w:sz w:val="22"/>
          <w:szCs w:val="22"/>
        </w:rPr>
        <w:t xml:space="preserve"> is also for the Broadband DATA Act implementation.</w:t>
      </w:r>
      <w:r>
        <w:rPr>
          <w:rFonts w:eastAsiaTheme="minorHAnsi"/>
          <w:color w:val="000000"/>
          <w:sz w:val="22"/>
          <w:szCs w:val="22"/>
          <w:vertAlign w:val="superscript"/>
        </w:rPr>
        <w:footnoteReference w:id="13"/>
      </w:r>
      <w:r w:rsidR="00C933B2">
        <w:rPr>
          <w:sz w:val="22"/>
          <w:szCs w:val="22"/>
        </w:rPr>
        <w:t xml:space="preserve"> </w:t>
      </w:r>
      <w:r w:rsidRPr="00934B5F">
        <w:rPr>
          <w:sz w:val="22"/>
          <w:szCs w:val="22"/>
        </w:rPr>
        <w:t xml:space="preserve">The Broadband DATA Act requires the </w:t>
      </w:r>
      <w:r>
        <w:rPr>
          <w:sz w:val="22"/>
          <w:szCs w:val="22"/>
        </w:rPr>
        <w:t xml:space="preserve">Commission </w:t>
      </w:r>
      <w:r w:rsidRPr="00934B5F">
        <w:rPr>
          <w:sz w:val="22"/>
          <w:szCs w:val="22"/>
        </w:rPr>
        <w:t>to collect data on the</w:t>
      </w:r>
      <w:r>
        <w:rPr>
          <w:sz w:val="22"/>
          <w:szCs w:val="22"/>
        </w:rPr>
        <w:t xml:space="preserve"> </w:t>
      </w:r>
      <w:r w:rsidRPr="00934B5F">
        <w:rPr>
          <w:sz w:val="22"/>
          <w:szCs w:val="22"/>
        </w:rPr>
        <w:t>availability and quality of both fixed and mobile broadband Internet access services, to create publicly available coverage maps, to establish processes for members of the public and other entities to challenge and verify the coverage maps, and to create a common dataset of all locations where fixed broadband Internet access service can be installed.</w:t>
      </w:r>
      <w:r>
        <w:rPr>
          <w:rStyle w:val="FootnoteReference"/>
          <w:sz w:val="22"/>
          <w:szCs w:val="22"/>
        </w:rPr>
        <w:footnoteReference w:id="14"/>
      </w:r>
      <w:r w:rsidRPr="00F6775A">
        <w:rPr>
          <w:color w:val="000000"/>
          <w:sz w:val="22"/>
          <w:szCs w:val="22"/>
        </w:rPr>
        <w:t xml:space="preserve"> </w:t>
      </w:r>
    </w:p>
    <w:p w:rsidR="00E559C0" w:rsidRPr="00FA2145" w:rsidP="008F2B18" w14:paraId="46AABEE3" w14:textId="6507C14A">
      <w:pPr>
        <w:pStyle w:val="Heading4"/>
        <w:spacing w:after="260"/>
      </w:pPr>
      <w:bookmarkStart w:id="32" w:name="_Toc88780617"/>
      <w:r w:rsidRPr="00DD60E7">
        <w:t>Payment Integrity</w:t>
      </w:r>
      <w:bookmarkEnd w:id="32"/>
    </w:p>
    <w:p w:rsidR="00B16550" w:rsidP="00B16550" w14:paraId="6BB6ECC8" w14:textId="77777777">
      <w:pPr>
        <w:autoSpaceDE w:val="0"/>
        <w:autoSpaceDN w:val="0"/>
        <w:adjustRightInd w:val="0"/>
        <w:spacing w:after="600"/>
        <w:jc w:val="both"/>
        <w:rPr>
          <w:sz w:val="22"/>
          <w:szCs w:val="22"/>
        </w:rPr>
      </w:pPr>
      <w:r w:rsidRPr="000D17FF">
        <w:rPr>
          <w:sz w:val="22"/>
          <w:szCs w:val="22"/>
        </w:rPr>
        <w:t xml:space="preserve">In accordance with the Improper Payments Information Act (IPIA) of 2002, as amended by the Improper Payments Elimination and Recovery Act (IPERA) of 2010, Improper Payments Elimination and Recovery Improvement Act (IPERIA) of 2012, </w:t>
      </w:r>
      <w:r>
        <w:rPr>
          <w:sz w:val="22"/>
          <w:szCs w:val="22"/>
        </w:rPr>
        <w:t xml:space="preserve">and Payment Integrity Information Act (PIIA) of 2019, </w:t>
      </w:r>
      <w:r w:rsidRPr="000D17FF">
        <w:rPr>
          <w:sz w:val="22"/>
          <w:szCs w:val="22"/>
        </w:rPr>
        <w:t>the Commission has made significant efforts to implement policies and procedures to strengthen internal controls that prevent improper payments</w:t>
      </w:r>
      <w:r w:rsidRPr="000D17FF" w:rsidR="00613ABD">
        <w:rPr>
          <w:sz w:val="22"/>
          <w:szCs w:val="22"/>
        </w:rPr>
        <w:t>.</w:t>
      </w:r>
      <w:r w:rsidR="00C933B2">
        <w:rPr>
          <w:sz w:val="22"/>
          <w:szCs w:val="22"/>
        </w:rPr>
        <w:t xml:space="preserve"> </w:t>
      </w:r>
      <w:r w:rsidRPr="000D17FF">
        <w:rPr>
          <w:sz w:val="22"/>
          <w:szCs w:val="22"/>
        </w:rPr>
        <w:t>In addition, the Commission oversees a payment recapture program that includes both audits and transaction testing to search for and recapture overpayments.</w:t>
      </w:r>
      <w:r w:rsidR="00C933B2">
        <w:rPr>
          <w:sz w:val="22"/>
          <w:szCs w:val="22"/>
        </w:rPr>
        <w:t xml:space="preserve"> </w:t>
      </w:r>
      <w:r w:rsidRPr="000D17FF">
        <w:rPr>
          <w:sz w:val="22"/>
          <w:szCs w:val="22"/>
        </w:rPr>
        <w:t>Section 3 of the AFR provides further details on these efforts</w:t>
      </w:r>
      <w:r>
        <w:rPr>
          <w:sz w:val="22"/>
          <w:szCs w:val="22"/>
        </w:rPr>
        <w:t>.</w:t>
      </w:r>
      <w:r w:rsidR="00C933B2">
        <w:rPr>
          <w:sz w:val="22"/>
          <w:szCs w:val="22"/>
        </w:rPr>
        <w:t xml:space="preserve"> </w:t>
      </w:r>
      <w:r>
        <w:rPr>
          <w:sz w:val="22"/>
          <w:szCs w:val="22"/>
        </w:rPr>
        <w:t xml:space="preserve">Additional information reported by the Commission on Payment Integrity can also be found on </w:t>
      </w:r>
      <w:hyperlink r:id="rId30" w:history="1">
        <w:r w:rsidRPr="002E4CF1">
          <w:rPr>
            <w:rStyle w:val="Hyperlink"/>
            <w:sz w:val="22"/>
            <w:szCs w:val="22"/>
          </w:rPr>
          <w:t>https://paymentaccuracy.gov/</w:t>
        </w:r>
      </w:hyperlink>
      <w:r>
        <w:rPr>
          <w:sz w:val="22"/>
          <w:szCs w:val="22"/>
        </w:rPr>
        <w:t>.</w:t>
      </w:r>
    </w:p>
    <w:p w:rsidR="00E559C0" w:rsidRPr="007D7D6E" w:rsidP="00542CAE" w14:paraId="42C65FA1" w14:textId="52E664D4">
      <w:pPr>
        <w:pStyle w:val="Heading3"/>
      </w:pPr>
      <w:bookmarkStart w:id="33" w:name="_Toc88780526"/>
      <w:bookmarkStart w:id="34" w:name="_Toc88780618"/>
      <w:r w:rsidRPr="007D7D6E">
        <w:t>Performance Highlights</w:t>
      </w:r>
      <w:bookmarkEnd w:id="33"/>
      <w:bookmarkEnd w:id="34"/>
    </w:p>
    <w:p w:rsidR="00E559C0" w:rsidRPr="00C20BBF" w:rsidP="00514AB6" w14:paraId="3659FEC5" w14:textId="77777777">
      <w:pPr>
        <w:pStyle w:val="StyleHeading411ptItalic"/>
        <w:spacing w:after="260"/>
        <w:rPr>
          <w:sz w:val="22"/>
          <w:szCs w:val="22"/>
        </w:rPr>
      </w:pPr>
      <w:bookmarkStart w:id="35" w:name="_Toc88780619"/>
      <w:r w:rsidRPr="00C20BBF">
        <w:rPr>
          <w:sz w:val="22"/>
          <w:szCs w:val="22"/>
        </w:rPr>
        <w:t>CLOSING THE DIGITAL DIVIDE</w:t>
      </w:r>
      <w:bookmarkEnd w:id="35"/>
      <w:r w:rsidRPr="00C20BBF">
        <w:rPr>
          <w:sz w:val="22"/>
          <w:szCs w:val="22"/>
        </w:rPr>
        <w:t xml:space="preserve"> </w:t>
      </w:r>
    </w:p>
    <w:p w:rsidR="00E559C0" w:rsidP="00DD6A23" w14:paraId="5E9368F3" w14:textId="067D7BEE">
      <w:pPr>
        <w:spacing w:after="240"/>
        <w:jc w:val="both"/>
        <w:rPr>
          <w:b/>
          <w:i/>
          <w:sz w:val="22"/>
          <w:szCs w:val="22"/>
        </w:rPr>
      </w:pPr>
      <w:r w:rsidRPr="002D5631">
        <w:rPr>
          <w:b/>
          <w:i/>
          <w:sz w:val="22"/>
          <w:szCs w:val="22"/>
        </w:rPr>
        <w:t>Develop a regulatory environment to encourage the private sector to build, maintain, and upgrade next-generation networks so that the benefits of advanced communications services are available to all Americans.</w:t>
      </w:r>
      <w:r w:rsidR="00C933B2">
        <w:rPr>
          <w:b/>
          <w:i/>
          <w:sz w:val="22"/>
          <w:szCs w:val="22"/>
        </w:rPr>
        <w:t xml:space="preserve"> </w:t>
      </w:r>
      <w:r w:rsidRPr="002D5631">
        <w:rPr>
          <w:b/>
          <w:i/>
          <w:sz w:val="22"/>
          <w:szCs w:val="22"/>
        </w:rPr>
        <w:t>Where the business case for infrastructure investment doesn’t exist, employ effective and efficient means to facilitate deployment and access to affordable broadband in all areas of the country.</w:t>
      </w:r>
    </w:p>
    <w:p w:rsidR="00E559C0" w:rsidRPr="00727BA5" w:rsidP="00514AB6" w14:paraId="7B233A97" w14:textId="48A81468">
      <w:pPr>
        <w:spacing w:after="260"/>
        <w:jc w:val="both"/>
        <w:rPr>
          <w:sz w:val="22"/>
          <w:szCs w:val="22"/>
        </w:rPr>
      </w:pPr>
      <w:r w:rsidRPr="00727BA5">
        <w:rPr>
          <w:sz w:val="22"/>
          <w:szCs w:val="22"/>
        </w:rPr>
        <w:t>A key priority for the FCC is to close the digital divide in rural America.</w:t>
      </w:r>
      <w:r w:rsidR="00C933B2">
        <w:rPr>
          <w:sz w:val="22"/>
          <w:szCs w:val="22"/>
        </w:rPr>
        <w:t xml:space="preserve"> </w:t>
      </w:r>
      <w:r w:rsidRPr="00727BA5">
        <w:rPr>
          <w:sz w:val="22"/>
          <w:szCs w:val="22"/>
        </w:rPr>
        <w:t>The FCC used several mechanisms and funding models to increase broadband service in rural areas, including the Rural Digital Opportunity Fund, the Emergency Connectivity Fund, the COVID-19 Telehealth Program, the Emergency Broadband Benefit Program, and the Connected Care Pilot Program.</w:t>
      </w:r>
    </w:p>
    <w:p w:rsidR="00E559C0" w:rsidRPr="005D549C" w:rsidP="00F407D3" w14:paraId="118BB53C" w14:textId="77777777">
      <w:pPr>
        <w:pStyle w:val="Heading5"/>
        <w:rPr>
          <w:sz w:val="22"/>
          <w:szCs w:val="22"/>
        </w:rPr>
      </w:pPr>
      <w:bookmarkStart w:id="36" w:name="_Toc88780620"/>
      <w:r w:rsidRPr="005D549C">
        <w:rPr>
          <w:sz w:val="22"/>
          <w:szCs w:val="22"/>
        </w:rPr>
        <w:t>Rural Digital Opportunity Fund</w:t>
      </w:r>
      <w:bookmarkEnd w:id="36"/>
    </w:p>
    <w:p w:rsidR="00E559C0" w:rsidRPr="00727BA5" w:rsidP="00E559C0" w14:paraId="37B4745F" w14:textId="0A9CCA06">
      <w:pPr>
        <w:spacing w:after="240"/>
        <w:jc w:val="both"/>
        <w:rPr>
          <w:sz w:val="22"/>
          <w:szCs w:val="22"/>
        </w:rPr>
      </w:pPr>
      <w:r w:rsidRPr="00727BA5">
        <w:rPr>
          <w:sz w:val="22"/>
          <w:szCs w:val="22"/>
        </w:rPr>
        <w:t xml:space="preserve">The FCC moved forward with funding new broadband deployments through the Rural Digital Opportunity Fund by authorizing over $311 million in broadband funding across </w:t>
      </w:r>
      <w:r>
        <w:rPr>
          <w:sz w:val="22"/>
          <w:szCs w:val="22"/>
        </w:rPr>
        <w:t xml:space="preserve">thirty six </w:t>
      </w:r>
      <w:r w:rsidRPr="00727BA5">
        <w:rPr>
          <w:sz w:val="22"/>
          <w:szCs w:val="22"/>
        </w:rPr>
        <w:t>states</w:t>
      </w:r>
      <w:r w:rsidR="00F90C93">
        <w:rPr>
          <w:sz w:val="22"/>
          <w:szCs w:val="22"/>
        </w:rPr>
        <w:t xml:space="preserve"> and a</w:t>
      </w:r>
      <w:r w:rsidR="007F0D95">
        <w:rPr>
          <w:sz w:val="22"/>
          <w:szCs w:val="22"/>
        </w:rPr>
        <w:t>s of September 30, 2021</w:t>
      </w:r>
      <w:r w:rsidR="00F90C93">
        <w:rPr>
          <w:sz w:val="22"/>
          <w:szCs w:val="22"/>
        </w:rPr>
        <w:t>,</w:t>
      </w:r>
      <w:r w:rsidR="007F0D95">
        <w:rPr>
          <w:sz w:val="22"/>
          <w:szCs w:val="22"/>
        </w:rPr>
        <w:t xml:space="preserve"> the </w:t>
      </w:r>
      <w:r w:rsidR="00F90C93">
        <w:rPr>
          <w:sz w:val="22"/>
          <w:szCs w:val="22"/>
        </w:rPr>
        <w:t>Commission</w:t>
      </w:r>
      <w:r w:rsidR="007F0D95">
        <w:rPr>
          <w:sz w:val="22"/>
          <w:szCs w:val="22"/>
        </w:rPr>
        <w:t xml:space="preserve"> has obligated $136 million</w:t>
      </w:r>
      <w:r w:rsidR="00F90C93">
        <w:rPr>
          <w:sz w:val="22"/>
          <w:szCs w:val="22"/>
        </w:rPr>
        <w:t xml:space="preserve"> of the amount authorized</w:t>
      </w:r>
      <w:r w:rsidR="007F0D95">
        <w:rPr>
          <w:sz w:val="22"/>
          <w:szCs w:val="22"/>
        </w:rPr>
        <w:t>.</w:t>
      </w:r>
      <w:r w:rsidR="00C933B2">
        <w:rPr>
          <w:sz w:val="22"/>
          <w:szCs w:val="22"/>
        </w:rPr>
        <w:t xml:space="preserve"> </w:t>
      </w:r>
      <w:r w:rsidRPr="00727BA5">
        <w:rPr>
          <w:sz w:val="22"/>
          <w:szCs w:val="22"/>
        </w:rPr>
        <w:t>The FCC also took steps to clean up issues with the program’s design originating from its adoption in 2020.</w:t>
      </w:r>
      <w:r w:rsidR="00C933B2">
        <w:rPr>
          <w:sz w:val="22"/>
          <w:szCs w:val="22"/>
        </w:rPr>
        <w:t xml:space="preserve"> </w:t>
      </w:r>
      <w:r w:rsidRPr="00727BA5">
        <w:rPr>
          <w:sz w:val="22"/>
          <w:szCs w:val="22"/>
        </w:rPr>
        <w:t xml:space="preserve">As a result of this funding authorization, </w:t>
      </w:r>
      <w:r>
        <w:rPr>
          <w:sz w:val="22"/>
          <w:szCs w:val="22"/>
        </w:rPr>
        <w:t xml:space="preserve">forty eight </w:t>
      </w:r>
      <w:r w:rsidRPr="00727BA5">
        <w:rPr>
          <w:sz w:val="22"/>
          <w:szCs w:val="22"/>
        </w:rPr>
        <w:t>broadband providers will bring 1 Gbps broadband speeds to nearly 200,000 homes and businesses over the next 10 years.</w:t>
      </w:r>
      <w:r w:rsidR="00C933B2">
        <w:rPr>
          <w:sz w:val="22"/>
          <w:szCs w:val="22"/>
        </w:rPr>
        <w:t xml:space="preserve"> </w:t>
      </w:r>
    </w:p>
    <w:p w:rsidR="00E559C0" w:rsidRPr="00C00393" w:rsidP="00F407D3" w14:paraId="20E1357C" w14:textId="77777777">
      <w:pPr>
        <w:pStyle w:val="Heading5"/>
        <w:rPr>
          <w:sz w:val="22"/>
          <w:szCs w:val="22"/>
        </w:rPr>
      </w:pPr>
      <w:bookmarkStart w:id="37" w:name="_Toc88780621"/>
      <w:r w:rsidRPr="00C00393">
        <w:rPr>
          <w:sz w:val="22"/>
          <w:szCs w:val="22"/>
        </w:rPr>
        <w:t>Emergency Connectivity Fund</w:t>
      </w:r>
      <w:bookmarkEnd w:id="37"/>
    </w:p>
    <w:p w:rsidR="00E559C0" w:rsidRPr="00727BA5" w:rsidP="00E559C0" w14:paraId="7ACD88C5" w14:textId="4084C824">
      <w:pPr>
        <w:spacing w:before="240" w:after="240"/>
        <w:jc w:val="both"/>
        <w:rPr>
          <w:sz w:val="22"/>
          <w:szCs w:val="22"/>
        </w:rPr>
      </w:pPr>
      <w:r w:rsidRPr="00727BA5">
        <w:rPr>
          <w:sz w:val="22"/>
          <w:szCs w:val="22"/>
        </w:rPr>
        <w:t>The FCC adopted rules implementing the $7.17 billion program, funded by the American Rescue Plan Act of 2021, which enables schools and libraries to purchase laptop and tablet computers, Wi-Fi hotspots, and broadband connectivity for students, school staff, and library patrons in need during the COVID-19 pandemic.</w:t>
      </w:r>
      <w:r w:rsidR="00C933B2">
        <w:rPr>
          <w:sz w:val="22"/>
          <w:szCs w:val="22"/>
        </w:rPr>
        <w:t xml:space="preserve"> </w:t>
      </w:r>
    </w:p>
    <w:p w:rsidR="00E559C0" w:rsidRPr="00727BA5" w:rsidP="00853C4D" w14:paraId="3A04ECA5" w14:textId="06978C84">
      <w:pPr>
        <w:spacing w:before="240" w:after="240"/>
        <w:jc w:val="both"/>
        <w:rPr>
          <w:sz w:val="22"/>
          <w:szCs w:val="22"/>
        </w:rPr>
      </w:pPr>
      <w:r w:rsidRPr="00727BA5">
        <w:rPr>
          <w:sz w:val="22"/>
          <w:szCs w:val="22"/>
        </w:rPr>
        <w:t xml:space="preserve">The FCC announced that it was committing </w:t>
      </w:r>
      <w:r>
        <w:rPr>
          <w:sz w:val="22"/>
          <w:szCs w:val="22"/>
        </w:rPr>
        <w:t xml:space="preserve">over </w:t>
      </w:r>
      <w:r w:rsidRPr="00727BA5">
        <w:rPr>
          <w:sz w:val="22"/>
          <w:szCs w:val="22"/>
        </w:rPr>
        <w:t>$1</w:t>
      </w:r>
      <w:r>
        <w:rPr>
          <w:sz w:val="22"/>
          <w:szCs w:val="22"/>
        </w:rPr>
        <w:t>.2 billion</w:t>
      </w:r>
      <w:r w:rsidRPr="00727BA5">
        <w:rPr>
          <w:sz w:val="22"/>
          <w:szCs w:val="22"/>
        </w:rPr>
        <w:t xml:space="preserve"> for 3</w:t>
      </w:r>
      <w:r>
        <w:rPr>
          <w:sz w:val="22"/>
          <w:szCs w:val="22"/>
        </w:rPr>
        <w:t>,</w:t>
      </w:r>
      <w:r w:rsidRPr="00727BA5">
        <w:rPr>
          <w:sz w:val="22"/>
          <w:szCs w:val="22"/>
        </w:rPr>
        <w:t>040 schools, 260 libraries, and 24 consortia that applied for support from the Emergency Connectivity Fund Program.</w:t>
      </w:r>
      <w:r w:rsidR="00C933B2">
        <w:rPr>
          <w:sz w:val="22"/>
          <w:szCs w:val="22"/>
        </w:rPr>
        <w:t xml:space="preserve"> </w:t>
      </w:r>
      <w:r w:rsidRPr="00727BA5">
        <w:rPr>
          <w:sz w:val="22"/>
          <w:szCs w:val="22"/>
        </w:rPr>
        <w:t>The first wave of funding commitments will provide students, school staff, and library patrons in all 50 states and Guam, Puerto Rico</w:t>
      </w:r>
      <w:r>
        <w:rPr>
          <w:sz w:val="22"/>
          <w:szCs w:val="22"/>
        </w:rPr>
        <w:t>,</w:t>
      </w:r>
      <w:r w:rsidRPr="00727BA5">
        <w:rPr>
          <w:sz w:val="22"/>
          <w:szCs w:val="22"/>
        </w:rPr>
        <w:t xml:space="preserve"> and the District of Columbia access to the devices and broadband connectivity they need to support their off-campus education needs.</w:t>
      </w:r>
      <w:r w:rsidR="00C933B2">
        <w:rPr>
          <w:sz w:val="22"/>
          <w:szCs w:val="22"/>
        </w:rPr>
        <w:t xml:space="preserve"> </w:t>
      </w:r>
      <w:r w:rsidRPr="00727BA5">
        <w:rPr>
          <w:sz w:val="22"/>
          <w:szCs w:val="22"/>
        </w:rPr>
        <w:t>The funding will support 3,081,131 devices and 774,115 broadband connections and help connect over 3.6 million students who would otherwise lack access.</w:t>
      </w:r>
    </w:p>
    <w:p w:rsidR="00E559C0" w:rsidRPr="00AC34A9" w:rsidP="00F407D3" w14:paraId="69F7522D" w14:textId="77777777">
      <w:pPr>
        <w:pStyle w:val="Heading5"/>
        <w:rPr>
          <w:sz w:val="22"/>
          <w:szCs w:val="22"/>
        </w:rPr>
      </w:pPr>
      <w:bookmarkStart w:id="38" w:name="_Toc88780622"/>
      <w:r w:rsidRPr="00AC34A9">
        <w:rPr>
          <w:sz w:val="22"/>
          <w:szCs w:val="22"/>
        </w:rPr>
        <w:t>COVID 19- Telehealth Program</w:t>
      </w:r>
      <w:bookmarkEnd w:id="38"/>
    </w:p>
    <w:p w:rsidR="00E559C0" w:rsidRPr="00727BA5" w:rsidP="006C6130" w14:paraId="50187930" w14:textId="2F9BE37B">
      <w:pPr>
        <w:spacing w:before="240" w:after="240"/>
        <w:jc w:val="both"/>
        <w:rPr>
          <w:sz w:val="22"/>
          <w:szCs w:val="22"/>
        </w:rPr>
      </w:pPr>
      <w:r w:rsidRPr="00727BA5">
        <w:rPr>
          <w:sz w:val="22"/>
          <w:szCs w:val="22"/>
        </w:rPr>
        <w:t>The FCC approved a total of over $83 million in funding applications for Round 2 of its COVID-19 Telehealth Program, a $249.95 million federal initiative that builds on the $200 million program established as part of the Coronavirus Aid, Relief, and Economic Security (CARES) Act.</w:t>
      </w:r>
      <w:r w:rsidR="00C933B2">
        <w:rPr>
          <w:sz w:val="22"/>
          <w:szCs w:val="22"/>
        </w:rPr>
        <w:t xml:space="preserve"> </w:t>
      </w:r>
      <w:r w:rsidRPr="00727BA5">
        <w:rPr>
          <w:sz w:val="22"/>
          <w:szCs w:val="22"/>
        </w:rPr>
        <w:t xml:space="preserve">The FCC approved an initial set of 62 applications for funding commitments totaling $41.98 million for Round 2, and </w:t>
      </w:r>
      <w:r>
        <w:rPr>
          <w:sz w:val="22"/>
          <w:szCs w:val="22"/>
        </w:rPr>
        <w:t xml:space="preserve">then approved </w:t>
      </w:r>
      <w:r w:rsidRPr="00727BA5">
        <w:rPr>
          <w:sz w:val="22"/>
          <w:szCs w:val="22"/>
        </w:rPr>
        <w:t>an</w:t>
      </w:r>
      <w:r>
        <w:rPr>
          <w:sz w:val="22"/>
          <w:szCs w:val="22"/>
        </w:rPr>
        <w:t>other</w:t>
      </w:r>
      <w:r w:rsidRPr="00727BA5">
        <w:rPr>
          <w:sz w:val="22"/>
          <w:szCs w:val="22"/>
        </w:rPr>
        <w:t xml:space="preserve"> 72 applications for funding commitments totaling $41</w:t>
      </w:r>
      <w:r>
        <w:rPr>
          <w:sz w:val="22"/>
          <w:szCs w:val="22"/>
        </w:rPr>
        <w:t>.11 million</w:t>
      </w:r>
      <w:r w:rsidRPr="00727BA5">
        <w:rPr>
          <w:sz w:val="22"/>
          <w:szCs w:val="22"/>
        </w:rPr>
        <w:t>.</w:t>
      </w:r>
      <w:r w:rsidR="00C933B2">
        <w:rPr>
          <w:sz w:val="22"/>
          <w:szCs w:val="22"/>
        </w:rPr>
        <w:t xml:space="preserve"> </w:t>
      </w:r>
      <w:r w:rsidRPr="00727BA5">
        <w:rPr>
          <w:sz w:val="22"/>
          <w:szCs w:val="22"/>
        </w:rPr>
        <w:t>The program supports the efforts of health care providers to continue serving their patients by providing telecommunications services, information services, and connected devices necessary to enable telehealth during the COVID-19 pandemic.</w:t>
      </w:r>
      <w:r w:rsidR="00C933B2">
        <w:rPr>
          <w:sz w:val="22"/>
          <w:szCs w:val="22"/>
        </w:rPr>
        <w:t xml:space="preserve"> </w:t>
      </w:r>
    </w:p>
    <w:p w:rsidR="00E559C0" w:rsidRPr="002624B5" w:rsidP="00F407D3" w14:paraId="55EE1568" w14:textId="77777777">
      <w:pPr>
        <w:pStyle w:val="Heading5"/>
        <w:rPr>
          <w:sz w:val="22"/>
          <w:szCs w:val="22"/>
        </w:rPr>
      </w:pPr>
      <w:bookmarkStart w:id="39" w:name="_Toc88780623"/>
      <w:r w:rsidRPr="002624B5">
        <w:rPr>
          <w:sz w:val="22"/>
          <w:szCs w:val="22"/>
        </w:rPr>
        <w:t>Emergency Broadband Benefit Program</w:t>
      </w:r>
      <w:bookmarkEnd w:id="39"/>
    </w:p>
    <w:p w:rsidR="00E559C0" w:rsidRPr="00727BA5" w:rsidP="00D913AA" w14:paraId="29B810FF" w14:textId="5496B750">
      <w:pPr>
        <w:spacing w:after="240"/>
        <w:jc w:val="both"/>
        <w:rPr>
          <w:sz w:val="22"/>
          <w:szCs w:val="22"/>
        </w:rPr>
      </w:pPr>
      <w:r w:rsidRPr="00727BA5">
        <w:rPr>
          <w:sz w:val="22"/>
          <w:szCs w:val="22"/>
        </w:rPr>
        <w:t xml:space="preserve">Over </w:t>
      </w:r>
      <w:r w:rsidR="003318AB">
        <w:rPr>
          <w:sz w:val="22"/>
          <w:szCs w:val="22"/>
        </w:rPr>
        <w:t xml:space="preserve">six </w:t>
      </w:r>
      <w:r w:rsidRPr="00727BA5">
        <w:rPr>
          <w:sz w:val="22"/>
          <w:szCs w:val="22"/>
        </w:rPr>
        <w:t>million households have enrolled in the Emergency Broadband Benefit Program since its launch in mid-May.</w:t>
      </w:r>
      <w:r w:rsidR="00C933B2">
        <w:rPr>
          <w:sz w:val="22"/>
          <w:szCs w:val="22"/>
        </w:rPr>
        <w:t xml:space="preserve"> </w:t>
      </w:r>
      <w:r w:rsidRPr="00727BA5">
        <w:rPr>
          <w:sz w:val="22"/>
          <w:szCs w:val="22"/>
        </w:rPr>
        <w:t xml:space="preserve">The Emergency Broadband Benefit Program is a $3.2 billion federal initiative to provide </w:t>
      </w:r>
      <w:r w:rsidRPr="00727BA5">
        <w:rPr>
          <w:sz w:val="22"/>
          <w:szCs w:val="22"/>
        </w:rPr>
        <w:t>qualifying households discounts on their internet service bills and an opportunity to receive a discount on a computer or tablet.</w:t>
      </w:r>
      <w:r w:rsidR="00C933B2">
        <w:rPr>
          <w:sz w:val="22"/>
          <w:szCs w:val="22"/>
        </w:rPr>
        <w:t xml:space="preserve"> </w:t>
      </w:r>
      <w:r>
        <w:rPr>
          <w:sz w:val="22"/>
          <w:szCs w:val="22"/>
        </w:rPr>
        <w:t xml:space="preserve">This program </w:t>
      </w:r>
      <w:r w:rsidRPr="00727BA5">
        <w:rPr>
          <w:sz w:val="22"/>
          <w:szCs w:val="22"/>
        </w:rPr>
        <w:t>provides eligible households with discounts of up to $50 a month for broadband service, and up to $75 a month if the household is on Tribal lands.</w:t>
      </w:r>
      <w:r w:rsidR="00C933B2">
        <w:rPr>
          <w:sz w:val="22"/>
          <w:szCs w:val="22"/>
        </w:rPr>
        <w:t xml:space="preserve"> </w:t>
      </w:r>
      <w:r w:rsidRPr="00727BA5">
        <w:rPr>
          <w:sz w:val="22"/>
          <w:szCs w:val="22"/>
        </w:rPr>
        <w:t>It also provides a one-time discount of up to $100 on a computer or tablet for eligible households.</w:t>
      </w:r>
      <w:r w:rsidR="00C933B2">
        <w:rPr>
          <w:sz w:val="22"/>
          <w:szCs w:val="22"/>
        </w:rPr>
        <w:t xml:space="preserve"> </w:t>
      </w:r>
    </w:p>
    <w:p w:rsidR="00E559C0" w:rsidRPr="0003681B" w:rsidP="00F407D3" w14:paraId="1570D4CA" w14:textId="77777777">
      <w:pPr>
        <w:pStyle w:val="Heading5"/>
        <w:rPr>
          <w:sz w:val="22"/>
          <w:szCs w:val="22"/>
        </w:rPr>
      </w:pPr>
      <w:bookmarkStart w:id="40" w:name="_Toc88780624"/>
      <w:r w:rsidRPr="0003681B">
        <w:rPr>
          <w:sz w:val="22"/>
          <w:szCs w:val="22"/>
        </w:rPr>
        <w:t>Connected Care Pilot</w:t>
      </w:r>
      <w:bookmarkEnd w:id="40"/>
    </w:p>
    <w:p w:rsidR="00E559C0" w:rsidRPr="00727BA5" w:rsidP="00E559C0" w14:paraId="24A00E2B" w14:textId="3B14BF88">
      <w:pPr>
        <w:spacing w:after="240"/>
        <w:jc w:val="both"/>
        <w:rPr>
          <w:sz w:val="22"/>
          <w:szCs w:val="22"/>
        </w:rPr>
      </w:pPr>
      <w:r w:rsidRPr="00727BA5">
        <w:rPr>
          <w:sz w:val="22"/>
          <w:szCs w:val="22"/>
        </w:rPr>
        <w:t>The FCC approved a Report and Order offering guidance on the administration of the $100 million Connected Care Pilot Program, including guidance on eligible services, competitive bidding, invoicing, and data reporting for selected participants.</w:t>
      </w:r>
      <w:r w:rsidR="00C933B2">
        <w:rPr>
          <w:sz w:val="22"/>
          <w:szCs w:val="22"/>
        </w:rPr>
        <w:t xml:space="preserve"> </w:t>
      </w:r>
      <w:r w:rsidRPr="00727BA5">
        <w:rPr>
          <w:sz w:val="22"/>
          <w:szCs w:val="22"/>
        </w:rPr>
        <w:t xml:space="preserve">The FCC approved an initial set of 23 projects, followed by 36 additional pilot projects, bringing the total to over $57 million in funding for 59 pilot projects serving patients in 30 states plus Washington, DC. </w:t>
      </w:r>
    </w:p>
    <w:p w:rsidR="00E559C0" w:rsidRPr="0003681B" w:rsidP="00F407D3" w14:paraId="2B4C57B9" w14:textId="77777777">
      <w:pPr>
        <w:pStyle w:val="Heading5"/>
        <w:rPr>
          <w:sz w:val="22"/>
          <w:szCs w:val="22"/>
        </w:rPr>
      </w:pPr>
      <w:bookmarkStart w:id="41" w:name="_Toc88780625"/>
      <w:r w:rsidRPr="0003681B">
        <w:rPr>
          <w:sz w:val="22"/>
          <w:szCs w:val="22"/>
        </w:rPr>
        <w:t>Updating E-Rate</w:t>
      </w:r>
      <w:bookmarkEnd w:id="41"/>
    </w:p>
    <w:p w:rsidR="00E559C0" w:rsidP="0003681B" w14:paraId="3E096ABD" w14:textId="1A826533">
      <w:pPr>
        <w:spacing w:after="260"/>
        <w:jc w:val="both"/>
        <w:rPr>
          <w:sz w:val="22"/>
          <w:szCs w:val="22"/>
        </w:rPr>
      </w:pPr>
      <w:r w:rsidRPr="00C44C7B">
        <w:rPr>
          <w:sz w:val="22"/>
          <w:szCs w:val="22"/>
        </w:rPr>
        <w:t>The FCC proposed revisions to the definition of library in the E-Rate program rules to clarify that Tribal libraries are eligible to participate in the program.</w:t>
      </w:r>
      <w:r w:rsidR="00C933B2">
        <w:rPr>
          <w:sz w:val="22"/>
          <w:szCs w:val="22"/>
        </w:rPr>
        <w:t xml:space="preserve"> </w:t>
      </w:r>
      <w:r w:rsidRPr="00C44C7B">
        <w:rPr>
          <w:sz w:val="22"/>
          <w:szCs w:val="22"/>
        </w:rPr>
        <w:t>Some Tribal libraries have been unable to receive support from the program, which provides discounts on broadband services to schools and libraries, because they did not meet an outdated definition of a library in the Commission’s rules.</w:t>
      </w:r>
    </w:p>
    <w:p w:rsidR="00E559C0" w:rsidRPr="003A6BBC" w:rsidP="003925AF" w14:paraId="50F8FC10" w14:textId="77777777">
      <w:pPr>
        <w:pStyle w:val="Heading4"/>
        <w:spacing w:after="260"/>
        <w:rPr>
          <w:i/>
          <w:iCs/>
          <w:sz w:val="22"/>
          <w:szCs w:val="22"/>
        </w:rPr>
      </w:pPr>
      <w:bookmarkStart w:id="42" w:name="_Toc88780626"/>
      <w:r w:rsidRPr="003A6BBC">
        <w:rPr>
          <w:i/>
          <w:iCs/>
          <w:sz w:val="22"/>
          <w:szCs w:val="22"/>
        </w:rPr>
        <w:t>PROMOTING INNOVATION</w:t>
      </w:r>
      <w:bookmarkEnd w:id="42"/>
    </w:p>
    <w:p w:rsidR="00E559C0" w:rsidRPr="002D5631" w:rsidP="00330E48" w14:paraId="1F3CD8B1" w14:textId="6792B01A">
      <w:pPr>
        <w:spacing w:after="260"/>
        <w:jc w:val="both"/>
        <w:rPr>
          <w:b/>
          <w:i/>
          <w:sz w:val="22"/>
          <w:szCs w:val="22"/>
        </w:rPr>
      </w:pPr>
      <w:r w:rsidRPr="002D5631">
        <w:rPr>
          <w:b/>
          <w:i/>
          <w:sz w:val="22"/>
          <w:szCs w:val="22"/>
        </w:rPr>
        <w:t>Foster a competitive, dynamic, and innovate market for communications services through policies that promote the introduction of new technologies and services.</w:t>
      </w:r>
      <w:r w:rsidR="00C933B2">
        <w:rPr>
          <w:b/>
          <w:i/>
          <w:sz w:val="22"/>
          <w:szCs w:val="22"/>
        </w:rPr>
        <w:t xml:space="preserve"> </w:t>
      </w:r>
      <w:r w:rsidRPr="002D5631">
        <w:rPr>
          <w:b/>
          <w:i/>
          <w:sz w:val="22"/>
          <w:szCs w:val="22"/>
        </w:rPr>
        <w:t xml:space="preserve">Ensure that the FCC’s actions and regulations reflect the realities of the current marketplace, promote entrepreneurship, expand economic opportunity, and remove barriers to entry and investment. </w:t>
      </w:r>
    </w:p>
    <w:p w:rsidR="00E559C0" w:rsidRPr="00336D6C" w:rsidP="00FC3934" w14:paraId="682BCDC9" w14:textId="008B26E7">
      <w:pPr>
        <w:spacing w:after="200"/>
        <w:jc w:val="both"/>
        <w:rPr>
          <w:sz w:val="22"/>
          <w:szCs w:val="22"/>
        </w:rPr>
      </w:pPr>
      <w:r w:rsidRPr="00336D6C">
        <w:rPr>
          <w:sz w:val="22"/>
          <w:szCs w:val="22"/>
        </w:rPr>
        <w:t xml:space="preserve">The FCC took several actions to make additional spectrum available for 5G deployment: </w:t>
      </w:r>
    </w:p>
    <w:p w:rsidR="00E559C0" w:rsidRPr="00D913AA" w:rsidP="008B6E77" w14:paraId="73828F87" w14:textId="5C0D84E5">
      <w:pPr>
        <w:pStyle w:val="ListParagraph"/>
        <w:numPr>
          <w:ilvl w:val="0"/>
          <w:numId w:val="16"/>
        </w:numPr>
        <w:spacing w:line="221" w:lineRule="auto"/>
        <w:ind w:left="720"/>
        <w:jc w:val="both"/>
        <w:rPr>
          <w:sz w:val="22"/>
          <w:szCs w:val="22"/>
        </w:rPr>
      </w:pPr>
      <w:r w:rsidRPr="00D913AA">
        <w:rPr>
          <w:sz w:val="22"/>
          <w:szCs w:val="22"/>
        </w:rPr>
        <w:t>The FCC made mid-band spectrum in the 3.45-3.55 GHz band available for auction by reallocating 100 megahertz in the 3.45 GHz band for flexible use wireless services.</w:t>
      </w:r>
      <w:r w:rsidRPr="00D913AA" w:rsidR="00C933B2">
        <w:rPr>
          <w:sz w:val="22"/>
          <w:szCs w:val="22"/>
        </w:rPr>
        <w:t xml:space="preserve"> </w:t>
      </w:r>
      <w:r w:rsidRPr="00D913AA">
        <w:rPr>
          <w:sz w:val="22"/>
          <w:szCs w:val="22"/>
        </w:rPr>
        <w:t>The FCC also sought comment on procedures for Auction 110, in which spectrum will be divided into ten 10-megahertz blocks licensed by geographic areas known as Partial Economic Areas (PEAs).</w:t>
      </w:r>
    </w:p>
    <w:p w:rsidR="00E559C0" w:rsidRPr="00D913AA" w:rsidP="008B6E77" w14:paraId="72C92361" w14:textId="126FE92A">
      <w:pPr>
        <w:pStyle w:val="ListParagraph"/>
        <w:numPr>
          <w:ilvl w:val="0"/>
          <w:numId w:val="16"/>
        </w:numPr>
        <w:spacing w:line="221" w:lineRule="auto"/>
        <w:ind w:left="720"/>
        <w:jc w:val="both"/>
        <w:rPr>
          <w:sz w:val="22"/>
          <w:szCs w:val="22"/>
        </w:rPr>
      </w:pPr>
      <w:r w:rsidRPr="00D913AA">
        <w:rPr>
          <w:sz w:val="22"/>
          <w:szCs w:val="22"/>
        </w:rPr>
        <w:t>The Wireless Telecommunications Bureau (WTB) granted 222 applications for Priority Access Licenses won in the 3.5 GHz auction (Auction 105).</w:t>
      </w:r>
      <w:r w:rsidRPr="00D913AA" w:rsidR="00C933B2">
        <w:rPr>
          <w:sz w:val="22"/>
          <w:szCs w:val="22"/>
        </w:rPr>
        <w:t xml:space="preserve"> </w:t>
      </w:r>
      <w:r w:rsidRPr="00D913AA">
        <w:rPr>
          <w:sz w:val="22"/>
          <w:szCs w:val="22"/>
        </w:rPr>
        <w:t>These applications represent 17,450 Priority Access Licenses.</w:t>
      </w:r>
      <w:r w:rsidRPr="00D913AA" w:rsidR="00C933B2">
        <w:rPr>
          <w:sz w:val="22"/>
          <w:szCs w:val="22"/>
        </w:rPr>
        <w:t xml:space="preserve"> </w:t>
      </w:r>
      <w:r w:rsidRPr="00D913AA">
        <w:rPr>
          <w:sz w:val="22"/>
          <w:szCs w:val="22"/>
        </w:rPr>
        <w:t>Subsequently, 13 additional applications were granted, representing 125 licenses.</w:t>
      </w:r>
      <w:r w:rsidRPr="00D913AA" w:rsidR="00C933B2">
        <w:rPr>
          <w:sz w:val="22"/>
          <w:szCs w:val="22"/>
        </w:rPr>
        <w:t xml:space="preserve"> </w:t>
      </w:r>
    </w:p>
    <w:p w:rsidR="00E559C0" w:rsidRPr="00D913AA" w:rsidP="008B6E77" w14:paraId="295F2B76" w14:textId="3491BEDB">
      <w:pPr>
        <w:pStyle w:val="ListParagraph"/>
        <w:numPr>
          <w:ilvl w:val="0"/>
          <w:numId w:val="16"/>
        </w:numPr>
        <w:spacing w:line="221" w:lineRule="auto"/>
        <w:ind w:left="720"/>
        <w:jc w:val="both"/>
        <w:rPr>
          <w:sz w:val="22"/>
          <w:szCs w:val="22"/>
        </w:rPr>
      </w:pPr>
      <w:r w:rsidRPr="00D913AA">
        <w:rPr>
          <w:sz w:val="22"/>
          <w:szCs w:val="22"/>
        </w:rPr>
        <w:t>WTB granted 5,676 licenses in the 3.7 GHz service (3.7 to 3.98 GHz, also referred to as the C-band) following completion of Auction 107.</w:t>
      </w:r>
      <w:r w:rsidRPr="00D913AA" w:rsidR="00C933B2">
        <w:rPr>
          <w:sz w:val="22"/>
          <w:szCs w:val="22"/>
        </w:rPr>
        <w:t xml:space="preserve"> </w:t>
      </w:r>
    </w:p>
    <w:p w:rsidR="00E559C0" w:rsidRPr="00D913AA" w:rsidP="008B6E77" w14:paraId="43132502" w14:textId="5E5DDA93">
      <w:pPr>
        <w:pStyle w:val="ListParagraph"/>
        <w:numPr>
          <w:ilvl w:val="0"/>
          <w:numId w:val="16"/>
        </w:numPr>
        <w:spacing w:line="221" w:lineRule="auto"/>
        <w:ind w:left="720"/>
        <w:jc w:val="both"/>
        <w:rPr>
          <w:sz w:val="22"/>
          <w:szCs w:val="22"/>
        </w:rPr>
      </w:pPr>
      <w:r w:rsidRPr="00D913AA">
        <w:rPr>
          <w:sz w:val="22"/>
          <w:szCs w:val="22"/>
        </w:rPr>
        <w:t>WTB and Office of Engineering and Technology took three actions related to 3.5 GHz Environmental Sensing Capability (ESC) and Spectrum Access Systems (SAS) approvals.</w:t>
      </w:r>
      <w:r w:rsidRPr="00D913AA" w:rsidR="00C933B2">
        <w:rPr>
          <w:sz w:val="22"/>
          <w:szCs w:val="22"/>
        </w:rPr>
        <w:t xml:space="preserve"> </w:t>
      </w:r>
    </w:p>
    <w:p w:rsidR="00E559C0" w:rsidRPr="00D913AA" w:rsidP="008B6E77" w14:paraId="507FA115" w14:textId="64584B0D">
      <w:pPr>
        <w:pStyle w:val="ListParagraph"/>
        <w:numPr>
          <w:ilvl w:val="0"/>
          <w:numId w:val="16"/>
        </w:numPr>
        <w:spacing w:after="240" w:line="221" w:lineRule="auto"/>
        <w:ind w:left="720"/>
        <w:jc w:val="both"/>
      </w:pPr>
      <w:r w:rsidRPr="00D913AA">
        <w:rPr>
          <w:sz w:val="22"/>
          <w:szCs w:val="22"/>
        </w:rPr>
        <w:t>WTB</w:t>
      </w:r>
      <w:hyperlink r:id="rId31" w:history="1">
        <w:r w:rsidRPr="00D913AA">
          <w:rPr>
            <w:sz w:val="22"/>
            <w:szCs w:val="22"/>
          </w:rPr>
          <w:t xml:space="preserve"> granted</w:t>
        </w:r>
      </w:hyperlink>
      <w:r w:rsidRPr="00D913AA">
        <w:rPr>
          <w:sz w:val="22"/>
          <w:szCs w:val="22"/>
        </w:rPr>
        <w:t xml:space="preserve"> an additional 21 spectrum licenses in the 2.5 GHz band to help connect rural Tribal communities filed in the Rural Tribal Priority Window.</w:t>
      </w:r>
      <w:r w:rsidRPr="00D913AA" w:rsidR="00C933B2">
        <w:rPr>
          <w:sz w:val="22"/>
          <w:szCs w:val="22"/>
        </w:rPr>
        <w:t xml:space="preserve"> </w:t>
      </w:r>
      <w:r w:rsidRPr="00D913AA">
        <w:rPr>
          <w:sz w:val="22"/>
          <w:szCs w:val="22"/>
        </w:rPr>
        <w:t>WTB also granted an additional 6 spectrum licenses to Tribal entities in Alaska. To date, the agency has granted 270 licenses to Tribal entities</w:t>
      </w:r>
      <w:r w:rsidRPr="00D913AA">
        <w:t>.</w:t>
      </w:r>
      <w:r w:rsidRPr="00D913AA">
        <w:t xml:space="preserve"> </w:t>
      </w:r>
    </w:p>
    <w:p w:rsidR="00E559C0" w:rsidRPr="00336D6C" w:rsidP="003779AE" w14:paraId="4B5376EC" w14:textId="128D21AE">
      <w:pPr>
        <w:spacing w:after="260"/>
        <w:jc w:val="both"/>
        <w:rPr>
          <w:sz w:val="22"/>
          <w:szCs w:val="22"/>
        </w:rPr>
      </w:pPr>
      <w:r w:rsidRPr="00336D6C">
        <w:rPr>
          <w:sz w:val="22"/>
          <w:szCs w:val="22"/>
        </w:rPr>
        <w:t>The FCC updated its radio frequency device marketing and importation rules to accelerate the timeframe for developing and releasing new wireless devices.</w:t>
      </w:r>
      <w:r w:rsidR="00C933B2">
        <w:rPr>
          <w:sz w:val="22"/>
          <w:szCs w:val="22"/>
        </w:rPr>
        <w:t xml:space="preserve"> </w:t>
      </w:r>
      <w:r w:rsidRPr="00336D6C">
        <w:rPr>
          <w:sz w:val="22"/>
          <w:szCs w:val="22"/>
        </w:rPr>
        <w:t xml:space="preserve">The rules will give innovators more flexibility to engage in crowdfunding and other popular marketing campaigns and, in specific cases, to import devices still under equipment authorization review. </w:t>
      </w:r>
    </w:p>
    <w:p w:rsidR="00E559C0" w:rsidRPr="00336D6C" w:rsidP="00E559C0" w14:paraId="5C0622D6" w14:textId="1E9B7CC5">
      <w:pPr>
        <w:spacing w:before="240" w:after="240"/>
        <w:jc w:val="both"/>
        <w:rPr>
          <w:sz w:val="22"/>
          <w:szCs w:val="22"/>
        </w:rPr>
      </w:pPr>
      <w:r w:rsidRPr="00336D6C">
        <w:rPr>
          <w:sz w:val="22"/>
          <w:szCs w:val="22"/>
        </w:rPr>
        <w:t>The FCC adopted rules to bolster the U.S. commercial space industry’s access to spectrum needed for successful rocket launches.</w:t>
      </w:r>
      <w:r w:rsidR="00C933B2">
        <w:rPr>
          <w:sz w:val="22"/>
          <w:szCs w:val="22"/>
        </w:rPr>
        <w:t xml:space="preserve"> </w:t>
      </w:r>
      <w:r w:rsidRPr="00336D6C">
        <w:rPr>
          <w:sz w:val="22"/>
          <w:szCs w:val="22"/>
        </w:rPr>
        <w:t xml:space="preserve">These rules lay the groundwork for giving private space travel and satellite </w:t>
      </w:r>
      <w:r w:rsidRPr="00336D6C">
        <w:rPr>
          <w:sz w:val="22"/>
          <w:szCs w:val="22"/>
        </w:rPr>
        <w:t>launch companies access to spectrum in the 2200-2290 MHz band for transmissions from space launch vehicles during pre-launch testing and space launch operations.</w:t>
      </w:r>
    </w:p>
    <w:p w:rsidR="00E559C0" w:rsidRPr="00336D6C" w:rsidP="00E559C0" w14:paraId="7273432E" w14:textId="17C5C2C7">
      <w:pPr>
        <w:spacing w:after="240"/>
        <w:jc w:val="both"/>
        <w:rPr>
          <w:sz w:val="22"/>
          <w:szCs w:val="22"/>
        </w:rPr>
      </w:pPr>
      <w:r w:rsidRPr="00336D6C">
        <w:rPr>
          <w:sz w:val="22"/>
          <w:szCs w:val="22"/>
        </w:rPr>
        <w:t>The FCC adopted new sponsorship identification requirements to require broadcasters to disclose when foreign governments or their representatives lease time on their airwaves.</w:t>
      </w:r>
      <w:r w:rsidR="00C933B2">
        <w:rPr>
          <w:sz w:val="22"/>
          <w:szCs w:val="22"/>
        </w:rPr>
        <w:t xml:space="preserve"> </w:t>
      </w:r>
    </w:p>
    <w:p w:rsidR="00E559C0" w:rsidRPr="00336D6C" w:rsidP="00E559C0" w14:paraId="4AE53AF0" w14:textId="30CA87C7">
      <w:pPr>
        <w:spacing w:after="240"/>
        <w:jc w:val="both"/>
        <w:rPr>
          <w:sz w:val="22"/>
          <w:szCs w:val="22"/>
        </w:rPr>
      </w:pPr>
      <w:r w:rsidRPr="00336D6C">
        <w:rPr>
          <w:sz w:val="22"/>
          <w:szCs w:val="22"/>
        </w:rPr>
        <w:t>The FCC sought comment on updated rules for short-range radars in the 60 GHz spectrum band.</w:t>
      </w:r>
      <w:r w:rsidR="00C933B2">
        <w:rPr>
          <w:sz w:val="22"/>
          <w:szCs w:val="22"/>
        </w:rPr>
        <w:t xml:space="preserve"> </w:t>
      </w:r>
      <w:r w:rsidRPr="00336D6C">
        <w:rPr>
          <w:sz w:val="22"/>
          <w:szCs w:val="22"/>
        </w:rPr>
        <w:t>Radar sensing technology has been used to enable in-car radar-based technology to monitor for children left in dangerous, hot cars and touchless control of devices, including to promote accessibility for users with mobility or speech impairments.</w:t>
      </w:r>
      <w:r w:rsidR="00C933B2">
        <w:rPr>
          <w:sz w:val="22"/>
          <w:szCs w:val="22"/>
        </w:rPr>
        <w:t xml:space="preserve"> </w:t>
      </w:r>
    </w:p>
    <w:p w:rsidR="00E559C0" w:rsidRPr="00336D6C" w:rsidP="00E559C0" w14:paraId="5712F382" w14:textId="59DB26C7">
      <w:pPr>
        <w:spacing w:after="240"/>
        <w:jc w:val="both"/>
        <w:rPr>
          <w:sz w:val="22"/>
          <w:szCs w:val="22"/>
        </w:rPr>
      </w:pPr>
      <w:r w:rsidRPr="00336D6C">
        <w:rPr>
          <w:sz w:val="22"/>
          <w:szCs w:val="22"/>
        </w:rPr>
        <w:t>The FCC sought comment on allowing Wireless Multi-Channel Audio Systems (WMAS), on a licensed basis in frequency bands where wireless microphones already are currently authorized.</w:t>
      </w:r>
      <w:r w:rsidR="00C933B2">
        <w:rPr>
          <w:sz w:val="22"/>
          <w:szCs w:val="22"/>
        </w:rPr>
        <w:t xml:space="preserve"> </w:t>
      </w:r>
      <w:r w:rsidRPr="00336D6C">
        <w:rPr>
          <w:sz w:val="22"/>
          <w:szCs w:val="22"/>
        </w:rPr>
        <w:t xml:space="preserve">WMAS is an emerging wireless microphone technology that would enable more microphones per megahertz of spectrum, an efficiency that can benefit music venues or convention centers with multiple performers or speakers. </w:t>
      </w:r>
    </w:p>
    <w:p w:rsidR="00E559C0" w:rsidRPr="00336D6C" w:rsidP="00073F1E" w14:paraId="0D14B8C4" w14:textId="015E9A59">
      <w:pPr>
        <w:spacing w:after="240"/>
        <w:jc w:val="both"/>
        <w:rPr>
          <w:i/>
          <w:sz w:val="22"/>
          <w:szCs w:val="22"/>
        </w:rPr>
      </w:pPr>
      <w:r w:rsidRPr="00336D6C">
        <w:rPr>
          <w:sz w:val="22"/>
          <w:szCs w:val="22"/>
        </w:rPr>
        <w:t>The FCC created new innovation zones in and nearby North Carolina State University in Raleigh, North Carolina and Northeastern University in Boston, Massachusetts to allow for advanced wireless communications and network innovation research.</w:t>
      </w:r>
      <w:r w:rsidR="00C933B2">
        <w:rPr>
          <w:sz w:val="22"/>
          <w:szCs w:val="22"/>
        </w:rPr>
        <w:t xml:space="preserve"> </w:t>
      </w:r>
    </w:p>
    <w:p w:rsidR="00E559C0" w:rsidRPr="00073F1E" w:rsidP="00B914C2" w14:paraId="6F00F850" w14:textId="77777777">
      <w:pPr>
        <w:pStyle w:val="StyleHeading411ptItalic"/>
        <w:rPr>
          <w:sz w:val="22"/>
          <w:szCs w:val="22"/>
        </w:rPr>
      </w:pPr>
      <w:bookmarkStart w:id="43" w:name="_Toc88780627"/>
      <w:r w:rsidRPr="00073F1E">
        <w:rPr>
          <w:sz w:val="22"/>
          <w:szCs w:val="22"/>
        </w:rPr>
        <w:t>PROTECTING CONSUMERS AND PUBLIC SAFETY</w:t>
      </w:r>
      <w:bookmarkEnd w:id="43"/>
    </w:p>
    <w:p w:rsidR="00E559C0" w:rsidP="00F5716D" w14:paraId="13430F59" w14:textId="77777777">
      <w:pPr>
        <w:spacing w:after="240"/>
        <w:jc w:val="both"/>
        <w:rPr>
          <w:b/>
          <w:i/>
          <w:sz w:val="22"/>
          <w:szCs w:val="22"/>
        </w:rPr>
      </w:pPr>
      <w:r w:rsidRPr="002D5631">
        <w:rPr>
          <w:b/>
          <w:i/>
          <w:sz w:val="22"/>
          <w:szCs w:val="22"/>
        </w:rPr>
        <w:t>Develop policies that promote the public interest by providing consumers with freedom from unwanted and intrusive communications, improving the quality of communications services available to those with disabilities, and protecting public safety.</w:t>
      </w:r>
    </w:p>
    <w:p w:rsidR="00E559C0" w:rsidRPr="00C472C6" w:rsidP="00F407D3" w14:paraId="2634C5E7" w14:textId="77777777">
      <w:pPr>
        <w:pStyle w:val="Heading5"/>
        <w:rPr>
          <w:sz w:val="22"/>
          <w:szCs w:val="22"/>
        </w:rPr>
      </w:pPr>
      <w:bookmarkStart w:id="44" w:name="_Toc88780628"/>
      <w:r w:rsidRPr="00C472C6">
        <w:rPr>
          <w:sz w:val="22"/>
          <w:szCs w:val="22"/>
        </w:rPr>
        <w:t>Robocall Related Actions</w:t>
      </w:r>
      <w:bookmarkEnd w:id="44"/>
    </w:p>
    <w:p w:rsidR="00E559C0" w:rsidRPr="00336D6C" w:rsidP="00E559C0" w14:paraId="519905E9" w14:textId="77777777">
      <w:pPr>
        <w:spacing w:after="240"/>
        <w:rPr>
          <w:sz w:val="22"/>
          <w:szCs w:val="22"/>
        </w:rPr>
      </w:pPr>
      <w:r w:rsidRPr="00336D6C">
        <w:rPr>
          <w:sz w:val="22"/>
          <w:szCs w:val="22"/>
        </w:rPr>
        <w:t xml:space="preserve">The FCC continued to act aggressively to target and eliminate unlawful robocalls: </w:t>
      </w:r>
    </w:p>
    <w:p w:rsidR="00E559C0" w:rsidRPr="00DB0109" w:rsidP="00B236CF" w14:paraId="7684910F" w14:textId="6D7F8F48">
      <w:pPr>
        <w:pStyle w:val="ListParagraph"/>
        <w:numPr>
          <w:ilvl w:val="0"/>
          <w:numId w:val="17"/>
        </w:numPr>
        <w:spacing w:line="226" w:lineRule="auto"/>
        <w:ind w:left="720"/>
        <w:contextualSpacing/>
        <w:jc w:val="both"/>
        <w:rPr>
          <w:sz w:val="22"/>
          <w:szCs w:val="22"/>
        </w:rPr>
      </w:pPr>
      <w:r w:rsidRPr="00DB0109">
        <w:rPr>
          <w:sz w:val="22"/>
          <w:szCs w:val="22"/>
        </w:rPr>
        <w:t>The FCC proposed rules to ensure networks that serve as entry points for foreign-originated phone calls do their part to prevent traffic from illegal robocalls.</w:t>
      </w:r>
      <w:r w:rsidRPr="00DB0109" w:rsidR="00C933B2">
        <w:rPr>
          <w:sz w:val="22"/>
          <w:szCs w:val="22"/>
        </w:rPr>
        <w:t xml:space="preserve"> </w:t>
      </w:r>
      <w:r w:rsidRPr="00DB0109">
        <w:rPr>
          <w:sz w:val="22"/>
          <w:szCs w:val="22"/>
        </w:rPr>
        <w:t>The proposed rules would require these companies to apply STIR/SHAKEN caller ID authentication to, and perform robocall mitigation on, all foreign-originated calls with U.S. numbers.</w:t>
      </w:r>
      <w:r w:rsidRPr="00DB0109" w:rsidR="00C933B2">
        <w:rPr>
          <w:sz w:val="22"/>
          <w:szCs w:val="22"/>
        </w:rPr>
        <w:t xml:space="preserve"> </w:t>
      </w:r>
      <w:r w:rsidRPr="00DB0109">
        <w:rPr>
          <w:sz w:val="22"/>
          <w:szCs w:val="22"/>
        </w:rPr>
        <w:t>Implementation of caller ID authentication using the STIR/SHAKEN framework reduces the effectiveness of illegal spoofing, helps law enforcement identify bad actors, and improves voice service providers’ blocking of robocalls using illegally spoofed caller ID information before those calls reach their subscribers.</w:t>
      </w:r>
      <w:r w:rsidRPr="00DB0109" w:rsidR="00C933B2">
        <w:rPr>
          <w:sz w:val="22"/>
          <w:szCs w:val="22"/>
        </w:rPr>
        <w:t xml:space="preserve"> </w:t>
      </w:r>
    </w:p>
    <w:p w:rsidR="00E559C0" w:rsidRPr="00DB0109" w:rsidP="00B236CF" w14:paraId="56BDEF59" w14:textId="70326F4A">
      <w:pPr>
        <w:pStyle w:val="ListParagraph"/>
        <w:numPr>
          <w:ilvl w:val="0"/>
          <w:numId w:val="17"/>
        </w:numPr>
        <w:spacing w:line="226" w:lineRule="auto"/>
        <w:ind w:left="720"/>
        <w:jc w:val="both"/>
        <w:rPr>
          <w:sz w:val="22"/>
          <w:szCs w:val="22"/>
        </w:rPr>
      </w:pPr>
      <w:r w:rsidRPr="00DB0109">
        <w:rPr>
          <w:sz w:val="22"/>
          <w:szCs w:val="22"/>
        </w:rPr>
        <w:t>The FCC adopted rules establishing a process to review actions affecting a voice service provider’s ability to comply with the STIR/SHAKEN caller ID authentication framework.</w:t>
      </w:r>
      <w:r w:rsidRPr="00DB0109" w:rsidR="00C933B2">
        <w:rPr>
          <w:sz w:val="22"/>
          <w:szCs w:val="22"/>
        </w:rPr>
        <w:t xml:space="preserve"> </w:t>
      </w:r>
      <w:r w:rsidRPr="00DB0109">
        <w:rPr>
          <w:sz w:val="22"/>
          <w:szCs w:val="22"/>
        </w:rPr>
        <w:t>To participate in STIR/SHAKEN, a provider must possess a digital “token” which the private Governance Authority that oversees the STIR/SHAKEN framework may revoke.</w:t>
      </w:r>
      <w:r w:rsidRPr="00DB0109" w:rsidR="00C933B2">
        <w:rPr>
          <w:sz w:val="22"/>
          <w:szCs w:val="22"/>
        </w:rPr>
        <w:t xml:space="preserve"> </w:t>
      </w:r>
    </w:p>
    <w:p w:rsidR="00E559C0" w:rsidRPr="00DB0109" w:rsidP="00B236CF" w14:paraId="4F940FC2" w14:textId="2E80ABF4">
      <w:pPr>
        <w:pStyle w:val="ListParagraph"/>
        <w:numPr>
          <w:ilvl w:val="0"/>
          <w:numId w:val="17"/>
        </w:numPr>
        <w:spacing w:line="226" w:lineRule="auto"/>
        <w:ind w:left="720"/>
        <w:jc w:val="both"/>
        <w:rPr>
          <w:sz w:val="22"/>
          <w:szCs w:val="22"/>
        </w:rPr>
      </w:pPr>
      <w:r w:rsidRPr="00DB0109">
        <w:rPr>
          <w:sz w:val="22"/>
          <w:szCs w:val="22"/>
        </w:rPr>
        <w:t>The FCC sought comment on shortening the amount of time afforded to certain small voice service providers for implementing caller ID authentication using the STIR/SHAKEN framework spoofed caller ID information before those calls reach subscribers.</w:t>
      </w:r>
    </w:p>
    <w:p w:rsidR="00E559C0" w:rsidRPr="00DB0109" w:rsidP="00B236CF" w14:paraId="7E2D6AED" w14:textId="7640ADC9">
      <w:pPr>
        <w:pStyle w:val="ListParagraph"/>
        <w:numPr>
          <w:ilvl w:val="0"/>
          <w:numId w:val="17"/>
        </w:numPr>
        <w:spacing w:line="226" w:lineRule="auto"/>
        <w:ind w:left="720"/>
        <w:jc w:val="both"/>
        <w:rPr>
          <w:sz w:val="22"/>
          <w:szCs w:val="22"/>
        </w:rPr>
      </w:pPr>
      <w:r w:rsidRPr="00DB0109">
        <w:rPr>
          <w:sz w:val="22"/>
          <w:szCs w:val="22"/>
        </w:rPr>
        <w:t>The FCC proposed new rules to protect 911 call centers, also known as Public Safety Answering Points (PSAPs), from unwanted robocalls.</w:t>
      </w:r>
      <w:r w:rsidRPr="00DB0109" w:rsidR="00C933B2">
        <w:rPr>
          <w:sz w:val="22"/>
          <w:szCs w:val="22"/>
        </w:rPr>
        <w:t xml:space="preserve"> </w:t>
      </w:r>
      <w:r w:rsidRPr="00DB0109">
        <w:rPr>
          <w:sz w:val="22"/>
          <w:szCs w:val="22"/>
        </w:rPr>
        <w:t>The Further Notice of Proposed Rulemaking would require voice service providers to block robocalls made to 911 call center telephone numbers listed on a PSAP Do-Not-Call registry.</w:t>
      </w:r>
      <w:r w:rsidRPr="00DB0109" w:rsidR="00C933B2">
        <w:rPr>
          <w:sz w:val="22"/>
          <w:szCs w:val="22"/>
        </w:rPr>
        <w:t xml:space="preserve"> </w:t>
      </w:r>
    </w:p>
    <w:p w:rsidR="00E559C0" w:rsidRPr="00DB0109" w:rsidP="00B236CF" w14:paraId="2F6C040E" w14:textId="77777777">
      <w:pPr>
        <w:pStyle w:val="ListParagraph"/>
        <w:numPr>
          <w:ilvl w:val="0"/>
          <w:numId w:val="17"/>
        </w:numPr>
        <w:spacing w:line="226" w:lineRule="auto"/>
        <w:ind w:left="720"/>
        <w:jc w:val="both"/>
        <w:rPr>
          <w:sz w:val="22"/>
          <w:szCs w:val="22"/>
        </w:rPr>
      </w:pPr>
      <w:r w:rsidRPr="00DB0109">
        <w:rPr>
          <w:sz w:val="22"/>
          <w:szCs w:val="22"/>
        </w:rPr>
        <w:t>The FCC proposed updating its rules governing interconnected VoIP providers’ direct access to phone numbers to address problems from the growth of widely available VoIP software that can allow bad actors to make spoofed robocalls.</w:t>
      </w:r>
    </w:p>
    <w:p w:rsidR="00E559C0" w:rsidRPr="007E353F" w:rsidP="00B236CF" w14:paraId="5DE44D99" w14:textId="28AD4470">
      <w:pPr>
        <w:pStyle w:val="ListParagraph"/>
        <w:numPr>
          <w:ilvl w:val="0"/>
          <w:numId w:val="17"/>
        </w:numPr>
        <w:spacing w:line="226" w:lineRule="auto"/>
        <w:ind w:left="720"/>
        <w:jc w:val="both"/>
        <w:rPr>
          <w:sz w:val="22"/>
        </w:rPr>
      </w:pPr>
      <w:r w:rsidRPr="007E353F">
        <w:rPr>
          <w:sz w:val="22"/>
        </w:rPr>
        <w:t xml:space="preserve">The FCC released “Call Blocking Tools Available to Consumers,” a report on the call blocking and labeling services offered to consumers by voice service providers and third-party analytics </w:t>
      </w:r>
      <w:r w:rsidRPr="007E353F">
        <w:rPr>
          <w:sz w:val="22"/>
        </w:rPr>
        <w:t>companies.</w:t>
      </w:r>
      <w:r w:rsidRPr="007E353F" w:rsidR="00C933B2">
        <w:rPr>
          <w:sz w:val="22"/>
        </w:rPr>
        <w:t xml:space="preserve"> </w:t>
      </w:r>
      <w:r w:rsidRPr="007E353F">
        <w:rPr>
          <w:sz w:val="22"/>
        </w:rPr>
        <w:t>Providers report that they are offering consumers more blocking tools and blocking more calls, but that not all consumers have opted into call blocking technologies offered by providers.</w:t>
      </w:r>
      <w:r w:rsidRPr="007E353F" w:rsidR="00C933B2">
        <w:rPr>
          <w:sz w:val="22"/>
        </w:rPr>
        <w:t xml:space="preserve"> </w:t>
      </w:r>
    </w:p>
    <w:p w:rsidR="00E559C0" w:rsidRPr="007E353F" w:rsidP="00B236CF" w14:paraId="1A81CF7C" w14:textId="77777777">
      <w:pPr>
        <w:pStyle w:val="ListParagraph"/>
        <w:numPr>
          <w:ilvl w:val="0"/>
          <w:numId w:val="17"/>
        </w:numPr>
        <w:spacing w:line="226" w:lineRule="auto"/>
        <w:ind w:left="720"/>
        <w:jc w:val="both"/>
        <w:rPr>
          <w:sz w:val="22"/>
        </w:rPr>
      </w:pPr>
      <w:r w:rsidRPr="007E353F">
        <w:rPr>
          <w:sz w:val="22"/>
        </w:rPr>
        <w:t>The FCC adopted rules establishing a formal system by which private entities like hospitals or other institutions can provide information about suspected robocall or spoofing campaigns directly to the FCC through a new online portal.</w:t>
      </w:r>
    </w:p>
    <w:p w:rsidR="00E559C0" w:rsidRPr="007E353F" w:rsidP="00B236CF" w14:paraId="010186EA" w14:textId="72417772">
      <w:pPr>
        <w:pStyle w:val="ListParagraph"/>
        <w:numPr>
          <w:ilvl w:val="0"/>
          <w:numId w:val="17"/>
        </w:numPr>
        <w:spacing w:line="226" w:lineRule="auto"/>
        <w:ind w:left="720"/>
        <w:jc w:val="both"/>
        <w:rPr>
          <w:sz w:val="22"/>
        </w:rPr>
      </w:pPr>
      <w:r w:rsidRPr="007E353F">
        <w:rPr>
          <w:sz w:val="22"/>
        </w:rPr>
        <w:t>The FCC launched the Robocall Mitigation Database through which voice service providers are required to inform the agency of their robocall mitigation efforts.</w:t>
      </w:r>
      <w:r w:rsidRPr="007E353F" w:rsidR="00C933B2">
        <w:rPr>
          <w:sz w:val="22"/>
        </w:rPr>
        <w:t xml:space="preserve"> </w:t>
      </w:r>
      <w:r w:rsidRPr="007E353F">
        <w:rPr>
          <w:sz w:val="22"/>
        </w:rPr>
        <w:t>Phone companies must refuse to accept traffic from voice service providers not listed in the Database.</w:t>
      </w:r>
      <w:r w:rsidRPr="007E353F" w:rsidR="00C933B2">
        <w:rPr>
          <w:sz w:val="22"/>
        </w:rPr>
        <w:t xml:space="preserve"> </w:t>
      </w:r>
      <w:r w:rsidRPr="007E353F">
        <w:rPr>
          <w:sz w:val="22"/>
        </w:rPr>
        <w:t>Companies granted an extension for compliance with the call authentication mandate contained in the TRACED Act and FCC rules – generally small companies and/or providers of non-IP-based services – must file reports on steps they are taking to ensure they are not the source of illegal calls.</w:t>
      </w:r>
      <w:r w:rsidRPr="007E353F" w:rsidR="00C933B2">
        <w:rPr>
          <w:sz w:val="22"/>
        </w:rPr>
        <w:t xml:space="preserve"> </w:t>
      </w:r>
      <w:r w:rsidRPr="007E353F">
        <w:rPr>
          <w:sz w:val="22"/>
        </w:rPr>
        <w:t>All of the largest phone carriers certified to implementation of STIR/SHAKEN standards on their IP networks.</w:t>
      </w:r>
      <w:r w:rsidRPr="007E353F" w:rsidR="00C933B2">
        <w:rPr>
          <w:sz w:val="22"/>
        </w:rPr>
        <w:t xml:space="preserve"> </w:t>
      </w:r>
    </w:p>
    <w:p w:rsidR="00D93A4E" w:rsidRPr="00D93A4E" w:rsidP="00792E35" w14:paraId="4D4234A3" w14:textId="77777777">
      <w:pPr>
        <w:spacing w:before="320" w:after="200"/>
        <w:jc w:val="both"/>
        <w:rPr>
          <w:sz w:val="22"/>
          <w:szCs w:val="22"/>
        </w:rPr>
      </w:pPr>
      <w:r w:rsidRPr="00D93A4E">
        <w:rPr>
          <w:sz w:val="22"/>
          <w:szCs w:val="22"/>
        </w:rPr>
        <w:t>The FCC’s Enforcement Bureau undertook the following action with respect to robocalls:</w:t>
      </w:r>
    </w:p>
    <w:p w:rsidR="00E559C0" w:rsidRPr="005A279E" w:rsidP="00884A2D" w14:paraId="78F95677" w14:textId="77777777">
      <w:pPr>
        <w:pStyle w:val="ListParagraph"/>
        <w:numPr>
          <w:ilvl w:val="0"/>
          <w:numId w:val="18"/>
        </w:numPr>
        <w:spacing w:line="221" w:lineRule="auto"/>
        <w:ind w:left="720"/>
        <w:jc w:val="both"/>
        <w:rPr>
          <w:sz w:val="22"/>
        </w:rPr>
      </w:pPr>
      <w:r w:rsidRPr="005A279E">
        <w:rPr>
          <w:sz w:val="22"/>
        </w:rPr>
        <w:t>A fine of $225 million against telemarketers for transmitting approximately one billion robocalls, many of them illegally spoofed, to sell short-term, limited-duration health insurance plans.</w:t>
      </w:r>
    </w:p>
    <w:p w:rsidR="00E559C0" w:rsidRPr="005A279E" w:rsidP="00B143F0" w14:paraId="1076FF8B" w14:textId="3005B271">
      <w:pPr>
        <w:pStyle w:val="ListParagraph"/>
        <w:numPr>
          <w:ilvl w:val="0"/>
          <w:numId w:val="18"/>
        </w:numPr>
        <w:spacing w:after="280" w:line="221" w:lineRule="auto"/>
        <w:ind w:left="720"/>
        <w:jc w:val="both"/>
        <w:rPr>
          <w:sz w:val="22"/>
        </w:rPr>
      </w:pPr>
      <w:r w:rsidRPr="005A279E">
        <w:rPr>
          <w:sz w:val="22"/>
        </w:rPr>
        <w:t>A proposed $5,134,500 fine against individuals and a company for apparently making 1,141 unlawful robocalls to wireless phones without prior express consent in violation of the Telephone Consumer Protection Act (TCPA).</w:t>
      </w:r>
      <w:r w:rsidRPr="005A279E" w:rsidR="00C933B2">
        <w:rPr>
          <w:sz w:val="22"/>
        </w:rPr>
        <w:t xml:space="preserve"> </w:t>
      </w:r>
    </w:p>
    <w:p w:rsidR="00E559C0" w:rsidRPr="00B53819" w:rsidP="00F407D3" w14:paraId="40362D5F" w14:textId="77777777">
      <w:pPr>
        <w:pStyle w:val="Heading5"/>
        <w:rPr>
          <w:sz w:val="22"/>
          <w:szCs w:val="22"/>
        </w:rPr>
      </w:pPr>
      <w:bookmarkStart w:id="45" w:name="_Toc88780629"/>
      <w:r w:rsidRPr="00B53819">
        <w:rPr>
          <w:sz w:val="22"/>
          <w:szCs w:val="22"/>
        </w:rPr>
        <w:t>Additional Enforcement Actions</w:t>
      </w:r>
      <w:bookmarkEnd w:id="45"/>
    </w:p>
    <w:p w:rsidR="00E559C0" w:rsidRPr="00336D6C" w:rsidP="00C306CD" w14:paraId="79775FFD" w14:textId="4EF525CF">
      <w:pPr>
        <w:spacing w:after="240"/>
        <w:jc w:val="both"/>
        <w:rPr>
          <w:sz w:val="22"/>
          <w:szCs w:val="22"/>
        </w:rPr>
      </w:pPr>
      <w:r w:rsidRPr="00336D6C">
        <w:rPr>
          <w:sz w:val="22"/>
          <w:szCs w:val="22"/>
        </w:rPr>
        <w:t>The FCC undertook a number of enforcement actions and investigations in fulfilling its mission to enforce the Commission’s rules and protect consumers from illegal or unfair practices.</w:t>
      </w:r>
      <w:r w:rsidR="00C933B2">
        <w:rPr>
          <w:sz w:val="22"/>
          <w:szCs w:val="22"/>
        </w:rPr>
        <w:t xml:space="preserve"> </w:t>
      </w:r>
      <w:r w:rsidRPr="00336D6C">
        <w:rPr>
          <w:sz w:val="22"/>
          <w:szCs w:val="22"/>
        </w:rPr>
        <w:t xml:space="preserve">Results of those actions and investigations included: </w:t>
      </w:r>
    </w:p>
    <w:p w:rsidR="00E559C0" w:rsidRPr="005A279E" w:rsidP="007328AF" w14:paraId="73AA5BE0" w14:textId="131CDEB9">
      <w:pPr>
        <w:pStyle w:val="ListParagraph"/>
        <w:numPr>
          <w:ilvl w:val="0"/>
          <w:numId w:val="19"/>
        </w:numPr>
        <w:spacing w:line="221" w:lineRule="auto"/>
        <w:ind w:left="720"/>
        <w:jc w:val="both"/>
        <w:rPr>
          <w:sz w:val="22"/>
        </w:rPr>
      </w:pPr>
      <w:r w:rsidRPr="005A279E">
        <w:rPr>
          <w:sz w:val="22"/>
        </w:rPr>
        <w:t>A $3.5 million civil penalty and consent decree, along with a compliance plan to ensure that non-exempt video programming that streams over the internet includes closed captioning in compliance with Commission rules.</w:t>
      </w:r>
      <w:r w:rsidRPr="005A279E" w:rsidR="00C933B2">
        <w:rPr>
          <w:sz w:val="22"/>
        </w:rPr>
        <w:t xml:space="preserve"> </w:t>
      </w:r>
      <w:r w:rsidRPr="005A279E">
        <w:rPr>
          <w:sz w:val="22"/>
        </w:rPr>
        <w:t>This was the first consent decree and first enforcement action related to Internet Protocol (IP) closed captioning rules since their adoption in 2012.</w:t>
      </w:r>
    </w:p>
    <w:p w:rsidR="00E559C0" w:rsidRPr="005A279E" w:rsidP="007328AF" w14:paraId="6993A106" w14:textId="6B82DFD9">
      <w:pPr>
        <w:pStyle w:val="ListParagraph"/>
        <w:numPr>
          <w:ilvl w:val="0"/>
          <w:numId w:val="19"/>
        </w:numPr>
        <w:spacing w:line="221" w:lineRule="auto"/>
        <w:ind w:left="720"/>
        <w:jc w:val="both"/>
        <w:rPr>
          <w:sz w:val="22"/>
        </w:rPr>
      </w:pPr>
      <w:r w:rsidRPr="005A279E">
        <w:rPr>
          <w:sz w:val="22"/>
        </w:rPr>
        <w:t>A Forfeiture Order finding eighteen stations in eight station groups liable for failing to negotiate for retransmission consent in good faith, and imposed fines up to $1.5 million on each licensee.</w:t>
      </w:r>
      <w:r w:rsidRPr="005A279E" w:rsidR="00C933B2">
        <w:rPr>
          <w:sz w:val="22"/>
        </w:rPr>
        <w:t xml:space="preserve"> </w:t>
      </w:r>
      <w:r w:rsidRPr="005A279E">
        <w:rPr>
          <w:sz w:val="22"/>
        </w:rPr>
        <w:t>The FCC imposed a per-station penalty of $512,228 against each Defendant.</w:t>
      </w:r>
    </w:p>
    <w:p w:rsidR="00E559C0" w:rsidRPr="005A279E" w:rsidP="007328AF" w14:paraId="5F955EBC" w14:textId="77777777">
      <w:pPr>
        <w:pStyle w:val="ListParagraph"/>
        <w:numPr>
          <w:ilvl w:val="0"/>
          <w:numId w:val="19"/>
        </w:numPr>
        <w:spacing w:line="221" w:lineRule="auto"/>
        <w:ind w:left="720"/>
        <w:jc w:val="both"/>
        <w:rPr>
          <w:sz w:val="22"/>
        </w:rPr>
      </w:pPr>
      <w:r w:rsidRPr="005A279E">
        <w:rPr>
          <w:sz w:val="22"/>
        </w:rPr>
        <w:t xml:space="preserve">A Notice of Apparent Liability for Forfeiture of $518,283 against a broadcast licensee for violation of the Commission’s prohibition against owning two top-four television stations in the same Designated Market Area (DMA), which resulted in the ownership and operation of two of the top-four stations in the Anchorage, Alaska DMA. </w:t>
      </w:r>
    </w:p>
    <w:p w:rsidR="00E559C0" w:rsidRPr="005A279E" w:rsidP="007328AF" w14:paraId="0060404C" w14:textId="248EA078">
      <w:pPr>
        <w:pStyle w:val="ListParagraph"/>
        <w:numPr>
          <w:ilvl w:val="0"/>
          <w:numId w:val="19"/>
        </w:numPr>
        <w:spacing w:line="221" w:lineRule="auto"/>
        <w:ind w:left="720"/>
        <w:jc w:val="both"/>
        <w:rPr>
          <w:sz w:val="22"/>
        </w:rPr>
      </w:pPr>
      <w:r w:rsidRPr="005A279E">
        <w:rPr>
          <w:sz w:val="22"/>
        </w:rPr>
        <w:t>A fine of $4,145,000 against a company for switching consumers from their preferred carrier to that company without permission and adding unauthorized charges to consumers’ bills.</w:t>
      </w:r>
      <w:r w:rsidRPr="005A279E" w:rsidR="00C933B2">
        <w:rPr>
          <w:sz w:val="22"/>
        </w:rPr>
        <w:t xml:space="preserve"> </w:t>
      </w:r>
    </w:p>
    <w:p w:rsidR="00E559C0" w:rsidRPr="005A279E" w:rsidP="007328AF" w14:paraId="078F499A" w14:textId="77777777">
      <w:pPr>
        <w:pStyle w:val="ListParagraph"/>
        <w:numPr>
          <w:ilvl w:val="0"/>
          <w:numId w:val="19"/>
        </w:numPr>
        <w:spacing w:line="221" w:lineRule="auto"/>
        <w:ind w:left="720"/>
        <w:jc w:val="both"/>
        <w:rPr>
          <w:sz w:val="22"/>
        </w:rPr>
      </w:pPr>
      <w:r w:rsidRPr="005A279E">
        <w:rPr>
          <w:sz w:val="22"/>
        </w:rPr>
        <w:t xml:space="preserve">Fines against two companies for $327,290 and $207,290 respectively for providing unlicensed wireless broadband-based GPS services under the guise of providing radar-based location services. </w:t>
      </w:r>
    </w:p>
    <w:p w:rsidR="00E559C0" w:rsidRPr="005A279E" w:rsidP="007328AF" w14:paraId="1F074FF2" w14:textId="2FDFA477">
      <w:pPr>
        <w:pStyle w:val="ListParagraph"/>
        <w:numPr>
          <w:ilvl w:val="0"/>
          <w:numId w:val="19"/>
        </w:numPr>
        <w:spacing w:line="221" w:lineRule="auto"/>
        <w:ind w:left="720"/>
        <w:jc w:val="both"/>
        <w:rPr>
          <w:sz w:val="22"/>
        </w:rPr>
      </w:pPr>
      <w:r w:rsidRPr="005A279E">
        <w:rPr>
          <w:sz w:val="22"/>
        </w:rPr>
        <w:t>A denial of a petition asking the agency to reconsider its $2,861,128 fine for marketing drone transmitters that did not comply with FCC equipment marketing rules.</w:t>
      </w:r>
    </w:p>
    <w:p w:rsidR="00EC6CA9" w:rsidRPr="005A279E" w:rsidP="007328AF" w14:paraId="62A4A931" w14:textId="77777777">
      <w:pPr>
        <w:pStyle w:val="ListParagraph"/>
        <w:numPr>
          <w:ilvl w:val="0"/>
          <w:numId w:val="19"/>
        </w:numPr>
        <w:spacing w:line="221" w:lineRule="auto"/>
        <w:ind w:left="720"/>
        <w:jc w:val="both"/>
        <w:rPr>
          <w:sz w:val="22"/>
        </w:rPr>
      </w:pPr>
      <w:r w:rsidRPr="005A279E">
        <w:rPr>
          <w:sz w:val="22"/>
        </w:rPr>
        <w:t>A $200 million penalty against a company to resolve an investigation of a subsidiary’s compliance with the Commission’s rules regarding waste, fraud and abuse in the Lifeline program for low-income consumers.</w:t>
      </w:r>
    </w:p>
    <w:p w:rsidR="00EC6CA9" w:rsidRPr="005A279E" w:rsidP="00067EF9" w14:paraId="61FBBB0E" w14:textId="5E893416">
      <w:pPr>
        <w:pStyle w:val="ListParagraph"/>
        <w:numPr>
          <w:ilvl w:val="0"/>
          <w:numId w:val="19"/>
        </w:numPr>
        <w:spacing w:after="480" w:line="221" w:lineRule="auto"/>
        <w:ind w:left="720"/>
        <w:jc w:val="both"/>
        <w:rPr>
          <w:sz w:val="22"/>
        </w:rPr>
      </w:pPr>
      <w:r w:rsidRPr="005A279E">
        <w:rPr>
          <w:sz w:val="22"/>
        </w:rPr>
        <w:t>A fine of $49,598,488 against a company for violations of Universal Service Fund program rules that resulted in millions of dollars in improper payments.</w:t>
      </w:r>
    </w:p>
    <w:p w:rsidR="00E559C0" w:rsidRPr="003472AB" w:rsidP="00F407D3" w14:paraId="7692C534" w14:textId="77777777">
      <w:pPr>
        <w:pStyle w:val="Heading5"/>
        <w:rPr>
          <w:sz w:val="22"/>
          <w:szCs w:val="22"/>
        </w:rPr>
      </w:pPr>
      <w:bookmarkStart w:id="46" w:name="_Toc88780630"/>
      <w:r w:rsidRPr="003472AB">
        <w:rPr>
          <w:sz w:val="22"/>
          <w:szCs w:val="22"/>
        </w:rPr>
        <w:t>Additional Consumer Related Actions</w:t>
      </w:r>
      <w:bookmarkEnd w:id="46"/>
    </w:p>
    <w:p w:rsidR="00E559C0" w:rsidRPr="007E0E37" w:rsidP="001A37F8" w14:paraId="77A445B9" w14:textId="765E2A6F">
      <w:pPr>
        <w:spacing w:before="260" w:after="260"/>
        <w:jc w:val="both"/>
        <w:rPr>
          <w:spacing w:val="1"/>
          <w:sz w:val="22"/>
          <w:szCs w:val="22"/>
        </w:rPr>
      </w:pPr>
      <w:r w:rsidRPr="007E0E37">
        <w:rPr>
          <w:spacing w:val="1"/>
          <w:sz w:val="22"/>
          <w:szCs w:val="22"/>
        </w:rPr>
        <w:t>The FCC began a rulemaking process with the goal of confronting subscriber identity module (SIM) swapping scams and port-out fraud, both of which bad actors use to steal consumers’ cell phone accounts without ever gaining physical control of a consumer’s phone.</w:t>
      </w:r>
      <w:r w:rsidRPr="007E0E37" w:rsidR="00C933B2">
        <w:rPr>
          <w:spacing w:val="1"/>
          <w:sz w:val="22"/>
          <w:szCs w:val="22"/>
        </w:rPr>
        <w:t xml:space="preserve"> </w:t>
      </w:r>
      <w:r w:rsidRPr="007E0E37">
        <w:rPr>
          <w:spacing w:val="1"/>
          <w:sz w:val="22"/>
          <w:szCs w:val="22"/>
        </w:rPr>
        <w:t>The Notice of Proposed Rulemaking proposes various actions to proactively address the risk of follow-on attacks using stolen data to reduce the risk of additional harm to consumers from recent data breaches.</w:t>
      </w:r>
      <w:r w:rsidRPr="007E0E37" w:rsidR="00C933B2">
        <w:rPr>
          <w:spacing w:val="1"/>
          <w:sz w:val="22"/>
          <w:szCs w:val="22"/>
        </w:rPr>
        <w:t xml:space="preserve"> </w:t>
      </w:r>
    </w:p>
    <w:p w:rsidR="00E559C0" w:rsidRPr="00336D6C" w:rsidP="001F36EC" w14:paraId="7413CD1B" w14:textId="23669D73">
      <w:pPr>
        <w:spacing w:after="240"/>
        <w:jc w:val="both"/>
        <w:rPr>
          <w:sz w:val="22"/>
          <w:szCs w:val="22"/>
        </w:rPr>
      </w:pPr>
      <w:r w:rsidRPr="00336D6C">
        <w:rPr>
          <w:sz w:val="22"/>
          <w:szCs w:val="22"/>
        </w:rPr>
        <w:t>The FCC approved a Further Notice of Proposed Rulemaking to expand access to the National Suicide Prevention Lifeline by establishing texting to 988.</w:t>
      </w:r>
      <w:r w:rsidR="00C933B2">
        <w:rPr>
          <w:sz w:val="22"/>
          <w:szCs w:val="22"/>
        </w:rPr>
        <w:t xml:space="preserve"> </w:t>
      </w:r>
    </w:p>
    <w:p w:rsidR="00E559C0" w:rsidRPr="00242A2D" w:rsidP="001F36EC" w14:paraId="36B06B3D" w14:textId="77777777">
      <w:pPr>
        <w:spacing w:before="240" w:after="240"/>
        <w:jc w:val="both"/>
        <w:rPr>
          <w:sz w:val="22"/>
          <w:szCs w:val="22"/>
        </w:rPr>
      </w:pPr>
      <w:r w:rsidRPr="00242A2D">
        <w:rPr>
          <w:sz w:val="22"/>
          <w:szCs w:val="22"/>
        </w:rPr>
        <w:t>The FCC Commission sought comment on potential updates to the video relay service (VRS) compensation plan through the Telecommunications Relay Services (TRS) Fund.</w:t>
      </w:r>
    </w:p>
    <w:p w:rsidR="00E559C0" w:rsidRPr="00784000" w:rsidP="00F407D3" w14:paraId="290EC254" w14:textId="77777777">
      <w:pPr>
        <w:pStyle w:val="Heading5"/>
        <w:rPr>
          <w:sz w:val="22"/>
          <w:szCs w:val="22"/>
        </w:rPr>
      </w:pPr>
      <w:bookmarkStart w:id="47" w:name="_Toc88780631"/>
      <w:r w:rsidRPr="00784000">
        <w:rPr>
          <w:sz w:val="22"/>
          <w:szCs w:val="22"/>
        </w:rPr>
        <w:t>Public Safety</w:t>
      </w:r>
      <w:bookmarkEnd w:id="47"/>
    </w:p>
    <w:p w:rsidR="00E559C0" w:rsidRPr="00336D6C" w:rsidP="00D74105" w14:paraId="3641C8B6" w14:textId="77777777">
      <w:pPr>
        <w:spacing w:after="200"/>
        <w:jc w:val="both"/>
        <w:rPr>
          <w:sz w:val="22"/>
          <w:szCs w:val="22"/>
        </w:rPr>
      </w:pPr>
      <w:r w:rsidRPr="00336D6C">
        <w:rPr>
          <w:sz w:val="22"/>
          <w:szCs w:val="22"/>
        </w:rPr>
        <w:t>The FCC took several actions to improve public safety</w:t>
      </w:r>
      <w:r>
        <w:rPr>
          <w:sz w:val="22"/>
          <w:szCs w:val="22"/>
        </w:rPr>
        <w:t xml:space="preserve"> and national security</w:t>
      </w:r>
      <w:r w:rsidRPr="00336D6C">
        <w:rPr>
          <w:sz w:val="22"/>
          <w:szCs w:val="22"/>
        </w:rPr>
        <w:t>:</w:t>
      </w:r>
    </w:p>
    <w:p w:rsidR="00E559C0" w:rsidRPr="00AA1DC8" w:rsidP="0097316F" w14:paraId="14BDD0CD" w14:textId="1771C136">
      <w:pPr>
        <w:pStyle w:val="ListParagraph"/>
        <w:numPr>
          <w:ilvl w:val="0"/>
          <w:numId w:val="20"/>
        </w:numPr>
        <w:spacing w:line="223" w:lineRule="auto"/>
        <w:ind w:left="720"/>
        <w:jc w:val="both"/>
        <w:rPr>
          <w:sz w:val="22"/>
        </w:rPr>
      </w:pPr>
      <w:r w:rsidRPr="00AA1DC8">
        <w:rPr>
          <w:sz w:val="22"/>
        </w:rPr>
        <w:t>The FCC adopted rules to improve the way the public receives emergency alerts on their mobile phones, televisions, and radios by combining the current “Presidential Alerts” category, which is non-optional on devices that receive Wireless Emergency Alerts, with alerts from the FEMA Administrator to form a new non-optional alert class called “National Alerts.”</w:t>
      </w:r>
      <w:r w:rsidRPr="00AA1DC8" w:rsidR="00C933B2">
        <w:rPr>
          <w:sz w:val="22"/>
        </w:rPr>
        <w:t xml:space="preserve"> </w:t>
      </w:r>
    </w:p>
    <w:p w:rsidR="00E559C0" w:rsidRPr="00AA1DC8" w:rsidP="0097316F" w14:paraId="5100046A" w14:textId="14A52842">
      <w:pPr>
        <w:pStyle w:val="ListParagraph"/>
        <w:numPr>
          <w:ilvl w:val="0"/>
          <w:numId w:val="20"/>
        </w:numPr>
        <w:spacing w:line="223" w:lineRule="auto"/>
        <w:ind w:left="720"/>
        <w:jc w:val="both"/>
        <w:rPr>
          <w:sz w:val="22"/>
        </w:rPr>
      </w:pPr>
      <w:r w:rsidRPr="00AA1DC8">
        <w:rPr>
          <w:sz w:val="22"/>
        </w:rPr>
        <w:t>The FCC closed out its 800 MHz band reconfiguration program, which enabled public safety, critical infrastructure, and other licensees in the band to operate free of the interference that previously plagued first responder communications in these frequencies.</w:t>
      </w:r>
      <w:r w:rsidRPr="00AA1DC8" w:rsidR="00C933B2">
        <w:rPr>
          <w:sz w:val="22"/>
        </w:rPr>
        <w:t xml:space="preserve"> </w:t>
      </w:r>
    </w:p>
    <w:p w:rsidR="00E559C0" w:rsidRPr="00AA1DC8" w:rsidP="0097316F" w14:paraId="08B63C57" w14:textId="77777777">
      <w:pPr>
        <w:pStyle w:val="ListParagraph"/>
        <w:numPr>
          <w:ilvl w:val="0"/>
          <w:numId w:val="20"/>
        </w:numPr>
        <w:spacing w:line="223" w:lineRule="auto"/>
        <w:ind w:left="720"/>
        <w:jc w:val="both"/>
        <w:rPr>
          <w:sz w:val="22"/>
        </w:rPr>
      </w:pPr>
      <w:r w:rsidRPr="00AA1DC8">
        <w:rPr>
          <w:sz w:val="22"/>
        </w:rPr>
        <w:t xml:space="preserve">The FCC adopted a framework for sharing communications outage information with state, federal and Tribal nation agencies to improve their situational awareness, and enhance their ability to respond more quickly to outages affecting their communities. </w:t>
      </w:r>
    </w:p>
    <w:p w:rsidR="00E559C0" w:rsidRPr="00AA1DC8" w:rsidP="0097316F" w14:paraId="52358350" w14:textId="77777777">
      <w:pPr>
        <w:pStyle w:val="ListParagraph"/>
        <w:numPr>
          <w:ilvl w:val="0"/>
          <w:numId w:val="20"/>
        </w:numPr>
        <w:spacing w:line="223" w:lineRule="auto"/>
        <w:ind w:left="720"/>
        <w:jc w:val="both"/>
        <w:rPr>
          <w:sz w:val="22"/>
        </w:rPr>
      </w:pPr>
      <w:r w:rsidRPr="00AA1DC8">
        <w:rPr>
          <w:sz w:val="22"/>
        </w:rPr>
        <w:t xml:space="preserve">The FCC proposed rules to promote public safety by ensuring that 911 call centers and the public receive timely and useful notifications of network disruptions that affect 911 service. </w:t>
      </w:r>
    </w:p>
    <w:p w:rsidR="00E559C0" w:rsidRPr="00AA1DC8" w:rsidP="0097316F" w14:paraId="69FB6642" w14:textId="77777777">
      <w:pPr>
        <w:pStyle w:val="ListParagraph"/>
        <w:numPr>
          <w:ilvl w:val="0"/>
          <w:numId w:val="20"/>
        </w:numPr>
        <w:spacing w:line="223" w:lineRule="auto"/>
        <w:ind w:left="720"/>
        <w:jc w:val="both"/>
        <w:rPr>
          <w:sz w:val="22"/>
        </w:rPr>
      </w:pPr>
      <w:r w:rsidRPr="00AA1DC8">
        <w:rPr>
          <w:sz w:val="22"/>
        </w:rPr>
        <w:t>The FCC sought comment on potential improvements to the Wireless Network Resiliency Cooperative Framework, including evaluating what triggers its activation, its scope of participants, whether existing Framework elements can be strengthened, any gaps that need to be addressed, and whether some or all of the Framework should be codified in the Commission’s rules.</w:t>
      </w:r>
    </w:p>
    <w:p w:rsidR="00E559C0" w:rsidRPr="00AA1DC8" w:rsidP="0097316F" w14:paraId="6C8ED5C7" w14:textId="434FE4C9">
      <w:pPr>
        <w:pStyle w:val="ListParagraph"/>
        <w:numPr>
          <w:ilvl w:val="0"/>
          <w:numId w:val="20"/>
        </w:numPr>
        <w:spacing w:line="223" w:lineRule="auto"/>
        <w:ind w:left="720"/>
        <w:jc w:val="both"/>
        <w:rPr>
          <w:sz w:val="22"/>
        </w:rPr>
      </w:pPr>
      <w:r w:rsidRPr="00AA1DC8">
        <w:rPr>
          <w:sz w:val="22"/>
        </w:rPr>
        <w:t>The FCC adopted a baseline set of national security and law enforcement questions for companies with foreign ownership seeking to participate in the U.S. telecommunications market.</w:t>
      </w:r>
      <w:r w:rsidRPr="00AA1DC8" w:rsidR="00C933B2">
        <w:rPr>
          <w:sz w:val="22"/>
        </w:rPr>
        <w:t xml:space="preserve"> </w:t>
      </w:r>
      <w:r w:rsidRPr="00AA1DC8">
        <w:rPr>
          <w:sz w:val="22"/>
        </w:rPr>
        <w:t>These standard questions will generally apply to companies submitting applications to provide international telecommunications services, deploy submarine cables, operate certain wireless and broadcast facilities, and assign or transfer control of such licenses.</w:t>
      </w:r>
    </w:p>
    <w:p w:rsidR="00E559C0" w:rsidRPr="00AA1DC8" w:rsidP="0097316F" w14:paraId="3EAC3166" w14:textId="0FB5B4C9">
      <w:pPr>
        <w:pStyle w:val="ListParagraph"/>
        <w:numPr>
          <w:ilvl w:val="0"/>
          <w:numId w:val="20"/>
        </w:numPr>
        <w:spacing w:line="223" w:lineRule="auto"/>
        <w:ind w:left="720"/>
        <w:jc w:val="both"/>
        <w:rPr>
          <w:sz w:val="22"/>
        </w:rPr>
      </w:pPr>
      <w:r w:rsidRPr="00AA1DC8">
        <w:rPr>
          <w:sz w:val="22"/>
        </w:rPr>
        <w:t>The FCC adopted an Order that incorporated changes to the Commission’s rules consistent with the Consolidated Appropriations Act, 2021, which appropriated $1.895 billion for the Secure and Trusted Communications Networks Reimbursement Program.</w:t>
      </w:r>
      <w:r w:rsidRPr="00AA1DC8" w:rsidR="00C933B2">
        <w:rPr>
          <w:sz w:val="22"/>
        </w:rPr>
        <w:t xml:space="preserve"> </w:t>
      </w:r>
      <w:r w:rsidRPr="00AA1DC8">
        <w:rPr>
          <w:sz w:val="22"/>
        </w:rPr>
        <w:t>The Order</w:t>
      </w:r>
      <w:r w:rsidRPr="00AA1DC8" w:rsidR="00C933B2">
        <w:rPr>
          <w:sz w:val="22"/>
        </w:rPr>
        <w:t xml:space="preserve"> </w:t>
      </w:r>
      <w:r w:rsidRPr="00AA1DC8">
        <w:rPr>
          <w:sz w:val="22"/>
        </w:rPr>
        <w:t>increased the eligibility cap for participation in the Reimbursement Program from providers serving two million or fewer customers to those with 10 million or fewer customers.</w:t>
      </w:r>
    </w:p>
    <w:p w:rsidR="00E559C0" w:rsidRPr="00AA1DC8" w:rsidP="0097316F" w14:paraId="6EEFE481" w14:textId="77777777">
      <w:pPr>
        <w:pStyle w:val="ListParagraph"/>
        <w:numPr>
          <w:ilvl w:val="0"/>
          <w:numId w:val="20"/>
        </w:numPr>
        <w:spacing w:line="223" w:lineRule="auto"/>
        <w:ind w:left="720"/>
        <w:jc w:val="both"/>
        <w:rPr>
          <w:sz w:val="22"/>
        </w:rPr>
      </w:pPr>
      <w:r w:rsidRPr="00AA1DC8">
        <w:rPr>
          <w:sz w:val="22"/>
        </w:rPr>
        <w:t>The FCC adopted a framework requiring the disabling of contraband wireless devices detected in correctional facilities upon satisfaction of certain criteria, and addressed issues involving oversight, wireless provider liability, and treatment of 911 calls.</w:t>
      </w:r>
    </w:p>
    <w:p w:rsidR="004970B9" w:rsidP="0097316F" w14:paraId="1EFB627E" w14:textId="77777777">
      <w:pPr>
        <w:pStyle w:val="ListParagraph"/>
        <w:numPr>
          <w:ilvl w:val="0"/>
          <w:numId w:val="20"/>
        </w:numPr>
        <w:spacing w:line="223" w:lineRule="auto"/>
        <w:ind w:left="720"/>
        <w:jc w:val="both"/>
        <w:rPr>
          <w:sz w:val="22"/>
        </w:rPr>
        <w:sectPr w:rsidSect="0095127D">
          <w:pgSz w:w="12240" w:h="15840" w:code="1"/>
          <w:pgMar w:top="1260" w:right="1440" w:bottom="1152" w:left="1440" w:header="720" w:footer="720" w:gutter="0"/>
          <w:cols w:space="720"/>
        </w:sectPr>
      </w:pPr>
      <w:r w:rsidRPr="00AA1DC8">
        <w:rPr>
          <w:sz w:val="22"/>
        </w:rPr>
        <w:t>The FCC approved rules lowering the interim rate caps on interstate inmate calling services to $0.12 per minute for all prisons and $0.14 for jails with average daily populations of 1,000 or more, providing financial relief to the vast majority of incarcerated people.</w:t>
      </w:r>
      <w:r w:rsidRPr="00AA1DC8" w:rsidR="00C933B2">
        <w:rPr>
          <w:sz w:val="22"/>
        </w:rPr>
        <w:t xml:space="preserve"> </w:t>
      </w:r>
      <w:r w:rsidRPr="00AA1DC8">
        <w:rPr>
          <w:sz w:val="22"/>
        </w:rPr>
        <w:t>The Order also established caps on international calling services rates for the first time at all prison and jail facilities.</w:t>
      </w:r>
    </w:p>
    <w:p w:rsidR="00E559C0" w:rsidRPr="00AA1DC8" w:rsidP="0097316F" w14:paraId="0F601972" w14:textId="77777777">
      <w:pPr>
        <w:pStyle w:val="ListParagraph"/>
        <w:numPr>
          <w:ilvl w:val="0"/>
          <w:numId w:val="20"/>
        </w:numPr>
        <w:spacing w:line="223" w:lineRule="auto"/>
        <w:ind w:left="720"/>
        <w:jc w:val="both"/>
        <w:rPr>
          <w:sz w:val="22"/>
        </w:rPr>
      </w:pPr>
      <w:r w:rsidRPr="00AA1DC8">
        <w:rPr>
          <w:sz w:val="22"/>
        </w:rPr>
        <w:t>The FCC adopted new rules implementing section 902 of the Don’t Break Up the T-Band Act of 2020 to help address the diversion of 911 fees by states and other jurisdictions.</w:t>
      </w:r>
    </w:p>
    <w:p w:rsidR="00E559C0" w:rsidRPr="00AA1DC8" w:rsidP="008F67C6" w14:paraId="74BCF3FE" w14:textId="728EC32C">
      <w:pPr>
        <w:pStyle w:val="ListParagraph"/>
        <w:numPr>
          <w:ilvl w:val="0"/>
          <w:numId w:val="20"/>
        </w:numPr>
        <w:spacing w:after="500" w:line="223" w:lineRule="auto"/>
        <w:ind w:left="720"/>
        <w:jc w:val="both"/>
        <w:rPr>
          <w:sz w:val="22"/>
        </w:rPr>
      </w:pPr>
      <w:r w:rsidRPr="00AA1DC8">
        <w:rPr>
          <w:sz w:val="22"/>
        </w:rPr>
        <w:t>To protect public safety operations in the 4.9 GHz spectrum band, the FCC rescinded state-by-state leasing rules adopted in 2020, finding that they risked fragmenting the band.</w:t>
      </w:r>
      <w:r w:rsidRPr="00AA1DC8" w:rsidR="00C933B2">
        <w:rPr>
          <w:sz w:val="22"/>
        </w:rPr>
        <w:t xml:space="preserve"> </w:t>
      </w:r>
      <w:r w:rsidRPr="00AA1DC8">
        <w:rPr>
          <w:sz w:val="22"/>
        </w:rPr>
        <w:t>The FCC also partially lifted a freeze on applications in this band to allow existing public safety licensees to modify their licenses and to license new permanent fixed sites.</w:t>
      </w:r>
      <w:r w:rsidRPr="00AA1DC8" w:rsidR="00C933B2">
        <w:rPr>
          <w:sz w:val="22"/>
        </w:rPr>
        <w:t xml:space="preserve"> </w:t>
      </w:r>
      <w:r w:rsidRPr="00AA1DC8">
        <w:rPr>
          <w:sz w:val="22"/>
        </w:rPr>
        <w:t>The FCC also sought comment on establishing a nationwide framework for the band.</w:t>
      </w:r>
      <w:r w:rsidRPr="00AA1DC8" w:rsidR="00C933B2">
        <w:rPr>
          <w:sz w:val="22"/>
        </w:rPr>
        <w:t xml:space="preserve"> </w:t>
      </w:r>
    </w:p>
    <w:p w:rsidR="00E559C0" w:rsidRPr="00E77050" w:rsidP="00C9361E" w14:paraId="02301EB7" w14:textId="77777777">
      <w:pPr>
        <w:pStyle w:val="StyleHeading411ptItalic"/>
        <w:rPr>
          <w:b w:val="0"/>
          <w:i w:val="0"/>
          <w:sz w:val="22"/>
          <w:szCs w:val="22"/>
        </w:rPr>
      </w:pPr>
      <w:r>
        <w:rPr>
          <w:sz w:val="22"/>
          <w:szCs w:val="22"/>
        </w:rPr>
        <w:t>R</w:t>
      </w:r>
      <w:r w:rsidRPr="00E77050">
        <w:rPr>
          <w:sz w:val="22"/>
          <w:szCs w:val="22"/>
        </w:rPr>
        <w:t>EFORMING THE FCC’S PROCESSES</w:t>
      </w:r>
    </w:p>
    <w:p w:rsidR="00E559C0" w:rsidP="00816EDA" w14:paraId="0B16FCBE" w14:textId="2FE72991">
      <w:pPr>
        <w:spacing w:after="240"/>
        <w:jc w:val="both"/>
        <w:rPr>
          <w:b/>
          <w:i/>
          <w:sz w:val="22"/>
          <w:szCs w:val="22"/>
        </w:rPr>
      </w:pPr>
      <w:r w:rsidRPr="002D5631">
        <w:rPr>
          <w:b/>
          <w:i/>
          <w:sz w:val="22"/>
          <w:szCs w:val="22"/>
        </w:rPr>
        <w:t>Modernize and streamline the FCC’s operations and programs to increase transparency, improve decision-making, build consensus, reduce regulatory burdens, and simplify the public’s interactions with the agency.</w:t>
      </w:r>
      <w:r w:rsidR="00C933B2">
        <w:rPr>
          <w:b/>
          <w:i/>
          <w:sz w:val="22"/>
          <w:szCs w:val="22"/>
        </w:rPr>
        <w:t xml:space="preserve"> </w:t>
      </w:r>
    </w:p>
    <w:p w:rsidR="00E559C0" w:rsidRPr="00336D6C" w:rsidP="00E559C0" w14:paraId="494451AE" w14:textId="72F14B34">
      <w:pPr>
        <w:spacing w:after="240"/>
        <w:jc w:val="both"/>
        <w:rPr>
          <w:sz w:val="22"/>
          <w:szCs w:val="22"/>
        </w:rPr>
      </w:pPr>
      <w:r w:rsidRPr="00336D6C">
        <w:rPr>
          <w:sz w:val="22"/>
          <w:szCs w:val="22"/>
        </w:rPr>
        <w:t>The FCC adopted rules requiring the electronic filing of all applications and reports in the International Bureau Filing System (IBFS).</w:t>
      </w:r>
      <w:r w:rsidR="00C933B2">
        <w:rPr>
          <w:sz w:val="22"/>
          <w:szCs w:val="22"/>
        </w:rPr>
        <w:t xml:space="preserve"> </w:t>
      </w:r>
      <w:r w:rsidRPr="00336D6C">
        <w:rPr>
          <w:sz w:val="22"/>
          <w:szCs w:val="22"/>
        </w:rPr>
        <w:t xml:space="preserve">These rules extended electronic filing requirements to Section 325(c) Applications, Applications for International High Frequency Broadcast (IHF) Stations, and Dominant Carrier Section 63.10(c) Quarterly Reports. </w:t>
      </w:r>
    </w:p>
    <w:p w:rsidR="00E559C0" w:rsidRPr="00336D6C" w:rsidP="00E559C0" w14:paraId="5CFE54C2" w14:textId="5F037E5E">
      <w:pPr>
        <w:spacing w:after="240"/>
        <w:jc w:val="both"/>
        <w:rPr>
          <w:sz w:val="22"/>
          <w:szCs w:val="22"/>
        </w:rPr>
      </w:pPr>
      <w:r w:rsidRPr="00336D6C">
        <w:rPr>
          <w:sz w:val="22"/>
          <w:szCs w:val="22"/>
        </w:rPr>
        <w:t>The FCC proposed rules to revise political programming and recordkeeping rules for broadcast licensees, cable television system operators, DBS, and SDARS licensees.</w:t>
      </w:r>
      <w:r w:rsidR="00C933B2">
        <w:rPr>
          <w:sz w:val="22"/>
          <w:szCs w:val="22"/>
        </w:rPr>
        <w:t xml:space="preserve"> </w:t>
      </w:r>
      <w:r w:rsidRPr="00336D6C">
        <w:rPr>
          <w:sz w:val="22"/>
          <w:szCs w:val="22"/>
        </w:rPr>
        <w:t xml:space="preserve">The proposals included revising the definition of “legally qualified candidate for public office” to add the use of social media and creation of a campaign website to the existing list of activities that may be considered in determining whether an individual running as a write-in candidate has made a “substantial showing” of his or her bona fide candidacy. </w:t>
      </w:r>
    </w:p>
    <w:p w:rsidR="00E559C0" w:rsidRPr="00336D6C" w:rsidP="00E559C0" w14:paraId="2406738A" w14:textId="450B993A">
      <w:pPr>
        <w:spacing w:after="240"/>
        <w:jc w:val="both"/>
        <w:rPr>
          <w:sz w:val="22"/>
          <w:szCs w:val="22"/>
        </w:rPr>
      </w:pPr>
      <w:r w:rsidRPr="00336D6C">
        <w:rPr>
          <w:sz w:val="22"/>
          <w:szCs w:val="22"/>
        </w:rPr>
        <w:t>The FCC sought to refresh the existing record regarding the statutorily mandated collection of data on the FCC Form 395-B, an employment report form intended to gather workforce composition data from broadcasters on an annual basis.</w:t>
      </w:r>
      <w:r w:rsidR="00C933B2">
        <w:rPr>
          <w:sz w:val="22"/>
          <w:szCs w:val="22"/>
        </w:rPr>
        <w:t xml:space="preserve"> </w:t>
      </w:r>
      <w:r w:rsidRPr="00336D6C">
        <w:rPr>
          <w:sz w:val="22"/>
          <w:szCs w:val="22"/>
        </w:rPr>
        <w:t>The form and data have not been collected for many years.</w:t>
      </w:r>
      <w:r w:rsidR="00C933B2">
        <w:rPr>
          <w:sz w:val="22"/>
          <w:szCs w:val="22"/>
        </w:rPr>
        <w:t xml:space="preserve"> </w:t>
      </w:r>
    </w:p>
    <w:p w:rsidR="00E559C0" w:rsidRPr="00336D6C" w:rsidP="00E559C0" w14:paraId="268B3F8A" w14:textId="77777777">
      <w:pPr>
        <w:spacing w:after="240"/>
        <w:jc w:val="both"/>
        <w:rPr>
          <w:b/>
          <w:sz w:val="22"/>
          <w:szCs w:val="22"/>
        </w:rPr>
      </w:pPr>
      <w:r w:rsidRPr="00336D6C">
        <w:rPr>
          <w:sz w:val="22"/>
          <w:szCs w:val="22"/>
        </w:rPr>
        <w:t xml:space="preserve">The FCC sought comment on eliminating or amending outmoded or unnecessary regulations contained in the Code of Federal Regulations to better reflect current requirements and eliminate redundant, outdated, or conflicting technical provisions. </w:t>
      </w:r>
    </w:p>
    <w:p w:rsidR="00E559C0" w:rsidP="00E559C0" w14:paraId="3A3894FE" w14:textId="77777777">
      <w:pPr>
        <w:jc w:val="both"/>
        <w:rPr>
          <w:sz w:val="22"/>
          <w:szCs w:val="22"/>
        </w:rPr>
        <w:sectPr w:rsidSect="0095127D">
          <w:pgSz w:w="12240" w:h="15840" w:code="1"/>
          <w:pgMar w:top="1260" w:right="1440" w:bottom="1152" w:left="1440" w:header="720" w:footer="720" w:gutter="0"/>
          <w:cols w:space="720"/>
        </w:sectPr>
      </w:pPr>
    </w:p>
    <w:p w:rsidR="00E559C0" w:rsidRPr="00060D1B" w:rsidP="00B364FC" w14:paraId="27B89C6E" w14:textId="77777777">
      <w:pPr>
        <w:pStyle w:val="Heading3"/>
        <w:spacing w:before="120"/>
      </w:pPr>
      <w:bookmarkStart w:id="48" w:name="_Toc467000230"/>
      <w:bookmarkStart w:id="49" w:name="_Toc88780527"/>
      <w:bookmarkStart w:id="50" w:name="_Toc88780632"/>
      <w:r w:rsidRPr="00DD60E7">
        <w:t>Overall Status of Audit Recommendations</w:t>
      </w:r>
      <w:bookmarkEnd w:id="48"/>
      <w:bookmarkEnd w:id="49"/>
      <w:bookmarkEnd w:id="50"/>
      <w:r w:rsidRPr="00060D1B">
        <w:t xml:space="preserve"> </w:t>
      </w:r>
    </w:p>
    <w:p w:rsidR="00E559C0" w:rsidP="004A6CE5" w14:paraId="2E1A0C73" w14:textId="5528716B">
      <w:pPr>
        <w:tabs>
          <w:tab w:val="left" w:pos="0"/>
        </w:tabs>
        <w:spacing w:after="240"/>
        <w:jc w:val="both"/>
        <w:rPr>
          <w:sz w:val="22"/>
          <w:szCs w:val="22"/>
        </w:rPr>
      </w:pPr>
      <w:r>
        <w:rPr>
          <w:sz w:val="22"/>
          <w:szCs w:val="22"/>
        </w:rPr>
        <w:t>The chart below shows the number of audit recommendations outstanding, both public and non-public, from various audits conducted by FCC’s Office of Inspector General (OIG) and the Government Accountability Office (GAO) as of September 30, 2021.</w:t>
      </w:r>
      <w:r w:rsidR="00C933B2">
        <w:rPr>
          <w:sz w:val="22"/>
          <w:szCs w:val="22"/>
        </w:rPr>
        <w:t xml:space="preserve"> </w:t>
      </w:r>
      <w:r w:rsidRPr="004221F0">
        <w:rPr>
          <w:sz w:val="22"/>
          <w:szCs w:val="22"/>
        </w:rPr>
        <w:t>The numbers shown below exclude those recommendations for which the Commission has already submitted information to GAO and OIG requesting closure of the recommendation.</w:t>
      </w:r>
      <w:r w:rsidR="00C933B2">
        <w:rPr>
          <w:sz w:val="22"/>
          <w:szCs w:val="22"/>
        </w:rPr>
        <w:t xml:space="preserve"> </w:t>
      </w:r>
      <w:r w:rsidRPr="004221F0">
        <w:rPr>
          <w:sz w:val="22"/>
          <w:szCs w:val="22"/>
        </w:rPr>
        <w:t>The count also excludes those recommendations that the Commission has determined to be closed as not implemented.</w:t>
      </w:r>
      <w:r w:rsidR="00C933B2">
        <w:rPr>
          <w:sz w:val="22"/>
          <w:szCs w:val="22"/>
        </w:rPr>
        <w:t xml:space="preserve"> </w:t>
      </w:r>
      <w:r>
        <w:rPr>
          <w:sz w:val="22"/>
          <w:szCs w:val="22"/>
        </w:rPr>
        <w:t>In FY 2021, the Commission implemented (closed) 68 outstanding recommendations, received 40 new recommendations, and finished the fiscal year with a total of 75 open recommendations.</w:t>
      </w:r>
      <w:r w:rsidR="00C933B2">
        <w:rPr>
          <w:sz w:val="22"/>
          <w:szCs w:val="22"/>
        </w:rPr>
        <w:t xml:space="preserve"> </w:t>
      </w:r>
      <w:r>
        <w:rPr>
          <w:sz w:val="22"/>
          <w:szCs w:val="22"/>
        </w:rPr>
        <w:t>In FY 2019, there was a large number of new recommendations received just before the fiscal year end, which led to the increased number of open recommendations in that fiscal year.</w:t>
      </w:r>
      <w:r w:rsidR="00C933B2">
        <w:rPr>
          <w:sz w:val="22"/>
          <w:szCs w:val="22"/>
        </w:rPr>
        <w:t xml:space="preserve"> </w:t>
      </w:r>
    </w:p>
    <w:p w:rsidR="00E559C0" w:rsidP="008D3220" w14:paraId="4A047429" w14:textId="44F2AFB4">
      <w:pPr>
        <w:tabs>
          <w:tab w:val="left" w:pos="0"/>
        </w:tabs>
        <w:spacing w:after="260"/>
        <w:jc w:val="both"/>
        <w:rPr>
          <w:sz w:val="22"/>
          <w:szCs w:val="22"/>
        </w:rPr>
      </w:pPr>
      <w:r>
        <w:rPr>
          <w:sz w:val="22"/>
          <w:szCs w:val="22"/>
        </w:rPr>
        <w:t>As can be seen by the reduction of open recommendations at the end of FY 2021, the Commission has been actively working to implement (close) open recommendations as quickly as possible.</w:t>
      </w:r>
      <w:r w:rsidR="00C933B2">
        <w:rPr>
          <w:sz w:val="22"/>
          <w:szCs w:val="22"/>
        </w:rPr>
        <w:t xml:space="preserve"> </w:t>
      </w:r>
      <w:r>
        <w:rPr>
          <w:sz w:val="22"/>
          <w:szCs w:val="22"/>
        </w:rPr>
        <w:t>The Commission will continue to work as quickly as possible to implement (close) the outstanding recommendations.</w:t>
      </w:r>
    </w:p>
    <w:p w:rsidR="00E559C0" w:rsidP="00E559C0" w14:paraId="378FC4D4" w14:textId="77777777">
      <w:pPr>
        <w:tabs>
          <w:tab w:val="left" w:pos="0"/>
        </w:tabs>
        <w:jc w:val="center"/>
        <w:rPr>
          <w:sz w:val="22"/>
          <w:szCs w:val="22"/>
        </w:rPr>
      </w:pPr>
      <w:r>
        <w:rPr>
          <w:noProof/>
          <w:sz w:val="22"/>
          <w:szCs w:val="22"/>
        </w:rPr>
        <w:drawing>
          <wp:inline distT="0" distB="0" distL="0" distR="0">
            <wp:extent cx="5407660" cy="3365500"/>
            <wp:effectExtent l="0" t="0" r="2540" b="6350"/>
            <wp:docPr id="10" name="Picture 10" descr="Bar graph depicting Outstanding audit recommendations. The x-axis shows the time period from FY 2015 to FY 2021 while the y-axis shows values form 0 to 300 with an interval of 50. In FY 2015, total audit recommendations outstanding was the highest at 255 out of which 205 by OIG and 50 by GAO while in FY 2021, it was lowest at 75 out of which 27 by OIG and 48 by G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r graph depicting Outstanding audit recommendations. The x-axis shows the time period from FY 2015 to FY 2021 while the y-axis shows values form 0 to 300 with an interval of 50. In FY 2015, total audit recommendations outstanding was the highest at 255 out of which 205 by OIG and 50 by GAO while in FY 2021, it was lowest at 75 out of which 27 by OIG and 48 by GAO."/>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07660" cy="3365500"/>
                    </a:xfrm>
                    <a:prstGeom prst="rect">
                      <a:avLst/>
                    </a:prstGeom>
                    <a:noFill/>
                  </pic:spPr>
                </pic:pic>
              </a:graphicData>
            </a:graphic>
          </wp:inline>
        </w:drawing>
      </w:r>
    </w:p>
    <w:p w:rsidR="00E559C0" w:rsidP="00E559C0" w14:paraId="3647FECF" w14:textId="77777777">
      <w:pPr>
        <w:rPr>
          <w:sz w:val="22"/>
          <w:szCs w:val="22"/>
        </w:rPr>
        <w:sectPr w:rsidSect="00C506F4">
          <w:pgSz w:w="12240" w:h="15840" w:code="1"/>
          <w:pgMar w:top="1152" w:right="1440" w:bottom="1152" w:left="1440" w:header="720" w:footer="720" w:gutter="0"/>
          <w:cols w:space="720"/>
        </w:sectPr>
      </w:pPr>
    </w:p>
    <w:p w:rsidR="00E559C0" w:rsidP="00462A38" w14:paraId="03072C89" w14:textId="77777777">
      <w:pPr>
        <w:pStyle w:val="Heading3"/>
        <w:spacing w:before="120"/>
      </w:pPr>
      <w:bookmarkStart w:id="51" w:name="_Toc467000231"/>
      <w:bookmarkStart w:id="52" w:name="_Toc88780528"/>
      <w:bookmarkStart w:id="53" w:name="_Toc88780633"/>
      <w:bookmarkStart w:id="54" w:name="_Hlk87506422"/>
      <w:r w:rsidRPr="00DD60E7">
        <w:t>Management Assurances</w:t>
      </w:r>
      <w:bookmarkEnd w:id="51"/>
      <w:bookmarkEnd w:id="52"/>
      <w:bookmarkEnd w:id="53"/>
    </w:p>
    <w:p w:rsidR="00E559C0" w:rsidRPr="00221F18" w:rsidP="004A6CE5" w14:paraId="64C060CB" w14:textId="77777777">
      <w:pPr>
        <w:pStyle w:val="Heading4"/>
      </w:pPr>
      <w:bookmarkStart w:id="55" w:name="_Toc88780634"/>
      <w:r w:rsidRPr="00221F18">
        <w:t>MANAGEMENT ASSURANCES PURSUANT TO THE FEDERAL MANAGERS’ FINANCIAL INTEGRITY ACT OF 1982 (FMFIA)</w:t>
      </w:r>
      <w:bookmarkEnd w:id="55"/>
    </w:p>
    <w:p w:rsidR="00E559C0" w:rsidRPr="00221F18" w:rsidP="006C305F" w14:paraId="29972B0F" w14:textId="50B85642">
      <w:pPr>
        <w:pStyle w:val="Default"/>
        <w:spacing w:after="260"/>
        <w:jc w:val="both"/>
        <w:rPr>
          <w:rFonts w:ascii="Times New Roman" w:hAnsi="Times New Roman" w:cs="Times New Roman"/>
          <w:sz w:val="22"/>
          <w:szCs w:val="22"/>
        </w:rPr>
      </w:pPr>
      <w:r w:rsidRPr="00221F18">
        <w:rPr>
          <w:rFonts w:ascii="Times New Roman" w:hAnsi="Times New Roman" w:cs="Times New Roman"/>
          <w:sz w:val="22"/>
          <w:szCs w:val="22"/>
        </w:rPr>
        <w:t>The Federal Managers’ Financial Integrity Act of 1982 (FMFIA) establishes overall requirements with regard to internal control.</w:t>
      </w:r>
      <w:r w:rsidR="00C933B2">
        <w:rPr>
          <w:rFonts w:ascii="Times New Roman" w:hAnsi="Times New Roman" w:cs="Times New Roman"/>
          <w:sz w:val="22"/>
          <w:szCs w:val="22"/>
        </w:rPr>
        <w:t xml:space="preserve"> </w:t>
      </w:r>
      <w:r w:rsidRPr="00221F18">
        <w:rPr>
          <w:rFonts w:ascii="Times New Roman" w:hAnsi="Times New Roman" w:cs="Times New Roman"/>
          <w:sz w:val="22"/>
          <w:szCs w:val="22"/>
        </w:rPr>
        <w:t>FMFIA requires agencies to establish controls that reasonably ensure that:</w:t>
      </w:r>
      <w:r w:rsidR="00C933B2">
        <w:rPr>
          <w:rFonts w:ascii="Times New Roman" w:hAnsi="Times New Roman" w:cs="Times New Roman"/>
          <w:sz w:val="22"/>
          <w:szCs w:val="22"/>
        </w:rPr>
        <w:t xml:space="preserve"> </w:t>
      </w:r>
      <w:r w:rsidRPr="00221F18">
        <w:rPr>
          <w:rFonts w:ascii="Times New Roman" w:hAnsi="Times New Roman" w:cs="Times New Roman"/>
          <w:sz w:val="22"/>
          <w:szCs w:val="22"/>
        </w:rPr>
        <w:t>(</w:t>
      </w:r>
      <w:r w:rsidRPr="00221F18">
        <w:rPr>
          <w:rFonts w:ascii="Times New Roman" w:hAnsi="Times New Roman" w:cs="Times New Roman"/>
          <w:sz w:val="22"/>
          <w:szCs w:val="22"/>
        </w:rPr>
        <w:t>i</w:t>
      </w:r>
      <w:r w:rsidRPr="00221F18">
        <w:rPr>
          <w:rFonts w:ascii="Times New Roman" w:hAnsi="Times New Roman" w:cs="Times New Roman"/>
          <w:sz w:val="22"/>
          <w:szCs w:val="22"/>
        </w:rPr>
        <w:t>) obligations and costs are in compliance with applicable laws; (ii) funds, property, and other assets are safeguarded against waste, loss, unauthorized use, or misappropriation; and (iii) revenues and expenditures applicable to agency operations are properly recorded and accounted for to permit the preparation of accounts and reliable financial and statistical reports, and to maintain accountability over assets.</w:t>
      </w:r>
      <w:r w:rsidR="00C933B2">
        <w:rPr>
          <w:rFonts w:ascii="Times New Roman" w:hAnsi="Times New Roman" w:cs="Times New Roman"/>
          <w:sz w:val="22"/>
          <w:szCs w:val="22"/>
        </w:rPr>
        <w:t xml:space="preserve"> </w:t>
      </w:r>
      <w:r w:rsidRPr="00221F18">
        <w:rPr>
          <w:rFonts w:ascii="Times New Roman" w:hAnsi="Times New Roman" w:cs="Times New Roman"/>
          <w:sz w:val="22"/>
          <w:szCs w:val="22"/>
        </w:rPr>
        <w:t>Pursuant to FMFIA’s requirements, agencies must annually evaluate their system of internal controls and report on the results of those evaluations through management assurance statements.</w:t>
      </w:r>
    </w:p>
    <w:p w:rsidR="00E559C0" w:rsidRPr="00221F18" w:rsidP="006C305F" w14:paraId="046F03EC" w14:textId="02082432">
      <w:pPr>
        <w:pStyle w:val="Default"/>
        <w:spacing w:after="260"/>
        <w:jc w:val="both"/>
        <w:rPr>
          <w:rFonts w:ascii="Times New Roman" w:hAnsi="Times New Roman" w:cs="Times New Roman"/>
          <w:sz w:val="22"/>
          <w:szCs w:val="22"/>
        </w:rPr>
      </w:pPr>
      <w:r w:rsidRPr="00221F18">
        <w:rPr>
          <w:rFonts w:ascii="Times New Roman" w:hAnsi="Times New Roman" w:cs="Times New Roman"/>
          <w:sz w:val="22"/>
          <w:szCs w:val="22"/>
        </w:rPr>
        <w:t xml:space="preserve">In accordance with Office of Management and Budget (OMB) guidance related to FMFIA, OMB Circular A-123, </w:t>
      </w:r>
      <w:r w:rsidRPr="00221F18">
        <w:rPr>
          <w:rFonts w:ascii="Times New Roman" w:hAnsi="Times New Roman" w:cs="Times New Roman"/>
          <w:i/>
          <w:iCs/>
          <w:sz w:val="22"/>
          <w:szCs w:val="22"/>
        </w:rPr>
        <w:t>Management’s Responsibility for Enterprise Risk Management and Internal Control</w:t>
      </w:r>
      <w:r w:rsidRPr="00221F18">
        <w:rPr>
          <w:rFonts w:ascii="Times New Roman" w:hAnsi="Times New Roman" w:cs="Times New Roman"/>
          <w:sz w:val="22"/>
          <w:szCs w:val="22"/>
        </w:rPr>
        <w:t>, the Commission maintains internal controls for financial and management reporting that provide reasonable assurance that the consolidated financial statements fairly present information related to assets, liabilities, and net position and do not contain material misstatements.</w:t>
      </w:r>
      <w:r w:rsidR="00C933B2">
        <w:rPr>
          <w:rFonts w:ascii="Times New Roman" w:hAnsi="Times New Roman" w:cs="Times New Roman"/>
          <w:sz w:val="22"/>
          <w:szCs w:val="22"/>
        </w:rPr>
        <w:t xml:space="preserve"> </w:t>
      </w:r>
      <w:r w:rsidRPr="00221F18">
        <w:rPr>
          <w:rFonts w:ascii="Times New Roman" w:hAnsi="Times New Roman" w:cs="Times New Roman"/>
          <w:sz w:val="22"/>
          <w:szCs w:val="22"/>
        </w:rPr>
        <w:t>Transactions are executed in accordance with budgetary and financial laws, consistent with the Commission’s statutory requirements, and are recorded in accordance with Federal accounting standards.</w:t>
      </w:r>
      <w:r w:rsidR="00C933B2">
        <w:rPr>
          <w:rFonts w:ascii="Times New Roman" w:hAnsi="Times New Roman" w:cs="Times New Roman"/>
          <w:sz w:val="22"/>
          <w:szCs w:val="22"/>
        </w:rPr>
        <w:t xml:space="preserve"> </w:t>
      </w:r>
      <w:r w:rsidRPr="00221F18">
        <w:rPr>
          <w:rFonts w:ascii="Times New Roman" w:hAnsi="Times New Roman" w:cs="Times New Roman"/>
          <w:sz w:val="22"/>
          <w:szCs w:val="22"/>
        </w:rPr>
        <w:t>Additionally, assets are properly acquired, used, and safeguarded to deter theft, accidental loss or unauthorized disposition, and fraud.</w:t>
      </w:r>
      <w:r w:rsidR="00C933B2">
        <w:rPr>
          <w:rFonts w:ascii="Times New Roman" w:hAnsi="Times New Roman" w:cs="Times New Roman"/>
          <w:sz w:val="22"/>
          <w:szCs w:val="22"/>
        </w:rPr>
        <w:t xml:space="preserve"> </w:t>
      </w:r>
      <w:r w:rsidRPr="00221F18">
        <w:rPr>
          <w:rFonts w:ascii="Times New Roman" w:hAnsi="Times New Roman" w:cs="Times New Roman"/>
          <w:sz w:val="22"/>
          <w:szCs w:val="22"/>
        </w:rPr>
        <w:t>Furthermore, the Commission’s internal controls provide for the reliability and completeness of its financial and performance data.</w:t>
      </w:r>
    </w:p>
    <w:p w:rsidR="00E559C0" w:rsidRPr="00A54012" w:rsidP="00673917" w14:paraId="4A2F7FC6" w14:textId="1E87D7D4">
      <w:pPr>
        <w:pStyle w:val="Default"/>
        <w:spacing w:after="300"/>
        <w:jc w:val="both"/>
        <w:rPr>
          <w:rFonts w:ascii="Times New Roman" w:hAnsi="Times New Roman" w:cs="Times New Roman"/>
          <w:sz w:val="22"/>
          <w:szCs w:val="22"/>
        </w:rPr>
      </w:pPr>
      <w:r w:rsidRPr="008F50AF">
        <w:rPr>
          <w:rFonts w:ascii="Times New Roman" w:hAnsi="Times New Roman" w:cs="Times New Roman"/>
          <w:sz w:val="22"/>
          <w:szCs w:val="22"/>
        </w:rPr>
        <w:t>The FY 2021 auditors’ report identified a significant deficiency in Information Technology controls related to identify and access management.</w:t>
      </w:r>
      <w:r w:rsidR="00C933B2">
        <w:rPr>
          <w:rFonts w:ascii="Times New Roman" w:hAnsi="Times New Roman" w:cs="Times New Roman"/>
          <w:sz w:val="22"/>
          <w:szCs w:val="22"/>
        </w:rPr>
        <w:t xml:space="preserve"> </w:t>
      </w:r>
      <w:r w:rsidRPr="008F50AF">
        <w:rPr>
          <w:rFonts w:ascii="Times New Roman" w:hAnsi="Times New Roman" w:cs="Times New Roman"/>
          <w:sz w:val="22"/>
          <w:szCs w:val="22"/>
        </w:rPr>
        <w:t>The Commission will make every effort in FY 2022 to implement corrective action plans for each of the recommendations associated with this finding to avoid any repeat findings in these areas.</w:t>
      </w:r>
      <w:r w:rsidR="00C933B2">
        <w:rPr>
          <w:rFonts w:ascii="Times New Roman" w:hAnsi="Times New Roman" w:cs="Times New Roman"/>
          <w:sz w:val="22"/>
          <w:szCs w:val="22"/>
        </w:rPr>
        <w:t xml:space="preserve"> </w:t>
      </w:r>
      <w:bookmarkStart w:id="56" w:name="_Hlk87783441"/>
      <w:r w:rsidR="00A57570">
        <w:rPr>
          <w:rFonts w:ascii="Times New Roman" w:eastAsia="Calibri" w:hAnsi="Times New Roman" w:cs="Times New Roman"/>
          <w:sz w:val="22"/>
          <w:szCs w:val="22"/>
        </w:rPr>
        <w:t xml:space="preserve">The FY 2021 auditors’ report also found a significant deficiency </w:t>
      </w:r>
      <w:r w:rsidRPr="0045430D" w:rsidR="00A57570">
        <w:rPr>
          <w:rFonts w:ascii="Times New Roman" w:eastAsia="Calibri" w:hAnsi="Times New Roman" w:cs="Times New Roman"/>
          <w:sz w:val="22"/>
          <w:szCs w:val="22"/>
        </w:rPr>
        <w:t xml:space="preserve">in internal control related to </w:t>
      </w:r>
      <w:r w:rsidR="00A57570">
        <w:rPr>
          <w:rFonts w:ascii="Times New Roman" w:eastAsia="Calibri" w:hAnsi="Times New Roman" w:cs="Times New Roman"/>
          <w:sz w:val="22"/>
          <w:szCs w:val="22"/>
        </w:rPr>
        <w:t xml:space="preserve">an isolated instance of </w:t>
      </w:r>
      <w:r w:rsidRPr="0045430D" w:rsidR="00A57570">
        <w:rPr>
          <w:rFonts w:ascii="Times New Roman" w:eastAsia="Calibri" w:hAnsi="Times New Roman" w:cs="Times New Roman"/>
          <w:sz w:val="22"/>
          <w:szCs w:val="22"/>
        </w:rPr>
        <w:t xml:space="preserve">recording </w:t>
      </w:r>
      <w:r w:rsidR="00A57570">
        <w:rPr>
          <w:rFonts w:ascii="Times New Roman" w:eastAsia="Calibri" w:hAnsi="Times New Roman" w:cs="Times New Roman"/>
          <w:sz w:val="22"/>
          <w:szCs w:val="22"/>
        </w:rPr>
        <w:t xml:space="preserve">a </w:t>
      </w:r>
      <w:r w:rsidRPr="0045430D" w:rsidR="00A57570">
        <w:rPr>
          <w:rFonts w:ascii="Times New Roman" w:eastAsia="Calibri" w:hAnsi="Times New Roman" w:cs="Times New Roman"/>
          <w:sz w:val="22"/>
          <w:szCs w:val="22"/>
        </w:rPr>
        <w:t>forfeiture order</w:t>
      </w:r>
      <w:r w:rsidR="00A57570">
        <w:rPr>
          <w:rFonts w:ascii="Times New Roman" w:eastAsia="Calibri" w:hAnsi="Times New Roman" w:cs="Times New Roman"/>
          <w:sz w:val="22"/>
          <w:szCs w:val="22"/>
        </w:rPr>
        <w:t xml:space="preserve"> inaccurately that had no e</w:t>
      </w:r>
      <w:r w:rsidRPr="0045430D" w:rsidR="00A57570">
        <w:rPr>
          <w:rFonts w:ascii="Times New Roman" w:eastAsia="Calibri" w:hAnsi="Times New Roman" w:cs="Times New Roman"/>
          <w:sz w:val="22"/>
          <w:szCs w:val="22"/>
        </w:rPr>
        <w:t xml:space="preserve">ffect </w:t>
      </w:r>
      <w:r w:rsidR="00A57570">
        <w:rPr>
          <w:rFonts w:ascii="Times New Roman" w:eastAsia="Calibri" w:hAnsi="Times New Roman" w:cs="Times New Roman"/>
          <w:sz w:val="22"/>
          <w:szCs w:val="22"/>
        </w:rPr>
        <w:t>on</w:t>
      </w:r>
      <w:r w:rsidRPr="0045430D" w:rsidR="00A57570">
        <w:rPr>
          <w:rFonts w:ascii="Times New Roman" w:eastAsia="Calibri" w:hAnsi="Times New Roman" w:cs="Times New Roman"/>
          <w:sz w:val="22"/>
          <w:szCs w:val="22"/>
        </w:rPr>
        <w:t xml:space="preserve"> the Commission’s consolidated financial statements</w:t>
      </w:r>
      <w:r w:rsidR="00A57570">
        <w:rPr>
          <w:rFonts w:ascii="Times New Roman" w:eastAsia="Calibri" w:hAnsi="Times New Roman" w:cs="Times New Roman"/>
          <w:sz w:val="22"/>
          <w:szCs w:val="22"/>
        </w:rPr>
        <w:t xml:space="preserve"> other than to one of the notes to the consolidated financial statements.</w:t>
      </w:r>
      <w:r w:rsidR="00C933B2">
        <w:rPr>
          <w:rFonts w:ascii="Times New Roman" w:eastAsia="Calibri" w:hAnsi="Times New Roman" w:cs="Times New Roman"/>
          <w:sz w:val="22"/>
          <w:szCs w:val="22"/>
        </w:rPr>
        <w:t xml:space="preserve"> </w:t>
      </w:r>
      <w:r w:rsidRPr="0045430D" w:rsidR="00A57570">
        <w:rPr>
          <w:rFonts w:ascii="Times New Roman" w:eastAsia="Calibri" w:hAnsi="Times New Roman" w:cs="Times New Roman"/>
          <w:sz w:val="22"/>
          <w:szCs w:val="22"/>
        </w:rPr>
        <w:t xml:space="preserve">The auditors found that </w:t>
      </w:r>
      <w:r w:rsidR="00A57570">
        <w:rPr>
          <w:rFonts w:ascii="Times New Roman" w:eastAsia="Calibri" w:hAnsi="Times New Roman" w:cs="Times New Roman"/>
          <w:sz w:val="22"/>
          <w:szCs w:val="22"/>
        </w:rPr>
        <w:t xml:space="preserve">controls in that </w:t>
      </w:r>
      <w:r w:rsidRPr="0045430D" w:rsidR="00A57570">
        <w:rPr>
          <w:rFonts w:ascii="Times New Roman" w:eastAsia="Calibri" w:hAnsi="Times New Roman" w:cs="Times New Roman"/>
          <w:sz w:val="22"/>
          <w:szCs w:val="22"/>
        </w:rPr>
        <w:t>area need to be improved because those existing controls were not effective in all instances in FY 2021.</w:t>
      </w:r>
      <w:r w:rsidR="00C933B2">
        <w:rPr>
          <w:rFonts w:ascii="Times New Roman" w:eastAsia="Calibri" w:hAnsi="Times New Roman" w:cs="Times New Roman"/>
          <w:sz w:val="22"/>
          <w:szCs w:val="22"/>
        </w:rPr>
        <w:t xml:space="preserve"> </w:t>
      </w:r>
      <w:r w:rsidR="00A57570">
        <w:rPr>
          <w:rFonts w:ascii="Times New Roman" w:eastAsia="Calibri" w:hAnsi="Times New Roman" w:cs="Times New Roman"/>
          <w:sz w:val="22"/>
          <w:szCs w:val="22"/>
        </w:rPr>
        <w:t>In FY 2022, w</w:t>
      </w:r>
      <w:r w:rsidRPr="0045430D" w:rsidR="00A57570">
        <w:rPr>
          <w:rFonts w:ascii="Times New Roman" w:eastAsia="Calibri" w:hAnsi="Times New Roman" w:cs="Times New Roman"/>
          <w:sz w:val="22"/>
          <w:szCs w:val="22"/>
        </w:rPr>
        <w:t>e will enhance our existing controls to prevent any recurrence of the same accounting error in the future</w:t>
      </w:r>
      <w:r w:rsidR="00A57570">
        <w:rPr>
          <w:rFonts w:ascii="Times New Roman" w:eastAsia="Calibri" w:hAnsi="Times New Roman" w:cs="Times New Roman"/>
          <w:sz w:val="22"/>
          <w:szCs w:val="22"/>
        </w:rPr>
        <w:t>.</w:t>
      </w:r>
      <w:bookmarkEnd w:id="56"/>
    </w:p>
    <w:p w:rsidR="00E559C0" w:rsidRPr="00221F18" w:rsidP="00F407D3" w14:paraId="5A851DF2" w14:textId="77777777">
      <w:pPr>
        <w:pStyle w:val="Heading5"/>
      </w:pPr>
      <w:bookmarkStart w:id="57" w:name="_Toc88780635"/>
      <w:r w:rsidRPr="00221F18">
        <w:t>Status of Internal Controls – Section 2 of FMFIA</w:t>
      </w:r>
      <w:bookmarkEnd w:id="57"/>
    </w:p>
    <w:p w:rsidR="00E559C0" w:rsidRPr="00221F18" w:rsidP="000255E0" w14:paraId="41BD917A" w14:textId="01C3086D">
      <w:pPr>
        <w:pStyle w:val="Default"/>
        <w:spacing w:after="260"/>
        <w:jc w:val="both"/>
        <w:rPr>
          <w:rFonts w:ascii="Times New Roman" w:hAnsi="Times New Roman" w:cs="Times New Roman"/>
          <w:sz w:val="22"/>
          <w:szCs w:val="22"/>
        </w:rPr>
      </w:pPr>
      <w:r w:rsidRPr="00221F18">
        <w:rPr>
          <w:rFonts w:ascii="Times New Roman" w:hAnsi="Times New Roman" w:cs="Times New Roman"/>
          <w:sz w:val="22"/>
          <w:szCs w:val="22"/>
        </w:rPr>
        <w:t>During FY 2021, the Commission continued its efforts to improve and strengthen its internal controls over operations and financial reporting by building upon continuing improvements to its risk assessment processes.</w:t>
      </w:r>
      <w:r w:rsidR="00C933B2">
        <w:rPr>
          <w:rFonts w:ascii="Times New Roman" w:hAnsi="Times New Roman" w:cs="Times New Roman"/>
          <w:sz w:val="22"/>
          <w:szCs w:val="22"/>
        </w:rPr>
        <w:t xml:space="preserve"> </w:t>
      </w:r>
      <w:r w:rsidRPr="00221F18">
        <w:rPr>
          <w:rFonts w:ascii="Times New Roman" w:hAnsi="Times New Roman" w:cs="Times New Roman"/>
          <w:sz w:val="22"/>
          <w:szCs w:val="22"/>
        </w:rPr>
        <w:t>The Commission implemented risk assessment tools to update its pre-existing processes for internal control evaluation, both at the Commission and at its reporting components, USF and TRS.</w:t>
      </w:r>
      <w:r w:rsidR="00C933B2">
        <w:rPr>
          <w:rFonts w:ascii="Times New Roman" w:hAnsi="Times New Roman" w:cs="Times New Roman"/>
          <w:sz w:val="22"/>
          <w:szCs w:val="22"/>
        </w:rPr>
        <w:t xml:space="preserve"> </w:t>
      </w:r>
      <w:r w:rsidRPr="00221F18">
        <w:rPr>
          <w:rFonts w:ascii="Times New Roman" w:hAnsi="Times New Roman" w:cs="Times New Roman"/>
          <w:sz w:val="22"/>
          <w:szCs w:val="22"/>
        </w:rPr>
        <w:t xml:space="preserve">The Commission’s updated risk assessment process integrates the latest versions of the Government Accountability Office’s (GAO), </w:t>
      </w:r>
      <w:r w:rsidRPr="00221F18">
        <w:rPr>
          <w:rFonts w:ascii="Times New Roman" w:hAnsi="Times New Roman" w:cs="Times New Roman"/>
          <w:i/>
          <w:iCs/>
          <w:sz w:val="22"/>
          <w:szCs w:val="22"/>
        </w:rPr>
        <w:t xml:space="preserve">Standards for Internal Control in the Federal Government </w:t>
      </w:r>
      <w:r w:rsidRPr="00221F18">
        <w:rPr>
          <w:rFonts w:ascii="Times New Roman" w:hAnsi="Times New Roman" w:cs="Times New Roman"/>
          <w:sz w:val="22"/>
          <w:szCs w:val="22"/>
        </w:rPr>
        <w:t xml:space="preserve">(Green Book), as well as OMB’s Circular A-123, </w:t>
      </w:r>
      <w:r w:rsidRPr="00221F18">
        <w:rPr>
          <w:rFonts w:ascii="Times New Roman" w:hAnsi="Times New Roman" w:cs="Times New Roman"/>
          <w:i/>
          <w:iCs/>
          <w:sz w:val="22"/>
          <w:szCs w:val="22"/>
        </w:rPr>
        <w:t>Management's Responsibility for Enterprise Risk Management and Internal Control</w:t>
      </w:r>
      <w:r w:rsidRPr="00221F18">
        <w:rPr>
          <w:rFonts w:ascii="Times New Roman" w:hAnsi="Times New Roman" w:cs="Times New Roman"/>
          <w:sz w:val="22"/>
          <w:szCs w:val="22"/>
        </w:rPr>
        <w:t>.</w:t>
      </w:r>
      <w:r w:rsidR="00C933B2">
        <w:rPr>
          <w:rFonts w:ascii="Times New Roman" w:hAnsi="Times New Roman" w:cs="Times New Roman"/>
          <w:sz w:val="22"/>
          <w:szCs w:val="22"/>
        </w:rPr>
        <w:t xml:space="preserve"> </w:t>
      </w:r>
      <w:r w:rsidRPr="00221F18">
        <w:rPr>
          <w:rFonts w:ascii="Times New Roman" w:hAnsi="Times New Roman" w:cs="Times New Roman"/>
          <w:sz w:val="22"/>
          <w:szCs w:val="22"/>
        </w:rPr>
        <w:t xml:space="preserve">Utilizing GAO’s Green Book as a blueprint, </w:t>
      </w:r>
      <w:r>
        <w:rPr>
          <w:rFonts w:ascii="Times New Roman" w:hAnsi="Times New Roman" w:cs="Times New Roman"/>
          <w:sz w:val="22"/>
          <w:szCs w:val="22"/>
        </w:rPr>
        <w:t xml:space="preserve">the </w:t>
      </w:r>
      <w:r w:rsidRPr="00221F18">
        <w:rPr>
          <w:rFonts w:ascii="Times New Roman" w:hAnsi="Times New Roman" w:cs="Times New Roman"/>
          <w:sz w:val="22"/>
          <w:szCs w:val="22"/>
        </w:rPr>
        <w:t xml:space="preserve">Commission implemented an entity level risk assessment tool that is completed each fiscal year by its Bureaus and Offices as well as its reporting components. </w:t>
      </w:r>
    </w:p>
    <w:p w:rsidR="00143AC3" w:rsidRPr="00221F18" w:rsidP="00331B23" w14:paraId="3E837927" w14:textId="2067CC2B">
      <w:pPr>
        <w:pStyle w:val="Default"/>
        <w:spacing w:after="360"/>
        <w:jc w:val="both"/>
        <w:rPr>
          <w:rFonts w:ascii="Times New Roman" w:hAnsi="Times New Roman" w:cs="Times New Roman"/>
          <w:sz w:val="22"/>
          <w:szCs w:val="22"/>
        </w:rPr>
      </w:pPr>
      <w:r w:rsidRPr="00221F18">
        <w:rPr>
          <w:rFonts w:ascii="Times New Roman" w:hAnsi="Times New Roman" w:cs="Times New Roman"/>
          <w:sz w:val="22"/>
          <w:szCs w:val="22"/>
        </w:rPr>
        <w:t xml:space="preserve">In FY 2021, the Senior Management Council (SMC) continued its oversight of the Commission’s entity and program level risk assessments as part of its overall Enterprise Risk Management (ERM) process </w:t>
      </w:r>
      <w:r w:rsidRPr="00221F18">
        <w:rPr>
          <w:rFonts w:ascii="Times New Roman" w:hAnsi="Times New Roman" w:cs="Times New Roman"/>
          <w:sz w:val="22"/>
          <w:szCs w:val="22"/>
        </w:rPr>
        <w:t>pursuant to OMB Circular A-123.</w:t>
      </w:r>
      <w:r w:rsidR="00C933B2">
        <w:rPr>
          <w:rFonts w:ascii="Times New Roman" w:hAnsi="Times New Roman" w:cs="Times New Roman"/>
          <w:sz w:val="22"/>
          <w:szCs w:val="22"/>
        </w:rPr>
        <w:t xml:space="preserve"> </w:t>
      </w:r>
      <w:r w:rsidRPr="00221F18">
        <w:rPr>
          <w:rFonts w:ascii="Times New Roman" w:hAnsi="Times New Roman" w:cs="Times New Roman"/>
          <w:sz w:val="22"/>
          <w:szCs w:val="22"/>
        </w:rPr>
        <w:t>The SMC includes representatives from across the Commission’s Bureaus and Offices to more fully integrate the Commission’s internal control assessment processes into the operations of the Bureaus and Offices while also identifying, monitoring, and mitigating risks throughout the year.</w:t>
      </w:r>
      <w:r w:rsidR="00C933B2">
        <w:rPr>
          <w:rFonts w:ascii="Times New Roman" w:hAnsi="Times New Roman" w:cs="Times New Roman"/>
          <w:sz w:val="22"/>
          <w:szCs w:val="22"/>
        </w:rPr>
        <w:t xml:space="preserve"> </w:t>
      </w:r>
      <w:r w:rsidRPr="00221F18">
        <w:rPr>
          <w:rFonts w:ascii="Times New Roman" w:hAnsi="Times New Roman" w:cs="Times New Roman"/>
          <w:sz w:val="22"/>
          <w:szCs w:val="22"/>
        </w:rPr>
        <w:t xml:space="preserve">While the Commission has received unmodified opinions over its consolidated financial statements for </w:t>
      </w:r>
      <w:r>
        <w:rPr>
          <w:rFonts w:ascii="Times New Roman" w:hAnsi="Times New Roman" w:cs="Times New Roman"/>
          <w:sz w:val="22"/>
          <w:szCs w:val="22"/>
        </w:rPr>
        <w:t xml:space="preserve">the </w:t>
      </w:r>
      <w:r w:rsidRPr="00A54012">
        <w:rPr>
          <w:rFonts w:ascii="Times New Roman" w:hAnsi="Times New Roman" w:cs="Times New Roman"/>
          <w:sz w:val="22"/>
          <w:szCs w:val="22"/>
        </w:rPr>
        <w:t>sixteenth</w:t>
      </w:r>
      <w:r w:rsidRPr="00221F18">
        <w:rPr>
          <w:rFonts w:ascii="Times New Roman" w:hAnsi="Times New Roman" w:cs="Times New Roman"/>
          <w:sz w:val="22"/>
          <w:szCs w:val="22"/>
        </w:rPr>
        <w:t xml:space="preserve"> consecutive year, the Commission understands that maintaining proper internal controls requires continuous review of its internal controls and implementing improvements to them on an ongoing basis.</w:t>
      </w:r>
    </w:p>
    <w:p w:rsidR="00E559C0" w:rsidRPr="00221F18" w:rsidP="00F407D3" w14:paraId="73D891CB" w14:textId="77777777">
      <w:pPr>
        <w:pStyle w:val="Heading5"/>
      </w:pPr>
      <w:bookmarkStart w:id="58" w:name="_Toc88780636"/>
      <w:r w:rsidRPr="00221F18">
        <w:t>Financial Management Systems – Section 4 of FMFIA</w:t>
      </w:r>
      <w:bookmarkEnd w:id="58"/>
    </w:p>
    <w:p w:rsidR="00E559C0" w:rsidRPr="00221F18" w:rsidP="00331B23" w14:paraId="7323B1B2" w14:textId="645F5FB2">
      <w:pPr>
        <w:pStyle w:val="Default"/>
        <w:spacing w:after="260"/>
        <w:jc w:val="both"/>
        <w:rPr>
          <w:rFonts w:ascii="Times New Roman" w:hAnsi="Times New Roman" w:cs="Times New Roman"/>
          <w:sz w:val="22"/>
          <w:szCs w:val="22"/>
        </w:rPr>
      </w:pPr>
      <w:r w:rsidRPr="00221F18">
        <w:rPr>
          <w:rFonts w:ascii="Times New Roman" w:hAnsi="Times New Roman" w:cs="Times New Roman"/>
          <w:sz w:val="22"/>
          <w:szCs w:val="22"/>
        </w:rPr>
        <w:t xml:space="preserve">Section 4 of FMFIA and the </w:t>
      </w:r>
      <w:r w:rsidRPr="00221F18">
        <w:rPr>
          <w:rFonts w:ascii="Times New Roman" w:hAnsi="Times New Roman" w:cs="Times New Roman"/>
          <w:i/>
          <w:iCs/>
          <w:sz w:val="22"/>
          <w:szCs w:val="22"/>
        </w:rPr>
        <w:t xml:space="preserve">Federal Financial Management Improvement Act of 1996 </w:t>
      </w:r>
      <w:r w:rsidRPr="00221F18">
        <w:rPr>
          <w:rFonts w:ascii="Times New Roman" w:hAnsi="Times New Roman" w:cs="Times New Roman"/>
          <w:sz w:val="22"/>
          <w:szCs w:val="22"/>
        </w:rPr>
        <w:t>(FFMIA) require management to ensure the agency’s financial management systems provide reliable, consistent disclosure of financial data and conform to government-wide requirements.</w:t>
      </w:r>
      <w:r w:rsidR="00C933B2">
        <w:rPr>
          <w:rFonts w:ascii="Times New Roman" w:hAnsi="Times New Roman" w:cs="Times New Roman"/>
          <w:sz w:val="22"/>
          <w:szCs w:val="22"/>
        </w:rPr>
        <w:t xml:space="preserve"> </w:t>
      </w:r>
      <w:r w:rsidRPr="00221F18">
        <w:rPr>
          <w:rFonts w:ascii="Times New Roman" w:hAnsi="Times New Roman" w:cs="Times New Roman"/>
          <w:sz w:val="22"/>
          <w:szCs w:val="22"/>
        </w:rPr>
        <w:t>In FY 2021, the Commission’s financial management systems were in compliance with government-wide requirements.</w:t>
      </w:r>
      <w:r w:rsidR="00C933B2">
        <w:rPr>
          <w:rFonts w:ascii="Times New Roman" w:hAnsi="Times New Roman" w:cs="Times New Roman"/>
          <w:sz w:val="22"/>
          <w:szCs w:val="22"/>
        </w:rPr>
        <w:t xml:space="preserve"> </w:t>
      </w:r>
      <w:r w:rsidRPr="00221F18">
        <w:rPr>
          <w:rFonts w:ascii="Times New Roman" w:hAnsi="Times New Roman" w:cs="Times New Roman"/>
          <w:sz w:val="22"/>
          <w:szCs w:val="22"/>
        </w:rPr>
        <w:t>The Commission continues to work with its reporting components on their financial systems.</w:t>
      </w:r>
    </w:p>
    <w:p w:rsidR="00E559C0" w:rsidRPr="00221F18" w:rsidP="00F407D3" w14:paraId="276E9DE3" w14:textId="77777777">
      <w:pPr>
        <w:pStyle w:val="Heading5"/>
      </w:pPr>
      <w:bookmarkStart w:id="59" w:name="_Toc88780637"/>
      <w:r w:rsidRPr="00221F18">
        <w:t>Statement of Assurance</w:t>
      </w:r>
      <w:bookmarkEnd w:id="59"/>
    </w:p>
    <w:p w:rsidR="00E559C0" w:rsidRPr="00221F18" w:rsidP="004A6CE5" w14:paraId="32C70DA8" w14:textId="67821BCD">
      <w:pPr>
        <w:spacing w:after="240"/>
        <w:jc w:val="both"/>
        <w:rPr>
          <w:sz w:val="22"/>
          <w:szCs w:val="22"/>
        </w:rPr>
      </w:pPr>
      <w:r w:rsidRPr="00221F18">
        <w:rPr>
          <w:sz w:val="22"/>
          <w:szCs w:val="22"/>
        </w:rPr>
        <w:t>Commission management is responsible for managing risks and maintaining effective internal controls to meet the objectives of Sections 2 and 4 of FMFIA.</w:t>
      </w:r>
      <w:r w:rsidR="00C933B2">
        <w:rPr>
          <w:sz w:val="22"/>
          <w:szCs w:val="22"/>
        </w:rPr>
        <w:t xml:space="preserve"> </w:t>
      </w:r>
      <w:r w:rsidRPr="00221F18">
        <w:rPr>
          <w:sz w:val="22"/>
          <w:szCs w:val="22"/>
        </w:rPr>
        <w:t xml:space="preserve">The Commission conducted its assessment of risk and internal control in accordance with OMB Circular A-123, </w:t>
      </w:r>
      <w:r w:rsidRPr="00221F18">
        <w:rPr>
          <w:i/>
          <w:iCs/>
          <w:sz w:val="22"/>
          <w:szCs w:val="22"/>
        </w:rPr>
        <w:t>Management’s Responsibility for Enterprise Risk Management and Internal Control</w:t>
      </w:r>
      <w:r w:rsidRPr="00221F18">
        <w:rPr>
          <w:sz w:val="22"/>
          <w:szCs w:val="22"/>
        </w:rPr>
        <w:t>.</w:t>
      </w:r>
      <w:r w:rsidR="00C933B2">
        <w:rPr>
          <w:sz w:val="22"/>
          <w:szCs w:val="22"/>
        </w:rPr>
        <w:t xml:space="preserve"> </w:t>
      </w:r>
      <w:r w:rsidRPr="00221F18">
        <w:rPr>
          <w:sz w:val="22"/>
          <w:szCs w:val="22"/>
        </w:rPr>
        <w:t>Based on the results of the assessment, the Commission can provide reasonable assurance that internal controls over operations, reporting, and compliance were operating effectively and financial management systems conform to government-wide standards as of September 30, 2021.</w:t>
      </w:r>
    </w:p>
    <w:p w:rsidR="00E559C0" w:rsidRPr="00221F18" w:rsidP="00E559C0" w14:paraId="200A1F1D" w14:textId="59ED5934">
      <w:pPr>
        <w:jc w:val="both"/>
        <w:rPr>
          <w:noProof/>
          <w:sz w:val="22"/>
          <w:szCs w:val="22"/>
        </w:rPr>
      </w:pPr>
      <w:r>
        <w:rPr>
          <w:noProof/>
        </w:rPr>
        <w:drawing>
          <wp:inline distT="0" distB="0" distL="0" distR="0">
            <wp:extent cx="1952625" cy="228600"/>
            <wp:effectExtent l="0" t="0" r="9525" b="0"/>
            <wp:docPr id="9" name="Picture 9" descr="Signature of Jessica Rosenworcel."/>
            <wp:cNvGraphicFramePr/>
            <a:graphic xmlns:a="http://schemas.openxmlformats.org/drawingml/2006/main">
              <a:graphicData uri="http://schemas.openxmlformats.org/drawingml/2006/picture">
                <pic:pic xmlns:pic="http://schemas.openxmlformats.org/drawingml/2006/picture">
                  <pic:nvPicPr>
                    <pic:cNvPr id="9" name="Picture 9" descr="Signature of Jessica Rosenworcel."/>
                    <pic:cNvPicPr/>
                  </pic:nvPicPr>
                  <pic:blipFill>
                    <a:blip xmlns:r="http://schemas.openxmlformats.org/officeDocument/2006/relationships" r:embed="rId11"/>
                    <a:stretch>
                      <a:fillRect/>
                    </a:stretch>
                  </pic:blipFill>
                  <pic:spPr>
                    <a:xfrm>
                      <a:off x="0" y="0"/>
                      <a:ext cx="1955504" cy="228937"/>
                    </a:xfrm>
                    <a:prstGeom prst="rect">
                      <a:avLst/>
                    </a:prstGeom>
                  </pic:spPr>
                </pic:pic>
              </a:graphicData>
            </a:graphic>
          </wp:inline>
        </w:drawing>
      </w:r>
    </w:p>
    <w:p w:rsidR="00E559C0" w:rsidRPr="00221F18" w:rsidP="00E559C0" w14:paraId="05AA3E18" w14:textId="77777777">
      <w:pPr>
        <w:jc w:val="both"/>
        <w:rPr>
          <w:sz w:val="22"/>
          <w:szCs w:val="22"/>
        </w:rPr>
      </w:pPr>
      <w:r w:rsidRPr="00221F18">
        <w:rPr>
          <w:sz w:val="22"/>
          <w:szCs w:val="22"/>
        </w:rPr>
        <w:t xml:space="preserve">Jessica </w:t>
      </w:r>
      <w:r w:rsidRPr="00221F18">
        <w:rPr>
          <w:sz w:val="22"/>
          <w:szCs w:val="22"/>
        </w:rPr>
        <w:t>Rosenworcel</w:t>
      </w:r>
    </w:p>
    <w:p w:rsidR="00E559C0" w:rsidRPr="00221F18" w:rsidP="00E559C0" w14:paraId="6F1CD830" w14:textId="77777777">
      <w:pPr>
        <w:jc w:val="both"/>
        <w:rPr>
          <w:sz w:val="22"/>
          <w:szCs w:val="22"/>
        </w:rPr>
      </w:pPr>
      <w:r w:rsidRPr="00221F18">
        <w:rPr>
          <w:sz w:val="22"/>
          <w:szCs w:val="22"/>
        </w:rPr>
        <w:t>Chairwoman</w:t>
      </w:r>
    </w:p>
    <w:p w:rsidR="00E559C0" w:rsidRPr="004A6CE5" w:rsidP="004A6CE5" w14:paraId="6A986F8A" w14:textId="49104405">
      <w:pPr>
        <w:jc w:val="both"/>
        <w:rPr>
          <w:sz w:val="22"/>
          <w:szCs w:val="22"/>
        </w:rPr>
      </w:pPr>
      <w:r w:rsidRPr="00221F18">
        <w:rPr>
          <w:sz w:val="22"/>
          <w:szCs w:val="22"/>
        </w:rPr>
        <w:t>November 15, 2021</w:t>
      </w:r>
      <w:bookmarkEnd w:id="54"/>
    </w:p>
    <w:p w:rsidR="00E559C0" w:rsidP="00234EAE" w14:paraId="74FBE024" w14:textId="77777777">
      <w:pPr>
        <w:pStyle w:val="Heading2"/>
        <w:sectPr w:rsidSect="00A57570">
          <w:pgSz w:w="12240" w:h="15840" w:code="1"/>
          <w:pgMar w:top="1152" w:right="1440" w:bottom="1152" w:left="1440" w:header="720" w:footer="1005" w:gutter="0"/>
          <w:cols w:space="720"/>
        </w:sectPr>
      </w:pPr>
    </w:p>
    <w:p w:rsidR="00E559C0" w:rsidRPr="00E30DFA" w:rsidP="00121FDD" w14:paraId="7DD2AB34" w14:textId="77777777">
      <w:pPr>
        <w:pStyle w:val="Heading3"/>
        <w:spacing w:before="280"/>
      </w:pPr>
      <w:bookmarkStart w:id="60" w:name="_Toc467000232"/>
      <w:bookmarkStart w:id="61" w:name="_Toc88780529"/>
      <w:bookmarkStart w:id="62" w:name="_Toc88780638"/>
      <w:r w:rsidRPr="00DD60E7">
        <w:t>Financial Management Systems Strategy</w:t>
      </w:r>
      <w:bookmarkEnd w:id="60"/>
      <w:bookmarkEnd w:id="61"/>
      <w:bookmarkEnd w:id="62"/>
    </w:p>
    <w:p w:rsidR="00E559C0" w:rsidP="00E559C0" w14:paraId="6CFA8866" w14:textId="5BDA6D54">
      <w:pPr>
        <w:jc w:val="both"/>
        <w:rPr>
          <w:color w:val="000000" w:themeColor="text1"/>
          <w:sz w:val="22"/>
          <w:szCs w:val="22"/>
        </w:rPr>
      </w:pPr>
      <w:bookmarkStart w:id="63" w:name="_Toc467000233"/>
      <w:r>
        <w:rPr>
          <w:color w:val="000000" w:themeColor="text1"/>
          <w:sz w:val="22"/>
          <w:szCs w:val="22"/>
        </w:rPr>
        <w:t>The Commission’s financial management system, Genesis, is a Momentum based product that serves as the financial accounting system of record and provides for the core accounting services of the Commission.</w:t>
      </w:r>
      <w:r w:rsidR="00C933B2">
        <w:rPr>
          <w:color w:val="000000" w:themeColor="text1"/>
          <w:sz w:val="22"/>
          <w:szCs w:val="22"/>
        </w:rPr>
        <w:t xml:space="preserve"> </w:t>
      </w:r>
      <w:r>
        <w:rPr>
          <w:color w:val="000000" w:themeColor="text1"/>
          <w:sz w:val="22"/>
          <w:szCs w:val="22"/>
        </w:rPr>
        <w:t>These services include: funds control, budget execution, general ledger, accounts payable, accounts receivable, financial reports, and access controls.</w:t>
      </w:r>
      <w:r w:rsidR="00C933B2">
        <w:rPr>
          <w:color w:val="000000" w:themeColor="text1"/>
          <w:sz w:val="22"/>
          <w:szCs w:val="22"/>
        </w:rPr>
        <w:t xml:space="preserve"> </w:t>
      </w:r>
      <w:r>
        <w:rPr>
          <w:color w:val="000000" w:themeColor="text1"/>
          <w:sz w:val="22"/>
          <w:szCs w:val="22"/>
        </w:rPr>
        <w:t>Genesis facilitates compliance with the Federal Managers’ Financial Integrity Act (FMFIA), and the maintenance of an unmodified financial audit opinion.</w:t>
      </w:r>
      <w:r w:rsidR="00C933B2">
        <w:rPr>
          <w:color w:val="000000" w:themeColor="text1"/>
          <w:sz w:val="22"/>
          <w:szCs w:val="22"/>
        </w:rPr>
        <w:t xml:space="preserve"> </w:t>
      </w:r>
    </w:p>
    <w:p w:rsidR="00E559C0" w:rsidP="00445BAE" w14:paraId="624F9934" w14:textId="12F5F1F0">
      <w:pPr>
        <w:spacing w:after="260"/>
        <w:jc w:val="both"/>
        <w:rPr>
          <w:color w:val="000000" w:themeColor="text1"/>
          <w:sz w:val="22"/>
          <w:szCs w:val="22"/>
        </w:rPr>
      </w:pPr>
      <w:r>
        <w:rPr>
          <w:color w:val="000000" w:themeColor="text1"/>
          <w:sz w:val="22"/>
          <w:szCs w:val="22"/>
        </w:rPr>
        <w:t>Genesis continues to support the accounting for the spectrum auctions program at the Commission, including the activities under the Spectrum Act, which provides for the reimbursement of relocation expenses for eligible entities.</w:t>
      </w:r>
      <w:r w:rsidR="00C933B2">
        <w:rPr>
          <w:color w:val="000000" w:themeColor="text1"/>
          <w:sz w:val="22"/>
          <w:szCs w:val="22"/>
        </w:rPr>
        <w:t xml:space="preserve"> </w:t>
      </w:r>
      <w:r>
        <w:rPr>
          <w:color w:val="000000" w:themeColor="text1"/>
          <w:sz w:val="22"/>
          <w:szCs w:val="22"/>
        </w:rPr>
        <w:t>The Commission Registration System (CORES) allows eligible entities to seek reimbursement and enter their banking information into CORES online, and allows an entity to view their available balance for reimbursement along with the history of payments made to the entity.</w:t>
      </w:r>
      <w:r w:rsidR="00C933B2">
        <w:rPr>
          <w:color w:val="000000" w:themeColor="text1"/>
          <w:sz w:val="22"/>
          <w:szCs w:val="22"/>
        </w:rPr>
        <w:t xml:space="preserve"> </w:t>
      </w:r>
      <w:r>
        <w:rPr>
          <w:color w:val="000000" w:themeColor="text1"/>
          <w:sz w:val="22"/>
          <w:szCs w:val="22"/>
        </w:rPr>
        <w:t xml:space="preserve">Additionally, Genesis supports efficiency initiatives, including the Invoice Processing Platform (IPP), which reduces the paper chain associated with the document review process and reduces, </w:t>
      </w:r>
      <w:r w:rsidRPr="00D60201">
        <w:rPr>
          <w:color w:val="000000" w:themeColor="text1"/>
          <w:sz w:val="22"/>
          <w:szCs w:val="22"/>
        </w:rPr>
        <w:t>and/or eliminates, instances of duplicate data entry.</w:t>
      </w:r>
      <w:r w:rsidR="00C933B2">
        <w:rPr>
          <w:sz w:val="22"/>
          <w:szCs w:val="22"/>
        </w:rPr>
        <w:t xml:space="preserve"> </w:t>
      </w:r>
      <w:r>
        <w:rPr>
          <w:color w:val="000000" w:themeColor="text1"/>
          <w:sz w:val="22"/>
          <w:szCs w:val="22"/>
        </w:rPr>
        <w:t>Genesis also provides self-service capability for the Bureaus and Offices to execute accounting functions, including business analytics for decision making.</w:t>
      </w:r>
      <w:r w:rsidR="00C933B2">
        <w:rPr>
          <w:color w:val="000000" w:themeColor="text1"/>
          <w:sz w:val="22"/>
          <w:szCs w:val="22"/>
        </w:rPr>
        <w:t xml:space="preserve"> </w:t>
      </w:r>
    </w:p>
    <w:p w:rsidR="00E559C0" w:rsidRPr="00CC7080" w:rsidP="00B914C2" w14:paraId="203D6C89" w14:textId="56201220">
      <w:pPr>
        <w:pStyle w:val="BodyBullet"/>
        <w:numPr>
          <w:ilvl w:val="0"/>
          <w:numId w:val="0"/>
        </w:numPr>
        <w:tabs>
          <w:tab w:val="left" w:pos="720"/>
        </w:tabs>
        <w:rPr>
          <w:rFonts w:ascii="Times New Roman" w:hAnsi="Times New Roman" w:cs="Times New Roman"/>
          <w:sz w:val="22"/>
          <w:szCs w:val="22"/>
        </w:rPr>
      </w:pPr>
      <w:r w:rsidRPr="00D60201">
        <w:rPr>
          <w:rFonts w:ascii="Times New Roman" w:hAnsi="Times New Roman" w:cs="Times New Roman"/>
          <w:color w:val="000000" w:themeColor="text1"/>
          <w:sz w:val="22"/>
          <w:szCs w:val="22"/>
        </w:rPr>
        <w:t xml:space="preserve">In support of the </w:t>
      </w:r>
      <w:r w:rsidRPr="00D60201">
        <w:rPr>
          <w:rFonts w:ascii="Times New Roman" w:hAnsi="Times New Roman"/>
          <w:sz w:val="22"/>
          <w:szCs w:val="22"/>
        </w:rPr>
        <w:t xml:space="preserve">Coronavirus Aid, Relief, and Economic Security (CARES) </w:t>
      </w:r>
      <w:r w:rsidRPr="00D60201">
        <w:rPr>
          <w:rFonts w:ascii="Times New Roman" w:hAnsi="Times New Roman" w:cs="Times New Roman"/>
          <w:color w:val="000000" w:themeColor="text1"/>
          <w:sz w:val="22"/>
          <w:szCs w:val="22"/>
        </w:rPr>
        <w:t xml:space="preserve">Act </w:t>
      </w:r>
      <w:r w:rsidRPr="00D60201">
        <w:rPr>
          <w:rFonts w:ascii="Times New Roman" w:hAnsi="Times New Roman"/>
          <w:sz w:val="22"/>
          <w:szCs w:val="22"/>
        </w:rPr>
        <w:t>(P.L. 116-136), the Consolidated Appropriations Act, 2021 (P.L. 116-260), and the American Rescue Plan Act of 2021 (P.L. 117-2)</w:t>
      </w:r>
      <w:r w:rsidRPr="00D60201">
        <w:rPr>
          <w:rFonts w:ascii="Times New Roman" w:hAnsi="Times New Roman" w:cs="Times New Roman"/>
          <w:color w:val="000000" w:themeColor="text1"/>
          <w:sz w:val="22"/>
          <w:szCs w:val="22"/>
        </w:rPr>
        <w:t xml:space="preserve">, the </w:t>
      </w:r>
      <w:r>
        <w:rPr>
          <w:rFonts w:ascii="Times New Roman" w:hAnsi="Times New Roman" w:cs="Times New Roman"/>
          <w:color w:val="000000" w:themeColor="text1"/>
          <w:sz w:val="22"/>
          <w:szCs w:val="22"/>
        </w:rPr>
        <w:t xml:space="preserve">Commission </w:t>
      </w:r>
      <w:r w:rsidRPr="00D60201">
        <w:rPr>
          <w:rFonts w:ascii="Times New Roman" w:hAnsi="Times New Roman" w:cs="Times New Roman"/>
          <w:color w:val="000000" w:themeColor="text1"/>
          <w:sz w:val="22"/>
          <w:szCs w:val="22"/>
        </w:rPr>
        <w:t>leveraged the scalable functionality of</w:t>
      </w:r>
      <w:r>
        <w:rPr>
          <w:rFonts w:ascii="Times New Roman" w:hAnsi="Times New Roman" w:cs="Times New Roman"/>
          <w:color w:val="000000" w:themeColor="text1"/>
          <w:sz w:val="22"/>
          <w:szCs w:val="22"/>
        </w:rPr>
        <w:t xml:space="preserve"> </w:t>
      </w:r>
      <w:r w:rsidRPr="00D60201">
        <w:rPr>
          <w:rFonts w:ascii="Times New Roman" w:hAnsi="Times New Roman" w:cs="Times New Roman"/>
          <w:color w:val="000000" w:themeColor="text1"/>
          <w:sz w:val="22"/>
          <w:szCs w:val="22"/>
        </w:rPr>
        <w:t>Genesi</w:t>
      </w:r>
      <w:r>
        <w:rPr>
          <w:rFonts w:ascii="Times New Roman" w:hAnsi="Times New Roman" w:cs="Times New Roman"/>
          <w:color w:val="000000" w:themeColor="text1"/>
          <w:sz w:val="22"/>
          <w:szCs w:val="22"/>
        </w:rPr>
        <w:t>s and IPP to quickly accommodate updates for four new programs</w:t>
      </w:r>
      <w:r>
        <w:rPr>
          <w:rFonts w:ascii="Times New Roman" w:hAnsi="Times New Roman"/>
          <w:sz w:val="22"/>
          <w:szCs w:val="22"/>
        </w:rPr>
        <w:t>—</w:t>
      </w:r>
      <w:r w:rsidRPr="00CC7080">
        <w:rPr>
          <w:rFonts w:ascii="Times New Roman" w:hAnsi="Times New Roman"/>
          <w:sz w:val="22"/>
          <w:szCs w:val="22"/>
        </w:rPr>
        <w:t>COVID-19 Telehealth Program</w:t>
      </w:r>
      <w:r>
        <w:rPr>
          <w:rFonts w:ascii="Times New Roman" w:hAnsi="Times New Roman"/>
          <w:sz w:val="22"/>
          <w:szCs w:val="22"/>
        </w:rPr>
        <w:t xml:space="preserve"> (Round 2</w:t>
      </w:r>
      <w:r w:rsidR="007F5EA1">
        <w:rPr>
          <w:rFonts w:ascii="Times New Roman" w:hAnsi="Times New Roman"/>
          <w:sz w:val="22"/>
          <w:szCs w:val="22"/>
        </w:rPr>
        <w:t>)</w:t>
      </w:r>
      <w:r w:rsidRPr="00CC7080" w:rsidR="007F5EA1">
        <w:rPr>
          <w:rFonts w:ascii="Times New Roman" w:hAnsi="Times New Roman" w:cs="Times New Roman"/>
          <w:sz w:val="22"/>
          <w:szCs w:val="22"/>
          <w:shd w:val="clear" w:color="auto" w:fill="FFFFFF"/>
        </w:rPr>
        <w:t>,</w:t>
      </w:r>
      <w:r w:rsidR="007F5EA1">
        <w:rPr>
          <w:rFonts w:ascii="Times New Roman" w:hAnsi="Times New Roman" w:cs="Times New Roman"/>
          <w:sz w:val="22"/>
          <w:szCs w:val="22"/>
          <w:shd w:val="clear" w:color="auto" w:fill="FFFFFF"/>
        </w:rPr>
        <w:t xml:space="preserve"> </w:t>
      </w:r>
      <w:r w:rsidRPr="00CC7080">
        <w:rPr>
          <w:rFonts w:ascii="Times New Roman" w:hAnsi="Times New Roman" w:cs="Times New Roman"/>
          <w:sz w:val="22"/>
          <w:szCs w:val="22"/>
          <w:shd w:val="clear" w:color="auto" w:fill="FFFFFF"/>
        </w:rPr>
        <w:t>Emergency Broadband Connectivity Fund – Emergency Broadband Benefit Program, Emergency Connectivity Fund, and </w:t>
      </w:r>
      <w:r>
        <w:rPr>
          <w:rFonts w:ascii="Times New Roman" w:hAnsi="Times New Roman" w:cs="Times New Roman"/>
          <w:sz w:val="22"/>
          <w:szCs w:val="22"/>
          <w:shd w:val="clear" w:color="auto" w:fill="FFFFFF"/>
        </w:rPr>
        <w:t xml:space="preserve">the </w:t>
      </w:r>
      <w:r w:rsidRPr="00CC7080">
        <w:rPr>
          <w:rFonts w:ascii="Times New Roman" w:hAnsi="Times New Roman" w:cs="Times New Roman"/>
          <w:sz w:val="22"/>
          <w:szCs w:val="22"/>
          <w:shd w:val="clear" w:color="auto" w:fill="FFFFFF"/>
        </w:rPr>
        <w:t>Secure &amp; Trusted Communications Network Reimbursement Program</w:t>
      </w:r>
      <w:r>
        <w:rPr>
          <w:rFonts w:ascii="Times New Roman" w:hAnsi="Times New Roman"/>
          <w:sz w:val="22"/>
          <w:szCs w:val="22"/>
        </w:rPr>
        <w:t>—</w:t>
      </w:r>
      <w:r>
        <w:rPr>
          <w:rFonts w:ascii="Times New Roman" w:hAnsi="Times New Roman" w:cs="Times New Roman"/>
          <w:color w:val="000000" w:themeColor="text1"/>
          <w:sz w:val="22"/>
          <w:szCs w:val="22"/>
        </w:rPr>
        <w:t>mandated to the Commission under these laws.</w:t>
      </w:r>
      <w:r w:rsidR="00C933B2">
        <w:rPr>
          <w:rFonts w:ascii="Times New Roman" w:hAnsi="Times New Roman" w:cs="Times New Roman"/>
          <w:color w:val="000000" w:themeColor="text1"/>
          <w:sz w:val="22"/>
          <w:szCs w:val="22"/>
        </w:rPr>
        <w:t xml:space="preserve"> </w:t>
      </w:r>
      <w:r>
        <w:rPr>
          <w:rFonts w:ascii="Times New Roman" w:hAnsi="Times New Roman" w:cs="Times New Roman"/>
          <w:color w:val="000000" w:themeColor="text1"/>
          <w:sz w:val="22"/>
          <w:szCs w:val="22"/>
        </w:rPr>
        <w:t xml:space="preserve">Specifically, </w:t>
      </w:r>
      <w:r>
        <w:rPr>
          <w:rFonts w:ascii="Times New Roman" w:hAnsi="Times New Roman" w:cs="Times New Roman"/>
          <w:sz w:val="22"/>
          <w:szCs w:val="22"/>
          <w:shd w:val="clear" w:color="auto" w:fill="FFFFFF"/>
        </w:rPr>
        <w:t>d</w:t>
      </w:r>
      <w:r w:rsidRPr="00CC7080">
        <w:rPr>
          <w:rFonts w:ascii="Times New Roman" w:hAnsi="Times New Roman" w:cs="Times New Roman"/>
          <w:sz w:val="22"/>
          <w:szCs w:val="22"/>
          <w:shd w:val="clear" w:color="auto" w:fill="FFFFFF"/>
        </w:rPr>
        <w:t xml:space="preserve">uring the past year, the Financial Operations systems have taken on an expanding role in support of the </w:t>
      </w:r>
      <w:r>
        <w:rPr>
          <w:rFonts w:ascii="Times New Roman" w:hAnsi="Times New Roman" w:cs="Times New Roman"/>
          <w:sz w:val="22"/>
          <w:szCs w:val="22"/>
          <w:shd w:val="clear" w:color="auto" w:fill="FFFFFF"/>
        </w:rPr>
        <w:t xml:space="preserve">Commission’s </w:t>
      </w:r>
      <w:r w:rsidRPr="00CC7080">
        <w:rPr>
          <w:rFonts w:ascii="Times New Roman" w:hAnsi="Times New Roman" w:cs="Times New Roman"/>
          <w:sz w:val="22"/>
          <w:szCs w:val="22"/>
          <w:shd w:val="clear" w:color="auto" w:fill="FFFFFF"/>
        </w:rPr>
        <w:t>mission, including the</w:t>
      </w:r>
      <w:r>
        <w:rPr>
          <w:rFonts w:ascii="Times New Roman" w:hAnsi="Times New Roman" w:cs="Times New Roman"/>
          <w:sz w:val="22"/>
          <w:szCs w:val="22"/>
          <w:shd w:val="clear" w:color="auto" w:fill="FFFFFF"/>
        </w:rPr>
        <w:t>se</w:t>
      </w:r>
      <w:r w:rsidRPr="00CC7080">
        <w:rPr>
          <w:rFonts w:ascii="Times New Roman" w:hAnsi="Times New Roman" w:cs="Times New Roman"/>
          <w:sz w:val="22"/>
          <w:szCs w:val="22"/>
          <w:shd w:val="clear" w:color="auto" w:fill="FFFFFF"/>
        </w:rPr>
        <w:t xml:space="preserve"> four new programs</w:t>
      </w:r>
      <w:r>
        <w:rPr>
          <w:rFonts w:ascii="Times New Roman" w:hAnsi="Times New Roman" w:cs="Times New Roman"/>
          <w:sz w:val="22"/>
          <w:szCs w:val="22"/>
          <w:shd w:val="clear" w:color="auto" w:fill="FFFFFF"/>
        </w:rPr>
        <w:t>.</w:t>
      </w:r>
      <w:r w:rsidR="00C933B2">
        <w:rPr>
          <w:rFonts w:ascii="Times New Roman" w:hAnsi="Times New Roman" w:cs="Times New Roman"/>
          <w:sz w:val="22"/>
          <w:szCs w:val="22"/>
          <w:shd w:val="clear" w:color="auto" w:fill="FFFFFF"/>
        </w:rPr>
        <w:t xml:space="preserve"> </w:t>
      </w:r>
      <w:r>
        <w:rPr>
          <w:rFonts w:ascii="Times New Roman" w:hAnsi="Times New Roman" w:cs="Times New Roman"/>
          <w:sz w:val="22"/>
          <w:szCs w:val="22"/>
          <w:shd w:val="clear" w:color="auto" w:fill="FFFFFF"/>
        </w:rPr>
        <w:t>A</w:t>
      </w:r>
      <w:r w:rsidRPr="00CC7080">
        <w:rPr>
          <w:rFonts w:ascii="Times New Roman" w:hAnsi="Times New Roman" w:cs="Times New Roman"/>
          <w:bCs/>
          <w:sz w:val="22"/>
          <w:szCs w:val="22"/>
        </w:rPr>
        <w:t xml:space="preserve">dditional financial system activities were required to support these new programs </w:t>
      </w:r>
      <w:r>
        <w:rPr>
          <w:rFonts w:ascii="Times New Roman" w:hAnsi="Times New Roman" w:cs="Times New Roman"/>
          <w:bCs/>
          <w:sz w:val="22"/>
          <w:szCs w:val="22"/>
        </w:rPr>
        <w:t xml:space="preserve">in the </w:t>
      </w:r>
      <w:r w:rsidRPr="00CC7080">
        <w:rPr>
          <w:rFonts w:ascii="Times New Roman" w:hAnsi="Times New Roman" w:cs="Times New Roman"/>
          <w:bCs/>
          <w:sz w:val="22"/>
          <w:szCs w:val="22"/>
        </w:rPr>
        <w:t>areas of:</w:t>
      </w:r>
      <w:r w:rsidR="00C933B2">
        <w:rPr>
          <w:rFonts w:ascii="Times New Roman" w:hAnsi="Times New Roman" w:cs="Times New Roman"/>
          <w:bCs/>
          <w:sz w:val="22"/>
          <w:szCs w:val="22"/>
        </w:rPr>
        <w:t xml:space="preserve"> </w:t>
      </w:r>
      <w:r w:rsidRPr="00CC7080">
        <w:rPr>
          <w:rFonts w:ascii="Times New Roman" w:hAnsi="Times New Roman" w:cs="Times New Roman"/>
          <w:sz w:val="22"/>
          <w:szCs w:val="22"/>
        </w:rPr>
        <w:t>eligibility determination</w:t>
      </w:r>
      <w:r>
        <w:rPr>
          <w:rFonts w:ascii="Times New Roman" w:hAnsi="Times New Roman" w:cs="Times New Roman"/>
          <w:sz w:val="22"/>
          <w:szCs w:val="22"/>
        </w:rPr>
        <w:t>s of requested services and items</w:t>
      </w:r>
      <w:r w:rsidRPr="00CC7080">
        <w:rPr>
          <w:rFonts w:ascii="Times New Roman" w:hAnsi="Times New Roman" w:cs="Times New Roman"/>
          <w:sz w:val="22"/>
          <w:szCs w:val="22"/>
        </w:rPr>
        <w:t>, applicant registration process, applicant registr</w:t>
      </w:r>
      <w:r>
        <w:rPr>
          <w:rFonts w:ascii="Times New Roman" w:hAnsi="Times New Roman" w:cs="Times New Roman"/>
          <w:sz w:val="22"/>
          <w:szCs w:val="22"/>
        </w:rPr>
        <w:t xml:space="preserve">ation </w:t>
      </w:r>
      <w:r w:rsidRPr="00CC7080">
        <w:rPr>
          <w:rFonts w:ascii="Times New Roman" w:hAnsi="Times New Roman" w:cs="Times New Roman"/>
          <w:sz w:val="22"/>
          <w:szCs w:val="22"/>
        </w:rPr>
        <w:t>with the federal System for Award Management (SAM), utiliz</w:t>
      </w:r>
      <w:r>
        <w:rPr>
          <w:rFonts w:ascii="Times New Roman" w:hAnsi="Times New Roman" w:cs="Times New Roman"/>
          <w:sz w:val="22"/>
          <w:szCs w:val="22"/>
        </w:rPr>
        <w:t>ation of</w:t>
      </w:r>
      <w:r w:rsidR="00C933B2">
        <w:rPr>
          <w:rFonts w:ascii="Times New Roman" w:hAnsi="Times New Roman" w:cs="Times New Roman"/>
          <w:sz w:val="22"/>
          <w:szCs w:val="22"/>
        </w:rPr>
        <w:t xml:space="preserve"> </w:t>
      </w:r>
      <w:r w:rsidRPr="00CC7080">
        <w:rPr>
          <w:rFonts w:ascii="Times New Roman" w:hAnsi="Times New Roman" w:cs="Times New Roman"/>
          <w:sz w:val="22"/>
          <w:szCs w:val="22"/>
        </w:rPr>
        <w:t xml:space="preserve">the Treasury’s Do Not Pay </w:t>
      </w:r>
      <w:r>
        <w:rPr>
          <w:rFonts w:ascii="Times New Roman" w:hAnsi="Times New Roman" w:cs="Times New Roman"/>
          <w:sz w:val="22"/>
          <w:szCs w:val="22"/>
        </w:rPr>
        <w:t xml:space="preserve">(DNP) </w:t>
      </w:r>
      <w:r w:rsidRPr="00CC7080">
        <w:rPr>
          <w:rFonts w:ascii="Times New Roman" w:hAnsi="Times New Roman" w:cs="Times New Roman"/>
          <w:sz w:val="22"/>
          <w:szCs w:val="22"/>
        </w:rPr>
        <w:t xml:space="preserve">system, and </w:t>
      </w:r>
      <w:r>
        <w:rPr>
          <w:rFonts w:ascii="Times New Roman" w:hAnsi="Times New Roman" w:cs="Times New Roman"/>
          <w:sz w:val="22"/>
          <w:szCs w:val="22"/>
        </w:rPr>
        <w:t xml:space="preserve">processing </w:t>
      </w:r>
      <w:r w:rsidRPr="00CC7080">
        <w:rPr>
          <w:rFonts w:ascii="Times New Roman" w:hAnsi="Times New Roman" w:cs="Times New Roman"/>
          <w:sz w:val="22"/>
          <w:szCs w:val="22"/>
        </w:rPr>
        <w:t>applicants’ reimbursement</w:t>
      </w:r>
      <w:r>
        <w:rPr>
          <w:rFonts w:ascii="Times New Roman" w:hAnsi="Times New Roman" w:cs="Times New Roman"/>
          <w:sz w:val="22"/>
          <w:szCs w:val="22"/>
        </w:rPr>
        <w:t xml:space="preserve"> requests</w:t>
      </w:r>
      <w:r w:rsidRPr="00CC7080">
        <w:rPr>
          <w:rFonts w:ascii="Times New Roman" w:hAnsi="Times New Roman" w:cs="Times New Roman"/>
          <w:sz w:val="22"/>
          <w:szCs w:val="22"/>
        </w:rPr>
        <w:t xml:space="preserve">. </w:t>
      </w:r>
    </w:p>
    <w:p w:rsidR="00E559C0" w:rsidP="00E559C0" w14:paraId="23E0268A" w14:textId="4F0F3BE0">
      <w:pPr>
        <w:jc w:val="both"/>
        <w:rPr>
          <w:color w:val="000000" w:themeColor="text1"/>
          <w:sz w:val="22"/>
          <w:szCs w:val="22"/>
        </w:rPr>
      </w:pPr>
      <w:r>
        <w:rPr>
          <w:color w:val="000000" w:themeColor="text1"/>
          <w:sz w:val="22"/>
          <w:szCs w:val="22"/>
        </w:rPr>
        <w:t>The Commission continues to optimize financial management system controls through ongoing monitoring reviews, business process engineering initiatives and implementation of best practices, including the migration of the Genesis to the Cloud environment.</w:t>
      </w:r>
      <w:r w:rsidR="00C933B2">
        <w:rPr>
          <w:color w:val="000000" w:themeColor="text1"/>
          <w:sz w:val="22"/>
          <w:szCs w:val="22"/>
        </w:rPr>
        <w:t xml:space="preserve"> </w:t>
      </w:r>
      <w:r>
        <w:rPr>
          <w:color w:val="000000" w:themeColor="text1"/>
          <w:sz w:val="22"/>
          <w:szCs w:val="22"/>
        </w:rPr>
        <w:t>In FY 2021, more Commission financial legacy systems were decommissioned, continuing to decrease operations and maintenance costs and supporting modernization initiatives.</w:t>
      </w:r>
      <w:r w:rsidR="00C933B2">
        <w:rPr>
          <w:color w:val="000000" w:themeColor="text1"/>
          <w:sz w:val="22"/>
          <w:szCs w:val="22"/>
        </w:rPr>
        <w:t xml:space="preserve"> </w:t>
      </w:r>
      <w:r>
        <w:rPr>
          <w:color w:val="000000" w:themeColor="text1"/>
          <w:sz w:val="22"/>
          <w:szCs w:val="22"/>
        </w:rPr>
        <w:t xml:space="preserve">Additionally, the Commission </w:t>
      </w:r>
      <w:r w:rsidRPr="00E53DE1">
        <w:rPr>
          <w:color w:val="000000" w:themeColor="text1"/>
          <w:sz w:val="22"/>
          <w:szCs w:val="22"/>
        </w:rPr>
        <w:t>continues to maintain a steady state within the core financial system and fully</w:t>
      </w:r>
      <w:r>
        <w:rPr>
          <w:color w:val="000000" w:themeColor="text1"/>
          <w:sz w:val="22"/>
          <w:szCs w:val="22"/>
        </w:rPr>
        <w:t xml:space="preserve"> utilizes Genesis’ features and functions, aligning financial system activities with the Commission’s business management goals.</w:t>
      </w:r>
      <w:r w:rsidR="00C933B2">
        <w:rPr>
          <w:color w:val="000000" w:themeColor="text1"/>
          <w:sz w:val="22"/>
          <w:szCs w:val="22"/>
        </w:rPr>
        <w:t xml:space="preserve"> </w:t>
      </w:r>
      <w:r>
        <w:rPr>
          <w:color w:val="000000" w:themeColor="text1"/>
          <w:sz w:val="22"/>
          <w:szCs w:val="22"/>
        </w:rPr>
        <w:t>The Commission’s financial management system strategy continues to build on processes that:</w:t>
      </w:r>
      <w:r w:rsidR="00C933B2">
        <w:rPr>
          <w:color w:val="000000" w:themeColor="text1"/>
          <w:sz w:val="22"/>
          <w:szCs w:val="22"/>
        </w:rPr>
        <w:t xml:space="preserve"> </w:t>
      </w:r>
      <w:r>
        <w:rPr>
          <w:color w:val="000000" w:themeColor="text1"/>
          <w:sz w:val="22"/>
          <w:szCs w:val="22"/>
        </w:rPr>
        <w:t>improve internal controls; increase integration; implement tools that enhance budget formulation and performance; and improve financial coordination with our reporting components.</w:t>
      </w:r>
    </w:p>
    <w:p w:rsidR="00E559C0" w:rsidP="00E559C0" w14:paraId="693350E0" w14:textId="0A0A3FCF">
      <w:pPr>
        <w:jc w:val="both"/>
        <w:rPr>
          <w:sz w:val="28"/>
          <w:szCs w:val="28"/>
        </w:rPr>
        <w:sectPr w:rsidSect="004A6CE5">
          <w:headerReference w:type="default" r:id="rId33"/>
          <w:footerReference w:type="default" r:id="rId34"/>
          <w:pgSz w:w="12240" w:h="15840" w:code="1"/>
          <w:pgMar w:top="1236" w:right="1440" w:bottom="1152" w:left="1440" w:header="720" w:footer="720" w:gutter="0"/>
          <w:cols w:space="720"/>
        </w:sectPr>
      </w:pPr>
    </w:p>
    <w:p w:rsidR="00E559C0" w:rsidP="008115F5" w14:paraId="70B28BEC" w14:textId="77777777">
      <w:pPr>
        <w:pStyle w:val="Heading3"/>
        <w:spacing w:before="60"/>
      </w:pPr>
      <w:bookmarkStart w:id="64" w:name="_Toc88780530"/>
      <w:bookmarkStart w:id="65" w:name="_Toc88780639"/>
      <w:r w:rsidRPr="00DD60E7">
        <w:t>Financial Discussion and Analysis</w:t>
      </w:r>
      <w:bookmarkEnd w:id="63"/>
      <w:bookmarkEnd w:id="64"/>
      <w:bookmarkEnd w:id="65"/>
    </w:p>
    <w:p w:rsidR="00E559C0" w:rsidRPr="007C53D8" w:rsidP="00B914C2" w14:paraId="274E23C1" w14:textId="77777777">
      <w:pPr>
        <w:pStyle w:val="StyleHeading411ptItalic"/>
        <w:rPr>
          <w:sz w:val="22"/>
          <w:szCs w:val="22"/>
        </w:rPr>
      </w:pPr>
      <w:bookmarkStart w:id="66" w:name="_Toc88780640"/>
      <w:r w:rsidRPr="007C53D8">
        <w:rPr>
          <w:sz w:val="22"/>
          <w:szCs w:val="22"/>
        </w:rPr>
        <w:t>UNDERSTANDING THE FINANCIAL STATEMENTS</w:t>
      </w:r>
      <w:bookmarkEnd w:id="66"/>
    </w:p>
    <w:p w:rsidR="002C68E5" w:rsidRPr="00F6775A" w:rsidP="002C68E5" w14:paraId="0A1244A1" w14:textId="77777777">
      <w:pPr>
        <w:autoSpaceDE w:val="0"/>
        <w:autoSpaceDN w:val="0"/>
        <w:adjustRightInd w:val="0"/>
        <w:jc w:val="both"/>
        <w:rPr>
          <w:sz w:val="22"/>
          <w:szCs w:val="22"/>
        </w:rPr>
      </w:pPr>
      <w:r w:rsidRPr="00F6775A">
        <w:rPr>
          <w:sz w:val="22"/>
          <w:szCs w:val="22"/>
        </w:rPr>
        <w:t>The Commission is committed to excellence and accuracy in financial reporting, transparency, and financial management.  Preparing the Commission’s financial statements is part of the goal to improve financial management and provide accurate and reliable financial information that is useful for assessing performance and allocating resources.  The Commission’s management is responsible for the integrity and objectivity of the information presented in the financial statements</w:t>
      </w:r>
      <w:r w:rsidRPr="007F375A">
        <w:rPr>
          <w:sz w:val="22"/>
          <w:szCs w:val="22"/>
        </w:rPr>
        <w:t xml:space="preserve">.  For the </w:t>
      </w:r>
      <w:r w:rsidRPr="00A54012">
        <w:rPr>
          <w:sz w:val="22"/>
          <w:szCs w:val="22"/>
        </w:rPr>
        <w:t>sixteenth</w:t>
      </w:r>
      <w:r w:rsidRPr="007F375A">
        <w:rPr>
          <w:sz w:val="22"/>
          <w:szCs w:val="22"/>
        </w:rPr>
        <w:t xml:space="preserve"> consecutive</w:t>
      </w:r>
      <w:r w:rsidRPr="00F6775A">
        <w:rPr>
          <w:sz w:val="22"/>
          <w:szCs w:val="22"/>
        </w:rPr>
        <w:t xml:space="preserve"> year, the financial statements have received an unmodified or clean audit opinion from the independent external auditors hired by the Office of Inspector General.</w:t>
      </w:r>
    </w:p>
    <w:p w:rsidR="002C68E5" w:rsidRPr="00F6775A" w:rsidP="002C68E5" w14:paraId="79DF7C46" w14:textId="77777777">
      <w:pPr>
        <w:autoSpaceDE w:val="0"/>
        <w:autoSpaceDN w:val="0"/>
        <w:adjustRightInd w:val="0"/>
        <w:jc w:val="both"/>
        <w:rPr>
          <w:sz w:val="22"/>
          <w:szCs w:val="22"/>
        </w:rPr>
      </w:pPr>
    </w:p>
    <w:p w:rsidR="002C68E5" w:rsidRPr="00F6775A" w:rsidP="002C68E5" w14:paraId="0DAF7495" w14:textId="77777777">
      <w:pPr>
        <w:autoSpaceDE w:val="0"/>
        <w:autoSpaceDN w:val="0"/>
        <w:adjustRightInd w:val="0"/>
        <w:jc w:val="both"/>
        <w:rPr>
          <w:sz w:val="22"/>
          <w:szCs w:val="22"/>
        </w:rPr>
      </w:pPr>
      <w:r w:rsidRPr="00F6775A">
        <w:rPr>
          <w:sz w:val="22"/>
          <w:szCs w:val="22"/>
        </w:rPr>
        <w:t xml:space="preserve">The principal financial statements have been prepared to report the financial position and results of operations of the Commission.  The statements have been prepared from the books and records of the Commission, in accordance with U.S. generally accepted accounting principles (GAAP) for </w:t>
      </w:r>
      <w:r>
        <w:rPr>
          <w:sz w:val="22"/>
          <w:szCs w:val="22"/>
        </w:rPr>
        <w:t>f</w:t>
      </w:r>
      <w:r w:rsidRPr="00F6775A">
        <w:rPr>
          <w:sz w:val="22"/>
          <w:szCs w:val="22"/>
        </w:rPr>
        <w:t>ederal entities.  The financial statements and notes are presented in accordance with Office of Management and Budget (OMB) Circular No. A-136</w:t>
      </w:r>
      <w:r w:rsidRPr="00C1423A">
        <w:rPr>
          <w:iCs/>
          <w:sz w:val="22"/>
          <w:szCs w:val="22"/>
        </w:rPr>
        <w:t>,</w:t>
      </w:r>
      <w:r w:rsidRPr="00F6775A">
        <w:rPr>
          <w:i/>
          <w:sz w:val="22"/>
          <w:szCs w:val="22"/>
        </w:rPr>
        <w:t xml:space="preserve"> Financial Reporting</w:t>
      </w:r>
      <w:r>
        <w:rPr>
          <w:i/>
          <w:sz w:val="22"/>
          <w:szCs w:val="22"/>
        </w:rPr>
        <w:t xml:space="preserve"> </w:t>
      </w:r>
      <w:r w:rsidRPr="00BA1E56">
        <w:rPr>
          <w:i/>
          <w:sz w:val="22"/>
          <w:szCs w:val="22"/>
        </w:rPr>
        <w:t>Requirements</w:t>
      </w:r>
      <w:r w:rsidRPr="00767906">
        <w:rPr>
          <w:bCs/>
          <w:sz w:val="22"/>
          <w:szCs w:val="22"/>
        </w:rPr>
        <w:t>—</w:t>
      </w:r>
      <w:r w:rsidRPr="00FA7DA0">
        <w:rPr>
          <w:bCs/>
          <w:i/>
          <w:iCs/>
          <w:sz w:val="22"/>
          <w:szCs w:val="22"/>
        </w:rPr>
        <w:t>Revised</w:t>
      </w:r>
      <w:r w:rsidRPr="00C1423A">
        <w:rPr>
          <w:iCs/>
          <w:sz w:val="22"/>
          <w:szCs w:val="22"/>
        </w:rPr>
        <w:t>,</w:t>
      </w:r>
      <w:r w:rsidRPr="00E64CB8">
        <w:rPr>
          <w:iCs/>
          <w:sz w:val="22"/>
          <w:szCs w:val="22"/>
        </w:rPr>
        <w:t xml:space="preserve"> </w:t>
      </w:r>
      <w:r w:rsidRPr="00F6775A">
        <w:rPr>
          <w:sz w:val="22"/>
          <w:szCs w:val="22"/>
        </w:rPr>
        <w:t xml:space="preserve">dated August </w:t>
      </w:r>
      <w:r>
        <w:rPr>
          <w:sz w:val="22"/>
          <w:szCs w:val="22"/>
        </w:rPr>
        <w:t>10</w:t>
      </w:r>
      <w:r w:rsidRPr="00F6775A">
        <w:rPr>
          <w:sz w:val="22"/>
          <w:szCs w:val="22"/>
        </w:rPr>
        <w:t>, 202</w:t>
      </w:r>
      <w:r>
        <w:rPr>
          <w:sz w:val="22"/>
          <w:szCs w:val="22"/>
        </w:rPr>
        <w:t>1</w:t>
      </w:r>
      <w:r w:rsidRPr="00F6775A">
        <w:rPr>
          <w:sz w:val="22"/>
          <w:szCs w:val="22"/>
        </w:rPr>
        <w:t>.</w:t>
      </w:r>
    </w:p>
    <w:p w:rsidR="002C68E5" w:rsidRPr="00F6775A" w:rsidP="002C68E5" w14:paraId="1F182204" w14:textId="77777777">
      <w:pPr>
        <w:autoSpaceDE w:val="0"/>
        <w:autoSpaceDN w:val="0"/>
        <w:adjustRightInd w:val="0"/>
        <w:jc w:val="both"/>
        <w:rPr>
          <w:sz w:val="22"/>
          <w:szCs w:val="22"/>
        </w:rPr>
      </w:pPr>
    </w:p>
    <w:p w:rsidR="002C68E5" w:rsidRPr="00F6775A" w:rsidP="002C68E5" w14:paraId="7BDDBB88" w14:textId="77777777">
      <w:pPr>
        <w:autoSpaceDE w:val="0"/>
        <w:autoSpaceDN w:val="0"/>
        <w:adjustRightInd w:val="0"/>
        <w:jc w:val="both"/>
        <w:rPr>
          <w:sz w:val="22"/>
          <w:szCs w:val="22"/>
        </w:rPr>
      </w:pPr>
      <w:r w:rsidRPr="00F6775A">
        <w:rPr>
          <w:sz w:val="22"/>
          <w:szCs w:val="22"/>
        </w:rPr>
        <w:t xml:space="preserve">This section presents a summary analysis of key financial statement core business activities.  The principal financial statements include the Consolidated Balance Sheet, </w:t>
      </w:r>
      <w:r>
        <w:rPr>
          <w:sz w:val="22"/>
          <w:szCs w:val="22"/>
        </w:rPr>
        <w:t xml:space="preserve">the </w:t>
      </w:r>
      <w:r w:rsidRPr="00F6775A">
        <w:rPr>
          <w:sz w:val="22"/>
          <w:szCs w:val="22"/>
        </w:rPr>
        <w:t xml:space="preserve">Consolidated Statement of Net Cost, </w:t>
      </w:r>
      <w:r>
        <w:rPr>
          <w:sz w:val="22"/>
          <w:szCs w:val="22"/>
        </w:rPr>
        <w:t xml:space="preserve">the </w:t>
      </w:r>
      <w:r w:rsidRPr="00F6775A">
        <w:rPr>
          <w:sz w:val="22"/>
          <w:szCs w:val="22"/>
        </w:rPr>
        <w:t xml:space="preserve">Consolidated Statement of Changes in Net Position, </w:t>
      </w:r>
      <w:r>
        <w:rPr>
          <w:sz w:val="22"/>
          <w:szCs w:val="22"/>
        </w:rPr>
        <w:t xml:space="preserve">the </w:t>
      </w:r>
      <w:r w:rsidRPr="00F6775A">
        <w:rPr>
          <w:sz w:val="22"/>
          <w:szCs w:val="22"/>
        </w:rPr>
        <w:t>Combined Statement of Budgetary Resources and</w:t>
      </w:r>
      <w:r>
        <w:rPr>
          <w:sz w:val="22"/>
          <w:szCs w:val="22"/>
        </w:rPr>
        <w:t xml:space="preserve"> the</w:t>
      </w:r>
      <w:r w:rsidRPr="00F6775A">
        <w:rPr>
          <w:sz w:val="22"/>
          <w:szCs w:val="22"/>
        </w:rPr>
        <w:t xml:space="preserve"> Consolidated Statement of Custodial Activity.  This section also summarizes the financial activity and net position of the Commission.  The complete set of principal financial statements is included in </w:t>
      </w:r>
      <w:r>
        <w:rPr>
          <w:sz w:val="22"/>
          <w:szCs w:val="22"/>
        </w:rPr>
        <w:t>S</w:t>
      </w:r>
      <w:r w:rsidRPr="00F6775A">
        <w:rPr>
          <w:sz w:val="22"/>
          <w:szCs w:val="22"/>
        </w:rPr>
        <w:t xml:space="preserve">ection 2 of this report. </w:t>
      </w:r>
    </w:p>
    <w:p w:rsidR="002C68E5" w:rsidRPr="00F6775A" w:rsidP="002C68E5" w14:paraId="04704692" w14:textId="77777777">
      <w:pPr>
        <w:autoSpaceDE w:val="0"/>
        <w:autoSpaceDN w:val="0"/>
        <w:adjustRightInd w:val="0"/>
        <w:jc w:val="both"/>
        <w:rPr>
          <w:sz w:val="22"/>
          <w:szCs w:val="22"/>
        </w:rPr>
      </w:pPr>
    </w:p>
    <w:p w:rsidR="002C68E5" w:rsidRPr="00F6775A" w:rsidP="002C68E5" w14:paraId="625013BF" w14:textId="77777777">
      <w:pPr>
        <w:autoSpaceDE w:val="0"/>
        <w:autoSpaceDN w:val="0"/>
        <w:adjustRightInd w:val="0"/>
        <w:jc w:val="both"/>
        <w:rPr>
          <w:sz w:val="22"/>
          <w:szCs w:val="22"/>
        </w:rPr>
      </w:pPr>
      <w:r w:rsidRPr="00F6775A">
        <w:rPr>
          <w:sz w:val="22"/>
          <w:szCs w:val="22"/>
        </w:rPr>
        <w:t>A summary of the Commission’s major financial activities in FY 202</w:t>
      </w:r>
      <w:r>
        <w:rPr>
          <w:sz w:val="22"/>
          <w:szCs w:val="22"/>
        </w:rPr>
        <w:t>1</w:t>
      </w:r>
      <w:r w:rsidRPr="00F6775A">
        <w:rPr>
          <w:sz w:val="22"/>
          <w:szCs w:val="22"/>
        </w:rPr>
        <w:t xml:space="preserve"> and FY 20</w:t>
      </w:r>
      <w:r>
        <w:rPr>
          <w:sz w:val="22"/>
          <w:szCs w:val="22"/>
        </w:rPr>
        <w:t>20</w:t>
      </w:r>
      <w:r w:rsidRPr="00F6775A">
        <w:rPr>
          <w:sz w:val="22"/>
          <w:szCs w:val="22"/>
        </w:rPr>
        <w:t xml:space="preserve"> is presented in the table on the next page.  This table represents the resources available for use (assets) against the amount owed (liabilities) and the amount that comprises the difference (net position).  The net cost represents the gross cost of operating the Commission’s lines of business less earned revenue.  Budgetary resources represent funds made available to the Commission.</w:t>
      </w:r>
    </w:p>
    <w:p w:rsidR="00E559C0" w:rsidP="00B914C2" w14:paraId="2498EA8B" w14:textId="7E547B7C">
      <w:pPr>
        <w:autoSpaceDE w:val="0"/>
        <w:autoSpaceDN w:val="0"/>
        <w:adjustRightInd w:val="0"/>
        <w:jc w:val="both"/>
        <w:rPr>
          <w:noProof/>
        </w:rPr>
      </w:pPr>
      <w:r>
        <w:rPr>
          <w:sz w:val="22"/>
          <w:szCs w:val="22"/>
        </w:rPr>
        <w:br w:type="page"/>
      </w:r>
    </w:p>
    <w:p w:rsidR="004A0A25" w:rsidRPr="008008D3" w:rsidP="007604FE" w14:paraId="191B6580" w14:textId="77777777">
      <w:pPr>
        <w:pStyle w:val="Heading5"/>
        <w:pBdr>
          <w:top w:val="single" w:sz="12" w:space="1" w:color="auto"/>
          <w:left w:val="single" w:sz="12" w:space="5" w:color="auto"/>
          <w:bottom w:val="single" w:sz="12" w:space="23" w:color="88E693"/>
          <w:right w:val="single" w:sz="12" w:space="5" w:color="auto"/>
        </w:pBdr>
        <w:shd w:val="clear" w:color="auto" w:fill="88E693"/>
        <w:spacing w:after="0"/>
        <w:ind w:left="144" w:right="144"/>
        <w:jc w:val="center"/>
        <w:rPr>
          <w:sz w:val="21"/>
          <w:szCs w:val="21"/>
        </w:rPr>
      </w:pPr>
      <w:bookmarkStart w:id="67" w:name="_Toc88780641"/>
      <w:r w:rsidRPr="008008D3">
        <w:rPr>
          <w:sz w:val="21"/>
          <w:szCs w:val="21"/>
        </w:rPr>
        <w:t>CHANGES IN FINANCIAL POSITION IN FY 2021</w:t>
      </w:r>
      <w:bookmarkEnd w:id="67"/>
    </w:p>
    <w:p w:rsidR="004A0A25" w:rsidRPr="008008D3" w:rsidP="007604FE" w14:paraId="4B11AFBF" w14:textId="77777777">
      <w:pPr>
        <w:widowControl w:val="0"/>
        <w:pBdr>
          <w:top w:val="single" w:sz="12" w:space="1" w:color="auto"/>
          <w:left w:val="single" w:sz="12" w:space="5" w:color="auto"/>
          <w:bottom w:val="single" w:sz="12" w:space="23" w:color="88E693"/>
          <w:right w:val="single" w:sz="12" w:space="5" w:color="auto"/>
        </w:pBdr>
        <w:shd w:val="clear" w:color="auto" w:fill="88E693"/>
        <w:overflowPunct w:val="0"/>
        <w:autoSpaceDE w:val="0"/>
        <w:autoSpaceDN w:val="0"/>
        <w:adjustRightInd w:val="0"/>
        <w:ind w:left="198" w:right="144" w:hanging="54"/>
        <w:jc w:val="center"/>
        <w:textAlignment w:val="baseline"/>
        <w:rPr>
          <w:rFonts w:ascii="Times New Roman Bold" w:hAnsi="Times New Roman Bold"/>
          <w:b/>
          <w:color w:val="000000"/>
          <w:sz w:val="21"/>
          <w:szCs w:val="21"/>
        </w:rPr>
      </w:pPr>
      <w:r w:rsidRPr="008008D3">
        <w:rPr>
          <w:rFonts w:ascii="Times New Roman Bold" w:hAnsi="Times New Roman Bold"/>
          <w:b/>
          <w:color w:val="000000"/>
          <w:sz w:val="21"/>
          <w:szCs w:val="21"/>
        </w:rPr>
        <w:t>Consolidated</w:t>
      </w:r>
    </w:p>
    <w:p w:rsidR="004A0A25" w:rsidRPr="0065579B" w:rsidP="007604FE" w14:paraId="009020D6" w14:textId="77777777">
      <w:pPr>
        <w:widowControl w:val="0"/>
        <w:pBdr>
          <w:top w:val="single" w:sz="12" w:space="1" w:color="auto"/>
          <w:left w:val="single" w:sz="12" w:space="5" w:color="auto"/>
          <w:bottom w:val="single" w:sz="12" w:space="23" w:color="88E693"/>
          <w:right w:val="single" w:sz="12" w:space="5" w:color="auto"/>
        </w:pBdr>
        <w:shd w:val="clear" w:color="auto" w:fill="88E693"/>
        <w:overflowPunct w:val="0"/>
        <w:autoSpaceDE w:val="0"/>
        <w:autoSpaceDN w:val="0"/>
        <w:adjustRightInd w:val="0"/>
        <w:ind w:left="198" w:right="144" w:hanging="54"/>
        <w:jc w:val="center"/>
        <w:textAlignment w:val="baseline"/>
        <w:rPr>
          <w:bCs/>
          <w:color w:val="000000"/>
          <w:sz w:val="18"/>
          <w:szCs w:val="18"/>
        </w:rPr>
      </w:pPr>
      <w:r w:rsidRPr="0065579B">
        <w:rPr>
          <w:bCs/>
          <w:color w:val="000000"/>
          <w:sz w:val="18"/>
          <w:szCs w:val="18"/>
        </w:rPr>
        <w:t>(Dollars in Thousands)</w:t>
      </w:r>
    </w:p>
    <w:tbl>
      <w:tblPr>
        <w:tblStyle w:val="PlainTable2"/>
        <w:tblW w:w="5000" w:type="pct"/>
        <w:tblLook w:val="04A0"/>
      </w:tblPr>
      <w:tblGrid>
        <w:gridCol w:w="4609"/>
        <w:gridCol w:w="1316"/>
        <w:gridCol w:w="1170"/>
        <w:gridCol w:w="1170"/>
        <w:gridCol w:w="1065"/>
      </w:tblGrid>
      <w:tr w14:paraId="3189C934" w14:textId="77777777" w:rsidTr="00865354">
        <w:tblPrEx>
          <w:tblW w:w="5000" w:type="pct"/>
          <w:tblLook w:val="04A0"/>
        </w:tblPrEx>
        <w:trPr>
          <w:trHeight w:val="259"/>
        </w:trPr>
        <w:tc>
          <w:tcPr>
            <w:tcW w:w="4609" w:type="dxa"/>
            <w:tcBorders>
              <w:top w:val="nil"/>
              <w:left w:val="single" w:sz="12" w:space="0" w:color="auto"/>
              <w:bottom w:val="single" w:sz="6" w:space="0" w:color="auto"/>
            </w:tcBorders>
            <w:shd w:val="clear" w:color="auto" w:fill="88E693"/>
            <w:noWrap/>
            <w:vAlign w:val="bottom"/>
            <w:hideMark/>
          </w:tcPr>
          <w:p w:rsidR="00180E6A" w:rsidRPr="00114C31" w:rsidP="003768F2" w14:paraId="3952FBFF" w14:textId="1DD097E4">
            <w:pPr>
              <w:rPr>
                <w:rFonts w:ascii="Times New Roman" w:hAnsi="Times New Roman" w:cs="Times New Roman"/>
                <w:sz w:val="17"/>
                <w:szCs w:val="17"/>
              </w:rPr>
            </w:pPr>
            <w:bookmarkStart w:id="68" w:name="_Hlk88749349"/>
            <w:r w:rsidRPr="00114C31">
              <w:rPr>
                <w:rFonts w:ascii="Times New Roman" w:hAnsi="Times New Roman" w:cs="Times New Roman"/>
                <w:sz w:val="17"/>
                <w:szCs w:val="17"/>
              </w:rPr>
              <w:t>Net Financial Condition</w:t>
            </w:r>
          </w:p>
        </w:tc>
        <w:tc>
          <w:tcPr>
            <w:tcW w:w="1316" w:type="dxa"/>
            <w:tcBorders>
              <w:top w:val="nil"/>
              <w:bottom w:val="single" w:sz="6" w:space="0" w:color="auto"/>
            </w:tcBorders>
            <w:shd w:val="clear" w:color="auto" w:fill="88E693"/>
            <w:noWrap/>
            <w:vAlign w:val="bottom"/>
            <w:hideMark/>
          </w:tcPr>
          <w:p w:rsidR="00180E6A" w:rsidRPr="00114C31" w:rsidP="003768F2" w14:paraId="3F9A36B6" w14:textId="77777777">
            <w:pPr>
              <w:jc w:val="center"/>
              <w:rPr>
                <w:rFonts w:ascii="Times New Roman" w:hAnsi="Times New Roman" w:cs="Times New Roman"/>
                <w:b w:val="0"/>
                <w:bCs w:val="0"/>
                <w:sz w:val="17"/>
                <w:szCs w:val="17"/>
              </w:rPr>
            </w:pPr>
            <w:r w:rsidRPr="00114C31">
              <w:rPr>
                <w:rFonts w:ascii="Times New Roman" w:hAnsi="Times New Roman" w:cs="Times New Roman"/>
                <w:sz w:val="17"/>
                <w:szCs w:val="17"/>
              </w:rPr>
              <w:t>FY 2021</w:t>
            </w:r>
          </w:p>
        </w:tc>
        <w:tc>
          <w:tcPr>
            <w:tcW w:w="1170" w:type="dxa"/>
            <w:tcBorders>
              <w:top w:val="nil"/>
              <w:bottom w:val="single" w:sz="6" w:space="0" w:color="auto"/>
            </w:tcBorders>
            <w:shd w:val="clear" w:color="auto" w:fill="88E693"/>
            <w:noWrap/>
            <w:vAlign w:val="bottom"/>
            <w:hideMark/>
          </w:tcPr>
          <w:p w:rsidR="00180E6A" w:rsidRPr="00114C31" w:rsidP="003768F2" w14:paraId="1A31AC20" w14:textId="77777777">
            <w:pPr>
              <w:jc w:val="center"/>
              <w:rPr>
                <w:rFonts w:ascii="Times New Roman" w:hAnsi="Times New Roman" w:cs="Times New Roman"/>
                <w:b w:val="0"/>
                <w:bCs w:val="0"/>
                <w:sz w:val="17"/>
                <w:szCs w:val="17"/>
              </w:rPr>
            </w:pPr>
            <w:r w:rsidRPr="00114C31">
              <w:rPr>
                <w:rFonts w:ascii="Times New Roman" w:hAnsi="Times New Roman" w:cs="Times New Roman"/>
                <w:sz w:val="17"/>
                <w:szCs w:val="17"/>
              </w:rPr>
              <w:t>FY 2020</w:t>
            </w:r>
          </w:p>
        </w:tc>
        <w:tc>
          <w:tcPr>
            <w:tcW w:w="1170" w:type="dxa"/>
            <w:tcBorders>
              <w:top w:val="nil"/>
              <w:bottom w:val="single" w:sz="6" w:space="0" w:color="auto"/>
            </w:tcBorders>
            <w:shd w:val="clear" w:color="auto" w:fill="88E693"/>
            <w:vAlign w:val="bottom"/>
            <w:hideMark/>
          </w:tcPr>
          <w:p w:rsidR="00180E6A" w:rsidRPr="00114C31" w:rsidP="003768F2" w14:paraId="7EA51074" w14:textId="77777777">
            <w:pPr>
              <w:jc w:val="center"/>
              <w:rPr>
                <w:rFonts w:ascii="Times New Roman" w:hAnsi="Times New Roman" w:cs="Times New Roman"/>
                <w:b w:val="0"/>
                <w:bCs w:val="0"/>
                <w:sz w:val="17"/>
                <w:szCs w:val="17"/>
              </w:rPr>
            </w:pPr>
            <w:r w:rsidRPr="00114C31">
              <w:rPr>
                <w:rFonts w:ascii="Times New Roman" w:hAnsi="Times New Roman" w:cs="Times New Roman"/>
                <w:sz w:val="17"/>
                <w:szCs w:val="17"/>
              </w:rPr>
              <w:t>Increase (Decrease)</w:t>
            </w:r>
          </w:p>
        </w:tc>
        <w:tc>
          <w:tcPr>
            <w:tcW w:w="1065" w:type="dxa"/>
            <w:tcBorders>
              <w:top w:val="nil"/>
              <w:bottom w:val="single" w:sz="6" w:space="0" w:color="auto"/>
              <w:right w:val="single" w:sz="12" w:space="0" w:color="auto"/>
            </w:tcBorders>
            <w:shd w:val="clear" w:color="auto" w:fill="88E693"/>
            <w:vAlign w:val="bottom"/>
            <w:hideMark/>
          </w:tcPr>
          <w:p w:rsidR="00180E6A" w:rsidRPr="00114C31" w:rsidP="003768F2" w14:paraId="1D752143" w14:textId="77777777">
            <w:pPr>
              <w:jc w:val="center"/>
              <w:rPr>
                <w:rFonts w:ascii="Times New Roman" w:hAnsi="Times New Roman" w:cs="Times New Roman"/>
                <w:b w:val="0"/>
                <w:bCs w:val="0"/>
                <w:sz w:val="17"/>
                <w:szCs w:val="17"/>
              </w:rPr>
            </w:pPr>
            <w:r w:rsidRPr="00114C31">
              <w:rPr>
                <w:rFonts w:ascii="Times New Roman" w:hAnsi="Times New Roman" w:cs="Times New Roman"/>
                <w:sz w:val="17"/>
                <w:szCs w:val="17"/>
              </w:rPr>
              <w:t>Percentage Change</w:t>
            </w:r>
          </w:p>
        </w:tc>
      </w:tr>
      <w:tr w14:paraId="529EF30C" w14:textId="77777777" w:rsidTr="00865354">
        <w:tblPrEx>
          <w:tblW w:w="5000" w:type="pct"/>
          <w:tblLook w:val="04A0"/>
        </w:tblPrEx>
        <w:trPr>
          <w:trHeight w:val="259"/>
        </w:trPr>
        <w:tc>
          <w:tcPr>
            <w:tcW w:w="4609" w:type="dxa"/>
            <w:tcBorders>
              <w:top w:val="single" w:sz="6" w:space="0" w:color="auto"/>
              <w:left w:val="single" w:sz="12" w:space="0" w:color="auto"/>
              <w:bottom w:val="nil"/>
            </w:tcBorders>
            <w:noWrap/>
            <w:vAlign w:val="bottom"/>
            <w:hideMark/>
          </w:tcPr>
          <w:p w:rsidR="00180E6A" w:rsidRPr="00114C31" w:rsidP="003768F2" w14:paraId="2750509D" w14:textId="6FAA95F8">
            <w:pPr>
              <w:rPr>
                <w:rFonts w:ascii="Times New Roman" w:hAnsi="Times New Roman" w:cs="Times New Roman"/>
                <w:sz w:val="17"/>
                <w:szCs w:val="17"/>
              </w:rPr>
            </w:pPr>
            <w:r w:rsidRPr="00114C31">
              <w:rPr>
                <w:rFonts w:ascii="Times New Roman" w:hAnsi="Times New Roman" w:cs="Times New Roman"/>
                <w:sz w:val="17"/>
                <w:szCs w:val="17"/>
              </w:rPr>
              <w:t>Intragovernmental</w:t>
            </w:r>
          </w:p>
        </w:tc>
        <w:tc>
          <w:tcPr>
            <w:tcW w:w="1316" w:type="dxa"/>
            <w:tcBorders>
              <w:top w:val="single" w:sz="6" w:space="0" w:color="auto"/>
              <w:bottom w:val="nil"/>
            </w:tcBorders>
            <w:noWrap/>
            <w:vAlign w:val="bottom"/>
          </w:tcPr>
          <w:p w:rsidR="00180E6A" w:rsidRPr="00114C31" w:rsidP="003768F2" w14:paraId="4F31712C" w14:textId="77777777">
            <w:pPr>
              <w:ind w:left="-67"/>
              <w:contextualSpacing/>
              <w:jc w:val="center"/>
              <w:rPr>
                <w:rFonts w:ascii="Times New Roman" w:hAnsi="Times New Roman" w:cs="Times New Roman"/>
                <w:sz w:val="17"/>
                <w:szCs w:val="17"/>
              </w:rPr>
            </w:pPr>
          </w:p>
        </w:tc>
        <w:tc>
          <w:tcPr>
            <w:tcW w:w="1170" w:type="dxa"/>
            <w:tcBorders>
              <w:top w:val="single" w:sz="6" w:space="0" w:color="auto"/>
              <w:bottom w:val="nil"/>
            </w:tcBorders>
            <w:noWrap/>
            <w:vAlign w:val="bottom"/>
            <w:hideMark/>
          </w:tcPr>
          <w:p w:rsidR="00180E6A" w:rsidRPr="00114C31" w:rsidP="003768F2" w14:paraId="36CF9288" w14:textId="77777777">
            <w:pPr>
              <w:ind w:left="-67"/>
              <w:contextualSpacing/>
              <w:jc w:val="center"/>
              <w:rPr>
                <w:rFonts w:ascii="Times New Roman" w:hAnsi="Times New Roman" w:cs="Times New Roman"/>
                <w:sz w:val="17"/>
                <w:szCs w:val="17"/>
              </w:rPr>
            </w:pPr>
          </w:p>
        </w:tc>
        <w:tc>
          <w:tcPr>
            <w:tcW w:w="1170" w:type="dxa"/>
            <w:tcBorders>
              <w:top w:val="single" w:sz="6" w:space="0" w:color="auto"/>
              <w:bottom w:val="nil"/>
            </w:tcBorders>
            <w:noWrap/>
            <w:vAlign w:val="bottom"/>
            <w:hideMark/>
          </w:tcPr>
          <w:p w:rsidR="00180E6A" w:rsidRPr="00114C31" w:rsidP="003768F2" w14:paraId="54353450" w14:textId="77777777">
            <w:pPr>
              <w:contextualSpacing/>
              <w:jc w:val="center"/>
              <w:rPr>
                <w:rFonts w:ascii="Times New Roman" w:hAnsi="Times New Roman" w:cs="Times New Roman"/>
                <w:sz w:val="17"/>
                <w:szCs w:val="17"/>
              </w:rPr>
            </w:pPr>
          </w:p>
        </w:tc>
        <w:tc>
          <w:tcPr>
            <w:tcW w:w="1065" w:type="dxa"/>
            <w:tcBorders>
              <w:top w:val="single" w:sz="6" w:space="0" w:color="auto"/>
              <w:bottom w:val="nil"/>
              <w:right w:val="single" w:sz="12" w:space="0" w:color="auto"/>
            </w:tcBorders>
            <w:noWrap/>
            <w:vAlign w:val="bottom"/>
            <w:hideMark/>
          </w:tcPr>
          <w:p w:rsidR="00180E6A" w:rsidRPr="00114C31" w:rsidP="003768F2" w14:paraId="1824B0CA" w14:textId="77777777">
            <w:pPr>
              <w:ind w:right="144"/>
              <w:contextualSpacing/>
              <w:jc w:val="right"/>
              <w:rPr>
                <w:rFonts w:ascii="Times New Roman" w:hAnsi="Times New Roman" w:cs="Times New Roman"/>
                <w:sz w:val="17"/>
                <w:szCs w:val="17"/>
              </w:rPr>
            </w:pPr>
          </w:p>
        </w:tc>
      </w:tr>
      <w:tr w14:paraId="07DC9ABD"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36DF0002" w14:textId="0C8F2036">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Fund Balance with Treasury</w:t>
            </w:r>
          </w:p>
        </w:tc>
        <w:tc>
          <w:tcPr>
            <w:tcW w:w="1316" w:type="dxa"/>
            <w:tcBorders>
              <w:top w:val="nil"/>
              <w:bottom w:val="nil"/>
            </w:tcBorders>
            <w:noWrap/>
            <w:vAlign w:val="bottom"/>
            <w:hideMark/>
          </w:tcPr>
          <w:p w:rsidR="004A0A25" w:rsidRPr="00114C31" w:rsidP="003768F2" w14:paraId="24100EBE"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$ 105,212,774</w:t>
            </w:r>
          </w:p>
        </w:tc>
        <w:tc>
          <w:tcPr>
            <w:tcW w:w="1170" w:type="dxa"/>
            <w:tcBorders>
              <w:top w:val="nil"/>
              <w:bottom w:val="nil"/>
            </w:tcBorders>
            <w:noWrap/>
            <w:vAlign w:val="bottom"/>
            <w:hideMark/>
          </w:tcPr>
          <w:p w:rsidR="004A0A25" w:rsidRPr="00114C31" w:rsidP="003768F2" w14:paraId="1712437A" w14:textId="77777777">
            <w:pPr>
              <w:ind w:left="-72"/>
              <w:contextualSpacing/>
              <w:jc w:val="right"/>
              <w:rPr>
                <w:rFonts w:ascii="Times New Roman" w:hAnsi="Times New Roman" w:cs="Times New Roman"/>
                <w:sz w:val="17"/>
                <w:szCs w:val="17"/>
              </w:rPr>
            </w:pPr>
            <w:r w:rsidRPr="00114C31">
              <w:rPr>
                <w:rFonts w:ascii="Times New Roman" w:hAnsi="Times New Roman" w:cs="Times New Roman"/>
                <w:sz w:val="17"/>
                <w:szCs w:val="17"/>
              </w:rPr>
              <w:t>$ 18,787,296</w:t>
            </w:r>
          </w:p>
        </w:tc>
        <w:tc>
          <w:tcPr>
            <w:tcW w:w="1170" w:type="dxa"/>
            <w:tcBorders>
              <w:top w:val="nil"/>
              <w:bottom w:val="nil"/>
            </w:tcBorders>
            <w:noWrap/>
            <w:vAlign w:val="bottom"/>
            <w:hideMark/>
          </w:tcPr>
          <w:p w:rsidR="004A0A25" w:rsidRPr="00114C31" w:rsidP="003768F2" w14:paraId="32B3587E"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$ 86,425,478</w:t>
            </w:r>
          </w:p>
        </w:tc>
        <w:tc>
          <w:tcPr>
            <w:tcW w:w="1065" w:type="dxa"/>
            <w:tcBorders>
              <w:top w:val="nil"/>
              <w:bottom w:val="nil"/>
              <w:right w:val="single" w:sz="12" w:space="0" w:color="auto"/>
            </w:tcBorders>
            <w:noWrap/>
            <w:vAlign w:val="bottom"/>
            <w:hideMark/>
          </w:tcPr>
          <w:p w:rsidR="004A0A25" w:rsidRPr="00114C31" w:rsidP="003768F2" w14:paraId="2556A3F4"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460%</w:t>
            </w:r>
          </w:p>
        </w:tc>
      </w:tr>
      <w:tr w14:paraId="5AA0A7BA"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352908FF" w14:textId="69D377C1">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Accounts Receivable, net</w:t>
            </w:r>
          </w:p>
        </w:tc>
        <w:tc>
          <w:tcPr>
            <w:tcW w:w="1316" w:type="dxa"/>
            <w:tcBorders>
              <w:top w:val="nil"/>
              <w:bottom w:val="nil"/>
            </w:tcBorders>
            <w:noWrap/>
            <w:vAlign w:val="bottom"/>
            <w:hideMark/>
          </w:tcPr>
          <w:p w:rsidR="004A0A25" w:rsidRPr="00114C31" w:rsidP="003768F2" w14:paraId="024AEB4B"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361</w:t>
            </w:r>
          </w:p>
        </w:tc>
        <w:tc>
          <w:tcPr>
            <w:tcW w:w="1170" w:type="dxa"/>
            <w:tcBorders>
              <w:top w:val="nil"/>
              <w:bottom w:val="nil"/>
            </w:tcBorders>
            <w:noWrap/>
            <w:vAlign w:val="bottom"/>
            <w:hideMark/>
          </w:tcPr>
          <w:p w:rsidR="004A0A25" w:rsidRPr="00114C31" w:rsidP="003768F2" w14:paraId="0F3148C2"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439</w:t>
            </w:r>
          </w:p>
        </w:tc>
        <w:tc>
          <w:tcPr>
            <w:tcW w:w="1170" w:type="dxa"/>
            <w:tcBorders>
              <w:top w:val="nil"/>
              <w:bottom w:val="nil"/>
            </w:tcBorders>
            <w:noWrap/>
            <w:vAlign w:val="bottom"/>
            <w:hideMark/>
          </w:tcPr>
          <w:p w:rsidR="004A0A25" w:rsidRPr="00114C31" w:rsidP="003768F2" w14:paraId="70C0E9E8"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(78)</w:t>
            </w:r>
          </w:p>
        </w:tc>
        <w:tc>
          <w:tcPr>
            <w:tcW w:w="1065" w:type="dxa"/>
            <w:tcBorders>
              <w:top w:val="nil"/>
              <w:bottom w:val="nil"/>
              <w:right w:val="single" w:sz="12" w:space="0" w:color="auto"/>
            </w:tcBorders>
            <w:noWrap/>
            <w:vAlign w:val="bottom"/>
            <w:hideMark/>
          </w:tcPr>
          <w:p w:rsidR="004A0A25" w:rsidRPr="00114C31" w:rsidP="003768F2" w14:paraId="33DA594D"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-18%</w:t>
            </w:r>
          </w:p>
        </w:tc>
      </w:tr>
      <w:tr w14:paraId="4142F158"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604F72B8" w14:textId="70A61388">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Advances and Prepayments</w:t>
            </w:r>
          </w:p>
        </w:tc>
        <w:tc>
          <w:tcPr>
            <w:tcW w:w="1316" w:type="dxa"/>
            <w:tcBorders>
              <w:top w:val="nil"/>
              <w:bottom w:val="single" w:sz="6" w:space="0" w:color="auto"/>
            </w:tcBorders>
            <w:noWrap/>
            <w:vAlign w:val="bottom"/>
            <w:hideMark/>
          </w:tcPr>
          <w:p w:rsidR="004A0A25" w:rsidRPr="00114C31" w:rsidP="003768F2" w14:paraId="62F0E91D"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1,639</w:t>
            </w:r>
          </w:p>
        </w:tc>
        <w:tc>
          <w:tcPr>
            <w:tcW w:w="1170" w:type="dxa"/>
            <w:tcBorders>
              <w:top w:val="nil"/>
              <w:bottom w:val="single" w:sz="6" w:space="0" w:color="auto"/>
            </w:tcBorders>
            <w:noWrap/>
            <w:vAlign w:val="bottom"/>
            <w:hideMark/>
          </w:tcPr>
          <w:p w:rsidR="004A0A25" w:rsidRPr="00114C31" w:rsidP="003768F2" w14:paraId="4F2BE96E"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2,863</w:t>
            </w:r>
          </w:p>
        </w:tc>
        <w:tc>
          <w:tcPr>
            <w:tcW w:w="1170" w:type="dxa"/>
            <w:tcBorders>
              <w:top w:val="nil"/>
              <w:bottom w:val="single" w:sz="6" w:space="0" w:color="auto"/>
            </w:tcBorders>
            <w:noWrap/>
            <w:vAlign w:val="bottom"/>
            <w:hideMark/>
          </w:tcPr>
          <w:p w:rsidR="004A0A25" w:rsidRPr="00114C31" w:rsidP="003768F2" w14:paraId="62A71061"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(1,224)</w:t>
            </w:r>
          </w:p>
        </w:tc>
        <w:tc>
          <w:tcPr>
            <w:tcW w:w="1065" w:type="dxa"/>
            <w:tcBorders>
              <w:top w:val="nil"/>
              <w:bottom w:val="single" w:sz="6" w:space="0" w:color="auto"/>
              <w:right w:val="single" w:sz="12" w:space="0" w:color="auto"/>
            </w:tcBorders>
            <w:noWrap/>
            <w:vAlign w:val="bottom"/>
            <w:hideMark/>
          </w:tcPr>
          <w:p w:rsidR="004A0A25" w:rsidRPr="00114C31" w:rsidP="003768F2" w14:paraId="3E2C36E6"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-43%</w:t>
            </w:r>
          </w:p>
        </w:tc>
      </w:tr>
      <w:tr w14:paraId="5B658BB1"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180E6A" w:rsidRPr="00114C31" w:rsidP="003768F2" w14:paraId="46A1D555" w14:textId="77777777">
            <w:pPr>
              <w:ind w:left="720"/>
              <w:rPr>
                <w:rFonts w:ascii="Times New Roman" w:hAnsi="Times New Roman" w:cs="Times New Roman"/>
                <w:b w:val="0"/>
                <w:bCs w:val="0"/>
                <w:sz w:val="17"/>
                <w:szCs w:val="17"/>
              </w:rPr>
            </w:pPr>
            <w:r w:rsidRPr="00114C31">
              <w:rPr>
                <w:rFonts w:ascii="Times New Roman" w:hAnsi="Times New Roman" w:cs="Times New Roman"/>
                <w:sz w:val="17"/>
                <w:szCs w:val="17"/>
              </w:rPr>
              <w:t>Total Intragovernmental</w:t>
            </w:r>
          </w:p>
        </w:tc>
        <w:tc>
          <w:tcPr>
            <w:tcW w:w="1316" w:type="dxa"/>
            <w:tcBorders>
              <w:top w:val="single" w:sz="6" w:space="0" w:color="auto"/>
              <w:bottom w:val="nil"/>
            </w:tcBorders>
            <w:noWrap/>
            <w:vAlign w:val="bottom"/>
            <w:hideMark/>
          </w:tcPr>
          <w:p w:rsidR="00180E6A" w:rsidRPr="00114C31" w:rsidP="003768F2" w14:paraId="4981F5D8"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$ 105,214,774</w:t>
            </w:r>
          </w:p>
        </w:tc>
        <w:tc>
          <w:tcPr>
            <w:tcW w:w="1170" w:type="dxa"/>
            <w:tcBorders>
              <w:top w:val="single" w:sz="6" w:space="0" w:color="auto"/>
              <w:bottom w:val="nil"/>
            </w:tcBorders>
            <w:noWrap/>
            <w:vAlign w:val="bottom"/>
            <w:hideMark/>
          </w:tcPr>
          <w:p w:rsidR="00180E6A" w:rsidRPr="00114C31" w:rsidP="003768F2" w14:paraId="19C142C0"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$ 18,790,598</w:t>
            </w:r>
          </w:p>
        </w:tc>
        <w:tc>
          <w:tcPr>
            <w:tcW w:w="1170" w:type="dxa"/>
            <w:tcBorders>
              <w:top w:val="single" w:sz="6" w:space="0" w:color="auto"/>
              <w:bottom w:val="nil"/>
            </w:tcBorders>
            <w:noWrap/>
            <w:vAlign w:val="bottom"/>
            <w:hideMark/>
          </w:tcPr>
          <w:p w:rsidR="00180E6A" w:rsidRPr="00114C31" w:rsidP="003768F2" w14:paraId="262A8D14"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$ 86,424,176</w:t>
            </w:r>
          </w:p>
        </w:tc>
        <w:tc>
          <w:tcPr>
            <w:tcW w:w="1065" w:type="dxa"/>
            <w:tcBorders>
              <w:top w:val="single" w:sz="6" w:space="0" w:color="auto"/>
              <w:bottom w:val="nil"/>
              <w:right w:val="single" w:sz="12" w:space="0" w:color="auto"/>
            </w:tcBorders>
            <w:noWrap/>
            <w:vAlign w:val="bottom"/>
            <w:hideMark/>
          </w:tcPr>
          <w:p w:rsidR="00180E6A" w:rsidRPr="00114C31" w:rsidP="003768F2" w14:paraId="4972FD20"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460%</w:t>
            </w:r>
          </w:p>
        </w:tc>
      </w:tr>
      <w:tr w14:paraId="7E046BCA"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E27D3E" w:rsidRPr="00114C31" w:rsidP="003768F2" w14:paraId="405AF55A" w14:textId="4689E9A2">
            <w:pPr>
              <w:rPr>
                <w:rFonts w:ascii="Times New Roman" w:hAnsi="Times New Roman" w:cs="Times New Roman"/>
                <w:sz w:val="17"/>
                <w:szCs w:val="17"/>
              </w:rPr>
            </w:pPr>
            <w:r w:rsidRPr="00114C31">
              <w:rPr>
                <w:rFonts w:ascii="Times New Roman" w:hAnsi="Times New Roman" w:cs="Times New Roman"/>
                <w:sz w:val="17"/>
                <w:szCs w:val="17"/>
              </w:rPr>
              <w:t>With the Public</w:t>
            </w:r>
          </w:p>
        </w:tc>
        <w:tc>
          <w:tcPr>
            <w:tcW w:w="1316" w:type="dxa"/>
            <w:tcBorders>
              <w:top w:val="nil"/>
              <w:bottom w:val="nil"/>
            </w:tcBorders>
            <w:noWrap/>
            <w:vAlign w:val="bottom"/>
            <w:hideMark/>
          </w:tcPr>
          <w:p w:rsidR="00E27D3E" w:rsidRPr="00114C31" w:rsidP="003768F2" w14:paraId="7C83646B" w14:textId="77777777">
            <w:pPr>
              <w:ind w:left="-67"/>
              <w:contextualSpacing/>
              <w:jc w:val="right"/>
              <w:rPr>
                <w:rFonts w:ascii="Times New Roman" w:hAnsi="Times New Roman" w:cs="Times New Roman"/>
                <w:sz w:val="17"/>
                <w:szCs w:val="17"/>
              </w:rPr>
            </w:pPr>
          </w:p>
        </w:tc>
        <w:tc>
          <w:tcPr>
            <w:tcW w:w="1170" w:type="dxa"/>
            <w:tcBorders>
              <w:top w:val="nil"/>
              <w:bottom w:val="nil"/>
            </w:tcBorders>
            <w:noWrap/>
            <w:vAlign w:val="bottom"/>
            <w:hideMark/>
          </w:tcPr>
          <w:p w:rsidR="00E27D3E" w:rsidRPr="00114C31" w:rsidP="003768F2" w14:paraId="57B05E32" w14:textId="77777777">
            <w:pPr>
              <w:ind w:left="-67"/>
              <w:contextualSpacing/>
              <w:jc w:val="right"/>
              <w:rPr>
                <w:rFonts w:ascii="Times New Roman" w:hAnsi="Times New Roman" w:cs="Times New Roman"/>
                <w:sz w:val="17"/>
                <w:szCs w:val="17"/>
              </w:rPr>
            </w:pPr>
          </w:p>
        </w:tc>
        <w:tc>
          <w:tcPr>
            <w:tcW w:w="1170" w:type="dxa"/>
            <w:tcBorders>
              <w:top w:val="nil"/>
              <w:bottom w:val="nil"/>
            </w:tcBorders>
            <w:noWrap/>
            <w:vAlign w:val="bottom"/>
            <w:hideMark/>
          </w:tcPr>
          <w:p w:rsidR="00E27D3E" w:rsidRPr="00114C31" w:rsidP="003768F2" w14:paraId="241A91C9" w14:textId="77777777">
            <w:pPr>
              <w:contextualSpacing/>
              <w:jc w:val="right"/>
              <w:rPr>
                <w:rFonts w:ascii="Times New Roman" w:hAnsi="Times New Roman" w:cs="Times New Roman"/>
                <w:sz w:val="17"/>
                <w:szCs w:val="17"/>
              </w:rPr>
            </w:pPr>
          </w:p>
        </w:tc>
        <w:tc>
          <w:tcPr>
            <w:tcW w:w="1065" w:type="dxa"/>
            <w:tcBorders>
              <w:top w:val="nil"/>
              <w:bottom w:val="nil"/>
              <w:right w:val="single" w:sz="12" w:space="0" w:color="auto"/>
            </w:tcBorders>
            <w:noWrap/>
            <w:vAlign w:val="bottom"/>
            <w:hideMark/>
          </w:tcPr>
          <w:p w:rsidR="00E27D3E" w:rsidRPr="00114C31" w:rsidP="003768F2" w14:paraId="2A579BE5" w14:textId="77777777">
            <w:pPr>
              <w:ind w:right="144"/>
              <w:contextualSpacing/>
              <w:jc w:val="right"/>
              <w:rPr>
                <w:rFonts w:ascii="Times New Roman" w:hAnsi="Times New Roman" w:cs="Times New Roman"/>
                <w:sz w:val="17"/>
                <w:szCs w:val="17"/>
              </w:rPr>
            </w:pPr>
          </w:p>
        </w:tc>
      </w:tr>
      <w:tr w14:paraId="66B7A976"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0AA82F27" w14:textId="4ECBC5ED">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Accounts Receivable, net</w:t>
            </w:r>
          </w:p>
        </w:tc>
        <w:tc>
          <w:tcPr>
            <w:tcW w:w="1316" w:type="dxa"/>
            <w:tcBorders>
              <w:top w:val="nil"/>
              <w:bottom w:val="nil"/>
            </w:tcBorders>
            <w:noWrap/>
            <w:vAlign w:val="bottom"/>
            <w:hideMark/>
          </w:tcPr>
          <w:p w:rsidR="004A0A25" w:rsidRPr="00114C31" w:rsidP="003768F2" w14:paraId="7125ADED"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823,087</w:t>
            </w:r>
          </w:p>
        </w:tc>
        <w:tc>
          <w:tcPr>
            <w:tcW w:w="1170" w:type="dxa"/>
            <w:tcBorders>
              <w:top w:val="nil"/>
              <w:bottom w:val="nil"/>
            </w:tcBorders>
            <w:noWrap/>
            <w:vAlign w:val="bottom"/>
            <w:hideMark/>
          </w:tcPr>
          <w:p w:rsidR="004A0A25" w:rsidRPr="00114C31" w:rsidP="003768F2" w14:paraId="4D8E573B"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788,501</w:t>
            </w:r>
          </w:p>
        </w:tc>
        <w:tc>
          <w:tcPr>
            <w:tcW w:w="1170" w:type="dxa"/>
            <w:tcBorders>
              <w:top w:val="nil"/>
              <w:bottom w:val="nil"/>
            </w:tcBorders>
            <w:noWrap/>
            <w:vAlign w:val="bottom"/>
            <w:hideMark/>
          </w:tcPr>
          <w:p w:rsidR="004A0A25" w:rsidRPr="00114C31" w:rsidP="003768F2" w14:paraId="68B54F45"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34,586</w:t>
            </w:r>
          </w:p>
        </w:tc>
        <w:tc>
          <w:tcPr>
            <w:tcW w:w="1065" w:type="dxa"/>
            <w:tcBorders>
              <w:top w:val="nil"/>
              <w:bottom w:val="nil"/>
              <w:right w:val="single" w:sz="12" w:space="0" w:color="auto"/>
            </w:tcBorders>
            <w:noWrap/>
            <w:vAlign w:val="bottom"/>
            <w:hideMark/>
          </w:tcPr>
          <w:p w:rsidR="004A0A25" w:rsidRPr="00114C31" w:rsidP="003768F2" w14:paraId="0EAEE5EF"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4%</w:t>
            </w:r>
          </w:p>
        </w:tc>
      </w:tr>
      <w:tr w14:paraId="0D44B45D"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2EECF114" w14:textId="7A74FD52">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General Property, Plant and Equipment, net</w:t>
            </w:r>
          </w:p>
        </w:tc>
        <w:tc>
          <w:tcPr>
            <w:tcW w:w="1316" w:type="dxa"/>
            <w:tcBorders>
              <w:top w:val="nil"/>
              <w:bottom w:val="nil"/>
            </w:tcBorders>
            <w:noWrap/>
            <w:vAlign w:val="bottom"/>
            <w:hideMark/>
          </w:tcPr>
          <w:p w:rsidR="004A0A25" w:rsidRPr="00114C31" w:rsidP="003768F2" w14:paraId="52E9649B"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84,202</w:t>
            </w:r>
          </w:p>
        </w:tc>
        <w:tc>
          <w:tcPr>
            <w:tcW w:w="1170" w:type="dxa"/>
            <w:tcBorders>
              <w:top w:val="nil"/>
              <w:bottom w:val="nil"/>
            </w:tcBorders>
            <w:noWrap/>
            <w:vAlign w:val="bottom"/>
            <w:hideMark/>
          </w:tcPr>
          <w:p w:rsidR="004A0A25" w:rsidRPr="00114C31" w:rsidP="003768F2" w14:paraId="5EC56E11"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79,878</w:t>
            </w:r>
          </w:p>
        </w:tc>
        <w:tc>
          <w:tcPr>
            <w:tcW w:w="1170" w:type="dxa"/>
            <w:tcBorders>
              <w:top w:val="nil"/>
              <w:bottom w:val="nil"/>
            </w:tcBorders>
            <w:noWrap/>
            <w:vAlign w:val="bottom"/>
            <w:hideMark/>
          </w:tcPr>
          <w:p w:rsidR="004A0A25" w:rsidRPr="00114C31" w:rsidP="003768F2" w14:paraId="571C6142"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4,324</w:t>
            </w:r>
          </w:p>
        </w:tc>
        <w:tc>
          <w:tcPr>
            <w:tcW w:w="1065" w:type="dxa"/>
            <w:tcBorders>
              <w:top w:val="nil"/>
              <w:bottom w:val="nil"/>
              <w:right w:val="single" w:sz="12" w:space="0" w:color="auto"/>
            </w:tcBorders>
            <w:noWrap/>
            <w:vAlign w:val="bottom"/>
            <w:hideMark/>
          </w:tcPr>
          <w:p w:rsidR="004A0A25" w:rsidRPr="00114C31" w:rsidP="003768F2" w14:paraId="76CC0E12"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5%</w:t>
            </w:r>
          </w:p>
        </w:tc>
      </w:tr>
      <w:tr w14:paraId="0FB51BB3"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1FC815F3" w14:textId="75272607">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Advances and Prepayments</w:t>
            </w:r>
          </w:p>
        </w:tc>
        <w:tc>
          <w:tcPr>
            <w:tcW w:w="1316" w:type="dxa"/>
            <w:tcBorders>
              <w:top w:val="nil"/>
              <w:bottom w:val="single" w:sz="6" w:space="0" w:color="auto"/>
            </w:tcBorders>
            <w:noWrap/>
            <w:vAlign w:val="bottom"/>
            <w:hideMark/>
          </w:tcPr>
          <w:p w:rsidR="004A0A25" w:rsidRPr="00114C31" w:rsidP="003768F2" w14:paraId="59FECDAA"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18,024</w:t>
            </w:r>
          </w:p>
        </w:tc>
        <w:tc>
          <w:tcPr>
            <w:tcW w:w="1170" w:type="dxa"/>
            <w:tcBorders>
              <w:top w:val="nil"/>
              <w:bottom w:val="single" w:sz="6" w:space="0" w:color="auto"/>
            </w:tcBorders>
            <w:noWrap/>
            <w:vAlign w:val="bottom"/>
            <w:hideMark/>
          </w:tcPr>
          <w:p w:rsidR="004A0A25" w:rsidRPr="00114C31" w:rsidP="003768F2" w14:paraId="1F24CA0D"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18,024</w:t>
            </w:r>
          </w:p>
        </w:tc>
        <w:tc>
          <w:tcPr>
            <w:tcW w:w="1170" w:type="dxa"/>
            <w:tcBorders>
              <w:top w:val="nil"/>
              <w:bottom w:val="single" w:sz="6" w:space="0" w:color="auto"/>
            </w:tcBorders>
            <w:noWrap/>
            <w:vAlign w:val="bottom"/>
            <w:hideMark/>
          </w:tcPr>
          <w:p w:rsidR="004A0A25" w:rsidRPr="00114C31" w:rsidP="003768F2" w14:paraId="61681FA6"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w:t>
            </w:r>
          </w:p>
        </w:tc>
        <w:tc>
          <w:tcPr>
            <w:tcW w:w="1065" w:type="dxa"/>
            <w:tcBorders>
              <w:top w:val="nil"/>
              <w:bottom w:val="single" w:sz="6" w:space="0" w:color="auto"/>
              <w:right w:val="single" w:sz="12" w:space="0" w:color="auto"/>
            </w:tcBorders>
            <w:noWrap/>
            <w:vAlign w:val="bottom"/>
            <w:hideMark/>
          </w:tcPr>
          <w:p w:rsidR="004A0A25" w:rsidRPr="00114C31" w:rsidP="003768F2" w14:paraId="729315B8"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w:t>
            </w:r>
          </w:p>
        </w:tc>
      </w:tr>
      <w:tr w14:paraId="2C201EB1"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180E6A" w:rsidRPr="00114C31" w:rsidP="003768F2" w14:paraId="041C9793" w14:textId="77777777">
            <w:pPr>
              <w:ind w:left="720"/>
              <w:rPr>
                <w:rFonts w:ascii="Times New Roman" w:hAnsi="Times New Roman" w:cs="Times New Roman"/>
                <w:b w:val="0"/>
                <w:bCs w:val="0"/>
                <w:sz w:val="17"/>
                <w:szCs w:val="17"/>
              </w:rPr>
            </w:pPr>
            <w:r w:rsidRPr="00114C31">
              <w:rPr>
                <w:rFonts w:ascii="Times New Roman" w:hAnsi="Times New Roman" w:cs="Times New Roman"/>
                <w:sz w:val="17"/>
                <w:szCs w:val="17"/>
              </w:rPr>
              <w:t>Total with the Public</w:t>
            </w:r>
          </w:p>
        </w:tc>
        <w:tc>
          <w:tcPr>
            <w:tcW w:w="1316" w:type="dxa"/>
            <w:tcBorders>
              <w:top w:val="single" w:sz="6" w:space="0" w:color="auto"/>
              <w:bottom w:val="nil"/>
            </w:tcBorders>
            <w:noWrap/>
            <w:vAlign w:val="bottom"/>
            <w:hideMark/>
          </w:tcPr>
          <w:p w:rsidR="00180E6A" w:rsidRPr="00114C31" w:rsidP="003768F2" w14:paraId="57EFA1B7" w14:textId="2355768C">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w:t>
            </w:r>
            <w:r w:rsidR="000162F8">
              <w:rPr>
                <w:rFonts w:ascii="Times New Roman" w:hAnsi="Times New Roman" w:cs="Times New Roman"/>
                <w:sz w:val="17"/>
                <w:szCs w:val="17"/>
              </w:rPr>
              <w:t xml:space="preserve">       </w:t>
            </w:r>
            <w:r w:rsidRPr="00114C31">
              <w:rPr>
                <w:rFonts w:ascii="Times New Roman" w:hAnsi="Times New Roman" w:cs="Times New Roman"/>
                <w:sz w:val="17"/>
                <w:szCs w:val="17"/>
              </w:rPr>
              <w:t xml:space="preserve"> 925,313</w:t>
            </w:r>
          </w:p>
        </w:tc>
        <w:tc>
          <w:tcPr>
            <w:tcW w:w="1170" w:type="dxa"/>
            <w:tcBorders>
              <w:top w:val="single" w:sz="6" w:space="0" w:color="auto"/>
              <w:bottom w:val="nil"/>
            </w:tcBorders>
            <w:noWrap/>
            <w:vAlign w:val="bottom"/>
            <w:hideMark/>
          </w:tcPr>
          <w:p w:rsidR="00180E6A" w:rsidRPr="00114C31" w:rsidP="003768F2" w14:paraId="1F1BD5FB" w14:textId="5BEBE87A">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w:t>
            </w:r>
            <w:r w:rsidR="000162F8">
              <w:rPr>
                <w:rFonts w:ascii="Times New Roman" w:hAnsi="Times New Roman" w:cs="Times New Roman"/>
                <w:sz w:val="17"/>
                <w:szCs w:val="17"/>
              </w:rPr>
              <w:t xml:space="preserve">     </w:t>
            </w:r>
            <w:r w:rsidRPr="00114C31">
              <w:rPr>
                <w:rFonts w:ascii="Times New Roman" w:hAnsi="Times New Roman" w:cs="Times New Roman"/>
                <w:sz w:val="17"/>
                <w:szCs w:val="17"/>
              </w:rPr>
              <w:t xml:space="preserve"> 886,403</w:t>
            </w:r>
          </w:p>
        </w:tc>
        <w:tc>
          <w:tcPr>
            <w:tcW w:w="1170" w:type="dxa"/>
            <w:tcBorders>
              <w:top w:val="single" w:sz="6" w:space="0" w:color="auto"/>
              <w:bottom w:val="nil"/>
            </w:tcBorders>
            <w:noWrap/>
            <w:vAlign w:val="bottom"/>
            <w:hideMark/>
          </w:tcPr>
          <w:p w:rsidR="00180E6A" w:rsidRPr="00114C31" w:rsidP="003768F2" w14:paraId="09ECB243" w14:textId="64B4569D">
            <w:pPr>
              <w:contextualSpacing/>
              <w:jc w:val="right"/>
              <w:rPr>
                <w:rFonts w:ascii="Times New Roman" w:hAnsi="Times New Roman" w:cs="Times New Roman"/>
                <w:sz w:val="17"/>
                <w:szCs w:val="17"/>
              </w:rPr>
            </w:pPr>
            <w:r w:rsidRPr="00114C31">
              <w:rPr>
                <w:rFonts w:ascii="Times New Roman" w:hAnsi="Times New Roman" w:cs="Times New Roman"/>
                <w:sz w:val="17"/>
                <w:szCs w:val="17"/>
              </w:rPr>
              <w:t xml:space="preserve">$ </w:t>
            </w:r>
            <w:r w:rsidR="000162F8">
              <w:rPr>
                <w:rFonts w:ascii="Times New Roman" w:hAnsi="Times New Roman" w:cs="Times New Roman"/>
                <w:sz w:val="17"/>
                <w:szCs w:val="17"/>
              </w:rPr>
              <w:t xml:space="preserve">       </w:t>
            </w:r>
            <w:r w:rsidRPr="00114C31">
              <w:rPr>
                <w:rFonts w:ascii="Times New Roman" w:hAnsi="Times New Roman" w:cs="Times New Roman"/>
                <w:sz w:val="17"/>
                <w:szCs w:val="17"/>
              </w:rPr>
              <w:t>38,910</w:t>
            </w:r>
          </w:p>
        </w:tc>
        <w:tc>
          <w:tcPr>
            <w:tcW w:w="1065" w:type="dxa"/>
            <w:tcBorders>
              <w:top w:val="single" w:sz="6" w:space="0" w:color="auto"/>
              <w:bottom w:val="nil"/>
              <w:right w:val="single" w:sz="12" w:space="0" w:color="auto"/>
            </w:tcBorders>
            <w:noWrap/>
            <w:vAlign w:val="bottom"/>
            <w:hideMark/>
          </w:tcPr>
          <w:p w:rsidR="00180E6A" w:rsidRPr="00114C31" w:rsidP="003768F2" w14:paraId="587F7108"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4%</w:t>
            </w:r>
          </w:p>
        </w:tc>
      </w:tr>
      <w:tr w14:paraId="5F754617" w14:textId="77777777" w:rsidTr="00865354">
        <w:tblPrEx>
          <w:tblW w:w="5000" w:type="pct"/>
          <w:tblLook w:val="04A0"/>
        </w:tblPrEx>
        <w:trPr>
          <w:trHeight w:val="259"/>
        </w:trPr>
        <w:tc>
          <w:tcPr>
            <w:tcW w:w="4609" w:type="dxa"/>
            <w:tcBorders>
              <w:top w:val="nil"/>
              <w:left w:val="single" w:sz="12" w:space="0" w:color="auto"/>
              <w:bottom w:val="double" w:sz="6" w:space="0" w:color="auto"/>
            </w:tcBorders>
            <w:noWrap/>
            <w:vAlign w:val="bottom"/>
            <w:hideMark/>
          </w:tcPr>
          <w:p w:rsidR="004A0A25" w:rsidRPr="00114C31" w:rsidP="003768F2" w14:paraId="67463D85" w14:textId="77777777">
            <w:pPr>
              <w:rPr>
                <w:rFonts w:ascii="Times New Roman" w:hAnsi="Times New Roman" w:cs="Times New Roman"/>
                <w:b w:val="0"/>
                <w:bCs w:val="0"/>
                <w:sz w:val="17"/>
                <w:szCs w:val="17"/>
              </w:rPr>
            </w:pPr>
            <w:r w:rsidRPr="00114C31">
              <w:rPr>
                <w:rFonts w:ascii="Times New Roman" w:hAnsi="Times New Roman" w:cs="Times New Roman"/>
                <w:sz w:val="17"/>
                <w:szCs w:val="17"/>
              </w:rPr>
              <w:t>Total Assets</w:t>
            </w:r>
          </w:p>
        </w:tc>
        <w:tc>
          <w:tcPr>
            <w:tcW w:w="1316" w:type="dxa"/>
            <w:tcBorders>
              <w:top w:val="nil"/>
              <w:bottom w:val="double" w:sz="6" w:space="0" w:color="auto"/>
            </w:tcBorders>
            <w:noWrap/>
            <w:vAlign w:val="bottom"/>
            <w:hideMark/>
          </w:tcPr>
          <w:p w:rsidR="004A0A25" w:rsidRPr="00114C31" w:rsidP="003768F2" w14:paraId="0CB313A0" w14:textId="77777777">
            <w:pPr>
              <w:ind w:left="-67"/>
              <w:contextualSpacing/>
              <w:jc w:val="right"/>
              <w:rPr>
                <w:rFonts w:ascii="Times New Roman" w:hAnsi="Times New Roman" w:cs="Times New Roman"/>
                <w:b/>
                <w:bCs/>
                <w:sz w:val="17"/>
                <w:szCs w:val="17"/>
              </w:rPr>
            </w:pPr>
            <w:r w:rsidRPr="00114C31">
              <w:rPr>
                <w:rFonts w:ascii="Times New Roman" w:hAnsi="Times New Roman" w:cs="Times New Roman"/>
                <w:b/>
                <w:bCs/>
                <w:sz w:val="17"/>
                <w:szCs w:val="17"/>
              </w:rPr>
              <w:t>$ 106,140,087</w:t>
            </w:r>
          </w:p>
        </w:tc>
        <w:tc>
          <w:tcPr>
            <w:tcW w:w="1170" w:type="dxa"/>
            <w:tcBorders>
              <w:top w:val="nil"/>
              <w:bottom w:val="double" w:sz="6" w:space="0" w:color="auto"/>
            </w:tcBorders>
            <w:noWrap/>
            <w:vAlign w:val="bottom"/>
            <w:hideMark/>
          </w:tcPr>
          <w:p w:rsidR="004A0A25" w:rsidRPr="00114C31" w:rsidP="003768F2" w14:paraId="4D04A1B6" w14:textId="77777777">
            <w:pPr>
              <w:contextualSpacing/>
              <w:jc w:val="right"/>
              <w:rPr>
                <w:rFonts w:ascii="Times New Roman" w:hAnsi="Times New Roman" w:cs="Times New Roman"/>
                <w:b/>
                <w:bCs/>
                <w:sz w:val="17"/>
                <w:szCs w:val="17"/>
              </w:rPr>
            </w:pPr>
            <w:r w:rsidRPr="00114C31">
              <w:rPr>
                <w:rFonts w:ascii="Times New Roman" w:hAnsi="Times New Roman" w:cs="Times New Roman"/>
                <w:b/>
                <w:bCs/>
                <w:sz w:val="17"/>
                <w:szCs w:val="17"/>
              </w:rPr>
              <w:t>$ 19,677,001</w:t>
            </w:r>
          </w:p>
        </w:tc>
        <w:tc>
          <w:tcPr>
            <w:tcW w:w="1170" w:type="dxa"/>
            <w:tcBorders>
              <w:top w:val="nil"/>
              <w:bottom w:val="double" w:sz="6" w:space="0" w:color="auto"/>
            </w:tcBorders>
            <w:noWrap/>
            <w:vAlign w:val="bottom"/>
            <w:hideMark/>
          </w:tcPr>
          <w:p w:rsidR="004A0A25" w:rsidRPr="00114C31" w:rsidP="003768F2" w14:paraId="45BCB2FC"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$ 86,463,086</w:t>
            </w:r>
          </w:p>
        </w:tc>
        <w:tc>
          <w:tcPr>
            <w:tcW w:w="1065" w:type="dxa"/>
            <w:tcBorders>
              <w:top w:val="nil"/>
              <w:bottom w:val="double" w:sz="6" w:space="0" w:color="auto"/>
              <w:right w:val="single" w:sz="12" w:space="0" w:color="auto"/>
            </w:tcBorders>
            <w:noWrap/>
            <w:vAlign w:val="bottom"/>
            <w:hideMark/>
          </w:tcPr>
          <w:p w:rsidR="004A0A25" w:rsidRPr="00114C31" w:rsidP="003768F2" w14:paraId="732B4EA7"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439%</w:t>
            </w:r>
          </w:p>
        </w:tc>
      </w:tr>
      <w:tr w14:paraId="6D5B5DF9" w14:textId="77777777" w:rsidTr="00695CDF">
        <w:tblPrEx>
          <w:tblW w:w="5000" w:type="pct"/>
          <w:tblLook w:val="04A0"/>
        </w:tblPrEx>
        <w:trPr>
          <w:trHeight w:val="123"/>
        </w:trPr>
        <w:tc>
          <w:tcPr>
            <w:tcW w:w="4609" w:type="dxa"/>
            <w:tcBorders>
              <w:top w:val="double" w:sz="6" w:space="0" w:color="auto"/>
              <w:left w:val="single" w:sz="12" w:space="0" w:color="auto"/>
              <w:bottom w:val="nil"/>
            </w:tcBorders>
            <w:noWrap/>
            <w:vAlign w:val="bottom"/>
            <w:hideMark/>
          </w:tcPr>
          <w:p w:rsidR="004A0A25" w:rsidRPr="00114C31" w:rsidP="003768F2" w14:paraId="310ED013" w14:textId="77777777">
            <w:pPr>
              <w:rPr>
                <w:rFonts w:ascii="Times New Roman" w:hAnsi="Times New Roman" w:cs="Times New Roman"/>
                <w:b w:val="0"/>
                <w:bCs w:val="0"/>
                <w:sz w:val="17"/>
                <w:szCs w:val="17"/>
              </w:rPr>
            </w:pPr>
            <w:r w:rsidRPr="00114C31">
              <w:rPr>
                <w:rFonts w:ascii="Times New Roman" w:hAnsi="Times New Roman" w:cs="Times New Roman"/>
                <w:sz w:val="17"/>
                <w:szCs w:val="17"/>
              </w:rPr>
              <w:t>Intragovernmental</w:t>
            </w:r>
          </w:p>
        </w:tc>
        <w:tc>
          <w:tcPr>
            <w:tcW w:w="1316" w:type="dxa"/>
            <w:tcBorders>
              <w:top w:val="double" w:sz="6" w:space="0" w:color="auto"/>
              <w:bottom w:val="nil"/>
            </w:tcBorders>
            <w:noWrap/>
            <w:vAlign w:val="bottom"/>
            <w:hideMark/>
          </w:tcPr>
          <w:p w:rsidR="004A0A25" w:rsidRPr="00114C31" w:rsidP="003768F2" w14:paraId="20513C13" w14:textId="77777777">
            <w:pPr>
              <w:ind w:left="-67"/>
              <w:contextualSpacing/>
              <w:jc w:val="right"/>
              <w:rPr>
                <w:rFonts w:ascii="Times New Roman" w:hAnsi="Times New Roman" w:cs="Times New Roman"/>
                <w:sz w:val="17"/>
                <w:szCs w:val="17"/>
              </w:rPr>
            </w:pPr>
          </w:p>
        </w:tc>
        <w:tc>
          <w:tcPr>
            <w:tcW w:w="1170" w:type="dxa"/>
            <w:tcBorders>
              <w:top w:val="double" w:sz="6" w:space="0" w:color="auto"/>
              <w:bottom w:val="nil"/>
            </w:tcBorders>
            <w:noWrap/>
            <w:vAlign w:val="bottom"/>
            <w:hideMark/>
          </w:tcPr>
          <w:p w:rsidR="004A0A25" w:rsidRPr="00114C31" w:rsidP="003768F2" w14:paraId="677A7034" w14:textId="77777777">
            <w:pPr>
              <w:ind w:left="-67"/>
              <w:contextualSpacing/>
              <w:jc w:val="right"/>
              <w:rPr>
                <w:rFonts w:ascii="Times New Roman" w:hAnsi="Times New Roman" w:cs="Times New Roman"/>
                <w:sz w:val="17"/>
                <w:szCs w:val="17"/>
              </w:rPr>
            </w:pPr>
          </w:p>
        </w:tc>
        <w:tc>
          <w:tcPr>
            <w:tcW w:w="1170" w:type="dxa"/>
            <w:tcBorders>
              <w:top w:val="double" w:sz="6" w:space="0" w:color="auto"/>
              <w:bottom w:val="nil"/>
            </w:tcBorders>
            <w:noWrap/>
            <w:vAlign w:val="bottom"/>
            <w:hideMark/>
          </w:tcPr>
          <w:p w:rsidR="004A0A25" w:rsidRPr="00114C31" w:rsidP="003768F2" w14:paraId="5F2F69C8" w14:textId="77777777">
            <w:pPr>
              <w:contextualSpacing/>
              <w:jc w:val="right"/>
              <w:rPr>
                <w:rFonts w:ascii="Times New Roman" w:hAnsi="Times New Roman" w:cs="Times New Roman"/>
                <w:sz w:val="17"/>
                <w:szCs w:val="17"/>
              </w:rPr>
            </w:pPr>
          </w:p>
        </w:tc>
        <w:tc>
          <w:tcPr>
            <w:tcW w:w="1065" w:type="dxa"/>
            <w:tcBorders>
              <w:top w:val="double" w:sz="6" w:space="0" w:color="auto"/>
              <w:bottom w:val="nil"/>
              <w:right w:val="single" w:sz="12" w:space="0" w:color="auto"/>
            </w:tcBorders>
            <w:noWrap/>
            <w:vAlign w:val="bottom"/>
            <w:hideMark/>
          </w:tcPr>
          <w:p w:rsidR="004A0A25" w:rsidRPr="00114C31" w:rsidP="003768F2" w14:paraId="38FA1744" w14:textId="77777777">
            <w:pPr>
              <w:ind w:right="144"/>
              <w:contextualSpacing/>
              <w:jc w:val="right"/>
              <w:rPr>
                <w:rFonts w:ascii="Times New Roman" w:hAnsi="Times New Roman" w:cs="Times New Roman"/>
                <w:sz w:val="17"/>
                <w:szCs w:val="17"/>
              </w:rPr>
            </w:pPr>
          </w:p>
        </w:tc>
      </w:tr>
      <w:tr w14:paraId="18E8EABE"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6531043A" w14:textId="1C792E53">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Accounts Payable </w:t>
            </w:r>
          </w:p>
        </w:tc>
        <w:tc>
          <w:tcPr>
            <w:tcW w:w="1316" w:type="dxa"/>
            <w:tcBorders>
              <w:top w:val="nil"/>
              <w:bottom w:val="nil"/>
            </w:tcBorders>
            <w:noWrap/>
            <w:vAlign w:val="bottom"/>
            <w:hideMark/>
          </w:tcPr>
          <w:p w:rsidR="004A0A25" w:rsidRPr="00114C31" w:rsidP="003768F2" w14:paraId="247C1F21" w14:textId="376BF139">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 xml:space="preserve">$ </w:t>
            </w:r>
            <w:r w:rsidR="000162F8">
              <w:rPr>
                <w:rFonts w:ascii="Times New Roman" w:hAnsi="Times New Roman" w:cs="Times New Roman"/>
                <w:sz w:val="17"/>
                <w:szCs w:val="17"/>
              </w:rPr>
              <w:t xml:space="preserve">          </w:t>
            </w:r>
            <w:r w:rsidRPr="00114C31">
              <w:rPr>
                <w:rFonts w:ascii="Times New Roman" w:hAnsi="Times New Roman" w:cs="Times New Roman"/>
                <w:sz w:val="17"/>
                <w:szCs w:val="17"/>
              </w:rPr>
              <w:t>1,402</w:t>
            </w:r>
          </w:p>
        </w:tc>
        <w:tc>
          <w:tcPr>
            <w:tcW w:w="1170" w:type="dxa"/>
            <w:tcBorders>
              <w:top w:val="nil"/>
              <w:bottom w:val="nil"/>
            </w:tcBorders>
            <w:noWrap/>
            <w:vAlign w:val="bottom"/>
            <w:hideMark/>
          </w:tcPr>
          <w:p w:rsidR="004A0A25" w:rsidRPr="00114C31" w:rsidP="003768F2" w14:paraId="48C30AB5" w14:textId="25342021">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w:t>
            </w:r>
            <w:r w:rsidR="000162F8">
              <w:rPr>
                <w:rFonts w:ascii="Times New Roman" w:hAnsi="Times New Roman" w:cs="Times New Roman"/>
                <w:sz w:val="17"/>
                <w:szCs w:val="17"/>
              </w:rPr>
              <w:t xml:space="preserve">  </w:t>
            </w:r>
            <w:r w:rsidR="00406706">
              <w:rPr>
                <w:rFonts w:ascii="Times New Roman" w:hAnsi="Times New Roman" w:cs="Times New Roman"/>
                <w:sz w:val="17"/>
                <w:szCs w:val="17"/>
              </w:rPr>
              <w:t xml:space="preserve"> </w:t>
            </w:r>
            <w:r w:rsidR="000162F8">
              <w:rPr>
                <w:rFonts w:ascii="Times New Roman" w:hAnsi="Times New Roman" w:cs="Times New Roman"/>
                <w:sz w:val="17"/>
                <w:szCs w:val="17"/>
              </w:rPr>
              <w:t xml:space="preserve">    </w:t>
            </w:r>
            <w:r w:rsidRPr="00114C31">
              <w:rPr>
                <w:rFonts w:ascii="Times New Roman" w:hAnsi="Times New Roman" w:cs="Times New Roman"/>
                <w:sz w:val="17"/>
                <w:szCs w:val="17"/>
              </w:rPr>
              <w:t xml:space="preserve"> 10,525</w:t>
            </w:r>
          </w:p>
        </w:tc>
        <w:tc>
          <w:tcPr>
            <w:tcW w:w="1170" w:type="dxa"/>
            <w:tcBorders>
              <w:top w:val="nil"/>
              <w:bottom w:val="nil"/>
            </w:tcBorders>
            <w:noWrap/>
            <w:vAlign w:val="bottom"/>
            <w:hideMark/>
          </w:tcPr>
          <w:p w:rsidR="004A0A25" w:rsidRPr="00114C31" w:rsidP="003768F2" w14:paraId="7D7E93CC" w14:textId="73EF8530">
            <w:pPr>
              <w:contextualSpacing/>
              <w:jc w:val="right"/>
              <w:rPr>
                <w:rFonts w:ascii="Times New Roman" w:hAnsi="Times New Roman" w:cs="Times New Roman"/>
                <w:sz w:val="17"/>
                <w:szCs w:val="17"/>
              </w:rPr>
            </w:pPr>
            <w:r w:rsidRPr="00114C31">
              <w:rPr>
                <w:rFonts w:ascii="Times New Roman" w:hAnsi="Times New Roman" w:cs="Times New Roman"/>
                <w:sz w:val="17"/>
                <w:szCs w:val="17"/>
              </w:rPr>
              <w:t>$</w:t>
            </w:r>
            <w:r w:rsidR="000162F8">
              <w:rPr>
                <w:rFonts w:ascii="Times New Roman" w:hAnsi="Times New Roman" w:cs="Times New Roman"/>
                <w:sz w:val="17"/>
                <w:szCs w:val="17"/>
              </w:rPr>
              <w:t xml:space="preserve">      </w:t>
            </w:r>
            <w:r w:rsidRPr="00114C31">
              <w:rPr>
                <w:rFonts w:ascii="Times New Roman" w:hAnsi="Times New Roman" w:cs="Times New Roman"/>
                <w:sz w:val="17"/>
                <w:szCs w:val="17"/>
              </w:rPr>
              <w:t xml:space="preserve"> (9,123)</w:t>
            </w:r>
          </w:p>
        </w:tc>
        <w:tc>
          <w:tcPr>
            <w:tcW w:w="1065" w:type="dxa"/>
            <w:tcBorders>
              <w:top w:val="nil"/>
              <w:bottom w:val="nil"/>
              <w:right w:val="single" w:sz="12" w:space="0" w:color="auto"/>
            </w:tcBorders>
            <w:noWrap/>
            <w:vAlign w:val="bottom"/>
            <w:hideMark/>
          </w:tcPr>
          <w:p w:rsidR="004A0A25" w:rsidRPr="00114C31" w:rsidP="003768F2" w14:paraId="7BF8F556"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-87%</w:t>
            </w:r>
          </w:p>
        </w:tc>
      </w:tr>
      <w:tr w14:paraId="069D4743" w14:textId="77777777" w:rsidTr="003A4E3C">
        <w:tblPrEx>
          <w:tblW w:w="5000" w:type="pct"/>
          <w:tblLook w:val="04A0"/>
        </w:tblPrEx>
        <w:trPr>
          <w:trHeight w:val="68"/>
        </w:trPr>
        <w:tc>
          <w:tcPr>
            <w:tcW w:w="4609" w:type="dxa"/>
            <w:tcBorders>
              <w:top w:val="nil"/>
              <w:left w:val="single" w:sz="12" w:space="0" w:color="auto"/>
              <w:bottom w:val="nil"/>
            </w:tcBorders>
            <w:vAlign w:val="bottom"/>
            <w:hideMark/>
          </w:tcPr>
          <w:p w:rsidR="004A0A25" w:rsidRPr="00114C31" w:rsidP="004A1A70" w14:paraId="3A82304C" w14:textId="5A3D8EDE">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Liability to the General Fund of the U.S. Government for custodial</w:t>
            </w:r>
            <w:r w:rsidR="00865354">
              <w:rPr>
                <w:rFonts w:ascii="Times New Roman" w:hAnsi="Times New Roman" w:cs="Times New Roman"/>
                <w:b w:val="0"/>
                <w:bCs w:val="0"/>
                <w:sz w:val="17"/>
                <w:szCs w:val="17"/>
              </w:rPr>
              <w:t xml:space="preserve"> </w:t>
            </w:r>
            <w:r w:rsidRPr="00114C31">
              <w:rPr>
                <w:rFonts w:ascii="Times New Roman" w:hAnsi="Times New Roman" w:cs="Times New Roman"/>
                <w:b w:val="0"/>
                <w:bCs w:val="0"/>
                <w:sz w:val="17"/>
                <w:szCs w:val="17"/>
              </w:rPr>
              <w:t>and other non-entity assets</w:t>
            </w:r>
          </w:p>
        </w:tc>
        <w:tc>
          <w:tcPr>
            <w:tcW w:w="1316" w:type="dxa"/>
            <w:tcBorders>
              <w:top w:val="nil"/>
              <w:bottom w:val="nil"/>
            </w:tcBorders>
            <w:noWrap/>
            <w:vAlign w:val="bottom"/>
            <w:hideMark/>
          </w:tcPr>
          <w:p w:rsidR="004A0A25" w:rsidRPr="00114C31" w:rsidP="003768F2" w14:paraId="2F83B312"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84,234,840</w:t>
            </w:r>
          </w:p>
        </w:tc>
        <w:tc>
          <w:tcPr>
            <w:tcW w:w="1170" w:type="dxa"/>
            <w:tcBorders>
              <w:top w:val="nil"/>
              <w:bottom w:val="nil"/>
            </w:tcBorders>
            <w:noWrap/>
            <w:vAlign w:val="bottom"/>
            <w:hideMark/>
          </w:tcPr>
          <w:p w:rsidR="004A0A25" w:rsidRPr="00114C31" w:rsidP="003768F2" w14:paraId="6A797CBF"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7,738,740</w:t>
            </w:r>
          </w:p>
        </w:tc>
        <w:tc>
          <w:tcPr>
            <w:tcW w:w="1170" w:type="dxa"/>
            <w:tcBorders>
              <w:top w:val="nil"/>
              <w:bottom w:val="nil"/>
            </w:tcBorders>
            <w:noWrap/>
            <w:vAlign w:val="bottom"/>
            <w:hideMark/>
          </w:tcPr>
          <w:p w:rsidR="004A0A25" w:rsidRPr="00114C31" w:rsidP="003768F2" w14:paraId="51B3A8F7"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76,496,100</w:t>
            </w:r>
          </w:p>
        </w:tc>
        <w:tc>
          <w:tcPr>
            <w:tcW w:w="1065" w:type="dxa"/>
            <w:tcBorders>
              <w:top w:val="nil"/>
              <w:bottom w:val="nil"/>
              <w:right w:val="single" w:sz="12" w:space="0" w:color="auto"/>
            </w:tcBorders>
            <w:noWrap/>
            <w:vAlign w:val="bottom"/>
            <w:hideMark/>
          </w:tcPr>
          <w:p w:rsidR="004A0A25" w:rsidRPr="00114C31" w:rsidP="003768F2" w14:paraId="7465F60D"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988%</w:t>
            </w:r>
          </w:p>
        </w:tc>
      </w:tr>
      <w:tr w14:paraId="7F945113"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E27D3E" w:rsidRPr="004A1A70" w:rsidP="00695CDF" w14:paraId="1C7573CE" w14:textId="55926304">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Other liabilities</w:t>
            </w:r>
          </w:p>
        </w:tc>
        <w:tc>
          <w:tcPr>
            <w:tcW w:w="1316" w:type="dxa"/>
            <w:tcBorders>
              <w:top w:val="nil"/>
              <w:bottom w:val="single" w:sz="6" w:space="0" w:color="auto"/>
            </w:tcBorders>
            <w:noWrap/>
            <w:vAlign w:val="bottom"/>
            <w:hideMark/>
          </w:tcPr>
          <w:p w:rsidR="00E27D3E" w:rsidRPr="00114C31" w:rsidP="003768F2" w14:paraId="60E861DA"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3,868</w:t>
            </w:r>
          </w:p>
        </w:tc>
        <w:tc>
          <w:tcPr>
            <w:tcW w:w="1170" w:type="dxa"/>
            <w:tcBorders>
              <w:top w:val="nil"/>
              <w:bottom w:val="single" w:sz="6" w:space="0" w:color="auto"/>
            </w:tcBorders>
            <w:noWrap/>
            <w:vAlign w:val="bottom"/>
            <w:hideMark/>
          </w:tcPr>
          <w:p w:rsidR="00E27D3E" w:rsidRPr="00114C31" w:rsidP="003768F2" w14:paraId="4DFED4FE"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3,553</w:t>
            </w:r>
          </w:p>
        </w:tc>
        <w:tc>
          <w:tcPr>
            <w:tcW w:w="1170" w:type="dxa"/>
            <w:tcBorders>
              <w:top w:val="nil"/>
              <w:bottom w:val="single" w:sz="6" w:space="0" w:color="auto"/>
            </w:tcBorders>
            <w:noWrap/>
            <w:vAlign w:val="bottom"/>
            <w:hideMark/>
          </w:tcPr>
          <w:p w:rsidR="00E27D3E" w:rsidRPr="00114C31" w:rsidP="003768F2" w14:paraId="443DE439"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315</w:t>
            </w:r>
          </w:p>
        </w:tc>
        <w:tc>
          <w:tcPr>
            <w:tcW w:w="1065" w:type="dxa"/>
            <w:tcBorders>
              <w:top w:val="nil"/>
              <w:bottom w:val="single" w:sz="6" w:space="0" w:color="auto"/>
              <w:right w:val="single" w:sz="12" w:space="0" w:color="auto"/>
            </w:tcBorders>
            <w:noWrap/>
            <w:vAlign w:val="bottom"/>
            <w:hideMark/>
          </w:tcPr>
          <w:p w:rsidR="00E27D3E" w:rsidRPr="00114C31" w:rsidP="003768F2" w14:paraId="15693148"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9%</w:t>
            </w:r>
          </w:p>
        </w:tc>
      </w:tr>
      <w:tr w14:paraId="15075088"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E27D3E" w:rsidRPr="00114C31" w:rsidP="003768F2" w14:paraId="60E252AA" w14:textId="77777777">
            <w:pPr>
              <w:ind w:left="720"/>
              <w:rPr>
                <w:rFonts w:ascii="Times New Roman" w:hAnsi="Times New Roman" w:cs="Times New Roman"/>
                <w:b w:val="0"/>
                <w:bCs w:val="0"/>
                <w:sz w:val="17"/>
                <w:szCs w:val="17"/>
              </w:rPr>
            </w:pPr>
            <w:r w:rsidRPr="00114C31">
              <w:rPr>
                <w:rFonts w:ascii="Times New Roman" w:hAnsi="Times New Roman" w:cs="Times New Roman"/>
                <w:sz w:val="17"/>
                <w:szCs w:val="17"/>
              </w:rPr>
              <w:t>Total Intragovernmental</w:t>
            </w:r>
          </w:p>
        </w:tc>
        <w:tc>
          <w:tcPr>
            <w:tcW w:w="1316" w:type="dxa"/>
            <w:tcBorders>
              <w:top w:val="single" w:sz="6" w:space="0" w:color="auto"/>
              <w:bottom w:val="nil"/>
            </w:tcBorders>
            <w:noWrap/>
            <w:vAlign w:val="bottom"/>
            <w:hideMark/>
          </w:tcPr>
          <w:p w:rsidR="00E27D3E" w:rsidRPr="00114C31" w:rsidP="003768F2" w14:paraId="658A3246" w14:textId="5099FE78">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w:t>
            </w:r>
            <w:r w:rsidR="000162F8">
              <w:rPr>
                <w:rFonts w:ascii="Times New Roman" w:hAnsi="Times New Roman" w:cs="Times New Roman"/>
                <w:sz w:val="17"/>
                <w:szCs w:val="17"/>
              </w:rPr>
              <w:t xml:space="preserve"> </w:t>
            </w:r>
            <w:r w:rsidRPr="00114C31">
              <w:rPr>
                <w:rFonts w:ascii="Times New Roman" w:hAnsi="Times New Roman" w:cs="Times New Roman"/>
                <w:sz w:val="17"/>
                <w:szCs w:val="17"/>
              </w:rPr>
              <w:t xml:space="preserve"> 84,240,110</w:t>
            </w:r>
          </w:p>
        </w:tc>
        <w:tc>
          <w:tcPr>
            <w:tcW w:w="1170" w:type="dxa"/>
            <w:tcBorders>
              <w:top w:val="single" w:sz="6" w:space="0" w:color="auto"/>
              <w:bottom w:val="nil"/>
            </w:tcBorders>
            <w:noWrap/>
            <w:vAlign w:val="bottom"/>
            <w:hideMark/>
          </w:tcPr>
          <w:p w:rsidR="00E27D3E" w:rsidRPr="00114C31" w:rsidP="003768F2" w14:paraId="01B7A490" w14:textId="24D426E4">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 xml:space="preserve">$ </w:t>
            </w:r>
            <w:r w:rsidR="00406706">
              <w:rPr>
                <w:rFonts w:ascii="Times New Roman" w:hAnsi="Times New Roman" w:cs="Times New Roman"/>
                <w:sz w:val="17"/>
                <w:szCs w:val="17"/>
              </w:rPr>
              <w:t xml:space="preserve">  </w:t>
            </w:r>
            <w:r w:rsidRPr="00114C31">
              <w:rPr>
                <w:rFonts w:ascii="Times New Roman" w:hAnsi="Times New Roman" w:cs="Times New Roman"/>
                <w:sz w:val="17"/>
                <w:szCs w:val="17"/>
              </w:rPr>
              <w:t>7,752,818</w:t>
            </w:r>
          </w:p>
        </w:tc>
        <w:tc>
          <w:tcPr>
            <w:tcW w:w="1170" w:type="dxa"/>
            <w:tcBorders>
              <w:top w:val="single" w:sz="6" w:space="0" w:color="auto"/>
              <w:bottom w:val="nil"/>
            </w:tcBorders>
            <w:noWrap/>
            <w:vAlign w:val="bottom"/>
            <w:hideMark/>
          </w:tcPr>
          <w:p w:rsidR="00E27D3E" w:rsidRPr="00114C31" w:rsidP="003768F2" w14:paraId="7D30E8D3"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$ 76,487,292</w:t>
            </w:r>
          </w:p>
        </w:tc>
        <w:tc>
          <w:tcPr>
            <w:tcW w:w="1065" w:type="dxa"/>
            <w:tcBorders>
              <w:top w:val="single" w:sz="6" w:space="0" w:color="auto"/>
              <w:bottom w:val="nil"/>
              <w:right w:val="single" w:sz="12" w:space="0" w:color="auto"/>
            </w:tcBorders>
            <w:noWrap/>
            <w:vAlign w:val="bottom"/>
            <w:hideMark/>
          </w:tcPr>
          <w:p w:rsidR="00E27D3E" w:rsidRPr="00114C31" w:rsidP="003768F2" w14:paraId="5860CF8E"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987%</w:t>
            </w:r>
          </w:p>
        </w:tc>
      </w:tr>
      <w:tr w14:paraId="668FAEBA"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3768F2" w14:paraId="54A931FE" w14:textId="77777777">
            <w:pPr>
              <w:rPr>
                <w:rFonts w:ascii="Times New Roman" w:hAnsi="Times New Roman" w:cs="Times New Roman"/>
                <w:b w:val="0"/>
                <w:bCs w:val="0"/>
                <w:sz w:val="17"/>
                <w:szCs w:val="17"/>
              </w:rPr>
            </w:pPr>
            <w:r w:rsidRPr="00114C31">
              <w:rPr>
                <w:rFonts w:ascii="Times New Roman" w:hAnsi="Times New Roman" w:cs="Times New Roman"/>
                <w:sz w:val="17"/>
                <w:szCs w:val="17"/>
              </w:rPr>
              <w:t>With the Public</w:t>
            </w:r>
          </w:p>
        </w:tc>
        <w:tc>
          <w:tcPr>
            <w:tcW w:w="1316" w:type="dxa"/>
            <w:tcBorders>
              <w:top w:val="nil"/>
              <w:bottom w:val="nil"/>
            </w:tcBorders>
            <w:noWrap/>
            <w:vAlign w:val="bottom"/>
            <w:hideMark/>
          </w:tcPr>
          <w:p w:rsidR="004A0A25" w:rsidRPr="00114C31" w:rsidP="003768F2" w14:paraId="79EFCD23" w14:textId="77777777">
            <w:pPr>
              <w:ind w:left="-67"/>
              <w:contextualSpacing/>
              <w:jc w:val="right"/>
              <w:rPr>
                <w:rFonts w:ascii="Times New Roman" w:hAnsi="Times New Roman" w:cs="Times New Roman"/>
                <w:sz w:val="17"/>
                <w:szCs w:val="17"/>
              </w:rPr>
            </w:pPr>
          </w:p>
        </w:tc>
        <w:tc>
          <w:tcPr>
            <w:tcW w:w="1170" w:type="dxa"/>
            <w:tcBorders>
              <w:top w:val="nil"/>
              <w:bottom w:val="nil"/>
            </w:tcBorders>
            <w:noWrap/>
            <w:vAlign w:val="bottom"/>
            <w:hideMark/>
          </w:tcPr>
          <w:p w:rsidR="004A0A25" w:rsidRPr="00114C31" w:rsidP="003768F2" w14:paraId="7F9DBF2E" w14:textId="77777777">
            <w:pPr>
              <w:ind w:left="-67"/>
              <w:contextualSpacing/>
              <w:jc w:val="right"/>
              <w:rPr>
                <w:rFonts w:ascii="Times New Roman" w:hAnsi="Times New Roman" w:cs="Times New Roman"/>
                <w:sz w:val="17"/>
                <w:szCs w:val="17"/>
              </w:rPr>
            </w:pPr>
          </w:p>
        </w:tc>
        <w:tc>
          <w:tcPr>
            <w:tcW w:w="1170" w:type="dxa"/>
            <w:tcBorders>
              <w:top w:val="nil"/>
              <w:bottom w:val="nil"/>
            </w:tcBorders>
            <w:noWrap/>
            <w:vAlign w:val="bottom"/>
            <w:hideMark/>
          </w:tcPr>
          <w:p w:rsidR="004A0A25" w:rsidRPr="00114C31" w:rsidP="003768F2" w14:paraId="61BC577F" w14:textId="77777777">
            <w:pPr>
              <w:contextualSpacing/>
              <w:jc w:val="right"/>
              <w:rPr>
                <w:rFonts w:ascii="Times New Roman" w:hAnsi="Times New Roman" w:cs="Times New Roman"/>
                <w:sz w:val="17"/>
                <w:szCs w:val="17"/>
              </w:rPr>
            </w:pPr>
          </w:p>
        </w:tc>
        <w:tc>
          <w:tcPr>
            <w:tcW w:w="1065" w:type="dxa"/>
            <w:tcBorders>
              <w:top w:val="nil"/>
              <w:bottom w:val="nil"/>
              <w:right w:val="single" w:sz="12" w:space="0" w:color="auto"/>
            </w:tcBorders>
            <w:noWrap/>
            <w:vAlign w:val="bottom"/>
            <w:hideMark/>
          </w:tcPr>
          <w:p w:rsidR="004A0A25" w:rsidRPr="00114C31" w:rsidP="003768F2" w14:paraId="117592DC" w14:textId="77777777">
            <w:pPr>
              <w:ind w:right="144"/>
              <w:contextualSpacing/>
              <w:jc w:val="right"/>
              <w:rPr>
                <w:rFonts w:ascii="Times New Roman" w:hAnsi="Times New Roman" w:cs="Times New Roman"/>
                <w:sz w:val="17"/>
                <w:szCs w:val="17"/>
              </w:rPr>
            </w:pPr>
          </w:p>
        </w:tc>
      </w:tr>
      <w:tr w14:paraId="1D4C3B5A"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312F073D" w14:textId="3D8D5A15">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Accounts Payable</w:t>
            </w:r>
          </w:p>
        </w:tc>
        <w:tc>
          <w:tcPr>
            <w:tcW w:w="1316" w:type="dxa"/>
            <w:tcBorders>
              <w:top w:val="nil"/>
              <w:bottom w:val="nil"/>
            </w:tcBorders>
            <w:noWrap/>
            <w:vAlign w:val="bottom"/>
            <w:hideMark/>
          </w:tcPr>
          <w:p w:rsidR="004A0A25" w:rsidRPr="00114C31" w:rsidP="003768F2" w14:paraId="743577B0" w14:textId="3EC4192F">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w:t>
            </w:r>
            <w:r w:rsidR="000162F8">
              <w:rPr>
                <w:rFonts w:ascii="Times New Roman" w:hAnsi="Times New Roman" w:cs="Times New Roman"/>
                <w:sz w:val="17"/>
                <w:szCs w:val="17"/>
              </w:rPr>
              <w:t xml:space="preserve">      </w:t>
            </w:r>
            <w:r w:rsidRPr="00114C31">
              <w:rPr>
                <w:rFonts w:ascii="Times New Roman" w:hAnsi="Times New Roman" w:cs="Times New Roman"/>
                <w:sz w:val="17"/>
                <w:szCs w:val="17"/>
              </w:rPr>
              <w:t xml:space="preserve"> 828,732</w:t>
            </w:r>
          </w:p>
        </w:tc>
        <w:tc>
          <w:tcPr>
            <w:tcW w:w="1170" w:type="dxa"/>
            <w:tcBorders>
              <w:top w:val="nil"/>
              <w:bottom w:val="nil"/>
            </w:tcBorders>
            <w:noWrap/>
            <w:vAlign w:val="bottom"/>
            <w:hideMark/>
          </w:tcPr>
          <w:p w:rsidR="004A0A25" w:rsidRPr="00114C31" w:rsidP="003768F2" w14:paraId="423D948C" w14:textId="79E4B6DE">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w:t>
            </w:r>
            <w:r w:rsidR="00406706">
              <w:rPr>
                <w:rFonts w:ascii="Times New Roman" w:hAnsi="Times New Roman" w:cs="Times New Roman"/>
                <w:sz w:val="17"/>
                <w:szCs w:val="17"/>
              </w:rPr>
              <w:t xml:space="preserve">     </w:t>
            </w:r>
            <w:r w:rsidRPr="00114C31">
              <w:rPr>
                <w:rFonts w:ascii="Times New Roman" w:hAnsi="Times New Roman" w:cs="Times New Roman"/>
                <w:sz w:val="17"/>
                <w:szCs w:val="17"/>
              </w:rPr>
              <w:t xml:space="preserve"> 827,857</w:t>
            </w:r>
          </w:p>
        </w:tc>
        <w:tc>
          <w:tcPr>
            <w:tcW w:w="1170" w:type="dxa"/>
            <w:tcBorders>
              <w:top w:val="nil"/>
              <w:bottom w:val="nil"/>
            </w:tcBorders>
            <w:noWrap/>
            <w:vAlign w:val="bottom"/>
            <w:hideMark/>
          </w:tcPr>
          <w:p w:rsidR="004A0A25" w:rsidRPr="00114C31" w:rsidP="003768F2" w14:paraId="4F789134" w14:textId="297C8717">
            <w:pPr>
              <w:contextualSpacing/>
              <w:jc w:val="right"/>
              <w:rPr>
                <w:rFonts w:ascii="Times New Roman" w:hAnsi="Times New Roman" w:cs="Times New Roman"/>
                <w:sz w:val="17"/>
                <w:szCs w:val="17"/>
              </w:rPr>
            </w:pPr>
            <w:r w:rsidRPr="00114C31">
              <w:rPr>
                <w:rFonts w:ascii="Times New Roman" w:hAnsi="Times New Roman" w:cs="Times New Roman"/>
                <w:sz w:val="17"/>
                <w:szCs w:val="17"/>
              </w:rPr>
              <w:t xml:space="preserve">$ </w:t>
            </w:r>
            <w:r w:rsidR="00406706">
              <w:rPr>
                <w:rFonts w:ascii="Times New Roman" w:hAnsi="Times New Roman" w:cs="Times New Roman"/>
                <w:sz w:val="17"/>
                <w:szCs w:val="17"/>
              </w:rPr>
              <w:t xml:space="preserve">            </w:t>
            </w:r>
            <w:r w:rsidRPr="00114C31">
              <w:rPr>
                <w:rFonts w:ascii="Times New Roman" w:hAnsi="Times New Roman" w:cs="Times New Roman"/>
                <w:sz w:val="17"/>
                <w:szCs w:val="17"/>
              </w:rPr>
              <w:t>875</w:t>
            </w:r>
          </w:p>
        </w:tc>
        <w:tc>
          <w:tcPr>
            <w:tcW w:w="1065" w:type="dxa"/>
            <w:tcBorders>
              <w:top w:val="nil"/>
              <w:bottom w:val="nil"/>
              <w:right w:val="single" w:sz="12" w:space="0" w:color="auto"/>
            </w:tcBorders>
            <w:noWrap/>
            <w:vAlign w:val="bottom"/>
            <w:hideMark/>
          </w:tcPr>
          <w:p w:rsidR="004A0A25" w:rsidRPr="00114C31" w:rsidP="003768F2" w14:paraId="5F6769A1"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0%</w:t>
            </w:r>
          </w:p>
        </w:tc>
      </w:tr>
      <w:tr w14:paraId="68ADF116"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108DBAD3" w14:textId="72C5A95F">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Federal Employee Benefits Payable</w:t>
            </w:r>
          </w:p>
        </w:tc>
        <w:tc>
          <w:tcPr>
            <w:tcW w:w="1316" w:type="dxa"/>
            <w:tcBorders>
              <w:top w:val="nil"/>
              <w:bottom w:val="nil"/>
            </w:tcBorders>
            <w:noWrap/>
            <w:vAlign w:val="bottom"/>
            <w:hideMark/>
          </w:tcPr>
          <w:p w:rsidR="004A0A25" w:rsidRPr="00114C31" w:rsidP="003768F2" w14:paraId="2844DCF0"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26,503</w:t>
            </w:r>
          </w:p>
        </w:tc>
        <w:tc>
          <w:tcPr>
            <w:tcW w:w="1170" w:type="dxa"/>
            <w:tcBorders>
              <w:top w:val="nil"/>
              <w:bottom w:val="nil"/>
            </w:tcBorders>
            <w:noWrap/>
            <w:vAlign w:val="bottom"/>
            <w:hideMark/>
          </w:tcPr>
          <w:p w:rsidR="004A0A25" w:rsidRPr="00114C31" w:rsidP="003768F2" w14:paraId="74DCA413"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26,419</w:t>
            </w:r>
          </w:p>
        </w:tc>
        <w:tc>
          <w:tcPr>
            <w:tcW w:w="1170" w:type="dxa"/>
            <w:tcBorders>
              <w:top w:val="nil"/>
              <w:bottom w:val="nil"/>
            </w:tcBorders>
            <w:noWrap/>
            <w:vAlign w:val="bottom"/>
            <w:hideMark/>
          </w:tcPr>
          <w:p w:rsidR="004A0A25" w:rsidRPr="00114C31" w:rsidP="003768F2" w14:paraId="4F8F5248"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84</w:t>
            </w:r>
          </w:p>
        </w:tc>
        <w:tc>
          <w:tcPr>
            <w:tcW w:w="1065" w:type="dxa"/>
            <w:tcBorders>
              <w:top w:val="nil"/>
              <w:bottom w:val="nil"/>
              <w:right w:val="single" w:sz="12" w:space="0" w:color="auto"/>
            </w:tcBorders>
            <w:noWrap/>
            <w:vAlign w:val="bottom"/>
            <w:hideMark/>
          </w:tcPr>
          <w:p w:rsidR="004A0A25" w:rsidRPr="00114C31" w:rsidP="003768F2" w14:paraId="485464DB"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0%</w:t>
            </w:r>
          </w:p>
        </w:tc>
      </w:tr>
      <w:tr w14:paraId="6E6F1C1C"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7406B66D" w14:textId="23FFA83C">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Advances from Others and Deferred Revenue</w:t>
            </w:r>
          </w:p>
        </w:tc>
        <w:tc>
          <w:tcPr>
            <w:tcW w:w="1316" w:type="dxa"/>
            <w:tcBorders>
              <w:top w:val="nil"/>
              <w:bottom w:val="nil"/>
            </w:tcBorders>
            <w:noWrap/>
            <w:vAlign w:val="bottom"/>
            <w:hideMark/>
          </w:tcPr>
          <w:p w:rsidR="004A0A25" w:rsidRPr="00114C31" w:rsidP="003768F2" w14:paraId="409160D8"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153,756</w:t>
            </w:r>
          </w:p>
        </w:tc>
        <w:tc>
          <w:tcPr>
            <w:tcW w:w="1170" w:type="dxa"/>
            <w:tcBorders>
              <w:top w:val="nil"/>
              <w:bottom w:val="nil"/>
            </w:tcBorders>
            <w:noWrap/>
            <w:vAlign w:val="bottom"/>
            <w:hideMark/>
          </w:tcPr>
          <w:p w:rsidR="004A0A25" w:rsidRPr="00114C31" w:rsidP="003768F2" w14:paraId="243D1204"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2,997,879</w:t>
            </w:r>
          </w:p>
        </w:tc>
        <w:tc>
          <w:tcPr>
            <w:tcW w:w="1170" w:type="dxa"/>
            <w:tcBorders>
              <w:top w:val="nil"/>
              <w:bottom w:val="nil"/>
            </w:tcBorders>
            <w:noWrap/>
            <w:vAlign w:val="bottom"/>
            <w:hideMark/>
          </w:tcPr>
          <w:p w:rsidR="004A0A25" w:rsidRPr="00114C31" w:rsidP="003768F2" w14:paraId="55E8EB3C"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(2,844,123)</w:t>
            </w:r>
          </w:p>
        </w:tc>
        <w:tc>
          <w:tcPr>
            <w:tcW w:w="1065" w:type="dxa"/>
            <w:tcBorders>
              <w:top w:val="nil"/>
              <w:bottom w:val="nil"/>
              <w:right w:val="single" w:sz="12" w:space="0" w:color="auto"/>
            </w:tcBorders>
            <w:noWrap/>
            <w:vAlign w:val="bottom"/>
            <w:hideMark/>
          </w:tcPr>
          <w:p w:rsidR="004A0A25" w:rsidRPr="00114C31" w:rsidP="003768F2" w14:paraId="63953715"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-95%</w:t>
            </w:r>
          </w:p>
        </w:tc>
      </w:tr>
      <w:tr w14:paraId="4688DAAF"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37964533" w14:textId="21E5D00E">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Prepaid Contributions</w:t>
            </w:r>
          </w:p>
        </w:tc>
        <w:tc>
          <w:tcPr>
            <w:tcW w:w="1316" w:type="dxa"/>
            <w:tcBorders>
              <w:top w:val="nil"/>
              <w:bottom w:val="nil"/>
            </w:tcBorders>
            <w:noWrap/>
            <w:vAlign w:val="bottom"/>
            <w:hideMark/>
          </w:tcPr>
          <w:p w:rsidR="004A0A25" w:rsidRPr="00114C31" w:rsidP="003768F2" w14:paraId="1AE98614"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44,563</w:t>
            </w:r>
          </w:p>
        </w:tc>
        <w:tc>
          <w:tcPr>
            <w:tcW w:w="1170" w:type="dxa"/>
            <w:tcBorders>
              <w:top w:val="nil"/>
              <w:bottom w:val="nil"/>
            </w:tcBorders>
            <w:noWrap/>
            <w:vAlign w:val="bottom"/>
            <w:hideMark/>
          </w:tcPr>
          <w:p w:rsidR="004A0A25" w:rsidRPr="00114C31" w:rsidP="003768F2" w14:paraId="0BC96ADC"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108,399</w:t>
            </w:r>
          </w:p>
        </w:tc>
        <w:tc>
          <w:tcPr>
            <w:tcW w:w="1170" w:type="dxa"/>
            <w:tcBorders>
              <w:top w:val="nil"/>
              <w:bottom w:val="nil"/>
            </w:tcBorders>
            <w:noWrap/>
            <w:vAlign w:val="bottom"/>
            <w:hideMark/>
          </w:tcPr>
          <w:p w:rsidR="004A0A25" w:rsidRPr="00114C31" w:rsidP="003768F2" w14:paraId="4915393C"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(63,836)</w:t>
            </w:r>
          </w:p>
        </w:tc>
        <w:tc>
          <w:tcPr>
            <w:tcW w:w="1065" w:type="dxa"/>
            <w:tcBorders>
              <w:top w:val="nil"/>
              <w:bottom w:val="nil"/>
              <w:right w:val="single" w:sz="12" w:space="0" w:color="auto"/>
            </w:tcBorders>
            <w:noWrap/>
            <w:vAlign w:val="bottom"/>
            <w:hideMark/>
          </w:tcPr>
          <w:p w:rsidR="004A0A25" w:rsidRPr="00114C31" w:rsidP="003768F2" w14:paraId="4E419F4B"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-59%</w:t>
            </w:r>
          </w:p>
        </w:tc>
      </w:tr>
      <w:tr w14:paraId="6E7635A1"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0B3A4EA2" w14:textId="086B5CCA">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Accrued Liabilities for USF and TRS</w:t>
            </w:r>
          </w:p>
        </w:tc>
        <w:tc>
          <w:tcPr>
            <w:tcW w:w="1316" w:type="dxa"/>
            <w:tcBorders>
              <w:top w:val="nil"/>
              <w:bottom w:val="nil"/>
            </w:tcBorders>
            <w:noWrap/>
            <w:vAlign w:val="bottom"/>
            <w:hideMark/>
          </w:tcPr>
          <w:p w:rsidR="004A0A25" w:rsidRPr="00114C31" w:rsidP="003768F2" w14:paraId="56E75546"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490,897</w:t>
            </w:r>
          </w:p>
        </w:tc>
        <w:tc>
          <w:tcPr>
            <w:tcW w:w="1170" w:type="dxa"/>
            <w:tcBorders>
              <w:top w:val="nil"/>
              <w:bottom w:val="nil"/>
            </w:tcBorders>
            <w:noWrap/>
            <w:vAlign w:val="bottom"/>
            <w:hideMark/>
          </w:tcPr>
          <w:p w:rsidR="004A0A25" w:rsidRPr="00114C31" w:rsidP="003768F2" w14:paraId="03BF2FA8"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483,329</w:t>
            </w:r>
          </w:p>
        </w:tc>
        <w:tc>
          <w:tcPr>
            <w:tcW w:w="1170" w:type="dxa"/>
            <w:tcBorders>
              <w:top w:val="nil"/>
              <w:bottom w:val="nil"/>
            </w:tcBorders>
            <w:noWrap/>
            <w:vAlign w:val="bottom"/>
            <w:hideMark/>
          </w:tcPr>
          <w:p w:rsidR="004A0A25" w:rsidRPr="00114C31" w:rsidP="003768F2" w14:paraId="5893EF9C"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7,568</w:t>
            </w:r>
          </w:p>
        </w:tc>
        <w:tc>
          <w:tcPr>
            <w:tcW w:w="1065" w:type="dxa"/>
            <w:tcBorders>
              <w:top w:val="nil"/>
              <w:bottom w:val="nil"/>
              <w:right w:val="single" w:sz="12" w:space="0" w:color="auto"/>
            </w:tcBorders>
            <w:noWrap/>
            <w:vAlign w:val="bottom"/>
            <w:hideMark/>
          </w:tcPr>
          <w:p w:rsidR="004A0A25" w:rsidRPr="00114C31" w:rsidP="003768F2" w14:paraId="3E5C1AA0"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2%</w:t>
            </w:r>
          </w:p>
        </w:tc>
      </w:tr>
      <w:tr w14:paraId="6D97B7E8"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47F44298" w14:textId="19D37199">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Deposit/Unapplied liability</w:t>
            </w:r>
          </w:p>
        </w:tc>
        <w:tc>
          <w:tcPr>
            <w:tcW w:w="1316" w:type="dxa"/>
            <w:tcBorders>
              <w:top w:val="nil"/>
              <w:bottom w:val="nil"/>
            </w:tcBorders>
            <w:noWrap/>
            <w:vAlign w:val="bottom"/>
            <w:hideMark/>
          </w:tcPr>
          <w:p w:rsidR="004A0A25" w:rsidRPr="00114C31" w:rsidP="003768F2" w14:paraId="00ABAAA6"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606,917</w:t>
            </w:r>
          </w:p>
        </w:tc>
        <w:tc>
          <w:tcPr>
            <w:tcW w:w="1170" w:type="dxa"/>
            <w:tcBorders>
              <w:top w:val="nil"/>
              <w:bottom w:val="nil"/>
            </w:tcBorders>
            <w:noWrap/>
            <w:vAlign w:val="bottom"/>
            <w:hideMark/>
          </w:tcPr>
          <w:p w:rsidR="004A0A25" w:rsidRPr="00114C31" w:rsidP="003768F2" w14:paraId="54BE4538"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w:t>
            </w:r>
          </w:p>
        </w:tc>
        <w:tc>
          <w:tcPr>
            <w:tcW w:w="1170" w:type="dxa"/>
            <w:tcBorders>
              <w:top w:val="nil"/>
              <w:bottom w:val="nil"/>
            </w:tcBorders>
            <w:noWrap/>
            <w:vAlign w:val="bottom"/>
            <w:hideMark/>
          </w:tcPr>
          <w:p w:rsidR="004A0A25" w:rsidRPr="00114C31" w:rsidP="003768F2" w14:paraId="227267EA"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606,917</w:t>
            </w:r>
          </w:p>
        </w:tc>
        <w:tc>
          <w:tcPr>
            <w:tcW w:w="1065" w:type="dxa"/>
            <w:tcBorders>
              <w:top w:val="nil"/>
              <w:bottom w:val="nil"/>
              <w:right w:val="single" w:sz="12" w:space="0" w:color="auto"/>
            </w:tcBorders>
            <w:noWrap/>
            <w:vAlign w:val="bottom"/>
            <w:hideMark/>
          </w:tcPr>
          <w:p w:rsidR="004A0A25" w:rsidRPr="00114C31" w:rsidP="003768F2" w14:paraId="1A093089"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100%</w:t>
            </w:r>
          </w:p>
        </w:tc>
      </w:tr>
      <w:tr w14:paraId="1120F313"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4A1A70" w14:paraId="70772BB3" w14:textId="5FB9C79B">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Other</w:t>
            </w:r>
          </w:p>
        </w:tc>
        <w:tc>
          <w:tcPr>
            <w:tcW w:w="1316" w:type="dxa"/>
            <w:tcBorders>
              <w:top w:val="nil"/>
              <w:bottom w:val="single" w:sz="6" w:space="0" w:color="auto"/>
            </w:tcBorders>
            <w:noWrap/>
            <w:vAlign w:val="bottom"/>
            <w:hideMark/>
          </w:tcPr>
          <w:p w:rsidR="004A0A25" w:rsidRPr="00114C31" w:rsidP="003768F2" w14:paraId="26D46BF0"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23,362</w:t>
            </w:r>
          </w:p>
        </w:tc>
        <w:tc>
          <w:tcPr>
            <w:tcW w:w="1170" w:type="dxa"/>
            <w:tcBorders>
              <w:top w:val="nil"/>
              <w:bottom w:val="single" w:sz="6" w:space="0" w:color="auto"/>
            </w:tcBorders>
            <w:noWrap/>
            <w:vAlign w:val="bottom"/>
            <w:hideMark/>
          </w:tcPr>
          <w:p w:rsidR="004A0A25" w:rsidRPr="00114C31" w:rsidP="003768F2" w14:paraId="3E3D9E0B"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27,979</w:t>
            </w:r>
          </w:p>
        </w:tc>
        <w:tc>
          <w:tcPr>
            <w:tcW w:w="1170" w:type="dxa"/>
            <w:tcBorders>
              <w:top w:val="nil"/>
              <w:bottom w:val="single" w:sz="6" w:space="0" w:color="auto"/>
            </w:tcBorders>
            <w:noWrap/>
            <w:vAlign w:val="bottom"/>
            <w:hideMark/>
          </w:tcPr>
          <w:p w:rsidR="004A0A25" w:rsidRPr="00114C31" w:rsidP="003768F2" w14:paraId="5CE4ED40"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(4,617)</w:t>
            </w:r>
          </w:p>
        </w:tc>
        <w:tc>
          <w:tcPr>
            <w:tcW w:w="1065" w:type="dxa"/>
            <w:tcBorders>
              <w:top w:val="nil"/>
              <w:bottom w:val="single" w:sz="6" w:space="0" w:color="auto"/>
              <w:right w:val="single" w:sz="12" w:space="0" w:color="auto"/>
            </w:tcBorders>
            <w:noWrap/>
            <w:vAlign w:val="bottom"/>
            <w:hideMark/>
          </w:tcPr>
          <w:p w:rsidR="004A0A25" w:rsidRPr="00114C31" w:rsidP="003768F2" w14:paraId="556EA79C"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-17%</w:t>
            </w:r>
          </w:p>
        </w:tc>
      </w:tr>
      <w:tr w14:paraId="3A7E2988"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E27D3E" w:rsidRPr="00114C31" w:rsidP="003768F2" w14:paraId="55A055F0" w14:textId="77777777">
            <w:pPr>
              <w:ind w:left="720"/>
              <w:rPr>
                <w:rFonts w:ascii="Times New Roman" w:hAnsi="Times New Roman" w:cs="Times New Roman"/>
                <w:b w:val="0"/>
                <w:bCs w:val="0"/>
                <w:sz w:val="17"/>
                <w:szCs w:val="17"/>
              </w:rPr>
            </w:pPr>
            <w:r w:rsidRPr="00114C31">
              <w:rPr>
                <w:rFonts w:ascii="Times New Roman" w:hAnsi="Times New Roman" w:cs="Times New Roman"/>
                <w:sz w:val="17"/>
                <w:szCs w:val="17"/>
              </w:rPr>
              <w:t>Total with the Public</w:t>
            </w:r>
          </w:p>
        </w:tc>
        <w:tc>
          <w:tcPr>
            <w:tcW w:w="1316" w:type="dxa"/>
            <w:tcBorders>
              <w:top w:val="single" w:sz="6" w:space="0" w:color="auto"/>
              <w:bottom w:val="nil"/>
            </w:tcBorders>
            <w:noWrap/>
            <w:vAlign w:val="bottom"/>
            <w:hideMark/>
          </w:tcPr>
          <w:p w:rsidR="00E27D3E" w:rsidRPr="00114C31" w:rsidP="003768F2" w14:paraId="030DC3DD" w14:textId="1C9FA14F">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w:t>
            </w:r>
            <w:r w:rsidR="000162F8">
              <w:rPr>
                <w:rFonts w:ascii="Times New Roman" w:hAnsi="Times New Roman" w:cs="Times New Roman"/>
                <w:sz w:val="17"/>
                <w:szCs w:val="17"/>
              </w:rPr>
              <w:t xml:space="preserve">  </w:t>
            </w:r>
            <w:r w:rsidRPr="00114C31">
              <w:rPr>
                <w:rFonts w:ascii="Times New Roman" w:hAnsi="Times New Roman" w:cs="Times New Roman"/>
                <w:sz w:val="17"/>
                <w:szCs w:val="17"/>
              </w:rPr>
              <w:t xml:space="preserve"> 2,174,730</w:t>
            </w:r>
          </w:p>
        </w:tc>
        <w:tc>
          <w:tcPr>
            <w:tcW w:w="1170" w:type="dxa"/>
            <w:tcBorders>
              <w:top w:val="single" w:sz="6" w:space="0" w:color="auto"/>
              <w:bottom w:val="nil"/>
            </w:tcBorders>
            <w:noWrap/>
            <w:vAlign w:val="bottom"/>
            <w:hideMark/>
          </w:tcPr>
          <w:p w:rsidR="00E27D3E" w:rsidRPr="00114C31" w:rsidP="003768F2" w14:paraId="421FA96F" w14:textId="2E8FBEC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 xml:space="preserve">$ </w:t>
            </w:r>
            <w:r w:rsidR="00406706">
              <w:rPr>
                <w:rFonts w:ascii="Times New Roman" w:hAnsi="Times New Roman" w:cs="Times New Roman"/>
                <w:sz w:val="17"/>
                <w:szCs w:val="17"/>
              </w:rPr>
              <w:t xml:space="preserve">  </w:t>
            </w:r>
            <w:r w:rsidRPr="00114C31">
              <w:rPr>
                <w:rFonts w:ascii="Times New Roman" w:hAnsi="Times New Roman" w:cs="Times New Roman"/>
                <w:sz w:val="17"/>
                <w:szCs w:val="17"/>
              </w:rPr>
              <w:t>4,471,862</w:t>
            </w:r>
          </w:p>
        </w:tc>
        <w:tc>
          <w:tcPr>
            <w:tcW w:w="1170" w:type="dxa"/>
            <w:tcBorders>
              <w:top w:val="single" w:sz="6" w:space="0" w:color="auto"/>
              <w:bottom w:val="nil"/>
            </w:tcBorders>
            <w:noWrap/>
            <w:vAlign w:val="bottom"/>
            <w:hideMark/>
          </w:tcPr>
          <w:p w:rsidR="00E27D3E" w:rsidRPr="00114C31" w:rsidP="003768F2" w14:paraId="53B3F159"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 (2,297,132)</w:t>
            </w:r>
          </w:p>
        </w:tc>
        <w:tc>
          <w:tcPr>
            <w:tcW w:w="1065" w:type="dxa"/>
            <w:tcBorders>
              <w:top w:val="single" w:sz="6" w:space="0" w:color="auto"/>
              <w:bottom w:val="nil"/>
              <w:right w:val="single" w:sz="12" w:space="0" w:color="auto"/>
            </w:tcBorders>
            <w:noWrap/>
            <w:vAlign w:val="bottom"/>
            <w:hideMark/>
          </w:tcPr>
          <w:p w:rsidR="00E27D3E" w:rsidRPr="00114C31" w:rsidP="003768F2" w14:paraId="393ED500"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-51%</w:t>
            </w:r>
          </w:p>
        </w:tc>
      </w:tr>
      <w:tr w14:paraId="47EF1390" w14:textId="77777777" w:rsidTr="00865354">
        <w:tblPrEx>
          <w:tblW w:w="5000" w:type="pct"/>
          <w:tblLook w:val="04A0"/>
        </w:tblPrEx>
        <w:trPr>
          <w:trHeight w:val="259"/>
        </w:trPr>
        <w:tc>
          <w:tcPr>
            <w:tcW w:w="4609" w:type="dxa"/>
            <w:tcBorders>
              <w:top w:val="nil"/>
              <w:left w:val="single" w:sz="12" w:space="0" w:color="auto"/>
              <w:bottom w:val="double" w:sz="6" w:space="0" w:color="auto"/>
            </w:tcBorders>
            <w:noWrap/>
            <w:vAlign w:val="bottom"/>
            <w:hideMark/>
          </w:tcPr>
          <w:p w:rsidR="004A0A25" w:rsidRPr="00114C31" w:rsidP="003768F2" w14:paraId="150C19A8" w14:textId="77777777">
            <w:pPr>
              <w:rPr>
                <w:rFonts w:ascii="Times New Roman" w:hAnsi="Times New Roman" w:cs="Times New Roman"/>
                <w:b w:val="0"/>
                <w:bCs w:val="0"/>
                <w:sz w:val="17"/>
                <w:szCs w:val="17"/>
              </w:rPr>
            </w:pPr>
            <w:r w:rsidRPr="00114C31">
              <w:rPr>
                <w:rFonts w:ascii="Times New Roman" w:hAnsi="Times New Roman" w:cs="Times New Roman"/>
                <w:sz w:val="17"/>
                <w:szCs w:val="17"/>
              </w:rPr>
              <w:t>Total Liabilities</w:t>
            </w:r>
          </w:p>
        </w:tc>
        <w:tc>
          <w:tcPr>
            <w:tcW w:w="1316" w:type="dxa"/>
            <w:tcBorders>
              <w:top w:val="nil"/>
              <w:bottom w:val="double" w:sz="6" w:space="0" w:color="auto"/>
            </w:tcBorders>
            <w:noWrap/>
            <w:vAlign w:val="bottom"/>
            <w:hideMark/>
          </w:tcPr>
          <w:p w:rsidR="004A0A25" w:rsidRPr="00114C31" w:rsidP="003768F2" w14:paraId="0C40EDF1" w14:textId="77777777">
            <w:pPr>
              <w:ind w:left="-67"/>
              <w:contextualSpacing/>
              <w:jc w:val="right"/>
              <w:rPr>
                <w:rFonts w:ascii="Times New Roman" w:hAnsi="Times New Roman" w:cs="Times New Roman"/>
                <w:b/>
                <w:bCs/>
                <w:sz w:val="17"/>
                <w:szCs w:val="17"/>
              </w:rPr>
            </w:pPr>
            <w:r w:rsidRPr="00114C31">
              <w:rPr>
                <w:rFonts w:ascii="Times New Roman" w:hAnsi="Times New Roman" w:cs="Times New Roman"/>
                <w:b/>
                <w:bCs/>
                <w:sz w:val="17"/>
                <w:szCs w:val="17"/>
              </w:rPr>
              <w:t>$ 86,414,840</w:t>
            </w:r>
          </w:p>
        </w:tc>
        <w:tc>
          <w:tcPr>
            <w:tcW w:w="1170" w:type="dxa"/>
            <w:tcBorders>
              <w:top w:val="nil"/>
              <w:bottom w:val="double" w:sz="6" w:space="0" w:color="auto"/>
            </w:tcBorders>
            <w:noWrap/>
            <w:vAlign w:val="bottom"/>
            <w:hideMark/>
          </w:tcPr>
          <w:p w:rsidR="004A0A25" w:rsidRPr="00114C31" w:rsidP="003768F2" w14:paraId="31F4FAF6" w14:textId="77777777">
            <w:pPr>
              <w:ind w:left="-72"/>
              <w:contextualSpacing/>
              <w:jc w:val="right"/>
              <w:rPr>
                <w:rFonts w:ascii="Times New Roman" w:hAnsi="Times New Roman" w:cs="Times New Roman"/>
                <w:b/>
                <w:bCs/>
                <w:sz w:val="17"/>
                <w:szCs w:val="17"/>
              </w:rPr>
            </w:pPr>
            <w:r w:rsidRPr="00114C31">
              <w:rPr>
                <w:rFonts w:ascii="Times New Roman" w:hAnsi="Times New Roman" w:cs="Times New Roman"/>
                <w:b/>
                <w:bCs/>
                <w:sz w:val="17"/>
                <w:szCs w:val="17"/>
              </w:rPr>
              <w:t>$ 12,224,680</w:t>
            </w:r>
          </w:p>
        </w:tc>
        <w:tc>
          <w:tcPr>
            <w:tcW w:w="1170" w:type="dxa"/>
            <w:tcBorders>
              <w:top w:val="nil"/>
              <w:bottom w:val="double" w:sz="6" w:space="0" w:color="auto"/>
            </w:tcBorders>
            <w:noWrap/>
            <w:vAlign w:val="bottom"/>
            <w:hideMark/>
          </w:tcPr>
          <w:p w:rsidR="004A0A25" w:rsidRPr="00114C31" w:rsidP="003768F2" w14:paraId="1E4C82FD" w14:textId="7D42431E">
            <w:pPr>
              <w:contextualSpacing/>
              <w:jc w:val="right"/>
              <w:rPr>
                <w:rFonts w:ascii="Times New Roman" w:hAnsi="Times New Roman" w:cs="Times New Roman"/>
                <w:sz w:val="17"/>
                <w:szCs w:val="17"/>
              </w:rPr>
            </w:pPr>
            <w:r w:rsidRPr="00114C31">
              <w:rPr>
                <w:rFonts w:ascii="Times New Roman" w:hAnsi="Times New Roman" w:cs="Times New Roman"/>
                <w:sz w:val="17"/>
                <w:szCs w:val="17"/>
              </w:rPr>
              <w:t xml:space="preserve">$ </w:t>
            </w:r>
            <w:r w:rsidR="000162F8">
              <w:rPr>
                <w:rFonts w:ascii="Times New Roman" w:hAnsi="Times New Roman" w:cs="Times New Roman"/>
                <w:sz w:val="17"/>
                <w:szCs w:val="17"/>
              </w:rPr>
              <w:t xml:space="preserve"> </w:t>
            </w:r>
            <w:r w:rsidRPr="00114C31">
              <w:rPr>
                <w:rFonts w:ascii="Times New Roman" w:hAnsi="Times New Roman" w:cs="Times New Roman"/>
                <w:sz w:val="17"/>
                <w:szCs w:val="17"/>
              </w:rPr>
              <w:t>74,190,160</w:t>
            </w:r>
          </w:p>
        </w:tc>
        <w:tc>
          <w:tcPr>
            <w:tcW w:w="1065" w:type="dxa"/>
            <w:tcBorders>
              <w:top w:val="nil"/>
              <w:bottom w:val="double" w:sz="6" w:space="0" w:color="auto"/>
              <w:right w:val="single" w:sz="12" w:space="0" w:color="auto"/>
            </w:tcBorders>
            <w:noWrap/>
            <w:vAlign w:val="bottom"/>
            <w:hideMark/>
          </w:tcPr>
          <w:p w:rsidR="004A0A25" w:rsidRPr="00114C31" w:rsidP="003768F2" w14:paraId="7849F2A8"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607%</w:t>
            </w:r>
          </w:p>
        </w:tc>
      </w:tr>
      <w:tr w14:paraId="590CCB6C" w14:textId="77777777" w:rsidTr="00865354">
        <w:tblPrEx>
          <w:tblW w:w="5000" w:type="pct"/>
          <w:tblLook w:val="04A0"/>
        </w:tblPrEx>
        <w:trPr>
          <w:trHeight w:val="259"/>
        </w:trPr>
        <w:tc>
          <w:tcPr>
            <w:tcW w:w="4609" w:type="dxa"/>
            <w:tcBorders>
              <w:top w:val="double" w:sz="6" w:space="0" w:color="auto"/>
              <w:left w:val="single" w:sz="12" w:space="0" w:color="auto"/>
              <w:bottom w:val="nil"/>
            </w:tcBorders>
            <w:noWrap/>
            <w:vAlign w:val="bottom"/>
            <w:hideMark/>
          </w:tcPr>
          <w:p w:rsidR="004A0A25" w:rsidRPr="00114C31" w:rsidP="004A1A70" w14:paraId="39CE50F5" w14:textId="7885269D">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Unexpended Appropriations-Funds from Dedicated Collections</w:t>
            </w:r>
          </w:p>
        </w:tc>
        <w:tc>
          <w:tcPr>
            <w:tcW w:w="1316" w:type="dxa"/>
            <w:tcBorders>
              <w:top w:val="double" w:sz="6" w:space="0" w:color="auto"/>
              <w:bottom w:val="nil"/>
            </w:tcBorders>
            <w:noWrap/>
            <w:vAlign w:val="bottom"/>
            <w:hideMark/>
          </w:tcPr>
          <w:p w:rsidR="004A0A25" w:rsidRPr="00114C31" w:rsidP="003768F2" w14:paraId="3B049215" w14:textId="1DB4710E">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w:t>
            </w:r>
            <w:r w:rsidR="00406706">
              <w:rPr>
                <w:rFonts w:ascii="Times New Roman" w:hAnsi="Times New Roman" w:cs="Times New Roman"/>
                <w:sz w:val="17"/>
                <w:szCs w:val="17"/>
              </w:rPr>
              <w:t xml:space="preserve">     </w:t>
            </w:r>
            <w:r w:rsidRPr="00114C31">
              <w:rPr>
                <w:rFonts w:ascii="Times New Roman" w:hAnsi="Times New Roman" w:cs="Times New Roman"/>
                <w:sz w:val="17"/>
                <w:szCs w:val="17"/>
              </w:rPr>
              <w:t xml:space="preserve"> 819,020</w:t>
            </w:r>
          </w:p>
        </w:tc>
        <w:tc>
          <w:tcPr>
            <w:tcW w:w="1170" w:type="dxa"/>
            <w:tcBorders>
              <w:top w:val="double" w:sz="6" w:space="0" w:color="auto"/>
              <w:bottom w:val="nil"/>
            </w:tcBorders>
            <w:noWrap/>
            <w:vAlign w:val="bottom"/>
            <w:hideMark/>
          </w:tcPr>
          <w:p w:rsidR="004A0A25" w:rsidRPr="00114C31" w:rsidP="003768F2" w14:paraId="3965099E" w14:textId="2FE6E2F2">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 xml:space="preserve">$ </w:t>
            </w:r>
            <w:r w:rsidR="00406706">
              <w:rPr>
                <w:rFonts w:ascii="Times New Roman" w:hAnsi="Times New Roman" w:cs="Times New Roman"/>
                <w:sz w:val="17"/>
                <w:szCs w:val="17"/>
              </w:rPr>
              <w:t xml:space="preserve">     </w:t>
            </w:r>
            <w:r w:rsidRPr="00114C31">
              <w:rPr>
                <w:rFonts w:ascii="Times New Roman" w:hAnsi="Times New Roman" w:cs="Times New Roman"/>
                <w:sz w:val="17"/>
                <w:szCs w:val="17"/>
              </w:rPr>
              <w:t>857,848</w:t>
            </w:r>
          </w:p>
        </w:tc>
        <w:tc>
          <w:tcPr>
            <w:tcW w:w="1170" w:type="dxa"/>
            <w:tcBorders>
              <w:top w:val="double" w:sz="6" w:space="0" w:color="auto"/>
              <w:bottom w:val="nil"/>
            </w:tcBorders>
            <w:noWrap/>
            <w:vAlign w:val="bottom"/>
            <w:hideMark/>
          </w:tcPr>
          <w:p w:rsidR="004A0A25" w:rsidRPr="00114C31" w:rsidP="003768F2" w14:paraId="742ED201" w14:textId="5B1F5673">
            <w:pPr>
              <w:contextualSpacing/>
              <w:jc w:val="right"/>
              <w:rPr>
                <w:rFonts w:ascii="Times New Roman" w:hAnsi="Times New Roman" w:cs="Times New Roman"/>
                <w:sz w:val="17"/>
                <w:szCs w:val="17"/>
              </w:rPr>
            </w:pPr>
            <w:r w:rsidRPr="00114C31">
              <w:rPr>
                <w:rFonts w:ascii="Times New Roman" w:hAnsi="Times New Roman" w:cs="Times New Roman"/>
                <w:sz w:val="17"/>
                <w:szCs w:val="17"/>
              </w:rPr>
              <w:t>$</w:t>
            </w:r>
            <w:r w:rsidR="000162F8">
              <w:rPr>
                <w:rFonts w:ascii="Times New Roman" w:hAnsi="Times New Roman" w:cs="Times New Roman"/>
                <w:sz w:val="17"/>
                <w:szCs w:val="17"/>
              </w:rPr>
              <w:t xml:space="preserve">     </w:t>
            </w:r>
            <w:r w:rsidRPr="00114C31">
              <w:rPr>
                <w:rFonts w:ascii="Times New Roman" w:hAnsi="Times New Roman" w:cs="Times New Roman"/>
                <w:sz w:val="17"/>
                <w:szCs w:val="17"/>
              </w:rPr>
              <w:t xml:space="preserve"> (38,828)</w:t>
            </w:r>
          </w:p>
        </w:tc>
        <w:tc>
          <w:tcPr>
            <w:tcW w:w="1065" w:type="dxa"/>
            <w:tcBorders>
              <w:top w:val="double" w:sz="6" w:space="0" w:color="auto"/>
              <w:bottom w:val="nil"/>
              <w:right w:val="single" w:sz="12" w:space="0" w:color="auto"/>
            </w:tcBorders>
            <w:noWrap/>
            <w:vAlign w:val="bottom"/>
            <w:hideMark/>
          </w:tcPr>
          <w:p w:rsidR="004A0A25" w:rsidRPr="00114C31" w:rsidP="003768F2" w14:paraId="433B67E0"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-5%</w:t>
            </w:r>
          </w:p>
        </w:tc>
      </w:tr>
      <w:tr w14:paraId="2F078D60" w14:textId="77777777" w:rsidTr="00865354">
        <w:tblPrEx>
          <w:tblW w:w="5000" w:type="pct"/>
          <w:tblLook w:val="04A0"/>
        </w:tblPrEx>
        <w:trPr>
          <w:trHeight w:val="447"/>
        </w:trPr>
        <w:tc>
          <w:tcPr>
            <w:tcW w:w="4609" w:type="dxa"/>
            <w:tcBorders>
              <w:top w:val="nil"/>
              <w:left w:val="single" w:sz="12" w:space="0" w:color="auto"/>
              <w:bottom w:val="nil"/>
            </w:tcBorders>
            <w:vAlign w:val="bottom"/>
            <w:hideMark/>
          </w:tcPr>
          <w:p w:rsidR="004A0A25" w:rsidRPr="00114C31" w:rsidP="004A1A70" w14:paraId="5AE4E046" w14:textId="2A0C61C6">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Unexpended Appropriations-Funds from other than Dedicated</w:t>
            </w:r>
            <w:r w:rsidRPr="00114C31">
              <w:rPr>
                <w:rFonts w:ascii="Times New Roman" w:hAnsi="Times New Roman" w:cs="Times New Roman"/>
                <w:b w:val="0"/>
                <w:bCs w:val="0"/>
                <w:sz w:val="17"/>
                <w:szCs w:val="17"/>
              </w:rPr>
              <w:br/>
              <w:t>Collections</w:t>
            </w:r>
          </w:p>
        </w:tc>
        <w:tc>
          <w:tcPr>
            <w:tcW w:w="1316" w:type="dxa"/>
            <w:tcBorders>
              <w:top w:val="nil"/>
              <w:bottom w:val="nil"/>
            </w:tcBorders>
            <w:noWrap/>
            <w:vAlign w:val="bottom"/>
            <w:hideMark/>
          </w:tcPr>
          <w:p w:rsidR="004A0A25" w:rsidRPr="00114C31" w:rsidP="003768F2" w14:paraId="197CC8CE"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11,728,689</w:t>
            </w:r>
          </w:p>
        </w:tc>
        <w:tc>
          <w:tcPr>
            <w:tcW w:w="1170" w:type="dxa"/>
            <w:tcBorders>
              <w:top w:val="nil"/>
              <w:bottom w:val="nil"/>
            </w:tcBorders>
            <w:noWrap/>
            <w:vAlign w:val="bottom"/>
            <w:hideMark/>
          </w:tcPr>
          <w:p w:rsidR="004A0A25" w:rsidRPr="00114C31" w:rsidP="003768F2" w14:paraId="63304579"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150,738</w:t>
            </w:r>
          </w:p>
        </w:tc>
        <w:tc>
          <w:tcPr>
            <w:tcW w:w="1170" w:type="dxa"/>
            <w:tcBorders>
              <w:top w:val="nil"/>
              <w:bottom w:val="nil"/>
            </w:tcBorders>
            <w:noWrap/>
            <w:vAlign w:val="bottom"/>
            <w:hideMark/>
          </w:tcPr>
          <w:p w:rsidR="004A0A25" w:rsidRPr="00114C31" w:rsidP="003768F2" w14:paraId="4DE62D77"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11,577,951</w:t>
            </w:r>
          </w:p>
        </w:tc>
        <w:tc>
          <w:tcPr>
            <w:tcW w:w="1065" w:type="dxa"/>
            <w:tcBorders>
              <w:top w:val="nil"/>
              <w:bottom w:val="nil"/>
              <w:right w:val="single" w:sz="12" w:space="0" w:color="auto"/>
            </w:tcBorders>
            <w:noWrap/>
            <w:vAlign w:val="bottom"/>
            <w:hideMark/>
          </w:tcPr>
          <w:p w:rsidR="004A0A25" w:rsidRPr="00114C31" w:rsidP="003768F2" w14:paraId="126B0766"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7681%</w:t>
            </w:r>
          </w:p>
        </w:tc>
      </w:tr>
      <w:tr w14:paraId="2BA85093" w14:textId="77777777" w:rsidTr="00865354">
        <w:tblPrEx>
          <w:tblW w:w="5000" w:type="pct"/>
          <w:tblLook w:val="04A0"/>
        </w:tblPrEx>
        <w:trPr>
          <w:trHeight w:val="456"/>
        </w:trPr>
        <w:tc>
          <w:tcPr>
            <w:tcW w:w="4609" w:type="dxa"/>
            <w:tcBorders>
              <w:top w:val="nil"/>
              <w:left w:val="single" w:sz="12" w:space="0" w:color="auto"/>
              <w:bottom w:val="nil"/>
            </w:tcBorders>
            <w:noWrap/>
            <w:vAlign w:val="bottom"/>
            <w:hideMark/>
          </w:tcPr>
          <w:p w:rsidR="004A0A25" w:rsidRPr="00114C31" w:rsidP="004A1A70" w14:paraId="4FC773FD" w14:textId="380FA3D3">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Cumulative Results of Operations-Funds from Dedicated Collections</w:t>
            </w:r>
          </w:p>
        </w:tc>
        <w:tc>
          <w:tcPr>
            <w:tcW w:w="1316" w:type="dxa"/>
            <w:tcBorders>
              <w:top w:val="nil"/>
              <w:bottom w:val="nil"/>
            </w:tcBorders>
            <w:noWrap/>
            <w:vAlign w:val="bottom"/>
            <w:hideMark/>
          </w:tcPr>
          <w:p w:rsidR="004A0A25" w:rsidRPr="00114C31" w:rsidP="003768F2" w14:paraId="31B9A221"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6,948,472</w:t>
            </w:r>
          </w:p>
        </w:tc>
        <w:tc>
          <w:tcPr>
            <w:tcW w:w="1170" w:type="dxa"/>
            <w:tcBorders>
              <w:top w:val="nil"/>
              <w:bottom w:val="nil"/>
            </w:tcBorders>
            <w:noWrap/>
            <w:vAlign w:val="bottom"/>
            <w:hideMark/>
          </w:tcPr>
          <w:p w:rsidR="004A0A25" w:rsidRPr="00114C31" w:rsidP="003768F2" w14:paraId="398D9113"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6,251,781</w:t>
            </w:r>
          </w:p>
        </w:tc>
        <w:tc>
          <w:tcPr>
            <w:tcW w:w="1170" w:type="dxa"/>
            <w:tcBorders>
              <w:top w:val="nil"/>
              <w:bottom w:val="nil"/>
            </w:tcBorders>
            <w:noWrap/>
            <w:vAlign w:val="bottom"/>
            <w:hideMark/>
          </w:tcPr>
          <w:p w:rsidR="004A0A25" w:rsidRPr="00114C31" w:rsidP="003768F2" w14:paraId="07034B84"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696,691</w:t>
            </w:r>
          </w:p>
        </w:tc>
        <w:tc>
          <w:tcPr>
            <w:tcW w:w="1065" w:type="dxa"/>
            <w:tcBorders>
              <w:top w:val="nil"/>
              <w:bottom w:val="nil"/>
              <w:right w:val="single" w:sz="12" w:space="0" w:color="auto"/>
            </w:tcBorders>
            <w:noWrap/>
            <w:vAlign w:val="bottom"/>
            <w:hideMark/>
          </w:tcPr>
          <w:p w:rsidR="004A0A25" w:rsidRPr="00114C31" w:rsidP="003768F2" w14:paraId="2474B09E"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11%</w:t>
            </w:r>
          </w:p>
        </w:tc>
      </w:tr>
      <w:tr w14:paraId="4C523DC8" w14:textId="77777777" w:rsidTr="00865354">
        <w:tblPrEx>
          <w:tblW w:w="5000" w:type="pct"/>
          <w:tblLook w:val="04A0"/>
        </w:tblPrEx>
        <w:trPr>
          <w:trHeight w:val="447"/>
        </w:trPr>
        <w:tc>
          <w:tcPr>
            <w:tcW w:w="4609" w:type="dxa"/>
            <w:tcBorders>
              <w:top w:val="nil"/>
              <w:left w:val="single" w:sz="12" w:space="0" w:color="auto"/>
              <w:bottom w:val="nil"/>
            </w:tcBorders>
            <w:vAlign w:val="bottom"/>
            <w:hideMark/>
          </w:tcPr>
          <w:p w:rsidR="004A0A25" w:rsidRPr="00114C31" w:rsidP="004A1A70" w14:paraId="7327F390" w14:textId="34B31948">
            <w:pPr>
              <w:ind w:left="72"/>
              <w:rPr>
                <w:rFonts w:ascii="Times New Roman" w:hAnsi="Times New Roman" w:cs="Times New Roman"/>
                <w:b w:val="0"/>
                <w:bCs w:val="0"/>
                <w:sz w:val="17"/>
                <w:szCs w:val="17"/>
              </w:rPr>
            </w:pPr>
            <w:r w:rsidRPr="00114C31">
              <w:rPr>
                <w:rFonts w:ascii="Times New Roman" w:hAnsi="Times New Roman" w:cs="Times New Roman"/>
                <w:b w:val="0"/>
                <w:bCs w:val="0"/>
                <w:sz w:val="17"/>
                <w:szCs w:val="17"/>
              </w:rPr>
              <w:t>Cumulative Results of Operations-Funds from other than Dedicated</w:t>
            </w:r>
            <w:r w:rsidR="00DE6751">
              <w:rPr>
                <w:rFonts w:ascii="Times New Roman" w:hAnsi="Times New Roman" w:cs="Times New Roman"/>
                <w:b w:val="0"/>
                <w:bCs w:val="0"/>
                <w:sz w:val="17"/>
                <w:szCs w:val="17"/>
              </w:rPr>
              <w:t xml:space="preserve"> </w:t>
            </w:r>
            <w:r w:rsidRPr="00114C31">
              <w:rPr>
                <w:rFonts w:ascii="Times New Roman" w:hAnsi="Times New Roman" w:cs="Times New Roman"/>
                <w:b w:val="0"/>
                <w:bCs w:val="0"/>
                <w:sz w:val="17"/>
                <w:szCs w:val="17"/>
              </w:rPr>
              <w:t>Collections</w:t>
            </w:r>
          </w:p>
        </w:tc>
        <w:tc>
          <w:tcPr>
            <w:tcW w:w="1316" w:type="dxa"/>
            <w:tcBorders>
              <w:top w:val="nil"/>
              <w:bottom w:val="single" w:sz="6" w:space="0" w:color="auto"/>
            </w:tcBorders>
            <w:noWrap/>
            <w:vAlign w:val="bottom"/>
            <w:hideMark/>
          </w:tcPr>
          <w:p w:rsidR="004A0A25" w:rsidRPr="00114C31" w:rsidP="003768F2" w14:paraId="5EB7C52F"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229,066</w:t>
            </w:r>
          </w:p>
        </w:tc>
        <w:tc>
          <w:tcPr>
            <w:tcW w:w="1170" w:type="dxa"/>
            <w:tcBorders>
              <w:top w:val="nil"/>
              <w:bottom w:val="single" w:sz="6" w:space="0" w:color="auto"/>
            </w:tcBorders>
            <w:noWrap/>
            <w:vAlign w:val="bottom"/>
            <w:hideMark/>
          </w:tcPr>
          <w:p w:rsidR="004A0A25" w:rsidRPr="00114C31" w:rsidP="003768F2" w14:paraId="4B148F3D"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191,954</w:t>
            </w:r>
          </w:p>
        </w:tc>
        <w:tc>
          <w:tcPr>
            <w:tcW w:w="1170" w:type="dxa"/>
            <w:tcBorders>
              <w:top w:val="nil"/>
              <w:bottom w:val="single" w:sz="6" w:space="0" w:color="auto"/>
            </w:tcBorders>
            <w:noWrap/>
            <w:vAlign w:val="bottom"/>
            <w:hideMark/>
          </w:tcPr>
          <w:p w:rsidR="004A0A25" w:rsidRPr="00114C31" w:rsidP="003768F2" w14:paraId="6EC7F7F7"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37,112</w:t>
            </w:r>
          </w:p>
        </w:tc>
        <w:tc>
          <w:tcPr>
            <w:tcW w:w="1065" w:type="dxa"/>
            <w:tcBorders>
              <w:top w:val="nil"/>
              <w:bottom w:val="single" w:sz="6" w:space="0" w:color="auto"/>
              <w:right w:val="single" w:sz="12" w:space="0" w:color="auto"/>
            </w:tcBorders>
            <w:noWrap/>
            <w:vAlign w:val="bottom"/>
            <w:hideMark/>
          </w:tcPr>
          <w:p w:rsidR="004A0A25" w:rsidRPr="00114C31" w:rsidP="003768F2" w14:paraId="0880B2A6"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19%</w:t>
            </w:r>
          </w:p>
        </w:tc>
      </w:tr>
      <w:tr w14:paraId="6AF590C6" w14:textId="77777777" w:rsidTr="00865354">
        <w:tblPrEx>
          <w:tblW w:w="5000" w:type="pct"/>
          <w:tblLook w:val="04A0"/>
        </w:tblPrEx>
        <w:trPr>
          <w:trHeight w:val="259"/>
        </w:trPr>
        <w:tc>
          <w:tcPr>
            <w:tcW w:w="4609" w:type="dxa"/>
            <w:tcBorders>
              <w:top w:val="nil"/>
              <w:left w:val="single" w:sz="12" w:space="0" w:color="auto"/>
              <w:bottom w:val="nil"/>
            </w:tcBorders>
            <w:noWrap/>
            <w:vAlign w:val="bottom"/>
            <w:hideMark/>
          </w:tcPr>
          <w:p w:rsidR="004A0A25" w:rsidRPr="00114C31" w:rsidP="003768F2" w14:paraId="0A18F355" w14:textId="77777777">
            <w:pPr>
              <w:rPr>
                <w:rFonts w:ascii="Times New Roman" w:hAnsi="Times New Roman" w:cs="Times New Roman"/>
                <w:b w:val="0"/>
                <w:bCs w:val="0"/>
                <w:sz w:val="17"/>
                <w:szCs w:val="17"/>
              </w:rPr>
            </w:pPr>
            <w:r w:rsidRPr="00114C31">
              <w:rPr>
                <w:rFonts w:ascii="Times New Roman" w:hAnsi="Times New Roman" w:cs="Times New Roman"/>
                <w:b w:val="0"/>
                <w:bCs w:val="0"/>
                <w:sz w:val="17"/>
                <w:szCs w:val="17"/>
              </w:rPr>
              <w:t>Total Unexpended Appropriations</w:t>
            </w:r>
          </w:p>
        </w:tc>
        <w:tc>
          <w:tcPr>
            <w:tcW w:w="1316" w:type="dxa"/>
            <w:tcBorders>
              <w:top w:val="single" w:sz="6" w:space="0" w:color="auto"/>
              <w:bottom w:val="nil"/>
            </w:tcBorders>
            <w:noWrap/>
            <w:vAlign w:val="bottom"/>
            <w:hideMark/>
          </w:tcPr>
          <w:p w:rsidR="004A0A25" w:rsidRPr="00114C31" w:rsidP="003768F2" w14:paraId="7A3BB6E7"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12,547,709</w:t>
            </w:r>
          </w:p>
        </w:tc>
        <w:tc>
          <w:tcPr>
            <w:tcW w:w="1170" w:type="dxa"/>
            <w:tcBorders>
              <w:top w:val="single" w:sz="6" w:space="0" w:color="auto"/>
              <w:bottom w:val="nil"/>
            </w:tcBorders>
            <w:noWrap/>
            <w:vAlign w:val="bottom"/>
            <w:hideMark/>
          </w:tcPr>
          <w:p w:rsidR="004A0A25" w:rsidRPr="00114C31" w:rsidP="003768F2" w14:paraId="5FE4B081"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1,008,586</w:t>
            </w:r>
          </w:p>
        </w:tc>
        <w:tc>
          <w:tcPr>
            <w:tcW w:w="1170" w:type="dxa"/>
            <w:tcBorders>
              <w:top w:val="single" w:sz="6" w:space="0" w:color="auto"/>
              <w:bottom w:val="nil"/>
            </w:tcBorders>
            <w:noWrap/>
            <w:vAlign w:val="bottom"/>
            <w:hideMark/>
          </w:tcPr>
          <w:p w:rsidR="004A0A25" w:rsidRPr="00114C31" w:rsidP="003768F2" w14:paraId="635436FA"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11,539,123</w:t>
            </w:r>
          </w:p>
        </w:tc>
        <w:tc>
          <w:tcPr>
            <w:tcW w:w="1065" w:type="dxa"/>
            <w:tcBorders>
              <w:top w:val="single" w:sz="6" w:space="0" w:color="auto"/>
              <w:bottom w:val="nil"/>
              <w:right w:val="single" w:sz="12" w:space="0" w:color="auto"/>
            </w:tcBorders>
            <w:noWrap/>
            <w:vAlign w:val="bottom"/>
            <w:hideMark/>
          </w:tcPr>
          <w:p w:rsidR="004A0A25" w:rsidRPr="00114C31" w:rsidP="003768F2" w14:paraId="30CE072A"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1144%</w:t>
            </w:r>
          </w:p>
        </w:tc>
      </w:tr>
      <w:tr w14:paraId="2E00CA20" w14:textId="77777777" w:rsidTr="00865354">
        <w:tblPrEx>
          <w:tblW w:w="5000" w:type="pct"/>
          <w:tblLook w:val="04A0"/>
        </w:tblPrEx>
        <w:trPr>
          <w:trHeight w:val="259"/>
        </w:trPr>
        <w:tc>
          <w:tcPr>
            <w:tcW w:w="4609" w:type="dxa"/>
            <w:tcBorders>
              <w:top w:val="nil"/>
              <w:left w:val="single" w:sz="12" w:space="0" w:color="auto"/>
              <w:bottom w:val="nil"/>
            </w:tcBorders>
            <w:vAlign w:val="bottom"/>
            <w:hideMark/>
          </w:tcPr>
          <w:p w:rsidR="004A0A25" w:rsidRPr="00114C31" w:rsidP="003768F2" w14:paraId="69BFF6CF" w14:textId="77777777">
            <w:pPr>
              <w:rPr>
                <w:rFonts w:ascii="Times New Roman" w:hAnsi="Times New Roman" w:cs="Times New Roman"/>
                <w:b w:val="0"/>
                <w:bCs w:val="0"/>
                <w:sz w:val="17"/>
                <w:szCs w:val="17"/>
              </w:rPr>
            </w:pPr>
            <w:r w:rsidRPr="00114C31">
              <w:rPr>
                <w:rFonts w:ascii="Times New Roman" w:hAnsi="Times New Roman" w:cs="Times New Roman"/>
                <w:b w:val="0"/>
                <w:bCs w:val="0"/>
                <w:sz w:val="17"/>
                <w:szCs w:val="17"/>
              </w:rPr>
              <w:t>Total Cumulative Results of Operations</w:t>
            </w:r>
          </w:p>
        </w:tc>
        <w:tc>
          <w:tcPr>
            <w:tcW w:w="1316" w:type="dxa"/>
            <w:tcBorders>
              <w:top w:val="nil"/>
              <w:bottom w:val="single" w:sz="6" w:space="0" w:color="auto"/>
            </w:tcBorders>
            <w:noWrap/>
            <w:vAlign w:val="bottom"/>
            <w:hideMark/>
          </w:tcPr>
          <w:p w:rsidR="004A0A25" w:rsidRPr="00114C31" w:rsidP="003768F2" w14:paraId="046C5F36"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7,177,538</w:t>
            </w:r>
          </w:p>
        </w:tc>
        <w:tc>
          <w:tcPr>
            <w:tcW w:w="1170" w:type="dxa"/>
            <w:tcBorders>
              <w:top w:val="nil"/>
              <w:bottom w:val="single" w:sz="6" w:space="0" w:color="auto"/>
            </w:tcBorders>
            <w:noWrap/>
            <w:vAlign w:val="bottom"/>
            <w:hideMark/>
          </w:tcPr>
          <w:p w:rsidR="004A0A25" w:rsidRPr="00114C31" w:rsidP="003768F2" w14:paraId="4C8D3F55" w14:textId="77777777">
            <w:pPr>
              <w:ind w:left="-67"/>
              <w:contextualSpacing/>
              <w:jc w:val="right"/>
              <w:rPr>
                <w:rFonts w:ascii="Times New Roman" w:hAnsi="Times New Roman" w:cs="Times New Roman"/>
                <w:sz w:val="17"/>
                <w:szCs w:val="17"/>
              </w:rPr>
            </w:pPr>
            <w:r w:rsidRPr="00114C31">
              <w:rPr>
                <w:rFonts w:ascii="Times New Roman" w:hAnsi="Times New Roman" w:cs="Times New Roman"/>
                <w:sz w:val="17"/>
                <w:szCs w:val="17"/>
              </w:rPr>
              <w:t>6,443,735</w:t>
            </w:r>
          </w:p>
        </w:tc>
        <w:tc>
          <w:tcPr>
            <w:tcW w:w="1170" w:type="dxa"/>
            <w:tcBorders>
              <w:top w:val="nil"/>
              <w:bottom w:val="single" w:sz="6" w:space="0" w:color="auto"/>
            </w:tcBorders>
            <w:noWrap/>
            <w:vAlign w:val="bottom"/>
            <w:hideMark/>
          </w:tcPr>
          <w:p w:rsidR="004A0A25" w:rsidRPr="00114C31" w:rsidP="003768F2" w14:paraId="61C379DE"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733,803</w:t>
            </w:r>
          </w:p>
        </w:tc>
        <w:tc>
          <w:tcPr>
            <w:tcW w:w="1065" w:type="dxa"/>
            <w:tcBorders>
              <w:top w:val="nil"/>
              <w:bottom w:val="single" w:sz="6" w:space="0" w:color="auto"/>
              <w:right w:val="single" w:sz="12" w:space="0" w:color="auto"/>
            </w:tcBorders>
            <w:noWrap/>
            <w:vAlign w:val="bottom"/>
            <w:hideMark/>
          </w:tcPr>
          <w:p w:rsidR="004A0A25" w:rsidRPr="00114C31" w:rsidP="003768F2" w14:paraId="23271942"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11%</w:t>
            </w:r>
          </w:p>
        </w:tc>
      </w:tr>
      <w:tr w14:paraId="13F4F6B5" w14:textId="77777777" w:rsidTr="00865354">
        <w:tblPrEx>
          <w:tblW w:w="5000" w:type="pct"/>
          <w:tblLook w:val="04A0"/>
        </w:tblPrEx>
        <w:tc>
          <w:tcPr>
            <w:tcW w:w="4609" w:type="dxa"/>
            <w:tcBorders>
              <w:top w:val="nil"/>
              <w:left w:val="single" w:sz="12" w:space="0" w:color="auto"/>
              <w:bottom w:val="double" w:sz="6" w:space="0" w:color="auto"/>
            </w:tcBorders>
            <w:noWrap/>
            <w:vAlign w:val="bottom"/>
            <w:hideMark/>
          </w:tcPr>
          <w:p w:rsidR="004A0A25" w:rsidRPr="00114C31" w:rsidP="003768F2" w14:paraId="6F56FC99" w14:textId="77777777">
            <w:pPr>
              <w:rPr>
                <w:rFonts w:ascii="Times New Roman" w:hAnsi="Times New Roman" w:cs="Times New Roman"/>
                <w:b w:val="0"/>
                <w:bCs w:val="0"/>
                <w:sz w:val="17"/>
                <w:szCs w:val="17"/>
              </w:rPr>
            </w:pPr>
            <w:r w:rsidRPr="00114C31">
              <w:rPr>
                <w:rFonts w:ascii="Times New Roman" w:hAnsi="Times New Roman" w:cs="Times New Roman"/>
                <w:sz w:val="17"/>
                <w:szCs w:val="17"/>
              </w:rPr>
              <w:t>Total Net Position </w:t>
            </w:r>
          </w:p>
        </w:tc>
        <w:tc>
          <w:tcPr>
            <w:tcW w:w="1316" w:type="dxa"/>
            <w:tcBorders>
              <w:top w:val="single" w:sz="6" w:space="0" w:color="auto"/>
              <w:bottom w:val="double" w:sz="6" w:space="0" w:color="auto"/>
            </w:tcBorders>
            <w:noWrap/>
            <w:vAlign w:val="bottom"/>
            <w:hideMark/>
          </w:tcPr>
          <w:p w:rsidR="004A0A25" w:rsidRPr="00114C31" w:rsidP="003768F2" w14:paraId="772564A7" w14:textId="0BFF2041">
            <w:pPr>
              <w:ind w:left="-67"/>
              <w:contextualSpacing/>
              <w:jc w:val="right"/>
              <w:rPr>
                <w:rFonts w:ascii="Times New Roman" w:hAnsi="Times New Roman" w:cs="Times New Roman"/>
                <w:b/>
                <w:bCs/>
                <w:sz w:val="17"/>
                <w:szCs w:val="17"/>
              </w:rPr>
            </w:pPr>
            <w:r w:rsidRPr="00114C31">
              <w:rPr>
                <w:rFonts w:ascii="Times New Roman" w:hAnsi="Times New Roman" w:cs="Times New Roman"/>
                <w:b/>
                <w:bCs/>
                <w:sz w:val="17"/>
                <w:szCs w:val="17"/>
              </w:rPr>
              <w:t>$</w:t>
            </w:r>
            <w:r w:rsidR="000162F8">
              <w:rPr>
                <w:rFonts w:ascii="Times New Roman" w:hAnsi="Times New Roman" w:cs="Times New Roman"/>
                <w:b/>
                <w:bCs/>
                <w:sz w:val="17"/>
                <w:szCs w:val="17"/>
              </w:rPr>
              <w:t xml:space="preserve">  </w:t>
            </w:r>
            <w:r w:rsidRPr="00114C31">
              <w:rPr>
                <w:rFonts w:ascii="Times New Roman" w:hAnsi="Times New Roman" w:cs="Times New Roman"/>
                <w:b/>
                <w:bCs/>
                <w:sz w:val="17"/>
                <w:szCs w:val="17"/>
              </w:rPr>
              <w:t xml:space="preserve"> 19,725,247</w:t>
            </w:r>
          </w:p>
        </w:tc>
        <w:tc>
          <w:tcPr>
            <w:tcW w:w="1170" w:type="dxa"/>
            <w:tcBorders>
              <w:top w:val="single" w:sz="6" w:space="0" w:color="auto"/>
              <w:bottom w:val="double" w:sz="6" w:space="0" w:color="auto"/>
            </w:tcBorders>
            <w:noWrap/>
            <w:vAlign w:val="bottom"/>
            <w:hideMark/>
          </w:tcPr>
          <w:p w:rsidR="004A0A25" w:rsidRPr="00114C31" w:rsidP="003768F2" w14:paraId="70934A3C" w14:textId="288D4E1D">
            <w:pPr>
              <w:ind w:left="-67"/>
              <w:contextualSpacing/>
              <w:jc w:val="right"/>
              <w:rPr>
                <w:rFonts w:ascii="Times New Roman" w:hAnsi="Times New Roman" w:cs="Times New Roman"/>
                <w:b/>
                <w:bCs/>
                <w:sz w:val="17"/>
                <w:szCs w:val="17"/>
              </w:rPr>
            </w:pPr>
            <w:r w:rsidRPr="00114C31">
              <w:rPr>
                <w:rFonts w:ascii="Times New Roman" w:hAnsi="Times New Roman" w:cs="Times New Roman"/>
                <w:b/>
                <w:bCs/>
                <w:sz w:val="17"/>
                <w:szCs w:val="17"/>
              </w:rPr>
              <w:t>$</w:t>
            </w:r>
            <w:r w:rsidR="000162F8">
              <w:rPr>
                <w:rFonts w:ascii="Times New Roman" w:hAnsi="Times New Roman" w:cs="Times New Roman"/>
                <w:b/>
                <w:bCs/>
                <w:sz w:val="17"/>
                <w:szCs w:val="17"/>
              </w:rPr>
              <w:t xml:space="preserve">  </w:t>
            </w:r>
            <w:r w:rsidRPr="00114C31">
              <w:rPr>
                <w:rFonts w:ascii="Times New Roman" w:hAnsi="Times New Roman" w:cs="Times New Roman"/>
                <w:b/>
                <w:bCs/>
                <w:sz w:val="17"/>
                <w:szCs w:val="17"/>
              </w:rPr>
              <w:t xml:space="preserve"> 7,452,321</w:t>
            </w:r>
          </w:p>
        </w:tc>
        <w:tc>
          <w:tcPr>
            <w:tcW w:w="1170" w:type="dxa"/>
            <w:tcBorders>
              <w:top w:val="single" w:sz="6" w:space="0" w:color="auto"/>
              <w:bottom w:val="double" w:sz="6" w:space="0" w:color="auto"/>
            </w:tcBorders>
            <w:noWrap/>
            <w:vAlign w:val="bottom"/>
            <w:hideMark/>
          </w:tcPr>
          <w:p w:rsidR="004A0A25" w:rsidRPr="00114C31" w:rsidP="003768F2" w14:paraId="5D93CB78"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$ 12,272,926</w:t>
            </w:r>
          </w:p>
        </w:tc>
        <w:tc>
          <w:tcPr>
            <w:tcW w:w="1065" w:type="dxa"/>
            <w:tcBorders>
              <w:top w:val="single" w:sz="6" w:space="0" w:color="auto"/>
              <w:bottom w:val="double" w:sz="6" w:space="0" w:color="auto"/>
              <w:right w:val="single" w:sz="12" w:space="0" w:color="auto"/>
            </w:tcBorders>
            <w:noWrap/>
            <w:vAlign w:val="bottom"/>
            <w:hideMark/>
          </w:tcPr>
          <w:p w:rsidR="004A0A25" w:rsidRPr="00114C31" w:rsidP="003768F2" w14:paraId="09F19530"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165%</w:t>
            </w:r>
          </w:p>
        </w:tc>
      </w:tr>
      <w:tr w14:paraId="12F2C6A3" w14:textId="77777777" w:rsidTr="00865354">
        <w:tblPrEx>
          <w:tblW w:w="5000" w:type="pct"/>
          <w:tblLook w:val="04A0"/>
        </w:tblPrEx>
        <w:tc>
          <w:tcPr>
            <w:tcW w:w="4609" w:type="dxa"/>
            <w:tcBorders>
              <w:top w:val="double" w:sz="6" w:space="0" w:color="auto"/>
              <w:left w:val="single" w:sz="12" w:space="0" w:color="auto"/>
              <w:bottom w:val="double" w:sz="6" w:space="0" w:color="auto"/>
            </w:tcBorders>
            <w:noWrap/>
            <w:vAlign w:val="bottom"/>
            <w:hideMark/>
          </w:tcPr>
          <w:p w:rsidR="004A0A25" w:rsidRPr="00114C31" w:rsidP="003768F2" w14:paraId="37A92DEF" w14:textId="77777777">
            <w:pPr>
              <w:rPr>
                <w:rFonts w:ascii="Times New Roman" w:hAnsi="Times New Roman" w:cs="Times New Roman"/>
                <w:b w:val="0"/>
                <w:bCs w:val="0"/>
                <w:sz w:val="17"/>
                <w:szCs w:val="17"/>
              </w:rPr>
            </w:pPr>
            <w:r w:rsidRPr="00114C31">
              <w:rPr>
                <w:rFonts w:ascii="Times New Roman" w:hAnsi="Times New Roman" w:cs="Times New Roman"/>
                <w:sz w:val="17"/>
                <w:szCs w:val="17"/>
              </w:rPr>
              <w:t>Total Liabilities and Net Position</w:t>
            </w:r>
          </w:p>
        </w:tc>
        <w:tc>
          <w:tcPr>
            <w:tcW w:w="1316" w:type="dxa"/>
            <w:tcBorders>
              <w:top w:val="double" w:sz="6" w:space="0" w:color="auto"/>
              <w:bottom w:val="double" w:sz="6" w:space="0" w:color="auto"/>
            </w:tcBorders>
            <w:noWrap/>
            <w:vAlign w:val="bottom"/>
            <w:hideMark/>
          </w:tcPr>
          <w:p w:rsidR="004A0A25" w:rsidRPr="00114C31" w:rsidP="003768F2" w14:paraId="7053FBCB" w14:textId="77777777">
            <w:pPr>
              <w:ind w:left="-67"/>
              <w:contextualSpacing/>
              <w:jc w:val="right"/>
              <w:rPr>
                <w:rFonts w:ascii="Times New Roman" w:hAnsi="Times New Roman" w:cs="Times New Roman"/>
                <w:b/>
                <w:bCs/>
                <w:sz w:val="17"/>
                <w:szCs w:val="17"/>
              </w:rPr>
            </w:pPr>
            <w:r w:rsidRPr="00114C31">
              <w:rPr>
                <w:rFonts w:ascii="Times New Roman" w:hAnsi="Times New Roman" w:cs="Times New Roman"/>
                <w:b/>
                <w:bCs/>
                <w:sz w:val="17"/>
                <w:szCs w:val="17"/>
              </w:rPr>
              <w:t>$ 106,140,087</w:t>
            </w:r>
          </w:p>
        </w:tc>
        <w:tc>
          <w:tcPr>
            <w:tcW w:w="1170" w:type="dxa"/>
            <w:tcBorders>
              <w:top w:val="double" w:sz="6" w:space="0" w:color="auto"/>
              <w:bottom w:val="double" w:sz="6" w:space="0" w:color="auto"/>
            </w:tcBorders>
            <w:noWrap/>
            <w:vAlign w:val="bottom"/>
            <w:hideMark/>
          </w:tcPr>
          <w:p w:rsidR="004A0A25" w:rsidRPr="00114C31" w:rsidP="003768F2" w14:paraId="60EF9002" w14:textId="77777777">
            <w:pPr>
              <w:ind w:left="-72"/>
              <w:contextualSpacing/>
              <w:jc w:val="right"/>
              <w:rPr>
                <w:rFonts w:ascii="Times New Roman" w:hAnsi="Times New Roman" w:cs="Times New Roman"/>
                <w:b/>
                <w:bCs/>
                <w:sz w:val="17"/>
                <w:szCs w:val="17"/>
              </w:rPr>
            </w:pPr>
            <w:r w:rsidRPr="00114C31">
              <w:rPr>
                <w:rFonts w:ascii="Times New Roman" w:hAnsi="Times New Roman" w:cs="Times New Roman"/>
                <w:b/>
                <w:bCs/>
                <w:sz w:val="17"/>
                <w:szCs w:val="17"/>
              </w:rPr>
              <w:t>$ 19,677,001</w:t>
            </w:r>
          </w:p>
        </w:tc>
        <w:tc>
          <w:tcPr>
            <w:tcW w:w="1170" w:type="dxa"/>
            <w:tcBorders>
              <w:top w:val="double" w:sz="6" w:space="0" w:color="auto"/>
              <w:bottom w:val="double" w:sz="6" w:space="0" w:color="auto"/>
            </w:tcBorders>
            <w:noWrap/>
            <w:vAlign w:val="bottom"/>
            <w:hideMark/>
          </w:tcPr>
          <w:p w:rsidR="004A0A25" w:rsidRPr="00114C31" w:rsidP="003768F2" w14:paraId="617480E7"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$ 86,463,086</w:t>
            </w:r>
          </w:p>
        </w:tc>
        <w:tc>
          <w:tcPr>
            <w:tcW w:w="1065" w:type="dxa"/>
            <w:tcBorders>
              <w:top w:val="double" w:sz="6" w:space="0" w:color="auto"/>
              <w:bottom w:val="double" w:sz="6" w:space="0" w:color="auto"/>
              <w:right w:val="single" w:sz="12" w:space="0" w:color="auto"/>
            </w:tcBorders>
            <w:noWrap/>
            <w:vAlign w:val="bottom"/>
            <w:hideMark/>
          </w:tcPr>
          <w:p w:rsidR="004A0A25" w:rsidRPr="00114C31" w:rsidP="003768F2" w14:paraId="4D821880"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439%</w:t>
            </w:r>
          </w:p>
        </w:tc>
      </w:tr>
      <w:tr w14:paraId="65D08DB7" w14:textId="77777777" w:rsidTr="00865354">
        <w:tblPrEx>
          <w:tblW w:w="5000" w:type="pct"/>
          <w:tblLook w:val="04A0"/>
        </w:tblPrEx>
        <w:tc>
          <w:tcPr>
            <w:tcW w:w="4609" w:type="dxa"/>
            <w:tcBorders>
              <w:top w:val="double" w:sz="6" w:space="0" w:color="auto"/>
              <w:left w:val="single" w:sz="12" w:space="0" w:color="auto"/>
              <w:bottom w:val="double" w:sz="6" w:space="0" w:color="auto"/>
            </w:tcBorders>
            <w:noWrap/>
            <w:vAlign w:val="bottom"/>
            <w:hideMark/>
          </w:tcPr>
          <w:p w:rsidR="004A0A25" w:rsidRPr="00114C31" w:rsidP="003768F2" w14:paraId="06BB106B" w14:textId="77777777">
            <w:pPr>
              <w:rPr>
                <w:rFonts w:ascii="Times New Roman" w:hAnsi="Times New Roman" w:cs="Times New Roman"/>
                <w:b w:val="0"/>
                <w:bCs w:val="0"/>
                <w:sz w:val="17"/>
                <w:szCs w:val="17"/>
              </w:rPr>
            </w:pPr>
            <w:r w:rsidRPr="00114C31">
              <w:rPr>
                <w:rFonts w:ascii="Times New Roman" w:hAnsi="Times New Roman" w:cs="Times New Roman"/>
                <w:sz w:val="17"/>
                <w:szCs w:val="17"/>
              </w:rPr>
              <w:t>Net Cost of Operations</w:t>
            </w:r>
          </w:p>
        </w:tc>
        <w:tc>
          <w:tcPr>
            <w:tcW w:w="1316" w:type="dxa"/>
            <w:tcBorders>
              <w:top w:val="double" w:sz="6" w:space="0" w:color="auto"/>
              <w:bottom w:val="double" w:sz="6" w:space="0" w:color="auto"/>
            </w:tcBorders>
            <w:noWrap/>
            <w:vAlign w:val="bottom"/>
            <w:hideMark/>
          </w:tcPr>
          <w:p w:rsidR="004A0A25" w:rsidRPr="00114C31" w:rsidP="003768F2" w14:paraId="51718AFF" w14:textId="6B806173">
            <w:pPr>
              <w:ind w:left="-67"/>
              <w:contextualSpacing/>
              <w:jc w:val="right"/>
              <w:rPr>
                <w:rFonts w:ascii="Times New Roman" w:hAnsi="Times New Roman" w:cs="Times New Roman"/>
                <w:b/>
                <w:bCs/>
                <w:sz w:val="17"/>
                <w:szCs w:val="17"/>
              </w:rPr>
            </w:pPr>
            <w:r w:rsidRPr="00114C31">
              <w:rPr>
                <w:rFonts w:ascii="Times New Roman" w:hAnsi="Times New Roman" w:cs="Times New Roman"/>
                <w:b/>
                <w:bCs/>
                <w:sz w:val="17"/>
                <w:szCs w:val="17"/>
              </w:rPr>
              <w:t>$</w:t>
            </w:r>
            <w:r w:rsidR="000162F8">
              <w:rPr>
                <w:rFonts w:ascii="Times New Roman" w:hAnsi="Times New Roman" w:cs="Times New Roman"/>
                <w:b/>
                <w:bCs/>
                <w:sz w:val="17"/>
                <w:szCs w:val="17"/>
              </w:rPr>
              <w:t xml:space="preserve">  </w:t>
            </w:r>
            <w:r w:rsidRPr="00114C31">
              <w:rPr>
                <w:rFonts w:ascii="Times New Roman" w:hAnsi="Times New Roman" w:cs="Times New Roman"/>
                <w:b/>
                <w:bCs/>
                <w:sz w:val="17"/>
                <w:szCs w:val="17"/>
              </w:rPr>
              <w:t xml:space="preserve"> 11,142,853</w:t>
            </w:r>
          </w:p>
        </w:tc>
        <w:tc>
          <w:tcPr>
            <w:tcW w:w="1170" w:type="dxa"/>
            <w:tcBorders>
              <w:top w:val="double" w:sz="6" w:space="0" w:color="auto"/>
              <w:bottom w:val="double" w:sz="6" w:space="0" w:color="auto"/>
            </w:tcBorders>
            <w:noWrap/>
            <w:vAlign w:val="bottom"/>
            <w:hideMark/>
          </w:tcPr>
          <w:p w:rsidR="004A0A25" w:rsidRPr="00114C31" w:rsidP="003768F2" w14:paraId="0BEE4656" w14:textId="77777777">
            <w:pPr>
              <w:ind w:left="-72"/>
              <w:contextualSpacing/>
              <w:jc w:val="right"/>
              <w:rPr>
                <w:rFonts w:ascii="Times New Roman" w:hAnsi="Times New Roman" w:cs="Times New Roman"/>
                <w:b/>
                <w:bCs/>
                <w:sz w:val="17"/>
                <w:szCs w:val="17"/>
              </w:rPr>
            </w:pPr>
            <w:r w:rsidRPr="00114C31">
              <w:rPr>
                <w:rFonts w:ascii="Times New Roman" w:hAnsi="Times New Roman" w:cs="Times New Roman"/>
                <w:b/>
                <w:bCs/>
                <w:sz w:val="17"/>
                <w:szCs w:val="17"/>
              </w:rPr>
              <w:t>$ 10,367,032</w:t>
            </w:r>
          </w:p>
        </w:tc>
        <w:tc>
          <w:tcPr>
            <w:tcW w:w="1170" w:type="dxa"/>
            <w:tcBorders>
              <w:top w:val="double" w:sz="6" w:space="0" w:color="auto"/>
              <w:bottom w:val="double" w:sz="6" w:space="0" w:color="auto"/>
            </w:tcBorders>
            <w:noWrap/>
            <w:vAlign w:val="bottom"/>
            <w:hideMark/>
          </w:tcPr>
          <w:p w:rsidR="004A0A25" w:rsidRPr="00114C31" w:rsidP="003768F2" w14:paraId="4F0D01B8" w14:textId="7A815530">
            <w:pPr>
              <w:contextualSpacing/>
              <w:jc w:val="right"/>
              <w:rPr>
                <w:rFonts w:ascii="Times New Roman" w:hAnsi="Times New Roman" w:cs="Times New Roman"/>
                <w:sz w:val="17"/>
                <w:szCs w:val="17"/>
              </w:rPr>
            </w:pPr>
            <w:r w:rsidRPr="00114C31">
              <w:rPr>
                <w:rFonts w:ascii="Times New Roman" w:hAnsi="Times New Roman" w:cs="Times New Roman"/>
                <w:sz w:val="17"/>
                <w:szCs w:val="17"/>
              </w:rPr>
              <w:t>$</w:t>
            </w:r>
            <w:r w:rsidR="000162F8">
              <w:rPr>
                <w:rFonts w:ascii="Times New Roman" w:hAnsi="Times New Roman" w:cs="Times New Roman"/>
                <w:sz w:val="17"/>
                <w:szCs w:val="17"/>
              </w:rPr>
              <w:t xml:space="preserve">     </w:t>
            </w:r>
            <w:r w:rsidRPr="00114C31">
              <w:rPr>
                <w:rFonts w:ascii="Times New Roman" w:hAnsi="Times New Roman" w:cs="Times New Roman"/>
                <w:sz w:val="17"/>
                <w:szCs w:val="17"/>
              </w:rPr>
              <w:t xml:space="preserve"> 775,821</w:t>
            </w:r>
          </w:p>
        </w:tc>
        <w:tc>
          <w:tcPr>
            <w:tcW w:w="1065" w:type="dxa"/>
            <w:tcBorders>
              <w:top w:val="double" w:sz="6" w:space="0" w:color="auto"/>
              <w:bottom w:val="double" w:sz="6" w:space="0" w:color="auto"/>
              <w:right w:val="single" w:sz="12" w:space="0" w:color="auto"/>
            </w:tcBorders>
            <w:noWrap/>
            <w:vAlign w:val="bottom"/>
            <w:hideMark/>
          </w:tcPr>
          <w:p w:rsidR="004A0A25" w:rsidRPr="00114C31" w:rsidP="003768F2" w14:paraId="4107DDB0"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7%</w:t>
            </w:r>
          </w:p>
        </w:tc>
      </w:tr>
      <w:tr w14:paraId="3EAA143B" w14:textId="77777777" w:rsidTr="00865354">
        <w:tblPrEx>
          <w:tblW w:w="5000" w:type="pct"/>
          <w:tblLook w:val="04A0"/>
        </w:tblPrEx>
        <w:tc>
          <w:tcPr>
            <w:tcW w:w="4609" w:type="dxa"/>
            <w:tcBorders>
              <w:top w:val="double" w:sz="6" w:space="0" w:color="auto"/>
              <w:left w:val="single" w:sz="12" w:space="0" w:color="auto"/>
              <w:bottom w:val="single" w:sz="12" w:space="0" w:color="auto"/>
            </w:tcBorders>
            <w:noWrap/>
            <w:vAlign w:val="bottom"/>
            <w:hideMark/>
          </w:tcPr>
          <w:p w:rsidR="004A0A25" w:rsidRPr="00114C31" w:rsidP="003768F2" w14:paraId="0CD98B16" w14:textId="77777777">
            <w:pPr>
              <w:rPr>
                <w:rFonts w:ascii="Times New Roman" w:hAnsi="Times New Roman" w:cs="Times New Roman"/>
                <w:b w:val="0"/>
                <w:bCs w:val="0"/>
                <w:sz w:val="17"/>
                <w:szCs w:val="17"/>
              </w:rPr>
            </w:pPr>
            <w:r w:rsidRPr="00114C31">
              <w:rPr>
                <w:rFonts w:ascii="Times New Roman" w:hAnsi="Times New Roman" w:cs="Times New Roman"/>
                <w:sz w:val="17"/>
                <w:szCs w:val="17"/>
              </w:rPr>
              <w:t>Total Budgetary Resources</w:t>
            </w:r>
          </w:p>
        </w:tc>
        <w:tc>
          <w:tcPr>
            <w:tcW w:w="1316" w:type="dxa"/>
            <w:tcBorders>
              <w:top w:val="double" w:sz="6" w:space="0" w:color="auto"/>
              <w:bottom w:val="single" w:sz="12" w:space="0" w:color="auto"/>
            </w:tcBorders>
            <w:noWrap/>
            <w:vAlign w:val="bottom"/>
            <w:hideMark/>
          </w:tcPr>
          <w:p w:rsidR="004A0A25" w:rsidRPr="00114C31" w:rsidP="003768F2" w14:paraId="10B98A29" w14:textId="7E39BF72">
            <w:pPr>
              <w:contextualSpacing/>
              <w:jc w:val="right"/>
              <w:rPr>
                <w:rFonts w:ascii="Times New Roman" w:hAnsi="Times New Roman" w:cs="Times New Roman"/>
                <w:b/>
                <w:bCs/>
                <w:sz w:val="17"/>
                <w:szCs w:val="17"/>
              </w:rPr>
            </w:pPr>
            <w:r w:rsidRPr="00114C31">
              <w:rPr>
                <w:rFonts w:ascii="Times New Roman" w:hAnsi="Times New Roman" w:cs="Times New Roman"/>
                <w:b/>
                <w:bCs/>
                <w:sz w:val="17"/>
                <w:szCs w:val="17"/>
              </w:rPr>
              <w:t>$</w:t>
            </w:r>
            <w:r w:rsidR="000162F8">
              <w:rPr>
                <w:rFonts w:ascii="Times New Roman" w:hAnsi="Times New Roman" w:cs="Times New Roman"/>
                <w:b/>
                <w:bCs/>
                <w:sz w:val="17"/>
                <w:szCs w:val="17"/>
              </w:rPr>
              <w:t xml:space="preserve">  </w:t>
            </w:r>
            <w:r w:rsidRPr="00114C31">
              <w:rPr>
                <w:rFonts w:ascii="Times New Roman" w:hAnsi="Times New Roman" w:cs="Times New Roman"/>
                <w:b/>
                <w:bCs/>
                <w:sz w:val="17"/>
                <w:szCs w:val="17"/>
              </w:rPr>
              <w:t xml:space="preserve"> 15,824,908</w:t>
            </w:r>
          </w:p>
        </w:tc>
        <w:tc>
          <w:tcPr>
            <w:tcW w:w="1170" w:type="dxa"/>
            <w:tcBorders>
              <w:top w:val="double" w:sz="6" w:space="0" w:color="auto"/>
              <w:bottom w:val="single" w:sz="12" w:space="0" w:color="auto"/>
            </w:tcBorders>
            <w:noWrap/>
            <w:vAlign w:val="bottom"/>
            <w:hideMark/>
          </w:tcPr>
          <w:p w:rsidR="004A0A25" w:rsidRPr="00114C31" w:rsidP="003768F2" w14:paraId="38F5FF17" w14:textId="0A8ADA27">
            <w:pPr>
              <w:contextualSpacing/>
              <w:jc w:val="right"/>
              <w:rPr>
                <w:rFonts w:ascii="Times New Roman" w:hAnsi="Times New Roman" w:cs="Times New Roman"/>
                <w:b/>
                <w:bCs/>
                <w:sz w:val="17"/>
                <w:szCs w:val="17"/>
              </w:rPr>
            </w:pPr>
            <w:r w:rsidRPr="00114C31">
              <w:rPr>
                <w:rFonts w:ascii="Times New Roman" w:hAnsi="Times New Roman" w:cs="Times New Roman"/>
                <w:b/>
                <w:bCs/>
                <w:sz w:val="17"/>
                <w:szCs w:val="17"/>
              </w:rPr>
              <w:t>$</w:t>
            </w:r>
            <w:r w:rsidR="000162F8">
              <w:rPr>
                <w:rFonts w:ascii="Times New Roman" w:hAnsi="Times New Roman" w:cs="Times New Roman"/>
                <w:b/>
                <w:bCs/>
                <w:sz w:val="17"/>
                <w:szCs w:val="17"/>
              </w:rPr>
              <w:t xml:space="preserve">     </w:t>
            </w:r>
            <w:r w:rsidRPr="00114C31">
              <w:rPr>
                <w:rFonts w:ascii="Times New Roman" w:hAnsi="Times New Roman" w:cs="Times New Roman"/>
                <w:b/>
                <w:bCs/>
                <w:sz w:val="17"/>
                <w:szCs w:val="17"/>
              </w:rPr>
              <w:t xml:space="preserve"> 733,672</w:t>
            </w:r>
          </w:p>
        </w:tc>
        <w:tc>
          <w:tcPr>
            <w:tcW w:w="1170" w:type="dxa"/>
            <w:tcBorders>
              <w:top w:val="double" w:sz="6" w:space="0" w:color="auto"/>
              <w:bottom w:val="single" w:sz="12" w:space="0" w:color="auto"/>
            </w:tcBorders>
            <w:noWrap/>
            <w:vAlign w:val="bottom"/>
            <w:hideMark/>
          </w:tcPr>
          <w:p w:rsidR="004A0A25" w:rsidRPr="00114C31" w:rsidP="003768F2" w14:paraId="5047F809" w14:textId="77777777">
            <w:pPr>
              <w:contextualSpacing/>
              <w:jc w:val="right"/>
              <w:rPr>
                <w:rFonts w:ascii="Times New Roman" w:hAnsi="Times New Roman" w:cs="Times New Roman"/>
                <w:sz w:val="17"/>
                <w:szCs w:val="17"/>
              </w:rPr>
            </w:pPr>
            <w:r w:rsidRPr="00114C31">
              <w:rPr>
                <w:rFonts w:ascii="Times New Roman" w:hAnsi="Times New Roman" w:cs="Times New Roman"/>
                <w:sz w:val="17"/>
                <w:szCs w:val="17"/>
              </w:rPr>
              <w:t>$ 15,091,236</w:t>
            </w:r>
          </w:p>
        </w:tc>
        <w:tc>
          <w:tcPr>
            <w:tcW w:w="1065" w:type="dxa"/>
            <w:tcBorders>
              <w:top w:val="double" w:sz="6" w:space="0" w:color="auto"/>
              <w:bottom w:val="single" w:sz="12" w:space="0" w:color="auto"/>
              <w:right w:val="single" w:sz="12" w:space="0" w:color="auto"/>
            </w:tcBorders>
            <w:noWrap/>
            <w:vAlign w:val="bottom"/>
            <w:hideMark/>
          </w:tcPr>
          <w:p w:rsidR="004A0A25" w:rsidRPr="00114C31" w:rsidP="003768F2" w14:paraId="74035393" w14:textId="77777777">
            <w:pPr>
              <w:ind w:right="144"/>
              <w:contextualSpacing/>
              <w:jc w:val="right"/>
              <w:rPr>
                <w:rFonts w:ascii="Times New Roman" w:hAnsi="Times New Roman" w:cs="Times New Roman"/>
                <w:sz w:val="17"/>
                <w:szCs w:val="17"/>
              </w:rPr>
            </w:pPr>
            <w:r w:rsidRPr="00114C31">
              <w:rPr>
                <w:rFonts w:ascii="Times New Roman" w:hAnsi="Times New Roman" w:cs="Times New Roman"/>
                <w:sz w:val="17"/>
                <w:szCs w:val="17"/>
              </w:rPr>
              <w:t>2057%</w:t>
            </w:r>
          </w:p>
        </w:tc>
      </w:tr>
      <w:bookmarkEnd w:id="68"/>
    </w:tbl>
    <w:p w:rsidR="004A0A25" w:rsidP="00B914C2" w14:paraId="69D5971E" w14:textId="77777777">
      <w:pPr>
        <w:autoSpaceDE w:val="0"/>
        <w:autoSpaceDN w:val="0"/>
        <w:adjustRightInd w:val="0"/>
        <w:jc w:val="both"/>
        <w:rPr>
          <w:sz w:val="22"/>
          <w:szCs w:val="22"/>
        </w:rPr>
      </w:pPr>
    </w:p>
    <w:p w:rsidR="004A0A25" w:rsidP="00B914C2" w14:paraId="4637BA5F" w14:textId="1A4FD586">
      <w:pPr>
        <w:autoSpaceDE w:val="0"/>
        <w:autoSpaceDN w:val="0"/>
        <w:adjustRightInd w:val="0"/>
        <w:jc w:val="both"/>
        <w:rPr>
          <w:sz w:val="22"/>
          <w:szCs w:val="22"/>
        </w:rPr>
        <w:sectPr w:rsidSect="007B5235">
          <w:headerReference w:type="default" r:id="rId35"/>
          <w:footerReference w:type="default" r:id="rId36"/>
          <w:pgSz w:w="12240" w:h="15840" w:code="1"/>
          <w:pgMar w:top="1236" w:right="1440" w:bottom="1260" w:left="1440" w:header="720" w:footer="720" w:gutter="0"/>
          <w:cols w:space="720"/>
        </w:sectPr>
      </w:pPr>
    </w:p>
    <w:p w:rsidR="00E559C0" w:rsidRPr="00F6775A" w:rsidP="00913D02" w14:paraId="62F59F48" w14:textId="77777777">
      <w:pPr>
        <w:autoSpaceDE w:val="0"/>
        <w:autoSpaceDN w:val="0"/>
        <w:adjustRightInd w:val="0"/>
        <w:spacing w:before="120" w:after="240"/>
        <w:jc w:val="both"/>
        <w:rPr>
          <w:sz w:val="22"/>
          <w:szCs w:val="22"/>
        </w:rPr>
      </w:pPr>
      <w:r w:rsidRPr="00F6775A">
        <w:rPr>
          <w:sz w:val="22"/>
          <w:szCs w:val="22"/>
        </w:rPr>
        <w:t>The following is a brief description of the nature of each required financial statement and its relevance, including a description of certain significant balances on Commission operations.</w:t>
      </w:r>
    </w:p>
    <w:p w:rsidR="00B800D8" w:rsidRPr="00F6775A" w:rsidP="00B800D8" w14:paraId="45346F76" w14:textId="77777777">
      <w:pPr>
        <w:jc w:val="both"/>
        <w:rPr>
          <w:sz w:val="22"/>
          <w:szCs w:val="22"/>
        </w:rPr>
      </w:pPr>
      <w:r w:rsidRPr="007F70D4">
        <w:rPr>
          <w:i/>
          <w:sz w:val="22"/>
          <w:szCs w:val="22"/>
          <w:u w:val="single"/>
        </w:rPr>
        <w:t>Consolidated Balance Sheet</w:t>
      </w:r>
      <w:r w:rsidRPr="00B67AEF">
        <w:rPr>
          <w:bCs/>
          <w:sz w:val="22"/>
          <w:szCs w:val="22"/>
        </w:rPr>
        <w:t>:</w:t>
      </w:r>
      <w:r w:rsidR="00C933B2">
        <w:rPr>
          <w:sz w:val="22"/>
          <w:szCs w:val="22"/>
        </w:rPr>
        <w:t xml:space="preserve"> </w:t>
      </w:r>
      <w:r w:rsidRPr="00F6775A">
        <w:rPr>
          <w:sz w:val="22"/>
          <w:szCs w:val="22"/>
        </w:rPr>
        <w:t>The Consolidated Balance Sheet presents the total amounts available for use by the Commission (total assets) and the amounts owed by the Commission (total liabilities).  Fund Balance with Treasury represents 9</w:t>
      </w:r>
      <w:r>
        <w:rPr>
          <w:sz w:val="22"/>
          <w:szCs w:val="22"/>
        </w:rPr>
        <w:t>9</w:t>
      </w:r>
      <w:r w:rsidRPr="00F6775A">
        <w:rPr>
          <w:sz w:val="22"/>
          <w:szCs w:val="22"/>
        </w:rPr>
        <w:t xml:space="preserve"> percent of total assets as of September 30, 202</w:t>
      </w:r>
      <w:r>
        <w:rPr>
          <w:sz w:val="22"/>
          <w:szCs w:val="22"/>
        </w:rPr>
        <w:t>1</w:t>
      </w:r>
      <w:r w:rsidRPr="00F6775A">
        <w:rPr>
          <w:sz w:val="22"/>
          <w:szCs w:val="22"/>
        </w:rPr>
        <w:t>.</w:t>
      </w:r>
    </w:p>
    <w:p w:rsidR="00B800D8" w:rsidRPr="00F6775A" w:rsidP="00B800D8" w14:paraId="07A4D125" w14:textId="77777777">
      <w:pPr>
        <w:autoSpaceDE w:val="0"/>
        <w:autoSpaceDN w:val="0"/>
        <w:adjustRightInd w:val="0"/>
        <w:jc w:val="both"/>
        <w:rPr>
          <w:sz w:val="22"/>
          <w:szCs w:val="22"/>
        </w:rPr>
      </w:pPr>
    </w:p>
    <w:p w:rsidR="00B800D8" w:rsidRPr="00F6775A" w:rsidP="00B800D8" w14:paraId="58F832A9" w14:textId="77777777">
      <w:pPr>
        <w:jc w:val="both"/>
        <w:rPr>
          <w:color w:val="000000"/>
          <w:sz w:val="22"/>
          <w:szCs w:val="22"/>
        </w:rPr>
      </w:pPr>
      <w:r w:rsidRPr="00F6775A">
        <w:rPr>
          <w:sz w:val="22"/>
          <w:szCs w:val="22"/>
        </w:rPr>
        <w:t>The pie chart below presents the total assets of the Commission as of September 30, 202</w:t>
      </w:r>
      <w:r>
        <w:rPr>
          <w:sz w:val="22"/>
          <w:szCs w:val="22"/>
        </w:rPr>
        <w:t>1</w:t>
      </w:r>
      <w:r w:rsidRPr="00F6775A">
        <w:rPr>
          <w:sz w:val="22"/>
          <w:szCs w:val="22"/>
        </w:rPr>
        <w:t>.  The Fund Balance with Treasury of $</w:t>
      </w:r>
      <w:r>
        <w:rPr>
          <w:sz w:val="22"/>
          <w:szCs w:val="22"/>
        </w:rPr>
        <w:t>105,213</w:t>
      </w:r>
      <w:r w:rsidRPr="00F6775A">
        <w:rPr>
          <w:sz w:val="22"/>
          <w:szCs w:val="22"/>
        </w:rPr>
        <w:t xml:space="preserve"> million</w:t>
      </w:r>
      <w:r>
        <w:rPr>
          <w:sz w:val="22"/>
          <w:szCs w:val="22"/>
        </w:rPr>
        <w:t xml:space="preserve"> is related to </w:t>
      </w:r>
      <w:r w:rsidRPr="00F6775A">
        <w:rPr>
          <w:sz w:val="22"/>
          <w:szCs w:val="22"/>
        </w:rPr>
        <w:t>USF</w:t>
      </w:r>
      <w:r>
        <w:rPr>
          <w:sz w:val="22"/>
          <w:szCs w:val="22"/>
        </w:rPr>
        <w:t xml:space="preserve">; </w:t>
      </w:r>
      <w:r w:rsidRPr="00F6775A">
        <w:rPr>
          <w:sz w:val="22"/>
          <w:szCs w:val="22"/>
        </w:rPr>
        <w:t>TRS</w:t>
      </w:r>
      <w:r>
        <w:rPr>
          <w:sz w:val="22"/>
          <w:szCs w:val="22"/>
        </w:rPr>
        <w:t xml:space="preserve">; newly-established </w:t>
      </w:r>
      <w:r w:rsidRPr="007F375A">
        <w:rPr>
          <w:sz w:val="22"/>
          <w:szCs w:val="22"/>
        </w:rPr>
        <w:t>Emergency Broadband Connectivity Fund - Emergency Broadband Benefit Program</w:t>
      </w:r>
      <w:r>
        <w:rPr>
          <w:sz w:val="22"/>
          <w:szCs w:val="22"/>
        </w:rPr>
        <w:t xml:space="preserve"> (EBCF-EBBP), ECF, and S&amp;T Networks; and spectrum auctions program</w:t>
      </w:r>
      <w:r w:rsidRPr="00F6775A">
        <w:rPr>
          <w:sz w:val="22"/>
          <w:szCs w:val="22"/>
        </w:rPr>
        <w:t xml:space="preserve">.  </w:t>
      </w:r>
    </w:p>
    <w:p w:rsidR="00B800D8" w:rsidRPr="00F6775A" w:rsidP="00B800D8" w14:paraId="44BC5C67" w14:textId="77777777">
      <w:pPr>
        <w:autoSpaceDE w:val="0"/>
        <w:autoSpaceDN w:val="0"/>
        <w:adjustRightInd w:val="0"/>
        <w:jc w:val="both"/>
        <w:rPr>
          <w:sz w:val="22"/>
          <w:szCs w:val="22"/>
        </w:rPr>
      </w:pPr>
    </w:p>
    <w:p w:rsidR="00B800D8" w:rsidRPr="00F6775A" w:rsidP="00B800D8" w14:paraId="0931C18D" w14:textId="77777777">
      <w:pPr>
        <w:autoSpaceDE w:val="0"/>
        <w:autoSpaceDN w:val="0"/>
        <w:adjustRightInd w:val="0"/>
        <w:jc w:val="both"/>
        <w:rPr>
          <w:sz w:val="22"/>
          <w:szCs w:val="22"/>
        </w:rPr>
      </w:pPr>
      <w:r w:rsidRPr="00F6775A">
        <w:rPr>
          <w:sz w:val="22"/>
          <w:szCs w:val="22"/>
        </w:rPr>
        <w:t>The Accounts Receivable balance of $</w:t>
      </w:r>
      <w:r>
        <w:rPr>
          <w:sz w:val="22"/>
          <w:szCs w:val="22"/>
        </w:rPr>
        <w:t>823</w:t>
      </w:r>
      <w:r w:rsidRPr="00F6775A">
        <w:rPr>
          <w:sz w:val="22"/>
          <w:szCs w:val="22"/>
        </w:rPr>
        <w:t xml:space="preserve"> million is primarily </w:t>
      </w:r>
      <w:r>
        <w:rPr>
          <w:sz w:val="22"/>
          <w:szCs w:val="22"/>
        </w:rPr>
        <w:t xml:space="preserve">due to </w:t>
      </w:r>
      <w:r w:rsidRPr="00F6775A">
        <w:rPr>
          <w:sz w:val="22"/>
          <w:szCs w:val="22"/>
        </w:rPr>
        <w:t>USF receivables totaling $</w:t>
      </w:r>
      <w:r>
        <w:rPr>
          <w:sz w:val="22"/>
          <w:szCs w:val="22"/>
        </w:rPr>
        <w:t>750</w:t>
      </w:r>
      <w:r w:rsidRPr="00F6775A">
        <w:rPr>
          <w:sz w:val="22"/>
          <w:szCs w:val="22"/>
        </w:rPr>
        <w:t xml:space="preserve"> million.</w:t>
      </w:r>
    </w:p>
    <w:p w:rsidR="00913D02" w:rsidP="00B800D8" w14:paraId="3E016842" w14:textId="54DAE170">
      <w:pPr>
        <w:spacing w:after="240"/>
        <w:jc w:val="both"/>
        <w:rPr>
          <w:sz w:val="22"/>
          <w:szCs w:val="22"/>
        </w:rPr>
      </w:pPr>
      <w:r>
        <w:rPr>
          <w:noProof/>
        </w:rPr>
        <w:drawing>
          <wp:inline distT="0" distB="0" distL="0" distR="0">
            <wp:extent cx="5943600" cy="4408170"/>
            <wp:effectExtent l="0" t="0" r="0" b="11430"/>
            <wp:docPr id="23" name="Chart 23" descr="Pie chart depicting FY 2021 Total Assets by Category (Dollars in Thousands). The total assets is $106,140,087 out of which 99% is Fund balance with treasury with $105,212,774, less than 1% is Remaining intragovernmental assets with $2,000, less than 1% is Accounts receivable net with $823,087, less than 1% is General PP&amp;E with $84,202 and less than 1% is Advances and prepayments with $18,024.">
              <a:extLst xmlns:a="http://schemas.openxmlformats.org/drawingml/2006/main">
                <a:ext xmlns:a="http://schemas.openxmlformats.org/drawingml/2006/main" uri="{FF2B5EF4-FFF2-40B4-BE49-F238E27FC236}">
                  <a16:creationId xmlns:a16="http://schemas.microsoft.com/office/drawing/2014/main" id="{00000000-0008-0000-0200-00002F0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13D02" w:rsidP="008170F1" w14:paraId="6584D3C5" w14:textId="77777777">
      <w:pPr>
        <w:autoSpaceDE w:val="0"/>
        <w:autoSpaceDN w:val="0"/>
        <w:adjustRightInd w:val="0"/>
        <w:rPr>
          <w:noProof/>
          <w:sz w:val="22"/>
          <w:szCs w:val="22"/>
        </w:rPr>
        <w:sectPr w:rsidSect="00C3691B">
          <w:pgSz w:w="12240" w:h="15840" w:code="1"/>
          <w:pgMar w:top="1152" w:right="1440" w:bottom="1152" w:left="1440" w:header="720" w:footer="720" w:gutter="0"/>
          <w:cols w:space="720"/>
        </w:sectPr>
      </w:pPr>
    </w:p>
    <w:p w:rsidR="00C13E91" w:rsidRPr="00F6775A" w:rsidP="00C13E91" w14:paraId="683437ED" w14:textId="77777777">
      <w:pPr>
        <w:autoSpaceDE w:val="0"/>
        <w:autoSpaceDN w:val="0"/>
        <w:adjustRightInd w:val="0"/>
        <w:jc w:val="both"/>
        <w:rPr>
          <w:sz w:val="22"/>
          <w:szCs w:val="22"/>
        </w:rPr>
      </w:pPr>
      <w:r w:rsidRPr="00F6775A">
        <w:rPr>
          <w:sz w:val="22"/>
          <w:szCs w:val="22"/>
        </w:rPr>
        <w:t>The pie chart below presents the total liabilities of the Commission as of September 30, 202</w:t>
      </w:r>
      <w:r>
        <w:rPr>
          <w:sz w:val="22"/>
          <w:szCs w:val="22"/>
        </w:rPr>
        <w:t>1</w:t>
      </w:r>
      <w:r w:rsidRPr="00F6775A">
        <w:rPr>
          <w:sz w:val="22"/>
          <w:szCs w:val="22"/>
        </w:rPr>
        <w:t xml:space="preserve">.  The Commission’s most significant liabilities are </w:t>
      </w:r>
      <w:r>
        <w:rPr>
          <w:sz w:val="22"/>
          <w:szCs w:val="22"/>
        </w:rPr>
        <w:t>Total Intragovernmental</w:t>
      </w:r>
      <w:r w:rsidRPr="00F6775A">
        <w:rPr>
          <w:sz w:val="22"/>
          <w:szCs w:val="22"/>
        </w:rPr>
        <w:t xml:space="preserve"> of $</w:t>
      </w:r>
      <w:r>
        <w:rPr>
          <w:sz w:val="22"/>
          <w:szCs w:val="22"/>
        </w:rPr>
        <w:t>84,240 million</w:t>
      </w:r>
      <w:r w:rsidRPr="00276DAA">
        <w:rPr>
          <w:sz w:val="22"/>
          <w:szCs w:val="22"/>
        </w:rPr>
        <w:t xml:space="preserve"> </w:t>
      </w:r>
      <w:r>
        <w:rPr>
          <w:sz w:val="22"/>
          <w:szCs w:val="22"/>
        </w:rPr>
        <w:t>and Accounts Payable</w:t>
      </w:r>
      <w:r w:rsidRPr="00F6775A">
        <w:rPr>
          <w:sz w:val="22"/>
          <w:szCs w:val="22"/>
        </w:rPr>
        <w:t xml:space="preserve"> of $</w:t>
      </w:r>
      <w:r>
        <w:rPr>
          <w:sz w:val="22"/>
          <w:szCs w:val="22"/>
        </w:rPr>
        <w:t>829</w:t>
      </w:r>
      <w:r w:rsidRPr="00F6775A">
        <w:rPr>
          <w:sz w:val="22"/>
          <w:szCs w:val="22"/>
        </w:rPr>
        <w:t xml:space="preserve"> million</w:t>
      </w:r>
      <w:r>
        <w:rPr>
          <w:sz w:val="22"/>
          <w:szCs w:val="22"/>
        </w:rPr>
        <w:t>,</w:t>
      </w:r>
      <w:r w:rsidRPr="00F6775A">
        <w:rPr>
          <w:sz w:val="22"/>
          <w:szCs w:val="22"/>
        </w:rPr>
        <w:t xml:space="preserve"> which accounted for </w:t>
      </w:r>
      <w:r>
        <w:rPr>
          <w:sz w:val="22"/>
          <w:szCs w:val="22"/>
        </w:rPr>
        <w:t>98</w:t>
      </w:r>
      <w:r w:rsidRPr="00F6775A">
        <w:rPr>
          <w:sz w:val="22"/>
          <w:szCs w:val="22"/>
        </w:rPr>
        <w:t xml:space="preserve"> percent of total liabilities as of September 30, 202</w:t>
      </w:r>
      <w:r>
        <w:rPr>
          <w:sz w:val="22"/>
          <w:szCs w:val="22"/>
        </w:rPr>
        <w:t>1</w:t>
      </w:r>
      <w:r w:rsidRPr="00F6775A">
        <w:rPr>
          <w:sz w:val="22"/>
          <w:szCs w:val="22"/>
        </w:rPr>
        <w:t xml:space="preserve">.  </w:t>
      </w:r>
    </w:p>
    <w:p w:rsidR="00C13E91" w:rsidP="00C13E91" w14:paraId="36527988" w14:textId="77777777">
      <w:pPr>
        <w:autoSpaceDE w:val="0"/>
        <w:autoSpaceDN w:val="0"/>
        <w:adjustRightInd w:val="0"/>
        <w:jc w:val="both"/>
        <w:rPr>
          <w:sz w:val="22"/>
          <w:szCs w:val="22"/>
        </w:rPr>
      </w:pPr>
    </w:p>
    <w:p w:rsidR="00C13E91" w:rsidRPr="00F6775A" w:rsidP="00C13E91" w14:paraId="150D289B" w14:textId="77777777">
      <w:pPr>
        <w:autoSpaceDE w:val="0"/>
        <w:autoSpaceDN w:val="0"/>
        <w:adjustRightInd w:val="0"/>
        <w:jc w:val="both"/>
        <w:rPr>
          <w:sz w:val="22"/>
          <w:szCs w:val="22"/>
        </w:rPr>
      </w:pPr>
      <w:r w:rsidRPr="00F6775A">
        <w:rPr>
          <w:sz w:val="22"/>
          <w:szCs w:val="22"/>
        </w:rPr>
        <w:t xml:space="preserve">The Total Intragovernmental is primarily composed of custodial collections earned </w:t>
      </w:r>
      <w:r>
        <w:rPr>
          <w:sz w:val="22"/>
          <w:szCs w:val="22"/>
        </w:rPr>
        <w:t xml:space="preserve">from </w:t>
      </w:r>
      <w:r w:rsidRPr="00F6775A">
        <w:rPr>
          <w:sz w:val="22"/>
          <w:szCs w:val="22"/>
        </w:rPr>
        <w:t xml:space="preserve">spectrum auctions </w:t>
      </w:r>
      <w:r>
        <w:rPr>
          <w:sz w:val="22"/>
          <w:szCs w:val="22"/>
        </w:rPr>
        <w:t xml:space="preserve">program </w:t>
      </w:r>
      <w:r w:rsidRPr="00F6775A">
        <w:rPr>
          <w:sz w:val="22"/>
          <w:szCs w:val="22"/>
        </w:rPr>
        <w:t xml:space="preserve">and miscellaneous receipts.  </w:t>
      </w:r>
    </w:p>
    <w:p w:rsidR="00C13E91" w:rsidP="00C13E91" w14:paraId="34DB7FC0" w14:textId="77777777">
      <w:pPr>
        <w:autoSpaceDE w:val="0"/>
        <w:autoSpaceDN w:val="0"/>
        <w:adjustRightInd w:val="0"/>
        <w:jc w:val="both"/>
        <w:rPr>
          <w:sz w:val="22"/>
          <w:szCs w:val="22"/>
        </w:rPr>
      </w:pPr>
    </w:p>
    <w:p w:rsidR="00C13E91" w:rsidRPr="00F6775A" w:rsidP="00C13E91" w14:paraId="63C0C07D" w14:textId="77777777">
      <w:pPr>
        <w:autoSpaceDE w:val="0"/>
        <w:autoSpaceDN w:val="0"/>
        <w:adjustRightInd w:val="0"/>
        <w:jc w:val="both"/>
        <w:rPr>
          <w:sz w:val="22"/>
          <w:szCs w:val="22"/>
        </w:rPr>
      </w:pPr>
      <w:r w:rsidRPr="00F6775A">
        <w:rPr>
          <w:color w:val="000000"/>
          <w:sz w:val="22"/>
          <w:szCs w:val="22"/>
        </w:rPr>
        <w:t>The Accounts Payable balance is primarily comp</w:t>
      </w:r>
      <w:r>
        <w:rPr>
          <w:color w:val="000000"/>
          <w:sz w:val="22"/>
          <w:szCs w:val="22"/>
        </w:rPr>
        <w:t>rised</w:t>
      </w:r>
      <w:r w:rsidRPr="00F6775A">
        <w:rPr>
          <w:color w:val="000000"/>
          <w:sz w:val="22"/>
          <w:szCs w:val="22"/>
        </w:rPr>
        <w:t xml:space="preserve"> of the expense accrual for the </w:t>
      </w:r>
      <w:r w:rsidRPr="00F6775A">
        <w:rPr>
          <w:sz w:val="22"/>
          <w:szCs w:val="22"/>
        </w:rPr>
        <w:t>TV Broadcasters Relocation Fund (TVBRF),</w:t>
      </w:r>
      <w:r>
        <w:rPr>
          <w:sz w:val="22"/>
          <w:szCs w:val="22"/>
        </w:rPr>
        <w:t xml:space="preserve"> </w:t>
      </w:r>
      <w:r w:rsidRPr="007F375A">
        <w:rPr>
          <w:sz w:val="22"/>
          <w:szCs w:val="22"/>
        </w:rPr>
        <w:t>EBCF-EBBP</w:t>
      </w:r>
      <w:r>
        <w:rPr>
          <w:sz w:val="22"/>
          <w:szCs w:val="22"/>
        </w:rPr>
        <w:t>,</w:t>
      </w:r>
      <w:r w:rsidRPr="00F6775A">
        <w:rPr>
          <w:sz w:val="22"/>
          <w:szCs w:val="22"/>
        </w:rPr>
        <w:t xml:space="preserve"> Connect America Fund (CAF) </w:t>
      </w:r>
      <w:r>
        <w:rPr>
          <w:sz w:val="22"/>
          <w:szCs w:val="22"/>
        </w:rPr>
        <w:t xml:space="preserve">II, Sandwich Isles Communications, </w:t>
      </w:r>
      <w:bookmarkStart w:id="69" w:name="_Hlk85810959"/>
      <w:r w:rsidRPr="00F6775A">
        <w:rPr>
          <w:sz w:val="22"/>
          <w:szCs w:val="22"/>
        </w:rPr>
        <w:t xml:space="preserve">Alternative </w:t>
      </w:r>
      <w:r w:rsidRPr="007F375A">
        <w:rPr>
          <w:sz w:val="22"/>
          <w:szCs w:val="22"/>
        </w:rPr>
        <w:t xml:space="preserve">Connect American </w:t>
      </w:r>
      <w:r>
        <w:rPr>
          <w:sz w:val="22"/>
          <w:szCs w:val="22"/>
        </w:rPr>
        <w:t xml:space="preserve">Cost </w:t>
      </w:r>
      <w:r w:rsidRPr="007F375A">
        <w:rPr>
          <w:sz w:val="22"/>
          <w:szCs w:val="22"/>
        </w:rPr>
        <w:t>Model</w:t>
      </w:r>
      <w:r w:rsidRPr="00F6775A">
        <w:rPr>
          <w:sz w:val="22"/>
          <w:szCs w:val="22"/>
        </w:rPr>
        <w:t xml:space="preserve"> (A-CAM) </w:t>
      </w:r>
      <w:bookmarkEnd w:id="69"/>
      <w:r w:rsidRPr="00F6775A">
        <w:rPr>
          <w:sz w:val="22"/>
          <w:szCs w:val="22"/>
        </w:rPr>
        <w:t xml:space="preserve">and A-CAM II support. </w:t>
      </w:r>
    </w:p>
    <w:p w:rsidR="00C13E91" w:rsidRPr="00F6775A" w:rsidP="00C13E91" w14:paraId="74A57025" w14:textId="77777777">
      <w:pPr>
        <w:autoSpaceDE w:val="0"/>
        <w:autoSpaceDN w:val="0"/>
        <w:adjustRightInd w:val="0"/>
        <w:jc w:val="both"/>
        <w:rPr>
          <w:sz w:val="22"/>
          <w:szCs w:val="22"/>
        </w:rPr>
      </w:pPr>
    </w:p>
    <w:p w:rsidR="00C13E91" w:rsidP="00C13E91" w14:paraId="09CC3B7F" w14:textId="77777777">
      <w:pPr>
        <w:autoSpaceDE w:val="0"/>
        <w:autoSpaceDN w:val="0"/>
        <w:adjustRightInd w:val="0"/>
        <w:jc w:val="both"/>
        <w:rPr>
          <w:color w:val="000000"/>
          <w:sz w:val="22"/>
          <w:szCs w:val="22"/>
        </w:rPr>
      </w:pPr>
      <w:r w:rsidRPr="00F6775A">
        <w:rPr>
          <w:color w:val="000000"/>
          <w:sz w:val="22"/>
          <w:szCs w:val="22"/>
        </w:rPr>
        <w:t xml:space="preserve">The </w:t>
      </w:r>
      <w:r>
        <w:rPr>
          <w:color w:val="000000"/>
          <w:sz w:val="22"/>
          <w:szCs w:val="22"/>
        </w:rPr>
        <w:t>Deposit/ Unapplied Liability</w:t>
      </w:r>
      <w:r w:rsidRPr="00F6775A">
        <w:rPr>
          <w:color w:val="000000"/>
          <w:sz w:val="22"/>
          <w:szCs w:val="22"/>
        </w:rPr>
        <w:t xml:space="preserve"> balance is mainly due to </w:t>
      </w:r>
      <w:r>
        <w:rPr>
          <w:color w:val="000000"/>
          <w:sz w:val="22"/>
          <w:szCs w:val="22"/>
        </w:rPr>
        <w:t>upfront deposits for Auction 110 as</w:t>
      </w:r>
      <w:r w:rsidRPr="00F6775A">
        <w:rPr>
          <w:color w:val="000000"/>
          <w:sz w:val="22"/>
          <w:szCs w:val="22"/>
        </w:rPr>
        <w:t xml:space="preserve"> of September 30, 202</w:t>
      </w:r>
      <w:r>
        <w:rPr>
          <w:color w:val="000000"/>
          <w:sz w:val="22"/>
          <w:szCs w:val="22"/>
        </w:rPr>
        <w:t>1</w:t>
      </w:r>
      <w:r w:rsidRPr="00F6775A">
        <w:rPr>
          <w:color w:val="000000"/>
          <w:sz w:val="22"/>
          <w:szCs w:val="22"/>
        </w:rPr>
        <w:t>.</w:t>
      </w:r>
    </w:p>
    <w:p w:rsidR="00C13E91" w:rsidP="00C13E91" w14:paraId="7B133AF2" w14:textId="77777777">
      <w:pPr>
        <w:autoSpaceDE w:val="0"/>
        <w:autoSpaceDN w:val="0"/>
        <w:adjustRightInd w:val="0"/>
        <w:jc w:val="both"/>
        <w:rPr>
          <w:color w:val="000000"/>
          <w:sz w:val="22"/>
          <w:szCs w:val="22"/>
        </w:rPr>
      </w:pPr>
    </w:p>
    <w:p w:rsidR="00C13E91" w:rsidP="00C13E91" w14:paraId="2BC93E84" w14:textId="77777777">
      <w:pPr>
        <w:autoSpaceDE w:val="0"/>
        <w:autoSpaceDN w:val="0"/>
        <w:adjustRightInd w:val="0"/>
        <w:jc w:val="both"/>
        <w:rPr>
          <w:sz w:val="22"/>
          <w:szCs w:val="22"/>
        </w:rPr>
      </w:pPr>
      <w:r w:rsidRPr="00F6775A">
        <w:rPr>
          <w:sz w:val="22"/>
          <w:szCs w:val="22"/>
        </w:rPr>
        <w:t xml:space="preserve">The Accrued Liabilities for </w:t>
      </w:r>
      <w:r>
        <w:rPr>
          <w:sz w:val="22"/>
          <w:szCs w:val="22"/>
        </w:rPr>
        <w:t>USF and TRS</w:t>
      </w:r>
      <w:r w:rsidRPr="00F6775A">
        <w:rPr>
          <w:sz w:val="22"/>
          <w:szCs w:val="22"/>
        </w:rPr>
        <w:t xml:space="preserve"> represent the expected October (FY 202</w:t>
      </w:r>
      <w:r>
        <w:rPr>
          <w:sz w:val="22"/>
          <w:szCs w:val="22"/>
        </w:rPr>
        <w:t>2</w:t>
      </w:r>
      <w:r w:rsidRPr="00F6775A">
        <w:rPr>
          <w:sz w:val="22"/>
          <w:szCs w:val="22"/>
        </w:rPr>
        <w:t>) payments for the USF’s High Cost Legacy Support</w:t>
      </w:r>
      <w:r>
        <w:rPr>
          <w:sz w:val="22"/>
          <w:szCs w:val="22"/>
        </w:rPr>
        <w:t xml:space="preserve">, </w:t>
      </w:r>
      <w:r w:rsidRPr="00F6775A">
        <w:rPr>
          <w:sz w:val="22"/>
          <w:szCs w:val="22"/>
        </w:rPr>
        <w:t xml:space="preserve">Lifeline Program, and the </w:t>
      </w:r>
      <w:r>
        <w:rPr>
          <w:sz w:val="22"/>
          <w:szCs w:val="22"/>
        </w:rPr>
        <w:t xml:space="preserve">expected October and November (FY 2022) payments for the </w:t>
      </w:r>
      <w:r w:rsidRPr="00F6775A">
        <w:rPr>
          <w:sz w:val="22"/>
          <w:szCs w:val="22"/>
        </w:rPr>
        <w:t>TRS Program.</w:t>
      </w:r>
    </w:p>
    <w:p w:rsidR="00FE1500" w:rsidP="00E559C0" w14:paraId="299C5E36" w14:textId="32AA0F66">
      <w:pPr>
        <w:autoSpaceDE w:val="0"/>
        <w:autoSpaceDN w:val="0"/>
        <w:adjustRightInd w:val="0"/>
        <w:jc w:val="both"/>
        <w:rPr>
          <w:noProof/>
        </w:rPr>
        <w:sectPr w:rsidSect="00C3691B">
          <w:pgSz w:w="12240" w:h="15840" w:code="1"/>
          <w:pgMar w:top="1152" w:right="1440" w:bottom="1152" w:left="1440" w:header="720" w:footer="720" w:gutter="0"/>
          <w:cols w:space="720"/>
        </w:sectPr>
      </w:pPr>
      <w:r>
        <w:rPr>
          <w:noProof/>
        </w:rPr>
        <w:br/>
      </w:r>
      <w:r w:rsidR="00E559C0">
        <w:rPr>
          <w:noProof/>
        </w:rPr>
        <w:drawing>
          <wp:inline distT="0" distB="0" distL="0" distR="0">
            <wp:extent cx="5805377" cy="4210493"/>
            <wp:effectExtent l="0" t="0" r="5080" b="0"/>
            <wp:docPr id="18" name="Chart 18" descr="Pie chart depicting FY 2021 Total Liabilities by Category (Dollars in Thousands). The total liabilities is $86,414,840 out of which 97% is Total intragovernmental with $84,240,110, less than 1% is Prepaid contributions with $44,563, less than 1% is Accrued liabilities for USF and TRS with $490,897, less than 1% is Advances from others and deferred revenue with $153,756, 1% is Deposit/unapplied liability with $606,917, less than 1% is Other liabilities with $23,362, 1% is Account payable with $828,732 and less than 1% is Federal employee benefits with $26,503.">
              <a:extLst xmlns:a="http://schemas.openxmlformats.org/drawingml/2006/main">
                <a:ext xmlns:a="http://schemas.openxmlformats.org/drawingml/2006/main" uri="{FF2B5EF4-FFF2-40B4-BE49-F238E27FC236}">
                  <a16:creationId xmlns:a16="http://schemas.microsoft.com/office/drawing/2014/main" id="{C53712FB-8F7F-4018-8E86-E877DF040D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559C0" w:rsidRPr="00F6775A" w:rsidP="008E0FF3" w14:paraId="6BF7A38E" w14:textId="6320CB44">
      <w:pPr>
        <w:autoSpaceDE w:val="0"/>
        <w:autoSpaceDN w:val="0"/>
        <w:adjustRightInd w:val="0"/>
        <w:spacing w:before="120" w:after="240"/>
        <w:jc w:val="both"/>
        <w:rPr>
          <w:sz w:val="22"/>
          <w:szCs w:val="22"/>
        </w:rPr>
      </w:pPr>
      <w:r w:rsidRPr="007F70D4">
        <w:rPr>
          <w:i/>
          <w:sz w:val="22"/>
          <w:szCs w:val="22"/>
          <w:u w:val="single"/>
        </w:rPr>
        <w:t>Consolidated Statement of Net Cost</w:t>
      </w:r>
      <w:r w:rsidRPr="00B67AEF">
        <w:rPr>
          <w:bCs/>
          <w:sz w:val="22"/>
          <w:szCs w:val="22"/>
        </w:rPr>
        <w:t>:</w:t>
      </w:r>
      <w:r w:rsidR="00C933B2">
        <w:rPr>
          <w:sz w:val="22"/>
          <w:szCs w:val="22"/>
        </w:rPr>
        <w:t xml:space="preserve"> </w:t>
      </w:r>
      <w:r w:rsidRPr="00F6775A" w:rsidR="00C22381">
        <w:rPr>
          <w:sz w:val="22"/>
          <w:szCs w:val="22"/>
        </w:rPr>
        <w:t xml:space="preserve">This statement presents the annual cost of operating the Commission’s programs.  The Consolidated Statement of Net Cost is aligned with the four strategic goals of the Commission: </w:t>
      </w:r>
      <w:r w:rsidR="00C22381">
        <w:rPr>
          <w:sz w:val="22"/>
          <w:szCs w:val="22"/>
        </w:rPr>
        <w:t xml:space="preserve"> </w:t>
      </w:r>
      <w:r w:rsidRPr="00F6775A" w:rsidR="00C22381">
        <w:rPr>
          <w:sz w:val="22"/>
          <w:szCs w:val="22"/>
        </w:rPr>
        <w:t>Closing the Digital Divide; Promoting Innovation; Protecting Consumers and Public Safety; and Reforming the FCC’s Processes.  Gross</w:t>
      </w:r>
      <w:r w:rsidR="00C22381">
        <w:rPr>
          <w:sz w:val="22"/>
          <w:szCs w:val="22"/>
        </w:rPr>
        <w:t xml:space="preserve"> program</w:t>
      </w:r>
      <w:r w:rsidRPr="00F6775A" w:rsidR="00C22381">
        <w:rPr>
          <w:sz w:val="22"/>
          <w:szCs w:val="22"/>
        </w:rPr>
        <w:t xml:space="preserve"> costs for each goal are presented individually while revenue is presented in total rather than by goal.  The program costs for the USF are allocated to strategic goals Closing the Digital Divide and Promoting Innovation, and the program costs for the TRS are allocated to the strategic goal Closing the Digital Divide.  Due to the accounting for these activities, the cost for some goals may be significantly higher than the cost of other goals.  Contributions received for the USF and TRS programs are shown on the Statement of Changes in Net Position and do not directly offset the costs of these programs on the Statement of Net Cost.</w:t>
      </w:r>
    </w:p>
    <w:p w:rsidR="00E559C0" w:rsidRPr="00F6775A" w:rsidP="005D21C2" w14:paraId="4330FA3B" w14:textId="77777777">
      <w:pPr>
        <w:autoSpaceDE w:val="0"/>
        <w:autoSpaceDN w:val="0"/>
        <w:adjustRightInd w:val="0"/>
        <w:spacing w:after="240"/>
        <w:jc w:val="both"/>
        <w:rPr>
          <w:sz w:val="22"/>
          <w:szCs w:val="22"/>
        </w:rPr>
      </w:pPr>
      <w:r w:rsidRPr="00F6775A">
        <w:rPr>
          <w:sz w:val="22"/>
          <w:szCs w:val="22"/>
        </w:rPr>
        <w:t xml:space="preserve">The pie chart below presents the total </w:t>
      </w:r>
      <w:r>
        <w:rPr>
          <w:sz w:val="22"/>
          <w:szCs w:val="22"/>
        </w:rPr>
        <w:t>program</w:t>
      </w:r>
      <w:r w:rsidRPr="00F6775A">
        <w:rPr>
          <w:sz w:val="22"/>
          <w:szCs w:val="22"/>
        </w:rPr>
        <w:t xml:space="preserve"> costs of each strategic goal.</w:t>
      </w:r>
    </w:p>
    <w:p w:rsidR="00E559C0" w:rsidRPr="00F6775A" w:rsidP="00E559C0" w14:paraId="19958DFE" w14:textId="77777777">
      <w:pPr>
        <w:autoSpaceDE w:val="0"/>
        <w:autoSpaceDN w:val="0"/>
        <w:adjustRightInd w:val="0"/>
        <w:jc w:val="both"/>
        <w:rPr>
          <w:sz w:val="22"/>
          <w:szCs w:val="22"/>
        </w:rPr>
      </w:pPr>
      <w:r>
        <w:rPr>
          <w:noProof/>
        </w:rPr>
        <w:drawing>
          <wp:inline distT="0" distB="0" distL="0" distR="0">
            <wp:extent cx="5943600" cy="4676775"/>
            <wp:effectExtent l="0" t="0" r="0" b="9525"/>
            <wp:docPr id="47" name="Chart 47" descr="Pie chart depicting FY 2021 Total Program costs. The total costs is $11,679,218 out of which 87% is Closing the digital divide with $10,162,259, 11% is Promoting innovations with $1,322,277, 1% is Protecting consumers and public safety with $69,006 and 1% is Reforming the FCCs processes with $125,676.">
              <a:extLst xmlns:a="http://schemas.openxmlformats.org/drawingml/2006/main">
                <a:ext xmlns:a="http://schemas.openxmlformats.org/drawingml/2006/main" uri="{FF2B5EF4-FFF2-40B4-BE49-F238E27FC236}">
                  <a16:creationId xmlns:a16="http://schemas.microsoft.com/office/drawing/2014/main" id="{6E46358F-BF35-4905-B6E6-997675E12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B4983" w:rsidP="00FA287E" w14:paraId="650475D6" w14:textId="2F096978">
      <w:pPr>
        <w:autoSpaceDE w:val="0"/>
        <w:autoSpaceDN w:val="0"/>
        <w:adjustRightInd w:val="0"/>
        <w:spacing w:before="560"/>
        <w:jc w:val="both"/>
        <w:rPr>
          <w:bCs/>
          <w:iCs/>
          <w:sz w:val="22"/>
          <w:szCs w:val="22"/>
        </w:rPr>
        <w:sectPr w:rsidSect="00C3691B">
          <w:pgSz w:w="12240" w:h="15840" w:code="1"/>
          <w:pgMar w:top="1152" w:right="1440" w:bottom="1152" w:left="1440" w:header="720" w:footer="720" w:gutter="0"/>
          <w:cols w:space="720"/>
        </w:sectPr>
      </w:pPr>
      <w:r w:rsidRPr="007F70D4">
        <w:rPr>
          <w:i/>
          <w:sz w:val="22"/>
          <w:szCs w:val="22"/>
          <w:u w:val="single"/>
        </w:rPr>
        <w:t>Consolidated Statement of Changes in Net Position</w:t>
      </w:r>
      <w:r w:rsidRPr="00B67AEF">
        <w:rPr>
          <w:bCs/>
          <w:sz w:val="22"/>
          <w:szCs w:val="22"/>
        </w:rPr>
        <w:t>:</w:t>
      </w:r>
      <w:r w:rsidR="00C933B2">
        <w:rPr>
          <w:bCs/>
          <w:sz w:val="22"/>
          <w:szCs w:val="22"/>
        </w:rPr>
        <w:t xml:space="preserve"> </w:t>
      </w:r>
      <w:r w:rsidRPr="007F70D4" w:rsidR="006C65A6">
        <w:rPr>
          <w:sz w:val="22"/>
          <w:szCs w:val="22"/>
        </w:rPr>
        <w:t>This</w:t>
      </w:r>
      <w:r w:rsidRPr="00F6775A" w:rsidR="006C65A6">
        <w:rPr>
          <w:sz w:val="22"/>
          <w:szCs w:val="22"/>
        </w:rPr>
        <w:t xml:space="preserve"> statement presents the cumulative net results of operations and total unexpended appropriations in order to understand the nature of changes to the net position as a whole.  In FY 202</w:t>
      </w:r>
      <w:r w:rsidR="006C65A6">
        <w:rPr>
          <w:sz w:val="22"/>
          <w:szCs w:val="22"/>
        </w:rPr>
        <w:t>1</w:t>
      </w:r>
      <w:r w:rsidRPr="00F6775A" w:rsidR="006C65A6">
        <w:rPr>
          <w:sz w:val="22"/>
          <w:szCs w:val="22"/>
        </w:rPr>
        <w:t>, t</w:t>
      </w:r>
      <w:r w:rsidRPr="00F6775A" w:rsidR="006C65A6">
        <w:rPr>
          <w:bCs/>
          <w:iCs/>
          <w:sz w:val="22"/>
          <w:szCs w:val="22"/>
        </w:rPr>
        <w:t xml:space="preserve">he Commission’s Net Position </w:t>
      </w:r>
      <w:r w:rsidR="006C65A6">
        <w:rPr>
          <w:bCs/>
          <w:iCs/>
          <w:sz w:val="22"/>
          <w:szCs w:val="22"/>
        </w:rPr>
        <w:t>in</w:t>
      </w:r>
      <w:r w:rsidRPr="00F6775A" w:rsidR="006C65A6">
        <w:rPr>
          <w:bCs/>
          <w:iCs/>
          <w:sz w:val="22"/>
          <w:szCs w:val="22"/>
        </w:rPr>
        <w:t>creased $</w:t>
      </w:r>
      <w:r w:rsidR="006C65A6">
        <w:rPr>
          <w:bCs/>
          <w:iCs/>
          <w:sz w:val="22"/>
          <w:szCs w:val="22"/>
        </w:rPr>
        <w:t>12,273</w:t>
      </w:r>
      <w:r w:rsidRPr="00F6775A" w:rsidR="006C65A6">
        <w:rPr>
          <w:bCs/>
          <w:iCs/>
          <w:sz w:val="22"/>
          <w:szCs w:val="22"/>
        </w:rPr>
        <w:t xml:space="preserve"> million or </w:t>
      </w:r>
      <w:r w:rsidR="006C65A6">
        <w:rPr>
          <w:bCs/>
          <w:iCs/>
          <w:sz w:val="22"/>
          <w:szCs w:val="22"/>
        </w:rPr>
        <w:t xml:space="preserve">165 </w:t>
      </w:r>
      <w:r w:rsidRPr="00F6775A" w:rsidR="006C65A6">
        <w:rPr>
          <w:bCs/>
          <w:iCs/>
          <w:sz w:val="22"/>
          <w:szCs w:val="22"/>
        </w:rPr>
        <w:t>percent to $</w:t>
      </w:r>
      <w:r w:rsidR="006C65A6">
        <w:rPr>
          <w:bCs/>
          <w:iCs/>
          <w:sz w:val="22"/>
          <w:szCs w:val="22"/>
        </w:rPr>
        <w:t>19,725</w:t>
      </w:r>
      <w:r w:rsidRPr="00F6775A" w:rsidR="006C65A6">
        <w:rPr>
          <w:bCs/>
          <w:iCs/>
          <w:sz w:val="22"/>
          <w:szCs w:val="22"/>
        </w:rPr>
        <w:t xml:space="preserve"> million compared to the net position of $</w:t>
      </w:r>
      <w:r w:rsidR="006C65A6">
        <w:rPr>
          <w:bCs/>
          <w:iCs/>
          <w:sz w:val="22"/>
          <w:szCs w:val="22"/>
        </w:rPr>
        <w:t>7,452</w:t>
      </w:r>
      <w:r w:rsidRPr="00F6775A" w:rsidR="006C65A6">
        <w:rPr>
          <w:bCs/>
          <w:iCs/>
          <w:sz w:val="22"/>
          <w:szCs w:val="22"/>
        </w:rPr>
        <w:t xml:space="preserve"> million for FY 20</w:t>
      </w:r>
      <w:r w:rsidR="006C65A6">
        <w:rPr>
          <w:bCs/>
          <w:iCs/>
          <w:sz w:val="22"/>
          <w:szCs w:val="22"/>
        </w:rPr>
        <w:t>20</w:t>
      </w:r>
      <w:r w:rsidRPr="00F6775A" w:rsidR="006C65A6">
        <w:rPr>
          <w:bCs/>
          <w:iCs/>
          <w:sz w:val="22"/>
          <w:szCs w:val="22"/>
        </w:rPr>
        <w:t xml:space="preserve">.  </w:t>
      </w:r>
    </w:p>
    <w:p w:rsidR="00652EF6" w:rsidRPr="00F6775A" w:rsidP="00652EF6" w14:paraId="63C1A6B3" w14:textId="77777777">
      <w:pPr>
        <w:autoSpaceDE w:val="0"/>
        <w:autoSpaceDN w:val="0"/>
        <w:adjustRightInd w:val="0"/>
        <w:jc w:val="both"/>
        <w:rPr>
          <w:sz w:val="22"/>
          <w:szCs w:val="22"/>
        </w:rPr>
      </w:pPr>
      <w:r w:rsidRPr="001D5531">
        <w:rPr>
          <w:i/>
          <w:spacing w:val="1"/>
          <w:sz w:val="22"/>
          <w:szCs w:val="22"/>
          <w:u w:val="single"/>
        </w:rPr>
        <w:t>Combined Statement of Budgetary Resources</w:t>
      </w:r>
      <w:r w:rsidRPr="001D5531">
        <w:rPr>
          <w:bCs/>
          <w:spacing w:val="1"/>
          <w:sz w:val="22"/>
          <w:szCs w:val="22"/>
        </w:rPr>
        <w:t>:</w:t>
      </w:r>
      <w:r w:rsidRPr="001D5531" w:rsidR="00C933B2">
        <w:rPr>
          <w:b/>
          <w:spacing w:val="1"/>
          <w:sz w:val="22"/>
          <w:szCs w:val="22"/>
        </w:rPr>
        <w:t xml:space="preserve"> </w:t>
      </w:r>
      <w:r w:rsidRPr="007F70D4">
        <w:rPr>
          <w:sz w:val="22"/>
          <w:szCs w:val="22"/>
        </w:rPr>
        <w:t>This</w:t>
      </w:r>
      <w:r w:rsidRPr="00F6775A">
        <w:rPr>
          <w:sz w:val="22"/>
          <w:szCs w:val="22"/>
        </w:rPr>
        <w:t xml:space="preserve"> statement provides information on how budgetary resources were made available to the Commission for the year and the status of those budgetary resources at the end of the year.  The Commission receives most of its budgetary authority from appropriations.  Budgetary resources consist of the resources available to the Commission at the beginning of the year, plus appropriations, spending authority from offsetting collections, and other budgetary resources received during the year.</w:t>
      </w:r>
      <w:bookmarkStart w:id="70" w:name="_Hlk24107800"/>
      <w:r w:rsidRPr="00F6775A">
        <w:rPr>
          <w:sz w:val="22"/>
          <w:szCs w:val="22"/>
        </w:rPr>
        <w:t xml:space="preserve">  The Commission had $</w:t>
      </w:r>
      <w:r>
        <w:rPr>
          <w:sz w:val="22"/>
          <w:szCs w:val="22"/>
        </w:rPr>
        <w:t>13,210</w:t>
      </w:r>
      <w:r w:rsidRPr="00F6775A">
        <w:rPr>
          <w:sz w:val="22"/>
          <w:szCs w:val="22"/>
        </w:rPr>
        <w:t xml:space="preserve"> million in new obligations and upward adjustments, a $</w:t>
      </w:r>
      <w:r>
        <w:rPr>
          <w:sz w:val="22"/>
          <w:szCs w:val="22"/>
        </w:rPr>
        <w:t>2,615</w:t>
      </w:r>
      <w:r w:rsidRPr="00F6775A">
        <w:rPr>
          <w:sz w:val="22"/>
          <w:szCs w:val="22"/>
        </w:rPr>
        <w:t xml:space="preserve"> million unobligated balance and $</w:t>
      </w:r>
      <w:r>
        <w:rPr>
          <w:sz w:val="22"/>
          <w:szCs w:val="22"/>
        </w:rPr>
        <w:t>15,825</w:t>
      </w:r>
      <w:r w:rsidRPr="00F6775A">
        <w:rPr>
          <w:sz w:val="22"/>
          <w:szCs w:val="22"/>
        </w:rPr>
        <w:t xml:space="preserve"> million in total budgetary resources.</w:t>
      </w:r>
      <w:bookmarkEnd w:id="70"/>
      <w:r w:rsidRPr="00F6775A">
        <w:rPr>
          <w:sz w:val="22"/>
          <w:szCs w:val="22"/>
        </w:rPr>
        <w:t xml:space="preserve">  The abnormal balances in FY 20</w:t>
      </w:r>
      <w:r>
        <w:rPr>
          <w:sz w:val="22"/>
          <w:szCs w:val="22"/>
        </w:rPr>
        <w:t>20</w:t>
      </w:r>
      <w:r w:rsidRPr="00F6775A">
        <w:rPr>
          <w:sz w:val="22"/>
          <w:szCs w:val="22"/>
        </w:rPr>
        <w:t xml:space="preserve"> </w:t>
      </w:r>
      <w:r>
        <w:rPr>
          <w:sz w:val="22"/>
          <w:szCs w:val="22"/>
        </w:rPr>
        <w:t>is</w:t>
      </w:r>
      <w:r w:rsidRPr="00F6775A">
        <w:rPr>
          <w:sz w:val="22"/>
          <w:szCs w:val="22"/>
        </w:rPr>
        <w:t xml:space="preserve"> related to CAF Phase II Auction and A-CAM II obligations.  These support mechanisms are part of the High Cost program under the USF, which are exempt from the </w:t>
      </w:r>
      <w:r w:rsidRPr="00F6775A">
        <w:rPr>
          <w:sz w:val="22"/>
          <w:szCs w:val="22"/>
        </w:rPr>
        <w:t>Antideficiency</w:t>
      </w:r>
      <w:r w:rsidRPr="00F6775A">
        <w:rPr>
          <w:sz w:val="22"/>
          <w:szCs w:val="22"/>
        </w:rPr>
        <w:t xml:space="preserve"> Act through December 31, 202</w:t>
      </w:r>
      <w:r>
        <w:rPr>
          <w:sz w:val="22"/>
          <w:szCs w:val="22"/>
        </w:rPr>
        <w:t>1</w:t>
      </w:r>
      <w:r w:rsidRPr="00F6775A">
        <w:rPr>
          <w:sz w:val="22"/>
          <w:szCs w:val="22"/>
        </w:rPr>
        <w:t>.</w:t>
      </w:r>
    </w:p>
    <w:p w:rsidR="00E559C0" w:rsidP="00B432FB" w14:paraId="32CFA1C8" w14:textId="27625B80">
      <w:pPr>
        <w:autoSpaceDE w:val="0"/>
        <w:autoSpaceDN w:val="0"/>
        <w:adjustRightInd w:val="0"/>
        <w:spacing w:after="240"/>
        <w:jc w:val="both"/>
        <w:rPr>
          <w:sz w:val="22"/>
          <w:szCs w:val="22"/>
        </w:rPr>
      </w:pPr>
      <w:r>
        <w:rPr>
          <w:sz w:val="22"/>
          <w:szCs w:val="22"/>
        </w:rPr>
        <w:br/>
      </w:r>
      <w:r w:rsidRPr="00F6775A">
        <w:rPr>
          <w:sz w:val="22"/>
          <w:szCs w:val="22"/>
        </w:rPr>
        <w:t>The chart below presents the status of budgetary resources comparatively between FY 202</w:t>
      </w:r>
      <w:r>
        <w:rPr>
          <w:sz w:val="22"/>
          <w:szCs w:val="22"/>
        </w:rPr>
        <w:t>1</w:t>
      </w:r>
      <w:r w:rsidRPr="00F6775A">
        <w:rPr>
          <w:sz w:val="22"/>
          <w:szCs w:val="22"/>
        </w:rPr>
        <w:t xml:space="preserve"> and FY 20</w:t>
      </w:r>
      <w:r>
        <w:rPr>
          <w:sz w:val="22"/>
          <w:szCs w:val="22"/>
        </w:rPr>
        <w:t>20</w:t>
      </w:r>
      <w:r w:rsidRPr="00F6775A">
        <w:rPr>
          <w:sz w:val="22"/>
          <w:szCs w:val="22"/>
        </w:rPr>
        <w:t>.</w:t>
      </w:r>
    </w:p>
    <w:p w:rsidR="00F87A59" w:rsidP="00E559C0" w14:paraId="7EBECCB7" w14:textId="77777777">
      <w:pPr>
        <w:autoSpaceDE w:val="0"/>
        <w:autoSpaceDN w:val="0"/>
        <w:adjustRightInd w:val="0"/>
        <w:jc w:val="both"/>
        <w:rPr>
          <w:bCs/>
          <w:i/>
          <w:iCs/>
          <w:szCs w:val="24"/>
          <w:u w:val="single"/>
        </w:rPr>
        <w:sectPr w:rsidSect="00C3691B">
          <w:pgSz w:w="12240" w:h="15840" w:code="1"/>
          <w:pgMar w:top="1152" w:right="1440" w:bottom="1152" w:left="1440" w:header="720" w:footer="720" w:gutter="0"/>
          <w:cols w:space="720"/>
        </w:sectPr>
      </w:pPr>
      <w:r>
        <w:rPr>
          <w:noProof/>
        </w:rPr>
        <w:drawing>
          <wp:inline distT="0" distB="0" distL="0" distR="0">
            <wp:extent cx="5943600" cy="4984115"/>
            <wp:effectExtent l="57150" t="38100" r="57150" b="83185"/>
            <wp:docPr id="48" name="Chart 48" descr="Bar graph depicting status of budgetary resources - FY 2021 and 2020 (Dollars in Thousands). The total budgetary resources for FY 2021 is $15,824,908 and FY 2020 was $733,672. The x-axis shows New obligations &amp; upward adjustments and Unobligated balance while the y-axis shows the amount of budgetary resources from $(10,000,000) to $15,000,000. Under New obligations &amp; upward adjustments, budgetary resources for 2021 is $13,209,824 and 2020 is $9,316,143 while under Unobligated balance, it is $2,615,084 for 2021 and $(8,582,471) for 2020.">
              <a:extLst xmlns:a="http://schemas.openxmlformats.org/drawingml/2006/main">
                <a:ext xmlns:a="http://schemas.openxmlformats.org/drawingml/2006/main" uri="{FF2B5EF4-FFF2-40B4-BE49-F238E27FC236}">
                  <a16:creationId xmlns:a16="http://schemas.microsoft.com/office/drawing/2014/main" id="{00000000-0008-0000-0500-00002E1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559C0" w:rsidRPr="00F6775A" w:rsidP="008A7167" w14:paraId="0B63FE1E" w14:textId="0007D3AB">
      <w:pPr>
        <w:autoSpaceDE w:val="0"/>
        <w:autoSpaceDN w:val="0"/>
        <w:adjustRightInd w:val="0"/>
        <w:spacing w:before="120" w:after="240"/>
        <w:jc w:val="both"/>
        <w:rPr>
          <w:sz w:val="22"/>
          <w:szCs w:val="22"/>
        </w:rPr>
      </w:pPr>
      <w:r w:rsidRPr="00AF1075">
        <w:rPr>
          <w:bCs/>
          <w:i/>
          <w:iCs/>
          <w:sz w:val="22"/>
          <w:szCs w:val="22"/>
          <w:u w:val="single"/>
        </w:rPr>
        <w:t>Consolidated Statement of Custodial Activity</w:t>
      </w:r>
      <w:r w:rsidRPr="00B67AEF">
        <w:rPr>
          <w:iCs/>
          <w:sz w:val="22"/>
          <w:szCs w:val="22"/>
        </w:rPr>
        <w:t>:</w:t>
      </w:r>
      <w:r w:rsidR="00C933B2">
        <w:rPr>
          <w:iCs/>
          <w:szCs w:val="24"/>
        </w:rPr>
        <w:t xml:space="preserve"> </w:t>
      </w:r>
      <w:r w:rsidRPr="00F6775A" w:rsidR="008C4E80">
        <w:rPr>
          <w:sz w:val="22"/>
          <w:szCs w:val="22"/>
        </w:rPr>
        <w:t>In FY 202</w:t>
      </w:r>
      <w:r w:rsidR="008C4E80">
        <w:rPr>
          <w:sz w:val="22"/>
          <w:szCs w:val="22"/>
        </w:rPr>
        <w:t>1</w:t>
      </w:r>
      <w:r w:rsidRPr="00F6775A" w:rsidR="008C4E80">
        <w:rPr>
          <w:sz w:val="22"/>
          <w:szCs w:val="22"/>
        </w:rPr>
        <w:t xml:space="preserve">, </w:t>
      </w:r>
      <w:bookmarkStart w:id="71" w:name="_Hlk51151016"/>
      <w:r w:rsidRPr="00F6775A" w:rsidR="008C4E80">
        <w:rPr>
          <w:sz w:val="22"/>
          <w:szCs w:val="22"/>
        </w:rPr>
        <w:t>the Commission recognized $</w:t>
      </w:r>
      <w:r w:rsidR="008C4E80">
        <w:rPr>
          <w:sz w:val="22"/>
          <w:szCs w:val="22"/>
        </w:rPr>
        <w:t>85,780</w:t>
      </w:r>
      <w:r w:rsidRPr="00F6775A" w:rsidR="008C4E80">
        <w:rPr>
          <w:sz w:val="22"/>
          <w:szCs w:val="22"/>
        </w:rPr>
        <w:t xml:space="preserve"> million </w:t>
      </w:r>
      <w:r w:rsidR="008C4E80">
        <w:rPr>
          <w:sz w:val="22"/>
          <w:szCs w:val="22"/>
        </w:rPr>
        <w:t xml:space="preserve">in </w:t>
      </w:r>
      <w:r w:rsidRPr="00F6775A" w:rsidR="008C4E80">
        <w:rPr>
          <w:sz w:val="22"/>
          <w:szCs w:val="22"/>
        </w:rPr>
        <w:t>custodial revenue</w:t>
      </w:r>
      <w:bookmarkEnd w:id="71"/>
      <w:r w:rsidRPr="00F6775A" w:rsidR="008C4E80">
        <w:rPr>
          <w:sz w:val="22"/>
          <w:szCs w:val="22"/>
        </w:rPr>
        <w:t>.</w:t>
      </w:r>
      <w:r w:rsidR="008C4E80">
        <w:rPr>
          <w:sz w:val="22"/>
          <w:szCs w:val="22"/>
        </w:rPr>
        <w:t xml:space="preserve">  In FY 2021, the Commission transferred</w:t>
      </w:r>
      <w:r w:rsidRPr="00F6775A" w:rsidR="008C4E80">
        <w:rPr>
          <w:sz w:val="22"/>
          <w:szCs w:val="22"/>
        </w:rPr>
        <w:t xml:space="preserve"> </w:t>
      </w:r>
      <w:bookmarkStart w:id="72" w:name="_Hlk51587935"/>
      <w:r w:rsidRPr="00F6775A" w:rsidR="008C4E80">
        <w:rPr>
          <w:sz w:val="22"/>
          <w:szCs w:val="22"/>
        </w:rPr>
        <w:t>$</w:t>
      </w:r>
      <w:r w:rsidR="008C4E80">
        <w:rPr>
          <w:sz w:val="22"/>
          <w:szCs w:val="22"/>
        </w:rPr>
        <w:t>4,476</w:t>
      </w:r>
      <w:r w:rsidRPr="00F6775A" w:rsidR="008C4E80">
        <w:rPr>
          <w:sz w:val="22"/>
          <w:szCs w:val="22"/>
        </w:rPr>
        <w:t xml:space="preserve"> million </w:t>
      </w:r>
      <w:r w:rsidR="008C4E80">
        <w:rPr>
          <w:sz w:val="22"/>
          <w:szCs w:val="22"/>
        </w:rPr>
        <w:t>from</w:t>
      </w:r>
      <w:r w:rsidRPr="00F6775A" w:rsidR="008C4E80">
        <w:rPr>
          <w:sz w:val="22"/>
          <w:szCs w:val="22"/>
        </w:rPr>
        <w:t xml:space="preserve"> auction </w:t>
      </w:r>
      <w:r w:rsidR="008C4E80">
        <w:rPr>
          <w:sz w:val="22"/>
          <w:szCs w:val="22"/>
        </w:rPr>
        <w:t xml:space="preserve">103 to the Public Safety Trust Fund managed by the </w:t>
      </w:r>
      <w:r w:rsidRPr="00A94A5D" w:rsidR="008C4E80">
        <w:rPr>
          <w:sz w:val="22"/>
          <w:szCs w:val="22"/>
        </w:rPr>
        <w:t>National Telecommunication and Information Administration (NTIA</w:t>
      </w:r>
      <w:r w:rsidR="008C4E80">
        <w:rPr>
          <w:sz w:val="22"/>
          <w:szCs w:val="22"/>
        </w:rPr>
        <w:t>) and $4,466 million from auction 105 to Spectrum Relocation Fund administered by Office of Management and Budget (OMB).  In addition, the Commission transferred $207 million from miscellaneous receipts, fines, and penalties to the Treasury General Fund.</w:t>
      </w:r>
      <w:bookmarkEnd w:id="72"/>
      <w:r w:rsidRPr="00EA314F" w:rsidR="008C4E80">
        <w:rPr>
          <w:sz w:val="22"/>
          <w:szCs w:val="22"/>
        </w:rPr>
        <w:t xml:space="preserve">  In FY 20</w:t>
      </w:r>
      <w:r w:rsidR="008C4E80">
        <w:rPr>
          <w:sz w:val="22"/>
          <w:szCs w:val="22"/>
        </w:rPr>
        <w:t>20</w:t>
      </w:r>
      <w:r w:rsidRPr="00EA314F" w:rsidR="008C4E80">
        <w:rPr>
          <w:sz w:val="22"/>
          <w:szCs w:val="22"/>
        </w:rPr>
        <w:t xml:space="preserve">, </w:t>
      </w:r>
      <w:r w:rsidRPr="00A94A5D" w:rsidR="008C4E80">
        <w:rPr>
          <w:sz w:val="22"/>
          <w:szCs w:val="22"/>
        </w:rPr>
        <w:t>the Commission recognized $10,360 million in custodial revenue.  From this balance, $3,084 million in auction revenue was paid for reverse incentive auction winners.  The Commission also transferred $2,723 million of earned auctions revenue and $63 million in miscellaneous receipts, fines and penalties to the Treasury General Fund</w:t>
      </w:r>
      <w:r w:rsidR="008C4E80">
        <w:rPr>
          <w:sz w:val="22"/>
          <w:szCs w:val="22"/>
        </w:rPr>
        <w:t xml:space="preserve">.  </w:t>
      </w:r>
    </w:p>
    <w:p w:rsidR="00E559C0" w:rsidRPr="00F6775A" w:rsidP="00830583" w14:paraId="4597D7FC" w14:textId="77777777">
      <w:pPr>
        <w:autoSpaceDE w:val="0"/>
        <w:autoSpaceDN w:val="0"/>
        <w:adjustRightInd w:val="0"/>
        <w:spacing w:after="260"/>
        <w:jc w:val="both"/>
        <w:rPr>
          <w:sz w:val="22"/>
          <w:szCs w:val="22"/>
        </w:rPr>
      </w:pPr>
      <w:r w:rsidRPr="00F6775A">
        <w:rPr>
          <w:sz w:val="22"/>
          <w:szCs w:val="22"/>
        </w:rPr>
        <w:t>The chart below compares the total amount of custodial revenue and amounts transferred to other</w:t>
      </w:r>
      <w:r>
        <w:rPr>
          <w:sz w:val="22"/>
          <w:szCs w:val="22"/>
        </w:rPr>
        <w:t xml:space="preserve"> entitie</w:t>
      </w:r>
      <w:r w:rsidRPr="00F6775A">
        <w:rPr>
          <w:sz w:val="22"/>
          <w:szCs w:val="22"/>
        </w:rPr>
        <w:t>s between FY 202</w:t>
      </w:r>
      <w:r>
        <w:rPr>
          <w:sz w:val="22"/>
          <w:szCs w:val="22"/>
        </w:rPr>
        <w:t>1</w:t>
      </w:r>
      <w:r w:rsidRPr="00F6775A">
        <w:rPr>
          <w:sz w:val="22"/>
          <w:szCs w:val="22"/>
        </w:rPr>
        <w:t xml:space="preserve"> and FY 20</w:t>
      </w:r>
      <w:r>
        <w:rPr>
          <w:sz w:val="22"/>
          <w:szCs w:val="22"/>
        </w:rPr>
        <w:t>20</w:t>
      </w:r>
      <w:r w:rsidRPr="00F6775A">
        <w:rPr>
          <w:sz w:val="22"/>
          <w:szCs w:val="22"/>
        </w:rPr>
        <w:t>.</w:t>
      </w:r>
    </w:p>
    <w:p w:rsidR="00E559C0" w:rsidRPr="00F6775A" w:rsidP="00E559C0" w14:paraId="263865B8" w14:textId="77777777">
      <w:pPr>
        <w:autoSpaceDE w:val="0"/>
        <w:autoSpaceDN w:val="0"/>
        <w:adjustRightInd w:val="0"/>
        <w:jc w:val="both"/>
        <w:rPr>
          <w:sz w:val="22"/>
          <w:szCs w:val="22"/>
        </w:rPr>
      </w:pPr>
      <w:r>
        <w:rPr>
          <w:noProof/>
        </w:rPr>
        <w:drawing>
          <wp:inline distT="0" distB="0" distL="0" distR="0">
            <wp:extent cx="5943600" cy="4751705"/>
            <wp:effectExtent l="57150" t="38100" r="57150" b="67945"/>
            <wp:docPr id="32" name="Chart 32" descr="Bar graph depicting Custodial activity - FY 2021 and 2020. The x-axis shows Total custodial revenue and Transferred to others while the y-axis shows the amount from $10,000,000 to $90,000,000 with an interval of $10,000,000. The total custodial revenue for 2021 is $85,780,069 and for 2020 was $10,359,658 while Transferred to others in 2021 is $9,149,475 and in 2020 was $2,786,204.">
              <a:extLst xmlns:a="http://schemas.openxmlformats.org/drawingml/2006/main">
                <a:ext xmlns:a="http://schemas.openxmlformats.org/drawingml/2006/main"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559C0" w:rsidP="00E559C0" w14:paraId="1AB5E9E5" w14:textId="77777777">
      <w:pPr>
        <w:rPr>
          <w:b/>
          <w:bCs/>
          <w:i/>
          <w:szCs w:val="24"/>
        </w:rPr>
        <w:sectPr w:rsidSect="00C3691B">
          <w:pgSz w:w="12240" w:h="15840" w:code="1"/>
          <w:pgMar w:top="1152" w:right="1440" w:bottom="1152" w:left="1440" w:header="720" w:footer="720" w:gutter="0"/>
          <w:cols w:space="720"/>
        </w:sectPr>
      </w:pPr>
    </w:p>
    <w:p w:rsidR="00E559C0" w:rsidRPr="00D32833" w:rsidP="00C73F18" w14:paraId="4FDAC7F0" w14:textId="77777777">
      <w:pPr>
        <w:pStyle w:val="Heading3"/>
        <w:spacing w:before="120"/>
      </w:pPr>
      <w:bookmarkStart w:id="73" w:name="_Toc88780531"/>
      <w:bookmarkStart w:id="74" w:name="_Toc88780642"/>
      <w:r w:rsidRPr="00DD60E7">
        <w:t>Other Key Financial Statement Highlights</w:t>
      </w:r>
      <w:bookmarkEnd w:id="73"/>
      <w:bookmarkEnd w:id="74"/>
    </w:p>
    <w:p w:rsidR="00E559C0" w:rsidRPr="00F6775A" w:rsidP="005A0981" w14:paraId="6C7B1EF6" w14:textId="77777777">
      <w:pPr>
        <w:pStyle w:val="Heading4"/>
      </w:pPr>
      <w:bookmarkStart w:id="75" w:name="_Toc88780643"/>
      <w:r w:rsidRPr="00F6775A">
        <w:t>Regulatory Fee Collections</w:t>
      </w:r>
      <w:bookmarkEnd w:id="75"/>
    </w:p>
    <w:p w:rsidR="0029083D" w:rsidRPr="00F6775A" w:rsidP="0029083D" w14:paraId="0DD04690" w14:textId="77777777">
      <w:pPr>
        <w:autoSpaceDE w:val="0"/>
        <w:autoSpaceDN w:val="0"/>
        <w:adjustRightInd w:val="0"/>
        <w:jc w:val="both"/>
        <w:rPr>
          <w:sz w:val="22"/>
          <w:szCs w:val="22"/>
        </w:rPr>
      </w:pPr>
      <w:bookmarkStart w:id="76" w:name="_Toc88780644"/>
      <w:r w:rsidRPr="00F6775A">
        <w:rPr>
          <w:sz w:val="22"/>
          <w:szCs w:val="22"/>
        </w:rPr>
        <w:t>Pursuant to 47 U.S.C. § 159, the Commission annually collects regulatory fees and retains them to offset certain costs incurred by the Commission.  The amount the Commission is required to recover is included in the Commission’s appropriations.</w:t>
      </w:r>
    </w:p>
    <w:p w:rsidR="0029083D" w:rsidRPr="00F6775A" w:rsidP="0029083D" w14:paraId="0A2FB44B" w14:textId="77777777">
      <w:pPr>
        <w:autoSpaceDE w:val="0"/>
        <w:autoSpaceDN w:val="0"/>
        <w:adjustRightInd w:val="0"/>
        <w:jc w:val="both"/>
        <w:rPr>
          <w:sz w:val="22"/>
          <w:szCs w:val="22"/>
        </w:rPr>
      </w:pPr>
    </w:p>
    <w:p w:rsidR="0029083D" w:rsidRPr="00F6775A" w:rsidP="0029083D" w14:paraId="63245AA4" w14:textId="77777777">
      <w:pPr>
        <w:jc w:val="both"/>
        <w:rPr>
          <w:sz w:val="22"/>
          <w:szCs w:val="22"/>
        </w:rPr>
      </w:pPr>
      <w:r w:rsidRPr="00F6775A">
        <w:rPr>
          <w:sz w:val="22"/>
          <w:szCs w:val="22"/>
        </w:rPr>
        <w:t>Regulatory fees are collected and warranted back to the Treasury to offset the Commission’s appropriations for the current fiscal year.  In FY 202</w:t>
      </w:r>
      <w:r>
        <w:rPr>
          <w:sz w:val="22"/>
          <w:szCs w:val="22"/>
        </w:rPr>
        <w:t>1</w:t>
      </w:r>
      <w:r w:rsidRPr="00F6775A">
        <w:rPr>
          <w:sz w:val="22"/>
          <w:szCs w:val="22"/>
        </w:rPr>
        <w:t>, the Commission was required to collect $</w:t>
      </w:r>
      <w:r>
        <w:rPr>
          <w:sz w:val="22"/>
          <w:szCs w:val="22"/>
        </w:rPr>
        <w:t>374</w:t>
      </w:r>
      <w:r w:rsidRPr="00F6775A">
        <w:rPr>
          <w:sz w:val="22"/>
          <w:szCs w:val="22"/>
        </w:rPr>
        <w:t xml:space="preserve"> million in regulatory fees.  Excess collections were </w:t>
      </w:r>
      <w:r w:rsidRPr="00C11691">
        <w:rPr>
          <w:sz w:val="22"/>
          <w:szCs w:val="22"/>
        </w:rPr>
        <w:t>$4</w:t>
      </w:r>
      <w:r w:rsidRPr="00F6775A">
        <w:rPr>
          <w:sz w:val="22"/>
          <w:szCs w:val="22"/>
        </w:rPr>
        <w:t xml:space="preserve"> million above the required regulatory fee level and transferred to the General Fund of the Treasury for the sole purpose of deficit reduction.</w:t>
      </w:r>
      <w:r w:rsidRPr="00F6775A">
        <w:t xml:space="preserve"> </w:t>
      </w:r>
    </w:p>
    <w:p w:rsidR="00E559C0" w:rsidRPr="00F6775A" w:rsidP="008D63F5" w14:paraId="49C5674A" w14:textId="2D1B2B3C">
      <w:pPr>
        <w:pStyle w:val="Heading4"/>
        <w:spacing w:after="260"/>
      </w:pPr>
      <w:r>
        <w:br/>
      </w:r>
      <w:r w:rsidRPr="00F6775A">
        <w:t>Limitations on the Financial Statements</w:t>
      </w:r>
      <w:bookmarkEnd w:id="76"/>
    </w:p>
    <w:p w:rsidR="00690DDE" w:rsidRPr="00F6775A" w:rsidP="00690DDE" w14:paraId="00FEDCB0" w14:textId="77777777">
      <w:pPr>
        <w:autoSpaceDE w:val="0"/>
        <w:autoSpaceDN w:val="0"/>
        <w:adjustRightInd w:val="0"/>
        <w:jc w:val="both"/>
        <w:rPr>
          <w:color w:val="000000"/>
          <w:sz w:val="22"/>
          <w:szCs w:val="22"/>
        </w:rPr>
      </w:pPr>
      <w:r w:rsidRPr="00F6775A">
        <w:rPr>
          <w:color w:val="000000"/>
          <w:sz w:val="22"/>
          <w:szCs w:val="22"/>
        </w:rPr>
        <w:t xml:space="preserve">The principal financial statements have been prepared to report the financial position and results of operations of the Commission, pursuant to the requirements of 31 U.S.C. § 3515(b).  While the principal financial statements have been prepared from the books and records of the Commission in accordance with GAAP for </w:t>
      </w:r>
      <w:r>
        <w:rPr>
          <w:color w:val="000000"/>
          <w:sz w:val="22"/>
          <w:szCs w:val="22"/>
        </w:rPr>
        <w:t>f</w:t>
      </w:r>
      <w:r w:rsidRPr="00F6775A">
        <w:rPr>
          <w:color w:val="000000"/>
          <w:sz w:val="22"/>
          <w:szCs w:val="22"/>
        </w:rPr>
        <w:t>ederal entities and the formats prescribed by OMB, the statements are in addition to the financial reports used to monitor and control budgetary resources which are prepared from the same books and records.</w:t>
      </w:r>
    </w:p>
    <w:p w:rsidR="00E559C0" w:rsidRPr="00B33FAF" w:rsidP="00E559C0" w14:paraId="3B897799" w14:textId="4E3E4AEA">
      <w:pPr>
        <w:autoSpaceDE w:val="0"/>
        <w:autoSpaceDN w:val="0"/>
        <w:adjustRightInd w:val="0"/>
        <w:jc w:val="both"/>
        <w:rPr>
          <w:color w:val="000000"/>
          <w:sz w:val="22"/>
          <w:szCs w:val="22"/>
        </w:rPr>
      </w:pPr>
      <w:r>
        <w:rPr>
          <w:color w:val="000000"/>
          <w:sz w:val="22"/>
          <w:szCs w:val="22"/>
        </w:rPr>
        <w:br/>
      </w:r>
      <w:r w:rsidRPr="00F6775A">
        <w:rPr>
          <w:color w:val="000000"/>
          <w:sz w:val="22"/>
          <w:szCs w:val="22"/>
        </w:rPr>
        <w:t>The statements should be read with the realization that they are for a component of the United States Government, a sovereign entity.</w:t>
      </w:r>
      <w:r>
        <w:rPr>
          <w:color w:val="000000"/>
          <w:sz w:val="22"/>
          <w:szCs w:val="22"/>
        </w:rPr>
        <w:t xml:space="preserve"> </w:t>
      </w:r>
    </w:p>
    <w:p w:rsidR="00E559C0" w:rsidP="00FA664A" w14:paraId="74AD2651" w14:textId="3F5E9F9D">
      <w:pPr>
        <w:autoSpaceDE w:val="0"/>
        <w:autoSpaceDN w:val="0"/>
        <w:adjustRightInd w:val="0"/>
        <w:jc w:val="both"/>
        <w:rPr>
          <w:sz w:val="22"/>
          <w:szCs w:val="22"/>
        </w:rPr>
        <w:sectPr w:rsidSect="00C3691B">
          <w:headerReference w:type="default" r:id="rId42"/>
          <w:footerReference w:type="default" r:id="rId43"/>
          <w:pgSz w:w="12240" w:h="15840" w:code="1"/>
          <w:pgMar w:top="1152" w:right="1440" w:bottom="1152" w:left="1440" w:header="720" w:footer="720" w:gutter="0"/>
          <w:cols w:space="720"/>
        </w:sectPr>
      </w:pPr>
    </w:p>
    <w:p w:rsidR="005F72FA" w:rsidP="00A256C8" w14:paraId="5088DD2A" w14:textId="77777777">
      <w:pPr>
        <w:spacing w:before="5280"/>
        <w:jc w:val="center"/>
        <w:rPr>
          <w:sz w:val="22"/>
          <w:szCs w:val="22"/>
        </w:rPr>
        <w:sectPr w:rsidSect="00A078AD">
          <w:pgSz w:w="12240" w:h="15840" w:code="1"/>
          <w:pgMar w:top="810" w:right="1440" w:bottom="1152" w:left="1440" w:header="540" w:footer="555" w:gutter="0"/>
          <w:cols w:space="720"/>
        </w:sectPr>
      </w:pPr>
      <w:r w:rsidRPr="00B87D45">
        <w:rPr>
          <w:sz w:val="22"/>
          <w:szCs w:val="22"/>
        </w:rPr>
        <w:t>This page is intentionally left blank</w:t>
      </w:r>
      <w:r>
        <w:rPr>
          <w:sz w:val="22"/>
          <w:szCs w:val="22"/>
        </w:rPr>
        <w:t>.</w:t>
      </w:r>
    </w:p>
    <w:p w:rsidR="00AC260A" w:rsidRPr="004F70FC" w:rsidP="00CE2FAB" w14:paraId="2A5C2F73" w14:textId="6647037A">
      <w:pPr>
        <w:pStyle w:val="Heading2"/>
        <w:numPr>
          <w:ilvl w:val="0"/>
          <w:numId w:val="23"/>
        </w:numPr>
        <w:spacing w:before="260"/>
        <w:ind w:left="360"/>
      </w:pPr>
      <w:bookmarkStart w:id="77" w:name="_Toc88780532"/>
      <w:bookmarkStart w:id="78" w:name="_Toc88780645"/>
      <w:r w:rsidRPr="004F70FC">
        <w:t>Financial Statements and Auditor</w:t>
      </w:r>
      <w:r w:rsidR="00A20537">
        <w:t>’</w:t>
      </w:r>
      <w:r w:rsidRPr="004F70FC">
        <w:t>s Report</w:t>
      </w:r>
      <w:bookmarkEnd w:id="77"/>
      <w:bookmarkEnd w:id="78"/>
    </w:p>
    <w:p w:rsidR="00EA1FB8" w:rsidP="00554E4C" w14:paraId="74B4AF81" w14:textId="7DD8760C">
      <w:pPr>
        <w:pStyle w:val="Heading3"/>
      </w:pPr>
      <w:bookmarkStart w:id="79" w:name="_Toc85811532"/>
      <w:bookmarkStart w:id="80" w:name="_Toc88780533"/>
      <w:bookmarkStart w:id="81" w:name="_Toc88780646"/>
      <w:r w:rsidRPr="00EA1FB8">
        <w:t>Transmittal from Office of Inspector General</w:t>
      </w:r>
      <w:bookmarkStart w:id="82" w:name="_Toc467000238"/>
      <w:bookmarkEnd w:id="79"/>
      <w:bookmarkEnd w:id="80"/>
      <w:bookmarkEnd w:id="81"/>
    </w:p>
    <w:p w:rsidR="0028293B" w:rsidP="0028293B" w14:paraId="05681D5C" w14:textId="77777777">
      <w:pPr>
        <w:suppressAutoHyphens/>
        <w:spacing w:before="240"/>
        <w:sectPr w:rsidSect="00C80859">
          <w:pgSz w:w="12240" w:h="15840" w:code="1"/>
          <w:pgMar w:top="810" w:right="1440" w:bottom="1152" w:left="1440" w:header="540" w:footer="555" w:gutter="0"/>
          <w:cols w:space="720"/>
        </w:sectPr>
      </w:pPr>
    </w:p>
    <w:p w:rsidR="00E0591C" w:rsidP="00D64A33" w14:paraId="229BA436" w14:textId="77777777">
      <w:pPr>
        <w:tabs>
          <w:tab w:val="left" w:pos="90"/>
        </w:tabs>
        <w:suppressAutoHyphens/>
        <w:ind w:left="810" w:right="54" w:hanging="90"/>
      </w:pPr>
      <w:r w:rsidRPr="001B4772">
        <w:rPr>
          <w:noProof/>
        </w:rPr>
        <w:drawing>
          <wp:inline distT="0" distB="0" distL="0" distR="0">
            <wp:extent cx="1187450" cy="1187450"/>
            <wp:effectExtent l="0" t="0" r="0" b="0"/>
            <wp:docPr id="7" name="Picture 6" descr="Seal of the United States Federal Communications Commission.">
              <a:extLst xmlns:a="http://schemas.openxmlformats.org/drawingml/2006/main">
                <a:ext xmlns:a="http://schemas.openxmlformats.org/drawingml/2006/main" uri="{FF2B5EF4-FFF2-40B4-BE49-F238E27FC236}">
                  <a16:creationId xmlns:a16="http://schemas.microsoft.com/office/drawing/2014/main" id="{7B167D5A-07B9-4500-9482-5675035522AE}"/>
                </a:ext>
              </a:extLst>
            </wp:docPr>
            <wp:cNvGraphicFramePr/>
            <a:graphic xmlns:a="http://schemas.openxmlformats.org/drawingml/2006/main">
              <a:graphicData uri="http://schemas.openxmlformats.org/drawingml/2006/picture">
                <pic:pic xmlns:pic="http://schemas.openxmlformats.org/drawingml/2006/picture">
                  <pic:nvPicPr>
                    <pic:cNvPr id="7" name="Picture 6" descr="Seal of the United States Federal Communications Commission.">
                      <a:extLst>
                        <a:ext xmlns:a="http://schemas.openxmlformats.org/drawingml/2006/main" uri="{FF2B5EF4-FFF2-40B4-BE49-F238E27FC236}">
                          <a16:creationId xmlns:a16="http://schemas.microsoft.com/office/drawing/2014/main" id="{7B167D5A-07B9-4500-9482-5675035522AE}"/>
                        </a:ext>
                      </a:extLst>
                    </pic:cNvPr>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1187450" cy="1187450"/>
                    </a:xfrm>
                    <a:prstGeom prst="ellipse">
                      <a:avLst/>
                    </a:prstGeom>
                    <a:noFill/>
                    <a:ln>
                      <a:noFill/>
                    </a:ln>
                  </pic:spPr>
                  <a:extLst>
                    <a:ext xmlns:a="http://schemas.openxmlformats.org/drawingml/2006/main" uri="{FF2B5EF4-FFF2-40B4-BE49-F238E27FC236}">
                      <a16:creationId xmlns:a16="http://schemas.microsoft.com/office/drawing/2014/main" id="{7B167D5A-07B9-4500-9482-5675035522AE}"/>
                    </a:ext>
                  </a:extLst>
                </pic:pic>
              </a:graphicData>
            </a:graphic>
          </wp:inline>
        </w:drawing>
      </w:r>
    </w:p>
    <w:p w:rsidR="0028293B" w:rsidRPr="00554E4C" w:rsidP="00554E4C" w14:paraId="2C88C13E" w14:textId="51180C45">
      <w:pPr>
        <w:suppressAutoHyphens/>
        <w:spacing w:before="360"/>
        <w:ind w:left="540" w:right="576" w:firstLine="2160"/>
        <w:jc w:val="right"/>
        <w:rPr>
          <w:b/>
          <w:bCs/>
          <w:sz w:val="20"/>
        </w:rPr>
      </w:pPr>
      <w:r w:rsidRPr="00554E4C">
        <w:rPr>
          <w:b/>
          <w:bCs/>
          <w:sz w:val="20"/>
        </w:rPr>
        <w:t>UNITED STATES GOVERNMENT</w:t>
      </w:r>
    </w:p>
    <w:p w:rsidR="0028293B" w:rsidRPr="00554E4C" w:rsidP="00554E4C" w14:paraId="156A27AA" w14:textId="77777777">
      <w:pPr>
        <w:suppressAutoHyphens/>
        <w:ind w:left="360" w:right="576" w:hanging="54"/>
        <w:jc w:val="right"/>
        <w:rPr>
          <w:b/>
          <w:bCs/>
          <w:sz w:val="20"/>
        </w:rPr>
      </w:pPr>
      <w:r w:rsidRPr="00554E4C">
        <w:rPr>
          <w:b/>
          <w:bCs/>
          <w:sz w:val="20"/>
        </w:rPr>
        <w:t xml:space="preserve">FEDERAL COMMUNICATIONS COMMISSION </w:t>
      </w:r>
    </w:p>
    <w:p w:rsidR="00E0591C" w:rsidRPr="00554E4C" w:rsidP="00554E4C" w14:paraId="3D5FB6D6" w14:textId="77777777">
      <w:pPr>
        <w:suppressAutoHyphens/>
        <w:spacing w:after="160"/>
        <w:ind w:left="144" w:right="576" w:hanging="324"/>
        <w:jc w:val="right"/>
        <w:rPr>
          <w:b/>
          <w:bCs/>
          <w:sz w:val="20"/>
        </w:rPr>
      </w:pPr>
      <w:r w:rsidRPr="00554E4C">
        <w:rPr>
          <w:b/>
          <w:bCs/>
          <w:sz w:val="20"/>
        </w:rPr>
        <w:t>OFFICE OF INSPECTOR GENERAL</w:t>
      </w:r>
    </w:p>
    <w:p w:rsidR="0028293B" w:rsidRPr="00BD0177" w:rsidP="000B10FC" w14:paraId="24806AD1" w14:textId="7D332EEC">
      <w:pPr>
        <w:ind w:right="576" w:firstLine="3060"/>
        <w:jc w:val="right"/>
        <w:rPr>
          <w:sz w:val="35"/>
          <w:szCs w:val="35"/>
        </w:rPr>
      </w:pPr>
      <w:r w:rsidRPr="00BD0177">
        <w:rPr>
          <w:sz w:val="35"/>
          <w:szCs w:val="35"/>
        </w:rPr>
        <w:t>MEMORANDUM</w:t>
      </w:r>
    </w:p>
    <w:p w:rsidR="0028293B" w:rsidP="0028293B" w14:paraId="1FBA6D1C" w14:textId="77777777">
      <w:pPr>
        <w:ind w:firstLine="3870"/>
        <w:rPr>
          <w:sz w:val="40"/>
        </w:rPr>
        <w:sectPr w:rsidSect="00980E71">
          <w:type w:val="continuous"/>
          <w:pgSz w:w="12240" w:h="15840" w:code="1"/>
          <w:pgMar w:top="900" w:right="1440" w:bottom="1152" w:left="1440" w:header="540" w:footer="555" w:gutter="0"/>
          <w:cols w:num="2" w:space="0" w:equalWidth="0">
            <w:col w:w="2736"/>
            <w:col w:w="6624"/>
          </w:cols>
        </w:sectPr>
      </w:pPr>
    </w:p>
    <w:p w:rsidR="00980E71" w:rsidRPr="00E2140C" w:rsidP="004B4D28" w14:paraId="75E71871" w14:textId="77777777">
      <w:pPr>
        <w:tabs>
          <w:tab w:val="left" w:pos="1890"/>
          <w:tab w:val="left" w:pos="1980"/>
        </w:tabs>
        <w:spacing w:before="720" w:after="160"/>
        <w:ind w:left="648"/>
        <w:rPr>
          <w:sz w:val="21"/>
          <w:szCs w:val="21"/>
        </w:rPr>
      </w:pPr>
      <w:r w:rsidRPr="00E2140C">
        <w:rPr>
          <w:b/>
          <w:sz w:val="21"/>
          <w:szCs w:val="21"/>
        </w:rPr>
        <w:t>DATE</w:t>
      </w:r>
      <w:r w:rsidRPr="00E2140C">
        <w:rPr>
          <w:sz w:val="21"/>
          <w:szCs w:val="21"/>
        </w:rPr>
        <w:t>:</w:t>
      </w:r>
      <w:r w:rsidRPr="00E2140C">
        <w:rPr>
          <w:sz w:val="21"/>
          <w:szCs w:val="21"/>
        </w:rPr>
        <w:tab/>
        <w:t>November 15, 2021</w:t>
      </w:r>
    </w:p>
    <w:p w:rsidR="00980E71" w:rsidRPr="00E2140C" w:rsidP="004B4D28" w14:paraId="7C7DA716" w14:textId="089A5B05">
      <w:pPr>
        <w:tabs>
          <w:tab w:val="left" w:pos="1890"/>
          <w:tab w:val="left" w:pos="1980"/>
        </w:tabs>
        <w:ind w:left="648"/>
        <w:rPr>
          <w:sz w:val="21"/>
          <w:szCs w:val="21"/>
        </w:rPr>
      </w:pPr>
      <w:r w:rsidRPr="00E2140C">
        <w:rPr>
          <w:b/>
          <w:sz w:val="21"/>
          <w:szCs w:val="21"/>
        </w:rPr>
        <w:t>TO</w:t>
      </w:r>
      <w:r w:rsidRPr="00E2140C">
        <w:rPr>
          <w:sz w:val="21"/>
          <w:szCs w:val="21"/>
        </w:rPr>
        <w:t>:</w:t>
      </w:r>
      <w:r w:rsidRPr="00E2140C">
        <w:rPr>
          <w:sz w:val="21"/>
          <w:szCs w:val="21"/>
        </w:rPr>
        <w:tab/>
        <w:t>Chairwoman</w:t>
      </w:r>
      <w:r w:rsidRPr="00E2140C" w:rsidR="00B757A8">
        <w:rPr>
          <w:sz w:val="21"/>
          <w:szCs w:val="21"/>
        </w:rPr>
        <w:t xml:space="preserve"> </w:t>
      </w:r>
    </w:p>
    <w:p w:rsidR="00980E71" w:rsidRPr="00E2140C" w:rsidP="004B4D28" w14:paraId="751043F1" w14:textId="3A86F77E">
      <w:pPr>
        <w:tabs>
          <w:tab w:val="left" w:pos="1890"/>
        </w:tabs>
        <w:spacing w:after="160"/>
        <w:ind w:left="648"/>
        <w:rPr>
          <w:sz w:val="21"/>
          <w:szCs w:val="21"/>
        </w:rPr>
      </w:pPr>
      <w:r w:rsidRPr="00E2140C">
        <w:rPr>
          <w:b/>
          <w:sz w:val="21"/>
          <w:szCs w:val="21"/>
        </w:rPr>
        <w:t>FROM</w:t>
      </w:r>
      <w:r w:rsidRPr="00E2140C">
        <w:rPr>
          <w:sz w:val="21"/>
          <w:szCs w:val="21"/>
        </w:rPr>
        <w:t>:</w:t>
      </w:r>
      <w:r w:rsidRPr="00E2140C">
        <w:rPr>
          <w:sz w:val="21"/>
          <w:szCs w:val="21"/>
        </w:rPr>
        <w:tab/>
        <w:t>Inspector General</w:t>
      </w:r>
      <w:r w:rsidRPr="00E2140C" w:rsidR="00B757A8">
        <w:rPr>
          <w:sz w:val="21"/>
          <w:szCs w:val="21"/>
        </w:rPr>
        <w:t xml:space="preserve"> </w:t>
      </w:r>
      <w:r w:rsidRPr="00E2140C" w:rsidR="00B757A8">
        <w:rPr>
          <w:noProof/>
          <w:sz w:val="21"/>
          <w:szCs w:val="21"/>
        </w:rPr>
        <w:drawing>
          <wp:inline distT="0" distB="0" distL="0" distR="0">
            <wp:extent cx="387350" cy="394457"/>
            <wp:effectExtent l="0" t="0" r="0" b="5715"/>
            <wp:docPr id="56" name="Picture 5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0430" cy="397594"/>
                    </a:xfrm>
                    <a:prstGeom prst="rect">
                      <a:avLst/>
                    </a:prstGeom>
                    <a:noFill/>
                    <a:ln>
                      <a:noFill/>
                    </a:ln>
                  </pic:spPr>
                  <a:extLst>
                    <a:ext xmlns:a="http://schemas.openxmlformats.org/drawingml/2006/main" uri="{C183D7F6-B498-43B3-948B-1728B52AA6E4}">
                      <adec:decorative xmlns:adec="http://schemas.microsoft.com/office/drawing/2017/decorative" val="1"/>
                    </a:ext>
                  </a:extLst>
                </pic:pic>
              </a:graphicData>
            </a:graphic>
          </wp:inline>
        </w:drawing>
      </w:r>
    </w:p>
    <w:p w:rsidR="00980E71" w:rsidRPr="00E2140C" w:rsidP="00361B3A" w14:paraId="2F095C2C" w14:textId="77777777">
      <w:pPr>
        <w:pStyle w:val="CM23"/>
        <w:spacing w:after="160"/>
        <w:ind w:left="1872" w:right="576" w:hanging="1224"/>
        <w:rPr>
          <w:sz w:val="21"/>
          <w:szCs w:val="21"/>
        </w:rPr>
      </w:pPr>
      <w:r w:rsidRPr="00E2140C">
        <w:rPr>
          <w:b/>
          <w:sz w:val="21"/>
          <w:szCs w:val="21"/>
        </w:rPr>
        <w:t>SUBJECT</w:t>
      </w:r>
      <w:r w:rsidRPr="00E2140C">
        <w:rPr>
          <w:sz w:val="21"/>
          <w:szCs w:val="21"/>
        </w:rPr>
        <w:t>:</w:t>
      </w:r>
      <w:r w:rsidRPr="00E2140C">
        <w:rPr>
          <w:sz w:val="21"/>
          <w:szCs w:val="21"/>
        </w:rPr>
        <w:tab/>
        <w:t>Audit of the Federal Communications Commission’s Financial Statements for Fiscal Year 2021 (Report No. 21-AUD-06-01)</w:t>
      </w:r>
    </w:p>
    <w:p w:rsidR="00980E71" w:rsidRPr="00E2140C" w:rsidP="004E7D00" w14:paraId="4C147E2F" w14:textId="40DF3726">
      <w:pPr>
        <w:spacing w:after="260"/>
        <w:ind w:left="648" w:right="576"/>
        <w:rPr>
          <w:sz w:val="21"/>
          <w:szCs w:val="21"/>
        </w:rPr>
      </w:pPr>
      <w:r w:rsidRPr="00E2140C">
        <w:rPr>
          <w:sz w:val="21"/>
          <w:szCs w:val="21"/>
        </w:rPr>
        <w:t>As required by the Accountability of Tax Dollars Act of 2002 (Pub. L. 107-289), the Office of Inspector General (OIG) engaged the independent certified public accounting firm of Kearney &amp; Company, P.C. (Kearney) to audit, in accordance with generally accepted government auditing standards, the Federal Communications Commission’s (FCC) fiscal year (FY) 2021 financial statements.</w:t>
      </w:r>
      <w:r w:rsidRPr="00E2140C" w:rsidR="009218AF">
        <w:rPr>
          <w:sz w:val="21"/>
          <w:szCs w:val="21"/>
        </w:rPr>
        <w:t xml:space="preserve"> </w:t>
      </w:r>
    </w:p>
    <w:p w:rsidR="00980E71" w:rsidRPr="00E2140C" w:rsidP="00864FF5" w14:paraId="42171EEF" w14:textId="75D15491">
      <w:pPr>
        <w:spacing w:after="200"/>
        <w:ind w:left="648" w:right="576"/>
        <w:rPr>
          <w:sz w:val="21"/>
          <w:szCs w:val="21"/>
        </w:rPr>
      </w:pPr>
      <w:r w:rsidRPr="00E2140C">
        <w:rPr>
          <w:sz w:val="21"/>
          <w:szCs w:val="21"/>
        </w:rPr>
        <w:t>Kearney’s reports include an opinion on FCC’s financial statements, a report on internal control over financial reporting, and a report on compliance and other matters. Kearney found that</w:t>
      </w:r>
      <w:r w:rsidRPr="00E2140C" w:rsidR="009218AF">
        <w:rPr>
          <w:sz w:val="21"/>
          <w:szCs w:val="21"/>
        </w:rPr>
        <w:t xml:space="preserve"> </w:t>
      </w:r>
      <w:r w:rsidRPr="00E2140C">
        <w:rPr>
          <w:sz w:val="21"/>
          <w:szCs w:val="21"/>
        </w:rPr>
        <w:t xml:space="preserve">the financial statements were fairly presented in all material respects, in conformity with U.S. generally accepted accounting principles. In addition, Kearney did not find any reportable instances of noncompliance with laws, regulations and contracts applicable to FCC. </w:t>
      </w:r>
    </w:p>
    <w:p w:rsidR="00980E71" w:rsidRPr="00E2140C" w:rsidP="0060192E" w14:paraId="0B2EC903" w14:textId="77777777">
      <w:pPr>
        <w:spacing w:after="260"/>
        <w:ind w:left="648" w:right="576"/>
        <w:rPr>
          <w:sz w:val="21"/>
          <w:szCs w:val="21"/>
        </w:rPr>
      </w:pPr>
      <w:r w:rsidRPr="00E2140C">
        <w:rPr>
          <w:sz w:val="21"/>
          <w:szCs w:val="21"/>
        </w:rPr>
        <w:t xml:space="preserve">However, Kearney identified two significant deficiencies in internal control over financial reporting: </w:t>
      </w:r>
    </w:p>
    <w:p w:rsidR="00980E71" w:rsidRPr="00E2140C" w:rsidP="0060192E" w14:paraId="2D37F9A2" w14:textId="22123429">
      <w:pPr>
        <w:pStyle w:val="ListParagraph"/>
        <w:numPr>
          <w:ilvl w:val="0"/>
          <w:numId w:val="21"/>
        </w:numPr>
        <w:spacing w:after="120"/>
        <w:ind w:left="1368" w:right="720"/>
        <w:rPr>
          <w:sz w:val="21"/>
          <w:szCs w:val="21"/>
        </w:rPr>
      </w:pPr>
      <w:r w:rsidRPr="00E2140C">
        <w:rPr>
          <w:sz w:val="21"/>
          <w:szCs w:val="21"/>
        </w:rPr>
        <w:t xml:space="preserve">The first deficiency was related to information technology (IT) controls at FCC and Universal Service Fund (USF), which was a repeat issue from the fiscal year 2020 and prior year audit reports; and </w:t>
      </w:r>
    </w:p>
    <w:p w:rsidR="00980E71" w:rsidRPr="00E2140C" w:rsidP="00361441" w14:paraId="577079BE" w14:textId="77777777">
      <w:pPr>
        <w:pStyle w:val="ListParagraph"/>
        <w:numPr>
          <w:ilvl w:val="0"/>
          <w:numId w:val="21"/>
        </w:numPr>
        <w:spacing w:after="260"/>
        <w:ind w:left="1368" w:right="576"/>
        <w:contextualSpacing/>
        <w:rPr>
          <w:sz w:val="21"/>
          <w:szCs w:val="21"/>
        </w:rPr>
      </w:pPr>
      <w:r w:rsidRPr="00E2140C">
        <w:rPr>
          <w:sz w:val="21"/>
          <w:szCs w:val="21"/>
        </w:rPr>
        <w:t>The second deficiency resulted from a material erroneous financial transaction for civil money penalty (CMP) receivables and custodial revenues that was not detected by the FCC’s internal controls.</w:t>
      </w:r>
    </w:p>
    <w:p w:rsidR="00DB46C5" w:rsidP="0060192E" w14:paraId="7F994D46" w14:textId="77777777">
      <w:pPr>
        <w:spacing w:after="260"/>
        <w:ind w:left="648" w:right="576"/>
        <w:rPr>
          <w:rFonts w:eastAsia="Calibri"/>
          <w:bCs/>
          <w:color w:val="000000"/>
          <w:sz w:val="21"/>
          <w:szCs w:val="21"/>
        </w:rPr>
        <w:sectPr w:rsidSect="00C76409">
          <w:type w:val="continuous"/>
          <w:pgSz w:w="12240" w:h="15840" w:code="1"/>
          <w:pgMar w:top="810" w:right="1440" w:bottom="1152" w:left="1440" w:header="540" w:footer="827" w:gutter="0"/>
          <w:cols w:space="720"/>
        </w:sectPr>
      </w:pPr>
      <w:r w:rsidRPr="00E2140C">
        <w:rPr>
          <w:rFonts w:eastAsia="Calibri"/>
          <w:bCs/>
          <w:color w:val="000000"/>
          <w:sz w:val="21"/>
          <w:szCs w:val="21"/>
        </w:rPr>
        <w:t xml:space="preserve">The internal control report summarizes the IT deficiencies noted during the </w:t>
      </w:r>
      <w:r w:rsidRPr="00E2140C">
        <w:rPr>
          <w:sz w:val="21"/>
          <w:szCs w:val="21"/>
        </w:rPr>
        <w:t>Federal Information Security Management Act (</w:t>
      </w:r>
      <w:r w:rsidRPr="00E2140C">
        <w:rPr>
          <w:rFonts w:eastAsia="Calibri"/>
          <w:bCs/>
          <w:color w:val="000000"/>
          <w:sz w:val="21"/>
          <w:szCs w:val="21"/>
        </w:rPr>
        <w:t xml:space="preserve">FISMA) evaluation and IT testing in support of the financial statement audit and CMP financial reporting control deficiency. Kearney deemed the aggregate of the IT deficiencies to be a significant deficiency in financial reporting. Kearney made </w:t>
      </w:r>
      <w:r w:rsidRPr="00E2140C">
        <w:rPr>
          <w:sz w:val="21"/>
          <w:szCs w:val="21"/>
        </w:rPr>
        <w:t xml:space="preserve">13 recommendations to improve the effectiveness of IT controls over FCC and Universal Service Administrative Company systems. </w:t>
      </w:r>
      <w:r w:rsidRPr="00E2140C">
        <w:rPr>
          <w:rFonts w:eastAsia="Calibri"/>
          <w:bCs/>
          <w:color w:val="000000"/>
          <w:sz w:val="21"/>
          <w:szCs w:val="21"/>
        </w:rPr>
        <w:t>The details of the IT findings and recommendations are includ</w:t>
      </w:r>
      <w:r w:rsidRPr="00E2140C">
        <w:rPr>
          <w:sz w:val="21"/>
          <w:szCs w:val="21"/>
        </w:rPr>
        <w:t xml:space="preserve">ed in the separate FISMA evaluation report. In addition, Kearney made </w:t>
      </w:r>
      <w:r w:rsidRPr="00E2140C">
        <w:rPr>
          <w:rFonts w:eastAsia="Calibri"/>
          <w:bCs/>
          <w:color w:val="000000"/>
          <w:sz w:val="21"/>
          <w:szCs w:val="21"/>
        </w:rPr>
        <w:t>3 new recommendations to strengthen the processes and controls over CMP receivables and custodial revenues.</w:t>
      </w:r>
    </w:p>
    <w:p w:rsidR="00C76409" w:rsidRPr="00E2140C" w:rsidP="002A39E0" w14:paraId="37218626" w14:textId="77777777">
      <w:pPr>
        <w:spacing w:before="600" w:after="240"/>
        <w:ind w:left="648" w:right="432"/>
        <w:rPr>
          <w:sz w:val="21"/>
          <w:szCs w:val="21"/>
        </w:rPr>
      </w:pPr>
      <w:r w:rsidRPr="00E2140C">
        <w:rPr>
          <w:sz w:val="21"/>
          <w:szCs w:val="21"/>
        </w:rPr>
        <w:t xml:space="preserve">Kearney is responsible for the attached auditor’s report, dated November 15, 2021, and conclusions expressed therein. In connection with our contract, we reviewed Kearney’s reports and related documentation and inquired of its representatives. Our review did not disclose any instances where Kearney did not comply, in all material respects, with Government Auditing Standards. Our review, as differentiated from an audit of the financial statements in accordance with U.S. generally accepted auditing standards, was not intended to enable us to express, and accordingly, we do not express opinions on FCC’s financial statements or internal control over financial reporting, or on compliance with laws and regulations and other matters. </w:t>
      </w:r>
    </w:p>
    <w:p w:rsidR="00C76409" w:rsidRPr="00E2140C" w:rsidP="00864FF5" w14:paraId="34C160BE" w14:textId="77777777">
      <w:pPr>
        <w:spacing w:after="240"/>
        <w:ind w:left="648" w:right="288"/>
        <w:rPr>
          <w:sz w:val="21"/>
          <w:szCs w:val="21"/>
        </w:rPr>
      </w:pPr>
      <w:r w:rsidRPr="00E2140C">
        <w:rPr>
          <w:sz w:val="21"/>
          <w:szCs w:val="21"/>
        </w:rPr>
        <w:t>The Office of Inspector General appreciates the cooperation and courtesies you extended to our staff and Kearney’s staff during the audit.</w:t>
      </w:r>
    </w:p>
    <w:p w:rsidR="00C76409" w:rsidRPr="00E2140C" w:rsidP="009E65F4" w14:paraId="6B9DF39E" w14:textId="5C28B662">
      <w:pPr>
        <w:tabs>
          <w:tab w:val="left" w:pos="450"/>
          <w:tab w:val="left" w:pos="1080"/>
        </w:tabs>
        <w:ind w:left="648"/>
        <w:rPr>
          <w:sz w:val="21"/>
          <w:szCs w:val="21"/>
        </w:rPr>
      </w:pPr>
      <w:r w:rsidRPr="00E2140C">
        <w:rPr>
          <w:sz w:val="21"/>
          <w:szCs w:val="21"/>
        </w:rPr>
        <w:t>cc:</w:t>
      </w:r>
      <w:r w:rsidRPr="00E2140C">
        <w:rPr>
          <w:sz w:val="21"/>
          <w:szCs w:val="21"/>
        </w:rPr>
        <w:tab/>
      </w:r>
      <w:r w:rsidRPr="00E2140C" w:rsidR="00A214F5">
        <w:rPr>
          <w:sz w:val="21"/>
          <w:szCs w:val="21"/>
        </w:rPr>
        <w:t xml:space="preserve"> </w:t>
      </w:r>
      <w:r w:rsidRPr="00E2140C">
        <w:rPr>
          <w:sz w:val="21"/>
          <w:szCs w:val="21"/>
        </w:rPr>
        <w:t>Managing Director</w:t>
      </w:r>
    </w:p>
    <w:p w:rsidR="00C76409" w:rsidRPr="00E2140C" w:rsidP="00864FF5" w14:paraId="2597EA1D" w14:textId="3964F2F6">
      <w:pPr>
        <w:tabs>
          <w:tab w:val="left" w:pos="450"/>
        </w:tabs>
        <w:ind w:left="648" w:firstLine="450"/>
        <w:rPr>
          <w:sz w:val="21"/>
          <w:szCs w:val="21"/>
        </w:rPr>
      </w:pPr>
      <w:r w:rsidRPr="00E2140C">
        <w:rPr>
          <w:sz w:val="21"/>
          <w:szCs w:val="21"/>
        </w:rPr>
        <w:t>Chief of Staff</w:t>
      </w:r>
    </w:p>
    <w:p w:rsidR="00C76409" w:rsidRPr="00E2140C" w:rsidP="00864FF5" w14:paraId="4FFD1BCC" w14:textId="70C98A80">
      <w:pPr>
        <w:tabs>
          <w:tab w:val="left" w:pos="450"/>
        </w:tabs>
        <w:ind w:left="648" w:firstLine="450"/>
        <w:rPr>
          <w:sz w:val="21"/>
          <w:szCs w:val="21"/>
        </w:rPr>
      </w:pPr>
      <w:r w:rsidRPr="00E2140C">
        <w:rPr>
          <w:sz w:val="21"/>
          <w:szCs w:val="21"/>
        </w:rPr>
        <w:t>Chief Financial Officer</w:t>
      </w:r>
    </w:p>
    <w:p w:rsidR="00C76409" w:rsidRPr="00DF33A5" w:rsidP="00864FF5" w14:paraId="7B1E5322" w14:textId="7ED3471C">
      <w:pPr>
        <w:tabs>
          <w:tab w:val="left" w:pos="450"/>
        </w:tabs>
        <w:ind w:left="648" w:firstLine="450"/>
        <w:rPr>
          <w:color w:val="000000"/>
          <w:sz w:val="22"/>
          <w:szCs w:val="22"/>
        </w:rPr>
      </w:pPr>
      <w:r w:rsidRPr="00E2140C">
        <w:rPr>
          <w:sz w:val="21"/>
          <w:szCs w:val="21"/>
        </w:rPr>
        <w:t>Chief Information Officer</w:t>
      </w:r>
      <w:r w:rsidRPr="00DF33A5">
        <w:rPr>
          <w:color w:val="000000"/>
          <w:sz w:val="22"/>
          <w:szCs w:val="22"/>
        </w:rPr>
        <w:t xml:space="preserve"> </w:t>
      </w:r>
    </w:p>
    <w:p w:rsidR="00EA1FB8" w:rsidP="00EA1FB8" w14:paraId="1374249A" w14:textId="77777777">
      <w:pPr>
        <w:rPr>
          <w:sz w:val="22"/>
        </w:rPr>
        <w:sectPr w:rsidSect="00DB46C5">
          <w:pgSz w:w="12240" w:h="15840" w:code="1"/>
          <w:pgMar w:top="810" w:right="1440" w:bottom="1152" w:left="1440" w:header="540" w:footer="827" w:gutter="0"/>
          <w:cols w:space="720"/>
        </w:sectPr>
      </w:pPr>
    </w:p>
    <w:p w:rsidR="00DF03E7" w:rsidRPr="00DF03E7" w:rsidP="00934C3D" w14:paraId="78E86883" w14:textId="7EF8DBEC">
      <w:pPr>
        <w:pStyle w:val="Heading3"/>
        <w:spacing w:after="200"/>
      </w:pPr>
      <w:bookmarkStart w:id="83" w:name="_Toc85811533"/>
      <w:bookmarkStart w:id="84" w:name="_Toc88780534"/>
      <w:bookmarkStart w:id="85" w:name="_Toc88780647"/>
      <w:r w:rsidRPr="00EA1FB8">
        <w:t>Independent Auditor’s Report</w:t>
      </w:r>
      <w:bookmarkEnd w:id="82"/>
      <w:bookmarkEnd w:id="83"/>
      <w:bookmarkEnd w:id="84"/>
      <w:bookmarkEnd w:id="85"/>
    </w:p>
    <w:p w:rsidR="00DF03E7" w:rsidP="00E40A77" w14:paraId="7FEE910E" w14:textId="77777777">
      <w:pPr>
        <w:pStyle w:val="Header"/>
        <w:tabs>
          <w:tab w:val="left" w:pos="3960"/>
          <w:tab w:val="left" w:pos="4140"/>
          <w:tab w:val="left" w:pos="4500"/>
          <w:tab w:val="left" w:pos="5040"/>
          <w:tab w:val="left" w:pos="5580"/>
          <w:tab w:val="left" w:pos="5940"/>
          <w:tab w:val="left" w:pos="6480"/>
          <w:tab w:val="left" w:pos="6750"/>
        </w:tabs>
        <w:ind w:right="-90" w:hanging="180"/>
        <w:rPr>
          <w:b/>
          <w:bCs/>
          <w:sz w:val="10"/>
          <w:szCs w:val="10"/>
        </w:rPr>
        <w:sectPr w:rsidSect="00FF24CD">
          <w:headerReference w:type="default" r:id="rId46"/>
          <w:footerReference w:type="default" r:id="rId47"/>
          <w:headerReference w:type="first" r:id="rId48"/>
          <w:footnotePr>
            <w:numRestart w:val="eachSect"/>
          </w:footnotePr>
          <w:pgSz w:w="12240" w:h="15840" w:code="1"/>
          <w:pgMar w:top="990" w:right="1620" w:bottom="1152" w:left="1440" w:header="540" w:footer="720" w:gutter="0"/>
          <w:cols w:space="720"/>
          <w:titlePg/>
          <w:docGrid w:linePitch="326"/>
        </w:sectPr>
      </w:pPr>
    </w:p>
    <w:p w:rsidR="00E40A77" w:rsidRPr="0027752E" w:rsidP="00934C3D" w14:paraId="3AE4E967" w14:textId="74F419C0">
      <w:pPr>
        <w:pStyle w:val="Header"/>
        <w:tabs>
          <w:tab w:val="left" w:pos="3960"/>
          <w:tab w:val="left" w:pos="4140"/>
          <w:tab w:val="left" w:pos="4500"/>
          <w:tab w:val="left" w:pos="5040"/>
          <w:tab w:val="left" w:pos="5580"/>
          <w:tab w:val="left" w:pos="5940"/>
          <w:tab w:val="left" w:pos="6480"/>
          <w:tab w:val="left" w:pos="6750"/>
        </w:tabs>
        <w:ind w:left="720" w:right="-90" w:hanging="180"/>
        <w:rPr>
          <w:b/>
          <w:bCs/>
          <w:sz w:val="10"/>
          <w:szCs w:val="10"/>
        </w:rPr>
      </w:pPr>
      <w:r w:rsidRPr="000922BB">
        <w:rPr>
          <w:noProof/>
          <w:szCs w:val="24"/>
        </w:rPr>
        <w:drawing>
          <wp:inline distT="0" distB="0" distL="0" distR="0">
            <wp:extent cx="831850" cy="463232"/>
            <wp:effectExtent l="0" t="0" r="6350" b="0"/>
            <wp:docPr id="90" name="Picture 90" descr="Kearney &amp;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Kearney &amp; Company logo"/>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54350" cy="475762"/>
                    </a:xfrm>
                    <a:prstGeom prst="rect">
                      <a:avLst/>
                    </a:prstGeom>
                    <a:noFill/>
                    <a:ln>
                      <a:noFill/>
                    </a:ln>
                  </pic:spPr>
                </pic:pic>
              </a:graphicData>
            </a:graphic>
          </wp:inline>
        </w:drawing>
      </w:r>
    </w:p>
    <w:p w:rsidR="00DF03E7" w:rsidRPr="00B5450A" w:rsidP="00576B1F" w14:paraId="7812F909" w14:textId="051A8092">
      <w:pPr>
        <w:pBdr>
          <w:top w:val="single" w:sz="4" w:space="1" w:color="auto"/>
        </w:pBdr>
        <w:tabs>
          <w:tab w:val="left" w:pos="2790"/>
          <w:tab w:val="left" w:pos="2880"/>
          <w:tab w:val="left" w:pos="2970"/>
        </w:tabs>
        <w:spacing w:before="560" w:line="200" w:lineRule="exact"/>
        <w:ind w:left="-86" w:firstLine="2966"/>
        <w:rPr>
          <w:color w:val="595959"/>
          <w:sz w:val="15"/>
          <w:szCs w:val="15"/>
        </w:rPr>
      </w:pPr>
      <w:r w:rsidRPr="00B5450A">
        <w:rPr>
          <w:color w:val="595959"/>
          <w:sz w:val="15"/>
          <w:szCs w:val="15"/>
        </w:rPr>
        <w:tab/>
        <w:t xml:space="preserve"> </w:t>
      </w:r>
      <w:r w:rsidRPr="00B5450A">
        <w:rPr>
          <w:color w:val="595959"/>
          <w:sz w:val="15"/>
          <w:szCs w:val="15"/>
        </w:rPr>
        <w:t>1701 Duke Street, Suite 500, Alexandria, VA 22314</w:t>
      </w:r>
    </w:p>
    <w:p w:rsidR="00DF03E7" w:rsidRPr="00B5450A" w:rsidP="006873CF" w14:paraId="0AE8C3B0" w14:textId="7E175C6F">
      <w:pPr>
        <w:pStyle w:val="BodyText"/>
        <w:ind w:firstLine="3024"/>
        <w:rPr>
          <w:sz w:val="15"/>
          <w:szCs w:val="15"/>
        </w:rPr>
      </w:pPr>
      <w:r w:rsidRPr="00B5450A">
        <w:rPr>
          <w:sz w:val="15"/>
          <w:szCs w:val="15"/>
        </w:rPr>
        <w:t xml:space="preserve">PH: 703.931.5600, FX: 703.931.3655, </w:t>
      </w:r>
      <w:hyperlink r:id="rId50" w:history="1">
        <w:r w:rsidRPr="00B5450A" w:rsidR="00E11F73">
          <w:rPr>
            <w:rStyle w:val="Hyperlink"/>
            <w:smallCaps w:val="0"/>
            <w:sz w:val="15"/>
            <w:szCs w:val="15"/>
          </w:rPr>
          <w:t>www.kearneyco.com</w:t>
        </w:r>
      </w:hyperlink>
    </w:p>
    <w:p w:rsidR="00DF03E7" w:rsidP="00DF03E7" w14:paraId="6C7C3B19" w14:textId="77777777">
      <w:pPr>
        <w:sectPr w:rsidSect="00FC14E1">
          <w:footnotePr>
            <w:numRestart w:val="eachSect"/>
          </w:footnotePr>
          <w:type w:val="continuous"/>
          <w:pgSz w:w="12240" w:h="15840" w:code="1"/>
          <w:pgMar w:top="990" w:right="1620" w:bottom="1152" w:left="1440" w:header="540" w:footer="720" w:gutter="0"/>
          <w:cols w:num="2" w:space="0" w:equalWidth="0">
            <w:col w:w="1872"/>
            <w:col w:w="7308"/>
          </w:cols>
          <w:titlePg/>
          <w:docGrid w:linePitch="326"/>
        </w:sectPr>
      </w:pPr>
    </w:p>
    <w:p w:rsidR="00CF3B38" w:rsidRPr="00395ABD" w:rsidP="00D76EE1" w14:paraId="31714906" w14:textId="69C2EBEE">
      <w:pPr>
        <w:spacing w:before="600" w:after="240"/>
        <w:jc w:val="center"/>
        <w:rPr>
          <w:b/>
          <w:bCs/>
          <w:sz w:val="21"/>
          <w:szCs w:val="21"/>
        </w:rPr>
      </w:pPr>
      <w:r w:rsidRPr="00395ABD">
        <w:rPr>
          <w:b/>
          <w:bCs/>
          <w:sz w:val="21"/>
          <w:szCs w:val="21"/>
        </w:rPr>
        <w:t>INDEPENDENT AUDITOR’S REPORT</w:t>
      </w:r>
    </w:p>
    <w:p w:rsidR="00CF3B38" w:rsidRPr="00322842" w:rsidP="00844701" w14:paraId="620B3056" w14:textId="77777777">
      <w:pPr>
        <w:widowControl w:val="0"/>
        <w:spacing w:after="240"/>
        <w:ind w:left="504" w:right="432"/>
        <w:rPr>
          <w:sz w:val="21"/>
          <w:szCs w:val="21"/>
        </w:rPr>
      </w:pPr>
      <w:r w:rsidRPr="00322842">
        <w:rPr>
          <w:sz w:val="21"/>
          <w:szCs w:val="21"/>
        </w:rPr>
        <w:t>To the Chairwoman, Managing Director, and the Inspector General of the Federal Communications Commission:</w:t>
      </w:r>
    </w:p>
    <w:p w:rsidR="00CF3B38" w:rsidRPr="00F34889" w:rsidP="000C0481" w14:paraId="567344FA" w14:textId="77777777">
      <w:pPr>
        <w:pStyle w:val="Heading4"/>
        <w:ind w:left="504"/>
        <w:rPr>
          <w:sz w:val="21"/>
          <w:szCs w:val="21"/>
        </w:rPr>
      </w:pPr>
      <w:bookmarkStart w:id="86" w:name="_Toc88780648"/>
      <w:r w:rsidRPr="00F34889">
        <w:rPr>
          <w:sz w:val="21"/>
          <w:szCs w:val="21"/>
        </w:rPr>
        <w:t>Report on the Financial Statements</w:t>
      </w:r>
      <w:bookmarkEnd w:id="86"/>
      <w:r w:rsidRPr="00F34889">
        <w:rPr>
          <w:i/>
          <w:sz w:val="21"/>
          <w:szCs w:val="21"/>
        </w:rPr>
        <w:t xml:space="preserve"> </w:t>
      </w:r>
    </w:p>
    <w:p w:rsidR="00CF3B38" w:rsidRPr="00322842" w:rsidP="00EF75B6" w14:paraId="2A0478F0" w14:textId="77777777">
      <w:pPr>
        <w:widowControl w:val="0"/>
        <w:spacing w:after="240"/>
        <w:ind w:left="504" w:right="432"/>
        <w:rPr>
          <w:sz w:val="21"/>
          <w:szCs w:val="21"/>
        </w:rPr>
      </w:pPr>
      <w:r w:rsidRPr="00322842">
        <w:rPr>
          <w:sz w:val="21"/>
          <w:szCs w:val="21"/>
        </w:rPr>
        <w:t xml:space="preserve">We have audited the accompanying consolidated financial statements of the Federal Communications Commission (FCC, which comprise the consolidated balance sheets as of September 30, 2021 and 2020, the related consolidated statements of net cost and changes in net position, the consolidated statement of custodial activity and the combined statements of budgetary resources (hereinafter referred to as the “financial statements”) for the years then ended, and the related notes to the financial statements. </w:t>
      </w:r>
    </w:p>
    <w:p w:rsidR="00CF3B38" w:rsidRPr="00322842" w:rsidP="00F256CE" w14:paraId="0C3AAB1B" w14:textId="77777777">
      <w:pPr>
        <w:pStyle w:val="Heading4"/>
        <w:ind w:left="504"/>
        <w:rPr>
          <w:i/>
          <w:sz w:val="21"/>
          <w:szCs w:val="21"/>
        </w:rPr>
      </w:pPr>
      <w:bookmarkStart w:id="87" w:name="_Toc88780649"/>
      <w:r w:rsidRPr="00322842">
        <w:rPr>
          <w:sz w:val="21"/>
          <w:szCs w:val="21"/>
        </w:rPr>
        <w:t>Management’s Responsibility for the Financial Statements</w:t>
      </w:r>
      <w:bookmarkEnd w:id="87"/>
      <w:r w:rsidRPr="00322842">
        <w:rPr>
          <w:sz w:val="21"/>
          <w:szCs w:val="21"/>
        </w:rPr>
        <w:t xml:space="preserve"> </w:t>
      </w:r>
    </w:p>
    <w:p w:rsidR="00CF3B38" w:rsidRPr="00322842" w:rsidP="00EF75B6" w14:paraId="6EF2A45E" w14:textId="77777777">
      <w:pPr>
        <w:widowControl w:val="0"/>
        <w:spacing w:after="240"/>
        <w:ind w:left="504" w:right="432"/>
        <w:rPr>
          <w:sz w:val="21"/>
          <w:szCs w:val="21"/>
        </w:rPr>
      </w:pPr>
      <w:r w:rsidRPr="00322842">
        <w:rPr>
          <w:sz w:val="21"/>
          <w:szCs w:val="21"/>
        </w:rPr>
        <w:t xml:space="preserve">Management is responsible for the preparation and fair presentation of these financial statements in accordance with accounting principles generally accepted in the United States of America; this includes the design, implementation, and maintenance of internal control relevant to the preparation and fair presentation of financial statements that are free from material misstatement, whether due to fraud or error. </w:t>
      </w:r>
    </w:p>
    <w:p w:rsidR="00CF3B38" w:rsidRPr="00322842" w:rsidP="00F256CE" w14:paraId="10626358" w14:textId="77777777">
      <w:pPr>
        <w:pStyle w:val="Heading4"/>
        <w:ind w:left="504"/>
        <w:rPr>
          <w:i/>
          <w:iCs/>
          <w:sz w:val="21"/>
          <w:szCs w:val="21"/>
        </w:rPr>
      </w:pPr>
      <w:bookmarkStart w:id="88" w:name="_Toc88780650"/>
      <w:r w:rsidRPr="00322842">
        <w:rPr>
          <w:sz w:val="21"/>
          <w:szCs w:val="21"/>
        </w:rPr>
        <w:t>Auditor’s Responsibility</w:t>
      </w:r>
      <w:bookmarkEnd w:id="88"/>
      <w:r w:rsidRPr="00322842">
        <w:rPr>
          <w:i/>
          <w:iCs/>
          <w:sz w:val="21"/>
          <w:szCs w:val="21"/>
        </w:rPr>
        <w:t xml:space="preserve"> </w:t>
      </w:r>
    </w:p>
    <w:p w:rsidR="00CF3B38" w:rsidRPr="00322842" w:rsidP="00EF75B6" w14:paraId="2BD57353" w14:textId="3F86CC25">
      <w:pPr>
        <w:widowControl w:val="0"/>
        <w:spacing w:after="240"/>
        <w:ind w:left="504" w:right="432"/>
        <w:rPr>
          <w:sz w:val="21"/>
          <w:szCs w:val="21"/>
        </w:rPr>
      </w:pPr>
      <w:r w:rsidRPr="00322842">
        <w:rPr>
          <w:sz w:val="21"/>
          <w:szCs w:val="21"/>
        </w:rPr>
        <w:t>Our responsibility is to express an opinion on these financial statements based on our audits.</w:t>
      </w:r>
      <w:r w:rsidRPr="00322842" w:rsidR="009218AF">
        <w:rPr>
          <w:sz w:val="21"/>
          <w:szCs w:val="21"/>
        </w:rPr>
        <w:t xml:space="preserve"> </w:t>
      </w:r>
      <w:r w:rsidRPr="00322842">
        <w:rPr>
          <w:sz w:val="21"/>
          <w:szCs w:val="21"/>
        </w:rPr>
        <w:t xml:space="preserve">We conducted our audits in accordance with auditing standards generally accepted in the United States of America; the standards applicable to financial audits contained in </w:t>
      </w:r>
      <w:r w:rsidRPr="00322842">
        <w:rPr>
          <w:i/>
          <w:sz w:val="21"/>
          <w:szCs w:val="21"/>
        </w:rPr>
        <w:t>Government Auditing Standards</w:t>
      </w:r>
      <w:r w:rsidRPr="00322842">
        <w:rPr>
          <w:sz w:val="21"/>
          <w:szCs w:val="21"/>
        </w:rPr>
        <w:t xml:space="preserve">, issued by the Comptroller General of the United States; and Office of Management and Budget (OMB) Bulletin No. 21-04, </w:t>
      </w:r>
      <w:r w:rsidRPr="00322842">
        <w:rPr>
          <w:i/>
          <w:sz w:val="21"/>
          <w:szCs w:val="21"/>
        </w:rPr>
        <w:t>Audit Requirements for Federal Financial Statements</w:t>
      </w:r>
      <w:r w:rsidRPr="00322842">
        <w:rPr>
          <w:sz w:val="21"/>
          <w:szCs w:val="21"/>
        </w:rPr>
        <w:t>.</w:t>
      </w:r>
      <w:r w:rsidRPr="00322842" w:rsidR="009218AF">
        <w:rPr>
          <w:sz w:val="21"/>
          <w:szCs w:val="21"/>
        </w:rPr>
        <w:t xml:space="preserve"> </w:t>
      </w:r>
      <w:r w:rsidRPr="00322842">
        <w:rPr>
          <w:sz w:val="21"/>
          <w:szCs w:val="21"/>
        </w:rPr>
        <w:t>Those standards and OMB Bulletin No. 21-04 require that we plan and perform the audit to obtain reasonable assurance about whether the financial statements are free from material misstatement.</w:t>
      </w:r>
      <w:r w:rsidRPr="00322842" w:rsidR="009218AF">
        <w:rPr>
          <w:sz w:val="21"/>
          <w:szCs w:val="21"/>
        </w:rPr>
        <w:t xml:space="preserve"> </w:t>
      </w:r>
    </w:p>
    <w:p w:rsidR="009E6333" w:rsidP="00451F8E" w14:paraId="78E9EE8F" w14:textId="77777777">
      <w:pPr>
        <w:widowControl w:val="0"/>
        <w:spacing w:after="240"/>
        <w:ind w:left="504" w:right="461"/>
        <w:rPr>
          <w:sz w:val="21"/>
          <w:szCs w:val="21"/>
        </w:rPr>
        <w:sectPr w:rsidSect="00DF03E7">
          <w:footnotePr>
            <w:numRestart w:val="eachSect"/>
          </w:footnotePr>
          <w:type w:val="continuous"/>
          <w:pgSz w:w="12240" w:h="15840" w:code="1"/>
          <w:pgMar w:top="990" w:right="1620" w:bottom="1152" w:left="1440" w:header="540" w:footer="720" w:gutter="0"/>
          <w:cols w:space="720"/>
          <w:titlePg/>
          <w:docGrid w:linePitch="326"/>
        </w:sectPr>
      </w:pPr>
      <w:r w:rsidRPr="00322842">
        <w:rPr>
          <w:sz w:val="21"/>
          <w:szCs w:val="21"/>
        </w:rPr>
        <w:t>An audit involves performing procedures to obtain audit evidence about the amounts and disclosures in the financial statements.</w:t>
      </w:r>
      <w:r w:rsidRPr="00322842" w:rsidR="009218AF">
        <w:rPr>
          <w:sz w:val="21"/>
          <w:szCs w:val="21"/>
        </w:rPr>
        <w:t xml:space="preserve"> </w:t>
      </w:r>
      <w:r w:rsidRPr="00322842">
        <w:rPr>
          <w:sz w:val="21"/>
          <w:szCs w:val="21"/>
        </w:rPr>
        <w:t>The procedures selected depend on the auditor’s judgment, including the assessment of the risks of material misstatement of the financial statements, whether due to fraud or error.</w:t>
      </w:r>
      <w:r w:rsidRPr="00322842" w:rsidR="009218AF">
        <w:rPr>
          <w:sz w:val="21"/>
          <w:szCs w:val="21"/>
        </w:rPr>
        <w:t xml:space="preserve"> </w:t>
      </w:r>
      <w:r w:rsidRPr="00322842">
        <w:rPr>
          <w:sz w:val="21"/>
          <w:szCs w:val="21"/>
        </w:rPr>
        <w:t xml:space="preserve">In making those risk assessments, the auditor </w:t>
      </w:r>
      <w:r w:rsidR="00451F8E">
        <w:rPr>
          <w:sz w:val="21"/>
          <w:szCs w:val="21"/>
        </w:rPr>
        <w:br/>
      </w:r>
      <w:r w:rsidRPr="00322842">
        <w:rPr>
          <w:sz w:val="21"/>
          <w:szCs w:val="21"/>
        </w:rPr>
        <w:t>considers internal control relevant to the entity’s preparation and fair presentation of the financial statements in order to design audit procedures that are appropriate in the circumstances, but not for the purpose of expressing an opinion on the effectiveness of the entity’s internal control.</w:t>
      </w:r>
      <w:r w:rsidRPr="00322842" w:rsidR="009218AF">
        <w:rPr>
          <w:sz w:val="21"/>
          <w:szCs w:val="21"/>
        </w:rPr>
        <w:t xml:space="preserve"> </w:t>
      </w:r>
      <w:r w:rsidRPr="00322842">
        <w:rPr>
          <w:sz w:val="21"/>
          <w:szCs w:val="21"/>
        </w:rPr>
        <w:t>Accordingly, we express no such opinion.</w:t>
      </w:r>
      <w:r w:rsidRPr="00322842" w:rsidR="009218AF">
        <w:rPr>
          <w:sz w:val="21"/>
          <w:szCs w:val="21"/>
        </w:rPr>
        <w:t xml:space="preserve"> </w:t>
      </w:r>
      <w:r w:rsidRPr="00322842">
        <w:rPr>
          <w:sz w:val="21"/>
          <w:szCs w:val="21"/>
        </w:rPr>
        <w:t>An audit also includes evaluating the appropriateness of accounting policies used and the reasonableness of significant accounting estimates made by management, as well as evaluating the overall presentation of the financial statements.</w:t>
      </w:r>
      <w:r w:rsidRPr="00322842" w:rsidR="009218AF">
        <w:rPr>
          <w:sz w:val="21"/>
          <w:szCs w:val="21"/>
        </w:rPr>
        <w:t xml:space="preserve"> </w:t>
      </w:r>
    </w:p>
    <w:p w:rsidR="00CF3B38" w:rsidRPr="00322842" w:rsidP="00B84E2D" w14:paraId="47792B84" w14:textId="1834263A">
      <w:pPr>
        <w:widowControl w:val="0"/>
        <w:spacing w:after="240"/>
        <w:ind w:left="504" w:right="432"/>
        <w:rPr>
          <w:sz w:val="21"/>
          <w:szCs w:val="21"/>
        </w:rPr>
      </w:pPr>
      <w:r w:rsidRPr="00322842">
        <w:rPr>
          <w:sz w:val="21"/>
          <w:szCs w:val="21"/>
        </w:rPr>
        <w:t>We believe that the audit evidence we have obtained is sufficient and appropriate to provide a basis for our audit opinion.</w:t>
      </w:r>
      <w:r w:rsidRPr="00322842" w:rsidR="009218AF">
        <w:rPr>
          <w:sz w:val="21"/>
          <w:szCs w:val="21"/>
        </w:rPr>
        <w:t xml:space="preserve"> </w:t>
      </w:r>
    </w:p>
    <w:p w:rsidR="00CF3B38" w:rsidRPr="00322842" w:rsidP="00F256CE" w14:paraId="74AE0A59" w14:textId="77777777">
      <w:pPr>
        <w:pStyle w:val="Heading4"/>
        <w:ind w:left="504"/>
        <w:rPr>
          <w:i/>
          <w:sz w:val="21"/>
          <w:szCs w:val="21"/>
        </w:rPr>
      </w:pPr>
      <w:bookmarkStart w:id="89" w:name="_Toc88780651"/>
      <w:r w:rsidRPr="00322842">
        <w:rPr>
          <w:sz w:val="21"/>
          <w:szCs w:val="21"/>
        </w:rPr>
        <w:t>Opinion</w:t>
      </w:r>
      <w:bookmarkEnd w:id="89"/>
      <w:r w:rsidRPr="00322842">
        <w:rPr>
          <w:i/>
          <w:sz w:val="21"/>
          <w:szCs w:val="21"/>
        </w:rPr>
        <w:t xml:space="preserve"> </w:t>
      </w:r>
    </w:p>
    <w:p w:rsidR="00CF3B38" w:rsidRPr="00322842" w:rsidP="00215C1A" w14:paraId="6AF1C35C" w14:textId="77777777">
      <w:pPr>
        <w:widowControl w:val="0"/>
        <w:spacing w:after="200"/>
        <w:ind w:left="504" w:right="576"/>
        <w:rPr>
          <w:sz w:val="21"/>
          <w:szCs w:val="21"/>
        </w:rPr>
      </w:pPr>
      <w:r w:rsidRPr="00322842">
        <w:rPr>
          <w:sz w:val="21"/>
          <w:szCs w:val="21"/>
        </w:rPr>
        <w:t>In our opinion, the financial statements referred to above present fairly, in all material respects, the financial position of the FCC as of September 30, 2021 and 2020 and its net cost of operations, changes in net position, custodial activities and budgetary resources for the years then ended, in accordance with accounting principles generally accepted in the United States of America.</w:t>
      </w:r>
    </w:p>
    <w:p w:rsidR="00CF3B38" w:rsidRPr="00322842" w:rsidP="00F256CE" w14:paraId="5F764C2F" w14:textId="77777777">
      <w:pPr>
        <w:pStyle w:val="Heading4"/>
        <w:ind w:left="504"/>
        <w:rPr>
          <w:sz w:val="21"/>
          <w:szCs w:val="21"/>
        </w:rPr>
      </w:pPr>
      <w:bookmarkStart w:id="90" w:name="_Toc88780652"/>
      <w:r w:rsidRPr="00322842">
        <w:rPr>
          <w:sz w:val="21"/>
          <w:szCs w:val="21"/>
        </w:rPr>
        <w:t>Other Matters</w:t>
      </w:r>
      <w:bookmarkEnd w:id="90"/>
      <w:r w:rsidRPr="00322842">
        <w:rPr>
          <w:i/>
          <w:sz w:val="21"/>
          <w:szCs w:val="21"/>
        </w:rPr>
        <w:t xml:space="preserve"> </w:t>
      </w:r>
    </w:p>
    <w:p w:rsidR="00CF3B38" w:rsidRPr="00F256CE" w:rsidP="00BD0A3E" w14:paraId="65086E1D" w14:textId="77777777">
      <w:pPr>
        <w:pStyle w:val="Heading5"/>
        <w:ind w:left="504"/>
        <w:rPr>
          <w:b w:val="0"/>
          <w:bCs/>
          <w:i/>
          <w:iCs/>
          <w:sz w:val="21"/>
          <w:szCs w:val="21"/>
        </w:rPr>
      </w:pPr>
      <w:bookmarkStart w:id="91" w:name="_Toc88780653"/>
      <w:r w:rsidRPr="00F256CE">
        <w:rPr>
          <w:b w:val="0"/>
          <w:bCs/>
          <w:i/>
          <w:iCs/>
          <w:sz w:val="21"/>
          <w:szCs w:val="21"/>
        </w:rPr>
        <w:t>Required Supplementary Information</w:t>
      </w:r>
      <w:bookmarkEnd w:id="91"/>
      <w:r w:rsidRPr="00F256CE">
        <w:rPr>
          <w:b w:val="0"/>
          <w:bCs/>
          <w:i/>
          <w:iCs/>
          <w:sz w:val="21"/>
          <w:szCs w:val="21"/>
        </w:rPr>
        <w:t xml:space="preserve"> </w:t>
      </w:r>
    </w:p>
    <w:p w:rsidR="00CF3B38" w:rsidRPr="00322842" w:rsidP="00D823A7" w14:paraId="21D3606A" w14:textId="743E973E">
      <w:pPr>
        <w:widowControl w:val="0"/>
        <w:autoSpaceDE w:val="0"/>
        <w:autoSpaceDN w:val="0"/>
        <w:spacing w:after="200"/>
        <w:ind w:left="504" w:right="475"/>
        <w:rPr>
          <w:i/>
          <w:sz w:val="21"/>
          <w:szCs w:val="21"/>
        </w:rPr>
      </w:pPr>
      <w:r w:rsidRPr="00322842">
        <w:rPr>
          <w:sz w:val="21"/>
          <w:szCs w:val="21"/>
        </w:rPr>
        <w:t>Accounting principles generally accepted in the United States of America require that the Management’s Discussion and Analysis and Schedule of Budgetary Resources by Major Account (hereinafter referred to as the “required supplementary information”) be presented to supplement the financial statements.</w:t>
      </w:r>
      <w:r w:rsidRPr="00322842" w:rsidR="009218AF">
        <w:rPr>
          <w:sz w:val="21"/>
          <w:szCs w:val="21"/>
        </w:rPr>
        <w:t xml:space="preserve"> </w:t>
      </w:r>
      <w:r w:rsidRPr="00322842">
        <w:rPr>
          <w:sz w:val="21"/>
          <w:szCs w:val="21"/>
        </w:rPr>
        <w:t>Such information, although not a part of the financial statements, is required by OMB and the Federal Accounting Standards Advisory Board (FASAB), who consider it to be an essential part of financial reporting for placing the financial statements in an appropriate operational, economic, or historical context.</w:t>
      </w:r>
      <w:r w:rsidRPr="00322842" w:rsidR="009218AF">
        <w:rPr>
          <w:sz w:val="21"/>
          <w:szCs w:val="21"/>
        </w:rPr>
        <w:t xml:space="preserve"> </w:t>
      </w:r>
      <w:r w:rsidRPr="00322842">
        <w:rPr>
          <w:sz w:val="21"/>
          <w:szCs w:val="21"/>
        </w:rPr>
        <w:t>We have applied certain limited procedures to the required supplementary information in accordance with auditing standards generally accepted in the United States of America, which consisted of inquiries of management regarding the methods of preparing the information and comparing it for consistency with management’s responses to our inquiries, the financial statements, and other knowledge we obtained during our audits of the financial statements.</w:t>
      </w:r>
      <w:r w:rsidRPr="00322842" w:rsidR="009218AF">
        <w:rPr>
          <w:sz w:val="21"/>
          <w:szCs w:val="21"/>
        </w:rPr>
        <w:t xml:space="preserve"> </w:t>
      </w:r>
      <w:r w:rsidRPr="00322842">
        <w:rPr>
          <w:sz w:val="21"/>
          <w:szCs w:val="21"/>
        </w:rPr>
        <w:t>We do not express an opinion or provide any assurance on the information because the limited procedures do not provide us with sufficient evidence to express an opinion or provide any assurance.</w:t>
      </w:r>
    </w:p>
    <w:p w:rsidR="00CF3B38" w:rsidRPr="00DB1D71" w:rsidP="00DB1D71" w14:paraId="6FBFB3C2" w14:textId="77777777">
      <w:pPr>
        <w:pStyle w:val="Heading5"/>
        <w:ind w:left="504"/>
        <w:rPr>
          <w:b w:val="0"/>
          <w:bCs/>
          <w:i/>
          <w:iCs/>
          <w:sz w:val="21"/>
          <w:szCs w:val="21"/>
        </w:rPr>
      </w:pPr>
      <w:bookmarkStart w:id="92" w:name="_Toc88780654"/>
      <w:r w:rsidRPr="00DB1D71">
        <w:rPr>
          <w:b w:val="0"/>
          <w:bCs/>
          <w:i/>
          <w:iCs/>
          <w:sz w:val="21"/>
          <w:szCs w:val="21"/>
        </w:rPr>
        <w:t>Other Information</w:t>
      </w:r>
      <w:bookmarkEnd w:id="92"/>
      <w:r w:rsidRPr="00DB1D71">
        <w:rPr>
          <w:b w:val="0"/>
          <w:bCs/>
          <w:i/>
          <w:iCs/>
          <w:sz w:val="21"/>
          <w:szCs w:val="21"/>
        </w:rPr>
        <w:t xml:space="preserve"> </w:t>
      </w:r>
    </w:p>
    <w:p w:rsidR="00CF3B38" w:rsidRPr="00322842" w:rsidP="00A4036C" w14:paraId="09785D61" w14:textId="0B4A0B3C">
      <w:pPr>
        <w:widowControl w:val="0"/>
        <w:spacing w:after="240"/>
        <w:ind w:left="504" w:right="432"/>
        <w:rPr>
          <w:b/>
          <w:bCs/>
          <w:sz w:val="21"/>
          <w:szCs w:val="21"/>
        </w:rPr>
      </w:pPr>
      <w:r w:rsidRPr="00322842">
        <w:rPr>
          <w:sz w:val="21"/>
          <w:szCs w:val="21"/>
        </w:rPr>
        <w:t>Our audits were conducted for the purpose of forming an opinion on the financial statements taken as a whole.</w:t>
      </w:r>
      <w:r w:rsidRPr="00322842" w:rsidR="009218AF">
        <w:rPr>
          <w:sz w:val="21"/>
          <w:szCs w:val="21"/>
        </w:rPr>
        <w:t xml:space="preserve"> </w:t>
      </w:r>
      <w:r w:rsidRPr="00322842">
        <w:rPr>
          <w:sz w:val="21"/>
          <w:szCs w:val="21"/>
        </w:rPr>
        <w:t>Other Information, as named in the Agency Financial Report, is presented for purposes of additional analysis and is not a required part of the financial statements.</w:t>
      </w:r>
      <w:r w:rsidRPr="00322842" w:rsidR="009218AF">
        <w:rPr>
          <w:sz w:val="21"/>
          <w:szCs w:val="21"/>
        </w:rPr>
        <w:t xml:space="preserve"> </w:t>
      </w:r>
      <w:r w:rsidRPr="00322842">
        <w:rPr>
          <w:sz w:val="21"/>
          <w:szCs w:val="21"/>
        </w:rPr>
        <w:t xml:space="preserve">Such information has not been subjected to the auditing procedures applied in the audit(s) of the financial statements; accordingly, we do not express an opinion or provide any assurance on it. </w:t>
      </w:r>
    </w:p>
    <w:p w:rsidR="00CF3B38" w:rsidRPr="00322842" w:rsidP="00DB1D71" w14:paraId="2D7B3686" w14:textId="77777777">
      <w:pPr>
        <w:pStyle w:val="Heading4"/>
        <w:ind w:left="504"/>
        <w:rPr>
          <w:sz w:val="21"/>
          <w:szCs w:val="21"/>
        </w:rPr>
      </w:pPr>
      <w:bookmarkStart w:id="93" w:name="_Toc88780655"/>
      <w:r w:rsidRPr="00322842">
        <w:rPr>
          <w:sz w:val="21"/>
          <w:szCs w:val="21"/>
        </w:rPr>
        <w:t xml:space="preserve">Other Reporting Required by </w:t>
      </w:r>
      <w:r w:rsidRPr="00322842">
        <w:rPr>
          <w:i/>
          <w:sz w:val="21"/>
          <w:szCs w:val="21"/>
        </w:rPr>
        <w:t>Government Auditing Standards</w:t>
      </w:r>
      <w:bookmarkEnd w:id="93"/>
      <w:r w:rsidRPr="00322842">
        <w:rPr>
          <w:sz w:val="21"/>
          <w:szCs w:val="21"/>
        </w:rPr>
        <w:t xml:space="preserve"> </w:t>
      </w:r>
    </w:p>
    <w:p w:rsidR="00CF3B38" w:rsidRPr="00322842" w:rsidP="00012928" w14:paraId="50AA749E" w14:textId="6626D8C7">
      <w:pPr>
        <w:widowControl w:val="0"/>
        <w:spacing w:after="240"/>
        <w:ind w:left="504" w:right="432"/>
        <w:rPr>
          <w:sz w:val="21"/>
          <w:szCs w:val="21"/>
        </w:rPr>
      </w:pPr>
      <w:r w:rsidRPr="00322842">
        <w:rPr>
          <w:sz w:val="21"/>
          <w:szCs w:val="21"/>
        </w:rPr>
        <w:t xml:space="preserve">In accordance with </w:t>
      </w:r>
      <w:r w:rsidRPr="00322842">
        <w:rPr>
          <w:i/>
          <w:iCs/>
          <w:sz w:val="21"/>
          <w:szCs w:val="21"/>
        </w:rPr>
        <w:t>Government Auditing Standards</w:t>
      </w:r>
      <w:r w:rsidRPr="00322842">
        <w:rPr>
          <w:sz w:val="21"/>
          <w:szCs w:val="21"/>
        </w:rPr>
        <w:t xml:space="preserve"> and OMB Bulletin No. 21-04, we have also issued reports, dated November 15, 2021, on our consideration of the FCC’s internal control over financial reporting and on our tests of the FCC’s compliance with provisions of applicable laws, regulations, contracts, and grant agreements, as well as other matters for the year ended</w:t>
      </w:r>
      <w:r w:rsidR="00B84E2D">
        <w:rPr>
          <w:sz w:val="21"/>
          <w:szCs w:val="21"/>
        </w:rPr>
        <w:br w:type="page"/>
      </w:r>
      <w:r w:rsidRPr="00322842">
        <w:rPr>
          <w:sz w:val="21"/>
          <w:szCs w:val="21"/>
        </w:rPr>
        <w:t>September 30, 2021.</w:t>
      </w:r>
      <w:r w:rsidRPr="00322842" w:rsidR="009218AF">
        <w:rPr>
          <w:sz w:val="21"/>
          <w:szCs w:val="21"/>
        </w:rPr>
        <w:t xml:space="preserve"> </w:t>
      </w:r>
      <w:r w:rsidRPr="00322842">
        <w:rPr>
          <w:sz w:val="21"/>
          <w:szCs w:val="21"/>
        </w:rPr>
        <w:t>The purpose of those reports is to describe the scope of our testing of internal control over financial reporting and compliance and the results of that testing, and not to provide an opinion on internal control over financial reporting or on compliance and other matters.</w:t>
      </w:r>
      <w:r w:rsidRPr="00322842" w:rsidR="009218AF">
        <w:rPr>
          <w:sz w:val="21"/>
          <w:szCs w:val="21"/>
        </w:rPr>
        <w:t xml:space="preserve"> </w:t>
      </w:r>
      <w:r w:rsidRPr="00322842">
        <w:rPr>
          <w:sz w:val="21"/>
          <w:szCs w:val="21"/>
        </w:rPr>
        <w:t xml:space="preserve">Those reports are an integral part of an audit performed in accordance with </w:t>
      </w:r>
      <w:r w:rsidRPr="00322842">
        <w:rPr>
          <w:i/>
          <w:iCs/>
          <w:sz w:val="21"/>
          <w:szCs w:val="21"/>
        </w:rPr>
        <w:t xml:space="preserve">Government Auditing Standards </w:t>
      </w:r>
      <w:r w:rsidRPr="00322842">
        <w:rPr>
          <w:sz w:val="21"/>
          <w:szCs w:val="21"/>
        </w:rPr>
        <w:t xml:space="preserve">and OMB Bulletin No. 21-04 and should be considered in assessing the results of our audits. </w:t>
      </w:r>
    </w:p>
    <w:p w:rsidR="00CF3B38" w:rsidRPr="00DA2C4E" w:rsidP="00515DE8" w14:paraId="1C1A9DA1" w14:textId="77777777">
      <w:pPr>
        <w:widowControl w:val="0"/>
        <w:ind w:left="504"/>
        <w:rPr>
          <w:spacing w:val="42"/>
          <w:sz w:val="21"/>
          <w:szCs w:val="21"/>
        </w:rPr>
      </w:pPr>
      <w:r w:rsidRPr="00DA2C4E">
        <w:rPr>
          <w:noProof/>
          <w:position w:val="-2"/>
          <w:sz w:val="21"/>
          <w:szCs w:val="21"/>
        </w:rPr>
        <w:drawing>
          <wp:inline distT="0" distB="0" distL="0" distR="0">
            <wp:extent cx="1612900" cy="458570"/>
            <wp:effectExtent l="0" t="0" r="6350" b="0"/>
            <wp:docPr id="60" name="Picture 60" descr="Kearney &amp;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Kearney &amp; Company"/>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1118" cy="466593"/>
                    </a:xfrm>
                    <a:prstGeom prst="rect">
                      <a:avLst/>
                    </a:prstGeom>
                    <a:noFill/>
                    <a:ln>
                      <a:noFill/>
                    </a:ln>
                  </pic:spPr>
                </pic:pic>
              </a:graphicData>
            </a:graphic>
          </wp:inline>
        </w:drawing>
      </w:r>
    </w:p>
    <w:p w:rsidR="00CF3B38" w:rsidRPr="00322842" w:rsidP="00884C00" w14:paraId="441DE834" w14:textId="77777777">
      <w:pPr>
        <w:widowControl w:val="0"/>
        <w:ind w:left="504"/>
        <w:rPr>
          <w:sz w:val="21"/>
          <w:szCs w:val="21"/>
        </w:rPr>
      </w:pPr>
      <w:r w:rsidRPr="00322842">
        <w:rPr>
          <w:sz w:val="21"/>
          <w:szCs w:val="21"/>
        </w:rPr>
        <w:t xml:space="preserve">Alexandria, Virginia </w:t>
      </w:r>
    </w:p>
    <w:p w:rsidR="00C07ED9" w:rsidRPr="00C463C4" w:rsidP="00884C00" w14:paraId="150767E0" w14:textId="1E303D9B">
      <w:pPr>
        <w:widowControl w:val="0"/>
        <w:ind w:left="504"/>
        <w:rPr>
          <w:szCs w:val="24"/>
        </w:rPr>
        <w:sectPr w:rsidSect="006D7EBF">
          <w:headerReference w:type="first" r:id="rId52"/>
          <w:footnotePr>
            <w:numRestart w:val="eachSect"/>
          </w:footnotePr>
          <w:pgSz w:w="12240" w:h="15840" w:code="1"/>
          <w:pgMar w:top="1300" w:right="1620" w:bottom="1152" w:left="1440" w:header="540" w:footer="720" w:gutter="0"/>
          <w:cols w:space="720"/>
          <w:titlePg/>
          <w:docGrid w:linePitch="326"/>
        </w:sectPr>
      </w:pPr>
      <w:r w:rsidRPr="00322842">
        <w:rPr>
          <w:sz w:val="21"/>
          <w:szCs w:val="21"/>
        </w:rPr>
        <w:t>November 15, 2021</w:t>
      </w:r>
      <w:r w:rsidRPr="00FD0F33">
        <w:rPr>
          <w:b/>
          <w:bCs/>
          <w:szCs w:val="24"/>
        </w:rPr>
        <w:t xml:space="preserve"> </w:t>
      </w:r>
    </w:p>
    <w:p w:rsidR="00C51C79" w:rsidP="00DF17FD" w14:paraId="5D871B9E" w14:textId="01221154">
      <w:pPr>
        <w:pStyle w:val="Heading3"/>
        <w:spacing w:before="260" w:after="300"/>
      </w:pPr>
      <w:bookmarkStart w:id="94" w:name="_Toc88780535"/>
      <w:bookmarkStart w:id="95" w:name="_Toc88780656"/>
      <w:r w:rsidRPr="00C51C79">
        <w:t xml:space="preserve">Independent </w:t>
      </w:r>
      <w:r w:rsidR="00532132">
        <w:t>A</w:t>
      </w:r>
      <w:r w:rsidRPr="00C51C79">
        <w:t xml:space="preserve">uditor’s </w:t>
      </w:r>
      <w:r w:rsidR="00532132">
        <w:t>R</w:t>
      </w:r>
      <w:r w:rsidRPr="00C51C79">
        <w:t xml:space="preserve">eport on </w:t>
      </w:r>
      <w:r w:rsidR="00532132">
        <w:t>I</w:t>
      </w:r>
      <w:r w:rsidRPr="00C51C79">
        <w:t xml:space="preserve">nternal </w:t>
      </w:r>
      <w:r w:rsidR="00532132">
        <w:t>C</w:t>
      </w:r>
      <w:r w:rsidRPr="00C51C79">
        <w:t xml:space="preserve">ontrol over </w:t>
      </w:r>
      <w:r w:rsidR="00532132">
        <w:t>F</w:t>
      </w:r>
      <w:r w:rsidRPr="00C51C79">
        <w:t xml:space="preserve">inancial </w:t>
      </w:r>
      <w:r w:rsidR="00532132">
        <w:t>R</w:t>
      </w:r>
      <w:r w:rsidRPr="00C51C79">
        <w:t>eporting</w:t>
      </w:r>
      <w:bookmarkEnd w:id="94"/>
      <w:bookmarkEnd w:id="95"/>
    </w:p>
    <w:p w:rsidR="00B64CA3" w:rsidP="00B64CA3" w14:paraId="17467A93" w14:textId="77777777">
      <w:pPr>
        <w:pStyle w:val="Header"/>
        <w:tabs>
          <w:tab w:val="left" w:pos="3960"/>
          <w:tab w:val="left" w:pos="4140"/>
          <w:tab w:val="left" w:pos="4500"/>
          <w:tab w:val="left" w:pos="5040"/>
          <w:tab w:val="left" w:pos="5580"/>
          <w:tab w:val="left" w:pos="5940"/>
          <w:tab w:val="left" w:pos="6480"/>
          <w:tab w:val="left" w:pos="6750"/>
        </w:tabs>
        <w:ind w:left="720" w:right="-90" w:hanging="180"/>
        <w:rPr>
          <w:b/>
          <w:bCs/>
          <w:sz w:val="10"/>
          <w:szCs w:val="10"/>
        </w:rPr>
        <w:sectPr w:rsidSect="00C51C79">
          <w:headerReference w:type="default" r:id="rId53"/>
          <w:footerReference w:type="default" r:id="rId54"/>
          <w:headerReference w:type="first" r:id="rId55"/>
          <w:footnotePr>
            <w:numRestart w:val="eachSect"/>
          </w:footnotePr>
          <w:pgSz w:w="12240" w:h="15840" w:code="1"/>
          <w:pgMar w:top="900" w:right="1440" w:bottom="1152" w:left="1440" w:header="720" w:footer="720" w:gutter="0"/>
          <w:cols w:space="720"/>
          <w:titlePg/>
          <w:docGrid w:linePitch="326"/>
        </w:sectPr>
      </w:pPr>
    </w:p>
    <w:p w:rsidR="00B64CA3" w:rsidRPr="0027752E" w:rsidP="00B64CA3" w14:paraId="6623EBA7" w14:textId="1D531482">
      <w:pPr>
        <w:pStyle w:val="Header"/>
        <w:tabs>
          <w:tab w:val="left" w:pos="3960"/>
          <w:tab w:val="left" w:pos="4140"/>
          <w:tab w:val="left" w:pos="4500"/>
          <w:tab w:val="left" w:pos="5040"/>
          <w:tab w:val="left" w:pos="5580"/>
          <w:tab w:val="left" w:pos="5940"/>
          <w:tab w:val="left" w:pos="6480"/>
          <w:tab w:val="left" w:pos="6750"/>
        </w:tabs>
        <w:ind w:left="720" w:right="-90" w:hanging="180"/>
        <w:rPr>
          <w:b/>
          <w:bCs/>
          <w:sz w:val="10"/>
          <w:szCs w:val="10"/>
        </w:rPr>
      </w:pPr>
      <w:r w:rsidRPr="000922BB">
        <w:rPr>
          <w:noProof/>
          <w:szCs w:val="24"/>
        </w:rPr>
        <w:drawing>
          <wp:inline distT="0" distB="0" distL="0" distR="0">
            <wp:extent cx="812800" cy="431800"/>
            <wp:effectExtent l="0" t="0" r="6350" b="6350"/>
            <wp:docPr id="55" name="Picture 55" descr="Kearney &amp;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Kearney &amp; Company logo"/>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33648" cy="442876"/>
                    </a:xfrm>
                    <a:prstGeom prst="rect">
                      <a:avLst/>
                    </a:prstGeom>
                    <a:noFill/>
                    <a:ln>
                      <a:noFill/>
                    </a:ln>
                  </pic:spPr>
                </pic:pic>
              </a:graphicData>
            </a:graphic>
          </wp:inline>
        </w:drawing>
      </w:r>
    </w:p>
    <w:p w:rsidR="00B64CA3" w:rsidRPr="00A50840" w:rsidP="00864B7F" w14:paraId="0B145756" w14:textId="77777777">
      <w:pPr>
        <w:pBdr>
          <w:top w:val="single" w:sz="4" w:space="1" w:color="auto"/>
        </w:pBdr>
        <w:tabs>
          <w:tab w:val="left" w:pos="2790"/>
          <w:tab w:val="left" w:pos="2880"/>
          <w:tab w:val="left" w:pos="2970"/>
        </w:tabs>
        <w:spacing w:before="580" w:line="200" w:lineRule="exact"/>
        <w:ind w:left="-86" w:firstLine="2966"/>
        <w:rPr>
          <w:color w:val="595959"/>
          <w:sz w:val="15"/>
          <w:szCs w:val="15"/>
        </w:rPr>
      </w:pPr>
      <w:r w:rsidRPr="00A50840">
        <w:rPr>
          <w:color w:val="595959"/>
          <w:sz w:val="15"/>
          <w:szCs w:val="15"/>
        </w:rPr>
        <w:tab/>
        <w:t xml:space="preserve"> 1701 Duke Street, Suite 500, Alexandria, VA 22314</w:t>
      </w:r>
    </w:p>
    <w:p w:rsidR="00B64CA3" w:rsidRPr="00A50840" w:rsidP="00B64CA3" w14:paraId="266746C6" w14:textId="77777777">
      <w:pPr>
        <w:pStyle w:val="BodyText"/>
        <w:ind w:firstLine="3024"/>
        <w:rPr>
          <w:sz w:val="15"/>
          <w:szCs w:val="15"/>
        </w:rPr>
      </w:pPr>
      <w:r w:rsidRPr="00A50840">
        <w:rPr>
          <w:sz w:val="15"/>
          <w:szCs w:val="15"/>
        </w:rPr>
        <w:t xml:space="preserve">PH: 703.931.5600, FX: 703.931.3655, </w:t>
      </w:r>
      <w:hyperlink r:id="rId50" w:history="1">
        <w:r w:rsidRPr="00A50840">
          <w:rPr>
            <w:rStyle w:val="Hyperlink"/>
            <w:smallCaps w:val="0"/>
            <w:sz w:val="15"/>
            <w:szCs w:val="15"/>
          </w:rPr>
          <w:t>www.kearneyco.com</w:t>
        </w:r>
      </w:hyperlink>
    </w:p>
    <w:p w:rsidR="00B64CA3" w:rsidP="00DB1D71" w14:paraId="7200EEB8" w14:textId="77777777">
      <w:pPr>
        <w:sectPr w:rsidSect="00B64CA3">
          <w:footnotePr>
            <w:numRestart w:val="eachSect"/>
          </w:footnotePr>
          <w:type w:val="continuous"/>
          <w:pgSz w:w="12240" w:h="15840" w:code="1"/>
          <w:pgMar w:top="900" w:right="1440" w:bottom="1152" w:left="1440" w:header="720" w:footer="720" w:gutter="0"/>
          <w:cols w:num="2" w:space="0" w:equalWidth="0">
            <w:col w:w="1872"/>
            <w:col w:w="7488"/>
          </w:cols>
          <w:titlePg/>
          <w:docGrid w:linePitch="326"/>
        </w:sectPr>
      </w:pPr>
    </w:p>
    <w:p w:rsidR="00337587" w:rsidRPr="00FE2088" w:rsidP="00DF17FD" w14:paraId="553A2540" w14:textId="2A7AFE0F">
      <w:pPr>
        <w:spacing w:before="1160" w:after="240"/>
        <w:ind w:right="144"/>
        <w:jc w:val="center"/>
        <w:rPr>
          <w:b/>
          <w:bCs/>
          <w:sz w:val="21"/>
          <w:szCs w:val="21"/>
        </w:rPr>
      </w:pPr>
      <w:r w:rsidRPr="00FE2088">
        <w:rPr>
          <w:b/>
          <w:bCs/>
          <w:sz w:val="21"/>
          <w:szCs w:val="21"/>
        </w:rPr>
        <w:t>INDEPENDENT AUDITOR’S REPORT ON INTERNAL CONTROL OVER</w:t>
      </w:r>
      <w:r w:rsidRPr="00FE2088" w:rsidR="00137873">
        <w:rPr>
          <w:b/>
          <w:bCs/>
          <w:sz w:val="21"/>
          <w:szCs w:val="21"/>
        </w:rPr>
        <w:br/>
      </w:r>
      <w:r w:rsidRPr="00FE2088">
        <w:rPr>
          <w:b/>
          <w:bCs/>
          <w:sz w:val="21"/>
          <w:szCs w:val="21"/>
        </w:rPr>
        <w:t>FINANCIAL REPORTING</w:t>
      </w:r>
    </w:p>
    <w:p w:rsidR="00337587" w:rsidRPr="008248D4" w:rsidP="00C54505" w14:paraId="3D061AB9" w14:textId="77777777">
      <w:pPr>
        <w:pStyle w:val="StyleNoSpacingTimesNewRoman"/>
        <w:spacing w:after="200"/>
        <w:ind w:left="504" w:right="576"/>
        <w:rPr>
          <w:sz w:val="21"/>
          <w:szCs w:val="21"/>
        </w:rPr>
      </w:pPr>
      <w:r w:rsidRPr="008248D4">
        <w:rPr>
          <w:sz w:val="21"/>
          <w:szCs w:val="21"/>
        </w:rPr>
        <w:t>To the Chairwoman, Managing Director,</w:t>
      </w:r>
      <w:r w:rsidRPr="008248D4">
        <w:rPr>
          <w:b/>
          <w:bCs/>
          <w:color w:val="FF0000"/>
          <w:sz w:val="21"/>
          <w:szCs w:val="21"/>
        </w:rPr>
        <w:t xml:space="preserve"> </w:t>
      </w:r>
      <w:r w:rsidRPr="008248D4">
        <w:rPr>
          <w:sz w:val="21"/>
          <w:szCs w:val="21"/>
        </w:rPr>
        <w:t>and the Inspector General of the Federal Communications Commission:</w:t>
      </w:r>
    </w:p>
    <w:p w:rsidR="00337587" w:rsidRPr="008248D4" w:rsidP="00C54505" w14:paraId="4DA92567" w14:textId="77777777">
      <w:pPr>
        <w:autoSpaceDE w:val="0"/>
        <w:autoSpaceDN w:val="0"/>
        <w:adjustRightInd w:val="0"/>
        <w:spacing w:after="240"/>
        <w:ind w:left="504" w:right="720"/>
        <w:rPr>
          <w:b/>
          <w:sz w:val="21"/>
          <w:szCs w:val="21"/>
        </w:rPr>
      </w:pPr>
      <w:r w:rsidRPr="008248D4">
        <w:rPr>
          <w:sz w:val="21"/>
          <w:szCs w:val="21"/>
        </w:rPr>
        <w:t xml:space="preserve">We have audited, in accordance with auditing standards generally accepted in the United States of America, the standards applicable to financial audits contained in </w:t>
      </w:r>
      <w:r w:rsidRPr="008248D4">
        <w:rPr>
          <w:i/>
          <w:sz w:val="21"/>
          <w:szCs w:val="21"/>
        </w:rPr>
        <w:t>Government Auditing Standards</w:t>
      </w:r>
      <w:r w:rsidRPr="008248D4">
        <w:rPr>
          <w:sz w:val="21"/>
          <w:szCs w:val="21"/>
        </w:rPr>
        <w:t xml:space="preserve">, issued by the Comptroller General of the United States; Office of Management and Budget (OMB) Bulletin No. 21-04, </w:t>
      </w:r>
      <w:r w:rsidRPr="008248D4">
        <w:rPr>
          <w:i/>
          <w:sz w:val="21"/>
          <w:szCs w:val="21"/>
        </w:rPr>
        <w:t>Audit Requirements for Federal Financial Statements</w:t>
      </w:r>
      <w:r w:rsidRPr="008248D4">
        <w:rPr>
          <w:sz w:val="21"/>
          <w:szCs w:val="21"/>
        </w:rPr>
        <w:t>; the financial statements of the Federal Communications Commission (FCC), as of and for the year ended September 30, 2021; and the related notes to the financial statements, which collectively comprise the FCC’s financial statements, and we have issued our report thereon dated November 15, 2021.</w:t>
      </w:r>
    </w:p>
    <w:p w:rsidR="00337587" w:rsidRPr="008248D4" w:rsidP="00F47207" w14:paraId="1F9C81C2" w14:textId="77777777">
      <w:pPr>
        <w:pStyle w:val="Heading4"/>
        <w:spacing w:after="200"/>
        <w:ind w:left="504"/>
        <w:rPr>
          <w:sz w:val="21"/>
          <w:szCs w:val="21"/>
        </w:rPr>
      </w:pPr>
      <w:bookmarkStart w:id="96" w:name="_Toc88780657"/>
      <w:r w:rsidRPr="008248D4">
        <w:rPr>
          <w:sz w:val="21"/>
          <w:szCs w:val="21"/>
        </w:rPr>
        <w:t>Internal Control Over Financial Reporting</w:t>
      </w:r>
      <w:bookmarkEnd w:id="96"/>
    </w:p>
    <w:p w:rsidR="00337587" w:rsidRPr="008248D4" w:rsidP="007601CD" w14:paraId="4BB11A2C" w14:textId="14411DCF">
      <w:pPr>
        <w:pStyle w:val="NoSpacing"/>
        <w:spacing w:after="200"/>
        <w:ind w:left="504" w:right="749"/>
        <w:rPr>
          <w:rFonts w:ascii="Times New Roman" w:hAnsi="Times New Roman"/>
          <w:sz w:val="21"/>
          <w:szCs w:val="21"/>
        </w:rPr>
      </w:pPr>
      <w:r w:rsidRPr="008248D4">
        <w:rPr>
          <w:rFonts w:ascii="Times New Roman" w:hAnsi="Times New Roman"/>
          <w:sz w:val="21"/>
          <w:szCs w:val="21"/>
        </w:rPr>
        <w:t>In planning and performing our audit of the financial statements, we considered the FCC’s Internal Control Over Financial Reporting (Internal Control) to determine the audit procedures that are appropriate in the circumstances for the purpose of expressing our opinions on the financial statements, but not for the purpose of expressing an opinion on the effectiveness of the FCC’s internal control.</w:t>
      </w:r>
      <w:r w:rsidRPr="008248D4" w:rsidR="009218AF">
        <w:rPr>
          <w:rFonts w:ascii="Times New Roman" w:hAnsi="Times New Roman"/>
          <w:sz w:val="21"/>
          <w:szCs w:val="21"/>
        </w:rPr>
        <w:t xml:space="preserve"> </w:t>
      </w:r>
      <w:r w:rsidRPr="008248D4">
        <w:rPr>
          <w:rFonts w:ascii="Times New Roman" w:hAnsi="Times New Roman"/>
          <w:sz w:val="21"/>
          <w:szCs w:val="21"/>
        </w:rPr>
        <w:t>Accordingly, we do not express an opinion on the effectiveness of the FCC’s internal control.</w:t>
      </w:r>
      <w:r w:rsidRPr="008248D4" w:rsidR="009218AF">
        <w:rPr>
          <w:rFonts w:ascii="Times New Roman" w:hAnsi="Times New Roman"/>
          <w:sz w:val="21"/>
          <w:szCs w:val="21"/>
        </w:rPr>
        <w:t xml:space="preserve"> </w:t>
      </w:r>
      <w:r w:rsidRPr="008248D4">
        <w:rPr>
          <w:rFonts w:ascii="Times New Roman" w:hAnsi="Times New Roman"/>
          <w:sz w:val="21"/>
          <w:szCs w:val="21"/>
        </w:rPr>
        <w:t>We limited our internal control testing to those controls necessary to achieve the objectives described in OMB Bulletin No. 21-04.</w:t>
      </w:r>
      <w:r w:rsidRPr="008248D4" w:rsidR="009218AF">
        <w:rPr>
          <w:rFonts w:ascii="Times New Roman" w:hAnsi="Times New Roman"/>
          <w:sz w:val="21"/>
          <w:szCs w:val="21"/>
        </w:rPr>
        <w:t xml:space="preserve"> </w:t>
      </w:r>
      <w:r w:rsidRPr="008248D4">
        <w:rPr>
          <w:rFonts w:ascii="Times New Roman" w:hAnsi="Times New Roman"/>
          <w:sz w:val="21"/>
          <w:szCs w:val="21"/>
        </w:rPr>
        <w:t xml:space="preserve">We did not test all internal controls relevant to operating objectives, as broadly defined by the Federal Managers’ Financial Integrity Act of 1982 (FMFIA), such as those controls relevant to ensuring efficient operations. </w:t>
      </w:r>
    </w:p>
    <w:p w:rsidR="00337587" w:rsidRPr="008248D4" w:rsidP="00A54547" w14:paraId="661FBFE5" w14:textId="4EF0F4F0">
      <w:pPr>
        <w:pStyle w:val="NoSpacing"/>
        <w:spacing w:after="200"/>
        <w:ind w:left="504" w:right="576"/>
        <w:rPr>
          <w:rFonts w:ascii="Times New Roman" w:hAnsi="Times New Roman"/>
          <w:sz w:val="21"/>
          <w:szCs w:val="21"/>
        </w:rPr>
      </w:pPr>
      <w:r w:rsidRPr="008248D4">
        <w:rPr>
          <w:rFonts w:ascii="Times New Roman" w:hAnsi="Times New Roman"/>
          <w:sz w:val="21"/>
          <w:szCs w:val="21"/>
        </w:rPr>
        <w:t>A deficiency in internal control exists when the design or operation of a control does not allow management or employees, in the normal course of performing their assigned functions, to prevent or detect and correct misstatements on a timely basis.</w:t>
      </w:r>
      <w:r w:rsidRPr="008248D4" w:rsidR="009218AF">
        <w:rPr>
          <w:rFonts w:ascii="Times New Roman" w:hAnsi="Times New Roman"/>
          <w:sz w:val="21"/>
          <w:szCs w:val="21"/>
        </w:rPr>
        <w:t xml:space="preserve"> </w:t>
      </w:r>
      <w:r w:rsidRPr="008248D4">
        <w:rPr>
          <w:rFonts w:ascii="Times New Roman" w:hAnsi="Times New Roman"/>
          <w:sz w:val="21"/>
          <w:szCs w:val="21"/>
        </w:rPr>
        <w:t>A material weakness is a deficiency, or combination of deficiencies, in internal control, such that there is a reasonable possibility that a material misstatement of the entity’s financial statements will not be prevented or detected and corrected on a timely basis.</w:t>
      </w:r>
      <w:r w:rsidRPr="008248D4" w:rsidR="009218AF">
        <w:rPr>
          <w:rFonts w:ascii="Times New Roman" w:hAnsi="Times New Roman"/>
          <w:sz w:val="21"/>
          <w:szCs w:val="21"/>
        </w:rPr>
        <w:t xml:space="preserve"> </w:t>
      </w:r>
      <w:r w:rsidRPr="008248D4">
        <w:rPr>
          <w:rFonts w:ascii="Times New Roman" w:hAnsi="Times New Roman"/>
          <w:sz w:val="21"/>
          <w:szCs w:val="21"/>
        </w:rPr>
        <w:t xml:space="preserve">A significant deficiency is a deficiency, or combination of deficiencies, in internal control that is less severe than a material weakness, yet important enough to merit attention by those charged with governance. </w:t>
      </w:r>
    </w:p>
    <w:p w:rsidR="0011007F" w:rsidP="00A54547" w14:paraId="07EC1949" w14:textId="77777777">
      <w:pPr>
        <w:pStyle w:val="NoSpacing"/>
        <w:spacing w:after="200"/>
        <w:ind w:left="504" w:right="720"/>
        <w:rPr>
          <w:rFonts w:ascii="Times New Roman" w:hAnsi="Times New Roman"/>
          <w:sz w:val="21"/>
          <w:szCs w:val="21"/>
        </w:rPr>
        <w:sectPr w:rsidSect="00B64CA3">
          <w:footnotePr>
            <w:numRestart w:val="eachSect"/>
          </w:footnotePr>
          <w:type w:val="continuous"/>
          <w:pgSz w:w="12240" w:h="15840" w:code="1"/>
          <w:pgMar w:top="900" w:right="1440" w:bottom="1152" w:left="1440" w:header="720" w:footer="720" w:gutter="0"/>
          <w:cols w:space="720"/>
          <w:titlePg/>
          <w:docGrid w:linePitch="326"/>
        </w:sectPr>
      </w:pPr>
      <w:r w:rsidRPr="008248D4">
        <w:rPr>
          <w:rFonts w:ascii="Times New Roman" w:hAnsi="Times New Roman"/>
          <w:sz w:val="21"/>
          <w:szCs w:val="21"/>
        </w:rPr>
        <w:t>Our consideration of internal control was for the limited purpose described in the first paragraph of this section and was not designed to identify all deficiencies in internal control that might be material weaknesses or significant deficiencies, and, therefore, material weaknesses or significant deficiencies may exist that have not been identified.</w:t>
      </w:r>
      <w:r w:rsidRPr="008248D4" w:rsidR="009218AF">
        <w:rPr>
          <w:rFonts w:ascii="Times New Roman" w:hAnsi="Times New Roman"/>
          <w:sz w:val="21"/>
          <w:szCs w:val="21"/>
        </w:rPr>
        <w:t xml:space="preserve"> </w:t>
      </w:r>
      <w:r w:rsidRPr="008248D4">
        <w:rPr>
          <w:rFonts w:ascii="Times New Roman" w:hAnsi="Times New Roman"/>
          <w:sz w:val="21"/>
          <w:szCs w:val="21"/>
        </w:rPr>
        <w:t>Given these limitations, during our audit, we did not identify any deficiencies in internal control that we consider to be material weaknesses.</w:t>
      </w:r>
      <w:r w:rsidRPr="008248D4" w:rsidR="009218AF">
        <w:rPr>
          <w:rFonts w:ascii="Times New Roman" w:hAnsi="Times New Roman"/>
          <w:sz w:val="21"/>
          <w:szCs w:val="21"/>
        </w:rPr>
        <w:t xml:space="preserve"> </w:t>
      </w:r>
    </w:p>
    <w:p w:rsidR="00337587" w:rsidRPr="008248D4" w:rsidP="007E6EFF" w14:paraId="35E8EADD" w14:textId="77777777">
      <w:pPr>
        <w:pStyle w:val="NoSpacing"/>
        <w:spacing w:after="200"/>
        <w:ind w:left="504" w:right="576"/>
        <w:rPr>
          <w:rFonts w:ascii="Times New Roman" w:hAnsi="Times New Roman"/>
          <w:sz w:val="21"/>
          <w:szCs w:val="21"/>
        </w:rPr>
      </w:pPr>
      <w:r w:rsidRPr="008248D4">
        <w:rPr>
          <w:rFonts w:ascii="Times New Roman" w:hAnsi="Times New Roman"/>
          <w:sz w:val="21"/>
          <w:szCs w:val="21"/>
        </w:rPr>
        <w:t>We did identify certain deficiencies in internal control, described in the accompanying Schedule of Findings, that we consider to be significant deficiencies.</w:t>
      </w:r>
    </w:p>
    <w:p w:rsidR="00337587" w:rsidRPr="008248D4" w:rsidP="00E05E1B" w14:paraId="2A7043BB" w14:textId="77777777">
      <w:pPr>
        <w:pStyle w:val="Heading4"/>
        <w:spacing w:before="360" w:after="200"/>
        <w:ind w:left="504"/>
        <w:rPr>
          <w:sz w:val="21"/>
          <w:szCs w:val="21"/>
        </w:rPr>
      </w:pPr>
      <w:bookmarkStart w:id="97" w:name="_Toc88780658"/>
      <w:r w:rsidRPr="008248D4">
        <w:rPr>
          <w:sz w:val="21"/>
          <w:szCs w:val="21"/>
        </w:rPr>
        <w:t>The FCC’s Responses to Findings</w:t>
      </w:r>
      <w:bookmarkEnd w:id="97"/>
      <w:r w:rsidRPr="008248D4">
        <w:rPr>
          <w:sz w:val="21"/>
          <w:szCs w:val="21"/>
        </w:rPr>
        <w:t xml:space="preserve"> </w:t>
      </w:r>
    </w:p>
    <w:p w:rsidR="00337587" w:rsidRPr="008248D4" w:rsidP="00F307E2" w14:paraId="3A7F9E30" w14:textId="7EF8762E">
      <w:pPr>
        <w:pStyle w:val="StyleNoSpacingTimesNewRoman"/>
        <w:spacing w:after="200"/>
        <w:ind w:left="504" w:right="432"/>
        <w:rPr>
          <w:sz w:val="21"/>
          <w:szCs w:val="21"/>
        </w:rPr>
      </w:pPr>
      <w:r w:rsidRPr="008248D4">
        <w:rPr>
          <w:sz w:val="21"/>
          <w:szCs w:val="21"/>
        </w:rPr>
        <w:t xml:space="preserve">The FCC’s response and concurrence to the findings identified in our audit is included in the memorandum from management, entitled </w:t>
      </w:r>
      <w:r w:rsidRPr="008248D4">
        <w:rPr>
          <w:i/>
          <w:sz w:val="21"/>
          <w:szCs w:val="21"/>
        </w:rPr>
        <w:t>Management’s Response to Independent Auditor’s Reports on Internal Control over Financial Reporting and Compliance with Laws, Regulations, Contracts, and Grant Agreements for Fiscal Year 2021</w:t>
      </w:r>
      <w:r w:rsidRPr="008248D4">
        <w:rPr>
          <w:sz w:val="21"/>
          <w:szCs w:val="21"/>
        </w:rPr>
        <w:t>, included in the FCC’s Agency Financial Report (AFR).</w:t>
      </w:r>
      <w:r w:rsidRPr="008248D4" w:rsidR="009218AF">
        <w:rPr>
          <w:sz w:val="21"/>
          <w:szCs w:val="21"/>
        </w:rPr>
        <w:t xml:space="preserve"> </w:t>
      </w:r>
      <w:r w:rsidRPr="008248D4">
        <w:rPr>
          <w:sz w:val="21"/>
          <w:szCs w:val="21"/>
        </w:rPr>
        <w:t>The FCC’s response was not subjected to the auditing procedures applied in the audit of the financial statements and, accordingly, we express no opinion on it.</w:t>
      </w:r>
    </w:p>
    <w:p w:rsidR="00337587" w:rsidRPr="008248D4" w:rsidP="00F307E2" w14:paraId="73A3B969" w14:textId="77777777">
      <w:pPr>
        <w:pStyle w:val="Heading4"/>
        <w:spacing w:after="200"/>
        <w:ind w:left="504"/>
        <w:rPr>
          <w:sz w:val="21"/>
          <w:szCs w:val="21"/>
        </w:rPr>
      </w:pPr>
      <w:bookmarkStart w:id="98" w:name="_Toc88780659"/>
      <w:r w:rsidRPr="008248D4">
        <w:rPr>
          <w:sz w:val="21"/>
          <w:szCs w:val="21"/>
        </w:rPr>
        <w:t>Purpose of this Report</w:t>
      </w:r>
      <w:bookmarkEnd w:id="98"/>
    </w:p>
    <w:p w:rsidR="00337587" w:rsidRPr="008248D4" w:rsidP="00F307E2" w14:paraId="6785D841" w14:textId="18D2C8DB">
      <w:pPr>
        <w:pStyle w:val="StyleNoSpacingTimesNewRoman"/>
        <w:spacing w:after="200"/>
        <w:ind w:left="504" w:right="691"/>
        <w:rPr>
          <w:sz w:val="21"/>
          <w:szCs w:val="21"/>
          <w:highlight w:val="yellow"/>
        </w:rPr>
      </w:pPr>
      <w:r w:rsidRPr="008248D4">
        <w:rPr>
          <w:sz w:val="21"/>
          <w:szCs w:val="21"/>
        </w:rPr>
        <w:t>The purpose of this report is solely to describe the scope of our testing of internal control and the results of that testing, not to provide an opinion on the effectiveness of the FCC’s internal control.</w:t>
      </w:r>
      <w:r w:rsidRPr="008248D4" w:rsidR="009218AF">
        <w:rPr>
          <w:sz w:val="21"/>
          <w:szCs w:val="21"/>
        </w:rPr>
        <w:t xml:space="preserve"> </w:t>
      </w:r>
      <w:r w:rsidRPr="008248D4">
        <w:rPr>
          <w:sz w:val="21"/>
          <w:szCs w:val="21"/>
        </w:rPr>
        <w:t xml:space="preserve">This report is an integral part of an audit performed in accordance with </w:t>
      </w:r>
      <w:r w:rsidRPr="008248D4">
        <w:rPr>
          <w:i/>
          <w:sz w:val="21"/>
          <w:szCs w:val="21"/>
        </w:rPr>
        <w:t>Government Auditing Standards</w:t>
      </w:r>
      <w:r w:rsidRPr="008248D4">
        <w:rPr>
          <w:sz w:val="21"/>
          <w:szCs w:val="21"/>
        </w:rPr>
        <w:t xml:space="preserve"> and OMB Bulletin No. 21-04 in considering the entity’s internal control.</w:t>
      </w:r>
      <w:r w:rsidRPr="008248D4" w:rsidR="009218AF">
        <w:rPr>
          <w:sz w:val="21"/>
          <w:szCs w:val="21"/>
        </w:rPr>
        <w:t xml:space="preserve"> </w:t>
      </w:r>
      <w:r w:rsidRPr="008248D4">
        <w:rPr>
          <w:sz w:val="21"/>
          <w:szCs w:val="21"/>
        </w:rPr>
        <w:t xml:space="preserve">Accordingly, this communication is not suitable for any other purpose. </w:t>
      </w:r>
    </w:p>
    <w:p w:rsidR="00337587" w:rsidRPr="008248D4" w:rsidP="008248D4" w14:paraId="514E0D15" w14:textId="77777777">
      <w:pPr>
        <w:ind w:left="504"/>
        <w:rPr>
          <w:sz w:val="21"/>
          <w:szCs w:val="21"/>
        </w:rPr>
      </w:pPr>
      <w:r w:rsidRPr="008248D4">
        <w:rPr>
          <w:noProof/>
          <w:sz w:val="21"/>
          <w:szCs w:val="21"/>
        </w:rPr>
        <w:drawing>
          <wp:inline distT="0" distB="0" distL="0" distR="0">
            <wp:extent cx="1943100" cy="552450"/>
            <wp:effectExtent l="0" t="0" r="0" b="0"/>
            <wp:docPr id="88" name="Picture 88" descr="Kearney &amp;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Kearney &amp; Company"/>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43100" cy="552450"/>
                    </a:xfrm>
                    <a:prstGeom prst="rect">
                      <a:avLst/>
                    </a:prstGeom>
                    <a:noFill/>
                    <a:ln>
                      <a:noFill/>
                    </a:ln>
                  </pic:spPr>
                </pic:pic>
              </a:graphicData>
            </a:graphic>
          </wp:inline>
        </w:drawing>
      </w:r>
    </w:p>
    <w:p w:rsidR="00337587" w:rsidRPr="008248D4" w:rsidP="008248D4" w14:paraId="3A58D16B" w14:textId="77777777">
      <w:pPr>
        <w:ind w:left="504"/>
        <w:rPr>
          <w:sz w:val="21"/>
          <w:szCs w:val="21"/>
        </w:rPr>
      </w:pPr>
      <w:r w:rsidRPr="008248D4">
        <w:rPr>
          <w:sz w:val="21"/>
          <w:szCs w:val="21"/>
        </w:rPr>
        <w:t>Alexandria, Virginia</w:t>
      </w:r>
    </w:p>
    <w:p w:rsidR="000F1290" w:rsidP="008248D4" w14:paraId="4DE9E48B" w14:textId="77777777">
      <w:pPr>
        <w:ind w:left="504"/>
        <w:rPr>
          <w:sz w:val="21"/>
          <w:szCs w:val="21"/>
        </w:rPr>
        <w:sectPr w:rsidSect="0011007F">
          <w:headerReference w:type="first" r:id="rId56"/>
          <w:footnotePr>
            <w:numRestart w:val="eachSect"/>
          </w:footnotePr>
          <w:pgSz w:w="12240" w:h="15840" w:code="1"/>
          <w:pgMar w:top="900" w:right="1440" w:bottom="1152" w:left="1440" w:header="720" w:footer="720" w:gutter="0"/>
          <w:cols w:space="720"/>
          <w:titlePg/>
          <w:docGrid w:linePitch="326"/>
        </w:sectPr>
      </w:pPr>
      <w:r w:rsidRPr="008248D4">
        <w:rPr>
          <w:sz w:val="21"/>
          <w:szCs w:val="21"/>
        </w:rPr>
        <w:t>November 15, 2021</w:t>
      </w:r>
    </w:p>
    <w:p w:rsidR="00337587" w:rsidRPr="00BA7492" w:rsidP="009663DD" w14:paraId="6C18B7B9" w14:textId="77777777">
      <w:pPr>
        <w:pStyle w:val="Heading4"/>
        <w:ind w:right="288"/>
        <w:jc w:val="center"/>
        <w:rPr>
          <w:sz w:val="21"/>
          <w:szCs w:val="21"/>
        </w:rPr>
      </w:pPr>
      <w:bookmarkStart w:id="99" w:name="_Toc88780660"/>
      <w:r w:rsidRPr="00BA7492">
        <w:rPr>
          <w:sz w:val="21"/>
          <w:szCs w:val="21"/>
        </w:rPr>
        <w:t>Schedule of Findings</w:t>
      </w:r>
      <w:bookmarkEnd w:id="99"/>
    </w:p>
    <w:p w:rsidR="00337587" w:rsidRPr="00BA7492" w:rsidP="005B7331" w14:paraId="28C9F562" w14:textId="21921C46">
      <w:pPr>
        <w:pStyle w:val="Heading5"/>
        <w:tabs>
          <w:tab w:val="left" w:pos="900"/>
        </w:tabs>
        <w:spacing w:after="200"/>
        <w:ind w:left="504"/>
        <w:rPr>
          <w:sz w:val="21"/>
          <w:szCs w:val="21"/>
        </w:rPr>
      </w:pPr>
      <w:bookmarkStart w:id="100" w:name="_Toc88780661"/>
      <w:r w:rsidRPr="00BA7492">
        <w:rPr>
          <w:sz w:val="21"/>
          <w:szCs w:val="21"/>
        </w:rPr>
        <w:t>I</w:t>
      </w:r>
      <w:r w:rsidRPr="00BA7492" w:rsidR="00B076A4">
        <w:rPr>
          <w:sz w:val="21"/>
          <w:szCs w:val="21"/>
        </w:rPr>
        <w:tab/>
      </w:r>
      <w:r w:rsidRPr="00BA7492">
        <w:rPr>
          <w:sz w:val="21"/>
          <w:szCs w:val="21"/>
        </w:rPr>
        <w:t>Information Technology (</w:t>
      </w:r>
      <w:r w:rsidRPr="00BA7492">
        <w:rPr>
          <w:i/>
          <w:iCs/>
          <w:sz w:val="21"/>
          <w:szCs w:val="21"/>
        </w:rPr>
        <w:t>Modified Repeat Condition</w:t>
      </w:r>
      <w:r w:rsidRPr="00BA7492">
        <w:rPr>
          <w:sz w:val="21"/>
          <w:szCs w:val="21"/>
        </w:rPr>
        <w:t>)</w:t>
      </w:r>
      <w:bookmarkEnd w:id="100"/>
    </w:p>
    <w:p w:rsidR="00337587" w:rsidRPr="00BA7492" w:rsidP="00007F59" w14:paraId="733221E3" w14:textId="063BE337">
      <w:pPr>
        <w:autoSpaceDE w:val="0"/>
        <w:autoSpaceDN w:val="0"/>
        <w:adjustRightInd w:val="0"/>
        <w:spacing w:after="200"/>
        <w:ind w:left="504" w:right="720"/>
        <w:rPr>
          <w:rFonts w:eastAsiaTheme="minorHAnsi"/>
          <w:bCs/>
          <w:color w:val="000000"/>
          <w:sz w:val="21"/>
          <w:szCs w:val="21"/>
        </w:rPr>
      </w:pPr>
      <w:r w:rsidRPr="00BA7492">
        <w:rPr>
          <w:b/>
          <w:sz w:val="21"/>
          <w:szCs w:val="21"/>
        </w:rPr>
        <w:t xml:space="preserve">Background: </w:t>
      </w:r>
      <w:r w:rsidRPr="00BA7492">
        <w:rPr>
          <w:sz w:val="21"/>
          <w:szCs w:val="21"/>
        </w:rPr>
        <w:t>The</w:t>
      </w:r>
      <w:r w:rsidRPr="00BA7492">
        <w:rPr>
          <w:b/>
          <w:sz w:val="21"/>
          <w:szCs w:val="21"/>
        </w:rPr>
        <w:t xml:space="preserve"> </w:t>
      </w:r>
      <w:r w:rsidRPr="00BA7492">
        <w:rPr>
          <w:sz w:val="21"/>
          <w:szCs w:val="21"/>
        </w:rPr>
        <w:t xml:space="preserve">Federal Communications Commission (FCC) </w:t>
      </w:r>
      <w:r w:rsidRPr="00BA7492">
        <w:rPr>
          <w:rFonts w:eastAsiaTheme="minorHAnsi"/>
          <w:bCs/>
          <w:color w:val="000000"/>
          <w:sz w:val="21"/>
          <w:szCs w:val="21"/>
        </w:rPr>
        <w:t>uses information systems to compile information for financial reporting purposes, including the FCC’s core financial management and accounting system, Genesis.</w:t>
      </w:r>
      <w:r w:rsidRPr="00BA7492" w:rsidR="009218AF">
        <w:rPr>
          <w:rFonts w:eastAsiaTheme="minorHAnsi"/>
          <w:bCs/>
          <w:color w:val="000000"/>
          <w:sz w:val="21"/>
          <w:szCs w:val="21"/>
        </w:rPr>
        <w:t xml:space="preserve"> </w:t>
      </w:r>
      <w:r w:rsidRPr="00BA7492">
        <w:rPr>
          <w:rFonts w:eastAsiaTheme="minorHAnsi"/>
          <w:bCs/>
          <w:color w:val="000000"/>
          <w:sz w:val="21"/>
          <w:szCs w:val="21"/>
        </w:rPr>
        <w:t>The FCC’s general information technology (IT) support system serves as the gateway for users to access FCC information and information systems, including Genesis.</w:t>
      </w:r>
      <w:r w:rsidRPr="00BA7492" w:rsidR="009218AF">
        <w:rPr>
          <w:rFonts w:eastAsiaTheme="minorHAnsi"/>
          <w:bCs/>
          <w:color w:val="000000"/>
          <w:sz w:val="21"/>
          <w:szCs w:val="21"/>
        </w:rPr>
        <w:t xml:space="preserve"> </w:t>
      </w:r>
      <w:r w:rsidRPr="00BA7492">
        <w:rPr>
          <w:rFonts w:eastAsiaTheme="minorHAnsi"/>
          <w:bCs/>
          <w:color w:val="000000"/>
          <w:sz w:val="21"/>
          <w:szCs w:val="21"/>
        </w:rPr>
        <w:t>In addition, because the FCC’s financial statements include financial transactions relating to the Universal Service Fund (USF) programs, the FCC relies upon general IT support systems and specific applications utilized by the administrator of the USF programs (i.e., Universal Service Administrative Company [USAC]).</w:t>
      </w:r>
    </w:p>
    <w:p w:rsidR="00337587" w:rsidRPr="00BA7492" w:rsidP="00227E49" w14:paraId="08D6B6F2" w14:textId="40D26B86">
      <w:pPr>
        <w:autoSpaceDE w:val="0"/>
        <w:autoSpaceDN w:val="0"/>
        <w:adjustRightInd w:val="0"/>
        <w:spacing w:after="200"/>
        <w:ind w:left="504" w:right="720"/>
        <w:rPr>
          <w:rFonts w:eastAsiaTheme="minorEastAsia"/>
          <w:color w:val="000000"/>
          <w:sz w:val="21"/>
          <w:szCs w:val="21"/>
        </w:rPr>
      </w:pPr>
      <w:r w:rsidRPr="00BA7492">
        <w:rPr>
          <w:rFonts w:eastAsiaTheme="minorEastAsia"/>
          <w:color w:val="000000" w:themeColor="text1"/>
          <w:sz w:val="21"/>
          <w:szCs w:val="21"/>
        </w:rPr>
        <w:t>Kearney &amp; Company, P.C. (Kearney) separately performed an evaluation of the FCC’s Information Security Program, as required by the Federal Information Security Modernization Act of 2014 (FISMA), and issued a separate report.</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In addition to the work performed during our FISMA evaluation, we performed risk-based procedures focused on IT controls that could lead to significant misstatements of, or corruption to, the financial data needed for the FCC’s financial statements.</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We performed this work in accordance with the Government Accountability Office’s (GAO) Federal Information System Controls Audit Manual (FISCAM).</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Many of the IT control areas of FISMA overlap with those in FISCAM, such as Risk Management, Access Controls, Configuration Management, and Contingency Planning.</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Other IT controls areas are unique to FISCAM due to their relevance to financial management and reporting, such as segregation of duties and application controls.</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We performed risk-based procedures related to segregation of duties within Genesis.</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 xml:space="preserve">Additionally, we performed risk-based procedures related to the core financial management system utilized by USAC to administer the USF programs, the Financial Operations System (FOS), as well as USAC’s Schools and Libraries (S&amp;L) </w:t>
      </w:r>
      <w:r w:rsidRPr="00BA7492">
        <w:rPr>
          <w:sz w:val="21"/>
          <w:szCs w:val="21"/>
        </w:rPr>
        <w:t>account and application management system, E-Rate Productivity Center (EPC)</w:t>
      </w:r>
      <w:r w:rsidRPr="00BA7492">
        <w:rPr>
          <w:rFonts w:eastAsiaTheme="minorEastAsia"/>
          <w:color w:val="000000" w:themeColor="text1"/>
          <w:sz w:val="21"/>
          <w:szCs w:val="21"/>
        </w:rPr>
        <w:t>.</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The fiscal year (FY) 2021 FISMA evaluation report includes detailed information for each identified finding.</w:t>
      </w:r>
    </w:p>
    <w:p w:rsidR="00337587" w:rsidRPr="00BA7492" w:rsidP="00227E49" w14:paraId="7E1B1F2A" w14:textId="6EB12131">
      <w:pPr>
        <w:autoSpaceDE w:val="0"/>
        <w:autoSpaceDN w:val="0"/>
        <w:adjustRightInd w:val="0"/>
        <w:spacing w:after="240"/>
        <w:ind w:left="504" w:right="720"/>
        <w:rPr>
          <w:rFonts w:eastAsiaTheme="minorHAnsi"/>
          <w:bCs/>
          <w:color w:val="000000"/>
          <w:sz w:val="21"/>
          <w:szCs w:val="21"/>
        </w:rPr>
      </w:pPr>
      <w:r w:rsidRPr="00BA7492">
        <w:rPr>
          <w:b/>
          <w:color w:val="000000" w:themeColor="text1"/>
          <w:sz w:val="21"/>
          <w:szCs w:val="21"/>
        </w:rPr>
        <w:t xml:space="preserve">Condition: </w:t>
      </w:r>
      <w:r w:rsidRPr="00BA7492">
        <w:rPr>
          <w:rFonts w:eastAsiaTheme="minorHAnsi"/>
          <w:bCs/>
          <w:color w:val="000000"/>
          <w:sz w:val="21"/>
          <w:szCs w:val="21"/>
        </w:rPr>
        <w:t>The following summarizes the IT control deficiencies noted during the FISMA evaluation and FISCAM testing in support of the financial statement audit.</w:t>
      </w:r>
      <w:r w:rsidRPr="00BA7492" w:rsidR="009218AF">
        <w:rPr>
          <w:rFonts w:eastAsiaTheme="minorHAnsi"/>
          <w:bCs/>
          <w:color w:val="000000"/>
          <w:sz w:val="21"/>
          <w:szCs w:val="21"/>
        </w:rPr>
        <w:t xml:space="preserve"> </w:t>
      </w:r>
      <w:r w:rsidRPr="00BA7492">
        <w:rPr>
          <w:rFonts w:eastAsiaTheme="minorHAnsi"/>
          <w:bCs/>
          <w:color w:val="000000"/>
          <w:sz w:val="21"/>
          <w:szCs w:val="21"/>
        </w:rPr>
        <w:t>In aggregate, Kearney considers these control deficiencies to be a significant deficiency.</w:t>
      </w:r>
    </w:p>
    <w:p w:rsidR="007D6CCC" w:rsidP="007D6CCC" w14:paraId="58FE17AD" w14:textId="77777777">
      <w:pPr>
        <w:pStyle w:val="ListParagraph"/>
        <w:numPr>
          <w:ilvl w:val="0"/>
          <w:numId w:val="11"/>
        </w:numPr>
        <w:autoSpaceDE w:val="0"/>
        <w:autoSpaceDN w:val="0"/>
        <w:adjustRightInd w:val="0"/>
        <w:ind w:left="1224" w:right="576"/>
        <w:rPr>
          <w:rFonts w:eastAsiaTheme="minorEastAsia"/>
          <w:color w:val="000000" w:themeColor="text1"/>
          <w:sz w:val="21"/>
          <w:szCs w:val="21"/>
        </w:rPr>
        <w:sectPr w:rsidSect="0011007F">
          <w:footnotePr>
            <w:numRestart w:val="eachSect"/>
          </w:footnotePr>
          <w:pgSz w:w="12240" w:h="15840" w:code="1"/>
          <w:pgMar w:top="900" w:right="1440" w:bottom="1152" w:left="1440" w:header="720" w:footer="720" w:gutter="0"/>
          <w:cols w:space="720"/>
          <w:titlePg/>
          <w:docGrid w:linePitch="326"/>
        </w:sectPr>
      </w:pPr>
      <w:r w:rsidRPr="00BA7492">
        <w:rPr>
          <w:rFonts w:eastAsiaTheme="minorEastAsia"/>
          <w:b/>
          <w:bCs/>
          <w:color w:val="000000" w:themeColor="text1"/>
          <w:sz w:val="21"/>
          <w:szCs w:val="21"/>
        </w:rPr>
        <w:t>FCC General IT Support System</w:t>
      </w:r>
      <w:r w:rsidRPr="00BA7492">
        <w:rPr>
          <w:rFonts w:eastAsiaTheme="minorEastAsia"/>
          <w:color w:val="000000" w:themeColor="text1"/>
          <w:sz w:val="21"/>
          <w:szCs w:val="21"/>
        </w:rPr>
        <w:t xml:space="preserve"> – The FY 2021 FCC FISMA evaluation identified deficiencies in multiple IT control areas that impacted the FCC’s general IT support system, including Identity and Access Management and Information Security Continuous Monitoring (ISCM).</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Most notably, the FCC did not enforce the use of Personal Identity Verification (PIV) credentials as a dual-factor authentication mechanism for logical access, nor did it consistently remediate identified network vulnerabilities within the timeframes required by FCC policy.</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The FCC’s general IT support system serves as the gateway for users to access Genesis.</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Therefore, IT deficiencies noted in the general IT support system, as described above, may impact Genesis as well</w:t>
      </w:r>
    </w:p>
    <w:p w:rsidR="00337587" w:rsidRPr="00BA7492" w:rsidP="007D6CCC" w14:paraId="593CD84A" w14:textId="58F28C3A">
      <w:pPr>
        <w:pStyle w:val="ListParagraph"/>
        <w:numPr>
          <w:ilvl w:val="0"/>
          <w:numId w:val="11"/>
        </w:numPr>
        <w:autoSpaceDE w:val="0"/>
        <w:autoSpaceDN w:val="0"/>
        <w:adjustRightInd w:val="0"/>
        <w:spacing w:after="240"/>
        <w:ind w:left="1224" w:right="576"/>
        <w:rPr>
          <w:rFonts w:eastAsiaTheme="minorEastAsia"/>
          <w:color w:val="000000"/>
          <w:sz w:val="21"/>
          <w:szCs w:val="21"/>
        </w:rPr>
      </w:pPr>
      <w:r w:rsidRPr="00BA7492">
        <w:rPr>
          <w:rFonts w:eastAsiaTheme="minorEastAsia"/>
          <w:b/>
          <w:bCs/>
          <w:color w:val="000000" w:themeColor="text1"/>
          <w:sz w:val="21"/>
          <w:szCs w:val="21"/>
        </w:rPr>
        <w:t>USAC Systems Utilized in Administering the USF Programs</w:t>
      </w:r>
      <w:r w:rsidRPr="00BA7492">
        <w:rPr>
          <w:rFonts w:eastAsiaTheme="minorEastAsia"/>
          <w:color w:val="000000" w:themeColor="text1"/>
          <w:sz w:val="21"/>
          <w:szCs w:val="21"/>
        </w:rPr>
        <w:t xml:space="preserve"> – Similar to the FCC, USAC’s general IT support system is the gateway for users to access USAC’s FOS.</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USAC failed to properly manage user accounts with access to both the general IT support system and FOS/Great Plains.</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Further, USAC did not perform reviews of required auditable events captured in an EPC application audit log in accordance with USAC’s policies and internal control documentation.</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Required auditable events include access changes to EPC user accounts.</w:t>
      </w:r>
    </w:p>
    <w:p w:rsidR="00337587" w:rsidRPr="00BA7492" w:rsidP="00235E1F" w14:paraId="247ED578" w14:textId="2A097A9E">
      <w:pPr>
        <w:spacing w:after="240"/>
        <w:ind w:left="504" w:right="720"/>
        <w:rPr>
          <w:rFonts w:eastAsiaTheme="minorEastAsia"/>
          <w:color w:val="000000"/>
          <w:sz w:val="21"/>
          <w:szCs w:val="21"/>
        </w:rPr>
      </w:pPr>
      <w:r w:rsidRPr="00BA7492">
        <w:rPr>
          <w:b/>
          <w:bCs/>
          <w:color w:val="000000" w:themeColor="text1"/>
          <w:sz w:val="21"/>
          <w:szCs w:val="21"/>
        </w:rPr>
        <w:t xml:space="preserve">Cause: </w:t>
      </w:r>
      <w:r w:rsidRPr="00BA7492">
        <w:rPr>
          <w:color w:val="000000" w:themeColor="text1"/>
          <w:sz w:val="21"/>
          <w:szCs w:val="21"/>
        </w:rPr>
        <w:t xml:space="preserve">The </w:t>
      </w:r>
      <w:r w:rsidRPr="00BA7492">
        <w:rPr>
          <w:rFonts w:eastAsiaTheme="minorEastAsia"/>
          <w:color w:val="000000" w:themeColor="text1"/>
          <w:sz w:val="21"/>
          <w:szCs w:val="21"/>
        </w:rPr>
        <w:t>FCC’s and USAC’s ongoing efforts to implement planned corrective actions, remediate longstanding IT deficiencies in its IT general support system, modernize legacy technologies, and fully implement all documented information security policies, procedures, and processes continue to require prioritization.</w:t>
      </w:r>
      <w:r w:rsidRPr="00BA7492" w:rsidR="009218AF">
        <w:rPr>
          <w:rFonts w:eastAsiaTheme="minorEastAsia"/>
          <w:color w:val="000000" w:themeColor="text1"/>
          <w:sz w:val="21"/>
          <w:szCs w:val="21"/>
        </w:rPr>
        <w:t xml:space="preserve"> </w:t>
      </w:r>
      <w:r w:rsidRPr="00BA7492">
        <w:rPr>
          <w:rFonts w:eastAsiaTheme="minorEastAsia"/>
          <w:color w:val="000000" w:themeColor="text1"/>
          <w:sz w:val="21"/>
          <w:szCs w:val="21"/>
        </w:rPr>
        <w:t>Specific causal information for each issue identified during the FY 2021 FISMA evaluation is addressed in the Non-Public FISMA Evaluation Report.</w:t>
      </w:r>
      <w:r w:rsidRPr="00BA7492" w:rsidR="009218AF">
        <w:rPr>
          <w:rFonts w:eastAsiaTheme="minorEastAsia"/>
          <w:color w:val="000000" w:themeColor="text1"/>
          <w:sz w:val="21"/>
          <w:szCs w:val="21"/>
        </w:rPr>
        <w:t xml:space="preserve"> </w:t>
      </w:r>
    </w:p>
    <w:p w:rsidR="00337587" w:rsidRPr="00BA7492" w:rsidP="00235E1F" w14:paraId="39CE8B29" w14:textId="01F8D998">
      <w:pPr>
        <w:spacing w:after="240"/>
        <w:ind w:left="504" w:right="720"/>
        <w:rPr>
          <w:rFonts w:eastAsiaTheme="minorHAnsi"/>
          <w:bCs/>
          <w:color w:val="000000"/>
          <w:sz w:val="21"/>
          <w:szCs w:val="21"/>
        </w:rPr>
      </w:pPr>
      <w:r w:rsidRPr="00BA7492">
        <w:rPr>
          <w:b/>
          <w:color w:val="000000" w:themeColor="text1"/>
          <w:sz w:val="21"/>
          <w:szCs w:val="21"/>
        </w:rPr>
        <w:t xml:space="preserve">Effect: </w:t>
      </w:r>
      <w:r w:rsidRPr="00BA7492">
        <w:rPr>
          <w:rFonts w:eastAsiaTheme="minorHAnsi"/>
          <w:bCs/>
          <w:color w:val="000000"/>
          <w:sz w:val="21"/>
          <w:szCs w:val="21"/>
        </w:rPr>
        <w:t>Inadequate controls over IT security can affect the integrity of financial applications, which increases the risk that unauthorized individuals could access sensitive financial information or that financial transactions could be altered, either accidentally or intentionally.</w:t>
      </w:r>
      <w:r w:rsidRPr="00BA7492" w:rsidR="009218AF">
        <w:rPr>
          <w:rFonts w:eastAsiaTheme="minorHAnsi"/>
          <w:bCs/>
          <w:color w:val="000000"/>
          <w:sz w:val="21"/>
          <w:szCs w:val="21"/>
        </w:rPr>
        <w:t xml:space="preserve"> </w:t>
      </w:r>
      <w:r w:rsidRPr="00BA7492">
        <w:rPr>
          <w:rFonts w:eastAsiaTheme="minorHAnsi"/>
          <w:bCs/>
          <w:color w:val="000000"/>
          <w:sz w:val="21"/>
          <w:szCs w:val="21"/>
        </w:rPr>
        <w:t>IT deficiencies increase the risk that the FCC will be unable to report financial data in an accurate and timely manner.</w:t>
      </w:r>
      <w:r w:rsidRPr="00BA7492" w:rsidR="009218AF">
        <w:rPr>
          <w:rFonts w:eastAsiaTheme="minorHAnsi"/>
          <w:bCs/>
          <w:color w:val="000000"/>
          <w:sz w:val="21"/>
          <w:szCs w:val="21"/>
        </w:rPr>
        <w:t xml:space="preserve"> </w:t>
      </w:r>
    </w:p>
    <w:p w:rsidR="00A7184C" w:rsidP="00235E1F" w14:paraId="137EDD2E" w14:textId="77777777">
      <w:pPr>
        <w:spacing w:after="240"/>
        <w:ind w:left="504" w:right="720"/>
        <w:rPr>
          <w:rFonts w:eastAsiaTheme="minorHAnsi"/>
          <w:color w:val="000000"/>
          <w:sz w:val="21"/>
          <w:szCs w:val="21"/>
        </w:rPr>
        <w:sectPr w:rsidSect="0011007F">
          <w:footnotePr>
            <w:numRestart w:val="eachSect"/>
          </w:footnotePr>
          <w:pgSz w:w="12240" w:h="15840" w:code="1"/>
          <w:pgMar w:top="900" w:right="1440" w:bottom="1152" w:left="1440" w:header="720" w:footer="720" w:gutter="0"/>
          <w:cols w:space="720"/>
          <w:titlePg/>
          <w:docGrid w:linePitch="326"/>
        </w:sectPr>
      </w:pPr>
      <w:r w:rsidRPr="00BA7492">
        <w:rPr>
          <w:b/>
          <w:bCs/>
          <w:color w:val="000000"/>
          <w:sz w:val="21"/>
          <w:szCs w:val="21"/>
        </w:rPr>
        <w:t xml:space="preserve">Recommendations: </w:t>
      </w:r>
      <w:r w:rsidRPr="00BA7492">
        <w:rPr>
          <w:rFonts w:eastAsiaTheme="minorHAnsi"/>
          <w:color w:val="000000"/>
          <w:sz w:val="21"/>
          <w:szCs w:val="21"/>
        </w:rPr>
        <w:t>Our full FY 2021 FISMA evaluation report included 13 recommendations intended to improve the effectiveness of the FCC’s Information Security Program controls in the areas of Risk Management, Configuration Management, Identity and Access Management, and ISCM.</w:t>
      </w:r>
      <w:r w:rsidRPr="00BA7492" w:rsidR="009218AF">
        <w:rPr>
          <w:rFonts w:eastAsiaTheme="minorHAnsi"/>
          <w:color w:val="000000"/>
          <w:sz w:val="21"/>
          <w:szCs w:val="21"/>
        </w:rPr>
        <w:t xml:space="preserve"> </w:t>
      </w:r>
      <w:r w:rsidRPr="00BA7492">
        <w:rPr>
          <w:rFonts w:eastAsiaTheme="minorHAnsi"/>
          <w:color w:val="000000"/>
          <w:sz w:val="21"/>
          <w:szCs w:val="21"/>
        </w:rPr>
        <w:t>Six of the recommendations related to the FCC and seven of the recommendations related to USAC.</w:t>
      </w:r>
      <w:r w:rsidRPr="00BA7492" w:rsidR="009218AF">
        <w:rPr>
          <w:rFonts w:eastAsiaTheme="minorHAnsi"/>
          <w:color w:val="000000"/>
          <w:sz w:val="21"/>
          <w:szCs w:val="21"/>
        </w:rPr>
        <w:t xml:space="preserve"> </w:t>
      </w:r>
      <w:r w:rsidRPr="00BA7492">
        <w:rPr>
          <w:rFonts w:eastAsiaTheme="minorHAnsi"/>
          <w:color w:val="000000"/>
          <w:sz w:val="21"/>
          <w:szCs w:val="21"/>
        </w:rPr>
        <w:t>Of the six FCC recommendations, five related to FISCAM control areas.</w:t>
      </w:r>
      <w:r w:rsidRPr="00BA7492" w:rsidR="009218AF">
        <w:rPr>
          <w:rFonts w:eastAsiaTheme="minorHAnsi"/>
          <w:color w:val="000000"/>
          <w:sz w:val="21"/>
          <w:szCs w:val="21"/>
        </w:rPr>
        <w:t xml:space="preserve"> </w:t>
      </w:r>
      <w:r w:rsidRPr="00BA7492">
        <w:rPr>
          <w:rFonts w:eastAsiaTheme="minorHAnsi"/>
          <w:color w:val="000000"/>
          <w:sz w:val="21"/>
          <w:szCs w:val="21"/>
        </w:rPr>
        <w:t>All seven of the USAC recommendations related to FISCAM control areas.</w:t>
      </w:r>
    </w:p>
    <w:p w:rsidR="00F407D3" w:rsidRPr="005E56D0" w:rsidP="005B7331" w14:paraId="3A5C3918" w14:textId="0045A31E">
      <w:pPr>
        <w:pStyle w:val="Heading5"/>
        <w:tabs>
          <w:tab w:val="left" w:pos="900"/>
        </w:tabs>
        <w:spacing w:after="200"/>
        <w:ind w:left="504"/>
        <w:rPr>
          <w:sz w:val="21"/>
          <w:szCs w:val="21"/>
        </w:rPr>
      </w:pPr>
      <w:bookmarkStart w:id="101" w:name="_Toc88780662"/>
      <w:r w:rsidRPr="005E56D0">
        <w:rPr>
          <w:sz w:val="21"/>
          <w:szCs w:val="21"/>
        </w:rPr>
        <w:t>II</w:t>
      </w:r>
      <w:r w:rsidRPr="005E56D0">
        <w:rPr>
          <w:sz w:val="21"/>
          <w:szCs w:val="21"/>
        </w:rPr>
        <w:tab/>
      </w:r>
      <w:r w:rsidRPr="005E56D0">
        <w:rPr>
          <w:sz w:val="21"/>
          <w:szCs w:val="21"/>
        </w:rPr>
        <w:t>Inaccurate Recognition of FCC Non-Exchange Revenue (New Condition</w:t>
      </w:r>
      <w:bookmarkEnd w:id="101"/>
    </w:p>
    <w:p w:rsidR="00337587" w:rsidRPr="005E56D0" w:rsidP="006538CE" w14:paraId="01405581" w14:textId="17709031">
      <w:pPr>
        <w:spacing w:after="240"/>
        <w:ind w:left="504" w:right="720"/>
        <w:textAlignment w:val="baseline"/>
        <w:rPr>
          <w:sz w:val="21"/>
          <w:szCs w:val="21"/>
        </w:rPr>
      </w:pPr>
      <w:r w:rsidRPr="005E56D0">
        <w:rPr>
          <w:b/>
          <w:bCs/>
          <w:sz w:val="21"/>
          <w:szCs w:val="21"/>
        </w:rPr>
        <w:t xml:space="preserve">Background: </w:t>
      </w:r>
      <w:r w:rsidRPr="005E56D0">
        <w:rPr>
          <w:sz w:val="21"/>
          <w:szCs w:val="21"/>
        </w:rPr>
        <w:t>The FCC is responsible for regulating interstate and foreign communication.</w:t>
      </w:r>
      <w:r w:rsidRPr="005E56D0" w:rsidR="009218AF">
        <w:rPr>
          <w:sz w:val="21"/>
          <w:szCs w:val="21"/>
        </w:rPr>
        <w:t xml:space="preserve"> </w:t>
      </w:r>
      <w:r w:rsidRPr="005E56D0">
        <w:rPr>
          <w:sz w:val="21"/>
          <w:szCs w:val="21"/>
        </w:rPr>
        <w:t>When the FCC’s Bureaus become aware of failures to comply with the terms and conditions of any license, permit, certificate, or authorization and/or violations of FCC rules, they report the matter to the Enforcement Bureau (EB) to investigate.</w:t>
      </w:r>
      <w:r w:rsidRPr="005E56D0" w:rsidR="009218AF">
        <w:rPr>
          <w:sz w:val="21"/>
          <w:szCs w:val="21"/>
        </w:rPr>
        <w:t xml:space="preserve"> </w:t>
      </w:r>
      <w:r w:rsidRPr="005E56D0">
        <w:rPr>
          <w:sz w:val="21"/>
          <w:szCs w:val="21"/>
        </w:rPr>
        <w:t xml:space="preserve">The EB informs the respondent of the issue and the potential Civil Monetary Penalty (CMP) through a Notice of Apparent Liability (NAL). </w:t>
      </w:r>
    </w:p>
    <w:p w:rsidR="00337587" w:rsidRPr="005E56D0" w:rsidP="006538CE" w14:paraId="1BA0C6BF" w14:textId="2DBE3585">
      <w:pPr>
        <w:spacing w:after="240"/>
        <w:ind w:left="504" w:right="720"/>
        <w:textAlignment w:val="baseline"/>
        <w:rPr>
          <w:sz w:val="21"/>
          <w:szCs w:val="21"/>
        </w:rPr>
      </w:pPr>
      <w:r w:rsidRPr="005E56D0">
        <w:rPr>
          <w:sz w:val="21"/>
          <w:szCs w:val="21"/>
        </w:rPr>
        <w:t>If the respondent does not provide an acceptable response to the NAL, the FCC can issue a Forfeiture Order.</w:t>
      </w:r>
      <w:r w:rsidRPr="005E56D0" w:rsidR="009218AF">
        <w:rPr>
          <w:sz w:val="21"/>
          <w:szCs w:val="21"/>
        </w:rPr>
        <w:t xml:space="preserve"> </w:t>
      </w:r>
      <w:r w:rsidRPr="005E56D0">
        <w:rPr>
          <w:sz w:val="21"/>
          <w:szCs w:val="21"/>
        </w:rPr>
        <w:t>The FCC</w:t>
      </w:r>
      <w:r w:rsidRPr="005E56D0">
        <w:rPr>
          <w:b/>
          <w:bCs/>
          <w:sz w:val="21"/>
          <w:szCs w:val="21"/>
        </w:rPr>
        <w:t xml:space="preserve"> </w:t>
      </w:r>
      <w:r w:rsidRPr="005E56D0">
        <w:rPr>
          <w:sz w:val="21"/>
          <w:szCs w:val="21"/>
        </w:rPr>
        <w:t>recognizes and records an account receivable (AR) and a custodial revenue for CMPs (e.g., a Forfeiture Order, a Consent Decree [CD], or a payment plan).</w:t>
      </w:r>
      <w:r w:rsidRPr="005E56D0" w:rsidR="009218AF">
        <w:rPr>
          <w:sz w:val="21"/>
          <w:szCs w:val="21"/>
        </w:rPr>
        <w:t xml:space="preserve"> </w:t>
      </w:r>
      <w:r w:rsidRPr="005E56D0">
        <w:rPr>
          <w:sz w:val="21"/>
          <w:szCs w:val="21"/>
        </w:rPr>
        <w:t xml:space="preserve">The respondent is expected to pay a CMP in accordance with the specific payment terms defined in the CD, court order, or payment plan. </w:t>
      </w:r>
    </w:p>
    <w:p w:rsidR="00337587" w:rsidRPr="005E56D0" w:rsidP="00907C89" w14:paraId="3C90544F" w14:textId="1C68E8E5">
      <w:pPr>
        <w:spacing w:after="260"/>
        <w:ind w:left="504" w:right="720"/>
        <w:textAlignment w:val="baseline"/>
        <w:rPr>
          <w:sz w:val="21"/>
          <w:szCs w:val="21"/>
        </w:rPr>
      </w:pPr>
      <w:r w:rsidRPr="005E56D0">
        <w:rPr>
          <w:sz w:val="21"/>
          <w:szCs w:val="21"/>
        </w:rPr>
        <w:t>Based on historical information, the FCC estimates the uncollectible portion of Forfeiture Order CMP AR balances.</w:t>
      </w:r>
      <w:r w:rsidRPr="005E56D0" w:rsidR="009218AF">
        <w:rPr>
          <w:sz w:val="21"/>
          <w:szCs w:val="21"/>
        </w:rPr>
        <w:t xml:space="preserve"> </w:t>
      </w:r>
      <w:r w:rsidRPr="005E56D0">
        <w:rPr>
          <w:sz w:val="21"/>
          <w:szCs w:val="21"/>
        </w:rPr>
        <w:t>The estimate is recorded as a contra asset account and a contra custodial revenue account – allowance for doubtful accounts (ADA) in the general ledger (GL).</w:t>
      </w:r>
      <w:r w:rsidRPr="005E56D0" w:rsidR="009218AF">
        <w:rPr>
          <w:sz w:val="21"/>
          <w:szCs w:val="21"/>
        </w:rPr>
        <w:t xml:space="preserve"> </w:t>
      </w:r>
      <w:r w:rsidRPr="005E56D0">
        <w:rPr>
          <w:sz w:val="21"/>
          <w:szCs w:val="21"/>
        </w:rPr>
        <w:t>For certain Forfeiture Order CMPs, the FCC expects 100% of the AR balances to be uncollectable.</w:t>
      </w:r>
      <w:r w:rsidRPr="005E56D0" w:rsidR="009218AF">
        <w:rPr>
          <w:sz w:val="21"/>
          <w:szCs w:val="21"/>
        </w:rPr>
        <w:t xml:space="preserve"> </w:t>
      </w:r>
      <w:r w:rsidRPr="005E56D0">
        <w:rPr>
          <w:sz w:val="21"/>
          <w:szCs w:val="21"/>
        </w:rPr>
        <w:t xml:space="preserve">In this instance, the ADA provision will be recorded at 100% of the AR balances. </w:t>
      </w:r>
    </w:p>
    <w:p w:rsidR="00337587" w:rsidRPr="005E56D0" w:rsidP="006538CE" w14:paraId="65E6FB50" w14:textId="0BAC4EE2">
      <w:pPr>
        <w:spacing w:after="240"/>
        <w:ind w:left="504" w:right="720"/>
        <w:textAlignment w:val="baseline"/>
        <w:rPr>
          <w:sz w:val="21"/>
          <w:szCs w:val="21"/>
        </w:rPr>
      </w:pPr>
      <w:r w:rsidRPr="005E56D0">
        <w:rPr>
          <w:sz w:val="21"/>
          <w:szCs w:val="21"/>
        </w:rPr>
        <w:t>The FCC’s current process to confirm the reasonableness of the allowance for doubtful accounts is to analyze all open AR equal to or greater than $1 million.</w:t>
      </w:r>
      <w:r w:rsidRPr="005E56D0" w:rsidR="009218AF">
        <w:rPr>
          <w:sz w:val="21"/>
          <w:szCs w:val="21"/>
        </w:rPr>
        <w:t xml:space="preserve"> </w:t>
      </w:r>
      <w:r w:rsidRPr="005E56D0">
        <w:rPr>
          <w:sz w:val="21"/>
          <w:szCs w:val="21"/>
        </w:rPr>
        <w:t>All outstanding Forfeiture Orders equal to or greater than $3 million are further reviewed and evaluated for collectability by the EB on a monthly basis.</w:t>
      </w:r>
      <w:r w:rsidRPr="005E56D0" w:rsidR="009218AF">
        <w:rPr>
          <w:sz w:val="21"/>
          <w:szCs w:val="21"/>
        </w:rPr>
        <w:t xml:space="preserve"> </w:t>
      </w:r>
      <w:r w:rsidRPr="005E56D0">
        <w:rPr>
          <w:sz w:val="21"/>
          <w:szCs w:val="21"/>
        </w:rPr>
        <w:t>For CMPs exceeding or equal to $100,000, the Revenue Receivables Operations Group (RROG) Chief is required to review and certify them.</w:t>
      </w:r>
      <w:r w:rsidRPr="005E56D0" w:rsidR="009218AF">
        <w:rPr>
          <w:sz w:val="21"/>
          <w:szCs w:val="21"/>
        </w:rPr>
        <w:t xml:space="preserve"> </w:t>
      </w:r>
    </w:p>
    <w:p w:rsidR="00337587" w:rsidRPr="005E56D0" w:rsidP="006538CE" w14:paraId="76604A03" w14:textId="790DCC6E">
      <w:pPr>
        <w:spacing w:after="240"/>
        <w:ind w:left="504" w:right="720"/>
        <w:textAlignment w:val="baseline"/>
        <w:rPr>
          <w:sz w:val="21"/>
          <w:szCs w:val="21"/>
        </w:rPr>
      </w:pPr>
      <w:r w:rsidRPr="005E56D0">
        <w:rPr>
          <w:sz w:val="21"/>
          <w:szCs w:val="21"/>
        </w:rPr>
        <w:t>As part of our year-end audit procedures, Kearney validates the information reported in the FCC’s draft Agency Financial Report (AFR).</w:t>
      </w:r>
      <w:r w:rsidRPr="005E56D0" w:rsidR="009218AF">
        <w:rPr>
          <w:sz w:val="21"/>
          <w:szCs w:val="21"/>
        </w:rPr>
        <w:t xml:space="preserve"> </w:t>
      </w:r>
      <w:r w:rsidRPr="005E56D0">
        <w:rPr>
          <w:sz w:val="21"/>
          <w:szCs w:val="21"/>
        </w:rPr>
        <w:t>Our review of Management’s Discussion and Analysis resulted in the identification of an accounting error in financial reporting.</w:t>
      </w:r>
    </w:p>
    <w:p w:rsidR="00337587" w:rsidRPr="005E56D0" w:rsidP="006538CE" w14:paraId="2A4F06C2" w14:textId="667DEBE3">
      <w:pPr>
        <w:spacing w:after="240"/>
        <w:ind w:left="504" w:right="720"/>
        <w:textAlignment w:val="baseline"/>
        <w:rPr>
          <w:sz w:val="21"/>
          <w:szCs w:val="21"/>
        </w:rPr>
      </w:pPr>
      <w:r w:rsidRPr="005E56D0">
        <w:rPr>
          <w:b/>
          <w:bCs/>
          <w:sz w:val="21"/>
          <w:szCs w:val="21"/>
        </w:rPr>
        <w:t xml:space="preserve">Condition: </w:t>
      </w:r>
      <w:r w:rsidRPr="005E56D0">
        <w:rPr>
          <w:sz w:val="21"/>
          <w:szCs w:val="21"/>
        </w:rPr>
        <w:t>The FCC incorrectly recorded an accounting transaction related to CMPs.</w:t>
      </w:r>
      <w:r w:rsidRPr="005E56D0" w:rsidR="009218AF">
        <w:rPr>
          <w:sz w:val="21"/>
          <w:szCs w:val="21"/>
        </w:rPr>
        <w:t xml:space="preserve"> </w:t>
      </w:r>
      <w:r w:rsidRPr="005E56D0">
        <w:rPr>
          <w:sz w:val="21"/>
          <w:szCs w:val="21"/>
        </w:rPr>
        <w:t>Specifically, for one Forfeiture Order, the FCC recorded $225,000 to the GL when the fine was $225 million.</w:t>
      </w:r>
      <w:r w:rsidRPr="005E56D0" w:rsidR="009218AF">
        <w:rPr>
          <w:sz w:val="21"/>
          <w:szCs w:val="21"/>
        </w:rPr>
        <w:t xml:space="preserve"> </w:t>
      </w:r>
      <w:r w:rsidRPr="005E56D0">
        <w:rPr>
          <w:sz w:val="21"/>
          <w:szCs w:val="21"/>
        </w:rPr>
        <w:t>In addition, because of this accounting error, the FCC did not properly assess a corresponding provision</w:t>
      </w:r>
      <w:r w:rsidRPr="005E56D0">
        <w:rPr>
          <w:sz w:val="21"/>
          <w:szCs w:val="21"/>
        </w:rPr>
        <w:t xml:space="preserve"> </w:t>
      </w:r>
      <w:r w:rsidRPr="005E56D0">
        <w:rPr>
          <w:sz w:val="21"/>
          <w:szCs w:val="21"/>
        </w:rPr>
        <w:t>for ADA on the incorrectly recorded CMP receivable balance.</w:t>
      </w:r>
      <w:r w:rsidRPr="005E56D0" w:rsidR="009218AF">
        <w:rPr>
          <w:sz w:val="21"/>
          <w:szCs w:val="21"/>
        </w:rPr>
        <w:t xml:space="preserve"> </w:t>
      </w:r>
    </w:p>
    <w:p w:rsidR="00E032E6" w:rsidP="00E032E6" w14:paraId="31B2507A" w14:textId="07D5FDAB">
      <w:pPr>
        <w:spacing w:after="240"/>
        <w:ind w:left="504" w:right="662"/>
        <w:textAlignment w:val="baseline"/>
        <w:rPr>
          <w:sz w:val="21"/>
          <w:szCs w:val="21"/>
        </w:rPr>
      </w:pPr>
      <w:r w:rsidRPr="005E56D0">
        <w:rPr>
          <w:b/>
          <w:bCs/>
          <w:sz w:val="21"/>
          <w:szCs w:val="21"/>
        </w:rPr>
        <w:t xml:space="preserve">Cause: </w:t>
      </w:r>
      <w:r w:rsidRPr="005E56D0">
        <w:rPr>
          <w:sz w:val="21"/>
          <w:szCs w:val="21"/>
        </w:rPr>
        <w:t>While the FCC has developed a process for tracking and updating CMPs, including supervisory-level reviews, the process was not always effective, as the reviewer did not properly detect a material erroneous transaction.</w:t>
      </w:r>
      <w:r w:rsidRPr="005E56D0" w:rsidR="009218AF">
        <w:rPr>
          <w:sz w:val="21"/>
          <w:szCs w:val="21"/>
        </w:rPr>
        <w:t xml:space="preserve"> </w:t>
      </w:r>
      <w:r w:rsidRPr="005E56D0">
        <w:rPr>
          <w:sz w:val="21"/>
          <w:szCs w:val="21"/>
        </w:rPr>
        <w:t>Additionally, the erroneous recording of the CMP receivable stemmed from ineffective implementation of the EB’s monitoring review as a control activity.</w:t>
      </w:r>
      <w:r w:rsidRPr="005E56D0" w:rsidR="009218AF">
        <w:rPr>
          <w:sz w:val="21"/>
          <w:szCs w:val="21"/>
        </w:rPr>
        <w:t xml:space="preserve"> </w:t>
      </w:r>
      <w:r w:rsidRPr="005E56D0">
        <w:rPr>
          <w:sz w:val="21"/>
          <w:szCs w:val="21"/>
        </w:rPr>
        <w:t>As part of the FCC’s internal control, the EB is required to review the reasonableness of the allowances for all forfeitures over $3 million.</w:t>
      </w:r>
      <w:r w:rsidRPr="005E56D0" w:rsidR="009218AF">
        <w:rPr>
          <w:sz w:val="21"/>
          <w:szCs w:val="21"/>
        </w:rPr>
        <w:t xml:space="preserve"> </w:t>
      </w:r>
      <w:r w:rsidRPr="005E56D0">
        <w:rPr>
          <w:sz w:val="21"/>
          <w:szCs w:val="21"/>
        </w:rPr>
        <w:t xml:space="preserve">As the $225 million Forfeiture Order was above the threshold limit, at month-end, the Office of General Counsel (OGC) and the EB should have expected the amount to show up in the RROG monthly CMP receivable report as part of its </w:t>
      </w:r>
      <w:r>
        <w:rPr>
          <w:sz w:val="21"/>
          <w:szCs w:val="21"/>
        </w:rPr>
        <w:br w:type="page"/>
      </w:r>
    </w:p>
    <w:p w:rsidR="00337587" w:rsidRPr="005E56D0" w:rsidP="00E032E6" w14:paraId="3685C445" w14:textId="6BFFE1A1">
      <w:pPr>
        <w:spacing w:after="240"/>
        <w:ind w:left="504" w:right="662"/>
        <w:textAlignment w:val="baseline"/>
        <w:rPr>
          <w:sz w:val="21"/>
          <w:szCs w:val="21"/>
        </w:rPr>
      </w:pPr>
      <w:r w:rsidRPr="005E56D0">
        <w:rPr>
          <w:sz w:val="21"/>
          <w:szCs w:val="21"/>
        </w:rPr>
        <w:t>monitoring control and should have alerted the RROG when the $225 million was not in the report.</w:t>
      </w:r>
    </w:p>
    <w:p w:rsidR="00337587" w:rsidRPr="005E56D0" w:rsidP="008538E8" w14:paraId="2F4ED746" w14:textId="2F2FD538">
      <w:pPr>
        <w:spacing w:after="240"/>
        <w:ind w:left="504" w:right="648"/>
        <w:textAlignment w:val="baseline"/>
        <w:rPr>
          <w:sz w:val="21"/>
          <w:szCs w:val="21"/>
        </w:rPr>
      </w:pPr>
      <w:bookmarkStart w:id="102" w:name="TMB356471130"/>
      <w:bookmarkStart w:id="103" w:name="TMB505835487"/>
      <w:bookmarkStart w:id="104" w:name="TMB881269135"/>
      <w:bookmarkStart w:id="105" w:name="TMB1023018832"/>
      <w:bookmarkEnd w:id="102"/>
      <w:bookmarkEnd w:id="103"/>
      <w:bookmarkEnd w:id="104"/>
      <w:bookmarkEnd w:id="105"/>
      <w:r w:rsidRPr="005E56D0">
        <w:rPr>
          <w:b/>
          <w:bCs/>
          <w:sz w:val="21"/>
          <w:szCs w:val="21"/>
        </w:rPr>
        <w:t xml:space="preserve">Effect: </w:t>
      </w:r>
      <w:r w:rsidRPr="005E56D0">
        <w:rPr>
          <w:sz w:val="21"/>
          <w:szCs w:val="21"/>
        </w:rPr>
        <w:t>The FCC improperly recorded AR, custodial revenue, and ADA transactions in FY 2021, resulting in a misstatement in the FY 2021 financial statement footnotes.</w:t>
      </w:r>
      <w:r w:rsidRPr="005E56D0" w:rsidR="009218AF">
        <w:rPr>
          <w:sz w:val="21"/>
          <w:szCs w:val="21"/>
        </w:rPr>
        <w:t xml:space="preserve"> </w:t>
      </w:r>
      <w:r w:rsidRPr="005E56D0">
        <w:rPr>
          <w:sz w:val="21"/>
          <w:szCs w:val="21"/>
        </w:rPr>
        <w:t>Specifically, the FCC understated the “Gross Accounts Receivable” line by $224,775,000 and understated the “Allowance for Doubtful Accounts” line by $224,831,250 on the AR footnote, Note 4.</w:t>
      </w:r>
      <w:r w:rsidRPr="005E56D0" w:rsidR="009218AF">
        <w:rPr>
          <w:sz w:val="21"/>
          <w:szCs w:val="21"/>
        </w:rPr>
        <w:t xml:space="preserve"> </w:t>
      </w:r>
      <w:r w:rsidRPr="005E56D0">
        <w:rPr>
          <w:sz w:val="21"/>
          <w:szCs w:val="21"/>
        </w:rPr>
        <w:t>Since the transaction is a fully reserved custodial revenue, the ADA is recorded to a contra revenue account and the net effect does not impact the Statement of Net Cost.</w:t>
      </w:r>
    </w:p>
    <w:p w:rsidR="00337587" w:rsidRPr="005E56D0" w:rsidP="005E56D0" w14:paraId="2C6B2F3F" w14:textId="77777777">
      <w:pPr>
        <w:spacing w:after="240"/>
        <w:ind w:left="504"/>
        <w:textAlignment w:val="baseline"/>
        <w:rPr>
          <w:sz w:val="21"/>
          <w:szCs w:val="21"/>
        </w:rPr>
      </w:pPr>
      <w:r w:rsidRPr="005E56D0">
        <w:rPr>
          <w:sz w:val="21"/>
          <w:szCs w:val="21"/>
        </w:rPr>
        <w:t>Further, without improved monitoring controls, errors may occur and remain undetected.</w:t>
      </w:r>
    </w:p>
    <w:p w:rsidR="00337587" w:rsidRPr="005E56D0" w:rsidP="008538E8" w14:paraId="549CB44B" w14:textId="77777777">
      <w:pPr>
        <w:spacing w:after="240"/>
        <w:ind w:left="504" w:right="720"/>
        <w:textAlignment w:val="baseline"/>
        <w:rPr>
          <w:sz w:val="21"/>
          <w:szCs w:val="21"/>
        </w:rPr>
      </w:pPr>
      <w:r w:rsidRPr="005E56D0">
        <w:rPr>
          <w:b/>
          <w:bCs/>
          <w:sz w:val="21"/>
          <w:szCs w:val="21"/>
        </w:rPr>
        <w:t>Recommendation:</w:t>
      </w:r>
      <w:r w:rsidRPr="005E56D0">
        <w:rPr>
          <w:sz w:val="21"/>
          <w:szCs w:val="21"/>
        </w:rPr>
        <w:t> Kearney recommends that the FCC strengthen processes and internal controls surrounding the reporting of CMP receivables and custodial revenues. </w:t>
      </w:r>
    </w:p>
    <w:p w:rsidR="00337587" w:rsidRPr="005E56D0" w:rsidP="005E56D0" w14:paraId="726CC98F" w14:textId="3668AB9E">
      <w:pPr>
        <w:spacing w:after="240"/>
        <w:ind w:left="504"/>
        <w:textAlignment w:val="baseline"/>
        <w:rPr>
          <w:sz w:val="21"/>
          <w:szCs w:val="21"/>
        </w:rPr>
      </w:pPr>
      <w:r w:rsidRPr="005E56D0">
        <w:rPr>
          <w:sz w:val="21"/>
          <w:szCs w:val="21"/>
        </w:rPr>
        <w:t>Specifically, Kearney recommends that the FCC perform the following:</w:t>
      </w:r>
      <w:r w:rsidRPr="005E56D0" w:rsidR="009218AF">
        <w:rPr>
          <w:sz w:val="21"/>
          <w:szCs w:val="21"/>
        </w:rPr>
        <w:t xml:space="preserve"> </w:t>
      </w:r>
    </w:p>
    <w:p w:rsidR="00337587" w:rsidRPr="005E56D0" w:rsidP="00DE2608" w14:paraId="2E5357F9" w14:textId="77777777">
      <w:pPr>
        <w:pStyle w:val="ListParagraph"/>
        <w:numPr>
          <w:ilvl w:val="0"/>
          <w:numId w:val="22"/>
        </w:numPr>
        <w:ind w:left="1080" w:right="720"/>
        <w:rPr>
          <w:sz w:val="21"/>
          <w:szCs w:val="21"/>
        </w:rPr>
      </w:pPr>
      <w:r w:rsidRPr="005E56D0">
        <w:rPr>
          <w:sz w:val="21"/>
          <w:szCs w:val="21"/>
        </w:rPr>
        <w:t>Strengthen monitoring controls over custodial revenue transactions resulting from CMPs by implementing an additional level of review over all CMP transactions to ensure they are recorded accurately. </w:t>
      </w:r>
      <w:r w:rsidRPr="005E56D0">
        <w:rPr>
          <w:i/>
          <w:iCs/>
          <w:sz w:val="21"/>
          <w:szCs w:val="21"/>
        </w:rPr>
        <w:t>[New]</w:t>
      </w:r>
      <w:r w:rsidRPr="005E56D0">
        <w:rPr>
          <w:sz w:val="21"/>
          <w:szCs w:val="21"/>
        </w:rPr>
        <w:t> </w:t>
      </w:r>
    </w:p>
    <w:p w:rsidR="00337587" w:rsidRPr="005E56D0" w:rsidP="00DE2608" w14:paraId="4E62B663" w14:textId="77777777">
      <w:pPr>
        <w:pStyle w:val="ListParagraph"/>
        <w:numPr>
          <w:ilvl w:val="0"/>
          <w:numId w:val="22"/>
        </w:numPr>
        <w:ind w:left="1080" w:right="720"/>
        <w:rPr>
          <w:sz w:val="21"/>
          <w:szCs w:val="21"/>
        </w:rPr>
      </w:pPr>
      <w:r w:rsidRPr="005E56D0">
        <w:rPr>
          <w:sz w:val="21"/>
          <w:szCs w:val="21"/>
        </w:rPr>
        <w:t>Strengthen OGC’s and the EB’s role in determining the completeness of the RROG’s CMP receivable schedule by ensuring OGC and the EB review the list to ensure all open CMP receivables over the appropriate thresholds are included. </w:t>
      </w:r>
      <w:r w:rsidRPr="005E56D0">
        <w:rPr>
          <w:i/>
          <w:iCs/>
          <w:sz w:val="21"/>
          <w:szCs w:val="21"/>
        </w:rPr>
        <w:t>[New]</w:t>
      </w:r>
      <w:r w:rsidRPr="005E56D0">
        <w:rPr>
          <w:sz w:val="21"/>
          <w:szCs w:val="21"/>
        </w:rPr>
        <w:t> </w:t>
      </w:r>
    </w:p>
    <w:p w:rsidR="00337587" w:rsidRPr="00F4123C" w:rsidP="00DE2608" w14:paraId="4402414E" w14:textId="5BA5B893">
      <w:pPr>
        <w:pStyle w:val="ListParagraph"/>
        <w:numPr>
          <w:ilvl w:val="0"/>
          <w:numId w:val="22"/>
        </w:numPr>
        <w:ind w:left="1080" w:right="720"/>
      </w:pPr>
      <w:r w:rsidRPr="005E56D0">
        <w:rPr>
          <w:sz w:val="21"/>
          <w:szCs w:val="21"/>
        </w:rPr>
        <w:t>Enforce its policy to effectively agree source documentation to the Genesis CMP detail. </w:t>
      </w:r>
      <w:r w:rsidRPr="005E56D0">
        <w:rPr>
          <w:i/>
          <w:iCs/>
          <w:sz w:val="21"/>
          <w:szCs w:val="21"/>
        </w:rPr>
        <w:t>[New]</w:t>
      </w:r>
      <w:r w:rsidRPr="00F4123C">
        <w:rPr>
          <w:b/>
          <w:szCs w:val="24"/>
        </w:rPr>
        <w:br w:type="page"/>
      </w:r>
    </w:p>
    <w:p w:rsidR="00337587" w:rsidRPr="00824F64" w:rsidP="00E53F5E" w14:paraId="25901DBC" w14:textId="77777777">
      <w:pPr>
        <w:pStyle w:val="Heading4"/>
        <w:jc w:val="center"/>
        <w:rPr>
          <w:sz w:val="21"/>
          <w:szCs w:val="21"/>
        </w:rPr>
      </w:pPr>
      <w:bookmarkStart w:id="106" w:name="_Toc88780663"/>
      <w:r w:rsidRPr="00824F64">
        <w:rPr>
          <w:sz w:val="21"/>
          <w:szCs w:val="21"/>
        </w:rPr>
        <w:t>APPENDIX A: STATUS OF PRIOR-YEAR DEFICIENCIES</w:t>
      </w:r>
      <w:bookmarkEnd w:id="106"/>
    </w:p>
    <w:p w:rsidR="00E53F5E" w:rsidRPr="00824F64" w:rsidP="004C6624" w14:paraId="50A19B5F" w14:textId="74FAD90A">
      <w:pPr>
        <w:pStyle w:val="StyleNoSpacingTimesNewRoman"/>
        <w:spacing w:after="240"/>
        <w:ind w:left="504" w:right="720"/>
        <w:rPr>
          <w:sz w:val="21"/>
          <w:szCs w:val="21"/>
        </w:rPr>
      </w:pPr>
      <w:r w:rsidRPr="00824F64">
        <w:rPr>
          <w:sz w:val="21"/>
          <w:szCs w:val="21"/>
        </w:rPr>
        <w:t xml:space="preserve">In the </w:t>
      </w:r>
      <w:r w:rsidRPr="00824F64">
        <w:rPr>
          <w:i/>
          <w:sz w:val="21"/>
          <w:szCs w:val="21"/>
        </w:rPr>
        <w:t>Independent Auditor’s Report on Internal Control over Financial Reporting</w:t>
      </w:r>
      <w:r w:rsidRPr="00824F64">
        <w:rPr>
          <w:sz w:val="21"/>
          <w:szCs w:val="21"/>
        </w:rPr>
        <w:t xml:space="preserve"> included in the audit report on the Federal Communications Commission’s (FCC) fiscal year (FY) 2020 financial statements,</w:t>
      </w:r>
      <w:r>
        <w:rPr>
          <w:rStyle w:val="FootnoteReference"/>
          <w:sz w:val="21"/>
          <w:szCs w:val="21"/>
        </w:rPr>
        <w:footnoteReference w:id="15"/>
      </w:r>
      <w:r w:rsidRPr="00824F64">
        <w:rPr>
          <w:sz w:val="21"/>
          <w:szCs w:val="21"/>
        </w:rPr>
        <w:t xml:space="preserve"> Kearney &amp; Company, P.C. (Kearney) noted one reportable finding.</w:t>
      </w:r>
      <w:r w:rsidRPr="00824F64" w:rsidR="009218AF">
        <w:rPr>
          <w:sz w:val="21"/>
          <w:szCs w:val="21"/>
        </w:rPr>
        <w:t xml:space="preserve"> </w:t>
      </w:r>
      <w:r w:rsidRPr="00824F64">
        <w:rPr>
          <w:sz w:val="21"/>
          <w:szCs w:val="21"/>
        </w:rPr>
        <w:t>The status of the FY 2020 internal control findings and recommendations are summarized in</w:t>
      </w:r>
      <w:r w:rsidRPr="00824F64">
        <w:rPr>
          <w:b/>
          <w:i/>
          <w:sz w:val="21"/>
          <w:szCs w:val="21"/>
        </w:rPr>
        <w:t xml:space="preserve"> </w:t>
      </w:r>
      <w:r w:rsidRPr="00824F64">
        <w:rPr>
          <w:b/>
          <w:i/>
          <w:sz w:val="21"/>
          <w:szCs w:val="21"/>
        </w:rPr>
        <w:fldChar w:fldCharType="begin"/>
      </w:r>
      <w:r w:rsidRPr="00824F64">
        <w:rPr>
          <w:b/>
          <w:i/>
          <w:sz w:val="21"/>
          <w:szCs w:val="21"/>
        </w:rPr>
        <w:instrText xml:space="preserve"> REF _Hlk529172117 \h  \* MERGEFORMAT </w:instrText>
      </w:r>
      <w:r w:rsidRPr="00824F64">
        <w:rPr>
          <w:b/>
          <w:i/>
          <w:sz w:val="21"/>
          <w:szCs w:val="21"/>
        </w:rPr>
        <w:fldChar w:fldCharType="separate"/>
      </w:r>
      <w:r w:rsidRPr="00824F64">
        <w:rPr>
          <w:b/>
          <w:bCs/>
          <w:i/>
          <w:iCs/>
          <w:sz w:val="21"/>
          <w:szCs w:val="21"/>
        </w:rPr>
        <w:t>Exhibit 1</w:t>
      </w:r>
      <w:r w:rsidRPr="00824F64">
        <w:rPr>
          <w:b/>
          <w:i/>
          <w:sz w:val="21"/>
          <w:szCs w:val="21"/>
        </w:rPr>
        <w:fldChar w:fldCharType="end"/>
      </w:r>
      <w:r w:rsidRPr="00824F64">
        <w:rPr>
          <w:b/>
          <w:i/>
          <w:sz w:val="21"/>
          <w:szCs w:val="21"/>
        </w:rPr>
        <w:t xml:space="preserve"> </w:t>
      </w:r>
      <w:r w:rsidRPr="00824F64">
        <w:rPr>
          <w:sz w:val="21"/>
          <w:szCs w:val="21"/>
        </w:rPr>
        <w:t xml:space="preserve">and </w:t>
      </w:r>
      <w:r w:rsidRPr="00824F64">
        <w:rPr>
          <w:b/>
          <w:i/>
          <w:sz w:val="21"/>
          <w:szCs w:val="21"/>
        </w:rPr>
        <w:fldChar w:fldCharType="begin"/>
      </w:r>
      <w:r w:rsidRPr="00824F64">
        <w:rPr>
          <w:b/>
          <w:i/>
          <w:sz w:val="21"/>
          <w:szCs w:val="21"/>
        </w:rPr>
        <w:instrText xml:space="preserve"> REF _Hlt84974755 \h  \* MERGEFORMAT </w:instrText>
      </w:r>
      <w:r w:rsidRPr="00824F64">
        <w:rPr>
          <w:b/>
          <w:i/>
          <w:sz w:val="21"/>
          <w:szCs w:val="21"/>
        </w:rPr>
        <w:fldChar w:fldCharType="separate"/>
      </w:r>
      <w:r w:rsidRPr="00824F64">
        <w:rPr>
          <w:b/>
          <w:bCs/>
          <w:i/>
          <w:iCs/>
          <w:sz w:val="21"/>
          <w:szCs w:val="21"/>
        </w:rPr>
        <w:t>Exhibit 2</w:t>
      </w:r>
      <w:r w:rsidRPr="00824F64">
        <w:rPr>
          <w:b/>
          <w:i/>
          <w:sz w:val="21"/>
          <w:szCs w:val="21"/>
        </w:rPr>
        <w:fldChar w:fldCharType="end"/>
      </w:r>
      <w:r w:rsidRPr="00824F64">
        <w:rPr>
          <w:sz w:val="21"/>
          <w:szCs w:val="21"/>
        </w:rPr>
        <w:t>.</w:t>
      </w:r>
    </w:p>
    <w:p w:rsidR="00337587" w:rsidRPr="00BC495E" w:rsidP="000B1756" w14:paraId="3BBD64F1" w14:textId="77777777">
      <w:pPr>
        <w:pStyle w:val="Heading5"/>
        <w:spacing w:after="0"/>
        <w:jc w:val="center"/>
        <w:rPr>
          <w:i/>
          <w:iCs/>
          <w:sz w:val="21"/>
          <w:szCs w:val="21"/>
        </w:rPr>
      </w:pPr>
      <w:bookmarkStart w:id="107" w:name="_Hlk529172117"/>
      <w:bookmarkStart w:id="108" w:name="_Toc88780664"/>
      <w:r w:rsidRPr="00BC495E">
        <w:rPr>
          <w:i/>
          <w:iCs/>
          <w:sz w:val="21"/>
          <w:szCs w:val="21"/>
        </w:rPr>
        <w:t>Exhibit 1</w:t>
      </w:r>
      <w:bookmarkEnd w:id="107"/>
      <w:r w:rsidRPr="00BC495E">
        <w:rPr>
          <w:i/>
          <w:iCs/>
          <w:sz w:val="21"/>
          <w:szCs w:val="21"/>
        </w:rPr>
        <w:t>: Status of Prior-Year Findings</w:t>
      </w:r>
      <w:bookmarkEnd w:id="108"/>
    </w:p>
    <w:tbl>
      <w:tblPr>
        <w:tblStyle w:val="LightListAccent1"/>
        <w:tblW w:w="4444" w:type="pct"/>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35"/>
        <w:gridCol w:w="2737"/>
        <w:gridCol w:w="2338"/>
      </w:tblGrid>
      <w:tr w14:paraId="45F99567" w14:textId="77777777" w:rsidTr="004C6624">
        <w:tblPrEx>
          <w:tblW w:w="4444" w:type="pct"/>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946" w:type="pct"/>
            <w:shd w:val="clear" w:color="auto" w:fill="1F497D"/>
          </w:tcPr>
          <w:p w:rsidR="00337587" w:rsidRPr="00824F64" w:rsidP="00E553BC" w14:paraId="6BD65787" w14:textId="77777777">
            <w:pPr>
              <w:jc w:val="center"/>
              <w:rPr>
                <w:rFonts w:ascii="Times New Roman" w:hAnsi="Times New Roman"/>
                <w:sz w:val="21"/>
                <w:szCs w:val="21"/>
              </w:rPr>
            </w:pPr>
            <w:r w:rsidRPr="00824F64">
              <w:rPr>
                <w:rFonts w:ascii="Times New Roman" w:hAnsi="Times New Roman"/>
                <w:sz w:val="21"/>
                <w:szCs w:val="21"/>
              </w:rPr>
              <w:t>Control Deficiency</w:t>
            </w:r>
          </w:p>
        </w:tc>
        <w:tc>
          <w:tcPr>
            <w:tcW w:w="1646" w:type="pct"/>
            <w:shd w:val="clear" w:color="auto" w:fill="1F497D"/>
          </w:tcPr>
          <w:p w:rsidR="00337587" w:rsidRPr="00824F64" w:rsidP="00E553BC" w14:paraId="18E8B80D" w14:textId="77777777">
            <w:pPr>
              <w:jc w:val="center"/>
              <w:rPr>
                <w:rFonts w:ascii="Times New Roman" w:hAnsi="Times New Roman"/>
                <w:sz w:val="21"/>
                <w:szCs w:val="21"/>
              </w:rPr>
            </w:pPr>
            <w:r w:rsidRPr="00824F64">
              <w:rPr>
                <w:rFonts w:ascii="Times New Roman" w:hAnsi="Times New Roman"/>
                <w:sz w:val="21"/>
                <w:szCs w:val="21"/>
              </w:rPr>
              <w:t>FY 2020 Status</w:t>
            </w:r>
          </w:p>
        </w:tc>
        <w:tc>
          <w:tcPr>
            <w:tcW w:w="1407" w:type="pct"/>
            <w:shd w:val="clear" w:color="auto" w:fill="1F497D"/>
          </w:tcPr>
          <w:p w:rsidR="00337587" w:rsidRPr="00824F64" w:rsidP="00E553BC" w14:paraId="32E994AE" w14:textId="77777777">
            <w:pPr>
              <w:jc w:val="center"/>
              <w:rPr>
                <w:rFonts w:ascii="Times New Roman" w:hAnsi="Times New Roman"/>
                <w:sz w:val="21"/>
                <w:szCs w:val="21"/>
              </w:rPr>
            </w:pPr>
            <w:r w:rsidRPr="00824F64">
              <w:rPr>
                <w:rFonts w:ascii="Times New Roman" w:hAnsi="Times New Roman"/>
                <w:sz w:val="21"/>
                <w:szCs w:val="21"/>
              </w:rPr>
              <w:t>FY 2021 Status</w:t>
            </w:r>
          </w:p>
        </w:tc>
      </w:tr>
      <w:tr w14:paraId="09B3A628" w14:textId="77777777" w:rsidTr="004C6624">
        <w:tblPrEx>
          <w:tblW w:w="4444" w:type="pct"/>
          <w:tblInd w:w="504" w:type="dxa"/>
          <w:tblLook w:val="04A0"/>
        </w:tblPrEx>
        <w:tc>
          <w:tcPr>
            <w:tcW w:w="1946" w:type="pct"/>
            <w:tcBorders>
              <w:top w:val="none" w:sz="0" w:space="0" w:color="auto"/>
              <w:left w:val="none" w:sz="0" w:space="0" w:color="auto"/>
              <w:bottom w:val="none" w:sz="0" w:space="0" w:color="auto"/>
            </w:tcBorders>
            <w:vAlign w:val="center"/>
          </w:tcPr>
          <w:p w:rsidR="00337587" w:rsidRPr="00824F64" w:rsidP="00E553BC" w14:paraId="12E5611E" w14:textId="77777777">
            <w:pPr>
              <w:jc w:val="center"/>
              <w:rPr>
                <w:rFonts w:ascii="Times New Roman" w:hAnsi="Times New Roman"/>
                <w:b w:val="0"/>
                <w:sz w:val="21"/>
                <w:szCs w:val="21"/>
              </w:rPr>
            </w:pPr>
            <w:r w:rsidRPr="00824F64">
              <w:rPr>
                <w:rFonts w:ascii="Times New Roman" w:hAnsi="Times New Roman"/>
                <w:sz w:val="21"/>
                <w:szCs w:val="21"/>
              </w:rPr>
              <w:t>Information Technology (IT)</w:t>
            </w:r>
          </w:p>
        </w:tc>
        <w:tc>
          <w:tcPr>
            <w:tcW w:w="1646" w:type="pct"/>
            <w:tcBorders>
              <w:top w:val="none" w:sz="0" w:space="0" w:color="auto"/>
              <w:bottom w:val="none" w:sz="0" w:space="0" w:color="auto"/>
            </w:tcBorders>
            <w:vAlign w:val="center"/>
          </w:tcPr>
          <w:p w:rsidR="00337587" w:rsidRPr="00824F64" w:rsidP="00E553BC" w14:paraId="04CB876E" w14:textId="77777777">
            <w:pPr>
              <w:jc w:val="center"/>
              <w:rPr>
                <w:rFonts w:ascii="Times New Roman" w:hAnsi="Times New Roman"/>
                <w:sz w:val="21"/>
                <w:szCs w:val="21"/>
              </w:rPr>
            </w:pPr>
            <w:r w:rsidRPr="00824F64">
              <w:rPr>
                <w:rFonts w:ascii="Times New Roman" w:hAnsi="Times New Roman"/>
                <w:sz w:val="21"/>
                <w:szCs w:val="21"/>
              </w:rPr>
              <w:t>Significant Deficiency</w:t>
            </w:r>
          </w:p>
        </w:tc>
        <w:tc>
          <w:tcPr>
            <w:tcW w:w="1407" w:type="pct"/>
            <w:tcBorders>
              <w:top w:val="none" w:sz="0" w:space="0" w:color="auto"/>
              <w:bottom w:val="none" w:sz="0" w:space="0" w:color="auto"/>
              <w:right w:val="none" w:sz="0" w:space="0" w:color="auto"/>
            </w:tcBorders>
            <w:vAlign w:val="center"/>
          </w:tcPr>
          <w:p w:rsidR="00337587" w:rsidRPr="00824F64" w:rsidP="00E553BC" w14:paraId="0F173E09" w14:textId="77777777">
            <w:pPr>
              <w:jc w:val="center"/>
              <w:rPr>
                <w:rFonts w:ascii="Times New Roman" w:hAnsi="Times New Roman"/>
                <w:sz w:val="21"/>
                <w:szCs w:val="21"/>
              </w:rPr>
            </w:pPr>
            <w:r w:rsidRPr="00824F64">
              <w:rPr>
                <w:rFonts w:ascii="Times New Roman" w:hAnsi="Times New Roman"/>
                <w:sz w:val="21"/>
                <w:szCs w:val="21"/>
              </w:rPr>
              <w:t>Significant Deficiency</w:t>
            </w:r>
          </w:p>
        </w:tc>
      </w:tr>
    </w:tbl>
    <w:p w:rsidR="00337587" w:rsidRPr="00824F64" w:rsidP="004C6624" w14:paraId="4FE7E985" w14:textId="062FC19E">
      <w:pPr>
        <w:pStyle w:val="StyleNoSpacingTimesNewRoman"/>
        <w:spacing w:before="240" w:after="240"/>
        <w:ind w:left="504" w:right="720"/>
        <w:rPr>
          <w:sz w:val="21"/>
          <w:szCs w:val="21"/>
        </w:rPr>
      </w:pPr>
      <w:r w:rsidRPr="00824F64">
        <w:rPr>
          <w:sz w:val="21"/>
          <w:szCs w:val="21"/>
        </w:rPr>
        <w:t>During the FY 2020 financial statement audit, Kearney made specific recommendations to the FCC related to the control deficiency, as noted above, to strengthen the FCC’s internal control environment over financial reporting.</w:t>
      </w:r>
      <w:r w:rsidRPr="00824F64" w:rsidR="009218AF">
        <w:rPr>
          <w:sz w:val="21"/>
          <w:szCs w:val="21"/>
        </w:rPr>
        <w:t xml:space="preserve"> </w:t>
      </w:r>
      <w:r w:rsidRPr="00824F64">
        <w:rPr>
          <w:sz w:val="21"/>
          <w:szCs w:val="21"/>
        </w:rPr>
        <w:t>The status of the FY 2020 internal control recommendations is summarized in</w:t>
      </w:r>
      <w:r w:rsidRPr="00824F64">
        <w:rPr>
          <w:b/>
          <w:i/>
          <w:sz w:val="21"/>
          <w:szCs w:val="21"/>
        </w:rPr>
        <w:t xml:space="preserve"> </w:t>
      </w:r>
      <w:r w:rsidRPr="00824F64">
        <w:rPr>
          <w:b/>
          <w:i/>
          <w:sz w:val="21"/>
          <w:szCs w:val="21"/>
        </w:rPr>
        <w:fldChar w:fldCharType="begin"/>
      </w:r>
      <w:r w:rsidRPr="00824F64">
        <w:rPr>
          <w:b/>
          <w:i/>
          <w:sz w:val="21"/>
          <w:szCs w:val="21"/>
        </w:rPr>
        <w:instrText xml:space="preserve"> REF _Hlt84974755 \h  \* MERGEFORMAT </w:instrText>
      </w:r>
      <w:r w:rsidRPr="00824F64">
        <w:rPr>
          <w:b/>
          <w:i/>
          <w:sz w:val="21"/>
          <w:szCs w:val="21"/>
        </w:rPr>
        <w:fldChar w:fldCharType="separate"/>
      </w:r>
      <w:r w:rsidRPr="00824F64">
        <w:rPr>
          <w:b/>
          <w:bCs/>
          <w:i/>
          <w:iCs/>
          <w:sz w:val="21"/>
          <w:szCs w:val="21"/>
        </w:rPr>
        <w:t>Exhibit 2</w:t>
      </w:r>
      <w:r w:rsidRPr="00824F64">
        <w:rPr>
          <w:b/>
          <w:i/>
          <w:sz w:val="21"/>
          <w:szCs w:val="21"/>
        </w:rPr>
        <w:fldChar w:fldCharType="end"/>
      </w:r>
      <w:r w:rsidRPr="00824F64">
        <w:rPr>
          <w:sz w:val="21"/>
          <w:szCs w:val="21"/>
        </w:rPr>
        <w:t>.</w:t>
      </w:r>
    </w:p>
    <w:p w:rsidR="00337587" w:rsidRPr="00BC495E" w:rsidP="00BC495E" w14:paraId="2013DA34" w14:textId="77777777">
      <w:pPr>
        <w:pStyle w:val="Heading5"/>
        <w:spacing w:after="0"/>
        <w:jc w:val="center"/>
        <w:rPr>
          <w:b w:val="0"/>
          <w:i/>
          <w:iCs/>
          <w:sz w:val="21"/>
          <w:szCs w:val="21"/>
        </w:rPr>
      </w:pPr>
      <w:bookmarkStart w:id="109" w:name="_Hlt84974752"/>
      <w:bookmarkStart w:id="110" w:name="_Hlt84974755"/>
      <w:bookmarkStart w:id="111" w:name="_Toc88780665"/>
      <w:bookmarkEnd w:id="109"/>
      <w:r w:rsidRPr="00BC495E">
        <w:rPr>
          <w:i/>
          <w:iCs/>
          <w:sz w:val="21"/>
          <w:szCs w:val="21"/>
        </w:rPr>
        <w:t>Exhibit 2</w:t>
      </w:r>
      <w:bookmarkEnd w:id="110"/>
      <w:r w:rsidRPr="00BC495E">
        <w:rPr>
          <w:i/>
          <w:iCs/>
          <w:sz w:val="21"/>
          <w:szCs w:val="21"/>
        </w:rPr>
        <w:t>: Status of Prior-Year Recommendations</w:t>
      </w:r>
      <w:bookmarkEnd w:id="111"/>
    </w:p>
    <w:tbl>
      <w:tblPr>
        <w:tblStyle w:val="LightListAccent1"/>
        <w:tblW w:w="4444" w:type="pct"/>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2"/>
        <w:gridCol w:w="3240"/>
        <w:gridCol w:w="2338"/>
      </w:tblGrid>
      <w:tr w14:paraId="572EB442" w14:textId="77777777" w:rsidTr="005F0937">
        <w:tblPrEx>
          <w:tblW w:w="4444" w:type="pct"/>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643" w:type="pct"/>
            <w:shd w:val="clear" w:color="auto" w:fill="1F497D"/>
            <w:vAlign w:val="center"/>
          </w:tcPr>
          <w:p w:rsidR="00337587" w:rsidRPr="00824F64" w:rsidP="00E553BC" w14:paraId="34A6C499" w14:textId="77777777">
            <w:pPr>
              <w:jc w:val="center"/>
              <w:rPr>
                <w:rFonts w:ascii="Times New Roman" w:hAnsi="Times New Roman"/>
                <w:sz w:val="21"/>
                <w:szCs w:val="21"/>
              </w:rPr>
            </w:pPr>
            <w:r w:rsidRPr="00824F64">
              <w:rPr>
                <w:rFonts w:ascii="Times New Roman" w:hAnsi="Times New Roman"/>
                <w:sz w:val="21"/>
                <w:szCs w:val="21"/>
              </w:rPr>
              <w:t>Related Control Deficiency</w:t>
            </w:r>
          </w:p>
        </w:tc>
        <w:tc>
          <w:tcPr>
            <w:tcW w:w="1949" w:type="pct"/>
            <w:shd w:val="clear" w:color="auto" w:fill="1F497D"/>
            <w:vAlign w:val="center"/>
          </w:tcPr>
          <w:p w:rsidR="00337587" w:rsidRPr="00824F64" w:rsidP="00E553BC" w14:paraId="7CD0F4E6" w14:textId="77777777">
            <w:pPr>
              <w:jc w:val="center"/>
              <w:rPr>
                <w:rFonts w:ascii="Times New Roman" w:hAnsi="Times New Roman"/>
                <w:sz w:val="21"/>
                <w:szCs w:val="21"/>
              </w:rPr>
            </w:pPr>
            <w:r w:rsidRPr="00824F64">
              <w:rPr>
                <w:rFonts w:ascii="Times New Roman" w:hAnsi="Times New Roman"/>
                <w:sz w:val="21"/>
                <w:szCs w:val="21"/>
              </w:rPr>
              <w:t>Recommendation Description</w:t>
            </w:r>
          </w:p>
        </w:tc>
        <w:tc>
          <w:tcPr>
            <w:tcW w:w="1407" w:type="pct"/>
            <w:shd w:val="clear" w:color="auto" w:fill="1F497D"/>
            <w:vAlign w:val="center"/>
          </w:tcPr>
          <w:p w:rsidR="00337587" w:rsidRPr="00824F64" w:rsidP="00E553BC" w14:paraId="77501B28" w14:textId="77777777">
            <w:pPr>
              <w:jc w:val="center"/>
              <w:rPr>
                <w:rFonts w:ascii="Times New Roman" w:hAnsi="Times New Roman"/>
                <w:sz w:val="21"/>
                <w:szCs w:val="21"/>
              </w:rPr>
            </w:pPr>
            <w:r w:rsidRPr="00824F64">
              <w:rPr>
                <w:rFonts w:ascii="Times New Roman" w:hAnsi="Times New Roman"/>
                <w:sz w:val="21"/>
                <w:szCs w:val="21"/>
              </w:rPr>
              <w:t>FY 2021 Status</w:t>
            </w:r>
          </w:p>
        </w:tc>
      </w:tr>
      <w:tr w14:paraId="635E773B" w14:textId="77777777" w:rsidTr="005F0937">
        <w:tblPrEx>
          <w:tblW w:w="4444" w:type="pct"/>
          <w:tblInd w:w="504" w:type="dxa"/>
          <w:tblLook w:val="04A0"/>
        </w:tblPrEx>
        <w:tc>
          <w:tcPr>
            <w:tcW w:w="1643" w:type="pct"/>
            <w:tcBorders>
              <w:top w:val="none" w:sz="0" w:space="0" w:color="auto"/>
              <w:left w:val="none" w:sz="0" w:space="0" w:color="auto"/>
              <w:bottom w:val="none" w:sz="0" w:space="0" w:color="auto"/>
            </w:tcBorders>
            <w:vAlign w:val="center"/>
          </w:tcPr>
          <w:p w:rsidR="00337587" w:rsidRPr="00824F64" w:rsidP="00E553BC" w14:paraId="35C62304" w14:textId="77777777">
            <w:pPr>
              <w:jc w:val="center"/>
              <w:rPr>
                <w:rFonts w:ascii="Times New Roman" w:hAnsi="Times New Roman"/>
                <w:b w:val="0"/>
                <w:color w:val="FF0000"/>
                <w:sz w:val="21"/>
                <w:szCs w:val="21"/>
              </w:rPr>
            </w:pPr>
            <w:r w:rsidRPr="00824F64">
              <w:rPr>
                <w:rFonts w:ascii="Times New Roman" w:hAnsi="Times New Roman"/>
                <w:sz w:val="21"/>
                <w:szCs w:val="21"/>
              </w:rPr>
              <w:t>IT</w:t>
            </w:r>
            <w:r>
              <w:rPr>
                <w:rStyle w:val="FootnoteReference"/>
                <w:rFonts w:ascii="Times New Roman" w:hAnsi="Times New Roman"/>
                <w:sz w:val="21"/>
                <w:szCs w:val="21"/>
              </w:rPr>
              <w:footnoteReference w:id="16"/>
            </w:r>
          </w:p>
        </w:tc>
        <w:tc>
          <w:tcPr>
            <w:tcW w:w="1949" w:type="pct"/>
            <w:tcBorders>
              <w:top w:val="none" w:sz="0" w:space="0" w:color="auto"/>
              <w:bottom w:val="none" w:sz="0" w:space="0" w:color="auto"/>
            </w:tcBorders>
            <w:vAlign w:val="center"/>
          </w:tcPr>
          <w:p w:rsidR="00337587" w:rsidRPr="00824F64" w:rsidP="00E553BC" w14:paraId="0D3A1E88" w14:textId="77777777">
            <w:pPr>
              <w:jc w:val="center"/>
              <w:rPr>
                <w:rFonts w:ascii="Times New Roman" w:hAnsi="Times New Roman"/>
                <w:sz w:val="21"/>
                <w:szCs w:val="21"/>
              </w:rPr>
            </w:pPr>
            <w:r w:rsidRPr="00824F64">
              <w:rPr>
                <w:rFonts w:ascii="Times New Roman" w:hAnsi="Times New Roman"/>
                <w:sz w:val="21"/>
                <w:szCs w:val="21"/>
              </w:rPr>
              <w:t>Kearney issued 17 IT-related recommendations in FY 2020</w:t>
            </w:r>
          </w:p>
        </w:tc>
        <w:tc>
          <w:tcPr>
            <w:tcW w:w="1407" w:type="pct"/>
            <w:tcBorders>
              <w:top w:val="none" w:sz="0" w:space="0" w:color="auto"/>
              <w:bottom w:val="none" w:sz="0" w:space="0" w:color="auto"/>
              <w:right w:val="none" w:sz="0" w:space="0" w:color="auto"/>
            </w:tcBorders>
            <w:vAlign w:val="center"/>
          </w:tcPr>
          <w:p w:rsidR="00337587" w:rsidRPr="00824F64" w:rsidP="00E553BC" w14:paraId="09B2053A" w14:textId="77777777">
            <w:pPr>
              <w:pStyle w:val="NoSpacing"/>
              <w:keepNext/>
              <w:jc w:val="center"/>
              <w:rPr>
                <w:rFonts w:ascii="Times New Roman" w:hAnsi="Times New Roman"/>
                <w:sz w:val="21"/>
                <w:szCs w:val="21"/>
              </w:rPr>
            </w:pPr>
            <w:r w:rsidRPr="00824F64">
              <w:rPr>
                <w:rFonts w:ascii="Times New Roman" w:hAnsi="Times New Roman"/>
                <w:sz w:val="21"/>
                <w:szCs w:val="21"/>
              </w:rPr>
              <w:t>10 Open</w:t>
            </w:r>
          </w:p>
          <w:p w:rsidR="00337587" w:rsidRPr="00824F64" w:rsidP="00E553BC" w14:paraId="0D7F2FEE" w14:textId="77777777">
            <w:pPr>
              <w:jc w:val="center"/>
              <w:rPr>
                <w:rFonts w:ascii="Times New Roman" w:hAnsi="Times New Roman"/>
                <w:sz w:val="21"/>
                <w:szCs w:val="21"/>
              </w:rPr>
            </w:pPr>
            <w:r w:rsidRPr="00824F64">
              <w:rPr>
                <w:rFonts w:ascii="Times New Roman" w:hAnsi="Times New Roman"/>
                <w:sz w:val="21"/>
                <w:szCs w:val="21"/>
              </w:rPr>
              <w:t>7 Closed</w:t>
            </w:r>
          </w:p>
        </w:tc>
      </w:tr>
    </w:tbl>
    <w:p w:rsidR="00210BCF" w:rsidP="00337587" w14:paraId="3ED03C02" w14:textId="77777777">
      <w:pPr>
        <w:rPr>
          <w:szCs w:val="24"/>
        </w:rPr>
        <w:sectPr w:rsidSect="0011007F">
          <w:footnotePr>
            <w:numRestart w:val="eachSect"/>
          </w:footnotePr>
          <w:pgSz w:w="12240" w:h="15840" w:code="1"/>
          <w:pgMar w:top="900" w:right="1440" w:bottom="1152" w:left="1440" w:header="720" w:footer="720" w:gutter="0"/>
          <w:cols w:space="720"/>
          <w:titlePg/>
          <w:docGrid w:linePitch="326"/>
        </w:sectPr>
      </w:pPr>
    </w:p>
    <w:p w:rsidR="00D71901" w:rsidRPr="00F256F1" w:rsidP="002A26D4" w14:paraId="5B54A3B9" w14:textId="2BA3FD17">
      <w:pPr>
        <w:pStyle w:val="Heading3"/>
        <w:spacing w:after="300"/>
        <w:rPr>
          <w:rFonts w:ascii="Times New Roman Bold" w:hAnsi="Times New Roman Bold"/>
          <w:smallCaps/>
        </w:rPr>
      </w:pPr>
      <w:bookmarkStart w:id="112" w:name="_Toc467000240"/>
      <w:bookmarkStart w:id="113" w:name="_Toc85811535"/>
      <w:bookmarkStart w:id="114" w:name="_Toc88780536"/>
      <w:bookmarkStart w:id="115" w:name="_Toc88780666"/>
      <w:r w:rsidRPr="002A26D4">
        <w:t>Independent</w:t>
      </w:r>
      <w:r w:rsidRPr="00F256F1">
        <w:rPr>
          <w:rFonts w:ascii="Times New Roman Bold" w:hAnsi="Times New Roman Bold"/>
        </w:rPr>
        <w:t xml:space="preserve"> Auditor’s Report on Compliance with Laws, Regulations</w:t>
      </w:r>
      <w:bookmarkEnd w:id="112"/>
      <w:r w:rsidRPr="00F256F1">
        <w:rPr>
          <w:rFonts w:ascii="Times New Roman Bold" w:hAnsi="Times New Roman Bold"/>
        </w:rPr>
        <w:t>,  Contracts</w:t>
      </w:r>
      <w:bookmarkEnd w:id="113"/>
      <w:r w:rsidRPr="00F256F1">
        <w:rPr>
          <w:rFonts w:ascii="Times New Roman Bold" w:hAnsi="Times New Roman Bold"/>
        </w:rPr>
        <w:t>, and Grant Agreements</w:t>
      </w:r>
      <w:bookmarkEnd w:id="114"/>
      <w:bookmarkEnd w:id="115"/>
    </w:p>
    <w:p w:rsidR="0032056A" w:rsidP="0032056A" w14:paraId="1CA4C4B4" w14:textId="77777777">
      <w:pPr>
        <w:pStyle w:val="Header"/>
        <w:tabs>
          <w:tab w:val="left" w:pos="3960"/>
          <w:tab w:val="left" w:pos="4140"/>
          <w:tab w:val="left" w:pos="4500"/>
          <w:tab w:val="left" w:pos="5040"/>
          <w:tab w:val="left" w:pos="5580"/>
          <w:tab w:val="left" w:pos="5940"/>
          <w:tab w:val="left" w:pos="6480"/>
          <w:tab w:val="left" w:pos="6750"/>
        </w:tabs>
        <w:ind w:left="720" w:right="-90" w:hanging="180"/>
        <w:rPr>
          <w:b/>
          <w:bCs/>
          <w:sz w:val="10"/>
          <w:szCs w:val="10"/>
        </w:rPr>
        <w:sectPr w:rsidSect="00D71901">
          <w:headerReference w:type="first" r:id="rId57"/>
          <w:footnotePr>
            <w:numRestart w:val="eachSect"/>
          </w:footnotePr>
          <w:pgSz w:w="12240" w:h="15840" w:code="1"/>
          <w:pgMar w:top="990" w:right="1440" w:bottom="1152" w:left="1440" w:header="720" w:footer="720" w:gutter="0"/>
          <w:cols w:space="720"/>
          <w:titlePg/>
          <w:docGrid w:linePitch="326"/>
        </w:sectPr>
      </w:pPr>
    </w:p>
    <w:p w:rsidR="0032056A" w:rsidRPr="0027752E" w:rsidP="0032056A" w14:paraId="76B8E4FD" w14:textId="001ABBD7">
      <w:pPr>
        <w:pStyle w:val="Header"/>
        <w:tabs>
          <w:tab w:val="left" w:pos="3960"/>
          <w:tab w:val="left" w:pos="4140"/>
          <w:tab w:val="left" w:pos="4500"/>
          <w:tab w:val="left" w:pos="5040"/>
          <w:tab w:val="left" w:pos="5580"/>
          <w:tab w:val="left" w:pos="5940"/>
          <w:tab w:val="left" w:pos="6480"/>
          <w:tab w:val="left" w:pos="6750"/>
        </w:tabs>
        <w:ind w:left="720" w:right="-90" w:hanging="180"/>
        <w:rPr>
          <w:b/>
          <w:bCs/>
          <w:sz w:val="10"/>
          <w:szCs w:val="10"/>
        </w:rPr>
      </w:pPr>
      <w:r w:rsidRPr="000922BB">
        <w:rPr>
          <w:noProof/>
          <w:szCs w:val="24"/>
        </w:rPr>
        <w:drawing>
          <wp:inline distT="0" distB="0" distL="0" distR="0">
            <wp:extent cx="812800" cy="431800"/>
            <wp:effectExtent l="0" t="0" r="6350" b="6350"/>
            <wp:docPr id="87" name="Picture 87" descr="Kearney &amp;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Kearney &amp; Company logo"/>
                    <pic:cNvPicPr>
                      <a:picLocks noChangeAspect="1" noChangeArrowheads="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833648" cy="442876"/>
                    </a:xfrm>
                    <a:prstGeom prst="rect">
                      <a:avLst/>
                    </a:prstGeom>
                    <a:noFill/>
                    <a:ln>
                      <a:noFill/>
                    </a:ln>
                  </pic:spPr>
                </pic:pic>
              </a:graphicData>
            </a:graphic>
          </wp:inline>
        </w:drawing>
      </w:r>
    </w:p>
    <w:p w:rsidR="0032056A" w:rsidRPr="00A50840" w:rsidP="0032056A" w14:paraId="2E35C53B" w14:textId="77777777">
      <w:pPr>
        <w:pBdr>
          <w:top w:val="single" w:sz="4" w:space="1" w:color="auto"/>
        </w:pBdr>
        <w:tabs>
          <w:tab w:val="left" w:pos="2790"/>
          <w:tab w:val="left" w:pos="2880"/>
          <w:tab w:val="left" w:pos="2970"/>
        </w:tabs>
        <w:spacing w:before="580" w:line="200" w:lineRule="exact"/>
        <w:ind w:left="-86" w:firstLine="2966"/>
        <w:rPr>
          <w:color w:val="595959"/>
          <w:sz w:val="15"/>
          <w:szCs w:val="15"/>
        </w:rPr>
      </w:pPr>
      <w:r w:rsidRPr="00A50840">
        <w:rPr>
          <w:color w:val="595959"/>
          <w:sz w:val="15"/>
          <w:szCs w:val="15"/>
        </w:rPr>
        <w:tab/>
        <w:t xml:space="preserve"> 1701 Duke Street, Suite 500, Alexandria, VA 22314</w:t>
      </w:r>
    </w:p>
    <w:p w:rsidR="0032056A" w:rsidRPr="003D5B02" w:rsidP="00712208" w14:paraId="5FDC4412" w14:textId="77777777">
      <w:pPr>
        <w:pStyle w:val="BodyText"/>
        <w:ind w:firstLine="3024"/>
        <w:rPr>
          <w:sz w:val="15"/>
          <w:szCs w:val="15"/>
        </w:rPr>
      </w:pPr>
      <w:r w:rsidRPr="00A50840">
        <w:rPr>
          <w:sz w:val="15"/>
          <w:szCs w:val="15"/>
        </w:rPr>
        <w:t xml:space="preserve">PH: 703.931.5600, FX: 703.931.3655, </w:t>
      </w:r>
      <w:hyperlink r:id="rId50" w:history="1">
        <w:r w:rsidRPr="00A50840">
          <w:rPr>
            <w:rStyle w:val="Hyperlink"/>
            <w:smallCaps w:val="0"/>
            <w:sz w:val="15"/>
            <w:szCs w:val="15"/>
          </w:rPr>
          <w:t>www.kearneyco.com</w:t>
        </w:r>
      </w:hyperlink>
    </w:p>
    <w:p w:rsidR="0032056A" w:rsidP="00D71901" w14:paraId="3E7E732D" w14:textId="77777777">
      <w:pPr>
        <w:sectPr w:rsidSect="0032056A">
          <w:footnotePr>
            <w:numRestart w:val="eachSect"/>
          </w:footnotePr>
          <w:type w:val="continuous"/>
          <w:pgSz w:w="12240" w:h="15840" w:code="1"/>
          <w:pgMar w:top="990" w:right="1440" w:bottom="1152" w:left="1440" w:header="720" w:footer="720" w:gutter="0"/>
          <w:cols w:num="2" w:space="0" w:equalWidth="0">
            <w:col w:w="1872"/>
            <w:col w:w="7488"/>
          </w:cols>
          <w:titlePg/>
          <w:docGrid w:linePitch="326"/>
        </w:sectPr>
      </w:pPr>
    </w:p>
    <w:p w:rsidR="00A032EC" w:rsidRPr="000B5B93" w:rsidP="00B93A8C" w14:paraId="622D0111" w14:textId="48C00584">
      <w:pPr>
        <w:spacing w:before="560" w:after="260"/>
        <w:ind w:right="144"/>
        <w:jc w:val="center"/>
        <w:rPr>
          <w:b/>
          <w:bCs/>
          <w:sz w:val="21"/>
          <w:szCs w:val="21"/>
        </w:rPr>
      </w:pPr>
      <w:r w:rsidRPr="000B5B93">
        <w:rPr>
          <w:b/>
          <w:bCs/>
          <w:sz w:val="21"/>
          <w:szCs w:val="21"/>
        </w:rPr>
        <w:t xml:space="preserve">INDEPENDENT AUDITOR’S REPORT ON COMPLIANCE WITH LAWS, </w:t>
      </w:r>
      <w:r w:rsidR="00B93A8C">
        <w:rPr>
          <w:b/>
          <w:bCs/>
          <w:sz w:val="21"/>
          <w:szCs w:val="21"/>
        </w:rPr>
        <w:br/>
      </w:r>
      <w:r w:rsidRPr="000B5B93">
        <w:rPr>
          <w:b/>
          <w:bCs/>
          <w:sz w:val="21"/>
          <w:szCs w:val="21"/>
        </w:rPr>
        <w:t>REGULATIONS, CONTRACTS, AND GRANT AGREEMENTS</w:t>
      </w:r>
    </w:p>
    <w:p w:rsidR="00A032EC" w:rsidRPr="000B5B93" w:rsidP="00D95138" w14:paraId="4868F047" w14:textId="77777777">
      <w:pPr>
        <w:pStyle w:val="NoSpacing"/>
        <w:spacing w:after="240"/>
        <w:ind w:left="504" w:right="720"/>
        <w:rPr>
          <w:rFonts w:ascii="Times New Roman" w:hAnsi="Times New Roman"/>
          <w:sz w:val="21"/>
          <w:szCs w:val="21"/>
        </w:rPr>
      </w:pPr>
      <w:r w:rsidRPr="000B5B93">
        <w:rPr>
          <w:rFonts w:ascii="Times New Roman" w:hAnsi="Times New Roman"/>
          <w:sz w:val="21"/>
          <w:szCs w:val="21"/>
        </w:rPr>
        <w:t>To the Chairwoman, Managing Director, and the Inspector General of the Federal Communications Commission:</w:t>
      </w:r>
    </w:p>
    <w:p w:rsidR="00A032EC" w:rsidRPr="000B5B93" w:rsidP="00D95138" w14:paraId="53C166A9" w14:textId="77777777">
      <w:pPr>
        <w:autoSpaceDE w:val="0"/>
        <w:autoSpaceDN w:val="0"/>
        <w:adjustRightInd w:val="0"/>
        <w:spacing w:after="240"/>
        <w:ind w:left="504" w:right="720"/>
        <w:rPr>
          <w:b/>
          <w:bCs/>
          <w:sz w:val="21"/>
          <w:szCs w:val="21"/>
        </w:rPr>
      </w:pPr>
      <w:r w:rsidRPr="000B5B93">
        <w:rPr>
          <w:sz w:val="21"/>
          <w:szCs w:val="21"/>
        </w:rPr>
        <w:t xml:space="preserve">We have audited, in accordance with auditing standards generally accepted in the United States of America, the standards applicable to financial audits contained in </w:t>
      </w:r>
      <w:r w:rsidRPr="000B5B93">
        <w:rPr>
          <w:i/>
          <w:iCs/>
          <w:sz w:val="21"/>
          <w:szCs w:val="21"/>
        </w:rPr>
        <w:t>Government Auditing Standards</w:t>
      </w:r>
      <w:r w:rsidRPr="000B5B93">
        <w:rPr>
          <w:sz w:val="21"/>
          <w:szCs w:val="21"/>
        </w:rPr>
        <w:t xml:space="preserve">, issued by the Comptroller General of the United States; Office of Management and Budget (OMB) Bulletin No. 21-04, </w:t>
      </w:r>
      <w:r w:rsidRPr="000B5B93">
        <w:rPr>
          <w:i/>
          <w:iCs/>
          <w:sz w:val="21"/>
          <w:szCs w:val="21"/>
        </w:rPr>
        <w:t>Audit Requirements for Federal Financial Statements</w:t>
      </w:r>
      <w:r w:rsidRPr="000B5B93">
        <w:rPr>
          <w:sz w:val="21"/>
          <w:szCs w:val="21"/>
        </w:rPr>
        <w:t xml:space="preserve">; the financial statements of the Federal Communications Commission (FCC), as of and for the year ended September 30, 2021; and the related notes to the financial statements, which collectively comprise the FCC’s financial statements, and we have issued our report thereon dated November 15, 2021. </w:t>
      </w:r>
    </w:p>
    <w:p w:rsidR="00A032EC" w:rsidRPr="000B5B93" w:rsidP="00D95138" w14:paraId="479B408A" w14:textId="77777777">
      <w:pPr>
        <w:pStyle w:val="Heading4"/>
        <w:ind w:left="504" w:right="720"/>
        <w:rPr>
          <w:sz w:val="21"/>
          <w:szCs w:val="21"/>
        </w:rPr>
      </w:pPr>
      <w:bookmarkStart w:id="116" w:name="_Toc88780667"/>
      <w:r w:rsidRPr="000B5B93">
        <w:rPr>
          <w:sz w:val="21"/>
          <w:szCs w:val="21"/>
        </w:rPr>
        <w:t>Compliance and Other Matters</w:t>
      </w:r>
      <w:bookmarkEnd w:id="116"/>
    </w:p>
    <w:p w:rsidR="00A032EC" w:rsidRPr="000B5B93" w:rsidP="00D95138" w14:paraId="05E04088" w14:textId="18B734BF">
      <w:pPr>
        <w:pStyle w:val="NoSpacing"/>
        <w:spacing w:after="240"/>
        <w:ind w:left="504" w:right="720"/>
        <w:rPr>
          <w:rFonts w:ascii="Times New Roman" w:hAnsi="Times New Roman"/>
          <w:sz w:val="21"/>
          <w:szCs w:val="21"/>
        </w:rPr>
      </w:pPr>
      <w:r w:rsidRPr="000B5B93">
        <w:rPr>
          <w:rFonts w:ascii="Times New Roman" w:hAnsi="Times New Roman"/>
          <w:sz w:val="21"/>
          <w:szCs w:val="21"/>
        </w:rPr>
        <w:t>As part of obtaining reasonable assurance about whether the FCC’s financial statements are free from material misstatement, we performed tests of its compliance with certain provisions of applicable laws, regulations, contracts, and grant agreements, noncompliance which could have a direct and material effect on the determination of financial statement amounts.</w:t>
      </w:r>
      <w:r w:rsidRPr="000B5B93" w:rsidR="009218AF">
        <w:rPr>
          <w:rFonts w:ascii="Times New Roman" w:hAnsi="Times New Roman"/>
          <w:sz w:val="21"/>
          <w:szCs w:val="21"/>
        </w:rPr>
        <w:t xml:space="preserve"> </w:t>
      </w:r>
      <w:r w:rsidRPr="000B5B93">
        <w:rPr>
          <w:rFonts w:ascii="Times New Roman" w:hAnsi="Times New Roman"/>
          <w:sz w:val="21"/>
          <w:szCs w:val="21"/>
        </w:rPr>
        <w:t>We limited our tests of compliance to these provisions and did not test compliance with all laws, regulations, contracts, and grant agreements applicable to the FCC.</w:t>
      </w:r>
      <w:r w:rsidRPr="000B5B93" w:rsidR="009218AF">
        <w:rPr>
          <w:rFonts w:ascii="Times New Roman" w:hAnsi="Times New Roman"/>
          <w:sz w:val="21"/>
          <w:szCs w:val="21"/>
        </w:rPr>
        <w:t xml:space="preserve"> </w:t>
      </w:r>
      <w:r w:rsidRPr="000B5B93">
        <w:rPr>
          <w:rFonts w:ascii="Times New Roman" w:hAnsi="Times New Roman"/>
          <w:sz w:val="21"/>
          <w:szCs w:val="21"/>
        </w:rPr>
        <w:t>However, providing an opinion on compliance with those provisions was not an objective of our audit and, accordingly, we do not express such an opinion.</w:t>
      </w:r>
      <w:r w:rsidRPr="000B5B93" w:rsidR="009218AF">
        <w:rPr>
          <w:rFonts w:ascii="Times New Roman" w:hAnsi="Times New Roman"/>
          <w:sz w:val="21"/>
          <w:szCs w:val="21"/>
        </w:rPr>
        <w:t xml:space="preserve"> </w:t>
      </w:r>
    </w:p>
    <w:p w:rsidR="00A032EC" w:rsidRPr="000B5B93" w:rsidP="00D95138" w14:paraId="35BDBE8F" w14:textId="592CFC2B">
      <w:pPr>
        <w:pStyle w:val="NoSpacing"/>
        <w:ind w:left="504" w:right="720"/>
        <w:rPr>
          <w:rFonts w:ascii="Times New Roman" w:hAnsi="Times New Roman"/>
          <w:b/>
          <w:sz w:val="21"/>
          <w:szCs w:val="21"/>
        </w:rPr>
      </w:pPr>
      <w:r w:rsidRPr="000B5B93">
        <w:rPr>
          <w:rFonts w:ascii="Times New Roman" w:hAnsi="Times New Roman"/>
          <w:sz w:val="21"/>
          <w:szCs w:val="21"/>
        </w:rPr>
        <w:t xml:space="preserve">The results of our tests disclosed no instances of noncompliance or other matters that are required to be reported under </w:t>
      </w:r>
      <w:r w:rsidRPr="000B5B93">
        <w:rPr>
          <w:rFonts w:ascii="Times New Roman" w:hAnsi="Times New Roman"/>
          <w:i/>
          <w:sz w:val="21"/>
          <w:szCs w:val="21"/>
        </w:rPr>
        <w:t>Government Auditing Standards</w:t>
      </w:r>
      <w:r w:rsidRPr="000B5B93">
        <w:rPr>
          <w:rFonts w:ascii="Times New Roman" w:hAnsi="Times New Roman"/>
          <w:sz w:val="21"/>
          <w:szCs w:val="21"/>
        </w:rPr>
        <w:t xml:space="preserve"> and OMB Bulletin No. 21-04.</w:t>
      </w:r>
      <w:bookmarkStart w:id="117" w:name="_Hlk23501988"/>
      <w:r w:rsidRPr="000B5B93" w:rsidR="009218AF">
        <w:rPr>
          <w:rFonts w:ascii="Times New Roman" w:hAnsi="Times New Roman"/>
          <w:sz w:val="21"/>
          <w:szCs w:val="21"/>
        </w:rPr>
        <w:t xml:space="preserve"> </w:t>
      </w:r>
      <w:r w:rsidRPr="000B5B93">
        <w:rPr>
          <w:rFonts w:ascii="Times New Roman" w:hAnsi="Times New Roman"/>
          <w:sz w:val="21"/>
          <w:szCs w:val="21"/>
        </w:rPr>
        <w:t xml:space="preserve">Although our audit procedures did not identify any instances of known noncompliance in fiscal year (FY) 2021, FCC management communicated potential instances of noncompliance with the </w:t>
      </w:r>
      <w:r w:rsidRPr="000B5B93">
        <w:rPr>
          <w:rFonts w:ascii="Times New Roman" w:hAnsi="Times New Roman"/>
          <w:sz w:val="21"/>
          <w:szCs w:val="21"/>
        </w:rPr>
        <w:t>Antideficiency</w:t>
      </w:r>
      <w:r w:rsidRPr="000B5B93">
        <w:rPr>
          <w:rFonts w:ascii="Times New Roman" w:hAnsi="Times New Roman"/>
          <w:sz w:val="21"/>
          <w:szCs w:val="21"/>
        </w:rPr>
        <w:t xml:space="preserve"> Act (ADA) based on events that occurred in FYs 2011 and 2019.</w:t>
      </w:r>
      <w:r w:rsidRPr="000B5B93" w:rsidR="009218AF">
        <w:rPr>
          <w:rFonts w:ascii="Times New Roman" w:hAnsi="Times New Roman"/>
          <w:sz w:val="21"/>
          <w:szCs w:val="21"/>
        </w:rPr>
        <w:t xml:space="preserve"> </w:t>
      </w:r>
      <w:r w:rsidRPr="000B5B93">
        <w:rPr>
          <w:rFonts w:ascii="Times New Roman" w:hAnsi="Times New Roman"/>
          <w:sz w:val="21"/>
          <w:szCs w:val="21"/>
        </w:rPr>
        <w:t>The ADA prohibits the FCC from obligating or expending Federal funds in advance or in excess of an appropriation, as well as from accepting voluntary services.</w:t>
      </w:r>
      <w:r w:rsidRPr="000B5B93" w:rsidR="009218AF">
        <w:rPr>
          <w:rFonts w:ascii="Times New Roman" w:hAnsi="Times New Roman"/>
          <w:sz w:val="21"/>
          <w:szCs w:val="21"/>
        </w:rPr>
        <w:t xml:space="preserve"> </w:t>
      </w:r>
      <w:r w:rsidRPr="000B5B93">
        <w:rPr>
          <w:rFonts w:ascii="Times New Roman" w:hAnsi="Times New Roman"/>
          <w:sz w:val="21"/>
          <w:szCs w:val="21"/>
        </w:rPr>
        <w:t>These potential instances of noncompliance were still being researched by FCC as of September 30, 2021.</w:t>
      </w:r>
      <w:bookmarkEnd w:id="117"/>
      <w:r w:rsidRPr="000B5B93" w:rsidR="009218AF">
        <w:rPr>
          <w:rFonts w:ascii="Times New Roman" w:hAnsi="Times New Roman"/>
          <w:sz w:val="21"/>
          <w:szCs w:val="21"/>
        </w:rPr>
        <w:t xml:space="preserve"> </w:t>
      </w:r>
      <w:r w:rsidRPr="000B5B93">
        <w:rPr>
          <w:rFonts w:ascii="Times New Roman" w:hAnsi="Times New Roman"/>
          <w:b/>
          <w:sz w:val="21"/>
          <w:szCs w:val="21"/>
        </w:rPr>
        <w:br w:type="page"/>
      </w:r>
    </w:p>
    <w:p w:rsidR="00A032EC" w:rsidRPr="000B5B93" w:rsidP="00D95138" w14:paraId="4B444865" w14:textId="77777777">
      <w:pPr>
        <w:pStyle w:val="Heading4"/>
        <w:ind w:left="504" w:right="720"/>
        <w:rPr>
          <w:sz w:val="21"/>
          <w:szCs w:val="21"/>
        </w:rPr>
      </w:pPr>
      <w:bookmarkStart w:id="118" w:name="_Toc88780668"/>
      <w:r w:rsidRPr="000B5B93">
        <w:rPr>
          <w:sz w:val="21"/>
          <w:szCs w:val="21"/>
        </w:rPr>
        <w:t>Purpose of This Report</w:t>
      </w:r>
      <w:bookmarkEnd w:id="118"/>
    </w:p>
    <w:p w:rsidR="00A032EC" w:rsidRPr="000B5B93" w:rsidP="00D95138" w14:paraId="53CBFA59" w14:textId="13970FF8">
      <w:pPr>
        <w:pStyle w:val="NoSpacing"/>
        <w:spacing w:after="240"/>
        <w:ind w:left="504" w:right="720"/>
        <w:rPr>
          <w:rFonts w:ascii="Times New Roman" w:hAnsi="Times New Roman"/>
          <w:sz w:val="21"/>
          <w:szCs w:val="21"/>
        </w:rPr>
      </w:pPr>
      <w:r w:rsidRPr="000B5B93">
        <w:rPr>
          <w:rFonts w:ascii="Times New Roman" w:hAnsi="Times New Roman"/>
          <w:sz w:val="21"/>
          <w:szCs w:val="21"/>
        </w:rPr>
        <w:t>The purpose of this report is solely to describe the scope of our testing of compliance and the results of that testing, not to provide an opinion on the effectiveness of the FCC’s compliance.</w:t>
      </w:r>
      <w:r w:rsidRPr="000B5B93" w:rsidR="009218AF">
        <w:rPr>
          <w:rFonts w:ascii="Times New Roman" w:hAnsi="Times New Roman"/>
          <w:sz w:val="21"/>
          <w:szCs w:val="21"/>
        </w:rPr>
        <w:t xml:space="preserve"> </w:t>
      </w:r>
      <w:r w:rsidRPr="000B5B93">
        <w:rPr>
          <w:rFonts w:ascii="Times New Roman" w:hAnsi="Times New Roman"/>
          <w:sz w:val="21"/>
          <w:szCs w:val="21"/>
        </w:rPr>
        <w:t xml:space="preserve">This report is an integral part of an audit performed in accordance with </w:t>
      </w:r>
      <w:r w:rsidRPr="000B5B93">
        <w:rPr>
          <w:rFonts w:ascii="Times New Roman" w:hAnsi="Times New Roman"/>
          <w:i/>
          <w:sz w:val="21"/>
          <w:szCs w:val="21"/>
        </w:rPr>
        <w:t>Government Auditing Standards</w:t>
      </w:r>
      <w:r w:rsidRPr="000B5B93">
        <w:rPr>
          <w:rFonts w:ascii="Times New Roman" w:hAnsi="Times New Roman"/>
          <w:sz w:val="21"/>
          <w:szCs w:val="21"/>
        </w:rPr>
        <w:t xml:space="preserve"> and OMB Bulletin No. 21-04 in considering the entity’s compliance.</w:t>
      </w:r>
      <w:r w:rsidRPr="000B5B93" w:rsidR="009218AF">
        <w:rPr>
          <w:rFonts w:ascii="Times New Roman" w:hAnsi="Times New Roman"/>
          <w:sz w:val="21"/>
          <w:szCs w:val="21"/>
        </w:rPr>
        <w:t xml:space="preserve"> </w:t>
      </w:r>
      <w:r w:rsidRPr="000B5B93">
        <w:rPr>
          <w:rFonts w:ascii="Times New Roman" w:hAnsi="Times New Roman"/>
          <w:sz w:val="21"/>
          <w:szCs w:val="21"/>
        </w:rPr>
        <w:t xml:space="preserve">Accordingly, this communication is not suitable for any other purpose. </w:t>
      </w:r>
    </w:p>
    <w:p w:rsidR="00A032EC" w:rsidRPr="000B5B93" w:rsidP="00D95138" w14:paraId="3F67840B" w14:textId="77777777">
      <w:pPr>
        <w:ind w:left="504" w:right="720"/>
        <w:rPr>
          <w:sz w:val="21"/>
          <w:szCs w:val="21"/>
        </w:rPr>
      </w:pPr>
      <w:r w:rsidRPr="000B5B93">
        <w:rPr>
          <w:noProof/>
          <w:sz w:val="21"/>
          <w:szCs w:val="21"/>
        </w:rPr>
        <w:drawing>
          <wp:inline distT="0" distB="0" distL="0" distR="0">
            <wp:extent cx="1943100" cy="552450"/>
            <wp:effectExtent l="0" t="0" r="0" b="0"/>
            <wp:docPr id="89" name="Picture 89" descr="Kearney &amp;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Kearney &amp; Company"/>
                    <pic:cNvPicPr>
                      <a:picLocks noChangeAspect="1" noChangeArrowheads="1"/>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bwMode="auto">
                    <a:xfrm>
                      <a:off x="0" y="0"/>
                      <a:ext cx="1943100" cy="552450"/>
                    </a:xfrm>
                    <a:prstGeom prst="rect">
                      <a:avLst/>
                    </a:prstGeom>
                    <a:noFill/>
                    <a:ln>
                      <a:noFill/>
                    </a:ln>
                  </pic:spPr>
                </pic:pic>
              </a:graphicData>
            </a:graphic>
          </wp:inline>
        </w:drawing>
      </w:r>
    </w:p>
    <w:p w:rsidR="00A032EC" w:rsidRPr="000B5B93" w:rsidP="00D95138" w14:paraId="01417FC1" w14:textId="77777777">
      <w:pPr>
        <w:ind w:left="504" w:right="720"/>
        <w:rPr>
          <w:sz w:val="21"/>
          <w:szCs w:val="21"/>
        </w:rPr>
      </w:pPr>
      <w:r w:rsidRPr="000B5B93">
        <w:rPr>
          <w:sz w:val="21"/>
          <w:szCs w:val="21"/>
        </w:rPr>
        <w:t xml:space="preserve">Alexandria, Virginia </w:t>
      </w:r>
    </w:p>
    <w:p w:rsidR="00A032EC" w:rsidRPr="000747CF" w:rsidP="00D95138" w14:paraId="48CEB5DA" w14:textId="77777777">
      <w:pPr>
        <w:ind w:left="504" w:right="720"/>
        <w:rPr>
          <w:szCs w:val="24"/>
        </w:rPr>
      </w:pPr>
      <w:r w:rsidRPr="000B5B93">
        <w:rPr>
          <w:sz w:val="21"/>
          <w:szCs w:val="21"/>
        </w:rPr>
        <w:t>November 15, 2021</w:t>
      </w:r>
      <w:r w:rsidRPr="000747CF">
        <w:rPr>
          <w:szCs w:val="24"/>
        </w:rPr>
        <w:t xml:space="preserve"> </w:t>
      </w:r>
    </w:p>
    <w:p w:rsidR="00EA1FB8" w:rsidP="00EA1FB8" w14:paraId="2B47CC75" w14:textId="77777777">
      <w:pPr>
        <w:spacing w:after="120"/>
        <w:rPr>
          <w:b/>
          <w:sz w:val="22"/>
          <w:szCs w:val="22"/>
        </w:rPr>
        <w:sectPr w:rsidSect="004E28EF">
          <w:headerReference w:type="default" r:id="rId58"/>
          <w:footnotePr>
            <w:numRestart w:val="eachSect"/>
          </w:footnotePr>
          <w:type w:val="continuous"/>
          <w:pgSz w:w="12240" w:h="15840" w:code="1"/>
          <w:pgMar w:top="990" w:right="1440" w:bottom="1152" w:left="1440" w:header="720" w:footer="720" w:gutter="0"/>
          <w:cols w:space="720"/>
          <w:titlePg/>
          <w:docGrid w:linePitch="326"/>
        </w:sectPr>
      </w:pPr>
    </w:p>
    <w:p w:rsidR="00EA1FB8" w:rsidP="00CF7FD2" w14:paraId="7C7B7B58" w14:textId="77777777">
      <w:pPr>
        <w:pStyle w:val="Heading3"/>
      </w:pPr>
      <w:bookmarkStart w:id="119" w:name="_Toc467000241"/>
      <w:bookmarkStart w:id="120" w:name="_Toc85811536"/>
      <w:bookmarkStart w:id="121" w:name="_Toc88780537"/>
      <w:bookmarkStart w:id="122" w:name="_Toc88780669"/>
      <w:r w:rsidRPr="00EA1FB8">
        <w:t>Commission’s Response to Independent Auditor’s Reports</w:t>
      </w:r>
      <w:bookmarkEnd w:id="119"/>
      <w:bookmarkEnd w:id="120"/>
      <w:bookmarkEnd w:id="121"/>
      <w:bookmarkEnd w:id="122"/>
    </w:p>
    <w:p w:rsidR="005A3349" w:rsidP="00680C2A" w14:paraId="1F0341C4" w14:textId="77777777">
      <w:pPr>
        <w:spacing w:line="600" w:lineRule="auto"/>
        <w:ind w:left="-180" w:right="-4"/>
        <w:rPr>
          <w:b/>
          <w:bCs/>
          <w:sz w:val="26"/>
          <w:szCs w:val="26"/>
        </w:rPr>
        <w:sectPr w:rsidSect="003403C1">
          <w:headerReference w:type="default" r:id="rId59"/>
          <w:footerReference w:type="default" r:id="rId60"/>
          <w:headerReference w:type="first" r:id="rId61"/>
          <w:footnotePr>
            <w:numRestart w:val="eachSect"/>
          </w:footnotePr>
          <w:pgSz w:w="12240" w:h="15840" w:code="1"/>
          <w:pgMar w:top="1152" w:right="1296" w:bottom="1152" w:left="1296" w:header="720" w:footer="720" w:gutter="0"/>
          <w:cols w:space="720"/>
          <w:titlePg/>
          <w:docGrid w:linePitch="326"/>
        </w:sectPr>
      </w:pPr>
    </w:p>
    <w:p w:rsidR="005A3349" w:rsidP="00D40DD6" w14:paraId="3F35530A" w14:textId="27706C9B">
      <w:pPr>
        <w:spacing w:before="40" w:line="600" w:lineRule="auto"/>
        <w:ind w:left="270" w:right="-4"/>
        <w:rPr>
          <w:b/>
          <w:bCs/>
          <w:sz w:val="26"/>
          <w:szCs w:val="26"/>
        </w:rPr>
      </w:pPr>
      <w:r w:rsidRPr="001B4772">
        <w:rPr>
          <w:noProof/>
        </w:rPr>
        <w:drawing>
          <wp:inline distT="0" distB="0" distL="0" distR="0">
            <wp:extent cx="1244600" cy="1206500"/>
            <wp:effectExtent l="0" t="0" r="0" b="0"/>
            <wp:docPr id="92" name="Picture 6" descr="Seal of the United States Federal Communications Commission.">
              <a:extLst xmlns:a="http://schemas.openxmlformats.org/drawingml/2006/main">
                <a:ext xmlns:a="http://schemas.openxmlformats.org/drawingml/2006/main" uri="{FF2B5EF4-FFF2-40B4-BE49-F238E27FC236}">
                  <a16:creationId xmlns:a16="http://schemas.microsoft.com/office/drawing/2014/main" id="{7B167D5A-07B9-4500-9482-5675035522AE}"/>
                </a:ext>
              </a:extLst>
            </wp:docPr>
            <wp:cNvGraphicFramePr/>
            <a:graphic xmlns:a="http://schemas.openxmlformats.org/drawingml/2006/main">
              <a:graphicData uri="http://schemas.openxmlformats.org/drawingml/2006/picture">
                <pic:pic xmlns:pic="http://schemas.openxmlformats.org/drawingml/2006/picture">
                  <pic:nvPicPr>
                    <pic:cNvPr id="92" name="Picture 6" descr="Seal of the United States Federal Communications Commission.">
                      <a:extLst>
                        <a:ext xmlns:a="http://schemas.openxmlformats.org/drawingml/2006/main" uri="{FF2B5EF4-FFF2-40B4-BE49-F238E27FC236}">
                          <a16:creationId xmlns:a16="http://schemas.microsoft.com/office/drawing/2014/main" id="{7B167D5A-07B9-4500-9482-5675035522AE}"/>
                        </a:ext>
                      </a:extLst>
                    </pic:cNvPr>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1244600" cy="1206500"/>
                    </a:xfrm>
                    <a:prstGeom prst="ellipse">
                      <a:avLst/>
                    </a:prstGeom>
                    <a:noFill/>
                    <a:ln>
                      <a:noFill/>
                    </a:ln>
                  </pic:spPr>
                  <a:extLst>
                    <a:ext xmlns:a="http://schemas.openxmlformats.org/drawingml/2006/main" uri="{FF2B5EF4-FFF2-40B4-BE49-F238E27FC236}">
                      <a16:creationId xmlns:a16="http://schemas.microsoft.com/office/drawing/2014/main" id="{7B167D5A-07B9-4500-9482-5675035522AE}"/>
                    </a:ext>
                  </a:extLst>
                </pic:pic>
              </a:graphicData>
            </a:graphic>
          </wp:inline>
        </w:drawing>
      </w:r>
    </w:p>
    <w:p w:rsidR="00680C2A" w:rsidRPr="000D5CEA" w:rsidP="009E32A4" w14:paraId="458F2A46" w14:textId="68A59E8D">
      <w:pPr>
        <w:spacing w:before="60" w:after="320"/>
        <w:ind w:right="403"/>
        <w:jc w:val="right"/>
        <w:rPr>
          <w:sz w:val="27"/>
          <w:szCs w:val="27"/>
        </w:rPr>
      </w:pPr>
      <w:r w:rsidRPr="000D5CEA">
        <w:rPr>
          <w:b/>
          <w:bCs/>
          <w:sz w:val="27"/>
          <w:szCs w:val="27"/>
        </w:rPr>
        <w:t>UNITED STATES GOVERNMENT</w:t>
      </w:r>
      <w:r w:rsidRPr="000D5CEA" w:rsidR="005A3349">
        <w:rPr>
          <w:b/>
          <w:bCs/>
          <w:sz w:val="27"/>
          <w:szCs w:val="27"/>
        </w:rPr>
        <w:br/>
      </w:r>
      <w:r w:rsidRPr="000D5CEA">
        <w:rPr>
          <w:b/>
          <w:bCs/>
          <w:sz w:val="27"/>
          <w:szCs w:val="27"/>
        </w:rPr>
        <w:t>FEDERAL COMMUNICATIONS COMMISSON</w:t>
      </w:r>
    </w:p>
    <w:p w:rsidR="00680C2A" w:rsidRPr="007D76E5" w:rsidP="007D76E5" w14:paraId="20558BA2" w14:textId="77777777">
      <w:pPr>
        <w:spacing w:before="60" w:after="360"/>
        <w:ind w:right="403"/>
        <w:jc w:val="right"/>
        <w:rPr>
          <w:b/>
          <w:bCs/>
          <w:i/>
          <w:iCs/>
          <w:sz w:val="27"/>
          <w:szCs w:val="27"/>
        </w:rPr>
      </w:pPr>
      <w:r w:rsidRPr="007D76E5">
        <w:rPr>
          <w:b/>
          <w:bCs/>
          <w:i/>
          <w:iCs/>
          <w:sz w:val="27"/>
          <w:szCs w:val="27"/>
        </w:rPr>
        <w:t>Office of the Managing Director</w:t>
      </w:r>
    </w:p>
    <w:p w:rsidR="005A3349" w:rsidRPr="007D76E5" w:rsidP="00680C2A" w14:paraId="77251DB3" w14:textId="77777777">
      <w:pPr>
        <w:tabs>
          <w:tab w:val="left" w:pos="1260"/>
        </w:tabs>
        <w:spacing w:after="240"/>
        <w:rPr>
          <w:i/>
          <w:iCs/>
          <w:sz w:val="20"/>
        </w:rPr>
        <w:sectPr w:rsidSect="005A3349">
          <w:footnotePr>
            <w:numRestart w:val="eachSect"/>
          </w:footnotePr>
          <w:type w:val="continuous"/>
          <w:pgSz w:w="12240" w:h="15840" w:code="1"/>
          <w:pgMar w:top="1152" w:right="1296" w:bottom="1152" w:left="1296" w:header="720" w:footer="720" w:gutter="0"/>
          <w:cols w:num="2" w:space="0" w:equalWidth="0">
            <w:col w:w="2736"/>
            <w:col w:w="6912"/>
          </w:cols>
          <w:titlePg/>
          <w:docGrid w:linePitch="326"/>
        </w:sectPr>
      </w:pPr>
    </w:p>
    <w:p w:rsidR="00680C2A" w:rsidRPr="00FB750E" w:rsidP="003C2682" w14:paraId="0CDA9547" w14:textId="47C86EA3">
      <w:pPr>
        <w:tabs>
          <w:tab w:val="left" w:pos="1530"/>
          <w:tab w:val="left" w:pos="1980"/>
          <w:tab w:val="left" w:pos="2070"/>
        </w:tabs>
        <w:spacing w:after="240"/>
        <w:ind w:left="1530" w:right="144" w:hanging="1242"/>
        <w:rPr>
          <w:sz w:val="22"/>
          <w:szCs w:val="22"/>
        </w:rPr>
      </w:pPr>
      <w:r w:rsidRPr="00FB750E">
        <w:rPr>
          <w:b/>
          <w:bCs/>
          <w:sz w:val="22"/>
          <w:szCs w:val="22"/>
        </w:rPr>
        <w:t>DATE:</w:t>
      </w:r>
      <w:r w:rsidRPr="00FB750E">
        <w:rPr>
          <w:sz w:val="22"/>
          <w:szCs w:val="22"/>
        </w:rPr>
        <w:tab/>
        <w:t>November 15.2021</w:t>
      </w:r>
    </w:p>
    <w:p w:rsidR="00680C2A" w:rsidRPr="00FB750E" w:rsidP="00FB750E" w14:paraId="389D8CF3" w14:textId="43950AB4">
      <w:pPr>
        <w:tabs>
          <w:tab w:val="left" w:pos="1530"/>
          <w:tab w:val="left" w:pos="1980"/>
          <w:tab w:val="left" w:pos="2070"/>
        </w:tabs>
        <w:spacing w:after="240"/>
        <w:ind w:left="1530" w:right="144" w:hanging="1242"/>
        <w:rPr>
          <w:sz w:val="22"/>
          <w:szCs w:val="22"/>
        </w:rPr>
      </w:pPr>
      <w:r w:rsidRPr="00FB750E">
        <w:rPr>
          <w:b/>
          <w:bCs/>
          <w:sz w:val="22"/>
          <w:szCs w:val="22"/>
        </w:rPr>
        <w:t>TO:</w:t>
      </w:r>
      <w:r w:rsidRPr="00FB750E">
        <w:rPr>
          <w:b/>
          <w:bCs/>
          <w:sz w:val="22"/>
          <w:szCs w:val="22"/>
        </w:rPr>
        <w:tab/>
      </w:r>
      <w:r w:rsidRPr="00FB750E">
        <w:rPr>
          <w:sz w:val="22"/>
          <w:szCs w:val="22"/>
        </w:rPr>
        <w:t>David L. Hunt. Inspector General</w:t>
      </w:r>
    </w:p>
    <w:p w:rsidR="00680C2A" w:rsidRPr="00FB750E" w:rsidP="00FB750E" w14:paraId="0F351D0C" w14:textId="5833501B">
      <w:pPr>
        <w:tabs>
          <w:tab w:val="left" w:pos="1530"/>
          <w:tab w:val="left" w:pos="1980"/>
          <w:tab w:val="left" w:pos="2070"/>
        </w:tabs>
        <w:spacing w:after="240"/>
        <w:ind w:left="1530" w:right="144" w:hanging="1242"/>
        <w:rPr>
          <w:sz w:val="22"/>
          <w:szCs w:val="22"/>
        </w:rPr>
      </w:pPr>
      <w:r w:rsidRPr="00FB750E">
        <w:rPr>
          <w:b/>
          <w:bCs/>
          <w:sz w:val="22"/>
          <w:szCs w:val="22"/>
        </w:rPr>
        <w:t>FROM:</w:t>
      </w:r>
      <w:r w:rsidRPr="00FB750E">
        <w:rPr>
          <w:b/>
          <w:bCs/>
          <w:sz w:val="22"/>
          <w:szCs w:val="22"/>
        </w:rPr>
        <w:tab/>
      </w:r>
      <w:r w:rsidRPr="00FB750E">
        <w:rPr>
          <w:sz w:val="22"/>
          <w:szCs w:val="22"/>
        </w:rPr>
        <w:t>Mark Stephens. Managing Director</w:t>
      </w:r>
      <w:r w:rsidRPr="00FB750E">
        <w:rPr>
          <w:sz w:val="22"/>
          <w:szCs w:val="22"/>
        </w:rPr>
        <w:br/>
        <w:t xml:space="preserve">Jae Seong. Chief Financial Officer </w:t>
      </w:r>
      <w:r w:rsidRPr="00FB750E">
        <w:rPr>
          <w:sz w:val="22"/>
          <w:szCs w:val="22"/>
        </w:rPr>
        <w:br/>
        <w:t>Shaun Costello. Acting Chief Information Officer</w:t>
      </w:r>
    </w:p>
    <w:p w:rsidR="00680C2A" w:rsidRPr="00FB750E" w:rsidP="00023EC2" w14:paraId="03A815E0" w14:textId="77777777">
      <w:pPr>
        <w:pBdr>
          <w:bottom w:val="single" w:sz="4" w:space="9" w:color="auto"/>
        </w:pBdr>
        <w:tabs>
          <w:tab w:val="left" w:pos="1530"/>
          <w:tab w:val="left" w:pos="1980"/>
          <w:tab w:val="left" w:pos="2070"/>
        </w:tabs>
        <w:spacing w:after="180"/>
        <w:ind w:left="1530" w:right="144" w:hanging="1242"/>
        <w:jc w:val="both"/>
        <w:rPr>
          <w:sz w:val="22"/>
          <w:szCs w:val="22"/>
        </w:rPr>
      </w:pPr>
      <w:r w:rsidRPr="00FB750E">
        <w:rPr>
          <w:b/>
          <w:bCs/>
          <w:sz w:val="22"/>
          <w:szCs w:val="22"/>
        </w:rPr>
        <w:t>SUBJECT:</w:t>
      </w:r>
      <w:r w:rsidRPr="00FB750E">
        <w:rPr>
          <w:b/>
          <w:bCs/>
          <w:sz w:val="22"/>
          <w:szCs w:val="22"/>
        </w:rPr>
        <w:tab/>
      </w:r>
      <w:r w:rsidRPr="00FB750E">
        <w:rPr>
          <w:sz w:val="22"/>
          <w:szCs w:val="22"/>
        </w:rPr>
        <w:t>Management's Response to Independent Auditor's Reports on Internal Control over Financial Reporting and Compliance with Laws. Regulations. Contracts, and Grant Agreements for Fiscal Year 2021</w:t>
      </w:r>
    </w:p>
    <w:p w:rsidR="00680C2A" w:rsidRPr="007D6C9B" w:rsidP="00C413F1" w14:paraId="625BF4E9" w14:textId="77777777">
      <w:pPr>
        <w:spacing w:after="160"/>
        <w:ind w:left="288" w:right="144"/>
        <w:jc w:val="both"/>
        <w:rPr>
          <w:sz w:val="22"/>
          <w:szCs w:val="22"/>
        </w:rPr>
      </w:pPr>
      <w:r w:rsidRPr="007D6C9B">
        <w:rPr>
          <w:sz w:val="22"/>
          <w:szCs w:val="22"/>
        </w:rPr>
        <w:t xml:space="preserve">Thank you for the opportunity to review and comment on the draft reports entitled </w:t>
      </w:r>
      <w:r w:rsidRPr="007D6C9B">
        <w:rPr>
          <w:i/>
          <w:iCs/>
          <w:sz w:val="22"/>
          <w:szCs w:val="22"/>
        </w:rPr>
        <w:t>Independent Auditor's Report on Internal Control over Financial Reporting and Independent Auditor's Report on Compliance with Laws, Regulations, Contracts, and Grant Agreements.</w:t>
      </w:r>
      <w:r w:rsidRPr="007D6C9B">
        <w:rPr>
          <w:b/>
          <w:bCs/>
          <w:i/>
          <w:iCs/>
          <w:sz w:val="22"/>
          <w:szCs w:val="22"/>
        </w:rPr>
        <w:t xml:space="preserve"> </w:t>
      </w:r>
      <w:r w:rsidRPr="007D6C9B">
        <w:rPr>
          <w:sz w:val="22"/>
          <w:szCs w:val="22"/>
        </w:rPr>
        <w:t>As always, the Federal Communications Commission (FCC or Commission) appreciates the efforts of the Office of Inspector General and its independent auditor. Kearney and Company, to work with the FCC throughout the annual financial statement audit process.</w:t>
      </w:r>
    </w:p>
    <w:p w:rsidR="00680C2A" w:rsidRPr="007D6C9B" w:rsidP="00C413F1" w14:paraId="7CCF73DF" w14:textId="77777777">
      <w:pPr>
        <w:spacing w:after="160"/>
        <w:ind w:left="288" w:right="144"/>
        <w:jc w:val="both"/>
        <w:rPr>
          <w:sz w:val="22"/>
          <w:szCs w:val="22"/>
        </w:rPr>
      </w:pPr>
      <w:r w:rsidRPr="007D6C9B">
        <w:rPr>
          <w:sz w:val="22"/>
          <w:szCs w:val="22"/>
        </w:rPr>
        <w:t xml:space="preserve">We are pleased that, for the sixteenth straight year, the independent auditor provided an unmodified ("clean") opinion and found that the Commission's consolidated financial statements for Fiscal Year (FY) 2021 present fairly, </w:t>
      </w:r>
      <w:r w:rsidRPr="007D6C9B">
        <w:rPr>
          <w:spacing w:val="-20"/>
          <w:sz w:val="22"/>
          <w:szCs w:val="22"/>
        </w:rPr>
        <w:t>in</w:t>
      </w:r>
      <w:r w:rsidRPr="007D6C9B">
        <w:rPr>
          <w:sz w:val="22"/>
          <w:szCs w:val="22"/>
        </w:rPr>
        <w:t xml:space="preserve"> all material respects, the financial position of the Commission as of September 30, 2021. In addition the results of the audit tests disclosed no instances of noncompliance or other matters that are required to be reported.</w:t>
      </w:r>
    </w:p>
    <w:p w:rsidR="00680C2A" w:rsidRPr="007D6C9B" w:rsidP="00C413F1" w14:paraId="3D9D1B10" w14:textId="77777777">
      <w:pPr>
        <w:spacing w:after="160"/>
        <w:ind w:left="288" w:right="144"/>
        <w:jc w:val="both"/>
        <w:rPr>
          <w:sz w:val="22"/>
          <w:szCs w:val="22"/>
        </w:rPr>
      </w:pPr>
      <w:r w:rsidRPr="007D6C9B">
        <w:rPr>
          <w:sz w:val="22"/>
          <w:szCs w:val="22"/>
        </w:rPr>
        <w:t>Despite this successful outcome, work remains here at the Commission. The FY 2021 audit report identified one significant deficiency related to information technology controls and another related to internal control related to an isolated instance of recording a forfeiture order incorrectly that had no effect on the Commission's consolidated financial statements other than to one of the notes to the consolidated financial statements. We concur with the recommendations made by the independent auditors in their reports.</w:t>
      </w:r>
    </w:p>
    <w:p w:rsidR="008B5A37" w:rsidP="0038704C" w14:paraId="6CEEF8BE" w14:textId="1735A6D4">
      <w:pPr>
        <w:spacing w:after="240"/>
        <w:ind w:left="288" w:right="144"/>
        <w:jc w:val="both"/>
        <w:rPr>
          <w:sz w:val="22"/>
          <w:szCs w:val="22"/>
        </w:rPr>
      </w:pPr>
      <w:r w:rsidRPr="007D6C9B">
        <w:rPr>
          <w:sz w:val="22"/>
          <w:szCs w:val="22"/>
        </w:rPr>
        <w:t>We look forward to working in FY 2022 to resolve the FY 2021 audit findings and to enhance the culture of integrity. accountability, and excellence that exists here at the Commission.</w:t>
      </w:r>
    </w:p>
    <w:p w:rsidR="008B5A37" w:rsidP="0038704C" w14:paraId="28A6D90F" w14:textId="77777777">
      <w:pPr>
        <w:spacing w:after="240"/>
        <w:ind w:left="288" w:right="144"/>
        <w:jc w:val="both"/>
        <w:rPr>
          <w:sz w:val="22"/>
          <w:szCs w:val="22"/>
        </w:rPr>
        <w:sectPr w:rsidSect="005A3349">
          <w:footnotePr>
            <w:numRestart w:val="eachSect"/>
          </w:footnotePr>
          <w:type w:val="continuous"/>
          <w:pgSz w:w="12240" w:h="15840" w:code="1"/>
          <w:pgMar w:top="1152" w:right="1296" w:bottom="1152" w:left="1296" w:header="720" w:footer="720" w:gutter="0"/>
          <w:cols w:space="720"/>
          <w:titlePg/>
          <w:docGrid w:linePitch="326"/>
        </w:sectPr>
      </w:pPr>
    </w:p>
    <w:tbl>
      <w:tblPr>
        <w:tblStyle w:val="TableGrid"/>
        <w:tblW w:w="5000" w:type="pct"/>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3216"/>
      </w:tblGrid>
      <w:tr w14:paraId="732594BD" w14:textId="77777777" w:rsidTr="00DF0B83">
        <w:tblPrEx>
          <w:tblW w:w="5000" w:type="pct"/>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Ex>
        <w:trPr>
          <w:trHeight w:val="514"/>
        </w:trPr>
        <w:tc>
          <w:tcPr>
            <w:tcW w:w="3216" w:type="dxa"/>
            <w:tcBorders>
              <w:bottom w:val="single" w:sz="4" w:space="0" w:color="auto"/>
            </w:tcBorders>
            <w:vAlign w:val="bottom"/>
          </w:tcPr>
          <w:p w:rsidR="0032402C" w:rsidRPr="004B6268" w:rsidP="003648C9" w14:paraId="63DB67AF" w14:textId="0D446E6E">
            <w:pPr>
              <w:rPr>
                <w:rFonts w:eastAsia="Trebuchet MS"/>
                <w:sz w:val="14"/>
                <w:szCs w:val="14"/>
              </w:rPr>
            </w:pPr>
            <w:r>
              <w:rPr>
                <w:noProof/>
              </w:rPr>
              <w:drawing>
                <wp:inline distT="0" distB="0" distL="0" distR="0">
                  <wp:extent cx="1088397" cy="401618"/>
                  <wp:effectExtent l="0" t="0" r="0" b="0"/>
                  <wp:docPr id="1" name="Picture 1" descr="Digitally signed by Mark Stephens Date: 2021.11.15 06:29:17 -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gitally signed by Mark Stephens Date: 2021.11.15 06:29:17 -05'00'"/>
                          <pic:cNvPicPr/>
                        </pic:nvPicPr>
                        <pic:blipFill>
                          <a:blip xmlns:r="http://schemas.openxmlformats.org/officeDocument/2006/relationships" r:embed="rId62"/>
                          <a:stretch>
                            <a:fillRect/>
                          </a:stretch>
                        </pic:blipFill>
                        <pic:spPr>
                          <a:xfrm>
                            <a:off x="0" y="0"/>
                            <a:ext cx="1092316" cy="403064"/>
                          </a:xfrm>
                          <a:prstGeom prst="rect">
                            <a:avLst/>
                          </a:prstGeom>
                        </pic:spPr>
                      </pic:pic>
                    </a:graphicData>
                  </a:graphic>
                </wp:inline>
              </w:drawing>
            </w:r>
          </w:p>
        </w:tc>
      </w:tr>
      <w:tr w14:paraId="6147DD32" w14:textId="77777777" w:rsidTr="0032402C">
        <w:tblPrEx>
          <w:tblW w:w="5000" w:type="pct"/>
          <w:tblInd w:w="230" w:type="dxa"/>
          <w:tblLayout w:type="fixed"/>
          <w:tblLook w:val="00A0"/>
        </w:tblPrEx>
        <w:trPr>
          <w:trHeight w:hRule="exact" w:val="1029"/>
        </w:trPr>
        <w:tc>
          <w:tcPr>
            <w:tcW w:w="3216" w:type="dxa"/>
            <w:tcBorders>
              <w:top w:val="single" w:sz="4" w:space="0" w:color="auto"/>
            </w:tcBorders>
          </w:tcPr>
          <w:p w:rsidR="008B5A37" w:rsidRPr="00A62EB5" w:rsidP="003648C9" w14:paraId="03C813A5" w14:textId="77777777">
            <w:pPr>
              <w:rPr>
                <w:sz w:val="20"/>
              </w:rPr>
            </w:pPr>
            <w:r w:rsidRPr="00A62EB5">
              <w:rPr>
                <w:sz w:val="20"/>
              </w:rPr>
              <w:t>Mark Stephens</w:t>
            </w:r>
          </w:p>
          <w:p w:rsidR="008B5A37" w:rsidRPr="00A62EB5" w:rsidP="003648C9" w14:paraId="2DA65385" w14:textId="77777777">
            <w:pPr>
              <w:rPr>
                <w:sz w:val="20"/>
              </w:rPr>
            </w:pPr>
            <w:r w:rsidRPr="00A62EB5">
              <w:rPr>
                <w:sz w:val="20"/>
              </w:rPr>
              <w:t>Managing Director</w:t>
            </w:r>
          </w:p>
          <w:p w:rsidR="008B5A37" w:rsidRPr="004B6268" w:rsidP="003648C9" w14:paraId="60DEE018" w14:textId="77777777">
            <w:pPr>
              <w:rPr>
                <w:sz w:val="14"/>
                <w:szCs w:val="14"/>
              </w:rPr>
            </w:pPr>
            <w:r w:rsidRPr="00A62EB5">
              <w:rPr>
                <w:sz w:val="20"/>
              </w:rPr>
              <w:t>Office of Managing Director</w:t>
            </w:r>
          </w:p>
        </w:tc>
      </w:tr>
    </w:tbl>
    <w:p w:rsidR="008B5A37" w:rsidRPr="004B6268" w:rsidP="008B5A37" w14:paraId="1CFDB742" w14:textId="31DC1FA9">
      <w:pPr>
        <w:rPr>
          <w:sz w:val="14"/>
          <w:szCs w:val="14"/>
        </w:rPr>
      </w:pPr>
    </w:p>
    <w:tbl>
      <w:tblPr>
        <w:tblStyle w:val="TableGrid"/>
        <w:tblW w:w="5000" w:type="pct"/>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3216"/>
      </w:tblGrid>
      <w:tr w14:paraId="204634D8" w14:textId="77777777" w:rsidTr="00D85D08">
        <w:tblPrEx>
          <w:tblW w:w="5000" w:type="pct"/>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Ex>
        <w:trPr>
          <w:trHeight w:val="514"/>
        </w:trPr>
        <w:tc>
          <w:tcPr>
            <w:tcW w:w="3216" w:type="dxa"/>
            <w:tcBorders>
              <w:bottom w:val="single" w:sz="4" w:space="0" w:color="auto"/>
            </w:tcBorders>
          </w:tcPr>
          <w:p w:rsidR="0032402C" w:rsidRPr="004B6268" w:rsidP="003648C9" w14:paraId="6D458D2F" w14:textId="13DD6159">
            <w:pPr>
              <w:rPr>
                <w:sz w:val="14"/>
                <w:szCs w:val="14"/>
              </w:rPr>
            </w:pPr>
            <w:r>
              <w:rPr>
                <w:noProof/>
              </w:rPr>
              <w:drawing>
                <wp:inline distT="0" distB="0" distL="0" distR="0">
                  <wp:extent cx="1488948" cy="430306"/>
                  <wp:effectExtent l="0" t="0" r="0" b="8255"/>
                  <wp:docPr id="1018564587" name="Picture 2" descr="Digitally signed by Jae Seong Date: 2021.11.15 05:20:3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64587" name="Picture 2" descr="Digitally signed by Jae Seong Date: 2021.11.15 05:20:30-05'00'"/>
                          <pic:cNvPicPr/>
                        </pic:nvPicPr>
                        <pic:blipFill>
                          <a:blip xmlns:r="http://schemas.openxmlformats.org/officeDocument/2006/relationships" r:embed="rId63"/>
                          <a:stretch>
                            <a:fillRect/>
                          </a:stretch>
                        </pic:blipFill>
                        <pic:spPr>
                          <a:xfrm>
                            <a:off x="0" y="0"/>
                            <a:ext cx="1497032" cy="432642"/>
                          </a:xfrm>
                          <a:prstGeom prst="rect">
                            <a:avLst/>
                          </a:prstGeom>
                        </pic:spPr>
                      </pic:pic>
                    </a:graphicData>
                  </a:graphic>
                </wp:inline>
              </w:drawing>
            </w:r>
          </w:p>
        </w:tc>
      </w:tr>
      <w:tr w14:paraId="3E46E91C" w14:textId="77777777" w:rsidTr="0032402C">
        <w:tblPrEx>
          <w:tblW w:w="5000" w:type="pct"/>
          <w:tblInd w:w="230" w:type="dxa"/>
          <w:tblLayout w:type="fixed"/>
          <w:tblLook w:val="00A0"/>
        </w:tblPrEx>
        <w:trPr>
          <w:trHeight w:hRule="exact" w:val="1029"/>
        </w:trPr>
        <w:tc>
          <w:tcPr>
            <w:tcW w:w="3216" w:type="dxa"/>
            <w:tcBorders>
              <w:top w:val="single" w:sz="4" w:space="0" w:color="auto"/>
            </w:tcBorders>
          </w:tcPr>
          <w:p w:rsidR="008B5A37" w:rsidRPr="00A62EB5" w:rsidP="003648C9" w14:paraId="4066042E" w14:textId="77777777">
            <w:pPr>
              <w:rPr>
                <w:sz w:val="20"/>
              </w:rPr>
            </w:pPr>
            <w:r w:rsidRPr="00A62EB5">
              <w:rPr>
                <w:sz w:val="20"/>
              </w:rPr>
              <w:t>Jae Seong</w:t>
            </w:r>
          </w:p>
          <w:p w:rsidR="008B5A37" w:rsidRPr="004B6268" w:rsidP="003648C9" w14:paraId="24BB3E04" w14:textId="41799534">
            <w:pPr>
              <w:rPr>
                <w:sz w:val="14"/>
                <w:szCs w:val="14"/>
              </w:rPr>
            </w:pPr>
            <w:r w:rsidRPr="00A62EB5">
              <w:rPr>
                <w:sz w:val="20"/>
              </w:rPr>
              <w:t>Chief Financial Officer</w:t>
            </w:r>
            <w:r w:rsidRPr="00A62EB5" w:rsidR="00EB55C3">
              <w:rPr>
                <w:sz w:val="20"/>
              </w:rPr>
              <w:br/>
            </w:r>
            <w:r w:rsidRPr="00A62EB5">
              <w:rPr>
                <w:sz w:val="20"/>
              </w:rPr>
              <w:t>Office of Managing Director</w:t>
            </w:r>
          </w:p>
        </w:tc>
      </w:tr>
    </w:tbl>
    <w:p w:rsidR="008B5A37" w:rsidRPr="006649A0" w:rsidP="008B5A37" w14:paraId="41699FDA" w14:textId="77777777">
      <w:pPr>
        <w:rPr>
          <w:sz w:val="2"/>
          <w:szCs w:val="2"/>
        </w:rPr>
      </w:pPr>
      <w:r w:rsidRPr="004B6268">
        <w:rPr>
          <w:sz w:val="14"/>
          <w:szCs w:val="14"/>
        </w:rPr>
        <w:br w:type="column"/>
      </w:r>
    </w:p>
    <w:tbl>
      <w:tblPr>
        <w:tblStyle w:val="TableGrid"/>
        <w:tblW w:w="5000" w:type="pct"/>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
      <w:tblGrid>
        <w:gridCol w:w="3216"/>
      </w:tblGrid>
      <w:tr w14:paraId="45BD4A3A" w14:textId="77777777" w:rsidTr="009D4257">
        <w:tblPrEx>
          <w:tblW w:w="5000" w:type="pct"/>
          <w:tblInd w:w="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tblPrEx>
        <w:trPr>
          <w:trHeight w:val="514"/>
        </w:trPr>
        <w:tc>
          <w:tcPr>
            <w:tcW w:w="3216" w:type="dxa"/>
            <w:tcBorders>
              <w:bottom w:val="single" w:sz="4" w:space="0" w:color="auto"/>
            </w:tcBorders>
            <w:vAlign w:val="bottom"/>
          </w:tcPr>
          <w:p w:rsidR="0032402C" w:rsidRPr="004B6268" w:rsidP="003648C9" w14:paraId="34C00645" w14:textId="05E0F0E3">
            <w:pPr>
              <w:rPr>
                <w:rFonts w:eastAsia="Trebuchet MS"/>
                <w:sz w:val="14"/>
                <w:szCs w:val="14"/>
              </w:rPr>
            </w:pPr>
            <w:r>
              <w:rPr>
                <w:noProof/>
              </w:rPr>
              <w:drawing>
                <wp:inline distT="0" distB="0" distL="0" distR="0">
                  <wp:extent cx="1530277" cy="386650"/>
                  <wp:effectExtent l="0" t="0" r="0" b="0"/>
                  <wp:docPr id="1665936083" name="Picture 3" descr="Digitally signed by Shaun H. Costello Date: 2021.11.15 06:21:46 -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36083" name="Picture 3" descr="Digitally signed by Shaun H. Costello Date: 2021.11.15 06:21:46 -05'00'"/>
                          <pic:cNvPicPr/>
                        </pic:nvPicPr>
                        <pic:blipFill>
                          <a:blip xmlns:r="http://schemas.openxmlformats.org/officeDocument/2006/relationships" r:embed="rId64"/>
                          <a:stretch>
                            <a:fillRect/>
                          </a:stretch>
                        </pic:blipFill>
                        <pic:spPr>
                          <a:xfrm>
                            <a:off x="0" y="0"/>
                            <a:ext cx="1559988" cy="394157"/>
                          </a:xfrm>
                          <a:prstGeom prst="rect">
                            <a:avLst/>
                          </a:prstGeom>
                        </pic:spPr>
                      </pic:pic>
                    </a:graphicData>
                  </a:graphic>
                </wp:inline>
              </w:drawing>
            </w:r>
          </w:p>
        </w:tc>
      </w:tr>
      <w:tr w14:paraId="2FF6DE2B" w14:textId="77777777" w:rsidTr="0032402C">
        <w:tblPrEx>
          <w:tblW w:w="5000" w:type="pct"/>
          <w:tblInd w:w="230" w:type="dxa"/>
          <w:tblLayout w:type="fixed"/>
          <w:tblLook w:val="00A0"/>
        </w:tblPrEx>
        <w:trPr>
          <w:trHeight w:hRule="exact" w:val="1029"/>
        </w:trPr>
        <w:tc>
          <w:tcPr>
            <w:tcW w:w="3216" w:type="dxa"/>
            <w:tcBorders>
              <w:top w:val="single" w:sz="4" w:space="0" w:color="auto"/>
            </w:tcBorders>
          </w:tcPr>
          <w:p w:rsidR="008B5A37" w:rsidRPr="00A62EB5" w:rsidP="003648C9" w14:paraId="09D55FA7" w14:textId="77777777">
            <w:pPr>
              <w:rPr>
                <w:sz w:val="20"/>
              </w:rPr>
            </w:pPr>
            <w:r w:rsidRPr="00A62EB5">
              <w:rPr>
                <w:sz w:val="20"/>
              </w:rPr>
              <w:t>Shaun Costello</w:t>
            </w:r>
          </w:p>
          <w:p w:rsidR="008B5A37" w:rsidRPr="004B6268" w:rsidP="003648C9" w14:paraId="59C32F35" w14:textId="77777777">
            <w:pPr>
              <w:rPr>
                <w:sz w:val="14"/>
                <w:szCs w:val="14"/>
              </w:rPr>
            </w:pPr>
            <w:r w:rsidRPr="00A62EB5">
              <w:rPr>
                <w:sz w:val="20"/>
              </w:rPr>
              <w:t>Acting Chief Information Officer Office of Managing Director</w:t>
            </w:r>
          </w:p>
        </w:tc>
      </w:tr>
    </w:tbl>
    <w:p w:rsidR="008B5A37" w:rsidP="004B6268" w14:paraId="2A29A4F7" w14:textId="77777777">
      <w:pPr>
        <w:spacing w:after="240"/>
        <w:ind w:right="144"/>
        <w:jc w:val="both"/>
        <w:rPr>
          <w:sz w:val="22"/>
          <w:szCs w:val="22"/>
        </w:rPr>
        <w:sectPr w:rsidSect="004B6268">
          <w:footnotePr>
            <w:numRestart w:val="eachSect"/>
          </w:footnotePr>
          <w:type w:val="continuous"/>
          <w:pgSz w:w="12240" w:h="15840" w:code="1"/>
          <w:pgMar w:top="1152" w:right="1296" w:bottom="1152" w:left="1296" w:header="720" w:footer="720" w:gutter="0"/>
          <w:cols w:num="3" w:space="0" w:equalWidth="0">
            <w:col w:w="3216"/>
            <w:col w:w="3216"/>
            <w:col w:w="3216"/>
          </w:cols>
          <w:titlePg/>
          <w:docGrid w:linePitch="326"/>
        </w:sectPr>
      </w:pPr>
    </w:p>
    <w:p w:rsidR="00285D06" w:rsidRPr="00710676" w:rsidP="00A62D25" w14:paraId="067204E9" w14:textId="4C2BFDF6">
      <w:pPr>
        <w:pStyle w:val="Heading3"/>
        <w:spacing w:after="0"/>
      </w:pPr>
      <w:bookmarkStart w:id="123" w:name="_Toc54589760"/>
      <w:bookmarkStart w:id="124" w:name="_Toc88780538"/>
      <w:bookmarkStart w:id="125" w:name="_Toc88780670"/>
      <w:bookmarkEnd w:id="4"/>
      <w:r w:rsidRPr="00710676">
        <w:t>Principal Statements</w:t>
      </w:r>
      <w:bookmarkEnd w:id="123"/>
      <w:bookmarkEnd w:id="124"/>
      <w:bookmarkEnd w:id="125"/>
    </w:p>
    <w:p w:rsidR="00285D06" w:rsidRPr="007619B6" w:rsidP="006916E1" w14:paraId="5F3307EE" w14:textId="77777777">
      <w:pPr>
        <w:rPr>
          <w:b/>
          <w:bCs/>
        </w:rPr>
      </w:pPr>
      <w:bookmarkStart w:id="126" w:name="_Toc65551538"/>
      <w:bookmarkStart w:id="127" w:name="_Toc65660146"/>
      <w:bookmarkStart w:id="128" w:name="_Toc68601242"/>
      <w:bookmarkStart w:id="129" w:name="_Toc68601367"/>
      <w:bookmarkStart w:id="130" w:name="_Toc70736766"/>
      <w:bookmarkStart w:id="131" w:name="_Toc65322703"/>
      <w:bookmarkStart w:id="132" w:name="_Toc65323498"/>
      <w:bookmarkStart w:id="133" w:name="_Toc65325549"/>
      <w:bookmarkStart w:id="134" w:name="_Toc65548733"/>
      <w:r w:rsidRPr="007619B6">
        <w:rPr>
          <w:b/>
          <w:bCs/>
        </w:rPr>
        <w:t>Federal Communications Commission</w:t>
      </w:r>
    </w:p>
    <w:p w:rsidR="00285D06" w:rsidRPr="003C0AF7" w:rsidP="00FF3E05" w14:paraId="43C41286" w14:textId="77777777">
      <w:pPr>
        <w:pStyle w:val="Heading4"/>
        <w:spacing w:after="0"/>
        <w:rPr>
          <w:szCs w:val="24"/>
        </w:rPr>
      </w:pPr>
      <w:bookmarkStart w:id="135" w:name="_Toc54589761"/>
      <w:bookmarkStart w:id="136" w:name="_Toc88780671"/>
      <w:r w:rsidRPr="003C0AF7">
        <w:rPr>
          <w:szCs w:val="24"/>
        </w:rPr>
        <w:t>Consolidated Balance Sheets</w:t>
      </w:r>
      <w:bookmarkEnd w:id="135"/>
      <w:bookmarkEnd w:id="136"/>
    </w:p>
    <w:p w:rsidR="00285D06" w:rsidRPr="005453C0" w:rsidP="00285D06" w14:paraId="54076915" w14:textId="77777777">
      <w:pPr>
        <w:rPr>
          <w:sz w:val="22"/>
          <w:szCs w:val="22"/>
        </w:rPr>
      </w:pPr>
      <w:bookmarkStart w:id="137" w:name="_Toc65551531"/>
      <w:bookmarkStart w:id="138" w:name="_Toc65660139"/>
      <w:bookmarkStart w:id="139" w:name="_Toc68601235"/>
      <w:bookmarkStart w:id="140" w:name="_Toc68601360"/>
      <w:bookmarkStart w:id="141" w:name="_Toc70736759"/>
      <w:bookmarkStart w:id="142" w:name="_Toc73190388"/>
      <w:bookmarkStart w:id="143" w:name="_Toc65325541"/>
      <w:bookmarkStart w:id="144" w:name="_Toc65548726"/>
      <w:r w:rsidRPr="005453C0">
        <w:rPr>
          <w:sz w:val="22"/>
          <w:szCs w:val="22"/>
        </w:rPr>
        <w:t xml:space="preserve">As of </w:t>
      </w:r>
      <w:r>
        <w:rPr>
          <w:sz w:val="22"/>
          <w:szCs w:val="22"/>
        </w:rPr>
        <w:t>September 30, 2021</w:t>
      </w:r>
      <w:r w:rsidRPr="005453C0">
        <w:rPr>
          <w:sz w:val="22"/>
          <w:szCs w:val="22"/>
        </w:rPr>
        <w:t xml:space="preserve"> and </w:t>
      </w:r>
      <w:r>
        <w:rPr>
          <w:sz w:val="22"/>
          <w:szCs w:val="22"/>
        </w:rPr>
        <w:t>September 30, 2020</w:t>
      </w:r>
    </w:p>
    <w:p w:rsidR="00285D06" w:rsidP="00285D06" w14:paraId="3B5732A1" w14:textId="58C3F992">
      <w:pPr>
        <w:widowControl w:val="0"/>
        <w:overflowPunct w:val="0"/>
        <w:autoSpaceDE w:val="0"/>
        <w:autoSpaceDN w:val="0"/>
        <w:adjustRightInd w:val="0"/>
        <w:jc w:val="both"/>
        <w:textAlignment w:val="baseline"/>
        <w:rPr>
          <w:sz w:val="22"/>
          <w:szCs w:val="22"/>
        </w:rPr>
      </w:pPr>
      <w:r w:rsidRPr="000621B8">
        <w:rPr>
          <w:sz w:val="22"/>
          <w:szCs w:val="22"/>
        </w:rPr>
        <w:t>(Dollars in thousands)</w:t>
      </w:r>
    </w:p>
    <w:tbl>
      <w:tblPr>
        <w:tblStyle w:val="TableGrid5"/>
        <w:tblW w:w="5000" w:type="pct"/>
        <w:tblBorders>
          <w:left w:val="none" w:sz="0" w:space="0" w:color="auto"/>
          <w:bottom w:val="double" w:sz="4" w:space="0" w:color="auto"/>
          <w:right w:val="none" w:sz="0" w:space="0" w:color="auto"/>
          <w:insideH w:val="none" w:sz="0" w:space="0" w:color="auto"/>
          <w:insideV w:val="none" w:sz="0" w:space="0" w:color="auto"/>
        </w:tblBorders>
        <w:tblLook w:val="04A0"/>
      </w:tblPr>
      <w:tblGrid>
        <w:gridCol w:w="6457"/>
        <w:gridCol w:w="1449"/>
        <w:gridCol w:w="1454"/>
      </w:tblGrid>
      <w:tr w14:paraId="10B1183B" w14:textId="77777777" w:rsidTr="009033E5">
        <w:tblPrEx>
          <w:tblW w:w="5000" w:type="pct"/>
          <w:tblBorders>
            <w:left w:val="none" w:sz="0" w:space="0" w:color="auto"/>
            <w:bottom w:val="double" w:sz="4" w:space="0" w:color="auto"/>
            <w:right w:val="none" w:sz="0" w:space="0" w:color="auto"/>
            <w:insideH w:val="none" w:sz="0" w:space="0" w:color="auto"/>
            <w:insideV w:val="none" w:sz="0" w:space="0" w:color="auto"/>
          </w:tblBorders>
          <w:tblLook w:val="04A0"/>
        </w:tblPrEx>
        <w:trPr>
          <w:trHeight w:val="259"/>
        </w:trPr>
        <w:tc>
          <w:tcPr>
            <w:tcW w:w="7653" w:type="dxa"/>
            <w:tcBorders>
              <w:top w:val="nil"/>
            </w:tcBorders>
            <w:noWrap/>
            <w:vAlign w:val="bottom"/>
            <w:hideMark/>
          </w:tcPr>
          <w:p w:rsidR="004A7CEF" w:rsidRPr="00441A11" w:rsidP="00E17863" w14:paraId="2A6C9924" w14:textId="77777777">
            <w:pPr>
              <w:ind w:left="155"/>
              <w:rPr>
                <w:sz w:val="17"/>
                <w:szCs w:val="17"/>
              </w:rPr>
            </w:pPr>
            <w:bookmarkStart w:id="145" w:name="_Hlk88743949"/>
          </w:p>
        </w:tc>
        <w:tc>
          <w:tcPr>
            <w:tcW w:w="1685" w:type="dxa"/>
            <w:tcBorders>
              <w:top w:val="nil"/>
              <w:bottom w:val="single" w:sz="4" w:space="0" w:color="auto"/>
            </w:tcBorders>
            <w:noWrap/>
            <w:vAlign w:val="bottom"/>
            <w:hideMark/>
          </w:tcPr>
          <w:p w:rsidR="004A7CEF" w:rsidRPr="00441A11" w:rsidP="00D15DE1" w14:paraId="233BB114" w14:textId="033BC447">
            <w:pPr>
              <w:ind w:right="-60"/>
              <w:jc w:val="center"/>
              <w:rPr>
                <w:b/>
                <w:bCs/>
                <w:sz w:val="17"/>
                <w:szCs w:val="17"/>
              </w:rPr>
            </w:pPr>
            <w:r w:rsidRPr="00441A11">
              <w:rPr>
                <w:b/>
                <w:bCs/>
                <w:sz w:val="17"/>
                <w:szCs w:val="17"/>
              </w:rPr>
              <w:t>FY 2021</w:t>
            </w:r>
          </w:p>
        </w:tc>
        <w:tc>
          <w:tcPr>
            <w:tcW w:w="1691" w:type="dxa"/>
            <w:tcBorders>
              <w:top w:val="nil"/>
              <w:bottom w:val="single" w:sz="4" w:space="0" w:color="auto"/>
            </w:tcBorders>
            <w:noWrap/>
            <w:vAlign w:val="bottom"/>
            <w:hideMark/>
          </w:tcPr>
          <w:p w:rsidR="004A7CEF" w:rsidRPr="00441A11" w:rsidP="00D15DE1" w14:paraId="44050C2E" w14:textId="26E5777D">
            <w:pPr>
              <w:ind w:left="155" w:hanging="14"/>
              <w:jc w:val="center"/>
              <w:rPr>
                <w:b/>
                <w:bCs/>
                <w:sz w:val="17"/>
                <w:szCs w:val="17"/>
              </w:rPr>
            </w:pPr>
            <w:r w:rsidRPr="00441A11">
              <w:rPr>
                <w:b/>
                <w:bCs/>
                <w:sz w:val="17"/>
                <w:szCs w:val="17"/>
              </w:rPr>
              <w:t>FY 2020</w:t>
            </w:r>
          </w:p>
        </w:tc>
      </w:tr>
      <w:tr w14:paraId="0545621E" w14:textId="77777777" w:rsidTr="009033E5">
        <w:tblPrEx>
          <w:tblW w:w="5000" w:type="pct"/>
          <w:tblLook w:val="04A0"/>
        </w:tblPrEx>
        <w:trPr>
          <w:trHeight w:val="259"/>
        </w:trPr>
        <w:tc>
          <w:tcPr>
            <w:tcW w:w="7653" w:type="dxa"/>
            <w:noWrap/>
            <w:vAlign w:val="bottom"/>
            <w:hideMark/>
          </w:tcPr>
          <w:p w:rsidR="004A7CEF" w:rsidRPr="00441A11" w:rsidP="00AD143B" w14:paraId="74FB48E7" w14:textId="77777777">
            <w:pPr>
              <w:rPr>
                <w:b/>
                <w:bCs/>
                <w:sz w:val="17"/>
                <w:szCs w:val="17"/>
              </w:rPr>
            </w:pPr>
            <w:r w:rsidRPr="00441A11">
              <w:rPr>
                <w:b/>
                <w:bCs/>
                <w:sz w:val="17"/>
                <w:szCs w:val="17"/>
              </w:rPr>
              <w:t>Assets (Note 2):</w:t>
            </w:r>
          </w:p>
        </w:tc>
        <w:tc>
          <w:tcPr>
            <w:tcW w:w="1685" w:type="dxa"/>
            <w:tcBorders>
              <w:top w:val="single" w:sz="4" w:space="0" w:color="auto"/>
            </w:tcBorders>
            <w:noWrap/>
            <w:vAlign w:val="bottom"/>
            <w:hideMark/>
          </w:tcPr>
          <w:p w:rsidR="004A7CEF" w:rsidRPr="00441A11" w:rsidP="00AD143B" w14:paraId="6728ABF8" w14:textId="46848471">
            <w:pPr>
              <w:ind w:right="-60"/>
              <w:jc w:val="right"/>
              <w:rPr>
                <w:b/>
                <w:bCs/>
                <w:sz w:val="17"/>
                <w:szCs w:val="17"/>
              </w:rPr>
            </w:pPr>
          </w:p>
        </w:tc>
        <w:tc>
          <w:tcPr>
            <w:tcW w:w="1691" w:type="dxa"/>
            <w:tcBorders>
              <w:top w:val="single" w:sz="4" w:space="0" w:color="auto"/>
            </w:tcBorders>
            <w:noWrap/>
            <w:vAlign w:val="bottom"/>
            <w:hideMark/>
          </w:tcPr>
          <w:p w:rsidR="004A7CEF" w:rsidRPr="00441A11" w:rsidP="00AD143B" w14:paraId="1E5A3238" w14:textId="0FD16CC5">
            <w:pPr>
              <w:ind w:left="155"/>
              <w:jc w:val="right"/>
              <w:rPr>
                <w:sz w:val="17"/>
                <w:szCs w:val="17"/>
              </w:rPr>
            </w:pPr>
          </w:p>
        </w:tc>
      </w:tr>
      <w:tr w14:paraId="47652141" w14:textId="77777777" w:rsidTr="009033E5">
        <w:tblPrEx>
          <w:tblW w:w="5000" w:type="pct"/>
          <w:tblLook w:val="04A0"/>
        </w:tblPrEx>
        <w:trPr>
          <w:trHeight w:val="259"/>
        </w:trPr>
        <w:tc>
          <w:tcPr>
            <w:tcW w:w="7653" w:type="dxa"/>
            <w:noWrap/>
            <w:vAlign w:val="bottom"/>
            <w:hideMark/>
          </w:tcPr>
          <w:p w:rsidR="004A7CEF" w:rsidRPr="00441A11" w:rsidP="00AD143B" w14:paraId="51D1CF38" w14:textId="77777777">
            <w:pPr>
              <w:ind w:firstLine="170" w:firstLineChars="100"/>
              <w:rPr>
                <w:b/>
                <w:bCs/>
                <w:sz w:val="17"/>
                <w:szCs w:val="17"/>
              </w:rPr>
            </w:pPr>
            <w:r w:rsidRPr="00441A11">
              <w:rPr>
                <w:b/>
                <w:bCs/>
                <w:sz w:val="17"/>
                <w:szCs w:val="17"/>
              </w:rPr>
              <w:t>Intragovernmental:</w:t>
            </w:r>
          </w:p>
        </w:tc>
        <w:tc>
          <w:tcPr>
            <w:tcW w:w="1685" w:type="dxa"/>
            <w:noWrap/>
            <w:vAlign w:val="bottom"/>
            <w:hideMark/>
          </w:tcPr>
          <w:p w:rsidR="004A7CEF" w:rsidRPr="00441A11" w:rsidP="00AD143B" w14:paraId="79078BA1" w14:textId="64D9BA6A">
            <w:pPr>
              <w:ind w:right="-60"/>
              <w:jc w:val="right"/>
              <w:rPr>
                <w:sz w:val="17"/>
                <w:szCs w:val="17"/>
              </w:rPr>
            </w:pPr>
          </w:p>
        </w:tc>
        <w:tc>
          <w:tcPr>
            <w:tcW w:w="1691" w:type="dxa"/>
            <w:noWrap/>
            <w:vAlign w:val="bottom"/>
            <w:hideMark/>
          </w:tcPr>
          <w:p w:rsidR="004A7CEF" w:rsidRPr="00441A11" w:rsidP="00AD143B" w14:paraId="31849C18" w14:textId="7046897F">
            <w:pPr>
              <w:ind w:left="155"/>
              <w:jc w:val="right"/>
              <w:rPr>
                <w:sz w:val="17"/>
                <w:szCs w:val="17"/>
              </w:rPr>
            </w:pPr>
          </w:p>
        </w:tc>
      </w:tr>
      <w:tr w14:paraId="092C13BB" w14:textId="77777777" w:rsidTr="009033E5">
        <w:tblPrEx>
          <w:tblW w:w="5000" w:type="pct"/>
          <w:tblLook w:val="04A0"/>
        </w:tblPrEx>
        <w:trPr>
          <w:trHeight w:val="259"/>
        </w:trPr>
        <w:tc>
          <w:tcPr>
            <w:tcW w:w="7653" w:type="dxa"/>
            <w:noWrap/>
            <w:vAlign w:val="bottom"/>
            <w:hideMark/>
          </w:tcPr>
          <w:p w:rsidR="004A7CEF" w:rsidRPr="00441A11" w:rsidP="00AD143B" w14:paraId="0DB9A0F8" w14:textId="77777777">
            <w:pPr>
              <w:ind w:firstLine="340" w:firstLineChars="200"/>
              <w:rPr>
                <w:sz w:val="17"/>
                <w:szCs w:val="17"/>
              </w:rPr>
            </w:pPr>
            <w:r w:rsidRPr="00441A11">
              <w:rPr>
                <w:sz w:val="17"/>
                <w:szCs w:val="17"/>
              </w:rPr>
              <w:t>Fund Balance with Treasury (Note 3)</w:t>
            </w:r>
          </w:p>
        </w:tc>
        <w:tc>
          <w:tcPr>
            <w:tcW w:w="1685" w:type="dxa"/>
            <w:noWrap/>
            <w:vAlign w:val="bottom"/>
            <w:hideMark/>
          </w:tcPr>
          <w:p w:rsidR="004A7CEF" w:rsidRPr="00441A11" w:rsidP="00AD143B" w14:paraId="25610238" w14:textId="14C63CF0">
            <w:pPr>
              <w:ind w:right="-60"/>
              <w:jc w:val="right"/>
              <w:rPr>
                <w:sz w:val="17"/>
                <w:szCs w:val="17"/>
              </w:rPr>
            </w:pPr>
            <w:r w:rsidRPr="00441A11">
              <w:rPr>
                <w:sz w:val="17"/>
                <w:szCs w:val="17"/>
              </w:rPr>
              <w:t>$</w:t>
            </w:r>
            <w:r w:rsidR="003B09BD">
              <w:rPr>
                <w:sz w:val="17"/>
                <w:szCs w:val="17"/>
              </w:rPr>
              <w:t xml:space="preserve">        </w:t>
            </w:r>
            <w:r w:rsidRPr="00441A11">
              <w:rPr>
                <w:sz w:val="17"/>
                <w:szCs w:val="17"/>
              </w:rPr>
              <w:t>105,212,774</w:t>
            </w:r>
          </w:p>
        </w:tc>
        <w:tc>
          <w:tcPr>
            <w:tcW w:w="1691" w:type="dxa"/>
            <w:noWrap/>
            <w:vAlign w:val="bottom"/>
            <w:hideMark/>
          </w:tcPr>
          <w:p w:rsidR="004A7CEF" w:rsidRPr="00441A11" w:rsidP="00472D8D" w14:paraId="159ED3B2" w14:textId="3ACA55C8">
            <w:pPr>
              <w:jc w:val="right"/>
              <w:rPr>
                <w:sz w:val="17"/>
                <w:szCs w:val="17"/>
              </w:rPr>
            </w:pPr>
            <w:r w:rsidRPr="00441A11">
              <w:rPr>
                <w:sz w:val="17"/>
                <w:szCs w:val="17"/>
              </w:rPr>
              <w:t>$</w:t>
            </w:r>
            <w:r>
              <w:rPr>
                <w:sz w:val="17"/>
                <w:szCs w:val="17"/>
              </w:rPr>
              <w:t xml:space="preserve"> </w:t>
            </w:r>
            <w:r w:rsidR="00472D8D">
              <w:rPr>
                <w:sz w:val="17"/>
                <w:szCs w:val="17"/>
              </w:rPr>
              <w:t xml:space="preserve">  </w:t>
            </w:r>
            <w:r w:rsidRPr="00441A11">
              <w:rPr>
                <w:sz w:val="17"/>
                <w:szCs w:val="17"/>
              </w:rPr>
              <w:t xml:space="preserve"> </w:t>
            </w:r>
            <w:r>
              <w:rPr>
                <w:sz w:val="17"/>
                <w:szCs w:val="17"/>
              </w:rPr>
              <w:t xml:space="preserve">   </w:t>
            </w:r>
            <w:r w:rsidRPr="00441A11">
              <w:rPr>
                <w:sz w:val="17"/>
                <w:szCs w:val="17"/>
              </w:rPr>
              <w:t>18,787,296</w:t>
            </w:r>
          </w:p>
        </w:tc>
      </w:tr>
      <w:tr w14:paraId="0435D507" w14:textId="77777777" w:rsidTr="009033E5">
        <w:tblPrEx>
          <w:tblW w:w="5000" w:type="pct"/>
          <w:tblLook w:val="04A0"/>
        </w:tblPrEx>
        <w:trPr>
          <w:trHeight w:val="259"/>
        </w:trPr>
        <w:tc>
          <w:tcPr>
            <w:tcW w:w="7653" w:type="dxa"/>
            <w:noWrap/>
            <w:vAlign w:val="bottom"/>
            <w:hideMark/>
          </w:tcPr>
          <w:p w:rsidR="004A7CEF" w:rsidRPr="00441A11" w:rsidP="00AD143B" w14:paraId="7AFDAC05" w14:textId="77777777">
            <w:pPr>
              <w:ind w:firstLine="340" w:firstLineChars="200"/>
              <w:rPr>
                <w:sz w:val="17"/>
                <w:szCs w:val="17"/>
              </w:rPr>
            </w:pPr>
            <w:r w:rsidRPr="00441A11">
              <w:rPr>
                <w:sz w:val="17"/>
                <w:szCs w:val="17"/>
              </w:rPr>
              <w:t>Accounts receivable, net (Note 4)</w:t>
            </w:r>
          </w:p>
        </w:tc>
        <w:tc>
          <w:tcPr>
            <w:tcW w:w="1685" w:type="dxa"/>
            <w:noWrap/>
            <w:vAlign w:val="bottom"/>
            <w:hideMark/>
          </w:tcPr>
          <w:p w:rsidR="004A7CEF" w:rsidRPr="00441A11" w:rsidP="00AD143B" w14:paraId="70BD39C5" w14:textId="1DB487C4">
            <w:pPr>
              <w:ind w:right="-60"/>
              <w:jc w:val="right"/>
              <w:rPr>
                <w:sz w:val="17"/>
                <w:szCs w:val="17"/>
              </w:rPr>
            </w:pPr>
            <w:r w:rsidRPr="00441A11">
              <w:rPr>
                <w:sz w:val="17"/>
                <w:szCs w:val="17"/>
              </w:rPr>
              <w:t>361</w:t>
            </w:r>
          </w:p>
        </w:tc>
        <w:tc>
          <w:tcPr>
            <w:tcW w:w="1691" w:type="dxa"/>
            <w:noWrap/>
            <w:vAlign w:val="bottom"/>
            <w:hideMark/>
          </w:tcPr>
          <w:p w:rsidR="004A7CEF" w:rsidRPr="00441A11" w:rsidP="00472D8D" w14:paraId="265E2172" w14:textId="61429541">
            <w:pPr>
              <w:jc w:val="right"/>
              <w:rPr>
                <w:sz w:val="17"/>
                <w:szCs w:val="17"/>
              </w:rPr>
            </w:pPr>
            <w:r w:rsidRPr="00441A11">
              <w:rPr>
                <w:sz w:val="17"/>
                <w:szCs w:val="17"/>
              </w:rPr>
              <w:t>439</w:t>
            </w:r>
          </w:p>
        </w:tc>
      </w:tr>
      <w:tr w14:paraId="7C438A86" w14:textId="77777777" w:rsidTr="009033E5">
        <w:tblPrEx>
          <w:tblW w:w="5000" w:type="pct"/>
          <w:tblLook w:val="04A0"/>
        </w:tblPrEx>
        <w:trPr>
          <w:trHeight w:val="259"/>
        </w:trPr>
        <w:tc>
          <w:tcPr>
            <w:tcW w:w="7653" w:type="dxa"/>
            <w:noWrap/>
            <w:vAlign w:val="bottom"/>
            <w:hideMark/>
          </w:tcPr>
          <w:p w:rsidR="004A7CEF" w:rsidRPr="00441A11" w:rsidP="00AD143B" w14:paraId="203A3361" w14:textId="77777777">
            <w:pPr>
              <w:ind w:firstLine="340" w:firstLineChars="200"/>
              <w:rPr>
                <w:sz w:val="17"/>
                <w:szCs w:val="17"/>
              </w:rPr>
            </w:pPr>
            <w:r w:rsidRPr="00441A11">
              <w:rPr>
                <w:sz w:val="17"/>
                <w:szCs w:val="17"/>
              </w:rPr>
              <w:t>Advances and prepayments</w:t>
            </w:r>
          </w:p>
        </w:tc>
        <w:tc>
          <w:tcPr>
            <w:tcW w:w="1685" w:type="dxa"/>
            <w:tcBorders>
              <w:bottom w:val="single" w:sz="4" w:space="0" w:color="auto"/>
            </w:tcBorders>
            <w:noWrap/>
            <w:vAlign w:val="bottom"/>
            <w:hideMark/>
          </w:tcPr>
          <w:p w:rsidR="004A7CEF" w:rsidRPr="00441A11" w:rsidP="00AD143B" w14:paraId="73D1CECD" w14:textId="227F18DB">
            <w:pPr>
              <w:ind w:right="-60"/>
              <w:jc w:val="right"/>
              <w:rPr>
                <w:sz w:val="17"/>
                <w:szCs w:val="17"/>
              </w:rPr>
            </w:pPr>
            <w:r w:rsidRPr="00441A11">
              <w:rPr>
                <w:sz w:val="17"/>
                <w:szCs w:val="17"/>
              </w:rPr>
              <w:t xml:space="preserve"> 1,639</w:t>
            </w:r>
          </w:p>
        </w:tc>
        <w:tc>
          <w:tcPr>
            <w:tcW w:w="1691" w:type="dxa"/>
            <w:tcBorders>
              <w:bottom w:val="single" w:sz="4" w:space="0" w:color="auto"/>
            </w:tcBorders>
            <w:noWrap/>
            <w:vAlign w:val="bottom"/>
            <w:hideMark/>
          </w:tcPr>
          <w:p w:rsidR="004A7CEF" w:rsidRPr="00441A11" w:rsidP="00472D8D" w14:paraId="52F78203" w14:textId="5264BAD9">
            <w:pPr>
              <w:jc w:val="right"/>
              <w:rPr>
                <w:sz w:val="17"/>
                <w:szCs w:val="17"/>
              </w:rPr>
            </w:pPr>
            <w:r w:rsidRPr="00441A11">
              <w:rPr>
                <w:sz w:val="17"/>
                <w:szCs w:val="17"/>
              </w:rPr>
              <w:t>2,863</w:t>
            </w:r>
          </w:p>
        </w:tc>
      </w:tr>
      <w:tr w14:paraId="7E346E7E" w14:textId="77777777" w:rsidTr="009033E5">
        <w:tblPrEx>
          <w:tblW w:w="5000" w:type="pct"/>
          <w:tblLook w:val="04A0"/>
        </w:tblPrEx>
        <w:trPr>
          <w:trHeight w:val="259"/>
        </w:trPr>
        <w:tc>
          <w:tcPr>
            <w:tcW w:w="7653" w:type="dxa"/>
            <w:noWrap/>
            <w:vAlign w:val="bottom"/>
            <w:hideMark/>
          </w:tcPr>
          <w:p w:rsidR="004A7CEF" w:rsidRPr="00441A11" w:rsidP="00AD143B" w14:paraId="462623ED" w14:textId="77777777">
            <w:pPr>
              <w:ind w:firstLine="170" w:firstLineChars="100"/>
              <w:rPr>
                <w:b/>
                <w:bCs/>
                <w:sz w:val="17"/>
                <w:szCs w:val="17"/>
              </w:rPr>
            </w:pPr>
            <w:r w:rsidRPr="00441A11">
              <w:rPr>
                <w:b/>
                <w:bCs/>
                <w:sz w:val="17"/>
                <w:szCs w:val="17"/>
              </w:rPr>
              <w:t>Total intragovernmental</w:t>
            </w:r>
          </w:p>
        </w:tc>
        <w:tc>
          <w:tcPr>
            <w:tcW w:w="1685" w:type="dxa"/>
            <w:tcBorders>
              <w:top w:val="single" w:sz="4" w:space="0" w:color="auto"/>
              <w:bottom w:val="double" w:sz="4" w:space="0" w:color="auto"/>
            </w:tcBorders>
            <w:noWrap/>
            <w:vAlign w:val="bottom"/>
            <w:hideMark/>
          </w:tcPr>
          <w:p w:rsidR="004A7CEF" w:rsidRPr="00441A11" w:rsidP="00AD143B" w14:paraId="403D0EA5" w14:textId="1234E122">
            <w:pPr>
              <w:ind w:right="-60"/>
              <w:jc w:val="right"/>
              <w:rPr>
                <w:sz w:val="17"/>
                <w:szCs w:val="17"/>
              </w:rPr>
            </w:pPr>
            <w:r w:rsidRPr="00441A11">
              <w:rPr>
                <w:sz w:val="17"/>
                <w:szCs w:val="17"/>
              </w:rPr>
              <w:t>105,214,774</w:t>
            </w:r>
          </w:p>
        </w:tc>
        <w:tc>
          <w:tcPr>
            <w:tcW w:w="1691" w:type="dxa"/>
            <w:tcBorders>
              <w:top w:val="single" w:sz="4" w:space="0" w:color="auto"/>
              <w:bottom w:val="double" w:sz="4" w:space="0" w:color="auto"/>
            </w:tcBorders>
            <w:noWrap/>
            <w:vAlign w:val="bottom"/>
            <w:hideMark/>
          </w:tcPr>
          <w:p w:rsidR="004A7CEF" w:rsidRPr="00441A11" w:rsidP="00472D8D" w14:paraId="016797BA" w14:textId="7D6107AC">
            <w:pPr>
              <w:jc w:val="right"/>
              <w:rPr>
                <w:sz w:val="17"/>
                <w:szCs w:val="17"/>
              </w:rPr>
            </w:pPr>
            <w:r w:rsidRPr="00441A11">
              <w:rPr>
                <w:sz w:val="17"/>
                <w:szCs w:val="17"/>
              </w:rPr>
              <w:t>18,790,598</w:t>
            </w:r>
          </w:p>
        </w:tc>
      </w:tr>
      <w:tr w14:paraId="2709B9DF" w14:textId="77777777" w:rsidTr="009033E5">
        <w:tblPrEx>
          <w:tblW w:w="5000" w:type="pct"/>
          <w:tblLook w:val="04A0"/>
        </w:tblPrEx>
        <w:trPr>
          <w:trHeight w:val="259"/>
        </w:trPr>
        <w:tc>
          <w:tcPr>
            <w:tcW w:w="7653" w:type="dxa"/>
            <w:noWrap/>
            <w:vAlign w:val="bottom"/>
            <w:hideMark/>
          </w:tcPr>
          <w:p w:rsidR="004A7CEF" w:rsidRPr="00441A11" w:rsidP="00AD143B" w14:paraId="3C7FD342" w14:textId="77777777">
            <w:pPr>
              <w:ind w:firstLine="170" w:firstLineChars="100"/>
              <w:rPr>
                <w:b/>
                <w:bCs/>
                <w:sz w:val="17"/>
                <w:szCs w:val="17"/>
              </w:rPr>
            </w:pPr>
            <w:r w:rsidRPr="00441A11">
              <w:rPr>
                <w:b/>
                <w:bCs/>
                <w:sz w:val="17"/>
                <w:szCs w:val="17"/>
              </w:rPr>
              <w:t>With the Public:</w:t>
            </w:r>
          </w:p>
        </w:tc>
        <w:tc>
          <w:tcPr>
            <w:tcW w:w="1685" w:type="dxa"/>
            <w:tcBorders>
              <w:top w:val="double" w:sz="4" w:space="0" w:color="auto"/>
            </w:tcBorders>
            <w:noWrap/>
            <w:vAlign w:val="bottom"/>
            <w:hideMark/>
          </w:tcPr>
          <w:p w:rsidR="004A7CEF" w:rsidRPr="00441A11" w:rsidP="00AD143B" w14:paraId="0ED8572F" w14:textId="5D15B55C">
            <w:pPr>
              <w:ind w:right="-60"/>
              <w:jc w:val="right"/>
              <w:rPr>
                <w:sz w:val="17"/>
                <w:szCs w:val="17"/>
              </w:rPr>
            </w:pPr>
          </w:p>
        </w:tc>
        <w:tc>
          <w:tcPr>
            <w:tcW w:w="1691" w:type="dxa"/>
            <w:tcBorders>
              <w:top w:val="double" w:sz="4" w:space="0" w:color="auto"/>
            </w:tcBorders>
            <w:noWrap/>
            <w:vAlign w:val="bottom"/>
            <w:hideMark/>
          </w:tcPr>
          <w:p w:rsidR="004A7CEF" w:rsidRPr="00441A11" w:rsidP="00472D8D" w14:paraId="1C954F23" w14:textId="24DB7DBD">
            <w:pPr>
              <w:jc w:val="right"/>
              <w:rPr>
                <w:sz w:val="17"/>
                <w:szCs w:val="17"/>
              </w:rPr>
            </w:pPr>
          </w:p>
        </w:tc>
      </w:tr>
      <w:tr w14:paraId="5CB3148B" w14:textId="77777777" w:rsidTr="009033E5">
        <w:tblPrEx>
          <w:tblW w:w="5000" w:type="pct"/>
          <w:tblLook w:val="04A0"/>
        </w:tblPrEx>
        <w:trPr>
          <w:trHeight w:val="259"/>
        </w:trPr>
        <w:tc>
          <w:tcPr>
            <w:tcW w:w="7653" w:type="dxa"/>
            <w:noWrap/>
            <w:vAlign w:val="bottom"/>
            <w:hideMark/>
          </w:tcPr>
          <w:p w:rsidR="004A7CEF" w:rsidRPr="00441A11" w:rsidP="00AD143B" w14:paraId="3B2C76C8" w14:textId="77777777">
            <w:pPr>
              <w:ind w:firstLine="170" w:firstLineChars="100"/>
              <w:rPr>
                <w:sz w:val="17"/>
                <w:szCs w:val="17"/>
              </w:rPr>
            </w:pPr>
            <w:r w:rsidRPr="00441A11">
              <w:rPr>
                <w:sz w:val="17"/>
                <w:szCs w:val="17"/>
              </w:rPr>
              <w:t>Accounts receivable, net (Note 4)</w:t>
            </w:r>
          </w:p>
        </w:tc>
        <w:tc>
          <w:tcPr>
            <w:tcW w:w="1685" w:type="dxa"/>
            <w:noWrap/>
            <w:vAlign w:val="bottom"/>
            <w:hideMark/>
          </w:tcPr>
          <w:p w:rsidR="004A7CEF" w:rsidRPr="00441A11" w:rsidP="00AD143B" w14:paraId="33D5972C" w14:textId="5F5A57CF">
            <w:pPr>
              <w:ind w:right="-60"/>
              <w:jc w:val="right"/>
              <w:rPr>
                <w:sz w:val="17"/>
                <w:szCs w:val="17"/>
              </w:rPr>
            </w:pPr>
            <w:r w:rsidRPr="00441A11">
              <w:rPr>
                <w:sz w:val="17"/>
                <w:szCs w:val="17"/>
              </w:rPr>
              <w:t>823,087</w:t>
            </w:r>
          </w:p>
        </w:tc>
        <w:tc>
          <w:tcPr>
            <w:tcW w:w="1691" w:type="dxa"/>
            <w:noWrap/>
            <w:vAlign w:val="bottom"/>
            <w:hideMark/>
          </w:tcPr>
          <w:p w:rsidR="004A7CEF" w:rsidRPr="00441A11" w:rsidP="00472D8D" w14:paraId="24153586" w14:textId="27E7788B">
            <w:pPr>
              <w:jc w:val="right"/>
              <w:rPr>
                <w:sz w:val="17"/>
                <w:szCs w:val="17"/>
              </w:rPr>
            </w:pPr>
            <w:r w:rsidRPr="00441A11">
              <w:rPr>
                <w:sz w:val="17"/>
                <w:szCs w:val="17"/>
              </w:rPr>
              <w:t>788,501</w:t>
            </w:r>
          </w:p>
        </w:tc>
      </w:tr>
      <w:tr w14:paraId="3FADC071" w14:textId="77777777" w:rsidTr="009033E5">
        <w:tblPrEx>
          <w:tblW w:w="5000" w:type="pct"/>
          <w:tblLook w:val="04A0"/>
        </w:tblPrEx>
        <w:trPr>
          <w:trHeight w:val="259"/>
        </w:trPr>
        <w:tc>
          <w:tcPr>
            <w:tcW w:w="7653" w:type="dxa"/>
            <w:noWrap/>
            <w:vAlign w:val="bottom"/>
            <w:hideMark/>
          </w:tcPr>
          <w:p w:rsidR="004A7CEF" w:rsidRPr="00441A11" w:rsidP="00AD143B" w14:paraId="5D28018B" w14:textId="77777777">
            <w:pPr>
              <w:ind w:firstLine="170" w:firstLineChars="100"/>
              <w:rPr>
                <w:sz w:val="17"/>
                <w:szCs w:val="17"/>
              </w:rPr>
            </w:pPr>
            <w:r w:rsidRPr="00441A11">
              <w:rPr>
                <w:sz w:val="17"/>
                <w:szCs w:val="17"/>
              </w:rPr>
              <w:t>General property, plant and equipment, net (Note 5)</w:t>
            </w:r>
          </w:p>
        </w:tc>
        <w:tc>
          <w:tcPr>
            <w:tcW w:w="1685" w:type="dxa"/>
            <w:noWrap/>
            <w:vAlign w:val="bottom"/>
            <w:hideMark/>
          </w:tcPr>
          <w:p w:rsidR="004A7CEF" w:rsidRPr="00441A11" w:rsidP="00AD143B" w14:paraId="62D024A9" w14:textId="1A221A17">
            <w:pPr>
              <w:ind w:right="-60"/>
              <w:jc w:val="right"/>
              <w:rPr>
                <w:sz w:val="17"/>
                <w:szCs w:val="17"/>
              </w:rPr>
            </w:pPr>
            <w:r w:rsidRPr="00441A11">
              <w:rPr>
                <w:sz w:val="17"/>
                <w:szCs w:val="17"/>
              </w:rPr>
              <w:t>84,202</w:t>
            </w:r>
          </w:p>
        </w:tc>
        <w:tc>
          <w:tcPr>
            <w:tcW w:w="1691" w:type="dxa"/>
            <w:noWrap/>
            <w:vAlign w:val="bottom"/>
            <w:hideMark/>
          </w:tcPr>
          <w:p w:rsidR="004A7CEF" w:rsidRPr="00441A11" w:rsidP="00472D8D" w14:paraId="661B4833" w14:textId="2B0912CF">
            <w:pPr>
              <w:jc w:val="right"/>
              <w:rPr>
                <w:sz w:val="17"/>
                <w:szCs w:val="17"/>
              </w:rPr>
            </w:pPr>
            <w:r w:rsidRPr="00441A11">
              <w:rPr>
                <w:sz w:val="17"/>
                <w:szCs w:val="17"/>
              </w:rPr>
              <w:t>79,878</w:t>
            </w:r>
          </w:p>
        </w:tc>
      </w:tr>
      <w:tr w14:paraId="486DB7DA" w14:textId="77777777" w:rsidTr="009033E5">
        <w:tblPrEx>
          <w:tblW w:w="5000" w:type="pct"/>
          <w:tblLook w:val="04A0"/>
        </w:tblPrEx>
        <w:trPr>
          <w:trHeight w:val="259"/>
        </w:trPr>
        <w:tc>
          <w:tcPr>
            <w:tcW w:w="7653" w:type="dxa"/>
            <w:noWrap/>
            <w:vAlign w:val="bottom"/>
            <w:hideMark/>
          </w:tcPr>
          <w:p w:rsidR="004A7CEF" w:rsidRPr="00441A11" w:rsidP="00AD143B" w14:paraId="07BC88D2" w14:textId="77777777">
            <w:pPr>
              <w:ind w:firstLine="170" w:firstLineChars="100"/>
              <w:rPr>
                <w:sz w:val="17"/>
                <w:szCs w:val="17"/>
              </w:rPr>
            </w:pPr>
            <w:r w:rsidRPr="00441A11">
              <w:rPr>
                <w:sz w:val="17"/>
                <w:szCs w:val="17"/>
              </w:rPr>
              <w:t>Advances and prepayments</w:t>
            </w:r>
          </w:p>
        </w:tc>
        <w:tc>
          <w:tcPr>
            <w:tcW w:w="1685" w:type="dxa"/>
            <w:tcBorders>
              <w:bottom w:val="single" w:sz="4" w:space="0" w:color="auto"/>
            </w:tcBorders>
            <w:noWrap/>
            <w:vAlign w:val="bottom"/>
            <w:hideMark/>
          </w:tcPr>
          <w:p w:rsidR="004A7CEF" w:rsidRPr="00441A11" w:rsidP="00AD143B" w14:paraId="66D984A1" w14:textId="50C7C01E">
            <w:pPr>
              <w:ind w:right="-60"/>
              <w:jc w:val="right"/>
              <w:rPr>
                <w:sz w:val="17"/>
                <w:szCs w:val="17"/>
              </w:rPr>
            </w:pPr>
            <w:r w:rsidRPr="00441A11">
              <w:rPr>
                <w:sz w:val="17"/>
                <w:szCs w:val="17"/>
              </w:rPr>
              <w:t>18,024</w:t>
            </w:r>
          </w:p>
        </w:tc>
        <w:tc>
          <w:tcPr>
            <w:tcW w:w="1691" w:type="dxa"/>
            <w:tcBorders>
              <w:bottom w:val="single" w:sz="4" w:space="0" w:color="auto"/>
            </w:tcBorders>
            <w:noWrap/>
            <w:vAlign w:val="bottom"/>
            <w:hideMark/>
          </w:tcPr>
          <w:p w:rsidR="004A7CEF" w:rsidRPr="00441A11" w:rsidP="00472D8D" w14:paraId="41C1F200" w14:textId="1623612C">
            <w:pPr>
              <w:jc w:val="right"/>
              <w:rPr>
                <w:sz w:val="17"/>
                <w:szCs w:val="17"/>
              </w:rPr>
            </w:pPr>
            <w:r w:rsidRPr="00441A11">
              <w:rPr>
                <w:sz w:val="17"/>
                <w:szCs w:val="17"/>
              </w:rPr>
              <w:t xml:space="preserve">18,024 </w:t>
            </w:r>
          </w:p>
        </w:tc>
      </w:tr>
      <w:tr w14:paraId="5596172F" w14:textId="77777777" w:rsidTr="009033E5">
        <w:tblPrEx>
          <w:tblW w:w="5000" w:type="pct"/>
          <w:tblLook w:val="04A0"/>
        </w:tblPrEx>
        <w:trPr>
          <w:trHeight w:val="259"/>
        </w:trPr>
        <w:tc>
          <w:tcPr>
            <w:tcW w:w="7653" w:type="dxa"/>
            <w:noWrap/>
            <w:vAlign w:val="bottom"/>
            <w:hideMark/>
          </w:tcPr>
          <w:p w:rsidR="004A7CEF" w:rsidRPr="00441A11" w:rsidP="00AD143B" w14:paraId="3432F578" w14:textId="77777777">
            <w:pPr>
              <w:ind w:firstLine="170" w:firstLineChars="100"/>
              <w:rPr>
                <w:b/>
                <w:bCs/>
                <w:sz w:val="17"/>
                <w:szCs w:val="17"/>
              </w:rPr>
            </w:pPr>
            <w:r w:rsidRPr="00441A11">
              <w:rPr>
                <w:b/>
                <w:bCs/>
                <w:sz w:val="17"/>
                <w:szCs w:val="17"/>
              </w:rPr>
              <w:t>Total with the public</w:t>
            </w:r>
          </w:p>
        </w:tc>
        <w:tc>
          <w:tcPr>
            <w:tcW w:w="1685" w:type="dxa"/>
            <w:tcBorders>
              <w:top w:val="single" w:sz="4" w:space="0" w:color="auto"/>
              <w:bottom w:val="single" w:sz="4" w:space="0" w:color="auto"/>
            </w:tcBorders>
            <w:noWrap/>
            <w:vAlign w:val="bottom"/>
            <w:hideMark/>
          </w:tcPr>
          <w:p w:rsidR="004A7CEF" w:rsidRPr="00441A11" w:rsidP="00AD143B" w14:paraId="21FFDD2E" w14:textId="1FDF3382">
            <w:pPr>
              <w:ind w:right="-60"/>
              <w:jc w:val="right"/>
              <w:rPr>
                <w:sz w:val="17"/>
                <w:szCs w:val="17"/>
              </w:rPr>
            </w:pPr>
            <w:r w:rsidRPr="00441A11">
              <w:rPr>
                <w:sz w:val="17"/>
                <w:szCs w:val="17"/>
              </w:rPr>
              <w:t>925,313</w:t>
            </w:r>
          </w:p>
        </w:tc>
        <w:tc>
          <w:tcPr>
            <w:tcW w:w="1691" w:type="dxa"/>
            <w:tcBorders>
              <w:top w:val="single" w:sz="4" w:space="0" w:color="auto"/>
              <w:bottom w:val="single" w:sz="4" w:space="0" w:color="auto"/>
            </w:tcBorders>
            <w:noWrap/>
            <w:vAlign w:val="bottom"/>
            <w:hideMark/>
          </w:tcPr>
          <w:p w:rsidR="004A7CEF" w:rsidRPr="00441A11" w:rsidP="00472D8D" w14:paraId="6FD4E65B" w14:textId="6653A3E2">
            <w:pPr>
              <w:jc w:val="right"/>
              <w:rPr>
                <w:sz w:val="17"/>
                <w:szCs w:val="17"/>
              </w:rPr>
            </w:pPr>
            <w:r w:rsidRPr="00441A11">
              <w:rPr>
                <w:sz w:val="17"/>
                <w:szCs w:val="17"/>
              </w:rPr>
              <w:t xml:space="preserve">886,403 </w:t>
            </w:r>
          </w:p>
        </w:tc>
      </w:tr>
      <w:tr w14:paraId="0051C6EF" w14:textId="77777777" w:rsidTr="009033E5">
        <w:tblPrEx>
          <w:tblW w:w="5000" w:type="pct"/>
          <w:tblLook w:val="04A0"/>
        </w:tblPrEx>
        <w:trPr>
          <w:trHeight w:val="259"/>
        </w:trPr>
        <w:tc>
          <w:tcPr>
            <w:tcW w:w="7653" w:type="dxa"/>
            <w:noWrap/>
            <w:vAlign w:val="bottom"/>
            <w:hideMark/>
          </w:tcPr>
          <w:p w:rsidR="004A7CEF" w:rsidRPr="00441A11" w:rsidP="00AD143B" w14:paraId="7A045617" w14:textId="77777777">
            <w:pPr>
              <w:rPr>
                <w:b/>
                <w:bCs/>
                <w:sz w:val="17"/>
                <w:szCs w:val="17"/>
              </w:rPr>
            </w:pPr>
            <w:r w:rsidRPr="00441A11">
              <w:rPr>
                <w:b/>
                <w:bCs/>
                <w:sz w:val="17"/>
                <w:szCs w:val="17"/>
              </w:rPr>
              <w:t>Total assets</w:t>
            </w:r>
          </w:p>
        </w:tc>
        <w:tc>
          <w:tcPr>
            <w:tcW w:w="1685" w:type="dxa"/>
            <w:tcBorders>
              <w:top w:val="single" w:sz="4" w:space="0" w:color="auto"/>
              <w:bottom w:val="double" w:sz="4" w:space="0" w:color="auto"/>
            </w:tcBorders>
            <w:noWrap/>
            <w:vAlign w:val="bottom"/>
            <w:hideMark/>
          </w:tcPr>
          <w:p w:rsidR="004A7CEF" w:rsidRPr="00441A11" w:rsidP="00AD143B" w14:paraId="13679F67" w14:textId="2007D521">
            <w:pPr>
              <w:ind w:right="-60"/>
              <w:jc w:val="right"/>
              <w:rPr>
                <w:sz w:val="17"/>
                <w:szCs w:val="17"/>
              </w:rPr>
            </w:pPr>
            <w:r w:rsidRPr="00441A11">
              <w:rPr>
                <w:sz w:val="17"/>
                <w:szCs w:val="17"/>
              </w:rPr>
              <w:t>$</w:t>
            </w:r>
            <w:r w:rsidR="003B09BD">
              <w:rPr>
                <w:sz w:val="17"/>
                <w:szCs w:val="17"/>
              </w:rPr>
              <w:t xml:space="preserve">        </w:t>
            </w:r>
            <w:r w:rsidRPr="00441A11">
              <w:rPr>
                <w:sz w:val="17"/>
                <w:szCs w:val="17"/>
              </w:rPr>
              <w:t>106,140,087</w:t>
            </w:r>
          </w:p>
        </w:tc>
        <w:tc>
          <w:tcPr>
            <w:tcW w:w="1691" w:type="dxa"/>
            <w:tcBorders>
              <w:top w:val="single" w:sz="4" w:space="0" w:color="auto"/>
              <w:bottom w:val="double" w:sz="4" w:space="0" w:color="auto"/>
            </w:tcBorders>
            <w:noWrap/>
            <w:vAlign w:val="bottom"/>
            <w:hideMark/>
          </w:tcPr>
          <w:p w:rsidR="004A7CEF" w:rsidRPr="00441A11" w:rsidP="00472D8D" w14:paraId="095AED64" w14:textId="4E39F264">
            <w:pPr>
              <w:jc w:val="right"/>
              <w:rPr>
                <w:sz w:val="17"/>
                <w:szCs w:val="17"/>
              </w:rPr>
            </w:pPr>
            <w:r w:rsidRPr="00441A11">
              <w:rPr>
                <w:sz w:val="17"/>
                <w:szCs w:val="17"/>
              </w:rPr>
              <w:t>$</w:t>
            </w:r>
            <w:r w:rsidR="00472D8D">
              <w:rPr>
                <w:sz w:val="17"/>
                <w:szCs w:val="17"/>
              </w:rPr>
              <w:t xml:space="preserve">        </w:t>
            </w:r>
            <w:r w:rsidRPr="00441A11">
              <w:rPr>
                <w:sz w:val="17"/>
                <w:szCs w:val="17"/>
              </w:rPr>
              <w:t xml:space="preserve">19,677,001 </w:t>
            </w:r>
          </w:p>
        </w:tc>
      </w:tr>
      <w:tr w14:paraId="7816FFD2" w14:textId="77777777" w:rsidTr="00A056D5">
        <w:tblPrEx>
          <w:tblW w:w="5000" w:type="pct"/>
          <w:tblLook w:val="04A0"/>
        </w:tblPrEx>
        <w:trPr>
          <w:trHeight w:val="366"/>
        </w:trPr>
        <w:tc>
          <w:tcPr>
            <w:tcW w:w="7653" w:type="dxa"/>
            <w:noWrap/>
            <w:vAlign w:val="bottom"/>
            <w:hideMark/>
          </w:tcPr>
          <w:p w:rsidR="004A7CEF" w:rsidRPr="00441A11" w:rsidP="009033E5" w14:paraId="5C497BBD" w14:textId="77777777">
            <w:pPr>
              <w:rPr>
                <w:b/>
                <w:bCs/>
                <w:sz w:val="17"/>
                <w:szCs w:val="17"/>
              </w:rPr>
            </w:pPr>
            <w:r w:rsidRPr="00441A11">
              <w:rPr>
                <w:b/>
                <w:bCs/>
                <w:sz w:val="17"/>
                <w:szCs w:val="17"/>
              </w:rPr>
              <w:t>Liabilities (Note 6):</w:t>
            </w:r>
          </w:p>
        </w:tc>
        <w:tc>
          <w:tcPr>
            <w:tcW w:w="1685" w:type="dxa"/>
            <w:tcBorders>
              <w:top w:val="double" w:sz="4" w:space="0" w:color="auto"/>
            </w:tcBorders>
            <w:noWrap/>
            <w:vAlign w:val="bottom"/>
            <w:hideMark/>
          </w:tcPr>
          <w:p w:rsidR="004A7CEF" w:rsidRPr="00441A11" w:rsidP="009033E5" w14:paraId="0A1CF55B" w14:textId="2131BDC2">
            <w:pPr>
              <w:ind w:right="-60"/>
              <w:jc w:val="right"/>
              <w:rPr>
                <w:sz w:val="17"/>
                <w:szCs w:val="17"/>
              </w:rPr>
            </w:pPr>
          </w:p>
        </w:tc>
        <w:tc>
          <w:tcPr>
            <w:tcW w:w="1691" w:type="dxa"/>
            <w:tcBorders>
              <w:top w:val="double" w:sz="4" w:space="0" w:color="auto"/>
            </w:tcBorders>
            <w:noWrap/>
            <w:vAlign w:val="bottom"/>
            <w:hideMark/>
          </w:tcPr>
          <w:p w:rsidR="004A7CEF" w:rsidRPr="00441A11" w:rsidP="00472D8D" w14:paraId="13FD50F2" w14:textId="243819FC">
            <w:pPr>
              <w:jc w:val="right"/>
              <w:rPr>
                <w:sz w:val="17"/>
                <w:szCs w:val="17"/>
              </w:rPr>
            </w:pPr>
          </w:p>
        </w:tc>
      </w:tr>
      <w:tr w14:paraId="3E6C04F6" w14:textId="77777777" w:rsidTr="009033E5">
        <w:tblPrEx>
          <w:tblW w:w="5000" w:type="pct"/>
          <w:tblLook w:val="04A0"/>
        </w:tblPrEx>
        <w:trPr>
          <w:trHeight w:val="259"/>
        </w:trPr>
        <w:tc>
          <w:tcPr>
            <w:tcW w:w="7653" w:type="dxa"/>
            <w:noWrap/>
            <w:vAlign w:val="bottom"/>
            <w:hideMark/>
          </w:tcPr>
          <w:p w:rsidR="004A7CEF" w:rsidRPr="00441A11" w:rsidP="00D15DE1" w14:paraId="25610610" w14:textId="77777777">
            <w:pPr>
              <w:ind w:firstLine="170" w:firstLineChars="100"/>
              <w:rPr>
                <w:b/>
                <w:bCs/>
                <w:sz w:val="17"/>
                <w:szCs w:val="17"/>
              </w:rPr>
            </w:pPr>
            <w:r w:rsidRPr="00441A11">
              <w:rPr>
                <w:b/>
                <w:bCs/>
                <w:sz w:val="17"/>
                <w:szCs w:val="17"/>
              </w:rPr>
              <w:t>Intragovernmental:</w:t>
            </w:r>
          </w:p>
        </w:tc>
        <w:tc>
          <w:tcPr>
            <w:tcW w:w="1685" w:type="dxa"/>
            <w:noWrap/>
            <w:vAlign w:val="bottom"/>
            <w:hideMark/>
          </w:tcPr>
          <w:p w:rsidR="004A7CEF" w:rsidRPr="00441A11" w:rsidP="00AD143B" w14:paraId="16326783" w14:textId="0C498DD4">
            <w:pPr>
              <w:ind w:right="-60"/>
              <w:jc w:val="right"/>
              <w:rPr>
                <w:sz w:val="17"/>
                <w:szCs w:val="17"/>
              </w:rPr>
            </w:pPr>
          </w:p>
        </w:tc>
        <w:tc>
          <w:tcPr>
            <w:tcW w:w="1691" w:type="dxa"/>
            <w:noWrap/>
            <w:vAlign w:val="bottom"/>
            <w:hideMark/>
          </w:tcPr>
          <w:p w:rsidR="004A7CEF" w:rsidRPr="00441A11" w:rsidP="00472D8D" w14:paraId="26B9BBF2" w14:textId="17498BCD">
            <w:pPr>
              <w:jc w:val="right"/>
              <w:rPr>
                <w:sz w:val="17"/>
                <w:szCs w:val="17"/>
              </w:rPr>
            </w:pPr>
          </w:p>
        </w:tc>
      </w:tr>
      <w:tr w14:paraId="6EF4E0E3" w14:textId="77777777" w:rsidTr="009033E5">
        <w:tblPrEx>
          <w:tblW w:w="5000" w:type="pct"/>
          <w:tblLook w:val="04A0"/>
        </w:tblPrEx>
        <w:trPr>
          <w:trHeight w:val="259"/>
        </w:trPr>
        <w:tc>
          <w:tcPr>
            <w:tcW w:w="7653" w:type="dxa"/>
            <w:noWrap/>
            <w:vAlign w:val="bottom"/>
            <w:hideMark/>
          </w:tcPr>
          <w:p w:rsidR="004A7CEF" w:rsidRPr="00441A11" w:rsidP="00D15DE1" w14:paraId="5107273C" w14:textId="77777777">
            <w:pPr>
              <w:ind w:firstLine="170" w:firstLineChars="100"/>
              <w:rPr>
                <w:sz w:val="17"/>
                <w:szCs w:val="17"/>
              </w:rPr>
            </w:pPr>
            <w:r w:rsidRPr="00441A11">
              <w:rPr>
                <w:sz w:val="17"/>
                <w:szCs w:val="17"/>
              </w:rPr>
              <w:t>Accounts payable</w:t>
            </w:r>
          </w:p>
        </w:tc>
        <w:tc>
          <w:tcPr>
            <w:tcW w:w="1685" w:type="dxa"/>
            <w:noWrap/>
            <w:vAlign w:val="bottom"/>
            <w:hideMark/>
          </w:tcPr>
          <w:p w:rsidR="004A7CEF" w:rsidRPr="00441A11" w:rsidP="00AD143B" w14:paraId="1A7908C8" w14:textId="502B64A7">
            <w:pPr>
              <w:ind w:right="-60"/>
              <w:jc w:val="right"/>
              <w:rPr>
                <w:sz w:val="17"/>
                <w:szCs w:val="17"/>
              </w:rPr>
            </w:pPr>
            <w:r w:rsidRPr="00441A11">
              <w:rPr>
                <w:sz w:val="17"/>
                <w:szCs w:val="17"/>
              </w:rPr>
              <w:t>$</w:t>
            </w:r>
            <w:r w:rsidR="003B09BD">
              <w:rPr>
                <w:sz w:val="17"/>
                <w:szCs w:val="17"/>
              </w:rPr>
              <w:t xml:space="preserve">                  </w:t>
            </w:r>
            <w:r w:rsidRPr="00441A11">
              <w:rPr>
                <w:sz w:val="17"/>
                <w:szCs w:val="17"/>
              </w:rPr>
              <w:t xml:space="preserve"> 1,402</w:t>
            </w:r>
          </w:p>
        </w:tc>
        <w:tc>
          <w:tcPr>
            <w:tcW w:w="1691" w:type="dxa"/>
            <w:noWrap/>
            <w:vAlign w:val="bottom"/>
            <w:hideMark/>
          </w:tcPr>
          <w:p w:rsidR="004A7CEF" w:rsidRPr="00441A11" w:rsidP="00472D8D" w14:paraId="3052AE49" w14:textId="793310C5">
            <w:pPr>
              <w:jc w:val="right"/>
              <w:rPr>
                <w:sz w:val="17"/>
                <w:szCs w:val="17"/>
              </w:rPr>
            </w:pPr>
            <w:r w:rsidRPr="00441A11">
              <w:rPr>
                <w:sz w:val="17"/>
                <w:szCs w:val="17"/>
              </w:rPr>
              <w:t>$</w:t>
            </w:r>
            <w:r w:rsidR="00472D8D">
              <w:rPr>
                <w:sz w:val="17"/>
                <w:szCs w:val="17"/>
              </w:rPr>
              <w:t xml:space="preserve">              </w:t>
            </w:r>
            <w:r w:rsidRPr="00441A11">
              <w:rPr>
                <w:sz w:val="17"/>
                <w:szCs w:val="17"/>
              </w:rPr>
              <w:t xml:space="preserve"> 10,525</w:t>
            </w:r>
          </w:p>
        </w:tc>
      </w:tr>
      <w:tr w14:paraId="1FAA1AC3" w14:textId="77777777" w:rsidTr="009033E5">
        <w:tblPrEx>
          <w:tblW w:w="5000" w:type="pct"/>
          <w:tblLook w:val="04A0"/>
        </w:tblPrEx>
        <w:trPr>
          <w:trHeight w:val="259"/>
        </w:trPr>
        <w:tc>
          <w:tcPr>
            <w:tcW w:w="7653" w:type="dxa"/>
            <w:noWrap/>
            <w:vAlign w:val="bottom"/>
            <w:hideMark/>
          </w:tcPr>
          <w:p w:rsidR="004A7CEF" w:rsidRPr="00441A11" w:rsidP="00D15DE1" w14:paraId="43645169" w14:textId="77777777">
            <w:pPr>
              <w:ind w:firstLine="170" w:firstLineChars="100"/>
              <w:rPr>
                <w:sz w:val="17"/>
                <w:szCs w:val="17"/>
              </w:rPr>
            </w:pPr>
            <w:r w:rsidRPr="00441A11">
              <w:rPr>
                <w:sz w:val="17"/>
                <w:szCs w:val="17"/>
              </w:rPr>
              <w:t>Other liabilities (Note 7)</w:t>
            </w:r>
          </w:p>
        </w:tc>
        <w:tc>
          <w:tcPr>
            <w:tcW w:w="1685" w:type="dxa"/>
            <w:noWrap/>
            <w:vAlign w:val="bottom"/>
            <w:hideMark/>
          </w:tcPr>
          <w:p w:rsidR="004A7CEF" w:rsidRPr="00441A11" w:rsidP="00AD143B" w14:paraId="7A94072D" w14:textId="7CD2A307">
            <w:pPr>
              <w:ind w:right="-60"/>
              <w:jc w:val="right"/>
              <w:rPr>
                <w:sz w:val="17"/>
                <w:szCs w:val="17"/>
              </w:rPr>
            </w:pPr>
          </w:p>
        </w:tc>
        <w:tc>
          <w:tcPr>
            <w:tcW w:w="1691" w:type="dxa"/>
            <w:noWrap/>
            <w:vAlign w:val="bottom"/>
            <w:hideMark/>
          </w:tcPr>
          <w:p w:rsidR="004A7CEF" w:rsidRPr="00441A11" w:rsidP="00472D8D" w14:paraId="1BE447FB" w14:textId="37C53968">
            <w:pPr>
              <w:jc w:val="right"/>
              <w:rPr>
                <w:sz w:val="17"/>
                <w:szCs w:val="17"/>
              </w:rPr>
            </w:pPr>
          </w:p>
        </w:tc>
      </w:tr>
      <w:tr w14:paraId="3D6BCA3E" w14:textId="77777777" w:rsidTr="009033E5">
        <w:tblPrEx>
          <w:tblW w:w="5000" w:type="pct"/>
          <w:tblLook w:val="04A0"/>
        </w:tblPrEx>
        <w:trPr>
          <w:trHeight w:val="259"/>
        </w:trPr>
        <w:tc>
          <w:tcPr>
            <w:tcW w:w="7653" w:type="dxa"/>
            <w:vAlign w:val="bottom"/>
            <w:hideMark/>
          </w:tcPr>
          <w:p w:rsidR="004A7CEF" w:rsidRPr="00441A11" w:rsidP="00B82746" w14:paraId="5BD1759E" w14:textId="77777777">
            <w:pPr>
              <w:ind w:left="345" w:hanging="14"/>
              <w:rPr>
                <w:sz w:val="17"/>
                <w:szCs w:val="17"/>
              </w:rPr>
            </w:pPr>
            <w:r w:rsidRPr="00441A11">
              <w:rPr>
                <w:sz w:val="17"/>
                <w:szCs w:val="17"/>
              </w:rPr>
              <w:t xml:space="preserve">Liability to the General Fund of the U.S. Government for custodial and other non-entity assets </w:t>
            </w:r>
          </w:p>
        </w:tc>
        <w:tc>
          <w:tcPr>
            <w:tcW w:w="1685" w:type="dxa"/>
            <w:noWrap/>
            <w:vAlign w:val="bottom"/>
            <w:hideMark/>
          </w:tcPr>
          <w:p w:rsidR="004A7CEF" w:rsidRPr="00441A11" w:rsidP="00AD143B" w14:paraId="0D9A12E1" w14:textId="22412109">
            <w:pPr>
              <w:ind w:right="-60"/>
              <w:jc w:val="right"/>
              <w:rPr>
                <w:sz w:val="17"/>
                <w:szCs w:val="17"/>
              </w:rPr>
            </w:pPr>
            <w:r w:rsidRPr="00441A11">
              <w:rPr>
                <w:sz w:val="17"/>
                <w:szCs w:val="17"/>
              </w:rPr>
              <w:t>84,234,840</w:t>
            </w:r>
          </w:p>
        </w:tc>
        <w:tc>
          <w:tcPr>
            <w:tcW w:w="1691" w:type="dxa"/>
            <w:noWrap/>
            <w:vAlign w:val="bottom"/>
            <w:hideMark/>
          </w:tcPr>
          <w:p w:rsidR="004A7CEF" w:rsidRPr="00441A11" w:rsidP="00472D8D" w14:paraId="6AD30B77" w14:textId="405AB2EE">
            <w:pPr>
              <w:jc w:val="right"/>
              <w:rPr>
                <w:sz w:val="17"/>
                <w:szCs w:val="17"/>
              </w:rPr>
            </w:pPr>
            <w:r w:rsidRPr="00441A11">
              <w:rPr>
                <w:sz w:val="17"/>
                <w:szCs w:val="17"/>
              </w:rPr>
              <w:t>7,738,740</w:t>
            </w:r>
          </w:p>
        </w:tc>
      </w:tr>
      <w:tr w14:paraId="53150C14" w14:textId="77777777" w:rsidTr="009033E5">
        <w:tblPrEx>
          <w:tblW w:w="5000" w:type="pct"/>
          <w:tblLook w:val="04A0"/>
        </w:tblPrEx>
        <w:trPr>
          <w:trHeight w:val="259"/>
        </w:trPr>
        <w:tc>
          <w:tcPr>
            <w:tcW w:w="7653" w:type="dxa"/>
            <w:vAlign w:val="bottom"/>
            <w:hideMark/>
          </w:tcPr>
          <w:p w:rsidR="004A7CEF" w:rsidRPr="00441A11" w:rsidP="00D15DE1" w14:paraId="6B3A89A8" w14:textId="77777777">
            <w:pPr>
              <w:ind w:firstLine="340" w:firstLineChars="200"/>
              <w:rPr>
                <w:sz w:val="17"/>
                <w:szCs w:val="17"/>
              </w:rPr>
            </w:pPr>
            <w:r w:rsidRPr="00441A11">
              <w:rPr>
                <w:sz w:val="17"/>
                <w:szCs w:val="17"/>
              </w:rPr>
              <w:t>Other liabilities</w:t>
            </w:r>
          </w:p>
        </w:tc>
        <w:tc>
          <w:tcPr>
            <w:tcW w:w="1685" w:type="dxa"/>
            <w:tcBorders>
              <w:bottom w:val="single" w:sz="4" w:space="0" w:color="auto"/>
            </w:tcBorders>
            <w:noWrap/>
            <w:vAlign w:val="bottom"/>
            <w:hideMark/>
          </w:tcPr>
          <w:p w:rsidR="004A7CEF" w:rsidRPr="00441A11" w:rsidP="00AD143B" w14:paraId="3FBFE9C4" w14:textId="1F606C7E">
            <w:pPr>
              <w:ind w:right="-60"/>
              <w:jc w:val="right"/>
              <w:rPr>
                <w:sz w:val="17"/>
                <w:szCs w:val="17"/>
              </w:rPr>
            </w:pPr>
            <w:r w:rsidRPr="00441A11">
              <w:rPr>
                <w:sz w:val="17"/>
                <w:szCs w:val="17"/>
              </w:rPr>
              <w:t>3,868</w:t>
            </w:r>
          </w:p>
        </w:tc>
        <w:tc>
          <w:tcPr>
            <w:tcW w:w="1691" w:type="dxa"/>
            <w:tcBorders>
              <w:bottom w:val="single" w:sz="4" w:space="0" w:color="auto"/>
            </w:tcBorders>
            <w:noWrap/>
            <w:vAlign w:val="bottom"/>
            <w:hideMark/>
          </w:tcPr>
          <w:p w:rsidR="004A7CEF" w:rsidRPr="00441A11" w:rsidP="00472D8D" w14:paraId="4077E83C" w14:textId="7B928DE6">
            <w:pPr>
              <w:jc w:val="right"/>
              <w:rPr>
                <w:sz w:val="17"/>
                <w:szCs w:val="17"/>
              </w:rPr>
            </w:pPr>
            <w:r w:rsidRPr="00441A11">
              <w:rPr>
                <w:sz w:val="17"/>
                <w:szCs w:val="17"/>
              </w:rPr>
              <w:t>3,553</w:t>
            </w:r>
          </w:p>
        </w:tc>
      </w:tr>
      <w:tr w14:paraId="40322477" w14:textId="77777777" w:rsidTr="009033E5">
        <w:tblPrEx>
          <w:tblW w:w="5000" w:type="pct"/>
          <w:tblLook w:val="04A0"/>
        </w:tblPrEx>
        <w:trPr>
          <w:trHeight w:val="259"/>
        </w:trPr>
        <w:tc>
          <w:tcPr>
            <w:tcW w:w="7653" w:type="dxa"/>
            <w:vAlign w:val="bottom"/>
            <w:hideMark/>
          </w:tcPr>
          <w:p w:rsidR="004A7CEF" w:rsidRPr="00441A11" w:rsidP="00D15DE1" w14:paraId="697D43A3" w14:textId="77777777">
            <w:pPr>
              <w:ind w:firstLine="340" w:firstLineChars="200"/>
              <w:rPr>
                <w:sz w:val="17"/>
                <w:szCs w:val="17"/>
              </w:rPr>
            </w:pPr>
            <w:r w:rsidRPr="00441A11">
              <w:rPr>
                <w:sz w:val="17"/>
                <w:szCs w:val="17"/>
              </w:rPr>
              <w:t>Total other</w:t>
            </w:r>
          </w:p>
        </w:tc>
        <w:tc>
          <w:tcPr>
            <w:tcW w:w="1685" w:type="dxa"/>
            <w:tcBorders>
              <w:top w:val="single" w:sz="4" w:space="0" w:color="auto"/>
              <w:bottom w:val="double" w:sz="4" w:space="0" w:color="auto"/>
            </w:tcBorders>
            <w:noWrap/>
            <w:vAlign w:val="bottom"/>
            <w:hideMark/>
          </w:tcPr>
          <w:p w:rsidR="004A7CEF" w:rsidRPr="00441A11" w:rsidP="00AD143B" w14:paraId="0598C565" w14:textId="394795E8">
            <w:pPr>
              <w:ind w:right="-60"/>
              <w:jc w:val="right"/>
              <w:rPr>
                <w:sz w:val="17"/>
                <w:szCs w:val="17"/>
              </w:rPr>
            </w:pPr>
            <w:r w:rsidRPr="00441A11">
              <w:rPr>
                <w:sz w:val="17"/>
                <w:szCs w:val="17"/>
              </w:rPr>
              <w:t>84,238,708</w:t>
            </w:r>
          </w:p>
        </w:tc>
        <w:tc>
          <w:tcPr>
            <w:tcW w:w="1691" w:type="dxa"/>
            <w:tcBorders>
              <w:top w:val="single" w:sz="4" w:space="0" w:color="auto"/>
              <w:bottom w:val="double" w:sz="4" w:space="0" w:color="auto"/>
            </w:tcBorders>
            <w:noWrap/>
            <w:vAlign w:val="bottom"/>
            <w:hideMark/>
          </w:tcPr>
          <w:p w:rsidR="004A7CEF" w:rsidRPr="00441A11" w:rsidP="00472D8D" w14:paraId="50D96CDC" w14:textId="728F3065">
            <w:pPr>
              <w:jc w:val="right"/>
              <w:rPr>
                <w:sz w:val="17"/>
                <w:szCs w:val="17"/>
              </w:rPr>
            </w:pPr>
            <w:r w:rsidRPr="00441A11">
              <w:rPr>
                <w:sz w:val="17"/>
                <w:szCs w:val="17"/>
              </w:rPr>
              <w:t>7,742,293</w:t>
            </w:r>
          </w:p>
        </w:tc>
      </w:tr>
      <w:tr w14:paraId="66F9E8B3" w14:textId="77777777" w:rsidTr="009033E5">
        <w:tblPrEx>
          <w:tblW w:w="5000" w:type="pct"/>
          <w:tblLook w:val="04A0"/>
        </w:tblPrEx>
        <w:trPr>
          <w:trHeight w:val="259"/>
        </w:trPr>
        <w:tc>
          <w:tcPr>
            <w:tcW w:w="7653" w:type="dxa"/>
            <w:noWrap/>
            <w:vAlign w:val="bottom"/>
            <w:hideMark/>
          </w:tcPr>
          <w:p w:rsidR="004A7CEF" w:rsidRPr="00441A11" w:rsidP="00D15DE1" w14:paraId="5EADBC53" w14:textId="77777777">
            <w:pPr>
              <w:ind w:firstLine="170" w:firstLineChars="100"/>
              <w:rPr>
                <w:b/>
                <w:bCs/>
                <w:sz w:val="17"/>
                <w:szCs w:val="17"/>
              </w:rPr>
            </w:pPr>
            <w:r w:rsidRPr="00441A11">
              <w:rPr>
                <w:b/>
                <w:bCs/>
                <w:sz w:val="17"/>
                <w:szCs w:val="17"/>
              </w:rPr>
              <w:t>Total intragovernmental</w:t>
            </w:r>
          </w:p>
        </w:tc>
        <w:tc>
          <w:tcPr>
            <w:tcW w:w="1685" w:type="dxa"/>
            <w:tcBorders>
              <w:top w:val="double" w:sz="4" w:space="0" w:color="auto"/>
            </w:tcBorders>
            <w:noWrap/>
            <w:vAlign w:val="bottom"/>
            <w:hideMark/>
          </w:tcPr>
          <w:p w:rsidR="004A7CEF" w:rsidRPr="00441A11" w:rsidP="00AD143B" w14:paraId="4A1EA6DA" w14:textId="20535DF0">
            <w:pPr>
              <w:ind w:right="-60"/>
              <w:jc w:val="right"/>
              <w:rPr>
                <w:sz w:val="17"/>
                <w:szCs w:val="17"/>
              </w:rPr>
            </w:pPr>
            <w:r w:rsidRPr="00441A11">
              <w:rPr>
                <w:sz w:val="17"/>
                <w:szCs w:val="17"/>
              </w:rPr>
              <w:t>84,240,110</w:t>
            </w:r>
          </w:p>
        </w:tc>
        <w:tc>
          <w:tcPr>
            <w:tcW w:w="1691" w:type="dxa"/>
            <w:tcBorders>
              <w:top w:val="double" w:sz="4" w:space="0" w:color="auto"/>
            </w:tcBorders>
            <w:noWrap/>
            <w:vAlign w:val="bottom"/>
            <w:hideMark/>
          </w:tcPr>
          <w:p w:rsidR="004A7CEF" w:rsidRPr="00441A11" w:rsidP="00472D8D" w14:paraId="14F3C5DA" w14:textId="7A408E05">
            <w:pPr>
              <w:jc w:val="right"/>
              <w:rPr>
                <w:sz w:val="17"/>
                <w:szCs w:val="17"/>
              </w:rPr>
            </w:pPr>
            <w:r w:rsidRPr="00441A11">
              <w:rPr>
                <w:sz w:val="17"/>
                <w:szCs w:val="17"/>
              </w:rPr>
              <w:t>7,752,818</w:t>
            </w:r>
          </w:p>
        </w:tc>
      </w:tr>
      <w:tr w14:paraId="44E0F0CE" w14:textId="77777777" w:rsidTr="009033E5">
        <w:tblPrEx>
          <w:tblW w:w="5000" w:type="pct"/>
          <w:tblLook w:val="04A0"/>
        </w:tblPrEx>
        <w:trPr>
          <w:trHeight w:val="259"/>
        </w:trPr>
        <w:tc>
          <w:tcPr>
            <w:tcW w:w="7653" w:type="dxa"/>
            <w:noWrap/>
            <w:vAlign w:val="bottom"/>
            <w:hideMark/>
          </w:tcPr>
          <w:p w:rsidR="004A7CEF" w:rsidRPr="00441A11" w:rsidP="00D15DE1" w14:paraId="1C611730" w14:textId="77777777">
            <w:pPr>
              <w:ind w:firstLine="170" w:firstLineChars="100"/>
              <w:rPr>
                <w:b/>
                <w:bCs/>
                <w:sz w:val="17"/>
                <w:szCs w:val="17"/>
              </w:rPr>
            </w:pPr>
            <w:r w:rsidRPr="00441A11">
              <w:rPr>
                <w:b/>
                <w:bCs/>
                <w:sz w:val="17"/>
                <w:szCs w:val="17"/>
              </w:rPr>
              <w:t>With the Public:</w:t>
            </w:r>
          </w:p>
        </w:tc>
        <w:tc>
          <w:tcPr>
            <w:tcW w:w="1685" w:type="dxa"/>
            <w:noWrap/>
            <w:vAlign w:val="bottom"/>
            <w:hideMark/>
          </w:tcPr>
          <w:p w:rsidR="004A7CEF" w:rsidRPr="00441A11" w:rsidP="00AD143B" w14:paraId="53C33F17" w14:textId="285F2040">
            <w:pPr>
              <w:ind w:right="-60"/>
              <w:jc w:val="right"/>
              <w:rPr>
                <w:sz w:val="17"/>
                <w:szCs w:val="17"/>
              </w:rPr>
            </w:pPr>
          </w:p>
        </w:tc>
        <w:tc>
          <w:tcPr>
            <w:tcW w:w="1691" w:type="dxa"/>
            <w:noWrap/>
            <w:vAlign w:val="bottom"/>
            <w:hideMark/>
          </w:tcPr>
          <w:p w:rsidR="004A7CEF" w:rsidRPr="00441A11" w:rsidP="00472D8D" w14:paraId="0458271B" w14:textId="33130423">
            <w:pPr>
              <w:jc w:val="right"/>
              <w:rPr>
                <w:sz w:val="17"/>
                <w:szCs w:val="17"/>
              </w:rPr>
            </w:pPr>
          </w:p>
        </w:tc>
      </w:tr>
      <w:tr w14:paraId="60802465" w14:textId="77777777" w:rsidTr="009033E5">
        <w:tblPrEx>
          <w:tblW w:w="5000" w:type="pct"/>
          <w:tblLook w:val="04A0"/>
        </w:tblPrEx>
        <w:trPr>
          <w:trHeight w:val="259"/>
        </w:trPr>
        <w:tc>
          <w:tcPr>
            <w:tcW w:w="7653" w:type="dxa"/>
            <w:noWrap/>
            <w:vAlign w:val="bottom"/>
            <w:hideMark/>
          </w:tcPr>
          <w:p w:rsidR="004A7CEF" w:rsidRPr="00441A11" w:rsidP="00D15DE1" w14:paraId="0482D8F2" w14:textId="77777777">
            <w:pPr>
              <w:ind w:firstLine="170" w:firstLineChars="100"/>
              <w:rPr>
                <w:sz w:val="17"/>
                <w:szCs w:val="17"/>
              </w:rPr>
            </w:pPr>
            <w:r w:rsidRPr="00441A11">
              <w:rPr>
                <w:sz w:val="17"/>
                <w:szCs w:val="17"/>
              </w:rPr>
              <w:t>Accounts payable</w:t>
            </w:r>
          </w:p>
        </w:tc>
        <w:tc>
          <w:tcPr>
            <w:tcW w:w="1685" w:type="dxa"/>
            <w:noWrap/>
            <w:vAlign w:val="bottom"/>
            <w:hideMark/>
          </w:tcPr>
          <w:p w:rsidR="004A7CEF" w:rsidRPr="00441A11" w:rsidP="00AD143B" w14:paraId="2AC961AE" w14:textId="0A4EB755">
            <w:pPr>
              <w:ind w:right="-60"/>
              <w:jc w:val="right"/>
              <w:rPr>
                <w:sz w:val="17"/>
                <w:szCs w:val="17"/>
              </w:rPr>
            </w:pPr>
            <w:r w:rsidRPr="00441A11">
              <w:rPr>
                <w:sz w:val="17"/>
                <w:szCs w:val="17"/>
              </w:rPr>
              <w:t>828,732</w:t>
            </w:r>
          </w:p>
        </w:tc>
        <w:tc>
          <w:tcPr>
            <w:tcW w:w="1691" w:type="dxa"/>
            <w:noWrap/>
            <w:vAlign w:val="bottom"/>
            <w:hideMark/>
          </w:tcPr>
          <w:p w:rsidR="004A7CEF" w:rsidRPr="00441A11" w:rsidP="00472D8D" w14:paraId="0AB518AC" w14:textId="4871A234">
            <w:pPr>
              <w:jc w:val="right"/>
              <w:rPr>
                <w:sz w:val="17"/>
                <w:szCs w:val="17"/>
              </w:rPr>
            </w:pPr>
            <w:r w:rsidRPr="00441A11">
              <w:rPr>
                <w:sz w:val="17"/>
                <w:szCs w:val="17"/>
              </w:rPr>
              <w:t xml:space="preserve"> 827,857</w:t>
            </w:r>
          </w:p>
        </w:tc>
      </w:tr>
      <w:tr w14:paraId="171ECCC0" w14:textId="77777777" w:rsidTr="009033E5">
        <w:tblPrEx>
          <w:tblW w:w="5000" w:type="pct"/>
          <w:tblLook w:val="04A0"/>
        </w:tblPrEx>
        <w:trPr>
          <w:trHeight w:val="259"/>
        </w:trPr>
        <w:tc>
          <w:tcPr>
            <w:tcW w:w="7653" w:type="dxa"/>
            <w:noWrap/>
            <w:vAlign w:val="bottom"/>
            <w:hideMark/>
          </w:tcPr>
          <w:p w:rsidR="004A7CEF" w:rsidRPr="00441A11" w:rsidP="00D15DE1" w14:paraId="2F013373" w14:textId="77777777">
            <w:pPr>
              <w:ind w:firstLine="170" w:firstLineChars="100"/>
              <w:rPr>
                <w:sz w:val="17"/>
                <w:szCs w:val="17"/>
              </w:rPr>
            </w:pPr>
            <w:r w:rsidRPr="00441A11">
              <w:rPr>
                <w:sz w:val="17"/>
                <w:szCs w:val="17"/>
              </w:rPr>
              <w:t>Federal employee benefits payable</w:t>
            </w:r>
          </w:p>
        </w:tc>
        <w:tc>
          <w:tcPr>
            <w:tcW w:w="1685" w:type="dxa"/>
            <w:noWrap/>
            <w:vAlign w:val="bottom"/>
            <w:hideMark/>
          </w:tcPr>
          <w:p w:rsidR="004A7CEF" w:rsidRPr="00441A11" w:rsidP="00AD143B" w14:paraId="5C1F86D0" w14:textId="08DBE763">
            <w:pPr>
              <w:ind w:right="-60"/>
              <w:jc w:val="right"/>
              <w:rPr>
                <w:sz w:val="17"/>
                <w:szCs w:val="17"/>
              </w:rPr>
            </w:pPr>
            <w:r w:rsidRPr="00441A11">
              <w:rPr>
                <w:sz w:val="17"/>
                <w:szCs w:val="17"/>
              </w:rPr>
              <w:t>26,503</w:t>
            </w:r>
          </w:p>
        </w:tc>
        <w:tc>
          <w:tcPr>
            <w:tcW w:w="1691" w:type="dxa"/>
            <w:noWrap/>
            <w:vAlign w:val="bottom"/>
            <w:hideMark/>
          </w:tcPr>
          <w:p w:rsidR="004A7CEF" w:rsidRPr="00441A11" w:rsidP="00472D8D" w14:paraId="4083B0B4" w14:textId="4A688FBD">
            <w:pPr>
              <w:jc w:val="right"/>
              <w:rPr>
                <w:sz w:val="17"/>
                <w:szCs w:val="17"/>
              </w:rPr>
            </w:pPr>
            <w:r w:rsidRPr="00441A11">
              <w:rPr>
                <w:sz w:val="17"/>
                <w:szCs w:val="17"/>
              </w:rPr>
              <w:t xml:space="preserve"> 26,419</w:t>
            </w:r>
          </w:p>
        </w:tc>
      </w:tr>
      <w:tr w14:paraId="37A946BB" w14:textId="77777777" w:rsidTr="009033E5">
        <w:tblPrEx>
          <w:tblW w:w="5000" w:type="pct"/>
          <w:tblLook w:val="04A0"/>
        </w:tblPrEx>
        <w:trPr>
          <w:trHeight w:val="259"/>
        </w:trPr>
        <w:tc>
          <w:tcPr>
            <w:tcW w:w="7653" w:type="dxa"/>
            <w:noWrap/>
            <w:vAlign w:val="bottom"/>
            <w:hideMark/>
          </w:tcPr>
          <w:p w:rsidR="004A7CEF" w:rsidRPr="00441A11" w:rsidP="00D15DE1" w14:paraId="13A18FAF" w14:textId="77777777">
            <w:pPr>
              <w:ind w:firstLine="170" w:firstLineChars="100"/>
              <w:rPr>
                <w:sz w:val="17"/>
                <w:szCs w:val="17"/>
              </w:rPr>
            </w:pPr>
            <w:r w:rsidRPr="00441A11">
              <w:rPr>
                <w:sz w:val="17"/>
                <w:szCs w:val="17"/>
              </w:rPr>
              <w:t>Advances from others and deferred revenue</w:t>
            </w:r>
          </w:p>
        </w:tc>
        <w:tc>
          <w:tcPr>
            <w:tcW w:w="1685" w:type="dxa"/>
            <w:noWrap/>
            <w:vAlign w:val="bottom"/>
            <w:hideMark/>
          </w:tcPr>
          <w:p w:rsidR="004A7CEF" w:rsidRPr="00441A11" w:rsidP="00AD143B" w14:paraId="3811ED50" w14:textId="77487A95">
            <w:pPr>
              <w:ind w:right="-60"/>
              <w:jc w:val="right"/>
              <w:rPr>
                <w:sz w:val="17"/>
                <w:szCs w:val="17"/>
              </w:rPr>
            </w:pPr>
            <w:r w:rsidRPr="00441A11">
              <w:rPr>
                <w:sz w:val="17"/>
                <w:szCs w:val="17"/>
              </w:rPr>
              <w:t>153,756</w:t>
            </w:r>
          </w:p>
        </w:tc>
        <w:tc>
          <w:tcPr>
            <w:tcW w:w="1691" w:type="dxa"/>
            <w:noWrap/>
            <w:vAlign w:val="bottom"/>
            <w:hideMark/>
          </w:tcPr>
          <w:p w:rsidR="004A7CEF" w:rsidRPr="00441A11" w:rsidP="00472D8D" w14:paraId="22C9ED82" w14:textId="1995556C">
            <w:pPr>
              <w:jc w:val="right"/>
              <w:rPr>
                <w:sz w:val="17"/>
                <w:szCs w:val="17"/>
              </w:rPr>
            </w:pPr>
            <w:r w:rsidRPr="00441A11">
              <w:rPr>
                <w:sz w:val="17"/>
                <w:szCs w:val="17"/>
              </w:rPr>
              <w:t>2,997,879</w:t>
            </w:r>
          </w:p>
        </w:tc>
      </w:tr>
      <w:tr w14:paraId="07B654EF" w14:textId="77777777" w:rsidTr="009033E5">
        <w:tblPrEx>
          <w:tblW w:w="5000" w:type="pct"/>
          <w:tblLook w:val="04A0"/>
        </w:tblPrEx>
        <w:trPr>
          <w:trHeight w:val="259"/>
        </w:trPr>
        <w:tc>
          <w:tcPr>
            <w:tcW w:w="7653" w:type="dxa"/>
            <w:noWrap/>
            <w:vAlign w:val="bottom"/>
            <w:hideMark/>
          </w:tcPr>
          <w:p w:rsidR="004A7CEF" w:rsidRPr="00441A11" w:rsidP="00D15DE1" w14:paraId="740B37BE" w14:textId="77777777">
            <w:pPr>
              <w:ind w:firstLine="170" w:firstLineChars="100"/>
              <w:rPr>
                <w:sz w:val="17"/>
                <w:szCs w:val="17"/>
              </w:rPr>
            </w:pPr>
            <w:r w:rsidRPr="00441A11">
              <w:rPr>
                <w:sz w:val="17"/>
                <w:szCs w:val="17"/>
              </w:rPr>
              <w:t>Other liabilities (Note 7)</w:t>
            </w:r>
          </w:p>
        </w:tc>
        <w:tc>
          <w:tcPr>
            <w:tcW w:w="1685" w:type="dxa"/>
            <w:noWrap/>
            <w:vAlign w:val="bottom"/>
            <w:hideMark/>
          </w:tcPr>
          <w:p w:rsidR="004A7CEF" w:rsidRPr="00441A11" w:rsidP="00AD143B" w14:paraId="6D665C9F" w14:textId="4DF1EFE3">
            <w:pPr>
              <w:ind w:right="-60"/>
              <w:jc w:val="right"/>
              <w:rPr>
                <w:sz w:val="17"/>
                <w:szCs w:val="17"/>
              </w:rPr>
            </w:pPr>
          </w:p>
        </w:tc>
        <w:tc>
          <w:tcPr>
            <w:tcW w:w="1691" w:type="dxa"/>
            <w:noWrap/>
            <w:vAlign w:val="bottom"/>
            <w:hideMark/>
          </w:tcPr>
          <w:p w:rsidR="004A7CEF" w:rsidRPr="00441A11" w:rsidP="00472D8D" w14:paraId="0AFC2F7C" w14:textId="558CBB91">
            <w:pPr>
              <w:jc w:val="right"/>
              <w:rPr>
                <w:sz w:val="17"/>
                <w:szCs w:val="17"/>
              </w:rPr>
            </w:pPr>
          </w:p>
        </w:tc>
      </w:tr>
      <w:tr w14:paraId="4780C87F" w14:textId="77777777" w:rsidTr="009033E5">
        <w:tblPrEx>
          <w:tblW w:w="5000" w:type="pct"/>
          <w:tblLook w:val="04A0"/>
        </w:tblPrEx>
        <w:trPr>
          <w:trHeight w:val="259"/>
        </w:trPr>
        <w:tc>
          <w:tcPr>
            <w:tcW w:w="7653" w:type="dxa"/>
            <w:noWrap/>
            <w:vAlign w:val="bottom"/>
            <w:hideMark/>
          </w:tcPr>
          <w:p w:rsidR="004A7CEF" w:rsidRPr="00441A11" w:rsidP="00D15DE1" w14:paraId="78E500BB" w14:textId="77777777">
            <w:pPr>
              <w:ind w:firstLine="340" w:firstLineChars="200"/>
              <w:rPr>
                <w:sz w:val="17"/>
                <w:szCs w:val="17"/>
              </w:rPr>
            </w:pPr>
            <w:r w:rsidRPr="00441A11">
              <w:rPr>
                <w:sz w:val="17"/>
                <w:szCs w:val="17"/>
              </w:rPr>
              <w:t>Prepaid contributions</w:t>
            </w:r>
          </w:p>
        </w:tc>
        <w:tc>
          <w:tcPr>
            <w:tcW w:w="1685" w:type="dxa"/>
            <w:noWrap/>
            <w:vAlign w:val="bottom"/>
            <w:hideMark/>
          </w:tcPr>
          <w:p w:rsidR="004A7CEF" w:rsidRPr="00441A11" w:rsidP="00AD143B" w14:paraId="0459F0B6" w14:textId="725A82A0">
            <w:pPr>
              <w:ind w:right="-60"/>
              <w:jc w:val="right"/>
              <w:rPr>
                <w:sz w:val="17"/>
                <w:szCs w:val="17"/>
              </w:rPr>
            </w:pPr>
            <w:r w:rsidRPr="00441A11">
              <w:rPr>
                <w:sz w:val="17"/>
                <w:szCs w:val="17"/>
              </w:rPr>
              <w:t>44,563</w:t>
            </w:r>
          </w:p>
        </w:tc>
        <w:tc>
          <w:tcPr>
            <w:tcW w:w="1691" w:type="dxa"/>
            <w:noWrap/>
            <w:vAlign w:val="bottom"/>
            <w:hideMark/>
          </w:tcPr>
          <w:p w:rsidR="004A7CEF" w:rsidRPr="00441A11" w:rsidP="00472D8D" w14:paraId="09742374" w14:textId="30DDF662">
            <w:pPr>
              <w:jc w:val="right"/>
              <w:rPr>
                <w:sz w:val="17"/>
                <w:szCs w:val="17"/>
              </w:rPr>
            </w:pPr>
            <w:r w:rsidRPr="00441A11">
              <w:rPr>
                <w:sz w:val="17"/>
                <w:szCs w:val="17"/>
              </w:rPr>
              <w:t xml:space="preserve">108,399 </w:t>
            </w:r>
          </w:p>
        </w:tc>
      </w:tr>
      <w:tr w14:paraId="1900A866" w14:textId="77777777" w:rsidTr="009033E5">
        <w:tblPrEx>
          <w:tblW w:w="5000" w:type="pct"/>
          <w:tblLook w:val="04A0"/>
        </w:tblPrEx>
        <w:trPr>
          <w:trHeight w:val="259"/>
        </w:trPr>
        <w:tc>
          <w:tcPr>
            <w:tcW w:w="7653" w:type="dxa"/>
            <w:noWrap/>
            <w:vAlign w:val="bottom"/>
            <w:hideMark/>
          </w:tcPr>
          <w:p w:rsidR="004A7CEF" w:rsidRPr="00441A11" w:rsidP="00D15DE1" w14:paraId="3298822F" w14:textId="77777777">
            <w:pPr>
              <w:ind w:firstLine="340" w:firstLineChars="200"/>
              <w:rPr>
                <w:sz w:val="17"/>
                <w:szCs w:val="17"/>
              </w:rPr>
            </w:pPr>
            <w:r w:rsidRPr="00441A11">
              <w:rPr>
                <w:sz w:val="17"/>
                <w:szCs w:val="17"/>
              </w:rPr>
              <w:t>Accrued liabilities for USF and TRS</w:t>
            </w:r>
          </w:p>
        </w:tc>
        <w:tc>
          <w:tcPr>
            <w:tcW w:w="1685" w:type="dxa"/>
            <w:noWrap/>
            <w:vAlign w:val="bottom"/>
            <w:hideMark/>
          </w:tcPr>
          <w:p w:rsidR="004A7CEF" w:rsidRPr="00441A11" w:rsidP="00AD143B" w14:paraId="1FC71AF2" w14:textId="15521D1A">
            <w:pPr>
              <w:ind w:right="-60"/>
              <w:jc w:val="right"/>
              <w:rPr>
                <w:sz w:val="17"/>
                <w:szCs w:val="17"/>
              </w:rPr>
            </w:pPr>
            <w:r w:rsidRPr="00441A11">
              <w:rPr>
                <w:sz w:val="17"/>
                <w:szCs w:val="17"/>
              </w:rPr>
              <w:t>490,897</w:t>
            </w:r>
          </w:p>
        </w:tc>
        <w:tc>
          <w:tcPr>
            <w:tcW w:w="1691" w:type="dxa"/>
            <w:noWrap/>
            <w:vAlign w:val="bottom"/>
            <w:hideMark/>
          </w:tcPr>
          <w:p w:rsidR="004A7CEF" w:rsidRPr="00441A11" w:rsidP="00472D8D" w14:paraId="34616F89" w14:textId="4E41ED0F">
            <w:pPr>
              <w:jc w:val="right"/>
              <w:rPr>
                <w:sz w:val="17"/>
                <w:szCs w:val="17"/>
              </w:rPr>
            </w:pPr>
            <w:r w:rsidRPr="00441A11">
              <w:rPr>
                <w:sz w:val="17"/>
                <w:szCs w:val="17"/>
              </w:rPr>
              <w:t xml:space="preserve">483,329 </w:t>
            </w:r>
          </w:p>
        </w:tc>
      </w:tr>
      <w:tr w14:paraId="1BA964EA" w14:textId="77777777" w:rsidTr="009033E5">
        <w:tblPrEx>
          <w:tblW w:w="5000" w:type="pct"/>
          <w:tblLook w:val="04A0"/>
        </w:tblPrEx>
        <w:trPr>
          <w:trHeight w:val="259"/>
        </w:trPr>
        <w:tc>
          <w:tcPr>
            <w:tcW w:w="7653" w:type="dxa"/>
            <w:noWrap/>
            <w:vAlign w:val="bottom"/>
            <w:hideMark/>
          </w:tcPr>
          <w:p w:rsidR="004A7CEF" w:rsidRPr="00441A11" w:rsidP="00D15DE1" w14:paraId="49490B6C" w14:textId="77777777">
            <w:pPr>
              <w:ind w:firstLine="340" w:firstLineChars="200"/>
              <w:rPr>
                <w:sz w:val="17"/>
                <w:szCs w:val="17"/>
              </w:rPr>
            </w:pPr>
            <w:r w:rsidRPr="00441A11">
              <w:rPr>
                <w:sz w:val="17"/>
                <w:szCs w:val="17"/>
              </w:rPr>
              <w:t>Deposit/Unapplied liability</w:t>
            </w:r>
          </w:p>
        </w:tc>
        <w:tc>
          <w:tcPr>
            <w:tcW w:w="1685" w:type="dxa"/>
            <w:noWrap/>
            <w:vAlign w:val="bottom"/>
            <w:hideMark/>
          </w:tcPr>
          <w:p w:rsidR="004A7CEF" w:rsidRPr="00441A11" w:rsidP="00AD143B" w14:paraId="12481B2F" w14:textId="0A33345B">
            <w:pPr>
              <w:ind w:right="-60"/>
              <w:jc w:val="right"/>
              <w:rPr>
                <w:sz w:val="17"/>
                <w:szCs w:val="17"/>
              </w:rPr>
            </w:pPr>
            <w:r w:rsidRPr="00441A11">
              <w:rPr>
                <w:sz w:val="17"/>
                <w:szCs w:val="17"/>
              </w:rPr>
              <w:t>606,917</w:t>
            </w:r>
          </w:p>
        </w:tc>
        <w:tc>
          <w:tcPr>
            <w:tcW w:w="1691" w:type="dxa"/>
            <w:noWrap/>
            <w:vAlign w:val="bottom"/>
            <w:hideMark/>
          </w:tcPr>
          <w:p w:rsidR="004A7CEF" w:rsidRPr="00441A11" w:rsidP="00472D8D" w14:paraId="73479198" w14:textId="2061B766">
            <w:pPr>
              <w:jc w:val="right"/>
              <w:rPr>
                <w:sz w:val="17"/>
                <w:szCs w:val="17"/>
              </w:rPr>
            </w:pPr>
            <w:r w:rsidRPr="00441A11">
              <w:rPr>
                <w:sz w:val="17"/>
                <w:szCs w:val="17"/>
              </w:rPr>
              <w:t>-</w:t>
            </w:r>
          </w:p>
        </w:tc>
      </w:tr>
      <w:tr w14:paraId="6AF5A98F" w14:textId="77777777" w:rsidTr="009033E5">
        <w:tblPrEx>
          <w:tblW w:w="5000" w:type="pct"/>
          <w:tblLook w:val="04A0"/>
        </w:tblPrEx>
        <w:trPr>
          <w:trHeight w:val="259"/>
        </w:trPr>
        <w:tc>
          <w:tcPr>
            <w:tcW w:w="7653" w:type="dxa"/>
            <w:noWrap/>
            <w:vAlign w:val="bottom"/>
            <w:hideMark/>
          </w:tcPr>
          <w:p w:rsidR="004A7CEF" w:rsidRPr="00441A11" w:rsidP="00D15DE1" w14:paraId="4C911FAD" w14:textId="77777777">
            <w:pPr>
              <w:ind w:firstLine="340" w:firstLineChars="200"/>
              <w:rPr>
                <w:sz w:val="17"/>
                <w:szCs w:val="17"/>
              </w:rPr>
            </w:pPr>
            <w:r w:rsidRPr="00441A11">
              <w:rPr>
                <w:sz w:val="17"/>
                <w:szCs w:val="17"/>
              </w:rPr>
              <w:t xml:space="preserve">Other </w:t>
            </w:r>
          </w:p>
        </w:tc>
        <w:tc>
          <w:tcPr>
            <w:tcW w:w="1685" w:type="dxa"/>
            <w:tcBorders>
              <w:bottom w:val="single" w:sz="4" w:space="0" w:color="auto"/>
            </w:tcBorders>
            <w:noWrap/>
            <w:vAlign w:val="bottom"/>
            <w:hideMark/>
          </w:tcPr>
          <w:p w:rsidR="004A7CEF" w:rsidRPr="00441A11" w:rsidP="00AD143B" w14:paraId="7679124D" w14:textId="696C4C97">
            <w:pPr>
              <w:ind w:right="-60"/>
              <w:jc w:val="right"/>
              <w:rPr>
                <w:sz w:val="17"/>
                <w:szCs w:val="17"/>
              </w:rPr>
            </w:pPr>
            <w:r w:rsidRPr="00441A11">
              <w:rPr>
                <w:sz w:val="17"/>
                <w:szCs w:val="17"/>
              </w:rPr>
              <w:t>23,362</w:t>
            </w:r>
          </w:p>
        </w:tc>
        <w:tc>
          <w:tcPr>
            <w:tcW w:w="1691" w:type="dxa"/>
            <w:tcBorders>
              <w:bottom w:val="single" w:sz="4" w:space="0" w:color="auto"/>
            </w:tcBorders>
            <w:noWrap/>
            <w:vAlign w:val="bottom"/>
            <w:hideMark/>
          </w:tcPr>
          <w:p w:rsidR="004A7CEF" w:rsidRPr="00441A11" w:rsidP="00472D8D" w14:paraId="1DC007BD" w14:textId="6DCE35CA">
            <w:pPr>
              <w:jc w:val="right"/>
              <w:rPr>
                <w:sz w:val="17"/>
                <w:szCs w:val="17"/>
              </w:rPr>
            </w:pPr>
            <w:r w:rsidRPr="00441A11">
              <w:rPr>
                <w:sz w:val="17"/>
                <w:szCs w:val="17"/>
              </w:rPr>
              <w:t>27,979</w:t>
            </w:r>
          </w:p>
        </w:tc>
      </w:tr>
      <w:tr w14:paraId="2EEA0370" w14:textId="77777777" w:rsidTr="009033E5">
        <w:tblPrEx>
          <w:tblW w:w="5000" w:type="pct"/>
          <w:tblLook w:val="04A0"/>
        </w:tblPrEx>
        <w:trPr>
          <w:trHeight w:val="259"/>
        </w:trPr>
        <w:tc>
          <w:tcPr>
            <w:tcW w:w="7653" w:type="dxa"/>
            <w:vAlign w:val="bottom"/>
            <w:hideMark/>
          </w:tcPr>
          <w:p w:rsidR="004A7CEF" w:rsidRPr="00441A11" w:rsidP="00D15DE1" w14:paraId="6D76D339" w14:textId="77777777">
            <w:pPr>
              <w:ind w:firstLine="340" w:firstLineChars="200"/>
              <w:rPr>
                <w:sz w:val="17"/>
                <w:szCs w:val="17"/>
              </w:rPr>
            </w:pPr>
            <w:r w:rsidRPr="00441A11">
              <w:rPr>
                <w:sz w:val="17"/>
                <w:szCs w:val="17"/>
              </w:rPr>
              <w:t>Total other liabilities</w:t>
            </w:r>
          </w:p>
        </w:tc>
        <w:tc>
          <w:tcPr>
            <w:tcW w:w="1685" w:type="dxa"/>
            <w:tcBorders>
              <w:top w:val="single" w:sz="4" w:space="0" w:color="auto"/>
              <w:bottom w:val="single" w:sz="4" w:space="0" w:color="auto"/>
            </w:tcBorders>
            <w:noWrap/>
            <w:vAlign w:val="bottom"/>
            <w:hideMark/>
          </w:tcPr>
          <w:p w:rsidR="004A7CEF" w:rsidRPr="00441A11" w:rsidP="00AD143B" w14:paraId="029230B7" w14:textId="7AC32C45">
            <w:pPr>
              <w:ind w:right="-60"/>
              <w:jc w:val="right"/>
              <w:rPr>
                <w:sz w:val="17"/>
                <w:szCs w:val="17"/>
              </w:rPr>
            </w:pPr>
            <w:r w:rsidRPr="00441A11">
              <w:rPr>
                <w:sz w:val="17"/>
                <w:szCs w:val="17"/>
              </w:rPr>
              <w:t>1,165,739</w:t>
            </w:r>
          </w:p>
        </w:tc>
        <w:tc>
          <w:tcPr>
            <w:tcW w:w="1691" w:type="dxa"/>
            <w:tcBorders>
              <w:top w:val="single" w:sz="4" w:space="0" w:color="auto"/>
              <w:bottom w:val="single" w:sz="4" w:space="0" w:color="auto"/>
            </w:tcBorders>
            <w:noWrap/>
            <w:vAlign w:val="bottom"/>
            <w:hideMark/>
          </w:tcPr>
          <w:p w:rsidR="004A7CEF" w:rsidRPr="00441A11" w:rsidP="00472D8D" w14:paraId="3D638B76" w14:textId="1AF27AC0">
            <w:pPr>
              <w:jc w:val="right"/>
              <w:rPr>
                <w:sz w:val="17"/>
                <w:szCs w:val="17"/>
              </w:rPr>
            </w:pPr>
            <w:r w:rsidRPr="00441A11">
              <w:rPr>
                <w:sz w:val="17"/>
                <w:szCs w:val="17"/>
              </w:rPr>
              <w:t>619,707</w:t>
            </w:r>
          </w:p>
        </w:tc>
      </w:tr>
      <w:tr w14:paraId="5A52A6AF" w14:textId="77777777" w:rsidTr="009033E5">
        <w:tblPrEx>
          <w:tblW w:w="5000" w:type="pct"/>
          <w:tblLook w:val="04A0"/>
        </w:tblPrEx>
        <w:trPr>
          <w:trHeight w:val="259"/>
        </w:trPr>
        <w:tc>
          <w:tcPr>
            <w:tcW w:w="7653" w:type="dxa"/>
            <w:noWrap/>
            <w:vAlign w:val="bottom"/>
            <w:hideMark/>
          </w:tcPr>
          <w:p w:rsidR="004A7CEF" w:rsidRPr="00441A11" w:rsidP="00D15DE1" w14:paraId="6292BACC" w14:textId="77777777">
            <w:pPr>
              <w:ind w:firstLine="170" w:firstLineChars="100"/>
              <w:rPr>
                <w:b/>
                <w:bCs/>
                <w:sz w:val="17"/>
                <w:szCs w:val="17"/>
              </w:rPr>
            </w:pPr>
            <w:r w:rsidRPr="00441A11">
              <w:rPr>
                <w:b/>
                <w:bCs/>
                <w:sz w:val="17"/>
                <w:szCs w:val="17"/>
              </w:rPr>
              <w:t>Total with the public</w:t>
            </w:r>
          </w:p>
        </w:tc>
        <w:tc>
          <w:tcPr>
            <w:tcW w:w="1685" w:type="dxa"/>
            <w:tcBorders>
              <w:top w:val="single" w:sz="4" w:space="0" w:color="auto"/>
              <w:bottom w:val="single" w:sz="4" w:space="0" w:color="auto"/>
            </w:tcBorders>
            <w:noWrap/>
            <w:vAlign w:val="bottom"/>
            <w:hideMark/>
          </w:tcPr>
          <w:p w:rsidR="004A7CEF" w:rsidRPr="00441A11" w:rsidP="00AD143B" w14:paraId="32151F84" w14:textId="2C865717">
            <w:pPr>
              <w:ind w:right="-60"/>
              <w:jc w:val="right"/>
              <w:rPr>
                <w:sz w:val="17"/>
                <w:szCs w:val="17"/>
              </w:rPr>
            </w:pPr>
            <w:r w:rsidRPr="00441A11">
              <w:rPr>
                <w:sz w:val="17"/>
                <w:szCs w:val="17"/>
              </w:rPr>
              <w:t>2,174,730</w:t>
            </w:r>
          </w:p>
        </w:tc>
        <w:tc>
          <w:tcPr>
            <w:tcW w:w="1691" w:type="dxa"/>
            <w:tcBorders>
              <w:top w:val="single" w:sz="4" w:space="0" w:color="auto"/>
              <w:bottom w:val="single" w:sz="4" w:space="0" w:color="auto"/>
            </w:tcBorders>
            <w:noWrap/>
            <w:vAlign w:val="bottom"/>
            <w:hideMark/>
          </w:tcPr>
          <w:p w:rsidR="004A7CEF" w:rsidRPr="00441A11" w:rsidP="00472D8D" w14:paraId="6F66EB02" w14:textId="635BCEAC">
            <w:pPr>
              <w:jc w:val="right"/>
              <w:rPr>
                <w:sz w:val="17"/>
                <w:szCs w:val="17"/>
              </w:rPr>
            </w:pPr>
            <w:r w:rsidRPr="00441A11">
              <w:rPr>
                <w:sz w:val="17"/>
                <w:szCs w:val="17"/>
              </w:rPr>
              <w:t>4,471,862</w:t>
            </w:r>
          </w:p>
        </w:tc>
      </w:tr>
      <w:tr w14:paraId="1910DA61" w14:textId="77777777" w:rsidTr="009033E5">
        <w:tblPrEx>
          <w:tblW w:w="5000" w:type="pct"/>
          <w:tblLook w:val="04A0"/>
        </w:tblPrEx>
        <w:trPr>
          <w:trHeight w:val="259"/>
        </w:trPr>
        <w:tc>
          <w:tcPr>
            <w:tcW w:w="7653" w:type="dxa"/>
            <w:noWrap/>
            <w:vAlign w:val="bottom"/>
            <w:hideMark/>
          </w:tcPr>
          <w:p w:rsidR="004A7CEF" w:rsidRPr="00441A11" w:rsidP="00D15DE1" w14:paraId="2FD16443" w14:textId="77777777">
            <w:pPr>
              <w:rPr>
                <w:b/>
                <w:bCs/>
                <w:sz w:val="17"/>
                <w:szCs w:val="17"/>
              </w:rPr>
            </w:pPr>
            <w:r w:rsidRPr="00441A11">
              <w:rPr>
                <w:b/>
                <w:bCs/>
                <w:sz w:val="17"/>
                <w:szCs w:val="17"/>
              </w:rPr>
              <w:t xml:space="preserve">Total liabilities </w:t>
            </w:r>
          </w:p>
        </w:tc>
        <w:tc>
          <w:tcPr>
            <w:tcW w:w="1685" w:type="dxa"/>
            <w:tcBorders>
              <w:top w:val="single" w:sz="4" w:space="0" w:color="auto"/>
              <w:bottom w:val="double" w:sz="4" w:space="0" w:color="auto"/>
            </w:tcBorders>
            <w:noWrap/>
            <w:vAlign w:val="bottom"/>
            <w:hideMark/>
          </w:tcPr>
          <w:p w:rsidR="004A7CEF" w:rsidRPr="00441A11" w:rsidP="00AD143B" w14:paraId="0F002C45" w14:textId="5EFF824D">
            <w:pPr>
              <w:ind w:right="-60"/>
              <w:jc w:val="right"/>
              <w:rPr>
                <w:sz w:val="17"/>
                <w:szCs w:val="17"/>
              </w:rPr>
            </w:pPr>
            <w:r w:rsidRPr="00441A11">
              <w:rPr>
                <w:sz w:val="17"/>
                <w:szCs w:val="17"/>
              </w:rPr>
              <w:t xml:space="preserve">$ </w:t>
            </w:r>
            <w:r w:rsidR="003B09BD">
              <w:rPr>
                <w:sz w:val="17"/>
                <w:szCs w:val="17"/>
              </w:rPr>
              <w:t xml:space="preserve">         </w:t>
            </w:r>
            <w:r w:rsidRPr="00441A11">
              <w:rPr>
                <w:sz w:val="17"/>
                <w:szCs w:val="17"/>
              </w:rPr>
              <w:t>86,414,840</w:t>
            </w:r>
          </w:p>
        </w:tc>
        <w:tc>
          <w:tcPr>
            <w:tcW w:w="1691" w:type="dxa"/>
            <w:tcBorders>
              <w:top w:val="single" w:sz="4" w:space="0" w:color="auto"/>
              <w:bottom w:val="double" w:sz="4" w:space="0" w:color="auto"/>
            </w:tcBorders>
            <w:noWrap/>
            <w:vAlign w:val="bottom"/>
            <w:hideMark/>
          </w:tcPr>
          <w:p w:rsidR="004A7CEF" w:rsidRPr="00441A11" w:rsidP="00472D8D" w14:paraId="14AF02F3" w14:textId="3F43D584">
            <w:pPr>
              <w:jc w:val="right"/>
              <w:rPr>
                <w:sz w:val="17"/>
                <w:szCs w:val="17"/>
              </w:rPr>
            </w:pPr>
            <w:r w:rsidRPr="00441A11">
              <w:rPr>
                <w:sz w:val="17"/>
                <w:szCs w:val="17"/>
              </w:rPr>
              <w:t>$</w:t>
            </w:r>
            <w:r w:rsidR="00472D8D">
              <w:rPr>
                <w:sz w:val="17"/>
                <w:szCs w:val="17"/>
              </w:rPr>
              <w:t xml:space="preserve">       </w:t>
            </w:r>
            <w:r w:rsidRPr="00441A11">
              <w:rPr>
                <w:sz w:val="17"/>
                <w:szCs w:val="17"/>
              </w:rPr>
              <w:t>12,224,680</w:t>
            </w:r>
          </w:p>
        </w:tc>
      </w:tr>
      <w:tr w14:paraId="36808C2E" w14:textId="77777777" w:rsidTr="009033E5">
        <w:tblPrEx>
          <w:tblW w:w="5000" w:type="pct"/>
          <w:tblLook w:val="04A0"/>
        </w:tblPrEx>
        <w:trPr>
          <w:trHeight w:val="267"/>
        </w:trPr>
        <w:tc>
          <w:tcPr>
            <w:tcW w:w="7653" w:type="dxa"/>
            <w:noWrap/>
            <w:vAlign w:val="bottom"/>
            <w:hideMark/>
          </w:tcPr>
          <w:p w:rsidR="004A7CEF" w:rsidRPr="00441A11" w:rsidP="00C50628" w14:paraId="36967442" w14:textId="77777777">
            <w:pPr>
              <w:rPr>
                <w:b/>
                <w:bCs/>
                <w:sz w:val="17"/>
                <w:szCs w:val="17"/>
              </w:rPr>
            </w:pPr>
            <w:r w:rsidRPr="00441A11">
              <w:rPr>
                <w:b/>
                <w:bCs/>
                <w:sz w:val="17"/>
                <w:szCs w:val="17"/>
              </w:rPr>
              <w:t>Net position:</w:t>
            </w:r>
          </w:p>
        </w:tc>
        <w:tc>
          <w:tcPr>
            <w:tcW w:w="1685" w:type="dxa"/>
            <w:tcBorders>
              <w:top w:val="double" w:sz="4" w:space="0" w:color="auto"/>
            </w:tcBorders>
            <w:noWrap/>
            <w:vAlign w:val="bottom"/>
            <w:hideMark/>
          </w:tcPr>
          <w:p w:rsidR="004A7CEF" w:rsidRPr="00441A11" w:rsidP="00C50628" w14:paraId="44F6EA95" w14:textId="684DB736">
            <w:pPr>
              <w:ind w:right="-60"/>
              <w:jc w:val="right"/>
              <w:rPr>
                <w:sz w:val="17"/>
                <w:szCs w:val="17"/>
              </w:rPr>
            </w:pPr>
          </w:p>
        </w:tc>
        <w:tc>
          <w:tcPr>
            <w:tcW w:w="1691" w:type="dxa"/>
            <w:tcBorders>
              <w:top w:val="double" w:sz="4" w:space="0" w:color="auto"/>
            </w:tcBorders>
            <w:noWrap/>
            <w:vAlign w:val="bottom"/>
            <w:hideMark/>
          </w:tcPr>
          <w:p w:rsidR="004A7CEF" w:rsidRPr="00441A11" w:rsidP="00472D8D" w14:paraId="4F923177" w14:textId="087A9213">
            <w:pPr>
              <w:jc w:val="right"/>
              <w:rPr>
                <w:sz w:val="17"/>
                <w:szCs w:val="17"/>
              </w:rPr>
            </w:pPr>
          </w:p>
        </w:tc>
      </w:tr>
      <w:tr w14:paraId="1D79B7BB" w14:textId="77777777" w:rsidTr="009033E5">
        <w:tblPrEx>
          <w:tblW w:w="5000" w:type="pct"/>
          <w:tblLook w:val="04A0"/>
        </w:tblPrEx>
        <w:trPr>
          <w:trHeight w:val="259"/>
        </w:trPr>
        <w:tc>
          <w:tcPr>
            <w:tcW w:w="7653" w:type="dxa"/>
            <w:noWrap/>
            <w:vAlign w:val="bottom"/>
            <w:hideMark/>
          </w:tcPr>
          <w:p w:rsidR="004A7CEF" w:rsidRPr="00441A11" w:rsidP="00D15DE1" w14:paraId="7C8E9467" w14:textId="77777777">
            <w:pPr>
              <w:ind w:firstLine="170" w:firstLineChars="100"/>
              <w:rPr>
                <w:sz w:val="17"/>
                <w:szCs w:val="17"/>
              </w:rPr>
            </w:pPr>
            <w:r w:rsidRPr="00441A11">
              <w:rPr>
                <w:sz w:val="17"/>
                <w:szCs w:val="17"/>
              </w:rPr>
              <w:t>Unexpended Appropriations-Funds from Dedicated Collections (Note 9)</w:t>
            </w:r>
          </w:p>
        </w:tc>
        <w:tc>
          <w:tcPr>
            <w:tcW w:w="1685" w:type="dxa"/>
            <w:tcBorders>
              <w:bottom w:val="nil"/>
            </w:tcBorders>
            <w:noWrap/>
            <w:vAlign w:val="bottom"/>
            <w:hideMark/>
          </w:tcPr>
          <w:p w:rsidR="004A7CEF" w:rsidRPr="00441A11" w:rsidP="00AD143B" w14:paraId="04E02F81" w14:textId="524D5CFC">
            <w:pPr>
              <w:ind w:right="-60"/>
              <w:jc w:val="right"/>
              <w:rPr>
                <w:sz w:val="17"/>
                <w:szCs w:val="17"/>
              </w:rPr>
            </w:pPr>
            <w:r w:rsidRPr="00441A11">
              <w:rPr>
                <w:sz w:val="17"/>
                <w:szCs w:val="17"/>
              </w:rPr>
              <w:t xml:space="preserve">$ </w:t>
            </w:r>
            <w:r>
              <w:rPr>
                <w:sz w:val="17"/>
                <w:szCs w:val="17"/>
              </w:rPr>
              <w:t xml:space="preserve">              </w:t>
            </w:r>
            <w:r w:rsidRPr="005121F6">
              <w:rPr>
                <w:sz w:val="17"/>
                <w:szCs w:val="17"/>
              </w:rPr>
              <w:t>819,020</w:t>
            </w:r>
          </w:p>
        </w:tc>
        <w:tc>
          <w:tcPr>
            <w:tcW w:w="1691" w:type="dxa"/>
            <w:tcBorders>
              <w:bottom w:val="nil"/>
            </w:tcBorders>
            <w:noWrap/>
            <w:vAlign w:val="bottom"/>
            <w:hideMark/>
          </w:tcPr>
          <w:p w:rsidR="004A7CEF" w:rsidRPr="00441A11" w:rsidP="00472D8D" w14:paraId="278B138C" w14:textId="2D54342F">
            <w:pPr>
              <w:jc w:val="right"/>
              <w:rPr>
                <w:sz w:val="17"/>
                <w:szCs w:val="17"/>
              </w:rPr>
            </w:pPr>
            <w:r w:rsidRPr="00441A11">
              <w:rPr>
                <w:sz w:val="17"/>
                <w:szCs w:val="17"/>
              </w:rPr>
              <w:t>$</w:t>
            </w:r>
            <w:r w:rsidR="00472D8D">
              <w:rPr>
                <w:sz w:val="17"/>
                <w:szCs w:val="17"/>
              </w:rPr>
              <w:t xml:space="preserve">           </w:t>
            </w:r>
            <w:r w:rsidRPr="00441A11">
              <w:rPr>
                <w:sz w:val="17"/>
                <w:szCs w:val="17"/>
              </w:rPr>
              <w:t xml:space="preserve"> 857,848</w:t>
            </w:r>
          </w:p>
        </w:tc>
      </w:tr>
      <w:tr w14:paraId="63CEFA47" w14:textId="77777777" w:rsidTr="009033E5">
        <w:tblPrEx>
          <w:tblW w:w="5000" w:type="pct"/>
          <w:tblLook w:val="04A0"/>
        </w:tblPrEx>
        <w:trPr>
          <w:trHeight w:val="259"/>
        </w:trPr>
        <w:tc>
          <w:tcPr>
            <w:tcW w:w="7653" w:type="dxa"/>
            <w:noWrap/>
            <w:vAlign w:val="bottom"/>
            <w:hideMark/>
          </w:tcPr>
          <w:p w:rsidR="004A7CEF" w:rsidRPr="00441A11" w:rsidP="00D15DE1" w14:paraId="618A3A8D" w14:textId="77777777">
            <w:pPr>
              <w:ind w:firstLine="170" w:firstLineChars="100"/>
              <w:rPr>
                <w:sz w:val="17"/>
                <w:szCs w:val="17"/>
              </w:rPr>
            </w:pPr>
            <w:r w:rsidRPr="00441A11">
              <w:rPr>
                <w:sz w:val="17"/>
                <w:szCs w:val="17"/>
              </w:rPr>
              <w:t>Unexpended Appropriations-Funds from other than Dedicated Collections</w:t>
            </w:r>
          </w:p>
        </w:tc>
        <w:tc>
          <w:tcPr>
            <w:tcW w:w="1685" w:type="dxa"/>
            <w:tcBorders>
              <w:top w:val="nil"/>
              <w:bottom w:val="single" w:sz="4" w:space="0" w:color="auto"/>
            </w:tcBorders>
            <w:noWrap/>
            <w:vAlign w:val="bottom"/>
            <w:hideMark/>
          </w:tcPr>
          <w:p w:rsidR="004A7CEF" w:rsidRPr="00441A11" w:rsidP="00AD143B" w14:paraId="0EF52737" w14:textId="2FD2741C">
            <w:pPr>
              <w:ind w:right="-60"/>
              <w:jc w:val="right"/>
              <w:rPr>
                <w:sz w:val="17"/>
                <w:szCs w:val="17"/>
              </w:rPr>
            </w:pPr>
            <w:r w:rsidRPr="00441A11">
              <w:rPr>
                <w:sz w:val="17"/>
                <w:szCs w:val="17"/>
              </w:rPr>
              <w:t>11,728,689</w:t>
            </w:r>
          </w:p>
        </w:tc>
        <w:tc>
          <w:tcPr>
            <w:tcW w:w="1691" w:type="dxa"/>
            <w:tcBorders>
              <w:top w:val="nil"/>
              <w:bottom w:val="single" w:sz="4" w:space="0" w:color="auto"/>
            </w:tcBorders>
            <w:noWrap/>
            <w:vAlign w:val="bottom"/>
            <w:hideMark/>
          </w:tcPr>
          <w:p w:rsidR="004A7CEF" w:rsidRPr="00441A11" w:rsidP="00472D8D" w14:paraId="6DEE2359" w14:textId="70E3571F">
            <w:pPr>
              <w:jc w:val="right"/>
              <w:rPr>
                <w:sz w:val="17"/>
                <w:szCs w:val="17"/>
              </w:rPr>
            </w:pPr>
            <w:r w:rsidRPr="00441A11">
              <w:rPr>
                <w:sz w:val="17"/>
                <w:szCs w:val="17"/>
              </w:rPr>
              <w:t>150,738</w:t>
            </w:r>
          </w:p>
        </w:tc>
      </w:tr>
      <w:tr w14:paraId="1790E51F" w14:textId="77777777" w:rsidTr="009033E5">
        <w:tblPrEx>
          <w:tblW w:w="5000" w:type="pct"/>
          <w:tblLook w:val="04A0"/>
        </w:tblPrEx>
        <w:trPr>
          <w:trHeight w:val="259"/>
        </w:trPr>
        <w:tc>
          <w:tcPr>
            <w:tcW w:w="7653" w:type="dxa"/>
            <w:noWrap/>
            <w:vAlign w:val="bottom"/>
            <w:hideMark/>
          </w:tcPr>
          <w:p w:rsidR="004A7CEF" w:rsidRPr="00441A11" w:rsidP="00D15DE1" w14:paraId="166453D5" w14:textId="77777777">
            <w:pPr>
              <w:ind w:firstLine="170" w:firstLineChars="100"/>
              <w:rPr>
                <w:sz w:val="17"/>
                <w:szCs w:val="17"/>
              </w:rPr>
            </w:pPr>
            <w:r w:rsidRPr="00441A11">
              <w:rPr>
                <w:sz w:val="17"/>
                <w:szCs w:val="17"/>
              </w:rPr>
              <w:t>Total Unexpended Appropriations (Consolidated)</w:t>
            </w:r>
          </w:p>
        </w:tc>
        <w:tc>
          <w:tcPr>
            <w:tcW w:w="1685" w:type="dxa"/>
            <w:tcBorders>
              <w:top w:val="single" w:sz="4" w:space="0" w:color="auto"/>
            </w:tcBorders>
            <w:noWrap/>
            <w:vAlign w:val="bottom"/>
            <w:hideMark/>
          </w:tcPr>
          <w:p w:rsidR="004A7CEF" w:rsidRPr="00441A11" w:rsidP="00AD143B" w14:paraId="21F0C449" w14:textId="37BD34CF">
            <w:pPr>
              <w:ind w:right="-60"/>
              <w:jc w:val="right"/>
              <w:rPr>
                <w:sz w:val="17"/>
                <w:szCs w:val="17"/>
              </w:rPr>
            </w:pPr>
            <w:r w:rsidRPr="00441A11">
              <w:rPr>
                <w:sz w:val="17"/>
                <w:szCs w:val="17"/>
              </w:rPr>
              <w:t>12,547,709</w:t>
            </w:r>
          </w:p>
        </w:tc>
        <w:tc>
          <w:tcPr>
            <w:tcW w:w="1691" w:type="dxa"/>
            <w:tcBorders>
              <w:top w:val="single" w:sz="4" w:space="0" w:color="auto"/>
            </w:tcBorders>
            <w:noWrap/>
            <w:vAlign w:val="bottom"/>
            <w:hideMark/>
          </w:tcPr>
          <w:p w:rsidR="004A7CEF" w:rsidRPr="00441A11" w:rsidP="00472D8D" w14:paraId="2CA6D6F3" w14:textId="5C923CDE">
            <w:pPr>
              <w:jc w:val="right"/>
              <w:rPr>
                <w:sz w:val="17"/>
                <w:szCs w:val="17"/>
              </w:rPr>
            </w:pPr>
            <w:r w:rsidRPr="00441A11">
              <w:rPr>
                <w:sz w:val="17"/>
                <w:szCs w:val="17"/>
              </w:rPr>
              <w:t>1,008,586</w:t>
            </w:r>
          </w:p>
        </w:tc>
      </w:tr>
      <w:tr w14:paraId="532B8763" w14:textId="77777777" w:rsidTr="009033E5">
        <w:tblPrEx>
          <w:tblW w:w="5000" w:type="pct"/>
          <w:tblLook w:val="04A0"/>
        </w:tblPrEx>
        <w:trPr>
          <w:trHeight w:val="259"/>
        </w:trPr>
        <w:tc>
          <w:tcPr>
            <w:tcW w:w="7653" w:type="dxa"/>
            <w:noWrap/>
            <w:vAlign w:val="bottom"/>
            <w:hideMark/>
          </w:tcPr>
          <w:p w:rsidR="004A7CEF" w:rsidRPr="00441A11" w:rsidP="00D15DE1" w14:paraId="2CB29C9F" w14:textId="77777777">
            <w:pPr>
              <w:ind w:firstLine="170" w:firstLineChars="100"/>
              <w:rPr>
                <w:sz w:val="17"/>
                <w:szCs w:val="17"/>
              </w:rPr>
            </w:pPr>
            <w:r w:rsidRPr="00441A11">
              <w:rPr>
                <w:sz w:val="17"/>
                <w:szCs w:val="17"/>
              </w:rPr>
              <w:t>Cumulative Results of Operations-Funds from Dedicated Collections (Note 9)</w:t>
            </w:r>
          </w:p>
        </w:tc>
        <w:tc>
          <w:tcPr>
            <w:tcW w:w="1685" w:type="dxa"/>
            <w:noWrap/>
            <w:vAlign w:val="bottom"/>
            <w:hideMark/>
          </w:tcPr>
          <w:p w:rsidR="004A7CEF" w:rsidRPr="00441A11" w:rsidP="00AD143B" w14:paraId="5B2F48BE" w14:textId="709FAC7B">
            <w:pPr>
              <w:ind w:right="-60"/>
              <w:jc w:val="right"/>
              <w:rPr>
                <w:sz w:val="17"/>
                <w:szCs w:val="17"/>
              </w:rPr>
            </w:pPr>
            <w:r w:rsidRPr="00441A11">
              <w:rPr>
                <w:sz w:val="17"/>
                <w:szCs w:val="17"/>
              </w:rPr>
              <w:t xml:space="preserve"> 6,948,472</w:t>
            </w:r>
          </w:p>
        </w:tc>
        <w:tc>
          <w:tcPr>
            <w:tcW w:w="1691" w:type="dxa"/>
            <w:noWrap/>
            <w:vAlign w:val="bottom"/>
            <w:hideMark/>
          </w:tcPr>
          <w:p w:rsidR="004A7CEF" w:rsidRPr="00441A11" w:rsidP="00472D8D" w14:paraId="400677B7" w14:textId="7135ED2F">
            <w:pPr>
              <w:jc w:val="right"/>
              <w:rPr>
                <w:sz w:val="17"/>
                <w:szCs w:val="17"/>
              </w:rPr>
            </w:pPr>
            <w:r w:rsidRPr="00441A11">
              <w:rPr>
                <w:sz w:val="17"/>
                <w:szCs w:val="17"/>
              </w:rPr>
              <w:t>6,251,781</w:t>
            </w:r>
          </w:p>
        </w:tc>
      </w:tr>
      <w:tr w14:paraId="24050589" w14:textId="77777777" w:rsidTr="009033E5">
        <w:tblPrEx>
          <w:tblW w:w="5000" w:type="pct"/>
          <w:tblLook w:val="04A0"/>
        </w:tblPrEx>
        <w:trPr>
          <w:trHeight w:val="259"/>
        </w:trPr>
        <w:tc>
          <w:tcPr>
            <w:tcW w:w="7653" w:type="dxa"/>
            <w:noWrap/>
            <w:vAlign w:val="bottom"/>
            <w:hideMark/>
          </w:tcPr>
          <w:p w:rsidR="004A7CEF" w:rsidRPr="00441A11" w:rsidP="00D15DE1" w14:paraId="47F5CDFC" w14:textId="77777777">
            <w:pPr>
              <w:ind w:firstLine="170" w:firstLineChars="100"/>
              <w:rPr>
                <w:sz w:val="17"/>
                <w:szCs w:val="17"/>
              </w:rPr>
            </w:pPr>
            <w:r w:rsidRPr="00441A11">
              <w:rPr>
                <w:sz w:val="17"/>
                <w:szCs w:val="17"/>
              </w:rPr>
              <w:t>Cumulative Results of Operations-Funds from other than Dedicated Collections</w:t>
            </w:r>
          </w:p>
        </w:tc>
        <w:tc>
          <w:tcPr>
            <w:tcW w:w="1685" w:type="dxa"/>
            <w:tcBorders>
              <w:bottom w:val="single" w:sz="4" w:space="0" w:color="auto"/>
            </w:tcBorders>
            <w:noWrap/>
            <w:vAlign w:val="bottom"/>
            <w:hideMark/>
          </w:tcPr>
          <w:p w:rsidR="004A7CEF" w:rsidRPr="00441A11" w:rsidP="00AD143B" w14:paraId="3BEC2167" w14:textId="38A8EF3C">
            <w:pPr>
              <w:ind w:right="-60"/>
              <w:jc w:val="right"/>
              <w:rPr>
                <w:sz w:val="17"/>
                <w:szCs w:val="17"/>
              </w:rPr>
            </w:pPr>
            <w:r w:rsidRPr="00441A11">
              <w:rPr>
                <w:sz w:val="17"/>
                <w:szCs w:val="17"/>
              </w:rPr>
              <w:t>229,066</w:t>
            </w:r>
          </w:p>
        </w:tc>
        <w:tc>
          <w:tcPr>
            <w:tcW w:w="1691" w:type="dxa"/>
            <w:tcBorders>
              <w:bottom w:val="single" w:sz="4" w:space="0" w:color="auto"/>
            </w:tcBorders>
            <w:noWrap/>
            <w:vAlign w:val="bottom"/>
            <w:hideMark/>
          </w:tcPr>
          <w:p w:rsidR="004A7CEF" w:rsidRPr="00441A11" w:rsidP="00472D8D" w14:paraId="6CCA32A0" w14:textId="3CD90A6D">
            <w:pPr>
              <w:jc w:val="right"/>
              <w:rPr>
                <w:sz w:val="17"/>
                <w:szCs w:val="17"/>
              </w:rPr>
            </w:pPr>
            <w:r w:rsidRPr="00441A11">
              <w:rPr>
                <w:sz w:val="17"/>
                <w:szCs w:val="17"/>
              </w:rPr>
              <w:t>191,954</w:t>
            </w:r>
          </w:p>
        </w:tc>
      </w:tr>
      <w:tr w14:paraId="0A70BE5D" w14:textId="77777777" w:rsidTr="009033E5">
        <w:tblPrEx>
          <w:tblW w:w="5000" w:type="pct"/>
          <w:tblLook w:val="04A0"/>
        </w:tblPrEx>
        <w:trPr>
          <w:trHeight w:val="259"/>
        </w:trPr>
        <w:tc>
          <w:tcPr>
            <w:tcW w:w="7653" w:type="dxa"/>
            <w:noWrap/>
            <w:vAlign w:val="bottom"/>
            <w:hideMark/>
          </w:tcPr>
          <w:p w:rsidR="004A7CEF" w:rsidRPr="00441A11" w:rsidP="00D15DE1" w14:paraId="6FB21156" w14:textId="77777777">
            <w:pPr>
              <w:ind w:firstLine="170" w:firstLineChars="100"/>
              <w:rPr>
                <w:sz w:val="17"/>
                <w:szCs w:val="17"/>
              </w:rPr>
            </w:pPr>
            <w:r w:rsidRPr="00441A11">
              <w:rPr>
                <w:sz w:val="17"/>
                <w:szCs w:val="17"/>
              </w:rPr>
              <w:t>Total Cumulative Results of Operations (Consolidated)</w:t>
            </w:r>
          </w:p>
        </w:tc>
        <w:tc>
          <w:tcPr>
            <w:tcW w:w="1685" w:type="dxa"/>
            <w:tcBorders>
              <w:top w:val="single" w:sz="4" w:space="0" w:color="auto"/>
              <w:bottom w:val="single" w:sz="4" w:space="0" w:color="auto"/>
            </w:tcBorders>
            <w:noWrap/>
            <w:vAlign w:val="bottom"/>
            <w:hideMark/>
          </w:tcPr>
          <w:p w:rsidR="004A7CEF" w:rsidRPr="00441A11" w:rsidP="00AD143B" w14:paraId="1D5015C4" w14:textId="43EE90B6">
            <w:pPr>
              <w:ind w:right="-60"/>
              <w:jc w:val="right"/>
              <w:rPr>
                <w:sz w:val="17"/>
                <w:szCs w:val="17"/>
              </w:rPr>
            </w:pPr>
            <w:r w:rsidRPr="00441A11">
              <w:rPr>
                <w:sz w:val="17"/>
                <w:szCs w:val="17"/>
              </w:rPr>
              <w:t>7,177,538</w:t>
            </w:r>
          </w:p>
        </w:tc>
        <w:tc>
          <w:tcPr>
            <w:tcW w:w="1691" w:type="dxa"/>
            <w:tcBorders>
              <w:top w:val="single" w:sz="4" w:space="0" w:color="auto"/>
              <w:bottom w:val="single" w:sz="4" w:space="0" w:color="auto"/>
            </w:tcBorders>
            <w:noWrap/>
            <w:vAlign w:val="bottom"/>
            <w:hideMark/>
          </w:tcPr>
          <w:p w:rsidR="004A7CEF" w:rsidRPr="00441A11" w:rsidP="00472D8D" w14:paraId="245FCE0E" w14:textId="6D71D63B">
            <w:pPr>
              <w:jc w:val="right"/>
              <w:rPr>
                <w:sz w:val="17"/>
                <w:szCs w:val="17"/>
              </w:rPr>
            </w:pPr>
            <w:r w:rsidRPr="00441A11">
              <w:rPr>
                <w:sz w:val="17"/>
                <w:szCs w:val="17"/>
              </w:rPr>
              <w:t>6,443,735</w:t>
            </w:r>
          </w:p>
        </w:tc>
      </w:tr>
      <w:tr w14:paraId="2CC91429" w14:textId="77777777" w:rsidTr="009033E5">
        <w:tblPrEx>
          <w:tblW w:w="5000" w:type="pct"/>
          <w:tblLook w:val="04A0"/>
        </w:tblPrEx>
        <w:trPr>
          <w:trHeight w:val="259"/>
        </w:trPr>
        <w:tc>
          <w:tcPr>
            <w:tcW w:w="7653" w:type="dxa"/>
            <w:tcBorders>
              <w:bottom w:val="nil"/>
            </w:tcBorders>
            <w:noWrap/>
            <w:vAlign w:val="bottom"/>
            <w:hideMark/>
          </w:tcPr>
          <w:p w:rsidR="004A7CEF" w:rsidRPr="00441A11" w:rsidP="00D15DE1" w14:paraId="2243B002" w14:textId="77777777">
            <w:pPr>
              <w:rPr>
                <w:b/>
                <w:bCs/>
                <w:sz w:val="17"/>
                <w:szCs w:val="17"/>
              </w:rPr>
            </w:pPr>
            <w:r w:rsidRPr="00441A11">
              <w:rPr>
                <w:b/>
                <w:bCs/>
                <w:sz w:val="17"/>
                <w:szCs w:val="17"/>
              </w:rPr>
              <w:t>Total net position</w:t>
            </w:r>
          </w:p>
        </w:tc>
        <w:tc>
          <w:tcPr>
            <w:tcW w:w="1685" w:type="dxa"/>
            <w:tcBorders>
              <w:top w:val="single" w:sz="4" w:space="0" w:color="auto"/>
              <w:bottom w:val="single" w:sz="4" w:space="0" w:color="auto"/>
            </w:tcBorders>
            <w:noWrap/>
            <w:vAlign w:val="bottom"/>
            <w:hideMark/>
          </w:tcPr>
          <w:p w:rsidR="004A7CEF" w:rsidRPr="00441A11" w:rsidP="00AD143B" w14:paraId="19C3F560" w14:textId="32326DA2">
            <w:pPr>
              <w:ind w:right="-60"/>
              <w:jc w:val="right"/>
              <w:rPr>
                <w:sz w:val="17"/>
                <w:szCs w:val="17"/>
              </w:rPr>
            </w:pPr>
            <w:r w:rsidRPr="00441A11">
              <w:rPr>
                <w:sz w:val="17"/>
                <w:szCs w:val="17"/>
              </w:rPr>
              <w:t>19,725,247</w:t>
            </w:r>
          </w:p>
        </w:tc>
        <w:tc>
          <w:tcPr>
            <w:tcW w:w="1691" w:type="dxa"/>
            <w:tcBorders>
              <w:top w:val="single" w:sz="4" w:space="0" w:color="auto"/>
              <w:bottom w:val="single" w:sz="4" w:space="0" w:color="auto"/>
            </w:tcBorders>
            <w:noWrap/>
            <w:vAlign w:val="bottom"/>
            <w:hideMark/>
          </w:tcPr>
          <w:p w:rsidR="004A7CEF" w:rsidRPr="00441A11" w:rsidP="00472D8D" w14:paraId="0DA923A4" w14:textId="43347F15">
            <w:pPr>
              <w:jc w:val="right"/>
              <w:rPr>
                <w:sz w:val="17"/>
                <w:szCs w:val="17"/>
              </w:rPr>
            </w:pPr>
            <w:r w:rsidRPr="00441A11">
              <w:rPr>
                <w:sz w:val="17"/>
                <w:szCs w:val="17"/>
              </w:rPr>
              <w:t>7,452,321</w:t>
            </w:r>
          </w:p>
        </w:tc>
      </w:tr>
      <w:tr w14:paraId="4ABB87FB" w14:textId="77777777" w:rsidTr="009033E5">
        <w:tblPrEx>
          <w:tblW w:w="5000" w:type="pct"/>
          <w:tblLook w:val="04A0"/>
        </w:tblPrEx>
        <w:trPr>
          <w:trHeight w:val="259"/>
        </w:trPr>
        <w:tc>
          <w:tcPr>
            <w:tcW w:w="7653" w:type="dxa"/>
            <w:tcBorders>
              <w:top w:val="nil"/>
              <w:bottom w:val="nil"/>
            </w:tcBorders>
            <w:noWrap/>
            <w:vAlign w:val="bottom"/>
            <w:hideMark/>
          </w:tcPr>
          <w:p w:rsidR="004A7CEF" w:rsidRPr="00441A11" w:rsidP="00D15DE1" w14:paraId="39172A9B" w14:textId="77777777">
            <w:pPr>
              <w:rPr>
                <w:b/>
                <w:bCs/>
                <w:sz w:val="17"/>
                <w:szCs w:val="17"/>
              </w:rPr>
            </w:pPr>
            <w:r w:rsidRPr="00441A11">
              <w:rPr>
                <w:b/>
                <w:bCs/>
                <w:sz w:val="17"/>
                <w:szCs w:val="17"/>
              </w:rPr>
              <w:t>Total liabilities and net position</w:t>
            </w:r>
          </w:p>
        </w:tc>
        <w:tc>
          <w:tcPr>
            <w:tcW w:w="1685" w:type="dxa"/>
            <w:tcBorders>
              <w:top w:val="single" w:sz="4" w:space="0" w:color="auto"/>
              <w:bottom w:val="single" w:sz="4" w:space="0" w:color="auto"/>
            </w:tcBorders>
            <w:noWrap/>
            <w:vAlign w:val="bottom"/>
            <w:hideMark/>
          </w:tcPr>
          <w:p w:rsidR="004A7CEF" w:rsidRPr="00441A11" w:rsidP="00AD143B" w14:paraId="48CA619D" w14:textId="60CD0834">
            <w:pPr>
              <w:ind w:right="-60"/>
              <w:jc w:val="right"/>
              <w:rPr>
                <w:sz w:val="17"/>
                <w:szCs w:val="17"/>
              </w:rPr>
            </w:pPr>
            <w:r w:rsidRPr="00441A11">
              <w:rPr>
                <w:sz w:val="17"/>
                <w:szCs w:val="17"/>
              </w:rPr>
              <w:t>$</w:t>
            </w:r>
            <w:r>
              <w:rPr>
                <w:sz w:val="17"/>
                <w:szCs w:val="17"/>
              </w:rPr>
              <w:t xml:space="preserve">  </w:t>
            </w:r>
            <w:r w:rsidRPr="00441A11">
              <w:rPr>
                <w:sz w:val="17"/>
                <w:szCs w:val="17"/>
              </w:rPr>
              <w:t xml:space="preserve"> </w:t>
            </w:r>
            <w:r>
              <w:rPr>
                <w:sz w:val="17"/>
                <w:szCs w:val="17"/>
              </w:rPr>
              <w:t xml:space="preserve">     </w:t>
            </w:r>
            <w:r w:rsidRPr="00441A11">
              <w:rPr>
                <w:sz w:val="17"/>
                <w:szCs w:val="17"/>
              </w:rPr>
              <w:t>106,140,087</w:t>
            </w:r>
          </w:p>
        </w:tc>
        <w:tc>
          <w:tcPr>
            <w:tcW w:w="1691" w:type="dxa"/>
            <w:tcBorders>
              <w:top w:val="single" w:sz="4" w:space="0" w:color="auto"/>
              <w:bottom w:val="single" w:sz="4" w:space="0" w:color="auto"/>
            </w:tcBorders>
            <w:noWrap/>
            <w:vAlign w:val="bottom"/>
            <w:hideMark/>
          </w:tcPr>
          <w:p w:rsidR="004A7CEF" w:rsidRPr="00441A11" w:rsidP="00472D8D" w14:paraId="170F8DB1" w14:textId="3DB7DA73">
            <w:pPr>
              <w:jc w:val="right"/>
              <w:rPr>
                <w:sz w:val="17"/>
                <w:szCs w:val="17"/>
              </w:rPr>
            </w:pPr>
            <w:r w:rsidRPr="00441A11">
              <w:rPr>
                <w:sz w:val="17"/>
                <w:szCs w:val="17"/>
              </w:rPr>
              <w:t>$</w:t>
            </w:r>
            <w:r w:rsidRPr="00441A11" w:rsidR="00472D8D">
              <w:rPr>
                <w:sz w:val="17"/>
                <w:szCs w:val="17"/>
              </w:rPr>
              <w:t xml:space="preserve"> </w:t>
            </w:r>
            <w:r w:rsidR="00472D8D">
              <w:rPr>
                <w:sz w:val="17"/>
                <w:szCs w:val="17"/>
              </w:rPr>
              <w:t xml:space="preserve">      </w:t>
            </w:r>
            <w:r w:rsidRPr="00441A11">
              <w:rPr>
                <w:sz w:val="17"/>
                <w:szCs w:val="17"/>
              </w:rPr>
              <w:t>19,677,001</w:t>
            </w:r>
          </w:p>
        </w:tc>
      </w:tr>
    </w:tbl>
    <w:bookmarkEnd w:id="145"/>
    <w:p w:rsidR="00285D06" w:rsidRPr="000621B8" w:rsidP="003609BD" w14:paraId="35A0F528" w14:textId="77777777">
      <w:pPr>
        <w:widowControl w:val="0"/>
        <w:overflowPunct w:val="0"/>
        <w:autoSpaceDE w:val="0"/>
        <w:autoSpaceDN w:val="0"/>
        <w:adjustRightInd w:val="0"/>
        <w:spacing w:before="200"/>
        <w:jc w:val="center"/>
        <w:textAlignment w:val="baseline"/>
        <w:rPr>
          <w:sz w:val="22"/>
          <w:szCs w:val="22"/>
        </w:rPr>
        <w:sectPr w:rsidSect="005624FF">
          <w:headerReference w:type="default" r:id="rId65"/>
          <w:footerReference w:type="default" r:id="rId66"/>
          <w:pgSz w:w="12240" w:h="15840" w:code="1"/>
          <w:pgMar w:top="1260" w:right="1440" w:bottom="1354" w:left="1440" w:header="446" w:footer="720" w:gutter="0"/>
          <w:cols w:space="720"/>
        </w:sectPr>
      </w:pPr>
      <w:r w:rsidRPr="000621B8">
        <w:rPr>
          <w:sz w:val="22"/>
          <w:szCs w:val="22"/>
        </w:rPr>
        <w:t>The accompanying notes are an integral part of these statements.</w:t>
      </w:r>
    </w:p>
    <w:p w:rsidR="00285D06" w:rsidRPr="00FF308D" w:rsidP="006916E1" w14:paraId="7AE9DDB7" w14:textId="77777777">
      <w:pPr>
        <w:rPr>
          <w:b/>
          <w:bCs/>
        </w:rPr>
      </w:pPr>
      <w:r w:rsidRPr="00FF308D">
        <w:rPr>
          <w:b/>
          <w:bCs/>
        </w:rPr>
        <w:t>Federal Communications Commission</w:t>
      </w:r>
    </w:p>
    <w:p w:rsidR="00285D06" w:rsidRPr="00710676" w:rsidP="00FF308D" w14:paraId="78EBA725" w14:textId="77777777">
      <w:pPr>
        <w:pStyle w:val="Heading4"/>
        <w:spacing w:after="0"/>
      </w:pPr>
      <w:bookmarkStart w:id="146" w:name="_Toc54589762"/>
      <w:bookmarkStart w:id="147" w:name="_Toc88780672"/>
      <w:r w:rsidRPr="00710676">
        <w:t>Consolidated Statements of Net Cost</w:t>
      </w:r>
      <w:bookmarkEnd w:id="137"/>
      <w:bookmarkEnd w:id="138"/>
      <w:bookmarkEnd w:id="139"/>
      <w:bookmarkEnd w:id="140"/>
      <w:bookmarkEnd w:id="141"/>
      <w:bookmarkEnd w:id="142"/>
      <w:bookmarkEnd w:id="146"/>
      <w:bookmarkEnd w:id="147"/>
    </w:p>
    <w:p w:rsidR="00285D06" w:rsidRPr="000621B8" w:rsidP="00285D06" w14:paraId="0378256A" w14:textId="77777777">
      <w:pPr>
        <w:widowControl w:val="0"/>
        <w:overflowPunct w:val="0"/>
        <w:autoSpaceDE w:val="0"/>
        <w:autoSpaceDN w:val="0"/>
        <w:adjustRightInd w:val="0"/>
        <w:jc w:val="both"/>
        <w:textAlignment w:val="baseline"/>
        <w:rPr>
          <w:sz w:val="22"/>
          <w:szCs w:val="22"/>
        </w:rPr>
      </w:pPr>
      <w:bookmarkStart w:id="148" w:name="_Toc65325542"/>
      <w:bookmarkStart w:id="149" w:name="_Toc65325543"/>
      <w:bookmarkStart w:id="150" w:name="_Toc65548727"/>
      <w:bookmarkStart w:id="151" w:name="_Toc73190391"/>
      <w:bookmarkStart w:id="152" w:name="_Toc73190392"/>
      <w:bookmarkEnd w:id="143"/>
      <w:bookmarkEnd w:id="144"/>
      <w:r w:rsidRPr="000621B8">
        <w:rPr>
          <w:sz w:val="22"/>
          <w:szCs w:val="22"/>
        </w:rPr>
        <w:t xml:space="preserve">For the </w:t>
      </w:r>
      <w:r>
        <w:rPr>
          <w:sz w:val="22"/>
          <w:szCs w:val="22"/>
        </w:rPr>
        <w:t>Years Ended September 30, 2021</w:t>
      </w:r>
      <w:r w:rsidRPr="005453C0">
        <w:rPr>
          <w:sz w:val="22"/>
          <w:szCs w:val="22"/>
        </w:rPr>
        <w:t xml:space="preserve"> and </w:t>
      </w:r>
      <w:r>
        <w:rPr>
          <w:sz w:val="22"/>
          <w:szCs w:val="22"/>
        </w:rPr>
        <w:t>September 30, 2020</w:t>
      </w:r>
    </w:p>
    <w:p w:rsidR="00285D06" w:rsidRPr="000621B8" w:rsidP="00CF7579" w14:paraId="3340076F" w14:textId="77777777">
      <w:pPr>
        <w:widowControl w:val="0"/>
        <w:overflowPunct w:val="0"/>
        <w:autoSpaceDE w:val="0"/>
        <w:autoSpaceDN w:val="0"/>
        <w:adjustRightInd w:val="0"/>
        <w:spacing w:after="840"/>
        <w:jc w:val="both"/>
        <w:textAlignment w:val="baseline"/>
        <w:rPr>
          <w:sz w:val="22"/>
          <w:szCs w:val="22"/>
        </w:rPr>
      </w:pPr>
      <w:r w:rsidRPr="000621B8">
        <w:rPr>
          <w:sz w:val="22"/>
          <w:szCs w:val="22"/>
        </w:rPr>
        <w:t>(Dollars in thousands)</w:t>
      </w:r>
    </w:p>
    <w:tbl>
      <w:tblPr>
        <w:tblStyle w:val="PlainTable2"/>
        <w:tblW w:w="5000" w:type="pct"/>
        <w:tblBorders>
          <w:top w:val="none" w:sz="0" w:space="0" w:color="auto"/>
          <w:bottom w:val="none" w:sz="0" w:space="0" w:color="auto"/>
        </w:tblBorders>
        <w:tblLook w:val="04A0"/>
      </w:tblPr>
      <w:tblGrid>
        <w:gridCol w:w="6660"/>
        <w:gridCol w:w="1440"/>
        <w:gridCol w:w="1260"/>
      </w:tblGrid>
      <w:tr w14:paraId="2845ED59" w14:textId="77777777" w:rsidTr="004F382B">
        <w:tblPrEx>
          <w:tblW w:w="5000" w:type="pct"/>
          <w:tblBorders>
            <w:top w:val="none" w:sz="0" w:space="0" w:color="auto"/>
            <w:bottom w:val="none" w:sz="0" w:space="0" w:color="auto"/>
          </w:tblBorders>
          <w:tblLook w:val="04A0"/>
        </w:tblPrEx>
        <w:trPr>
          <w:trHeight w:val="288"/>
        </w:trPr>
        <w:tc>
          <w:tcPr>
            <w:tcW w:w="6660" w:type="dxa"/>
            <w:tcBorders>
              <w:bottom w:val="none" w:sz="0" w:space="0" w:color="auto"/>
            </w:tcBorders>
            <w:noWrap/>
            <w:vAlign w:val="bottom"/>
            <w:hideMark/>
          </w:tcPr>
          <w:p w:rsidR="00DE64C9" w:rsidRPr="00EE2665" w:rsidP="00A73D25" w14:paraId="75377A02" w14:textId="77777777">
            <w:pPr>
              <w:rPr>
                <w:rFonts w:ascii="Times New Roman" w:hAnsi="Times New Roman" w:cs="Times New Roman"/>
                <w:sz w:val="18"/>
                <w:szCs w:val="18"/>
              </w:rPr>
            </w:pPr>
            <w:bookmarkStart w:id="153" w:name="_Hlk88746430"/>
          </w:p>
        </w:tc>
        <w:tc>
          <w:tcPr>
            <w:tcW w:w="1440" w:type="dxa"/>
            <w:tcBorders>
              <w:bottom w:val="single" w:sz="8" w:space="0" w:color="000000"/>
            </w:tcBorders>
            <w:noWrap/>
            <w:vAlign w:val="bottom"/>
            <w:hideMark/>
          </w:tcPr>
          <w:p w:rsidR="00DE64C9" w:rsidRPr="00EE2665" w:rsidP="00E47818" w14:paraId="6C50915D" w14:textId="77777777">
            <w:pPr>
              <w:jc w:val="center"/>
              <w:rPr>
                <w:rFonts w:ascii="Times New Roman" w:hAnsi="Times New Roman" w:cs="Times New Roman"/>
                <w:sz w:val="18"/>
                <w:szCs w:val="18"/>
              </w:rPr>
            </w:pPr>
            <w:r w:rsidRPr="00EE2665">
              <w:rPr>
                <w:rFonts w:ascii="Times New Roman" w:hAnsi="Times New Roman" w:cs="Times New Roman"/>
                <w:sz w:val="18"/>
                <w:szCs w:val="18"/>
              </w:rPr>
              <w:t>FY 2021</w:t>
            </w:r>
          </w:p>
        </w:tc>
        <w:tc>
          <w:tcPr>
            <w:tcW w:w="1260" w:type="dxa"/>
            <w:tcBorders>
              <w:bottom w:val="single" w:sz="8" w:space="0" w:color="000000"/>
            </w:tcBorders>
            <w:noWrap/>
            <w:vAlign w:val="bottom"/>
            <w:hideMark/>
          </w:tcPr>
          <w:p w:rsidR="00DE64C9" w:rsidRPr="00EE2665" w:rsidP="00E47818" w14:paraId="69E599B0" w14:textId="77777777">
            <w:pPr>
              <w:jc w:val="center"/>
              <w:rPr>
                <w:rFonts w:ascii="Times New Roman" w:hAnsi="Times New Roman" w:cs="Times New Roman"/>
                <w:sz w:val="18"/>
                <w:szCs w:val="18"/>
              </w:rPr>
            </w:pPr>
            <w:r w:rsidRPr="00EE2665">
              <w:rPr>
                <w:rFonts w:ascii="Times New Roman" w:hAnsi="Times New Roman" w:cs="Times New Roman"/>
                <w:sz w:val="18"/>
                <w:szCs w:val="18"/>
              </w:rPr>
              <w:t>FY 2020</w:t>
            </w:r>
          </w:p>
        </w:tc>
      </w:tr>
      <w:tr w14:paraId="0C3B6EB7" w14:textId="77777777" w:rsidTr="004F382B">
        <w:tblPrEx>
          <w:tblW w:w="5000" w:type="pct"/>
          <w:tblLook w:val="04A0"/>
        </w:tblPrEx>
        <w:trPr>
          <w:trHeight w:val="288"/>
        </w:trPr>
        <w:tc>
          <w:tcPr>
            <w:tcW w:w="6660" w:type="dxa"/>
            <w:tcBorders>
              <w:top w:val="none" w:sz="0" w:space="0" w:color="auto"/>
              <w:bottom w:val="none" w:sz="0" w:space="0" w:color="auto"/>
            </w:tcBorders>
            <w:noWrap/>
            <w:vAlign w:val="bottom"/>
            <w:hideMark/>
          </w:tcPr>
          <w:p w:rsidR="00DE64C9" w:rsidRPr="00EE2665" w:rsidP="00A73D25" w14:paraId="1DAF4534" w14:textId="77777777">
            <w:pPr>
              <w:rPr>
                <w:rFonts w:ascii="Times New Roman" w:hAnsi="Times New Roman" w:cs="Times New Roman"/>
                <w:sz w:val="18"/>
                <w:szCs w:val="18"/>
              </w:rPr>
            </w:pPr>
            <w:r w:rsidRPr="00EE2665">
              <w:rPr>
                <w:rFonts w:ascii="Times New Roman" w:hAnsi="Times New Roman" w:cs="Times New Roman"/>
                <w:sz w:val="18"/>
                <w:szCs w:val="18"/>
              </w:rPr>
              <w:t>Gross Program costs:</w:t>
            </w:r>
          </w:p>
        </w:tc>
        <w:tc>
          <w:tcPr>
            <w:tcW w:w="1440" w:type="dxa"/>
            <w:tcBorders>
              <w:top w:val="single" w:sz="8" w:space="0" w:color="000000"/>
              <w:bottom w:val="none" w:sz="0" w:space="0" w:color="auto"/>
            </w:tcBorders>
            <w:noWrap/>
            <w:vAlign w:val="bottom"/>
            <w:hideMark/>
          </w:tcPr>
          <w:p w:rsidR="00DE64C9" w:rsidRPr="00EE2665" w:rsidP="00E47818" w14:paraId="67FE9582" w14:textId="2B246F2C">
            <w:pPr>
              <w:jc w:val="right"/>
              <w:rPr>
                <w:rFonts w:ascii="Times New Roman" w:hAnsi="Times New Roman" w:cs="Times New Roman"/>
                <w:sz w:val="18"/>
                <w:szCs w:val="18"/>
              </w:rPr>
            </w:pPr>
          </w:p>
        </w:tc>
        <w:tc>
          <w:tcPr>
            <w:tcW w:w="1260" w:type="dxa"/>
            <w:tcBorders>
              <w:top w:val="single" w:sz="8" w:space="0" w:color="000000"/>
              <w:bottom w:val="none" w:sz="0" w:space="0" w:color="auto"/>
            </w:tcBorders>
            <w:noWrap/>
            <w:vAlign w:val="bottom"/>
            <w:hideMark/>
          </w:tcPr>
          <w:p w:rsidR="00DE64C9" w:rsidRPr="00EE2665" w:rsidP="00E47818" w14:paraId="2CBA9038" w14:textId="77777777">
            <w:pPr>
              <w:jc w:val="right"/>
              <w:rPr>
                <w:rFonts w:ascii="Times New Roman" w:hAnsi="Times New Roman" w:cs="Times New Roman"/>
                <w:sz w:val="18"/>
                <w:szCs w:val="18"/>
              </w:rPr>
            </w:pPr>
          </w:p>
        </w:tc>
      </w:tr>
      <w:tr w14:paraId="78A6F516" w14:textId="77777777" w:rsidTr="004F382B">
        <w:tblPrEx>
          <w:tblW w:w="5000" w:type="pct"/>
          <w:tblLook w:val="04A0"/>
        </w:tblPrEx>
        <w:trPr>
          <w:trHeight w:val="288"/>
        </w:trPr>
        <w:tc>
          <w:tcPr>
            <w:tcW w:w="6660" w:type="dxa"/>
            <w:noWrap/>
            <w:vAlign w:val="bottom"/>
            <w:hideMark/>
          </w:tcPr>
          <w:p w:rsidR="00DE64C9" w:rsidRPr="00EE2665" w:rsidP="003A26A2" w14:paraId="5F132910" w14:textId="1108626C">
            <w:pPr>
              <w:ind w:left="144"/>
              <w:rPr>
                <w:rFonts w:ascii="Times New Roman" w:hAnsi="Times New Roman" w:cs="Times New Roman"/>
                <w:sz w:val="18"/>
                <w:szCs w:val="18"/>
              </w:rPr>
            </w:pPr>
            <w:r w:rsidRPr="00EE2665">
              <w:rPr>
                <w:rFonts w:ascii="Times New Roman" w:hAnsi="Times New Roman" w:cs="Times New Roman"/>
                <w:sz w:val="18"/>
                <w:szCs w:val="18"/>
              </w:rPr>
              <w:t>Closing the Digital Divide</w:t>
            </w:r>
          </w:p>
        </w:tc>
        <w:tc>
          <w:tcPr>
            <w:tcW w:w="1440" w:type="dxa"/>
            <w:noWrap/>
            <w:vAlign w:val="bottom"/>
            <w:hideMark/>
          </w:tcPr>
          <w:p w:rsidR="00DE64C9" w:rsidRPr="00EE2665" w:rsidP="00E47818" w14:paraId="7D1B28B2" w14:textId="2FC9B6AA">
            <w:pPr>
              <w:jc w:val="right"/>
              <w:rPr>
                <w:rFonts w:ascii="Times New Roman" w:hAnsi="Times New Roman" w:cs="Times New Roman"/>
                <w:sz w:val="18"/>
                <w:szCs w:val="18"/>
              </w:rPr>
            </w:pPr>
          </w:p>
        </w:tc>
        <w:tc>
          <w:tcPr>
            <w:tcW w:w="1260" w:type="dxa"/>
            <w:noWrap/>
            <w:vAlign w:val="bottom"/>
            <w:hideMark/>
          </w:tcPr>
          <w:p w:rsidR="00DE64C9" w:rsidRPr="00EE2665" w:rsidP="00E47818" w14:paraId="15F5255C" w14:textId="77777777">
            <w:pPr>
              <w:jc w:val="right"/>
              <w:rPr>
                <w:rFonts w:ascii="Times New Roman" w:hAnsi="Times New Roman" w:cs="Times New Roman"/>
                <w:sz w:val="18"/>
                <w:szCs w:val="18"/>
              </w:rPr>
            </w:pPr>
          </w:p>
        </w:tc>
      </w:tr>
      <w:tr w14:paraId="62F1A8AD" w14:textId="77777777" w:rsidTr="004F382B">
        <w:tblPrEx>
          <w:tblW w:w="5000" w:type="pct"/>
          <w:tblLook w:val="04A0"/>
        </w:tblPrEx>
        <w:trPr>
          <w:trHeight w:val="288"/>
        </w:trPr>
        <w:tc>
          <w:tcPr>
            <w:tcW w:w="6660" w:type="dxa"/>
            <w:tcBorders>
              <w:top w:val="none" w:sz="0" w:space="0" w:color="auto"/>
              <w:bottom w:val="none" w:sz="0" w:space="0" w:color="auto"/>
            </w:tcBorders>
            <w:noWrap/>
            <w:vAlign w:val="bottom"/>
            <w:hideMark/>
          </w:tcPr>
          <w:p w:rsidR="00DE64C9" w:rsidRPr="00EE2665" w:rsidP="00A73D25" w14:paraId="381555D0" w14:textId="77777777">
            <w:pPr>
              <w:ind w:firstLine="360" w:firstLineChars="200"/>
              <w:rPr>
                <w:rFonts w:ascii="Times New Roman" w:hAnsi="Times New Roman" w:cs="Times New Roman"/>
                <w:b w:val="0"/>
                <w:bCs w:val="0"/>
                <w:sz w:val="18"/>
                <w:szCs w:val="18"/>
              </w:rPr>
            </w:pPr>
            <w:r w:rsidRPr="00EE2665">
              <w:rPr>
                <w:rFonts w:ascii="Times New Roman" w:hAnsi="Times New Roman" w:cs="Times New Roman"/>
                <w:b w:val="0"/>
                <w:bCs w:val="0"/>
                <w:sz w:val="18"/>
                <w:szCs w:val="18"/>
              </w:rPr>
              <w:t>Total Program Cost</w:t>
            </w:r>
          </w:p>
        </w:tc>
        <w:tc>
          <w:tcPr>
            <w:tcW w:w="1440" w:type="dxa"/>
            <w:tcBorders>
              <w:top w:val="none" w:sz="0" w:space="0" w:color="auto"/>
              <w:bottom w:val="none" w:sz="0" w:space="0" w:color="auto"/>
            </w:tcBorders>
            <w:noWrap/>
            <w:vAlign w:val="bottom"/>
            <w:hideMark/>
          </w:tcPr>
          <w:p w:rsidR="00DE64C9" w:rsidRPr="00EE2665" w:rsidP="00E47818" w14:paraId="2589DA1D" w14:textId="023BD771">
            <w:pPr>
              <w:jc w:val="right"/>
              <w:rPr>
                <w:rFonts w:ascii="Times New Roman" w:hAnsi="Times New Roman" w:cs="Times New Roman"/>
                <w:sz w:val="18"/>
                <w:szCs w:val="18"/>
              </w:rPr>
            </w:pPr>
            <w:r w:rsidRPr="00EE2665">
              <w:rPr>
                <w:rFonts w:ascii="Times New Roman" w:hAnsi="Times New Roman" w:cs="Times New Roman"/>
                <w:sz w:val="18"/>
                <w:szCs w:val="18"/>
              </w:rPr>
              <w:t>$</w:t>
            </w:r>
            <w:r w:rsidR="00415D1E">
              <w:rPr>
                <w:rFonts w:ascii="Times New Roman" w:hAnsi="Times New Roman" w:cs="Times New Roman"/>
                <w:sz w:val="18"/>
                <w:szCs w:val="18"/>
              </w:rPr>
              <w:t xml:space="preserve">       </w:t>
            </w:r>
            <w:r w:rsidRPr="00EE2665">
              <w:rPr>
                <w:rFonts w:ascii="Times New Roman" w:hAnsi="Times New Roman" w:cs="Times New Roman"/>
                <w:sz w:val="18"/>
                <w:szCs w:val="18"/>
              </w:rPr>
              <w:t>10,162,259</w:t>
            </w:r>
          </w:p>
        </w:tc>
        <w:tc>
          <w:tcPr>
            <w:tcW w:w="1260" w:type="dxa"/>
            <w:tcBorders>
              <w:top w:val="none" w:sz="0" w:space="0" w:color="auto"/>
              <w:bottom w:val="none" w:sz="0" w:space="0" w:color="auto"/>
            </w:tcBorders>
            <w:noWrap/>
            <w:vAlign w:val="bottom"/>
            <w:hideMark/>
          </w:tcPr>
          <w:p w:rsidR="00DE64C9" w:rsidRPr="00EE2665" w:rsidP="00E47818" w14:paraId="3481644D" w14:textId="4B24F341">
            <w:pPr>
              <w:jc w:val="right"/>
              <w:rPr>
                <w:rFonts w:ascii="Times New Roman" w:hAnsi="Times New Roman" w:cs="Times New Roman"/>
                <w:sz w:val="18"/>
                <w:szCs w:val="18"/>
              </w:rPr>
            </w:pPr>
            <w:r w:rsidRPr="00EE2665">
              <w:rPr>
                <w:rFonts w:ascii="Times New Roman" w:hAnsi="Times New Roman" w:cs="Times New Roman"/>
                <w:sz w:val="18"/>
                <w:szCs w:val="18"/>
              </w:rPr>
              <w:t>$</w:t>
            </w:r>
            <w:r w:rsidR="00415D1E">
              <w:rPr>
                <w:rFonts w:ascii="Times New Roman" w:hAnsi="Times New Roman" w:cs="Times New Roman"/>
                <w:sz w:val="18"/>
                <w:szCs w:val="18"/>
              </w:rPr>
              <w:t xml:space="preserve">    </w:t>
            </w:r>
            <w:r w:rsidRPr="00EE2665">
              <w:rPr>
                <w:rFonts w:ascii="Times New Roman" w:hAnsi="Times New Roman" w:cs="Times New Roman"/>
                <w:sz w:val="18"/>
                <w:szCs w:val="18"/>
              </w:rPr>
              <w:t xml:space="preserve"> 9,183,823</w:t>
            </w:r>
          </w:p>
        </w:tc>
      </w:tr>
      <w:tr w14:paraId="4FB8FED8" w14:textId="77777777" w:rsidTr="004F382B">
        <w:tblPrEx>
          <w:tblW w:w="5000" w:type="pct"/>
          <w:tblLook w:val="04A0"/>
        </w:tblPrEx>
        <w:trPr>
          <w:trHeight w:val="450"/>
        </w:trPr>
        <w:tc>
          <w:tcPr>
            <w:tcW w:w="6660" w:type="dxa"/>
            <w:noWrap/>
            <w:vAlign w:val="bottom"/>
            <w:hideMark/>
          </w:tcPr>
          <w:p w:rsidR="00DE64C9" w:rsidRPr="00EE2665" w:rsidP="00A73D25" w14:paraId="6BE0D25B" w14:textId="0B8C7FAE">
            <w:pPr>
              <w:ind w:firstLine="180" w:firstLineChars="100"/>
              <w:rPr>
                <w:rFonts w:ascii="Times New Roman" w:hAnsi="Times New Roman" w:cs="Times New Roman"/>
                <w:sz w:val="18"/>
                <w:szCs w:val="18"/>
              </w:rPr>
            </w:pPr>
            <w:r w:rsidRPr="00EE2665">
              <w:rPr>
                <w:rFonts w:ascii="Times New Roman" w:hAnsi="Times New Roman" w:cs="Times New Roman"/>
                <w:sz w:val="18"/>
                <w:szCs w:val="18"/>
              </w:rPr>
              <w:t xml:space="preserve">Promoting Innovation </w:t>
            </w:r>
          </w:p>
        </w:tc>
        <w:tc>
          <w:tcPr>
            <w:tcW w:w="1440" w:type="dxa"/>
            <w:noWrap/>
            <w:vAlign w:val="bottom"/>
            <w:hideMark/>
          </w:tcPr>
          <w:p w:rsidR="00DE64C9" w:rsidRPr="00EE2665" w:rsidP="00E47818" w14:paraId="2AF2E146" w14:textId="77777777">
            <w:pPr>
              <w:jc w:val="right"/>
              <w:rPr>
                <w:rFonts w:ascii="Times New Roman" w:hAnsi="Times New Roman" w:cs="Times New Roman"/>
                <w:sz w:val="18"/>
                <w:szCs w:val="18"/>
              </w:rPr>
            </w:pPr>
          </w:p>
        </w:tc>
        <w:tc>
          <w:tcPr>
            <w:tcW w:w="1260" w:type="dxa"/>
            <w:noWrap/>
            <w:vAlign w:val="bottom"/>
            <w:hideMark/>
          </w:tcPr>
          <w:p w:rsidR="00DE64C9" w:rsidRPr="00EE2665" w:rsidP="00E47818" w14:paraId="42B909C7" w14:textId="77777777">
            <w:pPr>
              <w:jc w:val="right"/>
              <w:rPr>
                <w:rFonts w:ascii="Times New Roman" w:hAnsi="Times New Roman" w:cs="Times New Roman"/>
                <w:sz w:val="18"/>
                <w:szCs w:val="18"/>
              </w:rPr>
            </w:pPr>
          </w:p>
        </w:tc>
      </w:tr>
      <w:tr w14:paraId="418FCDFB" w14:textId="77777777" w:rsidTr="004F382B">
        <w:tblPrEx>
          <w:tblW w:w="5000" w:type="pct"/>
          <w:tblLook w:val="04A0"/>
        </w:tblPrEx>
        <w:trPr>
          <w:trHeight w:val="288"/>
        </w:trPr>
        <w:tc>
          <w:tcPr>
            <w:tcW w:w="6660" w:type="dxa"/>
            <w:tcBorders>
              <w:top w:val="none" w:sz="0" w:space="0" w:color="auto"/>
              <w:bottom w:val="none" w:sz="0" w:space="0" w:color="auto"/>
            </w:tcBorders>
            <w:noWrap/>
            <w:vAlign w:val="bottom"/>
            <w:hideMark/>
          </w:tcPr>
          <w:p w:rsidR="00DE64C9" w:rsidRPr="00EE2665" w:rsidP="00A73D25" w14:paraId="07157F5C" w14:textId="77777777">
            <w:pPr>
              <w:ind w:firstLine="360" w:firstLineChars="200"/>
              <w:rPr>
                <w:rFonts w:ascii="Times New Roman" w:hAnsi="Times New Roman" w:cs="Times New Roman"/>
                <w:b w:val="0"/>
                <w:bCs w:val="0"/>
                <w:sz w:val="18"/>
                <w:szCs w:val="18"/>
              </w:rPr>
            </w:pPr>
            <w:r w:rsidRPr="00EE2665">
              <w:rPr>
                <w:rFonts w:ascii="Times New Roman" w:hAnsi="Times New Roman" w:cs="Times New Roman"/>
                <w:b w:val="0"/>
                <w:bCs w:val="0"/>
                <w:sz w:val="18"/>
                <w:szCs w:val="18"/>
              </w:rPr>
              <w:t>Total Program Cost</w:t>
            </w:r>
          </w:p>
        </w:tc>
        <w:tc>
          <w:tcPr>
            <w:tcW w:w="1440" w:type="dxa"/>
            <w:tcBorders>
              <w:top w:val="none" w:sz="0" w:space="0" w:color="auto"/>
              <w:bottom w:val="none" w:sz="0" w:space="0" w:color="auto"/>
            </w:tcBorders>
            <w:noWrap/>
            <w:vAlign w:val="bottom"/>
            <w:hideMark/>
          </w:tcPr>
          <w:p w:rsidR="00DE64C9" w:rsidRPr="00EE2665" w:rsidP="00E47818" w14:paraId="5EC3AC8F" w14:textId="77777777">
            <w:pPr>
              <w:jc w:val="right"/>
              <w:rPr>
                <w:rFonts w:ascii="Times New Roman" w:hAnsi="Times New Roman" w:cs="Times New Roman"/>
                <w:sz w:val="18"/>
                <w:szCs w:val="18"/>
              </w:rPr>
            </w:pPr>
            <w:r w:rsidRPr="00EE2665">
              <w:rPr>
                <w:rFonts w:ascii="Times New Roman" w:hAnsi="Times New Roman" w:cs="Times New Roman"/>
                <w:sz w:val="18"/>
                <w:szCs w:val="18"/>
              </w:rPr>
              <w:t>1,322,277</w:t>
            </w:r>
          </w:p>
        </w:tc>
        <w:tc>
          <w:tcPr>
            <w:tcW w:w="1260" w:type="dxa"/>
            <w:tcBorders>
              <w:top w:val="none" w:sz="0" w:space="0" w:color="auto"/>
              <w:bottom w:val="none" w:sz="0" w:space="0" w:color="auto"/>
            </w:tcBorders>
            <w:noWrap/>
            <w:vAlign w:val="bottom"/>
            <w:hideMark/>
          </w:tcPr>
          <w:p w:rsidR="00DE64C9" w:rsidRPr="00EE2665" w:rsidP="00E47818" w14:paraId="13BFD660" w14:textId="77777777">
            <w:pPr>
              <w:jc w:val="right"/>
              <w:rPr>
                <w:rFonts w:ascii="Times New Roman" w:hAnsi="Times New Roman" w:cs="Times New Roman"/>
                <w:sz w:val="18"/>
                <w:szCs w:val="18"/>
              </w:rPr>
            </w:pPr>
            <w:r w:rsidRPr="00EE2665">
              <w:rPr>
                <w:rFonts w:ascii="Times New Roman" w:hAnsi="Times New Roman" w:cs="Times New Roman"/>
                <w:sz w:val="18"/>
                <w:szCs w:val="18"/>
              </w:rPr>
              <w:t>1,456,872</w:t>
            </w:r>
          </w:p>
        </w:tc>
      </w:tr>
      <w:tr w14:paraId="7A095FCE" w14:textId="77777777" w:rsidTr="004F382B">
        <w:tblPrEx>
          <w:tblW w:w="5000" w:type="pct"/>
          <w:tblLook w:val="04A0"/>
        </w:tblPrEx>
        <w:trPr>
          <w:trHeight w:val="432"/>
        </w:trPr>
        <w:tc>
          <w:tcPr>
            <w:tcW w:w="6660" w:type="dxa"/>
            <w:noWrap/>
            <w:vAlign w:val="bottom"/>
            <w:hideMark/>
          </w:tcPr>
          <w:p w:rsidR="00DE64C9" w:rsidRPr="00EE2665" w:rsidP="00A73D25" w14:paraId="44DDFD5C" w14:textId="280AF048">
            <w:pPr>
              <w:ind w:firstLine="180" w:firstLineChars="100"/>
              <w:rPr>
                <w:rFonts w:ascii="Times New Roman" w:hAnsi="Times New Roman" w:cs="Times New Roman"/>
                <w:sz w:val="18"/>
                <w:szCs w:val="18"/>
              </w:rPr>
            </w:pPr>
            <w:r w:rsidRPr="00EE2665">
              <w:rPr>
                <w:rFonts w:ascii="Times New Roman" w:hAnsi="Times New Roman" w:cs="Times New Roman"/>
                <w:sz w:val="18"/>
                <w:szCs w:val="18"/>
              </w:rPr>
              <w:t xml:space="preserve">Protecting Consumers and Public Safety </w:t>
            </w:r>
          </w:p>
        </w:tc>
        <w:tc>
          <w:tcPr>
            <w:tcW w:w="1440" w:type="dxa"/>
            <w:noWrap/>
            <w:vAlign w:val="bottom"/>
            <w:hideMark/>
          </w:tcPr>
          <w:p w:rsidR="00DE64C9" w:rsidRPr="00EE2665" w:rsidP="00E47818" w14:paraId="134D90D6" w14:textId="77777777">
            <w:pPr>
              <w:jc w:val="right"/>
              <w:rPr>
                <w:rFonts w:ascii="Times New Roman" w:hAnsi="Times New Roman" w:cs="Times New Roman"/>
                <w:sz w:val="18"/>
                <w:szCs w:val="18"/>
              </w:rPr>
            </w:pPr>
          </w:p>
        </w:tc>
        <w:tc>
          <w:tcPr>
            <w:tcW w:w="1260" w:type="dxa"/>
            <w:noWrap/>
            <w:vAlign w:val="bottom"/>
            <w:hideMark/>
          </w:tcPr>
          <w:p w:rsidR="00DE64C9" w:rsidRPr="00EE2665" w:rsidP="00E47818" w14:paraId="21BA1020" w14:textId="77777777">
            <w:pPr>
              <w:jc w:val="right"/>
              <w:rPr>
                <w:rFonts w:ascii="Times New Roman" w:hAnsi="Times New Roman" w:cs="Times New Roman"/>
                <w:sz w:val="18"/>
                <w:szCs w:val="18"/>
              </w:rPr>
            </w:pPr>
          </w:p>
        </w:tc>
      </w:tr>
      <w:tr w14:paraId="15635E1B" w14:textId="77777777" w:rsidTr="004F382B">
        <w:tblPrEx>
          <w:tblW w:w="5000" w:type="pct"/>
          <w:tblLook w:val="04A0"/>
        </w:tblPrEx>
        <w:trPr>
          <w:trHeight w:val="288"/>
        </w:trPr>
        <w:tc>
          <w:tcPr>
            <w:tcW w:w="6660" w:type="dxa"/>
            <w:tcBorders>
              <w:top w:val="none" w:sz="0" w:space="0" w:color="auto"/>
              <w:bottom w:val="none" w:sz="0" w:space="0" w:color="auto"/>
            </w:tcBorders>
            <w:noWrap/>
            <w:vAlign w:val="bottom"/>
            <w:hideMark/>
          </w:tcPr>
          <w:p w:rsidR="00DE64C9" w:rsidRPr="00EE2665" w:rsidP="00A73D25" w14:paraId="54AD6D47" w14:textId="77777777">
            <w:pPr>
              <w:ind w:firstLine="360" w:firstLineChars="200"/>
              <w:rPr>
                <w:rFonts w:ascii="Times New Roman" w:hAnsi="Times New Roman" w:cs="Times New Roman"/>
                <w:b w:val="0"/>
                <w:bCs w:val="0"/>
                <w:sz w:val="18"/>
                <w:szCs w:val="18"/>
              </w:rPr>
            </w:pPr>
            <w:r w:rsidRPr="00EE2665">
              <w:rPr>
                <w:rFonts w:ascii="Times New Roman" w:hAnsi="Times New Roman" w:cs="Times New Roman"/>
                <w:b w:val="0"/>
                <w:bCs w:val="0"/>
                <w:sz w:val="18"/>
                <w:szCs w:val="18"/>
              </w:rPr>
              <w:t>Total Program Cost</w:t>
            </w:r>
          </w:p>
        </w:tc>
        <w:tc>
          <w:tcPr>
            <w:tcW w:w="1440" w:type="dxa"/>
            <w:tcBorders>
              <w:top w:val="none" w:sz="0" w:space="0" w:color="auto"/>
              <w:bottom w:val="none" w:sz="0" w:space="0" w:color="auto"/>
            </w:tcBorders>
            <w:noWrap/>
            <w:vAlign w:val="bottom"/>
            <w:hideMark/>
          </w:tcPr>
          <w:p w:rsidR="00DE64C9" w:rsidRPr="00EE2665" w:rsidP="00E47818" w14:paraId="1C4617FC" w14:textId="77777777">
            <w:pPr>
              <w:jc w:val="right"/>
              <w:rPr>
                <w:rFonts w:ascii="Times New Roman" w:hAnsi="Times New Roman" w:cs="Times New Roman"/>
                <w:sz w:val="18"/>
                <w:szCs w:val="18"/>
              </w:rPr>
            </w:pPr>
            <w:r w:rsidRPr="00EE2665">
              <w:rPr>
                <w:rFonts w:ascii="Times New Roman" w:hAnsi="Times New Roman" w:cs="Times New Roman"/>
                <w:sz w:val="18"/>
                <w:szCs w:val="18"/>
              </w:rPr>
              <w:t>69,006</w:t>
            </w:r>
          </w:p>
        </w:tc>
        <w:tc>
          <w:tcPr>
            <w:tcW w:w="1260" w:type="dxa"/>
            <w:tcBorders>
              <w:top w:val="none" w:sz="0" w:space="0" w:color="auto"/>
              <w:bottom w:val="none" w:sz="0" w:space="0" w:color="auto"/>
            </w:tcBorders>
            <w:noWrap/>
            <w:vAlign w:val="bottom"/>
            <w:hideMark/>
          </w:tcPr>
          <w:p w:rsidR="00DE64C9" w:rsidRPr="00EE2665" w:rsidP="00E47818" w14:paraId="4812D432" w14:textId="77777777">
            <w:pPr>
              <w:jc w:val="right"/>
              <w:rPr>
                <w:rFonts w:ascii="Times New Roman" w:hAnsi="Times New Roman" w:cs="Times New Roman"/>
                <w:sz w:val="18"/>
                <w:szCs w:val="18"/>
              </w:rPr>
            </w:pPr>
            <w:r w:rsidRPr="00EE2665">
              <w:rPr>
                <w:rFonts w:ascii="Times New Roman" w:hAnsi="Times New Roman" w:cs="Times New Roman"/>
                <w:sz w:val="18"/>
                <w:szCs w:val="18"/>
              </w:rPr>
              <w:t>71,516</w:t>
            </w:r>
          </w:p>
        </w:tc>
      </w:tr>
      <w:tr w14:paraId="62AE60D8" w14:textId="77777777" w:rsidTr="004F382B">
        <w:tblPrEx>
          <w:tblW w:w="5000" w:type="pct"/>
          <w:tblLook w:val="04A0"/>
        </w:tblPrEx>
        <w:trPr>
          <w:trHeight w:val="432"/>
        </w:trPr>
        <w:tc>
          <w:tcPr>
            <w:tcW w:w="6660" w:type="dxa"/>
            <w:noWrap/>
            <w:vAlign w:val="bottom"/>
            <w:hideMark/>
          </w:tcPr>
          <w:p w:rsidR="00DE64C9" w:rsidRPr="00EE2665" w:rsidP="00A73D25" w14:paraId="201DE06B" w14:textId="46B0CB3B">
            <w:pPr>
              <w:ind w:firstLine="180" w:firstLineChars="100"/>
              <w:rPr>
                <w:rFonts w:ascii="Times New Roman" w:hAnsi="Times New Roman" w:cs="Times New Roman"/>
                <w:sz w:val="18"/>
                <w:szCs w:val="18"/>
              </w:rPr>
            </w:pPr>
            <w:r w:rsidRPr="00EE2665">
              <w:rPr>
                <w:rFonts w:ascii="Times New Roman" w:hAnsi="Times New Roman" w:cs="Times New Roman"/>
                <w:sz w:val="18"/>
                <w:szCs w:val="18"/>
              </w:rPr>
              <w:t xml:space="preserve">Reforming the FCC's Processes </w:t>
            </w:r>
          </w:p>
        </w:tc>
        <w:tc>
          <w:tcPr>
            <w:tcW w:w="1440" w:type="dxa"/>
            <w:noWrap/>
            <w:vAlign w:val="bottom"/>
            <w:hideMark/>
          </w:tcPr>
          <w:p w:rsidR="00DE64C9" w:rsidRPr="00EE2665" w:rsidP="00E47818" w14:paraId="35371B99" w14:textId="77777777">
            <w:pPr>
              <w:jc w:val="right"/>
              <w:rPr>
                <w:rFonts w:ascii="Times New Roman" w:hAnsi="Times New Roman" w:cs="Times New Roman"/>
                <w:sz w:val="18"/>
                <w:szCs w:val="18"/>
              </w:rPr>
            </w:pPr>
          </w:p>
        </w:tc>
        <w:tc>
          <w:tcPr>
            <w:tcW w:w="1260" w:type="dxa"/>
            <w:noWrap/>
            <w:vAlign w:val="bottom"/>
            <w:hideMark/>
          </w:tcPr>
          <w:p w:rsidR="00DE64C9" w:rsidRPr="00EE2665" w:rsidP="00E47818" w14:paraId="1E2A954D" w14:textId="77777777">
            <w:pPr>
              <w:jc w:val="right"/>
              <w:rPr>
                <w:rFonts w:ascii="Times New Roman" w:hAnsi="Times New Roman" w:cs="Times New Roman"/>
                <w:sz w:val="18"/>
                <w:szCs w:val="18"/>
              </w:rPr>
            </w:pPr>
          </w:p>
        </w:tc>
      </w:tr>
      <w:tr w14:paraId="7CAA9B64" w14:textId="77777777" w:rsidTr="004F382B">
        <w:tblPrEx>
          <w:tblW w:w="5000" w:type="pct"/>
          <w:tblLook w:val="04A0"/>
        </w:tblPrEx>
        <w:trPr>
          <w:trHeight w:val="288"/>
        </w:trPr>
        <w:tc>
          <w:tcPr>
            <w:tcW w:w="6660" w:type="dxa"/>
            <w:tcBorders>
              <w:top w:val="none" w:sz="0" w:space="0" w:color="auto"/>
              <w:bottom w:val="none" w:sz="0" w:space="0" w:color="auto"/>
            </w:tcBorders>
            <w:noWrap/>
            <w:vAlign w:val="bottom"/>
            <w:hideMark/>
          </w:tcPr>
          <w:p w:rsidR="00DE64C9" w:rsidRPr="00EE2665" w:rsidP="00A73D25" w14:paraId="56C62F4F" w14:textId="77777777">
            <w:pPr>
              <w:ind w:firstLine="360" w:firstLineChars="200"/>
              <w:rPr>
                <w:rFonts w:ascii="Times New Roman" w:hAnsi="Times New Roman" w:cs="Times New Roman"/>
                <w:b w:val="0"/>
                <w:bCs w:val="0"/>
                <w:sz w:val="18"/>
                <w:szCs w:val="18"/>
              </w:rPr>
            </w:pPr>
            <w:r w:rsidRPr="00EE2665">
              <w:rPr>
                <w:rFonts w:ascii="Times New Roman" w:hAnsi="Times New Roman" w:cs="Times New Roman"/>
                <w:b w:val="0"/>
                <w:bCs w:val="0"/>
                <w:sz w:val="18"/>
                <w:szCs w:val="18"/>
              </w:rPr>
              <w:t>Total Program Cost</w:t>
            </w:r>
          </w:p>
        </w:tc>
        <w:tc>
          <w:tcPr>
            <w:tcW w:w="1440" w:type="dxa"/>
            <w:tcBorders>
              <w:top w:val="none" w:sz="0" w:space="0" w:color="auto"/>
              <w:bottom w:val="none" w:sz="0" w:space="0" w:color="auto"/>
            </w:tcBorders>
            <w:noWrap/>
            <w:vAlign w:val="bottom"/>
            <w:hideMark/>
          </w:tcPr>
          <w:p w:rsidR="00DE64C9" w:rsidRPr="00EE2665" w:rsidP="00E47818" w14:paraId="0C11D8AC" w14:textId="77777777">
            <w:pPr>
              <w:jc w:val="right"/>
              <w:rPr>
                <w:rFonts w:ascii="Times New Roman" w:hAnsi="Times New Roman" w:cs="Times New Roman"/>
                <w:sz w:val="18"/>
                <w:szCs w:val="18"/>
              </w:rPr>
            </w:pPr>
            <w:r w:rsidRPr="00EE2665">
              <w:rPr>
                <w:rFonts w:ascii="Times New Roman" w:hAnsi="Times New Roman" w:cs="Times New Roman"/>
                <w:sz w:val="18"/>
                <w:szCs w:val="18"/>
              </w:rPr>
              <w:t>125,676</w:t>
            </w:r>
          </w:p>
        </w:tc>
        <w:tc>
          <w:tcPr>
            <w:tcW w:w="1260" w:type="dxa"/>
            <w:tcBorders>
              <w:top w:val="none" w:sz="0" w:space="0" w:color="auto"/>
              <w:bottom w:val="none" w:sz="0" w:space="0" w:color="auto"/>
            </w:tcBorders>
            <w:noWrap/>
            <w:vAlign w:val="bottom"/>
            <w:hideMark/>
          </w:tcPr>
          <w:p w:rsidR="00DE64C9" w:rsidRPr="00EE2665" w:rsidP="00E47818" w14:paraId="23B1F256" w14:textId="77777777">
            <w:pPr>
              <w:jc w:val="right"/>
              <w:rPr>
                <w:rFonts w:ascii="Times New Roman" w:hAnsi="Times New Roman" w:cs="Times New Roman"/>
                <w:sz w:val="18"/>
                <w:szCs w:val="18"/>
              </w:rPr>
            </w:pPr>
            <w:r w:rsidRPr="00EE2665">
              <w:rPr>
                <w:rFonts w:ascii="Times New Roman" w:hAnsi="Times New Roman" w:cs="Times New Roman"/>
                <w:sz w:val="18"/>
                <w:szCs w:val="18"/>
              </w:rPr>
              <w:t>161,254</w:t>
            </w:r>
          </w:p>
        </w:tc>
      </w:tr>
      <w:tr w14:paraId="6799EA72" w14:textId="77777777" w:rsidTr="004F382B">
        <w:tblPrEx>
          <w:tblW w:w="5000" w:type="pct"/>
          <w:tblLook w:val="04A0"/>
        </w:tblPrEx>
        <w:trPr>
          <w:trHeight w:val="432"/>
        </w:trPr>
        <w:tc>
          <w:tcPr>
            <w:tcW w:w="6660" w:type="dxa"/>
            <w:noWrap/>
            <w:vAlign w:val="bottom"/>
            <w:hideMark/>
          </w:tcPr>
          <w:p w:rsidR="00DE64C9" w:rsidRPr="00EE2665" w:rsidP="002143B8" w14:paraId="13EEB692" w14:textId="52DF8DE7">
            <w:pPr>
              <w:rPr>
                <w:rFonts w:ascii="Times New Roman" w:hAnsi="Times New Roman" w:cs="Times New Roman"/>
                <w:sz w:val="18"/>
                <w:szCs w:val="18"/>
              </w:rPr>
            </w:pPr>
            <w:r w:rsidRPr="00EE2665">
              <w:rPr>
                <w:rFonts w:ascii="Times New Roman" w:hAnsi="Times New Roman" w:cs="Times New Roman"/>
                <w:sz w:val="18"/>
                <w:szCs w:val="18"/>
              </w:rPr>
              <w:t>Less: earned revenues not attributed to programs</w:t>
            </w:r>
          </w:p>
        </w:tc>
        <w:tc>
          <w:tcPr>
            <w:tcW w:w="1440" w:type="dxa"/>
            <w:tcBorders>
              <w:bottom w:val="single" w:sz="4" w:space="0" w:color="auto"/>
            </w:tcBorders>
            <w:noWrap/>
            <w:vAlign w:val="bottom"/>
            <w:hideMark/>
          </w:tcPr>
          <w:p w:rsidR="00DE64C9" w:rsidRPr="00EE2665" w:rsidP="00E47818" w14:paraId="47DEC71F" w14:textId="77777777">
            <w:pPr>
              <w:jc w:val="right"/>
              <w:rPr>
                <w:rFonts w:ascii="Times New Roman" w:hAnsi="Times New Roman" w:cs="Times New Roman"/>
                <w:sz w:val="18"/>
                <w:szCs w:val="18"/>
              </w:rPr>
            </w:pPr>
            <w:r w:rsidRPr="00EE2665">
              <w:rPr>
                <w:rFonts w:ascii="Times New Roman" w:hAnsi="Times New Roman" w:cs="Times New Roman"/>
                <w:sz w:val="18"/>
                <w:szCs w:val="18"/>
              </w:rPr>
              <w:t>(536,365)</w:t>
            </w:r>
          </w:p>
        </w:tc>
        <w:tc>
          <w:tcPr>
            <w:tcW w:w="1260" w:type="dxa"/>
            <w:tcBorders>
              <w:bottom w:val="single" w:sz="4" w:space="0" w:color="auto"/>
            </w:tcBorders>
            <w:noWrap/>
            <w:vAlign w:val="bottom"/>
            <w:hideMark/>
          </w:tcPr>
          <w:p w:rsidR="00DE64C9" w:rsidRPr="00EE2665" w:rsidP="00E47818" w14:paraId="4889C00F" w14:textId="77777777">
            <w:pPr>
              <w:tabs>
                <w:tab w:val="right" w:pos="1932"/>
              </w:tabs>
              <w:jc w:val="right"/>
              <w:rPr>
                <w:rFonts w:ascii="Times New Roman" w:hAnsi="Times New Roman" w:cs="Times New Roman"/>
                <w:sz w:val="18"/>
                <w:szCs w:val="18"/>
              </w:rPr>
            </w:pPr>
            <w:r w:rsidRPr="00EE2665">
              <w:rPr>
                <w:rFonts w:ascii="Times New Roman" w:hAnsi="Times New Roman" w:cs="Times New Roman"/>
                <w:sz w:val="18"/>
                <w:szCs w:val="18"/>
              </w:rPr>
              <w:t>(506,433)</w:t>
            </w:r>
          </w:p>
        </w:tc>
      </w:tr>
      <w:tr w14:paraId="477C21B0" w14:textId="77777777" w:rsidTr="004F382B">
        <w:tblPrEx>
          <w:tblW w:w="5000" w:type="pct"/>
          <w:tblLook w:val="04A0"/>
        </w:tblPrEx>
        <w:trPr>
          <w:trHeight w:val="530"/>
        </w:trPr>
        <w:tc>
          <w:tcPr>
            <w:tcW w:w="6660" w:type="dxa"/>
            <w:tcBorders>
              <w:top w:val="none" w:sz="0" w:space="0" w:color="auto"/>
              <w:bottom w:val="none" w:sz="0" w:space="0" w:color="auto"/>
            </w:tcBorders>
            <w:noWrap/>
            <w:vAlign w:val="bottom"/>
            <w:hideMark/>
          </w:tcPr>
          <w:p w:rsidR="00DE64C9" w:rsidRPr="00EE2665" w:rsidP="00A73D25" w14:paraId="16C3FFF1" w14:textId="08F24F79">
            <w:pPr>
              <w:rPr>
                <w:rFonts w:ascii="Times New Roman" w:hAnsi="Times New Roman" w:cs="Times New Roman"/>
                <w:sz w:val="18"/>
                <w:szCs w:val="18"/>
              </w:rPr>
            </w:pPr>
            <w:r w:rsidRPr="00EE2665">
              <w:rPr>
                <w:rFonts w:ascii="Times New Roman" w:hAnsi="Times New Roman" w:cs="Times New Roman"/>
                <w:sz w:val="18"/>
                <w:szCs w:val="18"/>
              </w:rPr>
              <w:t>Net cost of operations</w:t>
            </w:r>
          </w:p>
        </w:tc>
        <w:tc>
          <w:tcPr>
            <w:tcW w:w="1440" w:type="dxa"/>
            <w:tcBorders>
              <w:top w:val="single" w:sz="4" w:space="0" w:color="auto"/>
              <w:bottom w:val="thinThickSmallGap" w:sz="12" w:space="0" w:color="000000"/>
            </w:tcBorders>
            <w:noWrap/>
            <w:vAlign w:val="bottom"/>
            <w:hideMark/>
          </w:tcPr>
          <w:p w:rsidR="00DE64C9" w:rsidRPr="00EE2665" w:rsidP="00E47818" w14:paraId="783E82EF" w14:textId="0FF57048">
            <w:pPr>
              <w:jc w:val="right"/>
              <w:rPr>
                <w:rFonts w:ascii="Times New Roman" w:hAnsi="Times New Roman" w:cs="Times New Roman"/>
                <w:sz w:val="18"/>
                <w:szCs w:val="18"/>
              </w:rPr>
            </w:pPr>
            <w:r w:rsidRPr="00EE2665">
              <w:rPr>
                <w:rFonts w:ascii="Times New Roman" w:hAnsi="Times New Roman" w:cs="Times New Roman"/>
                <w:sz w:val="18"/>
                <w:szCs w:val="18"/>
              </w:rPr>
              <w:t>$</w:t>
            </w:r>
            <w:r w:rsidR="00415D1E">
              <w:rPr>
                <w:rFonts w:ascii="Times New Roman" w:hAnsi="Times New Roman" w:cs="Times New Roman"/>
                <w:sz w:val="18"/>
                <w:szCs w:val="18"/>
              </w:rPr>
              <w:t xml:space="preserve">       </w:t>
            </w:r>
            <w:r w:rsidRPr="00EE2665">
              <w:rPr>
                <w:rFonts w:ascii="Times New Roman" w:hAnsi="Times New Roman" w:cs="Times New Roman"/>
                <w:sz w:val="18"/>
                <w:szCs w:val="18"/>
              </w:rPr>
              <w:t>11,142,853</w:t>
            </w:r>
          </w:p>
        </w:tc>
        <w:tc>
          <w:tcPr>
            <w:tcW w:w="1260" w:type="dxa"/>
            <w:tcBorders>
              <w:top w:val="single" w:sz="4" w:space="0" w:color="auto"/>
              <w:bottom w:val="thinThickSmallGap" w:sz="12" w:space="0" w:color="000000"/>
            </w:tcBorders>
            <w:noWrap/>
            <w:vAlign w:val="bottom"/>
            <w:hideMark/>
          </w:tcPr>
          <w:p w:rsidR="00DE64C9" w:rsidRPr="00EE2665" w:rsidP="00E47818" w14:paraId="1132087B" w14:textId="56239BC9">
            <w:pPr>
              <w:jc w:val="right"/>
              <w:rPr>
                <w:rFonts w:ascii="Times New Roman" w:hAnsi="Times New Roman" w:cs="Times New Roman"/>
                <w:sz w:val="18"/>
                <w:szCs w:val="18"/>
              </w:rPr>
            </w:pPr>
            <w:r w:rsidRPr="00EE2665">
              <w:rPr>
                <w:rFonts w:ascii="Times New Roman" w:hAnsi="Times New Roman" w:cs="Times New Roman"/>
                <w:sz w:val="18"/>
                <w:szCs w:val="18"/>
              </w:rPr>
              <w:t>$</w:t>
            </w:r>
            <w:r w:rsidR="00415D1E">
              <w:rPr>
                <w:rFonts w:ascii="Times New Roman" w:hAnsi="Times New Roman" w:cs="Times New Roman"/>
                <w:sz w:val="18"/>
                <w:szCs w:val="18"/>
              </w:rPr>
              <w:t xml:space="preserve">   </w:t>
            </w:r>
            <w:r w:rsidRPr="00EE2665">
              <w:rPr>
                <w:rFonts w:ascii="Times New Roman" w:hAnsi="Times New Roman" w:cs="Times New Roman"/>
                <w:sz w:val="18"/>
                <w:szCs w:val="18"/>
              </w:rPr>
              <w:t>10,367,032</w:t>
            </w:r>
          </w:p>
        </w:tc>
      </w:tr>
    </w:tbl>
    <w:bookmarkEnd w:id="153"/>
    <w:p w:rsidR="00285D06" w:rsidRPr="007D5370" w:rsidP="002E1817" w14:paraId="7104EAFC" w14:textId="77777777">
      <w:pPr>
        <w:spacing w:before="6080"/>
        <w:jc w:val="center"/>
        <w:rPr>
          <w:sz w:val="22"/>
          <w:szCs w:val="22"/>
        </w:rPr>
        <w:sectPr w:rsidSect="00925F5D">
          <w:pgSz w:w="12240" w:h="15840" w:code="1"/>
          <w:pgMar w:top="1440" w:right="1440" w:bottom="1440" w:left="1440" w:header="720" w:footer="720" w:gutter="0"/>
          <w:cols w:space="720"/>
        </w:sectPr>
      </w:pPr>
      <w:r w:rsidRPr="007D5370">
        <w:rPr>
          <w:sz w:val="22"/>
          <w:szCs w:val="22"/>
        </w:rPr>
        <w:t>The accompanying notes are an integral part of these statements.</w:t>
      </w:r>
    </w:p>
    <w:bookmarkEnd w:id="148"/>
    <w:p w:rsidR="00285D06" w:rsidRPr="006B2A44" w:rsidP="00285D06" w14:paraId="64B7AF45" w14:textId="77777777">
      <w:pPr>
        <w:widowControl w:val="0"/>
        <w:overflowPunct w:val="0"/>
        <w:autoSpaceDE w:val="0"/>
        <w:autoSpaceDN w:val="0"/>
        <w:adjustRightInd w:val="0"/>
        <w:textAlignment w:val="baseline"/>
        <w:rPr>
          <w:rFonts w:ascii="Times" w:hAnsi="Times"/>
          <w:b/>
          <w:szCs w:val="24"/>
        </w:rPr>
      </w:pPr>
      <w:r w:rsidRPr="006B2A44">
        <w:rPr>
          <w:rFonts w:ascii="Times" w:hAnsi="Times"/>
          <w:b/>
          <w:szCs w:val="24"/>
        </w:rPr>
        <w:t>F</w:t>
      </w:r>
      <w:r>
        <w:rPr>
          <w:rFonts w:ascii="Times" w:hAnsi="Times"/>
          <w:b/>
          <w:szCs w:val="24"/>
        </w:rPr>
        <w:t>ederal Communications Commission</w:t>
      </w:r>
    </w:p>
    <w:p w:rsidR="00285D06" w:rsidRPr="000F257F" w:rsidP="00786D1C" w14:paraId="75CBCF4B" w14:textId="77777777">
      <w:pPr>
        <w:pStyle w:val="Heading4"/>
        <w:spacing w:after="0"/>
        <w:rPr>
          <w:szCs w:val="24"/>
        </w:rPr>
      </w:pPr>
      <w:bookmarkStart w:id="154" w:name="_Toc54589763"/>
      <w:bookmarkStart w:id="155" w:name="_Toc88780673"/>
      <w:r w:rsidRPr="000F257F">
        <w:rPr>
          <w:szCs w:val="24"/>
        </w:rPr>
        <w:t>Consolidated Statements of Changes in Net Position</w:t>
      </w:r>
      <w:bookmarkEnd w:id="154"/>
      <w:bookmarkEnd w:id="155"/>
    </w:p>
    <w:p w:rsidR="00285D06" w:rsidRPr="000621B8" w:rsidP="00285D06" w14:paraId="26DC594C" w14:textId="77777777">
      <w:pPr>
        <w:widowControl w:val="0"/>
        <w:overflowPunct w:val="0"/>
        <w:autoSpaceDE w:val="0"/>
        <w:autoSpaceDN w:val="0"/>
        <w:adjustRightInd w:val="0"/>
        <w:jc w:val="both"/>
        <w:textAlignment w:val="baseline"/>
        <w:rPr>
          <w:sz w:val="22"/>
          <w:szCs w:val="22"/>
        </w:rPr>
      </w:pPr>
      <w:bookmarkStart w:id="156" w:name="_Toc65551533"/>
      <w:bookmarkStart w:id="157" w:name="_Toc65660141"/>
      <w:bookmarkStart w:id="158" w:name="_Toc68601237"/>
      <w:bookmarkStart w:id="159" w:name="_Toc68601362"/>
      <w:bookmarkStart w:id="160" w:name="_Toc70736761"/>
      <w:bookmarkStart w:id="161" w:name="_Toc73190393"/>
      <w:bookmarkStart w:id="162" w:name="_Toc65325546"/>
      <w:bookmarkStart w:id="163" w:name="_Toc65548730"/>
      <w:bookmarkEnd w:id="149"/>
      <w:bookmarkEnd w:id="150"/>
      <w:bookmarkEnd w:id="151"/>
      <w:bookmarkEnd w:id="152"/>
      <w:r w:rsidRPr="000621B8">
        <w:rPr>
          <w:sz w:val="22"/>
          <w:szCs w:val="22"/>
        </w:rPr>
        <w:t xml:space="preserve">For the </w:t>
      </w:r>
      <w:r>
        <w:rPr>
          <w:sz w:val="22"/>
          <w:szCs w:val="22"/>
        </w:rPr>
        <w:t>Years Ended September 30, 2021</w:t>
      </w:r>
      <w:r w:rsidRPr="005453C0">
        <w:rPr>
          <w:sz w:val="22"/>
          <w:szCs w:val="22"/>
        </w:rPr>
        <w:t xml:space="preserve"> and </w:t>
      </w:r>
      <w:r>
        <w:rPr>
          <w:sz w:val="22"/>
          <w:szCs w:val="22"/>
        </w:rPr>
        <w:t>September 30, 2020</w:t>
      </w:r>
    </w:p>
    <w:p w:rsidR="00285D06" w:rsidRPr="000621B8" w:rsidP="00CA768F" w14:paraId="6E5A858F" w14:textId="77777777">
      <w:pPr>
        <w:widowControl w:val="0"/>
        <w:overflowPunct w:val="0"/>
        <w:autoSpaceDE w:val="0"/>
        <w:autoSpaceDN w:val="0"/>
        <w:adjustRightInd w:val="0"/>
        <w:spacing w:after="240"/>
        <w:jc w:val="both"/>
        <w:textAlignment w:val="baseline"/>
        <w:rPr>
          <w:sz w:val="22"/>
          <w:szCs w:val="22"/>
        </w:rPr>
      </w:pPr>
      <w:r w:rsidRPr="000621B8">
        <w:rPr>
          <w:sz w:val="22"/>
          <w:szCs w:val="22"/>
        </w:rPr>
        <w:t>(Dollars in thousands)</w:t>
      </w:r>
    </w:p>
    <w:tbl>
      <w:tblPr>
        <w:tblW w:w="5074" w:type="pct"/>
        <w:tblLook w:val="04A0"/>
      </w:tblPr>
      <w:tblGrid>
        <w:gridCol w:w="3150"/>
        <w:gridCol w:w="1031"/>
        <w:gridCol w:w="1099"/>
        <w:gridCol w:w="1058"/>
        <w:gridCol w:w="1036"/>
        <w:gridCol w:w="985"/>
        <w:gridCol w:w="1140"/>
      </w:tblGrid>
      <w:tr w14:paraId="7C78B706" w14:textId="77777777" w:rsidTr="006542CB">
        <w:tblPrEx>
          <w:tblW w:w="5074" w:type="pct"/>
          <w:tblLook w:val="04A0"/>
        </w:tblPrEx>
        <w:trPr>
          <w:trHeight w:val="259"/>
        </w:trPr>
        <w:tc>
          <w:tcPr>
            <w:tcW w:w="3150" w:type="dxa"/>
            <w:tcBorders>
              <w:top w:val="nil"/>
              <w:left w:val="nil"/>
              <w:bottom w:val="nil"/>
              <w:right w:val="nil"/>
            </w:tcBorders>
            <w:shd w:val="clear" w:color="000000" w:fill="FFFFFF"/>
            <w:noWrap/>
            <w:vAlign w:val="bottom"/>
            <w:hideMark/>
          </w:tcPr>
          <w:p w:rsidR="00CA768F" w:rsidRPr="00CF04AD" w:rsidP="004957F6" w14:paraId="0216F353" w14:textId="77777777">
            <w:pPr>
              <w:jc w:val="center"/>
              <w:rPr>
                <w:sz w:val="15"/>
                <w:szCs w:val="15"/>
              </w:rPr>
            </w:pPr>
          </w:p>
        </w:tc>
        <w:tc>
          <w:tcPr>
            <w:tcW w:w="3188" w:type="dxa"/>
            <w:gridSpan w:val="3"/>
            <w:tcBorders>
              <w:top w:val="nil"/>
              <w:left w:val="nil"/>
              <w:bottom w:val="single" w:sz="4" w:space="0" w:color="auto"/>
              <w:right w:val="nil"/>
            </w:tcBorders>
            <w:shd w:val="clear" w:color="000000" w:fill="FFFFFF"/>
            <w:noWrap/>
            <w:vAlign w:val="bottom"/>
            <w:hideMark/>
          </w:tcPr>
          <w:p w:rsidR="00CA768F" w:rsidRPr="00CF04AD" w:rsidP="00DC2237" w14:paraId="4581563F" w14:textId="77777777">
            <w:pPr>
              <w:jc w:val="center"/>
              <w:rPr>
                <w:b/>
                <w:bCs/>
                <w:sz w:val="15"/>
                <w:szCs w:val="15"/>
              </w:rPr>
            </w:pPr>
            <w:r w:rsidRPr="00CF04AD">
              <w:rPr>
                <w:b/>
                <w:bCs/>
                <w:sz w:val="15"/>
                <w:szCs w:val="15"/>
              </w:rPr>
              <w:t>FY 2021</w:t>
            </w:r>
          </w:p>
        </w:tc>
        <w:tc>
          <w:tcPr>
            <w:tcW w:w="3161" w:type="dxa"/>
            <w:gridSpan w:val="3"/>
            <w:tcBorders>
              <w:top w:val="nil"/>
              <w:left w:val="nil"/>
              <w:bottom w:val="single" w:sz="4" w:space="0" w:color="auto"/>
              <w:right w:val="nil"/>
            </w:tcBorders>
            <w:shd w:val="clear" w:color="000000" w:fill="FFFFFF"/>
            <w:noWrap/>
            <w:vAlign w:val="bottom"/>
            <w:hideMark/>
          </w:tcPr>
          <w:p w:rsidR="00CA768F" w:rsidRPr="00CF04AD" w:rsidP="00DC2237" w14:paraId="0DD69758" w14:textId="77777777">
            <w:pPr>
              <w:jc w:val="center"/>
              <w:rPr>
                <w:b/>
                <w:bCs/>
                <w:sz w:val="15"/>
                <w:szCs w:val="15"/>
              </w:rPr>
            </w:pPr>
            <w:r w:rsidRPr="00CF04AD">
              <w:rPr>
                <w:b/>
                <w:bCs/>
                <w:sz w:val="15"/>
                <w:szCs w:val="15"/>
              </w:rPr>
              <w:t>FY 2020</w:t>
            </w:r>
          </w:p>
        </w:tc>
      </w:tr>
      <w:tr w14:paraId="29749C4A" w14:textId="77777777" w:rsidTr="009C4F5A">
        <w:tblPrEx>
          <w:tblW w:w="5074" w:type="pct"/>
          <w:tblLook w:val="04A0"/>
        </w:tblPrEx>
        <w:trPr>
          <w:trHeight w:val="683"/>
        </w:trPr>
        <w:tc>
          <w:tcPr>
            <w:tcW w:w="3150" w:type="dxa"/>
            <w:tcBorders>
              <w:top w:val="nil"/>
              <w:left w:val="nil"/>
              <w:right w:val="nil"/>
            </w:tcBorders>
            <w:shd w:val="clear" w:color="000000" w:fill="FFFFFF"/>
            <w:noWrap/>
            <w:vAlign w:val="bottom"/>
            <w:hideMark/>
          </w:tcPr>
          <w:p w:rsidR="00DC2237" w:rsidRPr="00CF04AD" w:rsidP="00BC423B" w14:paraId="3E1259E4" w14:textId="5721C9B7">
            <w:pPr>
              <w:jc w:val="center"/>
              <w:rPr>
                <w:sz w:val="15"/>
                <w:szCs w:val="15"/>
              </w:rPr>
            </w:pPr>
            <w:r w:rsidRPr="00CF04AD">
              <w:rPr>
                <w:sz w:val="15"/>
                <w:szCs w:val="15"/>
              </w:rPr>
              <w:t xml:space="preserve"> </w:t>
            </w:r>
          </w:p>
        </w:tc>
        <w:tc>
          <w:tcPr>
            <w:tcW w:w="1031" w:type="dxa"/>
            <w:tcBorders>
              <w:top w:val="single" w:sz="4" w:space="0" w:color="auto"/>
              <w:left w:val="nil"/>
              <w:bottom w:val="single" w:sz="4" w:space="0" w:color="auto"/>
              <w:right w:val="nil"/>
            </w:tcBorders>
            <w:shd w:val="clear" w:color="000000" w:fill="FFFFFF"/>
            <w:noWrap/>
            <w:vAlign w:val="bottom"/>
            <w:hideMark/>
          </w:tcPr>
          <w:p w:rsidR="00DC2237" w:rsidRPr="00CF04AD" w:rsidP="00DC2237" w14:paraId="153A3721" w14:textId="77777777">
            <w:pPr>
              <w:jc w:val="center"/>
              <w:rPr>
                <w:b/>
                <w:bCs/>
                <w:sz w:val="15"/>
                <w:szCs w:val="15"/>
              </w:rPr>
            </w:pPr>
            <w:r w:rsidRPr="00CF04AD">
              <w:rPr>
                <w:b/>
                <w:bCs/>
                <w:sz w:val="15"/>
                <w:szCs w:val="15"/>
              </w:rPr>
              <w:t>Funds from</w:t>
            </w:r>
          </w:p>
          <w:p w:rsidR="00DC2237" w:rsidRPr="00CF04AD" w:rsidP="00DC2237" w14:paraId="7561A75B" w14:textId="0414F4B9">
            <w:pPr>
              <w:jc w:val="center"/>
              <w:rPr>
                <w:b/>
                <w:bCs/>
                <w:sz w:val="15"/>
                <w:szCs w:val="15"/>
              </w:rPr>
            </w:pPr>
            <w:r w:rsidRPr="00CF04AD">
              <w:rPr>
                <w:b/>
                <w:bCs/>
                <w:sz w:val="15"/>
                <w:szCs w:val="15"/>
              </w:rPr>
              <w:t>Dedicated</w:t>
            </w:r>
          </w:p>
          <w:p w:rsidR="00DC2237" w:rsidRPr="00CF04AD" w:rsidP="00DC2237" w14:paraId="3E5E3B01" w14:textId="77777777">
            <w:pPr>
              <w:jc w:val="center"/>
              <w:rPr>
                <w:b/>
                <w:bCs/>
                <w:sz w:val="15"/>
                <w:szCs w:val="15"/>
              </w:rPr>
            </w:pPr>
            <w:r w:rsidRPr="00CF04AD">
              <w:rPr>
                <w:b/>
                <w:bCs/>
                <w:sz w:val="15"/>
                <w:szCs w:val="15"/>
              </w:rPr>
              <w:t>Collections</w:t>
            </w:r>
          </w:p>
          <w:p w:rsidR="00DC2237" w:rsidRPr="00CF04AD" w:rsidP="00DC2237" w14:paraId="610F4B47" w14:textId="400A7366">
            <w:pPr>
              <w:jc w:val="center"/>
              <w:rPr>
                <w:b/>
                <w:bCs/>
                <w:sz w:val="15"/>
                <w:szCs w:val="15"/>
              </w:rPr>
            </w:pPr>
            <w:r w:rsidRPr="00CF04AD">
              <w:rPr>
                <w:sz w:val="15"/>
                <w:szCs w:val="15"/>
              </w:rPr>
              <w:t>(Note 9)</w:t>
            </w:r>
          </w:p>
        </w:tc>
        <w:tc>
          <w:tcPr>
            <w:tcW w:w="1099" w:type="dxa"/>
            <w:tcBorders>
              <w:top w:val="single" w:sz="4" w:space="0" w:color="auto"/>
              <w:left w:val="nil"/>
              <w:bottom w:val="single" w:sz="4" w:space="0" w:color="auto"/>
              <w:right w:val="nil"/>
            </w:tcBorders>
            <w:shd w:val="clear" w:color="000000" w:fill="FFFFFF"/>
            <w:noWrap/>
            <w:vAlign w:val="bottom"/>
            <w:hideMark/>
          </w:tcPr>
          <w:p w:rsidR="00DC2237" w:rsidRPr="00CF04AD" w:rsidP="00DC2237" w14:paraId="32B59E63" w14:textId="77777777">
            <w:pPr>
              <w:jc w:val="center"/>
              <w:rPr>
                <w:b/>
                <w:bCs/>
                <w:sz w:val="15"/>
                <w:szCs w:val="15"/>
              </w:rPr>
            </w:pPr>
            <w:r w:rsidRPr="00CF04AD">
              <w:rPr>
                <w:b/>
                <w:bCs/>
                <w:sz w:val="15"/>
                <w:szCs w:val="15"/>
              </w:rPr>
              <w:t>Funds from</w:t>
            </w:r>
          </w:p>
          <w:p w:rsidR="00DC2237" w:rsidRPr="00CF04AD" w:rsidP="00DC2237" w14:paraId="7C89FDE6" w14:textId="77777777">
            <w:pPr>
              <w:jc w:val="center"/>
              <w:rPr>
                <w:b/>
                <w:bCs/>
                <w:sz w:val="15"/>
                <w:szCs w:val="15"/>
              </w:rPr>
            </w:pPr>
            <w:r w:rsidRPr="00CF04AD">
              <w:rPr>
                <w:b/>
                <w:bCs/>
                <w:sz w:val="15"/>
                <w:szCs w:val="15"/>
              </w:rPr>
              <w:t>Other than</w:t>
            </w:r>
          </w:p>
          <w:p w:rsidR="00DC2237" w:rsidRPr="00CF04AD" w:rsidP="00DC2237" w14:paraId="54DE5AC3" w14:textId="77777777">
            <w:pPr>
              <w:jc w:val="center"/>
              <w:rPr>
                <w:b/>
                <w:bCs/>
                <w:sz w:val="15"/>
                <w:szCs w:val="15"/>
              </w:rPr>
            </w:pPr>
            <w:r w:rsidRPr="00CF04AD">
              <w:rPr>
                <w:b/>
                <w:bCs/>
                <w:sz w:val="15"/>
                <w:szCs w:val="15"/>
              </w:rPr>
              <w:t>Dedicated</w:t>
            </w:r>
          </w:p>
          <w:p w:rsidR="00DC2237" w:rsidRPr="00CF04AD" w:rsidP="00DC2237" w14:paraId="22C7DFA0" w14:textId="714CCE91">
            <w:pPr>
              <w:jc w:val="center"/>
              <w:rPr>
                <w:b/>
                <w:bCs/>
                <w:sz w:val="15"/>
                <w:szCs w:val="15"/>
              </w:rPr>
            </w:pPr>
            <w:r w:rsidRPr="00CF04AD">
              <w:rPr>
                <w:b/>
                <w:bCs/>
                <w:sz w:val="15"/>
                <w:szCs w:val="15"/>
              </w:rPr>
              <w:t>Collections</w:t>
            </w:r>
          </w:p>
        </w:tc>
        <w:tc>
          <w:tcPr>
            <w:tcW w:w="1058" w:type="dxa"/>
            <w:tcBorders>
              <w:top w:val="single" w:sz="4" w:space="0" w:color="auto"/>
              <w:left w:val="nil"/>
              <w:bottom w:val="single" w:sz="4" w:space="0" w:color="auto"/>
              <w:right w:val="nil"/>
            </w:tcBorders>
            <w:shd w:val="clear" w:color="000000" w:fill="FFFFFF"/>
            <w:noWrap/>
            <w:vAlign w:val="center"/>
            <w:hideMark/>
          </w:tcPr>
          <w:p w:rsidR="00DC2237" w:rsidRPr="00CF04AD" w:rsidP="00DC2237" w14:paraId="76822DC1" w14:textId="77777777">
            <w:pPr>
              <w:jc w:val="center"/>
              <w:rPr>
                <w:b/>
                <w:bCs/>
                <w:sz w:val="15"/>
                <w:szCs w:val="15"/>
              </w:rPr>
            </w:pPr>
            <w:r w:rsidRPr="00CF04AD">
              <w:rPr>
                <w:b/>
                <w:bCs/>
                <w:sz w:val="15"/>
                <w:szCs w:val="15"/>
              </w:rPr>
              <w:t>Consolidated</w:t>
            </w:r>
          </w:p>
          <w:p w:rsidR="00DC2237" w:rsidRPr="00CF04AD" w:rsidP="00DC2237" w14:paraId="68DAC820" w14:textId="7B22416B">
            <w:pPr>
              <w:jc w:val="center"/>
              <w:rPr>
                <w:b/>
                <w:bCs/>
                <w:sz w:val="15"/>
                <w:szCs w:val="15"/>
              </w:rPr>
            </w:pPr>
            <w:r w:rsidRPr="00CF04AD">
              <w:rPr>
                <w:b/>
                <w:bCs/>
                <w:sz w:val="15"/>
                <w:szCs w:val="15"/>
              </w:rPr>
              <w:t>Total</w:t>
            </w:r>
          </w:p>
        </w:tc>
        <w:tc>
          <w:tcPr>
            <w:tcW w:w="1036" w:type="dxa"/>
            <w:tcBorders>
              <w:top w:val="single" w:sz="4" w:space="0" w:color="auto"/>
              <w:left w:val="nil"/>
              <w:bottom w:val="single" w:sz="4" w:space="0" w:color="auto"/>
              <w:right w:val="nil"/>
            </w:tcBorders>
            <w:shd w:val="clear" w:color="000000" w:fill="FFFFFF"/>
            <w:noWrap/>
            <w:vAlign w:val="bottom"/>
            <w:hideMark/>
          </w:tcPr>
          <w:p w:rsidR="00DC2237" w:rsidRPr="00CF04AD" w:rsidP="00DC2237" w14:paraId="5110D876" w14:textId="77777777">
            <w:pPr>
              <w:jc w:val="center"/>
              <w:rPr>
                <w:b/>
                <w:bCs/>
                <w:sz w:val="15"/>
                <w:szCs w:val="15"/>
              </w:rPr>
            </w:pPr>
            <w:r w:rsidRPr="00CF04AD">
              <w:rPr>
                <w:b/>
                <w:bCs/>
                <w:sz w:val="15"/>
                <w:szCs w:val="15"/>
              </w:rPr>
              <w:t>Funds from</w:t>
            </w:r>
          </w:p>
          <w:p w:rsidR="00DC2237" w:rsidRPr="00CF04AD" w:rsidP="00DC2237" w14:paraId="0E4CF745" w14:textId="77777777">
            <w:pPr>
              <w:jc w:val="center"/>
              <w:rPr>
                <w:b/>
                <w:bCs/>
                <w:sz w:val="15"/>
                <w:szCs w:val="15"/>
              </w:rPr>
            </w:pPr>
            <w:r w:rsidRPr="00CF04AD">
              <w:rPr>
                <w:b/>
                <w:bCs/>
                <w:sz w:val="15"/>
                <w:szCs w:val="15"/>
              </w:rPr>
              <w:t>Dedicated</w:t>
            </w:r>
          </w:p>
          <w:p w:rsidR="00DC2237" w:rsidRPr="00CF04AD" w:rsidP="00DC2237" w14:paraId="39B6C1B9" w14:textId="77777777">
            <w:pPr>
              <w:jc w:val="center"/>
              <w:rPr>
                <w:b/>
                <w:bCs/>
                <w:sz w:val="15"/>
                <w:szCs w:val="15"/>
              </w:rPr>
            </w:pPr>
            <w:r w:rsidRPr="00CF04AD">
              <w:rPr>
                <w:b/>
                <w:bCs/>
                <w:sz w:val="15"/>
                <w:szCs w:val="15"/>
              </w:rPr>
              <w:t>Collections</w:t>
            </w:r>
          </w:p>
          <w:p w:rsidR="00DC2237" w:rsidRPr="00CF04AD" w:rsidP="00DC2237" w14:paraId="2C3C6D03" w14:textId="33329DC4">
            <w:pPr>
              <w:jc w:val="center"/>
              <w:rPr>
                <w:b/>
                <w:bCs/>
                <w:sz w:val="15"/>
                <w:szCs w:val="15"/>
              </w:rPr>
            </w:pPr>
            <w:r w:rsidRPr="00CF04AD">
              <w:rPr>
                <w:sz w:val="15"/>
                <w:szCs w:val="15"/>
              </w:rPr>
              <w:t>(Note 9)</w:t>
            </w:r>
          </w:p>
        </w:tc>
        <w:tc>
          <w:tcPr>
            <w:tcW w:w="985" w:type="dxa"/>
            <w:tcBorders>
              <w:top w:val="single" w:sz="4" w:space="0" w:color="auto"/>
              <w:left w:val="nil"/>
              <w:bottom w:val="single" w:sz="4" w:space="0" w:color="auto"/>
              <w:right w:val="nil"/>
            </w:tcBorders>
            <w:shd w:val="clear" w:color="000000" w:fill="FFFFFF"/>
            <w:noWrap/>
            <w:vAlign w:val="bottom"/>
            <w:hideMark/>
          </w:tcPr>
          <w:p w:rsidR="00DC2237" w:rsidRPr="00CF04AD" w:rsidP="00DC2237" w14:paraId="2854AC5C" w14:textId="77777777">
            <w:pPr>
              <w:jc w:val="center"/>
              <w:rPr>
                <w:b/>
                <w:bCs/>
                <w:sz w:val="15"/>
                <w:szCs w:val="15"/>
              </w:rPr>
            </w:pPr>
            <w:r w:rsidRPr="00CF04AD">
              <w:rPr>
                <w:b/>
                <w:bCs/>
                <w:sz w:val="15"/>
                <w:szCs w:val="15"/>
              </w:rPr>
              <w:t>Funds from</w:t>
            </w:r>
          </w:p>
          <w:p w:rsidR="00DC2237" w:rsidRPr="00CF04AD" w:rsidP="00DC2237" w14:paraId="5365167E" w14:textId="77777777">
            <w:pPr>
              <w:jc w:val="center"/>
              <w:rPr>
                <w:b/>
                <w:bCs/>
                <w:sz w:val="15"/>
                <w:szCs w:val="15"/>
              </w:rPr>
            </w:pPr>
            <w:r w:rsidRPr="00CF04AD">
              <w:rPr>
                <w:b/>
                <w:bCs/>
                <w:sz w:val="15"/>
                <w:szCs w:val="15"/>
              </w:rPr>
              <w:t>Other than</w:t>
            </w:r>
          </w:p>
          <w:p w:rsidR="00DC2237" w:rsidRPr="00CF04AD" w:rsidP="00DC2237" w14:paraId="681CCE24" w14:textId="77777777">
            <w:pPr>
              <w:jc w:val="center"/>
              <w:rPr>
                <w:b/>
                <w:bCs/>
                <w:sz w:val="15"/>
                <w:szCs w:val="15"/>
              </w:rPr>
            </w:pPr>
            <w:r w:rsidRPr="00CF04AD">
              <w:rPr>
                <w:b/>
                <w:bCs/>
                <w:sz w:val="15"/>
                <w:szCs w:val="15"/>
              </w:rPr>
              <w:t>Dedicated</w:t>
            </w:r>
          </w:p>
          <w:p w:rsidR="00DC2237" w:rsidRPr="00CF04AD" w:rsidP="00DC2237" w14:paraId="252EC975" w14:textId="341D2A46">
            <w:pPr>
              <w:jc w:val="center"/>
              <w:rPr>
                <w:b/>
                <w:bCs/>
                <w:sz w:val="15"/>
                <w:szCs w:val="15"/>
              </w:rPr>
            </w:pPr>
            <w:r w:rsidRPr="00CF04AD">
              <w:rPr>
                <w:b/>
                <w:bCs/>
                <w:sz w:val="15"/>
                <w:szCs w:val="15"/>
              </w:rPr>
              <w:t>Collections</w:t>
            </w:r>
          </w:p>
        </w:tc>
        <w:tc>
          <w:tcPr>
            <w:tcW w:w="1140" w:type="dxa"/>
            <w:tcBorders>
              <w:top w:val="single" w:sz="4" w:space="0" w:color="auto"/>
              <w:left w:val="nil"/>
              <w:bottom w:val="single" w:sz="4" w:space="0" w:color="auto"/>
              <w:right w:val="nil"/>
            </w:tcBorders>
            <w:shd w:val="clear" w:color="000000" w:fill="FFFFFF"/>
            <w:noWrap/>
            <w:vAlign w:val="center"/>
            <w:hideMark/>
          </w:tcPr>
          <w:p w:rsidR="00DC2237" w:rsidRPr="00CF04AD" w:rsidP="00DC2237" w14:paraId="5A062914" w14:textId="77777777">
            <w:pPr>
              <w:jc w:val="center"/>
              <w:rPr>
                <w:b/>
                <w:bCs/>
                <w:sz w:val="15"/>
                <w:szCs w:val="15"/>
              </w:rPr>
            </w:pPr>
            <w:r w:rsidRPr="00CF04AD">
              <w:rPr>
                <w:b/>
                <w:bCs/>
                <w:sz w:val="15"/>
                <w:szCs w:val="15"/>
              </w:rPr>
              <w:t>Consolidated</w:t>
            </w:r>
          </w:p>
          <w:p w:rsidR="00DC2237" w:rsidRPr="00CF04AD" w:rsidP="00DC2237" w14:paraId="0EF35E48" w14:textId="3962B94F">
            <w:pPr>
              <w:jc w:val="center"/>
              <w:rPr>
                <w:b/>
                <w:bCs/>
                <w:sz w:val="15"/>
                <w:szCs w:val="15"/>
              </w:rPr>
            </w:pPr>
            <w:r w:rsidRPr="00CF04AD">
              <w:rPr>
                <w:b/>
                <w:bCs/>
                <w:sz w:val="15"/>
                <w:szCs w:val="15"/>
              </w:rPr>
              <w:t>Total</w:t>
            </w:r>
          </w:p>
        </w:tc>
      </w:tr>
      <w:tr w14:paraId="4FA3493B" w14:textId="77777777" w:rsidTr="000F1874">
        <w:tblPrEx>
          <w:tblW w:w="5074" w:type="pct"/>
          <w:tblLook w:val="04A0"/>
        </w:tblPrEx>
        <w:trPr>
          <w:trHeight w:val="215"/>
        </w:trPr>
        <w:tc>
          <w:tcPr>
            <w:tcW w:w="3150" w:type="dxa"/>
            <w:tcBorders>
              <w:top w:val="nil"/>
              <w:left w:val="nil"/>
              <w:bottom w:val="nil"/>
              <w:right w:val="nil"/>
            </w:tcBorders>
            <w:shd w:val="clear" w:color="000000" w:fill="FFFFFF"/>
            <w:noWrap/>
            <w:vAlign w:val="bottom"/>
            <w:hideMark/>
          </w:tcPr>
          <w:p w:rsidR="00CA768F" w:rsidRPr="00CF04AD" w:rsidP="004957F6" w14:paraId="780B89CE" w14:textId="77777777">
            <w:pPr>
              <w:rPr>
                <w:b/>
                <w:bCs/>
                <w:sz w:val="15"/>
                <w:szCs w:val="15"/>
              </w:rPr>
            </w:pPr>
            <w:r w:rsidRPr="00CF04AD">
              <w:rPr>
                <w:b/>
                <w:bCs/>
                <w:sz w:val="15"/>
                <w:szCs w:val="15"/>
              </w:rPr>
              <w:t>Unexpended Appropriations:</w:t>
            </w:r>
          </w:p>
        </w:tc>
        <w:tc>
          <w:tcPr>
            <w:tcW w:w="1031" w:type="dxa"/>
            <w:tcBorders>
              <w:top w:val="single" w:sz="4" w:space="0" w:color="auto"/>
              <w:left w:val="nil"/>
              <w:bottom w:val="nil"/>
              <w:right w:val="nil"/>
            </w:tcBorders>
            <w:shd w:val="clear" w:color="000000" w:fill="FFFFFF"/>
            <w:noWrap/>
            <w:vAlign w:val="bottom"/>
            <w:hideMark/>
          </w:tcPr>
          <w:p w:rsidR="00CA768F" w:rsidRPr="00CF04AD" w:rsidP="006C37C8" w14:paraId="6DB29D24" w14:textId="77777777">
            <w:pPr>
              <w:jc w:val="right"/>
              <w:rPr>
                <w:sz w:val="15"/>
                <w:szCs w:val="15"/>
              </w:rPr>
            </w:pPr>
            <w:r w:rsidRPr="00CF04AD">
              <w:rPr>
                <w:sz w:val="15"/>
                <w:szCs w:val="15"/>
              </w:rPr>
              <w:t xml:space="preserve"> </w:t>
            </w:r>
          </w:p>
        </w:tc>
        <w:tc>
          <w:tcPr>
            <w:tcW w:w="1099" w:type="dxa"/>
            <w:tcBorders>
              <w:top w:val="single" w:sz="4" w:space="0" w:color="auto"/>
              <w:left w:val="nil"/>
              <w:bottom w:val="nil"/>
              <w:right w:val="nil"/>
            </w:tcBorders>
            <w:shd w:val="clear" w:color="000000" w:fill="FFFFFF"/>
            <w:noWrap/>
            <w:vAlign w:val="bottom"/>
            <w:hideMark/>
          </w:tcPr>
          <w:p w:rsidR="00CA768F" w:rsidRPr="00CF04AD" w:rsidP="006C37C8" w14:paraId="78437146" w14:textId="77777777">
            <w:pPr>
              <w:jc w:val="right"/>
              <w:rPr>
                <w:sz w:val="15"/>
                <w:szCs w:val="15"/>
              </w:rPr>
            </w:pPr>
            <w:r w:rsidRPr="00CF04AD">
              <w:rPr>
                <w:sz w:val="15"/>
                <w:szCs w:val="15"/>
              </w:rPr>
              <w:t xml:space="preserve"> </w:t>
            </w:r>
          </w:p>
        </w:tc>
        <w:tc>
          <w:tcPr>
            <w:tcW w:w="1058" w:type="dxa"/>
            <w:tcBorders>
              <w:top w:val="single" w:sz="4" w:space="0" w:color="auto"/>
              <w:left w:val="nil"/>
              <w:bottom w:val="nil"/>
              <w:right w:val="nil"/>
            </w:tcBorders>
            <w:shd w:val="clear" w:color="000000" w:fill="FFFFFF"/>
            <w:noWrap/>
            <w:vAlign w:val="bottom"/>
            <w:hideMark/>
          </w:tcPr>
          <w:p w:rsidR="00CA768F" w:rsidRPr="00CF04AD" w:rsidP="006C37C8" w14:paraId="4E5D8CBB" w14:textId="77777777">
            <w:pPr>
              <w:jc w:val="right"/>
              <w:rPr>
                <w:sz w:val="15"/>
                <w:szCs w:val="15"/>
              </w:rPr>
            </w:pPr>
            <w:r w:rsidRPr="00CF04AD">
              <w:rPr>
                <w:sz w:val="15"/>
                <w:szCs w:val="15"/>
              </w:rPr>
              <w:t xml:space="preserve"> </w:t>
            </w:r>
          </w:p>
        </w:tc>
        <w:tc>
          <w:tcPr>
            <w:tcW w:w="1036" w:type="dxa"/>
            <w:tcBorders>
              <w:top w:val="single" w:sz="4" w:space="0" w:color="auto"/>
              <w:left w:val="nil"/>
              <w:bottom w:val="nil"/>
              <w:right w:val="nil"/>
            </w:tcBorders>
            <w:shd w:val="clear" w:color="000000" w:fill="FFFFFF"/>
            <w:noWrap/>
            <w:vAlign w:val="bottom"/>
            <w:hideMark/>
          </w:tcPr>
          <w:p w:rsidR="00CA768F" w:rsidRPr="00CF04AD" w:rsidP="006C37C8" w14:paraId="75ECB6F9" w14:textId="77777777">
            <w:pPr>
              <w:jc w:val="right"/>
              <w:rPr>
                <w:sz w:val="15"/>
                <w:szCs w:val="15"/>
              </w:rPr>
            </w:pPr>
            <w:r w:rsidRPr="00CF04AD">
              <w:rPr>
                <w:sz w:val="15"/>
                <w:szCs w:val="15"/>
              </w:rPr>
              <w:t xml:space="preserve"> </w:t>
            </w:r>
          </w:p>
        </w:tc>
        <w:tc>
          <w:tcPr>
            <w:tcW w:w="985" w:type="dxa"/>
            <w:tcBorders>
              <w:top w:val="single" w:sz="4" w:space="0" w:color="auto"/>
              <w:left w:val="nil"/>
              <w:bottom w:val="nil"/>
              <w:right w:val="nil"/>
            </w:tcBorders>
            <w:shd w:val="clear" w:color="000000" w:fill="FFFFFF"/>
            <w:noWrap/>
            <w:vAlign w:val="bottom"/>
            <w:hideMark/>
          </w:tcPr>
          <w:p w:rsidR="00CA768F" w:rsidRPr="00CF04AD" w:rsidP="006C37C8" w14:paraId="153474E2" w14:textId="77777777">
            <w:pPr>
              <w:jc w:val="right"/>
              <w:rPr>
                <w:sz w:val="15"/>
                <w:szCs w:val="15"/>
              </w:rPr>
            </w:pPr>
            <w:r w:rsidRPr="00CF04AD">
              <w:rPr>
                <w:sz w:val="15"/>
                <w:szCs w:val="15"/>
              </w:rPr>
              <w:t xml:space="preserve"> </w:t>
            </w:r>
          </w:p>
        </w:tc>
        <w:tc>
          <w:tcPr>
            <w:tcW w:w="1140" w:type="dxa"/>
            <w:tcBorders>
              <w:top w:val="single" w:sz="4" w:space="0" w:color="auto"/>
              <w:left w:val="nil"/>
              <w:bottom w:val="nil"/>
              <w:right w:val="nil"/>
            </w:tcBorders>
            <w:shd w:val="clear" w:color="000000" w:fill="FFFFFF"/>
            <w:noWrap/>
            <w:vAlign w:val="bottom"/>
            <w:hideMark/>
          </w:tcPr>
          <w:p w:rsidR="00CA768F" w:rsidRPr="00CF04AD" w:rsidP="006C37C8" w14:paraId="1874B07C" w14:textId="77777777">
            <w:pPr>
              <w:jc w:val="right"/>
              <w:rPr>
                <w:sz w:val="15"/>
                <w:szCs w:val="15"/>
              </w:rPr>
            </w:pPr>
            <w:r w:rsidRPr="00CF04AD">
              <w:rPr>
                <w:sz w:val="15"/>
                <w:szCs w:val="15"/>
              </w:rPr>
              <w:t xml:space="preserve"> </w:t>
            </w:r>
          </w:p>
        </w:tc>
      </w:tr>
      <w:tr w14:paraId="432DD773" w14:textId="77777777" w:rsidTr="00C263D3">
        <w:tblPrEx>
          <w:tblW w:w="5074" w:type="pct"/>
          <w:tblLook w:val="04A0"/>
        </w:tblPrEx>
        <w:trPr>
          <w:trHeight w:val="259"/>
        </w:trPr>
        <w:tc>
          <w:tcPr>
            <w:tcW w:w="3150" w:type="dxa"/>
            <w:tcBorders>
              <w:top w:val="nil"/>
              <w:left w:val="nil"/>
              <w:bottom w:val="nil"/>
              <w:right w:val="nil"/>
            </w:tcBorders>
            <w:shd w:val="clear" w:color="000000" w:fill="FFFFFF"/>
            <w:noWrap/>
            <w:vAlign w:val="bottom"/>
            <w:hideMark/>
          </w:tcPr>
          <w:p w:rsidR="00CA768F" w:rsidRPr="00CF04AD" w:rsidP="004957F6" w14:paraId="463D4183" w14:textId="77777777">
            <w:pPr>
              <w:ind w:firstLine="150" w:firstLineChars="100"/>
              <w:rPr>
                <w:sz w:val="15"/>
                <w:szCs w:val="15"/>
              </w:rPr>
            </w:pPr>
            <w:r w:rsidRPr="00CF04AD">
              <w:rPr>
                <w:sz w:val="15"/>
                <w:szCs w:val="15"/>
              </w:rPr>
              <w:t>Beginning Balance, as adjusted</w:t>
            </w:r>
          </w:p>
        </w:tc>
        <w:tc>
          <w:tcPr>
            <w:tcW w:w="1031" w:type="dxa"/>
            <w:tcBorders>
              <w:top w:val="nil"/>
              <w:left w:val="nil"/>
              <w:bottom w:val="nil"/>
              <w:right w:val="nil"/>
            </w:tcBorders>
            <w:shd w:val="clear" w:color="000000" w:fill="FFFFFF"/>
            <w:noWrap/>
            <w:vAlign w:val="bottom"/>
            <w:hideMark/>
          </w:tcPr>
          <w:p w:rsidR="00CA768F" w:rsidRPr="00CF04AD" w:rsidP="006C37C8" w14:paraId="370719B4" w14:textId="437E7829">
            <w:pPr>
              <w:jc w:val="right"/>
              <w:rPr>
                <w:sz w:val="15"/>
                <w:szCs w:val="15"/>
              </w:rPr>
            </w:pPr>
            <w:r w:rsidRPr="00CF04AD">
              <w:rPr>
                <w:sz w:val="15"/>
                <w:szCs w:val="15"/>
              </w:rPr>
              <w:t>$</w:t>
            </w:r>
            <w:r w:rsidR="000F5893">
              <w:rPr>
                <w:sz w:val="15"/>
                <w:szCs w:val="15"/>
              </w:rPr>
              <w:t xml:space="preserve">   </w:t>
            </w:r>
            <w:r w:rsidR="00374E5C">
              <w:rPr>
                <w:sz w:val="15"/>
                <w:szCs w:val="15"/>
              </w:rPr>
              <w:t xml:space="preserve"> </w:t>
            </w:r>
            <w:r w:rsidR="00836FF5">
              <w:rPr>
                <w:sz w:val="15"/>
                <w:szCs w:val="15"/>
              </w:rPr>
              <w:t xml:space="preserve"> </w:t>
            </w:r>
            <w:r w:rsidRPr="00CF04AD">
              <w:rPr>
                <w:sz w:val="15"/>
                <w:szCs w:val="15"/>
              </w:rPr>
              <w:t xml:space="preserve"> 857,848 </w:t>
            </w:r>
          </w:p>
        </w:tc>
        <w:tc>
          <w:tcPr>
            <w:tcW w:w="1099" w:type="dxa"/>
            <w:tcBorders>
              <w:top w:val="nil"/>
              <w:left w:val="nil"/>
              <w:bottom w:val="nil"/>
              <w:right w:val="nil"/>
            </w:tcBorders>
            <w:shd w:val="clear" w:color="000000" w:fill="FFFFFF"/>
            <w:noWrap/>
            <w:vAlign w:val="bottom"/>
            <w:hideMark/>
          </w:tcPr>
          <w:p w:rsidR="00CA768F" w:rsidRPr="00CF04AD" w:rsidP="006C37C8" w14:paraId="2671E370" w14:textId="39431D3D">
            <w:pPr>
              <w:jc w:val="right"/>
              <w:rPr>
                <w:sz w:val="15"/>
                <w:szCs w:val="15"/>
              </w:rPr>
            </w:pPr>
            <w:r w:rsidRPr="00CF04AD">
              <w:rPr>
                <w:sz w:val="15"/>
                <w:szCs w:val="15"/>
              </w:rPr>
              <w:t>$</w:t>
            </w:r>
            <w:r w:rsidR="005F0BA9">
              <w:rPr>
                <w:sz w:val="15"/>
                <w:szCs w:val="15"/>
              </w:rPr>
              <w:t xml:space="preserve">   </w:t>
            </w:r>
            <w:r w:rsidR="000F5893">
              <w:rPr>
                <w:sz w:val="15"/>
                <w:szCs w:val="15"/>
              </w:rPr>
              <w:t xml:space="preserve">    </w:t>
            </w:r>
            <w:r w:rsidRPr="00CF04AD">
              <w:rPr>
                <w:sz w:val="15"/>
                <w:szCs w:val="15"/>
              </w:rPr>
              <w:t xml:space="preserve"> 150,738 </w:t>
            </w:r>
          </w:p>
        </w:tc>
        <w:tc>
          <w:tcPr>
            <w:tcW w:w="1058" w:type="dxa"/>
            <w:tcBorders>
              <w:top w:val="nil"/>
              <w:left w:val="nil"/>
              <w:bottom w:val="nil"/>
              <w:right w:val="nil"/>
            </w:tcBorders>
            <w:shd w:val="clear" w:color="000000" w:fill="FFFFFF"/>
            <w:noWrap/>
            <w:vAlign w:val="bottom"/>
            <w:hideMark/>
          </w:tcPr>
          <w:p w:rsidR="00CA768F" w:rsidRPr="00CF04AD" w:rsidP="006C37C8" w14:paraId="7A2EF961" w14:textId="6252267D">
            <w:pPr>
              <w:jc w:val="right"/>
              <w:rPr>
                <w:sz w:val="15"/>
                <w:szCs w:val="15"/>
              </w:rPr>
            </w:pPr>
            <w:r w:rsidRPr="00CF04AD">
              <w:rPr>
                <w:sz w:val="15"/>
                <w:szCs w:val="15"/>
              </w:rPr>
              <w:t>$</w:t>
            </w:r>
            <w:r w:rsidR="00575707">
              <w:rPr>
                <w:sz w:val="15"/>
                <w:szCs w:val="15"/>
              </w:rPr>
              <w:t xml:space="preserve"> </w:t>
            </w:r>
            <w:r w:rsidRPr="00CF04AD">
              <w:rPr>
                <w:sz w:val="15"/>
                <w:szCs w:val="15"/>
              </w:rPr>
              <w:t xml:space="preserve"> </w:t>
            </w:r>
            <w:r w:rsidR="0015646D">
              <w:rPr>
                <w:sz w:val="15"/>
                <w:szCs w:val="15"/>
              </w:rPr>
              <w:t xml:space="preserve">  </w:t>
            </w:r>
            <w:r w:rsidRPr="00CF04AD">
              <w:rPr>
                <w:sz w:val="15"/>
                <w:szCs w:val="15"/>
              </w:rPr>
              <w:t xml:space="preserve">1,008,586 </w:t>
            </w:r>
          </w:p>
        </w:tc>
        <w:tc>
          <w:tcPr>
            <w:tcW w:w="1036" w:type="dxa"/>
            <w:tcBorders>
              <w:top w:val="nil"/>
              <w:left w:val="nil"/>
              <w:bottom w:val="nil"/>
              <w:right w:val="nil"/>
            </w:tcBorders>
            <w:shd w:val="clear" w:color="000000" w:fill="FFFFFF"/>
            <w:noWrap/>
            <w:vAlign w:val="bottom"/>
            <w:hideMark/>
          </w:tcPr>
          <w:p w:rsidR="00CA768F" w:rsidRPr="00CF04AD" w:rsidP="006C37C8" w14:paraId="7721F931" w14:textId="581321BB">
            <w:pPr>
              <w:jc w:val="right"/>
              <w:rPr>
                <w:sz w:val="15"/>
                <w:szCs w:val="15"/>
              </w:rPr>
            </w:pPr>
            <w:r w:rsidRPr="00CF04AD">
              <w:rPr>
                <w:sz w:val="15"/>
                <w:szCs w:val="15"/>
              </w:rPr>
              <w:t>$</w:t>
            </w:r>
            <w:r w:rsidR="00575707">
              <w:rPr>
                <w:sz w:val="15"/>
                <w:szCs w:val="15"/>
              </w:rPr>
              <w:t xml:space="preserve">  </w:t>
            </w:r>
            <w:r w:rsidRPr="00CF04AD">
              <w:rPr>
                <w:sz w:val="15"/>
                <w:szCs w:val="15"/>
              </w:rPr>
              <w:t xml:space="preserve"> </w:t>
            </w:r>
            <w:r w:rsidR="000F5893">
              <w:rPr>
                <w:sz w:val="15"/>
                <w:szCs w:val="15"/>
              </w:rPr>
              <w:t xml:space="preserve">   </w:t>
            </w:r>
            <w:r w:rsidRPr="00CF04AD">
              <w:rPr>
                <w:sz w:val="15"/>
                <w:szCs w:val="15"/>
              </w:rPr>
              <w:t xml:space="preserve">982,952 </w:t>
            </w:r>
          </w:p>
        </w:tc>
        <w:tc>
          <w:tcPr>
            <w:tcW w:w="985" w:type="dxa"/>
            <w:tcBorders>
              <w:top w:val="nil"/>
              <w:left w:val="nil"/>
              <w:bottom w:val="nil"/>
              <w:right w:val="nil"/>
            </w:tcBorders>
            <w:shd w:val="clear" w:color="000000" w:fill="FFFFFF"/>
            <w:noWrap/>
            <w:vAlign w:val="bottom"/>
            <w:hideMark/>
          </w:tcPr>
          <w:p w:rsidR="00CA768F" w:rsidRPr="00CF04AD" w:rsidP="006C37C8" w14:paraId="6D61CFD9" w14:textId="5717239B">
            <w:pPr>
              <w:jc w:val="right"/>
              <w:rPr>
                <w:sz w:val="15"/>
                <w:szCs w:val="15"/>
              </w:rPr>
            </w:pPr>
            <w:r w:rsidRPr="00CF04AD">
              <w:rPr>
                <w:sz w:val="15"/>
                <w:szCs w:val="15"/>
              </w:rPr>
              <w:t>$</w:t>
            </w:r>
            <w:r w:rsidR="00575707">
              <w:rPr>
                <w:sz w:val="15"/>
                <w:szCs w:val="15"/>
              </w:rPr>
              <w:t xml:space="preserve">   </w:t>
            </w:r>
            <w:r w:rsidRPr="00CF04AD">
              <w:rPr>
                <w:sz w:val="15"/>
                <w:szCs w:val="15"/>
              </w:rPr>
              <w:t xml:space="preserve"> </w:t>
            </w:r>
            <w:r w:rsidR="005673C6">
              <w:rPr>
                <w:sz w:val="15"/>
                <w:szCs w:val="15"/>
              </w:rPr>
              <w:t xml:space="preserve">     </w:t>
            </w:r>
            <w:r w:rsidRPr="00CF04AD">
              <w:rPr>
                <w:sz w:val="15"/>
                <w:szCs w:val="15"/>
              </w:rPr>
              <w:t xml:space="preserve">2,816 </w:t>
            </w:r>
          </w:p>
        </w:tc>
        <w:tc>
          <w:tcPr>
            <w:tcW w:w="1140" w:type="dxa"/>
            <w:tcBorders>
              <w:top w:val="nil"/>
              <w:left w:val="nil"/>
              <w:bottom w:val="nil"/>
              <w:right w:val="nil"/>
            </w:tcBorders>
            <w:shd w:val="clear" w:color="000000" w:fill="FFFFFF"/>
            <w:noWrap/>
            <w:vAlign w:val="bottom"/>
            <w:hideMark/>
          </w:tcPr>
          <w:p w:rsidR="00CA768F" w:rsidRPr="00CF04AD" w:rsidP="006C37C8" w14:paraId="5C6FAC32" w14:textId="0F7C7189">
            <w:pPr>
              <w:jc w:val="right"/>
              <w:rPr>
                <w:sz w:val="15"/>
                <w:szCs w:val="15"/>
              </w:rPr>
            </w:pPr>
            <w:r w:rsidRPr="00CF04AD">
              <w:rPr>
                <w:sz w:val="15"/>
                <w:szCs w:val="15"/>
              </w:rPr>
              <w:t>$</w:t>
            </w:r>
            <w:r w:rsidR="00575707">
              <w:rPr>
                <w:sz w:val="15"/>
                <w:szCs w:val="15"/>
              </w:rPr>
              <w:t xml:space="preserve">     </w:t>
            </w:r>
            <w:r w:rsidR="005673C6">
              <w:rPr>
                <w:sz w:val="15"/>
                <w:szCs w:val="15"/>
              </w:rPr>
              <w:t xml:space="preserve">   </w:t>
            </w:r>
            <w:r w:rsidRPr="00CF04AD">
              <w:rPr>
                <w:sz w:val="15"/>
                <w:szCs w:val="15"/>
              </w:rPr>
              <w:t xml:space="preserve"> 985,768 </w:t>
            </w:r>
          </w:p>
        </w:tc>
      </w:tr>
      <w:tr w14:paraId="1A09EA7E" w14:textId="77777777" w:rsidTr="00FF1DF8">
        <w:tblPrEx>
          <w:tblW w:w="5074" w:type="pct"/>
          <w:tblLook w:val="04A0"/>
        </w:tblPrEx>
        <w:trPr>
          <w:trHeight w:val="324"/>
        </w:trPr>
        <w:tc>
          <w:tcPr>
            <w:tcW w:w="3150" w:type="dxa"/>
            <w:tcBorders>
              <w:top w:val="nil"/>
              <w:left w:val="nil"/>
              <w:bottom w:val="nil"/>
              <w:right w:val="nil"/>
            </w:tcBorders>
            <w:shd w:val="clear" w:color="000000" w:fill="FFFFFF"/>
            <w:noWrap/>
            <w:vAlign w:val="bottom"/>
            <w:hideMark/>
          </w:tcPr>
          <w:p w:rsidR="00CA768F" w:rsidRPr="00CF04AD" w:rsidP="004957F6" w14:paraId="50AF3616" w14:textId="77777777">
            <w:pPr>
              <w:ind w:firstLine="150" w:firstLineChars="100"/>
              <w:rPr>
                <w:sz w:val="15"/>
                <w:szCs w:val="15"/>
              </w:rPr>
            </w:pPr>
            <w:r w:rsidRPr="00CF04AD">
              <w:rPr>
                <w:sz w:val="15"/>
                <w:szCs w:val="15"/>
              </w:rPr>
              <w:t>Appropriations received</w:t>
            </w:r>
          </w:p>
        </w:tc>
        <w:tc>
          <w:tcPr>
            <w:tcW w:w="1031" w:type="dxa"/>
            <w:tcBorders>
              <w:top w:val="nil"/>
              <w:left w:val="nil"/>
              <w:bottom w:val="nil"/>
              <w:right w:val="nil"/>
            </w:tcBorders>
            <w:shd w:val="clear" w:color="000000" w:fill="FFFFFF"/>
            <w:noWrap/>
            <w:vAlign w:val="bottom"/>
            <w:hideMark/>
          </w:tcPr>
          <w:p w:rsidR="00CA768F" w:rsidRPr="00CF04AD" w:rsidP="006C37C8" w14:paraId="6CBAC5A1" w14:textId="77777777">
            <w:pPr>
              <w:jc w:val="right"/>
              <w:rPr>
                <w:sz w:val="15"/>
                <w:szCs w:val="15"/>
              </w:rPr>
            </w:pPr>
            <w:r w:rsidRPr="00CF04AD">
              <w:rPr>
                <w:sz w:val="15"/>
                <w:szCs w:val="15"/>
              </w:rPr>
              <w:t xml:space="preserve"> - </w:t>
            </w:r>
          </w:p>
        </w:tc>
        <w:tc>
          <w:tcPr>
            <w:tcW w:w="1099" w:type="dxa"/>
            <w:tcBorders>
              <w:top w:val="nil"/>
              <w:left w:val="nil"/>
              <w:bottom w:val="nil"/>
              <w:right w:val="nil"/>
            </w:tcBorders>
            <w:shd w:val="clear" w:color="000000" w:fill="FFFFFF"/>
            <w:noWrap/>
            <w:vAlign w:val="bottom"/>
            <w:hideMark/>
          </w:tcPr>
          <w:p w:rsidR="00CA768F" w:rsidRPr="00CF04AD" w:rsidP="006C37C8" w14:paraId="543C90F2" w14:textId="77777777">
            <w:pPr>
              <w:jc w:val="right"/>
              <w:rPr>
                <w:sz w:val="15"/>
                <w:szCs w:val="15"/>
              </w:rPr>
            </w:pPr>
            <w:r w:rsidRPr="00CF04AD">
              <w:rPr>
                <w:sz w:val="15"/>
                <w:szCs w:val="15"/>
              </w:rPr>
              <w:t xml:space="preserve"> 12,586,950 </w:t>
            </w:r>
          </w:p>
        </w:tc>
        <w:tc>
          <w:tcPr>
            <w:tcW w:w="1058" w:type="dxa"/>
            <w:tcBorders>
              <w:top w:val="nil"/>
              <w:left w:val="nil"/>
              <w:bottom w:val="nil"/>
              <w:right w:val="nil"/>
            </w:tcBorders>
            <w:shd w:val="clear" w:color="000000" w:fill="FFFFFF"/>
            <w:noWrap/>
            <w:vAlign w:val="bottom"/>
            <w:hideMark/>
          </w:tcPr>
          <w:p w:rsidR="00CA768F" w:rsidRPr="00CF04AD" w:rsidP="006C37C8" w14:paraId="32917DA4" w14:textId="77777777">
            <w:pPr>
              <w:jc w:val="right"/>
              <w:rPr>
                <w:sz w:val="15"/>
                <w:szCs w:val="15"/>
              </w:rPr>
            </w:pPr>
            <w:r w:rsidRPr="00CF04AD">
              <w:rPr>
                <w:sz w:val="15"/>
                <w:szCs w:val="15"/>
              </w:rPr>
              <w:t xml:space="preserve"> 12,586,950 </w:t>
            </w:r>
          </w:p>
        </w:tc>
        <w:tc>
          <w:tcPr>
            <w:tcW w:w="1036" w:type="dxa"/>
            <w:tcBorders>
              <w:top w:val="nil"/>
              <w:left w:val="nil"/>
              <w:bottom w:val="nil"/>
              <w:right w:val="nil"/>
            </w:tcBorders>
            <w:shd w:val="clear" w:color="000000" w:fill="FFFFFF"/>
            <w:noWrap/>
            <w:vAlign w:val="bottom"/>
            <w:hideMark/>
          </w:tcPr>
          <w:p w:rsidR="00CA768F" w:rsidRPr="00CF04AD" w:rsidP="006C37C8" w14:paraId="128DBB5F" w14:textId="77777777">
            <w:pPr>
              <w:jc w:val="right"/>
              <w:rPr>
                <w:sz w:val="15"/>
                <w:szCs w:val="15"/>
              </w:rPr>
            </w:pPr>
            <w:r w:rsidRPr="00CF04AD">
              <w:rPr>
                <w:sz w:val="15"/>
                <w:szCs w:val="15"/>
              </w:rPr>
              <w:t xml:space="preserve"> - </w:t>
            </w:r>
          </w:p>
        </w:tc>
        <w:tc>
          <w:tcPr>
            <w:tcW w:w="985" w:type="dxa"/>
            <w:tcBorders>
              <w:top w:val="nil"/>
              <w:left w:val="nil"/>
              <w:bottom w:val="nil"/>
              <w:right w:val="nil"/>
            </w:tcBorders>
            <w:shd w:val="clear" w:color="000000" w:fill="FFFFFF"/>
            <w:noWrap/>
            <w:vAlign w:val="bottom"/>
            <w:hideMark/>
          </w:tcPr>
          <w:p w:rsidR="00CA768F" w:rsidRPr="00CF04AD" w:rsidP="006C37C8" w14:paraId="6259E73A" w14:textId="77777777">
            <w:pPr>
              <w:jc w:val="right"/>
              <w:rPr>
                <w:sz w:val="15"/>
                <w:szCs w:val="15"/>
              </w:rPr>
            </w:pPr>
            <w:r w:rsidRPr="00CF04AD">
              <w:rPr>
                <w:sz w:val="15"/>
                <w:szCs w:val="15"/>
              </w:rPr>
              <w:t xml:space="preserve"> 200,000 </w:t>
            </w:r>
          </w:p>
        </w:tc>
        <w:tc>
          <w:tcPr>
            <w:tcW w:w="1140" w:type="dxa"/>
            <w:tcBorders>
              <w:top w:val="nil"/>
              <w:left w:val="nil"/>
              <w:bottom w:val="nil"/>
              <w:right w:val="nil"/>
            </w:tcBorders>
            <w:shd w:val="clear" w:color="000000" w:fill="FFFFFF"/>
            <w:noWrap/>
            <w:vAlign w:val="bottom"/>
            <w:hideMark/>
          </w:tcPr>
          <w:p w:rsidR="00CA768F" w:rsidRPr="00CF04AD" w:rsidP="006C37C8" w14:paraId="2E08935C" w14:textId="77777777">
            <w:pPr>
              <w:jc w:val="right"/>
              <w:rPr>
                <w:sz w:val="15"/>
                <w:szCs w:val="15"/>
              </w:rPr>
            </w:pPr>
            <w:r w:rsidRPr="00CF04AD">
              <w:rPr>
                <w:sz w:val="15"/>
                <w:szCs w:val="15"/>
              </w:rPr>
              <w:t xml:space="preserve"> 200,000 </w:t>
            </w:r>
          </w:p>
        </w:tc>
      </w:tr>
      <w:tr w14:paraId="1B750628" w14:textId="77777777" w:rsidTr="00FF1DF8">
        <w:tblPrEx>
          <w:tblW w:w="5074" w:type="pct"/>
          <w:tblLook w:val="04A0"/>
        </w:tblPrEx>
        <w:trPr>
          <w:trHeight w:val="171"/>
        </w:trPr>
        <w:tc>
          <w:tcPr>
            <w:tcW w:w="3150" w:type="dxa"/>
            <w:tcBorders>
              <w:top w:val="nil"/>
              <w:left w:val="nil"/>
              <w:bottom w:val="nil"/>
              <w:right w:val="nil"/>
            </w:tcBorders>
            <w:shd w:val="clear" w:color="000000" w:fill="FFFFFF"/>
            <w:noWrap/>
            <w:vAlign w:val="bottom"/>
            <w:hideMark/>
          </w:tcPr>
          <w:p w:rsidR="00CA768F" w:rsidRPr="00CF04AD" w:rsidP="004957F6" w14:paraId="0975B4D9" w14:textId="77777777">
            <w:pPr>
              <w:ind w:firstLine="150" w:firstLineChars="100"/>
              <w:rPr>
                <w:sz w:val="15"/>
                <w:szCs w:val="15"/>
              </w:rPr>
            </w:pPr>
            <w:r w:rsidRPr="00CF04AD">
              <w:rPr>
                <w:sz w:val="15"/>
                <w:szCs w:val="15"/>
              </w:rPr>
              <w:t>Appropriations used</w:t>
            </w:r>
          </w:p>
        </w:tc>
        <w:tc>
          <w:tcPr>
            <w:tcW w:w="1031" w:type="dxa"/>
            <w:tcBorders>
              <w:top w:val="nil"/>
              <w:left w:val="nil"/>
              <w:bottom w:val="single" w:sz="4" w:space="0" w:color="auto"/>
              <w:right w:val="nil"/>
            </w:tcBorders>
            <w:shd w:val="clear" w:color="000000" w:fill="FFFFFF"/>
            <w:noWrap/>
            <w:vAlign w:val="bottom"/>
            <w:hideMark/>
          </w:tcPr>
          <w:p w:rsidR="00CA768F" w:rsidRPr="00CF04AD" w:rsidP="006C37C8" w14:paraId="03A7B0D8" w14:textId="77777777">
            <w:pPr>
              <w:jc w:val="right"/>
              <w:rPr>
                <w:sz w:val="15"/>
                <w:szCs w:val="15"/>
              </w:rPr>
            </w:pPr>
            <w:r w:rsidRPr="00CF04AD">
              <w:rPr>
                <w:sz w:val="15"/>
                <w:szCs w:val="15"/>
              </w:rPr>
              <w:t xml:space="preserve"> (38,828)</w:t>
            </w:r>
          </w:p>
        </w:tc>
        <w:tc>
          <w:tcPr>
            <w:tcW w:w="1099" w:type="dxa"/>
            <w:tcBorders>
              <w:top w:val="nil"/>
              <w:left w:val="nil"/>
              <w:bottom w:val="single" w:sz="4" w:space="0" w:color="auto"/>
              <w:right w:val="nil"/>
            </w:tcBorders>
            <w:shd w:val="clear" w:color="000000" w:fill="FFFFFF"/>
            <w:noWrap/>
            <w:vAlign w:val="bottom"/>
            <w:hideMark/>
          </w:tcPr>
          <w:p w:rsidR="00CA768F" w:rsidRPr="00CF04AD" w:rsidP="006C37C8" w14:paraId="5337F0EF" w14:textId="77777777">
            <w:pPr>
              <w:jc w:val="right"/>
              <w:rPr>
                <w:sz w:val="15"/>
                <w:szCs w:val="15"/>
              </w:rPr>
            </w:pPr>
            <w:r w:rsidRPr="00CF04AD">
              <w:rPr>
                <w:sz w:val="15"/>
                <w:szCs w:val="15"/>
              </w:rPr>
              <w:t xml:space="preserve"> (1,008,999)</w:t>
            </w:r>
          </w:p>
        </w:tc>
        <w:tc>
          <w:tcPr>
            <w:tcW w:w="1058" w:type="dxa"/>
            <w:tcBorders>
              <w:top w:val="nil"/>
              <w:left w:val="nil"/>
              <w:bottom w:val="single" w:sz="4" w:space="0" w:color="auto"/>
              <w:right w:val="nil"/>
            </w:tcBorders>
            <w:shd w:val="clear" w:color="000000" w:fill="FFFFFF"/>
            <w:noWrap/>
            <w:vAlign w:val="bottom"/>
            <w:hideMark/>
          </w:tcPr>
          <w:p w:rsidR="00CA768F" w:rsidRPr="00CF04AD" w:rsidP="006C37C8" w14:paraId="2422EFF2" w14:textId="77777777">
            <w:pPr>
              <w:jc w:val="right"/>
              <w:rPr>
                <w:sz w:val="15"/>
                <w:szCs w:val="15"/>
              </w:rPr>
            </w:pPr>
            <w:r w:rsidRPr="00CF04AD">
              <w:rPr>
                <w:sz w:val="15"/>
                <w:szCs w:val="15"/>
              </w:rPr>
              <w:t xml:space="preserve"> (1,047,827)</w:t>
            </w:r>
          </w:p>
        </w:tc>
        <w:tc>
          <w:tcPr>
            <w:tcW w:w="1036" w:type="dxa"/>
            <w:tcBorders>
              <w:top w:val="nil"/>
              <w:left w:val="nil"/>
              <w:bottom w:val="single" w:sz="4" w:space="0" w:color="auto"/>
              <w:right w:val="nil"/>
            </w:tcBorders>
            <w:shd w:val="clear" w:color="000000" w:fill="FFFFFF"/>
            <w:noWrap/>
            <w:vAlign w:val="bottom"/>
            <w:hideMark/>
          </w:tcPr>
          <w:p w:rsidR="00CA768F" w:rsidRPr="00CF04AD" w:rsidP="006C37C8" w14:paraId="6B5BD8B3" w14:textId="77777777">
            <w:pPr>
              <w:jc w:val="right"/>
              <w:rPr>
                <w:sz w:val="15"/>
                <w:szCs w:val="15"/>
              </w:rPr>
            </w:pPr>
            <w:r w:rsidRPr="00CF04AD">
              <w:rPr>
                <w:sz w:val="15"/>
                <w:szCs w:val="15"/>
              </w:rPr>
              <w:t xml:space="preserve"> (125,104)</w:t>
            </w:r>
          </w:p>
        </w:tc>
        <w:tc>
          <w:tcPr>
            <w:tcW w:w="985" w:type="dxa"/>
            <w:tcBorders>
              <w:top w:val="nil"/>
              <w:left w:val="nil"/>
              <w:bottom w:val="single" w:sz="4" w:space="0" w:color="auto"/>
              <w:right w:val="nil"/>
            </w:tcBorders>
            <w:shd w:val="clear" w:color="000000" w:fill="FFFFFF"/>
            <w:noWrap/>
            <w:vAlign w:val="bottom"/>
            <w:hideMark/>
          </w:tcPr>
          <w:p w:rsidR="00CA768F" w:rsidRPr="00CF04AD" w:rsidP="006C37C8" w14:paraId="3D95374D" w14:textId="77777777">
            <w:pPr>
              <w:jc w:val="right"/>
              <w:rPr>
                <w:sz w:val="15"/>
                <w:szCs w:val="15"/>
              </w:rPr>
            </w:pPr>
            <w:r w:rsidRPr="00CF04AD">
              <w:rPr>
                <w:sz w:val="15"/>
                <w:szCs w:val="15"/>
              </w:rPr>
              <w:t xml:space="preserve"> (52,078)</w:t>
            </w:r>
          </w:p>
        </w:tc>
        <w:tc>
          <w:tcPr>
            <w:tcW w:w="1140" w:type="dxa"/>
            <w:tcBorders>
              <w:top w:val="nil"/>
              <w:left w:val="nil"/>
              <w:bottom w:val="single" w:sz="4" w:space="0" w:color="auto"/>
              <w:right w:val="nil"/>
            </w:tcBorders>
            <w:shd w:val="clear" w:color="000000" w:fill="FFFFFF"/>
            <w:noWrap/>
            <w:vAlign w:val="bottom"/>
            <w:hideMark/>
          </w:tcPr>
          <w:p w:rsidR="00CA768F" w:rsidRPr="00CF04AD" w:rsidP="006C37C8" w14:paraId="20774A95" w14:textId="77777777">
            <w:pPr>
              <w:jc w:val="right"/>
              <w:rPr>
                <w:sz w:val="15"/>
                <w:szCs w:val="15"/>
              </w:rPr>
            </w:pPr>
            <w:r w:rsidRPr="00CF04AD">
              <w:rPr>
                <w:sz w:val="15"/>
                <w:szCs w:val="15"/>
              </w:rPr>
              <w:t xml:space="preserve"> (177,182)</w:t>
            </w:r>
          </w:p>
        </w:tc>
      </w:tr>
      <w:tr w14:paraId="1B7D0824" w14:textId="77777777" w:rsidTr="00C263D3">
        <w:tblPrEx>
          <w:tblW w:w="5074" w:type="pct"/>
          <w:tblLook w:val="04A0"/>
        </w:tblPrEx>
        <w:trPr>
          <w:trHeight w:val="179"/>
        </w:trPr>
        <w:tc>
          <w:tcPr>
            <w:tcW w:w="3150" w:type="dxa"/>
            <w:tcBorders>
              <w:top w:val="nil"/>
              <w:left w:val="nil"/>
              <w:bottom w:val="nil"/>
              <w:right w:val="nil"/>
            </w:tcBorders>
            <w:shd w:val="clear" w:color="000000" w:fill="FFFFFF"/>
            <w:noWrap/>
            <w:vAlign w:val="bottom"/>
            <w:hideMark/>
          </w:tcPr>
          <w:p w:rsidR="00CA768F" w:rsidRPr="00CF04AD" w:rsidP="004957F6" w14:paraId="7379DFB4" w14:textId="77777777">
            <w:pPr>
              <w:ind w:firstLine="150" w:firstLineChars="100"/>
              <w:rPr>
                <w:sz w:val="15"/>
                <w:szCs w:val="15"/>
              </w:rPr>
            </w:pPr>
            <w:r w:rsidRPr="00CF04AD">
              <w:rPr>
                <w:sz w:val="15"/>
                <w:szCs w:val="15"/>
              </w:rPr>
              <w:t>Net change in Unexpended Appropriations</w:t>
            </w:r>
          </w:p>
        </w:tc>
        <w:tc>
          <w:tcPr>
            <w:tcW w:w="1031" w:type="dxa"/>
            <w:tcBorders>
              <w:top w:val="nil"/>
              <w:left w:val="nil"/>
              <w:bottom w:val="nil"/>
              <w:right w:val="nil"/>
            </w:tcBorders>
            <w:shd w:val="clear" w:color="000000" w:fill="FFFFFF"/>
            <w:noWrap/>
            <w:vAlign w:val="bottom"/>
            <w:hideMark/>
          </w:tcPr>
          <w:p w:rsidR="00CA768F" w:rsidRPr="00CF04AD" w:rsidP="006C37C8" w14:paraId="2587FEEB" w14:textId="77777777">
            <w:pPr>
              <w:jc w:val="right"/>
              <w:rPr>
                <w:sz w:val="15"/>
                <w:szCs w:val="15"/>
              </w:rPr>
            </w:pPr>
            <w:r w:rsidRPr="00CF04AD">
              <w:rPr>
                <w:sz w:val="15"/>
                <w:szCs w:val="15"/>
              </w:rPr>
              <w:t xml:space="preserve"> (38,828)</w:t>
            </w:r>
          </w:p>
        </w:tc>
        <w:tc>
          <w:tcPr>
            <w:tcW w:w="1099" w:type="dxa"/>
            <w:tcBorders>
              <w:top w:val="nil"/>
              <w:left w:val="nil"/>
              <w:bottom w:val="nil"/>
              <w:right w:val="nil"/>
            </w:tcBorders>
            <w:shd w:val="clear" w:color="000000" w:fill="FFFFFF"/>
            <w:noWrap/>
            <w:vAlign w:val="bottom"/>
            <w:hideMark/>
          </w:tcPr>
          <w:p w:rsidR="00CA768F" w:rsidRPr="00CF04AD" w:rsidP="006C37C8" w14:paraId="6D4B4107" w14:textId="77777777">
            <w:pPr>
              <w:jc w:val="right"/>
              <w:rPr>
                <w:sz w:val="15"/>
                <w:szCs w:val="15"/>
              </w:rPr>
            </w:pPr>
            <w:r w:rsidRPr="00CF04AD">
              <w:rPr>
                <w:sz w:val="15"/>
                <w:szCs w:val="15"/>
              </w:rPr>
              <w:t xml:space="preserve"> 11,577,951 </w:t>
            </w:r>
          </w:p>
        </w:tc>
        <w:tc>
          <w:tcPr>
            <w:tcW w:w="1058" w:type="dxa"/>
            <w:tcBorders>
              <w:top w:val="nil"/>
              <w:left w:val="nil"/>
              <w:bottom w:val="nil"/>
              <w:right w:val="nil"/>
            </w:tcBorders>
            <w:shd w:val="clear" w:color="000000" w:fill="FFFFFF"/>
            <w:noWrap/>
            <w:vAlign w:val="bottom"/>
            <w:hideMark/>
          </w:tcPr>
          <w:p w:rsidR="00CA768F" w:rsidRPr="00CF04AD" w:rsidP="006C37C8" w14:paraId="7B0AAA91" w14:textId="77777777">
            <w:pPr>
              <w:jc w:val="right"/>
              <w:rPr>
                <w:sz w:val="15"/>
                <w:szCs w:val="15"/>
              </w:rPr>
            </w:pPr>
            <w:r w:rsidRPr="00CF04AD">
              <w:rPr>
                <w:sz w:val="15"/>
                <w:szCs w:val="15"/>
              </w:rPr>
              <w:t xml:space="preserve"> 11,539,123 </w:t>
            </w:r>
          </w:p>
        </w:tc>
        <w:tc>
          <w:tcPr>
            <w:tcW w:w="1036" w:type="dxa"/>
            <w:tcBorders>
              <w:top w:val="nil"/>
              <w:left w:val="nil"/>
              <w:bottom w:val="nil"/>
              <w:right w:val="nil"/>
            </w:tcBorders>
            <w:shd w:val="clear" w:color="000000" w:fill="FFFFFF"/>
            <w:noWrap/>
            <w:vAlign w:val="bottom"/>
            <w:hideMark/>
          </w:tcPr>
          <w:p w:rsidR="00CA768F" w:rsidRPr="00CF04AD" w:rsidP="006C37C8" w14:paraId="633E74C9" w14:textId="77777777">
            <w:pPr>
              <w:jc w:val="right"/>
              <w:rPr>
                <w:sz w:val="15"/>
                <w:szCs w:val="15"/>
              </w:rPr>
            </w:pPr>
            <w:r w:rsidRPr="00CF04AD">
              <w:rPr>
                <w:sz w:val="15"/>
                <w:szCs w:val="15"/>
              </w:rPr>
              <w:t xml:space="preserve"> (125,104)</w:t>
            </w:r>
          </w:p>
        </w:tc>
        <w:tc>
          <w:tcPr>
            <w:tcW w:w="985" w:type="dxa"/>
            <w:tcBorders>
              <w:top w:val="nil"/>
              <w:left w:val="nil"/>
              <w:bottom w:val="nil"/>
              <w:right w:val="nil"/>
            </w:tcBorders>
            <w:shd w:val="clear" w:color="000000" w:fill="FFFFFF"/>
            <w:noWrap/>
            <w:vAlign w:val="bottom"/>
            <w:hideMark/>
          </w:tcPr>
          <w:p w:rsidR="00CA768F" w:rsidRPr="00CF04AD" w:rsidP="006C37C8" w14:paraId="6E132373" w14:textId="77777777">
            <w:pPr>
              <w:jc w:val="right"/>
              <w:rPr>
                <w:sz w:val="15"/>
                <w:szCs w:val="15"/>
              </w:rPr>
            </w:pPr>
            <w:r w:rsidRPr="00CF04AD">
              <w:rPr>
                <w:sz w:val="15"/>
                <w:szCs w:val="15"/>
              </w:rPr>
              <w:t xml:space="preserve"> 147,922 </w:t>
            </w:r>
          </w:p>
        </w:tc>
        <w:tc>
          <w:tcPr>
            <w:tcW w:w="1140" w:type="dxa"/>
            <w:tcBorders>
              <w:top w:val="nil"/>
              <w:left w:val="nil"/>
              <w:bottom w:val="nil"/>
              <w:right w:val="nil"/>
            </w:tcBorders>
            <w:shd w:val="clear" w:color="000000" w:fill="FFFFFF"/>
            <w:noWrap/>
            <w:vAlign w:val="bottom"/>
            <w:hideMark/>
          </w:tcPr>
          <w:p w:rsidR="00CA768F" w:rsidRPr="00CF04AD" w:rsidP="006C37C8" w14:paraId="6F43EA36" w14:textId="77777777">
            <w:pPr>
              <w:jc w:val="right"/>
              <w:rPr>
                <w:sz w:val="15"/>
                <w:szCs w:val="15"/>
              </w:rPr>
            </w:pPr>
            <w:r w:rsidRPr="00CF04AD">
              <w:rPr>
                <w:sz w:val="15"/>
                <w:szCs w:val="15"/>
              </w:rPr>
              <w:t xml:space="preserve"> 22,818 </w:t>
            </w:r>
          </w:p>
        </w:tc>
      </w:tr>
      <w:tr w14:paraId="098FDD81" w14:textId="77777777" w:rsidTr="00C263D3">
        <w:tblPrEx>
          <w:tblW w:w="5074" w:type="pct"/>
          <w:tblLook w:val="04A0"/>
        </w:tblPrEx>
        <w:trPr>
          <w:trHeight w:val="279"/>
        </w:trPr>
        <w:tc>
          <w:tcPr>
            <w:tcW w:w="3150" w:type="dxa"/>
            <w:tcBorders>
              <w:top w:val="nil"/>
              <w:left w:val="nil"/>
              <w:bottom w:val="nil"/>
              <w:right w:val="nil"/>
            </w:tcBorders>
            <w:shd w:val="clear" w:color="000000" w:fill="FFFFFF"/>
            <w:noWrap/>
            <w:vAlign w:val="bottom"/>
            <w:hideMark/>
          </w:tcPr>
          <w:p w:rsidR="00CA768F" w:rsidRPr="00CF04AD" w:rsidP="004957F6" w14:paraId="26ADFD8F" w14:textId="77777777">
            <w:pPr>
              <w:ind w:firstLine="150" w:firstLineChars="100"/>
              <w:rPr>
                <w:b/>
                <w:bCs/>
                <w:sz w:val="15"/>
                <w:szCs w:val="15"/>
              </w:rPr>
            </w:pPr>
            <w:r w:rsidRPr="00CF04AD">
              <w:rPr>
                <w:b/>
                <w:bCs/>
                <w:sz w:val="15"/>
                <w:szCs w:val="15"/>
              </w:rPr>
              <w:t>Total Unexpended Appropriations</w:t>
            </w:r>
          </w:p>
        </w:tc>
        <w:tc>
          <w:tcPr>
            <w:tcW w:w="1031" w:type="dxa"/>
            <w:tcBorders>
              <w:top w:val="nil"/>
              <w:left w:val="nil"/>
              <w:bottom w:val="double" w:sz="6" w:space="0" w:color="auto"/>
              <w:right w:val="nil"/>
            </w:tcBorders>
            <w:shd w:val="clear" w:color="000000" w:fill="FFFFFF"/>
            <w:noWrap/>
            <w:vAlign w:val="bottom"/>
            <w:hideMark/>
          </w:tcPr>
          <w:p w:rsidR="00CA768F" w:rsidRPr="00CF04AD" w:rsidP="006C37C8" w14:paraId="7BE51E6D" w14:textId="5216EA1B">
            <w:pPr>
              <w:jc w:val="right"/>
              <w:rPr>
                <w:sz w:val="15"/>
                <w:szCs w:val="15"/>
              </w:rPr>
            </w:pPr>
            <w:r w:rsidRPr="00CF04AD">
              <w:rPr>
                <w:sz w:val="15"/>
                <w:szCs w:val="15"/>
              </w:rPr>
              <w:t>$</w:t>
            </w:r>
            <w:r w:rsidR="00CC2C05">
              <w:rPr>
                <w:sz w:val="15"/>
                <w:szCs w:val="15"/>
              </w:rPr>
              <w:t xml:space="preserve"> </w:t>
            </w:r>
            <w:r w:rsidR="00A41869">
              <w:rPr>
                <w:sz w:val="15"/>
                <w:szCs w:val="15"/>
              </w:rPr>
              <w:t xml:space="preserve">   </w:t>
            </w:r>
            <w:r w:rsidR="00374E5C">
              <w:rPr>
                <w:sz w:val="15"/>
                <w:szCs w:val="15"/>
              </w:rPr>
              <w:t xml:space="preserve"> </w:t>
            </w:r>
            <w:r w:rsidRPr="00CF04AD">
              <w:rPr>
                <w:sz w:val="15"/>
                <w:szCs w:val="15"/>
              </w:rPr>
              <w:t xml:space="preserve"> 819,020 </w:t>
            </w:r>
          </w:p>
        </w:tc>
        <w:tc>
          <w:tcPr>
            <w:tcW w:w="1099" w:type="dxa"/>
            <w:tcBorders>
              <w:top w:val="nil"/>
              <w:left w:val="nil"/>
              <w:bottom w:val="double" w:sz="6" w:space="0" w:color="auto"/>
              <w:right w:val="nil"/>
            </w:tcBorders>
            <w:shd w:val="clear" w:color="000000" w:fill="FFFFFF"/>
            <w:noWrap/>
            <w:vAlign w:val="bottom"/>
            <w:hideMark/>
          </w:tcPr>
          <w:p w:rsidR="00CA768F" w:rsidRPr="00CF04AD" w:rsidP="006C37C8" w14:paraId="1FCD46BE" w14:textId="574BB507">
            <w:pPr>
              <w:jc w:val="right"/>
              <w:rPr>
                <w:sz w:val="15"/>
                <w:szCs w:val="15"/>
              </w:rPr>
            </w:pPr>
            <w:r w:rsidRPr="00CF04AD">
              <w:rPr>
                <w:sz w:val="15"/>
                <w:szCs w:val="15"/>
              </w:rPr>
              <w:t>$</w:t>
            </w:r>
            <w:r w:rsidR="005F0BA9">
              <w:rPr>
                <w:sz w:val="15"/>
                <w:szCs w:val="15"/>
              </w:rPr>
              <w:t xml:space="preserve">   </w:t>
            </w:r>
            <w:r w:rsidRPr="00CF04AD">
              <w:rPr>
                <w:sz w:val="15"/>
                <w:szCs w:val="15"/>
              </w:rPr>
              <w:t xml:space="preserve">11,728,689 </w:t>
            </w:r>
          </w:p>
        </w:tc>
        <w:tc>
          <w:tcPr>
            <w:tcW w:w="1058" w:type="dxa"/>
            <w:tcBorders>
              <w:top w:val="nil"/>
              <w:left w:val="nil"/>
              <w:bottom w:val="double" w:sz="6" w:space="0" w:color="auto"/>
              <w:right w:val="nil"/>
            </w:tcBorders>
            <w:shd w:val="clear" w:color="000000" w:fill="FFFFFF"/>
            <w:noWrap/>
            <w:vAlign w:val="bottom"/>
            <w:hideMark/>
          </w:tcPr>
          <w:p w:rsidR="00CA768F" w:rsidRPr="00CF04AD" w:rsidP="006C37C8" w14:paraId="211FA657" w14:textId="060C864A">
            <w:pPr>
              <w:jc w:val="right"/>
              <w:rPr>
                <w:sz w:val="15"/>
                <w:szCs w:val="15"/>
              </w:rPr>
            </w:pPr>
            <w:r w:rsidRPr="00CF04AD">
              <w:rPr>
                <w:sz w:val="15"/>
                <w:szCs w:val="15"/>
              </w:rPr>
              <w:t>$</w:t>
            </w:r>
            <w:r w:rsidR="00A73A99">
              <w:rPr>
                <w:sz w:val="15"/>
                <w:szCs w:val="15"/>
              </w:rPr>
              <w:t xml:space="preserve"> </w:t>
            </w:r>
            <w:r w:rsidRPr="00CF04AD">
              <w:rPr>
                <w:sz w:val="15"/>
                <w:szCs w:val="15"/>
              </w:rPr>
              <w:t xml:space="preserve"> 12,547,709 </w:t>
            </w:r>
          </w:p>
        </w:tc>
        <w:tc>
          <w:tcPr>
            <w:tcW w:w="1036" w:type="dxa"/>
            <w:tcBorders>
              <w:top w:val="nil"/>
              <w:left w:val="nil"/>
              <w:bottom w:val="double" w:sz="6" w:space="0" w:color="auto"/>
              <w:right w:val="nil"/>
            </w:tcBorders>
            <w:shd w:val="clear" w:color="000000" w:fill="FFFFFF"/>
            <w:noWrap/>
            <w:vAlign w:val="bottom"/>
            <w:hideMark/>
          </w:tcPr>
          <w:p w:rsidR="00CA768F" w:rsidRPr="00CF04AD" w:rsidP="006C37C8" w14:paraId="563D1DBD" w14:textId="454FC6E6">
            <w:pPr>
              <w:jc w:val="right"/>
              <w:rPr>
                <w:sz w:val="15"/>
                <w:szCs w:val="15"/>
              </w:rPr>
            </w:pPr>
            <w:r w:rsidRPr="00CF04AD">
              <w:rPr>
                <w:sz w:val="15"/>
                <w:szCs w:val="15"/>
              </w:rPr>
              <w:t>$</w:t>
            </w:r>
            <w:r w:rsidR="00A73A99">
              <w:rPr>
                <w:sz w:val="15"/>
                <w:szCs w:val="15"/>
              </w:rPr>
              <w:t xml:space="preserve">  </w:t>
            </w:r>
            <w:r w:rsidR="000F5893">
              <w:rPr>
                <w:sz w:val="15"/>
                <w:szCs w:val="15"/>
              </w:rPr>
              <w:t xml:space="preserve">   </w:t>
            </w:r>
            <w:r w:rsidRPr="00CF04AD">
              <w:rPr>
                <w:sz w:val="15"/>
                <w:szCs w:val="15"/>
              </w:rPr>
              <w:t xml:space="preserve"> 857,848 </w:t>
            </w:r>
          </w:p>
        </w:tc>
        <w:tc>
          <w:tcPr>
            <w:tcW w:w="985" w:type="dxa"/>
            <w:tcBorders>
              <w:top w:val="nil"/>
              <w:left w:val="nil"/>
              <w:bottom w:val="double" w:sz="6" w:space="0" w:color="auto"/>
              <w:right w:val="nil"/>
            </w:tcBorders>
            <w:shd w:val="clear" w:color="000000" w:fill="FFFFFF"/>
            <w:noWrap/>
            <w:vAlign w:val="bottom"/>
            <w:hideMark/>
          </w:tcPr>
          <w:p w:rsidR="00CA768F" w:rsidRPr="00CF04AD" w:rsidP="006C37C8" w14:paraId="01AAB61A" w14:textId="585FBD10">
            <w:pPr>
              <w:jc w:val="right"/>
              <w:rPr>
                <w:sz w:val="15"/>
                <w:szCs w:val="15"/>
              </w:rPr>
            </w:pPr>
            <w:r w:rsidRPr="00CF04AD">
              <w:rPr>
                <w:sz w:val="15"/>
                <w:szCs w:val="15"/>
              </w:rPr>
              <w:t>$</w:t>
            </w:r>
            <w:r w:rsidR="00A73A99">
              <w:rPr>
                <w:sz w:val="15"/>
                <w:szCs w:val="15"/>
              </w:rPr>
              <w:t xml:space="preserve">    </w:t>
            </w:r>
            <w:r w:rsidRPr="00CF04AD">
              <w:rPr>
                <w:sz w:val="15"/>
                <w:szCs w:val="15"/>
              </w:rPr>
              <w:t xml:space="preserve"> 150,738 </w:t>
            </w:r>
          </w:p>
        </w:tc>
        <w:tc>
          <w:tcPr>
            <w:tcW w:w="1140" w:type="dxa"/>
            <w:tcBorders>
              <w:top w:val="nil"/>
              <w:left w:val="nil"/>
              <w:bottom w:val="double" w:sz="6" w:space="0" w:color="auto"/>
              <w:right w:val="nil"/>
            </w:tcBorders>
            <w:shd w:val="clear" w:color="000000" w:fill="FFFFFF"/>
            <w:noWrap/>
            <w:vAlign w:val="bottom"/>
            <w:hideMark/>
          </w:tcPr>
          <w:p w:rsidR="00CA768F" w:rsidRPr="00CF04AD" w:rsidP="006C37C8" w14:paraId="0D18C024" w14:textId="32F51BA5">
            <w:pPr>
              <w:jc w:val="right"/>
              <w:rPr>
                <w:sz w:val="15"/>
                <w:szCs w:val="15"/>
              </w:rPr>
            </w:pPr>
            <w:r w:rsidRPr="00CF04AD">
              <w:rPr>
                <w:sz w:val="15"/>
                <w:szCs w:val="15"/>
              </w:rPr>
              <w:t>$</w:t>
            </w:r>
            <w:r w:rsidR="00A73A99">
              <w:rPr>
                <w:sz w:val="15"/>
                <w:szCs w:val="15"/>
              </w:rPr>
              <w:t xml:space="preserve">     </w:t>
            </w:r>
            <w:r w:rsidRPr="00CF04AD">
              <w:rPr>
                <w:sz w:val="15"/>
                <w:szCs w:val="15"/>
              </w:rPr>
              <w:t xml:space="preserve"> 1,008,586 </w:t>
            </w:r>
          </w:p>
        </w:tc>
      </w:tr>
      <w:tr w14:paraId="0F687970" w14:textId="77777777" w:rsidTr="00C263D3">
        <w:tblPrEx>
          <w:tblW w:w="5074" w:type="pct"/>
          <w:tblLook w:val="04A0"/>
        </w:tblPrEx>
        <w:trPr>
          <w:trHeight w:val="324"/>
        </w:trPr>
        <w:tc>
          <w:tcPr>
            <w:tcW w:w="3150" w:type="dxa"/>
            <w:tcBorders>
              <w:top w:val="nil"/>
              <w:left w:val="nil"/>
              <w:bottom w:val="nil"/>
              <w:right w:val="nil"/>
            </w:tcBorders>
            <w:shd w:val="clear" w:color="000000" w:fill="FFFFFF"/>
            <w:noWrap/>
            <w:vAlign w:val="bottom"/>
            <w:hideMark/>
          </w:tcPr>
          <w:p w:rsidR="00CA768F" w:rsidRPr="00CF04AD" w:rsidP="004957F6" w14:paraId="6F315FB7" w14:textId="77777777">
            <w:pPr>
              <w:rPr>
                <w:b/>
                <w:bCs/>
                <w:sz w:val="15"/>
                <w:szCs w:val="15"/>
              </w:rPr>
            </w:pPr>
            <w:r w:rsidRPr="00CF04AD">
              <w:rPr>
                <w:b/>
                <w:bCs/>
                <w:sz w:val="15"/>
                <w:szCs w:val="15"/>
              </w:rPr>
              <w:t>Cumulative Results of Operations:</w:t>
            </w:r>
          </w:p>
        </w:tc>
        <w:tc>
          <w:tcPr>
            <w:tcW w:w="1031" w:type="dxa"/>
            <w:tcBorders>
              <w:top w:val="nil"/>
              <w:left w:val="nil"/>
              <w:bottom w:val="nil"/>
              <w:right w:val="nil"/>
            </w:tcBorders>
            <w:shd w:val="clear" w:color="000000" w:fill="FFFFFF"/>
            <w:noWrap/>
            <w:vAlign w:val="bottom"/>
            <w:hideMark/>
          </w:tcPr>
          <w:p w:rsidR="00CA768F" w:rsidRPr="00CF04AD" w:rsidP="006C37C8" w14:paraId="5431D376" w14:textId="77777777">
            <w:pPr>
              <w:jc w:val="right"/>
              <w:rPr>
                <w:sz w:val="15"/>
                <w:szCs w:val="15"/>
              </w:rPr>
            </w:pPr>
            <w:r w:rsidRPr="00CF04AD">
              <w:rPr>
                <w:sz w:val="15"/>
                <w:szCs w:val="15"/>
              </w:rPr>
              <w:t xml:space="preserve"> </w:t>
            </w:r>
          </w:p>
        </w:tc>
        <w:tc>
          <w:tcPr>
            <w:tcW w:w="1099" w:type="dxa"/>
            <w:tcBorders>
              <w:top w:val="nil"/>
              <w:left w:val="nil"/>
              <w:bottom w:val="nil"/>
              <w:right w:val="nil"/>
            </w:tcBorders>
            <w:shd w:val="clear" w:color="000000" w:fill="FFFFFF"/>
            <w:noWrap/>
            <w:vAlign w:val="bottom"/>
            <w:hideMark/>
          </w:tcPr>
          <w:p w:rsidR="00CA768F" w:rsidRPr="00CF04AD" w:rsidP="006C37C8" w14:paraId="168A430A" w14:textId="77777777">
            <w:pPr>
              <w:jc w:val="right"/>
              <w:rPr>
                <w:sz w:val="15"/>
                <w:szCs w:val="15"/>
              </w:rPr>
            </w:pPr>
            <w:r w:rsidRPr="00CF04AD">
              <w:rPr>
                <w:sz w:val="15"/>
                <w:szCs w:val="15"/>
              </w:rPr>
              <w:t xml:space="preserve"> </w:t>
            </w:r>
          </w:p>
        </w:tc>
        <w:tc>
          <w:tcPr>
            <w:tcW w:w="1058" w:type="dxa"/>
            <w:tcBorders>
              <w:top w:val="nil"/>
              <w:left w:val="nil"/>
              <w:bottom w:val="nil"/>
              <w:right w:val="nil"/>
            </w:tcBorders>
            <w:shd w:val="clear" w:color="000000" w:fill="FFFFFF"/>
            <w:noWrap/>
            <w:vAlign w:val="bottom"/>
            <w:hideMark/>
          </w:tcPr>
          <w:p w:rsidR="00CA768F" w:rsidRPr="00CF04AD" w:rsidP="006C37C8" w14:paraId="513AA30F" w14:textId="77777777">
            <w:pPr>
              <w:jc w:val="right"/>
              <w:rPr>
                <w:sz w:val="15"/>
                <w:szCs w:val="15"/>
              </w:rPr>
            </w:pPr>
            <w:r w:rsidRPr="00CF04AD">
              <w:rPr>
                <w:sz w:val="15"/>
                <w:szCs w:val="15"/>
              </w:rPr>
              <w:t xml:space="preserve"> </w:t>
            </w:r>
          </w:p>
        </w:tc>
        <w:tc>
          <w:tcPr>
            <w:tcW w:w="1036" w:type="dxa"/>
            <w:tcBorders>
              <w:top w:val="nil"/>
              <w:left w:val="nil"/>
              <w:bottom w:val="nil"/>
              <w:right w:val="nil"/>
            </w:tcBorders>
            <w:shd w:val="clear" w:color="000000" w:fill="FFFFFF"/>
            <w:noWrap/>
            <w:vAlign w:val="bottom"/>
            <w:hideMark/>
          </w:tcPr>
          <w:p w:rsidR="00CA768F" w:rsidRPr="00CF04AD" w:rsidP="006C37C8" w14:paraId="518E5AC7" w14:textId="77777777">
            <w:pPr>
              <w:jc w:val="right"/>
              <w:rPr>
                <w:sz w:val="15"/>
                <w:szCs w:val="15"/>
              </w:rPr>
            </w:pPr>
            <w:r w:rsidRPr="00CF04AD">
              <w:rPr>
                <w:sz w:val="15"/>
                <w:szCs w:val="15"/>
              </w:rPr>
              <w:t xml:space="preserve"> </w:t>
            </w:r>
          </w:p>
        </w:tc>
        <w:tc>
          <w:tcPr>
            <w:tcW w:w="985" w:type="dxa"/>
            <w:tcBorders>
              <w:top w:val="nil"/>
              <w:left w:val="nil"/>
              <w:bottom w:val="nil"/>
              <w:right w:val="nil"/>
            </w:tcBorders>
            <w:shd w:val="clear" w:color="000000" w:fill="FFFFFF"/>
            <w:noWrap/>
            <w:vAlign w:val="bottom"/>
            <w:hideMark/>
          </w:tcPr>
          <w:p w:rsidR="00CA768F" w:rsidRPr="00CF04AD" w:rsidP="006C37C8" w14:paraId="5D3D6673" w14:textId="77777777">
            <w:pPr>
              <w:jc w:val="right"/>
              <w:rPr>
                <w:sz w:val="15"/>
                <w:szCs w:val="15"/>
              </w:rPr>
            </w:pPr>
            <w:r w:rsidRPr="00CF04AD">
              <w:rPr>
                <w:sz w:val="15"/>
                <w:szCs w:val="15"/>
              </w:rPr>
              <w:t xml:space="preserve"> </w:t>
            </w:r>
          </w:p>
        </w:tc>
        <w:tc>
          <w:tcPr>
            <w:tcW w:w="1140" w:type="dxa"/>
            <w:tcBorders>
              <w:top w:val="nil"/>
              <w:left w:val="nil"/>
              <w:bottom w:val="nil"/>
              <w:right w:val="nil"/>
            </w:tcBorders>
            <w:shd w:val="clear" w:color="000000" w:fill="FFFFFF"/>
            <w:noWrap/>
            <w:vAlign w:val="bottom"/>
            <w:hideMark/>
          </w:tcPr>
          <w:p w:rsidR="00CA768F" w:rsidRPr="00CF04AD" w:rsidP="006C37C8" w14:paraId="179021AC" w14:textId="77777777">
            <w:pPr>
              <w:jc w:val="right"/>
              <w:rPr>
                <w:sz w:val="15"/>
                <w:szCs w:val="15"/>
              </w:rPr>
            </w:pPr>
            <w:r w:rsidRPr="00CF04AD">
              <w:rPr>
                <w:sz w:val="15"/>
                <w:szCs w:val="15"/>
              </w:rPr>
              <w:t xml:space="preserve"> </w:t>
            </w:r>
          </w:p>
        </w:tc>
      </w:tr>
      <w:tr w14:paraId="0E57708D" w14:textId="77777777" w:rsidTr="00FF1DF8">
        <w:tblPrEx>
          <w:tblW w:w="5074" w:type="pct"/>
          <w:tblLook w:val="04A0"/>
        </w:tblPrEx>
        <w:trPr>
          <w:trHeight w:val="333"/>
        </w:trPr>
        <w:tc>
          <w:tcPr>
            <w:tcW w:w="3150" w:type="dxa"/>
            <w:tcBorders>
              <w:top w:val="nil"/>
              <w:left w:val="nil"/>
              <w:bottom w:val="nil"/>
              <w:right w:val="nil"/>
            </w:tcBorders>
            <w:shd w:val="clear" w:color="000000" w:fill="FFFFFF"/>
            <w:noWrap/>
            <w:vAlign w:val="bottom"/>
            <w:hideMark/>
          </w:tcPr>
          <w:p w:rsidR="00CA768F" w:rsidRPr="00CF04AD" w:rsidP="004957F6" w14:paraId="360768C6" w14:textId="77777777">
            <w:pPr>
              <w:ind w:firstLine="150" w:firstLineChars="100"/>
              <w:rPr>
                <w:sz w:val="15"/>
                <w:szCs w:val="15"/>
              </w:rPr>
            </w:pPr>
            <w:r w:rsidRPr="00CF04AD">
              <w:rPr>
                <w:sz w:val="15"/>
                <w:szCs w:val="15"/>
              </w:rPr>
              <w:t>Beginning Balance, as adjusted</w:t>
            </w:r>
          </w:p>
        </w:tc>
        <w:tc>
          <w:tcPr>
            <w:tcW w:w="1031" w:type="dxa"/>
            <w:tcBorders>
              <w:top w:val="nil"/>
              <w:left w:val="nil"/>
              <w:bottom w:val="nil"/>
              <w:right w:val="nil"/>
            </w:tcBorders>
            <w:shd w:val="clear" w:color="000000" w:fill="FFFFFF"/>
            <w:noWrap/>
            <w:vAlign w:val="bottom"/>
            <w:hideMark/>
          </w:tcPr>
          <w:p w:rsidR="00CA768F" w:rsidRPr="00CF04AD" w:rsidP="006C37C8" w14:paraId="554B386A" w14:textId="1B05666C">
            <w:pPr>
              <w:jc w:val="right"/>
              <w:rPr>
                <w:sz w:val="15"/>
                <w:szCs w:val="15"/>
              </w:rPr>
            </w:pPr>
            <w:r w:rsidRPr="00CF04AD">
              <w:rPr>
                <w:sz w:val="15"/>
                <w:szCs w:val="15"/>
              </w:rPr>
              <w:t>$</w:t>
            </w:r>
            <w:r w:rsidR="003B5D55">
              <w:rPr>
                <w:sz w:val="15"/>
                <w:szCs w:val="15"/>
              </w:rPr>
              <w:t xml:space="preserve"> </w:t>
            </w:r>
            <w:r w:rsidRPr="00CF04AD">
              <w:rPr>
                <w:sz w:val="15"/>
                <w:szCs w:val="15"/>
              </w:rPr>
              <w:t xml:space="preserve"> </w:t>
            </w:r>
            <w:r w:rsidR="00A41869">
              <w:rPr>
                <w:sz w:val="15"/>
                <w:szCs w:val="15"/>
              </w:rPr>
              <w:t xml:space="preserve"> </w:t>
            </w:r>
            <w:r w:rsidRPr="00CF04AD">
              <w:rPr>
                <w:sz w:val="15"/>
                <w:szCs w:val="15"/>
              </w:rPr>
              <w:t xml:space="preserve">6,251,781 </w:t>
            </w:r>
          </w:p>
        </w:tc>
        <w:tc>
          <w:tcPr>
            <w:tcW w:w="1099" w:type="dxa"/>
            <w:tcBorders>
              <w:top w:val="nil"/>
              <w:left w:val="nil"/>
              <w:bottom w:val="nil"/>
              <w:right w:val="nil"/>
            </w:tcBorders>
            <w:shd w:val="clear" w:color="000000" w:fill="FFFFFF"/>
            <w:noWrap/>
            <w:vAlign w:val="bottom"/>
            <w:hideMark/>
          </w:tcPr>
          <w:p w:rsidR="00CA768F" w:rsidRPr="00CF04AD" w:rsidP="006C37C8" w14:paraId="41C01519" w14:textId="7C3C58B2">
            <w:pPr>
              <w:jc w:val="right"/>
              <w:rPr>
                <w:sz w:val="15"/>
                <w:szCs w:val="15"/>
              </w:rPr>
            </w:pPr>
            <w:r w:rsidRPr="00CF04AD">
              <w:rPr>
                <w:sz w:val="15"/>
                <w:szCs w:val="15"/>
              </w:rPr>
              <w:t>$</w:t>
            </w:r>
            <w:r w:rsidR="005F0BA9">
              <w:rPr>
                <w:sz w:val="15"/>
                <w:szCs w:val="15"/>
              </w:rPr>
              <w:t xml:space="preserve">   </w:t>
            </w:r>
            <w:r w:rsidRPr="00CF04AD">
              <w:rPr>
                <w:sz w:val="15"/>
                <w:szCs w:val="15"/>
              </w:rPr>
              <w:t xml:space="preserve"> </w:t>
            </w:r>
            <w:r w:rsidR="000F5893">
              <w:rPr>
                <w:sz w:val="15"/>
                <w:szCs w:val="15"/>
              </w:rPr>
              <w:t xml:space="preserve">    </w:t>
            </w:r>
            <w:r w:rsidRPr="00CF04AD">
              <w:rPr>
                <w:sz w:val="15"/>
                <w:szCs w:val="15"/>
              </w:rPr>
              <w:t xml:space="preserve">191,954 </w:t>
            </w:r>
          </w:p>
        </w:tc>
        <w:tc>
          <w:tcPr>
            <w:tcW w:w="1058" w:type="dxa"/>
            <w:tcBorders>
              <w:top w:val="nil"/>
              <w:left w:val="nil"/>
              <w:bottom w:val="nil"/>
              <w:right w:val="nil"/>
            </w:tcBorders>
            <w:shd w:val="clear" w:color="000000" w:fill="FFFFFF"/>
            <w:noWrap/>
            <w:vAlign w:val="bottom"/>
            <w:hideMark/>
          </w:tcPr>
          <w:p w:rsidR="00CA768F" w:rsidRPr="00CF04AD" w:rsidP="006C37C8" w14:paraId="00F62AB7" w14:textId="5FCAE38B">
            <w:pPr>
              <w:jc w:val="right"/>
              <w:rPr>
                <w:sz w:val="15"/>
                <w:szCs w:val="15"/>
              </w:rPr>
            </w:pPr>
            <w:r w:rsidRPr="00CF04AD">
              <w:rPr>
                <w:sz w:val="15"/>
                <w:szCs w:val="15"/>
              </w:rPr>
              <w:t>$</w:t>
            </w:r>
            <w:r w:rsidR="00A73A99">
              <w:rPr>
                <w:sz w:val="15"/>
                <w:szCs w:val="15"/>
              </w:rPr>
              <w:t xml:space="preserve"> </w:t>
            </w:r>
            <w:r w:rsidR="000F5893">
              <w:rPr>
                <w:sz w:val="15"/>
                <w:szCs w:val="15"/>
              </w:rPr>
              <w:t xml:space="preserve">  </w:t>
            </w:r>
            <w:r w:rsidRPr="00CF04AD">
              <w:rPr>
                <w:sz w:val="15"/>
                <w:szCs w:val="15"/>
              </w:rPr>
              <w:t xml:space="preserve"> 6,443,735 </w:t>
            </w:r>
          </w:p>
        </w:tc>
        <w:tc>
          <w:tcPr>
            <w:tcW w:w="1036" w:type="dxa"/>
            <w:tcBorders>
              <w:top w:val="nil"/>
              <w:left w:val="nil"/>
              <w:bottom w:val="nil"/>
              <w:right w:val="nil"/>
            </w:tcBorders>
            <w:shd w:val="clear" w:color="000000" w:fill="FFFFFF"/>
            <w:noWrap/>
            <w:vAlign w:val="bottom"/>
            <w:hideMark/>
          </w:tcPr>
          <w:p w:rsidR="00CA768F" w:rsidRPr="00CF04AD" w:rsidP="006C37C8" w14:paraId="7ED15EA8" w14:textId="478C6DA9">
            <w:pPr>
              <w:jc w:val="right"/>
              <w:rPr>
                <w:sz w:val="15"/>
                <w:szCs w:val="15"/>
              </w:rPr>
            </w:pPr>
            <w:r w:rsidRPr="00CF04AD">
              <w:rPr>
                <w:sz w:val="15"/>
                <w:szCs w:val="15"/>
              </w:rPr>
              <w:t>$</w:t>
            </w:r>
            <w:r w:rsidR="00A73A99">
              <w:rPr>
                <w:sz w:val="15"/>
                <w:szCs w:val="15"/>
              </w:rPr>
              <w:t xml:space="preserve">  </w:t>
            </w:r>
            <w:r w:rsidRPr="00CF04AD">
              <w:rPr>
                <w:sz w:val="15"/>
                <w:szCs w:val="15"/>
              </w:rPr>
              <w:t xml:space="preserve"> 7,158,613 </w:t>
            </w:r>
          </w:p>
        </w:tc>
        <w:tc>
          <w:tcPr>
            <w:tcW w:w="985" w:type="dxa"/>
            <w:tcBorders>
              <w:top w:val="nil"/>
              <w:left w:val="nil"/>
              <w:bottom w:val="nil"/>
              <w:right w:val="nil"/>
            </w:tcBorders>
            <w:shd w:val="clear" w:color="000000" w:fill="FFFFFF"/>
            <w:noWrap/>
            <w:vAlign w:val="bottom"/>
            <w:hideMark/>
          </w:tcPr>
          <w:p w:rsidR="00CA768F" w:rsidRPr="00CF04AD" w:rsidP="006C37C8" w14:paraId="41294B5E" w14:textId="4F84838E">
            <w:pPr>
              <w:jc w:val="right"/>
              <w:rPr>
                <w:sz w:val="15"/>
                <w:szCs w:val="15"/>
              </w:rPr>
            </w:pPr>
            <w:r w:rsidRPr="00CF04AD">
              <w:rPr>
                <w:sz w:val="15"/>
                <w:szCs w:val="15"/>
              </w:rPr>
              <w:t>$</w:t>
            </w:r>
            <w:r w:rsidR="00A73A99">
              <w:rPr>
                <w:sz w:val="15"/>
                <w:szCs w:val="15"/>
              </w:rPr>
              <w:t xml:space="preserve">    </w:t>
            </w:r>
            <w:r w:rsidRPr="00CF04AD">
              <w:rPr>
                <w:sz w:val="15"/>
                <w:szCs w:val="15"/>
              </w:rPr>
              <w:t xml:space="preserve"> 222,898 </w:t>
            </w:r>
          </w:p>
        </w:tc>
        <w:tc>
          <w:tcPr>
            <w:tcW w:w="1140" w:type="dxa"/>
            <w:tcBorders>
              <w:top w:val="nil"/>
              <w:left w:val="nil"/>
              <w:bottom w:val="nil"/>
              <w:right w:val="nil"/>
            </w:tcBorders>
            <w:shd w:val="clear" w:color="000000" w:fill="FFFFFF"/>
            <w:noWrap/>
            <w:vAlign w:val="bottom"/>
            <w:hideMark/>
          </w:tcPr>
          <w:p w:rsidR="00CA768F" w:rsidRPr="00CF04AD" w:rsidP="006C37C8" w14:paraId="683D2F96" w14:textId="37CF837D">
            <w:pPr>
              <w:jc w:val="right"/>
              <w:rPr>
                <w:sz w:val="15"/>
                <w:szCs w:val="15"/>
              </w:rPr>
            </w:pPr>
            <w:r w:rsidRPr="00CF04AD">
              <w:rPr>
                <w:sz w:val="15"/>
                <w:szCs w:val="15"/>
              </w:rPr>
              <w:t>$</w:t>
            </w:r>
            <w:r w:rsidR="00A73A99">
              <w:rPr>
                <w:sz w:val="15"/>
                <w:szCs w:val="15"/>
              </w:rPr>
              <w:t xml:space="preserve">     </w:t>
            </w:r>
            <w:r w:rsidRPr="00CF04AD">
              <w:rPr>
                <w:sz w:val="15"/>
                <w:szCs w:val="15"/>
              </w:rPr>
              <w:t xml:space="preserve"> 7,381,511 </w:t>
            </w:r>
          </w:p>
        </w:tc>
      </w:tr>
      <w:tr w14:paraId="1E61E204" w14:textId="77777777" w:rsidTr="00FF1DF8">
        <w:tblPrEx>
          <w:tblW w:w="5074" w:type="pct"/>
          <w:tblLook w:val="04A0"/>
        </w:tblPrEx>
        <w:trPr>
          <w:trHeight w:val="20"/>
        </w:trPr>
        <w:tc>
          <w:tcPr>
            <w:tcW w:w="3150" w:type="dxa"/>
            <w:tcBorders>
              <w:top w:val="nil"/>
              <w:left w:val="nil"/>
              <w:bottom w:val="nil"/>
              <w:right w:val="nil"/>
            </w:tcBorders>
            <w:shd w:val="clear" w:color="000000" w:fill="FFFFFF"/>
            <w:noWrap/>
            <w:vAlign w:val="bottom"/>
            <w:hideMark/>
          </w:tcPr>
          <w:p w:rsidR="00CA768F" w:rsidRPr="00CF04AD" w:rsidP="00642224" w14:paraId="4B8589A5" w14:textId="051DBF42">
            <w:pPr>
              <w:ind w:left="144" w:firstLine="150" w:firstLineChars="100"/>
              <w:rPr>
                <w:sz w:val="15"/>
                <w:szCs w:val="15"/>
              </w:rPr>
            </w:pPr>
            <w:r w:rsidRPr="00CF04AD">
              <w:rPr>
                <w:sz w:val="15"/>
                <w:szCs w:val="15"/>
              </w:rPr>
              <w:t>Appropriations used</w:t>
            </w:r>
          </w:p>
        </w:tc>
        <w:tc>
          <w:tcPr>
            <w:tcW w:w="1031" w:type="dxa"/>
            <w:tcBorders>
              <w:top w:val="nil"/>
              <w:left w:val="nil"/>
              <w:bottom w:val="nil"/>
              <w:right w:val="nil"/>
            </w:tcBorders>
            <w:shd w:val="clear" w:color="000000" w:fill="FFFFFF"/>
            <w:noWrap/>
            <w:vAlign w:val="bottom"/>
            <w:hideMark/>
          </w:tcPr>
          <w:p w:rsidR="00CA768F" w:rsidRPr="00CF04AD" w:rsidP="006C37C8" w14:paraId="5CFE502A" w14:textId="1D759F04">
            <w:pPr>
              <w:jc w:val="right"/>
              <w:rPr>
                <w:sz w:val="15"/>
                <w:szCs w:val="15"/>
              </w:rPr>
            </w:pPr>
            <w:r w:rsidRPr="00CF04AD">
              <w:rPr>
                <w:sz w:val="15"/>
                <w:szCs w:val="15"/>
              </w:rPr>
              <w:t xml:space="preserve">38,828 </w:t>
            </w:r>
          </w:p>
        </w:tc>
        <w:tc>
          <w:tcPr>
            <w:tcW w:w="1099" w:type="dxa"/>
            <w:tcBorders>
              <w:top w:val="nil"/>
              <w:left w:val="nil"/>
              <w:bottom w:val="nil"/>
              <w:right w:val="nil"/>
            </w:tcBorders>
            <w:shd w:val="clear" w:color="000000" w:fill="FFFFFF"/>
            <w:noWrap/>
            <w:vAlign w:val="bottom"/>
            <w:hideMark/>
          </w:tcPr>
          <w:p w:rsidR="00CA768F" w:rsidRPr="00CF04AD" w:rsidP="006C37C8" w14:paraId="23563134" w14:textId="3223AB76">
            <w:pPr>
              <w:jc w:val="right"/>
              <w:rPr>
                <w:sz w:val="15"/>
                <w:szCs w:val="15"/>
              </w:rPr>
            </w:pPr>
            <w:r w:rsidRPr="00CF04AD">
              <w:rPr>
                <w:sz w:val="15"/>
                <w:szCs w:val="15"/>
              </w:rPr>
              <w:t xml:space="preserve">1,008,999 </w:t>
            </w:r>
          </w:p>
        </w:tc>
        <w:tc>
          <w:tcPr>
            <w:tcW w:w="1058" w:type="dxa"/>
            <w:tcBorders>
              <w:top w:val="nil"/>
              <w:left w:val="nil"/>
              <w:bottom w:val="nil"/>
              <w:right w:val="nil"/>
            </w:tcBorders>
            <w:shd w:val="clear" w:color="000000" w:fill="FFFFFF"/>
            <w:noWrap/>
            <w:vAlign w:val="bottom"/>
            <w:hideMark/>
          </w:tcPr>
          <w:p w:rsidR="00CA768F" w:rsidRPr="00CF04AD" w:rsidP="006C37C8" w14:paraId="3CAA587B" w14:textId="77777777">
            <w:pPr>
              <w:jc w:val="right"/>
              <w:rPr>
                <w:sz w:val="15"/>
                <w:szCs w:val="15"/>
              </w:rPr>
            </w:pPr>
            <w:r w:rsidRPr="00CF04AD">
              <w:rPr>
                <w:sz w:val="15"/>
                <w:szCs w:val="15"/>
              </w:rPr>
              <w:t xml:space="preserve"> 1,047,827 </w:t>
            </w:r>
          </w:p>
        </w:tc>
        <w:tc>
          <w:tcPr>
            <w:tcW w:w="1036" w:type="dxa"/>
            <w:tcBorders>
              <w:top w:val="nil"/>
              <w:left w:val="nil"/>
              <w:bottom w:val="nil"/>
              <w:right w:val="nil"/>
            </w:tcBorders>
            <w:shd w:val="clear" w:color="000000" w:fill="FFFFFF"/>
            <w:noWrap/>
            <w:vAlign w:val="bottom"/>
            <w:hideMark/>
          </w:tcPr>
          <w:p w:rsidR="00CA768F" w:rsidRPr="00CF04AD" w:rsidP="006C37C8" w14:paraId="6E113030" w14:textId="77777777">
            <w:pPr>
              <w:jc w:val="right"/>
              <w:rPr>
                <w:sz w:val="15"/>
                <w:szCs w:val="15"/>
              </w:rPr>
            </w:pPr>
            <w:r w:rsidRPr="00CF04AD">
              <w:rPr>
                <w:sz w:val="15"/>
                <w:szCs w:val="15"/>
              </w:rPr>
              <w:t xml:space="preserve"> 125,104 </w:t>
            </w:r>
          </w:p>
        </w:tc>
        <w:tc>
          <w:tcPr>
            <w:tcW w:w="985" w:type="dxa"/>
            <w:tcBorders>
              <w:top w:val="nil"/>
              <w:left w:val="nil"/>
              <w:bottom w:val="nil"/>
              <w:right w:val="nil"/>
            </w:tcBorders>
            <w:shd w:val="clear" w:color="000000" w:fill="FFFFFF"/>
            <w:noWrap/>
            <w:vAlign w:val="bottom"/>
            <w:hideMark/>
          </w:tcPr>
          <w:p w:rsidR="00CA768F" w:rsidRPr="00CF04AD" w:rsidP="006C37C8" w14:paraId="2472828C" w14:textId="77777777">
            <w:pPr>
              <w:jc w:val="right"/>
              <w:rPr>
                <w:sz w:val="15"/>
                <w:szCs w:val="15"/>
              </w:rPr>
            </w:pPr>
            <w:r w:rsidRPr="00CF04AD">
              <w:rPr>
                <w:sz w:val="15"/>
                <w:szCs w:val="15"/>
              </w:rPr>
              <w:t xml:space="preserve"> 52,078 </w:t>
            </w:r>
          </w:p>
        </w:tc>
        <w:tc>
          <w:tcPr>
            <w:tcW w:w="1140" w:type="dxa"/>
            <w:tcBorders>
              <w:top w:val="nil"/>
              <w:left w:val="nil"/>
              <w:bottom w:val="nil"/>
              <w:right w:val="nil"/>
            </w:tcBorders>
            <w:shd w:val="clear" w:color="000000" w:fill="FFFFFF"/>
            <w:noWrap/>
            <w:vAlign w:val="bottom"/>
            <w:hideMark/>
          </w:tcPr>
          <w:p w:rsidR="00CA768F" w:rsidRPr="00CF04AD" w:rsidP="006C37C8" w14:paraId="5806F7EB" w14:textId="77777777">
            <w:pPr>
              <w:jc w:val="right"/>
              <w:rPr>
                <w:sz w:val="15"/>
                <w:szCs w:val="15"/>
              </w:rPr>
            </w:pPr>
            <w:r w:rsidRPr="00CF04AD">
              <w:rPr>
                <w:sz w:val="15"/>
                <w:szCs w:val="15"/>
              </w:rPr>
              <w:t xml:space="preserve"> 177,182 </w:t>
            </w:r>
          </w:p>
        </w:tc>
      </w:tr>
      <w:tr w14:paraId="52441241" w14:textId="77777777" w:rsidTr="00FF1DF8">
        <w:tblPrEx>
          <w:tblW w:w="5074" w:type="pct"/>
          <w:tblLook w:val="04A0"/>
        </w:tblPrEx>
        <w:trPr>
          <w:trHeight w:val="20"/>
        </w:trPr>
        <w:tc>
          <w:tcPr>
            <w:tcW w:w="3150" w:type="dxa"/>
            <w:tcBorders>
              <w:top w:val="nil"/>
              <w:left w:val="nil"/>
              <w:bottom w:val="nil"/>
              <w:right w:val="nil"/>
            </w:tcBorders>
            <w:shd w:val="clear" w:color="000000" w:fill="FFFFFF"/>
            <w:noWrap/>
            <w:vAlign w:val="bottom"/>
            <w:hideMark/>
          </w:tcPr>
          <w:p w:rsidR="00CA768F" w:rsidRPr="00CF04AD" w:rsidP="00642224" w14:paraId="2C287FA8" w14:textId="613EECD0">
            <w:pPr>
              <w:ind w:left="144" w:firstLine="150" w:firstLineChars="100"/>
              <w:rPr>
                <w:sz w:val="15"/>
                <w:szCs w:val="15"/>
              </w:rPr>
            </w:pPr>
            <w:r w:rsidRPr="00CF04AD">
              <w:rPr>
                <w:sz w:val="15"/>
                <w:szCs w:val="15"/>
              </w:rPr>
              <w:t>Non-exchange revenue</w:t>
            </w:r>
          </w:p>
        </w:tc>
        <w:tc>
          <w:tcPr>
            <w:tcW w:w="1031" w:type="dxa"/>
            <w:tcBorders>
              <w:top w:val="nil"/>
              <w:left w:val="nil"/>
              <w:bottom w:val="nil"/>
              <w:right w:val="nil"/>
            </w:tcBorders>
            <w:shd w:val="clear" w:color="000000" w:fill="FFFFFF"/>
            <w:noWrap/>
            <w:vAlign w:val="bottom"/>
            <w:hideMark/>
          </w:tcPr>
          <w:p w:rsidR="00CA768F" w:rsidRPr="00CF04AD" w:rsidP="006C37C8" w14:paraId="28B61F75" w14:textId="44622B6D">
            <w:pPr>
              <w:jc w:val="right"/>
              <w:rPr>
                <w:sz w:val="15"/>
                <w:szCs w:val="15"/>
              </w:rPr>
            </w:pPr>
            <w:r w:rsidRPr="00CF04AD">
              <w:rPr>
                <w:sz w:val="15"/>
                <w:szCs w:val="15"/>
              </w:rPr>
              <w:t xml:space="preserve">10,849,923 </w:t>
            </w:r>
          </w:p>
        </w:tc>
        <w:tc>
          <w:tcPr>
            <w:tcW w:w="1099" w:type="dxa"/>
            <w:tcBorders>
              <w:top w:val="nil"/>
              <w:left w:val="nil"/>
              <w:bottom w:val="nil"/>
              <w:right w:val="nil"/>
            </w:tcBorders>
            <w:shd w:val="clear" w:color="000000" w:fill="FFFFFF"/>
            <w:noWrap/>
            <w:vAlign w:val="bottom"/>
            <w:hideMark/>
          </w:tcPr>
          <w:p w:rsidR="00CA768F" w:rsidRPr="00CF04AD" w:rsidP="006C37C8" w14:paraId="6DE193A8" w14:textId="77777777">
            <w:pPr>
              <w:jc w:val="right"/>
              <w:rPr>
                <w:sz w:val="15"/>
                <w:szCs w:val="15"/>
              </w:rPr>
            </w:pPr>
            <w:r w:rsidRPr="00CF04AD">
              <w:rPr>
                <w:sz w:val="15"/>
                <w:szCs w:val="15"/>
              </w:rPr>
              <w:t xml:space="preserve"> 50 </w:t>
            </w:r>
          </w:p>
        </w:tc>
        <w:tc>
          <w:tcPr>
            <w:tcW w:w="1058" w:type="dxa"/>
            <w:tcBorders>
              <w:top w:val="nil"/>
              <w:left w:val="nil"/>
              <w:bottom w:val="nil"/>
              <w:right w:val="nil"/>
            </w:tcBorders>
            <w:shd w:val="clear" w:color="000000" w:fill="FFFFFF"/>
            <w:noWrap/>
            <w:vAlign w:val="bottom"/>
            <w:hideMark/>
          </w:tcPr>
          <w:p w:rsidR="00CA768F" w:rsidRPr="00CF04AD" w:rsidP="006C37C8" w14:paraId="01EA912A" w14:textId="77777777">
            <w:pPr>
              <w:jc w:val="right"/>
              <w:rPr>
                <w:sz w:val="15"/>
                <w:szCs w:val="15"/>
              </w:rPr>
            </w:pPr>
            <w:r w:rsidRPr="00CF04AD">
              <w:rPr>
                <w:sz w:val="15"/>
                <w:szCs w:val="15"/>
              </w:rPr>
              <w:t xml:space="preserve"> 10,849,973 </w:t>
            </w:r>
          </w:p>
        </w:tc>
        <w:tc>
          <w:tcPr>
            <w:tcW w:w="1036" w:type="dxa"/>
            <w:tcBorders>
              <w:top w:val="nil"/>
              <w:left w:val="nil"/>
              <w:bottom w:val="nil"/>
              <w:right w:val="nil"/>
            </w:tcBorders>
            <w:shd w:val="clear" w:color="000000" w:fill="FFFFFF"/>
            <w:noWrap/>
            <w:vAlign w:val="bottom"/>
            <w:hideMark/>
          </w:tcPr>
          <w:p w:rsidR="00CA768F" w:rsidRPr="00CF04AD" w:rsidP="006C37C8" w14:paraId="1ECFB8EC" w14:textId="77777777">
            <w:pPr>
              <w:jc w:val="right"/>
              <w:rPr>
                <w:sz w:val="15"/>
                <w:szCs w:val="15"/>
              </w:rPr>
            </w:pPr>
            <w:r w:rsidRPr="00CF04AD">
              <w:rPr>
                <w:sz w:val="15"/>
                <w:szCs w:val="15"/>
              </w:rPr>
              <w:t xml:space="preserve"> 9,271,661 </w:t>
            </w:r>
          </w:p>
        </w:tc>
        <w:tc>
          <w:tcPr>
            <w:tcW w:w="985" w:type="dxa"/>
            <w:tcBorders>
              <w:top w:val="nil"/>
              <w:left w:val="nil"/>
              <w:bottom w:val="nil"/>
              <w:right w:val="nil"/>
            </w:tcBorders>
            <w:shd w:val="clear" w:color="000000" w:fill="FFFFFF"/>
            <w:noWrap/>
            <w:vAlign w:val="bottom"/>
            <w:hideMark/>
          </w:tcPr>
          <w:p w:rsidR="00CA768F" w:rsidRPr="00CF04AD" w:rsidP="006C37C8" w14:paraId="21F60636" w14:textId="77777777">
            <w:pPr>
              <w:jc w:val="right"/>
              <w:rPr>
                <w:sz w:val="15"/>
                <w:szCs w:val="15"/>
              </w:rPr>
            </w:pPr>
            <w:r w:rsidRPr="00CF04AD">
              <w:rPr>
                <w:sz w:val="15"/>
                <w:szCs w:val="15"/>
              </w:rPr>
              <w:t xml:space="preserve"> 3,320 </w:t>
            </w:r>
          </w:p>
        </w:tc>
        <w:tc>
          <w:tcPr>
            <w:tcW w:w="1140" w:type="dxa"/>
            <w:tcBorders>
              <w:top w:val="nil"/>
              <w:left w:val="nil"/>
              <w:bottom w:val="nil"/>
              <w:right w:val="nil"/>
            </w:tcBorders>
            <w:shd w:val="clear" w:color="000000" w:fill="FFFFFF"/>
            <w:noWrap/>
            <w:vAlign w:val="bottom"/>
            <w:hideMark/>
          </w:tcPr>
          <w:p w:rsidR="00CA768F" w:rsidRPr="00CF04AD" w:rsidP="006C37C8" w14:paraId="7659133D" w14:textId="77777777">
            <w:pPr>
              <w:jc w:val="right"/>
              <w:rPr>
                <w:sz w:val="15"/>
                <w:szCs w:val="15"/>
              </w:rPr>
            </w:pPr>
            <w:r w:rsidRPr="00CF04AD">
              <w:rPr>
                <w:sz w:val="15"/>
                <w:szCs w:val="15"/>
              </w:rPr>
              <w:t xml:space="preserve"> 9,274,981 </w:t>
            </w:r>
          </w:p>
        </w:tc>
      </w:tr>
      <w:tr w14:paraId="5733A43C" w14:textId="77777777" w:rsidTr="00FF1DF8">
        <w:tblPrEx>
          <w:tblW w:w="5074" w:type="pct"/>
          <w:tblLook w:val="04A0"/>
        </w:tblPrEx>
        <w:trPr>
          <w:trHeight w:val="20"/>
        </w:trPr>
        <w:tc>
          <w:tcPr>
            <w:tcW w:w="3150" w:type="dxa"/>
            <w:tcBorders>
              <w:top w:val="nil"/>
              <w:left w:val="nil"/>
              <w:bottom w:val="nil"/>
              <w:right w:val="nil"/>
            </w:tcBorders>
            <w:shd w:val="clear" w:color="000000" w:fill="FFFFFF"/>
            <w:noWrap/>
            <w:vAlign w:val="bottom"/>
            <w:hideMark/>
          </w:tcPr>
          <w:p w:rsidR="00CA768F" w:rsidRPr="00CF04AD" w:rsidP="00642224" w14:paraId="187D34A3" w14:textId="460FDD5A">
            <w:pPr>
              <w:ind w:left="144" w:firstLine="150" w:firstLineChars="100"/>
              <w:rPr>
                <w:sz w:val="15"/>
                <w:szCs w:val="15"/>
              </w:rPr>
            </w:pPr>
            <w:r w:rsidRPr="00CF04AD">
              <w:rPr>
                <w:sz w:val="15"/>
                <w:szCs w:val="15"/>
              </w:rPr>
              <w:t>Imputed financing</w:t>
            </w:r>
          </w:p>
        </w:tc>
        <w:tc>
          <w:tcPr>
            <w:tcW w:w="1031" w:type="dxa"/>
            <w:tcBorders>
              <w:top w:val="nil"/>
              <w:left w:val="nil"/>
              <w:bottom w:val="nil"/>
              <w:right w:val="nil"/>
            </w:tcBorders>
            <w:shd w:val="clear" w:color="000000" w:fill="FFFFFF"/>
            <w:noWrap/>
            <w:vAlign w:val="bottom"/>
            <w:hideMark/>
          </w:tcPr>
          <w:p w:rsidR="00CA768F" w:rsidRPr="00CF04AD" w:rsidP="006C37C8" w14:paraId="16590FB5" w14:textId="77777777">
            <w:pPr>
              <w:jc w:val="right"/>
              <w:rPr>
                <w:sz w:val="15"/>
                <w:szCs w:val="15"/>
              </w:rPr>
            </w:pPr>
            <w:r w:rsidRPr="00CF04AD">
              <w:rPr>
                <w:sz w:val="15"/>
                <w:szCs w:val="15"/>
              </w:rPr>
              <w:t xml:space="preserve"> - </w:t>
            </w:r>
          </w:p>
        </w:tc>
        <w:tc>
          <w:tcPr>
            <w:tcW w:w="1099" w:type="dxa"/>
            <w:tcBorders>
              <w:top w:val="nil"/>
              <w:left w:val="nil"/>
              <w:bottom w:val="nil"/>
              <w:right w:val="nil"/>
            </w:tcBorders>
            <w:shd w:val="clear" w:color="000000" w:fill="FFFFFF"/>
            <w:noWrap/>
            <w:vAlign w:val="bottom"/>
            <w:hideMark/>
          </w:tcPr>
          <w:p w:rsidR="00CA768F" w:rsidRPr="00CF04AD" w:rsidP="006C37C8" w14:paraId="71BC58F6" w14:textId="77777777">
            <w:pPr>
              <w:jc w:val="right"/>
              <w:rPr>
                <w:sz w:val="15"/>
                <w:szCs w:val="15"/>
              </w:rPr>
            </w:pPr>
            <w:r w:rsidRPr="00CF04AD">
              <w:rPr>
                <w:sz w:val="15"/>
                <w:szCs w:val="15"/>
              </w:rPr>
              <w:t xml:space="preserve"> 13,240 </w:t>
            </w:r>
          </w:p>
        </w:tc>
        <w:tc>
          <w:tcPr>
            <w:tcW w:w="1058" w:type="dxa"/>
            <w:tcBorders>
              <w:top w:val="nil"/>
              <w:left w:val="nil"/>
              <w:bottom w:val="nil"/>
              <w:right w:val="nil"/>
            </w:tcBorders>
            <w:shd w:val="clear" w:color="000000" w:fill="FFFFFF"/>
            <w:noWrap/>
            <w:vAlign w:val="bottom"/>
            <w:hideMark/>
          </w:tcPr>
          <w:p w:rsidR="00CA768F" w:rsidRPr="00CF04AD" w:rsidP="006C37C8" w14:paraId="61ADB6C6" w14:textId="77777777">
            <w:pPr>
              <w:jc w:val="right"/>
              <w:rPr>
                <w:sz w:val="15"/>
                <w:szCs w:val="15"/>
              </w:rPr>
            </w:pPr>
            <w:r w:rsidRPr="00CF04AD">
              <w:rPr>
                <w:sz w:val="15"/>
                <w:szCs w:val="15"/>
              </w:rPr>
              <w:t xml:space="preserve"> 13,240 </w:t>
            </w:r>
          </w:p>
        </w:tc>
        <w:tc>
          <w:tcPr>
            <w:tcW w:w="1036" w:type="dxa"/>
            <w:tcBorders>
              <w:top w:val="nil"/>
              <w:left w:val="nil"/>
              <w:bottom w:val="nil"/>
              <w:right w:val="nil"/>
            </w:tcBorders>
            <w:shd w:val="clear" w:color="000000" w:fill="FFFFFF"/>
            <w:noWrap/>
            <w:vAlign w:val="bottom"/>
            <w:hideMark/>
          </w:tcPr>
          <w:p w:rsidR="00CA768F" w:rsidRPr="00CF04AD" w:rsidP="006C37C8" w14:paraId="6049A8DD" w14:textId="77777777">
            <w:pPr>
              <w:jc w:val="right"/>
              <w:rPr>
                <w:sz w:val="15"/>
                <w:szCs w:val="15"/>
              </w:rPr>
            </w:pPr>
            <w:r w:rsidRPr="00CF04AD">
              <w:rPr>
                <w:sz w:val="15"/>
                <w:szCs w:val="15"/>
              </w:rPr>
              <w:t xml:space="preserve"> - </w:t>
            </w:r>
          </w:p>
        </w:tc>
        <w:tc>
          <w:tcPr>
            <w:tcW w:w="985" w:type="dxa"/>
            <w:tcBorders>
              <w:top w:val="nil"/>
              <w:left w:val="nil"/>
              <w:bottom w:val="nil"/>
              <w:right w:val="nil"/>
            </w:tcBorders>
            <w:shd w:val="clear" w:color="000000" w:fill="FFFFFF"/>
            <w:noWrap/>
            <w:vAlign w:val="bottom"/>
            <w:hideMark/>
          </w:tcPr>
          <w:p w:rsidR="00CA768F" w:rsidRPr="00CF04AD" w:rsidP="006C37C8" w14:paraId="04E00573" w14:textId="77777777">
            <w:pPr>
              <w:jc w:val="right"/>
              <w:rPr>
                <w:sz w:val="15"/>
                <w:szCs w:val="15"/>
              </w:rPr>
            </w:pPr>
            <w:r w:rsidRPr="00CF04AD">
              <w:rPr>
                <w:sz w:val="15"/>
                <w:szCs w:val="15"/>
              </w:rPr>
              <w:t xml:space="preserve"> 11,670 </w:t>
            </w:r>
          </w:p>
        </w:tc>
        <w:tc>
          <w:tcPr>
            <w:tcW w:w="1140" w:type="dxa"/>
            <w:tcBorders>
              <w:top w:val="nil"/>
              <w:left w:val="nil"/>
              <w:bottom w:val="nil"/>
              <w:right w:val="nil"/>
            </w:tcBorders>
            <w:shd w:val="clear" w:color="000000" w:fill="FFFFFF"/>
            <w:noWrap/>
            <w:vAlign w:val="bottom"/>
            <w:hideMark/>
          </w:tcPr>
          <w:p w:rsidR="00CA768F" w:rsidRPr="00CF04AD" w:rsidP="006C37C8" w14:paraId="213DB41E" w14:textId="77777777">
            <w:pPr>
              <w:jc w:val="right"/>
              <w:rPr>
                <w:sz w:val="15"/>
                <w:szCs w:val="15"/>
              </w:rPr>
            </w:pPr>
            <w:r w:rsidRPr="00CF04AD">
              <w:rPr>
                <w:sz w:val="15"/>
                <w:szCs w:val="15"/>
              </w:rPr>
              <w:t xml:space="preserve"> 11,670 </w:t>
            </w:r>
          </w:p>
        </w:tc>
      </w:tr>
      <w:tr w14:paraId="5FABED35" w14:textId="77777777" w:rsidTr="00FF1DF8">
        <w:tblPrEx>
          <w:tblW w:w="5074" w:type="pct"/>
          <w:tblLook w:val="04A0"/>
        </w:tblPrEx>
        <w:trPr>
          <w:trHeight w:val="20"/>
        </w:trPr>
        <w:tc>
          <w:tcPr>
            <w:tcW w:w="3150" w:type="dxa"/>
            <w:tcBorders>
              <w:top w:val="nil"/>
              <w:left w:val="nil"/>
              <w:bottom w:val="nil"/>
              <w:right w:val="nil"/>
            </w:tcBorders>
            <w:shd w:val="clear" w:color="000000" w:fill="FFFFFF"/>
            <w:noWrap/>
            <w:vAlign w:val="bottom"/>
            <w:hideMark/>
          </w:tcPr>
          <w:p w:rsidR="00CA768F" w:rsidRPr="00CF04AD" w:rsidP="00642224" w14:paraId="73307A9E" w14:textId="69AB8DD9">
            <w:pPr>
              <w:ind w:left="144" w:firstLine="150" w:firstLineChars="100"/>
              <w:rPr>
                <w:sz w:val="15"/>
                <w:szCs w:val="15"/>
              </w:rPr>
            </w:pPr>
            <w:r w:rsidRPr="00CF04AD">
              <w:rPr>
                <w:sz w:val="15"/>
                <w:szCs w:val="15"/>
              </w:rPr>
              <w:t>Other</w:t>
            </w:r>
          </w:p>
        </w:tc>
        <w:tc>
          <w:tcPr>
            <w:tcW w:w="1031" w:type="dxa"/>
            <w:tcBorders>
              <w:top w:val="nil"/>
              <w:left w:val="nil"/>
              <w:bottom w:val="single" w:sz="4" w:space="0" w:color="auto"/>
              <w:right w:val="nil"/>
            </w:tcBorders>
            <w:shd w:val="clear" w:color="000000" w:fill="FFFFFF"/>
            <w:noWrap/>
            <w:vAlign w:val="bottom"/>
            <w:hideMark/>
          </w:tcPr>
          <w:p w:rsidR="00CA768F" w:rsidRPr="00CF04AD" w:rsidP="006C37C8" w14:paraId="25DD0406" w14:textId="77777777">
            <w:pPr>
              <w:jc w:val="right"/>
              <w:rPr>
                <w:sz w:val="15"/>
                <w:szCs w:val="15"/>
              </w:rPr>
            </w:pPr>
            <w:r w:rsidRPr="00CF04AD">
              <w:rPr>
                <w:sz w:val="15"/>
                <w:szCs w:val="15"/>
              </w:rPr>
              <w:t xml:space="preserve"> - </w:t>
            </w:r>
          </w:p>
        </w:tc>
        <w:tc>
          <w:tcPr>
            <w:tcW w:w="1099" w:type="dxa"/>
            <w:tcBorders>
              <w:top w:val="nil"/>
              <w:left w:val="nil"/>
              <w:bottom w:val="single" w:sz="4" w:space="0" w:color="auto"/>
              <w:right w:val="nil"/>
            </w:tcBorders>
            <w:shd w:val="clear" w:color="000000" w:fill="FFFFFF"/>
            <w:noWrap/>
            <w:vAlign w:val="bottom"/>
            <w:hideMark/>
          </w:tcPr>
          <w:p w:rsidR="00CA768F" w:rsidRPr="00CF04AD" w:rsidP="006C37C8" w14:paraId="2AF02123" w14:textId="77777777">
            <w:pPr>
              <w:jc w:val="right"/>
              <w:rPr>
                <w:sz w:val="15"/>
                <w:szCs w:val="15"/>
              </w:rPr>
            </w:pPr>
            <w:r w:rsidRPr="00CF04AD">
              <w:rPr>
                <w:sz w:val="15"/>
                <w:szCs w:val="15"/>
              </w:rPr>
              <w:t xml:space="preserve"> (34,384)</w:t>
            </w:r>
          </w:p>
        </w:tc>
        <w:tc>
          <w:tcPr>
            <w:tcW w:w="1058" w:type="dxa"/>
            <w:tcBorders>
              <w:top w:val="nil"/>
              <w:left w:val="nil"/>
              <w:bottom w:val="single" w:sz="4" w:space="0" w:color="auto"/>
              <w:right w:val="nil"/>
            </w:tcBorders>
            <w:shd w:val="clear" w:color="000000" w:fill="FFFFFF"/>
            <w:noWrap/>
            <w:vAlign w:val="bottom"/>
            <w:hideMark/>
          </w:tcPr>
          <w:p w:rsidR="00CA768F" w:rsidRPr="00CF04AD" w:rsidP="006C37C8" w14:paraId="59341614" w14:textId="77777777">
            <w:pPr>
              <w:jc w:val="right"/>
              <w:rPr>
                <w:sz w:val="15"/>
                <w:szCs w:val="15"/>
              </w:rPr>
            </w:pPr>
            <w:r w:rsidRPr="00CF04AD">
              <w:rPr>
                <w:sz w:val="15"/>
                <w:szCs w:val="15"/>
              </w:rPr>
              <w:t xml:space="preserve"> (34,384)</w:t>
            </w:r>
          </w:p>
        </w:tc>
        <w:tc>
          <w:tcPr>
            <w:tcW w:w="1036" w:type="dxa"/>
            <w:tcBorders>
              <w:top w:val="nil"/>
              <w:left w:val="nil"/>
              <w:bottom w:val="single" w:sz="4" w:space="0" w:color="auto"/>
              <w:right w:val="nil"/>
            </w:tcBorders>
            <w:shd w:val="clear" w:color="000000" w:fill="FFFFFF"/>
            <w:noWrap/>
            <w:vAlign w:val="bottom"/>
            <w:hideMark/>
          </w:tcPr>
          <w:p w:rsidR="00CA768F" w:rsidRPr="00CF04AD" w:rsidP="006C37C8" w14:paraId="3E3FD95A" w14:textId="77777777">
            <w:pPr>
              <w:jc w:val="right"/>
              <w:rPr>
                <w:sz w:val="15"/>
                <w:szCs w:val="15"/>
              </w:rPr>
            </w:pPr>
            <w:r w:rsidRPr="00CF04AD">
              <w:rPr>
                <w:sz w:val="15"/>
                <w:szCs w:val="15"/>
              </w:rPr>
              <w:t xml:space="preserve"> - </w:t>
            </w:r>
          </w:p>
        </w:tc>
        <w:tc>
          <w:tcPr>
            <w:tcW w:w="985" w:type="dxa"/>
            <w:tcBorders>
              <w:top w:val="nil"/>
              <w:left w:val="nil"/>
              <w:bottom w:val="single" w:sz="4" w:space="0" w:color="auto"/>
              <w:right w:val="nil"/>
            </w:tcBorders>
            <w:shd w:val="clear" w:color="000000" w:fill="FFFFFF"/>
            <w:noWrap/>
            <w:vAlign w:val="bottom"/>
            <w:hideMark/>
          </w:tcPr>
          <w:p w:rsidR="00CA768F" w:rsidRPr="00CF04AD" w:rsidP="006C37C8" w14:paraId="3282349A" w14:textId="77777777">
            <w:pPr>
              <w:jc w:val="right"/>
              <w:rPr>
                <w:sz w:val="15"/>
                <w:szCs w:val="15"/>
              </w:rPr>
            </w:pPr>
            <w:r w:rsidRPr="00CF04AD">
              <w:rPr>
                <w:sz w:val="15"/>
                <w:szCs w:val="15"/>
              </w:rPr>
              <w:t xml:space="preserve"> (34,577)</w:t>
            </w:r>
          </w:p>
        </w:tc>
        <w:tc>
          <w:tcPr>
            <w:tcW w:w="1140" w:type="dxa"/>
            <w:tcBorders>
              <w:top w:val="nil"/>
              <w:left w:val="nil"/>
              <w:bottom w:val="single" w:sz="4" w:space="0" w:color="auto"/>
              <w:right w:val="nil"/>
            </w:tcBorders>
            <w:shd w:val="clear" w:color="000000" w:fill="FFFFFF"/>
            <w:noWrap/>
            <w:vAlign w:val="bottom"/>
            <w:hideMark/>
          </w:tcPr>
          <w:p w:rsidR="00CA768F" w:rsidRPr="00CF04AD" w:rsidP="006C37C8" w14:paraId="4828C8CB" w14:textId="77777777">
            <w:pPr>
              <w:jc w:val="right"/>
              <w:rPr>
                <w:sz w:val="15"/>
                <w:szCs w:val="15"/>
              </w:rPr>
            </w:pPr>
            <w:r w:rsidRPr="00CF04AD">
              <w:rPr>
                <w:sz w:val="15"/>
                <w:szCs w:val="15"/>
              </w:rPr>
              <w:t xml:space="preserve"> (34,577)</w:t>
            </w:r>
          </w:p>
        </w:tc>
      </w:tr>
      <w:tr w14:paraId="79981A23" w14:textId="77777777" w:rsidTr="00C263D3">
        <w:tblPrEx>
          <w:tblW w:w="5074" w:type="pct"/>
          <w:tblLook w:val="04A0"/>
        </w:tblPrEx>
        <w:trPr>
          <w:trHeight w:val="404"/>
        </w:trPr>
        <w:tc>
          <w:tcPr>
            <w:tcW w:w="3150" w:type="dxa"/>
            <w:tcBorders>
              <w:top w:val="nil"/>
              <w:left w:val="nil"/>
              <w:bottom w:val="nil"/>
              <w:right w:val="nil"/>
            </w:tcBorders>
            <w:shd w:val="clear" w:color="000000" w:fill="FFFFFF"/>
            <w:noWrap/>
            <w:vAlign w:val="bottom"/>
            <w:hideMark/>
          </w:tcPr>
          <w:p w:rsidR="00CA768F" w:rsidRPr="00CF04AD" w:rsidP="004957F6" w14:paraId="61B805CF" w14:textId="77777777">
            <w:pPr>
              <w:ind w:firstLine="150" w:firstLineChars="100"/>
              <w:rPr>
                <w:sz w:val="15"/>
                <w:szCs w:val="15"/>
              </w:rPr>
            </w:pPr>
            <w:r w:rsidRPr="00CF04AD">
              <w:rPr>
                <w:sz w:val="15"/>
                <w:szCs w:val="15"/>
              </w:rPr>
              <w:t>Net Cost of Operations</w:t>
            </w:r>
          </w:p>
        </w:tc>
        <w:tc>
          <w:tcPr>
            <w:tcW w:w="1031" w:type="dxa"/>
            <w:tcBorders>
              <w:top w:val="nil"/>
              <w:left w:val="nil"/>
              <w:bottom w:val="single" w:sz="4" w:space="0" w:color="auto"/>
              <w:right w:val="nil"/>
            </w:tcBorders>
            <w:shd w:val="clear" w:color="000000" w:fill="FFFFFF"/>
            <w:noWrap/>
            <w:vAlign w:val="bottom"/>
            <w:hideMark/>
          </w:tcPr>
          <w:p w:rsidR="00CA768F" w:rsidRPr="00CF04AD" w:rsidP="006C37C8" w14:paraId="6BC3C431" w14:textId="77777777">
            <w:pPr>
              <w:jc w:val="right"/>
              <w:rPr>
                <w:sz w:val="15"/>
                <w:szCs w:val="15"/>
              </w:rPr>
            </w:pPr>
            <w:r w:rsidRPr="00CF04AD">
              <w:rPr>
                <w:sz w:val="15"/>
                <w:szCs w:val="15"/>
              </w:rPr>
              <w:t xml:space="preserve"> 10,192,060 </w:t>
            </w:r>
          </w:p>
        </w:tc>
        <w:tc>
          <w:tcPr>
            <w:tcW w:w="1099" w:type="dxa"/>
            <w:tcBorders>
              <w:top w:val="nil"/>
              <w:left w:val="nil"/>
              <w:bottom w:val="single" w:sz="4" w:space="0" w:color="auto"/>
              <w:right w:val="nil"/>
            </w:tcBorders>
            <w:shd w:val="clear" w:color="000000" w:fill="FFFFFF"/>
            <w:noWrap/>
            <w:vAlign w:val="bottom"/>
            <w:hideMark/>
          </w:tcPr>
          <w:p w:rsidR="00CA768F" w:rsidRPr="00CF04AD" w:rsidP="006C37C8" w14:paraId="504A7E84" w14:textId="77777777">
            <w:pPr>
              <w:jc w:val="right"/>
              <w:rPr>
                <w:sz w:val="15"/>
                <w:szCs w:val="15"/>
              </w:rPr>
            </w:pPr>
            <w:r w:rsidRPr="00CF04AD">
              <w:rPr>
                <w:sz w:val="15"/>
                <w:szCs w:val="15"/>
              </w:rPr>
              <w:t xml:space="preserve"> 950,793 </w:t>
            </w:r>
          </w:p>
        </w:tc>
        <w:tc>
          <w:tcPr>
            <w:tcW w:w="1058" w:type="dxa"/>
            <w:tcBorders>
              <w:top w:val="nil"/>
              <w:left w:val="nil"/>
              <w:bottom w:val="single" w:sz="4" w:space="0" w:color="auto"/>
              <w:right w:val="nil"/>
            </w:tcBorders>
            <w:shd w:val="clear" w:color="000000" w:fill="FFFFFF"/>
            <w:noWrap/>
            <w:vAlign w:val="bottom"/>
            <w:hideMark/>
          </w:tcPr>
          <w:p w:rsidR="00CA768F" w:rsidRPr="00CF04AD" w:rsidP="006C37C8" w14:paraId="54E46B63" w14:textId="77777777">
            <w:pPr>
              <w:jc w:val="right"/>
              <w:rPr>
                <w:sz w:val="15"/>
                <w:szCs w:val="15"/>
              </w:rPr>
            </w:pPr>
            <w:r w:rsidRPr="00CF04AD">
              <w:rPr>
                <w:sz w:val="15"/>
                <w:szCs w:val="15"/>
              </w:rPr>
              <w:t xml:space="preserve"> 11,142,853 </w:t>
            </w:r>
          </w:p>
        </w:tc>
        <w:tc>
          <w:tcPr>
            <w:tcW w:w="1036" w:type="dxa"/>
            <w:tcBorders>
              <w:top w:val="nil"/>
              <w:left w:val="nil"/>
              <w:bottom w:val="single" w:sz="4" w:space="0" w:color="auto"/>
              <w:right w:val="nil"/>
            </w:tcBorders>
            <w:shd w:val="clear" w:color="000000" w:fill="FFFFFF"/>
            <w:noWrap/>
            <w:vAlign w:val="bottom"/>
            <w:hideMark/>
          </w:tcPr>
          <w:p w:rsidR="00CA768F" w:rsidRPr="00CF04AD" w:rsidP="006C37C8" w14:paraId="59F8A236" w14:textId="77777777">
            <w:pPr>
              <w:jc w:val="right"/>
              <w:rPr>
                <w:sz w:val="15"/>
                <w:szCs w:val="15"/>
              </w:rPr>
            </w:pPr>
            <w:r w:rsidRPr="00CF04AD">
              <w:rPr>
                <w:sz w:val="15"/>
                <w:szCs w:val="15"/>
              </w:rPr>
              <w:t xml:space="preserve"> 10,303,597 </w:t>
            </w:r>
          </w:p>
        </w:tc>
        <w:tc>
          <w:tcPr>
            <w:tcW w:w="985" w:type="dxa"/>
            <w:tcBorders>
              <w:top w:val="nil"/>
              <w:left w:val="nil"/>
              <w:bottom w:val="single" w:sz="4" w:space="0" w:color="auto"/>
              <w:right w:val="nil"/>
            </w:tcBorders>
            <w:shd w:val="clear" w:color="000000" w:fill="FFFFFF"/>
            <w:noWrap/>
            <w:vAlign w:val="bottom"/>
            <w:hideMark/>
          </w:tcPr>
          <w:p w:rsidR="00CA768F" w:rsidRPr="00CF04AD" w:rsidP="006C37C8" w14:paraId="3273C503" w14:textId="77777777">
            <w:pPr>
              <w:jc w:val="right"/>
              <w:rPr>
                <w:sz w:val="15"/>
                <w:szCs w:val="15"/>
              </w:rPr>
            </w:pPr>
            <w:r w:rsidRPr="00CF04AD">
              <w:rPr>
                <w:sz w:val="15"/>
                <w:szCs w:val="15"/>
              </w:rPr>
              <w:t xml:space="preserve"> 63,435 </w:t>
            </w:r>
          </w:p>
        </w:tc>
        <w:tc>
          <w:tcPr>
            <w:tcW w:w="1140" w:type="dxa"/>
            <w:tcBorders>
              <w:top w:val="nil"/>
              <w:left w:val="nil"/>
              <w:bottom w:val="single" w:sz="4" w:space="0" w:color="auto"/>
              <w:right w:val="nil"/>
            </w:tcBorders>
            <w:shd w:val="clear" w:color="000000" w:fill="FFFFFF"/>
            <w:noWrap/>
            <w:vAlign w:val="bottom"/>
            <w:hideMark/>
          </w:tcPr>
          <w:p w:rsidR="00CA768F" w:rsidRPr="00CF04AD" w:rsidP="006C37C8" w14:paraId="1E59E44D" w14:textId="77777777">
            <w:pPr>
              <w:jc w:val="right"/>
              <w:rPr>
                <w:sz w:val="15"/>
                <w:szCs w:val="15"/>
              </w:rPr>
            </w:pPr>
            <w:r w:rsidRPr="00CF04AD">
              <w:rPr>
                <w:sz w:val="15"/>
                <w:szCs w:val="15"/>
              </w:rPr>
              <w:t xml:space="preserve"> 10,367,032 </w:t>
            </w:r>
          </w:p>
        </w:tc>
      </w:tr>
      <w:tr w14:paraId="33A3743E" w14:textId="77777777" w:rsidTr="00C263D3">
        <w:tblPrEx>
          <w:tblW w:w="5074" w:type="pct"/>
          <w:tblLook w:val="04A0"/>
        </w:tblPrEx>
        <w:trPr>
          <w:trHeight w:val="161"/>
        </w:trPr>
        <w:tc>
          <w:tcPr>
            <w:tcW w:w="3150" w:type="dxa"/>
            <w:tcBorders>
              <w:top w:val="nil"/>
              <w:left w:val="nil"/>
              <w:bottom w:val="nil"/>
              <w:right w:val="nil"/>
            </w:tcBorders>
            <w:shd w:val="clear" w:color="000000" w:fill="FFFFFF"/>
            <w:noWrap/>
            <w:vAlign w:val="bottom"/>
            <w:hideMark/>
          </w:tcPr>
          <w:p w:rsidR="00CA768F" w:rsidRPr="00CF04AD" w:rsidP="00412511" w14:paraId="5B2FAB72" w14:textId="77777777">
            <w:pPr>
              <w:ind w:left="187" w:hanging="14"/>
              <w:rPr>
                <w:sz w:val="15"/>
                <w:szCs w:val="15"/>
              </w:rPr>
            </w:pPr>
            <w:r w:rsidRPr="00CF04AD">
              <w:rPr>
                <w:sz w:val="15"/>
                <w:szCs w:val="15"/>
              </w:rPr>
              <w:t>Net Change in Cumulative Results of Operations</w:t>
            </w:r>
          </w:p>
        </w:tc>
        <w:tc>
          <w:tcPr>
            <w:tcW w:w="1031" w:type="dxa"/>
            <w:tcBorders>
              <w:top w:val="nil"/>
              <w:left w:val="nil"/>
              <w:bottom w:val="nil"/>
              <w:right w:val="nil"/>
            </w:tcBorders>
            <w:shd w:val="clear" w:color="000000" w:fill="FFFFFF"/>
            <w:noWrap/>
            <w:vAlign w:val="bottom"/>
            <w:hideMark/>
          </w:tcPr>
          <w:p w:rsidR="00CA768F" w:rsidRPr="00CF04AD" w:rsidP="006C37C8" w14:paraId="4ED122A2" w14:textId="77777777">
            <w:pPr>
              <w:jc w:val="right"/>
              <w:rPr>
                <w:sz w:val="15"/>
                <w:szCs w:val="15"/>
              </w:rPr>
            </w:pPr>
            <w:r w:rsidRPr="00CF04AD">
              <w:rPr>
                <w:sz w:val="15"/>
                <w:szCs w:val="15"/>
              </w:rPr>
              <w:t xml:space="preserve"> 696,691 </w:t>
            </w:r>
          </w:p>
        </w:tc>
        <w:tc>
          <w:tcPr>
            <w:tcW w:w="1099" w:type="dxa"/>
            <w:tcBorders>
              <w:top w:val="nil"/>
              <w:left w:val="nil"/>
              <w:bottom w:val="nil"/>
              <w:right w:val="nil"/>
            </w:tcBorders>
            <w:shd w:val="clear" w:color="000000" w:fill="FFFFFF"/>
            <w:noWrap/>
            <w:vAlign w:val="bottom"/>
            <w:hideMark/>
          </w:tcPr>
          <w:p w:rsidR="00CA768F" w:rsidRPr="00CF04AD" w:rsidP="006C37C8" w14:paraId="482A821C" w14:textId="77777777">
            <w:pPr>
              <w:jc w:val="right"/>
              <w:rPr>
                <w:sz w:val="15"/>
                <w:szCs w:val="15"/>
              </w:rPr>
            </w:pPr>
            <w:r w:rsidRPr="00CF04AD">
              <w:rPr>
                <w:sz w:val="15"/>
                <w:szCs w:val="15"/>
              </w:rPr>
              <w:t xml:space="preserve"> 37,112 </w:t>
            </w:r>
          </w:p>
        </w:tc>
        <w:tc>
          <w:tcPr>
            <w:tcW w:w="1058" w:type="dxa"/>
            <w:tcBorders>
              <w:top w:val="nil"/>
              <w:left w:val="nil"/>
              <w:bottom w:val="nil"/>
              <w:right w:val="nil"/>
            </w:tcBorders>
            <w:shd w:val="clear" w:color="000000" w:fill="FFFFFF"/>
            <w:noWrap/>
            <w:vAlign w:val="bottom"/>
            <w:hideMark/>
          </w:tcPr>
          <w:p w:rsidR="00CA768F" w:rsidRPr="00CF04AD" w:rsidP="006C37C8" w14:paraId="21CE3D2C" w14:textId="77777777">
            <w:pPr>
              <w:jc w:val="right"/>
              <w:rPr>
                <w:sz w:val="15"/>
                <w:szCs w:val="15"/>
              </w:rPr>
            </w:pPr>
            <w:r w:rsidRPr="00CF04AD">
              <w:rPr>
                <w:sz w:val="15"/>
                <w:szCs w:val="15"/>
              </w:rPr>
              <w:t xml:space="preserve"> 733,803 </w:t>
            </w:r>
          </w:p>
        </w:tc>
        <w:tc>
          <w:tcPr>
            <w:tcW w:w="1036" w:type="dxa"/>
            <w:tcBorders>
              <w:top w:val="nil"/>
              <w:left w:val="nil"/>
              <w:bottom w:val="nil"/>
              <w:right w:val="nil"/>
            </w:tcBorders>
            <w:shd w:val="clear" w:color="000000" w:fill="FFFFFF"/>
            <w:noWrap/>
            <w:vAlign w:val="bottom"/>
            <w:hideMark/>
          </w:tcPr>
          <w:p w:rsidR="00CA768F" w:rsidRPr="00CF04AD" w:rsidP="006C37C8" w14:paraId="000D8207" w14:textId="77777777">
            <w:pPr>
              <w:jc w:val="right"/>
              <w:rPr>
                <w:sz w:val="15"/>
                <w:szCs w:val="15"/>
              </w:rPr>
            </w:pPr>
            <w:r w:rsidRPr="00CF04AD">
              <w:rPr>
                <w:sz w:val="15"/>
                <w:szCs w:val="15"/>
              </w:rPr>
              <w:t xml:space="preserve"> (906,832)</w:t>
            </w:r>
          </w:p>
        </w:tc>
        <w:tc>
          <w:tcPr>
            <w:tcW w:w="985" w:type="dxa"/>
            <w:tcBorders>
              <w:top w:val="nil"/>
              <w:left w:val="nil"/>
              <w:bottom w:val="nil"/>
              <w:right w:val="nil"/>
            </w:tcBorders>
            <w:shd w:val="clear" w:color="000000" w:fill="FFFFFF"/>
            <w:noWrap/>
            <w:vAlign w:val="bottom"/>
            <w:hideMark/>
          </w:tcPr>
          <w:p w:rsidR="00CA768F" w:rsidRPr="00CF04AD" w:rsidP="006C37C8" w14:paraId="2141ED22" w14:textId="77777777">
            <w:pPr>
              <w:jc w:val="right"/>
              <w:rPr>
                <w:sz w:val="15"/>
                <w:szCs w:val="15"/>
              </w:rPr>
            </w:pPr>
            <w:r w:rsidRPr="00CF04AD">
              <w:rPr>
                <w:sz w:val="15"/>
                <w:szCs w:val="15"/>
              </w:rPr>
              <w:t xml:space="preserve"> (30,944)</w:t>
            </w:r>
          </w:p>
        </w:tc>
        <w:tc>
          <w:tcPr>
            <w:tcW w:w="1140" w:type="dxa"/>
            <w:tcBorders>
              <w:top w:val="nil"/>
              <w:left w:val="nil"/>
              <w:bottom w:val="nil"/>
              <w:right w:val="nil"/>
            </w:tcBorders>
            <w:shd w:val="clear" w:color="000000" w:fill="FFFFFF"/>
            <w:noWrap/>
            <w:vAlign w:val="bottom"/>
            <w:hideMark/>
          </w:tcPr>
          <w:p w:rsidR="00CA768F" w:rsidRPr="00CF04AD" w:rsidP="006C37C8" w14:paraId="7932F9BB" w14:textId="77777777">
            <w:pPr>
              <w:jc w:val="right"/>
              <w:rPr>
                <w:sz w:val="15"/>
                <w:szCs w:val="15"/>
              </w:rPr>
            </w:pPr>
            <w:r w:rsidRPr="00CF04AD">
              <w:rPr>
                <w:sz w:val="15"/>
                <w:szCs w:val="15"/>
              </w:rPr>
              <w:t xml:space="preserve"> (937,776)</w:t>
            </w:r>
          </w:p>
        </w:tc>
      </w:tr>
      <w:tr w14:paraId="65CC666B" w14:textId="77777777" w:rsidTr="00394422">
        <w:tblPrEx>
          <w:tblW w:w="5074" w:type="pct"/>
          <w:tblLook w:val="04A0"/>
        </w:tblPrEx>
        <w:trPr>
          <w:trHeight w:val="531"/>
        </w:trPr>
        <w:tc>
          <w:tcPr>
            <w:tcW w:w="3150" w:type="dxa"/>
            <w:tcBorders>
              <w:top w:val="nil"/>
              <w:left w:val="nil"/>
              <w:bottom w:val="nil"/>
              <w:right w:val="nil"/>
            </w:tcBorders>
            <w:shd w:val="clear" w:color="000000" w:fill="FFFFFF"/>
            <w:noWrap/>
            <w:vAlign w:val="center"/>
            <w:hideMark/>
          </w:tcPr>
          <w:p w:rsidR="00CA768F" w:rsidRPr="00CF04AD" w:rsidP="004957F6" w14:paraId="20AF4B5D" w14:textId="77777777">
            <w:pPr>
              <w:ind w:firstLine="150" w:firstLineChars="100"/>
              <w:rPr>
                <w:b/>
                <w:bCs/>
                <w:sz w:val="15"/>
                <w:szCs w:val="15"/>
              </w:rPr>
            </w:pPr>
            <w:r w:rsidRPr="00CF04AD">
              <w:rPr>
                <w:b/>
                <w:bCs/>
                <w:sz w:val="15"/>
                <w:szCs w:val="15"/>
              </w:rPr>
              <w:t>Cumulative Results of Operations: Ending</w:t>
            </w:r>
          </w:p>
        </w:tc>
        <w:tc>
          <w:tcPr>
            <w:tcW w:w="1031" w:type="dxa"/>
            <w:tcBorders>
              <w:top w:val="nil"/>
              <w:left w:val="nil"/>
              <w:bottom w:val="single" w:sz="4" w:space="0" w:color="auto"/>
              <w:right w:val="nil"/>
            </w:tcBorders>
            <w:shd w:val="clear" w:color="000000" w:fill="FFFFFF"/>
            <w:noWrap/>
            <w:vAlign w:val="center"/>
            <w:hideMark/>
          </w:tcPr>
          <w:p w:rsidR="00CA768F" w:rsidRPr="00CF04AD" w:rsidP="006C37C8" w14:paraId="7FEAE448" w14:textId="77777777">
            <w:pPr>
              <w:jc w:val="right"/>
              <w:rPr>
                <w:sz w:val="15"/>
                <w:szCs w:val="15"/>
              </w:rPr>
            </w:pPr>
            <w:r w:rsidRPr="00CF04AD">
              <w:rPr>
                <w:sz w:val="15"/>
                <w:szCs w:val="15"/>
              </w:rPr>
              <w:t xml:space="preserve"> 6,948,472 </w:t>
            </w:r>
          </w:p>
        </w:tc>
        <w:tc>
          <w:tcPr>
            <w:tcW w:w="1099" w:type="dxa"/>
            <w:tcBorders>
              <w:top w:val="nil"/>
              <w:left w:val="nil"/>
              <w:bottom w:val="single" w:sz="4" w:space="0" w:color="auto"/>
              <w:right w:val="nil"/>
            </w:tcBorders>
            <w:shd w:val="clear" w:color="000000" w:fill="FFFFFF"/>
            <w:noWrap/>
            <w:vAlign w:val="center"/>
            <w:hideMark/>
          </w:tcPr>
          <w:p w:rsidR="00CA768F" w:rsidRPr="00CF04AD" w:rsidP="006C37C8" w14:paraId="71449284" w14:textId="77777777">
            <w:pPr>
              <w:jc w:val="right"/>
              <w:rPr>
                <w:sz w:val="15"/>
                <w:szCs w:val="15"/>
              </w:rPr>
            </w:pPr>
            <w:r w:rsidRPr="00CF04AD">
              <w:rPr>
                <w:sz w:val="15"/>
                <w:szCs w:val="15"/>
              </w:rPr>
              <w:t xml:space="preserve"> 229,066 </w:t>
            </w:r>
          </w:p>
        </w:tc>
        <w:tc>
          <w:tcPr>
            <w:tcW w:w="1058" w:type="dxa"/>
            <w:tcBorders>
              <w:top w:val="nil"/>
              <w:left w:val="nil"/>
              <w:bottom w:val="single" w:sz="4" w:space="0" w:color="auto"/>
              <w:right w:val="nil"/>
            </w:tcBorders>
            <w:shd w:val="clear" w:color="000000" w:fill="FFFFFF"/>
            <w:noWrap/>
            <w:vAlign w:val="center"/>
            <w:hideMark/>
          </w:tcPr>
          <w:p w:rsidR="00CA768F" w:rsidRPr="00CF04AD" w:rsidP="006C37C8" w14:paraId="6EB5D59A" w14:textId="77777777">
            <w:pPr>
              <w:jc w:val="right"/>
              <w:rPr>
                <w:sz w:val="15"/>
                <w:szCs w:val="15"/>
              </w:rPr>
            </w:pPr>
            <w:r w:rsidRPr="00CF04AD">
              <w:rPr>
                <w:sz w:val="15"/>
                <w:szCs w:val="15"/>
              </w:rPr>
              <w:t xml:space="preserve"> 7,177,538 </w:t>
            </w:r>
          </w:p>
        </w:tc>
        <w:tc>
          <w:tcPr>
            <w:tcW w:w="1036" w:type="dxa"/>
            <w:tcBorders>
              <w:top w:val="nil"/>
              <w:left w:val="nil"/>
              <w:bottom w:val="single" w:sz="4" w:space="0" w:color="auto"/>
              <w:right w:val="nil"/>
            </w:tcBorders>
            <w:shd w:val="clear" w:color="000000" w:fill="FFFFFF"/>
            <w:noWrap/>
            <w:vAlign w:val="center"/>
            <w:hideMark/>
          </w:tcPr>
          <w:p w:rsidR="00CA768F" w:rsidRPr="00CF04AD" w:rsidP="006C37C8" w14:paraId="50D05454" w14:textId="77777777">
            <w:pPr>
              <w:jc w:val="right"/>
              <w:rPr>
                <w:sz w:val="15"/>
                <w:szCs w:val="15"/>
              </w:rPr>
            </w:pPr>
            <w:r w:rsidRPr="00CF04AD">
              <w:rPr>
                <w:sz w:val="15"/>
                <w:szCs w:val="15"/>
              </w:rPr>
              <w:t xml:space="preserve"> 6,251,781 </w:t>
            </w:r>
          </w:p>
        </w:tc>
        <w:tc>
          <w:tcPr>
            <w:tcW w:w="985" w:type="dxa"/>
            <w:tcBorders>
              <w:top w:val="nil"/>
              <w:left w:val="nil"/>
              <w:bottom w:val="single" w:sz="4" w:space="0" w:color="auto"/>
              <w:right w:val="nil"/>
            </w:tcBorders>
            <w:shd w:val="clear" w:color="000000" w:fill="FFFFFF"/>
            <w:noWrap/>
            <w:vAlign w:val="center"/>
            <w:hideMark/>
          </w:tcPr>
          <w:p w:rsidR="00CA768F" w:rsidRPr="00CF04AD" w:rsidP="006C37C8" w14:paraId="633FFD32" w14:textId="77777777">
            <w:pPr>
              <w:jc w:val="right"/>
              <w:rPr>
                <w:sz w:val="15"/>
                <w:szCs w:val="15"/>
              </w:rPr>
            </w:pPr>
            <w:r w:rsidRPr="00CF04AD">
              <w:rPr>
                <w:sz w:val="15"/>
                <w:szCs w:val="15"/>
              </w:rPr>
              <w:t xml:space="preserve"> 191,954 </w:t>
            </w:r>
          </w:p>
        </w:tc>
        <w:tc>
          <w:tcPr>
            <w:tcW w:w="1140" w:type="dxa"/>
            <w:tcBorders>
              <w:top w:val="nil"/>
              <w:left w:val="nil"/>
              <w:bottom w:val="single" w:sz="4" w:space="0" w:color="auto"/>
              <w:right w:val="nil"/>
            </w:tcBorders>
            <w:shd w:val="clear" w:color="000000" w:fill="FFFFFF"/>
            <w:noWrap/>
            <w:vAlign w:val="center"/>
            <w:hideMark/>
          </w:tcPr>
          <w:p w:rsidR="00CA768F" w:rsidRPr="00CF04AD" w:rsidP="006C37C8" w14:paraId="28E14979" w14:textId="77777777">
            <w:pPr>
              <w:jc w:val="right"/>
              <w:rPr>
                <w:sz w:val="15"/>
                <w:szCs w:val="15"/>
              </w:rPr>
            </w:pPr>
            <w:r w:rsidRPr="00CF04AD">
              <w:rPr>
                <w:sz w:val="15"/>
                <w:szCs w:val="15"/>
              </w:rPr>
              <w:t xml:space="preserve"> 6,443,735 </w:t>
            </w:r>
          </w:p>
        </w:tc>
      </w:tr>
      <w:tr w14:paraId="43EA45C9" w14:textId="77777777" w:rsidTr="00C263D3">
        <w:tblPrEx>
          <w:tblW w:w="5074" w:type="pct"/>
          <w:tblLook w:val="04A0"/>
        </w:tblPrEx>
        <w:trPr>
          <w:trHeight w:val="170"/>
        </w:trPr>
        <w:tc>
          <w:tcPr>
            <w:tcW w:w="3150" w:type="dxa"/>
            <w:tcBorders>
              <w:top w:val="nil"/>
              <w:left w:val="nil"/>
              <w:bottom w:val="nil"/>
              <w:right w:val="nil"/>
            </w:tcBorders>
            <w:shd w:val="clear" w:color="000000" w:fill="FFFFFF"/>
            <w:noWrap/>
            <w:vAlign w:val="bottom"/>
            <w:hideMark/>
          </w:tcPr>
          <w:p w:rsidR="00CA768F" w:rsidRPr="00CF04AD" w:rsidP="004957F6" w14:paraId="6D82114D" w14:textId="77777777">
            <w:pPr>
              <w:ind w:firstLine="150" w:firstLineChars="100"/>
              <w:rPr>
                <w:b/>
                <w:bCs/>
                <w:sz w:val="15"/>
                <w:szCs w:val="15"/>
              </w:rPr>
            </w:pPr>
            <w:r w:rsidRPr="00CF04AD">
              <w:rPr>
                <w:b/>
                <w:bCs/>
                <w:sz w:val="15"/>
                <w:szCs w:val="15"/>
              </w:rPr>
              <w:t>Net Position</w:t>
            </w:r>
          </w:p>
        </w:tc>
        <w:tc>
          <w:tcPr>
            <w:tcW w:w="1031" w:type="dxa"/>
            <w:tcBorders>
              <w:top w:val="single" w:sz="4" w:space="0" w:color="auto"/>
              <w:left w:val="nil"/>
              <w:bottom w:val="double" w:sz="6" w:space="0" w:color="auto"/>
              <w:right w:val="nil"/>
            </w:tcBorders>
            <w:shd w:val="clear" w:color="000000" w:fill="FFFFFF"/>
            <w:noWrap/>
            <w:vAlign w:val="bottom"/>
            <w:hideMark/>
          </w:tcPr>
          <w:p w:rsidR="00CA768F" w:rsidRPr="00CF04AD" w:rsidP="006C37C8" w14:paraId="31DEAF89" w14:textId="14171413">
            <w:pPr>
              <w:jc w:val="right"/>
              <w:rPr>
                <w:sz w:val="15"/>
                <w:szCs w:val="15"/>
              </w:rPr>
            </w:pPr>
            <w:r w:rsidRPr="00CF04AD">
              <w:rPr>
                <w:sz w:val="15"/>
                <w:szCs w:val="15"/>
              </w:rPr>
              <w:t>$</w:t>
            </w:r>
            <w:r w:rsidR="00AB447D">
              <w:rPr>
                <w:sz w:val="15"/>
                <w:szCs w:val="15"/>
              </w:rPr>
              <w:t xml:space="preserve">  </w:t>
            </w:r>
            <w:r w:rsidRPr="00CF04AD">
              <w:rPr>
                <w:sz w:val="15"/>
                <w:szCs w:val="15"/>
              </w:rPr>
              <w:t xml:space="preserve"> 7,767,492 </w:t>
            </w:r>
          </w:p>
        </w:tc>
        <w:tc>
          <w:tcPr>
            <w:tcW w:w="1099" w:type="dxa"/>
            <w:tcBorders>
              <w:top w:val="single" w:sz="4" w:space="0" w:color="auto"/>
              <w:left w:val="nil"/>
              <w:bottom w:val="double" w:sz="6" w:space="0" w:color="auto"/>
              <w:right w:val="nil"/>
            </w:tcBorders>
            <w:shd w:val="clear" w:color="000000" w:fill="FFFFFF"/>
            <w:noWrap/>
            <w:vAlign w:val="bottom"/>
            <w:hideMark/>
          </w:tcPr>
          <w:p w:rsidR="00CA768F" w:rsidRPr="00CF04AD" w:rsidP="006C37C8" w14:paraId="4700D849" w14:textId="7CF78E4F">
            <w:pPr>
              <w:jc w:val="right"/>
              <w:rPr>
                <w:sz w:val="15"/>
                <w:szCs w:val="15"/>
              </w:rPr>
            </w:pPr>
            <w:r w:rsidRPr="00CF04AD">
              <w:rPr>
                <w:sz w:val="15"/>
                <w:szCs w:val="15"/>
              </w:rPr>
              <w:t>$</w:t>
            </w:r>
            <w:r w:rsidR="00BF3814">
              <w:rPr>
                <w:sz w:val="15"/>
                <w:szCs w:val="15"/>
              </w:rPr>
              <w:t xml:space="preserve">   </w:t>
            </w:r>
            <w:r w:rsidRPr="00CF04AD">
              <w:rPr>
                <w:sz w:val="15"/>
                <w:szCs w:val="15"/>
              </w:rPr>
              <w:t xml:space="preserve">11,957,755 </w:t>
            </w:r>
          </w:p>
        </w:tc>
        <w:tc>
          <w:tcPr>
            <w:tcW w:w="1058" w:type="dxa"/>
            <w:tcBorders>
              <w:top w:val="single" w:sz="4" w:space="0" w:color="auto"/>
              <w:left w:val="nil"/>
              <w:bottom w:val="double" w:sz="6" w:space="0" w:color="auto"/>
              <w:right w:val="nil"/>
            </w:tcBorders>
            <w:shd w:val="clear" w:color="000000" w:fill="FFFFFF"/>
            <w:noWrap/>
            <w:vAlign w:val="bottom"/>
            <w:hideMark/>
          </w:tcPr>
          <w:p w:rsidR="00CA768F" w:rsidRPr="00CF04AD" w:rsidP="006C37C8" w14:paraId="0676473C" w14:textId="13D2590E">
            <w:pPr>
              <w:jc w:val="right"/>
              <w:rPr>
                <w:sz w:val="15"/>
                <w:szCs w:val="15"/>
              </w:rPr>
            </w:pPr>
            <w:r w:rsidRPr="00CF04AD">
              <w:rPr>
                <w:sz w:val="15"/>
                <w:szCs w:val="15"/>
              </w:rPr>
              <w:t>$</w:t>
            </w:r>
            <w:r w:rsidR="002A6D64">
              <w:rPr>
                <w:sz w:val="15"/>
                <w:szCs w:val="15"/>
              </w:rPr>
              <w:t xml:space="preserve"> </w:t>
            </w:r>
            <w:r w:rsidRPr="00CF04AD">
              <w:rPr>
                <w:sz w:val="15"/>
                <w:szCs w:val="15"/>
              </w:rPr>
              <w:t xml:space="preserve"> 19,725,247 </w:t>
            </w:r>
          </w:p>
        </w:tc>
        <w:tc>
          <w:tcPr>
            <w:tcW w:w="1036" w:type="dxa"/>
            <w:tcBorders>
              <w:top w:val="single" w:sz="4" w:space="0" w:color="auto"/>
              <w:left w:val="nil"/>
              <w:bottom w:val="double" w:sz="6" w:space="0" w:color="auto"/>
              <w:right w:val="nil"/>
            </w:tcBorders>
            <w:shd w:val="clear" w:color="000000" w:fill="FFFFFF"/>
            <w:noWrap/>
            <w:vAlign w:val="bottom"/>
            <w:hideMark/>
          </w:tcPr>
          <w:p w:rsidR="00CA768F" w:rsidRPr="00CF04AD" w:rsidP="006C37C8" w14:paraId="02976CB1" w14:textId="65C6D60D">
            <w:pPr>
              <w:jc w:val="right"/>
              <w:rPr>
                <w:sz w:val="15"/>
                <w:szCs w:val="15"/>
              </w:rPr>
            </w:pPr>
            <w:r w:rsidRPr="00CF04AD">
              <w:rPr>
                <w:sz w:val="15"/>
                <w:szCs w:val="15"/>
              </w:rPr>
              <w:t>$</w:t>
            </w:r>
            <w:r w:rsidR="006C37C8">
              <w:rPr>
                <w:sz w:val="15"/>
                <w:szCs w:val="15"/>
              </w:rPr>
              <w:t xml:space="preserve">  </w:t>
            </w:r>
            <w:r w:rsidRPr="00CF04AD">
              <w:rPr>
                <w:sz w:val="15"/>
                <w:szCs w:val="15"/>
              </w:rPr>
              <w:t xml:space="preserve"> 7,109,629 </w:t>
            </w:r>
          </w:p>
        </w:tc>
        <w:tc>
          <w:tcPr>
            <w:tcW w:w="985" w:type="dxa"/>
            <w:tcBorders>
              <w:top w:val="single" w:sz="4" w:space="0" w:color="auto"/>
              <w:left w:val="nil"/>
              <w:bottom w:val="double" w:sz="6" w:space="0" w:color="auto"/>
              <w:right w:val="nil"/>
            </w:tcBorders>
            <w:shd w:val="clear" w:color="000000" w:fill="FFFFFF"/>
            <w:noWrap/>
            <w:vAlign w:val="bottom"/>
            <w:hideMark/>
          </w:tcPr>
          <w:p w:rsidR="00CA768F" w:rsidRPr="00CF04AD" w:rsidP="006C37C8" w14:paraId="06317601" w14:textId="53918A18">
            <w:pPr>
              <w:jc w:val="right"/>
              <w:rPr>
                <w:sz w:val="15"/>
                <w:szCs w:val="15"/>
              </w:rPr>
            </w:pPr>
            <w:r w:rsidRPr="00CF04AD">
              <w:rPr>
                <w:sz w:val="15"/>
                <w:szCs w:val="15"/>
              </w:rPr>
              <w:t>$</w:t>
            </w:r>
            <w:r w:rsidR="002A6D64">
              <w:rPr>
                <w:sz w:val="15"/>
                <w:szCs w:val="15"/>
              </w:rPr>
              <w:t xml:space="preserve">    </w:t>
            </w:r>
            <w:r w:rsidRPr="00CF04AD">
              <w:rPr>
                <w:sz w:val="15"/>
                <w:szCs w:val="15"/>
              </w:rPr>
              <w:t xml:space="preserve"> 342,692 </w:t>
            </w:r>
          </w:p>
        </w:tc>
        <w:tc>
          <w:tcPr>
            <w:tcW w:w="1140" w:type="dxa"/>
            <w:tcBorders>
              <w:top w:val="single" w:sz="4" w:space="0" w:color="auto"/>
              <w:left w:val="nil"/>
              <w:bottom w:val="double" w:sz="6" w:space="0" w:color="auto"/>
              <w:right w:val="nil"/>
            </w:tcBorders>
            <w:shd w:val="clear" w:color="000000" w:fill="FFFFFF"/>
            <w:noWrap/>
            <w:vAlign w:val="bottom"/>
            <w:hideMark/>
          </w:tcPr>
          <w:p w:rsidR="00CA768F" w:rsidRPr="00CF04AD" w:rsidP="006C37C8" w14:paraId="3288C495" w14:textId="3B4553AD">
            <w:pPr>
              <w:jc w:val="right"/>
              <w:rPr>
                <w:sz w:val="15"/>
                <w:szCs w:val="15"/>
              </w:rPr>
            </w:pPr>
            <w:r w:rsidRPr="00CF04AD">
              <w:rPr>
                <w:sz w:val="15"/>
                <w:szCs w:val="15"/>
              </w:rPr>
              <w:t>$</w:t>
            </w:r>
            <w:r w:rsidR="002A6D64">
              <w:rPr>
                <w:sz w:val="15"/>
                <w:szCs w:val="15"/>
              </w:rPr>
              <w:t xml:space="preserve">     </w:t>
            </w:r>
            <w:r w:rsidRPr="00CF04AD">
              <w:rPr>
                <w:sz w:val="15"/>
                <w:szCs w:val="15"/>
              </w:rPr>
              <w:t xml:space="preserve"> 7,452,321 </w:t>
            </w:r>
          </w:p>
        </w:tc>
      </w:tr>
    </w:tbl>
    <w:p w:rsidR="00285D06" w:rsidRPr="007D5370" w:rsidP="000724C1" w14:paraId="6E5790D7" w14:textId="77777777">
      <w:pPr>
        <w:spacing w:before="5640"/>
        <w:jc w:val="center"/>
        <w:rPr>
          <w:sz w:val="22"/>
          <w:szCs w:val="22"/>
        </w:rPr>
      </w:pPr>
      <w:r w:rsidRPr="007D5370">
        <w:rPr>
          <w:sz w:val="22"/>
          <w:szCs w:val="22"/>
        </w:rPr>
        <w:t>The accompanying notes are an integral part of these statements</w:t>
      </w:r>
      <w:r>
        <w:rPr>
          <w:sz w:val="22"/>
          <w:szCs w:val="22"/>
        </w:rPr>
        <w:t>.</w:t>
      </w:r>
    </w:p>
    <w:p w:rsidR="00285D06" w:rsidP="00285D06" w14:paraId="305C779A" w14:textId="77777777">
      <w:pPr>
        <w:rPr>
          <w:rFonts w:ascii="Times New Roman Bold" w:hAnsi="Times New Roman Bold"/>
          <w:b/>
          <w:szCs w:val="24"/>
        </w:rPr>
        <w:sectPr w:rsidSect="008262B9">
          <w:headerReference w:type="default" r:id="rId67"/>
          <w:footerReference w:type="default" r:id="rId68"/>
          <w:pgSz w:w="12240" w:h="15840" w:code="1"/>
          <w:pgMar w:top="1440" w:right="1440" w:bottom="1440" w:left="1440" w:header="720" w:footer="720" w:gutter="0"/>
          <w:cols w:space="720"/>
        </w:sectPr>
      </w:pPr>
    </w:p>
    <w:p w:rsidR="00285D06" w:rsidRPr="006B2A44" w:rsidP="00285D06" w14:paraId="66650D35" w14:textId="77777777">
      <w:pPr>
        <w:rPr>
          <w:bCs/>
        </w:rPr>
      </w:pPr>
      <w:r w:rsidRPr="006B2A44">
        <w:rPr>
          <w:rFonts w:ascii="Times New Roman Bold" w:hAnsi="Times New Roman Bold"/>
          <w:b/>
          <w:szCs w:val="24"/>
        </w:rPr>
        <w:t>F</w:t>
      </w:r>
      <w:r>
        <w:rPr>
          <w:rFonts w:ascii="Times New Roman Bold" w:hAnsi="Times New Roman Bold"/>
          <w:b/>
          <w:szCs w:val="24"/>
        </w:rPr>
        <w:t>ederal Communications Commission</w:t>
      </w:r>
    </w:p>
    <w:p w:rsidR="00285D06" w:rsidRPr="00CC34D5" w:rsidP="00CC34D5" w14:paraId="4DB8A848" w14:textId="77777777">
      <w:pPr>
        <w:pStyle w:val="Heading4"/>
        <w:spacing w:after="0"/>
        <w:rPr>
          <w:szCs w:val="24"/>
        </w:rPr>
      </w:pPr>
      <w:bookmarkStart w:id="164" w:name="_Toc54589764"/>
      <w:bookmarkStart w:id="165" w:name="_Toc88780674"/>
      <w:r w:rsidRPr="00CC34D5">
        <w:rPr>
          <w:szCs w:val="24"/>
        </w:rPr>
        <w:t>Combined Statements of Budgetary Resources</w:t>
      </w:r>
      <w:bookmarkEnd w:id="156"/>
      <w:bookmarkEnd w:id="157"/>
      <w:bookmarkEnd w:id="158"/>
      <w:bookmarkEnd w:id="159"/>
      <w:bookmarkEnd w:id="160"/>
      <w:bookmarkEnd w:id="161"/>
      <w:bookmarkEnd w:id="164"/>
      <w:bookmarkEnd w:id="165"/>
      <w:r w:rsidRPr="00CC34D5">
        <w:rPr>
          <w:szCs w:val="24"/>
        </w:rPr>
        <w:t xml:space="preserve"> </w:t>
      </w:r>
    </w:p>
    <w:p w:rsidR="00285D06" w:rsidRPr="000621B8" w:rsidP="00285D06" w14:paraId="401CBFED" w14:textId="77777777">
      <w:pPr>
        <w:widowControl w:val="0"/>
        <w:overflowPunct w:val="0"/>
        <w:autoSpaceDE w:val="0"/>
        <w:autoSpaceDN w:val="0"/>
        <w:adjustRightInd w:val="0"/>
        <w:jc w:val="both"/>
        <w:textAlignment w:val="baseline"/>
        <w:rPr>
          <w:sz w:val="22"/>
          <w:szCs w:val="22"/>
        </w:rPr>
      </w:pPr>
      <w:bookmarkStart w:id="166" w:name="_Toc65551534"/>
      <w:bookmarkStart w:id="167" w:name="_Toc65660142"/>
      <w:bookmarkStart w:id="168" w:name="_Toc68601238"/>
      <w:bookmarkStart w:id="169" w:name="_Toc68601363"/>
      <w:bookmarkStart w:id="170" w:name="_Toc70736762"/>
      <w:bookmarkStart w:id="171" w:name="_Toc73190394"/>
      <w:r w:rsidRPr="000621B8">
        <w:rPr>
          <w:sz w:val="22"/>
          <w:szCs w:val="22"/>
        </w:rPr>
        <w:t xml:space="preserve">For the </w:t>
      </w:r>
      <w:r>
        <w:rPr>
          <w:sz w:val="22"/>
          <w:szCs w:val="22"/>
        </w:rPr>
        <w:t>Years Ended September 30, 2021</w:t>
      </w:r>
      <w:r w:rsidRPr="005453C0">
        <w:rPr>
          <w:sz w:val="22"/>
          <w:szCs w:val="22"/>
        </w:rPr>
        <w:t xml:space="preserve"> and </w:t>
      </w:r>
      <w:r>
        <w:rPr>
          <w:sz w:val="22"/>
          <w:szCs w:val="22"/>
        </w:rPr>
        <w:t>September 30, 2020</w:t>
      </w:r>
    </w:p>
    <w:p w:rsidR="00285D06" w:rsidRPr="000621B8" w:rsidP="007F6906" w14:paraId="29FBC4E9" w14:textId="77777777">
      <w:pPr>
        <w:widowControl w:val="0"/>
        <w:overflowPunct w:val="0"/>
        <w:autoSpaceDE w:val="0"/>
        <w:autoSpaceDN w:val="0"/>
        <w:adjustRightInd w:val="0"/>
        <w:spacing w:after="240"/>
        <w:textAlignment w:val="baseline"/>
        <w:rPr>
          <w:sz w:val="22"/>
          <w:szCs w:val="22"/>
        </w:rPr>
      </w:pPr>
      <w:r w:rsidRPr="000621B8">
        <w:rPr>
          <w:sz w:val="22"/>
          <w:szCs w:val="22"/>
        </w:rPr>
        <w:t xml:space="preserve">(Dollars in thousands) </w:t>
      </w:r>
    </w:p>
    <w:tbl>
      <w:tblPr>
        <w:tblW w:w="5000" w:type="pct"/>
        <w:tblLook w:val="04A0"/>
      </w:tblPr>
      <w:tblGrid>
        <w:gridCol w:w="6772"/>
        <w:gridCol w:w="1294"/>
        <w:gridCol w:w="1294"/>
      </w:tblGrid>
      <w:tr w14:paraId="63646887"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4957F6" w14:paraId="3DCD953D" w14:textId="77777777">
            <w:pPr>
              <w:rPr>
                <w:sz w:val="16"/>
                <w:szCs w:val="16"/>
              </w:rPr>
            </w:pPr>
          </w:p>
        </w:tc>
        <w:tc>
          <w:tcPr>
            <w:tcW w:w="1181" w:type="dxa"/>
            <w:tcBorders>
              <w:top w:val="nil"/>
              <w:left w:val="nil"/>
              <w:bottom w:val="single" w:sz="4" w:space="0" w:color="auto"/>
              <w:right w:val="nil"/>
            </w:tcBorders>
            <w:shd w:val="clear" w:color="000000" w:fill="FFFFFF"/>
            <w:noWrap/>
            <w:vAlign w:val="bottom"/>
            <w:hideMark/>
          </w:tcPr>
          <w:p w:rsidR="00CE32B1" w:rsidRPr="005C6B2B" w:rsidP="004957F6" w14:paraId="12E31E8D" w14:textId="77777777">
            <w:pPr>
              <w:jc w:val="center"/>
              <w:rPr>
                <w:b/>
                <w:bCs/>
                <w:sz w:val="16"/>
                <w:szCs w:val="16"/>
              </w:rPr>
            </w:pPr>
            <w:r w:rsidRPr="005C6B2B">
              <w:rPr>
                <w:b/>
                <w:bCs/>
                <w:sz w:val="16"/>
                <w:szCs w:val="16"/>
              </w:rPr>
              <w:t>FY</w:t>
            </w:r>
            <w:r>
              <w:rPr>
                <w:b/>
                <w:bCs/>
                <w:sz w:val="16"/>
                <w:szCs w:val="16"/>
              </w:rPr>
              <w:t xml:space="preserve"> </w:t>
            </w:r>
            <w:r w:rsidRPr="005C6B2B">
              <w:rPr>
                <w:b/>
                <w:bCs/>
                <w:sz w:val="16"/>
                <w:szCs w:val="16"/>
              </w:rPr>
              <w:t>2021</w:t>
            </w:r>
          </w:p>
        </w:tc>
        <w:tc>
          <w:tcPr>
            <w:tcW w:w="1181" w:type="dxa"/>
            <w:tcBorders>
              <w:top w:val="nil"/>
              <w:left w:val="nil"/>
              <w:bottom w:val="single" w:sz="4" w:space="0" w:color="auto"/>
              <w:right w:val="nil"/>
            </w:tcBorders>
            <w:shd w:val="clear" w:color="000000" w:fill="FFFFFF"/>
            <w:noWrap/>
            <w:vAlign w:val="bottom"/>
            <w:hideMark/>
          </w:tcPr>
          <w:p w:rsidR="00CE32B1" w:rsidRPr="005C6B2B" w:rsidP="004957F6" w14:paraId="2E17D573" w14:textId="77777777">
            <w:pPr>
              <w:jc w:val="center"/>
              <w:rPr>
                <w:b/>
                <w:bCs/>
                <w:sz w:val="16"/>
                <w:szCs w:val="16"/>
              </w:rPr>
            </w:pPr>
            <w:r w:rsidRPr="005C6B2B">
              <w:rPr>
                <w:b/>
                <w:bCs/>
                <w:sz w:val="16"/>
                <w:szCs w:val="16"/>
              </w:rPr>
              <w:t>FY</w:t>
            </w:r>
            <w:r>
              <w:rPr>
                <w:b/>
                <w:bCs/>
                <w:sz w:val="16"/>
                <w:szCs w:val="16"/>
              </w:rPr>
              <w:t xml:space="preserve"> </w:t>
            </w:r>
            <w:r w:rsidRPr="005C6B2B">
              <w:rPr>
                <w:b/>
                <w:bCs/>
                <w:sz w:val="16"/>
                <w:szCs w:val="16"/>
              </w:rPr>
              <w:t>2020</w:t>
            </w:r>
          </w:p>
        </w:tc>
      </w:tr>
      <w:tr w14:paraId="45B48E52" w14:textId="77777777" w:rsidTr="004957F6">
        <w:tblPrEx>
          <w:tblW w:w="5000" w:type="pct"/>
          <w:tblLook w:val="04A0"/>
        </w:tblPrEx>
        <w:trPr>
          <w:trHeight w:val="259"/>
        </w:trPr>
        <w:tc>
          <w:tcPr>
            <w:tcW w:w="6178" w:type="dxa"/>
            <w:tcBorders>
              <w:top w:val="nil"/>
              <w:left w:val="nil"/>
              <w:bottom w:val="nil"/>
              <w:right w:val="nil"/>
            </w:tcBorders>
            <w:shd w:val="clear" w:color="000000" w:fill="FFFFFF"/>
            <w:vAlign w:val="bottom"/>
          </w:tcPr>
          <w:p w:rsidR="00CE32B1" w:rsidRPr="005C6B2B" w:rsidP="004957F6" w14:paraId="1E0AF563" w14:textId="77777777">
            <w:pPr>
              <w:rPr>
                <w:b/>
                <w:bCs/>
                <w:sz w:val="16"/>
                <w:szCs w:val="16"/>
              </w:rPr>
            </w:pPr>
            <w:r w:rsidRPr="005C6B2B">
              <w:rPr>
                <w:b/>
                <w:bCs/>
                <w:sz w:val="16"/>
                <w:szCs w:val="16"/>
              </w:rPr>
              <w:t>Budgetary</w:t>
            </w:r>
            <w:r>
              <w:rPr>
                <w:b/>
                <w:bCs/>
                <w:sz w:val="16"/>
                <w:szCs w:val="16"/>
              </w:rPr>
              <w:t xml:space="preserve"> </w:t>
            </w:r>
            <w:r w:rsidRPr="005C6B2B">
              <w:rPr>
                <w:b/>
                <w:bCs/>
                <w:sz w:val="16"/>
                <w:szCs w:val="16"/>
              </w:rPr>
              <w:t>Resources</w:t>
            </w:r>
          </w:p>
        </w:tc>
        <w:tc>
          <w:tcPr>
            <w:tcW w:w="1181" w:type="dxa"/>
            <w:tcBorders>
              <w:top w:val="nil"/>
              <w:left w:val="nil"/>
              <w:bottom w:val="nil"/>
              <w:right w:val="nil"/>
            </w:tcBorders>
            <w:shd w:val="clear" w:color="000000" w:fill="FFFFFF"/>
            <w:noWrap/>
            <w:vAlign w:val="bottom"/>
            <w:hideMark/>
          </w:tcPr>
          <w:p w:rsidR="00CE32B1" w:rsidRPr="005C6B2B" w:rsidP="004957F6" w14:paraId="2574917C" w14:textId="77777777">
            <w:pPr>
              <w:jc w:val="right"/>
              <w:rPr>
                <w:sz w:val="16"/>
                <w:szCs w:val="16"/>
              </w:rPr>
            </w:pPr>
            <w:r>
              <w:rPr>
                <w:sz w:val="16"/>
                <w:szCs w:val="16"/>
              </w:rPr>
              <w:t xml:space="preserve"> </w:t>
            </w:r>
          </w:p>
        </w:tc>
        <w:tc>
          <w:tcPr>
            <w:tcW w:w="1181" w:type="dxa"/>
            <w:tcBorders>
              <w:top w:val="nil"/>
              <w:left w:val="nil"/>
              <w:bottom w:val="nil"/>
              <w:right w:val="nil"/>
            </w:tcBorders>
            <w:shd w:val="clear" w:color="000000" w:fill="FFFFFF"/>
            <w:noWrap/>
            <w:vAlign w:val="bottom"/>
            <w:hideMark/>
          </w:tcPr>
          <w:p w:rsidR="00CE32B1" w:rsidRPr="005C6B2B" w:rsidP="004957F6" w14:paraId="03FE1692" w14:textId="77777777">
            <w:pPr>
              <w:jc w:val="right"/>
              <w:rPr>
                <w:sz w:val="16"/>
                <w:szCs w:val="16"/>
              </w:rPr>
            </w:pPr>
            <w:r>
              <w:rPr>
                <w:sz w:val="16"/>
                <w:szCs w:val="16"/>
              </w:rPr>
              <w:t xml:space="preserve"> </w:t>
            </w:r>
          </w:p>
        </w:tc>
      </w:tr>
      <w:tr w14:paraId="2F03EBCD" w14:textId="77777777" w:rsidTr="004957F6">
        <w:tblPrEx>
          <w:tblW w:w="5000" w:type="pct"/>
          <w:tblLook w:val="04A0"/>
        </w:tblPrEx>
        <w:trPr>
          <w:trHeight w:val="259"/>
        </w:trPr>
        <w:tc>
          <w:tcPr>
            <w:tcW w:w="6178" w:type="dxa"/>
            <w:tcBorders>
              <w:top w:val="nil"/>
              <w:left w:val="nil"/>
              <w:bottom w:val="nil"/>
              <w:right w:val="nil"/>
            </w:tcBorders>
            <w:shd w:val="clear" w:color="000000" w:fill="FFFFFF"/>
            <w:vAlign w:val="bottom"/>
            <w:hideMark/>
          </w:tcPr>
          <w:p w:rsidR="00CE32B1" w:rsidRPr="005C6B2B" w:rsidP="007B0CA5" w14:paraId="3AC4AADE" w14:textId="77777777">
            <w:pPr>
              <w:ind w:left="432"/>
              <w:rPr>
                <w:sz w:val="16"/>
                <w:szCs w:val="16"/>
              </w:rPr>
            </w:pPr>
            <w:r w:rsidRPr="005C6B2B">
              <w:rPr>
                <w:sz w:val="16"/>
                <w:szCs w:val="16"/>
              </w:rPr>
              <w:t>Unobligated</w:t>
            </w:r>
            <w:r>
              <w:rPr>
                <w:sz w:val="16"/>
                <w:szCs w:val="16"/>
              </w:rPr>
              <w:t xml:space="preserve"> </w:t>
            </w:r>
            <w:r w:rsidRPr="005C6B2B">
              <w:rPr>
                <w:sz w:val="16"/>
                <w:szCs w:val="16"/>
              </w:rPr>
              <w:t>balance</w:t>
            </w:r>
            <w:r>
              <w:rPr>
                <w:sz w:val="16"/>
                <w:szCs w:val="16"/>
              </w:rPr>
              <w:t xml:space="preserve"> </w:t>
            </w:r>
            <w:r w:rsidRPr="005C6B2B">
              <w:rPr>
                <w:sz w:val="16"/>
                <w:szCs w:val="16"/>
              </w:rPr>
              <w:t>from</w:t>
            </w:r>
            <w:r>
              <w:rPr>
                <w:sz w:val="16"/>
                <w:szCs w:val="16"/>
              </w:rPr>
              <w:t xml:space="preserve"> </w:t>
            </w:r>
            <w:r w:rsidRPr="005C6B2B">
              <w:rPr>
                <w:sz w:val="16"/>
                <w:szCs w:val="16"/>
              </w:rPr>
              <w:t>prior</w:t>
            </w:r>
            <w:r>
              <w:rPr>
                <w:sz w:val="16"/>
                <w:szCs w:val="16"/>
              </w:rPr>
              <w:t xml:space="preserve"> </w:t>
            </w:r>
            <w:r w:rsidRPr="005C6B2B">
              <w:rPr>
                <w:sz w:val="16"/>
                <w:szCs w:val="16"/>
              </w:rPr>
              <w:t>year</w:t>
            </w:r>
            <w:r>
              <w:rPr>
                <w:sz w:val="16"/>
                <w:szCs w:val="16"/>
              </w:rPr>
              <w:t xml:space="preserve"> </w:t>
            </w:r>
            <w:r w:rsidRPr="005C6B2B">
              <w:rPr>
                <w:sz w:val="16"/>
                <w:szCs w:val="16"/>
              </w:rPr>
              <w:t>budget</w:t>
            </w:r>
            <w:r>
              <w:rPr>
                <w:sz w:val="16"/>
                <w:szCs w:val="16"/>
              </w:rPr>
              <w:t xml:space="preserve"> </w:t>
            </w:r>
            <w:r w:rsidRPr="005C6B2B">
              <w:rPr>
                <w:sz w:val="16"/>
                <w:szCs w:val="16"/>
              </w:rPr>
              <w:t>authority,</w:t>
            </w:r>
            <w:r>
              <w:rPr>
                <w:sz w:val="16"/>
                <w:szCs w:val="16"/>
              </w:rPr>
              <w:t xml:space="preserve"> </w:t>
            </w:r>
            <w:r w:rsidRPr="005C6B2B">
              <w:rPr>
                <w:sz w:val="16"/>
                <w:szCs w:val="16"/>
              </w:rPr>
              <w:t>net</w:t>
            </w:r>
            <w:r>
              <w:rPr>
                <w:sz w:val="16"/>
                <w:szCs w:val="16"/>
              </w:rPr>
              <w:t xml:space="preserve"> </w:t>
            </w:r>
            <w:r w:rsidRPr="005C6B2B">
              <w:rPr>
                <w:sz w:val="16"/>
                <w:szCs w:val="16"/>
              </w:rPr>
              <w:t>(discretionary</w:t>
            </w:r>
            <w:r>
              <w:rPr>
                <w:sz w:val="16"/>
                <w:szCs w:val="16"/>
              </w:rPr>
              <w:t xml:space="preserve"> </w:t>
            </w:r>
            <w:r w:rsidRPr="005C6B2B">
              <w:rPr>
                <w:sz w:val="16"/>
                <w:szCs w:val="16"/>
              </w:rPr>
              <w:t>and</w:t>
            </w:r>
            <w:r>
              <w:rPr>
                <w:sz w:val="16"/>
                <w:szCs w:val="16"/>
              </w:rPr>
              <w:t xml:space="preserve"> </w:t>
            </w:r>
            <w:r w:rsidRPr="005C6B2B">
              <w:rPr>
                <w:sz w:val="16"/>
                <w:szCs w:val="16"/>
              </w:rPr>
              <w:br/>
              <w:t>mandatory)</w:t>
            </w:r>
          </w:p>
        </w:tc>
        <w:tc>
          <w:tcPr>
            <w:tcW w:w="1181" w:type="dxa"/>
            <w:tcBorders>
              <w:top w:val="nil"/>
              <w:left w:val="nil"/>
              <w:bottom w:val="nil"/>
              <w:right w:val="nil"/>
            </w:tcBorders>
            <w:shd w:val="clear" w:color="000000" w:fill="FFFFFF"/>
            <w:noWrap/>
            <w:vAlign w:val="bottom"/>
            <w:hideMark/>
          </w:tcPr>
          <w:p w:rsidR="00CE32B1" w:rsidRPr="005C6B2B" w:rsidP="004957F6" w14:paraId="25DBE0A4" w14:textId="5AAE32B2">
            <w:pPr>
              <w:jc w:val="right"/>
              <w:rPr>
                <w:sz w:val="16"/>
                <w:szCs w:val="16"/>
              </w:rPr>
            </w:pPr>
            <w:r w:rsidRPr="005C6B2B">
              <w:rPr>
                <w:sz w:val="16"/>
                <w:szCs w:val="16"/>
              </w:rPr>
              <w:t>$</w:t>
            </w:r>
            <w:r w:rsidR="00CB3F56">
              <w:rPr>
                <w:sz w:val="16"/>
                <w:szCs w:val="16"/>
              </w:rPr>
              <w:t xml:space="preserve">  </w:t>
            </w:r>
            <w:r>
              <w:rPr>
                <w:sz w:val="16"/>
                <w:szCs w:val="16"/>
              </w:rPr>
              <w:t xml:space="preserve"> </w:t>
            </w:r>
            <w:r w:rsidRPr="005C6B2B">
              <w:rPr>
                <w:sz w:val="16"/>
                <w:szCs w:val="16"/>
              </w:rPr>
              <w:t>(8,023,330)</w:t>
            </w:r>
          </w:p>
        </w:tc>
        <w:tc>
          <w:tcPr>
            <w:tcW w:w="1181" w:type="dxa"/>
            <w:tcBorders>
              <w:top w:val="nil"/>
              <w:left w:val="nil"/>
              <w:bottom w:val="nil"/>
              <w:right w:val="nil"/>
            </w:tcBorders>
            <w:shd w:val="clear" w:color="000000" w:fill="FFFFFF"/>
            <w:noWrap/>
            <w:vAlign w:val="bottom"/>
            <w:hideMark/>
          </w:tcPr>
          <w:p w:rsidR="00CE32B1" w:rsidRPr="005C6B2B" w:rsidP="004957F6" w14:paraId="7F45ACD2" w14:textId="51521DB5">
            <w:pPr>
              <w:jc w:val="right"/>
              <w:rPr>
                <w:sz w:val="16"/>
                <w:szCs w:val="16"/>
              </w:rPr>
            </w:pPr>
            <w:r w:rsidRPr="005C6B2B">
              <w:rPr>
                <w:sz w:val="16"/>
                <w:szCs w:val="16"/>
              </w:rPr>
              <w:t>$</w:t>
            </w:r>
            <w:r>
              <w:rPr>
                <w:sz w:val="16"/>
                <w:szCs w:val="16"/>
              </w:rPr>
              <w:t xml:space="preserve">   </w:t>
            </w:r>
            <w:r w:rsidRPr="005C6B2B">
              <w:rPr>
                <w:sz w:val="16"/>
                <w:szCs w:val="16"/>
              </w:rPr>
              <w:t>(9,387,542)</w:t>
            </w:r>
          </w:p>
        </w:tc>
      </w:tr>
      <w:tr w14:paraId="3B1854F7" w14:textId="77777777" w:rsidTr="00A251F9">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B0CA5" w14:paraId="4479E686" w14:textId="77777777">
            <w:pPr>
              <w:ind w:left="432"/>
              <w:rPr>
                <w:sz w:val="16"/>
                <w:szCs w:val="16"/>
              </w:rPr>
            </w:pPr>
            <w:r w:rsidRPr="005C6B2B">
              <w:rPr>
                <w:sz w:val="16"/>
                <w:szCs w:val="16"/>
              </w:rPr>
              <w:t>Appropriations</w:t>
            </w:r>
            <w:r>
              <w:rPr>
                <w:sz w:val="16"/>
                <w:szCs w:val="16"/>
              </w:rPr>
              <w:t xml:space="preserve"> </w:t>
            </w:r>
            <w:r w:rsidRPr="005C6B2B">
              <w:rPr>
                <w:sz w:val="16"/>
                <w:szCs w:val="16"/>
              </w:rPr>
              <w:t>(discretionary</w:t>
            </w:r>
            <w:r>
              <w:rPr>
                <w:sz w:val="16"/>
                <w:szCs w:val="16"/>
              </w:rPr>
              <w:t xml:space="preserve"> </w:t>
            </w:r>
            <w:r w:rsidRPr="005C6B2B">
              <w:rPr>
                <w:sz w:val="16"/>
                <w:szCs w:val="16"/>
              </w:rPr>
              <w:t>and</w:t>
            </w:r>
            <w:r>
              <w:rPr>
                <w:sz w:val="16"/>
                <w:szCs w:val="16"/>
              </w:rPr>
              <w:t xml:space="preserve"> </w:t>
            </w:r>
            <w:r w:rsidRPr="005C6B2B">
              <w:rPr>
                <w:sz w:val="16"/>
                <w:szCs w:val="16"/>
              </w:rPr>
              <w:t>mandatory)</w:t>
            </w:r>
          </w:p>
        </w:tc>
        <w:tc>
          <w:tcPr>
            <w:tcW w:w="1181" w:type="dxa"/>
            <w:tcBorders>
              <w:top w:val="nil"/>
              <w:left w:val="nil"/>
              <w:right w:val="nil"/>
            </w:tcBorders>
            <w:shd w:val="clear" w:color="000000" w:fill="FFFFFF"/>
            <w:noWrap/>
            <w:vAlign w:val="bottom"/>
            <w:hideMark/>
          </w:tcPr>
          <w:p w:rsidR="00CE32B1" w:rsidRPr="005C6B2B" w:rsidP="004957F6" w14:paraId="138D6E5C" w14:textId="77777777">
            <w:pPr>
              <w:jc w:val="right"/>
              <w:rPr>
                <w:sz w:val="16"/>
                <w:szCs w:val="16"/>
              </w:rPr>
            </w:pPr>
            <w:r>
              <w:rPr>
                <w:sz w:val="16"/>
                <w:szCs w:val="16"/>
              </w:rPr>
              <w:t xml:space="preserve"> </w:t>
            </w:r>
            <w:r w:rsidRPr="005C6B2B">
              <w:rPr>
                <w:sz w:val="16"/>
                <w:szCs w:val="16"/>
              </w:rPr>
              <w:t>23,338,751</w:t>
            </w:r>
            <w:r>
              <w:rPr>
                <w:sz w:val="16"/>
                <w:szCs w:val="16"/>
              </w:rPr>
              <w:t xml:space="preserve"> </w:t>
            </w:r>
          </w:p>
        </w:tc>
        <w:tc>
          <w:tcPr>
            <w:tcW w:w="1181" w:type="dxa"/>
            <w:tcBorders>
              <w:top w:val="nil"/>
              <w:left w:val="nil"/>
              <w:right w:val="nil"/>
            </w:tcBorders>
            <w:shd w:val="clear" w:color="000000" w:fill="FFFFFF"/>
            <w:noWrap/>
            <w:vAlign w:val="bottom"/>
            <w:hideMark/>
          </w:tcPr>
          <w:p w:rsidR="00CE32B1" w:rsidRPr="005C6B2B" w:rsidP="004957F6" w14:paraId="33CF846F" w14:textId="77777777">
            <w:pPr>
              <w:jc w:val="right"/>
              <w:rPr>
                <w:sz w:val="16"/>
                <w:szCs w:val="16"/>
              </w:rPr>
            </w:pPr>
            <w:r>
              <w:rPr>
                <w:sz w:val="16"/>
                <w:szCs w:val="16"/>
              </w:rPr>
              <w:t xml:space="preserve"> </w:t>
            </w:r>
            <w:r w:rsidRPr="005C6B2B">
              <w:rPr>
                <w:sz w:val="16"/>
                <w:szCs w:val="16"/>
              </w:rPr>
              <w:t>9,648,793</w:t>
            </w:r>
            <w:r>
              <w:rPr>
                <w:sz w:val="16"/>
                <w:szCs w:val="16"/>
              </w:rPr>
              <w:t xml:space="preserve"> </w:t>
            </w:r>
          </w:p>
        </w:tc>
      </w:tr>
      <w:tr w14:paraId="5897640A" w14:textId="77777777" w:rsidTr="00A251F9">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B0CA5" w14:paraId="2F805BE0" w14:textId="77777777">
            <w:pPr>
              <w:ind w:left="432"/>
              <w:rPr>
                <w:sz w:val="16"/>
                <w:szCs w:val="16"/>
              </w:rPr>
            </w:pPr>
            <w:r w:rsidRPr="005C6B2B">
              <w:rPr>
                <w:sz w:val="16"/>
                <w:szCs w:val="16"/>
              </w:rPr>
              <w:t>Spending</w:t>
            </w:r>
            <w:r>
              <w:rPr>
                <w:sz w:val="16"/>
                <w:szCs w:val="16"/>
              </w:rPr>
              <w:t xml:space="preserve"> </w:t>
            </w:r>
            <w:r w:rsidRPr="005C6B2B">
              <w:rPr>
                <w:sz w:val="16"/>
                <w:szCs w:val="16"/>
              </w:rPr>
              <w:t>authority</w:t>
            </w:r>
            <w:r>
              <w:rPr>
                <w:sz w:val="16"/>
                <w:szCs w:val="16"/>
              </w:rPr>
              <w:t xml:space="preserve"> </w:t>
            </w:r>
            <w:r w:rsidRPr="005C6B2B">
              <w:rPr>
                <w:sz w:val="16"/>
                <w:szCs w:val="16"/>
              </w:rPr>
              <w:t>from</w:t>
            </w:r>
            <w:r>
              <w:rPr>
                <w:sz w:val="16"/>
                <w:szCs w:val="16"/>
              </w:rPr>
              <w:t xml:space="preserve"> </w:t>
            </w:r>
            <w:r w:rsidRPr="005C6B2B">
              <w:rPr>
                <w:sz w:val="16"/>
                <w:szCs w:val="16"/>
              </w:rPr>
              <w:t>offsetting</w:t>
            </w:r>
            <w:r>
              <w:rPr>
                <w:sz w:val="16"/>
                <w:szCs w:val="16"/>
              </w:rPr>
              <w:t xml:space="preserve"> </w:t>
            </w:r>
            <w:r w:rsidRPr="005C6B2B">
              <w:rPr>
                <w:sz w:val="16"/>
                <w:szCs w:val="16"/>
              </w:rPr>
              <w:t>collections</w:t>
            </w:r>
            <w:r>
              <w:rPr>
                <w:sz w:val="16"/>
                <w:szCs w:val="16"/>
              </w:rPr>
              <w:t xml:space="preserve"> </w:t>
            </w:r>
            <w:r w:rsidRPr="005C6B2B">
              <w:rPr>
                <w:sz w:val="16"/>
                <w:szCs w:val="16"/>
              </w:rPr>
              <w:t>(discretionary</w:t>
            </w:r>
            <w:r>
              <w:rPr>
                <w:sz w:val="16"/>
                <w:szCs w:val="16"/>
              </w:rPr>
              <w:t xml:space="preserve"> </w:t>
            </w:r>
            <w:r w:rsidRPr="005C6B2B">
              <w:rPr>
                <w:sz w:val="16"/>
                <w:szCs w:val="16"/>
              </w:rPr>
              <w:t>and</w:t>
            </w:r>
            <w:r>
              <w:rPr>
                <w:sz w:val="16"/>
                <w:szCs w:val="16"/>
              </w:rPr>
              <w:t xml:space="preserve"> </w:t>
            </w:r>
            <w:r w:rsidRPr="005C6B2B">
              <w:rPr>
                <w:sz w:val="16"/>
                <w:szCs w:val="16"/>
              </w:rPr>
              <w:t>mandatory)</w:t>
            </w:r>
          </w:p>
        </w:tc>
        <w:tc>
          <w:tcPr>
            <w:tcW w:w="1181" w:type="dxa"/>
            <w:tcBorders>
              <w:top w:val="nil"/>
              <w:left w:val="nil"/>
              <w:bottom w:val="single" w:sz="4" w:space="0" w:color="auto"/>
              <w:right w:val="nil"/>
            </w:tcBorders>
            <w:shd w:val="clear" w:color="000000" w:fill="FFFFFF"/>
            <w:noWrap/>
            <w:vAlign w:val="bottom"/>
            <w:hideMark/>
          </w:tcPr>
          <w:p w:rsidR="00CE32B1" w:rsidRPr="005C6B2B" w:rsidP="004957F6" w14:paraId="6A51798A" w14:textId="77777777">
            <w:pPr>
              <w:jc w:val="right"/>
              <w:rPr>
                <w:sz w:val="16"/>
                <w:szCs w:val="16"/>
              </w:rPr>
            </w:pPr>
            <w:r>
              <w:rPr>
                <w:sz w:val="16"/>
                <w:szCs w:val="16"/>
              </w:rPr>
              <w:t xml:space="preserve"> </w:t>
            </w:r>
            <w:r w:rsidRPr="005C6B2B">
              <w:rPr>
                <w:sz w:val="16"/>
                <w:szCs w:val="16"/>
              </w:rPr>
              <w:t>509,487</w:t>
            </w:r>
            <w:r>
              <w:rPr>
                <w:sz w:val="16"/>
                <w:szCs w:val="16"/>
              </w:rPr>
              <w:t xml:space="preserve"> </w:t>
            </w:r>
          </w:p>
        </w:tc>
        <w:tc>
          <w:tcPr>
            <w:tcW w:w="1181" w:type="dxa"/>
            <w:tcBorders>
              <w:top w:val="nil"/>
              <w:left w:val="nil"/>
              <w:bottom w:val="single" w:sz="4" w:space="0" w:color="auto"/>
              <w:right w:val="nil"/>
            </w:tcBorders>
            <w:shd w:val="clear" w:color="000000" w:fill="FFFFFF"/>
            <w:noWrap/>
            <w:vAlign w:val="bottom"/>
            <w:hideMark/>
          </w:tcPr>
          <w:p w:rsidR="00CE32B1" w:rsidRPr="005C6B2B" w:rsidP="004957F6" w14:paraId="52B082D1" w14:textId="77777777">
            <w:pPr>
              <w:jc w:val="right"/>
              <w:rPr>
                <w:sz w:val="16"/>
                <w:szCs w:val="16"/>
              </w:rPr>
            </w:pPr>
            <w:r>
              <w:rPr>
                <w:sz w:val="16"/>
                <w:szCs w:val="16"/>
              </w:rPr>
              <w:t xml:space="preserve"> </w:t>
            </w:r>
            <w:r w:rsidRPr="005C6B2B">
              <w:rPr>
                <w:sz w:val="16"/>
                <w:szCs w:val="16"/>
              </w:rPr>
              <w:t>472,421</w:t>
            </w:r>
            <w:r>
              <w:rPr>
                <w:sz w:val="16"/>
                <w:szCs w:val="16"/>
              </w:rPr>
              <w:t xml:space="preserve"> </w:t>
            </w:r>
          </w:p>
        </w:tc>
      </w:tr>
      <w:tr w14:paraId="44837346" w14:textId="77777777" w:rsidTr="00A251F9">
        <w:tblPrEx>
          <w:tblW w:w="5000" w:type="pct"/>
          <w:tblLook w:val="04A0"/>
        </w:tblPrEx>
        <w:trPr>
          <w:trHeight w:val="259"/>
        </w:trPr>
        <w:tc>
          <w:tcPr>
            <w:tcW w:w="6178" w:type="dxa"/>
            <w:tcBorders>
              <w:top w:val="nil"/>
              <w:left w:val="nil"/>
              <w:bottom w:val="nil"/>
              <w:right w:val="nil"/>
            </w:tcBorders>
            <w:shd w:val="clear" w:color="000000" w:fill="FFFFFF"/>
            <w:noWrap/>
            <w:vAlign w:val="bottom"/>
          </w:tcPr>
          <w:p w:rsidR="005D6A48" w:rsidRPr="005C6B2B" w:rsidP="007B0CA5" w14:paraId="3DCF14CC" w14:textId="0FBFF5E9">
            <w:pPr>
              <w:ind w:left="432"/>
              <w:rPr>
                <w:sz w:val="16"/>
                <w:szCs w:val="16"/>
              </w:rPr>
            </w:pPr>
            <w:r w:rsidRPr="005C6B2B">
              <w:rPr>
                <w:sz w:val="16"/>
                <w:szCs w:val="16"/>
              </w:rPr>
              <w:t>Total</w:t>
            </w:r>
            <w:r>
              <w:rPr>
                <w:sz w:val="16"/>
                <w:szCs w:val="16"/>
              </w:rPr>
              <w:t xml:space="preserve"> </w:t>
            </w:r>
            <w:r w:rsidRPr="005C6B2B">
              <w:rPr>
                <w:sz w:val="16"/>
                <w:szCs w:val="16"/>
              </w:rPr>
              <w:t>budgetary</w:t>
            </w:r>
            <w:r>
              <w:rPr>
                <w:sz w:val="16"/>
                <w:szCs w:val="16"/>
              </w:rPr>
              <w:t xml:space="preserve"> </w:t>
            </w:r>
            <w:r w:rsidRPr="005C6B2B">
              <w:rPr>
                <w:sz w:val="16"/>
                <w:szCs w:val="16"/>
              </w:rPr>
              <w:t>resources</w:t>
            </w:r>
          </w:p>
        </w:tc>
        <w:tc>
          <w:tcPr>
            <w:tcW w:w="1181" w:type="dxa"/>
            <w:tcBorders>
              <w:top w:val="single" w:sz="4" w:space="0" w:color="auto"/>
              <w:left w:val="nil"/>
              <w:bottom w:val="double" w:sz="4" w:space="0" w:color="auto"/>
              <w:right w:val="nil"/>
            </w:tcBorders>
            <w:shd w:val="clear" w:color="000000" w:fill="FFFFFF"/>
            <w:noWrap/>
            <w:vAlign w:val="bottom"/>
          </w:tcPr>
          <w:p w:rsidR="005D6A48" w:rsidP="004957F6" w14:paraId="4C5DAD7A" w14:textId="41D8C72D">
            <w:pPr>
              <w:jc w:val="right"/>
              <w:rPr>
                <w:sz w:val="16"/>
                <w:szCs w:val="16"/>
              </w:rPr>
            </w:pPr>
            <w:r w:rsidRPr="005C6B2B">
              <w:rPr>
                <w:sz w:val="16"/>
                <w:szCs w:val="16"/>
              </w:rPr>
              <w:t>$</w:t>
            </w:r>
            <w:r>
              <w:rPr>
                <w:sz w:val="16"/>
                <w:szCs w:val="16"/>
              </w:rPr>
              <w:t xml:space="preserve">   </w:t>
            </w:r>
            <w:r w:rsidRPr="005C6B2B">
              <w:rPr>
                <w:sz w:val="16"/>
                <w:szCs w:val="16"/>
              </w:rPr>
              <w:t>15,824,908</w:t>
            </w:r>
          </w:p>
        </w:tc>
        <w:tc>
          <w:tcPr>
            <w:tcW w:w="1181" w:type="dxa"/>
            <w:tcBorders>
              <w:top w:val="single" w:sz="4" w:space="0" w:color="auto"/>
              <w:left w:val="nil"/>
              <w:bottom w:val="double" w:sz="4" w:space="0" w:color="auto"/>
              <w:right w:val="nil"/>
            </w:tcBorders>
            <w:shd w:val="clear" w:color="000000" w:fill="FFFFFF"/>
            <w:noWrap/>
            <w:vAlign w:val="bottom"/>
          </w:tcPr>
          <w:p w:rsidR="005D6A48" w:rsidP="004957F6" w14:paraId="40D4F338" w14:textId="0C2CBF5E">
            <w:pPr>
              <w:jc w:val="right"/>
              <w:rPr>
                <w:sz w:val="16"/>
                <w:szCs w:val="16"/>
              </w:rPr>
            </w:pPr>
            <w:r w:rsidRPr="005C6B2B">
              <w:rPr>
                <w:sz w:val="16"/>
                <w:szCs w:val="16"/>
              </w:rPr>
              <w:t>$</w:t>
            </w:r>
            <w:r>
              <w:rPr>
                <w:sz w:val="16"/>
                <w:szCs w:val="16"/>
              </w:rPr>
              <w:t xml:space="preserve">        </w:t>
            </w:r>
            <w:r w:rsidRPr="005C6B2B">
              <w:rPr>
                <w:sz w:val="16"/>
                <w:szCs w:val="16"/>
              </w:rPr>
              <w:t>733,672</w:t>
            </w:r>
          </w:p>
        </w:tc>
      </w:tr>
      <w:tr w14:paraId="3FECE63A" w14:textId="77777777" w:rsidTr="00A947D9">
        <w:tblPrEx>
          <w:tblW w:w="5000" w:type="pct"/>
          <w:tblLook w:val="04A0"/>
        </w:tblPrEx>
        <w:trPr>
          <w:trHeight w:val="259"/>
        </w:trPr>
        <w:tc>
          <w:tcPr>
            <w:tcW w:w="6178" w:type="dxa"/>
            <w:tcBorders>
              <w:top w:val="nil"/>
              <w:left w:val="nil"/>
              <w:bottom w:val="nil"/>
              <w:right w:val="nil"/>
            </w:tcBorders>
            <w:shd w:val="clear" w:color="000000" w:fill="FFFFFF"/>
            <w:noWrap/>
            <w:vAlign w:val="bottom"/>
          </w:tcPr>
          <w:p w:rsidR="00CE32B1" w:rsidRPr="005C6B2B" w:rsidP="004957F6" w14:paraId="42E5C4D9" w14:textId="77777777">
            <w:pPr>
              <w:rPr>
                <w:sz w:val="16"/>
                <w:szCs w:val="16"/>
              </w:rPr>
            </w:pPr>
            <w:r w:rsidRPr="005C6B2B">
              <w:rPr>
                <w:b/>
                <w:bCs/>
                <w:sz w:val="16"/>
                <w:szCs w:val="16"/>
              </w:rPr>
              <w:t>Status</w:t>
            </w:r>
            <w:r>
              <w:rPr>
                <w:b/>
                <w:bCs/>
                <w:sz w:val="16"/>
                <w:szCs w:val="16"/>
              </w:rPr>
              <w:t xml:space="preserve"> </w:t>
            </w:r>
            <w:r w:rsidRPr="005C6B2B">
              <w:rPr>
                <w:b/>
                <w:bCs/>
                <w:sz w:val="16"/>
                <w:szCs w:val="16"/>
              </w:rPr>
              <w:t>of</w:t>
            </w:r>
            <w:r>
              <w:rPr>
                <w:b/>
                <w:bCs/>
                <w:sz w:val="16"/>
                <w:szCs w:val="16"/>
              </w:rPr>
              <w:t xml:space="preserve"> </w:t>
            </w:r>
            <w:r w:rsidRPr="005C6B2B">
              <w:rPr>
                <w:b/>
                <w:bCs/>
                <w:sz w:val="16"/>
                <w:szCs w:val="16"/>
              </w:rPr>
              <w:t>Budgetary</w:t>
            </w:r>
            <w:r>
              <w:rPr>
                <w:b/>
                <w:bCs/>
                <w:sz w:val="16"/>
                <w:szCs w:val="16"/>
              </w:rPr>
              <w:t xml:space="preserve"> </w:t>
            </w:r>
            <w:r w:rsidRPr="005C6B2B">
              <w:rPr>
                <w:b/>
                <w:bCs/>
                <w:sz w:val="16"/>
                <w:szCs w:val="16"/>
              </w:rPr>
              <w:t>Resources</w:t>
            </w:r>
          </w:p>
        </w:tc>
        <w:tc>
          <w:tcPr>
            <w:tcW w:w="1181" w:type="dxa"/>
            <w:tcBorders>
              <w:top w:val="double" w:sz="4" w:space="0" w:color="auto"/>
              <w:left w:val="nil"/>
              <w:bottom w:val="nil"/>
              <w:right w:val="nil"/>
            </w:tcBorders>
            <w:shd w:val="clear" w:color="000000" w:fill="FFFFFF"/>
            <w:noWrap/>
            <w:vAlign w:val="bottom"/>
          </w:tcPr>
          <w:p w:rsidR="00CE32B1" w:rsidP="004957F6" w14:paraId="03BDA449" w14:textId="77777777">
            <w:pPr>
              <w:jc w:val="right"/>
              <w:rPr>
                <w:sz w:val="16"/>
                <w:szCs w:val="16"/>
              </w:rPr>
            </w:pPr>
          </w:p>
        </w:tc>
        <w:tc>
          <w:tcPr>
            <w:tcW w:w="1181" w:type="dxa"/>
            <w:tcBorders>
              <w:top w:val="double" w:sz="4" w:space="0" w:color="auto"/>
              <w:left w:val="nil"/>
              <w:bottom w:val="nil"/>
              <w:right w:val="nil"/>
            </w:tcBorders>
            <w:shd w:val="clear" w:color="000000" w:fill="FFFFFF"/>
            <w:noWrap/>
            <w:vAlign w:val="bottom"/>
          </w:tcPr>
          <w:p w:rsidR="00CE32B1" w:rsidP="004957F6" w14:paraId="1D5423C4" w14:textId="77777777">
            <w:pPr>
              <w:jc w:val="right"/>
              <w:rPr>
                <w:sz w:val="16"/>
                <w:szCs w:val="16"/>
              </w:rPr>
            </w:pPr>
          </w:p>
        </w:tc>
      </w:tr>
      <w:tr w14:paraId="4FF03F15"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B0CA5" w14:paraId="7E49189B" w14:textId="77777777">
            <w:pPr>
              <w:ind w:left="432"/>
              <w:rPr>
                <w:sz w:val="16"/>
                <w:szCs w:val="16"/>
              </w:rPr>
            </w:pPr>
            <w:r w:rsidRPr="005C6B2B">
              <w:rPr>
                <w:sz w:val="16"/>
                <w:szCs w:val="16"/>
              </w:rPr>
              <w:t>New</w:t>
            </w:r>
            <w:r>
              <w:rPr>
                <w:sz w:val="16"/>
                <w:szCs w:val="16"/>
              </w:rPr>
              <w:t xml:space="preserve"> </w:t>
            </w:r>
            <w:r w:rsidRPr="005C6B2B">
              <w:rPr>
                <w:sz w:val="16"/>
                <w:szCs w:val="16"/>
              </w:rPr>
              <w:t>obligations</w:t>
            </w:r>
            <w:r>
              <w:rPr>
                <w:sz w:val="16"/>
                <w:szCs w:val="16"/>
              </w:rPr>
              <w:t xml:space="preserve"> </w:t>
            </w:r>
            <w:r w:rsidRPr="005C6B2B">
              <w:rPr>
                <w:sz w:val="16"/>
                <w:szCs w:val="16"/>
              </w:rPr>
              <w:t>and</w:t>
            </w:r>
            <w:r>
              <w:rPr>
                <w:sz w:val="16"/>
                <w:szCs w:val="16"/>
              </w:rPr>
              <w:t xml:space="preserve"> </w:t>
            </w:r>
            <w:r w:rsidRPr="005C6B2B">
              <w:rPr>
                <w:sz w:val="16"/>
                <w:szCs w:val="16"/>
              </w:rPr>
              <w:t>upward</w:t>
            </w:r>
            <w:r>
              <w:rPr>
                <w:sz w:val="16"/>
                <w:szCs w:val="16"/>
              </w:rPr>
              <w:t xml:space="preserve"> </w:t>
            </w:r>
            <w:r w:rsidRPr="005C6B2B">
              <w:rPr>
                <w:sz w:val="16"/>
                <w:szCs w:val="16"/>
              </w:rPr>
              <w:t>adjustments</w:t>
            </w:r>
            <w:r>
              <w:rPr>
                <w:sz w:val="16"/>
                <w:szCs w:val="16"/>
              </w:rPr>
              <w:t xml:space="preserve"> </w:t>
            </w:r>
            <w:r w:rsidRPr="005C6B2B">
              <w:rPr>
                <w:sz w:val="16"/>
                <w:szCs w:val="16"/>
              </w:rPr>
              <w:t>(total)</w:t>
            </w:r>
            <w:r>
              <w:rPr>
                <w:sz w:val="16"/>
                <w:szCs w:val="16"/>
              </w:rPr>
              <w:t xml:space="preserve"> </w:t>
            </w:r>
          </w:p>
        </w:tc>
        <w:tc>
          <w:tcPr>
            <w:tcW w:w="1181" w:type="dxa"/>
            <w:tcBorders>
              <w:top w:val="nil"/>
              <w:left w:val="nil"/>
              <w:bottom w:val="nil"/>
              <w:right w:val="nil"/>
            </w:tcBorders>
            <w:shd w:val="clear" w:color="000000" w:fill="FFFFFF"/>
            <w:noWrap/>
            <w:vAlign w:val="bottom"/>
            <w:hideMark/>
          </w:tcPr>
          <w:p w:rsidR="00CE32B1" w:rsidRPr="005C6B2B" w:rsidP="004957F6" w14:paraId="5541F4D5" w14:textId="69B6136E">
            <w:pPr>
              <w:jc w:val="right"/>
              <w:rPr>
                <w:sz w:val="16"/>
                <w:szCs w:val="16"/>
              </w:rPr>
            </w:pPr>
            <w:r w:rsidRPr="005C6B2B">
              <w:rPr>
                <w:sz w:val="16"/>
                <w:szCs w:val="16"/>
              </w:rPr>
              <w:t>$</w:t>
            </w:r>
            <w:r>
              <w:rPr>
                <w:sz w:val="16"/>
                <w:szCs w:val="16"/>
              </w:rPr>
              <w:t xml:space="preserve">   </w:t>
            </w:r>
            <w:r w:rsidRPr="005C6B2B">
              <w:rPr>
                <w:sz w:val="16"/>
                <w:szCs w:val="16"/>
              </w:rPr>
              <w:t>13,209,824</w:t>
            </w:r>
            <w:r>
              <w:rPr>
                <w:sz w:val="16"/>
                <w:szCs w:val="16"/>
              </w:rPr>
              <w:t xml:space="preserve"> </w:t>
            </w:r>
          </w:p>
        </w:tc>
        <w:tc>
          <w:tcPr>
            <w:tcW w:w="1181" w:type="dxa"/>
            <w:tcBorders>
              <w:top w:val="nil"/>
              <w:left w:val="nil"/>
              <w:bottom w:val="nil"/>
              <w:right w:val="nil"/>
            </w:tcBorders>
            <w:shd w:val="clear" w:color="000000" w:fill="FFFFFF"/>
            <w:noWrap/>
            <w:vAlign w:val="bottom"/>
            <w:hideMark/>
          </w:tcPr>
          <w:p w:rsidR="00CE32B1" w:rsidRPr="005C6B2B" w:rsidP="004957F6" w14:paraId="5E5A7967" w14:textId="582BEB61">
            <w:pPr>
              <w:jc w:val="right"/>
              <w:rPr>
                <w:sz w:val="16"/>
                <w:szCs w:val="16"/>
              </w:rPr>
            </w:pPr>
            <w:r w:rsidRPr="005C6B2B">
              <w:rPr>
                <w:sz w:val="16"/>
                <w:szCs w:val="16"/>
              </w:rPr>
              <w:t>$</w:t>
            </w:r>
            <w:r>
              <w:rPr>
                <w:sz w:val="16"/>
                <w:szCs w:val="16"/>
              </w:rPr>
              <w:t xml:space="preserve">     </w:t>
            </w:r>
            <w:r w:rsidRPr="005C6B2B">
              <w:rPr>
                <w:sz w:val="16"/>
                <w:szCs w:val="16"/>
              </w:rPr>
              <w:t>9,316,143</w:t>
            </w:r>
            <w:r>
              <w:rPr>
                <w:sz w:val="16"/>
                <w:szCs w:val="16"/>
              </w:rPr>
              <w:t xml:space="preserve"> </w:t>
            </w:r>
          </w:p>
        </w:tc>
      </w:tr>
      <w:tr w14:paraId="6EACF1B6"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B0CA5" w14:paraId="4EB0DA3A" w14:textId="77777777">
            <w:pPr>
              <w:ind w:left="432"/>
              <w:rPr>
                <w:sz w:val="16"/>
                <w:szCs w:val="16"/>
              </w:rPr>
            </w:pPr>
            <w:r w:rsidRPr="005C6B2B">
              <w:rPr>
                <w:sz w:val="16"/>
                <w:szCs w:val="16"/>
              </w:rPr>
              <w:t>Unobligated</w:t>
            </w:r>
            <w:r>
              <w:rPr>
                <w:sz w:val="16"/>
                <w:szCs w:val="16"/>
              </w:rPr>
              <w:t xml:space="preserve"> </w:t>
            </w:r>
            <w:r w:rsidRPr="005C6B2B">
              <w:rPr>
                <w:sz w:val="16"/>
                <w:szCs w:val="16"/>
              </w:rPr>
              <w:t>balance,</w:t>
            </w:r>
            <w:r>
              <w:rPr>
                <w:sz w:val="16"/>
                <w:szCs w:val="16"/>
              </w:rPr>
              <w:t xml:space="preserve"> </w:t>
            </w:r>
            <w:r w:rsidRPr="005C6B2B">
              <w:rPr>
                <w:sz w:val="16"/>
                <w:szCs w:val="16"/>
              </w:rPr>
              <w:t>end</w:t>
            </w:r>
            <w:r>
              <w:rPr>
                <w:sz w:val="16"/>
                <w:szCs w:val="16"/>
              </w:rPr>
              <w:t xml:space="preserve"> </w:t>
            </w:r>
            <w:r w:rsidRPr="005C6B2B">
              <w:rPr>
                <w:sz w:val="16"/>
                <w:szCs w:val="16"/>
              </w:rPr>
              <w:t>of</w:t>
            </w:r>
            <w:r>
              <w:rPr>
                <w:sz w:val="16"/>
                <w:szCs w:val="16"/>
              </w:rPr>
              <w:t xml:space="preserve"> </w:t>
            </w:r>
            <w:r w:rsidRPr="005C6B2B">
              <w:rPr>
                <w:sz w:val="16"/>
                <w:szCs w:val="16"/>
              </w:rPr>
              <w:t>year</w:t>
            </w:r>
          </w:p>
        </w:tc>
        <w:tc>
          <w:tcPr>
            <w:tcW w:w="1181" w:type="dxa"/>
            <w:tcBorders>
              <w:top w:val="nil"/>
              <w:left w:val="nil"/>
              <w:bottom w:val="nil"/>
              <w:right w:val="nil"/>
            </w:tcBorders>
            <w:shd w:val="clear" w:color="000000" w:fill="FFFFFF"/>
            <w:noWrap/>
            <w:vAlign w:val="bottom"/>
            <w:hideMark/>
          </w:tcPr>
          <w:p w:rsidR="00CE32B1" w:rsidRPr="005C6B2B" w:rsidP="004957F6" w14:paraId="71B0B57D" w14:textId="77777777">
            <w:pPr>
              <w:jc w:val="right"/>
              <w:rPr>
                <w:sz w:val="16"/>
                <w:szCs w:val="16"/>
              </w:rPr>
            </w:pPr>
            <w:r>
              <w:rPr>
                <w:sz w:val="16"/>
                <w:szCs w:val="16"/>
              </w:rPr>
              <w:t xml:space="preserve"> </w:t>
            </w:r>
          </w:p>
        </w:tc>
        <w:tc>
          <w:tcPr>
            <w:tcW w:w="1181" w:type="dxa"/>
            <w:tcBorders>
              <w:top w:val="nil"/>
              <w:left w:val="nil"/>
              <w:bottom w:val="nil"/>
              <w:right w:val="nil"/>
            </w:tcBorders>
            <w:shd w:val="clear" w:color="000000" w:fill="FFFFFF"/>
            <w:noWrap/>
            <w:vAlign w:val="bottom"/>
            <w:hideMark/>
          </w:tcPr>
          <w:p w:rsidR="00CE32B1" w:rsidRPr="005C6B2B" w:rsidP="004957F6" w14:paraId="232F751F" w14:textId="77777777">
            <w:pPr>
              <w:jc w:val="right"/>
              <w:rPr>
                <w:sz w:val="16"/>
                <w:szCs w:val="16"/>
              </w:rPr>
            </w:pPr>
            <w:r>
              <w:rPr>
                <w:sz w:val="16"/>
                <w:szCs w:val="16"/>
              </w:rPr>
              <w:t xml:space="preserve"> </w:t>
            </w:r>
          </w:p>
        </w:tc>
      </w:tr>
      <w:tr w14:paraId="7ACA06BA"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B0CA5" w14:paraId="7BC1CFF2" w14:textId="77777777">
            <w:pPr>
              <w:ind w:left="432" w:firstLine="320" w:firstLineChars="200"/>
              <w:rPr>
                <w:sz w:val="16"/>
                <w:szCs w:val="16"/>
              </w:rPr>
            </w:pPr>
            <w:r w:rsidRPr="005C6B2B">
              <w:rPr>
                <w:sz w:val="16"/>
                <w:szCs w:val="16"/>
              </w:rPr>
              <w:t>Apportioned,</w:t>
            </w:r>
            <w:r>
              <w:rPr>
                <w:sz w:val="16"/>
                <w:szCs w:val="16"/>
              </w:rPr>
              <w:t xml:space="preserve"> </w:t>
            </w:r>
            <w:r w:rsidRPr="005C6B2B">
              <w:rPr>
                <w:sz w:val="16"/>
                <w:szCs w:val="16"/>
              </w:rPr>
              <w:t>unexpired</w:t>
            </w:r>
            <w:r>
              <w:rPr>
                <w:sz w:val="16"/>
                <w:szCs w:val="16"/>
              </w:rPr>
              <w:t xml:space="preserve"> </w:t>
            </w:r>
            <w:r w:rsidRPr="005C6B2B">
              <w:rPr>
                <w:sz w:val="16"/>
                <w:szCs w:val="16"/>
              </w:rPr>
              <w:t>accounts</w:t>
            </w:r>
          </w:p>
        </w:tc>
        <w:tc>
          <w:tcPr>
            <w:tcW w:w="1181" w:type="dxa"/>
            <w:tcBorders>
              <w:top w:val="nil"/>
              <w:left w:val="nil"/>
              <w:bottom w:val="nil"/>
              <w:right w:val="nil"/>
            </w:tcBorders>
            <w:shd w:val="clear" w:color="000000" w:fill="FFFFFF"/>
            <w:noWrap/>
            <w:vAlign w:val="bottom"/>
            <w:hideMark/>
          </w:tcPr>
          <w:p w:rsidR="00CE32B1" w:rsidRPr="005C6B2B" w:rsidP="004957F6" w14:paraId="5553686E" w14:textId="2DD38603">
            <w:pPr>
              <w:jc w:val="right"/>
              <w:rPr>
                <w:sz w:val="16"/>
                <w:szCs w:val="16"/>
              </w:rPr>
            </w:pPr>
            <w:r w:rsidRPr="005C6B2B">
              <w:rPr>
                <w:sz w:val="16"/>
                <w:szCs w:val="16"/>
              </w:rPr>
              <w:t>11,485,161</w:t>
            </w:r>
            <w:r>
              <w:rPr>
                <w:sz w:val="16"/>
                <w:szCs w:val="16"/>
              </w:rPr>
              <w:t xml:space="preserve"> </w:t>
            </w:r>
          </w:p>
        </w:tc>
        <w:tc>
          <w:tcPr>
            <w:tcW w:w="1181" w:type="dxa"/>
            <w:tcBorders>
              <w:top w:val="nil"/>
              <w:left w:val="nil"/>
              <w:bottom w:val="nil"/>
              <w:right w:val="nil"/>
            </w:tcBorders>
            <w:shd w:val="clear" w:color="000000" w:fill="FFFFFF"/>
            <w:noWrap/>
            <w:vAlign w:val="bottom"/>
            <w:hideMark/>
          </w:tcPr>
          <w:p w:rsidR="00CE32B1" w:rsidRPr="005C6B2B" w:rsidP="004957F6" w14:paraId="7BDA24FD" w14:textId="50CCFD45">
            <w:pPr>
              <w:jc w:val="right"/>
              <w:rPr>
                <w:sz w:val="16"/>
                <w:szCs w:val="16"/>
              </w:rPr>
            </w:pPr>
            <w:r w:rsidRPr="005C6B2B">
              <w:rPr>
                <w:sz w:val="16"/>
                <w:szCs w:val="16"/>
              </w:rPr>
              <w:t>1,114,240</w:t>
            </w:r>
            <w:r>
              <w:rPr>
                <w:sz w:val="16"/>
                <w:szCs w:val="16"/>
              </w:rPr>
              <w:t xml:space="preserve"> </w:t>
            </w:r>
          </w:p>
        </w:tc>
      </w:tr>
      <w:tr w14:paraId="1DBA391B"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B0CA5" w14:paraId="3371017C" w14:textId="77777777">
            <w:pPr>
              <w:ind w:left="432" w:firstLine="320" w:firstLineChars="200"/>
              <w:rPr>
                <w:sz w:val="16"/>
                <w:szCs w:val="16"/>
              </w:rPr>
            </w:pPr>
            <w:r w:rsidRPr="005C6B2B">
              <w:rPr>
                <w:sz w:val="16"/>
                <w:szCs w:val="16"/>
              </w:rPr>
              <w:t>Exempt</w:t>
            </w:r>
            <w:r>
              <w:rPr>
                <w:sz w:val="16"/>
                <w:szCs w:val="16"/>
              </w:rPr>
              <w:t xml:space="preserve"> </w:t>
            </w:r>
            <w:r w:rsidRPr="005C6B2B">
              <w:rPr>
                <w:sz w:val="16"/>
                <w:szCs w:val="16"/>
              </w:rPr>
              <w:t>from</w:t>
            </w:r>
            <w:r>
              <w:rPr>
                <w:sz w:val="16"/>
                <w:szCs w:val="16"/>
              </w:rPr>
              <w:t xml:space="preserve"> </w:t>
            </w:r>
            <w:r w:rsidRPr="005C6B2B">
              <w:rPr>
                <w:sz w:val="16"/>
                <w:szCs w:val="16"/>
              </w:rPr>
              <w:t>apportionment,</w:t>
            </w:r>
            <w:r>
              <w:rPr>
                <w:sz w:val="16"/>
                <w:szCs w:val="16"/>
              </w:rPr>
              <w:t xml:space="preserve"> </w:t>
            </w:r>
            <w:r w:rsidRPr="005C6B2B">
              <w:rPr>
                <w:sz w:val="16"/>
                <w:szCs w:val="16"/>
              </w:rPr>
              <w:t>unexpired</w:t>
            </w:r>
            <w:r>
              <w:rPr>
                <w:sz w:val="16"/>
                <w:szCs w:val="16"/>
              </w:rPr>
              <w:t xml:space="preserve"> </w:t>
            </w:r>
            <w:r w:rsidRPr="005C6B2B">
              <w:rPr>
                <w:sz w:val="16"/>
                <w:szCs w:val="16"/>
              </w:rPr>
              <w:t>accounts</w:t>
            </w:r>
            <w:r>
              <w:rPr>
                <w:sz w:val="16"/>
                <w:szCs w:val="16"/>
              </w:rPr>
              <w:t xml:space="preserve"> </w:t>
            </w:r>
          </w:p>
        </w:tc>
        <w:tc>
          <w:tcPr>
            <w:tcW w:w="1181" w:type="dxa"/>
            <w:tcBorders>
              <w:top w:val="nil"/>
              <w:left w:val="nil"/>
              <w:bottom w:val="nil"/>
              <w:right w:val="nil"/>
            </w:tcBorders>
            <w:shd w:val="clear" w:color="000000" w:fill="FFFFFF"/>
            <w:noWrap/>
            <w:vAlign w:val="bottom"/>
            <w:hideMark/>
          </w:tcPr>
          <w:p w:rsidR="00CE32B1" w:rsidRPr="005C6B2B" w:rsidP="004957F6" w14:paraId="1152CBE4" w14:textId="2525950B">
            <w:pPr>
              <w:jc w:val="right"/>
              <w:rPr>
                <w:sz w:val="16"/>
                <w:szCs w:val="16"/>
              </w:rPr>
            </w:pPr>
            <w:r w:rsidRPr="005C6B2B">
              <w:rPr>
                <w:sz w:val="16"/>
                <w:szCs w:val="16"/>
              </w:rPr>
              <w:t>(8,870,348)</w:t>
            </w:r>
          </w:p>
        </w:tc>
        <w:tc>
          <w:tcPr>
            <w:tcW w:w="1181" w:type="dxa"/>
            <w:tcBorders>
              <w:top w:val="nil"/>
              <w:left w:val="nil"/>
              <w:bottom w:val="nil"/>
              <w:right w:val="nil"/>
            </w:tcBorders>
            <w:shd w:val="clear" w:color="000000" w:fill="FFFFFF"/>
            <w:noWrap/>
            <w:vAlign w:val="bottom"/>
            <w:hideMark/>
          </w:tcPr>
          <w:p w:rsidR="00CE32B1" w:rsidRPr="005C6B2B" w:rsidP="004957F6" w14:paraId="30649523" w14:textId="631D2272">
            <w:pPr>
              <w:jc w:val="right"/>
              <w:rPr>
                <w:sz w:val="16"/>
                <w:szCs w:val="16"/>
              </w:rPr>
            </w:pPr>
            <w:r w:rsidRPr="005C6B2B">
              <w:rPr>
                <w:sz w:val="16"/>
                <w:szCs w:val="16"/>
              </w:rPr>
              <w:t>(9,715,020)</w:t>
            </w:r>
          </w:p>
        </w:tc>
      </w:tr>
      <w:tr w14:paraId="73806169"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B0CA5" w14:paraId="0C2D8F0A" w14:textId="77777777">
            <w:pPr>
              <w:ind w:left="432" w:firstLine="320" w:firstLineChars="200"/>
              <w:rPr>
                <w:sz w:val="16"/>
                <w:szCs w:val="16"/>
              </w:rPr>
            </w:pPr>
            <w:r w:rsidRPr="005C6B2B">
              <w:rPr>
                <w:sz w:val="16"/>
                <w:szCs w:val="16"/>
              </w:rPr>
              <w:t>Unapportioned</w:t>
            </w:r>
            <w:r w:rsidRPr="005C6B2B">
              <w:rPr>
                <w:sz w:val="16"/>
                <w:szCs w:val="16"/>
              </w:rPr>
              <w:t>,</w:t>
            </w:r>
            <w:r>
              <w:rPr>
                <w:sz w:val="16"/>
                <w:szCs w:val="16"/>
              </w:rPr>
              <w:t xml:space="preserve"> </w:t>
            </w:r>
            <w:r w:rsidRPr="005C6B2B">
              <w:rPr>
                <w:sz w:val="16"/>
                <w:szCs w:val="16"/>
              </w:rPr>
              <w:t>unexpired</w:t>
            </w:r>
            <w:r>
              <w:rPr>
                <w:sz w:val="16"/>
                <w:szCs w:val="16"/>
              </w:rPr>
              <w:t xml:space="preserve"> </w:t>
            </w:r>
            <w:r w:rsidRPr="005C6B2B">
              <w:rPr>
                <w:sz w:val="16"/>
                <w:szCs w:val="16"/>
              </w:rPr>
              <w:t>account</w:t>
            </w:r>
          </w:p>
        </w:tc>
        <w:tc>
          <w:tcPr>
            <w:tcW w:w="1181" w:type="dxa"/>
            <w:tcBorders>
              <w:top w:val="nil"/>
              <w:left w:val="nil"/>
              <w:bottom w:val="single" w:sz="4" w:space="0" w:color="auto"/>
              <w:right w:val="nil"/>
            </w:tcBorders>
            <w:shd w:val="clear" w:color="000000" w:fill="FFFFFF"/>
            <w:noWrap/>
            <w:vAlign w:val="bottom"/>
            <w:hideMark/>
          </w:tcPr>
          <w:p w:rsidR="00CE32B1" w:rsidRPr="005C6B2B" w:rsidP="004957F6" w14:paraId="4AD51806" w14:textId="77777777">
            <w:pPr>
              <w:jc w:val="right"/>
              <w:rPr>
                <w:sz w:val="16"/>
                <w:szCs w:val="16"/>
              </w:rPr>
            </w:pPr>
            <w:r>
              <w:rPr>
                <w:sz w:val="16"/>
                <w:szCs w:val="16"/>
              </w:rPr>
              <w:t xml:space="preserve"> </w:t>
            </w:r>
            <w:r w:rsidRPr="005C6B2B">
              <w:rPr>
                <w:sz w:val="16"/>
                <w:szCs w:val="16"/>
              </w:rPr>
              <w:t>34</w:t>
            </w:r>
            <w:r>
              <w:rPr>
                <w:sz w:val="16"/>
                <w:szCs w:val="16"/>
              </w:rPr>
              <w:t xml:space="preserve"> </w:t>
            </w:r>
          </w:p>
        </w:tc>
        <w:tc>
          <w:tcPr>
            <w:tcW w:w="1181" w:type="dxa"/>
            <w:tcBorders>
              <w:top w:val="nil"/>
              <w:left w:val="nil"/>
              <w:bottom w:val="single" w:sz="4" w:space="0" w:color="auto"/>
              <w:right w:val="nil"/>
            </w:tcBorders>
            <w:shd w:val="clear" w:color="000000" w:fill="FFFFFF"/>
            <w:noWrap/>
            <w:vAlign w:val="bottom"/>
            <w:hideMark/>
          </w:tcPr>
          <w:p w:rsidR="00CE32B1" w:rsidRPr="005C6B2B" w:rsidP="004957F6" w14:paraId="6C076A28" w14:textId="6FBF5C35">
            <w:pPr>
              <w:jc w:val="right"/>
              <w:rPr>
                <w:sz w:val="16"/>
                <w:szCs w:val="16"/>
              </w:rPr>
            </w:pPr>
            <w:r w:rsidRPr="005C6B2B">
              <w:rPr>
                <w:sz w:val="16"/>
                <w:szCs w:val="16"/>
              </w:rPr>
              <w:t>18,105</w:t>
            </w:r>
            <w:r>
              <w:rPr>
                <w:sz w:val="16"/>
                <w:szCs w:val="16"/>
              </w:rPr>
              <w:t xml:space="preserve"> </w:t>
            </w:r>
          </w:p>
        </w:tc>
      </w:tr>
      <w:tr w14:paraId="547C1E09"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B0CA5" w14:paraId="1F25F41B" w14:textId="77777777">
            <w:pPr>
              <w:ind w:left="432" w:firstLine="320" w:firstLineChars="200"/>
              <w:rPr>
                <w:sz w:val="16"/>
                <w:szCs w:val="16"/>
              </w:rPr>
            </w:pPr>
            <w:r w:rsidRPr="005C6B2B">
              <w:rPr>
                <w:sz w:val="16"/>
                <w:szCs w:val="16"/>
              </w:rPr>
              <w:t>Unexpired</w:t>
            </w:r>
            <w:r>
              <w:rPr>
                <w:sz w:val="16"/>
                <w:szCs w:val="16"/>
              </w:rPr>
              <w:t xml:space="preserve"> </w:t>
            </w:r>
            <w:r w:rsidRPr="005C6B2B">
              <w:rPr>
                <w:sz w:val="16"/>
                <w:szCs w:val="16"/>
              </w:rPr>
              <w:t>unobligated</w:t>
            </w:r>
            <w:r>
              <w:rPr>
                <w:sz w:val="16"/>
                <w:szCs w:val="16"/>
              </w:rPr>
              <w:t xml:space="preserve"> </w:t>
            </w:r>
            <w:r w:rsidRPr="005C6B2B">
              <w:rPr>
                <w:sz w:val="16"/>
                <w:szCs w:val="16"/>
              </w:rPr>
              <w:t>balance,</w:t>
            </w:r>
            <w:r>
              <w:rPr>
                <w:sz w:val="16"/>
                <w:szCs w:val="16"/>
              </w:rPr>
              <w:t xml:space="preserve"> </w:t>
            </w:r>
            <w:r w:rsidRPr="005C6B2B">
              <w:rPr>
                <w:sz w:val="16"/>
                <w:szCs w:val="16"/>
              </w:rPr>
              <w:t>end</w:t>
            </w:r>
            <w:r>
              <w:rPr>
                <w:sz w:val="16"/>
                <w:szCs w:val="16"/>
              </w:rPr>
              <w:t xml:space="preserve"> </w:t>
            </w:r>
            <w:r w:rsidRPr="005C6B2B">
              <w:rPr>
                <w:sz w:val="16"/>
                <w:szCs w:val="16"/>
              </w:rPr>
              <w:t>of</w:t>
            </w:r>
            <w:r>
              <w:rPr>
                <w:sz w:val="16"/>
                <w:szCs w:val="16"/>
              </w:rPr>
              <w:t xml:space="preserve"> </w:t>
            </w:r>
            <w:r w:rsidRPr="005C6B2B">
              <w:rPr>
                <w:sz w:val="16"/>
                <w:szCs w:val="16"/>
              </w:rPr>
              <w:t>year</w:t>
            </w:r>
          </w:p>
        </w:tc>
        <w:tc>
          <w:tcPr>
            <w:tcW w:w="1181" w:type="dxa"/>
            <w:tcBorders>
              <w:top w:val="nil"/>
              <w:left w:val="nil"/>
              <w:bottom w:val="nil"/>
              <w:right w:val="nil"/>
            </w:tcBorders>
            <w:shd w:val="clear" w:color="auto" w:fill="auto"/>
            <w:noWrap/>
            <w:vAlign w:val="bottom"/>
            <w:hideMark/>
          </w:tcPr>
          <w:p w:rsidR="00CE32B1" w:rsidRPr="005C6B2B" w:rsidP="004957F6" w14:paraId="0E126623" w14:textId="342FB453">
            <w:pPr>
              <w:jc w:val="right"/>
              <w:rPr>
                <w:sz w:val="16"/>
                <w:szCs w:val="16"/>
              </w:rPr>
            </w:pPr>
            <w:r w:rsidRPr="005C6B2B">
              <w:rPr>
                <w:sz w:val="16"/>
                <w:szCs w:val="16"/>
              </w:rPr>
              <w:t>2,614,847</w:t>
            </w:r>
            <w:r>
              <w:rPr>
                <w:sz w:val="16"/>
                <w:szCs w:val="16"/>
              </w:rPr>
              <w:t xml:space="preserve"> </w:t>
            </w:r>
          </w:p>
        </w:tc>
        <w:tc>
          <w:tcPr>
            <w:tcW w:w="1181" w:type="dxa"/>
            <w:tcBorders>
              <w:top w:val="nil"/>
              <w:left w:val="nil"/>
              <w:bottom w:val="nil"/>
              <w:right w:val="nil"/>
            </w:tcBorders>
            <w:shd w:val="clear" w:color="auto" w:fill="auto"/>
            <w:noWrap/>
            <w:vAlign w:val="bottom"/>
            <w:hideMark/>
          </w:tcPr>
          <w:p w:rsidR="00CE32B1" w:rsidRPr="005C6B2B" w:rsidP="004957F6" w14:paraId="72E4F446" w14:textId="1B415391">
            <w:pPr>
              <w:jc w:val="right"/>
              <w:rPr>
                <w:sz w:val="16"/>
                <w:szCs w:val="16"/>
              </w:rPr>
            </w:pPr>
            <w:r w:rsidRPr="005C6B2B">
              <w:rPr>
                <w:sz w:val="16"/>
                <w:szCs w:val="16"/>
              </w:rPr>
              <w:t>(8,582,675)</w:t>
            </w:r>
          </w:p>
        </w:tc>
      </w:tr>
      <w:tr w14:paraId="0597E073"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B0CA5" w14:paraId="38991BCF" w14:textId="77777777">
            <w:pPr>
              <w:ind w:left="432" w:firstLine="320" w:firstLineChars="200"/>
              <w:rPr>
                <w:sz w:val="16"/>
                <w:szCs w:val="16"/>
              </w:rPr>
            </w:pPr>
            <w:r w:rsidRPr="005C6B2B">
              <w:rPr>
                <w:sz w:val="16"/>
                <w:szCs w:val="16"/>
              </w:rPr>
              <w:t>Expired</w:t>
            </w:r>
            <w:r>
              <w:rPr>
                <w:sz w:val="16"/>
                <w:szCs w:val="16"/>
              </w:rPr>
              <w:t xml:space="preserve"> </w:t>
            </w:r>
            <w:r w:rsidRPr="005C6B2B">
              <w:rPr>
                <w:sz w:val="16"/>
                <w:szCs w:val="16"/>
              </w:rPr>
              <w:t>unobligated</w:t>
            </w:r>
            <w:r>
              <w:rPr>
                <w:sz w:val="16"/>
                <w:szCs w:val="16"/>
              </w:rPr>
              <w:t xml:space="preserve"> </w:t>
            </w:r>
            <w:r w:rsidRPr="005C6B2B">
              <w:rPr>
                <w:sz w:val="16"/>
                <w:szCs w:val="16"/>
              </w:rPr>
              <w:t>balance,</w:t>
            </w:r>
            <w:r>
              <w:rPr>
                <w:sz w:val="16"/>
                <w:szCs w:val="16"/>
              </w:rPr>
              <w:t xml:space="preserve"> </w:t>
            </w:r>
            <w:r w:rsidRPr="005C6B2B">
              <w:rPr>
                <w:sz w:val="16"/>
                <w:szCs w:val="16"/>
              </w:rPr>
              <w:t>end</w:t>
            </w:r>
            <w:r>
              <w:rPr>
                <w:sz w:val="16"/>
                <w:szCs w:val="16"/>
              </w:rPr>
              <w:t xml:space="preserve"> </w:t>
            </w:r>
            <w:r w:rsidRPr="005C6B2B">
              <w:rPr>
                <w:sz w:val="16"/>
                <w:szCs w:val="16"/>
              </w:rPr>
              <w:t>of</w:t>
            </w:r>
            <w:r>
              <w:rPr>
                <w:sz w:val="16"/>
                <w:szCs w:val="16"/>
              </w:rPr>
              <w:t xml:space="preserve"> </w:t>
            </w:r>
            <w:r w:rsidRPr="005C6B2B">
              <w:rPr>
                <w:sz w:val="16"/>
                <w:szCs w:val="16"/>
              </w:rPr>
              <w:t>year</w:t>
            </w:r>
          </w:p>
        </w:tc>
        <w:tc>
          <w:tcPr>
            <w:tcW w:w="1181" w:type="dxa"/>
            <w:tcBorders>
              <w:top w:val="nil"/>
              <w:left w:val="nil"/>
              <w:bottom w:val="nil"/>
              <w:right w:val="nil"/>
            </w:tcBorders>
            <w:shd w:val="clear" w:color="000000" w:fill="FFFFFF"/>
            <w:noWrap/>
            <w:vAlign w:val="bottom"/>
            <w:hideMark/>
          </w:tcPr>
          <w:p w:rsidR="00CE32B1" w:rsidRPr="005C6B2B" w:rsidP="004957F6" w14:paraId="64CC9430" w14:textId="77777777">
            <w:pPr>
              <w:jc w:val="right"/>
              <w:rPr>
                <w:sz w:val="16"/>
                <w:szCs w:val="16"/>
              </w:rPr>
            </w:pPr>
            <w:r>
              <w:rPr>
                <w:sz w:val="16"/>
                <w:szCs w:val="16"/>
              </w:rPr>
              <w:t xml:space="preserve"> </w:t>
            </w:r>
            <w:r w:rsidRPr="005C6B2B">
              <w:rPr>
                <w:sz w:val="16"/>
                <w:szCs w:val="16"/>
              </w:rPr>
              <w:t>237</w:t>
            </w:r>
            <w:r>
              <w:rPr>
                <w:sz w:val="16"/>
                <w:szCs w:val="16"/>
              </w:rPr>
              <w:t xml:space="preserve"> </w:t>
            </w:r>
          </w:p>
        </w:tc>
        <w:tc>
          <w:tcPr>
            <w:tcW w:w="1181" w:type="dxa"/>
            <w:tcBorders>
              <w:top w:val="nil"/>
              <w:left w:val="nil"/>
              <w:bottom w:val="nil"/>
              <w:right w:val="nil"/>
            </w:tcBorders>
            <w:shd w:val="clear" w:color="000000" w:fill="FFFFFF"/>
            <w:noWrap/>
            <w:vAlign w:val="bottom"/>
            <w:hideMark/>
          </w:tcPr>
          <w:p w:rsidR="00CE32B1" w:rsidRPr="005C6B2B" w:rsidP="004957F6" w14:paraId="175DD3ED" w14:textId="77777777">
            <w:pPr>
              <w:jc w:val="right"/>
              <w:rPr>
                <w:sz w:val="16"/>
                <w:szCs w:val="16"/>
              </w:rPr>
            </w:pPr>
            <w:r>
              <w:rPr>
                <w:sz w:val="16"/>
                <w:szCs w:val="16"/>
              </w:rPr>
              <w:t xml:space="preserve"> </w:t>
            </w:r>
            <w:r w:rsidRPr="005C6B2B">
              <w:rPr>
                <w:sz w:val="16"/>
                <w:szCs w:val="16"/>
              </w:rPr>
              <w:t>204</w:t>
            </w:r>
            <w:r>
              <w:rPr>
                <w:sz w:val="16"/>
                <w:szCs w:val="16"/>
              </w:rPr>
              <w:t xml:space="preserve"> </w:t>
            </w:r>
          </w:p>
        </w:tc>
      </w:tr>
      <w:tr w14:paraId="557331EF"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B0CA5" w14:paraId="2E8A5BD8" w14:textId="77777777">
            <w:pPr>
              <w:ind w:left="432"/>
              <w:rPr>
                <w:sz w:val="16"/>
                <w:szCs w:val="16"/>
              </w:rPr>
            </w:pPr>
            <w:r w:rsidRPr="005C6B2B">
              <w:rPr>
                <w:sz w:val="16"/>
                <w:szCs w:val="16"/>
              </w:rPr>
              <w:t>Unobligated</w:t>
            </w:r>
            <w:r>
              <w:rPr>
                <w:sz w:val="16"/>
                <w:szCs w:val="16"/>
              </w:rPr>
              <w:t xml:space="preserve"> </w:t>
            </w:r>
            <w:r w:rsidRPr="005C6B2B">
              <w:rPr>
                <w:sz w:val="16"/>
                <w:szCs w:val="16"/>
              </w:rPr>
              <w:t>balance,</w:t>
            </w:r>
            <w:r>
              <w:rPr>
                <w:sz w:val="16"/>
                <w:szCs w:val="16"/>
              </w:rPr>
              <w:t xml:space="preserve"> </w:t>
            </w:r>
            <w:r w:rsidRPr="005C6B2B">
              <w:rPr>
                <w:sz w:val="16"/>
                <w:szCs w:val="16"/>
              </w:rPr>
              <w:t>end</w:t>
            </w:r>
            <w:r>
              <w:rPr>
                <w:sz w:val="16"/>
                <w:szCs w:val="16"/>
              </w:rPr>
              <w:t xml:space="preserve"> </w:t>
            </w:r>
            <w:r w:rsidRPr="005C6B2B">
              <w:rPr>
                <w:sz w:val="16"/>
                <w:szCs w:val="16"/>
              </w:rPr>
              <w:t>of</w:t>
            </w:r>
            <w:r>
              <w:rPr>
                <w:sz w:val="16"/>
                <w:szCs w:val="16"/>
              </w:rPr>
              <w:t xml:space="preserve"> </w:t>
            </w:r>
            <w:r w:rsidRPr="005C6B2B">
              <w:rPr>
                <w:sz w:val="16"/>
                <w:szCs w:val="16"/>
              </w:rPr>
              <w:t>year</w:t>
            </w:r>
            <w:r>
              <w:rPr>
                <w:sz w:val="16"/>
                <w:szCs w:val="16"/>
              </w:rPr>
              <w:t xml:space="preserve"> </w:t>
            </w:r>
            <w:r w:rsidRPr="005C6B2B">
              <w:rPr>
                <w:sz w:val="16"/>
                <w:szCs w:val="16"/>
              </w:rPr>
              <w:t>(total)</w:t>
            </w:r>
          </w:p>
        </w:tc>
        <w:tc>
          <w:tcPr>
            <w:tcW w:w="1181" w:type="dxa"/>
            <w:tcBorders>
              <w:top w:val="single" w:sz="4" w:space="0" w:color="auto"/>
              <w:left w:val="nil"/>
              <w:bottom w:val="single" w:sz="4" w:space="0" w:color="auto"/>
              <w:right w:val="nil"/>
            </w:tcBorders>
            <w:shd w:val="clear" w:color="000000" w:fill="FFFFFF"/>
            <w:noWrap/>
            <w:vAlign w:val="bottom"/>
            <w:hideMark/>
          </w:tcPr>
          <w:p w:rsidR="00CE32B1" w:rsidRPr="005C6B2B" w:rsidP="004957F6" w14:paraId="0CF22C90" w14:textId="77777777">
            <w:pPr>
              <w:jc w:val="right"/>
              <w:rPr>
                <w:sz w:val="16"/>
                <w:szCs w:val="16"/>
              </w:rPr>
            </w:pPr>
            <w:r>
              <w:rPr>
                <w:sz w:val="16"/>
                <w:szCs w:val="16"/>
              </w:rPr>
              <w:t xml:space="preserve"> </w:t>
            </w:r>
            <w:r w:rsidRPr="005C6B2B">
              <w:rPr>
                <w:sz w:val="16"/>
                <w:szCs w:val="16"/>
              </w:rPr>
              <w:t>2,615,084</w:t>
            </w:r>
            <w:r>
              <w:rPr>
                <w:sz w:val="16"/>
                <w:szCs w:val="16"/>
              </w:rPr>
              <w:t xml:space="preserve"> </w:t>
            </w:r>
          </w:p>
        </w:tc>
        <w:tc>
          <w:tcPr>
            <w:tcW w:w="1181" w:type="dxa"/>
            <w:tcBorders>
              <w:top w:val="single" w:sz="4" w:space="0" w:color="auto"/>
              <w:left w:val="nil"/>
              <w:bottom w:val="single" w:sz="4" w:space="0" w:color="auto"/>
              <w:right w:val="nil"/>
            </w:tcBorders>
            <w:shd w:val="clear" w:color="000000" w:fill="FFFFFF"/>
            <w:noWrap/>
            <w:vAlign w:val="bottom"/>
            <w:hideMark/>
          </w:tcPr>
          <w:p w:rsidR="00CE32B1" w:rsidRPr="005C6B2B" w:rsidP="004957F6" w14:paraId="41A4418A" w14:textId="77777777">
            <w:pPr>
              <w:jc w:val="right"/>
              <w:rPr>
                <w:sz w:val="16"/>
                <w:szCs w:val="16"/>
              </w:rPr>
            </w:pPr>
            <w:r>
              <w:rPr>
                <w:sz w:val="16"/>
                <w:szCs w:val="16"/>
              </w:rPr>
              <w:t xml:space="preserve"> </w:t>
            </w:r>
            <w:r w:rsidRPr="005C6B2B">
              <w:rPr>
                <w:sz w:val="16"/>
                <w:szCs w:val="16"/>
              </w:rPr>
              <w:t>(8,582,471)</w:t>
            </w:r>
          </w:p>
        </w:tc>
      </w:tr>
      <w:tr w14:paraId="258737D2"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B0CA5" w14:paraId="3F4F7FC2" w14:textId="77777777">
            <w:pPr>
              <w:ind w:left="432"/>
              <w:rPr>
                <w:sz w:val="16"/>
                <w:szCs w:val="16"/>
              </w:rPr>
            </w:pPr>
            <w:r w:rsidRPr="005C6B2B">
              <w:rPr>
                <w:sz w:val="16"/>
                <w:szCs w:val="16"/>
              </w:rPr>
              <w:t>Total</w:t>
            </w:r>
            <w:r>
              <w:rPr>
                <w:sz w:val="16"/>
                <w:szCs w:val="16"/>
              </w:rPr>
              <w:t xml:space="preserve"> </w:t>
            </w:r>
            <w:r w:rsidRPr="005C6B2B">
              <w:rPr>
                <w:sz w:val="16"/>
                <w:szCs w:val="16"/>
              </w:rPr>
              <w:t>budgetary</w:t>
            </w:r>
            <w:r>
              <w:rPr>
                <w:sz w:val="16"/>
                <w:szCs w:val="16"/>
              </w:rPr>
              <w:t xml:space="preserve"> </w:t>
            </w:r>
            <w:r w:rsidRPr="005C6B2B">
              <w:rPr>
                <w:sz w:val="16"/>
                <w:szCs w:val="16"/>
              </w:rPr>
              <w:t>resources</w:t>
            </w:r>
          </w:p>
        </w:tc>
        <w:tc>
          <w:tcPr>
            <w:tcW w:w="1181" w:type="dxa"/>
            <w:tcBorders>
              <w:top w:val="single" w:sz="4" w:space="0" w:color="auto"/>
              <w:left w:val="nil"/>
              <w:bottom w:val="double" w:sz="6" w:space="0" w:color="auto"/>
              <w:right w:val="nil"/>
            </w:tcBorders>
            <w:shd w:val="clear" w:color="000000" w:fill="FFFFFF"/>
            <w:noWrap/>
            <w:vAlign w:val="bottom"/>
            <w:hideMark/>
          </w:tcPr>
          <w:p w:rsidR="00CE32B1" w:rsidRPr="005C6B2B" w:rsidP="004957F6" w14:paraId="67E4F876" w14:textId="047C13B2">
            <w:pPr>
              <w:jc w:val="right"/>
              <w:rPr>
                <w:sz w:val="16"/>
                <w:szCs w:val="16"/>
              </w:rPr>
            </w:pPr>
            <w:r w:rsidRPr="005C6B2B">
              <w:rPr>
                <w:sz w:val="16"/>
                <w:szCs w:val="16"/>
              </w:rPr>
              <w:t>$</w:t>
            </w:r>
            <w:r>
              <w:rPr>
                <w:sz w:val="16"/>
                <w:szCs w:val="16"/>
              </w:rPr>
              <w:t xml:space="preserve">   </w:t>
            </w:r>
            <w:r w:rsidRPr="005C6B2B">
              <w:rPr>
                <w:sz w:val="16"/>
                <w:szCs w:val="16"/>
              </w:rPr>
              <w:t>15,824,908</w:t>
            </w:r>
            <w:r>
              <w:rPr>
                <w:sz w:val="16"/>
                <w:szCs w:val="16"/>
              </w:rPr>
              <w:t xml:space="preserve"> </w:t>
            </w:r>
          </w:p>
        </w:tc>
        <w:tc>
          <w:tcPr>
            <w:tcW w:w="1181" w:type="dxa"/>
            <w:tcBorders>
              <w:top w:val="single" w:sz="4" w:space="0" w:color="auto"/>
              <w:left w:val="nil"/>
              <w:bottom w:val="double" w:sz="6" w:space="0" w:color="auto"/>
              <w:right w:val="nil"/>
            </w:tcBorders>
            <w:shd w:val="clear" w:color="000000" w:fill="FFFFFF"/>
            <w:noWrap/>
            <w:vAlign w:val="bottom"/>
            <w:hideMark/>
          </w:tcPr>
          <w:p w:rsidR="00CE32B1" w:rsidRPr="005C6B2B" w:rsidP="004957F6" w14:paraId="561CAF8A" w14:textId="0E4050EE">
            <w:pPr>
              <w:jc w:val="right"/>
              <w:rPr>
                <w:sz w:val="16"/>
                <w:szCs w:val="16"/>
              </w:rPr>
            </w:pPr>
            <w:r w:rsidRPr="005C6B2B">
              <w:rPr>
                <w:sz w:val="16"/>
                <w:szCs w:val="16"/>
              </w:rPr>
              <w:t>$</w:t>
            </w:r>
            <w:r>
              <w:rPr>
                <w:sz w:val="16"/>
                <w:szCs w:val="16"/>
              </w:rPr>
              <w:t xml:space="preserve">        </w:t>
            </w:r>
            <w:r w:rsidRPr="005C6B2B">
              <w:rPr>
                <w:sz w:val="16"/>
                <w:szCs w:val="16"/>
              </w:rPr>
              <w:t>733,672</w:t>
            </w:r>
            <w:r>
              <w:rPr>
                <w:sz w:val="16"/>
                <w:szCs w:val="16"/>
              </w:rPr>
              <w:t xml:space="preserve"> </w:t>
            </w:r>
          </w:p>
        </w:tc>
      </w:tr>
      <w:tr w14:paraId="4AFF680C"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tcPr>
          <w:p w:rsidR="00CE32B1" w:rsidRPr="005C6B2B" w:rsidP="004957F6" w14:paraId="4F754256" w14:textId="77777777">
            <w:pPr>
              <w:rPr>
                <w:sz w:val="16"/>
                <w:szCs w:val="16"/>
              </w:rPr>
            </w:pPr>
            <w:r w:rsidRPr="005C6B2B">
              <w:rPr>
                <w:b/>
                <w:bCs/>
                <w:sz w:val="16"/>
                <w:szCs w:val="16"/>
              </w:rPr>
              <w:t>Outlays,</w:t>
            </w:r>
            <w:r>
              <w:rPr>
                <w:b/>
                <w:bCs/>
                <w:sz w:val="16"/>
                <w:szCs w:val="16"/>
              </w:rPr>
              <w:t xml:space="preserve"> </w:t>
            </w:r>
            <w:r w:rsidRPr="005C6B2B">
              <w:rPr>
                <w:b/>
                <w:bCs/>
                <w:sz w:val="16"/>
                <w:szCs w:val="16"/>
              </w:rPr>
              <w:t>Net</w:t>
            </w:r>
          </w:p>
        </w:tc>
        <w:tc>
          <w:tcPr>
            <w:tcW w:w="1181" w:type="dxa"/>
            <w:tcBorders>
              <w:top w:val="nil"/>
              <w:left w:val="nil"/>
              <w:bottom w:val="nil"/>
              <w:right w:val="nil"/>
            </w:tcBorders>
            <w:shd w:val="clear" w:color="000000" w:fill="FFFFFF"/>
            <w:noWrap/>
            <w:vAlign w:val="bottom"/>
          </w:tcPr>
          <w:p w:rsidR="00CE32B1" w:rsidP="004957F6" w14:paraId="607ECF48" w14:textId="77777777">
            <w:pPr>
              <w:jc w:val="right"/>
              <w:rPr>
                <w:sz w:val="16"/>
                <w:szCs w:val="16"/>
              </w:rPr>
            </w:pPr>
          </w:p>
        </w:tc>
        <w:tc>
          <w:tcPr>
            <w:tcW w:w="1181" w:type="dxa"/>
            <w:tcBorders>
              <w:top w:val="nil"/>
              <w:left w:val="nil"/>
              <w:bottom w:val="nil"/>
              <w:right w:val="nil"/>
            </w:tcBorders>
            <w:shd w:val="clear" w:color="000000" w:fill="FFFFFF"/>
            <w:noWrap/>
            <w:vAlign w:val="bottom"/>
          </w:tcPr>
          <w:p w:rsidR="00CE32B1" w:rsidP="004957F6" w14:paraId="7BE2E886" w14:textId="77777777">
            <w:pPr>
              <w:jc w:val="right"/>
              <w:rPr>
                <w:sz w:val="16"/>
                <w:szCs w:val="16"/>
              </w:rPr>
            </w:pPr>
          </w:p>
        </w:tc>
      </w:tr>
      <w:tr w14:paraId="320B6B30"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F6906" w14:paraId="43476881" w14:textId="77777777">
            <w:pPr>
              <w:ind w:left="432"/>
              <w:rPr>
                <w:sz w:val="16"/>
                <w:szCs w:val="16"/>
              </w:rPr>
            </w:pPr>
            <w:r w:rsidRPr="005C6B2B">
              <w:rPr>
                <w:sz w:val="16"/>
                <w:szCs w:val="16"/>
              </w:rPr>
              <w:t>Outlays,</w:t>
            </w:r>
            <w:r>
              <w:rPr>
                <w:sz w:val="16"/>
                <w:szCs w:val="16"/>
              </w:rPr>
              <w:t xml:space="preserve"> </w:t>
            </w:r>
            <w:r w:rsidRPr="005C6B2B">
              <w:rPr>
                <w:sz w:val="16"/>
                <w:szCs w:val="16"/>
              </w:rPr>
              <w:t>net</w:t>
            </w:r>
            <w:r>
              <w:rPr>
                <w:sz w:val="16"/>
                <w:szCs w:val="16"/>
              </w:rPr>
              <w:t xml:space="preserve"> </w:t>
            </w:r>
            <w:r w:rsidRPr="005C6B2B">
              <w:rPr>
                <w:sz w:val="16"/>
                <w:szCs w:val="16"/>
              </w:rPr>
              <w:t>(total)</w:t>
            </w:r>
            <w:r>
              <w:rPr>
                <w:sz w:val="16"/>
                <w:szCs w:val="16"/>
              </w:rPr>
              <w:t xml:space="preserve"> </w:t>
            </w:r>
            <w:r w:rsidRPr="005C6B2B">
              <w:rPr>
                <w:sz w:val="16"/>
                <w:szCs w:val="16"/>
              </w:rPr>
              <w:t>(discretionary</w:t>
            </w:r>
            <w:r>
              <w:rPr>
                <w:sz w:val="16"/>
                <w:szCs w:val="16"/>
              </w:rPr>
              <w:t xml:space="preserve"> </w:t>
            </w:r>
            <w:r w:rsidRPr="005C6B2B">
              <w:rPr>
                <w:sz w:val="16"/>
                <w:szCs w:val="16"/>
              </w:rPr>
              <w:t>and</w:t>
            </w:r>
            <w:r>
              <w:rPr>
                <w:sz w:val="16"/>
                <w:szCs w:val="16"/>
              </w:rPr>
              <w:t xml:space="preserve"> </w:t>
            </w:r>
            <w:r w:rsidRPr="005C6B2B">
              <w:rPr>
                <w:sz w:val="16"/>
                <w:szCs w:val="16"/>
              </w:rPr>
              <w:t>mandatory)</w:t>
            </w:r>
          </w:p>
        </w:tc>
        <w:tc>
          <w:tcPr>
            <w:tcW w:w="1181" w:type="dxa"/>
            <w:tcBorders>
              <w:top w:val="nil"/>
              <w:left w:val="nil"/>
              <w:bottom w:val="nil"/>
              <w:right w:val="nil"/>
            </w:tcBorders>
            <w:shd w:val="clear" w:color="000000" w:fill="FFFFFF"/>
            <w:noWrap/>
            <w:vAlign w:val="bottom"/>
            <w:hideMark/>
          </w:tcPr>
          <w:p w:rsidR="00CE32B1" w:rsidRPr="005C6B2B" w:rsidP="004957F6" w14:paraId="2580F608" w14:textId="4CDB1364">
            <w:pPr>
              <w:jc w:val="right"/>
              <w:rPr>
                <w:sz w:val="16"/>
                <w:szCs w:val="16"/>
              </w:rPr>
            </w:pPr>
            <w:r w:rsidRPr="005C6B2B">
              <w:rPr>
                <w:sz w:val="16"/>
                <w:szCs w:val="16"/>
              </w:rPr>
              <w:t>$</w:t>
            </w:r>
            <w:r>
              <w:rPr>
                <w:sz w:val="16"/>
                <w:szCs w:val="16"/>
              </w:rPr>
              <w:t xml:space="preserve">   </w:t>
            </w:r>
            <w:r w:rsidRPr="005C6B2B">
              <w:rPr>
                <w:sz w:val="16"/>
                <w:szCs w:val="16"/>
              </w:rPr>
              <w:t>11,152,514</w:t>
            </w:r>
            <w:r>
              <w:rPr>
                <w:sz w:val="16"/>
                <w:szCs w:val="16"/>
              </w:rPr>
              <w:t xml:space="preserve"> </w:t>
            </w:r>
          </w:p>
        </w:tc>
        <w:tc>
          <w:tcPr>
            <w:tcW w:w="1181" w:type="dxa"/>
            <w:tcBorders>
              <w:top w:val="nil"/>
              <w:left w:val="nil"/>
              <w:bottom w:val="nil"/>
              <w:right w:val="nil"/>
            </w:tcBorders>
            <w:shd w:val="clear" w:color="000000" w:fill="FFFFFF"/>
            <w:noWrap/>
            <w:vAlign w:val="bottom"/>
            <w:hideMark/>
          </w:tcPr>
          <w:p w:rsidR="00CE32B1" w:rsidRPr="005C6B2B" w:rsidP="004957F6" w14:paraId="5F6B4A3A" w14:textId="419F7518">
            <w:pPr>
              <w:jc w:val="right"/>
              <w:rPr>
                <w:sz w:val="16"/>
                <w:szCs w:val="16"/>
              </w:rPr>
            </w:pPr>
            <w:r w:rsidRPr="005C6B2B">
              <w:rPr>
                <w:sz w:val="16"/>
                <w:szCs w:val="16"/>
              </w:rPr>
              <w:t>$</w:t>
            </w:r>
            <w:r>
              <w:rPr>
                <w:sz w:val="16"/>
                <w:szCs w:val="16"/>
              </w:rPr>
              <w:t xml:space="preserve">   </w:t>
            </w:r>
            <w:r w:rsidRPr="005C6B2B">
              <w:rPr>
                <w:sz w:val="16"/>
                <w:szCs w:val="16"/>
              </w:rPr>
              <w:t>10,271,908</w:t>
            </w:r>
            <w:r>
              <w:rPr>
                <w:sz w:val="16"/>
                <w:szCs w:val="16"/>
              </w:rPr>
              <w:t xml:space="preserve"> </w:t>
            </w:r>
          </w:p>
        </w:tc>
      </w:tr>
      <w:tr w14:paraId="65AC5E3F"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F6906" w14:paraId="7B1BDB4A" w14:textId="77777777">
            <w:pPr>
              <w:ind w:left="432"/>
              <w:rPr>
                <w:sz w:val="16"/>
                <w:szCs w:val="16"/>
              </w:rPr>
            </w:pPr>
            <w:r w:rsidRPr="005C6B2B">
              <w:rPr>
                <w:sz w:val="16"/>
                <w:szCs w:val="16"/>
              </w:rPr>
              <w:t>Distributed</w:t>
            </w:r>
            <w:r>
              <w:rPr>
                <w:sz w:val="16"/>
                <w:szCs w:val="16"/>
              </w:rPr>
              <w:t xml:space="preserve"> </w:t>
            </w:r>
            <w:r w:rsidRPr="005C6B2B">
              <w:rPr>
                <w:sz w:val="16"/>
                <w:szCs w:val="16"/>
              </w:rPr>
              <w:t>offsetting</w:t>
            </w:r>
            <w:r>
              <w:rPr>
                <w:sz w:val="16"/>
                <w:szCs w:val="16"/>
              </w:rPr>
              <w:t xml:space="preserve"> </w:t>
            </w:r>
            <w:r w:rsidRPr="005C6B2B">
              <w:rPr>
                <w:sz w:val="16"/>
                <w:szCs w:val="16"/>
              </w:rPr>
              <w:t>receipts</w:t>
            </w:r>
            <w:r>
              <w:rPr>
                <w:sz w:val="16"/>
                <w:szCs w:val="16"/>
              </w:rPr>
              <w:t xml:space="preserve"> </w:t>
            </w:r>
            <w:r w:rsidRPr="005C6B2B">
              <w:rPr>
                <w:sz w:val="16"/>
                <w:szCs w:val="16"/>
              </w:rPr>
              <w:t>(-)</w:t>
            </w:r>
          </w:p>
        </w:tc>
        <w:tc>
          <w:tcPr>
            <w:tcW w:w="1181" w:type="dxa"/>
            <w:tcBorders>
              <w:top w:val="nil"/>
              <w:left w:val="nil"/>
              <w:bottom w:val="nil"/>
              <w:right w:val="nil"/>
            </w:tcBorders>
            <w:shd w:val="clear" w:color="000000" w:fill="FFFFFF"/>
            <w:noWrap/>
            <w:vAlign w:val="bottom"/>
            <w:hideMark/>
          </w:tcPr>
          <w:p w:rsidR="00CE32B1" w:rsidRPr="005C6B2B" w:rsidP="004957F6" w14:paraId="76B89154" w14:textId="77777777">
            <w:pPr>
              <w:jc w:val="right"/>
              <w:rPr>
                <w:sz w:val="16"/>
                <w:szCs w:val="16"/>
              </w:rPr>
            </w:pPr>
            <w:r>
              <w:rPr>
                <w:sz w:val="16"/>
                <w:szCs w:val="16"/>
              </w:rPr>
              <w:t xml:space="preserve"> </w:t>
            </w:r>
            <w:r w:rsidRPr="005C6B2B">
              <w:rPr>
                <w:sz w:val="16"/>
                <w:szCs w:val="16"/>
              </w:rPr>
              <w:t>(34,679)</w:t>
            </w:r>
          </w:p>
        </w:tc>
        <w:tc>
          <w:tcPr>
            <w:tcW w:w="1181" w:type="dxa"/>
            <w:tcBorders>
              <w:top w:val="nil"/>
              <w:left w:val="nil"/>
              <w:bottom w:val="nil"/>
              <w:right w:val="nil"/>
            </w:tcBorders>
            <w:shd w:val="clear" w:color="000000" w:fill="FFFFFF"/>
            <w:noWrap/>
            <w:vAlign w:val="bottom"/>
            <w:hideMark/>
          </w:tcPr>
          <w:p w:rsidR="00CE32B1" w:rsidRPr="005C6B2B" w:rsidP="004957F6" w14:paraId="21AC2FA4" w14:textId="77777777">
            <w:pPr>
              <w:jc w:val="right"/>
              <w:rPr>
                <w:sz w:val="16"/>
                <w:szCs w:val="16"/>
              </w:rPr>
            </w:pPr>
            <w:r>
              <w:rPr>
                <w:sz w:val="16"/>
                <w:szCs w:val="16"/>
              </w:rPr>
              <w:t xml:space="preserve"> </w:t>
            </w:r>
            <w:r w:rsidRPr="005C6B2B">
              <w:rPr>
                <w:sz w:val="16"/>
                <w:szCs w:val="16"/>
              </w:rPr>
              <w:t>(29,769)</w:t>
            </w:r>
          </w:p>
        </w:tc>
      </w:tr>
      <w:tr w14:paraId="063492CC" w14:textId="77777777" w:rsidTr="004957F6">
        <w:tblPrEx>
          <w:tblW w:w="5000" w:type="pct"/>
          <w:tblLook w:val="04A0"/>
        </w:tblPrEx>
        <w:trPr>
          <w:trHeight w:val="259"/>
        </w:trPr>
        <w:tc>
          <w:tcPr>
            <w:tcW w:w="6178" w:type="dxa"/>
            <w:tcBorders>
              <w:top w:val="nil"/>
              <w:left w:val="nil"/>
              <w:bottom w:val="nil"/>
              <w:right w:val="nil"/>
            </w:tcBorders>
            <w:shd w:val="clear" w:color="000000" w:fill="FFFFFF"/>
            <w:noWrap/>
            <w:vAlign w:val="bottom"/>
            <w:hideMark/>
          </w:tcPr>
          <w:p w:rsidR="00CE32B1" w:rsidRPr="005C6B2B" w:rsidP="007F6906" w14:paraId="20A89585" w14:textId="77777777">
            <w:pPr>
              <w:ind w:left="432"/>
              <w:rPr>
                <w:sz w:val="16"/>
                <w:szCs w:val="16"/>
              </w:rPr>
            </w:pPr>
            <w:r w:rsidRPr="005C6B2B">
              <w:rPr>
                <w:sz w:val="16"/>
                <w:szCs w:val="16"/>
              </w:rPr>
              <w:t>Agency</w:t>
            </w:r>
            <w:r>
              <w:rPr>
                <w:sz w:val="16"/>
                <w:szCs w:val="16"/>
              </w:rPr>
              <w:t xml:space="preserve"> </w:t>
            </w:r>
            <w:r w:rsidRPr="005C6B2B">
              <w:rPr>
                <w:sz w:val="16"/>
                <w:szCs w:val="16"/>
              </w:rPr>
              <w:t>outlays,</w:t>
            </w:r>
            <w:r>
              <w:rPr>
                <w:sz w:val="16"/>
                <w:szCs w:val="16"/>
              </w:rPr>
              <w:t xml:space="preserve"> </w:t>
            </w:r>
            <w:r w:rsidRPr="005C6B2B">
              <w:rPr>
                <w:sz w:val="16"/>
                <w:szCs w:val="16"/>
              </w:rPr>
              <w:t>net</w:t>
            </w:r>
            <w:r>
              <w:rPr>
                <w:sz w:val="16"/>
                <w:szCs w:val="16"/>
              </w:rPr>
              <w:t xml:space="preserve"> </w:t>
            </w:r>
            <w:r w:rsidRPr="005C6B2B">
              <w:rPr>
                <w:sz w:val="16"/>
                <w:szCs w:val="16"/>
              </w:rPr>
              <w:t>(discretionary</w:t>
            </w:r>
            <w:r>
              <w:rPr>
                <w:sz w:val="16"/>
                <w:szCs w:val="16"/>
              </w:rPr>
              <w:t xml:space="preserve"> </w:t>
            </w:r>
            <w:r w:rsidRPr="005C6B2B">
              <w:rPr>
                <w:sz w:val="16"/>
                <w:szCs w:val="16"/>
              </w:rPr>
              <w:t>and</w:t>
            </w:r>
            <w:r>
              <w:rPr>
                <w:sz w:val="16"/>
                <w:szCs w:val="16"/>
              </w:rPr>
              <w:t xml:space="preserve"> </w:t>
            </w:r>
            <w:r w:rsidRPr="005C6B2B">
              <w:rPr>
                <w:sz w:val="16"/>
                <w:szCs w:val="16"/>
              </w:rPr>
              <w:t>mandatory)</w:t>
            </w:r>
          </w:p>
        </w:tc>
        <w:tc>
          <w:tcPr>
            <w:tcW w:w="1181" w:type="dxa"/>
            <w:tcBorders>
              <w:top w:val="single" w:sz="4" w:space="0" w:color="auto"/>
              <w:left w:val="nil"/>
              <w:bottom w:val="double" w:sz="6" w:space="0" w:color="auto"/>
              <w:right w:val="nil"/>
            </w:tcBorders>
            <w:shd w:val="clear" w:color="000000" w:fill="FFFFFF"/>
            <w:noWrap/>
            <w:vAlign w:val="bottom"/>
            <w:hideMark/>
          </w:tcPr>
          <w:p w:rsidR="00CE32B1" w:rsidRPr="005C6B2B" w:rsidP="004957F6" w14:paraId="7E7CC1BD" w14:textId="5ABD2C9B">
            <w:pPr>
              <w:jc w:val="right"/>
              <w:rPr>
                <w:sz w:val="16"/>
                <w:szCs w:val="16"/>
              </w:rPr>
            </w:pPr>
            <w:r w:rsidRPr="005C6B2B">
              <w:rPr>
                <w:sz w:val="16"/>
                <w:szCs w:val="16"/>
              </w:rPr>
              <w:t>$</w:t>
            </w:r>
            <w:r>
              <w:rPr>
                <w:sz w:val="16"/>
                <w:szCs w:val="16"/>
              </w:rPr>
              <w:t xml:space="preserve">   </w:t>
            </w:r>
            <w:r w:rsidRPr="005C6B2B">
              <w:rPr>
                <w:sz w:val="16"/>
                <w:szCs w:val="16"/>
              </w:rPr>
              <w:t>11,117,835</w:t>
            </w:r>
            <w:r>
              <w:rPr>
                <w:sz w:val="16"/>
                <w:szCs w:val="16"/>
              </w:rPr>
              <w:t xml:space="preserve"> </w:t>
            </w:r>
          </w:p>
        </w:tc>
        <w:tc>
          <w:tcPr>
            <w:tcW w:w="1181" w:type="dxa"/>
            <w:tcBorders>
              <w:top w:val="single" w:sz="4" w:space="0" w:color="auto"/>
              <w:left w:val="nil"/>
              <w:bottom w:val="double" w:sz="6" w:space="0" w:color="auto"/>
              <w:right w:val="nil"/>
            </w:tcBorders>
            <w:shd w:val="clear" w:color="000000" w:fill="FFFFFF"/>
            <w:noWrap/>
            <w:vAlign w:val="bottom"/>
            <w:hideMark/>
          </w:tcPr>
          <w:p w:rsidR="00CE32B1" w:rsidRPr="005C6B2B" w:rsidP="004957F6" w14:paraId="1321793B" w14:textId="22CC2936">
            <w:pPr>
              <w:jc w:val="right"/>
              <w:rPr>
                <w:sz w:val="16"/>
                <w:szCs w:val="16"/>
              </w:rPr>
            </w:pPr>
            <w:r w:rsidRPr="005C6B2B">
              <w:rPr>
                <w:sz w:val="16"/>
                <w:szCs w:val="16"/>
              </w:rPr>
              <w:t>$</w:t>
            </w:r>
            <w:r>
              <w:rPr>
                <w:sz w:val="16"/>
                <w:szCs w:val="16"/>
              </w:rPr>
              <w:t xml:space="preserve">   </w:t>
            </w:r>
            <w:r w:rsidRPr="005C6B2B">
              <w:rPr>
                <w:sz w:val="16"/>
                <w:szCs w:val="16"/>
              </w:rPr>
              <w:t>10,242,139</w:t>
            </w:r>
            <w:r>
              <w:rPr>
                <w:sz w:val="16"/>
                <w:szCs w:val="16"/>
              </w:rPr>
              <w:t xml:space="preserve"> </w:t>
            </w:r>
          </w:p>
        </w:tc>
      </w:tr>
    </w:tbl>
    <w:p w:rsidR="00285D06" w:rsidP="000724C1" w14:paraId="771BD825" w14:textId="77777777">
      <w:pPr>
        <w:spacing w:before="5760"/>
        <w:jc w:val="center"/>
        <w:rPr>
          <w:sz w:val="22"/>
          <w:szCs w:val="22"/>
        </w:rPr>
      </w:pPr>
      <w:r w:rsidRPr="007D5370">
        <w:rPr>
          <w:sz w:val="22"/>
          <w:szCs w:val="22"/>
        </w:rPr>
        <w:t>The accompanying notes are an integral part of these statements</w:t>
      </w:r>
      <w:r>
        <w:rPr>
          <w:sz w:val="22"/>
          <w:szCs w:val="22"/>
        </w:rPr>
        <w:t>.</w:t>
      </w:r>
      <w:r>
        <w:rPr>
          <w:sz w:val="22"/>
          <w:szCs w:val="22"/>
        </w:rPr>
        <w:br w:type="page"/>
      </w:r>
    </w:p>
    <w:p w:rsidR="00285D06" w:rsidRPr="006B2A44" w:rsidP="00285D06" w14:paraId="023FF017" w14:textId="77777777">
      <w:pPr>
        <w:rPr>
          <w:bCs/>
        </w:rPr>
      </w:pPr>
      <w:bookmarkStart w:id="172" w:name="_Toc65551535"/>
      <w:bookmarkStart w:id="173" w:name="_Toc65660143"/>
      <w:bookmarkStart w:id="174" w:name="_Toc68601239"/>
      <w:bookmarkStart w:id="175" w:name="_Toc68601364"/>
      <w:bookmarkStart w:id="176" w:name="_Toc70736763"/>
      <w:bookmarkStart w:id="177" w:name="_Toc73190395"/>
      <w:bookmarkEnd w:id="166"/>
      <w:bookmarkEnd w:id="167"/>
      <w:bookmarkEnd w:id="168"/>
      <w:bookmarkEnd w:id="169"/>
      <w:bookmarkEnd w:id="170"/>
      <w:bookmarkEnd w:id="171"/>
      <w:r w:rsidRPr="006B2A44">
        <w:rPr>
          <w:rFonts w:ascii="Times New Roman Bold" w:hAnsi="Times New Roman Bold"/>
          <w:b/>
          <w:szCs w:val="24"/>
        </w:rPr>
        <w:t>F</w:t>
      </w:r>
      <w:r>
        <w:rPr>
          <w:rFonts w:ascii="Times New Roman Bold" w:hAnsi="Times New Roman Bold"/>
          <w:b/>
          <w:szCs w:val="24"/>
        </w:rPr>
        <w:t>ederal Communications Commission</w:t>
      </w:r>
    </w:p>
    <w:p w:rsidR="00285D06" w:rsidRPr="005C4E1A" w:rsidP="005C4E1A" w14:paraId="69EA6484" w14:textId="77777777">
      <w:pPr>
        <w:pStyle w:val="Heading4"/>
        <w:spacing w:after="0"/>
        <w:rPr>
          <w:szCs w:val="24"/>
        </w:rPr>
      </w:pPr>
      <w:bookmarkStart w:id="178" w:name="_Toc54589765"/>
      <w:bookmarkStart w:id="179" w:name="_Toc88780675"/>
      <w:r w:rsidRPr="005C4E1A">
        <w:rPr>
          <w:szCs w:val="24"/>
        </w:rPr>
        <w:t>Consolidated Statements of Custodial A</w:t>
      </w:r>
      <w:bookmarkEnd w:id="172"/>
      <w:bookmarkEnd w:id="173"/>
      <w:bookmarkEnd w:id="174"/>
      <w:bookmarkEnd w:id="175"/>
      <w:bookmarkEnd w:id="176"/>
      <w:bookmarkEnd w:id="177"/>
      <w:r w:rsidRPr="005C4E1A">
        <w:rPr>
          <w:szCs w:val="24"/>
        </w:rPr>
        <w:t>ctivity</w:t>
      </w:r>
      <w:bookmarkEnd w:id="178"/>
      <w:bookmarkEnd w:id="179"/>
    </w:p>
    <w:p w:rsidR="00285D06" w:rsidRPr="000621B8" w:rsidP="00285D06" w14:paraId="601F04B4" w14:textId="77777777">
      <w:pPr>
        <w:widowControl w:val="0"/>
        <w:overflowPunct w:val="0"/>
        <w:autoSpaceDE w:val="0"/>
        <w:autoSpaceDN w:val="0"/>
        <w:adjustRightInd w:val="0"/>
        <w:jc w:val="both"/>
        <w:textAlignment w:val="baseline"/>
        <w:rPr>
          <w:sz w:val="22"/>
          <w:szCs w:val="22"/>
        </w:rPr>
      </w:pPr>
      <w:bookmarkStart w:id="180" w:name="_Toc65325547"/>
      <w:bookmarkStart w:id="181" w:name="_Toc65548731"/>
      <w:bookmarkEnd w:id="162"/>
      <w:bookmarkEnd w:id="163"/>
      <w:r w:rsidRPr="000621B8">
        <w:rPr>
          <w:sz w:val="22"/>
          <w:szCs w:val="22"/>
        </w:rPr>
        <w:t xml:space="preserve">For the </w:t>
      </w:r>
      <w:r>
        <w:rPr>
          <w:sz w:val="22"/>
          <w:szCs w:val="22"/>
        </w:rPr>
        <w:t>Years Ended September 30, 2021</w:t>
      </w:r>
      <w:r w:rsidRPr="005453C0">
        <w:rPr>
          <w:sz w:val="22"/>
          <w:szCs w:val="22"/>
        </w:rPr>
        <w:t xml:space="preserve"> and </w:t>
      </w:r>
      <w:r>
        <w:rPr>
          <w:sz w:val="22"/>
          <w:szCs w:val="22"/>
        </w:rPr>
        <w:t>September 30, 2020</w:t>
      </w:r>
    </w:p>
    <w:p w:rsidR="00285D06" w:rsidRPr="000621B8" w:rsidP="00285D06" w14:paraId="21045BB0" w14:textId="77777777">
      <w:pPr>
        <w:widowControl w:val="0"/>
        <w:overflowPunct w:val="0"/>
        <w:autoSpaceDE w:val="0"/>
        <w:autoSpaceDN w:val="0"/>
        <w:adjustRightInd w:val="0"/>
        <w:jc w:val="both"/>
        <w:textAlignment w:val="baseline"/>
        <w:rPr>
          <w:sz w:val="22"/>
          <w:szCs w:val="22"/>
        </w:rPr>
      </w:pPr>
      <w:r w:rsidRPr="000621B8">
        <w:rPr>
          <w:sz w:val="22"/>
          <w:szCs w:val="22"/>
        </w:rPr>
        <w:t>(Dollars in thousands)</w:t>
      </w:r>
    </w:p>
    <w:tbl>
      <w:tblPr>
        <w:tblW w:w="5000" w:type="pct"/>
        <w:tblLook w:val="04A0"/>
      </w:tblPr>
      <w:tblGrid>
        <w:gridCol w:w="6864"/>
        <w:gridCol w:w="1248"/>
        <w:gridCol w:w="1248"/>
      </w:tblGrid>
      <w:tr w14:paraId="49ABC61F"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71D1CF72" w14:textId="77777777">
            <w:pPr>
              <w:rPr>
                <w:b/>
                <w:bCs/>
                <w:sz w:val="16"/>
                <w:szCs w:val="16"/>
              </w:rPr>
            </w:pPr>
          </w:p>
        </w:tc>
        <w:tc>
          <w:tcPr>
            <w:tcW w:w="1340" w:type="dxa"/>
            <w:tcBorders>
              <w:top w:val="nil"/>
              <w:left w:val="nil"/>
              <w:bottom w:val="single" w:sz="4" w:space="0" w:color="auto"/>
              <w:right w:val="nil"/>
            </w:tcBorders>
            <w:shd w:val="clear" w:color="000000" w:fill="FFFFFF"/>
            <w:noWrap/>
            <w:vAlign w:val="bottom"/>
            <w:hideMark/>
          </w:tcPr>
          <w:p w:rsidR="00167DE1" w:rsidRPr="00CF5328" w:rsidP="004957F6" w14:paraId="1910349D" w14:textId="77777777">
            <w:pPr>
              <w:jc w:val="center"/>
              <w:rPr>
                <w:b/>
                <w:bCs/>
                <w:sz w:val="16"/>
                <w:szCs w:val="16"/>
              </w:rPr>
            </w:pPr>
            <w:r w:rsidRPr="00CF5328">
              <w:rPr>
                <w:b/>
                <w:bCs/>
                <w:sz w:val="16"/>
                <w:szCs w:val="16"/>
              </w:rPr>
              <w:t>FY</w:t>
            </w:r>
            <w:r>
              <w:rPr>
                <w:b/>
                <w:bCs/>
                <w:sz w:val="16"/>
                <w:szCs w:val="16"/>
              </w:rPr>
              <w:t xml:space="preserve"> </w:t>
            </w:r>
            <w:r w:rsidRPr="00CF5328">
              <w:rPr>
                <w:b/>
                <w:bCs/>
                <w:sz w:val="16"/>
                <w:szCs w:val="16"/>
              </w:rPr>
              <w:t>2021</w:t>
            </w:r>
          </w:p>
        </w:tc>
        <w:tc>
          <w:tcPr>
            <w:tcW w:w="1340" w:type="dxa"/>
            <w:tcBorders>
              <w:top w:val="nil"/>
              <w:left w:val="nil"/>
              <w:bottom w:val="single" w:sz="4" w:space="0" w:color="auto"/>
              <w:right w:val="nil"/>
            </w:tcBorders>
            <w:shd w:val="clear" w:color="000000" w:fill="FFFFFF"/>
            <w:noWrap/>
            <w:vAlign w:val="bottom"/>
            <w:hideMark/>
          </w:tcPr>
          <w:p w:rsidR="00167DE1" w:rsidRPr="00CF5328" w:rsidP="004957F6" w14:paraId="1DBF299A" w14:textId="77777777">
            <w:pPr>
              <w:jc w:val="center"/>
              <w:rPr>
                <w:b/>
                <w:bCs/>
                <w:sz w:val="16"/>
                <w:szCs w:val="16"/>
              </w:rPr>
            </w:pPr>
            <w:r w:rsidRPr="00CF5328">
              <w:rPr>
                <w:b/>
                <w:bCs/>
                <w:sz w:val="16"/>
                <w:szCs w:val="16"/>
              </w:rPr>
              <w:t>FY</w:t>
            </w:r>
            <w:r>
              <w:rPr>
                <w:b/>
                <w:bCs/>
                <w:sz w:val="16"/>
                <w:szCs w:val="16"/>
              </w:rPr>
              <w:t xml:space="preserve"> </w:t>
            </w:r>
            <w:r w:rsidRPr="00CF5328">
              <w:rPr>
                <w:b/>
                <w:bCs/>
                <w:sz w:val="16"/>
                <w:szCs w:val="16"/>
              </w:rPr>
              <w:t>2020</w:t>
            </w:r>
          </w:p>
        </w:tc>
      </w:tr>
      <w:tr w14:paraId="1CDC1683"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5DDC708C" w14:textId="77777777">
            <w:pPr>
              <w:rPr>
                <w:b/>
                <w:bCs/>
                <w:sz w:val="16"/>
                <w:szCs w:val="16"/>
              </w:rPr>
            </w:pPr>
            <w:r w:rsidRPr="00CF5328">
              <w:rPr>
                <w:b/>
                <w:bCs/>
                <w:sz w:val="16"/>
                <w:szCs w:val="16"/>
              </w:rPr>
              <w:t>Total</w:t>
            </w:r>
            <w:r>
              <w:rPr>
                <w:b/>
                <w:bCs/>
                <w:sz w:val="16"/>
                <w:szCs w:val="16"/>
              </w:rPr>
              <w:t xml:space="preserve"> </w:t>
            </w:r>
            <w:r w:rsidRPr="00CF5328">
              <w:rPr>
                <w:b/>
                <w:bCs/>
                <w:sz w:val="16"/>
                <w:szCs w:val="16"/>
              </w:rPr>
              <w:t>Custodial</w:t>
            </w:r>
            <w:r>
              <w:rPr>
                <w:b/>
                <w:bCs/>
                <w:sz w:val="16"/>
                <w:szCs w:val="16"/>
              </w:rPr>
              <w:t xml:space="preserve"> </w:t>
            </w:r>
            <w:r w:rsidRPr="00CF5328">
              <w:rPr>
                <w:b/>
                <w:bCs/>
                <w:sz w:val="16"/>
                <w:szCs w:val="16"/>
              </w:rPr>
              <w:t>Revenue:</w:t>
            </w:r>
          </w:p>
        </w:tc>
        <w:tc>
          <w:tcPr>
            <w:tcW w:w="1340" w:type="dxa"/>
            <w:tcBorders>
              <w:top w:val="nil"/>
              <w:left w:val="nil"/>
              <w:bottom w:val="nil"/>
              <w:right w:val="nil"/>
            </w:tcBorders>
            <w:shd w:val="clear" w:color="000000" w:fill="FFFFFF"/>
            <w:noWrap/>
            <w:vAlign w:val="bottom"/>
            <w:hideMark/>
          </w:tcPr>
          <w:p w:rsidR="00167DE1" w:rsidRPr="00CF5328" w:rsidP="004957F6" w14:paraId="6CD68A2A" w14:textId="77777777">
            <w:pPr>
              <w:jc w:val="right"/>
              <w:rPr>
                <w:b/>
                <w:bCs/>
                <w:sz w:val="16"/>
                <w:szCs w:val="16"/>
              </w:rPr>
            </w:pPr>
            <w:r>
              <w:rPr>
                <w:b/>
                <w:bCs/>
                <w:sz w:val="16"/>
                <w:szCs w:val="16"/>
              </w:rPr>
              <w:t xml:space="preserve"> </w:t>
            </w:r>
          </w:p>
        </w:tc>
        <w:tc>
          <w:tcPr>
            <w:tcW w:w="1340" w:type="dxa"/>
            <w:tcBorders>
              <w:top w:val="nil"/>
              <w:left w:val="nil"/>
              <w:bottom w:val="nil"/>
              <w:right w:val="nil"/>
            </w:tcBorders>
            <w:shd w:val="clear" w:color="000000" w:fill="FFFFFF"/>
            <w:noWrap/>
            <w:vAlign w:val="bottom"/>
            <w:hideMark/>
          </w:tcPr>
          <w:p w:rsidR="00167DE1" w:rsidRPr="00CF5328" w:rsidP="004957F6" w14:paraId="7D7F6F41" w14:textId="77777777">
            <w:pPr>
              <w:jc w:val="right"/>
              <w:rPr>
                <w:b/>
                <w:bCs/>
                <w:sz w:val="16"/>
                <w:szCs w:val="16"/>
              </w:rPr>
            </w:pPr>
            <w:r>
              <w:rPr>
                <w:b/>
                <w:bCs/>
                <w:sz w:val="16"/>
                <w:szCs w:val="16"/>
              </w:rPr>
              <w:t xml:space="preserve"> </w:t>
            </w:r>
          </w:p>
        </w:tc>
      </w:tr>
      <w:tr w14:paraId="506E6093"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425869D8" w14:textId="77777777">
            <w:pPr>
              <w:ind w:firstLine="160" w:firstLineChars="100"/>
              <w:rPr>
                <w:sz w:val="16"/>
                <w:szCs w:val="16"/>
              </w:rPr>
            </w:pPr>
            <w:r w:rsidRPr="00CF5328">
              <w:rPr>
                <w:sz w:val="16"/>
                <w:szCs w:val="16"/>
              </w:rPr>
              <w:t>Sources</w:t>
            </w:r>
            <w:r>
              <w:rPr>
                <w:sz w:val="16"/>
                <w:szCs w:val="16"/>
              </w:rPr>
              <w:t xml:space="preserve"> </w:t>
            </w:r>
            <w:r w:rsidRPr="00CF5328">
              <w:rPr>
                <w:sz w:val="16"/>
                <w:szCs w:val="16"/>
              </w:rPr>
              <w:t>of</w:t>
            </w:r>
            <w:r>
              <w:rPr>
                <w:sz w:val="16"/>
                <w:szCs w:val="16"/>
              </w:rPr>
              <w:t xml:space="preserve"> </w:t>
            </w:r>
            <w:r w:rsidRPr="00CF5328">
              <w:rPr>
                <w:sz w:val="16"/>
                <w:szCs w:val="16"/>
              </w:rPr>
              <w:t>Cash</w:t>
            </w:r>
            <w:r>
              <w:rPr>
                <w:sz w:val="16"/>
                <w:szCs w:val="16"/>
              </w:rPr>
              <w:t xml:space="preserve"> </w:t>
            </w:r>
            <w:r w:rsidRPr="00CF5328">
              <w:rPr>
                <w:sz w:val="16"/>
                <w:szCs w:val="16"/>
              </w:rPr>
              <w:t>Collections:</w:t>
            </w:r>
          </w:p>
        </w:tc>
        <w:tc>
          <w:tcPr>
            <w:tcW w:w="1340" w:type="dxa"/>
            <w:tcBorders>
              <w:top w:val="nil"/>
              <w:left w:val="nil"/>
              <w:bottom w:val="nil"/>
              <w:right w:val="nil"/>
            </w:tcBorders>
            <w:shd w:val="clear" w:color="000000" w:fill="FFFFFF"/>
            <w:noWrap/>
            <w:vAlign w:val="bottom"/>
            <w:hideMark/>
          </w:tcPr>
          <w:p w:rsidR="00167DE1" w:rsidRPr="00CF5328" w:rsidP="004957F6" w14:paraId="54E15D88" w14:textId="77777777">
            <w:pPr>
              <w:jc w:val="right"/>
              <w:rPr>
                <w:sz w:val="16"/>
                <w:szCs w:val="16"/>
              </w:rPr>
            </w:pPr>
            <w:r>
              <w:rPr>
                <w:sz w:val="16"/>
                <w:szCs w:val="16"/>
              </w:rPr>
              <w:t xml:space="preserve"> </w:t>
            </w:r>
          </w:p>
        </w:tc>
        <w:tc>
          <w:tcPr>
            <w:tcW w:w="1340" w:type="dxa"/>
            <w:tcBorders>
              <w:top w:val="nil"/>
              <w:left w:val="nil"/>
              <w:bottom w:val="nil"/>
              <w:right w:val="nil"/>
            </w:tcBorders>
            <w:shd w:val="clear" w:color="000000" w:fill="FFFFFF"/>
            <w:noWrap/>
            <w:vAlign w:val="bottom"/>
            <w:hideMark/>
          </w:tcPr>
          <w:p w:rsidR="00167DE1" w:rsidRPr="00CF5328" w:rsidP="004957F6" w14:paraId="64CE10FB" w14:textId="77777777">
            <w:pPr>
              <w:jc w:val="right"/>
              <w:rPr>
                <w:sz w:val="16"/>
                <w:szCs w:val="16"/>
              </w:rPr>
            </w:pPr>
            <w:r>
              <w:rPr>
                <w:sz w:val="16"/>
                <w:szCs w:val="16"/>
              </w:rPr>
              <w:t xml:space="preserve"> </w:t>
            </w:r>
          </w:p>
        </w:tc>
      </w:tr>
      <w:tr w14:paraId="70EE956C" w14:textId="77777777" w:rsidTr="00443B5C">
        <w:tblPrEx>
          <w:tblW w:w="5000" w:type="pct"/>
          <w:tblLook w:val="04A0"/>
        </w:tblPrEx>
        <w:trPr>
          <w:trHeight w:val="216"/>
        </w:trPr>
        <w:tc>
          <w:tcPr>
            <w:tcW w:w="7460" w:type="dxa"/>
            <w:tcBorders>
              <w:top w:val="nil"/>
              <w:left w:val="nil"/>
              <w:bottom w:val="nil"/>
              <w:right w:val="nil"/>
            </w:tcBorders>
            <w:shd w:val="clear" w:color="000000" w:fill="FFFFFF"/>
            <w:noWrap/>
            <w:vAlign w:val="bottom"/>
            <w:hideMark/>
          </w:tcPr>
          <w:p w:rsidR="00167DE1" w:rsidRPr="00CF5328" w:rsidP="004957F6" w14:paraId="357BB6C1" w14:textId="77777777">
            <w:pPr>
              <w:ind w:firstLine="480" w:firstLineChars="300"/>
              <w:rPr>
                <w:sz w:val="16"/>
                <w:szCs w:val="16"/>
              </w:rPr>
            </w:pPr>
            <w:r w:rsidRPr="00CF5328">
              <w:rPr>
                <w:sz w:val="16"/>
                <w:szCs w:val="16"/>
              </w:rPr>
              <w:t>Spectrum</w:t>
            </w:r>
            <w:r>
              <w:rPr>
                <w:sz w:val="16"/>
                <w:szCs w:val="16"/>
              </w:rPr>
              <w:t xml:space="preserve"> </w:t>
            </w:r>
            <w:r w:rsidRPr="00CF5328">
              <w:rPr>
                <w:sz w:val="16"/>
                <w:szCs w:val="16"/>
              </w:rPr>
              <w:t>Auctions</w:t>
            </w:r>
          </w:p>
        </w:tc>
        <w:tc>
          <w:tcPr>
            <w:tcW w:w="1340" w:type="dxa"/>
            <w:tcBorders>
              <w:top w:val="nil"/>
              <w:left w:val="nil"/>
              <w:bottom w:val="nil"/>
              <w:right w:val="nil"/>
            </w:tcBorders>
            <w:shd w:val="clear" w:color="000000" w:fill="FFFFFF"/>
            <w:noWrap/>
            <w:vAlign w:val="bottom"/>
            <w:hideMark/>
          </w:tcPr>
          <w:p w:rsidR="00167DE1" w:rsidRPr="00CF5328" w:rsidP="004957F6" w14:paraId="661ECB4D" w14:textId="76605ADA">
            <w:pPr>
              <w:jc w:val="right"/>
              <w:rPr>
                <w:sz w:val="16"/>
                <w:szCs w:val="16"/>
              </w:rPr>
            </w:pPr>
            <w:r w:rsidRPr="00CF5328">
              <w:rPr>
                <w:sz w:val="16"/>
                <w:szCs w:val="16"/>
              </w:rPr>
              <w:t>$</w:t>
            </w:r>
            <w:r w:rsidR="00C861A0">
              <w:rPr>
                <w:sz w:val="16"/>
                <w:szCs w:val="16"/>
              </w:rPr>
              <w:t xml:space="preserve">     </w:t>
            </w:r>
            <w:r w:rsidRPr="00CF5328">
              <w:rPr>
                <w:sz w:val="16"/>
                <w:szCs w:val="16"/>
              </w:rPr>
              <w:t>85,564,050</w:t>
            </w:r>
            <w:r>
              <w:rPr>
                <w:sz w:val="16"/>
                <w:szCs w:val="16"/>
              </w:rPr>
              <w:t xml:space="preserve"> </w:t>
            </w:r>
          </w:p>
        </w:tc>
        <w:tc>
          <w:tcPr>
            <w:tcW w:w="1340" w:type="dxa"/>
            <w:tcBorders>
              <w:top w:val="nil"/>
              <w:left w:val="nil"/>
              <w:bottom w:val="nil"/>
              <w:right w:val="nil"/>
            </w:tcBorders>
            <w:shd w:val="clear" w:color="000000" w:fill="FFFFFF"/>
            <w:noWrap/>
            <w:vAlign w:val="bottom"/>
            <w:hideMark/>
          </w:tcPr>
          <w:p w:rsidR="00167DE1" w:rsidRPr="00CF5328" w:rsidP="004957F6" w14:paraId="466A23DC" w14:textId="3C1BCADF">
            <w:pPr>
              <w:jc w:val="right"/>
              <w:rPr>
                <w:sz w:val="16"/>
                <w:szCs w:val="16"/>
              </w:rPr>
            </w:pPr>
            <w:r w:rsidRPr="00CF5328">
              <w:rPr>
                <w:sz w:val="16"/>
                <w:szCs w:val="16"/>
              </w:rPr>
              <w:t>$</w:t>
            </w:r>
            <w:r w:rsidR="00C861A0">
              <w:rPr>
                <w:sz w:val="16"/>
                <w:szCs w:val="16"/>
              </w:rPr>
              <w:t xml:space="preserve">     </w:t>
            </w:r>
            <w:r w:rsidRPr="00CF5328">
              <w:rPr>
                <w:sz w:val="16"/>
                <w:szCs w:val="16"/>
              </w:rPr>
              <w:t>10,291,811</w:t>
            </w:r>
            <w:r>
              <w:rPr>
                <w:sz w:val="16"/>
                <w:szCs w:val="16"/>
              </w:rPr>
              <w:t xml:space="preserve"> </w:t>
            </w:r>
          </w:p>
        </w:tc>
      </w:tr>
      <w:tr w14:paraId="5C6D0226"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0BE73CA9" w14:textId="77777777">
            <w:pPr>
              <w:ind w:firstLine="480" w:firstLineChars="300"/>
              <w:rPr>
                <w:sz w:val="16"/>
                <w:szCs w:val="16"/>
              </w:rPr>
            </w:pPr>
            <w:r w:rsidRPr="00CF5328">
              <w:rPr>
                <w:sz w:val="16"/>
                <w:szCs w:val="16"/>
              </w:rPr>
              <w:t>Fines</w:t>
            </w:r>
            <w:r>
              <w:rPr>
                <w:sz w:val="16"/>
                <w:szCs w:val="16"/>
              </w:rPr>
              <w:t xml:space="preserve"> </w:t>
            </w:r>
            <w:r w:rsidRPr="00CF5328">
              <w:rPr>
                <w:sz w:val="16"/>
                <w:szCs w:val="16"/>
              </w:rPr>
              <w:t>and</w:t>
            </w:r>
            <w:r>
              <w:rPr>
                <w:sz w:val="16"/>
                <w:szCs w:val="16"/>
              </w:rPr>
              <w:t xml:space="preserve"> </w:t>
            </w:r>
            <w:r w:rsidRPr="00CF5328">
              <w:rPr>
                <w:sz w:val="16"/>
                <w:szCs w:val="16"/>
              </w:rPr>
              <w:t>Penalties</w:t>
            </w:r>
            <w:r>
              <w:rPr>
                <w:sz w:val="16"/>
                <w:szCs w:val="16"/>
              </w:rPr>
              <w:t xml:space="preserve"> </w:t>
            </w:r>
          </w:p>
        </w:tc>
        <w:tc>
          <w:tcPr>
            <w:tcW w:w="1340" w:type="dxa"/>
            <w:tcBorders>
              <w:top w:val="nil"/>
              <w:left w:val="nil"/>
              <w:bottom w:val="nil"/>
              <w:right w:val="nil"/>
            </w:tcBorders>
            <w:shd w:val="clear" w:color="000000" w:fill="FFFFFF"/>
            <w:noWrap/>
            <w:vAlign w:val="bottom"/>
            <w:hideMark/>
          </w:tcPr>
          <w:p w:rsidR="00167DE1" w:rsidRPr="00CF5328" w:rsidP="004957F6" w14:paraId="410ECC94" w14:textId="77777777">
            <w:pPr>
              <w:jc w:val="right"/>
              <w:rPr>
                <w:sz w:val="16"/>
                <w:szCs w:val="16"/>
              </w:rPr>
            </w:pPr>
            <w:r>
              <w:rPr>
                <w:sz w:val="16"/>
                <w:szCs w:val="16"/>
              </w:rPr>
              <w:t xml:space="preserve"> </w:t>
            </w:r>
            <w:r w:rsidRPr="00CF5328">
              <w:rPr>
                <w:sz w:val="16"/>
                <w:szCs w:val="16"/>
              </w:rPr>
              <w:t>207,301</w:t>
            </w:r>
            <w:r>
              <w:rPr>
                <w:sz w:val="16"/>
                <w:szCs w:val="16"/>
              </w:rPr>
              <w:t xml:space="preserve"> </w:t>
            </w:r>
          </w:p>
        </w:tc>
        <w:tc>
          <w:tcPr>
            <w:tcW w:w="1340" w:type="dxa"/>
            <w:tcBorders>
              <w:top w:val="nil"/>
              <w:left w:val="nil"/>
              <w:bottom w:val="nil"/>
              <w:right w:val="nil"/>
            </w:tcBorders>
            <w:shd w:val="clear" w:color="000000" w:fill="FFFFFF"/>
            <w:noWrap/>
            <w:vAlign w:val="bottom"/>
            <w:hideMark/>
          </w:tcPr>
          <w:p w:rsidR="00167DE1" w:rsidRPr="00CF5328" w:rsidP="004957F6" w14:paraId="6FCB118B" w14:textId="77777777">
            <w:pPr>
              <w:jc w:val="right"/>
              <w:rPr>
                <w:sz w:val="16"/>
                <w:szCs w:val="16"/>
              </w:rPr>
            </w:pPr>
            <w:r>
              <w:rPr>
                <w:sz w:val="16"/>
                <w:szCs w:val="16"/>
              </w:rPr>
              <w:t xml:space="preserve"> </w:t>
            </w:r>
            <w:r w:rsidRPr="00CF5328">
              <w:rPr>
                <w:sz w:val="16"/>
                <w:szCs w:val="16"/>
              </w:rPr>
              <w:t>63,343</w:t>
            </w:r>
            <w:r>
              <w:rPr>
                <w:sz w:val="16"/>
                <w:szCs w:val="16"/>
              </w:rPr>
              <w:t xml:space="preserve"> </w:t>
            </w:r>
          </w:p>
        </w:tc>
      </w:tr>
      <w:tr w14:paraId="73F31340"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5CF840FF" w14:textId="77777777">
            <w:pPr>
              <w:ind w:firstLine="160" w:firstLineChars="100"/>
              <w:rPr>
                <w:sz w:val="16"/>
                <w:szCs w:val="16"/>
              </w:rPr>
            </w:pPr>
            <w:r w:rsidRPr="00CF5328">
              <w:rPr>
                <w:sz w:val="16"/>
                <w:szCs w:val="16"/>
              </w:rPr>
              <w:t>Total</w:t>
            </w:r>
            <w:r>
              <w:rPr>
                <w:sz w:val="16"/>
                <w:szCs w:val="16"/>
              </w:rPr>
              <w:t xml:space="preserve"> </w:t>
            </w:r>
            <w:r w:rsidRPr="00CF5328">
              <w:rPr>
                <w:sz w:val="16"/>
                <w:szCs w:val="16"/>
              </w:rPr>
              <w:t>Cash</w:t>
            </w:r>
            <w:r>
              <w:rPr>
                <w:sz w:val="16"/>
                <w:szCs w:val="16"/>
              </w:rPr>
              <w:t xml:space="preserve"> </w:t>
            </w:r>
            <w:r w:rsidRPr="00CF5328">
              <w:rPr>
                <w:sz w:val="16"/>
                <w:szCs w:val="16"/>
              </w:rPr>
              <w:t>Collections</w:t>
            </w:r>
          </w:p>
        </w:tc>
        <w:tc>
          <w:tcPr>
            <w:tcW w:w="1340" w:type="dxa"/>
            <w:tcBorders>
              <w:top w:val="single" w:sz="4" w:space="0" w:color="auto"/>
              <w:left w:val="nil"/>
              <w:bottom w:val="nil"/>
              <w:right w:val="nil"/>
            </w:tcBorders>
            <w:shd w:val="clear" w:color="000000" w:fill="FFFFFF"/>
            <w:noWrap/>
            <w:vAlign w:val="bottom"/>
            <w:hideMark/>
          </w:tcPr>
          <w:p w:rsidR="00167DE1" w:rsidRPr="00CF5328" w:rsidP="004957F6" w14:paraId="3AE264A2" w14:textId="77777777">
            <w:pPr>
              <w:jc w:val="right"/>
              <w:rPr>
                <w:sz w:val="16"/>
                <w:szCs w:val="16"/>
              </w:rPr>
            </w:pPr>
            <w:r>
              <w:rPr>
                <w:sz w:val="16"/>
                <w:szCs w:val="16"/>
              </w:rPr>
              <w:t xml:space="preserve"> </w:t>
            </w:r>
            <w:r w:rsidRPr="00CF5328">
              <w:rPr>
                <w:sz w:val="16"/>
                <w:szCs w:val="16"/>
              </w:rPr>
              <w:t>85,771,351</w:t>
            </w:r>
            <w:r>
              <w:rPr>
                <w:sz w:val="16"/>
                <w:szCs w:val="16"/>
              </w:rPr>
              <w:t xml:space="preserve"> </w:t>
            </w:r>
          </w:p>
        </w:tc>
        <w:tc>
          <w:tcPr>
            <w:tcW w:w="1340" w:type="dxa"/>
            <w:tcBorders>
              <w:top w:val="single" w:sz="4" w:space="0" w:color="auto"/>
              <w:left w:val="nil"/>
              <w:bottom w:val="nil"/>
              <w:right w:val="nil"/>
            </w:tcBorders>
            <w:shd w:val="clear" w:color="000000" w:fill="FFFFFF"/>
            <w:noWrap/>
            <w:vAlign w:val="bottom"/>
            <w:hideMark/>
          </w:tcPr>
          <w:p w:rsidR="00167DE1" w:rsidRPr="00CF5328" w:rsidP="004957F6" w14:paraId="1A3B6735" w14:textId="77777777">
            <w:pPr>
              <w:jc w:val="right"/>
              <w:rPr>
                <w:sz w:val="16"/>
                <w:szCs w:val="16"/>
              </w:rPr>
            </w:pPr>
            <w:r>
              <w:rPr>
                <w:sz w:val="16"/>
                <w:szCs w:val="16"/>
              </w:rPr>
              <w:t xml:space="preserve"> </w:t>
            </w:r>
            <w:r w:rsidRPr="00CF5328">
              <w:rPr>
                <w:sz w:val="16"/>
                <w:szCs w:val="16"/>
              </w:rPr>
              <w:t>10,355,154</w:t>
            </w:r>
            <w:r>
              <w:rPr>
                <w:sz w:val="16"/>
                <w:szCs w:val="16"/>
              </w:rPr>
              <w:t xml:space="preserve"> </w:t>
            </w:r>
          </w:p>
        </w:tc>
      </w:tr>
      <w:tr w14:paraId="17C6579A"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4F366487" w14:textId="0DB941A3">
            <w:pPr>
              <w:ind w:firstLine="160" w:firstLineChars="100"/>
              <w:rPr>
                <w:sz w:val="16"/>
                <w:szCs w:val="16"/>
              </w:rPr>
            </w:pPr>
            <w:r w:rsidRPr="00CF5328">
              <w:rPr>
                <w:sz w:val="16"/>
                <w:szCs w:val="16"/>
              </w:rPr>
              <w:t>Accrual</w:t>
            </w:r>
            <w:r>
              <w:rPr>
                <w:sz w:val="16"/>
                <w:szCs w:val="16"/>
              </w:rPr>
              <w:t xml:space="preserve"> </w:t>
            </w:r>
            <w:r w:rsidRPr="00CF5328">
              <w:rPr>
                <w:sz w:val="16"/>
                <w:szCs w:val="16"/>
              </w:rPr>
              <w:t>Adjustments</w:t>
            </w:r>
            <w:r>
              <w:rPr>
                <w:sz w:val="16"/>
                <w:szCs w:val="16"/>
              </w:rPr>
              <w:t xml:space="preserve"> </w:t>
            </w:r>
            <w:r w:rsidRPr="00CF5328">
              <w:rPr>
                <w:sz w:val="16"/>
                <w:szCs w:val="16"/>
              </w:rPr>
              <w:t>(+/</w:t>
            </w:r>
            <w:r w:rsidRPr="00CF5328" w:rsidR="0072070B">
              <w:rPr>
                <w:sz w:val="16"/>
                <w:szCs w:val="16"/>
              </w:rPr>
              <w:t>-</w:t>
            </w:r>
            <w:r w:rsidRPr="00CF5328">
              <w:rPr>
                <w:sz w:val="16"/>
                <w:szCs w:val="16"/>
              </w:rPr>
              <w:t>)</w:t>
            </w:r>
          </w:p>
        </w:tc>
        <w:tc>
          <w:tcPr>
            <w:tcW w:w="1340" w:type="dxa"/>
            <w:tcBorders>
              <w:top w:val="nil"/>
              <w:left w:val="nil"/>
              <w:bottom w:val="nil"/>
              <w:right w:val="nil"/>
            </w:tcBorders>
            <w:shd w:val="clear" w:color="000000" w:fill="FFFFFF"/>
            <w:noWrap/>
            <w:vAlign w:val="bottom"/>
            <w:hideMark/>
          </w:tcPr>
          <w:p w:rsidR="00167DE1" w:rsidRPr="00CF5328" w:rsidP="004957F6" w14:paraId="74BB66A2" w14:textId="77777777">
            <w:pPr>
              <w:jc w:val="right"/>
              <w:rPr>
                <w:sz w:val="16"/>
                <w:szCs w:val="16"/>
              </w:rPr>
            </w:pPr>
            <w:r>
              <w:rPr>
                <w:sz w:val="16"/>
                <w:szCs w:val="16"/>
              </w:rPr>
              <w:t xml:space="preserve"> </w:t>
            </w:r>
          </w:p>
        </w:tc>
        <w:tc>
          <w:tcPr>
            <w:tcW w:w="1340" w:type="dxa"/>
            <w:tcBorders>
              <w:top w:val="nil"/>
              <w:left w:val="nil"/>
              <w:bottom w:val="nil"/>
              <w:right w:val="nil"/>
            </w:tcBorders>
            <w:shd w:val="clear" w:color="000000" w:fill="FFFFFF"/>
            <w:noWrap/>
            <w:vAlign w:val="bottom"/>
            <w:hideMark/>
          </w:tcPr>
          <w:p w:rsidR="00167DE1" w:rsidRPr="00CF5328" w:rsidP="004957F6" w14:paraId="545D3BA7" w14:textId="77777777">
            <w:pPr>
              <w:jc w:val="right"/>
              <w:rPr>
                <w:sz w:val="16"/>
                <w:szCs w:val="16"/>
              </w:rPr>
            </w:pPr>
            <w:r>
              <w:rPr>
                <w:sz w:val="16"/>
                <w:szCs w:val="16"/>
              </w:rPr>
              <w:t xml:space="preserve"> </w:t>
            </w:r>
          </w:p>
        </w:tc>
      </w:tr>
      <w:tr w14:paraId="005361B0"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2F1B71EF" w14:textId="77777777">
            <w:pPr>
              <w:ind w:firstLine="480" w:firstLineChars="300"/>
              <w:rPr>
                <w:sz w:val="16"/>
                <w:szCs w:val="16"/>
              </w:rPr>
            </w:pPr>
            <w:r w:rsidRPr="00CF5328">
              <w:rPr>
                <w:sz w:val="16"/>
                <w:szCs w:val="16"/>
              </w:rPr>
              <w:t>Fines</w:t>
            </w:r>
            <w:r>
              <w:rPr>
                <w:sz w:val="16"/>
                <w:szCs w:val="16"/>
              </w:rPr>
              <w:t xml:space="preserve"> </w:t>
            </w:r>
            <w:r w:rsidRPr="00CF5328">
              <w:rPr>
                <w:sz w:val="16"/>
                <w:szCs w:val="16"/>
              </w:rPr>
              <w:t>and</w:t>
            </w:r>
            <w:r>
              <w:rPr>
                <w:sz w:val="16"/>
                <w:szCs w:val="16"/>
              </w:rPr>
              <w:t xml:space="preserve"> </w:t>
            </w:r>
            <w:r w:rsidRPr="00CF5328">
              <w:rPr>
                <w:sz w:val="16"/>
                <w:szCs w:val="16"/>
              </w:rPr>
              <w:t>Penalties</w:t>
            </w:r>
          </w:p>
        </w:tc>
        <w:tc>
          <w:tcPr>
            <w:tcW w:w="1340" w:type="dxa"/>
            <w:tcBorders>
              <w:top w:val="nil"/>
              <w:left w:val="nil"/>
              <w:bottom w:val="nil"/>
              <w:right w:val="nil"/>
            </w:tcBorders>
            <w:shd w:val="clear" w:color="000000" w:fill="FFFFFF"/>
            <w:noWrap/>
            <w:vAlign w:val="bottom"/>
            <w:hideMark/>
          </w:tcPr>
          <w:p w:rsidR="00167DE1" w:rsidRPr="00CF5328" w:rsidP="004957F6" w14:paraId="4AEEA023" w14:textId="77777777">
            <w:pPr>
              <w:jc w:val="right"/>
              <w:rPr>
                <w:sz w:val="16"/>
                <w:szCs w:val="16"/>
              </w:rPr>
            </w:pPr>
            <w:r>
              <w:rPr>
                <w:sz w:val="16"/>
                <w:szCs w:val="16"/>
              </w:rPr>
              <w:t xml:space="preserve"> </w:t>
            </w:r>
            <w:r w:rsidRPr="00CF5328">
              <w:rPr>
                <w:sz w:val="16"/>
                <w:szCs w:val="16"/>
              </w:rPr>
              <w:t>8,718</w:t>
            </w:r>
            <w:r>
              <w:rPr>
                <w:sz w:val="16"/>
                <w:szCs w:val="16"/>
              </w:rPr>
              <w:t xml:space="preserve"> </w:t>
            </w:r>
          </w:p>
        </w:tc>
        <w:tc>
          <w:tcPr>
            <w:tcW w:w="1340" w:type="dxa"/>
            <w:tcBorders>
              <w:top w:val="nil"/>
              <w:left w:val="nil"/>
              <w:bottom w:val="nil"/>
              <w:right w:val="nil"/>
            </w:tcBorders>
            <w:shd w:val="clear" w:color="000000" w:fill="FFFFFF"/>
            <w:noWrap/>
            <w:vAlign w:val="bottom"/>
            <w:hideMark/>
          </w:tcPr>
          <w:p w:rsidR="00167DE1" w:rsidRPr="00CF5328" w:rsidP="004957F6" w14:paraId="3F822F0A" w14:textId="77777777">
            <w:pPr>
              <w:jc w:val="right"/>
              <w:rPr>
                <w:sz w:val="16"/>
                <w:szCs w:val="16"/>
              </w:rPr>
            </w:pPr>
            <w:r>
              <w:rPr>
                <w:sz w:val="16"/>
                <w:szCs w:val="16"/>
              </w:rPr>
              <w:t xml:space="preserve"> </w:t>
            </w:r>
            <w:r w:rsidRPr="00CF5328">
              <w:rPr>
                <w:sz w:val="16"/>
                <w:szCs w:val="16"/>
              </w:rPr>
              <w:t>4,504</w:t>
            </w:r>
            <w:r>
              <w:rPr>
                <w:sz w:val="16"/>
                <w:szCs w:val="16"/>
              </w:rPr>
              <w:t xml:space="preserve"> </w:t>
            </w:r>
          </w:p>
        </w:tc>
      </w:tr>
      <w:tr w14:paraId="606296A4"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19D74241" w14:textId="77777777">
            <w:pPr>
              <w:ind w:firstLine="160" w:firstLineChars="100"/>
              <w:rPr>
                <w:sz w:val="16"/>
                <w:szCs w:val="16"/>
              </w:rPr>
            </w:pPr>
            <w:r w:rsidRPr="00CF5328">
              <w:rPr>
                <w:sz w:val="16"/>
                <w:szCs w:val="16"/>
              </w:rPr>
              <w:t>Total</w:t>
            </w:r>
            <w:r>
              <w:rPr>
                <w:sz w:val="16"/>
                <w:szCs w:val="16"/>
              </w:rPr>
              <w:t xml:space="preserve"> </w:t>
            </w:r>
            <w:r w:rsidRPr="00CF5328">
              <w:rPr>
                <w:sz w:val="16"/>
                <w:szCs w:val="16"/>
              </w:rPr>
              <w:t>Accrual</w:t>
            </w:r>
            <w:r>
              <w:rPr>
                <w:sz w:val="16"/>
                <w:szCs w:val="16"/>
              </w:rPr>
              <w:t xml:space="preserve"> </w:t>
            </w:r>
            <w:r w:rsidRPr="00CF5328">
              <w:rPr>
                <w:sz w:val="16"/>
                <w:szCs w:val="16"/>
              </w:rPr>
              <w:t>Adjustments</w:t>
            </w:r>
          </w:p>
        </w:tc>
        <w:tc>
          <w:tcPr>
            <w:tcW w:w="1340" w:type="dxa"/>
            <w:tcBorders>
              <w:top w:val="single" w:sz="4" w:space="0" w:color="auto"/>
              <w:left w:val="nil"/>
              <w:bottom w:val="nil"/>
              <w:right w:val="nil"/>
            </w:tcBorders>
            <w:shd w:val="clear" w:color="000000" w:fill="FFFFFF"/>
            <w:noWrap/>
            <w:vAlign w:val="bottom"/>
            <w:hideMark/>
          </w:tcPr>
          <w:p w:rsidR="00167DE1" w:rsidRPr="00CF5328" w:rsidP="004957F6" w14:paraId="72157C9F" w14:textId="77777777">
            <w:pPr>
              <w:jc w:val="right"/>
              <w:rPr>
                <w:sz w:val="16"/>
                <w:szCs w:val="16"/>
              </w:rPr>
            </w:pPr>
            <w:r>
              <w:rPr>
                <w:sz w:val="16"/>
                <w:szCs w:val="16"/>
              </w:rPr>
              <w:t xml:space="preserve"> </w:t>
            </w:r>
            <w:r w:rsidRPr="00CF5328">
              <w:rPr>
                <w:sz w:val="16"/>
                <w:szCs w:val="16"/>
              </w:rPr>
              <w:t>8,718</w:t>
            </w:r>
            <w:r>
              <w:rPr>
                <w:sz w:val="16"/>
                <w:szCs w:val="16"/>
              </w:rPr>
              <w:t xml:space="preserve"> </w:t>
            </w:r>
          </w:p>
        </w:tc>
        <w:tc>
          <w:tcPr>
            <w:tcW w:w="1340" w:type="dxa"/>
            <w:tcBorders>
              <w:top w:val="single" w:sz="4" w:space="0" w:color="auto"/>
              <w:left w:val="nil"/>
              <w:bottom w:val="nil"/>
              <w:right w:val="nil"/>
            </w:tcBorders>
            <w:shd w:val="clear" w:color="000000" w:fill="FFFFFF"/>
            <w:noWrap/>
            <w:vAlign w:val="bottom"/>
            <w:hideMark/>
          </w:tcPr>
          <w:p w:rsidR="00167DE1" w:rsidRPr="00CF5328" w:rsidP="004957F6" w14:paraId="3D5AD322" w14:textId="77777777">
            <w:pPr>
              <w:jc w:val="right"/>
              <w:rPr>
                <w:sz w:val="16"/>
                <w:szCs w:val="16"/>
              </w:rPr>
            </w:pPr>
            <w:r>
              <w:rPr>
                <w:sz w:val="16"/>
                <w:szCs w:val="16"/>
              </w:rPr>
              <w:t xml:space="preserve"> </w:t>
            </w:r>
            <w:r w:rsidRPr="00CF5328">
              <w:rPr>
                <w:sz w:val="16"/>
                <w:szCs w:val="16"/>
              </w:rPr>
              <w:t>4,504</w:t>
            </w:r>
            <w:r>
              <w:rPr>
                <w:sz w:val="16"/>
                <w:szCs w:val="16"/>
              </w:rPr>
              <w:t xml:space="preserve"> </w:t>
            </w:r>
          </w:p>
        </w:tc>
      </w:tr>
      <w:tr w14:paraId="71B97C27"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413A02DF" w14:textId="77777777">
            <w:pPr>
              <w:ind w:firstLine="160" w:firstLineChars="100"/>
              <w:rPr>
                <w:b/>
                <w:bCs/>
                <w:sz w:val="16"/>
                <w:szCs w:val="16"/>
              </w:rPr>
            </w:pPr>
            <w:r w:rsidRPr="00CF5328">
              <w:rPr>
                <w:b/>
                <w:bCs/>
                <w:sz w:val="16"/>
                <w:szCs w:val="16"/>
              </w:rPr>
              <w:t>Total</w:t>
            </w:r>
            <w:r>
              <w:rPr>
                <w:b/>
                <w:bCs/>
                <w:sz w:val="16"/>
                <w:szCs w:val="16"/>
              </w:rPr>
              <w:t xml:space="preserve"> </w:t>
            </w:r>
            <w:r w:rsidRPr="00CF5328">
              <w:rPr>
                <w:b/>
                <w:bCs/>
                <w:sz w:val="16"/>
                <w:szCs w:val="16"/>
              </w:rPr>
              <w:t>Custodial</w:t>
            </w:r>
            <w:r>
              <w:rPr>
                <w:b/>
                <w:bCs/>
                <w:sz w:val="16"/>
                <w:szCs w:val="16"/>
              </w:rPr>
              <w:t xml:space="preserve"> </w:t>
            </w:r>
            <w:r w:rsidRPr="00CF5328">
              <w:rPr>
                <w:b/>
                <w:bCs/>
                <w:sz w:val="16"/>
                <w:szCs w:val="16"/>
              </w:rPr>
              <w:t>Revenue</w:t>
            </w:r>
            <w:r>
              <w:rPr>
                <w:b/>
                <w:bCs/>
                <w:sz w:val="16"/>
                <w:szCs w:val="16"/>
              </w:rPr>
              <w:t xml:space="preserve"> </w:t>
            </w:r>
            <w:r w:rsidRPr="00CF5328">
              <w:rPr>
                <w:b/>
                <w:bCs/>
                <w:sz w:val="16"/>
                <w:szCs w:val="16"/>
              </w:rPr>
              <w:t>(Note</w:t>
            </w:r>
            <w:r>
              <w:rPr>
                <w:b/>
                <w:bCs/>
                <w:sz w:val="16"/>
                <w:szCs w:val="16"/>
              </w:rPr>
              <w:t xml:space="preserve"> </w:t>
            </w:r>
            <w:r w:rsidRPr="00CF5328">
              <w:rPr>
                <w:b/>
                <w:bCs/>
                <w:sz w:val="16"/>
                <w:szCs w:val="16"/>
              </w:rPr>
              <w:t>15)</w:t>
            </w:r>
          </w:p>
        </w:tc>
        <w:tc>
          <w:tcPr>
            <w:tcW w:w="1340" w:type="dxa"/>
            <w:tcBorders>
              <w:top w:val="nil"/>
              <w:left w:val="nil"/>
              <w:bottom w:val="nil"/>
              <w:right w:val="nil"/>
            </w:tcBorders>
            <w:shd w:val="clear" w:color="000000" w:fill="FFFFFF"/>
            <w:noWrap/>
            <w:vAlign w:val="bottom"/>
            <w:hideMark/>
          </w:tcPr>
          <w:p w:rsidR="00167DE1" w:rsidRPr="00CF5328" w:rsidP="004957F6" w14:paraId="698CF110" w14:textId="77777777">
            <w:pPr>
              <w:jc w:val="right"/>
              <w:rPr>
                <w:sz w:val="16"/>
                <w:szCs w:val="16"/>
              </w:rPr>
            </w:pPr>
            <w:r>
              <w:rPr>
                <w:sz w:val="16"/>
                <w:szCs w:val="16"/>
              </w:rPr>
              <w:t xml:space="preserve"> </w:t>
            </w:r>
            <w:r w:rsidRPr="00CF5328">
              <w:rPr>
                <w:sz w:val="16"/>
                <w:szCs w:val="16"/>
              </w:rPr>
              <w:t>85,780,069</w:t>
            </w:r>
            <w:r>
              <w:rPr>
                <w:sz w:val="16"/>
                <w:szCs w:val="16"/>
              </w:rPr>
              <w:t xml:space="preserve"> </w:t>
            </w:r>
          </w:p>
        </w:tc>
        <w:tc>
          <w:tcPr>
            <w:tcW w:w="1340" w:type="dxa"/>
            <w:tcBorders>
              <w:top w:val="nil"/>
              <w:left w:val="nil"/>
              <w:bottom w:val="nil"/>
              <w:right w:val="nil"/>
            </w:tcBorders>
            <w:shd w:val="clear" w:color="000000" w:fill="FFFFFF"/>
            <w:noWrap/>
            <w:vAlign w:val="bottom"/>
            <w:hideMark/>
          </w:tcPr>
          <w:p w:rsidR="00167DE1" w:rsidRPr="00CF5328" w:rsidP="004957F6" w14:paraId="5F08DAA9" w14:textId="77777777">
            <w:pPr>
              <w:jc w:val="right"/>
              <w:rPr>
                <w:sz w:val="16"/>
                <w:szCs w:val="16"/>
              </w:rPr>
            </w:pPr>
            <w:r>
              <w:rPr>
                <w:sz w:val="16"/>
                <w:szCs w:val="16"/>
              </w:rPr>
              <w:t xml:space="preserve"> </w:t>
            </w:r>
            <w:r w:rsidRPr="00CF5328">
              <w:rPr>
                <w:sz w:val="16"/>
                <w:szCs w:val="16"/>
              </w:rPr>
              <w:t>10,359,658</w:t>
            </w:r>
            <w:r>
              <w:rPr>
                <w:sz w:val="16"/>
                <w:szCs w:val="16"/>
              </w:rPr>
              <w:t xml:space="preserve"> </w:t>
            </w:r>
          </w:p>
        </w:tc>
      </w:tr>
      <w:tr w14:paraId="3203CF10" w14:textId="77777777" w:rsidTr="00443B5C">
        <w:tblPrEx>
          <w:tblW w:w="5000" w:type="pct"/>
          <w:tblLook w:val="04A0"/>
        </w:tblPrEx>
        <w:trPr>
          <w:trHeight w:val="459"/>
        </w:trPr>
        <w:tc>
          <w:tcPr>
            <w:tcW w:w="7460" w:type="dxa"/>
            <w:tcBorders>
              <w:top w:val="nil"/>
              <w:left w:val="nil"/>
              <w:bottom w:val="nil"/>
              <w:right w:val="nil"/>
            </w:tcBorders>
            <w:shd w:val="clear" w:color="000000" w:fill="FFFFFF"/>
            <w:noWrap/>
            <w:vAlign w:val="bottom"/>
            <w:hideMark/>
          </w:tcPr>
          <w:p w:rsidR="00167DE1" w:rsidRPr="00CF5328" w:rsidP="004957F6" w14:paraId="73DCE08C" w14:textId="77777777">
            <w:pPr>
              <w:rPr>
                <w:b/>
                <w:bCs/>
                <w:sz w:val="16"/>
                <w:szCs w:val="16"/>
              </w:rPr>
            </w:pPr>
            <w:r w:rsidRPr="00CF5328">
              <w:rPr>
                <w:b/>
                <w:bCs/>
                <w:sz w:val="16"/>
                <w:szCs w:val="16"/>
              </w:rPr>
              <w:t>Disposition</w:t>
            </w:r>
            <w:r>
              <w:rPr>
                <w:b/>
                <w:bCs/>
                <w:sz w:val="16"/>
                <w:szCs w:val="16"/>
              </w:rPr>
              <w:t xml:space="preserve"> </w:t>
            </w:r>
            <w:r w:rsidRPr="00CF5328">
              <w:rPr>
                <w:b/>
                <w:bCs/>
                <w:sz w:val="16"/>
                <w:szCs w:val="16"/>
              </w:rPr>
              <w:t>of</w:t>
            </w:r>
            <w:r>
              <w:rPr>
                <w:b/>
                <w:bCs/>
                <w:sz w:val="16"/>
                <w:szCs w:val="16"/>
              </w:rPr>
              <w:t xml:space="preserve"> </w:t>
            </w:r>
            <w:r w:rsidRPr="00CF5328">
              <w:rPr>
                <w:b/>
                <w:bCs/>
                <w:sz w:val="16"/>
                <w:szCs w:val="16"/>
              </w:rPr>
              <w:t>Collections:</w:t>
            </w:r>
          </w:p>
        </w:tc>
        <w:tc>
          <w:tcPr>
            <w:tcW w:w="1340" w:type="dxa"/>
            <w:tcBorders>
              <w:top w:val="nil"/>
              <w:left w:val="nil"/>
              <w:bottom w:val="nil"/>
              <w:right w:val="nil"/>
            </w:tcBorders>
            <w:shd w:val="clear" w:color="000000" w:fill="FFFFFF"/>
            <w:noWrap/>
            <w:vAlign w:val="bottom"/>
            <w:hideMark/>
          </w:tcPr>
          <w:p w:rsidR="00167DE1" w:rsidRPr="00CF5328" w:rsidP="004957F6" w14:paraId="7B9F48C7" w14:textId="77777777">
            <w:pPr>
              <w:jc w:val="right"/>
              <w:rPr>
                <w:sz w:val="16"/>
                <w:szCs w:val="16"/>
              </w:rPr>
            </w:pPr>
            <w:r>
              <w:rPr>
                <w:sz w:val="16"/>
                <w:szCs w:val="16"/>
              </w:rPr>
              <w:t xml:space="preserve"> </w:t>
            </w:r>
          </w:p>
        </w:tc>
        <w:tc>
          <w:tcPr>
            <w:tcW w:w="1340" w:type="dxa"/>
            <w:tcBorders>
              <w:top w:val="nil"/>
              <w:left w:val="nil"/>
              <w:bottom w:val="nil"/>
              <w:right w:val="nil"/>
            </w:tcBorders>
            <w:shd w:val="clear" w:color="000000" w:fill="FFFFFF"/>
            <w:noWrap/>
            <w:vAlign w:val="bottom"/>
            <w:hideMark/>
          </w:tcPr>
          <w:p w:rsidR="00167DE1" w:rsidRPr="00CF5328" w:rsidP="004957F6" w14:paraId="28B7E61E" w14:textId="77777777">
            <w:pPr>
              <w:jc w:val="right"/>
              <w:rPr>
                <w:sz w:val="16"/>
                <w:szCs w:val="16"/>
              </w:rPr>
            </w:pPr>
            <w:r>
              <w:rPr>
                <w:sz w:val="16"/>
                <w:szCs w:val="16"/>
              </w:rPr>
              <w:t xml:space="preserve"> </w:t>
            </w:r>
          </w:p>
        </w:tc>
      </w:tr>
      <w:tr w14:paraId="46EFE165"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572B5B33" w14:textId="77777777">
            <w:pPr>
              <w:ind w:firstLine="160" w:firstLineChars="100"/>
              <w:rPr>
                <w:sz w:val="16"/>
                <w:szCs w:val="16"/>
              </w:rPr>
            </w:pPr>
            <w:r w:rsidRPr="00CF5328">
              <w:rPr>
                <w:sz w:val="16"/>
                <w:szCs w:val="16"/>
              </w:rPr>
              <w:t>Transferred</w:t>
            </w:r>
            <w:r>
              <w:rPr>
                <w:sz w:val="16"/>
                <w:szCs w:val="16"/>
              </w:rPr>
              <w:t xml:space="preserve"> </w:t>
            </w:r>
            <w:r w:rsidRPr="00CF5328">
              <w:rPr>
                <w:sz w:val="16"/>
                <w:szCs w:val="16"/>
              </w:rPr>
              <w:t>to</w:t>
            </w:r>
            <w:r>
              <w:rPr>
                <w:sz w:val="16"/>
                <w:szCs w:val="16"/>
              </w:rPr>
              <w:t xml:space="preserve"> </w:t>
            </w:r>
            <w:r w:rsidRPr="00CF5328">
              <w:rPr>
                <w:sz w:val="16"/>
                <w:szCs w:val="16"/>
              </w:rPr>
              <w:t>Others</w:t>
            </w:r>
            <w:r>
              <w:rPr>
                <w:sz w:val="16"/>
                <w:szCs w:val="16"/>
              </w:rPr>
              <w:t xml:space="preserve"> </w:t>
            </w:r>
            <w:r w:rsidRPr="00CF5328">
              <w:rPr>
                <w:sz w:val="16"/>
                <w:szCs w:val="16"/>
              </w:rPr>
              <w:t>(by</w:t>
            </w:r>
            <w:r>
              <w:rPr>
                <w:sz w:val="16"/>
                <w:szCs w:val="16"/>
              </w:rPr>
              <w:t xml:space="preserve"> </w:t>
            </w:r>
            <w:r w:rsidRPr="00CF5328">
              <w:rPr>
                <w:sz w:val="16"/>
                <w:szCs w:val="16"/>
              </w:rPr>
              <w:t>Recipient):</w:t>
            </w:r>
          </w:p>
        </w:tc>
        <w:tc>
          <w:tcPr>
            <w:tcW w:w="1340" w:type="dxa"/>
            <w:tcBorders>
              <w:top w:val="nil"/>
              <w:left w:val="nil"/>
              <w:bottom w:val="nil"/>
              <w:right w:val="nil"/>
            </w:tcBorders>
            <w:shd w:val="clear" w:color="000000" w:fill="FFFFFF"/>
            <w:noWrap/>
            <w:vAlign w:val="bottom"/>
            <w:hideMark/>
          </w:tcPr>
          <w:p w:rsidR="00167DE1" w:rsidRPr="00CF5328" w:rsidP="004957F6" w14:paraId="35568AD2" w14:textId="77777777">
            <w:pPr>
              <w:jc w:val="right"/>
              <w:rPr>
                <w:sz w:val="16"/>
                <w:szCs w:val="16"/>
              </w:rPr>
            </w:pPr>
            <w:r>
              <w:rPr>
                <w:sz w:val="16"/>
                <w:szCs w:val="16"/>
              </w:rPr>
              <w:t xml:space="preserve"> </w:t>
            </w:r>
          </w:p>
        </w:tc>
        <w:tc>
          <w:tcPr>
            <w:tcW w:w="1340" w:type="dxa"/>
            <w:tcBorders>
              <w:top w:val="nil"/>
              <w:left w:val="nil"/>
              <w:bottom w:val="nil"/>
              <w:right w:val="nil"/>
            </w:tcBorders>
            <w:shd w:val="clear" w:color="000000" w:fill="FFFFFF"/>
            <w:noWrap/>
            <w:vAlign w:val="bottom"/>
            <w:hideMark/>
          </w:tcPr>
          <w:p w:rsidR="00167DE1" w:rsidRPr="00CF5328" w:rsidP="004957F6" w14:paraId="54186537" w14:textId="77777777">
            <w:pPr>
              <w:jc w:val="right"/>
              <w:rPr>
                <w:sz w:val="16"/>
                <w:szCs w:val="16"/>
              </w:rPr>
            </w:pPr>
            <w:r>
              <w:rPr>
                <w:sz w:val="16"/>
                <w:szCs w:val="16"/>
              </w:rPr>
              <w:t xml:space="preserve"> </w:t>
            </w:r>
          </w:p>
        </w:tc>
      </w:tr>
      <w:tr w14:paraId="353A910C"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7BA6C78A" w14:textId="77777777">
            <w:pPr>
              <w:ind w:firstLine="480" w:firstLineChars="300"/>
              <w:rPr>
                <w:sz w:val="16"/>
                <w:szCs w:val="16"/>
              </w:rPr>
            </w:pPr>
            <w:r w:rsidRPr="00CF5328">
              <w:rPr>
                <w:sz w:val="16"/>
                <w:szCs w:val="16"/>
              </w:rPr>
              <w:t>U.S.</w:t>
            </w:r>
            <w:r>
              <w:rPr>
                <w:sz w:val="16"/>
                <w:szCs w:val="16"/>
              </w:rPr>
              <w:t xml:space="preserve"> </w:t>
            </w:r>
            <w:r w:rsidRPr="00CF5328">
              <w:rPr>
                <w:sz w:val="16"/>
                <w:szCs w:val="16"/>
              </w:rPr>
              <w:t>Treasury</w:t>
            </w:r>
          </w:p>
        </w:tc>
        <w:tc>
          <w:tcPr>
            <w:tcW w:w="1340" w:type="dxa"/>
            <w:tcBorders>
              <w:top w:val="nil"/>
              <w:left w:val="nil"/>
              <w:bottom w:val="nil"/>
              <w:right w:val="nil"/>
            </w:tcBorders>
            <w:shd w:val="clear" w:color="000000" w:fill="FFFFFF"/>
            <w:noWrap/>
            <w:vAlign w:val="bottom"/>
            <w:hideMark/>
          </w:tcPr>
          <w:p w:rsidR="00167DE1" w:rsidRPr="00CF5328" w:rsidP="004957F6" w14:paraId="4841EFE5" w14:textId="77777777">
            <w:pPr>
              <w:jc w:val="right"/>
              <w:rPr>
                <w:sz w:val="16"/>
                <w:szCs w:val="16"/>
              </w:rPr>
            </w:pPr>
            <w:r>
              <w:rPr>
                <w:sz w:val="16"/>
                <w:szCs w:val="16"/>
              </w:rPr>
              <w:t xml:space="preserve"> </w:t>
            </w:r>
            <w:r w:rsidRPr="00CF5328">
              <w:rPr>
                <w:sz w:val="16"/>
                <w:szCs w:val="16"/>
              </w:rPr>
              <w:t>(207,301)</w:t>
            </w:r>
          </w:p>
        </w:tc>
        <w:tc>
          <w:tcPr>
            <w:tcW w:w="1340" w:type="dxa"/>
            <w:tcBorders>
              <w:top w:val="nil"/>
              <w:left w:val="nil"/>
              <w:bottom w:val="nil"/>
              <w:right w:val="nil"/>
            </w:tcBorders>
            <w:shd w:val="clear" w:color="000000" w:fill="FFFFFF"/>
            <w:noWrap/>
            <w:vAlign w:val="bottom"/>
            <w:hideMark/>
          </w:tcPr>
          <w:p w:rsidR="00167DE1" w:rsidRPr="00CF5328" w:rsidP="004957F6" w14:paraId="249CFA49" w14:textId="77777777">
            <w:pPr>
              <w:jc w:val="right"/>
              <w:rPr>
                <w:sz w:val="16"/>
                <w:szCs w:val="16"/>
              </w:rPr>
            </w:pPr>
            <w:r>
              <w:rPr>
                <w:sz w:val="16"/>
                <w:szCs w:val="16"/>
              </w:rPr>
              <w:t xml:space="preserve"> </w:t>
            </w:r>
            <w:r w:rsidRPr="00CF5328">
              <w:rPr>
                <w:sz w:val="16"/>
                <w:szCs w:val="16"/>
              </w:rPr>
              <w:t>(2,786,204)</w:t>
            </w:r>
          </w:p>
        </w:tc>
      </w:tr>
      <w:tr w14:paraId="1AB7F117"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22DB3AA0" w14:textId="77777777">
            <w:pPr>
              <w:ind w:firstLine="480" w:firstLineChars="300"/>
              <w:rPr>
                <w:sz w:val="16"/>
                <w:szCs w:val="16"/>
              </w:rPr>
            </w:pPr>
            <w:r w:rsidRPr="00CF5328">
              <w:rPr>
                <w:sz w:val="16"/>
                <w:szCs w:val="16"/>
              </w:rPr>
              <w:t>Spectrum</w:t>
            </w:r>
            <w:r>
              <w:rPr>
                <w:sz w:val="16"/>
                <w:szCs w:val="16"/>
              </w:rPr>
              <w:t xml:space="preserve"> </w:t>
            </w:r>
            <w:r w:rsidRPr="00CF5328">
              <w:rPr>
                <w:sz w:val="16"/>
                <w:szCs w:val="16"/>
              </w:rPr>
              <w:t>Relocation</w:t>
            </w:r>
            <w:r>
              <w:rPr>
                <w:sz w:val="16"/>
                <w:szCs w:val="16"/>
              </w:rPr>
              <w:t xml:space="preserve"> </w:t>
            </w:r>
            <w:r w:rsidRPr="00CF5328">
              <w:rPr>
                <w:sz w:val="16"/>
                <w:szCs w:val="16"/>
              </w:rPr>
              <w:t>Fund</w:t>
            </w:r>
            <w:r>
              <w:rPr>
                <w:sz w:val="16"/>
                <w:szCs w:val="16"/>
              </w:rPr>
              <w:t xml:space="preserve"> </w:t>
            </w:r>
            <w:r w:rsidRPr="00CF5328">
              <w:rPr>
                <w:sz w:val="16"/>
                <w:szCs w:val="16"/>
              </w:rPr>
              <w:t>(OMB)</w:t>
            </w:r>
          </w:p>
        </w:tc>
        <w:tc>
          <w:tcPr>
            <w:tcW w:w="1340" w:type="dxa"/>
            <w:tcBorders>
              <w:top w:val="nil"/>
              <w:left w:val="nil"/>
              <w:bottom w:val="nil"/>
              <w:right w:val="nil"/>
            </w:tcBorders>
            <w:shd w:val="clear" w:color="000000" w:fill="FFFFFF"/>
            <w:noWrap/>
            <w:vAlign w:val="bottom"/>
            <w:hideMark/>
          </w:tcPr>
          <w:p w:rsidR="00167DE1" w:rsidRPr="00CF5328" w:rsidP="004957F6" w14:paraId="4F64C79E" w14:textId="77777777">
            <w:pPr>
              <w:jc w:val="right"/>
              <w:rPr>
                <w:sz w:val="16"/>
                <w:szCs w:val="16"/>
              </w:rPr>
            </w:pPr>
            <w:r>
              <w:rPr>
                <w:sz w:val="16"/>
                <w:szCs w:val="16"/>
              </w:rPr>
              <w:t xml:space="preserve"> </w:t>
            </w:r>
            <w:r w:rsidRPr="00CF5328">
              <w:rPr>
                <w:sz w:val="16"/>
                <w:szCs w:val="16"/>
              </w:rPr>
              <w:t>(4,466,079)</w:t>
            </w:r>
          </w:p>
        </w:tc>
        <w:tc>
          <w:tcPr>
            <w:tcW w:w="1340" w:type="dxa"/>
            <w:tcBorders>
              <w:top w:val="nil"/>
              <w:left w:val="nil"/>
              <w:bottom w:val="nil"/>
              <w:right w:val="nil"/>
            </w:tcBorders>
            <w:shd w:val="clear" w:color="000000" w:fill="FFFFFF"/>
            <w:noWrap/>
            <w:vAlign w:val="bottom"/>
            <w:hideMark/>
          </w:tcPr>
          <w:p w:rsidR="00167DE1" w:rsidRPr="00CF5328" w:rsidP="004957F6" w14:paraId="684ADAC7" w14:textId="77777777">
            <w:pPr>
              <w:jc w:val="right"/>
              <w:rPr>
                <w:sz w:val="16"/>
                <w:szCs w:val="16"/>
              </w:rPr>
            </w:pPr>
            <w:r>
              <w:rPr>
                <w:sz w:val="16"/>
                <w:szCs w:val="16"/>
              </w:rPr>
              <w:t xml:space="preserve"> </w:t>
            </w:r>
            <w:r w:rsidRPr="00CF5328">
              <w:rPr>
                <w:sz w:val="16"/>
                <w:szCs w:val="16"/>
              </w:rPr>
              <w:t>-</w:t>
            </w:r>
            <w:r>
              <w:rPr>
                <w:sz w:val="16"/>
                <w:szCs w:val="16"/>
              </w:rPr>
              <w:t xml:space="preserve"> </w:t>
            </w:r>
          </w:p>
        </w:tc>
      </w:tr>
      <w:tr w14:paraId="7D052EE2"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1DA8CF4E" w14:textId="77777777">
            <w:pPr>
              <w:ind w:firstLine="480" w:firstLineChars="300"/>
              <w:rPr>
                <w:sz w:val="16"/>
                <w:szCs w:val="16"/>
              </w:rPr>
            </w:pPr>
            <w:r w:rsidRPr="00CF5328">
              <w:rPr>
                <w:sz w:val="16"/>
                <w:szCs w:val="16"/>
              </w:rPr>
              <w:t>Public</w:t>
            </w:r>
            <w:r>
              <w:rPr>
                <w:sz w:val="16"/>
                <w:szCs w:val="16"/>
              </w:rPr>
              <w:t xml:space="preserve"> </w:t>
            </w:r>
            <w:r w:rsidRPr="00CF5328">
              <w:rPr>
                <w:sz w:val="16"/>
                <w:szCs w:val="16"/>
              </w:rPr>
              <w:t>Safety</w:t>
            </w:r>
            <w:r>
              <w:rPr>
                <w:sz w:val="16"/>
                <w:szCs w:val="16"/>
              </w:rPr>
              <w:t xml:space="preserve"> </w:t>
            </w:r>
            <w:r w:rsidRPr="00CF5328">
              <w:rPr>
                <w:sz w:val="16"/>
                <w:szCs w:val="16"/>
              </w:rPr>
              <w:t>Trust</w:t>
            </w:r>
            <w:r>
              <w:rPr>
                <w:sz w:val="16"/>
                <w:szCs w:val="16"/>
              </w:rPr>
              <w:t xml:space="preserve"> </w:t>
            </w:r>
            <w:r w:rsidRPr="00CF5328">
              <w:rPr>
                <w:sz w:val="16"/>
                <w:szCs w:val="16"/>
              </w:rPr>
              <w:t>Fund</w:t>
            </w:r>
            <w:r>
              <w:rPr>
                <w:sz w:val="16"/>
                <w:szCs w:val="16"/>
              </w:rPr>
              <w:t xml:space="preserve"> </w:t>
            </w:r>
            <w:r w:rsidRPr="00CF5328">
              <w:rPr>
                <w:sz w:val="16"/>
                <w:szCs w:val="16"/>
              </w:rPr>
              <w:t>(NTIA)</w:t>
            </w:r>
          </w:p>
        </w:tc>
        <w:tc>
          <w:tcPr>
            <w:tcW w:w="1340" w:type="dxa"/>
            <w:tcBorders>
              <w:top w:val="nil"/>
              <w:left w:val="nil"/>
              <w:bottom w:val="nil"/>
              <w:right w:val="nil"/>
            </w:tcBorders>
            <w:shd w:val="clear" w:color="000000" w:fill="FFFFFF"/>
            <w:noWrap/>
            <w:vAlign w:val="bottom"/>
            <w:hideMark/>
          </w:tcPr>
          <w:p w:rsidR="00167DE1" w:rsidRPr="00CF5328" w:rsidP="004957F6" w14:paraId="7025B5E8" w14:textId="77777777">
            <w:pPr>
              <w:jc w:val="right"/>
              <w:rPr>
                <w:sz w:val="16"/>
                <w:szCs w:val="16"/>
              </w:rPr>
            </w:pPr>
            <w:r>
              <w:rPr>
                <w:sz w:val="16"/>
                <w:szCs w:val="16"/>
              </w:rPr>
              <w:t xml:space="preserve"> </w:t>
            </w:r>
            <w:r w:rsidRPr="00CF5328">
              <w:rPr>
                <w:sz w:val="16"/>
                <w:szCs w:val="16"/>
              </w:rPr>
              <w:t>(4,476,093)</w:t>
            </w:r>
          </w:p>
        </w:tc>
        <w:tc>
          <w:tcPr>
            <w:tcW w:w="1340" w:type="dxa"/>
            <w:tcBorders>
              <w:top w:val="nil"/>
              <w:left w:val="nil"/>
              <w:bottom w:val="nil"/>
              <w:right w:val="nil"/>
            </w:tcBorders>
            <w:shd w:val="clear" w:color="000000" w:fill="FFFFFF"/>
            <w:noWrap/>
            <w:vAlign w:val="bottom"/>
            <w:hideMark/>
          </w:tcPr>
          <w:p w:rsidR="00167DE1" w:rsidRPr="00CF5328" w:rsidP="004957F6" w14:paraId="71C06590" w14:textId="77777777">
            <w:pPr>
              <w:jc w:val="right"/>
              <w:rPr>
                <w:sz w:val="16"/>
                <w:szCs w:val="16"/>
              </w:rPr>
            </w:pPr>
            <w:r>
              <w:rPr>
                <w:sz w:val="16"/>
                <w:szCs w:val="16"/>
              </w:rPr>
              <w:t xml:space="preserve"> </w:t>
            </w:r>
            <w:r w:rsidRPr="00CF5328">
              <w:rPr>
                <w:sz w:val="16"/>
                <w:szCs w:val="16"/>
              </w:rPr>
              <w:t>-</w:t>
            </w:r>
            <w:r>
              <w:rPr>
                <w:sz w:val="16"/>
                <w:szCs w:val="16"/>
              </w:rPr>
              <w:t xml:space="preserve"> </w:t>
            </w:r>
          </w:p>
        </w:tc>
      </w:tr>
      <w:tr w14:paraId="42EED41F"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4AE491C2" w14:textId="77777777">
            <w:pPr>
              <w:ind w:firstLine="160" w:firstLineChars="100"/>
              <w:rPr>
                <w:sz w:val="16"/>
                <w:szCs w:val="16"/>
              </w:rPr>
            </w:pPr>
            <w:r w:rsidRPr="00CF5328">
              <w:rPr>
                <w:sz w:val="16"/>
                <w:szCs w:val="16"/>
              </w:rPr>
              <w:t>(Increase)/Decrease</w:t>
            </w:r>
            <w:r>
              <w:rPr>
                <w:sz w:val="16"/>
                <w:szCs w:val="16"/>
              </w:rPr>
              <w:t xml:space="preserve"> </w:t>
            </w:r>
            <w:r w:rsidRPr="00CF5328">
              <w:rPr>
                <w:sz w:val="16"/>
                <w:szCs w:val="16"/>
              </w:rPr>
              <w:t>in</w:t>
            </w:r>
            <w:r>
              <w:rPr>
                <w:sz w:val="16"/>
                <w:szCs w:val="16"/>
              </w:rPr>
              <w:t xml:space="preserve"> </w:t>
            </w:r>
            <w:r w:rsidRPr="00CF5328">
              <w:rPr>
                <w:sz w:val="16"/>
                <w:szCs w:val="16"/>
              </w:rPr>
              <w:t>Amounts</w:t>
            </w:r>
            <w:r>
              <w:rPr>
                <w:sz w:val="16"/>
                <w:szCs w:val="16"/>
              </w:rPr>
              <w:t xml:space="preserve"> </w:t>
            </w:r>
            <w:r w:rsidRPr="00CF5328">
              <w:rPr>
                <w:sz w:val="16"/>
                <w:szCs w:val="16"/>
              </w:rPr>
              <w:t>Yet</w:t>
            </w:r>
            <w:r>
              <w:rPr>
                <w:sz w:val="16"/>
                <w:szCs w:val="16"/>
              </w:rPr>
              <w:t xml:space="preserve"> </w:t>
            </w:r>
            <w:r w:rsidRPr="00CF5328">
              <w:rPr>
                <w:sz w:val="16"/>
                <w:szCs w:val="16"/>
              </w:rPr>
              <w:t>to</w:t>
            </w:r>
            <w:r>
              <w:rPr>
                <w:sz w:val="16"/>
                <w:szCs w:val="16"/>
              </w:rPr>
              <w:t xml:space="preserve"> </w:t>
            </w:r>
            <w:r w:rsidRPr="00CF5328">
              <w:rPr>
                <w:sz w:val="16"/>
                <w:szCs w:val="16"/>
              </w:rPr>
              <w:t>be</w:t>
            </w:r>
            <w:r>
              <w:rPr>
                <w:sz w:val="16"/>
                <w:szCs w:val="16"/>
              </w:rPr>
              <w:t xml:space="preserve"> </w:t>
            </w:r>
            <w:r w:rsidRPr="00CF5328">
              <w:rPr>
                <w:sz w:val="16"/>
                <w:szCs w:val="16"/>
              </w:rPr>
              <w:t>Transferred</w:t>
            </w:r>
            <w:r>
              <w:rPr>
                <w:sz w:val="16"/>
                <w:szCs w:val="16"/>
              </w:rPr>
              <w:t xml:space="preserve"> </w:t>
            </w:r>
            <w:r w:rsidRPr="00CF5328">
              <w:rPr>
                <w:sz w:val="16"/>
                <w:szCs w:val="16"/>
              </w:rPr>
              <w:t>(+/-)</w:t>
            </w:r>
          </w:p>
        </w:tc>
        <w:tc>
          <w:tcPr>
            <w:tcW w:w="1340" w:type="dxa"/>
            <w:tcBorders>
              <w:top w:val="nil"/>
              <w:left w:val="nil"/>
              <w:bottom w:val="nil"/>
              <w:right w:val="nil"/>
            </w:tcBorders>
            <w:shd w:val="clear" w:color="000000" w:fill="FFFFFF"/>
            <w:noWrap/>
            <w:vAlign w:val="bottom"/>
            <w:hideMark/>
          </w:tcPr>
          <w:p w:rsidR="00167DE1" w:rsidRPr="00CF5328" w:rsidP="004957F6" w14:paraId="3DB88A7B" w14:textId="77777777">
            <w:pPr>
              <w:jc w:val="right"/>
              <w:rPr>
                <w:sz w:val="16"/>
                <w:szCs w:val="16"/>
              </w:rPr>
            </w:pPr>
            <w:r>
              <w:rPr>
                <w:sz w:val="16"/>
                <w:szCs w:val="16"/>
              </w:rPr>
              <w:t xml:space="preserve"> </w:t>
            </w:r>
            <w:r w:rsidRPr="00CF5328">
              <w:rPr>
                <w:sz w:val="16"/>
                <w:szCs w:val="16"/>
              </w:rPr>
              <w:t>(76,496,101)</w:t>
            </w:r>
          </w:p>
        </w:tc>
        <w:tc>
          <w:tcPr>
            <w:tcW w:w="1340" w:type="dxa"/>
            <w:tcBorders>
              <w:top w:val="nil"/>
              <w:left w:val="nil"/>
              <w:bottom w:val="nil"/>
              <w:right w:val="nil"/>
            </w:tcBorders>
            <w:shd w:val="clear" w:color="000000" w:fill="FFFFFF"/>
            <w:noWrap/>
            <w:vAlign w:val="bottom"/>
            <w:hideMark/>
          </w:tcPr>
          <w:p w:rsidR="00167DE1" w:rsidRPr="00CF5328" w:rsidP="004957F6" w14:paraId="6BA563B4" w14:textId="77777777">
            <w:pPr>
              <w:jc w:val="right"/>
              <w:rPr>
                <w:sz w:val="16"/>
                <w:szCs w:val="16"/>
              </w:rPr>
            </w:pPr>
            <w:r>
              <w:rPr>
                <w:sz w:val="16"/>
                <w:szCs w:val="16"/>
              </w:rPr>
              <w:t xml:space="preserve"> </w:t>
            </w:r>
            <w:r w:rsidRPr="00CF5328">
              <w:rPr>
                <w:sz w:val="16"/>
                <w:szCs w:val="16"/>
              </w:rPr>
              <w:t>(4,356,742)</w:t>
            </w:r>
          </w:p>
        </w:tc>
      </w:tr>
      <w:tr w14:paraId="33C082C7"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5F4C7A1C" w14:textId="77777777">
            <w:pPr>
              <w:ind w:firstLine="160" w:firstLineChars="100"/>
              <w:rPr>
                <w:sz w:val="16"/>
                <w:szCs w:val="16"/>
              </w:rPr>
            </w:pPr>
            <w:r w:rsidRPr="00CF5328">
              <w:rPr>
                <w:sz w:val="16"/>
                <w:szCs w:val="16"/>
              </w:rPr>
              <w:t>Increase/(Decrease)</w:t>
            </w:r>
            <w:r>
              <w:rPr>
                <w:sz w:val="16"/>
                <w:szCs w:val="16"/>
              </w:rPr>
              <w:t xml:space="preserve"> </w:t>
            </w:r>
            <w:r w:rsidRPr="00CF5328">
              <w:rPr>
                <w:sz w:val="16"/>
                <w:szCs w:val="16"/>
              </w:rPr>
              <w:t>in</w:t>
            </w:r>
            <w:r>
              <w:rPr>
                <w:sz w:val="16"/>
                <w:szCs w:val="16"/>
              </w:rPr>
              <w:t xml:space="preserve"> </w:t>
            </w:r>
            <w:r w:rsidRPr="00CF5328">
              <w:rPr>
                <w:sz w:val="16"/>
                <w:szCs w:val="16"/>
              </w:rPr>
              <w:t>Refunds</w:t>
            </w:r>
            <w:r>
              <w:rPr>
                <w:sz w:val="16"/>
                <w:szCs w:val="16"/>
              </w:rPr>
              <w:t xml:space="preserve"> </w:t>
            </w:r>
            <w:r w:rsidRPr="00CF5328">
              <w:rPr>
                <w:sz w:val="16"/>
                <w:szCs w:val="16"/>
              </w:rPr>
              <w:t>Payable</w:t>
            </w:r>
            <w:r>
              <w:rPr>
                <w:sz w:val="16"/>
                <w:szCs w:val="16"/>
              </w:rPr>
              <w:t xml:space="preserve"> </w:t>
            </w:r>
            <w:r w:rsidRPr="00CF5328">
              <w:rPr>
                <w:sz w:val="16"/>
                <w:szCs w:val="16"/>
              </w:rPr>
              <w:t>and</w:t>
            </w:r>
            <w:r>
              <w:rPr>
                <w:sz w:val="16"/>
                <w:szCs w:val="16"/>
              </w:rPr>
              <w:t xml:space="preserve"> </w:t>
            </w:r>
            <w:r w:rsidRPr="00CF5328">
              <w:rPr>
                <w:sz w:val="16"/>
                <w:szCs w:val="16"/>
              </w:rPr>
              <w:t>Other</w:t>
            </w:r>
            <w:r>
              <w:rPr>
                <w:sz w:val="16"/>
                <w:szCs w:val="16"/>
              </w:rPr>
              <w:t xml:space="preserve"> </w:t>
            </w:r>
            <w:r w:rsidRPr="00CF5328">
              <w:rPr>
                <w:sz w:val="16"/>
                <w:szCs w:val="16"/>
              </w:rPr>
              <w:t>Custodial</w:t>
            </w:r>
            <w:r>
              <w:rPr>
                <w:sz w:val="16"/>
                <w:szCs w:val="16"/>
              </w:rPr>
              <w:t xml:space="preserve"> </w:t>
            </w:r>
            <w:r w:rsidRPr="00CF5328">
              <w:rPr>
                <w:sz w:val="16"/>
                <w:szCs w:val="16"/>
              </w:rPr>
              <w:t>Liabilities</w:t>
            </w:r>
            <w:r>
              <w:rPr>
                <w:sz w:val="16"/>
                <w:szCs w:val="16"/>
              </w:rPr>
              <w:t xml:space="preserve"> </w:t>
            </w:r>
            <w:r w:rsidRPr="00CF5328">
              <w:rPr>
                <w:sz w:val="16"/>
                <w:szCs w:val="16"/>
              </w:rPr>
              <w:t>(+/-)</w:t>
            </w:r>
          </w:p>
        </w:tc>
        <w:tc>
          <w:tcPr>
            <w:tcW w:w="1340" w:type="dxa"/>
            <w:tcBorders>
              <w:top w:val="nil"/>
              <w:left w:val="nil"/>
              <w:bottom w:val="nil"/>
              <w:right w:val="nil"/>
            </w:tcBorders>
            <w:shd w:val="clear" w:color="000000" w:fill="FFFFFF"/>
            <w:noWrap/>
            <w:vAlign w:val="bottom"/>
            <w:hideMark/>
          </w:tcPr>
          <w:p w:rsidR="00167DE1" w:rsidRPr="00CF5328" w:rsidP="004957F6" w14:paraId="13F55DA4" w14:textId="77777777">
            <w:pPr>
              <w:jc w:val="right"/>
              <w:rPr>
                <w:sz w:val="16"/>
                <w:szCs w:val="16"/>
              </w:rPr>
            </w:pPr>
            <w:r>
              <w:rPr>
                <w:sz w:val="16"/>
                <w:szCs w:val="16"/>
              </w:rPr>
              <w:t xml:space="preserve"> </w:t>
            </w:r>
          </w:p>
        </w:tc>
        <w:tc>
          <w:tcPr>
            <w:tcW w:w="1340" w:type="dxa"/>
            <w:tcBorders>
              <w:top w:val="nil"/>
              <w:left w:val="nil"/>
              <w:bottom w:val="nil"/>
              <w:right w:val="nil"/>
            </w:tcBorders>
            <w:shd w:val="clear" w:color="000000" w:fill="FFFFFF"/>
            <w:noWrap/>
            <w:vAlign w:val="bottom"/>
            <w:hideMark/>
          </w:tcPr>
          <w:p w:rsidR="00167DE1" w:rsidRPr="00CF5328" w:rsidP="004957F6" w14:paraId="47160B69" w14:textId="77777777">
            <w:pPr>
              <w:jc w:val="right"/>
              <w:rPr>
                <w:sz w:val="16"/>
                <w:szCs w:val="16"/>
              </w:rPr>
            </w:pPr>
            <w:r>
              <w:rPr>
                <w:sz w:val="16"/>
                <w:szCs w:val="16"/>
              </w:rPr>
              <w:t xml:space="preserve"> </w:t>
            </w:r>
          </w:p>
        </w:tc>
      </w:tr>
      <w:tr w14:paraId="4F58A582"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7B65D8A4" w14:textId="77777777">
            <w:pPr>
              <w:ind w:firstLine="480" w:firstLineChars="300"/>
              <w:rPr>
                <w:sz w:val="16"/>
                <w:szCs w:val="16"/>
              </w:rPr>
            </w:pPr>
            <w:r w:rsidRPr="00CF5328">
              <w:rPr>
                <w:sz w:val="16"/>
                <w:szCs w:val="16"/>
              </w:rPr>
              <w:t>Auctions</w:t>
            </w:r>
            <w:r>
              <w:rPr>
                <w:sz w:val="16"/>
                <w:szCs w:val="16"/>
              </w:rPr>
              <w:t xml:space="preserve"> </w:t>
            </w:r>
            <w:r w:rsidRPr="00CF5328">
              <w:rPr>
                <w:sz w:val="16"/>
                <w:szCs w:val="16"/>
              </w:rPr>
              <w:t>Salaries</w:t>
            </w:r>
            <w:r>
              <w:rPr>
                <w:sz w:val="16"/>
                <w:szCs w:val="16"/>
              </w:rPr>
              <w:t xml:space="preserve"> </w:t>
            </w:r>
            <w:r w:rsidRPr="00CF5328">
              <w:rPr>
                <w:sz w:val="16"/>
                <w:szCs w:val="16"/>
              </w:rPr>
              <w:t>&amp;</w:t>
            </w:r>
            <w:r>
              <w:rPr>
                <w:sz w:val="16"/>
                <w:szCs w:val="16"/>
              </w:rPr>
              <w:t xml:space="preserve"> </w:t>
            </w:r>
            <w:r w:rsidRPr="00CF5328">
              <w:rPr>
                <w:sz w:val="16"/>
                <w:szCs w:val="16"/>
              </w:rPr>
              <w:t>Expenses</w:t>
            </w:r>
            <w:r>
              <w:rPr>
                <w:sz w:val="16"/>
                <w:szCs w:val="16"/>
              </w:rPr>
              <w:t xml:space="preserve"> </w:t>
            </w:r>
            <w:r w:rsidRPr="00CF5328">
              <w:rPr>
                <w:sz w:val="16"/>
                <w:szCs w:val="16"/>
              </w:rPr>
              <w:t>(FCC)</w:t>
            </w:r>
            <w:r>
              <w:rPr>
                <w:sz w:val="16"/>
                <w:szCs w:val="16"/>
              </w:rPr>
              <w:t xml:space="preserve"> </w:t>
            </w:r>
            <w:r w:rsidRPr="00CF5328">
              <w:rPr>
                <w:sz w:val="16"/>
                <w:szCs w:val="16"/>
              </w:rPr>
              <w:t>(Note</w:t>
            </w:r>
            <w:r>
              <w:rPr>
                <w:sz w:val="16"/>
                <w:szCs w:val="16"/>
              </w:rPr>
              <w:t xml:space="preserve"> </w:t>
            </w:r>
            <w:r w:rsidRPr="00CF5328">
              <w:rPr>
                <w:sz w:val="16"/>
                <w:szCs w:val="16"/>
              </w:rPr>
              <w:t>12)</w:t>
            </w:r>
          </w:p>
        </w:tc>
        <w:tc>
          <w:tcPr>
            <w:tcW w:w="1340" w:type="dxa"/>
            <w:tcBorders>
              <w:top w:val="nil"/>
              <w:left w:val="nil"/>
              <w:bottom w:val="nil"/>
              <w:right w:val="nil"/>
            </w:tcBorders>
            <w:shd w:val="clear" w:color="000000" w:fill="FFFFFF"/>
            <w:noWrap/>
            <w:vAlign w:val="bottom"/>
            <w:hideMark/>
          </w:tcPr>
          <w:p w:rsidR="00167DE1" w:rsidRPr="00CF5328" w:rsidP="004957F6" w14:paraId="0D350F4E" w14:textId="77777777">
            <w:pPr>
              <w:jc w:val="right"/>
              <w:rPr>
                <w:sz w:val="16"/>
                <w:szCs w:val="16"/>
              </w:rPr>
            </w:pPr>
            <w:r>
              <w:rPr>
                <w:sz w:val="16"/>
                <w:szCs w:val="16"/>
              </w:rPr>
              <w:t xml:space="preserve"> </w:t>
            </w:r>
            <w:r w:rsidRPr="00CF5328">
              <w:rPr>
                <w:sz w:val="16"/>
                <w:szCs w:val="16"/>
              </w:rPr>
              <w:t>(134,495)</w:t>
            </w:r>
          </w:p>
        </w:tc>
        <w:tc>
          <w:tcPr>
            <w:tcW w:w="1340" w:type="dxa"/>
            <w:tcBorders>
              <w:top w:val="nil"/>
              <w:left w:val="nil"/>
              <w:bottom w:val="nil"/>
              <w:right w:val="nil"/>
            </w:tcBorders>
            <w:shd w:val="clear" w:color="000000" w:fill="FFFFFF"/>
            <w:noWrap/>
            <w:vAlign w:val="bottom"/>
            <w:hideMark/>
          </w:tcPr>
          <w:p w:rsidR="00167DE1" w:rsidRPr="00CF5328" w:rsidP="004957F6" w14:paraId="4798E366" w14:textId="77777777">
            <w:pPr>
              <w:jc w:val="right"/>
              <w:rPr>
                <w:sz w:val="16"/>
                <w:szCs w:val="16"/>
              </w:rPr>
            </w:pPr>
            <w:r>
              <w:rPr>
                <w:sz w:val="16"/>
                <w:szCs w:val="16"/>
              </w:rPr>
              <w:t xml:space="preserve"> </w:t>
            </w:r>
            <w:r w:rsidRPr="00CF5328">
              <w:rPr>
                <w:sz w:val="16"/>
                <w:szCs w:val="16"/>
              </w:rPr>
              <w:t>(132,539)</w:t>
            </w:r>
          </w:p>
        </w:tc>
      </w:tr>
      <w:tr w14:paraId="38177BDA"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16D243D2" w14:textId="77777777">
            <w:pPr>
              <w:ind w:firstLine="480" w:firstLineChars="300"/>
              <w:rPr>
                <w:sz w:val="16"/>
                <w:szCs w:val="16"/>
              </w:rPr>
            </w:pPr>
            <w:r w:rsidRPr="00CF5328">
              <w:rPr>
                <w:sz w:val="16"/>
                <w:szCs w:val="16"/>
              </w:rPr>
              <w:t>Reverse</w:t>
            </w:r>
            <w:r>
              <w:rPr>
                <w:sz w:val="16"/>
                <w:szCs w:val="16"/>
              </w:rPr>
              <w:t xml:space="preserve"> </w:t>
            </w:r>
            <w:r w:rsidRPr="00CF5328">
              <w:rPr>
                <w:sz w:val="16"/>
                <w:szCs w:val="16"/>
              </w:rPr>
              <w:t>Incentive</w:t>
            </w:r>
            <w:r>
              <w:rPr>
                <w:sz w:val="16"/>
                <w:szCs w:val="16"/>
              </w:rPr>
              <w:t xml:space="preserve"> </w:t>
            </w:r>
            <w:r w:rsidRPr="00CF5328">
              <w:rPr>
                <w:sz w:val="16"/>
                <w:szCs w:val="16"/>
              </w:rPr>
              <w:t>Auction</w:t>
            </w:r>
            <w:r>
              <w:rPr>
                <w:sz w:val="16"/>
                <w:szCs w:val="16"/>
              </w:rPr>
              <w:t xml:space="preserve"> </w:t>
            </w:r>
            <w:r w:rsidRPr="00CF5328">
              <w:rPr>
                <w:sz w:val="16"/>
                <w:szCs w:val="16"/>
              </w:rPr>
              <w:t>Winners</w:t>
            </w:r>
            <w:r>
              <w:rPr>
                <w:sz w:val="16"/>
                <w:szCs w:val="16"/>
              </w:rPr>
              <w:t xml:space="preserve"> </w:t>
            </w:r>
          </w:p>
        </w:tc>
        <w:tc>
          <w:tcPr>
            <w:tcW w:w="1340" w:type="dxa"/>
            <w:tcBorders>
              <w:top w:val="nil"/>
              <w:left w:val="nil"/>
              <w:bottom w:val="nil"/>
              <w:right w:val="nil"/>
            </w:tcBorders>
            <w:shd w:val="clear" w:color="000000" w:fill="FFFFFF"/>
            <w:noWrap/>
            <w:vAlign w:val="bottom"/>
            <w:hideMark/>
          </w:tcPr>
          <w:p w:rsidR="00167DE1" w:rsidRPr="00CF5328" w:rsidP="004957F6" w14:paraId="1B808FBB" w14:textId="77777777">
            <w:pPr>
              <w:jc w:val="right"/>
              <w:rPr>
                <w:sz w:val="16"/>
                <w:szCs w:val="16"/>
              </w:rPr>
            </w:pPr>
            <w:r>
              <w:rPr>
                <w:sz w:val="16"/>
                <w:szCs w:val="16"/>
              </w:rPr>
              <w:t xml:space="preserve"> </w:t>
            </w:r>
            <w:r w:rsidRPr="00CF5328">
              <w:rPr>
                <w:sz w:val="16"/>
                <w:szCs w:val="16"/>
              </w:rPr>
              <w:t>-</w:t>
            </w:r>
            <w:r>
              <w:rPr>
                <w:sz w:val="16"/>
                <w:szCs w:val="16"/>
              </w:rPr>
              <w:t xml:space="preserve"> </w:t>
            </w:r>
          </w:p>
        </w:tc>
        <w:tc>
          <w:tcPr>
            <w:tcW w:w="1340" w:type="dxa"/>
            <w:tcBorders>
              <w:top w:val="nil"/>
              <w:left w:val="nil"/>
              <w:bottom w:val="nil"/>
              <w:right w:val="nil"/>
            </w:tcBorders>
            <w:shd w:val="clear" w:color="000000" w:fill="FFFFFF"/>
            <w:noWrap/>
            <w:vAlign w:val="bottom"/>
            <w:hideMark/>
          </w:tcPr>
          <w:p w:rsidR="00167DE1" w:rsidRPr="00CF5328" w:rsidP="004957F6" w14:paraId="2E16B481" w14:textId="77777777">
            <w:pPr>
              <w:jc w:val="right"/>
              <w:rPr>
                <w:sz w:val="16"/>
                <w:szCs w:val="16"/>
              </w:rPr>
            </w:pPr>
            <w:r>
              <w:rPr>
                <w:sz w:val="16"/>
                <w:szCs w:val="16"/>
              </w:rPr>
              <w:t xml:space="preserve"> </w:t>
            </w:r>
            <w:r w:rsidRPr="00CF5328">
              <w:rPr>
                <w:sz w:val="16"/>
                <w:szCs w:val="16"/>
              </w:rPr>
              <w:t>(3,084,173)</w:t>
            </w:r>
          </w:p>
        </w:tc>
      </w:tr>
      <w:tr w14:paraId="1278E81C"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77F71C81" w14:textId="77777777">
            <w:pPr>
              <w:rPr>
                <w:b/>
                <w:bCs/>
                <w:sz w:val="16"/>
                <w:szCs w:val="16"/>
              </w:rPr>
            </w:pPr>
            <w:r w:rsidRPr="00CF5328">
              <w:rPr>
                <w:b/>
                <w:bCs/>
                <w:sz w:val="16"/>
                <w:szCs w:val="16"/>
              </w:rPr>
              <w:t>Total</w:t>
            </w:r>
            <w:r>
              <w:rPr>
                <w:b/>
                <w:bCs/>
                <w:sz w:val="16"/>
                <w:szCs w:val="16"/>
              </w:rPr>
              <w:t xml:space="preserve"> </w:t>
            </w:r>
            <w:r w:rsidRPr="00CF5328">
              <w:rPr>
                <w:b/>
                <w:bCs/>
                <w:sz w:val="16"/>
                <w:szCs w:val="16"/>
              </w:rPr>
              <w:t>Disposition</w:t>
            </w:r>
            <w:r>
              <w:rPr>
                <w:b/>
                <w:bCs/>
                <w:sz w:val="16"/>
                <w:szCs w:val="16"/>
              </w:rPr>
              <w:t xml:space="preserve"> </w:t>
            </w:r>
            <w:r w:rsidRPr="00CF5328">
              <w:rPr>
                <w:b/>
                <w:bCs/>
                <w:sz w:val="16"/>
                <w:szCs w:val="16"/>
              </w:rPr>
              <w:t>of</w:t>
            </w:r>
            <w:r>
              <w:rPr>
                <w:b/>
                <w:bCs/>
                <w:sz w:val="16"/>
                <w:szCs w:val="16"/>
              </w:rPr>
              <w:t xml:space="preserve"> </w:t>
            </w:r>
            <w:r w:rsidRPr="00CF5328">
              <w:rPr>
                <w:b/>
                <w:bCs/>
                <w:sz w:val="16"/>
                <w:szCs w:val="16"/>
              </w:rPr>
              <w:t>Collections</w:t>
            </w:r>
          </w:p>
        </w:tc>
        <w:tc>
          <w:tcPr>
            <w:tcW w:w="1340" w:type="dxa"/>
            <w:tcBorders>
              <w:top w:val="nil"/>
              <w:left w:val="nil"/>
              <w:bottom w:val="nil"/>
              <w:right w:val="nil"/>
            </w:tcBorders>
            <w:shd w:val="clear" w:color="000000" w:fill="FFFFFF"/>
            <w:noWrap/>
            <w:vAlign w:val="bottom"/>
            <w:hideMark/>
          </w:tcPr>
          <w:p w:rsidR="00167DE1" w:rsidRPr="00CF5328" w:rsidP="004957F6" w14:paraId="5E0D778C" w14:textId="77777777">
            <w:pPr>
              <w:jc w:val="right"/>
              <w:rPr>
                <w:sz w:val="16"/>
                <w:szCs w:val="16"/>
              </w:rPr>
            </w:pPr>
            <w:r>
              <w:rPr>
                <w:sz w:val="16"/>
                <w:szCs w:val="16"/>
              </w:rPr>
              <w:t xml:space="preserve"> </w:t>
            </w:r>
            <w:r w:rsidRPr="00CF5328">
              <w:rPr>
                <w:sz w:val="16"/>
                <w:szCs w:val="16"/>
              </w:rPr>
              <w:t>(85,780,069)</w:t>
            </w:r>
          </w:p>
        </w:tc>
        <w:tc>
          <w:tcPr>
            <w:tcW w:w="1340" w:type="dxa"/>
            <w:tcBorders>
              <w:top w:val="nil"/>
              <w:left w:val="nil"/>
              <w:bottom w:val="nil"/>
              <w:right w:val="nil"/>
            </w:tcBorders>
            <w:shd w:val="clear" w:color="000000" w:fill="FFFFFF"/>
            <w:noWrap/>
            <w:vAlign w:val="bottom"/>
            <w:hideMark/>
          </w:tcPr>
          <w:p w:rsidR="00167DE1" w:rsidRPr="00CF5328" w:rsidP="004957F6" w14:paraId="45B02B46" w14:textId="77777777">
            <w:pPr>
              <w:jc w:val="right"/>
              <w:rPr>
                <w:sz w:val="16"/>
                <w:szCs w:val="16"/>
              </w:rPr>
            </w:pPr>
            <w:r>
              <w:rPr>
                <w:sz w:val="16"/>
                <w:szCs w:val="16"/>
              </w:rPr>
              <w:t xml:space="preserve"> </w:t>
            </w:r>
            <w:r w:rsidRPr="00CF5328">
              <w:rPr>
                <w:sz w:val="16"/>
                <w:szCs w:val="16"/>
              </w:rPr>
              <w:t>(10,359,658)</w:t>
            </w:r>
          </w:p>
        </w:tc>
      </w:tr>
      <w:tr w14:paraId="5E8C1F4A" w14:textId="77777777" w:rsidTr="00A94CDB">
        <w:tblPrEx>
          <w:tblW w:w="5000" w:type="pct"/>
          <w:tblLook w:val="04A0"/>
        </w:tblPrEx>
        <w:trPr>
          <w:trHeight w:val="259"/>
        </w:trPr>
        <w:tc>
          <w:tcPr>
            <w:tcW w:w="7460" w:type="dxa"/>
            <w:tcBorders>
              <w:top w:val="nil"/>
              <w:left w:val="nil"/>
              <w:bottom w:val="nil"/>
              <w:right w:val="nil"/>
            </w:tcBorders>
            <w:shd w:val="clear" w:color="000000" w:fill="FFFFFF"/>
            <w:noWrap/>
            <w:vAlign w:val="bottom"/>
            <w:hideMark/>
          </w:tcPr>
          <w:p w:rsidR="00167DE1" w:rsidRPr="00CF5328" w:rsidP="004957F6" w14:paraId="436D3F2E" w14:textId="77777777">
            <w:pPr>
              <w:rPr>
                <w:b/>
                <w:bCs/>
                <w:sz w:val="16"/>
                <w:szCs w:val="16"/>
              </w:rPr>
            </w:pPr>
            <w:r w:rsidRPr="00CF5328">
              <w:rPr>
                <w:b/>
                <w:bCs/>
                <w:sz w:val="16"/>
                <w:szCs w:val="16"/>
              </w:rPr>
              <w:t>Net</w:t>
            </w:r>
            <w:r>
              <w:rPr>
                <w:b/>
                <w:bCs/>
                <w:sz w:val="16"/>
                <w:szCs w:val="16"/>
              </w:rPr>
              <w:t xml:space="preserve"> </w:t>
            </w:r>
            <w:r w:rsidRPr="00CF5328">
              <w:rPr>
                <w:b/>
                <w:bCs/>
                <w:sz w:val="16"/>
                <w:szCs w:val="16"/>
              </w:rPr>
              <w:t>Custodial</w:t>
            </w:r>
            <w:r>
              <w:rPr>
                <w:b/>
                <w:bCs/>
                <w:sz w:val="16"/>
                <w:szCs w:val="16"/>
              </w:rPr>
              <w:t xml:space="preserve"> </w:t>
            </w:r>
            <w:r w:rsidRPr="00CF5328">
              <w:rPr>
                <w:b/>
                <w:bCs/>
                <w:sz w:val="16"/>
                <w:szCs w:val="16"/>
              </w:rPr>
              <w:t>Activity</w:t>
            </w:r>
            <w:r>
              <w:rPr>
                <w:b/>
                <w:bCs/>
                <w:sz w:val="16"/>
                <w:szCs w:val="16"/>
              </w:rPr>
              <w:t xml:space="preserve"> </w:t>
            </w:r>
          </w:p>
        </w:tc>
        <w:tc>
          <w:tcPr>
            <w:tcW w:w="1340" w:type="dxa"/>
            <w:tcBorders>
              <w:top w:val="nil"/>
              <w:left w:val="nil"/>
              <w:bottom w:val="double" w:sz="6" w:space="0" w:color="auto"/>
              <w:right w:val="nil"/>
            </w:tcBorders>
            <w:shd w:val="clear" w:color="000000" w:fill="FFFFFF"/>
            <w:noWrap/>
            <w:vAlign w:val="bottom"/>
            <w:hideMark/>
          </w:tcPr>
          <w:p w:rsidR="00167DE1" w:rsidRPr="00CF5328" w:rsidP="004957F6" w14:paraId="511DACB7" w14:textId="719C5129">
            <w:pPr>
              <w:jc w:val="right"/>
              <w:rPr>
                <w:sz w:val="16"/>
                <w:szCs w:val="16"/>
              </w:rPr>
            </w:pPr>
            <w:r w:rsidRPr="00CF5328">
              <w:rPr>
                <w:sz w:val="16"/>
                <w:szCs w:val="16"/>
              </w:rPr>
              <w:t>$</w:t>
            </w:r>
            <w:r w:rsidR="002F199C">
              <w:rPr>
                <w:sz w:val="16"/>
                <w:szCs w:val="16"/>
              </w:rPr>
              <w:t xml:space="preserve">  </w:t>
            </w:r>
            <w:r w:rsidR="00D96B92">
              <w:rPr>
                <w:sz w:val="16"/>
                <w:szCs w:val="16"/>
              </w:rPr>
              <w:t xml:space="preserve">                   </w:t>
            </w:r>
            <w:r>
              <w:rPr>
                <w:sz w:val="16"/>
                <w:szCs w:val="16"/>
              </w:rPr>
              <w:t xml:space="preserve"> </w:t>
            </w:r>
            <w:r w:rsidRPr="00CF5328">
              <w:rPr>
                <w:sz w:val="16"/>
                <w:szCs w:val="16"/>
              </w:rPr>
              <w:t>-</w:t>
            </w:r>
            <w:r>
              <w:rPr>
                <w:sz w:val="16"/>
                <w:szCs w:val="16"/>
              </w:rPr>
              <w:t xml:space="preserve"> </w:t>
            </w:r>
          </w:p>
        </w:tc>
        <w:tc>
          <w:tcPr>
            <w:tcW w:w="1340" w:type="dxa"/>
            <w:tcBorders>
              <w:top w:val="nil"/>
              <w:left w:val="nil"/>
              <w:bottom w:val="double" w:sz="6" w:space="0" w:color="auto"/>
              <w:right w:val="nil"/>
            </w:tcBorders>
            <w:shd w:val="clear" w:color="000000" w:fill="FFFFFF"/>
            <w:noWrap/>
            <w:vAlign w:val="bottom"/>
            <w:hideMark/>
          </w:tcPr>
          <w:p w:rsidR="00167DE1" w:rsidRPr="00CF5328" w:rsidP="004957F6" w14:paraId="7A77BC9F" w14:textId="06411F65">
            <w:pPr>
              <w:jc w:val="right"/>
              <w:rPr>
                <w:sz w:val="16"/>
                <w:szCs w:val="16"/>
              </w:rPr>
            </w:pPr>
            <w:r w:rsidRPr="00CF5328">
              <w:rPr>
                <w:sz w:val="16"/>
                <w:szCs w:val="16"/>
              </w:rPr>
              <w:t>$</w:t>
            </w:r>
            <w:r w:rsidR="002F199C">
              <w:rPr>
                <w:sz w:val="16"/>
                <w:szCs w:val="16"/>
              </w:rPr>
              <w:t xml:space="preserve">                     </w:t>
            </w:r>
            <w:r>
              <w:rPr>
                <w:sz w:val="16"/>
                <w:szCs w:val="16"/>
              </w:rPr>
              <w:t xml:space="preserve"> </w:t>
            </w:r>
            <w:r w:rsidRPr="00CF5328">
              <w:rPr>
                <w:sz w:val="16"/>
                <w:szCs w:val="16"/>
              </w:rPr>
              <w:t>-</w:t>
            </w:r>
            <w:r>
              <w:rPr>
                <w:sz w:val="16"/>
                <w:szCs w:val="16"/>
              </w:rPr>
              <w:t xml:space="preserve"> </w:t>
            </w:r>
          </w:p>
        </w:tc>
      </w:tr>
    </w:tbl>
    <w:p w:rsidR="00285D06" w:rsidP="0098258D" w14:paraId="29040347" w14:textId="77777777">
      <w:pPr>
        <w:spacing w:before="5520" w:after="240"/>
        <w:jc w:val="center"/>
        <w:rPr>
          <w:sz w:val="22"/>
          <w:szCs w:val="22"/>
        </w:rPr>
      </w:pPr>
      <w:r w:rsidRPr="007D5370">
        <w:rPr>
          <w:sz w:val="22"/>
          <w:szCs w:val="22"/>
        </w:rPr>
        <w:t>The accompanying notes are an integral part of these statement</w:t>
      </w:r>
      <w:r>
        <w:rPr>
          <w:sz w:val="22"/>
          <w:szCs w:val="22"/>
        </w:rPr>
        <w:t>s.</w:t>
      </w:r>
    </w:p>
    <w:p w:rsidR="00285D06" w:rsidRPr="00786ABF" w:rsidP="00285D06" w14:paraId="19FE7E15" w14:textId="6B471A2B">
      <w:pPr>
        <w:jc w:val="center"/>
        <w:sectPr w:rsidSect="008262B9">
          <w:pgSz w:w="12240" w:h="15840" w:code="1"/>
          <w:pgMar w:top="1440" w:right="1440" w:bottom="1440" w:left="1440" w:header="720" w:footer="720" w:gutter="0"/>
          <w:cols w:space="720"/>
        </w:sectPr>
      </w:pPr>
    </w:p>
    <w:p w:rsidR="00285D06" w:rsidRPr="00687E91" w:rsidP="00CF7FD2" w14:paraId="5337A373" w14:textId="77777777">
      <w:pPr>
        <w:pStyle w:val="Heading3"/>
      </w:pPr>
      <w:bookmarkStart w:id="182" w:name="_Toc65551536"/>
      <w:bookmarkStart w:id="183" w:name="_Toc65660144"/>
      <w:bookmarkStart w:id="184" w:name="_Toc68601240"/>
      <w:bookmarkStart w:id="185" w:name="_Toc68601365"/>
      <w:bookmarkStart w:id="186" w:name="_Toc70736764"/>
      <w:bookmarkStart w:id="187" w:name="_Toc73190396"/>
      <w:bookmarkStart w:id="188" w:name="_Toc54589766"/>
      <w:bookmarkStart w:id="189" w:name="_Toc88780539"/>
      <w:bookmarkStart w:id="190" w:name="_Toc88780676"/>
      <w:r w:rsidRPr="00687E91">
        <w:t xml:space="preserve">Notes to the </w:t>
      </w:r>
      <w:bookmarkEnd w:id="180"/>
      <w:bookmarkEnd w:id="181"/>
      <w:bookmarkEnd w:id="182"/>
      <w:bookmarkEnd w:id="183"/>
      <w:bookmarkEnd w:id="184"/>
      <w:bookmarkEnd w:id="185"/>
      <w:bookmarkEnd w:id="186"/>
      <w:bookmarkEnd w:id="187"/>
      <w:r w:rsidRPr="00687E91">
        <w:t>Principal Financial Statements</w:t>
      </w:r>
      <w:bookmarkEnd w:id="188"/>
      <w:bookmarkEnd w:id="189"/>
      <w:bookmarkEnd w:id="190"/>
    </w:p>
    <w:p w:rsidR="00285D06" w:rsidRPr="0013544A" w:rsidP="00285D06" w14:paraId="751065BB" w14:textId="77777777">
      <w:pPr>
        <w:widowControl w:val="0"/>
        <w:overflowPunct w:val="0"/>
        <w:autoSpaceDE w:val="0"/>
        <w:autoSpaceDN w:val="0"/>
        <w:adjustRightInd w:val="0"/>
        <w:jc w:val="both"/>
        <w:textAlignment w:val="baseline"/>
        <w:rPr>
          <w:b/>
          <w:bCs/>
          <w:sz w:val="22"/>
          <w:szCs w:val="22"/>
        </w:rPr>
      </w:pPr>
      <w:r w:rsidRPr="0013544A">
        <w:rPr>
          <w:b/>
          <w:bCs/>
          <w:sz w:val="22"/>
          <w:szCs w:val="22"/>
        </w:rPr>
        <w:t xml:space="preserve">For the </w:t>
      </w:r>
      <w:r>
        <w:rPr>
          <w:b/>
          <w:bCs/>
          <w:sz w:val="22"/>
          <w:szCs w:val="22"/>
        </w:rPr>
        <w:t>Years Ended September 30, 2021</w:t>
      </w:r>
      <w:r w:rsidRPr="0013544A">
        <w:rPr>
          <w:b/>
          <w:bCs/>
          <w:sz w:val="22"/>
          <w:szCs w:val="22"/>
        </w:rPr>
        <w:t xml:space="preserve"> and </w:t>
      </w:r>
      <w:r>
        <w:rPr>
          <w:b/>
          <w:bCs/>
          <w:sz w:val="22"/>
          <w:szCs w:val="22"/>
        </w:rPr>
        <w:t>September 30, 2020</w:t>
      </w:r>
    </w:p>
    <w:p w:rsidR="00285D06" w:rsidRPr="000621B8" w:rsidP="00345F43" w14:paraId="111B9AE4" w14:textId="77777777">
      <w:pPr>
        <w:tabs>
          <w:tab w:val="center" w:pos="4320"/>
          <w:tab w:val="right" w:pos="8640"/>
        </w:tabs>
        <w:spacing w:after="260"/>
        <w:rPr>
          <w:caps/>
          <w:sz w:val="22"/>
          <w:szCs w:val="22"/>
        </w:rPr>
      </w:pPr>
      <w:r w:rsidRPr="000621B8">
        <w:rPr>
          <w:caps/>
          <w:sz w:val="22"/>
          <w:szCs w:val="22"/>
        </w:rPr>
        <w:t>(D</w:t>
      </w:r>
      <w:r w:rsidRPr="000621B8">
        <w:rPr>
          <w:sz w:val="22"/>
          <w:szCs w:val="22"/>
        </w:rPr>
        <w:t>ollars in thousands unless otherwise stated</w:t>
      </w:r>
      <w:r w:rsidRPr="000621B8">
        <w:rPr>
          <w:caps/>
          <w:sz w:val="22"/>
          <w:szCs w:val="22"/>
        </w:rPr>
        <w:t>)</w:t>
      </w:r>
    </w:p>
    <w:p w:rsidR="00285D06" w:rsidRPr="009B52A7" w:rsidP="007A0DDA" w14:paraId="273CFD51" w14:textId="77777777">
      <w:pPr>
        <w:pStyle w:val="Heading4"/>
        <w:rPr>
          <w:sz w:val="22"/>
          <w:szCs w:val="22"/>
        </w:rPr>
      </w:pPr>
      <w:bookmarkStart w:id="191" w:name="_Toc88780677"/>
      <w:bookmarkStart w:id="192" w:name="_Toc65322702"/>
      <w:bookmarkStart w:id="193" w:name="_Toc65323497"/>
      <w:bookmarkStart w:id="194" w:name="_Toc65325548"/>
      <w:bookmarkStart w:id="195" w:name="_Toc65548732"/>
      <w:bookmarkStart w:id="196" w:name="_Toc65551537"/>
      <w:bookmarkStart w:id="197" w:name="_Toc65660145"/>
      <w:bookmarkStart w:id="198" w:name="_Toc68601241"/>
      <w:bookmarkStart w:id="199" w:name="_Toc68601366"/>
      <w:bookmarkStart w:id="200" w:name="_Toc70736765"/>
      <w:bookmarkStart w:id="201" w:name="_Toc73190400"/>
      <w:bookmarkStart w:id="202" w:name="_Toc53919438"/>
      <w:bookmarkStart w:id="203" w:name="_Toc54495146"/>
      <w:bookmarkStart w:id="204" w:name="_Toc55381127"/>
      <w:bookmarkStart w:id="205" w:name="_Toc55616504"/>
      <w:bookmarkStart w:id="206" w:name="_Toc58912828"/>
      <w:r w:rsidRPr="009B52A7">
        <w:rPr>
          <w:sz w:val="22"/>
          <w:szCs w:val="22"/>
        </w:rPr>
        <w:t>Note 1 – Summary of Significant Accounting Policies</w:t>
      </w:r>
      <w:bookmarkEnd w:id="191"/>
    </w:p>
    <w:p w:rsidR="00285D06" w:rsidRPr="007F31DE" w:rsidP="009144AF" w14:paraId="40451D4F" w14:textId="7F3A5B7D">
      <w:pPr>
        <w:pStyle w:val="Heading5"/>
        <w:numPr>
          <w:ilvl w:val="0"/>
          <w:numId w:val="26"/>
        </w:numPr>
        <w:spacing w:after="260"/>
        <w:ind w:left="360"/>
        <w:rPr>
          <w:sz w:val="22"/>
          <w:szCs w:val="22"/>
        </w:rPr>
      </w:pPr>
      <w:bookmarkStart w:id="207" w:name="_Toc88780678"/>
      <w:r w:rsidRPr="007F31DE">
        <w:rPr>
          <w:sz w:val="22"/>
          <w:szCs w:val="22"/>
        </w:rPr>
        <w:t>Reporting Entity</w:t>
      </w:r>
      <w:bookmarkEnd w:id="207"/>
    </w:p>
    <w:p w:rsidR="00285D06" w:rsidRPr="00BA1E56" w:rsidP="00214076" w14:paraId="3B5986A7" w14:textId="743F0FCE">
      <w:pPr>
        <w:spacing w:after="260"/>
        <w:jc w:val="both"/>
        <w:rPr>
          <w:sz w:val="22"/>
          <w:szCs w:val="22"/>
        </w:rPr>
      </w:pPr>
      <w:r w:rsidRPr="00BA1E56">
        <w:rPr>
          <w:sz w:val="22"/>
          <w:szCs w:val="22"/>
        </w:rPr>
        <w:t>The Federal Communications Commission (</w:t>
      </w:r>
      <w:r>
        <w:rPr>
          <w:sz w:val="22"/>
          <w:szCs w:val="22"/>
        </w:rPr>
        <w:t xml:space="preserve">FCC or </w:t>
      </w:r>
      <w:r w:rsidRPr="00BA1E56">
        <w:rPr>
          <w:sz w:val="22"/>
          <w:szCs w:val="22"/>
        </w:rPr>
        <w:t xml:space="preserve">Commission) is an independent United States </w:t>
      </w:r>
      <w:r>
        <w:rPr>
          <w:sz w:val="22"/>
          <w:szCs w:val="22"/>
        </w:rPr>
        <w:t>g</w:t>
      </w:r>
      <w:r w:rsidRPr="00BA1E56">
        <w:rPr>
          <w:sz w:val="22"/>
          <w:szCs w:val="22"/>
        </w:rPr>
        <w:t>overnment agency, established by the Communications Act of 1934 (Act), as amended.</w:t>
      </w:r>
      <w:r w:rsidR="00C933B2">
        <w:rPr>
          <w:sz w:val="22"/>
          <w:szCs w:val="22"/>
        </w:rPr>
        <w:t xml:space="preserve"> </w:t>
      </w:r>
      <w:r w:rsidRPr="00BA1E56">
        <w:rPr>
          <w:sz w:val="22"/>
          <w:szCs w:val="22"/>
        </w:rPr>
        <w:t>The Commission is charged with regulating interstate and international communications by radio, television, wire, satellite, and cable.</w:t>
      </w:r>
      <w:r w:rsidR="00C933B2">
        <w:rPr>
          <w:sz w:val="22"/>
          <w:szCs w:val="22"/>
        </w:rPr>
        <w:t xml:space="preserve"> </w:t>
      </w:r>
      <w:r w:rsidRPr="00BA1E56">
        <w:rPr>
          <w:sz w:val="22"/>
          <w:szCs w:val="22"/>
        </w:rPr>
        <w:t>The Commission’s jurisdiction spans the 50 states, the District of Columbia, and the U.S. possessions.</w:t>
      </w:r>
      <w:r w:rsidR="00C933B2">
        <w:rPr>
          <w:sz w:val="22"/>
          <w:szCs w:val="22"/>
        </w:rPr>
        <w:t xml:space="preserve"> </w:t>
      </w:r>
      <w:r w:rsidRPr="00BA1E56">
        <w:rPr>
          <w:sz w:val="22"/>
          <w:szCs w:val="22"/>
        </w:rPr>
        <w:t>The Commission is directed by five Commissioners who are appointed by the President of the United States and confirmed by the Senate for five-year terms, except when filling an unexpired term or serving in holdover status.</w:t>
      </w:r>
      <w:r w:rsidR="00C933B2">
        <w:rPr>
          <w:sz w:val="22"/>
          <w:szCs w:val="22"/>
        </w:rPr>
        <w:t xml:space="preserve"> </w:t>
      </w:r>
    </w:p>
    <w:p w:rsidR="00285D06" w:rsidRPr="00BA1E56" w:rsidP="00214076" w14:paraId="4146EF50" w14:textId="2FFD69EB">
      <w:pPr>
        <w:spacing w:after="260"/>
        <w:jc w:val="both"/>
        <w:rPr>
          <w:spacing w:val="-4"/>
          <w:kern w:val="16"/>
          <w:sz w:val="22"/>
          <w:szCs w:val="22"/>
        </w:rPr>
      </w:pPr>
      <w:bookmarkStart w:id="208" w:name="_Hlk75769555"/>
      <w:r w:rsidRPr="00BA1E56">
        <w:rPr>
          <w:spacing w:val="-4"/>
          <w:kern w:val="16"/>
          <w:sz w:val="22"/>
          <w:szCs w:val="22"/>
        </w:rPr>
        <w:t>The Commission is comprised of three reporting components.</w:t>
      </w:r>
      <w:r w:rsidR="00C933B2">
        <w:rPr>
          <w:spacing w:val="-4"/>
          <w:kern w:val="16"/>
          <w:sz w:val="22"/>
          <w:szCs w:val="22"/>
        </w:rPr>
        <w:t xml:space="preserve"> </w:t>
      </w:r>
      <w:r w:rsidRPr="00BA1E56">
        <w:rPr>
          <w:spacing w:val="-4"/>
          <w:kern w:val="16"/>
          <w:sz w:val="22"/>
          <w:szCs w:val="22"/>
        </w:rPr>
        <w:t>The primary component consists of Commission headquarters and field offices.</w:t>
      </w:r>
      <w:r w:rsidR="00C933B2">
        <w:rPr>
          <w:spacing w:val="-4"/>
          <w:kern w:val="16"/>
          <w:sz w:val="22"/>
          <w:szCs w:val="22"/>
        </w:rPr>
        <w:t xml:space="preserve"> </w:t>
      </w:r>
      <w:r w:rsidRPr="00BA1E56">
        <w:rPr>
          <w:spacing w:val="-4"/>
          <w:kern w:val="16"/>
          <w:sz w:val="22"/>
          <w:szCs w:val="22"/>
        </w:rPr>
        <w:t>The two additional components are the Universal Service Fund (USF) and the Telecommunications Relay Service (TRS) Fund.</w:t>
      </w:r>
      <w:r w:rsidR="00C933B2">
        <w:rPr>
          <w:spacing w:val="-4"/>
          <w:kern w:val="16"/>
          <w:sz w:val="22"/>
          <w:szCs w:val="22"/>
        </w:rPr>
        <w:t xml:space="preserve"> </w:t>
      </w:r>
      <w:r w:rsidRPr="00BA1E56">
        <w:rPr>
          <w:spacing w:val="-4"/>
          <w:kern w:val="16"/>
          <w:sz w:val="22"/>
          <w:szCs w:val="22"/>
        </w:rPr>
        <w:t xml:space="preserve">The USF reports the results of the four </w:t>
      </w:r>
      <w:r>
        <w:rPr>
          <w:spacing w:val="-4"/>
          <w:kern w:val="16"/>
          <w:sz w:val="22"/>
          <w:szCs w:val="22"/>
        </w:rPr>
        <w:t>u</w:t>
      </w:r>
      <w:r w:rsidRPr="00BA1E56">
        <w:rPr>
          <w:spacing w:val="-4"/>
          <w:kern w:val="16"/>
          <w:sz w:val="22"/>
          <w:szCs w:val="22"/>
        </w:rPr>
        <w:t xml:space="preserve">niversal </w:t>
      </w:r>
      <w:r>
        <w:rPr>
          <w:spacing w:val="-4"/>
          <w:kern w:val="16"/>
          <w:sz w:val="22"/>
          <w:szCs w:val="22"/>
        </w:rPr>
        <w:t>s</w:t>
      </w:r>
      <w:r w:rsidRPr="00BA1E56">
        <w:rPr>
          <w:spacing w:val="-4"/>
          <w:kern w:val="16"/>
          <w:sz w:val="22"/>
          <w:szCs w:val="22"/>
        </w:rPr>
        <w:t>ervice programs (established pursuant to section 254 of the Act, as amended), and the Connected Care Pilot Program (CCPP)</w:t>
      </w:r>
      <w:r w:rsidRPr="00BA1E56">
        <w:rPr>
          <w:sz w:val="22"/>
          <w:szCs w:val="22"/>
        </w:rPr>
        <w:t>.</w:t>
      </w:r>
      <w:r w:rsidR="00C933B2">
        <w:rPr>
          <w:sz w:val="22"/>
          <w:szCs w:val="22"/>
        </w:rPr>
        <w:t xml:space="preserve"> </w:t>
      </w:r>
      <w:r w:rsidRPr="00BA1E56">
        <w:rPr>
          <w:spacing w:val="-4"/>
          <w:kern w:val="16"/>
          <w:sz w:val="22"/>
          <w:szCs w:val="22"/>
        </w:rPr>
        <w:t xml:space="preserve">Section 510 of Division </w:t>
      </w:r>
      <w:r>
        <w:rPr>
          <w:spacing w:val="-4"/>
          <w:kern w:val="16"/>
          <w:sz w:val="22"/>
          <w:szCs w:val="22"/>
        </w:rPr>
        <w:t>E</w:t>
      </w:r>
      <w:r w:rsidRPr="00BA1E56">
        <w:rPr>
          <w:spacing w:val="-4"/>
          <w:kern w:val="16"/>
          <w:sz w:val="22"/>
          <w:szCs w:val="22"/>
        </w:rPr>
        <w:t xml:space="preserve"> of the Consolidated Appropriations Act, </w:t>
      </w:r>
      <w:r>
        <w:rPr>
          <w:spacing w:val="-4"/>
          <w:kern w:val="16"/>
          <w:sz w:val="22"/>
          <w:szCs w:val="22"/>
        </w:rPr>
        <w:t>2021</w:t>
      </w:r>
      <w:r w:rsidRPr="00BA1E56">
        <w:rPr>
          <w:spacing w:val="-4"/>
          <w:kern w:val="16"/>
          <w:sz w:val="22"/>
          <w:szCs w:val="22"/>
        </w:rPr>
        <w:t>, P.L. 116</w:t>
      </w:r>
      <w:r w:rsidRPr="00BA1E56">
        <w:rPr>
          <w:b/>
          <w:spacing w:val="-4"/>
          <w:kern w:val="16"/>
          <w:sz w:val="22"/>
          <w:szCs w:val="22"/>
        </w:rPr>
        <w:t>–</w:t>
      </w:r>
      <w:r>
        <w:rPr>
          <w:spacing w:val="-4"/>
          <w:kern w:val="16"/>
          <w:sz w:val="22"/>
          <w:szCs w:val="22"/>
        </w:rPr>
        <w:t>260</w:t>
      </w:r>
      <w:r w:rsidRPr="00BA1E56">
        <w:rPr>
          <w:spacing w:val="-4"/>
          <w:kern w:val="16"/>
          <w:sz w:val="22"/>
          <w:szCs w:val="22"/>
        </w:rPr>
        <w:t xml:space="preserve">, amended Section 302 of the Universal Service </w:t>
      </w:r>
      <w:r w:rsidRPr="00BA1E56">
        <w:rPr>
          <w:spacing w:val="-4"/>
          <w:kern w:val="16"/>
          <w:sz w:val="22"/>
          <w:szCs w:val="22"/>
        </w:rPr>
        <w:t>Antideficiency</w:t>
      </w:r>
      <w:r w:rsidRPr="00BA1E56">
        <w:rPr>
          <w:spacing w:val="-4"/>
          <w:kern w:val="16"/>
          <w:sz w:val="22"/>
          <w:szCs w:val="22"/>
        </w:rPr>
        <w:t xml:space="preserve"> Temporary Suspension Act, Title III of P.L. 108-494, </w:t>
      </w:r>
      <w:r>
        <w:rPr>
          <w:spacing w:val="-4"/>
          <w:kern w:val="16"/>
          <w:sz w:val="22"/>
          <w:szCs w:val="22"/>
        </w:rPr>
        <w:t>extending</w:t>
      </w:r>
      <w:r w:rsidRPr="00BA1E56">
        <w:rPr>
          <w:spacing w:val="-4"/>
          <w:kern w:val="16"/>
          <w:sz w:val="22"/>
          <w:szCs w:val="22"/>
        </w:rPr>
        <w:t xml:space="preserve"> the </w:t>
      </w:r>
      <w:r>
        <w:rPr>
          <w:spacing w:val="-4"/>
          <w:kern w:val="16"/>
          <w:sz w:val="22"/>
          <w:szCs w:val="22"/>
        </w:rPr>
        <w:t>u</w:t>
      </w:r>
      <w:r w:rsidRPr="00BA1E56">
        <w:rPr>
          <w:spacing w:val="-4"/>
          <w:kern w:val="16"/>
          <w:sz w:val="22"/>
          <w:szCs w:val="22"/>
        </w:rPr>
        <w:t xml:space="preserve">niversal </w:t>
      </w:r>
      <w:r>
        <w:rPr>
          <w:spacing w:val="-4"/>
          <w:kern w:val="16"/>
          <w:sz w:val="22"/>
          <w:szCs w:val="22"/>
        </w:rPr>
        <w:t>s</w:t>
      </w:r>
      <w:r w:rsidRPr="00BA1E56">
        <w:rPr>
          <w:spacing w:val="-4"/>
          <w:kern w:val="16"/>
          <w:sz w:val="22"/>
          <w:szCs w:val="22"/>
        </w:rPr>
        <w:t xml:space="preserve">ervice programs exemption from the application of the provisions of the </w:t>
      </w:r>
      <w:r w:rsidRPr="00BA1E56">
        <w:rPr>
          <w:spacing w:val="-4"/>
          <w:kern w:val="16"/>
          <w:sz w:val="22"/>
          <w:szCs w:val="22"/>
        </w:rPr>
        <w:t>Antideficiency</w:t>
      </w:r>
      <w:r w:rsidRPr="00BA1E56">
        <w:rPr>
          <w:spacing w:val="-4"/>
          <w:kern w:val="16"/>
          <w:sz w:val="22"/>
          <w:szCs w:val="22"/>
        </w:rPr>
        <w:t xml:space="preserve"> Act until December 31, </w:t>
      </w:r>
      <w:r>
        <w:rPr>
          <w:spacing w:val="-4"/>
          <w:kern w:val="16"/>
          <w:sz w:val="22"/>
          <w:szCs w:val="22"/>
        </w:rPr>
        <w:t>2021.</w:t>
      </w:r>
      <w:r w:rsidR="00C933B2">
        <w:rPr>
          <w:spacing w:val="-4"/>
          <w:kern w:val="16"/>
          <w:sz w:val="22"/>
          <w:szCs w:val="22"/>
        </w:rPr>
        <w:t xml:space="preserve"> </w:t>
      </w:r>
      <w:r w:rsidRPr="00BA1E56">
        <w:rPr>
          <w:spacing w:val="-4"/>
          <w:kern w:val="16"/>
          <w:sz w:val="22"/>
          <w:szCs w:val="22"/>
        </w:rPr>
        <w:t xml:space="preserve">Accordingly, </w:t>
      </w:r>
      <w:r>
        <w:rPr>
          <w:spacing w:val="-4"/>
          <w:kern w:val="16"/>
          <w:sz w:val="22"/>
          <w:szCs w:val="22"/>
        </w:rPr>
        <w:t xml:space="preserve">the </w:t>
      </w:r>
      <w:r w:rsidRPr="00BA1E56">
        <w:rPr>
          <w:spacing w:val="-4"/>
          <w:kern w:val="16"/>
          <w:sz w:val="22"/>
          <w:szCs w:val="22"/>
        </w:rPr>
        <w:t>USF is not subject to apportionment by the Office of Management and Budget (OMB).</w:t>
      </w:r>
      <w:r w:rsidR="00C933B2">
        <w:rPr>
          <w:spacing w:val="-4"/>
          <w:kern w:val="16"/>
          <w:sz w:val="22"/>
          <w:szCs w:val="22"/>
        </w:rPr>
        <w:t xml:space="preserve"> </w:t>
      </w:r>
      <w:r w:rsidRPr="00BA1E56">
        <w:rPr>
          <w:spacing w:val="-4"/>
          <w:kern w:val="16"/>
          <w:sz w:val="22"/>
          <w:szCs w:val="22"/>
        </w:rPr>
        <w:t>The TRS Fund was established by the Americans with Disabilities Act of 1990, Title IV</w:t>
      </w:r>
      <w:r>
        <w:rPr>
          <w:spacing w:val="-4"/>
          <w:kern w:val="16"/>
          <w:sz w:val="22"/>
          <w:szCs w:val="22"/>
        </w:rPr>
        <w:t>,</w:t>
      </w:r>
      <w:r w:rsidRPr="00BA1E56">
        <w:rPr>
          <w:spacing w:val="-4"/>
          <w:kern w:val="16"/>
          <w:sz w:val="22"/>
          <w:szCs w:val="22"/>
        </w:rPr>
        <w:t xml:space="preserve"> and is not exempt from the </w:t>
      </w:r>
      <w:r w:rsidRPr="00BA1E56">
        <w:rPr>
          <w:spacing w:val="-4"/>
          <w:kern w:val="16"/>
          <w:sz w:val="22"/>
          <w:szCs w:val="22"/>
        </w:rPr>
        <w:t>Antideficiency</w:t>
      </w:r>
      <w:r w:rsidRPr="00BA1E56">
        <w:rPr>
          <w:spacing w:val="-4"/>
          <w:kern w:val="16"/>
          <w:sz w:val="22"/>
          <w:szCs w:val="22"/>
        </w:rPr>
        <w:t xml:space="preserve"> Act and must be apportioned by OMB before funds are available for use.</w:t>
      </w:r>
      <w:r w:rsidR="00C933B2">
        <w:rPr>
          <w:spacing w:val="-4"/>
          <w:kern w:val="16"/>
          <w:sz w:val="22"/>
          <w:szCs w:val="22"/>
        </w:rPr>
        <w:t xml:space="preserve"> </w:t>
      </w:r>
      <w:r w:rsidRPr="00BA1E56">
        <w:rPr>
          <w:spacing w:val="-4"/>
          <w:kern w:val="16"/>
          <w:sz w:val="22"/>
          <w:szCs w:val="22"/>
        </w:rPr>
        <w:t xml:space="preserve">Information regarding disclosure entities is separately disclosed in Note </w:t>
      </w:r>
      <w:r>
        <w:rPr>
          <w:spacing w:val="-4"/>
          <w:kern w:val="16"/>
          <w:sz w:val="22"/>
          <w:szCs w:val="22"/>
        </w:rPr>
        <w:t>17</w:t>
      </w:r>
      <w:r w:rsidRPr="00BA1E56">
        <w:rPr>
          <w:spacing w:val="-4"/>
          <w:kern w:val="16"/>
          <w:sz w:val="22"/>
          <w:szCs w:val="22"/>
        </w:rPr>
        <w:t>.</w:t>
      </w:r>
    </w:p>
    <w:p w:rsidR="00285D06" w:rsidRPr="00155B33" w:rsidP="00C74D83" w14:paraId="14DE406B" w14:textId="501489D5">
      <w:pPr>
        <w:pStyle w:val="Heading5"/>
        <w:numPr>
          <w:ilvl w:val="0"/>
          <w:numId w:val="26"/>
        </w:numPr>
        <w:spacing w:after="260"/>
        <w:ind w:left="360"/>
        <w:rPr>
          <w:spacing w:val="-4"/>
          <w:kern w:val="16"/>
          <w:sz w:val="22"/>
          <w:szCs w:val="22"/>
        </w:rPr>
      </w:pPr>
      <w:bookmarkStart w:id="209" w:name="_Toc88780679"/>
      <w:bookmarkEnd w:id="208"/>
      <w:r w:rsidRPr="00155B33">
        <w:rPr>
          <w:sz w:val="22"/>
          <w:szCs w:val="22"/>
        </w:rPr>
        <w:t>Basis of Accounting and Presentation</w:t>
      </w:r>
      <w:bookmarkEnd w:id="209"/>
    </w:p>
    <w:p w:rsidR="00285D06" w:rsidRPr="00BA1E56" w:rsidP="00214076" w14:paraId="7185E4BE" w14:textId="0C86CD47">
      <w:pPr>
        <w:spacing w:after="260"/>
        <w:jc w:val="both"/>
        <w:rPr>
          <w:sz w:val="22"/>
          <w:szCs w:val="22"/>
        </w:rPr>
      </w:pPr>
      <w:r w:rsidRPr="00BA1E56">
        <w:rPr>
          <w:sz w:val="22"/>
          <w:szCs w:val="22"/>
        </w:rPr>
        <w:t xml:space="preserve">The consolidated and combined financial statements (financial statements) have been prepared from the accounting records of the Commission and its components, in conformity with U.S. generally accepted accounting principles (GAAP) and the form and content for </w:t>
      </w:r>
      <w:r>
        <w:rPr>
          <w:sz w:val="22"/>
          <w:szCs w:val="22"/>
        </w:rPr>
        <w:t>f</w:t>
      </w:r>
      <w:r w:rsidRPr="00BA1E56">
        <w:rPr>
          <w:sz w:val="22"/>
          <w:szCs w:val="22"/>
        </w:rPr>
        <w:t xml:space="preserve">ederal entity financial statements specified by </w:t>
      </w:r>
      <w:bookmarkStart w:id="210" w:name="_Hlk4573652"/>
      <w:r w:rsidRPr="00BA1E56">
        <w:rPr>
          <w:sz w:val="22"/>
          <w:szCs w:val="22"/>
        </w:rPr>
        <w:t>OMB Circular No. A</w:t>
      </w:r>
      <w:r w:rsidRPr="00BA1E56">
        <w:rPr>
          <w:b/>
          <w:sz w:val="22"/>
          <w:szCs w:val="22"/>
        </w:rPr>
        <w:t>-</w:t>
      </w:r>
      <w:r w:rsidRPr="00BA1E56">
        <w:rPr>
          <w:sz w:val="22"/>
          <w:szCs w:val="22"/>
        </w:rPr>
        <w:t xml:space="preserve">136, </w:t>
      </w:r>
      <w:r w:rsidRPr="00BA1E56">
        <w:rPr>
          <w:i/>
          <w:sz w:val="22"/>
          <w:szCs w:val="22"/>
        </w:rPr>
        <w:t>Financial Reporting Requirements</w:t>
      </w:r>
      <w:bookmarkEnd w:id="210"/>
      <w:r w:rsidRPr="00767906">
        <w:rPr>
          <w:bCs/>
          <w:sz w:val="22"/>
          <w:szCs w:val="22"/>
        </w:rPr>
        <w:t>—</w:t>
      </w:r>
      <w:r w:rsidRPr="00FA7DA0">
        <w:rPr>
          <w:bCs/>
          <w:i/>
          <w:iCs/>
          <w:sz w:val="22"/>
          <w:szCs w:val="22"/>
        </w:rPr>
        <w:t>Revised</w:t>
      </w:r>
      <w:r w:rsidRPr="00BA1E56">
        <w:rPr>
          <w:sz w:val="22"/>
          <w:szCs w:val="22"/>
        </w:rPr>
        <w:t>.</w:t>
      </w:r>
      <w:r w:rsidR="00C933B2">
        <w:rPr>
          <w:sz w:val="22"/>
          <w:szCs w:val="22"/>
        </w:rPr>
        <w:t xml:space="preserve"> </w:t>
      </w:r>
      <w:r w:rsidRPr="00BA1E56">
        <w:rPr>
          <w:sz w:val="22"/>
          <w:szCs w:val="22"/>
        </w:rPr>
        <w:t>Custodial activity reported on the Statement of Custodial Activity is prepared on the modified cash basis.</w:t>
      </w:r>
    </w:p>
    <w:p w:rsidR="00285D06" w:rsidRPr="00BA1E56" w:rsidP="00214076" w14:paraId="349CA957" w14:textId="511DB4E9">
      <w:pPr>
        <w:spacing w:after="260"/>
        <w:jc w:val="both"/>
        <w:rPr>
          <w:sz w:val="22"/>
          <w:szCs w:val="22"/>
        </w:rPr>
      </w:pPr>
      <w:r w:rsidRPr="00BA1E56">
        <w:rPr>
          <w:sz w:val="22"/>
          <w:szCs w:val="22"/>
        </w:rPr>
        <w:t>The preparation of financial statements in conformity with GAAP requires management to make estimates and assumptions that affect the amounts reported in the financial statements.</w:t>
      </w:r>
      <w:r w:rsidR="00C933B2">
        <w:rPr>
          <w:sz w:val="22"/>
          <w:szCs w:val="22"/>
        </w:rPr>
        <w:t xml:space="preserve"> </w:t>
      </w:r>
      <w:r w:rsidRPr="00BA1E56">
        <w:rPr>
          <w:sz w:val="22"/>
          <w:szCs w:val="22"/>
        </w:rPr>
        <w:t>Actual results may differ from those estimates.</w:t>
      </w:r>
      <w:r w:rsidR="00C933B2">
        <w:rPr>
          <w:sz w:val="22"/>
          <w:szCs w:val="22"/>
        </w:rPr>
        <w:t xml:space="preserve"> </w:t>
      </w:r>
    </w:p>
    <w:p w:rsidR="00285D06" w:rsidRPr="006714E5" w:rsidP="00C74D83" w14:paraId="59E33040" w14:textId="77CD265E">
      <w:pPr>
        <w:pStyle w:val="Heading5"/>
        <w:numPr>
          <w:ilvl w:val="0"/>
          <w:numId w:val="26"/>
        </w:numPr>
        <w:spacing w:after="260"/>
        <w:ind w:left="360"/>
        <w:rPr>
          <w:sz w:val="22"/>
          <w:szCs w:val="22"/>
        </w:rPr>
      </w:pPr>
      <w:bookmarkStart w:id="211" w:name="_Toc88780680"/>
      <w:r w:rsidRPr="006714E5">
        <w:rPr>
          <w:sz w:val="22"/>
          <w:szCs w:val="22"/>
        </w:rPr>
        <w:t>Classified Activities</w:t>
      </w:r>
      <w:bookmarkEnd w:id="211"/>
    </w:p>
    <w:p w:rsidR="00FD319E" w:rsidP="00214076" w14:paraId="019BE508" w14:textId="77777777">
      <w:pPr>
        <w:spacing w:after="260"/>
        <w:jc w:val="both"/>
        <w:rPr>
          <w:sz w:val="22"/>
          <w:szCs w:val="22"/>
        </w:rPr>
        <w:sectPr w:rsidSect="00A1389B">
          <w:headerReference w:type="even" r:id="rId69"/>
          <w:headerReference w:type="default" r:id="rId70"/>
          <w:footerReference w:type="default" r:id="rId71"/>
          <w:headerReference w:type="first" r:id="rId72"/>
          <w:type w:val="continuous"/>
          <w:pgSz w:w="12240" w:h="15840"/>
          <w:pgMar w:top="1440" w:right="1440" w:bottom="1296" w:left="1440" w:header="720" w:footer="720" w:gutter="0"/>
          <w:cols w:space="720"/>
        </w:sectPr>
      </w:pPr>
      <w:r w:rsidRPr="00BA1E56">
        <w:rPr>
          <w:sz w:val="22"/>
          <w:szCs w:val="22"/>
        </w:rPr>
        <w:t xml:space="preserve">Statement of Federal Financial Accounting Standards (SFFAS) </w:t>
      </w:r>
      <w:r>
        <w:rPr>
          <w:sz w:val="22"/>
          <w:szCs w:val="22"/>
        </w:rPr>
        <w:t>56</w:t>
      </w:r>
      <w:r w:rsidRPr="00BA1E56">
        <w:rPr>
          <w:sz w:val="22"/>
          <w:szCs w:val="22"/>
        </w:rPr>
        <w:t xml:space="preserve">, </w:t>
      </w:r>
      <w:r>
        <w:rPr>
          <w:i/>
          <w:sz w:val="22"/>
          <w:szCs w:val="22"/>
        </w:rPr>
        <w:t>Classified Activities</w:t>
      </w:r>
      <w:r>
        <w:rPr>
          <w:iCs/>
          <w:sz w:val="22"/>
          <w:szCs w:val="22"/>
        </w:rPr>
        <w:t>, r</w:t>
      </w:r>
      <w:r w:rsidRPr="00BA1E56">
        <w:rPr>
          <w:sz w:val="22"/>
          <w:szCs w:val="22"/>
        </w:rPr>
        <w:t>equire</w:t>
      </w:r>
      <w:r>
        <w:rPr>
          <w:sz w:val="22"/>
          <w:szCs w:val="22"/>
        </w:rPr>
        <w:t>s</w:t>
      </w:r>
      <w:r w:rsidRPr="00BA1E56">
        <w:rPr>
          <w:sz w:val="22"/>
          <w:szCs w:val="22"/>
        </w:rPr>
        <w:t xml:space="preserve"> all reporting entities to disclose that accounting standards allow certain presentations and disclosures to be modified, if needed, to prevent the disclosure of classified information.</w:t>
      </w:r>
    </w:p>
    <w:p w:rsidR="00285D06" w:rsidRPr="006201C9" w:rsidP="00214076" w14:paraId="2F35E0FC" w14:textId="77777777">
      <w:pPr>
        <w:spacing w:after="260"/>
        <w:jc w:val="both"/>
        <w:rPr>
          <w:b/>
          <w:sz w:val="22"/>
          <w:szCs w:val="22"/>
        </w:rPr>
      </w:pPr>
      <w:r w:rsidRPr="00BA1E56">
        <w:rPr>
          <w:b/>
          <w:sz w:val="22"/>
          <w:szCs w:val="22"/>
        </w:rPr>
        <w:t>Note 1 – Summary of Significant Accounting Policies (continued)</w:t>
      </w:r>
    </w:p>
    <w:p w:rsidR="00285D06" w:rsidRPr="006714E5" w:rsidP="00C74D83" w14:paraId="77515272" w14:textId="44DAC272">
      <w:pPr>
        <w:pStyle w:val="Heading5"/>
        <w:numPr>
          <w:ilvl w:val="0"/>
          <w:numId w:val="26"/>
        </w:numPr>
        <w:spacing w:after="260"/>
        <w:ind w:left="360"/>
        <w:rPr>
          <w:sz w:val="22"/>
          <w:szCs w:val="22"/>
        </w:rPr>
      </w:pPr>
      <w:bookmarkStart w:id="212" w:name="_Toc88780681"/>
      <w:r w:rsidRPr="006714E5">
        <w:rPr>
          <w:sz w:val="22"/>
          <w:szCs w:val="22"/>
        </w:rPr>
        <w:t>Fund Balance with Treasury</w:t>
      </w:r>
      <w:bookmarkEnd w:id="212"/>
    </w:p>
    <w:p w:rsidR="00285D06" w:rsidRPr="00BA1E56" w:rsidP="00214076" w14:paraId="4FA823C5" w14:textId="5BA862A8">
      <w:pPr>
        <w:spacing w:after="260"/>
        <w:jc w:val="both"/>
        <w:rPr>
          <w:spacing w:val="-4"/>
          <w:kern w:val="22"/>
          <w:sz w:val="22"/>
          <w:szCs w:val="22"/>
        </w:rPr>
      </w:pPr>
      <w:r w:rsidRPr="00BA1E56">
        <w:rPr>
          <w:spacing w:val="-4"/>
          <w:kern w:val="22"/>
          <w:sz w:val="22"/>
          <w:szCs w:val="22"/>
        </w:rPr>
        <w:t>Funds with the U.S. Department of the Treasury (Treasury) primarily represent general, revolving, special, and deposit funds.</w:t>
      </w:r>
      <w:r w:rsidR="00C933B2">
        <w:rPr>
          <w:spacing w:val="-4"/>
          <w:kern w:val="22"/>
          <w:sz w:val="22"/>
          <w:szCs w:val="22"/>
        </w:rPr>
        <w:t xml:space="preserve"> </w:t>
      </w:r>
      <w:r w:rsidRPr="00BA1E56">
        <w:rPr>
          <w:spacing w:val="-4"/>
          <w:kern w:val="22"/>
          <w:sz w:val="22"/>
          <w:szCs w:val="22"/>
        </w:rPr>
        <w:t>The Commission may use the general and revolving funds to finance expenses, depending on</w:t>
      </w:r>
      <w:r>
        <w:rPr>
          <w:spacing w:val="-4"/>
          <w:kern w:val="22"/>
          <w:sz w:val="22"/>
          <w:szCs w:val="22"/>
        </w:rPr>
        <w:t xml:space="preserve"> </w:t>
      </w:r>
      <w:r w:rsidRPr="00BA1E56">
        <w:rPr>
          <w:spacing w:val="-4"/>
          <w:kern w:val="22"/>
          <w:sz w:val="22"/>
          <w:szCs w:val="22"/>
        </w:rPr>
        <w:t>budgetary availability.</w:t>
      </w:r>
      <w:r w:rsidR="00C933B2">
        <w:rPr>
          <w:spacing w:val="-4"/>
          <w:kern w:val="22"/>
          <w:sz w:val="22"/>
          <w:szCs w:val="22"/>
        </w:rPr>
        <w:t xml:space="preserve"> </w:t>
      </w:r>
      <w:r w:rsidRPr="00BA1E56">
        <w:rPr>
          <w:spacing w:val="-4"/>
          <w:kern w:val="22"/>
          <w:sz w:val="22"/>
          <w:szCs w:val="22"/>
        </w:rPr>
        <w:t>The special funds are used to account for dedicated collections</w:t>
      </w:r>
      <w:r>
        <w:rPr>
          <w:spacing w:val="-4"/>
          <w:kern w:val="22"/>
          <w:sz w:val="22"/>
          <w:szCs w:val="22"/>
        </w:rPr>
        <w:t xml:space="preserve"> and </w:t>
      </w:r>
      <w:r w:rsidRPr="00BA1E56">
        <w:rPr>
          <w:spacing w:val="-4"/>
          <w:kern w:val="22"/>
          <w:sz w:val="22"/>
          <w:szCs w:val="22"/>
        </w:rPr>
        <w:t>deposit funds are used to hold amounts temporarily until they can be properly disbursed or distributed.</w:t>
      </w:r>
      <w:r w:rsidR="00C933B2">
        <w:rPr>
          <w:spacing w:val="-4"/>
          <w:kern w:val="22"/>
          <w:sz w:val="22"/>
          <w:szCs w:val="22"/>
        </w:rPr>
        <w:t xml:space="preserve"> </w:t>
      </w:r>
    </w:p>
    <w:p w:rsidR="00285D06" w:rsidRPr="004D1405" w:rsidP="00C74D83" w14:paraId="0E07FEDC" w14:textId="5A4067AD">
      <w:pPr>
        <w:pStyle w:val="Heading5"/>
        <w:numPr>
          <w:ilvl w:val="0"/>
          <w:numId w:val="26"/>
        </w:numPr>
        <w:spacing w:after="260"/>
        <w:ind w:left="360"/>
        <w:rPr>
          <w:sz w:val="22"/>
          <w:szCs w:val="22"/>
        </w:rPr>
      </w:pPr>
      <w:bookmarkStart w:id="213" w:name="_Toc88780682"/>
      <w:r w:rsidRPr="004D1405">
        <w:rPr>
          <w:sz w:val="22"/>
          <w:szCs w:val="22"/>
        </w:rPr>
        <w:t>Accounts Receivable, Net</w:t>
      </w:r>
      <w:bookmarkEnd w:id="213"/>
    </w:p>
    <w:p w:rsidR="00285D06" w:rsidRPr="00BA1E56" w:rsidP="00214076" w14:paraId="31CFF17A" w14:textId="7B52CB85">
      <w:pPr>
        <w:spacing w:after="260"/>
        <w:jc w:val="both"/>
        <w:rPr>
          <w:sz w:val="22"/>
          <w:szCs w:val="22"/>
        </w:rPr>
      </w:pPr>
      <w:r w:rsidRPr="00BA1E56">
        <w:rPr>
          <w:sz w:val="22"/>
          <w:szCs w:val="22"/>
        </w:rPr>
        <w:t xml:space="preserve">Accounts Receivable consists of claims made for payment from the public and other </w:t>
      </w:r>
      <w:r>
        <w:rPr>
          <w:sz w:val="22"/>
          <w:szCs w:val="22"/>
        </w:rPr>
        <w:t>f</w:t>
      </w:r>
      <w:r w:rsidRPr="00BA1E56">
        <w:rPr>
          <w:sz w:val="22"/>
          <w:szCs w:val="22"/>
        </w:rPr>
        <w:t>ederal entities.</w:t>
      </w:r>
      <w:r w:rsidR="00C933B2">
        <w:rPr>
          <w:sz w:val="22"/>
          <w:szCs w:val="22"/>
        </w:rPr>
        <w:t xml:space="preserve"> </w:t>
      </w:r>
      <w:r w:rsidRPr="00BA1E56">
        <w:rPr>
          <w:sz w:val="22"/>
          <w:szCs w:val="22"/>
        </w:rPr>
        <w:t>Gross receivables are reduced to net realizable value by an allowance for doubtful accounts.</w:t>
      </w:r>
      <w:r w:rsidR="00C933B2">
        <w:rPr>
          <w:sz w:val="22"/>
          <w:szCs w:val="22"/>
        </w:rPr>
        <w:t xml:space="preserve"> </w:t>
      </w:r>
    </w:p>
    <w:p w:rsidR="00285D06" w:rsidRPr="00BA1E56" w:rsidP="00214076" w14:paraId="00CB55AC" w14:textId="56CE337C">
      <w:pPr>
        <w:spacing w:after="260"/>
        <w:jc w:val="both"/>
        <w:rPr>
          <w:sz w:val="22"/>
          <w:szCs w:val="22"/>
        </w:rPr>
      </w:pPr>
      <w:r w:rsidRPr="00BA1E56">
        <w:rPr>
          <w:sz w:val="22"/>
          <w:szCs w:val="22"/>
        </w:rPr>
        <w:t>The Commission’s portion of the allowance for doubtful accounts is determined by applying predetermined percentages against the respective date the receivable was established.</w:t>
      </w:r>
      <w:r w:rsidR="00C933B2">
        <w:rPr>
          <w:sz w:val="22"/>
          <w:szCs w:val="22"/>
        </w:rPr>
        <w:t xml:space="preserve"> </w:t>
      </w:r>
      <w:r w:rsidRPr="00BA1E56">
        <w:rPr>
          <w:sz w:val="22"/>
          <w:szCs w:val="22"/>
        </w:rPr>
        <w:t>An additional analysis of higher dollar value receivables is also performed on individual account balances.</w:t>
      </w:r>
      <w:r w:rsidR="00C933B2">
        <w:rPr>
          <w:sz w:val="22"/>
          <w:szCs w:val="22"/>
        </w:rPr>
        <w:t xml:space="preserve"> </w:t>
      </w:r>
      <w:r w:rsidRPr="00BA1E56">
        <w:rPr>
          <w:sz w:val="22"/>
          <w:szCs w:val="22"/>
        </w:rPr>
        <w:t>As such, an additional allowance for doubtful accounts for the higher dollar value receivables may be recorded considering inherent uncertainties and risks.</w:t>
      </w:r>
    </w:p>
    <w:p w:rsidR="00285D06" w:rsidRPr="00BA1E56" w:rsidP="00214076" w14:paraId="5457DA42" w14:textId="10BCF42A">
      <w:pPr>
        <w:spacing w:after="260"/>
        <w:jc w:val="both"/>
        <w:rPr>
          <w:sz w:val="22"/>
          <w:szCs w:val="22"/>
        </w:rPr>
      </w:pPr>
      <w:r w:rsidRPr="00BA1E56">
        <w:rPr>
          <w:sz w:val="22"/>
          <w:szCs w:val="22"/>
        </w:rPr>
        <w:t>The USF portion of the allowance is determined by calculating an estimated general allowance for doubtful accounts receivable.</w:t>
      </w:r>
      <w:r w:rsidR="00C933B2">
        <w:rPr>
          <w:sz w:val="22"/>
          <w:szCs w:val="22"/>
        </w:rPr>
        <w:t xml:space="preserve"> </w:t>
      </w:r>
      <w:r w:rsidRPr="00BA1E56">
        <w:rPr>
          <w:sz w:val="22"/>
          <w:szCs w:val="22"/>
        </w:rPr>
        <w:t>The general allowance is calculated by multiplying the receivable amounts by the percentage of the estimated uncollectible amount as determined by a review of historical collection rates by type of receivable.</w:t>
      </w:r>
    </w:p>
    <w:p w:rsidR="00285D06" w:rsidRPr="00BA1E56" w:rsidP="00214076" w14:paraId="0EC356FB" w14:textId="13F14F28">
      <w:pPr>
        <w:spacing w:after="260"/>
        <w:jc w:val="both"/>
        <w:rPr>
          <w:sz w:val="22"/>
          <w:szCs w:val="22"/>
        </w:rPr>
      </w:pPr>
      <w:r w:rsidRPr="00BA1E56">
        <w:rPr>
          <w:sz w:val="22"/>
          <w:szCs w:val="22"/>
        </w:rPr>
        <w:t>The TRS portion of the allowance is based on estimated exposure to risk of nonpayment of billed balances, primarily based collection experience.</w:t>
      </w:r>
      <w:r w:rsidR="00C933B2">
        <w:rPr>
          <w:sz w:val="22"/>
          <w:szCs w:val="22"/>
        </w:rPr>
        <w:t xml:space="preserve"> </w:t>
      </w:r>
      <w:r w:rsidRPr="00BA1E56">
        <w:rPr>
          <w:sz w:val="22"/>
          <w:szCs w:val="22"/>
        </w:rPr>
        <w:t>The allowance includes reserves for identified bankruptcies, identified inactive contributors, contributors on appeal more than two years, delinquent amounts that are referred to Treasury for collection, and other items.</w:t>
      </w:r>
      <w:r w:rsidR="00C933B2">
        <w:rPr>
          <w:sz w:val="22"/>
          <w:szCs w:val="22"/>
        </w:rPr>
        <w:t xml:space="preserve"> </w:t>
      </w:r>
      <w:r w:rsidRPr="00BA1E56">
        <w:rPr>
          <w:sz w:val="22"/>
          <w:szCs w:val="22"/>
        </w:rPr>
        <w:t>The TRS administrator periodically reviews the estimates and may change the assessment of recoverability based on actual results.</w:t>
      </w:r>
    </w:p>
    <w:p w:rsidR="00285D06" w:rsidRPr="004D1405" w:rsidP="00C74D83" w14:paraId="6BE4BE2B" w14:textId="45896DDD">
      <w:pPr>
        <w:pStyle w:val="Heading5"/>
        <w:numPr>
          <w:ilvl w:val="0"/>
          <w:numId w:val="26"/>
        </w:numPr>
        <w:spacing w:after="260"/>
        <w:ind w:left="360"/>
        <w:rPr>
          <w:sz w:val="22"/>
          <w:szCs w:val="22"/>
        </w:rPr>
      </w:pPr>
      <w:bookmarkStart w:id="214" w:name="_Toc88780683"/>
      <w:bookmarkStart w:id="215" w:name="_Hlk519584152"/>
      <w:r w:rsidRPr="004D1405">
        <w:rPr>
          <w:sz w:val="22"/>
          <w:szCs w:val="22"/>
        </w:rPr>
        <w:t>General Property, Plant and Equipment, Net</w:t>
      </w:r>
      <w:bookmarkEnd w:id="214"/>
    </w:p>
    <w:bookmarkEnd w:id="215"/>
    <w:p w:rsidR="00285D06" w:rsidRPr="00BA1E56" w:rsidP="00214076" w14:paraId="2A6947DA" w14:textId="5989CCA8">
      <w:pPr>
        <w:spacing w:after="260"/>
        <w:jc w:val="both"/>
        <w:rPr>
          <w:sz w:val="22"/>
          <w:szCs w:val="22"/>
        </w:rPr>
      </w:pPr>
      <w:r w:rsidRPr="00BA1E56">
        <w:rPr>
          <w:sz w:val="22"/>
          <w:szCs w:val="22"/>
        </w:rPr>
        <w:t>The basis for recording purchased General Property, Plant, and Equipment (PP&amp;E) is full cost, including all costs incurred to bring the PP&amp;E to and from a location suitable for its intended use.</w:t>
      </w:r>
      <w:r w:rsidR="00C933B2">
        <w:rPr>
          <w:sz w:val="22"/>
          <w:szCs w:val="22"/>
        </w:rPr>
        <w:t xml:space="preserve"> </w:t>
      </w:r>
      <w:r w:rsidRPr="00BA1E56">
        <w:rPr>
          <w:sz w:val="22"/>
          <w:szCs w:val="22"/>
        </w:rPr>
        <w:t>The capitalization threshold is $100 for PP&amp;E and $200 for internally developed software with an estimated useful life of two years or more.</w:t>
      </w:r>
      <w:r w:rsidR="00C933B2">
        <w:rPr>
          <w:sz w:val="22"/>
          <w:szCs w:val="22"/>
        </w:rPr>
        <w:t xml:space="preserve"> </w:t>
      </w:r>
      <w:r w:rsidRPr="00BA1E56">
        <w:rPr>
          <w:sz w:val="22"/>
          <w:szCs w:val="22"/>
        </w:rPr>
        <w:t>There is no capitalization of bulk purchases of similar items.</w:t>
      </w:r>
      <w:r w:rsidR="00C933B2">
        <w:rPr>
          <w:sz w:val="22"/>
          <w:szCs w:val="22"/>
        </w:rPr>
        <w:t xml:space="preserve"> </w:t>
      </w:r>
      <w:r w:rsidRPr="00BA1E56">
        <w:rPr>
          <w:sz w:val="22"/>
          <w:szCs w:val="22"/>
        </w:rPr>
        <w:t>PP&amp;E is depreciated on a straight-line basis over the estimated useful lives of the items.</w:t>
      </w:r>
      <w:r w:rsidR="00C933B2">
        <w:rPr>
          <w:sz w:val="22"/>
          <w:szCs w:val="22"/>
        </w:rPr>
        <w:t xml:space="preserve"> </w:t>
      </w:r>
    </w:p>
    <w:p w:rsidR="00285D06" w:rsidRPr="00BA1E56" w:rsidP="00214076" w14:paraId="3A46E801" w14:textId="77777777">
      <w:pPr>
        <w:spacing w:after="260"/>
        <w:jc w:val="both"/>
        <w:rPr>
          <w:sz w:val="22"/>
          <w:szCs w:val="22"/>
        </w:rPr>
      </w:pPr>
      <w:r w:rsidRPr="00BA1E56">
        <w:rPr>
          <w:sz w:val="22"/>
          <w:szCs w:val="22"/>
        </w:rPr>
        <w:t>The following chart summarizes the PP&amp;E classifications with related estimated useful lives: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6"/>
        <w:gridCol w:w="3123"/>
      </w:tblGrid>
      <w:tr w14:paraId="01655987" w14:textId="77777777" w:rsidTr="00285D06">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116" w:type="dxa"/>
            <w:tcBorders>
              <w:bottom w:val="single" w:sz="4" w:space="0" w:color="auto"/>
            </w:tcBorders>
          </w:tcPr>
          <w:p w:rsidR="008946F8" w:rsidRPr="003F5AE1" w:rsidP="00285D06" w14:paraId="0ED32F4D" w14:textId="77777777">
            <w:pPr>
              <w:jc w:val="both"/>
              <w:rPr>
                <w:sz w:val="22"/>
                <w:szCs w:val="22"/>
              </w:rPr>
            </w:pPr>
            <w:r w:rsidRPr="003F5AE1">
              <w:rPr>
                <w:sz w:val="22"/>
                <w:szCs w:val="22"/>
              </w:rPr>
              <w:t>PP&amp;E Classification</w:t>
            </w:r>
          </w:p>
        </w:tc>
        <w:tc>
          <w:tcPr>
            <w:tcW w:w="3123" w:type="dxa"/>
            <w:tcBorders>
              <w:bottom w:val="single" w:sz="4" w:space="0" w:color="auto"/>
            </w:tcBorders>
          </w:tcPr>
          <w:p w:rsidR="008946F8" w:rsidRPr="003F5AE1" w:rsidP="00285D06" w14:paraId="29F043CA" w14:textId="77777777">
            <w:pPr>
              <w:jc w:val="both"/>
              <w:rPr>
                <w:sz w:val="22"/>
                <w:szCs w:val="22"/>
              </w:rPr>
            </w:pPr>
            <w:r w:rsidRPr="003F5AE1">
              <w:rPr>
                <w:sz w:val="22"/>
                <w:szCs w:val="22"/>
              </w:rPr>
              <w:t>Estimated Useful Lives (years)</w:t>
            </w:r>
          </w:p>
        </w:tc>
      </w:tr>
      <w:tr w14:paraId="6971C80E" w14:textId="77777777" w:rsidTr="00285D06">
        <w:tblPrEx>
          <w:tblW w:w="0" w:type="auto"/>
          <w:tblLook w:val="04A0"/>
        </w:tblPrEx>
        <w:tc>
          <w:tcPr>
            <w:tcW w:w="3116" w:type="dxa"/>
            <w:tcBorders>
              <w:top w:val="single" w:sz="4" w:space="0" w:color="auto"/>
            </w:tcBorders>
          </w:tcPr>
          <w:p w:rsidR="008946F8" w:rsidRPr="003F5AE1" w:rsidP="00285D06" w14:paraId="28284BEA" w14:textId="77777777">
            <w:pPr>
              <w:jc w:val="both"/>
              <w:rPr>
                <w:sz w:val="22"/>
                <w:szCs w:val="22"/>
              </w:rPr>
            </w:pPr>
            <w:r w:rsidRPr="003F5AE1">
              <w:rPr>
                <w:sz w:val="22"/>
                <w:szCs w:val="22"/>
              </w:rPr>
              <w:t>Building</w:t>
            </w:r>
          </w:p>
        </w:tc>
        <w:tc>
          <w:tcPr>
            <w:tcW w:w="3123" w:type="dxa"/>
            <w:tcBorders>
              <w:top w:val="single" w:sz="4" w:space="0" w:color="auto"/>
            </w:tcBorders>
          </w:tcPr>
          <w:p w:rsidR="008946F8" w:rsidRPr="003F5AE1" w:rsidP="00285D06" w14:paraId="4F54208E" w14:textId="77777777">
            <w:pPr>
              <w:jc w:val="center"/>
              <w:rPr>
                <w:sz w:val="22"/>
                <w:szCs w:val="22"/>
              </w:rPr>
            </w:pPr>
            <w:r w:rsidRPr="003F5AE1">
              <w:rPr>
                <w:sz w:val="22"/>
                <w:szCs w:val="22"/>
              </w:rPr>
              <w:t>40</w:t>
            </w:r>
          </w:p>
        </w:tc>
      </w:tr>
      <w:tr w14:paraId="201A5FBE" w14:textId="77777777" w:rsidTr="00285D06">
        <w:tblPrEx>
          <w:tblW w:w="0" w:type="auto"/>
          <w:tblLook w:val="04A0"/>
        </w:tblPrEx>
        <w:tc>
          <w:tcPr>
            <w:tcW w:w="3116" w:type="dxa"/>
          </w:tcPr>
          <w:p w:rsidR="008946F8" w:rsidRPr="003F5AE1" w:rsidP="00285D06" w14:paraId="4D14A8C9" w14:textId="77777777">
            <w:pPr>
              <w:jc w:val="both"/>
              <w:rPr>
                <w:sz w:val="22"/>
                <w:szCs w:val="22"/>
              </w:rPr>
            </w:pPr>
            <w:r w:rsidRPr="003F5AE1">
              <w:rPr>
                <w:sz w:val="22"/>
                <w:szCs w:val="22"/>
              </w:rPr>
              <w:t>Non-Computer Equipment</w:t>
            </w:r>
          </w:p>
        </w:tc>
        <w:tc>
          <w:tcPr>
            <w:tcW w:w="3123" w:type="dxa"/>
          </w:tcPr>
          <w:p w:rsidR="008946F8" w:rsidRPr="003F5AE1" w:rsidP="00285D06" w14:paraId="7A18AFBA" w14:textId="77777777">
            <w:pPr>
              <w:jc w:val="center"/>
              <w:rPr>
                <w:sz w:val="22"/>
                <w:szCs w:val="22"/>
              </w:rPr>
            </w:pPr>
            <w:r w:rsidRPr="003F5AE1">
              <w:rPr>
                <w:sz w:val="22"/>
                <w:szCs w:val="22"/>
              </w:rPr>
              <w:t>7</w:t>
            </w:r>
          </w:p>
        </w:tc>
      </w:tr>
      <w:tr w14:paraId="35904CD3" w14:textId="77777777" w:rsidTr="00285D06">
        <w:tblPrEx>
          <w:tblW w:w="0" w:type="auto"/>
          <w:tblLook w:val="04A0"/>
        </w:tblPrEx>
        <w:tc>
          <w:tcPr>
            <w:tcW w:w="3116" w:type="dxa"/>
          </w:tcPr>
          <w:p w:rsidR="008946F8" w:rsidRPr="003F5AE1" w:rsidP="00285D06" w14:paraId="2ED7C887" w14:textId="77777777">
            <w:pPr>
              <w:jc w:val="both"/>
              <w:rPr>
                <w:sz w:val="22"/>
                <w:szCs w:val="22"/>
              </w:rPr>
            </w:pPr>
            <w:r w:rsidRPr="003F5AE1">
              <w:rPr>
                <w:sz w:val="22"/>
                <w:szCs w:val="22"/>
              </w:rPr>
              <w:t>Computer &amp; Vehicle Equipment</w:t>
            </w:r>
          </w:p>
        </w:tc>
        <w:tc>
          <w:tcPr>
            <w:tcW w:w="3123" w:type="dxa"/>
          </w:tcPr>
          <w:p w:rsidR="008946F8" w:rsidRPr="003F5AE1" w:rsidP="00285D06" w14:paraId="2A1CFFDB" w14:textId="77777777">
            <w:pPr>
              <w:jc w:val="center"/>
              <w:rPr>
                <w:sz w:val="22"/>
                <w:szCs w:val="22"/>
              </w:rPr>
            </w:pPr>
            <w:r w:rsidRPr="003F5AE1">
              <w:rPr>
                <w:sz w:val="22"/>
                <w:szCs w:val="22"/>
              </w:rPr>
              <w:t>5</w:t>
            </w:r>
          </w:p>
        </w:tc>
      </w:tr>
      <w:tr w14:paraId="6F3DAF38" w14:textId="77777777" w:rsidTr="00285D06">
        <w:tblPrEx>
          <w:tblW w:w="0" w:type="auto"/>
          <w:tblLook w:val="04A0"/>
        </w:tblPrEx>
        <w:tc>
          <w:tcPr>
            <w:tcW w:w="3116" w:type="dxa"/>
          </w:tcPr>
          <w:p w:rsidR="008946F8" w:rsidRPr="003F5AE1" w:rsidP="00285D06" w14:paraId="7BE01370" w14:textId="77777777">
            <w:pPr>
              <w:jc w:val="both"/>
              <w:rPr>
                <w:sz w:val="22"/>
                <w:szCs w:val="22"/>
              </w:rPr>
            </w:pPr>
            <w:r w:rsidRPr="003F5AE1">
              <w:rPr>
                <w:sz w:val="22"/>
                <w:szCs w:val="22"/>
              </w:rPr>
              <w:t>Software</w:t>
            </w:r>
          </w:p>
        </w:tc>
        <w:tc>
          <w:tcPr>
            <w:tcW w:w="3123" w:type="dxa"/>
          </w:tcPr>
          <w:p w:rsidR="008946F8" w:rsidRPr="003F5AE1" w:rsidP="00285D06" w14:paraId="400DDF56" w14:textId="77777777">
            <w:pPr>
              <w:jc w:val="center"/>
              <w:rPr>
                <w:sz w:val="22"/>
                <w:szCs w:val="22"/>
              </w:rPr>
            </w:pPr>
            <w:r w:rsidRPr="003F5AE1">
              <w:rPr>
                <w:sz w:val="22"/>
                <w:szCs w:val="22"/>
              </w:rPr>
              <w:t>3</w:t>
            </w:r>
          </w:p>
        </w:tc>
      </w:tr>
    </w:tbl>
    <w:p w:rsidR="00770898" w:rsidP="008C31EF" w14:paraId="55BFF3CB" w14:textId="77777777">
      <w:pPr>
        <w:spacing w:before="260"/>
        <w:jc w:val="both"/>
        <w:rPr>
          <w:sz w:val="22"/>
          <w:szCs w:val="22"/>
        </w:rPr>
        <w:sectPr w:rsidSect="00FD319E">
          <w:pgSz w:w="12240" w:h="15840"/>
          <w:pgMar w:top="1440" w:right="1440" w:bottom="1296" w:left="1440" w:header="720" w:footer="720" w:gutter="0"/>
          <w:cols w:space="720"/>
        </w:sectPr>
      </w:pPr>
      <w:r w:rsidRPr="00BA1E56">
        <w:rPr>
          <w:sz w:val="22"/>
          <w:szCs w:val="22"/>
        </w:rPr>
        <w:t>Land, including permanent improvements, and software in development are not depreciated.</w:t>
      </w:r>
      <w:r w:rsidR="00C933B2">
        <w:rPr>
          <w:sz w:val="22"/>
          <w:szCs w:val="22"/>
        </w:rPr>
        <w:t xml:space="preserve"> </w:t>
      </w:r>
      <w:r w:rsidRPr="00BA1E56">
        <w:rPr>
          <w:sz w:val="22"/>
          <w:szCs w:val="22"/>
        </w:rPr>
        <w:t>Normal maintenance and repair costs are expensed as incurred.</w:t>
      </w:r>
      <w:r w:rsidR="00C933B2">
        <w:rPr>
          <w:sz w:val="22"/>
          <w:szCs w:val="22"/>
        </w:rPr>
        <w:t xml:space="preserve"> </w:t>
      </w:r>
    </w:p>
    <w:p w:rsidR="00285D06" w:rsidP="00454548" w14:paraId="7747B6B2" w14:textId="77777777">
      <w:pPr>
        <w:spacing w:after="260"/>
        <w:jc w:val="both"/>
        <w:rPr>
          <w:b/>
          <w:sz w:val="22"/>
          <w:szCs w:val="22"/>
        </w:rPr>
      </w:pPr>
      <w:r w:rsidRPr="00BA1E56">
        <w:rPr>
          <w:b/>
          <w:sz w:val="22"/>
          <w:szCs w:val="22"/>
        </w:rPr>
        <w:t>Note 1 – Summary of Significant Accounting Policies (continued)</w:t>
      </w:r>
    </w:p>
    <w:p w:rsidR="00285D06" w:rsidRPr="008803E5" w:rsidP="008803E5" w14:paraId="3F66B169" w14:textId="61409E52">
      <w:pPr>
        <w:pStyle w:val="ListParagraph"/>
        <w:numPr>
          <w:ilvl w:val="0"/>
          <w:numId w:val="39"/>
        </w:numPr>
        <w:spacing w:after="260"/>
        <w:ind w:left="360"/>
        <w:rPr>
          <w:b/>
          <w:bCs/>
          <w:sz w:val="22"/>
          <w:szCs w:val="22"/>
        </w:rPr>
      </w:pPr>
      <w:r w:rsidRPr="008803E5">
        <w:rPr>
          <w:b/>
          <w:bCs/>
          <w:sz w:val="22"/>
          <w:szCs w:val="22"/>
        </w:rPr>
        <w:t>General Property, Plant and Equipment (continued)</w:t>
      </w:r>
    </w:p>
    <w:p w:rsidR="00285D06" w:rsidRPr="00BA1E56" w:rsidP="00454548" w14:paraId="5C1FF6C6" w14:textId="77777777">
      <w:pPr>
        <w:spacing w:after="260"/>
        <w:jc w:val="both"/>
        <w:rPr>
          <w:sz w:val="22"/>
          <w:szCs w:val="22"/>
        </w:rPr>
      </w:pPr>
      <w:r w:rsidRPr="00BA1E56">
        <w:rPr>
          <w:sz w:val="22"/>
          <w:szCs w:val="22"/>
        </w:rPr>
        <w:t>Leasehold and building improvements, which includes all cost incurred during the design and construction phase of the improvement, are either amortized over the remaining life of the lease and building or the useful life of the improvement, whichever is shorter.</w:t>
      </w:r>
    </w:p>
    <w:p w:rsidR="00285D06" w:rsidRPr="00BA1E56" w:rsidP="008803E5" w14:paraId="4501C0D8" w14:textId="5FBFA273">
      <w:pPr>
        <w:pStyle w:val="Heading5"/>
        <w:numPr>
          <w:ilvl w:val="0"/>
          <w:numId w:val="39"/>
        </w:numPr>
        <w:spacing w:after="260"/>
        <w:ind w:left="360"/>
      </w:pPr>
      <w:bookmarkStart w:id="216" w:name="_Toc88780684"/>
      <w:r w:rsidRPr="00E82AC6">
        <w:rPr>
          <w:sz w:val="22"/>
          <w:szCs w:val="22"/>
        </w:rPr>
        <w:t>Advances</w:t>
      </w:r>
      <w:r>
        <w:t xml:space="preserve"> and Prepayments</w:t>
      </w:r>
      <w:bookmarkEnd w:id="216"/>
      <w:r w:rsidRPr="00BA1E56">
        <w:t xml:space="preserve"> </w:t>
      </w:r>
    </w:p>
    <w:p w:rsidR="00285D06" w:rsidRPr="00BA1E56" w:rsidP="00454548" w14:paraId="6B968D9E" w14:textId="7B7F6EE1">
      <w:pPr>
        <w:spacing w:after="260"/>
        <w:jc w:val="both"/>
        <w:rPr>
          <w:b/>
          <w:sz w:val="22"/>
          <w:szCs w:val="22"/>
        </w:rPr>
      </w:pPr>
      <w:r>
        <w:rPr>
          <w:sz w:val="22"/>
          <w:szCs w:val="22"/>
        </w:rPr>
        <w:t xml:space="preserve">Intragovernmental advances and prepayments </w:t>
      </w:r>
      <w:r w:rsidRPr="00BA1E56">
        <w:rPr>
          <w:sz w:val="22"/>
          <w:szCs w:val="22"/>
        </w:rPr>
        <w:t>represent</w:t>
      </w:r>
      <w:r>
        <w:rPr>
          <w:sz w:val="22"/>
          <w:szCs w:val="22"/>
        </w:rPr>
        <w:t>s</w:t>
      </w:r>
      <w:r w:rsidRPr="00BA1E56">
        <w:rPr>
          <w:sz w:val="22"/>
          <w:szCs w:val="22"/>
        </w:rPr>
        <w:t xml:space="preserve"> advance payments for intragovernmental agreements.</w:t>
      </w:r>
      <w:r w:rsidR="00C933B2">
        <w:rPr>
          <w:sz w:val="22"/>
          <w:szCs w:val="22"/>
        </w:rPr>
        <w:t xml:space="preserve"> </w:t>
      </w:r>
      <w:r>
        <w:rPr>
          <w:sz w:val="22"/>
          <w:szCs w:val="22"/>
        </w:rPr>
        <w:t>Advances and prepayments</w:t>
      </w:r>
      <w:r w:rsidRPr="00BA1E56">
        <w:rPr>
          <w:sz w:val="22"/>
          <w:szCs w:val="22"/>
        </w:rPr>
        <w:t xml:space="preserve"> with the public represent the balance of transfers less expenses made by the USF to </w:t>
      </w:r>
      <w:r>
        <w:rPr>
          <w:sz w:val="22"/>
          <w:szCs w:val="22"/>
        </w:rPr>
        <w:t>the Universal Service Administrative Company (</w:t>
      </w:r>
      <w:r w:rsidRPr="00BA1E56">
        <w:rPr>
          <w:sz w:val="22"/>
          <w:szCs w:val="22"/>
        </w:rPr>
        <w:t>USAC</w:t>
      </w:r>
      <w:r>
        <w:rPr>
          <w:sz w:val="22"/>
          <w:szCs w:val="22"/>
        </w:rPr>
        <w:t>)</w:t>
      </w:r>
      <w:r w:rsidRPr="00BA1E56">
        <w:rPr>
          <w:sz w:val="22"/>
          <w:szCs w:val="22"/>
        </w:rPr>
        <w:t xml:space="preserve"> to fund administrative costs in advance.</w:t>
      </w:r>
      <w:r w:rsidR="00C933B2">
        <w:rPr>
          <w:sz w:val="22"/>
          <w:szCs w:val="22"/>
        </w:rPr>
        <w:t xml:space="preserve"> </w:t>
      </w:r>
      <w:r w:rsidRPr="00BA1E56">
        <w:rPr>
          <w:sz w:val="22"/>
          <w:szCs w:val="22"/>
        </w:rPr>
        <w:t>Advances are drawn down as expenses are incurred and a balance typically remains in this account for future expenses.</w:t>
      </w:r>
    </w:p>
    <w:p w:rsidR="00285D06" w:rsidRPr="00BA1E56" w:rsidP="008803E5" w14:paraId="38141A7E" w14:textId="3F4F5099">
      <w:pPr>
        <w:pStyle w:val="Heading5"/>
        <w:numPr>
          <w:ilvl w:val="0"/>
          <w:numId w:val="39"/>
        </w:numPr>
        <w:spacing w:after="260"/>
        <w:ind w:left="360"/>
      </w:pPr>
      <w:bookmarkStart w:id="217" w:name="_Toc88780685"/>
      <w:bookmarkStart w:id="218" w:name="_Hlk14244076"/>
      <w:r w:rsidRPr="00E82AC6">
        <w:rPr>
          <w:sz w:val="22"/>
          <w:szCs w:val="22"/>
        </w:rPr>
        <w:t>Accounts</w:t>
      </w:r>
      <w:r w:rsidRPr="00BA1E56">
        <w:t xml:space="preserve"> Payable and Accrued Liabilities</w:t>
      </w:r>
      <w:bookmarkEnd w:id="217"/>
    </w:p>
    <w:p w:rsidR="00285D06" w:rsidRPr="00BA1E56" w:rsidP="00454548" w14:paraId="6CEF79AB" w14:textId="0A44C293">
      <w:pPr>
        <w:spacing w:after="260"/>
        <w:jc w:val="both"/>
        <w:rPr>
          <w:rFonts w:eastAsia="Calibri"/>
          <w:sz w:val="22"/>
          <w:szCs w:val="22"/>
        </w:rPr>
      </w:pPr>
      <w:bookmarkStart w:id="219" w:name="_Toc73190397"/>
      <w:r w:rsidRPr="00BA1E56">
        <w:rPr>
          <w:rFonts w:eastAsia="Calibri"/>
          <w:sz w:val="22"/>
          <w:szCs w:val="22"/>
        </w:rPr>
        <w:t>Accounts Payable and Accrued Liabilities represent a probable future outflow or other sacrifice of resources as a result of past transactions or events.</w:t>
      </w:r>
      <w:r w:rsidR="00C933B2">
        <w:rPr>
          <w:rFonts w:eastAsia="Calibri"/>
          <w:sz w:val="22"/>
          <w:szCs w:val="22"/>
        </w:rPr>
        <w:t xml:space="preserve"> </w:t>
      </w:r>
      <w:r w:rsidRPr="00BA1E56">
        <w:rPr>
          <w:rFonts w:eastAsia="Calibri"/>
          <w:sz w:val="22"/>
          <w:szCs w:val="22"/>
        </w:rPr>
        <w:t>Liabilities are recognized when they are incurred, regardless of whether they are covered by available budgetary resources.</w:t>
      </w:r>
      <w:r w:rsidR="00C933B2">
        <w:rPr>
          <w:rFonts w:eastAsia="Calibri"/>
          <w:sz w:val="22"/>
          <w:szCs w:val="22"/>
        </w:rPr>
        <w:t xml:space="preserve"> </w:t>
      </w:r>
      <w:r w:rsidRPr="00BA1E56">
        <w:rPr>
          <w:rFonts w:eastAsia="Calibri"/>
          <w:sz w:val="22"/>
          <w:szCs w:val="22"/>
        </w:rPr>
        <w:t>Liabilities cannot be liquidated without legislation that provides resources to do so.</w:t>
      </w:r>
      <w:r w:rsidR="00C933B2">
        <w:rPr>
          <w:rFonts w:eastAsia="Calibri"/>
          <w:sz w:val="22"/>
          <w:szCs w:val="22"/>
        </w:rPr>
        <w:t xml:space="preserve"> </w:t>
      </w:r>
      <w:r w:rsidRPr="00BA1E56">
        <w:rPr>
          <w:rFonts w:eastAsia="Calibri"/>
          <w:sz w:val="22"/>
          <w:szCs w:val="22"/>
        </w:rPr>
        <w:t>Payments of all liabilities other than contracts can be abrogated by the U.S. Government, which is a sovereign entity, and its components, which includes the Commission.</w:t>
      </w:r>
      <w:r w:rsidR="00C933B2">
        <w:rPr>
          <w:rFonts w:eastAsia="Calibri"/>
          <w:sz w:val="22"/>
          <w:szCs w:val="22"/>
        </w:rPr>
        <w:t xml:space="preserve"> </w:t>
      </w:r>
    </w:p>
    <w:p w:rsidR="00285D06" w:rsidRPr="00962541" w:rsidP="00454548" w14:paraId="4A8AD8F5" w14:textId="717A69A1">
      <w:pPr>
        <w:spacing w:after="260"/>
        <w:jc w:val="both"/>
        <w:rPr>
          <w:rFonts w:eastAsia="Calibri"/>
          <w:sz w:val="22"/>
          <w:szCs w:val="22"/>
        </w:rPr>
      </w:pPr>
      <w:r w:rsidRPr="00962541">
        <w:rPr>
          <w:rFonts w:eastAsia="Calibri"/>
          <w:sz w:val="22"/>
          <w:szCs w:val="22"/>
        </w:rPr>
        <w:t>The USF and TRS expenses are non-exchange expenses.</w:t>
      </w:r>
      <w:r w:rsidR="00C933B2">
        <w:rPr>
          <w:rFonts w:eastAsia="Calibri"/>
          <w:sz w:val="22"/>
          <w:szCs w:val="22"/>
        </w:rPr>
        <w:t xml:space="preserve"> </w:t>
      </w:r>
      <w:r w:rsidRPr="00962541">
        <w:rPr>
          <w:rFonts w:eastAsia="Calibri"/>
          <w:sz w:val="22"/>
          <w:szCs w:val="22"/>
        </w:rPr>
        <w:t>Accrued Liabilities for USF mostly represent liabilities recorded for anticipated subsidies in the Lifeline program, and for all legacy support mechanisms within the High Cost program and TRS support mechanisms.</w:t>
      </w:r>
      <w:r w:rsidR="00C933B2">
        <w:rPr>
          <w:rFonts w:eastAsia="Calibri"/>
          <w:sz w:val="22"/>
          <w:szCs w:val="22"/>
        </w:rPr>
        <w:t xml:space="preserve"> </w:t>
      </w:r>
      <w:r w:rsidRPr="00962541">
        <w:rPr>
          <w:rFonts w:eastAsia="Calibri"/>
          <w:sz w:val="22"/>
          <w:szCs w:val="22"/>
        </w:rPr>
        <w:t>An Accounts Payable accrual is recorded for subsidies related to support mechanisms in the following USF and TRS programs:</w:t>
      </w:r>
      <w:r w:rsidR="00C933B2">
        <w:rPr>
          <w:rFonts w:eastAsia="Calibri"/>
          <w:sz w:val="22"/>
          <w:szCs w:val="22"/>
        </w:rPr>
        <w:t xml:space="preserve"> </w:t>
      </w:r>
      <w:r w:rsidRPr="00962541">
        <w:rPr>
          <w:rFonts w:eastAsia="Calibri"/>
          <w:sz w:val="22"/>
          <w:szCs w:val="22"/>
        </w:rPr>
        <w:t xml:space="preserve">Connect America Fund (CAF) Phase II, CAF Phase II reverse auction (CAF II Auction), Rural Broadband Experiment, Alternative Connected America </w:t>
      </w:r>
      <w:r>
        <w:rPr>
          <w:rFonts w:eastAsia="Calibri"/>
          <w:sz w:val="22"/>
          <w:szCs w:val="22"/>
        </w:rPr>
        <w:t xml:space="preserve">Cost </w:t>
      </w:r>
      <w:r w:rsidRPr="00962541">
        <w:rPr>
          <w:rFonts w:eastAsia="Calibri"/>
          <w:sz w:val="22"/>
          <w:szCs w:val="22"/>
        </w:rPr>
        <w:t xml:space="preserve">Model (A-CAM), A-CAM II, Alaska Plan, Puerto Rico and the Virgin Islands, </w:t>
      </w:r>
      <w:r>
        <w:rPr>
          <w:rFonts w:eastAsia="Calibri"/>
          <w:sz w:val="22"/>
          <w:szCs w:val="22"/>
        </w:rPr>
        <w:t xml:space="preserve">and </w:t>
      </w:r>
      <w:r w:rsidRPr="00962541">
        <w:rPr>
          <w:rFonts w:eastAsia="Calibri"/>
          <w:sz w:val="22"/>
          <w:szCs w:val="22"/>
        </w:rPr>
        <w:t>Rural Digital Opportunity Fund (RDOF)</w:t>
      </w:r>
      <w:r>
        <w:rPr>
          <w:rFonts w:eastAsia="Calibri"/>
          <w:sz w:val="22"/>
          <w:szCs w:val="22"/>
        </w:rPr>
        <w:t>.</w:t>
      </w:r>
      <w:r w:rsidR="00C933B2">
        <w:rPr>
          <w:rFonts w:eastAsia="Calibri"/>
          <w:sz w:val="22"/>
          <w:szCs w:val="22"/>
        </w:rPr>
        <w:t xml:space="preserve"> </w:t>
      </w:r>
      <w:r w:rsidRPr="00962541">
        <w:rPr>
          <w:rFonts w:eastAsia="Calibri"/>
          <w:sz w:val="22"/>
          <w:szCs w:val="22"/>
        </w:rPr>
        <w:t>The Commission does not accrue for payments under the Schools &amp; Libraries (E-Rate) or Rural Health Care programs until potentially eligible costs pass through a thorough review process and the costs are approved for disbursement.</w:t>
      </w:r>
    </w:p>
    <w:p w:rsidR="00285D06" w:rsidRPr="00962541" w:rsidP="00454548" w14:paraId="0874735C" w14:textId="6D6B7CD5">
      <w:pPr>
        <w:spacing w:after="260"/>
        <w:jc w:val="both"/>
        <w:rPr>
          <w:sz w:val="22"/>
          <w:szCs w:val="22"/>
        </w:rPr>
      </w:pPr>
      <w:r w:rsidRPr="00962541">
        <w:rPr>
          <w:sz w:val="22"/>
          <w:szCs w:val="22"/>
        </w:rPr>
        <w:t>Similar to the USF Rural Health Care and E-Rate program, the expenses related to the 2019 Novel Coronavirus (COVID-19) Telehealth Program and the Emergency Connectivity Fund (ECF) are non-exchange expenses.</w:t>
      </w:r>
      <w:r w:rsidR="00C933B2">
        <w:rPr>
          <w:sz w:val="22"/>
          <w:szCs w:val="22"/>
        </w:rPr>
        <w:t xml:space="preserve"> </w:t>
      </w:r>
      <w:r w:rsidRPr="00962541">
        <w:rPr>
          <w:sz w:val="22"/>
          <w:szCs w:val="22"/>
        </w:rPr>
        <w:t>The Commission does not accrue payments under the COVID-19 Telehealth Program or ECF until submitted eligible expenses are approved for payment.</w:t>
      </w:r>
      <w:r w:rsidR="00C933B2">
        <w:rPr>
          <w:sz w:val="22"/>
          <w:szCs w:val="22"/>
        </w:rPr>
        <w:t xml:space="preserve"> </w:t>
      </w:r>
      <w:bookmarkStart w:id="220" w:name="_Hlk77338626"/>
      <w:r w:rsidRPr="00962541">
        <w:rPr>
          <w:sz w:val="22"/>
          <w:szCs w:val="22"/>
        </w:rPr>
        <w:t>The Emergency Broadband Connectivity Fund’s Emergency Broadband Benefit Program (EBCF-EBBP) expenses are also non-exchange and is similar to the Lifeline program.</w:t>
      </w:r>
      <w:r w:rsidR="00C933B2">
        <w:rPr>
          <w:sz w:val="22"/>
          <w:szCs w:val="22"/>
        </w:rPr>
        <w:t xml:space="preserve"> </w:t>
      </w:r>
      <w:r w:rsidRPr="00962541">
        <w:rPr>
          <w:sz w:val="22"/>
          <w:szCs w:val="22"/>
        </w:rPr>
        <w:t>The Commission accrues expected payments</w:t>
      </w:r>
      <w:r>
        <w:rPr>
          <w:sz w:val="22"/>
          <w:szCs w:val="22"/>
        </w:rPr>
        <w:t>.</w:t>
      </w:r>
      <w:r w:rsidR="00C933B2">
        <w:rPr>
          <w:sz w:val="22"/>
          <w:szCs w:val="22"/>
        </w:rPr>
        <w:t xml:space="preserve"> </w:t>
      </w:r>
      <w:bookmarkEnd w:id="220"/>
      <w:r w:rsidRPr="00962541">
        <w:rPr>
          <w:sz w:val="22"/>
          <w:szCs w:val="22"/>
        </w:rPr>
        <w:t>Refer to Note 18 for more information.</w:t>
      </w:r>
      <w:r w:rsidR="00C933B2">
        <w:rPr>
          <w:sz w:val="22"/>
          <w:szCs w:val="22"/>
        </w:rPr>
        <w:t xml:space="preserve"> </w:t>
      </w:r>
    </w:p>
    <w:p w:rsidR="003162F9" w:rsidP="00454548" w14:paraId="542823A8" w14:textId="77777777">
      <w:pPr>
        <w:spacing w:after="260"/>
        <w:jc w:val="both"/>
        <w:rPr>
          <w:rFonts w:eastAsia="Calibri"/>
          <w:sz w:val="22"/>
          <w:szCs w:val="22"/>
        </w:rPr>
        <w:sectPr w:rsidSect="00770898">
          <w:pgSz w:w="12240" w:h="15840"/>
          <w:pgMar w:top="1440" w:right="1440" w:bottom="1296" w:left="1440" w:header="720" w:footer="720" w:gutter="0"/>
          <w:cols w:space="720"/>
        </w:sectPr>
      </w:pPr>
      <w:r w:rsidRPr="00962541">
        <w:rPr>
          <w:rFonts w:eastAsia="Calibri"/>
          <w:sz w:val="22"/>
          <w:szCs w:val="22"/>
        </w:rPr>
        <w:t xml:space="preserve">Accrued Liabilities for the TV Broadcaster Relocation Fund (TVBRF) represent liabilities for exchange expenses which includes invoices received but not processed and costs incurred but not invoiced related to relocation costs incurred by full power and Class A broadcasters that were reassigned to new channels as a result of the Broadcast Incentive Auction, as well as certain costs incurred by multichannel video program distributors (MVPDs), Television </w:t>
      </w:r>
      <w:r w:rsidRPr="00962541">
        <w:rPr>
          <w:bCs/>
          <w:sz w:val="22"/>
          <w:szCs w:val="22"/>
        </w:rPr>
        <w:t>translator stations (LPTV/TV Translator) and by FM radio stations (FM stations)</w:t>
      </w:r>
      <w:r w:rsidRPr="00962541">
        <w:rPr>
          <w:rFonts w:eastAsia="Calibri"/>
          <w:sz w:val="22"/>
          <w:szCs w:val="22"/>
        </w:rPr>
        <w:t>.</w:t>
      </w:r>
      <w:r w:rsidR="00C933B2">
        <w:rPr>
          <w:rFonts w:eastAsia="Calibri"/>
          <w:sz w:val="22"/>
          <w:szCs w:val="22"/>
        </w:rPr>
        <w:t xml:space="preserve"> </w:t>
      </w:r>
      <w:r w:rsidRPr="00962541">
        <w:rPr>
          <w:rFonts w:eastAsia="Calibri"/>
          <w:sz w:val="22"/>
          <w:szCs w:val="22"/>
        </w:rPr>
        <w:t>For this program, an accrued liability for invoices received but not processed and for costs incurred but not invoiced is made to Accounts Payable.</w:t>
      </w:r>
      <w:r w:rsidR="00C933B2">
        <w:rPr>
          <w:rFonts w:eastAsia="Calibri"/>
          <w:sz w:val="22"/>
          <w:szCs w:val="22"/>
        </w:rPr>
        <w:t xml:space="preserve"> </w:t>
      </w:r>
    </w:p>
    <w:p w:rsidR="00285D06" w:rsidP="00454548" w14:paraId="27E394F2" w14:textId="77777777">
      <w:pPr>
        <w:spacing w:after="260"/>
        <w:jc w:val="both"/>
        <w:rPr>
          <w:b/>
          <w:sz w:val="22"/>
          <w:szCs w:val="22"/>
        </w:rPr>
      </w:pPr>
      <w:r w:rsidRPr="00BA1E56">
        <w:rPr>
          <w:b/>
          <w:sz w:val="22"/>
          <w:szCs w:val="22"/>
        </w:rPr>
        <w:t>Note 1 – Summary of Significant Accounting Policies (continued)</w:t>
      </w:r>
    </w:p>
    <w:p w:rsidR="00285D06" w:rsidRPr="00BA1E56" w:rsidP="008803E5" w14:paraId="079EADA9" w14:textId="75E4D7F8">
      <w:pPr>
        <w:pStyle w:val="Heading5"/>
        <w:numPr>
          <w:ilvl w:val="0"/>
          <w:numId w:val="39"/>
        </w:numPr>
        <w:ind w:left="360"/>
      </w:pPr>
      <w:bookmarkStart w:id="221" w:name="_Toc88780686"/>
      <w:bookmarkEnd w:id="218"/>
      <w:r w:rsidRPr="00E82AC6">
        <w:rPr>
          <w:sz w:val="22"/>
          <w:szCs w:val="22"/>
        </w:rPr>
        <w:t>Advances</w:t>
      </w:r>
      <w:r>
        <w:t xml:space="preserve"> From Others and </w:t>
      </w:r>
      <w:r w:rsidRPr="00BA1E56">
        <w:t>Deferred Revenue</w:t>
      </w:r>
      <w:bookmarkEnd w:id="219"/>
      <w:bookmarkEnd w:id="221"/>
    </w:p>
    <w:p w:rsidR="00285D06" w:rsidP="0035468C" w14:paraId="54087EF7" w14:textId="75A36697">
      <w:pPr>
        <w:spacing w:after="240"/>
        <w:jc w:val="both"/>
        <w:rPr>
          <w:sz w:val="22"/>
          <w:szCs w:val="22"/>
        </w:rPr>
      </w:pPr>
      <w:r>
        <w:rPr>
          <w:sz w:val="22"/>
          <w:szCs w:val="22"/>
        </w:rPr>
        <w:t>The Commission’s advances from others and deferred revenue consists entirely of deferred revenue.</w:t>
      </w:r>
      <w:r w:rsidR="00C933B2">
        <w:rPr>
          <w:sz w:val="22"/>
          <w:szCs w:val="22"/>
        </w:rPr>
        <w:t xml:space="preserve"> </w:t>
      </w:r>
      <w:r w:rsidRPr="00BA1E56">
        <w:rPr>
          <w:sz w:val="22"/>
          <w:szCs w:val="22"/>
        </w:rPr>
        <w:t>The Commission collects proceeds from the sale of spectrum licenses on behalf of the U.S. Government.</w:t>
      </w:r>
      <w:r w:rsidR="00C933B2">
        <w:rPr>
          <w:sz w:val="22"/>
          <w:szCs w:val="22"/>
        </w:rPr>
        <w:t xml:space="preserve"> </w:t>
      </w:r>
      <w:r w:rsidRPr="00BA1E56">
        <w:rPr>
          <w:sz w:val="22"/>
          <w:szCs w:val="22"/>
        </w:rPr>
        <w:t>All proceeds collected up to the amount of the net winning bid are recognized as deferred revenue until a “prepared to grant” or “grant” public notice is issued.</w:t>
      </w:r>
      <w:r w:rsidR="00C933B2">
        <w:rPr>
          <w:sz w:val="22"/>
          <w:szCs w:val="22"/>
        </w:rPr>
        <w:t xml:space="preserve"> </w:t>
      </w:r>
    </w:p>
    <w:p w:rsidR="00285D06" w:rsidRPr="00BA1E56" w:rsidP="0035468C" w14:paraId="23AAF621" w14:textId="77777777">
      <w:pPr>
        <w:spacing w:after="240"/>
        <w:jc w:val="both"/>
        <w:rPr>
          <w:sz w:val="22"/>
          <w:szCs w:val="22"/>
        </w:rPr>
      </w:pPr>
      <w:r w:rsidRPr="00BA1E56">
        <w:rPr>
          <w:sz w:val="22"/>
          <w:szCs w:val="22"/>
        </w:rPr>
        <w:t>In addition, the Commission collects multi-year regulatory fees for five and ten-year periods that are recorded as deferred revenue and amortized over the period of the fee.</w:t>
      </w:r>
    </w:p>
    <w:p w:rsidR="00285D06" w:rsidRPr="00BA1E56" w:rsidP="0035468C" w14:paraId="539969FC" w14:textId="5BFBBD64">
      <w:pPr>
        <w:spacing w:after="240"/>
        <w:jc w:val="both"/>
        <w:rPr>
          <w:sz w:val="22"/>
          <w:szCs w:val="22"/>
        </w:rPr>
      </w:pPr>
      <w:r w:rsidRPr="00BA1E56">
        <w:rPr>
          <w:sz w:val="22"/>
          <w:szCs w:val="22"/>
        </w:rPr>
        <w:t>The TRS collects contributions from telecommunications carriers to cover the costs of the programs.</w:t>
      </w:r>
      <w:r w:rsidR="00C933B2">
        <w:rPr>
          <w:sz w:val="22"/>
          <w:szCs w:val="22"/>
        </w:rPr>
        <w:t xml:space="preserve"> </w:t>
      </w:r>
      <w:r w:rsidRPr="00BA1E56">
        <w:rPr>
          <w:sz w:val="22"/>
          <w:szCs w:val="22"/>
        </w:rPr>
        <w:t>Some carriers have the option of paying monthly or annually.</w:t>
      </w:r>
      <w:r w:rsidR="00C933B2">
        <w:rPr>
          <w:sz w:val="22"/>
          <w:szCs w:val="22"/>
        </w:rPr>
        <w:t xml:space="preserve"> </w:t>
      </w:r>
      <w:r w:rsidRPr="00BA1E56">
        <w:rPr>
          <w:sz w:val="22"/>
          <w:szCs w:val="22"/>
        </w:rPr>
        <w:t>The unearned portion of annual contributions is recognized as deferred revenue.</w:t>
      </w:r>
    </w:p>
    <w:p w:rsidR="00285D06" w:rsidRPr="00BA1E56" w:rsidP="008803E5" w14:paraId="3F548427" w14:textId="50062548">
      <w:pPr>
        <w:pStyle w:val="Heading5"/>
        <w:numPr>
          <w:ilvl w:val="0"/>
          <w:numId w:val="39"/>
        </w:numPr>
        <w:spacing w:after="260"/>
        <w:ind w:left="360"/>
      </w:pPr>
      <w:bookmarkStart w:id="222" w:name="_Toc88780687"/>
      <w:bookmarkStart w:id="223" w:name="_Hlk527452514"/>
      <w:r w:rsidRPr="00E82AC6">
        <w:rPr>
          <w:sz w:val="22"/>
          <w:szCs w:val="22"/>
        </w:rPr>
        <w:t>Retirement</w:t>
      </w:r>
      <w:r w:rsidRPr="00BA1E56">
        <w:t xml:space="preserve"> Plans and Other Benefits</w:t>
      </w:r>
      <w:bookmarkEnd w:id="222"/>
    </w:p>
    <w:bookmarkEnd w:id="223"/>
    <w:p w:rsidR="00285D06" w:rsidRPr="00BA1E56" w:rsidP="00454548" w14:paraId="4F2DCDC4" w14:textId="329A2CA1">
      <w:pPr>
        <w:spacing w:after="260"/>
        <w:jc w:val="both"/>
        <w:rPr>
          <w:sz w:val="22"/>
          <w:szCs w:val="22"/>
        </w:rPr>
      </w:pPr>
      <w:r w:rsidRPr="00BA1E56">
        <w:rPr>
          <w:sz w:val="22"/>
          <w:szCs w:val="22"/>
        </w:rPr>
        <w:t xml:space="preserve">Federal employee benefits consist of the actuarial portion of future benefits earned by </w:t>
      </w:r>
      <w:r>
        <w:rPr>
          <w:sz w:val="22"/>
          <w:szCs w:val="22"/>
        </w:rPr>
        <w:t>f</w:t>
      </w:r>
      <w:r w:rsidRPr="00BA1E56">
        <w:rPr>
          <w:sz w:val="22"/>
          <w:szCs w:val="22"/>
        </w:rPr>
        <w:t>ederal employees, including pensions, other retirement benefits, and other post-employment benefits.</w:t>
      </w:r>
      <w:r w:rsidR="00C933B2">
        <w:rPr>
          <w:sz w:val="22"/>
          <w:szCs w:val="22"/>
        </w:rPr>
        <w:t xml:space="preserve"> </w:t>
      </w:r>
      <w:r w:rsidRPr="00BA1E56">
        <w:rPr>
          <w:sz w:val="22"/>
          <w:szCs w:val="22"/>
        </w:rPr>
        <w:t>The Office of Personnel Management (OPM) administers these benefits.</w:t>
      </w:r>
      <w:r w:rsidR="00C933B2">
        <w:rPr>
          <w:sz w:val="22"/>
          <w:szCs w:val="22"/>
        </w:rPr>
        <w:t xml:space="preserve"> </w:t>
      </w:r>
      <w:r w:rsidRPr="00BA1E56">
        <w:rPr>
          <w:sz w:val="22"/>
          <w:szCs w:val="22"/>
        </w:rPr>
        <w:t>The Commission does not recognize any liability on the Balance Sheet for pensions, other retirement benefits, and other post-employment benefits.</w:t>
      </w:r>
      <w:r w:rsidR="00C933B2">
        <w:rPr>
          <w:sz w:val="22"/>
          <w:szCs w:val="22"/>
        </w:rPr>
        <w:t xml:space="preserve"> </w:t>
      </w:r>
      <w:r w:rsidRPr="00BA1E56">
        <w:rPr>
          <w:sz w:val="22"/>
          <w:szCs w:val="22"/>
        </w:rPr>
        <w:t>The Commission recognizes and allocates the imputed costs on the Statement of Net Cost and recognizes imputed financing related to these costs on the Statement of Changes in Net Position.</w:t>
      </w:r>
    </w:p>
    <w:p w:rsidR="00285D06" w:rsidRPr="00BA1E56" w:rsidP="00454548" w14:paraId="2A753554" w14:textId="2168CBA8">
      <w:pPr>
        <w:spacing w:after="260"/>
        <w:jc w:val="both"/>
        <w:rPr>
          <w:sz w:val="22"/>
          <w:szCs w:val="22"/>
        </w:rPr>
      </w:pPr>
      <w:r w:rsidRPr="00BA1E56">
        <w:rPr>
          <w:sz w:val="22"/>
          <w:szCs w:val="22"/>
        </w:rPr>
        <w:t>Pensions provide benefits upon retirement and may also provide benefits for death, disability, or other separations from employment before retirement.</w:t>
      </w:r>
      <w:r w:rsidR="00C933B2">
        <w:rPr>
          <w:sz w:val="22"/>
          <w:szCs w:val="22"/>
        </w:rPr>
        <w:t xml:space="preserve"> </w:t>
      </w:r>
      <w:r w:rsidRPr="00BA1E56">
        <w:rPr>
          <w:sz w:val="22"/>
          <w:szCs w:val="22"/>
        </w:rPr>
        <w:t>Pension plans may also include benefits to survivors and dependents, and they may contain early retirement or other special features.</w:t>
      </w:r>
      <w:r w:rsidR="00C933B2">
        <w:rPr>
          <w:sz w:val="22"/>
          <w:szCs w:val="22"/>
        </w:rPr>
        <w:t xml:space="preserve"> </w:t>
      </w:r>
      <w:r w:rsidRPr="00BA1E56">
        <w:rPr>
          <w:sz w:val="22"/>
          <w:szCs w:val="22"/>
        </w:rPr>
        <w:t>Most Commission employees participate in the Civil Service Retirement System (CSRS), the Federal Employee Retirement System (FERS), the FERS-Revised Annuity Employee (FERS-RAE), or the FERS-Further Revised Annuity Employee (FERS-FRAE).</w:t>
      </w:r>
      <w:r w:rsidR="00C933B2">
        <w:rPr>
          <w:sz w:val="22"/>
          <w:szCs w:val="22"/>
        </w:rPr>
        <w:t xml:space="preserve"> </w:t>
      </w:r>
      <w:r w:rsidRPr="00BA1E56">
        <w:rPr>
          <w:sz w:val="22"/>
          <w:szCs w:val="22"/>
        </w:rPr>
        <w:t>Under CSRS, the Commission makes matching contributions equal to seven percent (7%) of basic pay.</w:t>
      </w:r>
      <w:r w:rsidR="00C933B2">
        <w:rPr>
          <w:sz w:val="22"/>
          <w:szCs w:val="22"/>
        </w:rPr>
        <w:t xml:space="preserve"> </w:t>
      </w:r>
      <w:r w:rsidRPr="00BA1E56">
        <w:rPr>
          <w:sz w:val="22"/>
          <w:szCs w:val="22"/>
        </w:rPr>
        <w:t>Under all FERS plans, the Commission contributes the employer’s matching share for Social Security.</w:t>
      </w:r>
      <w:r w:rsidR="00C933B2">
        <w:rPr>
          <w:sz w:val="22"/>
          <w:szCs w:val="22"/>
        </w:rPr>
        <w:t xml:space="preserve"> </w:t>
      </w:r>
      <w:r w:rsidRPr="00BA1E56">
        <w:rPr>
          <w:sz w:val="22"/>
          <w:szCs w:val="22"/>
        </w:rPr>
        <w:t>All employees are eligible to contribute to the Thrift Savings Plan (TSP), which is a defined contribution retirement savings and investment plan.</w:t>
      </w:r>
      <w:r w:rsidR="00C933B2">
        <w:rPr>
          <w:sz w:val="22"/>
          <w:szCs w:val="22"/>
        </w:rPr>
        <w:t xml:space="preserve"> </w:t>
      </w:r>
      <w:r w:rsidRPr="00BA1E56">
        <w:rPr>
          <w:sz w:val="22"/>
          <w:szCs w:val="22"/>
        </w:rPr>
        <w:t xml:space="preserve">For those employees covered by the FERS plans, a TSP account is automatically established to which the Commission is required to contribute </w:t>
      </w:r>
      <w:r w:rsidRPr="00BA1E56">
        <w:rPr>
          <w:bCs/>
          <w:kern w:val="16"/>
          <w:sz w:val="22"/>
          <w:szCs w:val="22"/>
        </w:rPr>
        <w:t>one percent</w:t>
      </w:r>
      <w:r w:rsidRPr="00BA1E56">
        <w:rPr>
          <w:sz w:val="22"/>
          <w:szCs w:val="22"/>
        </w:rPr>
        <w:t xml:space="preserve"> (1%) of gross pay, match dollar-for-dollar on the first </w:t>
      </w:r>
      <w:r w:rsidRPr="00BA1E56">
        <w:rPr>
          <w:bCs/>
          <w:kern w:val="16"/>
          <w:sz w:val="22"/>
          <w:szCs w:val="22"/>
        </w:rPr>
        <w:t>three percent</w:t>
      </w:r>
      <w:r w:rsidRPr="00BA1E56">
        <w:rPr>
          <w:sz w:val="22"/>
          <w:szCs w:val="22"/>
        </w:rPr>
        <w:t xml:space="preserve"> (3%) of pay contributed each pay period, and match 50 cents on the dollar for the next</w:t>
      </w:r>
      <w:r w:rsidRPr="00BA1E56">
        <w:rPr>
          <w:bCs/>
          <w:kern w:val="16"/>
          <w:sz w:val="22"/>
          <w:szCs w:val="22"/>
        </w:rPr>
        <w:t xml:space="preserve"> two percent</w:t>
      </w:r>
      <w:r w:rsidRPr="00BA1E56">
        <w:rPr>
          <w:sz w:val="22"/>
          <w:szCs w:val="22"/>
        </w:rPr>
        <w:t xml:space="preserve"> (2%) of pay contributed.</w:t>
      </w:r>
      <w:r w:rsidR="00C933B2">
        <w:rPr>
          <w:sz w:val="22"/>
          <w:szCs w:val="22"/>
        </w:rPr>
        <w:t xml:space="preserve"> </w:t>
      </w:r>
      <w:r w:rsidRPr="00BA1E56">
        <w:rPr>
          <w:sz w:val="22"/>
          <w:szCs w:val="22"/>
        </w:rPr>
        <w:t>No government contributions are made to the TSP accounts established by CSRS employees.</w:t>
      </w:r>
      <w:r w:rsidR="00C933B2">
        <w:rPr>
          <w:sz w:val="22"/>
          <w:szCs w:val="22"/>
        </w:rPr>
        <w:t xml:space="preserve"> </w:t>
      </w:r>
      <w:r w:rsidRPr="00BA1E56">
        <w:rPr>
          <w:sz w:val="22"/>
          <w:szCs w:val="22"/>
        </w:rPr>
        <w:t>Most employees hired after December 31, 1983, are covered by the FERS plans.</w:t>
      </w:r>
      <w:r w:rsidR="00C933B2">
        <w:rPr>
          <w:sz w:val="22"/>
          <w:szCs w:val="22"/>
        </w:rPr>
        <w:t xml:space="preserve"> </w:t>
      </w:r>
    </w:p>
    <w:p w:rsidR="00285D06" w:rsidRPr="00BA1E56" w:rsidP="00454548" w14:paraId="1F31AEFF" w14:textId="58081F76">
      <w:pPr>
        <w:spacing w:after="260"/>
        <w:jc w:val="both"/>
        <w:rPr>
          <w:sz w:val="22"/>
          <w:szCs w:val="22"/>
        </w:rPr>
      </w:pPr>
      <w:r w:rsidRPr="00BA1E56">
        <w:rPr>
          <w:sz w:val="22"/>
          <w:szCs w:val="22"/>
        </w:rPr>
        <w:t>OPM reports on CSRS, FERS, FERS-RAE, and FERS-FRAE assets, accumulated plan benefits, and unfunded liabilities, if any, applicable to Federal employees.</w:t>
      </w:r>
      <w:r w:rsidR="00C933B2">
        <w:rPr>
          <w:sz w:val="22"/>
          <w:szCs w:val="22"/>
        </w:rPr>
        <w:t xml:space="preserve"> </w:t>
      </w:r>
      <w:r w:rsidRPr="00BA1E56">
        <w:rPr>
          <w:sz w:val="22"/>
          <w:szCs w:val="22"/>
        </w:rPr>
        <w:t>The actuarial liability for future workers’ compensation benefits payable includes the expected liability for death, disability, medical, and</w:t>
      </w:r>
      <w:r>
        <w:rPr>
          <w:sz w:val="22"/>
          <w:szCs w:val="22"/>
        </w:rPr>
        <w:t xml:space="preserve"> </w:t>
      </w:r>
      <w:r w:rsidRPr="00BA1E56">
        <w:rPr>
          <w:sz w:val="22"/>
          <w:szCs w:val="22"/>
        </w:rPr>
        <w:t>miscellaneous costs for approved compensation cases, as well as a component for incurred but not reported claims.</w:t>
      </w:r>
      <w:r w:rsidR="00C933B2">
        <w:rPr>
          <w:sz w:val="22"/>
          <w:szCs w:val="22"/>
        </w:rPr>
        <w:t xml:space="preserve"> </w:t>
      </w:r>
      <w:r w:rsidRPr="00BA1E56">
        <w:rPr>
          <w:sz w:val="22"/>
          <w:szCs w:val="22"/>
        </w:rPr>
        <w:t>The liability is determined using historical benefit payment patterns related to injury years to predict the ultimate payment.</w:t>
      </w:r>
    </w:p>
    <w:p w:rsidR="00285D06" w:rsidRPr="00BA1E56" w:rsidP="00454548" w14:paraId="0C22236A" w14:textId="13F25D02">
      <w:pPr>
        <w:spacing w:after="260"/>
        <w:jc w:val="both"/>
        <w:rPr>
          <w:sz w:val="22"/>
          <w:szCs w:val="22"/>
        </w:rPr>
      </w:pPr>
      <w:r w:rsidRPr="00BA1E56">
        <w:rPr>
          <w:sz w:val="22"/>
          <w:szCs w:val="22"/>
        </w:rPr>
        <w:t>The unfunded Federal Employees’ Compensation Act (FECA) liability covers compensation and medical benefits for work related injury.</w:t>
      </w:r>
      <w:r w:rsidR="00C933B2">
        <w:rPr>
          <w:sz w:val="22"/>
          <w:szCs w:val="22"/>
        </w:rPr>
        <w:t xml:space="preserve"> </w:t>
      </w:r>
      <w:r w:rsidRPr="00BA1E56">
        <w:rPr>
          <w:sz w:val="22"/>
          <w:szCs w:val="22"/>
        </w:rPr>
        <w:t>The calculation takes the amount of benefit payments over the last nine to</w:t>
      </w:r>
      <w:r>
        <w:rPr>
          <w:sz w:val="22"/>
          <w:szCs w:val="22"/>
        </w:rPr>
        <w:t xml:space="preserve"> </w:t>
      </w:r>
      <w:r w:rsidRPr="00BA1E56">
        <w:rPr>
          <w:sz w:val="22"/>
          <w:szCs w:val="22"/>
        </w:rPr>
        <w:t>twelve quarters and then calculates the annual average of payments.</w:t>
      </w:r>
      <w:r w:rsidR="00C933B2">
        <w:rPr>
          <w:sz w:val="22"/>
          <w:szCs w:val="22"/>
        </w:rPr>
        <w:t xml:space="preserve"> </w:t>
      </w:r>
      <w:r w:rsidRPr="00BA1E56">
        <w:rPr>
          <w:sz w:val="22"/>
          <w:szCs w:val="22"/>
        </w:rPr>
        <w:t>The compensation and medical payments can be found in the chargeback reports that are issued by the Department of Labor.</w:t>
      </w:r>
      <w:r w:rsidR="00C933B2">
        <w:rPr>
          <w:sz w:val="22"/>
          <w:szCs w:val="22"/>
        </w:rPr>
        <w:t xml:space="preserve"> </w:t>
      </w:r>
    </w:p>
    <w:p w:rsidR="00285D06" w:rsidP="00454548" w14:paraId="14B543D8" w14:textId="77777777">
      <w:pPr>
        <w:spacing w:after="260"/>
        <w:jc w:val="both"/>
        <w:rPr>
          <w:b/>
          <w:sz w:val="22"/>
          <w:szCs w:val="22"/>
        </w:rPr>
      </w:pPr>
      <w:r w:rsidRPr="00BA1E56">
        <w:rPr>
          <w:b/>
          <w:sz w:val="22"/>
          <w:szCs w:val="22"/>
        </w:rPr>
        <w:t>Note 1 – Summary of Significant Accounting Policies (continued)</w:t>
      </w:r>
    </w:p>
    <w:p w:rsidR="00285D06" w:rsidRPr="00BA1E56" w:rsidP="008803E5" w14:paraId="40799413" w14:textId="53308DF0">
      <w:pPr>
        <w:pStyle w:val="Heading5"/>
        <w:numPr>
          <w:ilvl w:val="0"/>
          <w:numId w:val="39"/>
        </w:numPr>
        <w:spacing w:after="260"/>
        <w:ind w:left="360"/>
      </w:pPr>
      <w:bookmarkStart w:id="224" w:name="_Toc88780688"/>
      <w:r w:rsidRPr="00E82AC6">
        <w:rPr>
          <w:sz w:val="22"/>
          <w:szCs w:val="22"/>
        </w:rPr>
        <w:t>Leave</w:t>
      </w:r>
      <w:bookmarkEnd w:id="224"/>
    </w:p>
    <w:p w:rsidR="00285D06" w:rsidRPr="00BA1E56" w:rsidP="00454548" w14:paraId="0F2AE96B" w14:textId="366A4766">
      <w:pPr>
        <w:spacing w:after="260"/>
        <w:jc w:val="both"/>
        <w:rPr>
          <w:sz w:val="22"/>
          <w:szCs w:val="22"/>
        </w:rPr>
      </w:pPr>
      <w:r w:rsidRPr="00BA1E56">
        <w:rPr>
          <w:sz w:val="22"/>
          <w:szCs w:val="22"/>
        </w:rPr>
        <w:t>Annual leave is accrued as earned, and the accrual is reduced as leave is taken.</w:t>
      </w:r>
      <w:r w:rsidR="00C933B2">
        <w:rPr>
          <w:sz w:val="22"/>
          <w:szCs w:val="22"/>
        </w:rPr>
        <w:t xml:space="preserve"> </w:t>
      </w:r>
      <w:r w:rsidRPr="00BA1E56">
        <w:rPr>
          <w:sz w:val="22"/>
          <w:szCs w:val="22"/>
        </w:rPr>
        <w:t>Each year, the balance in the accrued annual leave account is adjusted to reflect current leave balances and pay rates.</w:t>
      </w:r>
      <w:r w:rsidR="00C933B2">
        <w:rPr>
          <w:sz w:val="22"/>
          <w:szCs w:val="22"/>
        </w:rPr>
        <w:t xml:space="preserve"> </w:t>
      </w:r>
      <w:r w:rsidRPr="00BA1E56">
        <w:rPr>
          <w:sz w:val="22"/>
          <w:szCs w:val="22"/>
        </w:rPr>
        <w:t>Annual leave is reflected as a liability not covered by current budgetary resources.</w:t>
      </w:r>
      <w:r w:rsidR="00C933B2">
        <w:rPr>
          <w:sz w:val="22"/>
          <w:szCs w:val="22"/>
        </w:rPr>
        <w:t xml:space="preserve"> </w:t>
      </w:r>
      <w:r w:rsidRPr="00BA1E56">
        <w:rPr>
          <w:sz w:val="22"/>
          <w:szCs w:val="22"/>
        </w:rPr>
        <w:t>Sick leave and other types of non-vested leave are expensed as taken.</w:t>
      </w:r>
      <w:r w:rsidR="00C933B2">
        <w:rPr>
          <w:sz w:val="22"/>
          <w:szCs w:val="22"/>
        </w:rPr>
        <w:t xml:space="preserve"> </w:t>
      </w:r>
    </w:p>
    <w:p w:rsidR="00285D06" w:rsidRPr="00BA1E56" w:rsidP="008803E5" w14:paraId="271CBA03" w14:textId="6E4A232C">
      <w:pPr>
        <w:pStyle w:val="Heading5"/>
        <w:numPr>
          <w:ilvl w:val="0"/>
          <w:numId w:val="39"/>
        </w:numPr>
        <w:ind w:left="360"/>
      </w:pPr>
      <w:bookmarkStart w:id="225" w:name="_Toc88780689"/>
      <w:r w:rsidRPr="00E82AC6">
        <w:rPr>
          <w:sz w:val="22"/>
          <w:szCs w:val="22"/>
        </w:rPr>
        <w:t>Exchange</w:t>
      </w:r>
      <w:r w:rsidRPr="00BA1E56">
        <w:t xml:space="preserve"> Revenue</w:t>
      </w:r>
      <w:r>
        <w:t>, Non-Exchange Revenue,</w:t>
      </w:r>
      <w:r w:rsidRPr="00BA1E56">
        <w:t xml:space="preserve"> and Financing Sources</w:t>
      </w:r>
      <w:bookmarkEnd w:id="225"/>
    </w:p>
    <w:p w:rsidR="00285D06" w:rsidRPr="00BA1E56" w:rsidP="00C30472" w14:paraId="185E2B72" w14:textId="28AC34AC">
      <w:pPr>
        <w:spacing w:after="240"/>
        <w:jc w:val="both"/>
        <w:rPr>
          <w:sz w:val="22"/>
          <w:szCs w:val="22"/>
        </w:rPr>
      </w:pPr>
      <w:r w:rsidRPr="00BA1E56">
        <w:rPr>
          <w:sz w:val="22"/>
          <w:szCs w:val="22"/>
          <w:u w:val="single"/>
        </w:rPr>
        <w:t>Regulatory Fee Offsetting Collections (Exchange)</w:t>
      </w:r>
      <w:r w:rsidRPr="00BA1E56">
        <w:rPr>
          <w:sz w:val="22"/>
          <w:szCs w:val="22"/>
        </w:rPr>
        <w:t xml:space="preserve"> – Pursuant to 47 U.S.C. § 159, the Commission assesses and collects regulatory fees to recover the costs incurred in carrying out its mission through its strategic goals:</w:t>
      </w:r>
      <w:r w:rsidR="00C933B2">
        <w:rPr>
          <w:sz w:val="22"/>
          <w:szCs w:val="22"/>
        </w:rPr>
        <w:t xml:space="preserve"> </w:t>
      </w:r>
      <w:r w:rsidRPr="00BA1E56">
        <w:rPr>
          <w:sz w:val="22"/>
          <w:szCs w:val="22"/>
        </w:rPr>
        <w:t>Closing the Digital Divide; Promoting Innovation; Protecting Consumers and Public Safety; and Reforming the FCC’s Processes.</w:t>
      </w:r>
      <w:r w:rsidR="00C933B2">
        <w:rPr>
          <w:sz w:val="22"/>
          <w:szCs w:val="22"/>
        </w:rPr>
        <w:t xml:space="preserve"> </w:t>
      </w:r>
      <w:r w:rsidRPr="00BA1E56">
        <w:rPr>
          <w:sz w:val="22"/>
          <w:szCs w:val="22"/>
        </w:rPr>
        <w:t>Since 1993, Congress has annually reviewed the regulatory fee collection requirements of the Commission and established the total fee levels to be collected in annual Appropriations Acts.</w:t>
      </w:r>
      <w:r w:rsidR="00C933B2">
        <w:rPr>
          <w:sz w:val="22"/>
          <w:szCs w:val="22"/>
        </w:rPr>
        <w:t xml:space="preserve"> </w:t>
      </w:r>
      <w:r w:rsidRPr="00BA1E56">
        <w:rPr>
          <w:sz w:val="22"/>
          <w:szCs w:val="22"/>
        </w:rPr>
        <w:t>Fees collected up to the level established by Congress are applied against the Commission’s appropriation at the close of each fiscal year.</w:t>
      </w:r>
      <w:r w:rsidR="00C933B2">
        <w:rPr>
          <w:sz w:val="22"/>
          <w:szCs w:val="22"/>
        </w:rPr>
        <w:t xml:space="preserve"> </w:t>
      </w:r>
      <w:r w:rsidRPr="00BA1E56">
        <w:rPr>
          <w:sz w:val="22"/>
          <w:szCs w:val="22"/>
        </w:rPr>
        <w:t>The Repack Airwaves Yielding Better Access for Users of Modern Services Act of 2018 (RAY BAUM’S Act), Division P of P.L. 115-141, requires the Commission to transfer all excess regulatory fee collections from prior and subsequent fiscal years to the General Fund of the Treasury for the sole purpose of deficit reduction.</w:t>
      </w:r>
      <w:r w:rsidR="00C933B2">
        <w:rPr>
          <w:sz w:val="22"/>
          <w:szCs w:val="22"/>
        </w:rPr>
        <w:t xml:space="preserve"> </w:t>
      </w:r>
      <w:r w:rsidRPr="00BA1E56">
        <w:rPr>
          <w:sz w:val="22"/>
          <w:szCs w:val="22"/>
        </w:rPr>
        <w:t>The Commission collected the appropriated regulatory fee levels of $3</w:t>
      </w:r>
      <w:r>
        <w:rPr>
          <w:sz w:val="22"/>
          <w:szCs w:val="22"/>
        </w:rPr>
        <w:t>74</w:t>
      </w:r>
      <w:r w:rsidRPr="00BA1E56">
        <w:rPr>
          <w:sz w:val="22"/>
          <w:szCs w:val="22"/>
        </w:rPr>
        <w:t xml:space="preserve">,000 for FY </w:t>
      </w:r>
      <w:r>
        <w:rPr>
          <w:sz w:val="22"/>
          <w:szCs w:val="22"/>
        </w:rPr>
        <w:t>2021</w:t>
      </w:r>
      <w:r w:rsidRPr="00BA1E56">
        <w:rPr>
          <w:sz w:val="22"/>
          <w:szCs w:val="22"/>
        </w:rPr>
        <w:t xml:space="preserve"> and</w:t>
      </w:r>
      <w:r>
        <w:rPr>
          <w:sz w:val="22"/>
          <w:szCs w:val="22"/>
        </w:rPr>
        <w:t xml:space="preserve"> $339,000 for</w:t>
      </w:r>
      <w:r w:rsidRPr="00BA1E56">
        <w:rPr>
          <w:sz w:val="22"/>
          <w:szCs w:val="22"/>
        </w:rPr>
        <w:t xml:space="preserve"> FY </w:t>
      </w:r>
      <w:r>
        <w:rPr>
          <w:sz w:val="22"/>
          <w:szCs w:val="22"/>
        </w:rPr>
        <w:t>2020</w:t>
      </w:r>
      <w:r w:rsidRPr="00BA1E56">
        <w:rPr>
          <w:sz w:val="22"/>
          <w:szCs w:val="22"/>
        </w:rPr>
        <w:t>.</w:t>
      </w:r>
      <w:r w:rsidR="00C933B2">
        <w:rPr>
          <w:sz w:val="22"/>
          <w:szCs w:val="22"/>
        </w:rPr>
        <w:t xml:space="preserve"> </w:t>
      </w:r>
      <w:r w:rsidRPr="00BA1E56">
        <w:rPr>
          <w:sz w:val="22"/>
          <w:szCs w:val="22"/>
        </w:rPr>
        <w:t xml:space="preserve">The Commission also collected </w:t>
      </w:r>
      <w:r w:rsidRPr="00F17D39">
        <w:rPr>
          <w:sz w:val="22"/>
          <w:szCs w:val="22"/>
        </w:rPr>
        <w:t>$</w:t>
      </w:r>
      <w:r>
        <w:rPr>
          <w:sz w:val="22"/>
          <w:szCs w:val="22"/>
        </w:rPr>
        <w:t xml:space="preserve">3,780 </w:t>
      </w:r>
      <w:r w:rsidRPr="00BA1E56">
        <w:rPr>
          <w:sz w:val="22"/>
          <w:szCs w:val="22"/>
        </w:rPr>
        <w:t xml:space="preserve">above the required regulatory level in FY </w:t>
      </w:r>
      <w:r>
        <w:rPr>
          <w:sz w:val="22"/>
          <w:szCs w:val="22"/>
        </w:rPr>
        <w:t>2021</w:t>
      </w:r>
      <w:r w:rsidRPr="00BA1E56">
        <w:rPr>
          <w:sz w:val="22"/>
          <w:szCs w:val="22"/>
        </w:rPr>
        <w:t xml:space="preserve"> and $6,310 above the required level in FY </w:t>
      </w:r>
      <w:r>
        <w:rPr>
          <w:sz w:val="22"/>
          <w:szCs w:val="22"/>
        </w:rPr>
        <w:t>2020</w:t>
      </w:r>
      <w:r w:rsidRPr="00BA1E56">
        <w:rPr>
          <w:sz w:val="22"/>
          <w:szCs w:val="22"/>
        </w:rPr>
        <w:t>.</w:t>
      </w:r>
      <w:r w:rsidR="00C933B2">
        <w:rPr>
          <w:sz w:val="22"/>
          <w:szCs w:val="22"/>
        </w:rPr>
        <w:t xml:space="preserve"> </w:t>
      </w:r>
      <w:r w:rsidRPr="00BA1E56">
        <w:rPr>
          <w:sz w:val="22"/>
          <w:szCs w:val="22"/>
        </w:rPr>
        <w:t xml:space="preserve">As of </w:t>
      </w:r>
      <w:r>
        <w:rPr>
          <w:sz w:val="22"/>
          <w:szCs w:val="22"/>
        </w:rPr>
        <w:t>September 30, 2021</w:t>
      </w:r>
      <w:r w:rsidRPr="00BA1E56">
        <w:rPr>
          <w:sz w:val="22"/>
          <w:szCs w:val="22"/>
        </w:rPr>
        <w:t xml:space="preserve">, the Commission transferred excess regulatory fee collections totaling </w:t>
      </w:r>
      <w:r w:rsidRPr="00141FA2">
        <w:rPr>
          <w:sz w:val="22"/>
          <w:szCs w:val="22"/>
        </w:rPr>
        <w:t>$</w:t>
      </w:r>
      <w:r>
        <w:rPr>
          <w:sz w:val="22"/>
          <w:szCs w:val="22"/>
        </w:rPr>
        <w:t>145,049</w:t>
      </w:r>
      <w:r w:rsidRPr="00BA1E56">
        <w:rPr>
          <w:sz w:val="22"/>
          <w:szCs w:val="22"/>
        </w:rPr>
        <w:t xml:space="preserve"> to the Treasury.</w:t>
      </w:r>
    </w:p>
    <w:p w:rsidR="00285D06" w:rsidRPr="00BA1E56" w:rsidP="00C30472" w14:paraId="2186F7A7" w14:textId="0D43F8BB">
      <w:pPr>
        <w:spacing w:after="240"/>
        <w:jc w:val="both"/>
        <w:rPr>
          <w:sz w:val="22"/>
          <w:szCs w:val="22"/>
        </w:rPr>
      </w:pPr>
      <w:bookmarkStart w:id="226" w:name="_Toc73190398"/>
      <w:r w:rsidRPr="00BA1E56">
        <w:rPr>
          <w:sz w:val="22"/>
          <w:szCs w:val="22"/>
          <w:u w:val="single"/>
        </w:rPr>
        <w:t>Competitive Bidding System Offsetting Collections (Exchange)</w:t>
      </w:r>
      <w:r w:rsidRPr="00BA1E56">
        <w:rPr>
          <w:sz w:val="22"/>
          <w:szCs w:val="22"/>
        </w:rPr>
        <w:t xml:space="preserve"> – One of the Commission’s primary functions is managing the spectrum auctions program.</w:t>
      </w:r>
      <w:r w:rsidR="00C933B2">
        <w:rPr>
          <w:sz w:val="22"/>
          <w:szCs w:val="22"/>
        </w:rPr>
        <w:t xml:space="preserve"> </w:t>
      </w:r>
      <w:r w:rsidRPr="00BA1E56">
        <w:rPr>
          <w:sz w:val="22"/>
          <w:szCs w:val="22"/>
        </w:rPr>
        <w:t>Proceeds from the auctions are initially remitted to</w:t>
      </w:r>
      <w:bookmarkEnd w:id="226"/>
      <w:r w:rsidRPr="00BA1E56">
        <w:rPr>
          <w:sz w:val="22"/>
          <w:szCs w:val="22"/>
        </w:rPr>
        <w:t xml:space="preserve"> the Commission and are later transferred either to the Treasury or to the appropriate agency as required by applicable laws.</w:t>
      </w:r>
      <w:r w:rsidR="00C933B2">
        <w:rPr>
          <w:sz w:val="22"/>
          <w:szCs w:val="22"/>
        </w:rPr>
        <w:t xml:space="preserve"> </w:t>
      </w:r>
      <w:r w:rsidRPr="00BA1E56">
        <w:rPr>
          <w:sz w:val="22"/>
          <w:szCs w:val="22"/>
        </w:rPr>
        <w:t>Pursuant to 47 U.S.C. § 309, the Commission may retain a portion of the spectrum auction proceeds to offset the cost of performing the auction function.</w:t>
      </w:r>
      <w:r w:rsidR="00C933B2">
        <w:rPr>
          <w:sz w:val="22"/>
          <w:szCs w:val="22"/>
        </w:rPr>
        <w:t xml:space="preserve"> </w:t>
      </w:r>
      <w:r w:rsidRPr="00BA1E56">
        <w:rPr>
          <w:sz w:val="22"/>
          <w:szCs w:val="22"/>
        </w:rPr>
        <w:t xml:space="preserve">Collections used to offset the cost of performing auctions-related activity were appropriated at </w:t>
      </w:r>
      <w:r w:rsidRPr="00141FA2">
        <w:rPr>
          <w:sz w:val="22"/>
          <w:szCs w:val="22"/>
        </w:rPr>
        <w:t>$</w:t>
      </w:r>
      <w:r>
        <w:rPr>
          <w:sz w:val="22"/>
          <w:szCs w:val="22"/>
        </w:rPr>
        <w:t>134,495</w:t>
      </w:r>
      <w:r w:rsidRPr="00BA1E56">
        <w:rPr>
          <w:sz w:val="22"/>
          <w:szCs w:val="22"/>
        </w:rPr>
        <w:t xml:space="preserve"> for FY </w:t>
      </w:r>
      <w:r>
        <w:rPr>
          <w:sz w:val="22"/>
          <w:szCs w:val="22"/>
        </w:rPr>
        <w:t>2021</w:t>
      </w:r>
      <w:r w:rsidRPr="00BA1E56">
        <w:rPr>
          <w:sz w:val="22"/>
          <w:szCs w:val="22"/>
        </w:rPr>
        <w:t xml:space="preserve"> and $132,539 for FY </w:t>
      </w:r>
      <w:r>
        <w:rPr>
          <w:sz w:val="22"/>
          <w:szCs w:val="22"/>
        </w:rPr>
        <w:t>2020</w:t>
      </w:r>
      <w:r w:rsidRPr="00BA1E56">
        <w:rPr>
          <w:sz w:val="22"/>
          <w:szCs w:val="22"/>
        </w:rPr>
        <w:t>.</w:t>
      </w:r>
      <w:r w:rsidR="00C933B2">
        <w:rPr>
          <w:sz w:val="22"/>
          <w:szCs w:val="22"/>
        </w:rPr>
        <w:t xml:space="preserve"> </w:t>
      </w:r>
    </w:p>
    <w:p w:rsidR="00285D06" w:rsidRPr="00BA1E56" w:rsidP="00C30472" w14:paraId="531A4E13" w14:textId="7B3B9417">
      <w:pPr>
        <w:spacing w:after="240"/>
        <w:jc w:val="both"/>
        <w:rPr>
          <w:sz w:val="22"/>
          <w:szCs w:val="22"/>
        </w:rPr>
      </w:pPr>
      <w:r w:rsidRPr="00BA1E56">
        <w:rPr>
          <w:sz w:val="22"/>
          <w:szCs w:val="22"/>
          <w:u w:val="single"/>
        </w:rPr>
        <w:t>Radio Spectrum Auction Proceeds (Exchange)</w:t>
      </w:r>
      <w:r w:rsidRPr="00BA1E56">
        <w:rPr>
          <w:sz w:val="22"/>
          <w:szCs w:val="22"/>
        </w:rPr>
        <w:t xml:space="preserve"> –</w:t>
      </w:r>
      <w:r w:rsidRPr="002D68E0">
        <w:rPr>
          <w:bCs/>
          <w:sz w:val="22"/>
          <w:szCs w:val="22"/>
        </w:rPr>
        <w:t xml:space="preserve"> </w:t>
      </w:r>
      <w:r w:rsidRPr="00BA1E56">
        <w:rPr>
          <w:sz w:val="22"/>
          <w:szCs w:val="22"/>
        </w:rPr>
        <w:t xml:space="preserve">In accordance with the provisions of SFFAS 7, </w:t>
      </w:r>
      <w:r w:rsidRPr="00BA1E56">
        <w:rPr>
          <w:i/>
          <w:sz w:val="22"/>
          <w:szCs w:val="22"/>
        </w:rPr>
        <w:t>Accounting for Revenue and Other Financing Sources</w:t>
      </w:r>
      <w:r w:rsidRPr="00BA1E56">
        <w:rPr>
          <w:sz w:val="22"/>
          <w:szCs w:val="22"/>
        </w:rPr>
        <w:t>, the Commission accounts for this exchange revenue as a custodial activity.</w:t>
      </w:r>
      <w:r w:rsidR="00C933B2">
        <w:rPr>
          <w:sz w:val="22"/>
          <w:szCs w:val="22"/>
        </w:rPr>
        <w:t xml:space="preserve"> </w:t>
      </w:r>
      <w:r w:rsidRPr="00BA1E56">
        <w:rPr>
          <w:sz w:val="22"/>
          <w:szCs w:val="22"/>
        </w:rPr>
        <w:t>Revenue from spectrum auctions is recognized when a “prepared to grant” or “grant” public notice is issued.</w:t>
      </w:r>
      <w:r w:rsidR="00C933B2">
        <w:rPr>
          <w:sz w:val="22"/>
          <w:szCs w:val="22"/>
        </w:rPr>
        <w:t xml:space="preserve"> </w:t>
      </w:r>
      <w:r w:rsidRPr="00BA1E56">
        <w:rPr>
          <w:sz w:val="22"/>
          <w:szCs w:val="22"/>
        </w:rPr>
        <w:t>The value of available spectrum is determined in the marketplace at the time of auction.</w:t>
      </w:r>
      <w:r w:rsidR="00C933B2">
        <w:rPr>
          <w:sz w:val="22"/>
          <w:szCs w:val="22"/>
        </w:rPr>
        <w:t xml:space="preserve"> </w:t>
      </w:r>
      <w:r w:rsidRPr="00BA1E56">
        <w:rPr>
          <w:sz w:val="22"/>
          <w:szCs w:val="22"/>
        </w:rPr>
        <w:t xml:space="preserve">The Commission recognized </w:t>
      </w:r>
      <w:r w:rsidRPr="00D81D92">
        <w:rPr>
          <w:sz w:val="22"/>
          <w:szCs w:val="22"/>
        </w:rPr>
        <w:t>$</w:t>
      </w:r>
      <w:r>
        <w:rPr>
          <w:sz w:val="22"/>
          <w:szCs w:val="22"/>
        </w:rPr>
        <w:t>85,564,050</w:t>
      </w:r>
      <w:r w:rsidRPr="00BA1E56">
        <w:rPr>
          <w:sz w:val="22"/>
          <w:szCs w:val="22"/>
        </w:rPr>
        <w:t xml:space="preserve"> of custodial revenue (net of accrual adjustments) related to spectrum auctions in FY </w:t>
      </w:r>
      <w:r>
        <w:rPr>
          <w:sz w:val="22"/>
          <w:szCs w:val="22"/>
        </w:rPr>
        <w:t>2021</w:t>
      </w:r>
      <w:r w:rsidRPr="00BA1E56">
        <w:rPr>
          <w:sz w:val="22"/>
          <w:szCs w:val="22"/>
        </w:rPr>
        <w:t xml:space="preserve"> and $10,291,811</w:t>
      </w:r>
      <w:r>
        <w:rPr>
          <w:sz w:val="22"/>
          <w:szCs w:val="22"/>
        </w:rPr>
        <w:t xml:space="preserve"> </w:t>
      </w:r>
      <w:r w:rsidRPr="00BA1E56">
        <w:rPr>
          <w:sz w:val="22"/>
          <w:szCs w:val="22"/>
        </w:rPr>
        <w:t>in</w:t>
      </w:r>
      <w:r>
        <w:rPr>
          <w:sz w:val="22"/>
          <w:szCs w:val="22"/>
        </w:rPr>
        <w:t xml:space="preserve"> </w:t>
      </w:r>
      <w:r w:rsidRPr="00BA1E56">
        <w:rPr>
          <w:sz w:val="22"/>
          <w:szCs w:val="22"/>
        </w:rPr>
        <w:t xml:space="preserve">FY </w:t>
      </w:r>
      <w:r>
        <w:rPr>
          <w:sz w:val="22"/>
          <w:szCs w:val="22"/>
        </w:rPr>
        <w:t>2020</w:t>
      </w:r>
      <w:r w:rsidRPr="00BA1E56">
        <w:rPr>
          <w:sz w:val="22"/>
          <w:szCs w:val="22"/>
        </w:rPr>
        <w:t>.</w:t>
      </w:r>
      <w:r w:rsidR="00C933B2">
        <w:rPr>
          <w:sz w:val="22"/>
          <w:szCs w:val="22"/>
        </w:rPr>
        <w:t xml:space="preserve"> </w:t>
      </w:r>
      <w:r w:rsidRPr="004D1A13">
        <w:rPr>
          <w:sz w:val="22"/>
          <w:szCs w:val="22"/>
        </w:rPr>
        <w:t>In FY 2021,</w:t>
      </w:r>
      <w:r>
        <w:rPr>
          <w:sz w:val="22"/>
          <w:szCs w:val="22"/>
        </w:rPr>
        <w:t xml:space="preserve"> the Commission transferred $4,476,093 to the Public Safety Trust Fund that is managed by the National Telecommunications and Information Administration (NTIA) and $4,466,079 to the Spectrum Relocation Fund which is administered by the OMB</w:t>
      </w:r>
      <w:r w:rsidRPr="004D1A13">
        <w:rPr>
          <w:sz w:val="22"/>
          <w:szCs w:val="22"/>
        </w:rPr>
        <w:t>.</w:t>
      </w:r>
      <w:r w:rsidR="00C933B2">
        <w:rPr>
          <w:sz w:val="22"/>
          <w:szCs w:val="22"/>
        </w:rPr>
        <w:t xml:space="preserve"> </w:t>
      </w:r>
      <w:r w:rsidRPr="00BA1E56">
        <w:rPr>
          <w:sz w:val="22"/>
          <w:szCs w:val="22"/>
        </w:rPr>
        <w:t xml:space="preserve">In FY </w:t>
      </w:r>
      <w:r>
        <w:rPr>
          <w:sz w:val="22"/>
          <w:szCs w:val="22"/>
        </w:rPr>
        <w:t>2020</w:t>
      </w:r>
      <w:r w:rsidRPr="00BA1E56">
        <w:rPr>
          <w:sz w:val="22"/>
          <w:szCs w:val="22"/>
        </w:rPr>
        <w:t>, the Commission transferred $2,725,238 to the Treasury General Fund</w:t>
      </w:r>
      <w:r>
        <w:rPr>
          <w:sz w:val="22"/>
          <w:szCs w:val="22"/>
        </w:rPr>
        <w:t>.</w:t>
      </w:r>
      <w:r w:rsidRPr="00BA1E56">
        <w:rPr>
          <w:sz w:val="22"/>
          <w:szCs w:val="22"/>
        </w:rPr>
        <w:t xml:space="preserve"> </w:t>
      </w:r>
    </w:p>
    <w:p w:rsidR="00285D06" w:rsidP="007B3477" w14:paraId="255D4678" w14:textId="7BB938CA">
      <w:pPr>
        <w:spacing w:after="480"/>
        <w:jc w:val="both"/>
        <w:rPr>
          <w:sz w:val="22"/>
          <w:szCs w:val="22"/>
        </w:rPr>
      </w:pPr>
      <w:r w:rsidRPr="00BA1E56">
        <w:rPr>
          <w:sz w:val="22"/>
          <w:szCs w:val="22"/>
          <w:u w:val="single"/>
        </w:rPr>
        <w:t>Application Fees (Exchange)</w:t>
      </w:r>
      <w:r w:rsidRPr="00BA1E56">
        <w:rPr>
          <w:sz w:val="22"/>
          <w:szCs w:val="22"/>
        </w:rPr>
        <w:t xml:space="preserve"> – </w:t>
      </w:r>
      <w:bookmarkStart w:id="227" w:name="_Hlk78212542"/>
      <w:r w:rsidRPr="00BA1E56">
        <w:rPr>
          <w:sz w:val="22"/>
          <w:szCs w:val="22"/>
        </w:rPr>
        <w:t>Pursuant to 47 U.S.C. § 158, the Commission collects application processing fees at such rates as the Commission establishes in a schedule of application fees to recover the costs of the Commission to process applications.</w:t>
      </w:r>
      <w:r w:rsidR="00C933B2">
        <w:rPr>
          <w:sz w:val="22"/>
          <w:szCs w:val="22"/>
        </w:rPr>
        <w:t xml:space="preserve"> </w:t>
      </w:r>
      <w:r w:rsidRPr="00BA1E56">
        <w:rPr>
          <w:sz w:val="22"/>
          <w:szCs w:val="22"/>
        </w:rPr>
        <w:t xml:space="preserve">Subparagraph b of section 158 requires the Commission to review and amend its schedule of application fees every two years based on the net change in the Consumer Price Index </w:t>
      </w:r>
      <w:r>
        <w:rPr>
          <w:sz w:val="22"/>
          <w:szCs w:val="22"/>
        </w:rPr>
        <w:t xml:space="preserve">(CPI) </w:t>
      </w:r>
      <w:r w:rsidRPr="00BA1E56">
        <w:rPr>
          <w:sz w:val="22"/>
          <w:szCs w:val="22"/>
        </w:rPr>
        <w:t>calculated over a specific period of time.</w:t>
      </w:r>
      <w:bookmarkEnd w:id="227"/>
      <w:r w:rsidR="00C933B2">
        <w:rPr>
          <w:sz w:val="22"/>
          <w:szCs w:val="22"/>
        </w:rPr>
        <w:t xml:space="preserve"> </w:t>
      </w:r>
      <w:r w:rsidRPr="00BA1E56">
        <w:rPr>
          <w:sz w:val="22"/>
          <w:szCs w:val="22"/>
        </w:rPr>
        <w:t xml:space="preserve">Application fees are deposited in </w:t>
      </w:r>
    </w:p>
    <w:p w:rsidR="00285D06" w:rsidRPr="00BA1E56" w:rsidP="00454548" w14:paraId="2F519C03" w14:textId="77777777">
      <w:pPr>
        <w:spacing w:after="260"/>
        <w:jc w:val="both"/>
        <w:rPr>
          <w:b/>
          <w:sz w:val="22"/>
          <w:szCs w:val="22"/>
        </w:rPr>
      </w:pPr>
      <w:r w:rsidRPr="00BA1E56">
        <w:rPr>
          <w:b/>
          <w:sz w:val="22"/>
          <w:szCs w:val="22"/>
        </w:rPr>
        <w:t>Note 1 – Summary of Significant Accounting Policies (continued)</w:t>
      </w:r>
    </w:p>
    <w:p w:rsidR="00285D06" w:rsidRPr="00D90749" w:rsidP="00D90749" w14:paraId="3341D77F" w14:textId="7D5FDC90">
      <w:pPr>
        <w:pStyle w:val="ListParagraph"/>
        <w:numPr>
          <w:ilvl w:val="0"/>
          <w:numId w:val="27"/>
        </w:numPr>
        <w:spacing w:after="260"/>
        <w:ind w:left="360"/>
        <w:rPr>
          <w:b/>
          <w:bCs/>
          <w:sz w:val="22"/>
          <w:szCs w:val="22"/>
        </w:rPr>
      </w:pPr>
      <w:r w:rsidRPr="00D90749">
        <w:rPr>
          <w:b/>
          <w:bCs/>
          <w:sz w:val="22"/>
          <w:szCs w:val="22"/>
        </w:rPr>
        <w:t>Exchange Revenue, Non-Exchange Revenue, and Financing Source (continued)</w:t>
      </w:r>
    </w:p>
    <w:p w:rsidR="00285D06" w:rsidRPr="00F67E77" w:rsidP="00790CF0" w14:paraId="7357E2F9" w14:textId="298060E8">
      <w:pPr>
        <w:spacing w:after="240"/>
        <w:jc w:val="both"/>
        <w:rPr>
          <w:sz w:val="22"/>
          <w:szCs w:val="22"/>
        </w:rPr>
      </w:pPr>
      <w:r w:rsidRPr="00BA1E56">
        <w:rPr>
          <w:sz w:val="22"/>
          <w:szCs w:val="22"/>
        </w:rPr>
        <w:t>the Treasury and are not available for the Commission’s use.</w:t>
      </w:r>
      <w:r w:rsidR="00C933B2">
        <w:rPr>
          <w:sz w:val="22"/>
          <w:szCs w:val="22"/>
        </w:rPr>
        <w:t xml:space="preserve"> </w:t>
      </w:r>
      <w:r w:rsidRPr="00BA1E56">
        <w:rPr>
          <w:sz w:val="22"/>
          <w:szCs w:val="22"/>
        </w:rPr>
        <w:t xml:space="preserve">Application fee revenue totaled </w:t>
      </w:r>
      <w:r w:rsidRPr="004D1A13">
        <w:rPr>
          <w:sz w:val="22"/>
          <w:szCs w:val="22"/>
        </w:rPr>
        <w:t>$</w:t>
      </w:r>
      <w:r>
        <w:rPr>
          <w:sz w:val="22"/>
          <w:szCs w:val="22"/>
        </w:rPr>
        <w:t>28,553</w:t>
      </w:r>
      <w:r w:rsidRPr="00BA1E56">
        <w:rPr>
          <w:sz w:val="22"/>
          <w:szCs w:val="22"/>
        </w:rPr>
        <w:t xml:space="preserve"> in FY </w:t>
      </w:r>
      <w:r>
        <w:rPr>
          <w:sz w:val="22"/>
          <w:szCs w:val="22"/>
        </w:rPr>
        <w:t>2021</w:t>
      </w:r>
      <w:r w:rsidRPr="00BA1E56">
        <w:rPr>
          <w:sz w:val="22"/>
          <w:szCs w:val="22"/>
        </w:rPr>
        <w:t xml:space="preserve"> and $24,947 in FY </w:t>
      </w:r>
      <w:r>
        <w:rPr>
          <w:sz w:val="22"/>
          <w:szCs w:val="22"/>
        </w:rPr>
        <w:t>2020</w:t>
      </w:r>
      <w:r w:rsidRPr="00BA1E56">
        <w:rPr>
          <w:sz w:val="22"/>
          <w:szCs w:val="22"/>
        </w:rPr>
        <w:t>.</w:t>
      </w:r>
      <w:r w:rsidR="00C933B2">
        <w:rPr>
          <w:sz w:val="22"/>
          <w:szCs w:val="22"/>
        </w:rPr>
        <w:t xml:space="preserve"> </w:t>
      </w:r>
      <w:r w:rsidRPr="00BA1E56">
        <w:rPr>
          <w:spacing w:val="-2"/>
          <w:sz w:val="22"/>
          <w:szCs w:val="22"/>
        </w:rPr>
        <w:t xml:space="preserve">The most recent </w:t>
      </w:r>
      <w:r>
        <w:rPr>
          <w:spacing w:val="-2"/>
          <w:sz w:val="22"/>
          <w:szCs w:val="22"/>
        </w:rPr>
        <w:t xml:space="preserve">Report and </w:t>
      </w:r>
      <w:r w:rsidRPr="00BA1E56">
        <w:rPr>
          <w:spacing w:val="-2"/>
          <w:sz w:val="22"/>
          <w:szCs w:val="22"/>
        </w:rPr>
        <w:t>Order</w:t>
      </w:r>
      <w:r>
        <w:rPr>
          <w:spacing w:val="-2"/>
          <w:sz w:val="22"/>
          <w:szCs w:val="22"/>
        </w:rPr>
        <w:t xml:space="preserve"> </w:t>
      </w:r>
      <w:r w:rsidRPr="00BA1E56">
        <w:rPr>
          <w:spacing w:val="-2"/>
          <w:sz w:val="22"/>
          <w:szCs w:val="22"/>
        </w:rPr>
        <w:t>increasing application fees to reflect changes in the C</w:t>
      </w:r>
      <w:r>
        <w:rPr>
          <w:spacing w:val="-2"/>
          <w:sz w:val="22"/>
          <w:szCs w:val="22"/>
        </w:rPr>
        <w:t>PI</w:t>
      </w:r>
      <w:r w:rsidRPr="00BA1E56">
        <w:rPr>
          <w:spacing w:val="-2"/>
          <w:sz w:val="22"/>
          <w:szCs w:val="22"/>
        </w:rPr>
        <w:t xml:space="preserve"> was adopted by the Commission on </w:t>
      </w:r>
      <w:r>
        <w:rPr>
          <w:spacing w:val="-2"/>
          <w:sz w:val="22"/>
          <w:szCs w:val="22"/>
        </w:rPr>
        <w:t>December 23</w:t>
      </w:r>
      <w:r w:rsidRPr="00BA1E56">
        <w:rPr>
          <w:spacing w:val="-2"/>
          <w:sz w:val="22"/>
          <w:szCs w:val="22"/>
        </w:rPr>
        <w:t xml:space="preserve">, </w:t>
      </w:r>
      <w:r>
        <w:rPr>
          <w:spacing w:val="-2"/>
          <w:sz w:val="22"/>
          <w:szCs w:val="22"/>
        </w:rPr>
        <w:t>2020</w:t>
      </w:r>
      <w:r w:rsidRPr="00BA1E56">
        <w:rPr>
          <w:spacing w:val="-2"/>
          <w:sz w:val="22"/>
          <w:szCs w:val="22"/>
        </w:rPr>
        <w:t xml:space="preserve"> and released on </w:t>
      </w:r>
      <w:r>
        <w:rPr>
          <w:spacing w:val="-2"/>
          <w:sz w:val="22"/>
          <w:szCs w:val="22"/>
        </w:rPr>
        <w:t>December</w:t>
      </w:r>
      <w:r w:rsidRPr="00BA1E56">
        <w:rPr>
          <w:spacing w:val="-2"/>
          <w:sz w:val="22"/>
          <w:szCs w:val="22"/>
        </w:rPr>
        <w:t xml:space="preserve"> 2</w:t>
      </w:r>
      <w:r>
        <w:rPr>
          <w:spacing w:val="-2"/>
          <w:sz w:val="22"/>
          <w:szCs w:val="22"/>
        </w:rPr>
        <w:t>9</w:t>
      </w:r>
      <w:r w:rsidRPr="00BA1E56">
        <w:rPr>
          <w:spacing w:val="-2"/>
          <w:sz w:val="22"/>
          <w:szCs w:val="22"/>
        </w:rPr>
        <w:t xml:space="preserve">, </w:t>
      </w:r>
      <w:r>
        <w:rPr>
          <w:spacing w:val="-2"/>
          <w:sz w:val="22"/>
          <w:szCs w:val="22"/>
        </w:rPr>
        <w:t>2020</w:t>
      </w:r>
      <w:r>
        <w:t xml:space="preserve"> to </w:t>
      </w:r>
      <w:r w:rsidRPr="00D56EB0">
        <w:rPr>
          <w:spacing w:val="-2"/>
          <w:sz w:val="22"/>
          <w:szCs w:val="22"/>
        </w:rPr>
        <w:t>implement</w:t>
      </w:r>
      <w:r>
        <w:rPr>
          <w:spacing w:val="-2"/>
          <w:sz w:val="22"/>
          <w:szCs w:val="22"/>
        </w:rPr>
        <w:t xml:space="preserve"> </w:t>
      </w:r>
      <w:r w:rsidRPr="00D56EB0">
        <w:rPr>
          <w:spacing w:val="-2"/>
          <w:sz w:val="22"/>
          <w:szCs w:val="22"/>
        </w:rPr>
        <w:t>the RAY BAUM’S Act of 2018</w:t>
      </w:r>
      <w:r>
        <w:rPr>
          <w:spacing w:val="-2"/>
          <w:sz w:val="22"/>
          <w:szCs w:val="22"/>
        </w:rPr>
        <w:t>.</w:t>
      </w:r>
      <w:r w:rsidR="00C933B2">
        <w:rPr>
          <w:spacing w:val="-2"/>
          <w:sz w:val="22"/>
          <w:szCs w:val="22"/>
        </w:rPr>
        <w:t xml:space="preserve"> </w:t>
      </w:r>
      <w:r>
        <w:rPr>
          <w:spacing w:val="-2"/>
          <w:sz w:val="22"/>
          <w:szCs w:val="22"/>
        </w:rPr>
        <w:t xml:space="preserve">In this Report and Order, the Commission </w:t>
      </w:r>
      <w:r w:rsidRPr="00D56EB0">
        <w:rPr>
          <w:spacing w:val="-2"/>
          <w:sz w:val="22"/>
          <w:szCs w:val="22"/>
        </w:rPr>
        <w:t xml:space="preserve">adopted a new schedule of application fees that aligns with the types of applications the </w:t>
      </w:r>
      <w:r>
        <w:rPr>
          <w:spacing w:val="-2"/>
          <w:sz w:val="22"/>
          <w:szCs w:val="22"/>
        </w:rPr>
        <w:t xml:space="preserve">Commission </w:t>
      </w:r>
      <w:r w:rsidRPr="00D56EB0">
        <w:rPr>
          <w:spacing w:val="-2"/>
          <w:sz w:val="22"/>
          <w:szCs w:val="22"/>
        </w:rPr>
        <w:t>receives and correlates the fees charged to the direct costs of processing the associated applications.</w:t>
      </w:r>
    </w:p>
    <w:p w:rsidR="00285D06" w:rsidP="00DC48BA" w14:paraId="044A2598" w14:textId="060F611D">
      <w:pPr>
        <w:spacing w:after="240"/>
        <w:jc w:val="both"/>
        <w:rPr>
          <w:sz w:val="22"/>
          <w:szCs w:val="22"/>
        </w:rPr>
      </w:pPr>
      <w:r w:rsidRPr="009F4336">
        <w:rPr>
          <w:sz w:val="22"/>
          <w:szCs w:val="22"/>
          <w:u w:val="single"/>
        </w:rPr>
        <w:t>900 Megahertz</w:t>
      </w:r>
      <w:r>
        <w:rPr>
          <w:sz w:val="22"/>
          <w:szCs w:val="22"/>
          <w:u w:val="single"/>
        </w:rPr>
        <w:t xml:space="preserve"> (MHz)</w:t>
      </w:r>
      <w:r w:rsidRPr="009F4336">
        <w:rPr>
          <w:sz w:val="22"/>
          <w:szCs w:val="22"/>
          <w:u w:val="single"/>
        </w:rPr>
        <w:t xml:space="preserve"> </w:t>
      </w:r>
      <w:r>
        <w:rPr>
          <w:sz w:val="22"/>
          <w:szCs w:val="22"/>
          <w:u w:val="single"/>
        </w:rPr>
        <w:t>Anti-</w:t>
      </w:r>
      <w:r w:rsidRPr="009F4336">
        <w:rPr>
          <w:sz w:val="22"/>
          <w:szCs w:val="22"/>
          <w:u w:val="single"/>
        </w:rPr>
        <w:t>Windfall</w:t>
      </w:r>
      <w:r>
        <w:rPr>
          <w:sz w:val="22"/>
          <w:szCs w:val="22"/>
          <w:u w:val="single"/>
        </w:rPr>
        <w:t xml:space="preserve"> Program (Exchange)</w:t>
      </w:r>
      <w:r w:rsidRPr="005858BF">
        <w:rPr>
          <w:sz w:val="22"/>
          <w:szCs w:val="22"/>
        </w:rPr>
        <w:t xml:space="preserve"> </w:t>
      </w:r>
      <w:r w:rsidRPr="00BA1E56">
        <w:rPr>
          <w:sz w:val="22"/>
          <w:szCs w:val="22"/>
        </w:rPr>
        <w:t xml:space="preserve">– </w:t>
      </w:r>
      <w:r w:rsidRPr="00386A29">
        <w:rPr>
          <w:sz w:val="22"/>
          <w:szCs w:val="22"/>
        </w:rPr>
        <w:t>On May 13, 2020, the Commission realigned the 900 MHz band to make available six megahertz of low-band spectrum for the development of critical</w:t>
      </w:r>
      <w:r w:rsidRPr="00F50BCB">
        <w:rPr>
          <w:szCs w:val="24"/>
        </w:rPr>
        <w:t xml:space="preserve"> </w:t>
      </w:r>
      <w:r w:rsidRPr="00386A29">
        <w:rPr>
          <w:sz w:val="22"/>
          <w:szCs w:val="22"/>
        </w:rPr>
        <w:t>wireless broadband technologies and services, while reserving the remaining four megahertz of spectrum for continued narrowband operations.</w:t>
      </w:r>
      <w:r w:rsidR="00C933B2">
        <w:rPr>
          <w:sz w:val="22"/>
          <w:szCs w:val="22"/>
        </w:rPr>
        <w:t xml:space="preserve"> </w:t>
      </w:r>
      <w:r w:rsidRPr="00386A29">
        <w:rPr>
          <w:sz w:val="22"/>
          <w:szCs w:val="22"/>
        </w:rPr>
        <w:t>Applicants that relinquish less than six megahertz of spectrum are required to make an anti-windfall payment before the Commission will grant its 900 MHz broadband segment application.</w:t>
      </w:r>
      <w:r w:rsidR="00C933B2">
        <w:rPr>
          <w:sz w:val="22"/>
          <w:szCs w:val="22"/>
        </w:rPr>
        <w:t xml:space="preserve"> </w:t>
      </w:r>
      <w:r w:rsidRPr="00386A29">
        <w:rPr>
          <w:sz w:val="22"/>
          <w:szCs w:val="22"/>
        </w:rPr>
        <w:t xml:space="preserve">Anti-windfall payment revenue totaled </w:t>
      </w:r>
      <w:r w:rsidRPr="00CF4894">
        <w:rPr>
          <w:sz w:val="22"/>
          <w:szCs w:val="22"/>
        </w:rPr>
        <w:t>$</w:t>
      </w:r>
      <w:r>
        <w:rPr>
          <w:sz w:val="22"/>
          <w:szCs w:val="22"/>
        </w:rPr>
        <w:t>2,002</w:t>
      </w:r>
      <w:r w:rsidRPr="00386A29">
        <w:rPr>
          <w:sz w:val="22"/>
          <w:szCs w:val="22"/>
        </w:rPr>
        <w:t xml:space="preserve"> in FY 2021.</w:t>
      </w:r>
    </w:p>
    <w:p w:rsidR="00285D06" w:rsidRPr="00BA1E56" w:rsidP="00790CF0" w14:paraId="70FF8539" w14:textId="3A503D26">
      <w:pPr>
        <w:spacing w:after="240"/>
        <w:jc w:val="both"/>
        <w:rPr>
          <w:sz w:val="22"/>
          <w:szCs w:val="22"/>
        </w:rPr>
      </w:pPr>
      <w:bookmarkStart w:id="228" w:name="OLE_LINK1"/>
      <w:bookmarkStart w:id="229" w:name="OLE_LINK2"/>
      <w:r w:rsidRPr="00BA1E56">
        <w:rPr>
          <w:sz w:val="22"/>
          <w:szCs w:val="22"/>
          <w:u w:val="single"/>
        </w:rPr>
        <w:t>Reimbursable Work Agreements (Exchange)</w:t>
      </w:r>
      <w:r w:rsidRPr="00BA1E56">
        <w:rPr>
          <w:sz w:val="22"/>
          <w:szCs w:val="22"/>
        </w:rPr>
        <w:t xml:space="preserve"> – The Commission recognizes reimbursable work agreement revenue when earned, i.e., goods that have been delivered or services rendered.</w:t>
      </w:r>
      <w:r w:rsidR="00C933B2">
        <w:rPr>
          <w:sz w:val="22"/>
          <w:szCs w:val="22"/>
        </w:rPr>
        <w:t xml:space="preserve"> </w:t>
      </w:r>
      <w:r w:rsidRPr="00BA1E56">
        <w:rPr>
          <w:sz w:val="22"/>
          <w:szCs w:val="22"/>
        </w:rPr>
        <w:t xml:space="preserve">The Commission executed agreements totaling </w:t>
      </w:r>
      <w:r w:rsidRPr="00DC494C">
        <w:rPr>
          <w:sz w:val="22"/>
          <w:szCs w:val="22"/>
        </w:rPr>
        <w:t>$</w:t>
      </w:r>
      <w:r>
        <w:rPr>
          <w:sz w:val="22"/>
          <w:szCs w:val="22"/>
        </w:rPr>
        <w:t xml:space="preserve">831 </w:t>
      </w:r>
      <w:r w:rsidRPr="00BA1E56">
        <w:rPr>
          <w:sz w:val="22"/>
          <w:szCs w:val="22"/>
        </w:rPr>
        <w:t xml:space="preserve">in FY </w:t>
      </w:r>
      <w:r>
        <w:rPr>
          <w:sz w:val="22"/>
          <w:szCs w:val="22"/>
        </w:rPr>
        <w:t>2021</w:t>
      </w:r>
      <w:r w:rsidRPr="00BA1E56">
        <w:rPr>
          <w:sz w:val="22"/>
          <w:szCs w:val="22"/>
        </w:rPr>
        <w:t xml:space="preserve"> and $1,294 in FY </w:t>
      </w:r>
      <w:r>
        <w:rPr>
          <w:sz w:val="22"/>
          <w:szCs w:val="22"/>
        </w:rPr>
        <w:t>2020</w:t>
      </w:r>
      <w:r w:rsidRPr="00BA1E56">
        <w:rPr>
          <w:sz w:val="22"/>
          <w:szCs w:val="22"/>
        </w:rPr>
        <w:t>.</w:t>
      </w:r>
      <w:r w:rsidR="00C933B2">
        <w:rPr>
          <w:sz w:val="22"/>
          <w:szCs w:val="22"/>
        </w:rPr>
        <w:t xml:space="preserve"> </w:t>
      </w:r>
      <w:bookmarkEnd w:id="228"/>
      <w:bookmarkEnd w:id="229"/>
    </w:p>
    <w:p w:rsidR="00285D06" w:rsidRPr="00BA1E56" w:rsidP="00790CF0" w14:paraId="3AABC9B5" w14:textId="329973AC">
      <w:pPr>
        <w:spacing w:after="240"/>
        <w:jc w:val="both"/>
        <w:rPr>
          <w:sz w:val="22"/>
          <w:szCs w:val="22"/>
        </w:rPr>
      </w:pPr>
      <w:r w:rsidRPr="00BA1E56">
        <w:rPr>
          <w:sz w:val="22"/>
          <w:szCs w:val="22"/>
          <w:u w:val="single"/>
        </w:rPr>
        <w:t>Allocation of Exchange Revenues</w:t>
      </w:r>
      <w:r w:rsidRPr="00BA1E56">
        <w:rPr>
          <w:sz w:val="22"/>
          <w:szCs w:val="22"/>
        </w:rPr>
        <w:t xml:space="preserve"> – The Commission reports the entire balance of exchange revenue on the line </w:t>
      </w:r>
      <w:r>
        <w:rPr>
          <w:sz w:val="22"/>
          <w:szCs w:val="22"/>
        </w:rPr>
        <w:t>“</w:t>
      </w:r>
      <w:r w:rsidRPr="00BA1E56">
        <w:rPr>
          <w:sz w:val="22"/>
          <w:szCs w:val="22"/>
        </w:rPr>
        <w:t>Less:</w:t>
      </w:r>
      <w:r w:rsidR="00C933B2">
        <w:rPr>
          <w:sz w:val="22"/>
          <w:szCs w:val="22"/>
        </w:rPr>
        <w:t xml:space="preserve"> </w:t>
      </w:r>
      <w:r w:rsidRPr="00BA1E56">
        <w:rPr>
          <w:sz w:val="22"/>
          <w:szCs w:val="22"/>
        </w:rPr>
        <w:t>earned revenues not attributed to programs” since there is no direct relationship between earned revenues and specific programs.</w:t>
      </w:r>
      <w:r w:rsidR="00C933B2">
        <w:rPr>
          <w:sz w:val="22"/>
          <w:szCs w:val="22"/>
        </w:rPr>
        <w:t xml:space="preserve"> </w:t>
      </w:r>
    </w:p>
    <w:p w:rsidR="00106D4A" w:rsidRPr="00BA1E56" w:rsidP="00790CF0" w14:paraId="389F3CE0" w14:textId="6C915B7F">
      <w:pPr>
        <w:spacing w:after="240"/>
        <w:jc w:val="both"/>
        <w:rPr>
          <w:sz w:val="22"/>
          <w:szCs w:val="22"/>
        </w:rPr>
      </w:pPr>
      <w:r w:rsidRPr="00BA1E56">
        <w:rPr>
          <w:sz w:val="22"/>
          <w:szCs w:val="22"/>
          <w:u w:val="single"/>
        </w:rPr>
        <w:t>USF and TRS (</w:t>
      </w:r>
      <w:r>
        <w:rPr>
          <w:sz w:val="22"/>
          <w:szCs w:val="22"/>
          <w:u w:val="single"/>
        </w:rPr>
        <w:t>Non-Exchange</w:t>
      </w:r>
      <w:r w:rsidRPr="00BA1E56">
        <w:rPr>
          <w:sz w:val="22"/>
          <w:szCs w:val="22"/>
          <w:u w:val="single"/>
        </w:rPr>
        <w:t>)</w:t>
      </w:r>
      <w:r w:rsidRPr="00BA1E56">
        <w:rPr>
          <w:sz w:val="22"/>
          <w:szCs w:val="22"/>
        </w:rPr>
        <w:t xml:space="preserve"> – </w:t>
      </w:r>
      <w:r w:rsidRPr="00BA1E56">
        <w:rPr>
          <w:sz w:val="22"/>
          <w:szCs w:val="22"/>
        </w:rPr>
        <w:t>Carriers conducting interstate telecommunications are required to contribute a portion of their revenues to fund the cost of providing universal service programs and TRS.</w:t>
      </w:r>
      <w:r w:rsidR="00C933B2">
        <w:rPr>
          <w:sz w:val="22"/>
          <w:szCs w:val="22"/>
        </w:rPr>
        <w:t xml:space="preserve"> </w:t>
      </w:r>
      <w:r w:rsidRPr="00BA1E56">
        <w:rPr>
          <w:sz w:val="22"/>
          <w:szCs w:val="22"/>
        </w:rPr>
        <w:t>These contributions represent dedicated collections.</w:t>
      </w:r>
      <w:r w:rsidR="00C933B2">
        <w:rPr>
          <w:sz w:val="22"/>
          <w:szCs w:val="22"/>
        </w:rPr>
        <w:t xml:space="preserve"> </w:t>
      </w:r>
      <w:bookmarkStart w:id="230" w:name="_Hlk87352214"/>
      <w:r>
        <w:rPr>
          <w:sz w:val="22"/>
          <w:szCs w:val="22"/>
        </w:rPr>
        <w:t>In addition to contributions, non-exchanged revenues also include fines, penalties, and interest.</w:t>
      </w:r>
      <w:r w:rsidR="00C933B2">
        <w:rPr>
          <w:sz w:val="22"/>
          <w:szCs w:val="22"/>
        </w:rPr>
        <w:t xml:space="preserve"> </w:t>
      </w:r>
      <w:r>
        <w:rPr>
          <w:sz w:val="22"/>
          <w:szCs w:val="22"/>
        </w:rPr>
        <w:t>Non-exchanged revenues earned in FY 2021</w:t>
      </w:r>
      <w:bookmarkEnd w:id="230"/>
      <w:r>
        <w:rPr>
          <w:sz w:val="22"/>
          <w:szCs w:val="22"/>
        </w:rPr>
        <w:t xml:space="preserve"> were </w:t>
      </w:r>
      <w:r w:rsidRPr="00DC494C">
        <w:rPr>
          <w:sz w:val="22"/>
          <w:szCs w:val="22"/>
        </w:rPr>
        <w:t>$</w:t>
      </w:r>
      <w:r>
        <w:rPr>
          <w:sz w:val="22"/>
          <w:szCs w:val="22"/>
        </w:rPr>
        <w:t>9,292,814 by USF</w:t>
      </w:r>
      <w:r w:rsidRPr="00BA1E56">
        <w:rPr>
          <w:sz w:val="22"/>
          <w:szCs w:val="22"/>
        </w:rPr>
        <w:t xml:space="preserve"> and </w:t>
      </w:r>
      <w:r w:rsidRPr="00DC494C">
        <w:rPr>
          <w:sz w:val="22"/>
          <w:szCs w:val="22"/>
        </w:rPr>
        <w:t>$1</w:t>
      </w:r>
      <w:r>
        <w:rPr>
          <w:sz w:val="22"/>
          <w:szCs w:val="22"/>
        </w:rPr>
        <w:t>,557,109</w:t>
      </w:r>
      <w:r w:rsidRPr="00BA1E56">
        <w:rPr>
          <w:sz w:val="22"/>
          <w:szCs w:val="22"/>
        </w:rPr>
        <w:t xml:space="preserve"> by TRS.</w:t>
      </w:r>
      <w:r w:rsidR="00C933B2">
        <w:rPr>
          <w:sz w:val="22"/>
          <w:szCs w:val="22"/>
        </w:rPr>
        <w:t xml:space="preserve"> </w:t>
      </w:r>
      <w:r>
        <w:rPr>
          <w:sz w:val="22"/>
          <w:szCs w:val="22"/>
        </w:rPr>
        <w:t xml:space="preserve">Non-exchanged revenues earned in FY 2020 were </w:t>
      </w:r>
      <w:r w:rsidRPr="00BA1E56">
        <w:rPr>
          <w:sz w:val="22"/>
          <w:szCs w:val="22"/>
        </w:rPr>
        <w:t>$7,</w:t>
      </w:r>
      <w:r>
        <w:rPr>
          <w:sz w:val="22"/>
          <w:szCs w:val="22"/>
        </w:rPr>
        <w:t>815,880</w:t>
      </w:r>
      <w:r w:rsidRPr="00BA1E56">
        <w:rPr>
          <w:sz w:val="22"/>
          <w:szCs w:val="22"/>
        </w:rPr>
        <w:t xml:space="preserve"> by USF and $1,</w:t>
      </w:r>
      <w:r>
        <w:rPr>
          <w:sz w:val="22"/>
          <w:szCs w:val="22"/>
        </w:rPr>
        <w:t>455,781</w:t>
      </w:r>
      <w:r w:rsidRPr="00BA1E56">
        <w:rPr>
          <w:sz w:val="22"/>
          <w:szCs w:val="22"/>
        </w:rPr>
        <w:t xml:space="preserve"> by TRS.</w:t>
      </w:r>
      <w:r w:rsidR="00C933B2">
        <w:rPr>
          <w:sz w:val="22"/>
          <w:szCs w:val="22"/>
        </w:rPr>
        <w:t xml:space="preserve"> </w:t>
      </w:r>
      <w:r w:rsidRPr="00BA1E56">
        <w:rPr>
          <w:sz w:val="22"/>
          <w:szCs w:val="22"/>
        </w:rPr>
        <w:t xml:space="preserve">For more information, refer to Note </w:t>
      </w:r>
      <w:r>
        <w:rPr>
          <w:sz w:val="22"/>
          <w:szCs w:val="22"/>
        </w:rPr>
        <w:t>9 and Note 20</w:t>
      </w:r>
      <w:r w:rsidRPr="00BA1E56">
        <w:rPr>
          <w:sz w:val="22"/>
          <w:szCs w:val="22"/>
        </w:rPr>
        <w:t>.</w:t>
      </w:r>
    </w:p>
    <w:p w:rsidR="00285D06" w:rsidP="00790CF0" w14:paraId="1DD61C92" w14:textId="093DDB59">
      <w:pPr>
        <w:spacing w:after="240"/>
        <w:jc w:val="both"/>
        <w:rPr>
          <w:sz w:val="22"/>
          <w:szCs w:val="22"/>
        </w:rPr>
      </w:pPr>
      <w:bookmarkStart w:id="231" w:name="_Hlk75776469"/>
      <w:r w:rsidRPr="00957F00">
        <w:rPr>
          <w:sz w:val="22"/>
          <w:szCs w:val="22"/>
          <w:u w:val="single"/>
        </w:rPr>
        <w:t>Appropriations (Financing Source)</w:t>
      </w:r>
      <w:r w:rsidRPr="00957F00">
        <w:rPr>
          <w:sz w:val="22"/>
          <w:szCs w:val="22"/>
        </w:rPr>
        <w:t xml:space="preserve"> – </w:t>
      </w:r>
      <w:r w:rsidRPr="28223BF4">
        <w:rPr>
          <w:sz w:val="22"/>
          <w:szCs w:val="22"/>
        </w:rPr>
        <w:t>The Commission receives a Salaries and Expense appropriation from Congress.</w:t>
      </w:r>
      <w:r w:rsidR="00C933B2">
        <w:rPr>
          <w:sz w:val="22"/>
          <w:szCs w:val="22"/>
        </w:rPr>
        <w:t xml:space="preserve"> </w:t>
      </w:r>
      <w:r w:rsidRPr="28223BF4">
        <w:rPr>
          <w:sz w:val="22"/>
          <w:szCs w:val="22"/>
        </w:rPr>
        <w:t xml:space="preserve">These funds are used to pay for operations during the fiscal year and are repaid to the Treasury </w:t>
      </w:r>
      <w:r w:rsidRPr="003926D4">
        <w:rPr>
          <w:sz w:val="22"/>
          <w:szCs w:val="22"/>
        </w:rPr>
        <w:t>once regulatory fees are collected.</w:t>
      </w:r>
      <w:r w:rsidR="00C933B2">
        <w:rPr>
          <w:sz w:val="22"/>
          <w:szCs w:val="22"/>
        </w:rPr>
        <w:t xml:space="preserve"> </w:t>
      </w:r>
      <w:r w:rsidRPr="003926D4">
        <w:rPr>
          <w:sz w:val="22"/>
          <w:szCs w:val="22"/>
        </w:rPr>
        <w:t>Since FY 2014, Congress has authorized the Commission to retain its appropriation as available until expended.</w:t>
      </w:r>
      <w:r w:rsidR="00C933B2">
        <w:rPr>
          <w:sz w:val="22"/>
          <w:szCs w:val="22"/>
        </w:rPr>
        <w:t xml:space="preserve"> </w:t>
      </w:r>
      <w:r w:rsidRPr="003926D4">
        <w:rPr>
          <w:sz w:val="22"/>
          <w:szCs w:val="22"/>
        </w:rPr>
        <w:t>The Commission’s no-year appropriations were $374,000 for FY 2021,</w:t>
      </w:r>
      <w:r>
        <w:rPr>
          <w:sz w:val="22"/>
          <w:szCs w:val="22"/>
        </w:rPr>
        <w:t xml:space="preserve"> </w:t>
      </w:r>
      <w:r w:rsidRPr="003926D4">
        <w:rPr>
          <w:sz w:val="22"/>
          <w:szCs w:val="22"/>
        </w:rPr>
        <w:t>which includes $33,000 specifically dedicated to implement the requirements of the Broadband Deployment Accuracy and Technological Availability Act (Broadband DATA Act), and $339,000 for FY 2020.</w:t>
      </w:r>
      <w:r w:rsidR="00C933B2">
        <w:rPr>
          <w:sz w:val="22"/>
          <w:szCs w:val="22"/>
        </w:rPr>
        <w:t xml:space="preserve"> </w:t>
      </w:r>
      <w:r w:rsidRPr="003926D4">
        <w:rPr>
          <w:sz w:val="22"/>
          <w:szCs w:val="22"/>
        </w:rPr>
        <w:t>In FY 2021, Consolidated Appropriations Act, 2021, Division N - Additional Coronavirus Response and Relief, 2021 P.L. 116-260, (Division N) appropriated an additional $249,950 to the Commission’s COVID-19 Telehealth Program (Round 2) to help health care providers provide telehealth services to patients at their homes or mobile locations in response to the COVID-19 pandemic.</w:t>
      </w:r>
      <w:r w:rsidR="00C933B2">
        <w:rPr>
          <w:sz w:val="22"/>
          <w:szCs w:val="22"/>
        </w:rPr>
        <w:t xml:space="preserve"> </w:t>
      </w:r>
      <w:r w:rsidRPr="003926D4">
        <w:rPr>
          <w:sz w:val="22"/>
          <w:szCs w:val="22"/>
        </w:rPr>
        <w:t>In FY 2020, the COVID-19 Telehealth Program (Round 1) was funded through a $200,000 appropriation as part of the Coronavirus Aid, Relief, and Economic Security (CARES) Act.</w:t>
      </w:r>
      <w:r w:rsidR="00C933B2">
        <w:rPr>
          <w:sz w:val="22"/>
          <w:szCs w:val="22"/>
        </w:rPr>
        <w:t xml:space="preserve"> </w:t>
      </w:r>
      <w:r w:rsidRPr="003926D4">
        <w:rPr>
          <w:sz w:val="22"/>
          <w:szCs w:val="22"/>
        </w:rPr>
        <w:t>In FY 2021, The Consolidated Appropriations Act, 2021, Division N, authorized additional $65,000 for the Broadband DATA Act implementation.</w:t>
      </w:r>
      <w:r w:rsidR="00C933B2">
        <w:rPr>
          <w:sz w:val="22"/>
          <w:szCs w:val="22"/>
        </w:rPr>
        <w:t xml:space="preserve"> </w:t>
      </w:r>
      <w:r w:rsidRPr="003926D4">
        <w:rPr>
          <w:sz w:val="22"/>
          <w:szCs w:val="22"/>
        </w:rPr>
        <w:t xml:space="preserve">The Broadband DATA Act, among other things, requires the FCC to collect standardized, granular data on the availability </w:t>
      </w:r>
      <w:r w:rsidRPr="28223BF4">
        <w:rPr>
          <w:sz w:val="22"/>
          <w:szCs w:val="22"/>
        </w:rPr>
        <w:t>and quality of both fixed and mobile broadband Internet access services,</w:t>
      </w:r>
      <w:r>
        <w:rPr>
          <w:sz w:val="22"/>
          <w:szCs w:val="22"/>
        </w:rPr>
        <w:t xml:space="preserve"> </w:t>
      </w:r>
      <w:r w:rsidRPr="28223BF4">
        <w:rPr>
          <w:sz w:val="22"/>
          <w:szCs w:val="22"/>
        </w:rPr>
        <w:t>to create publicly available coverage maps, to establish processes for members of the public and other entities to challenge and verify the coverage maps, and to create a common dataset of all locations</w:t>
      </w:r>
      <w:r>
        <w:rPr>
          <w:sz w:val="22"/>
          <w:szCs w:val="22"/>
        </w:rPr>
        <w:t xml:space="preserve"> </w:t>
      </w:r>
      <w:r w:rsidRPr="00934B5F">
        <w:rPr>
          <w:sz w:val="22"/>
          <w:szCs w:val="22"/>
        </w:rPr>
        <w:t>where</w:t>
      </w:r>
      <w:r>
        <w:rPr>
          <w:sz w:val="22"/>
          <w:szCs w:val="22"/>
        </w:rPr>
        <w:t xml:space="preserve"> </w:t>
      </w:r>
    </w:p>
    <w:p w:rsidR="00285D06" w:rsidP="00454548" w14:paraId="7FE5B1CA" w14:textId="77777777">
      <w:pPr>
        <w:spacing w:after="260"/>
        <w:jc w:val="both"/>
        <w:rPr>
          <w:b/>
          <w:sz w:val="22"/>
          <w:szCs w:val="22"/>
        </w:rPr>
      </w:pPr>
      <w:r w:rsidRPr="00BA1E56">
        <w:rPr>
          <w:b/>
          <w:sz w:val="22"/>
          <w:szCs w:val="22"/>
        </w:rPr>
        <w:t>Note 1 – Summary of Significant Accounting Policies (continued)</w:t>
      </w:r>
    </w:p>
    <w:p w:rsidR="00285D06" w:rsidRPr="00BA1E56" w:rsidP="009A35F9" w14:paraId="738E9CB4" w14:textId="7F2D7999">
      <w:pPr>
        <w:pStyle w:val="ListParagraph"/>
        <w:numPr>
          <w:ilvl w:val="0"/>
          <w:numId w:val="28"/>
        </w:numPr>
        <w:spacing w:after="260"/>
        <w:ind w:left="360"/>
        <w:rPr>
          <w:b/>
          <w:bCs/>
          <w:sz w:val="22"/>
          <w:szCs w:val="22"/>
        </w:rPr>
      </w:pPr>
      <w:r>
        <w:rPr>
          <w:b/>
          <w:bCs/>
          <w:sz w:val="22"/>
          <w:szCs w:val="22"/>
        </w:rPr>
        <w:t>Exchange Revenue, Non-Exchange Revenue, and Financing Source</w:t>
      </w:r>
      <w:r w:rsidRPr="00BA1E56">
        <w:rPr>
          <w:b/>
          <w:bCs/>
          <w:sz w:val="22"/>
          <w:szCs w:val="22"/>
        </w:rPr>
        <w:t xml:space="preserve"> (continued)</w:t>
      </w:r>
    </w:p>
    <w:p w:rsidR="00285D06" w:rsidP="00454548" w14:paraId="4D200848" w14:textId="1300BC91">
      <w:pPr>
        <w:spacing w:after="260"/>
        <w:jc w:val="both"/>
        <w:rPr>
          <w:sz w:val="22"/>
          <w:szCs w:val="22"/>
        </w:rPr>
      </w:pPr>
      <w:r w:rsidRPr="00934B5F">
        <w:rPr>
          <w:sz w:val="22"/>
          <w:szCs w:val="22"/>
        </w:rPr>
        <w:t>fixed broadband Internet access service can be installed.</w:t>
      </w:r>
      <w:r w:rsidR="00C933B2">
        <w:rPr>
          <w:sz w:val="22"/>
          <w:szCs w:val="22"/>
        </w:rPr>
        <w:t xml:space="preserve"> </w:t>
      </w:r>
      <w:r w:rsidRPr="00957F00">
        <w:rPr>
          <w:sz w:val="22"/>
          <w:szCs w:val="22"/>
        </w:rPr>
        <w:t>Regulatory fee collections fully funded the non-</w:t>
      </w:r>
      <w:r>
        <w:rPr>
          <w:sz w:val="22"/>
          <w:szCs w:val="22"/>
        </w:rPr>
        <w:t xml:space="preserve">Division N </w:t>
      </w:r>
      <w:r w:rsidRPr="00957F00">
        <w:rPr>
          <w:sz w:val="22"/>
          <w:szCs w:val="22"/>
        </w:rPr>
        <w:t>no-year appropriations for FY 2021 and FY 2020.</w:t>
      </w:r>
    </w:p>
    <w:p w:rsidR="00285D06" w:rsidP="00454548" w14:paraId="225F97EC" w14:textId="503C39D4">
      <w:pPr>
        <w:autoSpaceDE w:val="0"/>
        <w:autoSpaceDN w:val="0"/>
        <w:adjustRightInd w:val="0"/>
        <w:spacing w:after="260"/>
        <w:jc w:val="both"/>
        <w:rPr>
          <w:sz w:val="22"/>
          <w:szCs w:val="22"/>
        </w:rPr>
      </w:pPr>
      <w:r>
        <w:rPr>
          <w:sz w:val="22"/>
          <w:szCs w:val="22"/>
        </w:rPr>
        <w:t xml:space="preserve">In FY 2021, the EBCF-EBBP, ECF and the </w:t>
      </w:r>
      <w:r w:rsidRPr="00045658">
        <w:rPr>
          <w:sz w:val="22"/>
          <w:szCs w:val="22"/>
        </w:rPr>
        <w:t>Secure and Trusted Communications Networks</w:t>
      </w:r>
      <w:r>
        <w:rPr>
          <w:sz w:val="22"/>
          <w:szCs w:val="22"/>
        </w:rPr>
        <w:t xml:space="preserve"> Reimbursement Program (S&amp;T Networks) were established and funded by Congressional appropriations.</w:t>
      </w:r>
      <w:r w:rsidR="00C933B2">
        <w:rPr>
          <w:sz w:val="22"/>
          <w:szCs w:val="22"/>
        </w:rPr>
        <w:t xml:space="preserve"> </w:t>
      </w:r>
      <w:r>
        <w:rPr>
          <w:sz w:val="22"/>
          <w:szCs w:val="22"/>
        </w:rPr>
        <w:t>For more information on the EBCF-EBBP and ECF see Note 18, and Note 1 P for the S&amp;T Networks.</w:t>
      </w:r>
    </w:p>
    <w:bookmarkEnd w:id="231"/>
    <w:p w:rsidR="00285D06" w:rsidRPr="00BA1E56" w:rsidP="00454548" w14:paraId="57C777B5" w14:textId="11722262">
      <w:pPr>
        <w:spacing w:after="260"/>
        <w:jc w:val="both"/>
        <w:rPr>
          <w:sz w:val="22"/>
          <w:szCs w:val="22"/>
        </w:rPr>
      </w:pPr>
      <w:r w:rsidRPr="00BA1E56">
        <w:rPr>
          <w:sz w:val="22"/>
          <w:szCs w:val="22"/>
          <w:u w:val="single"/>
        </w:rPr>
        <w:t>Subsidy Estimates and Re-estimates (Financing Source)</w:t>
      </w:r>
      <w:r w:rsidRPr="00BA1E56">
        <w:rPr>
          <w:sz w:val="22"/>
          <w:szCs w:val="22"/>
        </w:rPr>
        <w:t xml:space="preserve"> – The Fair Credit Reporting Act (FCRA) of 1990, as amended, governs the reporting requirements for direct loan obligations made after FY 1991.</w:t>
      </w:r>
      <w:r w:rsidR="00C933B2">
        <w:rPr>
          <w:sz w:val="22"/>
          <w:szCs w:val="22"/>
        </w:rPr>
        <w:t xml:space="preserve"> </w:t>
      </w:r>
      <w:r w:rsidRPr="00BA1E56">
        <w:rPr>
          <w:sz w:val="22"/>
          <w:szCs w:val="22"/>
        </w:rPr>
        <w:t>As required, the Commission coordinates with OMB in developing estimation guidelines, regulations, and the criteria used in calculating the subsidy estimates and re-estimates.</w:t>
      </w:r>
      <w:r w:rsidR="00C933B2">
        <w:rPr>
          <w:sz w:val="22"/>
          <w:szCs w:val="22"/>
        </w:rPr>
        <w:t xml:space="preserve"> </w:t>
      </w:r>
      <w:r w:rsidRPr="00BA1E56">
        <w:rPr>
          <w:sz w:val="22"/>
          <w:szCs w:val="22"/>
        </w:rPr>
        <w:t xml:space="preserve">The most recent subsidy re-estimate was completed </w:t>
      </w:r>
      <w:r>
        <w:rPr>
          <w:sz w:val="22"/>
          <w:szCs w:val="22"/>
        </w:rPr>
        <w:t>on</w:t>
      </w:r>
      <w:r w:rsidRPr="00BA1E56">
        <w:rPr>
          <w:sz w:val="22"/>
          <w:szCs w:val="22"/>
        </w:rPr>
        <w:t xml:space="preserve"> September 30, 2015</w:t>
      </w:r>
      <w:r>
        <w:rPr>
          <w:sz w:val="22"/>
          <w:szCs w:val="22"/>
        </w:rPr>
        <w:t>.</w:t>
      </w:r>
      <w:r w:rsidR="00C933B2">
        <w:rPr>
          <w:sz w:val="22"/>
          <w:szCs w:val="22"/>
        </w:rPr>
        <w:t xml:space="preserve"> </w:t>
      </w:r>
      <w:r>
        <w:rPr>
          <w:sz w:val="22"/>
          <w:szCs w:val="22"/>
        </w:rPr>
        <w:t xml:space="preserve">Since there are no active loans, </w:t>
      </w:r>
      <w:r w:rsidRPr="00BA1E56">
        <w:rPr>
          <w:sz w:val="22"/>
          <w:szCs w:val="22"/>
        </w:rPr>
        <w:t>OMB</w:t>
      </w:r>
      <w:r>
        <w:rPr>
          <w:sz w:val="22"/>
          <w:szCs w:val="22"/>
        </w:rPr>
        <w:t xml:space="preserve"> has</w:t>
      </w:r>
      <w:r w:rsidRPr="00BA1E56">
        <w:rPr>
          <w:sz w:val="22"/>
          <w:szCs w:val="22"/>
        </w:rPr>
        <w:t xml:space="preserve"> waived the requirement to perform subsidy re-estimate in FY </w:t>
      </w:r>
      <w:r>
        <w:rPr>
          <w:sz w:val="22"/>
          <w:szCs w:val="22"/>
        </w:rPr>
        <w:t>2021</w:t>
      </w:r>
      <w:r w:rsidRPr="00BA1E56">
        <w:rPr>
          <w:sz w:val="22"/>
          <w:szCs w:val="22"/>
        </w:rPr>
        <w:t xml:space="preserve"> and FY </w:t>
      </w:r>
      <w:r>
        <w:rPr>
          <w:sz w:val="22"/>
          <w:szCs w:val="22"/>
        </w:rPr>
        <w:t>2020</w:t>
      </w:r>
      <w:r w:rsidRPr="00BA1E56">
        <w:rPr>
          <w:sz w:val="22"/>
          <w:szCs w:val="22"/>
        </w:rPr>
        <w:t>.</w:t>
      </w:r>
    </w:p>
    <w:p w:rsidR="00285D06" w:rsidRPr="00BA1E56" w:rsidP="009A35F9" w14:paraId="6329EDF2" w14:textId="427CF881">
      <w:pPr>
        <w:pStyle w:val="Heading5"/>
        <w:numPr>
          <w:ilvl w:val="0"/>
          <w:numId w:val="28"/>
        </w:numPr>
        <w:spacing w:after="260"/>
        <w:ind w:left="360"/>
      </w:pPr>
      <w:bookmarkStart w:id="232" w:name="_Toc88780690"/>
      <w:r w:rsidRPr="00E82AC6">
        <w:rPr>
          <w:sz w:val="22"/>
          <w:szCs w:val="22"/>
        </w:rPr>
        <w:t>Reprogramming</w:t>
      </w:r>
      <w:bookmarkEnd w:id="232"/>
    </w:p>
    <w:p w:rsidR="00285D06" w:rsidP="00454548" w14:paraId="692ABC2C" w14:textId="2DC87A6E">
      <w:pPr>
        <w:spacing w:after="260"/>
        <w:jc w:val="both"/>
        <w:rPr>
          <w:sz w:val="22"/>
          <w:szCs w:val="22"/>
        </w:rPr>
      </w:pPr>
      <w:r>
        <w:rPr>
          <w:sz w:val="22"/>
          <w:szCs w:val="22"/>
        </w:rPr>
        <w:t>For</w:t>
      </w:r>
      <w:r w:rsidRPr="33B14630">
        <w:rPr>
          <w:sz w:val="22"/>
          <w:szCs w:val="22"/>
        </w:rPr>
        <w:t xml:space="preserve"> the </w:t>
      </w:r>
      <w:r w:rsidRPr="28223BF4">
        <w:rPr>
          <w:sz w:val="22"/>
          <w:szCs w:val="22"/>
        </w:rPr>
        <w:t>year ended</w:t>
      </w:r>
      <w:r w:rsidRPr="33B14630">
        <w:rPr>
          <w:sz w:val="22"/>
          <w:szCs w:val="22"/>
        </w:rPr>
        <w:t xml:space="preserve"> September 30, 2021, the Commission</w:t>
      </w:r>
      <w:r>
        <w:rPr>
          <w:sz w:val="22"/>
          <w:szCs w:val="22"/>
        </w:rPr>
        <w:t xml:space="preserve"> did not receive all approvals for</w:t>
      </w:r>
      <w:r w:rsidRPr="33B14630">
        <w:rPr>
          <w:sz w:val="22"/>
          <w:szCs w:val="22"/>
        </w:rPr>
        <w:t xml:space="preserve"> reprogramming of prior year de-obligated funds</w:t>
      </w:r>
      <w:r>
        <w:rPr>
          <w:sz w:val="22"/>
          <w:szCs w:val="22"/>
        </w:rPr>
        <w:t>.</w:t>
      </w:r>
      <w:r w:rsidR="00C933B2">
        <w:rPr>
          <w:sz w:val="22"/>
          <w:szCs w:val="22"/>
        </w:rPr>
        <w:t xml:space="preserve"> </w:t>
      </w:r>
      <w:r>
        <w:rPr>
          <w:sz w:val="22"/>
          <w:szCs w:val="22"/>
        </w:rPr>
        <w:t>In FY 2020,</w:t>
      </w:r>
      <w:r w:rsidRPr="33B14630">
        <w:rPr>
          <w:sz w:val="22"/>
          <w:szCs w:val="22"/>
        </w:rPr>
        <w:t xml:space="preserve"> </w:t>
      </w:r>
      <w:r>
        <w:rPr>
          <w:sz w:val="22"/>
          <w:szCs w:val="22"/>
        </w:rPr>
        <w:t>t</w:t>
      </w:r>
      <w:r w:rsidRPr="33B14630">
        <w:rPr>
          <w:sz w:val="22"/>
          <w:szCs w:val="22"/>
        </w:rPr>
        <w:t>he Commission did not request any reprogramming of prior year de-obligated funds.</w:t>
      </w:r>
    </w:p>
    <w:p w:rsidR="00285D06" w:rsidRPr="004702CD" w:rsidP="009A35F9" w14:paraId="392524C3" w14:textId="39831B70">
      <w:pPr>
        <w:pStyle w:val="Heading5"/>
        <w:numPr>
          <w:ilvl w:val="0"/>
          <w:numId w:val="28"/>
        </w:numPr>
        <w:spacing w:after="260"/>
        <w:ind w:left="360"/>
        <w:rPr>
          <w:sz w:val="22"/>
          <w:szCs w:val="22"/>
        </w:rPr>
      </w:pPr>
      <w:bookmarkStart w:id="233" w:name="_Toc88780691"/>
      <w:r w:rsidRPr="004702CD">
        <w:rPr>
          <w:sz w:val="22"/>
          <w:szCs w:val="22"/>
        </w:rPr>
        <w:t>Net Position</w:t>
      </w:r>
      <w:bookmarkEnd w:id="233"/>
    </w:p>
    <w:p w:rsidR="00285D06" w:rsidRPr="00BA1E56" w:rsidP="00454548" w14:paraId="5D5198F6" w14:textId="52C900E3">
      <w:pPr>
        <w:spacing w:after="260"/>
        <w:jc w:val="both"/>
        <w:rPr>
          <w:sz w:val="22"/>
          <w:szCs w:val="22"/>
        </w:rPr>
      </w:pPr>
      <w:r w:rsidRPr="00BA1E56">
        <w:rPr>
          <w:sz w:val="22"/>
          <w:szCs w:val="22"/>
        </w:rPr>
        <w:t>Net Position is the residual difference between assets and liabilities and is comprised of Unexpended Appropriations and Cumulative Results of Operations.</w:t>
      </w:r>
      <w:r w:rsidR="00C933B2">
        <w:rPr>
          <w:sz w:val="22"/>
          <w:szCs w:val="22"/>
        </w:rPr>
        <w:t xml:space="preserve"> </w:t>
      </w:r>
      <w:r w:rsidRPr="00BA1E56">
        <w:rPr>
          <w:sz w:val="22"/>
          <w:szCs w:val="22"/>
        </w:rPr>
        <w:t>Unexpended Appropriations represents the amount of unobligated and unexpended budget authority.</w:t>
      </w:r>
      <w:r w:rsidR="00C933B2">
        <w:rPr>
          <w:sz w:val="22"/>
          <w:szCs w:val="22"/>
        </w:rPr>
        <w:t xml:space="preserve"> </w:t>
      </w:r>
      <w:r w:rsidRPr="00BA1E56">
        <w:rPr>
          <w:sz w:val="22"/>
          <w:szCs w:val="22"/>
        </w:rPr>
        <w:t>Unobligated Balance is the amount of appropriations or other authority remaining after deducting the cumulative obligations from the amount available for obligation.</w:t>
      </w:r>
      <w:r w:rsidR="00C933B2">
        <w:rPr>
          <w:sz w:val="22"/>
          <w:szCs w:val="22"/>
        </w:rPr>
        <w:t xml:space="preserve"> </w:t>
      </w:r>
      <w:r w:rsidRPr="00BA1E56">
        <w:rPr>
          <w:sz w:val="22"/>
          <w:szCs w:val="22"/>
        </w:rPr>
        <w:t>Cumulative Results of Operations is the net difference since the inception of the Commission of (1) expenses and losses and (2) financing sources including appropriations used, revenues, and gains.</w:t>
      </w:r>
      <w:r w:rsidR="00C933B2">
        <w:rPr>
          <w:sz w:val="22"/>
          <w:szCs w:val="22"/>
        </w:rPr>
        <w:t xml:space="preserve"> </w:t>
      </w:r>
      <w:r w:rsidRPr="00BA1E56">
        <w:rPr>
          <w:sz w:val="22"/>
          <w:szCs w:val="22"/>
        </w:rPr>
        <w:t xml:space="preserve">Net position of funds from dedicated collections is separately disclosed in Note </w:t>
      </w:r>
      <w:r>
        <w:rPr>
          <w:sz w:val="22"/>
          <w:szCs w:val="22"/>
        </w:rPr>
        <w:t>9</w:t>
      </w:r>
      <w:r w:rsidRPr="00BA1E56">
        <w:rPr>
          <w:sz w:val="22"/>
          <w:szCs w:val="22"/>
        </w:rPr>
        <w:t>.</w:t>
      </w:r>
    </w:p>
    <w:p w:rsidR="00285D06" w:rsidRPr="004702CD" w:rsidP="009A35F9" w14:paraId="47CD3378" w14:textId="10FB8A4B">
      <w:pPr>
        <w:pStyle w:val="Heading5"/>
        <w:numPr>
          <w:ilvl w:val="0"/>
          <w:numId w:val="28"/>
        </w:numPr>
        <w:spacing w:after="260"/>
        <w:ind w:left="360"/>
        <w:rPr>
          <w:sz w:val="22"/>
          <w:szCs w:val="22"/>
        </w:rPr>
      </w:pPr>
      <w:bookmarkStart w:id="234" w:name="_Toc88780692"/>
      <w:bookmarkStart w:id="235" w:name="_Hlk14245902"/>
      <w:r w:rsidRPr="004702CD">
        <w:rPr>
          <w:sz w:val="22"/>
          <w:szCs w:val="22"/>
        </w:rPr>
        <w:t>Broadcast Incentive Auction</w:t>
      </w:r>
      <w:bookmarkEnd w:id="234"/>
    </w:p>
    <w:p w:rsidR="00285D06" w:rsidRPr="00BA1E56" w:rsidP="00454548" w14:paraId="7465437C" w14:textId="64507513">
      <w:pPr>
        <w:spacing w:after="260"/>
        <w:jc w:val="both"/>
        <w:rPr>
          <w:bCs/>
          <w:sz w:val="22"/>
          <w:szCs w:val="22"/>
        </w:rPr>
      </w:pPr>
      <w:r w:rsidRPr="00BA1E56">
        <w:rPr>
          <w:sz w:val="22"/>
          <w:szCs w:val="22"/>
        </w:rPr>
        <w:t>The Broadcast Incentive Auction (BIA) was authorized by provisions in Title VI of the Middle Class Tax Relief and Job Creation Act of 2012, P.L. 112-96 (Spectrum Act).</w:t>
      </w:r>
      <w:r w:rsidR="00C933B2">
        <w:rPr>
          <w:sz w:val="22"/>
          <w:szCs w:val="22"/>
        </w:rPr>
        <w:t xml:space="preserve"> </w:t>
      </w:r>
      <w:r w:rsidRPr="00BA1E56">
        <w:rPr>
          <w:sz w:val="22"/>
          <w:szCs w:val="22"/>
        </w:rPr>
        <w:t>The Spectrum Act established the funding of the TVBRF at $1,750,000.</w:t>
      </w:r>
      <w:r w:rsidR="00C933B2">
        <w:rPr>
          <w:sz w:val="22"/>
          <w:szCs w:val="22"/>
        </w:rPr>
        <w:t xml:space="preserve"> </w:t>
      </w:r>
      <w:r w:rsidRPr="00BA1E56">
        <w:rPr>
          <w:sz w:val="22"/>
          <w:szCs w:val="22"/>
        </w:rPr>
        <w:t>The Spectrum Act requires the Commission to reimburse relocation costs reasonably incurred by full power and Class A broadcasters and MVPDs that were involuntarily reassigned to new channels as a result of the BIA.</w:t>
      </w:r>
      <w:r w:rsidR="00C933B2">
        <w:rPr>
          <w:sz w:val="22"/>
          <w:szCs w:val="22"/>
        </w:rPr>
        <w:t xml:space="preserve"> </w:t>
      </w:r>
    </w:p>
    <w:p w:rsidR="00285D06" w:rsidP="000D0A76" w14:paraId="48024C71" w14:textId="77777777">
      <w:pPr>
        <w:spacing w:after="1200"/>
        <w:jc w:val="both"/>
        <w:rPr>
          <w:bCs/>
          <w:sz w:val="22"/>
          <w:szCs w:val="22"/>
        </w:rPr>
      </w:pPr>
      <w:r w:rsidRPr="00BA1E56">
        <w:rPr>
          <w:sz w:val="22"/>
          <w:szCs w:val="22"/>
        </w:rPr>
        <w:t xml:space="preserve">Section 511 of Title V of Division E of the Consolidated Appropriations Act, 2018, P.L. 115-141, also known as the Reimbursement Expansion Act (REA), appropriated an additional $1,000,000 in new funding for the TVBRF, which increased its cap to $2,750,000 and </w:t>
      </w:r>
      <w:r w:rsidRPr="00BA1E56">
        <w:rPr>
          <w:bCs/>
          <w:sz w:val="22"/>
          <w:szCs w:val="22"/>
        </w:rPr>
        <w:t xml:space="preserve">also expanded the universe of entities eligible for reimbursement to cover the costs reasonably incurred by displaced LPTV/TV Translator to relocate or </w:t>
      </w:r>
    </w:p>
    <w:p w:rsidR="00285D06" w:rsidRPr="00BA1E56" w:rsidP="00454548" w14:paraId="29DF9142" w14:textId="77777777">
      <w:pPr>
        <w:spacing w:after="260"/>
        <w:jc w:val="both"/>
        <w:rPr>
          <w:b/>
          <w:sz w:val="22"/>
          <w:szCs w:val="22"/>
        </w:rPr>
      </w:pPr>
      <w:r w:rsidRPr="00BA1E56">
        <w:rPr>
          <w:b/>
          <w:sz w:val="22"/>
          <w:szCs w:val="22"/>
        </w:rPr>
        <w:t>Note 1 – Summary of Significant Accounting Policies (continued)</w:t>
      </w:r>
    </w:p>
    <w:p w:rsidR="00285D06" w:rsidRPr="008D6BB6" w:rsidP="008D6BB6" w14:paraId="6AE2ACD8" w14:textId="10491ED6">
      <w:pPr>
        <w:pStyle w:val="ListParagraph"/>
        <w:numPr>
          <w:ilvl w:val="0"/>
          <w:numId w:val="30"/>
        </w:numPr>
        <w:spacing w:after="260"/>
        <w:ind w:left="360"/>
        <w:rPr>
          <w:b/>
          <w:bCs/>
          <w:sz w:val="22"/>
          <w:szCs w:val="22"/>
        </w:rPr>
      </w:pPr>
      <w:r w:rsidRPr="008D6BB6">
        <w:rPr>
          <w:b/>
          <w:bCs/>
          <w:sz w:val="22"/>
          <w:szCs w:val="22"/>
        </w:rPr>
        <w:t>Broadcast Incentive Auction (continued)</w:t>
      </w:r>
    </w:p>
    <w:p w:rsidR="00285D06" w:rsidP="00454548" w14:paraId="4F8965B9" w14:textId="77777777">
      <w:pPr>
        <w:spacing w:after="260"/>
        <w:jc w:val="both"/>
        <w:rPr>
          <w:bCs/>
          <w:sz w:val="22"/>
          <w:szCs w:val="22"/>
        </w:rPr>
      </w:pPr>
      <w:r w:rsidRPr="00BA1E56">
        <w:rPr>
          <w:bCs/>
          <w:sz w:val="22"/>
          <w:szCs w:val="22"/>
        </w:rPr>
        <w:t xml:space="preserve">modify their facilities, and by FM stations to reasonably minimize disruption of their services due to the TV repacking process. </w:t>
      </w:r>
    </w:p>
    <w:p w:rsidR="00285D06" w:rsidRPr="00F67E77" w:rsidP="00454548" w14:paraId="3B9F3713" w14:textId="171D1DB3">
      <w:pPr>
        <w:spacing w:after="260"/>
        <w:jc w:val="both"/>
        <w:rPr>
          <w:sz w:val="22"/>
          <w:szCs w:val="22"/>
        </w:rPr>
      </w:pPr>
      <w:r w:rsidRPr="00BA1E56">
        <w:rPr>
          <w:sz w:val="22"/>
          <w:szCs w:val="22"/>
        </w:rPr>
        <w:t xml:space="preserve">The additional $1,000,000 in new funding was appropriated over two fiscal years, $600,000 in FY 2018 and $400,000 in FY </w:t>
      </w:r>
      <w:r>
        <w:rPr>
          <w:sz w:val="22"/>
          <w:szCs w:val="22"/>
        </w:rPr>
        <w:t>2019</w:t>
      </w:r>
      <w:r w:rsidRPr="00BA1E56">
        <w:rPr>
          <w:sz w:val="22"/>
          <w:szCs w:val="22"/>
        </w:rPr>
        <w:t>.</w:t>
      </w:r>
      <w:r w:rsidR="00C933B2">
        <w:rPr>
          <w:sz w:val="22"/>
          <w:szCs w:val="22"/>
        </w:rPr>
        <w:t xml:space="preserve"> </w:t>
      </w:r>
      <w:r w:rsidRPr="00BA1E56">
        <w:rPr>
          <w:sz w:val="22"/>
          <w:szCs w:val="22"/>
        </w:rPr>
        <w:t>For FY 2018, the REA provides for funding of not more than $350 million to reimburse full power and Class A stations, not more than $150 million for LPTV/TV Translator, and not more than $50 million for FM stations to reimburse such stations for their costs.</w:t>
      </w:r>
      <w:r w:rsidR="00C933B2">
        <w:rPr>
          <w:sz w:val="22"/>
          <w:szCs w:val="22"/>
        </w:rPr>
        <w:t xml:space="preserve"> </w:t>
      </w:r>
      <w:r w:rsidRPr="00BA1E56">
        <w:rPr>
          <w:sz w:val="22"/>
          <w:szCs w:val="22"/>
        </w:rPr>
        <w:t>The REA also provides $50 million in FY 2018 funds for the Commission to use for consumer education relating to the reorganization of broadcast television.</w:t>
      </w:r>
      <w:r w:rsidR="00C933B2">
        <w:rPr>
          <w:sz w:val="22"/>
          <w:szCs w:val="22"/>
        </w:rPr>
        <w:t xml:space="preserve"> </w:t>
      </w:r>
      <w:r w:rsidRPr="00BA1E56">
        <w:rPr>
          <w:sz w:val="22"/>
          <w:szCs w:val="22"/>
        </w:rPr>
        <w:t>The REA d</w:t>
      </w:r>
      <w:r>
        <w:rPr>
          <w:sz w:val="22"/>
          <w:szCs w:val="22"/>
        </w:rPr>
        <w:t>id</w:t>
      </w:r>
      <w:r w:rsidRPr="00BA1E56">
        <w:rPr>
          <w:sz w:val="22"/>
          <w:szCs w:val="22"/>
        </w:rPr>
        <w:t xml:space="preserve"> not expressly delineate the use of FY </w:t>
      </w:r>
      <w:r>
        <w:rPr>
          <w:sz w:val="22"/>
          <w:szCs w:val="22"/>
        </w:rPr>
        <w:t>2019</w:t>
      </w:r>
      <w:r w:rsidRPr="00BA1E56">
        <w:rPr>
          <w:sz w:val="22"/>
          <w:szCs w:val="22"/>
        </w:rPr>
        <w:t xml:space="preserve"> funds</w:t>
      </w:r>
      <w:r>
        <w:rPr>
          <w:sz w:val="22"/>
          <w:szCs w:val="22"/>
        </w:rPr>
        <w:t xml:space="preserve"> </w:t>
      </w:r>
      <w:r w:rsidRPr="00BA1E56">
        <w:rPr>
          <w:sz w:val="22"/>
          <w:szCs w:val="22"/>
        </w:rPr>
        <w:t>among the various categories of eligible recipients.</w:t>
      </w:r>
      <w:r w:rsidR="00C933B2">
        <w:rPr>
          <w:sz w:val="22"/>
          <w:szCs w:val="22"/>
        </w:rPr>
        <w:t xml:space="preserve"> </w:t>
      </w:r>
      <w:r w:rsidRPr="00BA1E56">
        <w:rPr>
          <w:sz w:val="22"/>
          <w:szCs w:val="22"/>
        </w:rPr>
        <w:t xml:space="preserve">In implementing the REA for the new universe of entities eligible for reimbursement, the Commission determined in the </w:t>
      </w:r>
      <w:r w:rsidRPr="00BA1E56">
        <w:rPr>
          <w:i/>
          <w:sz w:val="22"/>
          <w:szCs w:val="22"/>
        </w:rPr>
        <w:t>REA Report &amp; Order</w:t>
      </w:r>
      <w:r w:rsidRPr="00BA1E56">
        <w:rPr>
          <w:sz w:val="22"/>
          <w:szCs w:val="22"/>
        </w:rPr>
        <w:t xml:space="preserve">, adopted March 15, </w:t>
      </w:r>
      <w:r>
        <w:rPr>
          <w:sz w:val="22"/>
          <w:szCs w:val="22"/>
        </w:rPr>
        <w:t>2020</w:t>
      </w:r>
      <w:r w:rsidRPr="00BA1E56">
        <w:rPr>
          <w:sz w:val="22"/>
          <w:szCs w:val="22"/>
        </w:rPr>
        <w:t>, that reimbursement of full power and Class A stations and MVPDs would be prioritized</w:t>
      </w:r>
      <w:r>
        <w:rPr>
          <w:sz w:val="22"/>
          <w:szCs w:val="22"/>
        </w:rPr>
        <w:t xml:space="preserve"> </w:t>
      </w:r>
      <w:r w:rsidRPr="00BA1E56">
        <w:rPr>
          <w:sz w:val="22"/>
          <w:szCs w:val="22"/>
        </w:rPr>
        <w:t>over reimbursement of LPTV/TV Translator and FM stations</w:t>
      </w:r>
      <w:r w:rsidRPr="0044679D">
        <w:rPr>
          <w:sz w:val="22"/>
          <w:szCs w:val="22"/>
        </w:rPr>
        <w:t>.</w:t>
      </w:r>
      <w:r w:rsidR="00C933B2">
        <w:rPr>
          <w:sz w:val="22"/>
          <w:szCs w:val="22"/>
        </w:rPr>
        <w:t xml:space="preserve"> </w:t>
      </w:r>
      <w:r w:rsidRPr="0044679D">
        <w:rPr>
          <w:kern w:val="16"/>
          <w:sz w:val="22"/>
          <w:szCs w:val="22"/>
        </w:rPr>
        <w:t xml:space="preserve">As of </w:t>
      </w:r>
      <w:r>
        <w:rPr>
          <w:kern w:val="16"/>
          <w:sz w:val="22"/>
          <w:szCs w:val="22"/>
        </w:rPr>
        <w:t>September 30, 2021</w:t>
      </w:r>
      <w:r w:rsidRPr="0044679D">
        <w:rPr>
          <w:kern w:val="16"/>
          <w:sz w:val="22"/>
          <w:szCs w:val="22"/>
        </w:rPr>
        <w:t>, the Commission made a total allocation of $2,</w:t>
      </w:r>
      <w:r>
        <w:rPr>
          <w:kern w:val="16"/>
          <w:sz w:val="22"/>
          <w:szCs w:val="22"/>
        </w:rPr>
        <w:t>074,204</w:t>
      </w:r>
      <w:r w:rsidRPr="0044679D">
        <w:rPr>
          <w:kern w:val="16"/>
          <w:sz w:val="22"/>
          <w:szCs w:val="22"/>
        </w:rPr>
        <w:t xml:space="preserve"> for eligible full power and Class A broadcasters, MVPDs, </w:t>
      </w:r>
      <w:r w:rsidRPr="0044679D">
        <w:rPr>
          <w:sz w:val="22"/>
          <w:szCs w:val="22"/>
        </w:rPr>
        <w:t xml:space="preserve">LPTV/TV Translators and FM stations of which </w:t>
      </w:r>
      <w:r w:rsidRPr="0044679D">
        <w:rPr>
          <w:kern w:val="16"/>
          <w:sz w:val="22"/>
          <w:szCs w:val="22"/>
        </w:rPr>
        <w:t>$2,</w:t>
      </w:r>
      <w:r>
        <w:rPr>
          <w:kern w:val="16"/>
          <w:sz w:val="22"/>
          <w:szCs w:val="22"/>
        </w:rPr>
        <w:t>073,205</w:t>
      </w:r>
      <w:r w:rsidRPr="0044679D">
        <w:rPr>
          <w:kern w:val="16"/>
          <w:sz w:val="22"/>
          <w:szCs w:val="22"/>
        </w:rPr>
        <w:t xml:space="preserve"> has been obligated and $1,</w:t>
      </w:r>
      <w:r>
        <w:rPr>
          <w:kern w:val="16"/>
          <w:sz w:val="22"/>
          <w:szCs w:val="22"/>
        </w:rPr>
        <w:t>719,831</w:t>
      </w:r>
      <w:r w:rsidRPr="0044679D">
        <w:rPr>
          <w:kern w:val="16"/>
          <w:sz w:val="22"/>
          <w:szCs w:val="22"/>
        </w:rPr>
        <w:t xml:space="preserve"> has been expended</w:t>
      </w:r>
      <w:r w:rsidRPr="0044679D">
        <w:rPr>
          <w:bCs/>
          <w:kern w:val="16"/>
          <w:sz w:val="22"/>
          <w:szCs w:val="22"/>
        </w:rPr>
        <w:t>.</w:t>
      </w:r>
    </w:p>
    <w:p w:rsidR="00285D06" w:rsidP="00454548" w14:paraId="29EBB7EE" w14:textId="1E065524">
      <w:pPr>
        <w:spacing w:after="260"/>
        <w:jc w:val="both"/>
        <w:rPr>
          <w:sz w:val="22"/>
          <w:szCs w:val="22"/>
        </w:rPr>
      </w:pPr>
      <w:r w:rsidRPr="00BA1E56">
        <w:rPr>
          <w:sz w:val="22"/>
          <w:szCs w:val="22"/>
        </w:rPr>
        <w:t>Accrued Liabilities are recorded in the TVBRF for</w:t>
      </w:r>
      <w:r w:rsidRPr="006B7703">
        <w:rPr>
          <w:rFonts w:eastAsia="Calibri"/>
          <w:sz w:val="22"/>
          <w:szCs w:val="22"/>
        </w:rPr>
        <w:t xml:space="preserve"> </w:t>
      </w:r>
      <w:r>
        <w:rPr>
          <w:rFonts w:eastAsia="Calibri"/>
          <w:sz w:val="22"/>
          <w:szCs w:val="22"/>
        </w:rPr>
        <w:t>exchange expenses which includes</w:t>
      </w:r>
      <w:r w:rsidRPr="00BA1E56">
        <w:rPr>
          <w:sz w:val="22"/>
          <w:szCs w:val="22"/>
        </w:rPr>
        <w:t xml:space="preserve"> invoices received but not processed and for costs incurred but not invoiced.</w:t>
      </w:r>
      <w:r w:rsidR="00C933B2">
        <w:rPr>
          <w:sz w:val="22"/>
          <w:szCs w:val="22"/>
        </w:rPr>
        <w:t xml:space="preserve"> </w:t>
      </w:r>
      <w:r w:rsidRPr="00BA1E56">
        <w:rPr>
          <w:sz w:val="22"/>
          <w:szCs w:val="22"/>
        </w:rPr>
        <w:t xml:space="preserve">As of </w:t>
      </w:r>
      <w:r>
        <w:rPr>
          <w:sz w:val="22"/>
          <w:szCs w:val="22"/>
        </w:rPr>
        <w:t>September 30, 2021</w:t>
      </w:r>
      <w:r w:rsidRPr="00BA1E56">
        <w:rPr>
          <w:sz w:val="22"/>
          <w:szCs w:val="22"/>
        </w:rPr>
        <w:t xml:space="preserve">, an accrued accounts payable of </w:t>
      </w:r>
      <w:r w:rsidRPr="007132E8">
        <w:rPr>
          <w:sz w:val="22"/>
          <w:szCs w:val="22"/>
        </w:rPr>
        <w:t>$</w:t>
      </w:r>
      <w:r>
        <w:rPr>
          <w:sz w:val="22"/>
          <w:szCs w:val="22"/>
        </w:rPr>
        <w:t>87,086</w:t>
      </w:r>
      <w:r w:rsidRPr="00BA1E56">
        <w:rPr>
          <w:sz w:val="22"/>
          <w:szCs w:val="22"/>
        </w:rPr>
        <w:t xml:space="preserve"> was recorded for the full power and Class A broadcasters, MVPDs, LPTV/TV Translators and FM stations.</w:t>
      </w:r>
    </w:p>
    <w:p w:rsidR="00285D06" w:rsidRPr="00443E88" w:rsidP="008D6BB6" w14:paraId="23F792C4" w14:textId="1225E099">
      <w:pPr>
        <w:pStyle w:val="Heading5"/>
        <w:numPr>
          <w:ilvl w:val="0"/>
          <w:numId w:val="30"/>
        </w:numPr>
        <w:spacing w:after="260"/>
        <w:ind w:left="360"/>
        <w:rPr>
          <w:sz w:val="22"/>
          <w:szCs w:val="22"/>
        </w:rPr>
      </w:pPr>
      <w:bookmarkStart w:id="236" w:name="_Toc88780693"/>
      <w:r w:rsidRPr="00443E88">
        <w:rPr>
          <w:sz w:val="22"/>
          <w:szCs w:val="22"/>
        </w:rPr>
        <w:t>Secure &amp; Trusted Communications Networks Reimbursement Program (S&amp;T Networks)</w:t>
      </w:r>
      <w:bookmarkEnd w:id="236"/>
    </w:p>
    <w:p w:rsidR="00285D06" w:rsidP="00454548" w14:paraId="2BE21E64" w14:textId="47924486">
      <w:pPr>
        <w:spacing w:after="260"/>
        <w:jc w:val="both"/>
        <w:rPr>
          <w:sz w:val="22"/>
          <w:szCs w:val="22"/>
        </w:rPr>
      </w:pPr>
      <w:r w:rsidRPr="00045658">
        <w:rPr>
          <w:sz w:val="22"/>
          <w:szCs w:val="22"/>
        </w:rPr>
        <w:t>On March 12, 2020, the Secure and Trusted Communications Networks Act of 2019 (Secure Networks Act) was signed into law.</w:t>
      </w:r>
      <w:r w:rsidR="00C933B2">
        <w:rPr>
          <w:sz w:val="22"/>
          <w:szCs w:val="22"/>
        </w:rPr>
        <w:t xml:space="preserve"> </w:t>
      </w:r>
      <w:r w:rsidRPr="00045658">
        <w:rPr>
          <w:sz w:val="22"/>
          <w:szCs w:val="22"/>
        </w:rPr>
        <w:t xml:space="preserve">The Secure Networks Act, among other measures, directed the Commission to establish the Secure and Trusted Communications Networks Reimbursement Program </w:t>
      </w:r>
      <w:r>
        <w:rPr>
          <w:sz w:val="22"/>
          <w:szCs w:val="22"/>
        </w:rPr>
        <w:t>(S&amp;T Networks</w:t>
      </w:r>
      <w:r w:rsidRPr="00045658">
        <w:rPr>
          <w:sz w:val="22"/>
          <w:szCs w:val="22"/>
        </w:rPr>
        <w:t>) to fund the removal, replacement, and disposal of covered communications equipment or services that pose an unacceptable risk to the national security of the United States or the security and safety of U.S. persons from the networks of providers of advanced communications service.</w:t>
      </w:r>
      <w:r w:rsidR="00C933B2">
        <w:rPr>
          <w:sz w:val="22"/>
          <w:szCs w:val="22"/>
        </w:rPr>
        <w:t xml:space="preserve"> </w:t>
      </w:r>
      <w:r w:rsidRPr="00045658">
        <w:rPr>
          <w:sz w:val="22"/>
          <w:szCs w:val="22"/>
        </w:rPr>
        <w:t xml:space="preserve">On December 10, 2020, the </w:t>
      </w:r>
      <w:r>
        <w:rPr>
          <w:sz w:val="22"/>
          <w:szCs w:val="22"/>
        </w:rPr>
        <w:t xml:space="preserve">Commission </w:t>
      </w:r>
      <w:r w:rsidRPr="00045658">
        <w:rPr>
          <w:sz w:val="22"/>
          <w:szCs w:val="22"/>
        </w:rPr>
        <w:t xml:space="preserve">implemented the Secure Networks Act by establishing rules for the </w:t>
      </w:r>
      <w:bookmarkStart w:id="237" w:name="_Hlk85636883"/>
      <w:r>
        <w:rPr>
          <w:sz w:val="22"/>
          <w:szCs w:val="22"/>
        </w:rPr>
        <w:t>S&amp;T Networks</w:t>
      </w:r>
      <w:bookmarkEnd w:id="237"/>
      <w:r w:rsidRPr="00045658">
        <w:rPr>
          <w:sz w:val="22"/>
          <w:szCs w:val="22"/>
        </w:rPr>
        <w:t>.</w:t>
      </w:r>
      <w:r w:rsidR="00C933B2">
        <w:rPr>
          <w:sz w:val="22"/>
          <w:szCs w:val="22"/>
        </w:rPr>
        <w:t xml:space="preserve"> </w:t>
      </w:r>
      <w:r w:rsidRPr="00045658">
        <w:rPr>
          <w:sz w:val="22"/>
          <w:szCs w:val="22"/>
        </w:rPr>
        <w:t xml:space="preserve">The </w:t>
      </w:r>
      <w:bookmarkStart w:id="238" w:name="_Hlk85690965"/>
      <w:r>
        <w:rPr>
          <w:sz w:val="22"/>
          <w:szCs w:val="22"/>
        </w:rPr>
        <w:t>S&amp;T Networks</w:t>
      </w:r>
      <w:r w:rsidRPr="00045658">
        <w:rPr>
          <w:sz w:val="22"/>
          <w:szCs w:val="22"/>
        </w:rPr>
        <w:t xml:space="preserve"> </w:t>
      </w:r>
      <w:bookmarkEnd w:id="238"/>
      <w:r w:rsidRPr="00045658">
        <w:rPr>
          <w:sz w:val="22"/>
          <w:szCs w:val="22"/>
        </w:rPr>
        <w:t>will provide funding allocations to eligible providers based on their estimated costs.</w:t>
      </w:r>
      <w:r w:rsidR="00C933B2">
        <w:rPr>
          <w:sz w:val="22"/>
          <w:szCs w:val="22"/>
        </w:rPr>
        <w:t xml:space="preserve"> </w:t>
      </w:r>
      <w:r>
        <w:rPr>
          <w:sz w:val="22"/>
          <w:szCs w:val="22"/>
        </w:rPr>
        <w:t>S&amp;T Networks</w:t>
      </w:r>
      <w:r w:rsidRPr="00045658">
        <w:rPr>
          <w:sz w:val="22"/>
          <w:szCs w:val="22"/>
        </w:rPr>
        <w:t xml:space="preserve"> recipients can then obtain funding disbursements from their allocation upon showing of actual expenses incurred.</w:t>
      </w:r>
      <w:r w:rsidR="00C933B2">
        <w:rPr>
          <w:sz w:val="22"/>
          <w:szCs w:val="22"/>
        </w:rPr>
        <w:t xml:space="preserve"> </w:t>
      </w:r>
      <w:r>
        <w:rPr>
          <w:sz w:val="22"/>
          <w:szCs w:val="22"/>
        </w:rPr>
        <w:t>S&amp;T Networks</w:t>
      </w:r>
      <w:r w:rsidRPr="00045658">
        <w:rPr>
          <w:sz w:val="22"/>
          <w:szCs w:val="22"/>
        </w:rPr>
        <w:t xml:space="preserve"> recipients will have one year from the initial disbursement to complete the permanent removal, replacement, and disposal of covered communications equipment or services with the potential for a general and individual extensions of time.</w:t>
      </w:r>
      <w:r w:rsidR="00C933B2">
        <w:rPr>
          <w:sz w:val="22"/>
          <w:szCs w:val="22"/>
        </w:rPr>
        <w:t xml:space="preserve"> </w:t>
      </w:r>
      <w:r w:rsidRPr="00045658">
        <w:rPr>
          <w:sz w:val="22"/>
          <w:szCs w:val="22"/>
        </w:rPr>
        <w:t xml:space="preserve">Recipients of </w:t>
      </w:r>
      <w:r>
        <w:rPr>
          <w:sz w:val="22"/>
          <w:szCs w:val="22"/>
        </w:rPr>
        <w:t>S&amp;T Networks</w:t>
      </w:r>
      <w:r w:rsidRPr="00045658">
        <w:rPr>
          <w:sz w:val="22"/>
          <w:szCs w:val="22"/>
        </w:rPr>
        <w:t xml:space="preserve"> funds shall use these funds solely to:</w:t>
      </w:r>
      <w:r w:rsidR="00C933B2">
        <w:rPr>
          <w:sz w:val="22"/>
          <w:szCs w:val="22"/>
        </w:rPr>
        <w:t xml:space="preserve"> </w:t>
      </w:r>
      <w:r w:rsidRPr="00045658">
        <w:rPr>
          <w:sz w:val="22"/>
          <w:szCs w:val="22"/>
        </w:rPr>
        <w:t>(1) permanently remove covered communications equipment and services from their networks; (2) replace the covered communications equipment and services with non-covered equipment or services; and (3) dispose of the covered communications equipment and services in accordance with the Secure Networks Act.</w:t>
      </w:r>
      <w:r w:rsidR="00C933B2">
        <w:rPr>
          <w:sz w:val="22"/>
          <w:szCs w:val="22"/>
        </w:rPr>
        <w:t xml:space="preserve"> </w:t>
      </w:r>
    </w:p>
    <w:p w:rsidR="00285D06" w:rsidP="00454548" w14:paraId="5A8167DD" w14:textId="2F8CE7B5">
      <w:pPr>
        <w:spacing w:after="260"/>
        <w:jc w:val="both"/>
        <w:rPr>
          <w:sz w:val="22"/>
          <w:szCs w:val="22"/>
        </w:rPr>
      </w:pPr>
      <w:r w:rsidRPr="00045658">
        <w:rPr>
          <w:sz w:val="22"/>
          <w:szCs w:val="22"/>
        </w:rPr>
        <w:t>On December 27, 2020, the Consolidated Appropriations Act, 2021 (Consolidated Appropriations Act), appropriated $1</w:t>
      </w:r>
      <w:r>
        <w:rPr>
          <w:sz w:val="22"/>
          <w:szCs w:val="22"/>
        </w:rPr>
        <w:t>,900,000</w:t>
      </w:r>
      <w:r w:rsidRPr="00D24F89">
        <w:rPr>
          <w:sz w:val="22"/>
          <w:szCs w:val="22"/>
        </w:rPr>
        <w:t xml:space="preserve"> to “carry out” the </w:t>
      </w:r>
      <w:r>
        <w:rPr>
          <w:sz w:val="22"/>
          <w:szCs w:val="22"/>
        </w:rPr>
        <w:t>S&amp;T Networks</w:t>
      </w:r>
      <w:r w:rsidRPr="00D24F89">
        <w:rPr>
          <w:sz w:val="22"/>
          <w:szCs w:val="22"/>
        </w:rPr>
        <w:t>.</w:t>
      </w:r>
      <w:r w:rsidR="00C933B2">
        <w:rPr>
          <w:sz w:val="22"/>
          <w:szCs w:val="22"/>
        </w:rPr>
        <w:t xml:space="preserve"> </w:t>
      </w:r>
      <w:r w:rsidRPr="00D24F89">
        <w:rPr>
          <w:sz w:val="22"/>
          <w:szCs w:val="22"/>
        </w:rPr>
        <w:t>In addition, the legislation amended the Secure Networks Act, expanding program eligibility from providers of advanced communications service with two million or fewer customers to providers with ten million or fewer customers.</w:t>
      </w:r>
      <w:r w:rsidR="00C933B2">
        <w:rPr>
          <w:sz w:val="22"/>
          <w:szCs w:val="22"/>
        </w:rPr>
        <w:t xml:space="preserve"> </w:t>
      </w:r>
      <w:r w:rsidRPr="004918FE">
        <w:rPr>
          <w:sz w:val="22"/>
          <w:szCs w:val="22"/>
        </w:rPr>
        <w:t xml:space="preserve">The Consolidated Appropriations Act also amended the definition of a provider of advanced communications service to specifically include certain non-commercial education institutions and added a method for prioritizing funding that differs from the approach adopted by the Commission in the </w:t>
      </w:r>
      <w:r w:rsidRPr="004918FE">
        <w:rPr>
          <w:i/>
          <w:iCs/>
          <w:sz w:val="22"/>
          <w:szCs w:val="22"/>
        </w:rPr>
        <w:t>Second Report and Order</w:t>
      </w:r>
      <w:r w:rsidRPr="004918FE">
        <w:rPr>
          <w:sz w:val="22"/>
          <w:szCs w:val="22"/>
        </w:rPr>
        <w:t>.</w:t>
      </w:r>
      <w:r w:rsidR="00C933B2">
        <w:rPr>
          <w:sz w:val="22"/>
          <w:szCs w:val="22"/>
        </w:rPr>
        <w:t xml:space="preserve"> </w:t>
      </w:r>
      <w:r w:rsidRPr="004918FE">
        <w:rPr>
          <w:sz w:val="22"/>
          <w:szCs w:val="22"/>
        </w:rPr>
        <w:t xml:space="preserve">The </w:t>
      </w:r>
    </w:p>
    <w:p w:rsidR="00285D06" w:rsidP="00454548" w14:paraId="317A7269" w14:textId="77777777">
      <w:pPr>
        <w:spacing w:after="260"/>
        <w:jc w:val="both"/>
        <w:rPr>
          <w:b/>
          <w:sz w:val="22"/>
          <w:szCs w:val="22"/>
        </w:rPr>
      </w:pPr>
      <w:r w:rsidRPr="00BA1E56">
        <w:rPr>
          <w:b/>
          <w:sz w:val="22"/>
          <w:szCs w:val="22"/>
        </w:rPr>
        <w:t>Note 1 – Summary of Significant Accounting Policies (continued)</w:t>
      </w:r>
    </w:p>
    <w:p w:rsidR="00285D06" w:rsidRPr="001A5B98" w:rsidP="00FB470D" w14:paraId="7F1762B1" w14:textId="18C946D3">
      <w:pPr>
        <w:pStyle w:val="ListParagraph"/>
        <w:numPr>
          <w:ilvl w:val="0"/>
          <w:numId w:val="31"/>
        </w:numPr>
        <w:spacing w:after="260"/>
        <w:ind w:left="360"/>
        <w:jc w:val="both"/>
        <w:rPr>
          <w:b/>
          <w:bCs/>
          <w:sz w:val="22"/>
          <w:szCs w:val="22"/>
        </w:rPr>
      </w:pPr>
      <w:r w:rsidRPr="001A5B98">
        <w:rPr>
          <w:b/>
          <w:bCs/>
          <w:sz w:val="22"/>
          <w:szCs w:val="22"/>
        </w:rPr>
        <w:t>Secure &amp; Trusted Communications Networks Reimbursement Program (S&amp;T Networks) (continued)</w:t>
      </w:r>
    </w:p>
    <w:p w:rsidR="00285D06" w:rsidP="00454548" w14:paraId="7F4CBB18" w14:textId="15B6B762">
      <w:pPr>
        <w:spacing w:after="260"/>
        <w:jc w:val="both"/>
        <w:rPr>
          <w:b/>
          <w:sz w:val="22"/>
          <w:szCs w:val="22"/>
        </w:rPr>
      </w:pPr>
      <w:r w:rsidRPr="004918FE">
        <w:rPr>
          <w:sz w:val="22"/>
          <w:szCs w:val="22"/>
        </w:rPr>
        <w:t xml:space="preserve">Commission released a </w:t>
      </w:r>
      <w:r w:rsidRPr="004918FE">
        <w:rPr>
          <w:i/>
          <w:iCs/>
          <w:sz w:val="22"/>
          <w:szCs w:val="22"/>
        </w:rPr>
        <w:t xml:space="preserve">Third Report and Order, </w:t>
      </w:r>
      <w:r w:rsidRPr="004918FE">
        <w:rPr>
          <w:sz w:val="22"/>
          <w:szCs w:val="22"/>
        </w:rPr>
        <w:t xml:space="preserve">on July 14, 2021, implementing the changes required by the Consolidated Appropriations Act and making additional clarifications about the </w:t>
      </w:r>
      <w:r>
        <w:rPr>
          <w:sz w:val="22"/>
          <w:szCs w:val="22"/>
        </w:rPr>
        <w:t>S&amp;T Networks</w:t>
      </w:r>
      <w:r w:rsidRPr="004918FE">
        <w:rPr>
          <w:sz w:val="22"/>
          <w:szCs w:val="22"/>
        </w:rPr>
        <w:t>.</w:t>
      </w:r>
      <w:r w:rsidR="00C933B2">
        <w:rPr>
          <w:sz w:val="22"/>
          <w:szCs w:val="22"/>
        </w:rPr>
        <w:t xml:space="preserve"> </w:t>
      </w:r>
      <w:r w:rsidRPr="004918FE">
        <w:rPr>
          <w:sz w:val="22"/>
          <w:szCs w:val="22"/>
        </w:rPr>
        <w:t xml:space="preserve">Most notably, the Commission stated that the </w:t>
      </w:r>
      <w:r>
        <w:rPr>
          <w:sz w:val="22"/>
          <w:szCs w:val="22"/>
        </w:rPr>
        <w:t xml:space="preserve">S&amp;T Networks </w:t>
      </w:r>
      <w:r w:rsidRPr="004918FE">
        <w:rPr>
          <w:sz w:val="22"/>
          <w:szCs w:val="22"/>
        </w:rPr>
        <w:t>is limited to reimbursing the costs of removal, replacement, and disposal to communications equipment and service produced or provided by Huawei Technologies Company and ZTE Corporation that was obtain on or before June 30, 2020.</w:t>
      </w:r>
    </w:p>
    <w:p w:rsidR="00285D06" w:rsidRPr="00F55F36" w:rsidP="00454548" w14:paraId="0579D609" w14:textId="740CECB0">
      <w:pPr>
        <w:spacing w:after="260"/>
        <w:jc w:val="both"/>
        <w:rPr>
          <w:sz w:val="22"/>
          <w:szCs w:val="22"/>
        </w:rPr>
      </w:pPr>
      <w:r w:rsidRPr="004918FE">
        <w:rPr>
          <w:sz w:val="22"/>
          <w:szCs w:val="22"/>
        </w:rPr>
        <w:t>On April 28, 2021, the Commission’s Wireline Competition Bureau (</w:t>
      </w:r>
      <w:r>
        <w:rPr>
          <w:sz w:val="22"/>
          <w:szCs w:val="22"/>
        </w:rPr>
        <w:t>WCB</w:t>
      </w:r>
      <w:r w:rsidRPr="004918FE">
        <w:rPr>
          <w:sz w:val="22"/>
          <w:szCs w:val="22"/>
        </w:rPr>
        <w:t>) announced the selection of th</w:t>
      </w:r>
      <w:r>
        <w:rPr>
          <w:sz w:val="22"/>
          <w:szCs w:val="22"/>
        </w:rPr>
        <w:t>e</w:t>
      </w:r>
      <w:r w:rsidRPr="006A393A">
        <w:rPr>
          <w:sz w:val="22"/>
          <w:szCs w:val="22"/>
        </w:rPr>
        <w:t xml:space="preserve"> </w:t>
      </w:r>
      <w:r>
        <w:rPr>
          <w:sz w:val="22"/>
          <w:szCs w:val="22"/>
        </w:rPr>
        <w:t xml:space="preserve">S&amp;T Networks </w:t>
      </w:r>
      <w:r w:rsidRPr="004918FE">
        <w:rPr>
          <w:sz w:val="22"/>
          <w:szCs w:val="22"/>
        </w:rPr>
        <w:t xml:space="preserve">Fund Administrator to assist with processing applications and administering the </w:t>
      </w:r>
      <w:r>
        <w:rPr>
          <w:sz w:val="22"/>
          <w:szCs w:val="22"/>
        </w:rPr>
        <w:t>S&amp;T Networks</w:t>
      </w:r>
      <w:r w:rsidRPr="004918FE">
        <w:rPr>
          <w:sz w:val="22"/>
          <w:szCs w:val="22"/>
        </w:rPr>
        <w:t>.</w:t>
      </w:r>
      <w:r w:rsidR="00C933B2">
        <w:rPr>
          <w:sz w:val="22"/>
          <w:szCs w:val="22"/>
        </w:rPr>
        <w:t xml:space="preserve"> </w:t>
      </w:r>
      <w:r w:rsidRPr="004918FE">
        <w:rPr>
          <w:sz w:val="22"/>
          <w:szCs w:val="22"/>
        </w:rPr>
        <w:t xml:space="preserve">On August 3, 2021, </w:t>
      </w:r>
      <w:r>
        <w:rPr>
          <w:sz w:val="22"/>
          <w:szCs w:val="22"/>
        </w:rPr>
        <w:t xml:space="preserve">WCB </w:t>
      </w:r>
      <w:r w:rsidRPr="004918FE">
        <w:rPr>
          <w:sz w:val="22"/>
          <w:szCs w:val="22"/>
        </w:rPr>
        <w:t xml:space="preserve">released a public notice adopting final procedures for, and providing eligible providers of advanced communications services with additional guidance regarding, the application filing and reimbursement process for the </w:t>
      </w:r>
      <w:r>
        <w:rPr>
          <w:sz w:val="22"/>
          <w:szCs w:val="22"/>
        </w:rPr>
        <w:t>S&amp;T Networks</w:t>
      </w:r>
      <w:r w:rsidRPr="004918FE">
        <w:rPr>
          <w:sz w:val="22"/>
          <w:szCs w:val="22"/>
        </w:rPr>
        <w:t>.</w:t>
      </w:r>
      <w:r w:rsidR="00C933B2">
        <w:rPr>
          <w:sz w:val="22"/>
          <w:szCs w:val="22"/>
        </w:rPr>
        <w:t xml:space="preserve"> </w:t>
      </w:r>
      <w:r>
        <w:rPr>
          <w:sz w:val="22"/>
          <w:szCs w:val="22"/>
        </w:rPr>
        <w:t xml:space="preserve">WCB </w:t>
      </w:r>
      <w:r w:rsidRPr="004918FE">
        <w:rPr>
          <w:sz w:val="22"/>
          <w:szCs w:val="22"/>
        </w:rPr>
        <w:t xml:space="preserve">also finalized the information fields on the new FCC Form 5640, which participants must submit to request funding allocations and disbursements from the </w:t>
      </w:r>
      <w:r>
        <w:rPr>
          <w:sz w:val="22"/>
          <w:szCs w:val="22"/>
        </w:rPr>
        <w:t xml:space="preserve">S&amp;T Networks </w:t>
      </w:r>
      <w:r w:rsidRPr="004918FE">
        <w:rPr>
          <w:sz w:val="22"/>
          <w:szCs w:val="22"/>
        </w:rPr>
        <w:t>Program, as well as the procedures governing the submission of and any modifications made to that form.</w:t>
      </w:r>
      <w:r w:rsidR="00C933B2">
        <w:rPr>
          <w:sz w:val="22"/>
          <w:szCs w:val="22"/>
        </w:rPr>
        <w:t xml:space="preserve"> </w:t>
      </w:r>
      <w:r>
        <w:rPr>
          <w:sz w:val="22"/>
          <w:szCs w:val="22"/>
        </w:rPr>
        <w:t>On</w:t>
      </w:r>
      <w:r w:rsidRPr="004918FE">
        <w:rPr>
          <w:sz w:val="22"/>
          <w:szCs w:val="22"/>
        </w:rPr>
        <w:t xml:space="preserve"> October 29, 2021</w:t>
      </w:r>
      <w:r>
        <w:rPr>
          <w:sz w:val="22"/>
          <w:szCs w:val="22"/>
        </w:rPr>
        <w:t>, the FCC</w:t>
      </w:r>
      <w:r w:rsidRPr="004918FE">
        <w:rPr>
          <w:sz w:val="22"/>
          <w:szCs w:val="22"/>
        </w:rPr>
        <w:t xml:space="preserve"> open</w:t>
      </w:r>
      <w:r>
        <w:rPr>
          <w:sz w:val="22"/>
          <w:szCs w:val="22"/>
        </w:rPr>
        <w:t>ed</w:t>
      </w:r>
      <w:r w:rsidRPr="004918FE">
        <w:rPr>
          <w:sz w:val="22"/>
          <w:szCs w:val="22"/>
        </w:rPr>
        <w:t xml:space="preserve"> the </w:t>
      </w:r>
      <w:r>
        <w:rPr>
          <w:sz w:val="22"/>
          <w:szCs w:val="22"/>
        </w:rPr>
        <w:t>S&amp;T Networks</w:t>
      </w:r>
      <w:r w:rsidRPr="004918FE">
        <w:rPr>
          <w:sz w:val="22"/>
          <w:szCs w:val="22"/>
        </w:rPr>
        <w:t xml:space="preserve"> filing window to begin accepting applications.</w:t>
      </w:r>
      <w:r w:rsidR="00C933B2">
        <w:rPr>
          <w:bCs/>
          <w:sz w:val="22"/>
          <w:szCs w:val="22"/>
        </w:rPr>
        <w:t xml:space="preserve"> </w:t>
      </w:r>
      <w:r w:rsidRPr="004918FE">
        <w:rPr>
          <w:bCs/>
          <w:sz w:val="22"/>
          <w:szCs w:val="22"/>
        </w:rPr>
        <w:t>As of September 30, 2021, $</w:t>
      </w:r>
      <w:r w:rsidRPr="00F55F36">
        <w:rPr>
          <w:bCs/>
          <w:sz w:val="22"/>
          <w:szCs w:val="22"/>
        </w:rPr>
        <w:t>6,818 was obligated and $2,811 had been expended.</w:t>
      </w:r>
      <w:r w:rsidR="00C933B2">
        <w:rPr>
          <w:bCs/>
          <w:sz w:val="22"/>
          <w:szCs w:val="22"/>
        </w:rPr>
        <w:t xml:space="preserve"> </w:t>
      </w:r>
      <w:r>
        <w:rPr>
          <w:bCs/>
          <w:sz w:val="22"/>
          <w:szCs w:val="22"/>
        </w:rPr>
        <w:t>Unobligated balances of $1,893,182 was carried forward.</w:t>
      </w:r>
    </w:p>
    <w:p w:rsidR="00285D06" w:rsidRPr="00DD7DAC" w:rsidP="001A5B98" w14:paraId="6C5A0E16" w14:textId="18000E8B">
      <w:pPr>
        <w:pStyle w:val="Heading5"/>
        <w:numPr>
          <w:ilvl w:val="0"/>
          <w:numId w:val="31"/>
        </w:numPr>
        <w:spacing w:after="260"/>
        <w:ind w:left="360"/>
        <w:rPr>
          <w:sz w:val="22"/>
          <w:szCs w:val="22"/>
        </w:rPr>
      </w:pPr>
      <w:bookmarkStart w:id="239" w:name="_Toc88780694"/>
      <w:bookmarkEnd w:id="235"/>
      <w:r w:rsidRPr="00DD7DAC">
        <w:rPr>
          <w:sz w:val="22"/>
          <w:szCs w:val="22"/>
        </w:rPr>
        <w:t>Connect America Fund</w:t>
      </w:r>
      <w:bookmarkEnd w:id="239"/>
    </w:p>
    <w:p w:rsidR="00285D06" w:rsidRPr="008E11FB" w:rsidP="00454548" w14:paraId="5919EEF4" w14:textId="3928E7E9">
      <w:pPr>
        <w:spacing w:after="260"/>
        <w:jc w:val="both"/>
        <w:rPr>
          <w:sz w:val="22"/>
          <w:szCs w:val="22"/>
        </w:rPr>
      </w:pPr>
      <w:r w:rsidRPr="00BA1E56">
        <w:rPr>
          <w:sz w:val="22"/>
          <w:szCs w:val="22"/>
        </w:rPr>
        <w:t>After completing the Connect America Fund Phase II reverse auction (CAF II Auction), the FCC committed to award a potential total of $1,488,330 over a 10-year period.</w:t>
      </w:r>
      <w:r w:rsidR="00C933B2">
        <w:rPr>
          <w:sz w:val="22"/>
          <w:szCs w:val="22"/>
        </w:rPr>
        <w:t xml:space="preserve"> </w:t>
      </w:r>
      <w:r w:rsidRPr="00BA1E56">
        <w:rPr>
          <w:sz w:val="22"/>
          <w:szCs w:val="22"/>
        </w:rPr>
        <w:t xml:space="preserve">As of </w:t>
      </w:r>
      <w:r>
        <w:rPr>
          <w:sz w:val="22"/>
          <w:szCs w:val="22"/>
        </w:rPr>
        <w:t>September 30, 2021</w:t>
      </w:r>
      <w:r w:rsidRPr="00BA1E56">
        <w:rPr>
          <w:sz w:val="22"/>
          <w:szCs w:val="22"/>
        </w:rPr>
        <w:t xml:space="preserve">, the FCC has directed USAC to obligate a total of </w:t>
      </w:r>
      <w:r w:rsidRPr="0079796B">
        <w:rPr>
          <w:sz w:val="22"/>
          <w:szCs w:val="22"/>
        </w:rPr>
        <w:t>$</w:t>
      </w:r>
      <w:r>
        <w:rPr>
          <w:sz w:val="22"/>
          <w:szCs w:val="22"/>
        </w:rPr>
        <w:t xml:space="preserve">1,476,785 </w:t>
      </w:r>
      <w:r w:rsidRPr="00BA1E56">
        <w:rPr>
          <w:sz w:val="22"/>
          <w:szCs w:val="22"/>
        </w:rPr>
        <w:t>for carriers who have successfully complied with the requirements to be eligible to receive support to provide fixed broadband and voice services to over 700,000 locations in 45 states.</w:t>
      </w:r>
      <w:r w:rsidR="00C933B2">
        <w:rPr>
          <w:sz w:val="22"/>
          <w:szCs w:val="22"/>
        </w:rPr>
        <w:t xml:space="preserve"> </w:t>
      </w:r>
      <w:r w:rsidRPr="00BA1E56">
        <w:rPr>
          <w:sz w:val="22"/>
          <w:szCs w:val="22"/>
        </w:rPr>
        <w:t xml:space="preserve">There </w:t>
      </w:r>
      <w:r>
        <w:rPr>
          <w:sz w:val="22"/>
          <w:szCs w:val="22"/>
        </w:rPr>
        <w:t>are</w:t>
      </w:r>
      <w:r w:rsidRPr="00BA1E56">
        <w:rPr>
          <w:sz w:val="22"/>
          <w:szCs w:val="22"/>
        </w:rPr>
        <w:t xml:space="preserve"> </w:t>
      </w:r>
      <w:r w:rsidRPr="0079796B">
        <w:rPr>
          <w:sz w:val="22"/>
          <w:szCs w:val="22"/>
        </w:rPr>
        <w:t>$</w:t>
      </w:r>
      <w:r>
        <w:rPr>
          <w:sz w:val="22"/>
          <w:szCs w:val="22"/>
        </w:rPr>
        <w:t>3,999</w:t>
      </w:r>
      <w:r w:rsidRPr="00BA1E56">
        <w:rPr>
          <w:sz w:val="22"/>
          <w:szCs w:val="22"/>
        </w:rPr>
        <w:t xml:space="preserve"> bids in default as of </w:t>
      </w:r>
      <w:r>
        <w:rPr>
          <w:sz w:val="22"/>
          <w:szCs w:val="22"/>
        </w:rPr>
        <w:t>September 30, 2021</w:t>
      </w:r>
      <w:r w:rsidRPr="00BA1E56">
        <w:rPr>
          <w:sz w:val="22"/>
          <w:szCs w:val="22"/>
        </w:rPr>
        <w:t xml:space="preserve">, leaving a balance of </w:t>
      </w:r>
      <w:r w:rsidRPr="0079796B">
        <w:rPr>
          <w:sz w:val="22"/>
          <w:szCs w:val="22"/>
        </w:rPr>
        <w:t>$</w:t>
      </w:r>
      <w:r>
        <w:rPr>
          <w:sz w:val="22"/>
          <w:szCs w:val="22"/>
        </w:rPr>
        <w:t>7,546</w:t>
      </w:r>
      <w:r w:rsidRPr="00BA1E56">
        <w:rPr>
          <w:sz w:val="22"/>
          <w:szCs w:val="22"/>
        </w:rPr>
        <w:t xml:space="preserve"> to be obligated.</w:t>
      </w:r>
      <w:r w:rsidR="00C933B2">
        <w:rPr>
          <w:sz w:val="22"/>
          <w:szCs w:val="22"/>
        </w:rPr>
        <w:t xml:space="preserve"> </w:t>
      </w:r>
      <w:r w:rsidRPr="00BA1E56">
        <w:rPr>
          <w:sz w:val="22"/>
          <w:szCs w:val="22"/>
        </w:rPr>
        <w:t xml:space="preserve">In addition, the FCC committed to award a potential total of </w:t>
      </w:r>
      <w:r w:rsidRPr="0079796B">
        <w:rPr>
          <w:sz w:val="22"/>
          <w:szCs w:val="22"/>
        </w:rPr>
        <w:t>$</w:t>
      </w:r>
      <w:r>
        <w:rPr>
          <w:sz w:val="22"/>
          <w:szCs w:val="22"/>
        </w:rPr>
        <w:t>170,400</w:t>
      </w:r>
      <w:r w:rsidRPr="00BA1E56">
        <w:rPr>
          <w:sz w:val="22"/>
          <w:szCs w:val="22"/>
        </w:rPr>
        <w:t xml:space="preserve"> to carriers that won the CAF II New York Auction over a 10-year period.</w:t>
      </w:r>
      <w:r w:rsidR="00C933B2">
        <w:rPr>
          <w:sz w:val="22"/>
          <w:szCs w:val="22"/>
        </w:rPr>
        <w:t xml:space="preserve"> </w:t>
      </w:r>
      <w:r w:rsidRPr="00BA1E56">
        <w:rPr>
          <w:sz w:val="22"/>
          <w:szCs w:val="22"/>
        </w:rPr>
        <w:t xml:space="preserve">As of </w:t>
      </w:r>
      <w:r>
        <w:rPr>
          <w:sz w:val="22"/>
          <w:szCs w:val="22"/>
        </w:rPr>
        <w:t>September 30, 2021</w:t>
      </w:r>
      <w:r w:rsidRPr="00BA1E56">
        <w:rPr>
          <w:sz w:val="22"/>
          <w:szCs w:val="22"/>
        </w:rPr>
        <w:t xml:space="preserve">, FCC has directed USAC to obligate a total amount of </w:t>
      </w:r>
      <w:r w:rsidRPr="0079796B">
        <w:rPr>
          <w:sz w:val="22"/>
          <w:szCs w:val="22"/>
        </w:rPr>
        <w:t>$</w:t>
      </w:r>
      <w:r>
        <w:rPr>
          <w:sz w:val="22"/>
          <w:szCs w:val="22"/>
        </w:rPr>
        <w:t>65,487</w:t>
      </w:r>
      <w:r w:rsidRPr="00BA1E56">
        <w:rPr>
          <w:sz w:val="22"/>
          <w:szCs w:val="22"/>
        </w:rPr>
        <w:t xml:space="preserve">, with remaining balance of </w:t>
      </w:r>
      <w:r w:rsidRPr="0079796B">
        <w:rPr>
          <w:sz w:val="22"/>
          <w:szCs w:val="22"/>
        </w:rPr>
        <w:t>$</w:t>
      </w:r>
      <w:r>
        <w:rPr>
          <w:sz w:val="22"/>
          <w:szCs w:val="22"/>
        </w:rPr>
        <w:t>104,913</w:t>
      </w:r>
      <w:r w:rsidRPr="00BA1E56">
        <w:rPr>
          <w:sz w:val="22"/>
          <w:szCs w:val="22"/>
        </w:rPr>
        <w:t xml:space="preserve"> to be obligated.</w:t>
      </w:r>
      <w:r w:rsidR="00C933B2">
        <w:rPr>
          <w:sz w:val="22"/>
          <w:szCs w:val="22"/>
        </w:rPr>
        <w:t xml:space="preserve"> </w:t>
      </w:r>
    </w:p>
    <w:p w:rsidR="00285D06" w:rsidRPr="0014456C" w:rsidP="00454548" w14:paraId="7CD54C61" w14:textId="4F62D64B">
      <w:pPr>
        <w:spacing w:after="260"/>
        <w:jc w:val="both"/>
        <w:rPr>
          <w:sz w:val="22"/>
          <w:szCs w:val="22"/>
        </w:rPr>
      </w:pPr>
      <w:r w:rsidRPr="00045658">
        <w:rPr>
          <w:sz w:val="22"/>
          <w:szCs w:val="22"/>
        </w:rPr>
        <w:t xml:space="preserve">Consistent with the Commission’s direction in the Rural Digital Opportunity Fund Order, in July 2020 the </w:t>
      </w:r>
      <w:r>
        <w:rPr>
          <w:sz w:val="22"/>
          <w:szCs w:val="22"/>
        </w:rPr>
        <w:t>FCC</w:t>
      </w:r>
      <w:r w:rsidRPr="00045658">
        <w:rPr>
          <w:sz w:val="22"/>
          <w:szCs w:val="22"/>
        </w:rPr>
        <w:t xml:space="preserve"> released a Public Notice establishing the process by which eligible price cap carriers could elect to receive an additional year of </w:t>
      </w:r>
      <w:r>
        <w:rPr>
          <w:sz w:val="22"/>
          <w:szCs w:val="22"/>
        </w:rPr>
        <w:t xml:space="preserve">CAF II </w:t>
      </w:r>
      <w:r w:rsidRPr="00045658">
        <w:rPr>
          <w:sz w:val="22"/>
          <w:szCs w:val="22"/>
        </w:rPr>
        <w:t>model-based support.</w:t>
      </w:r>
      <w:r w:rsidR="00C933B2">
        <w:rPr>
          <w:sz w:val="22"/>
          <w:szCs w:val="22"/>
        </w:rPr>
        <w:t xml:space="preserve"> </w:t>
      </w:r>
      <w:r w:rsidRPr="00045658">
        <w:rPr>
          <w:sz w:val="22"/>
          <w:szCs w:val="22"/>
        </w:rPr>
        <w:t>The FCC committed to award a potential total of $1,497,972 from January 2021 through December 2021.</w:t>
      </w:r>
      <w:r w:rsidR="00C933B2">
        <w:rPr>
          <w:sz w:val="22"/>
          <w:szCs w:val="22"/>
        </w:rPr>
        <w:t xml:space="preserve"> </w:t>
      </w:r>
      <w:r w:rsidRPr="00045658">
        <w:rPr>
          <w:sz w:val="22"/>
          <w:szCs w:val="22"/>
        </w:rPr>
        <w:t xml:space="preserve">As of </w:t>
      </w:r>
      <w:r>
        <w:rPr>
          <w:sz w:val="22"/>
          <w:szCs w:val="22"/>
        </w:rPr>
        <w:t>September 30, 2021</w:t>
      </w:r>
      <w:r w:rsidRPr="00045658">
        <w:rPr>
          <w:sz w:val="22"/>
          <w:szCs w:val="22"/>
        </w:rPr>
        <w:t xml:space="preserve">, the FCC has directed USAC to obligate a total of $1,497,972 for carriers who have successfully submitted election letters and complied with the requirement to continue providing broadband services to 3,656 locations in 45 states. </w:t>
      </w:r>
    </w:p>
    <w:p w:rsidR="00285D06" w:rsidRPr="004B0B69" w:rsidP="001A5B98" w14:paraId="3AE99325" w14:textId="1DCD59A5">
      <w:pPr>
        <w:pStyle w:val="Heading5"/>
        <w:numPr>
          <w:ilvl w:val="0"/>
          <w:numId w:val="31"/>
        </w:numPr>
        <w:spacing w:after="260"/>
        <w:ind w:left="360"/>
        <w:rPr>
          <w:sz w:val="22"/>
          <w:szCs w:val="22"/>
        </w:rPr>
      </w:pPr>
      <w:bookmarkStart w:id="240" w:name="_Toc88780695"/>
      <w:r w:rsidRPr="004B0B69">
        <w:rPr>
          <w:sz w:val="22"/>
          <w:szCs w:val="22"/>
        </w:rPr>
        <w:t>Rural Digital Opportunity Fund (RDOF)</w:t>
      </w:r>
      <w:bookmarkEnd w:id="240"/>
    </w:p>
    <w:p w:rsidR="000D0A76" w:rsidP="005D2022" w14:paraId="0B503B2B" w14:textId="77777777">
      <w:pPr>
        <w:spacing w:after="720"/>
        <w:jc w:val="both"/>
        <w:rPr>
          <w:rFonts w:eastAsia="Times"/>
          <w:sz w:val="22"/>
          <w:szCs w:val="22"/>
        </w:rPr>
      </w:pPr>
      <w:bookmarkStart w:id="241" w:name="_Hlk85626016"/>
      <w:r w:rsidRPr="163CCBD8">
        <w:rPr>
          <w:rFonts w:ascii="Times" w:eastAsia="Times" w:hAnsi="Times" w:cs="Times"/>
          <w:color w:val="000000" w:themeColor="text1"/>
          <w:sz w:val="22"/>
          <w:szCs w:val="22"/>
        </w:rPr>
        <w:t xml:space="preserve">Pursuant to </w:t>
      </w:r>
      <w:r>
        <w:rPr>
          <w:rFonts w:ascii="Times" w:eastAsia="Times" w:hAnsi="Times" w:cs="Times"/>
          <w:color w:val="000000" w:themeColor="text1"/>
          <w:sz w:val="22"/>
          <w:szCs w:val="22"/>
        </w:rPr>
        <w:t>a public notice, DA 201-1422, released by t</w:t>
      </w:r>
      <w:r w:rsidRPr="009D4DD5">
        <w:rPr>
          <w:rFonts w:ascii="Times" w:eastAsia="Times" w:hAnsi="Times" w:cs="Times"/>
          <w:color w:val="000000" w:themeColor="text1"/>
          <w:sz w:val="22"/>
          <w:szCs w:val="22"/>
        </w:rPr>
        <w:t>he Rural Broadband Auctions Task Force</w:t>
      </w:r>
      <w:r>
        <w:rPr>
          <w:rFonts w:ascii="Times" w:eastAsia="Times" w:hAnsi="Times" w:cs="Times"/>
          <w:color w:val="000000" w:themeColor="text1"/>
          <w:sz w:val="22"/>
          <w:szCs w:val="22"/>
        </w:rPr>
        <w:t xml:space="preserve"> (RBATF), WCB, </w:t>
      </w:r>
      <w:r w:rsidRPr="00744E4B">
        <w:rPr>
          <w:rFonts w:eastAsia="Times"/>
          <w:color w:val="000000" w:themeColor="text1"/>
          <w:sz w:val="22"/>
          <w:szCs w:val="22"/>
        </w:rPr>
        <w:t>and the Office of Economics and Analytics (OEA) on December 7, 2020, there are 180 winning bidders in the Rural Digital Opportunity Fund Phase I auction (Auction 904), with the 10-year support amount totaling $9,230,688 and covering 5,221 locations in 49 states and one territory.</w:t>
      </w:r>
      <w:r w:rsidR="00C933B2">
        <w:rPr>
          <w:rFonts w:eastAsia="Times"/>
          <w:color w:val="000000" w:themeColor="text1"/>
          <w:sz w:val="22"/>
          <w:szCs w:val="22"/>
        </w:rPr>
        <w:t xml:space="preserve"> </w:t>
      </w:r>
      <w:r w:rsidRPr="00744E4B">
        <w:rPr>
          <w:rFonts w:eastAsia="Times"/>
          <w:color w:val="000000" w:themeColor="text1"/>
          <w:sz w:val="22"/>
          <w:szCs w:val="22"/>
        </w:rPr>
        <w:t xml:space="preserve">The </w:t>
      </w:r>
      <w:r w:rsidRPr="00744E4B">
        <w:rPr>
          <w:rFonts w:eastAsia="Times"/>
          <w:sz w:val="22"/>
          <w:szCs w:val="22"/>
        </w:rPr>
        <w:t xml:space="preserve">first </w:t>
      </w:r>
      <w:r>
        <w:rPr>
          <w:rFonts w:eastAsia="Times"/>
          <w:sz w:val="22"/>
          <w:szCs w:val="22"/>
        </w:rPr>
        <w:t xml:space="preserve">wave of </w:t>
      </w:r>
      <w:r w:rsidRPr="00744E4B">
        <w:rPr>
          <w:rFonts w:eastAsia="Times"/>
          <w:sz w:val="22"/>
          <w:szCs w:val="22"/>
        </w:rPr>
        <w:t>obligation</w:t>
      </w:r>
      <w:r w:rsidR="004C3721">
        <w:rPr>
          <w:rFonts w:eastAsia="Times"/>
          <w:sz w:val="22"/>
          <w:szCs w:val="22"/>
        </w:rPr>
        <w:t>s</w:t>
      </w:r>
      <w:r w:rsidRPr="00744E4B">
        <w:rPr>
          <w:rFonts w:eastAsia="Times"/>
          <w:sz w:val="22"/>
          <w:szCs w:val="22"/>
        </w:rPr>
        <w:t xml:space="preserve"> </w:t>
      </w:r>
      <w:r>
        <w:rPr>
          <w:rFonts w:eastAsia="Times"/>
          <w:sz w:val="22"/>
          <w:szCs w:val="22"/>
        </w:rPr>
        <w:t>totaling</w:t>
      </w:r>
      <w:r w:rsidRPr="00744E4B">
        <w:rPr>
          <w:rFonts w:eastAsia="Times"/>
          <w:sz w:val="22"/>
          <w:szCs w:val="22"/>
        </w:rPr>
        <w:t xml:space="preserve"> $136,374 </w:t>
      </w:r>
      <w:r w:rsidR="004C3721">
        <w:rPr>
          <w:rFonts w:eastAsia="Times"/>
          <w:sz w:val="22"/>
          <w:szCs w:val="22"/>
        </w:rPr>
        <w:t>were</w:t>
      </w:r>
      <w:r w:rsidRPr="00744E4B" w:rsidR="004C3721">
        <w:rPr>
          <w:rFonts w:eastAsia="Times"/>
          <w:sz w:val="22"/>
          <w:szCs w:val="22"/>
        </w:rPr>
        <w:t xml:space="preserve"> </w:t>
      </w:r>
      <w:r w:rsidRPr="00744E4B">
        <w:rPr>
          <w:rFonts w:eastAsia="Times"/>
          <w:sz w:val="22"/>
          <w:szCs w:val="22"/>
        </w:rPr>
        <w:t>authorized on September 15, 2021 pursuant to public notice, DA 21-1158.</w:t>
      </w:r>
      <w:r w:rsidR="00C933B2">
        <w:rPr>
          <w:rFonts w:eastAsia="Times"/>
          <w:sz w:val="22"/>
          <w:szCs w:val="22"/>
        </w:rPr>
        <w:t xml:space="preserve"> </w:t>
      </w:r>
    </w:p>
    <w:p w:rsidR="00285D06" w:rsidP="00454548" w14:paraId="29F7CB7F" w14:textId="77777777">
      <w:pPr>
        <w:spacing w:after="260"/>
        <w:jc w:val="both"/>
        <w:rPr>
          <w:b/>
          <w:sz w:val="22"/>
          <w:szCs w:val="22"/>
        </w:rPr>
      </w:pPr>
      <w:r w:rsidRPr="00BA1E56">
        <w:rPr>
          <w:b/>
          <w:sz w:val="22"/>
          <w:szCs w:val="22"/>
        </w:rPr>
        <w:t>Note 1 – Summary of Significant Accounting Policies (continued)</w:t>
      </w:r>
    </w:p>
    <w:p w:rsidR="00285D06" w:rsidRPr="00E4691A" w:rsidP="001A5B98" w14:paraId="05A9A166" w14:textId="414E43FC">
      <w:pPr>
        <w:pStyle w:val="Heading5"/>
        <w:numPr>
          <w:ilvl w:val="0"/>
          <w:numId w:val="31"/>
        </w:numPr>
        <w:spacing w:after="260"/>
        <w:ind w:left="360"/>
        <w:rPr>
          <w:sz w:val="22"/>
          <w:szCs w:val="22"/>
        </w:rPr>
      </w:pPr>
      <w:bookmarkStart w:id="242" w:name="_Toc88780696"/>
      <w:bookmarkEnd w:id="241"/>
      <w:r w:rsidRPr="00E4691A">
        <w:rPr>
          <w:sz w:val="22"/>
          <w:szCs w:val="22"/>
        </w:rPr>
        <w:t>Comparison and Other</w:t>
      </w:r>
      <w:bookmarkEnd w:id="242"/>
    </w:p>
    <w:p w:rsidR="00285D06" w:rsidRPr="00617A7D" w:rsidP="00827492" w14:paraId="6A35D743" w14:textId="2DBC3943">
      <w:pPr>
        <w:spacing w:after="480"/>
        <w:jc w:val="both"/>
        <w:rPr>
          <w:sz w:val="22"/>
          <w:szCs w:val="22"/>
        </w:rPr>
      </w:pPr>
      <w:r w:rsidRPr="00BA1E56">
        <w:rPr>
          <w:sz w:val="22"/>
          <w:szCs w:val="22"/>
        </w:rPr>
        <w:t xml:space="preserve">Certain FY </w:t>
      </w:r>
      <w:r>
        <w:rPr>
          <w:sz w:val="22"/>
          <w:szCs w:val="22"/>
        </w:rPr>
        <w:t>2020</w:t>
      </w:r>
      <w:r w:rsidRPr="00BA1E56">
        <w:rPr>
          <w:sz w:val="22"/>
          <w:szCs w:val="22"/>
        </w:rPr>
        <w:t xml:space="preserve"> amounts have been reclassified to conform to the FY </w:t>
      </w:r>
      <w:r>
        <w:rPr>
          <w:sz w:val="22"/>
          <w:szCs w:val="22"/>
        </w:rPr>
        <w:t>2021</w:t>
      </w:r>
      <w:r w:rsidRPr="00BA1E56">
        <w:rPr>
          <w:sz w:val="22"/>
          <w:szCs w:val="22"/>
        </w:rPr>
        <w:t xml:space="preserve"> presentation.</w:t>
      </w:r>
      <w:r w:rsidR="00C933B2">
        <w:rPr>
          <w:sz w:val="22"/>
          <w:szCs w:val="22"/>
        </w:rPr>
        <w:t xml:space="preserve"> </w:t>
      </w:r>
      <w:r>
        <w:rPr>
          <w:sz w:val="22"/>
          <w:szCs w:val="22"/>
        </w:rPr>
        <w:t>Specifically, t</w:t>
      </w:r>
      <w:r w:rsidRPr="00617A7D">
        <w:rPr>
          <w:sz w:val="22"/>
          <w:szCs w:val="22"/>
        </w:rPr>
        <w:t xml:space="preserve">he format of the Balance Sheet </w:t>
      </w:r>
      <w:r>
        <w:rPr>
          <w:sz w:val="22"/>
          <w:szCs w:val="22"/>
        </w:rPr>
        <w:t>and the Statement of Changes in Net Position (SCNP).</w:t>
      </w:r>
      <w:r w:rsidR="00C933B2">
        <w:rPr>
          <w:sz w:val="22"/>
          <w:szCs w:val="22"/>
        </w:rPr>
        <w:t xml:space="preserve"> </w:t>
      </w:r>
      <w:r>
        <w:rPr>
          <w:sz w:val="22"/>
          <w:szCs w:val="22"/>
        </w:rPr>
        <w:t xml:space="preserve">The Balance Sheet </w:t>
      </w:r>
      <w:r w:rsidRPr="00617A7D">
        <w:rPr>
          <w:sz w:val="22"/>
          <w:szCs w:val="22"/>
        </w:rPr>
        <w:t>has changed to reflect more detail for certain line items, as required for all significant reporting entities by OMB Circular A-136.</w:t>
      </w:r>
      <w:r w:rsidR="00C933B2">
        <w:rPr>
          <w:sz w:val="22"/>
          <w:szCs w:val="22"/>
        </w:rPr>
        <w:t xml:space="preserve"> </w:t>
      </w:r>
      <w:r w:rsidRPr="00617A7D">
        <w:rPr>
          <w:sz w:val="22"/>
          <w:szCs w:val="22"/>
        </w:rPr>
        <w:t xml:space="preserve">This change does not affect totals for assets, liabilities, or net position and is intended to allow readers of this Report to see how the amounts shown on the Balance Sheet are reflected on the Government-wide Balance Sheet, thereby supporting the preparation and audit of the </w:t>
      </w:r>
      <w:r w:rsidRPr="003D56A9">
        <w:rPr>
          <w:i/>
          <w:iCs/>
          <w:sz w:val="22"/>
          <w:szCs w:val="22"/>
        </w:rPr>
        <w:t>Financial Report of the United States Government</w:t>
      </w:r>
      <w:r w:rsidRPr="00617A7D">
        <w:rPr>
          <w:sz w:val="22"/>
          <w:szCs w:val="22"/>
        </w:rPr>
        <w:t>.</w:t>
      </w:r>
      <w:r w:rsidR="00C933B2">
        <w:rPr>
          <w:sz w:val="22"/>
          <w:szCs w:val="22"/>
        </w:rPr>
        <w:t xml:space="preserve"> </w:t>
      </w:r>
      <w:r>
        <w:rPr>
          <w:sz w:val="22"/>
          <w:szCs w:val="22"/>
        </w:rPr>
        <w:t>The SCNP has changed certain lines items and subtotals have been eliminated.</w:t>
      </w:r>
      <w:r w:rsidR="00C933B2">
        <w:rPr>
          <w:sz w:val="22"/>
          <w:szCs w:val="22"/>
        </w:rPr>
        <w:t xml:space="preserve"> </w:t>
      </w:r>
      <w:r>
        <w:rPr>
          <w:sz w:val="22"/>
          <w:szCs w:val="22"/>
        </w:rPr>
        <w:t>The change does not affect totals for unexpended appropriations, cumulative results of operations or net position.</w:t>
      </w:r>
      <w:r w:rsidR="00C933B2">
        <w:rPr>
          <w:sz w:val="22"/>
          <w:szCs w:val="22"/>
        </w:rPr>
        <w:t xml:space="preserve"> </w:t>
      </w:r>
      <w:r w:rsidRPr="00617A7D">
        <w:rPr>
          <w:sz w:val="22"/>
          <w:szCs w:val="22"/>
        </w:rPr>
        <w:t xml:space="preserve">The presentation of the fiscal year 2020 Balance Sheet </w:t>
      </w:r>
      <w:r>
        <w:rPr>
          <w:sz w:val="22"/>
          <w:szCs w:val="22"/>
        </w:rPr>
        <w:t>and SCNP were</w:t>
      </w:r>
      <w:r w:rsidRPr="00617A7D">
        <w:rPr>
          <w:sz w:val="22"/>
          <w:szCs w:val="22"/>
        </w:rPr>
        <w:t xml:space="preserve"> modified to be consistent with the fiscal year 2021 presentation.</w:t>
      </w:r>
      <w:r w:rsidR="00C933B2">
        <w:rPr>
          <w:sz w:val="22"/>
          <w:szCs w:val="22"/>
        </w:rPr>
        <w:t xml:space="preserve"> </w:t>
      </w:r>
    </w:p>
    <w:p w:rsidR="00285D06" w:rsidRPr="0082436B" w:rsidP="00454548" w14:paraId="35BB9CB3" w14:textId="77777777">
      <w:pPr>
        <w:pStyle w:val="Heading4"/>
        <w:spacing w:after="260"/>
        <w:rPr>
          <w:sz w:val="22"/>
          <w:szCs w:val="22"/>
        </w:rPr>
      </w:pPr>
      <w:bookmarkStart w:id="243" w:name="_Toc88780697"/>
      <w:r w:rsidRPr="0082436B">
        <w:rPr>
          <w:sz w:val="22"/>
          <w:szCs w:val="22"/>
        </w:rPr>
        <w:t>Note 2 – Non-entity Assets</w:t>
      </w:r>
      <w:bookmarkEnd w:id="243"/>
    </w:p>
    <w:p w:rsidR="00285D06" w:rsidRPr="00BA1E56" w:rsidP="00827492" w14:paraId="718ADA79" w14:textId="3E4E090E">
      <w:pPr>
        <w:tabs>
          <w:tab w:val="left" w:pos="8505"/>
        </w:tabs>
        <w:spacing w:after="360"/>
        <w:rPr>
          <w:sz w:val="22"/>
          <w:szCs w:val="22"/>
        </w:rPr>
      </w:pPr>
      <w:r w:rsidRPr="00BA1E56">
        <w:rPr>
          <w:sz w:val="22"/>
          <w:szCs w:val="22"/>
        </w:rPr>
        <w:t xml:space="preserve">The following summarizes Non-entity Assets as of </w:t>
      </w:r>
      <w:r>
        <w:rPr>
          <w:sz w:val="22"/>
          <w:szCs w:val="22"/>
        </w:rPr>
        <w:t>September 30, 2021</w:t>
      </w:r>
      <w:r w:rsidRPr="00BA1E56">
        <w:rPr>
          <w:sz w:val="22"/>
          <w:szCs w:val="22"/>
        </w:rPr>
        <w:t xml:space="preserve"> and September 30</w:t>
      </w:r>
      <w:r>
        <w:rPr>
          <w:sz w:val="22"/>
          <w:szCs w:val="22"/>
        </w:rPr>
        <w:t>, 2020</w:t>
      </w:r>
      <w:r w:rsidRPr="00BA1E56">
        <w:rPr>
          <w:sz w:val="22"/>
          <w:szCs w:val="22"/>
        </w:rPr>
        <w:t>:</w:t>
      </w:r>
      <w:r w:rsidR="00C933B2">
        <w:rPr>
          <w:sz w:val="22"/>
          <w:szCs w:val="2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1539"/>
        <w:gridCol w:w="1479"/>
      </w:tblGrid>
      <w:tr w14:paraId="292DB153" w14:textId="77777777" w:rsidTr="00285D06">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blHeader/>
          <w:jc w:val="center"/>
        </w:trPr>
        <w:tc>
          <w:tcPr>
            <w:tcW w:w="4140" w:type="dxa"/>
            <w:vAlign w:val="center"/>
          </w:tcPr>
          <w:p w:rsidR="00A50840" w:rsidRPr="003F5AE1" w:rsidP="00285D06" w14:paraId="63E3F4F3" w14:textId="77777777">
            <w:pPr>
              <w:rPr>
                <w:sz w:val="22"/>
                <w:szCs w:val="22"/>
              </w:rPr>
            </w:pPr>
          </w:p>
        </w:tc>
        <w:tc>
          <w:tcPr>
            <w:tcW w:w="1539" w:type="dxa"/>
            <w:tcBorders>
              <w:bottom w:val="single" w:sz="4" w:space="0" w:color="auto"/>
            </w:tcBorders>
            <w:vAlign w:val="center"/>
          </w:tcPr>
          <w:p w:rsidR="00A50840" w:rsidRPr="003F5AE1" w:rsidP="00285D06" w14:paraId="13BCFB16" w14:textId="77777777">
            <w:pPr>
              <w:jc w:val="center"/>
              <w:rPr>
                <w:sz w:val="22"/>
                <w:szCs w:val="22"/>
              </w:rPr>
            </w:pPr>
            <w:r w:rsidRPr="003F5AE1">
              <w:rPr>
                <w:sz w:val="22"/>
                <w:szCs w:val="22"/>
              </w:rPr>
              <w:t xml:space="preserve">FY </w:t>
            </w:r>
            <w:r>
              <w:rPr>
                <w:sz w:val="22"/>
                <w:szCs w:val="22"/>
              </w:rPr>
              <w:t>2021</w:t>
            </w:r>
          </w:p>
        </w:tc>
        <w:tc>
          <w:tcPr>
            <w:tcW w:w="1479" w:type="dxa"/>
            <w:tcBorders>
              <w:bottom w:val="single" w:sz="4" w:space="0" w:color="auto"/>
            </w:tcBorders>
            <w:vAlign w:val="center"/>
          </w:tcPr>
          <w:p w:rsidR="00A50840" w:rsidRPr="003F5AE1" w:rsidP="00285D06" w14:paraId="1C52A26B" w14:textId="77777777">
            <w:pPr>
              <w:jc w:val="center"/>
            </w:pPr>
            <w:r w:rsidRPr="003F5AE1">
              <w:rPr>
                <w:sz w:val="22"/>
                <w:szCs w:val="22"/>
              </w:rPr>
              <w:t xml:space="preserve">FY </w:t>
            </w:r>
            <w:r>
              <w:rPr>
                <w:sz w:val="22"/>
                <w:szCs w:val="22"/>
              </w:rPr>
              <w:t>2020</w:t>
            </w:r>
          </w:p>
        </w:tc>
      </w:tr>
      <w:tr w14:paraId="58DD1E69" w14:textId="77777777" w:rsidTr="00F131AD">
        <w:tblPrEx>
          <w:tblW w:w="0" w:type="auto"/>
          <w:jc w:val="center"/>
          <w:tblLook w:val="04A0"/>
        </w:tblPrEx>
        <w:trPr>
          <w:cantSplit/>
          <w:jc w:val="center"/>
        </w:trPr>
        <w:tc>
          <w:tcPr>
            <w:tcW w:w="4140" w:type="dxa"/>
            <w:vAlign w:val="bottom"/>
          </w:tcPr>
          <w:p w:rsidR="00A50840" w:rsidRPr="003F5AE1" w:rsidP="00285D06" w14:paraId="58F87772" w14:textId="77777777">
            <w:pPr>
              <w:rPr>
                <w:sz w:val="22"/>
                <w:szCs w:val="22"/>
              </w:rPr>
            </w:pPr>
            <w:r w:rsidRPr="003F5AE1">
              <w:rPr>
                <w:sz w:val="22"/>
                <w:szCs w:val="22"/>
              </w:rPr>
              <w:t>Intragovernmental:</w:t>
            </w:r>
          </w:p>
        </w:tc>
        <w:tc>
          <w:tcPr>
            <w:tcW w:w="1539" w:type="dxa"/>
            <w:tcBorders>
              <w:top w:val="single" w:sz="4" w:space="0" w:color="auto"/>
            </w:tcBorders>
            <w:vAlign w:val="bottom"/>
          </w:tcPr>
          <w:p w:rsidR="00A50840" w:rsidRPr="003F5AE1" w:rsidP="00285D06" w14:paraId="7C327C55" w14:textId="77777777">
            <w:pPr>
              <w:rPr>
                <w:sz w:val="22"/>
                <w:szCs w:val="22"/>
              </w:rPr>
            </w:pPr>
          </w:p>
        </w:tc>
        <w:tc>
          <w:tcPr>
            <w:tcW w:w="1479" w:type="dxa"/>
            <w:tcBorders>
              <w:top w:val="single" w:sz="4" w:space="0" w:color="auto"/>
            </w:tcBorders>
            <w:vAlign w:val="bottom"/>
          </w:tcPr>
          <w:p w:rsidR="00A50840" w:rsidRPr="003F5AE1" w:rsidP="00285D06" w14:paraId="104597CC" w14:textId="77777777">
            <w:pPr>
              <w:rPr>
                <w:sz w:val="22"/>
                <w:szCs w:val="22"/>
              </w:rPr>
            </w:pPr>
          </w:p>
        </w:tc>
      </w:tr>
      <w:tr w14:paraId="315B8CF1" w14:textId="77777777" w:rsidTr="005D5481">
        <w:tblPrEx>
          <w:tblW w:w="0" w:type="auto"/>
          <w:jc w:val="center"/>
          <w:tblLook w:val="04A0"/>
        </w:tblPrEx>
        <w:trPr>
          <w:cantSplit/>
          <w:trHeight w:val="260"/>
          <w:jc w:val="center"/>
        </w:trPr>
        <w:tc>
          <w:tcPr>
            <w:tcW w:w="4140" w:type="dxa"/>
            <w:vAlign w:val="center"/>
          </w:tcPr>
          <w:p w:rsidR="00A50840" w:rsidRPr="003F5AE1" w:rsidP="001F76CC" w14:paraId="1C71E1D2" w14:textId="77777777">
            <w:pPr>
              <w:ind w:left="288"/>
              <w:rPr>
                <w:sz w:val="22"/>
                <w:szCs w:val="22"/>
              </w:rPr>
            </w:pPr>
            <w:r w:rsidRPr="003F5AE1">
              <w:rPr>
                <w:sz w:val="22"/>
                <w:szCs w:val="22"/>
              </w:rPr>
              <w:t>Fund Balance with Treasury</w:t>
            </w:r>
          </w:p>
        </w:tc>
        <w:tc>
          <w:tcPr>
            <w:tcW w:w="1539" w:type="dxa"/>
            <w:tcBorders>
              <w:left w:val="nil"/>
            </w:tcBorders>
            <w:vAlign w:val="bottom"/>
          </w:tcPr>
          <w:p w:rsidR="00A50840" w:rsidRPr="003F5AE1" w:rsidP="00285D06" w14:paraId="527FDD75" w14:textId="66D1BB21">
            <w:pPr>
              <w:jc w:val="right"/>
              <w:rPr>
                <w:sz w:val="22"/>
                <w:szCs w:val="22"/>
              </w:rPr>
            </w:pPr>
            <w:r>
              <w:rPr>
                <w:sz w:val="22"/>
                <w:szCs w:val="22"/>
              </w:rPr>
              <w:t>$    84,938,731</w:t>
            </w:r>
          </w:p>
        </w:tc>
        <w:tc>
          <w:tcPr>
            <w:tcW w:w="1479" w:type="dxa"/>
            <w:vAlign w:val="bottom"/>
          </w:tcPr>
          <w:p w:rsidR="00A50840" w:rsidRPr="003F5AE1" w:rsidP="00285D06" w14:paraId="0879526B" w14:textId="29A64CF5">
            <w:pPr>
              <w:jc w:val="right"/>
              <w:rPr>
                <w:sz w:val="22"/>
                <w:szCs w:val="22"/>
              </w:rPr>
            </w:pPr>
            <w:r w:rsidRPr="003F5AE1">
              <w:rPr>
                <w:sz w:val="22"/>
                <w:szCs w:val="22"/>
              </w:rPr>
              <w:t>$</w:t>
            </w:r>
            <w:r>
              <w:rPr>
                <w:sz w:val="22"/>
                <w:szCs w:val="22"/>
              </w:rPr>
              <w:t xml:space="preserve">  10,695,711 </w:t>
            </w:r>
          </w:p>
        </w:tc>
      </w:tr>
      <w:tr w14:paraId="5FCB1AF0" w14:textId="77777777" w:rsidTr="007D7B00">
        <w:tblPrEx>
          <w:tblW w:w="0" w:type="auto"/>
          <w:jc w:val="center"/>
          <w:tblLook w:val="04A0"/>
        </w:tblPrEx>
        <w:trPr>
          <w:cantSplit/>
          <w:jc w:val="center"/>
        </w:trPr>
        <w:tc>
          <w:tcPr>
            <w:tcW w:w="4140" w:type="dxa"/>
            <w:vAlign w:val="center"/>
          </w:tcPr>
          <w:p w:rsidR="00A50840" w:rsidRPr="003F5AE1" w:rsidP="001F76CC" w14:paraId="0A7C2422" w14:textId="77777777">
            <w:pPr>
              <w:ind w:left="288"/>
              <w:rPr>
                <w:sz w:val="22"/>
                <w:szCs w:val="22"/>
              </w:rPr>
            </w:pPr>
            <w:r w:rsidRPr="003F5AE1">
              <w:rPr>
                <w:sz w:val="22"/>
                <w:szCs w:val="22"/>
              </w:rPr>
              <w:t>Accounts Receivable</w:t>
            </w:r>
            <w:r>
              <w:rPr>
                <w:sz w:val="22"/>
                <w:szCs w:val="22"/>
              </w:rPr>
              <w:t>, Net</w:t>
            </w:r>
          </w:p>
        </w:tc>
        <w:tc>
          <w:tcPr>
            <w:tcW w:w="1539" w:type="dxa"/>
            <w:tcBorders>
              <w:left w:val="nil"/>
              <w:bottom w:val="single" w:sz="4" w:space="0" w:color="auto"/>
            </w:tcBorders>
            <w:vAlign w:val="bottom"/>
          </w:tcPr>
          <w:p w:rsidR="00A50840" w:rsidRPr="003F5AE1" w:rsidP="00285D06" w14:paraId="5604D4D4" w14:textId="77777777">
            <w:pPr>
              <w:jc w:val="right"/>
              <w:rPr>
                <w:sz w:val="22"/>
                <w:szCs w:val="22"/>
              </w:rPr>
            </w:pPr>
            <w:r>
              <w:rPr>
                <w:sz w:val="22"/>
                <w:szCs w:val="22"/>
              </w:rPr>
              <w:t>351</w:t>
            </w:r>
          </w:p>
        </w:tc>
        <w:tc>
          <w:tcPr>
            <w:tcW w:w="1479" w:type="dxa"/>
            <w:tcBorders>
              <w:bottom w:val="single" w:sz="4" w:space="0" w:color="auto"/>
            </w:tcBorders>
            <w:vAlign w:val="bottom"/>
          </w:tcPr>
          <w:p w:rsidR="00A50840" w:rsidRPr="003F5AE1" w:rsidP="00285D06" w14:paraId="624A8487" w14:textId="77777777">
            <w:pPr>
              <w:jc w:val="right"/>
              <w:rPr>
                <w:sz w:val="22"/>
                <w:szCs w:val="22"/>
              </w:rPr>
            </w:pPr>
            <w:r w:rsidRPr="003F5AE1">
              <w:rPr>
                <w:sz w:val="22"/>
                <w:szCs w:val="22"/>
              </w:rPr>
              <w:t>352</w:t>
            </w:r>
          </w:p>
        </w:tc>
      </w:tr>
      <w:tr w14:paraId="11D16B8B" w14:textId="77777777" w:rsidTr="00F131AD">
        <w:tblPrEx>
          <w:tblW w:w="0" w:type="auto"/>
          <w:jc w:val="center"/>
          <w:tblLook w:val="04A0"/>
        </w:tblPrEx>
        <w:trPr>
          <w:cantSplit/>
          <w:trHeight w:val="296"/>
          <w:jc w:val="center"/>
        </w:trPr>
        <w:tc>
          <w:tcPr>
            <w:tcW w:w="4140" w:type="dxa"/>
            <w:vAlign w:val="bottom"/>
          </w:tcPr>
          <w:p w:rsidR="00A50840" w:rsidRPr="003F5AE1" w:rsidP="00285D06" w14:paraId="0DD5589C" w14:textId="77777777">
            <w:pPr>
              <w:rPr>
                <w:sz w:val="22"/>
                <w:szCs w:val="22"/>
              </w:rPr>
            </w:pPr>
            <w:r w:rsidRPr="003F5AE1">
              <w:rPr>
                <w:sz w:val="22"/>
                <w:szCs w:val="22"/>
              </w:rPr>
              <w:t>Total Intragovernmental</w:t>
            </w:r>
          </w:p>
        </w:tc>
        <w:tc>
          <w:tcPr>
            <w:tcW w:w="1539" w:type="dxa"/>
            <w:tcBorders>
              <w:top w:val="single" w:sz="4" w:space="0" w:color="auto"/>
            </w:tcBorders>
            <w:vAlign w:val="bottom"/>
          </w:tcPr>
          <w:p w:rsidR="00A50840" w:rsidRPr="003F5AE1" w:rsidP="00285D06" w14:paraId="593278E1" w14:textId="77777777">
            <w:pPr>
              <w:jc w:val="right"/>
              <w:rPr>
                <w:sz w:val="22"/>
                <w:szCs w:val="22"/>
              </w:rPr>
            </w:pPr>
            <w:r>
              <w:rPr>
                <w:sz w:val="22"/>
                <w:szCs w:val="22"/>
              </w:rPr>
              <w:t>84,939,082</w:t>
            </w:r>
          </w:p>
        </w:tc>
        <w:tc>
          <w:tcPr>
            <w:tcW w:w="1479" w:type="dxa"/>
            <w:tcBorders>
              <w:top w:val="single" w:sz="4" w:space="0" w:color="auto"/>
            </w:tcBorders>
            <w:vAlign w:val="bottom"/>
          </w:tcPr>
          <w:p w:rsidR="00A50840" w:rsidRPr="003F5AE1" w:rsidP="00285D06" w14:paraId="3ABA22AF" w14:textId="77777777">
            <w:pPr>
              <w:jc w:val="right"/>
              <w:rPr>
                <w:sz w:val="22"/>
                <w:szCs w:val="22"/>
              </w:rPr>
            </w:pPr>
            <w:r>
              <w:rPr>
                <w:sz w:val="22"/>
                <w:szCs w:val="22"/>
              </w:rPr>
              <w:t>10,696,063</w:t>
            </w:r>
          </w:p>
        </w:tc>
      </w:tr>
      <w:tr w14:paraId="056E233C" w14:textId="77777777" w:rsidTr="00F131AD">
        <w:tblPrEx>
          <w:tblW w:w="0" w:type="auto"/>
          <w:jc w:val="center"/>
          <w:tblLook w:val="04A0"/>
        </w:tblPrEx>
        <w:trPr>
          <w:cantSplit/>
          <w:trHeight w:val="441"/>
          <w:jc w:val="center"/>
        </w:trPr>
        <w:tc>
          <w:tcPr>
            <w:tcW w:w="4140" w:type="dxa"/>
            <w:vAlign w:val="bottom"/>
          </w:tcPr>
          <w:p w:rsidR="00A50840" w:rsidRPr="003F5AE1" w:rsidP="00285D06" w14:paraId="1AEA17AF" w14:textId="77777777">
            <w:pPr>
              <w:rPr>
                <w:sz w:val="22"/>
                <w:szCs w:val="22"/>
              </w:rPr>
            </w:pPr>
            <w:r w:rsidRPr="003F5AE1">
              <w:rPr>
                <w:sz w:val="22"/>
                <w:szCs w:val="22"/>
              </w:rPr>
              <w:t xml:space="preserve">Accounts Receivable, </w:t>
            </w:r>
            <w:r>
              <w:rPr>
                <w:sz w:val="22"/>
                <w:szCs w:val="22"/>
              </w:rPr>
              <w:t>N</w:t>
            </w:r>
            <w:r w:rsidRPr="003F5AE1">
              <w:rPr>
                <w:sz w:val="22"/>
                <w:szCs w:val="22"/>
              </w:rPr>
              <w:t>et</w:t>
            </w:r>
          </w:p>
        </w:tc>
        <w:tc>
          <w:tcPr>
            <w:tcW w:w="1539" w:type="dxa"/>
            <w:tcBorders>
              <w:bottom w:val="single" w:sz="4" w:space="0" w:color="auto"/>
            </w:tcBorders>
            <w:vAlign w:val="bottom"/>
          </w:tcPr>
          <w:p w:rsidR="00A50840" w:rsidRPr="003F5AE1" w:rsidP="00285D06" w14:paraId="5C9B12BB" w14:textId="77777777">
            <w:pPr>
              <w:jc w:val="right"/>
              <w:rPr>
                <w:sz w:val="22"/>
                <w:szCs w:val="22"/>
              </w:rPr>
            </w:pPr>
            <w:r>
              <w:rPr>
                <w:sz w:val="22"/>
                <w:szCs w:val="22"/>
              </w:rPr>
              <w:t>23,283</w:t>
            </w:r>
          </w:p>
        </w:tc>
        <w:tc>
          <w:tcPr>
            <w:tcW w:w="1479" w:type="dxa"/>
            <w:tcBorders>
              <w:bottom w:val="single" w:sz="4" w:space="0" w:color="auto"/>
            </w:tcBorders>
            <w:vAlign w:val="bottom"/>
          </w:tcPr>
          <w:p w:rsidR="00A50840" w:rsidRPr="003F5AE1" w:rsidP="00285D06" w14:paraId="2B9B71EC" w14:textId="77777777">
            <w:pPr>
              <w:jc w:val="right"/>
              <w:rPr>
                <w:sz w:val="22"/>
                <w:szCs w:val="22"/>
              </w:rPr>
            </w:pPr>
            <w:r>
              <w:rPr>
                <w:sz w:val="22"/>
                <w:szCs w:val="22"/>
              </w:rPr>
              <w:t>21,396</w:t>
            </w:r>
          </w:p>
        </w:tc>
      </w:tr>
      <w:tr w14:paraId="1C9C25DF" w14:textId="77777777" w:rsidTr="00F131AD">
        <w:tblPrEx>
          <w:tblW w:w="0" w:type="auto"/>
          <w:jc w:val="center"/>
          <w:tblLook w:val="04A0"/>
        </w:tblPrEx>
        <w:trPr>
          <w:cantSplit/>
          <w:jc w:val="center"/>
        </w:trPr>
        <w:tc>
          <w:tcPr>
            <w:tcW w:w="4140" w:type="dxa"/>
            <w:vAlign w:val="bottom"/>
          </w:tcPr>
          <w:p w:rsidR="00A50840" w:rsidRPr="003F5AE1" w:rsidP="00285D06" w14:paraId="6D4A669F" w14:textId="77777777">
            <w:pPr>
              <w:rPr>
                <w:sz w:val="22"/>
                <w:szCs w:val="22"/>
              </w:rPr>
            </w:pPr>
            <w:r w:rsidRPr="003F5AE1">
              <w:rPr>
                <w:sz w:val="22"/>
                <w:szCs w:val="22"/>
              </w:rPr>
              <w:t>Total Non-entity Assets</w:t>
            </w:r>
          </w:p>
        </w:tc>
        <w:tc>
          <w:tcPr>
            <w:tcW w:w="1539" w:type="dxa"/>
            <w:tcBorders>
              <w:top w:val="single" w:sz="4" w:space="0" w:color="auto"/>
            </w:tcBorders>
            <w:vAlign w:val="bottom"/>
          </w:tcPr>
          <w:p w:rsidR="00A50840" w:rsidRPr="003F5AE1" w:rsidP="00285D06" w14:paraId="4469003D" w14:textId="77777777">
            <w:pPr>
              <w:jc w:val="right"/>
              <w:rPr>
                <w:sz w:val="22"/>
                <w:szCs w:val="22"/>
              </w:rPr>
            </w:pPr>
            <w:r>
              <w:rPr>
                <w:sz w:val="22"/>
                <w:szCs w:val="22"/>
              </w:rPr>
              <w:t>84,962,365</w:t>
            </w:r>
          </w:p>
        </w:tc>
        <w:tc>
          <w:tcPr>
            <w:tcW w:w="1479" w:type="dxa"/>
            <w:tcBorders>
              <w:top w:val="single" w:sz="4" w:space="0" w:color="auto"/>
            </w:tcBorders>
            <w:vAlign w:val="bottom"/>
          </w:tcPr>
          <w:p w:rsidR="00A50840" w:rsidRPr="003F5AE1" w:rsidP="00285D06" w14:paraId="73F517BA" w14:textId="77777777">
            <w:pPr>
              <w:jc w:val="right"/>
              <w:rPr>
                <w:sz w:val="22"/>
                <w:szCs w:val="22"/>
              </w:rPr>
            </w:pPr>
            <w:r>
              <w:rPr>
                <w:sz w:val="22"/>
                <w:szCs w:val="22"/>
              </w:rPr>
              <w:t>10,717,459</w:t>
            </w:r>
          </w:p>
        </w:tc>
      </w:tr>
      <w:tr w14:paraId="14163A7E" w14:textId="77777777" w:rsidTr="00F131AD">
        <w:tblPrEx>
          <w:tblW w:w="0" w:type="auto"/>
          <w:jc w:val="center"/>
          <w:tblLook w:val="04A0"/>
        </w:tblPrEx>
        <w:trPr>
          <w:cantSplit/>
          <w:jc w:val="center"/>
        </w:trPr>
        <w:tc>
          <w:tcPr>
            <w:tcW w:w="4140" w:type="dxa"/>
            <w:vAlign w:val="bottom"/>
          </w:tcPr>
          <w:p w:rsidR="00A50840" w:rsidRPr="003F5AE1" w:rsidP="00285D06" w14:paraId="2D6593AF" w14:textId="77777777">
            <w:pPr>
              <w:rPr>
                <w:sz w:val="22"/>
                <w:szCs w:val="22"/>
              </w:rPr>
            </w:pPr>
            <w:r w:rsidRPr="003F5AE1">
              <w:rPr>
                <w:sz w:val="22"/>
                <w:szCs w:val="22"/>
              </w:rPr>
              <w:t>Total Entity Assets</w:t>
            </w:r>
          </w:p>
        </w:tc>
        <w:tc>
          <w:tcPr>
            <w:tcW w:w="1539" w:type="dxa"/>
            <w:tcBorders>
              <w:bottom w:val="single" w:sz="4" w:space="0" w:color="auto"/>
            </w:tcBorders>
            <w:vAlign w:val="bottom"/>
          </w:tcPr>
          <w:p w:rsidR="00A50840" w:rsidRPr="003F5AE1" w:rsidP="00285D06" w14:paraId="142BA8E6" w14:textId="77777777">
            <w:pPr>
              <w:jc w:val="right"/>
              <w:rPr>
                <w:sz w:val="22"/>
                <w:szCs w:val="22"/>
              </w:rPr>
            </w:pPr>
            <w:r>
              <w:rPr>
                <w:sz w:val="22"/>
                <w:szCs w:val="22"/>
              </w:rPr>
              <w:t>21,177,722</w:t>
            </w:r>
          </w:p>
        </w:tc>
        <w:tc>
          <w:tcPr>
            <w:tcW w:w="1479" w:type="dxa"/>
            <w:tcBorders>
              <w:bottom w:val="single" w:sz="4" w:space="0" w:color="auto"/>
            </w:tcBorders>
            <w:vAlign w:val="bottom"/>
          </w:tcPr>
          <w:p w:rsidR="00A50840" w:rsidRPr="003F5AE1" w:rsidP="00285D06" w14:paraId="6648DB69" w14:textId="77777777">
            <w:pPr>
              <w:jc w:val="right"/>
              <w:rPr>
                <w:sz w:val="22"/>
                <w:szCs w:val="22"/>
              </w:rPr>
            </w:pPr>
            <w:r>
              <w:rPr>
                <w:sz w:val="22"/>
                <w:szCs w:val="22"/>
              </w:rPr>
              <w:t>8,959,542</w:t>
            </w:r>
          </w:p>
        </w:tc>
      </w:tr>
      <w:tr w14:paraId="2338D130" w14:textId="77777777" w:rsidTr="00F131AD">
        <w:tblPrEx>
          <w:tblW w:w="0" w:type="auto"/>
          <w:jc w:val="center"/>
          <w:tblLook w:val="04A0"/>
        </w:tblPrEx>
        <w:trPr>
          <w:cantSplit/>
          <w:trHeight w:val="70"/>
          <w:jc w:val="center"/>
        </w:trPr>
        <w:tc>
          <w:tcPr>
            <w:tcW w:w="4140" w:type="dxa"/>
            <w:vAlign w:val="bottom"/>
          </w:tcPr>
          <w:p w:rsidR="00A50840" w:rsidRPr="003F5AE1" w:rsidP="00285D06" w14:paraId="33CEA41A" w14:textId="77777777">
            <w:pPr>
              <w:rPr>
                <w:sz w:val="22"/>
                <w:szCs w:val="22"/>
              </w:rPr>
            </w:pPr>
            <w:r w:rsidRPr="003F5AE1">
              <w:rPr>
                <w:sz w:val="22"/>
                <w:szCs w:val="22"/>
              </w:rPr>
              <w:t>Total Assets</w:t>
            </w:r>
          </w:p>
        </w:tc>
        <w:tc>
          <w:tcPr>
            <w:tcW w:w="1539" w:type="dxa"/>
            <w:tcBorders>
              <w:top w:val="single" w:sz="4" w:space="0" w:color="auto"/>
              <w:bottom w:val="double" w:sz="4" w:space="0" w:color="auto"/>
            </w:tcBorders>
            <w:vAlign w:val="bottom"/>
          </w:tcPr>
          <w:p w:rsidR="00A50840" w:rsidRPr="003F5AE1" w:rsidP="00285D06" w14:paraId="05C2BEB8" w14:textId="11D54388">
            <w:pPr>
              <w:jc w:val="right"/>
              <w:rPr>
                <w:sz w:val="22"/>
                <w:szCs w:val="22"/>
              </w:rPr>
            </w:pPr>
            <w:r>
              <w:rPr>
                <w:sz w:val="22"/>
                <w:szCs w:val="22"/>
              </w:rPr>
              <w:t>$  106,140,087</w:t>
            </w:r>
          </w:p>
        </w:tc>
        <w:tc>
          <w:tcPr>
            <w:tcW w:w="1479" w:type="dxa"/>
            <w:tcBorders>
              <w:top w:val="single" w:sz="4" w:space="0" w:color="auto"/>
              <w:bottom w:val="double" w:sz="4" w:space="0" w:color="auto"/>
            </w:tcBorders>
            <w:vAlign w:val="bottom"/>
          </w:tcPr>
          <w:p w:rsidR="00A50840" w:rsidRPr="003F5AE1" w:rsidP="00285D06" w14:paraId="02F24474" w14:textId="46030F9A">
            <w:pPr>
              <w:jc w:val="right"/>
              <w:rPr>
                <w:sz w:val="22"/>
                <w:szCs w:val="22"/>
              </w:rPr>
            </w:pPr>
            <w:r w:rsidRPr="003F5AE1">
              <w:rPr>
                <w:sz w:val="22"/>
                <w:szCs w:val="22"/>
              </w:rPr>
              <w:t>$</w:t>
            </w:r>
            <w:r>
              <w:rPr>
                <w:sz w:val="22"/>
                <w:szCs w:val="22"/>
              </w:rPr>
              <w:t xml:space="preserve">  19,677,001</w:t>
            </w:r>
          </w:p>
        </w:tc>
      </w:tr>
    </w:tbl>
    <w:p w:rsidR="006D63B8" w:rsidP="00B45348" w14:paraId="1C0B201E" w14:textId="77777777">
      <w:pPr>
        <w:spacing w:before="360"/>
        <w:jc w:val="both"/>
        <w:rPr>
          <w:sz w:val="22"/>
          <w:szCs w:val="22"/>
        </w:rPr>
        <w:sectPr w:rsidSect="003162F9">
          <w:pgSz w:w="12240" w:h="15840"/>
          <w:pgMar w:top="1440" w:right="1440" w:bottom="1296" w:left="1440" w:header="720" w:footer="720" w:gutter="0"/>
          <w:cols w:space="720"/>
        </w:sectPr>
      </w:pPr>
      <w:r w:rsidRPr="00BA1E56">
        <w:rPr>
          <w:sz w:val="22"/>
          <w:szCs w:val="22"/>
        </w:rPr>
        <w:t>Non-entity Fund Balance with Treasury (FBWT) primarily represents auction deposits.</w:t>
      </w:r>
      <w:r w:rsidR="00C933B2">
        <w:rPr>
          <w:sz w:val="22"/>
          <w:szCs w:val="22"/>
        </w:rPr>
        <w:t xml:space="preserve"> </w:t>
      </w:r>
      <w:r w:rsidRPr="00BA1E56">
        <w:rPr>
          <w:sz w:val="22"/>
          <w:szCs w:val="22"/>
        </w:rPr>
        <w:t>Accounts receivable considered non-entity include regulatory fees, application fees, fines and forfeitures, spectrum auctions, and International Telecommunications Settlement (ITS) charges.</w:t>
      </w:r>
    </w:p>
    <w:p w:rsidR="00285D06" w:rsidRPr="00415320" w:rsidP="004745C2" w14:paraId="1E656D83" w14:textId="77777777">
      <w:pPr>
        <w:pStyle w:val="Heading4"/>
        <w:rPr>
          <w:sz w:val="22"/>
          <w:szCs w:val="22"/>
        </w:rPr>
      </w:pPr>
      <w:bookmarkStart w:id="244" w:name="_Toc88780698"/>
      <w:r w:rsidRPr="00415320">
        <w:rPr>
          <w:sz w:val="22"/>
          <w:szCs w:val="22"/>
        </w:rPr>
        <w:t>Note 3 – Fund Balance with Treasury</w:t>
      </w:r>
      <w:bookmarkEnd w:id="244"/>
    </w:p>
    <w:p w:rsidR="00285D06" w:rsidP="001F4865" w14:paraId="584AC886" w14:textId="77777777">
      <w:pPr>
        <w:tabs>
          <w:tab w:val="left" w:pos="2880"/>
          <w:tab w:val="left" w:pos="5040"/>
          <w:tab w:val="left" w:pos="7200"/>
        </w:tabs>
        <w:spacing w:after="360"/>
        <w:jc w:val="both"/>
        <w:rPr>
          <w:sz w:val="22"/>
          <w:szCs w:val="22"/>
        </w:rPr>
      </w:pPr>
      <w:r w:rsidRPr="00BA1E56">
        <w:rPr>
          <w:sz w:val="22"/>
          <w:szCs w:val="22"/>
        </w:rPr>
        <w:t xml:space="preserve">The following summarizes FBWT as of </w:t>
      </w:r>
      <w:r>
        <w:rPr>
          <w:sz w:val="22"/>
          <w:szCs w:val="22"/>
        </w:rPr>
        <w:t>September 30, 2021</w:t>
      </w:r>
      <w:r w:rsidRPr="00BA1E56">
        <w:rPr>
          <w:sz w:val="22"/>
          <w:szCs w:val="22"/>
        </w:rPr>
        <w:t xml:space="preserve"> and September 30</w:t>
      </w:r>
      <w:r>
        <w:rPr>
          <w:sz w:val="22"/>
          <w:szCs w:val="22"/>
        </w:rPr>
        <w:t>, 2020</w:t>
      </w:r>
      <w:r w:rsidRPr="00BA1E56">
        <w:rPr>
          <w:sz w:val="22"/>
          <w:szCs w:val="22"/>
        </w:rPr>
        <w:t>:</w:t>
      </w:r>
    </w:p>
    <w:tbl>
      <w:tblPr>
        <w:tblStyle w:val="TableGrid"/>
        <w:tblW w:w="7470" w:type="dxa"/>
        <w:tblInd w:w="540" w:type="dxa"/>
        <w:tblLayout w:type="fixed"/>
        <w:tblLook w:val="04A0"/>
      </w:tblPr>
      <w:tblGrid>
        <w:gridCol w:w="3870"/>
        <w:gridCol w:w="1800"/>
        <w:gridCol w:w="1800"/>
      </w:tblGrid>
      <w:tr w14:paraId="3624F548" w14:textId="77777777" w:rsidTr="00313E88">
        <w:tblPrEx>
          <w:tblW w:w="7470" w:type="dxa"/>
          <w:tblInd w:w="540" w:type="dxa"/>
          <w:tblLayout w:type="fixed"/>
          <w:tblLook w:val="04A0"/>
        </w:tblPrEx>
        <w:tc>
          <w:tcPr>
            <w:tcW w:w="3870" w:type="dxa"/>
            <w:tcBorders>
              <w:top w:val="nil"/>
              <w:left w:val="nil"/>
              <w:bottom w:val="nil"/>
              <w:right w:val="nil"/>
            </w:tcBorders>
          </w:tcPr>
          <w:p w:rsidR="00313E88" w:rsidRPr="003F5AE1" w:rsidP="00285D06" w14:paraId="6CFF5630" w14:textId="77777777">
            <w:pPr>
              <w:tabs>
                <w:tab w:val="left" w:pos="2880"/>
                <w:tab w:val="left" w:pos="5040"/>
                <w:tab w:val="left" w:pos="7200"/>
              </w:tabs>
              <w:jc w:val="center"/>
              <w:rPr>
                <w:sz w:val="22"/>
                <w:szCs w:val="22"/>
              </w:rPr>
            </w:pPr>
            <w:bookmarkStart w:id="245" w:name="_Hlk87272289"/>
          </w:p>
        </w:tc>
        <w:tc>
          <w:tcPr>
            <w:tcW w:w="1800" w:type="dxa"/>
            <w:tcBorders>
              <w:top w:val="nil"/>
              <w:left w:val="nil"/>
              <w:bottom w:val="single" w:sz="4" w:space="0" w:color="auto"/>
              <w:right w:val="nil"/>
            </w:tcBorders>
          </w:tcPr>
          <w:p w:rsidR="00313E88" w:rsidRPr="003F5AE1" w:rsidP="00285D06" w14:paraId="1A9A6467" w14:textId="77777777">
            <w:pPr>
              <w:tabs>
                <w:tab w:val="left" w:pos="2880"/>
                <w:tab w:val="left" w:pos="5040"/>
                <w:tab w:val="left" w:pos="7200"/>
              </w:tabs>
              <w:jc w:val="center"/>
              <w:rPr>
                <w:sz w:val="22"/>
                <w:szCs w:val="22"/>
              </w:rPr>
            </w:pPr>
            <w:r w:rsidRPr="003F5AE1">
              <w:rPr>
                <w:sz w:val="22"/>
                <w:szCs w:val="22"/>
              </w:rPr>
              <w:t xml:space="preserve">FY </w:t>
            </w:r>
            <w:r>
              <w:rPr>
                <w:sz w:val="22"/>
                <w:szCs w:val="22"/>
              </w:rPr>
              <w:t>2021</w:t>
            </w:r>
          </w:p>
        </w:tc>
        <w:tc>
          <w:tcPr>
            <w:tcW w:w="1800" w:type="dxa"/>
            <w:tcBorders>
              <w:top w:val="nil"/>
              <w:left w:val="nil"/>
              <w:bottom w:val="single" w:sz="4" w:space="0" w:color="auto"/>
              <w:right w:val="nil"/>
            </w:tcBorders>
          </w:tcPr>
          <w:p w:rsidR="00313E88" w:rsidRPr="003F5AE1" w:rsidP="00285D06" w14:paraId="1F9F1CEA" w14:textId="77777777">
            <w:pPr>
              <w:tabs>
                <w:tab w:val="left" w:pos="2880"/>
                <w:tab w:val="left" w:pos="5040"/>
                <w:tab w:val="left" w:pos="7200"/>
              </w:tabs>
              <w:jc w:val="center"/>
              <w:rPr>
                <w:sz w:val="22"/>
                <w:szCs w:val="22"/>
              </w:rPr>
            </w:pPr>
            <w:r w:rsidRPr="003F5AE1">
              <w:rPr>
                <w:sz w:val="22"/>
                <w:szCs w:val="22"/>
              </w:rPr>
              <w:t xml:space="preserve">FY </w:t>
            </w:r>
            <w:r>
              <w:rPr>
                <w:sz w:val="22"/>
                <w:szCs w:val="22"/>
              </w:rPr>
              <w:t>2020</w:t>
            </w:r>
          </w:p>
        </w:tc>
      </w:tr>
      <w:tr w14:paraId="280261D1" w14:textId="77777777" w:rsidTr="00313E88">
        <w:tblPrEx>
          <w:tblW w:w="7470" w:type="dxa"/>
          <w:tblInd w:w="540" w:type="dxa"/>
          <w:tblLayout w:type="fixed"/>
          <w:tblLook w:val="04A0"/>
        </w:tblPrEx>
        <w:trPr>
          <w:trHeight w:val="233"/>
        </w:trPr>
        <w:tc>
          <w:tcPr>
            <w:tcW w:w="3870" w:type="dxa"/>
            <w:tcBorders>
              <w:top w:val="nil"/>
              <w:left w:val="nil"/>
              <w:bottom w:val="nil"/>
              <w:right w:val="nil"/>
            </w:tcBorders>
          </w:tcPr>
          <w:p w:rsidR="00313E88" w:rsidRPr="003F5AE1" w:rsidP="00285D06" w14:paraId="42E28E71" w14:textId="77777777">
            <w:pPr>
              <w:tabs>
                <w:tab w:val="left" w:pos="2880"/>
                <w:tab w:val="left" w:pos="5040"/>
                <w:tab w:val="left" w:pos="7200"/>
              </w:tabs>
              <w:rPr>
                <w:sz w:val="22"/>
                <w:szCs w:val="22"/>
              </w:rPr>
            </w:pPr>
            <w:r>
              <w:rPr>
                <w:sz w:val="22"/>
                <w:szCs w:val="22"/>
              </w:rPr>
              <w:t>Status of Fund Balance with Treasury</w:t>
            </w:r>
          </w:p>
        </w:tc>
        <w:tc>
          <w:tcPr>
            <w:tcW w:w="1800" w:type="dxa"/>
            <w:tcBorders>
              <w:top w:val="single" w:sz="4" w:space="0" w:color="auto"/>
              <w:left w:val="nil"/>
              <w:bottom w:val="nil"/>
              <w:right w:val="nil"/>
            </w:tcBorders>
          </w:tcPr>
          <w:p w:rsidR="00313E88" w:rsidRPr="003F5AE1" w:rsidP="00285D06" w14:paraId="087F633D" w14:textId="77777777">
            <w:pPr>
              <w:tabs>
                <w:tab w:val="left" w:pos="2880"/>
                <w:tab w:val="left" w:pos="5040"/>
                <w:tab w:val="left" w:pos="7200"/>
              </w:tabs>
              <w:jc w:val="both"/>
              <w:rPr>
                <w:sz w:val="22"/>
                <w:szCs w:val="22"/>
              </w:rPr>
            </w:pPr>
          </w:p>
        </w:tc>
        <w:tc>
          <w:tcPr>
            <w:tcW w:w="1800" w:type="dxa"/>
            <w:tcBorders>
              <w:top w:val="single" w:sz="4" w:space="0" w:color="auto"/>
              <w:left w:val="nil"/>
              <w:bottom w:val="nil"/>
              <w:right w:val="nil"/>
            </w:tcBorders>
          </w:tcPr>
          <w:p w:rsidR="00313E88" w:rsidRPr="003F5AE1" w:rsidP="00285D06" w14:paraId="46F45F8C" w14:textId="77777777">
            <w:pPr>
              <w:tabs>
                <w:tab w:val="left" w:pos="2880"/>
                <w:tab w:val="left" w:pos="5040"/>
                <w:tab w:val="left" w:pos="7200"/>
              </w:tabs>
              <w:jc w:val="both"/>
              <w:rPr>
                <w:sz w:val="22"/>
                <w:szCs w:val="22"/>
              </w:rPr>
            </w:pPr>
          </w:p>
        </w:tc>
      </w:tr>
      <w:tr w14:paraId="5C85E216" w14:textId="77777777" w:rsidTr="00313E88">
        <w:tblPrEx>
          <w:tblW w:w="7470" w:type="dxa"/>
          <w:tblInd w:w="540" w:type="dxa"/>
          <w:tblLayout w:type="fixed"/>
          <w:tblLook w:val="04A0"/>
        </w:tblPrEx>
        <w:trPr>
          <w:trHeight w:val="233"/>
        </w:trPr>
        <w:tc>
          <w:tcPr>
            <w:tcW w:w="3870" w:type="dxa"/>
            <w:tcBorders>
              <w:top w:val="nil"/>
              <w:left w:val="nil"/>
              <w:bottom w:val="nil"/>
              <w:right w:val="nil"/>
            </w:tcBorders>
          </w:tcPr>
          <w:p w:rsidR="00313E88" w:rsidRPr="003F5AE1" w:rsidP="00285D06" w14:paraId="7E6F4E3D" w14:textId="77777777">
            <w:pPr>
              <w:tabs>
                <w:tab w:val="left" w:pos="2880"/>
                <w:tab w:val="left" w:pos="5040"/>
                <w:tab w:val="left" w:pos="7200"/>
              </w:tabs>
              <w:rPr>
                <w:sz w:val="22"/>
                <w:szCs w:val="22"/>
              </w:rPr>
            </w:pPr>
            <w:r w:rsidRPr="003F5AE1">
              <w:rPr>
                <w:sz w:val="22"/>
                <w:szCs w:val="22"/>
              </w:rPr>
              <w:t xml:space="preserve">Unobligated Balance </w:t>
            </w:r>
          </w:p>
        </w:tc>
        <w:tc>
          <w:tcPr>
            <w:tcW w:w="1800" w:type="dxa"/>
            <w:tcBorders>
              <w:top w:val="nil"/>
              <w:left w:val="nil"/>
              <w:bottom w:val="nil"/>
              <w:right w:val="nil"/>
            </w:tcBorders>
          </w:tcPr>
          <w:p w:rsidR="00313E88" w:rsidRPr="003F5AE1" w:rsidP="00285D06" w14:paraId="0F1966A9" w14:textId="77777777">
            <w:pPr>
              <w:tabs>
                <w:tab w:val="left" w:pos="2880"/>
                <w:tab w:val="left" w:pos="5040"/>
                <w:tab w:val="left" w:pos="7200"/>
              </w:tabs>
              <w:jc w:val="both"/>
              <w:rPr>
                <w:sz w:val="22"/>
                <w:szCs w:val="22"/>
              </w:rPr>
            </w:pPr>
          </w:p>
        </w:tc>
        <w:tc>
          <w:tcPr>
            <w:tcW w:w="1800" w:type="dxa"/>
            <w:tcBorders>
              <w:top w:val="nil"/>
              <w:left w:val="nil"/>
              <w:bottom w:val="nil"/>
              <w:right w:val="nil"/>
            </w:tcBorders>
          </w:tcPr>
          <w:p w:rsidR="00313E88" w:rsidRPr="003F5AE1" w:rsidP="00285D06" w14:paraId="52387FA6" w14:textId="77777777">
            <w:pPr>
              <w:tabs>
                <w:tab w:val="left" w:pos="2880"/>
                <w:tab w:val="left" w:pos="5040"/>
                <w:tab w:val="left" w:pos="7200"/>
              </w:tabs>
              <w:jc w:val="both"/>
              <w:rPr>
                <w:sz w:val="22"/>
                <w:szCs w:val="22"/>
              </w:rPr>
            </w:pPr>
          </w:p>
        </w:tc>
      </w:tr>
      <w:tr w14:paraId="70B30ED5" w14:textId="77777777" w:rsidTr="00313E88">
        <w:tblPrEx>
          <w:tblW w:w="7470" w:type="dxa"/>
          <w:tblInd w:w="540" w:type="dxa"/>
          <w:tblLayout w:type="fixed"/>
          <w:tblLook w:val="04A0"/>
        </w:tblPrEx>
        <w:tc>
          <w:tcPr>
            <w:tcW w:w="3870" w:type="dxa"/>
            <w:tcBorders>
              <w:top w:val="nil"/>
              <w:left w:val="nil"/>
              <w:bottom w:val="nil"/>
              <w:right w:val="nil"/>
            </w:tcBorders>
          </w:tcPr>
          <w:p w:rsidR="00313E88" w:rsidRPr="003F5AE1" w:rsidP="0085593F" w14:paraId="74F5CCB5" w14:textId="77777777">
            <w:pPr>
              <w:tabs>
                <w:tab w:val="left" w:pos="2880"/>
                <w:tab w:val="left" w:pos="5040"/>
                <w:tab w:val="left" w:pos="7200"/>
              </w:tabs>
              <w:ind w:left="288"/>
              <w:rPr>
                <w:sz w:val="22"/>
                <w:szCs w:val="22"/>
              </w:rPr>
            </w:pPr>
            <w:r w:rsidRPr="003F5AE1">
              <w:rPr>
                <w:sz w:val="22"/>
                <w:szCs w:val="22"/>
              </w:rPr>
              <w:t>Available</w:t>
            </w:r>
          </w:p>
        </w:tc>
        <w:tc>
          <w:tcPr>
            <w:tcW w:w="1800" w:type="dxa"/>
            <w:tcBorders>
              <w:top w:val="nil"/>
              <w:left w:val="nil"/>
              <w:bottom w:val="nil"/>
              <w:right w:val="nil"/>
            </w:tcBorders>
          </w:tcPr>
          <w:p w:rsidR="00313E88" w:rsidRPr="003F5AE1" w:rsidP="00555A1F" w14:paraId="14BB22B5" w14:textId="2A7E91EC">
            <w:pPr>
              <w:tabs>
                <w:tab w:val="left" w:pos="1335"/>
                <w:tab w:val="left" w:pos="2880"/>
                <w:tab w:val="left" w:pos="5040"/>
                <w:tab w:val="left" w:pos="7200"/>
              </w:tabs>
              <w:jc w:val="right"/>
              <w:rPr>
                <w:sz w:val="22"/>
                <w:szCs w:val="22"/>
              </w:rPr>
            </w:pPr>
            <w:r>
              <w:rPr>
                <w:sz w:val="22"/>
                <w:szCs w:val="22"/>
              </w:rPr>
              <w:t>$          2,614,812</w:t>
            </w:r>
          </w:p>
        </w:tc>
        <w:tc>
          <w:tcPr>
            <w:tcW w:w="1800" w:type="dxa"/>
            <w:tcBorders>
              <w:top w:val="nil"/>
              <w:left w:val="nil"/>
              <w:bottom w:val="nil"/>
              <w:right w:val="nil"/>
            </w:tcBorders>
          </w:tcPr>
          <w:p w:rsidR="00313E88" w:rsidRPr="003F5AE1" w:rsidP="00285D06" w14:paraId="3239DBD3" w14:textId="0E95A93A">
            <w:pPr>
              <w:tabs>
                <w:tab w:val="left" w:pos="2880"/>
                <w:tab w:val="left" w:pos="5040"/>
                <w:tab w:val="left" w:pos="7200"/>
              </w:tabs>
              <w:jc w:val="right"/>
              <w:rPr>
                <w:sz w:val="22"/>
                <w:szCs w:val="22"/>
              </w:rPr>
            </w:pPr>
            <w:r w:rsidRPr="003F5AE1">
              <w:rPr>
                <w:sz w:val="22"/>
                <w:szCs w:val="22"/>
              </w:rPr>
              <w:t>$</w:t>
            </w:r>
            <w:r>
              <w:rPr>
                <w:sz w:val="22"/>
                <w:szCs w:val="22"/>
              </w:rPr>
              <w:t xml:space="preserve">        </w:t>
            </w:r>
            <w:r w:rsidRPr="003F5AE1">
              <w:rPr>
                <w:sz w:val="22"/>
                <w:szCs w:val="22"/>
              </w:rPr>
              <w:t>(</w:t>
            </w:r>
            <w:r>
              <w:rPr>
                <w:sz w:val="22"/>
                <w:szCs w:val="22"/>
              </w:rPr>
              <w:t>8,600,781)</w:t>
            </w:r>
          </w:p>
        </w:tc>
      </w:tr>
      <w:tr w14:paraId="0DCCB2B1" w14:textId="77777777" w:rsidTr="00313E88">
        <w:tblPrEx>
          <w:tblW w:w="7470" w:type="dxa"/>
          <w:tblInd w:w="540" w:type="dxa"/>
          <w:tblLayout w:type="fixed"/>
          <w:tblLook w:val="04A0"/>
        </w:tblPrEx>
        <w:tc>
          <w:tcPr>
            <w:tcW w:w="3870" w:type="dxa"/>
            <w:tcBorders>
              <w:top w:val="nil"/>
              <w:left w:val="nil"/>
              <w:bottom w:val="nil"/>
              <w:right w:val="nil"/>
            </w:tcBorders>
          </w:tcPr>
          <w:p w:rsidR="00313E88" w:rsidRPr="003F5AE1" w:rsidP="0085593F" w14:paraId="42E3FE17" w14:textId="77777777">
            <w:pPr>
              <w:tabs>
                <w:tab w:val="left" w:pos="2880"/>
                <w:tab w:val="left" w:pos="5040"/>
                <w:tab w:val="left" w:pos="7200"/>
              </w:tabs>
              <w:ind w:left="288"/>
              <w:rPr>
                <w:sz w:val="22"/>
                <w:szCs w:val="22"/>
              </w:rPr>
            </w:pPr>
            <w:r w:rsidRPr="003F5AE1">
              <w:rPr>
                <w:sz w:val="22"/>
                <w:szCs w:val="22"/>
              </w:rPr>
              <w:t>Unavailable</w:t>
            </w:r>
          </w:p>
        </w:tc>
        <w:tc>
          <w:tcPr>
            <w:tcW w:w="1800" w:type="dxa"/>
            <w:tcBorders>
              <w:top w:val="nil"/>
              <w:left w:val="nil"/>
              <w:bottom w:val="nil"/>
              <w:right w:val="nil"/>
            </w:tcBorders>
          </w:tcPr>
          <w:p w:rsidR="00313E88" w:rsidRPr="003F5AE1" w:rsidP="00555A1F" w14:paraId="3F9784EF" w14:textId="77777777">
            <w:pPr>
              <w:tabs>
                <w:tab w:val="left" w:pos="2880"/>
                <w:tab w:val="left" w:pos="5040"/>
                <w:tab w:val="left" w:pos="7200"/>
              </w:tabs>
              <w:jc w:val="right"/>
              <w:rPr>
                <w:sz w:val="22"/>
                <w:szCs w:val="22"/>
              </w:rPr>
            </w:pPr>
            <w:r>
              <w:rPr>
                <w:sz w:val="22"/>
                <w:szCs w:val="22"/>
              </w:rPr>
              <w:t>17,367</w:t>
            </w:r>
          </w:p>
        </w:tc>
        <w:tc>
          <w:tcPr>
            <w:tcW w:w="1800" w:type="dxa"/>
            <w:tcBorders>
              <w:top w:val="nil"/>
              <w:left w:val="nil"/>
              <w:bottom w:val="nil"/>
              <w:right w:val="nil"/>
            </w:tcBorders>
          </w:tcPr>
          <w:p w:rsidR="00313E88" w:rsidRPr="003F5AE1" w:rsidP="00285D06" w14:paraId="7964097B" w14:textId="77777777">
            <w:pPr>
              <w:tabs>
                <w:tab w:val="left" w:pos="2880"/>
                <w:tab w:val="left" w:pos="5040"/>
                <w:tab w:val="left" w:pos="7200"/>
              </w:tabs>
              <w:ind w:right="72"/>
              <w:jc w:val="right"/>
              <w:rPr>
                <w:sz w:val="22"/>
              </w:rPr>
            </w:pPr>
            <w:r>
              <w:rPr>
                <w:sz w:val="22"/>
              </w:rPr>
              <w:t>35,405</w:t>
            </w:r>
          </w:p>
        </w:tc>
      </w:tr>
      <w:tr w14:paraId="6139172B" w14:textId="77777777" w:rsidTr="00313E88">
        <w:tblPrEx>
          <w:tblW w:w="7470" w:type="dxa"/>
          <w:tblInd w:w="540" w:type="dxa"/>
          <w:tblLayout w:type="fixed"/>
          <w:tblLook w:val="04A0"/>
        </w:tblPrEx>
        <w:tc>
          <w:tcPr>
            <w:tcW w:w="3870" w:type="dxa"/>
            <w:tcBorders>
              <w:top w:val="nil"/>
              <w:left w:val="nil"/>
              <w:bottom w:val="nil"/>
              <w:right w:val="nil"/>
            </w:tcBorders>
          </w:tcPr>
          <w:p w:rsidR="00313E88" w:rsidRPr="003F5AE1" w:rsidP="00285D06" w14:paraId="00EFDF49" w14:textId="77777777">
            <w:pPr>
              <w:tabs>
                <w:tab w:val="left" w:pos="2880"/>
                <w:tab w:val="left" w:pos="5040"/>
                <w:tab w:val="left" w:pos="7200"/>
              </w:tabs>
              <w:rPr>
                <w:sz w:val="22"/>
                <w:szCs w:val="22"/>
              </w:rPr>
            </w:pPr>
            <w:r w:rsidRPr="003F5AE1">
              <w:rPr>
                <w:sz w:val="22"/>
                <w:szCs w:val="22"/>
              </w:rPr>
              <w:t>Obligated Balance not yet Disbursed</w:t>
            </w:r>
          </w:p>
        </w:tc>
        <w:tc>
          <w:tcPr>
            <w:tcW w:w="1800" w:type="dxa"/>
            <w:tcBorders>
              <w:top w:val="nil"/>
              <w:left w:val="nil"/>
              <w:bottom w:val="nil"/>
              <w:right w:val="nil"/>
            </w:tcBorders>
          </w:tcPr>
          <w:p w:rsidR="00313E88" w:rsidRPr="003F5AE1" w:rsidP="00555A1F" w14:paraId="0D55A2BA" w14:textId="4D073BDC">
            <w:pPr>
              <w:tabs>
                <w:tab w:val="left" w:pos="2880"/>
                <w:tab w:val="left" w:pos="5040"/>
                <w:tab w:val="left" w:pos="7200"/>
              </w:tabs>
              <w:jc w:val="right"/>
              <w:rPr>
                <w:sz w:val="22"/>
                <w:szCs w:val="22"/>
              </w:rPr>
            </w:pPr>
            <w:r>
              <w:rPr>
                <w:sz w:val="22"/>
                <w:szCs w:val="22"/>
              </w:rPr>
              <w:t>17,641,864</w:t>
            </w:r>
          </w:p>
        </w:tc>
        <w:tc>
          <w:tcPr>
            <w:tcW w:w="1800" w:type="dxa"/>
            <w:tcBorders>
              <w:top w:val="nil"/>
              <w:left w:val="nil"/>
              <w:bottom w:val="nil"/>
              <w:right w:val="nil"/>
            </w:tcBorders>
          </w:tcPr>
          <w:p w:rsidR="00313E88" w:rsidRPr="003F5AE1" w:rsidP="00285D06" w14:paraId="0FF265D3" w14:textId="77777777">
            <w:pPr>
              <w:tabs>
                <w:tab w:val="left" w:pos="2880"/>
                <w:tab w:val="left" w:pos="5040"/>
                <w:tab w:val="left" w:pos="7200"/>
              </w:tabs>
              <w:ind w:right="72"/>
              <w:jc w:val="right"/>
              <w:rPr>
                <w:sz w:val="22"/>
              </w:rPr>
            </w:pPr>
            <w:r w:rsidRPr="003F5AE1">
              <w:rPr>
                <w:sz w:val="22"/>
              </w:rPr>
              <w:t>1</w:t>
            </w:r>
            <w:r>
              <w:rPr>
                <w:sz w:val="22"/>
              </w:rPr>
              <w:t>6,656,961</w:t>
            </w:r>
          </w:p>
        </w:tc>
      </w:tr>
      <w:tr w14:paraId="2415B7CD" w14:textId="77777777" w:rsidTr="00313E88">
        <w:tblPrEx>
          <w:tblW w:w="7470" w:type="dxa"/>
          <w:tblInd w:w="540" w:type="dxa"/>
          <w:tblLayout w:type="fixed"/>
          <w:tblLook w:val="04A0"/>
        </w:tblPrEx>
        <w:tc>
          <w:tcPr>
            <w:tcW w:w="3870" w:type="dxa"/>
            <w:tcBorders>
              <w:top w:val="nil"/>
              <w:left w:val="nil"/>
              <w:bottom w:val="nil"/>
              <w:right w:val="nil"/>
            </w:tcBorders>
          </w:tcPr>
          <w:p w:rsidR="00313E88" w:rsidRPr="003F5AE1" w:rsidP="00285D06" w14:paraId="663AC810" w14:textId="77777777">
            <w:pPr>
              <w:tabs>
                <w:tab w:val="left" w:pos="2880"/>
                <w:tab w:val="left" w:pos="5040"/>
                <w:tab w:val="left" w:pos="7200"/>
              </w:tabs>
              <w:rPr>
                <w:sz w:val="22"/>
                <w:szCs w:val="22"/>
              </w:rPr>
            </w:pPr>
            <w:r w:rsidRPr="003F5AE1">
              <w:rPr>
                <w:sz w:val="22"/>
                <w:szCs w:val="22"/>
              </w:rPr>
              <w:t>Non-Budgetary FBWT</w:t>
            </w:r>
          </w:p>
        </w:tc>
        <w:tc>
          <w:tcPr>
            <w:tcW w:w="1800" w:type="dxa"/>
            <w:tcBorders>
              <w:top w:val="nil"/>
              <w:left w:val="nil"/>
              <w:bottom w:val="single" w:sz="4" w:space="0" w:color="auto"/>
              <w:right w:val="nil"/>
            </w:tcBorders>
          </w:tcPr>
          <w:p w:rsidR="00313E88" w:rsidRPr="003F5AE1" w:rsidP="00555A1F" w14:paraId="781A047F" w14:textId="77777777">
            <w:pPr>
              <w:tabs>
                <w:tab w:val="left" w:pos="2880"/>
                <w:tab w:val="left" w:pos="5040"/>
                <w:tab w:val="left" w:pos="7200"/>
              </w:tabs>
              <w:jc w:val="right"/>
              <w:rPr>
                <w:sz w:val="22"/>
                <w:szCs w:val="22"/>
              </w:rPr>
            </w:pPr>
            <w:r>
              <w:rPr>
                <w:sz w:val="22"/>
                <w:szCs w:val="22"/>
              </w:rPr>
              <w:t>84,938,731</w:t>
            </w:r>
          </w:p>
        </w:tc>
        <w:tc>
          <w:tcPr>
            <w:tcW w:w="1800" w:type="dxa"/>
            <w:tcBorders>
              <w:top w:val="nil"/>
              <w:left w:val="nil"/>
              <w:bottom w:val="single" w:sz="4" w:space="0" w:color="auto"/>
              <w:right w:val="nil"/>
            </w:tcBorders>
          </w:tcPr>
          <w:p w:rsidR="00313E88" w:rsidRPr="003F5AE1" w:rsidP="00285D06" w14:paraId="32AFF9FA" w14:textId="77777777">
            <w:pPr>
              <w:tabs>
                <w:tab w:val="left" w:pos="2880"/>
                <w:tab w:val="left" w:pos="5040"/>
                <w:tab w:val="left" w:pos="7200"/>
              </w:tabs>
              <w:ind w:right="72"/>
              <w:jc w:val="right"/>
              <w:rPr>
                <w:sz w:val="22"/>
              </w:rPr>
            </w:pPr>
            <w:r>
              <w:rPr>
                <w:sz w:val="22"/>
              </w:rPr>
              <w:t>10,695,711</w:t>
            </w:r>
          </w:p>
        </w:tc>
      </w:tr>
      <w:tr w14:paraId="4D5AD4CA" w14:textId="77777777" w:rsidTr="00313E88">
        <w:tblPrEx>
          <w:tblW w:w="7470" w:type="dxa"/>
          <w:tblInd w:w="540" w:type="dxa"/>
          <w:tblLayout w:type="fixed"/>
          <w:tblLook w:val="04A0"/>
        </w:tblPrEx>
        <w:trPr>
          <w:trHeight w:val="323"/>
        </w:trPr>
        <w:tc>
          <w:tcPr>
            <w:tcW w:w="3870" w:type="dxa"/>
            <w:tcBorders>
              <w:top w:val="nil"/>
              <w:left w:val="nil"/>
              <w:bottom w:val="nil"/>
              <w:right w:val="nil"/>
            </w:tcBorders>
            <w:vAlign w:val="center"/>
          </w:tcPr>
          <w:p w:rsidR="00313E88" w:rsidRPr="003F5AE1" w:rsidP="00285D06" w14:paraId="530EFDCB" w14:textId="364122D1">
            <w:pPr>
              <w:tabs>
                <w:tab w:val="left" w:pos="2880"/>
                <w:tab w:val="left" w:pos="5040"/>
                <w:tab w:val="left" w:pos="7200"/>
              </w:tabs>
              <w:rPr>
                <w:sz w:val="22"/>
                <w:szCs w:val="22"/>
              </w:rPr>
            </w:pPr>
            <w:r w:rsidRPr="003F5AE1">
              <w:rPr>
                <w:sz w:val="22"/>
                <w:szCs w:val="22"/>
              </w:rPr>
              <w:t>Total</w:t>
            </w:r>
          </w:p>
        </w:tc>
        <w:tc>
          <w:tcPr>
            <w:tcW w:w="1800" w:type="dxa"/>
            <w:tcBorders>
              <w:top w:val="single" w:sz="4" w:space="0" w:color="auto"/>
              <w:left w:val="nil"/>
              <w:bottom w:val="double" w:sz="4" w:space="0" w:color="auto"/>
              <w:right w:val="nil"/>
            </w:tcBorders>
            <w:vAlign w:val="bottom"/>
          </w:tcPr>
          <w:p w:rsidR="00313E88" w:rsidRPr="003F04C3" w:rsidP="00555A1F" w14:paraId="012B2A65" w14:textId="4C07AE6C">
            <w:pPr>
              <w:tabs>
                <w:tab w:val="left" w:pos="2880"/>
                <w:tab w:val="left" w:pos="5040"/>
                <w:tab w:val="left" w:pos="7200"/>
              </w:tabs>
              <w:jc w:val="right"/>
              <w:rPr>
                <w:sz w:val="22"/>
                <w:szCs w:val="22"/>
              </w:rPr>
            </w:pPr>
            <w:r w:rsidRPr="003F04C3">
              <w:rPr>
                <w:sz w:val="22"/>
                <w:szCs w:val="22"/>
              </w:rPr>
              <w:t>$</w:t>
            </w:r>
            <w:r>
              <w:rPr>
                <w:sz w:val="22"/>
                <w:szCs w:val="22"/>
              </w:rPr>
              <w:t xml:space="preserve">      105,212,774</w:t>
            </w:r>
          </w:p>
        </w:tc>
        <w:tc>
          <w:tcPr>
            <w:tcW w:w="1800" w:type="dxa"/>
            <w:tcBorders>
              <w:top w:val="single" w:sz="4" w:space="0" w:color="auto"/>
              <w:left w:val="nil"/>
              <w:bottom w:val="double" w:sz="4" w:space="0" w:color="auto"/>
              <w:right w:val="nil"/>
            </w:tcBorders>
            <w:vAlign w:val="bottom"/>
          </w:tcPr>
          <w:p w:rsidR="00313E88" w:rsidRPr="003F5AE1" w:rsidP="00285D06" w14:paraId="32A3B4C6" w14:textId="616088A9">
            <w:pPr>
              <w:tabs>
                <w:tab w:val="left" w:pos="2880"/>
                <w:tab w:val="left" w:pos="5040"/>
                <w:tab w:val="left" w:pos="7200"/>
              </w:tabs>
              <w:ind w:right="72"/>
              <w:jc w:val="right"/>
              <w:rPr>
                <w:sz w:val="22"/>
              </w:rPr>
            </w:pPr>
            <w:r w:rsidRPr="003F5AE1">
              <w:rPr>
                <w:sz w:val="22"/>
                <w:szCs w:val="22"/>
              </w:rPr>
              <w:t>$</w:t>
            </w:r>
            <w:r>
              <w:rPr>
                <w:sz w:val="22"/>
                <w:szCs w:val="22"/>
              </w:rPr>
              <w:t xml:space="preserve">       18,787,296</w:t>
            </w:r>
          </w:p>
        </w:tc>
      </w:tr>
    </w:tbl>
    <w:bookmarkEnd w:id="245"/>
    <w:p w:rsidR="00285D06" w:rsidRPr="00BA1E56" w:rsidP="000916DE" w14:paraId="16E4032D" w14:textId="223FA276">
      <w:pPr>
        <w:tabs>
          <w:tab w:val="left" w:pos="2880"/>
          <w:tab w:val="left" w:pos="5040"/>
          <w:tab w:val="left" w:pos="7200"/>
        </w:tabs>
        <w:spacing w:before="240" w:after="240"/>
        <w:jc w:val="both"/>
        <w:rPr>
          <w:sz w:val="22"/>
          <w:szCs w:val="22"/>
        </w:rPr>
      </w:pPr>
      <w:r w:rsidRPr="00BA1E56">
        <w:rPr>
          <w:sz w:val="22"/>
          <w:szCs w:val="22"/>
        </w:rPr>
        <w:t>The FBWT includes general funds, revolving funds, special funds, and deposit funds.</w:t>
      </w:r>
      <w:r w:rsidR="00C933B2">
        <w:rPr>
          <w:sz w:val="22"/>
          <w:szCs w:val="22"/>
        </w:rPr>
        <w:t xml:space="preserve"> </w:t>
      </w:r>
    </w:p>
    <w:p w:rsidR="00285D06" w:rsidRPr="00BA1E56" w:rsidP="0039161D" w14:paraId="606536A4" w14:textId="37DA8421">
      <w:pPr>
        <w:tabs>
          <w:tab w:val="left" w:pos="2880"/>
          <w:tab w:val="left" w:pos="5040"/>
          <w:tab w:val="left" w:pos="7200"/>
        </w:tabs>
        <w:spacing w:after="240"/>
        <w:jc w:val="both"/>
        <w:rPr>
          <w:sz w:val="22"/>
          <w:szCs w:val="22"/>
        </w:rPr>
      </w:pPr>
      <w:r w:rsidRPr="00BA1E56">
        <w:rPr>
          <w:sz w:val="22"/>
          <w:szCs w:val="22"/>
          <w:u w:val="single"/>
        </w:rPr>
        <w:t>General Funds</w:t>
      </w:r>
      <w:r w:rsidRPr="00BA1E56">
        <w:rPr>
          <w:sz w:val="22"/>
          <w:szCs w:val="22"/>
        </w:rPr>
        <w:t xml:space="preserve"> – Includes the salaries and expense appropriation used to fund agency operations, COVID-19 Telehealth Program,</w:t>
      </w:r>
      <w:r>
        <w:rPr>
          <w:sz w:val="22"/>
          <w:szCs w:val="22"/>
        </w:rPr>
        <w:t xml:space="preserve"> Broadband D</w:t>
      </w:r>
      <w:r w:rsidRPr="28223BF4">
        <w:rPr>
          <w:sz w:val="22"/>
          <w:szCs w:val="22"/>
        </w:rPr>
        <w:t>ATA</w:t>
      </w:r>
      <w:r>
        <w:rPr>
          <w:sz w:val="22"/>
          <w:szCs w:val="22"/>
        </w:rPr>
        <w:t xml:space="preserve"> Act program, EBCF-EBBP, S&amp;T Networks, ECF,</w:t>
      </w:r>
      <w:r w:rsidRPr="00BA1E56">
        <w:rPr>
          <w:sz w:val="22"/>
          <w:szCs w:val="22"/>
        </w:rPr>
        <w:t xml:space="preserve"> the auction and reimbursable accounts, the credit</w:t>
      </w:r>
      <w:r>
        <w:rPr>
          <w:sz w:val="22"/>
          <w:szCs w:val="22"/>
        </w:rPr>
        <w:t xml:space="preserve"> </w:t>
      </w:r>
      <w:r w:rsidRPr="00BA1E56">
        <w:rPr>
          <w:sz w:val="22"/>
          <w:szCs w:val="22"/>
        </w:rPr>
        <w:t xml:space="preserve">reform program account, other no-year accounts used to carry over spectrum auction funds, offsetting collections, </w:t>
      </w:r>
      <w:r>
        <w:rPr>
          <w:sz w:val="22"/>
          <w:szCs w:val="22"/>
        </w:rPr>
        <w:t>and</w:t>
      </w:r>
      <w:r w:rsidRPr="00BA1E56">
        <w:rPr>
          <w:sz w:val="22"/>
          <w:szCs w:val="22"/>
        </w:rPr>
        <w:t xml:space="preserve"> the Office of Inspector General USF funds.</w:t>
      </w:r>
      <w:r w:rsidR="00C933B2">
        <w:rPr>
          <w:sz w:val="22"/>
          <w:szCs w:val="22"/>
        </w:rPr>
        <w:t xml:space="preserve"> </w:t>
      </w:r>
    </w:p>
    <w:p w:rsidR="00285D06" w:rsidRPr="00BA1E56" w:rsidP="0039161D" w14:paraId="3B9FD25C" w14:textId="77777777">
      <w:pPr>
        <w:tabs>
          <w:tab w:val="left" w:pos="2880"/>
          <w:tab w:val="left" w:pos="5040"/>
          <w:tab w:val="left" w:pos="7200"/>
        </w:tabs>
        <w:spacing w:after="240"/>
        <w:jc w:val="both"/>
        <w:rPr>
          <w:sz w:val="22"/>
          <w:szCs w:val="22"/>
        </w:rPr>
      </w:pPr>
      <w:r w:rsidRPr="00BA1E56">
        <w:rPr>
          <w:sz w:val="22"/>
          <w:szCs w:val="22"/>
          <w:u w:val="single"/>
        </w:rPr>
        <w:t>Revolving Funds</w:t>
      </w:r>
      <w:r w:rsidRPr="00BA1E56">
        <w:rPr>
          <w:sz w:val="22"/>
          <w:szCs w:val="22"/>
        </w:rPr>
        <w:t xml:space="preserve"> – Includes the credit reform financing account used to record cash flows associated with the Commission’s spectrum auction loan program.</w:t>
      </w:r>
    </w:p>
    <w:p w:rsidR="00285D06" w:rsidRPr="00BA1E56" w:rsidP="0039161D" w14:paraId="6142FA20" w14:textId="3A234EA1">
      <w:pPr>
        <w:spacing w:after="240"/>
        <w:jc w:val="both"/>
        <w:rPr>
          <w:sz w:val="22"/>
          <w:szCs w:val="22"/>
        </w:rPr>
      </w:pPr>
      <w:r w:rsidRPr="00BA1E56">
        <w:rPr>
          <w:sz w:val="22"/>
          <w:szCs w:val="22"/>
          <w:u w:val="single"/>
        </w:rPr>
        <w:t>Special Funds</w:t>
      </w:r>
      <w:r w:rsidRPr="00BA1E56">
        <w:rPr>
          <w:sz w:val="22"/>
          <w:szCs w:val="22"/>
        </w:rPr>
        <w:t xml:space="preserve"> – Includes funds from TVBRF, USF and TRS fund.</w:t>
      </w:r>
      <w:r w:rsidR="00C933B2">
        <w:rPr>
          <w:sz w:val="22"/>
          <w:szCs w:val="22"/>
        </w:rPr>
        <w:t xml:space="preserve"> </w:t>
      </w:r>
      <w:r w:rsidRPr="00BA1E56">
        <w:rPr>
          <w:sz w:val="22"/>
          <w:szCs w:val="22"/>
        </w:rPr>
        <w:t xml:space="preserve">TVBRF is for relocation costs reasonably incurred by full power and Class A broadcasters, MVPDs, LPTV, TV Translator, </w:t>
      </w:r>
      <w:r>
        <w:rPr>
          <w:sz w:val="22"/>
          <w:szCs w:val="22"/>
        </w:rPr>
        <w:t xml:space="preserve">and </w:t>
      </w:r>
      <w:r w:rsidRPr="00BA1E56">
        <w:rPr>
          <w:sz w:val="22"/>
          <w:szCs w:val="22"/>
        </w:rPr>
        <w:t xml:space="preserve">FM stations who </w:t>
      </w:r>
      <w:r w:rsidRPr="00BA1E56">
        <w:rPr>
          <w:rFonts w:eastAsia="Calibri"/>
          <w:sz w:val="22"/>
          <w:szCs w:val="22"/>
        </w:rPr>
        <w:t>were involuntarily reassigned to new channels or incur</w:t>
      </w:r>
      <w:r>
        <w:rPr>
          <w:rFonts w:eastAsia="Calibri"/>
          <w:sz w:val="22"/>
          <w:szCs w:val="22"/>
        </w:rPr>
        <w:t>red</w:t>
      </w:r>
      <w:r w:rsidRPr="00BA1E56">
        <w:rPr>
          <w:rFonts w:eastAsia="Calibri"/>
          <w:sz w:val="22"/>
          <w:szCs w:val="22"/>
        </w:rPr>
        <w:t xml:space="preserve"> reimbursable expenses as a result of the BIA, and </w:t>
      </w:r>
      <w:r w:rsidRPr="00BA1E56">
        <w:rPr>
          <w:sz w:val="22"/>
          <w:szCs w:val="22"/>
        </w:rPr>
        <w:t>for consumer education relating to the reorganization of broadcast television</w:t>
      </w:r>
      <w:r w:rsidRPr="00BA1E56">
        <w:rPr>
          <w:rFonts w:eastAsia="Calibri"/>
          <w:sz w:val="22"/>
          <w:szCs w:val="22"/>
        </w:rPr>
        <w:t>.</w:t>
      </w:r>
      <w:r w:rsidR="00C933B2">
        <w:rPr>
          <w:rFonts w:eastAsia="Calibri"/>
          <w:sz w:val="22"/>
          <w:szCs w:val="22"/>
        </w:rPr>
        <w:t xml:space="preserve"> </w:t>
      </w:r>
      <w:r w:rsidRPr="00BA1E56">
        <w:rPr>
          <w:rFonts w:eastAsia="Calibri"/>
          <w:sz w:val="22"/>
          <w:szCs w:val="22"/>
        </w:rPr>
        <w:t xml:space="preserve">Universal </w:t>
      </w:r>
      <w:r>
        <w:rPr>
          <w:rFonts w:eastAsia="Calibri"/>
          <w:sz w:val="22"/>
          <w:szCs w:val="22"/>
        </w:rPr>
        <w:t>S</w:t>
      </w:r>
      <w:r w:rsidRPr="00BA1E56">
        <w:rPr>
          <w:rFonts w:eastAsia="Calibri"/>
          <w:sz w:val="22"/>
          <w:szCs w:val="22"/>
        </w:rPr>
        <w:t xml:space="preserve">ervice </w:t>
      </w:r>
      <w:r>
        <w:rPr>
          <w:rFonts w:eastAsia="Calibri"/>
          <w:sz w:val="22"/>
          <w:szCs w:val="22"/>
        </w:rPr>
        <w:t>F</w:t>
      </w:r>
      <w:r w:rsidRPr="00BA1E56">
        <w:rPr>
          <w:rFonts w:eastAsia="Calibri"/>
          <w:sz w:val="22"/>
          <w:szCs w:val="22"/>
        </w:rPr>
        <w:t xml:space="preserve">unds are for the </w:t>
      </w:r>
      <w:r w:rsidRPr="00BA1E56">
        <w:rPr>
          <w:sz w:val="22"/>
          <w:szCs w:val="22"/>
        </w:rPr>
        <w:t>four USF programs and the CCPP.</w:t>
      </w:r>
      <w:r w:rsidR="00C933B2">
        <w:rPr>
          <w:sz w:val="22"/>
          <w:szCs w:val="22"/>
        </w:rPr>
        <w:t xml:space="preserve"> </w:t>
      </w:r>
      <w:r w:rsidRPr="00BA1E56">
        <w:rPr>
          <w:sz w:val="22"/>
          <w:szCs w:val="22"/>
        </w:rPr>
        <w:t>The USF programs are exempt</w:t>
      </w:r>
      <w:r w:rsidRPr="00BA1E56">
        <w:rPr>
          <w:spacing w:val="-4"/>
          <w:kern w:val="16"/>
          <w:sz w:val="22"/>
          <w:szCs w:val="22"/>
        </w:rPr>
        <w:t xml:space="preserve"> from the application of the provisions of the </w:t>
      </w:r>
      <w:r w:rsidRPr="00BA1E56">
        <w:rPr>
          <w:spacing w:val="-4"/>
          <w:kern w:val="16"/>
          <w:sz w:val="22"/>
          <w:szCs w:val="22"/>
        </w:rPr>
        <w:t>Antideficiency</w:t>
      </w:r>
      <w:r w:rsidRPr="00BA1E56">
        <w:rPr>
          <w:spacing w:val="-4"/>
          <w:kern w:val="16"/>
          <w:sz w:val="22"/>
          <w:szCs w:val="22"/>
        </w:rPr>
        <w:t xml:space="preserve"> Act</w:t>
      </w:r>
      <w:r w:rsidRPr="00BA1E56">
        <w:rPr>
          <w:sz w:val="22"/>
          <w:szCs w:val="22"/>
        </w:rPr>
        <w:t xml:space="preserve"> by Congress through December 31, </w:t>
      </w:r>
      <w:r>
        <w:rPr>
          <w:sz w:val="22"/>
          <w:szCs w:val="22"/>
        </w:rPr>
        <w:t>2021</w:t>
      </w:r>
      <w:r w:rsidRPr="00BA1E56">
        <w:rPr>
          <w:sz w:val="22"/>
          <w:szCs w:val="22"/>
        </w:rPr>
        <w:t xml:space="preserve"> and are not subject to an apportionment by OMB.</w:t>
      </w:r>
      <w:r w:rsidR="00C933B2">
        <w:rPr>
          <w:sz w:val="22"/>
          <w:szCs w:val="22"/>
        </w:rPr>
        <w:t xml:space="preserve"> </w:t>
      </w:r>
      <w:r w:rsidRPr="00BA1E56">
        <w:rPr>
          <w:rFonts w:eastAsia="Calibri"/>
          <w:sz w:val="22"/>
          <w:szCs w:val="22"/>
        </w:rPr>
        <w:t xml:space="preserve">In FY </w:t>
      </w:r>
      <w:r>
        <w:rPr>
          <w:rFonts w:eastAsia="Calibri"/>
          <w:sz w:val="22"/>
          <w:szCs w:val="22"/>
        </w:rPr>
        <w:t>2020</w:t>
      </w:r>
      <w:r w:rsidRPr="00BA1E56">
        <w:rPr>
          <w:rFonts w:eastAsia="Calibri"/>
          <w:sz w:val="22"/>
          <w:szCs w:val="22"/>
        </w:rPr>
        <w:t>, the TRS funds were moved to a newly established account within the Treasury.</w:t>
      </w:r>
      <w:r w:rsidR="00C933B2">
        <w:rPr>
          <w:rFonts w:eastAsia="Calibri"/>
          <w:sz w:val="22"/>
          <w:szCs w:val="22"/>
        </w:rPr>
        <w:t xml:space="preserve"> </w:t>
      </w:r>
    </w:p>
    <w:p w:rsidR="00615FAD" w:rsidP="0039161D" w14:paraId="68ED5082" w14:textId="77777777">
      <w:pPr>
        <w:tabs>
          <w:tab w:val="left" w:pos="2880"/>
          <w:tab w:val="left" w:pos="5040"/>
          <w:tab w:val="left" w:pos="7200"/>
        </w:tabs>
        <w:spacing w:after="240"/>
        <w:jc w:val="both"/>
        <w:rPr>
          <w:sz w:val="22"/>
          <w:szCs w:val="22"/>
        </w:rPr>
        <w:sectPr w:rsidSect="006D63B8">
          <w:pgSz w:w="12240" w:h="15840"/>
          <w:pgMar w:top="1440" w:right="1440" w:bottom="1296" w:left="1440" w:header="720" w:footer="720" w:gutter="0"/>
          <w:cols w:space="720"/>
        </w:sectPr>
      </w:pPr>
      <w:r w:rsidRPr="00BA1E56">
        <w:rPr>
          <w:sz w:val="22"/>
          <w:szCs w:val="22"/>
          <w:u w:val="single"/>
        </w:rPr>
        <w:t>Deposit Funds</w:t>
      </w:r>
      <w:r w:rsidRPr="00BA1E56">
        <w:rPr>
          <w:sz w:val="22"/>
          <w:szCs w:val="22"/>
        </w:rPr>
        <w:t xml:space="preserve"> – Includes monies being held for </w:t>
      </w:r>
      <w:r>
        <w:rPr>
          <w:sz w:val="22"/>
          <w:szCs w:val="22"/>
        </w:rPr>
        <w:t xml:space="preserve">ITS, regulatory fees and </w:t>
      </w:r>
      <w:r w:rsidRPr="00BA1E56">
        <w:rPr>
          <w:sz w:val="22"/>
          <w:szCs w:val="22"/>
        </w:rPr>
        <w:t>spectrum auctions.</w:t>
      </w:r>
      <w:r w:rsidR="00C933B2">
        <w:rPr>
          <w:sz w:val="22"/>
          <w:szCs w:val="22"/>
        </w:rPr>
        <w:t xml:space="preserve"> </w:t>
      </w:r>
      <w:r w:rsidRPr="00BA1E56">
        <w:rPr>
          <w:sz w:val="22"/>
          <w:szCs w:val="22"/>
        </w:rPr>
        <w:t>Deposit funds are non-budgetary and are not available for use by the Commission unless they are properly identified or reclassified as Commission funds.</w:t>
      </w:r>
      <w:r w:rsidR="00C933B2">
        <w:rPr>
          <w:sz w:val="22"/>
          <w:szCs w:val="22"/>
        </w:rPr>
        <w:t xml:space="preserve"> </w:t>
      </w:r>
      <w:r w:rsidRPr="00BA1E56">
        <w:rPr>
          <w:sz w:val="22"/>
          <w:szCs w:val="22"/>
        </w:rPr>
        <w:t>Otherwise, these funds are returned to the depositor or transferred to the Treasury General Fund or other Federal agencies.</w:t>
      </w:r>
    </w:p>
    <w:p w:rsidR="00285D06" w:rsidRPr="0027356A" w:rsidP="004745C2" w14:paraId="7A446D73" w14:textId="77777777">
      <w:pPr>
        <w:pStyle w:val="Heading4"/>
        <w:rPr>
          <w:sz w:val="22"/>
          <w:szCs w:val="22"/>
        </w:rPr>
      </w:pPr>
      <w:bookmarkStart w:id="246" w:name="_Toc88780699"/>
      <w:r w:rsidRPr="0027356A">
        <w:rPr>
          <w:sz w:val="22"/>
          <w:szCs w:val="22"/>
        </w:rPr>
        <w:t>Note 4 – Accounts Receivable, Net</w:t>
      </w:r>
      <w:bookmarkEnd w:id="246"/>
    </w:p>
    <w:p w:rsidR="00285D06" w:rsidRPr="00BA1E56" w:rsidP="009D474A" w14:paraId="47CF591E" w14:textId="77777777">
      <w:pPr>
        <w:tabs>
          <w:tab w:val="left" w:pos="-1440"/>
          <w:tab w:val="left" w:pos="3600"/>
          <w:tab w:val="left" w:pos="4230"/>
          <w:tab w:val="left" w:pos="5940"/>
          <w:tab w:val="left" w:pos="7560"/>
        </w:tabs>
        <w:spacing w:after="240"/>
        <w:jc w:val="both"/>
        <w:rPr>
          <w:sz w:val="22"/>
          <w:szCs w:val="22"/>
        </w:rPr>
      </w:pPr>
      <w:r w:rsidRPr="00BA1E56">
        <w:rPr>
          <w:sz w:val="22"/>
          <w:szCs w:val="22"/>
        </w:rPr>
        <w:t xml:space="preserve">The following summarizes Accounts Receivable, Net as of </w:t>
      </w:r>
      <w:r>
        <w:rPr>
          <w:sz w:val="22"/>
          <w:szCs w:val="22"/>
        </w:rPr>
        <w:t>September 30, 2021</w:t>
      </w:r>
      <w:r w:rsidRPr="00BA1E56">
        <w:rPr>
          <w:sz w:val="22"/>
          <w:szCs w:val="22"/>
        </w:rPr>
        <w:t xml:space="preserve"> and September 30</w:t>
      </w:r>
      <w:r>
        <w:rPr>
          <w:sz w:val="22"/>
          <w:szCs w:val="22"/>
        </w:rPr>
        <w:t>, 2020</w:t>
      </w:r>
      <w:r w:rsidRPr="00BA1E56">
        <w:rPr>
          <w:sz w:val="22"/>
          <w:szCs w:val="22"/>
        </w:rPr>
        <w:t>:</w:t>
      </w:r>
    </w:p>
    <w:tbl>
      <w:tblPr>
        <w:tblW w:w="8640" w:type="dxa"/>
        <w:jc w:val="center"/>
        <w:tblLayout w:type="fixed"/>
        <w:tblLook w:val="04A0"/>
      </w:tblPr>
      <w:tblGrid>
        <w:gridCol w:w="2970"/>
        <w:gridCol w:w="1890"/>
        <w:gridCol w:w="1890"/>
        <w:gridCol w:w="1890"/>
      </w:tblGrid>
      <w:tr w14:paraId="1C8CF1FA" w14:textId="77777777" w:rsidTr="00C7083F">
        <w:tblPrEx>
          <w:tblW w:w="8640" w:type="dxa"/>
          <w:jc w:val="center"/>
          <w:tblLayout w:type="fixed"/>
          <w:tblLook w:val="04A0"/>
        </w:tblPrEx>
        <w:trPr>
          <w:trHeight w:val="117"/>
          <w:jc w:val="center"/>
        </w:trPr>
        <w:tc>
          <w:tcPr>
            <w:tcW w:w="2970" w:type="dxa"/>
            <w:tcBorders>
              <w:top w:val="nil"/>
              <w:left w:val="nil"/>
              <w:bottom w:val="nil"/>
              <w:right w:val="nil"/>
            </w:tcBorders>
            <w:shd w:val="clear" w:color="000000" w:fill="FFFFFF"/>
            <w:noWrap/>
            <w:vAlign w:val="bottom"/>
          </w:tcPr>
          <w:p w:rsidR="00C7083F" w:rsidRPr="00F96C42" w:rsidP="00285D06" w14:paraId="637D8102" w14:textId="77777777">
            <w:pPr>
              <w:rPr>
                <w:sz w:val="22"/>
                <w:szCs w:val="22"/>
                <w:u w:val="single"/>
              </w:rPr>
            </w:pPr>
            <w:r w:rsidRPr="00F96C42">
              <w:rPr>
                <w:sz w:val="22"/>
                <w:szCs w:val="22"/>
                <w:u w:val="single"/>
              </w:rPr>
              <w:t>FY 2021</w:t>
            </w:r>
          </w:p>
        </w:tc>
        <w:tc>
          <w:tcPr>
            <w:tcW w:w="1890" w:type="dxa"/>
            <w:tcBorders>
              <w:top w:val="nil"/>
              <w:left w:val="nil"/>
              <w:bottom w:val="single" w:sz="4" w:space="0" w:color="auto"/>
            </w:tcBorders>
            <w:shd w:val="clear" w:color="000000" w:fill="FFFFFF"/>
            <w:noWrap/>
            <w:vAlign w:val="bottom"/>
          </w:tcPr>
          <w:p w:rsidR="00C7083F" w:rsidRPr="00BA1E56" w:rsidP="00285D06" w14:paraId="60CB1566" w14:textId="77777777">
            <w:pPr>
              <w:jc w:val="right"/>
              <w:rPr>
                <w:sz w:val="22"/>
                <w:szCs w:val="22"/>
              </w:rPr>
            </w:pPr>
            <w:r w:rsidRPr="00BA1E56">
              <w:rPr>
                <w:sz w:val="22"/>
                <w:szCs w:val="22"/>
              </w:rPr>
              <w:t>Intragovernmental</w:t>
            </w:r>
          </w:p>
        </w:tc>
        <w:tc>
          <w:tcPr>
            <w:tcW w:w="1890" w:type="dxa"/>
            <w:tcBorders>
              <w:top w:val="nil"/>
              <w:left w:val="nil"/>
              <w:bottom w:val="single" w:sz="4" w:space="0" w:color="auto"/>
            </w:tcBorders>
            <w:shd w:val="clear" w:color="000000" w:fill="FFFFFF"/>
            <w:noWrap/>
            <w:vAlign w:val="bottom"/>
          </w:tcPr>
          <w:p w:rsidR="00C7083F" w:rsidRPr="00BA1E56" w:rsidP="00285D06" w14:paraId="3A81D8B3" w14:textId="77777777">
            <w:pPr>
              <w:jc w:val="center"/>
              <w:rPr>
                <w:sz w:val="22"/>
                <w:szCs w:val="22"/>
              </w:rPr>
            </w:pPr>
            <w:r w:rsidRPr="00BA1E56">
              <w:rPr>
                <w:sz w:val="22"/>
                <w:szCs w:val="22"/>
              </w:rPr>
              <w:t>Public</w:t>
            </w:r>
          </w:p>
        </w:tc>
        <w:tc>
          <w:tcPr>
            <w:tcW w:w="1890" w:type="dxa"/>
            <w:tcBorders>
              <w:top w:val="nil"/>
              <w:left w:val="nil"/>
              <w:bottom w:val="single" w:sz="4" w:space="0" w:color="auto"/>
              <w:right w:val="nil"/>
            </w:tcBorders>
            <w:shd w:val="clear" w:color="000000" w:fill="FFFFFF"/>
            <w:noWrap/>
            <w:vAlign w:val="bottom"/>
          </w:tcPr>
          <w:p w:rsidR="00C7083F" w:rsidRPr="00BA1E56" w:rsidP="00285D06" w14:paraId="50A9C8E6" w14:textId="77777777">
            <w:pPr>
              <w:jc w:val="center"/>
              <w:rPr>
                <w:sz w:val="22"/>
                <w:szCs w:val="22"/>
              </w:rPr>
            </w:pPr>
            <w:r w:rsidRPr="00BA1E56">
              <w:rPr>
                <w:sz w:val="22"/>
                <w:szCs w:val="22"/>
              </w:rPr>
              <w:t>Total</w:t>
            </w:r>
          </w:p>
        </w:tc>
      </w:tr>
      <w:tr w14:paraId="0AE9CE41" w14:textId="77777777" w:rsidTr="00C7083F">
        <w:tblPrEx>
          <w:tblW w:w="8640" w:type="dxa"/>
          <w:jc w:val="center"/>
          <w:tblLayout w:type="fixed"/>
          <w:tblLook w:val="04A0"/>
        </w:tblPrEx>
        <w:trPr>
          <w:trHeight w:val="117"/>
          <w:jc w:val="center"/>
        </w:trPr>
        <w:tc>
          <w:tcPr>
            <w:tcW w:w="2970" w:type="dxa"/>
            <w:tcBorders>
              <w:top w:val="nil"/>
              <w:left w:val="nil"/>
              <w:bottom w:val="nil"/>
              <w:right w:val="nil"/>
            </w:tcBorders>
            <w:shd w:val="clear" w:color="000000" w:fill="FFFFFF"/>
            <w:noWrap/>
            <w:vAlign w:val="bottom"/>
          </w:tcPr>
          <w:p w:rsidR="00C7083F" w:rsidRPr="00BA1E56" w:rsidP="00285D06" w14:paraId="662BD62A" w14:textId="77777777">
            <w:pPr>
              <w:rPr>
                <w:sz w:val="22"/>
                <w:szCs w:val="22"/>
              </w:rPr>
            </w:pPr>
            <w:r w:rsidRPr="00BA1E56">
              <w:rPr>
                <w:sz w:val="22"/>
                <w:szCs w:val="22"/>
              </w:rPr>
              <w:t>Gross Accounts Receivable</w:t>
            </w:r>
          </w:p>
        </w:tc>
        <w:tc>
          <w:tcPr>
            <w:tcW w:w="1890" w:type="dxa"/>
            <w:tcBorders>
              <w:top w:val="single" w:sz="4" w:space="0" w:color="auto"/>
              <w:left w:val="nil"/>
              <w:bottom w:val="nil"/>
            </w:tcBorders>
            <w:shd w:val="clear" w:color="000000" w:fill="FFFFFF"/>
            <w:noWrap/>
            <w:vAlign w:val="bottom"/>
          </w:tcPr>
          <w:p w:rsidR="00C7083F" w:rsidRPr="00BA1E56" w:rsidP="00285D06" w14:paraId="3AC3FB00" w14:textId="60D88A3A">
            <w:pPr>
              <w:jc w:val="right"/>
              <w:rPr>
                <w:sz w:val="22"/>
                <w:szCs w:val="22"/>
              </w:rPr>
            </w:pPr>
            <w:r w:rsidRPr="00BA1E56">
              <w:rPr>
                <w:sz w:val="22"/>
                <w:szCs w:val="22"/>
              </w:rPr>
              <w:t xml:space="preserve">$                     </w:t>
            </w:r>
            <w:r>
              <w:rPr>
                <w:sz w:val="22"/>
                <w:szCs w:val="22"/>
              </w:rPr>
              <w:t>361</w:t>
            </w:r>
          </w:p>
        </w:tc>
        <w:tc>
          <w:tcPr>
            <w:tcW w:w="1890" w:type="dxa"/>
            <w:tcBorders>
              <w:top w:val="single" w:sz="4" w:space="0" w:color="auto"/>
              <w:left w:val="nil"/>
              <w:bottom w:val="nil"/>
            </w:tcBorders>
            <w:shd w:val="clear" w:color="000000" w:fill="FFFFFF"/>
            <w:noWrap/>
            <w:vAlign w:val="bottom"/>
          </w:tcPr>
          <w:p w:rsidR="00C7083F" w:rsidRPr="00BA1E56" w:rsidP="00285D06" w14:paraId="6EB0439F" w14:textId="454F6248">
            <w:pPr>
              <w:ind w:right="72"/>
              <w:jc w:val="right"/>
              <w:rPr>
                <w:sz w:val="22"/>
                <w:szCs w:val="22"/>
              </w:rPr>
            </w:pPr>
            <w:r w:rsidRPr="00BA1E56">
              <w:rPr>
                <w:sz w:val="22"/>
                <w:szCs w:val="22"/>
              </w:rPr>
              <w:t xml:space="preserve">$           </w:t>
            </w:r>
            <w:r>
              <w:rPr>
                <w:sz w:val="22"/>
                <w:szCs w:val="22"/>
              </w:rPr>
              <w:t>2,017,259</w:t>
            </w:r>
          </w:p>
        </w:tc>
        <w:tc>
          <w:tcPr>
            <w:tcW w:w="1890" w:type="dxa"/>
            <w:tcBorders>
              <w:top w:val="single" w:sz="4" w:space="0" w:color="auto"/>
              <w:left w:val="nil"/>
              <w:bottom w:val="nil"/>
              <w:right w:val="nil"/>
            </w:tcBorders>
            <w:shd w:val="clear" w:color="000000" w:fill="FFFFFF"/>
            <w:noWrap/>
            <w:vAlign w:val="bottom"/>
          </w:tcPr>
          <w:p w:rsidR="00C7083F" w:rsidRPr="00BA1E56" w:rsidP="00285D06" w14:paraId="74AC23E4" w14:textId="7A3D37DB">
            <w:pPr>
              <w:ind w:right="72"/>
              <w:jc w:val="right"/>
              <w:rPr>
                <w:sz w:val="22"/>
                <w:szCs w:val="22"/>
              </w:rPr>
            </w:pPr>
            <w:r w:rsidRPr="00BA1E56">
              <w:rPr>
                <w:sz w:val="22"/>
                <w:szCs w:val="22"/>
              </w:rPr>
              <w:t>$</w:t>
            </w:r>
            <w:r w:rsidR="00624592">
              <w:rPr>
                <w:sz w:val="22"/>
                <w:szCs w:val="22"/>
              </w:rPr>
              <w:t xml:space="preserve">          </w:t>
            </w:r>
            <w:r>
              <w:rPr>
                <w:sz w:val="22"/>
                <w:szCs w:val="22"/>
              </w:rPr>
              <w:t xml:space="preserve"> 2,017,620</w:t>
            </w:r>
          </w:p>
        </w:tc>
      </w:tr>
      <w:tr w14:paraId="4ACA9C84" w14:textId="77777777" w:rsidTr="00C7083F">
        <w:tblPrEx>
          <w:tblW w:w="8640" w:type="dxa"/>
          <w:jc w:val="center"/>
          <w:tblLayout w:type="fixed"/>
          <w:tblLook w:val="04A0"/>
        </w:tblPrEx>
        <w:trPr>
          <w:trHeight w:val="117"/>
          <w:jc w:val="center"/>
        </w:trPr>
        <w:tc>
          <w:tcPr>
            <w:tcW w:w="2970" w:type="dxa"/>
            <w:tcBorders>
              <w:top w:val="nil"/>
              <w:left w:val="nil"/>
              <w:bottom w:val="nil"/>
              <w:right w:val="nil"/>
            </w:tcBorders>
            <w:shd w:val="clear" w:color="000000" w:fill="FFFFFF"/>
            <w:noWrap/>
            <w:vAlign w:val="bottom"/>
          </w:tcPr>
          <w:p w:rsidR="00C7083F" w:rsidRPr="00BA1E56" w:rsidP="00285D06" w14:paraId="469A40CC" w14:textId="77777777">
            <w:pPr>
              <w:rPr>
                <w:sz w:val="22"/>
                <w:szCs w:val="22"/>
              </w:rPr>
            </w:pPr>
            <w:r w:rsidRPr="00BA1E56">
              <w:rPr>
                <w:sz w:val="22"/>
                <w:szCs w:val="22"/>
              </w:rPr>
              <w:t>Allowance for Doubtful Accounts</w:t>
            </w:r>
          </w:p>
        </w:tc>
        <w:tc>
          <w:tcPr>
            <w:tcW w:w="1890" w:type="dxa"/>
            <w:tcBorders>
              <w:top w:val="nil"/>
              <w:left w:val="nil"/>
              <w:bottom w:val="single" w:sz="4" w:space="0" w:color="auto"/>
            </w:tcBorders>
            <w:shd w:val="clear" w:color="000000" w:fill="FFFFFF"/>
            <w:noWrap/>
            <w:vAlign w:val="bottom"/>
          </w:tcPr>
          <w:p w:rsidR="00C7083F" w:rsidRPr="00BA1E56" w:rsidP="00285D06" w14:paraId="26B499E4" w14:textId="77777777">
            <w:pPr>
              <w:jc w:val="right"/>
              <w:rPr>
                <w:sz w:val="22"/>
                <w:szCs w:val="22"/>
              </w:rPr>
            </w:pPr>
            <w:r w:rsidRPr="00BA1E56">
              <w:rPr>
                <w:sz w:val="22"/>
                <w:szCs w:val="22"/>
              </w:rPr>
              <w:t>-</w:t>
            </w:r>
          </w:p>
        </w:tc>
        <w:tc>
          <w:tcPr>
            <w:tcW w:w="1890" w:type="dxa"/>
            <w:tcBorders>
              <w:top w:val="nil"/>
              <w:left w:val="nil"/>
              <w:bottom w:val="single" w:sz="4" w:space="0" w:color="auto"/>
            </w:tcBorders>
            <w:shd w:val="clear" w:color="000000" w:fill="FFFFFF"/>
            <w:noWrap/>
            <w:vAlign w:val="bottom"/>
          </w:tcPr>
          <w:p w:rsidR="00C7083F" w:rsidRPr="00BA1E56" w:rsidP="00285D06" w14:paraId="55A54604" w14:textId="10E3C7CA">
            <w:pPr>
              <w:jc w:val="right"/>
              <w:rPr>
                <w:sz w:val="22"/>
                <w:szCs w:val="22"/>
              </w:rPr>
            </w:pPr>
            <w:r w:rsidRPr="00BA1E56">
              <w:rPr>
                <w:sz w:val="22"/>
                <w:szCs w:val="22"/>
              </w:rPr>
              <w:t>(</w:t>
            </w:r>
            <w:r>
              <w:rPr>
                <w:sz w:val="22"/>
                <w:szCs w:val="22"/>
              </w:rPr>
              <w:t>1,194,172</w:t>
            </w:r>
            <w:r w:rsidRPr="00BA1E56">
              <w:rPr>
                <w:sz w:val="22"/>
                <w:szCs w:val="22"/>
              </w:rPr>
              <w:t>)</w:t>
            </w:r>
          </w:p>
        </w:tc>
        <w:tc>
          <w:tcPr>
            <w:tcW w:w="1890" w:type="dxa"/>
            <w:tcBorders>
              <w:top w:val="nil"/>
              <w:left w:val="nil"/>
              <w:bottom w:val="single" w:sz="4" w:space="0" w:color="auto"/>
              <w:right w:val="nil"/>
            </w:tcBorders>
            <w:shd w:val="clear" w:color="000000" w:fill="FFFFFF"/>
            <w:noWrap/>
            <w:vAlign w:val="bottom"/>
          </w:tcPr>
          <w:p w:rsidR="00C7083F" w:rsidRPr="00BA1E56" w:rsidP="00285D06" w14:paraId="6D78B527" w14:textId="0D744CEE">
            <w:pPr>
              <w:jc w:val="right"/>
              <w:rPr>
                <w:sz w:val="22"/>
                <w:szCs w:val="22"/>
              </w:rPr>
            </w:pPr>
            <w:r w:rsidRPr="00BA1E56">
              <w:rPr>
                <w:sz w:val="22"/>
                <w:szCs w:val="22"/>
              </w:rPr>
              <w:t>(</w:t>
            </w:r>
            <w:r>
              <w:rPr>
                <w:sz w:val="22"/>
                <w:szCs w:val="22"/>
              </w:rPr>
              <w:t>1,194,172</w:t>
            </w:r>
            <w:r w:rsidRPr="00BA1E56">
              <w:rPr>
                <w:sz w:val="22"/>
                <w:szCs w:val="22"/>
              </w:rPr>
              <w:t>)</w:t>
            </w:r>
          </w:p>
        </w:tc>
      </w:tr>
      <w:tr w14:paraId="727B2E8E" w14:textId="77777777" w:rsidTr="00C7083F">
        <w:tblPrEx>
          <w:tblW w:w="8640" w:type="dxa"/>
          <w:jc w:val="center"/>
          <w:tblLayout w:type="fixed"/>
          <w:tblLook w:val="04A0"/>
        </w:tblPrEx>
        <w:trPr>
          <w:trHeight w:val="117"/>
          <w:jc w:val="center"/>
        </w:trPr>
        <w:tc>
          <w:tcPr>
            <w:tcW w:w="2970" w:type="dxa"/>
            <w:tcBorders>
              <w:top w:val="nil"/>
              <w:left w:val="nil"/>
              <w:bottom w:val="nil"/>
              <w:right w:val="nil"/>
            </w:tcBorders>
            <w:shd w:val="clear" w:color="000000" w:fill="FFFFFF"/>
            <w:noWrap/>
            <w:vAlign w:val="bottom"/>
          </w:tcPr>
          <w:p w:rsidR="00C7083F" w:rsidRPr="00BA1E56" w:rsidP="00285D06" w14:paraId="59E35DD3" w14:textId="77777777">
            <w:pPr>
              <w:rPr>
                <w:sz w:val="22"/>
                <w:szCs w:val="22"/>
              </w:rPr>
            </w:pPr>
            <w:r w:rsidRPr="00BA1E56">
              <w:rPr>
                <w:sz w:val="22"/>
                <w:szCs w:val="22"/>
              </w:rPr>
              <w:t>Accounts Receivable, Net</w:t>
            </w:r>
          </w:p>
        </w:tc>
        <w:tc>
          <w:tcPr>
            <w:tcW w:w="1890" w:type="dxa"/>
            <w:tcBorders>
              <w:top w:val="single" w:sz="4" w:space="0" w:color="auto"/>
              <w:left w:val="nil"/>
              <w:bottom w:val="double" w:sz="4" w:space="0" w:color="auto"/>
            </w:tcBorders>
            <w:shd w:val="clear" w:color="000000" w:fill="FFFFFF"/>
            <w:noWrap/>
            <w:vAlign w:val="bottom"/>
          </w:tcPr>
          <w:p w:rsidR="00C7083F" w:rsidRPr="00BA1E56" w:rsidP="00285D06" w14:paraId="02935ABF" w14:textId="6FCC54A6">
            <w:pPr>
              <w:jc w:val="right"/>
              <w:rPr>
                <w:sz w:val="22"/>
                <w:szCs w:val="22"/>
              </w:rPr>
            </w:pPr>
            <w:r w:rsidRPr="00BA1E56">
              <w:rPr>
                <w:sz w:val="22"/>
                <w:szCs w:val="22"/>
              </w:rPr>
              <w:t xml:space="preserve">$                     </w:t>
            </w:r>
            <w:r>
              <w:rPr>
                <w:sz w:val="22"/>
                <w:szCs w:val="22"/>
              </w:rPr>
              <w:t>361</w:t>
            </w:r>
          </w:p>
        </w:tc>
        <w:tc>
          <w:tcPr>
            <w:tcW w:w="1890" w:type="dxa"/>
            <w:tcBorders>
              <w:top w:val="single" w:sz="4" w:space="0" w:color="auto"/>
              <w:left w:val="nil"/>
              <w:bottom w:val="double" w:sz="4" w:space="0" w:color="auto"/>
            </w:tcBorders>
            <w:shd w:val="clear" w:color="000000" w:fill="FFFFFF"/>
            <w:noWrap/>
            <w:vAlign w:val="bottom"/>
          </w:tcPr>
          <w:p w:rsidR="00C7083F" w:rsidRPr="00BA1E56" w:rsidP="00285D06" w14:paraId="108063F6" w14:textId="70A586F5">
            <w:pPr>
              <w:ind w:right="72"/>
              <w:jc w:val="right"/>
              <w:rPr>
                <w:sz w:val="22"/>
                <w:szCs w:val="22"/>
              </w:rPr>
            </w:pPr>
            <w:r w:rsidRPr="00BA1E56">
              <w:rPr>
                <w:sz w:val="22"/>
                <w:szCs w:val="22"/>
              </w:rPr>
              <w:t xml:space="preserve">$              </w:t>
            </w:r>
            <w:r>
              <w:rPr>
                <w:sz w:val="22"/>
                <w:szCs w:val="22"/>
              </w:rPr>
              <w:t>823,087</w:t>
            </w:r>
          </w:p>
        </w:tc>
        <w:tc>
          <w:tcPr>
            <w:tcW w:w="1890" w:type="dxa"/>
            <w:tcBorders>
              <w:top w:val="single" w:sz="4" w:space="0" w:color="auto"/>
              <w:left w:val="nil"/>
              <w:bottom w:val="double" w:sz="4" w:space="0" w:color="auto"/>
              <w:right w:val="nil"/>
            </w:tcBorders>
            <w:shd w:val="clear" w:color="000000" w:fill="FFFFFF"/>
            <w:noWrap/>
            <w:vAlign w:val="bottom"/>
          </w:tcPr>
          <w:p w:rsidR="00C7083F" w:rsidRPr="00BA1E56" w:rsidP="00285D06" w14:paraId="75D47436" w14:textId="3BBE10EC">
            <w:pPr>
              <w:ind w:right="72"/>
              <w:jc w:val="right"/>
              <w:rPr>
                <w:sz w:val="22"/>
                <w:szCs w:val="22"/>
              </w:rPr>
            </w:pPr>
            <w:r w:rsidRPr="00BA1E56">
              <w:rPr>
                <w:sz w:val="22"/>
                <w:szCs w:val="22"/>
              </w:rPr>
              <w:t>$</w:t>
            </w:r>
            <w:r>
              <w:rPr>
                <w:sz w:val="22"/>
                <w:szCs w:val="22"/>
              </w:rPr>
              <w:t xml:space="preserve"> </w:t>
            </w:r>
            <w:r w:rsidR="00624592">
              <w:rPr>
                <w:sz w:val="22"/>
                <w:szCs w:val="22"/>
              </w:rPr>
              <w:t xml:space="preserve">           </w:t>
            </w:r>
            <w:r>
              <w:rPr>
                <w:sz w:val="22"/>
                <w:szCs w:val="22"/>
              </w:rPr>
              <w:t xml:space="preserve">  823,448</w:t>
            </w:r>
          </w:p>
        </w:tc>
      </w:tr>
    </w:tbl>
    <w:p w:rsidR="00285D06" w:rsidP="005C6EEB" w14:paraId="23660E30" w14:textId="77777777">
      <w:pPr>
        <w:tabs>
          <w:tab w:val="left" w:pos="-1440"/>
          <w:tab w:val="left" w:pos="3600"/>
          <w:tab w:val="left" w:pos="4230"/>
          <w:tab w:val="left" w:pos="5940"/>
          <w:tab w:val="left" w:pos="7560"/>
        </w:tabs>
        <w:spacing w:before="600"/>
        <w:jc w:val="both"/>
        <w:rPr>
          <w:sz w:val="22"/>
          <w:szCs w:val="22"/>
        </w:rPr>
      </w:pPr>
    </w:p>
    <w:tbl>
      <w:tblPr>
        <w:tblW w:w="8640" w:type="dxa"/>
        <w:jc w:val="center"/>
        <w:tblLayout w:type="fixed"/>
        <w:tblLook w:val="04A0"/>
      </w:tblPr>
      <w:tblGrid>
        <w:gridCol w:w="2970"/>
        <w:gridCol w:w="1890"/>
        <w:gridCol w:w="1890"/>
        <w:gridCol w:w="1890"/>
      </w:tblGrid>
      <w:tr w14:paraId="421AEF31" w14:textId="77777777" w:rsidTr="00C7083F">
        <w:tblPrEx>
          <w:tblW w:w="8640" w:type="dxa"/>
          <w:jc w:val="center"/>
          <w:tblLayout w:type="fixed"/>
          <w:tblLook w:val="04A0"/>
        </w:tblPrEx>
        <w:trPr>
          <w:trHeight w:val="117"/>
          <w:jc w:val="center"/>
        </w:trPr>
        <w:tc>
          <w:tcPr>
            <w:tcW w:w="2970" w:type="dxa"/>
            <w:tcBorders>
              <w:top w:val="nil"/>
              <w:left w:val="nil"/>
              <w:bottom w:val="nil"/>
              <w:right w:val="nil"/>
            </w:tcBorders>
            <w:shd w:val="clear" w:color="000000" w:fill="FFFFFF"/>
            <w:noWrap/>
            <w:vAlign w:val="bottom"/>
          </w:tcPr>
          <w:p w:rsidR="00C7083F" w:rsidRPr="00F96C42" w:rsidP="00285D06" w14:paraId="264E9D85" w14:textId="77777777">
            <w:pPr>
              <w:rPr>
                <w:sz w:val="22"/>
                <w:szCs w:val="22"/>
                <w:u w:val="single"/>
              </w:rPr>
            </w:pPr>
            <w:r w:rsidRPr="00F96C42">
              <w:rPr>
                <w:sz w:val="22"/>
                <w:szCs w:val="22"/>
                <w:u w:val="single"/>
              </w:rPr>
              <w:t>FY 2020</w:t>
            </w:r>
          </w:p>
        </w:tc>
        <w:tc>
          <w:tcPr>
            <w:tcW w:w="1890" w:type="dxa"/>
            <w:tcBorders>
              <w:top w:val="nil"/>
              <w:left w:val="nil"/>
              <w:bottom w:val="single" w:sz="4" w:space="0" w:color="auto"/>
            </w:tcBorders>
            <w:shd w:val="clear" w:color="000000" w:fill="FFFFFF"/>
            <w:noWrap/>
            <w:vAlign w:val="bottom"/>
          </w:tcPr>
          <w:p w:rsidR="00C7083F" w:rsidRPr="00BA1E56" w:rsidP="00285D06" w14:paraId="30FDB835" w14:textId="77777777">
            <w:pPr>
              <w:jc w:val="right"/>
              <w:rPr>
                <w:sz w:val="22"/>
                <w:szCs w:val="22"/>
              </w:rPr>
            </w:pPr>
            <w:r w:rsidRPr="00BA1E56">
              <w:rPr>
                <w:sz w:val="22"/>
                <w:szCs w:val="22"/>
              </w:rPr>
              <w:t>Intragovernmental</w:t>
            </w:r>
          </w:p>
        </w:tc>
        <w:tc>
          <w:tcPr>
            <w:tcW w:w="1890" w:type="dxa"/>
            <w:tcBorders>
              <w:top w:val="nil"/>
              <w:left w:val="nil"/>
              <w:bottom w:val="single" w:sz="4" w:space="0" w:color="auto"/>
            </w:tcBorders>
            <w:shd w:val="clear" w:color="000000" w:fill="FFFFFF"/>
            <w:noWrap/>
            <w:vAlign w:val="bottom"/>
          </w:tcPr>
          <w:p w:rsidR="00C7083F" w:rsidRPr="00BA1E56" w:rsidP="00285D06" w14:paraId="13C88FB1" w14:textId="77777777">
            <w:pPr>
              <w:jc w:val="center"/>
              <w:rPr>
                <w:sz w:val="22"/>
                <w:szCs w:val="22"/>
              </w:rPr>
            </w:pPr>
            <w:r w:rsidRPr="00BA1E56">
              <w:rPr>
                <w:sz w:val="22"/>
                <w:szCs w:val="22"/>
              </w:rPr>
              <w:t>Public</w:t>
            </w:r>
          </w:p>
        </w:tc>
        <w:tc>
          <w:tcPr>
            <w:tcW w:w="1890" w:type="dxa"/>
            <w:tcBorders>
              <w:top w:val="nil"/>
              <w:left w:val="nil"/>
              <w:bottom w:val="single" w:sz="4" w:space="0" w:color="auto"/>
              <w:right w:val="nil"/>
            </w:tcBorders>
            <w:shd w:val="clear" w:color="000000" w:fill="FFFFFF"/>
            <w:noWrap/>
            <w:vAlign w:val="bottom"/>
          </w:tcPr>
          <w:p w:rsidR="00C7083F" w:rsidRPr="00BA1E56" w:rsidP="00285D06" w14:paraId="187B027B" w14:textId="77777777">
            <w:pPr>
              <w:jc w:val="center"/>
              <w:rPr>
                <w:sz w:val="22"/>
                <w:szCs w:val="22"/>
              </w:rPr>
            </w:pPr>
            <w:r w:rsidRPr="00BA1E56">
              <w:rPr>
                <w:sz w:val="22"/>
                <w:szCs w:val="22"/>
              </w:rPr>
              <w:t>Total</w:t>
            </w:r>
          </w:p>
        </w:tc>
      </w:tr>
      <w:tr w14:paraId="2F22763D" w14:textId="77777777" w:rsidTr="00C7083F">
        <w:tblPrEx>
          <w:tblW w:w="8640" w:type="dxa"/>
          <w:jc w:val="center"/>
          <w:tblLayout w:type="fixed"/>
          <w:tblLook w:val="04A0"/>
        </w:tblPrEx>
        <w:trPr>
          <w:trHeight w:val="117"/>
          <w:jc w:val="center"/>
        </w:trPr>
        <w:tc>
          <w:tcPr>
            <w:tcW w:w="2970" w:type="dxa"/>
            <w:tcBorders>
              <w:top w:val="nil"/>
              <w:left w:val="nil"/>
              <w:bottom w:val="nil"/>
              <w:right w:val="nil"/>
            </w:tcBorders>
            <w:shd w:val="clear" w:color="000000" w:fill="FFFFFF"/>
            <w:noWrap/>
            <w:vAlign w:val="bottom"/>
          </w:tcPr>
          <w:p w:rsidR="00C7083F" w:rsidRPr="00BA1E56" w:rsidP="002E1911" w14:paraId="1E5701B8" w14:textId="77777777">
            <w:pPr>
              <w:rPr>
                <w:sz w:val="22"/>
                <w:szCs w:val="22"/>
              </w:rPr>
            </w:pPr>
            <w:r w:rsidRPr="00BA1E56">
              <w:rPr>
                <w:sz w:val="22"/>
                <w:szCs w:val="22"/>
              </w:rPr>
              <w:t>Gross Accounts Receivable</w:t>
            </w:r>
          </w:p>
        </w:tc>
        <w:tc>
          <w:tcPr>
            <w:tcW w:w="1890" w:type="dxa"/>
            <w:tcBorders>
              <w:top w:val="single" w:sz="4" w:space="0" w:color="auto"/>
              <w:left w:val="nil"/>
              <w:bottom w:val="nil"/>
            </w:tcBorders>
            <w:shd w:val="clear" w:color="000000" w:fill="FFFFFF"/>
            <w:noWrap/>
            <w:vAlign w:val="bottom"/>
          </w:tcPr>
          <w:p w:rsidR="00C7083F" w:rsidRPr="00BA1E56" w:rsidP="002E1911" w14:paraId="0AE9BE4C" w14:textId="37BB1246">
            <w:pPr>
              <w:jc w:val="right"/>
              <w:rPr>
                <w:sz w:val="22"/>
                <w:szCs w:val="22"/>
              </w:rPr>
            </w:pPr>
            <w:r w:rsidRPr="00BA1E56">
              <w:rPr>
                <w:sz w:val="22"/>
                <w:szCs w:val="22"/>
              </w:rPr>
              <w:t>$                     439</w:t>
            </w:r>
          </w:p>
        </w:tc>
        <w:tc>
          <w:tcPr>
            <w:tcW w:w="1890" w:type="dxa"/>
            <w:tcBorders>
              <w:top w:val="single" w:sz="4" w:space="0" w:color="auto"/>
              <w:left w:val="nil"/>
              <w:bottom w:val="nil"/>
            </w:tcBorders>
            <w:shd w:val="clear" w:color="000000" w:fill="FFFFFF"/>
            <w:noWrap/>
            <w:vAlign w:val="bottom"/>
          </w:tcPr>
          <w:p w:rsidR="00C7083F" w:rsidRPr="00BA1E56" w:rsidP="002E1911" w14:paraId="6C0C3AE5" w14:textId="79BF74E5">
            <w:pPr>
              <w:ind w:right="72"/>
              <w:jc w:val="right"/>
              <w:rPr>
                <w:sz w:val="22"/>
                <w:szCs w:val="22"/>
              </w:rPr>
            </w:pPr>
            <w:r w:rsidRPr="00BA1E56">
              <w:rPr>
                <w:sz w:val="22"/>
                <w:szCs w:val="22"/>
              </w:rPr>
              <w:t>$           1,643,561</w:t>
            </w:r>
          </w:p>
        </w:tc>
        <w:tc>
          <w:tcPr>
            <w:tcW w:w="1890" w:type="dxa"/>
            <w:tcBorders>
              <w:top w:val="single" w:sz="4" w:space="0" w:color="auto"/>
              <w:left w:val="nil"/>
              <w:bottom w:val="nil"/>
              <w:right w:val="nil"/>
            </w:tcBorders>
            <w:shd w:val="clear" w:color="000000" w:fill="FFFFFF"/>
            <w:noWrap/>
            <w:vAlign w:val="bottom"/>
          </w:tcPr>
          <w:p w:rsidR="00C7083F" w:rsidRPr="00BA1E56" w:rsidP="002E1911" w14:paraId="1F377F7C" w14:textId="20532F2B">
            <w:pPr>
              <w:ind w:right="72"/>
              <w:jc w:val="right"/>
              <w:rPr>
                <w:sz w:val="22"/>
                <w:szCs w:val="22"/>
              </w:rPr>
            </w:pPr>
            <w:r w:rsidRPr="00BA1E56">
              <w:rPr>
                <w:sz w:val="22"/>
                <w:szCs w:val="22"/>
              </w:rPr>
              <w:t>$           1,644,000</w:t>
            </w:r>
          </w:p>
        </w:tc>
      </w:tr>
      <w:tr w14:paraId="7DB5D145" w14:textId="77777777" w:rsidTr="00C7083F">
        <w:tblPrEx>
          <w:tblW w:w="8640" w:type="dxa"/>
          <w:jc w:val="center"/>
          <w:tblLayout w:type="fixed"/>
          <w:tblLook w:val="04A0"/>
        </w:tblPrEx>
        <w:trPr>
          <w:trHeight w:val="117"/>
          <w:jc w:val="center"/>
        </w:trPr>
        <w:tc>
          <w:tcPr>
            <w:tcW w:w="2970" w:type="dxa"/>
            <w:tcBorders>
              <w:top w:val="nil"/>
              <w:left w:val="nil"/>
              <w:bottom w:val="nil"/>
              <w:right w:val="nil"/>
            </w:tcBorders>
            <w:shd w:val="clear" w:color="000000" w:fill="FFFFFF"/>
            <w:noWrap/>
            <w:vAlign w:val="bottom"/>
          </w:tcPr>
          <w:p w:rsidR="00C7083F" w:rsidRPr="00BA1E56" w:rsidP="002E1911" w14:paraId="581ED2DB" w14:textId="77777777">
            <w:pPr>
              <w:rPr>
                <w:sz w:val="22"/>
                <w:szCs w:val="22"/>
              </w:rPr>
            </w:pPr>
            <w:r w:rsidRPr="00BA1E56">
              <w:rPr>
                <w:sz w:val="22"/>
                <w:szCs w:val="22"/>
              </w:rPr>
              <w:t>Allowance for Doubtful Accounts</w:t>
            </w:r>
          </w:p>
        </w:tc>
        <w:tc>
          <w:tcPr>
            <w:tcW w:w="1890" w:type="dxa"/>
            <w:tcBorders>
              <w:top w:val="nil"/>
              <w:left w:val="nil"/>
              <w:bottom w:val="single" w:sz="4" w:space="0" w:color="auto"/>
            </w:tcBorders>
            <w:shd w:val="clear" w:color="000000" w:fill="FFFFFF"/>
            <w:noWrap/>
            <w:vAlign w:val="bottom"/>
          </w:tcPr>
          <w:p w:rsidR="00C7083F" w:rsidRPr="00BA1E56" w:rsidP="002E1911" w14:paraId="318C0D73" w14:textId="7B6B4AE7">
            <w:pPr>
              <w:jc w:val="right"/>
              <w:rPr>
                <w:sz w:val="22"/>
                <w:szCs w:val="22"/>
              </w:rPr>
            </w:pPr>
            <w:r w:rsidRPr="00BA1E56">
              <w:rPr>
                <w:sz w:val="22"/>
                <w:szCs w:val="22"/>
              </w:rPr>
              <w:t>-</w:t>
            </w:r>
          </w:p>
        </w:tc>
        <w:tc>
          <w:tcPr>
            <w:tcW w:w="1890" w:type="dxa"/>
            <w:tcBorders>
              <w:top w:val="nil"/>
              <w:left w:val="nil"/>
              <w:bottom w:val="single" w:sz="4" w:space="0" w:color="auto"/>
            </w:tcBorders>
            <w:shd w:val="clear" w:color="000000" w:fill="FFFFFF"/>
            <w:noWrap/>
            <w:vAlign w:val="bottom"/>
          </w:tcPr>
          <w:p w:rsidR="00C7083F" w:rsidRPr="00BA1E56" w:rsidP="002E1911" w14:paraId="6C494EDC" w14:textId="09DA4469">
            <w:pPr>
              <w:jc w:val="right"/>
              <w:rPr>
                <w:sz w:val="22"/>
                <w:szCs w:val="22"/>
              </w:rPr>
            </w:pPr>
            <w:r w:rsidRPr="00BA1E56">
              <w:rPr>
                <w:sz w:val="22"/>
                <w:szCs w:val="22"/>
              </w:rPr>
              <w:t>(855,060)</w:t>
            </w:r>
          </w:p>
        </w:tc>
        <w:tc>
          <w:tcPr>
            <w:tcW w:w="1890" w:type="dxa"/>
            <w:tcBorders>
              <w:top w:val="nil"/>
              <w:left w:val="nil"/>
              <w:bottom w:val="single" w:sz="4" w:space="0" w:color="auto"/>
              <w:right w:val="nil"/>
            </w:tcBorders>
            <w:shd w:val="clear" w:color="000000" w:fill="FFFFFF"/>
            <w:noWrap/>
            <w:vAlign w:val="bottom"/>
          </w:tcPr>
          <w:p w:rsidR="00C7083F" w:rsidRPr="00BA1E56" w:rsidP="002E1911" w14:paraId="22C1BE7F" w14:textId="28DE56B5">
            <w:pPr>
              <w:jc w:val="right"/>
              <w:rPr>
                <w:sz w:val="22"/>
                <w:szCs w:val="22"/>
              </w:rPr>
            </w:pPr>
            <w:r w:rsidRPr="00BA1E56">
              <w:rPr>
                <w:sz w:val="22"/>
                <w:szCs w:val="22"/>
              </w:rPr>
              <w:t>(855,060)</w:t>
            </w:r>
          </w:p>
        </w:tc>
      </w:tr>
      <w:tr w14:paraId="32943BE2" w14:textId="77777777" w:rsidTr="00C7083F">
        <w:tblPrEx>
          <w:tblW w:w="8640" w:type="dxa"/>
          <w:jc w:val="center"/>
          <w:tblLayout w:type="fixed"/>
          <w:tblLook w:val="04A0"/>
        </w:tblPrEx>
        <w:trPr>
          <w:trHeight w:val="117"/>
          <w:jc w:val="center"/>
        </w:trPr>
        <w:tc>
          <w:tcPr>
            <w:tcW w:w="2970" w:type="dxa"/>
            <w:tcBorders>
              <w:top w:val="nil"/>
              <w:left w:val="nil"/>
              <w:bottom w:val="nil"/>
              <w:right w:val="nil"/>
            </w:tcBorders>
            <w:shd w:val="clear" w:color="000000" w:fill="FFFFFF"/>
            <w:noWrap/>
            <w:vAlign w:val="bottom"/>
          </w:tcPr>
          <w:p w:rsidR="00C7083F" w:rsidRPr="00BA1E56" w:rsidP="002E1911" w14:paraId="432A3AAE" w14:textId="77777777">
            <w:pPr>
              <w:rPr>
                <w:sz w:val="22"/>
                <w:szCs w:val="22"/>
              </w:rPr>
            </w:pPr>
            <w:r w:rsidRPr="00BA1E56">
              <w:rPr>
                <w:sz w:val="22"/>
                <w:szCs w:val="22"/>
              </w:rPr>
              <w:t>Accounts Receivable, Net</w:t>
            </w:r>
          </w:p>
        </w:tc>
        <w:tc>
          <w:tcPr>
            <w:tcW w:w="1890" w:type="dxa"/>
            <w:tcBorders>
              <w:top w:val="single" w:sz="4" w:space="0" w:color="auto"/>
              <w:left w:val="nil"/>
              <w:bottom w:val="double" w:sz="4" w:space="0" w:color="auto"/>
            </w:tcBorders>
            <w:shd w:val="clear" w:color="000000" w:fill="FFFFFF"/>
            <w:noWrap/>
            <w:vAlign w:val="bottom"/>
          </w:tcPr>
          <w:p w:rsidR="00C7083F" w:rsidRPr="00BA1E56" w:rsidP="002E1911" w14:paraId="4619ED5E" w14:textId="4CA2989C">
            <w:pPr>
              <w:jc w:val="right"/>
              <w:rPr>
                <w:sz w:val="22"/>
                <w:szCs w:val="22"/>
              </w:rPr>
            </w:pPr>
            <w:r w:rsidRPr="00BA1E56">
              <w:rPr>
                <w:sz w:val="22"/>
                <w:szCs w:val="22"/>
              </w:rPr>
              <w:t>$                     439</w:t>
            </w:r>
          </w:p>
        </w:tc>
        <w:tc>
          <w:tcPr>
            <w:tcW w:w="1890" w:type="dxa"/>
            <w:tcBorders>
              <w:top w:val="single" w:sz="4" w:space="0" w:color="auto"/>
              <w:left w:val="nil"/>
              <w:bottom w:val="double" w:sz="4" w:space="0" w:color="auto"/>
            </w:tcBorders>
            <w:shd w:val="clear" w:color="000000" w:fill="FFFFFF"/>
            <w:noWrap/>
            <w:vAlign w:val="bottom"/>
          </w:tcPr>
          <w:p w:rsidR="00C7083F" w:rsidRPr="00BA1E56" w:rsidP="002E1911" w14:paraId="7453C8E2" w14:textId="0DF1184B">
            <w:pPr>
              <w:ind w:right="72"/>
              <w:jc w:val="right"/>
              <w:rPr>
                <w:sz w:val="22"/>
                <w:szCs w:val="22"/>
              </w:rPr>
            </w:pPr>
            <w:r w:rsidRPr="00BA1E56">
              <w:rPr>
                <w:sz w:val="22"/>
                <w:szCs w:val="22"/>
              </w:rPr>
              <w:t>$              788,501</w:t>
            </w:r>
          </w:p>
        </w:tc>
        <w:tc>
          <w:tcPr>
            <w:tcW w:w="1890" w:type="dxa"/>
            <w:tcBorders>
              <w:top w:val="single" w:sz="4" w:space="0" w:color="auto"/>
              <w:left w:val="nil"/>
              <w:bottom w:val="double" w:sz="4" w:space="0" w:color="auto"/>
              <w:right w:val="nil"/>
            </w:tcBorders>
            <w:shd w:val="clear" w:color="000000" w:fill="FFFFFF"/>
            <w:noWrap/>
            <w:vAlign w:val="bottom"/>
          </w:tcPr>
          <w:p w:rsidR="00C7083F" w:rsidRPr="00BA1E56" w:rsidP="002E1911" w14:paraId="5508182C" w14:textId="4A531A8F">
            <w:pPr>
              <w:ind w:right="72"/>
              <w:jc w:val="right"/>
              <w:rPr>
                <w:sz w:val="22"/>
                <w:szCs w:val="22"/>
              </w:rPr>
            </w:pPr>
            <w:r w:rsidRPr="00BA1E56">
              <w:rPr>
                <w:sz w:val="22"/>
                <w:szCs w:val="22"/>
              </w:rPr>
              <w:t>$              788,940</w:t>
            </w:r>
          </w:p>
        </w:tc>
      </w:tr>
    </w:tbl>
    <w:p w:rsidR="00285D06" w:rsidRPr="00BA1E56" w:rsidP="000C440C" w14:paraId="36B20796" w14:textId="5FFFC1AB">
      <w:pPr>
        <w:spacing w:before="440" w:after="240"/>
        <w:jc w:val="both"/>
        <w:rPr>
          <w:sz w:val="22"/>
          <w:szCs w:val="22"/>
        </w:rPr>
      </w:pPr>
      <w:r w:rsidRPr="00BA1E56">
        <w:rPr>
          <w:sz w:val="22"/>
          <w:szCs w:val="22"/>
        </w:rPr>
        <w:t xml:space="preserve">The following summarizes accounts receivable by type as of </w:t>
      </w:r>
      <w:r>
        <w:rPr>
          <w:sz w:val="22"/>
          <w:szCs w:val="22"/>
        </w:rPr>
        <w:t>September 30, 2021</w:t>
      </w:r>
      <w:r w:rsidRPr="00BA1E56">
        <w:rPr>
          <w:sz w:val="22"/>
          <w:szCs w:val="22"/>
        </w:rPr>
        <w:t xml:space="preserve"> and September 30</w:t>
      </w:r>
      <w:r>
        <w:rPr>
          <w:sz w:val="22"/>
          <w:szCs w:val="22"/>
        </w:rPr>
        <w:t>, 2020</w:t>
      </w:r>
      <w:r w:rsidRPr="00BA1E56">
        <w:rPr>
          <w:sz w:val="22"/>
          <w:szCs w:val="22"/>
        </w:rPr>
        <w:t>:</w:t>
      </w:r>
      <w:r w:rsidR="00C933B2">
        <w:rPr>
          <w:sz w:val="22"/>
          <w:szCs w:val="22"/>
        </w:rPr>
        <w:t xml:space="preserve"> </w:t>
      </w:r>
    </w:p>
    <w:tbl>
      <w:tblPr>
        <w:tblW w:w="5002" w:type="pct"/>
        <w:tblLook w:val="04A0"/>
      </w:tblPr>
      <w:tblGrid>
        <w:gridCol w:w="2646"/>
        <w:gridCol w:w="1328"/>
        <w:gridCol w:w="1261"/>
        <w:gridCol w:w="952"/>
        <w:gridCol w:w="1121"/>
        <w:gridCol w:w="1102"/>
        <w:gridCol w:w="954"/>
      </w:tblGrid>
      <w:tr w14:paraId="5837FA7E" w14:textId="77777777" w:rsidTr="00B33FE9">
        <w:tblPrEx>
          <w:tblW w:w="5002" w:type="pct"/>
          <w:tblLook w:val="04A0"/>
        </w:tblPrEx>
        <w:trPr>
          <w:trHeight w:val="216"/>
        </w:trPr>
        <w:tc>
          <w:tcPr>
            <w:tcW w:w="2646" w:type="dxa"/>
            <w:tcBorders>
              <w:top w:val="nil"/>
              <w:left w:val="nil"/>
              <w:bottom w:val="nil"/>
              <w:right w:val="nil"/>
            </w:tcBorders>
            <w:shd w:val="clear" w:color="000000" w:fill="FFFFFF"/>
            <w:noWrap/>
            <w:vAlign w:val="bottom"/>
          </w:tcPr>
          <w:p w:rsidR="00B33FE9" w:rsidRPr="00AB320C" w:rsidP="00FB3FAC" w14:paraId="50CEF3FB" w14:textId="77777777">
            <w:pPr>
              <w:jc w:val="center"/>
              <w:rPr>
                <w:sz w:val="16"/>
                <w:szCs w:val="16"/>
              </w:rPr>
            </w:pPr>
          </w:p>
        </w:tc>
        <w:tc>
          <w:tcPr>
            <w:tcW w:w="3541" w:type="dxa"/>
            <w:gridSpan w:val="3"/>
            <w:tcBorders>
              <w:left w:val="nil"/>
              <w:bottom w:val="single" w:sz="4" w:space="0" w:color="auto"/>
              <w:right w:val="nil"/>
            </w:tcBorders>
            <w:shd w:val="clear" w:color="000000" w:fill="FFFFFF"/>
            <w:noWrap/>
            <w:vAlign w:val="bottom"/>
          </w:tcPr>
          <w:p w:rsidR="00B33FE9" w:rsidRPr="00AB320C" w:rsidP="00FB3FAC" w14:paraId="71F467B0" w14:textId="57E9607D">
            <w:pPr>
              <w:jc w:val="center"/>
              <w:rPr>
                <w:sz w:val="16"/>
                <w:szCs w:val="16"/>
              </w:rPr>
            </w:pPr>
            <w:r w:rsidRPr="006C785E">
              <w:rPr>
                <w:sz w:val="16"/>
                <w:szCs w:val="16"/>
              </w:rPr>
              <w:t>FY</w:t>
            </w:r>
            <w:r>
              <w:rPr>
                <w:sz w:val="16"/>
                <w:szCs w:val="16"/>
              </w:rPr>
              <w:t xml:space="preserve"> </w:t>
            </w:r>
            <w:r w:rsidRPr="006C785E">
              <w:rPr>
                <w:sz w:val="16"/>
                <w:szCs w:val="16"/>
              </w:rPr>
              <w:t>2021</w:t>
            </w:r>
          </w:p>
        </w:tc>
        <w:tc>
          <w:tcPr>
            <w:tcW w:w="3177" w:type="dxa"/>
            <w:gridSpan w:val="3"/>
            <w:tcBorders>
              <w:left w:val="nil"/>
              <w:bottom w:val="single" w:sz="4" w:space="0" w:color="auto"/>
              <w:right w:val="nil"/>
            </w:tcBorders>
            <w:shd w:val="clear" w:color="000000" w:fill="FFFFFF"/>
            <w:noWrap/>
            <w:vAlign w:val="bottom"/>
          </w:tcPr>
          <w:p w:rsidR="00B33FE9" w:rsidRPr="00AB320C" w:rsidP="00FB3FAC" w14:paraId="7B110D4B" w14:textId="0F25681D">
            <w:pPr>
              <w:jc w:val="center"/>
              <w:rPr>
                <w:sz w:val="16"/>
                <w:szCs w:val="16"/>
              </w:rPr>
            </w:pPr>
            <w:r w:rsidRPr="006C785E">
              <w:rPr>
                <w:sz w:val="16"/>
                <w:szCs w:val="16"/>
              </w:rPr>
              <w:t>FY</w:t>
            </w:r>
            <w:r>
              <w:rPr>
                <w:sz w:val="16"/>
                <w:szCs w:val="16"/>
              </w:rPr>
              <w:t xml:space="preserve"> </w:t>
            </w:r>
            <w:r w:rsidRPr="006C785E">
              <w:rPr>
                <w:sz w:val="16"/>
                <w:szCs w:val="16"/>
              </w:rPr>
              <w:t>2020</w:t>
            </w:r>
          </w:p>
        </w:tc>
      </w:tr>
      <w:tr w14:paraId="4A35DFBB" w14:textId="77777777" w:rsidTr="00C26A87">
        <w:tblPrEx>
          <w:tblW w:w="5002" w:type="pct"/>
          <w:tblLook w:val="04A0"/>
        </w:tblPrEx>
        <w:trPr>
          <w:trHeight w:val="216"/>
        </w:trPr>
        <w:tc>
          <w:tcPr>
            <w:tcW w:w="2646" w:type="dxa"/>
            <w:tcBorders>
              <w:top w:val="nil"/>
              <w:left w:val="nil"/>
              <w:bottom w:val="nil"/>
              <w:right w:val="nil"/>
            </w:tcBorders>
            <w:shd w:val="clear" w:color="000000" w:fill="FFFFFF"/>
            <w:noWrap/>
            <w:vAlign w:val="bottom"/>
            <w:hideMark/>
          </w:tcPr>
          <w:p w:rsidR="007A6514" w:rsidRPr="00AB320C" w:rsidP="00FB3FAC" w14:paraId="08F75D60" w14:textId="24B3B4AF">
            <w:pPr>
              <w:jc w:val="center"/>
              <w:rPr>
                <w:sz w:val="16"/>
                <w:szCs w:val="16"/>
              </w:rPr>
            </w:pPr>
          </w:p>
        </w:tc>
        <w:tc>
          <w:tcPr>
            <w:tcW w:w="1328" w:type="dxa"/>
            <w:tcBorders>
              <w:top w:val="single" w:sz="4" w:space="0" w:color="auto"/>
              <w:left w:val="nil"/>
              <w:bottom w:val="single" w:sz="4" w:space="0" w:color="auto"/>
              <w:right w:val="nil"/>
            </w:tcBorders>
            <w:shd w:val="clear" w:color="000000" w:fill="FFFFFF"/>
            <w:noWrap/>
            <w:vAlign w:val="bottom"/>
            <w:hideMark/>
          </w:tcPr>
          <w:p w:rsidR="007A6514" w:rsidRPr="00AB320C" w:rsidP="00FB3FAC" w14:paraId="14C5F29C" w14:textId="491770CC">
            <w:pPr>
              <w:jc w:val="center"/>
              <w:rPr>
                <w:sz w:val="16"/>
                <w:szCs w:val="16"/>
              </w:rPr>
            </w:pPr>
            <w:r w:rsidRPr="00AB320C">
              <w:rPr>
                <w:sz w:val="16"/>
                <w:szCs w:val="16"/>
              </w:rPr>
              <w:t>Accounts</w:t>
            </w:r>
            <w:r>
              <w:rPr>
                <w:sz w:val="16"/>
                <w:szCs w:val="16"/>
              </w:rPr>
              <w:br/>
            </w:r>
            <w:r w:rsidRPr="00AB320C">
              <w:rPr>
                <w:sz w:val="16"/>
                <w:szCs w:val="16"/>
              </w:rPr>
              <w:t>Receivable</w:t>
            </w:r>
          </w:p>
        </w:tc>
        <w:tc>
          <w:tcPr>
            <w:tcW w:w="1261" w:type="dxa"/>
            <w:tcBorders>
              <w:top w:val="single" w:sz="4" w:space="0" w:color="auto"/>
              <w:left w:val="nil"/>
              <w:bottom w:val="single" w:sz="4" w:space="0" w:color="auto"/>
              <w:right w:val="nil"/>
            </w:tcBorders>
            <w:shd w:val="clear" w:color="000000" w:fill="FFFFFF"/>
            <w:noWrap/>
            <w:vAlign w:val="bottom"/>
            <w:hideMark/>
          </w:tcPr>
          <w:p w:rsidR="007A6514" w:rsidRPr="00AB320C" w:rsidP="00FB3FAC" w14:paraId="08F91022" w14:textId="77777777">
            <w:pPr>
              <w:jc w:val="center"/>
              <w:rPr>
                <w:sz w:val="16"/>
                <w:szCs w:val="16"/>
              </w:rPr>
            </w:pPr>
            <w:r w:rsidRPr="00AB320C">
              <w:rPr>
                <w:sz w:val="16"/>
                <w:szCs w:val="16"/>
              </w:rPr>
              <w:t>Allowance</w:t>
            </w:r>
          </w:p>
        </w:tc>
        <w:tc>
          <w:tcPr>
            <w:tcW w:w="952" w:type="dxa"/>
            <w:tcBorders>
              <w:top w:val="single" w:sz="4" w:space="0" w:color="auto"/>
              <w:left w:val="nil"/>
              <w:bottom w:val="single" w:sz="4" w:space="0" w:color="auto"/>
              <w:right w:val="nil"/>
            </w:tcBorders>
            <w:shd w:val="clear" w:color="000000" w:fill="FFFFFF"/>
            <w:noWrap/>
            <w:vAlign w:val="bottom"/>
            <w:hideMark/>
          </w:tcPr>
          <w:p w:rsidR="007A6514" w:rsidRPr="00AB320C" w:rsidP="00FB3FAC" w14:paraId="55ECAA70" w14:textId="77777777">
            <w:pPr>
              <w:jc w:val="center"/>
              <w:rPr>
                <w:sz w:val="16"/>
                <w:szCs w:val="16"/>
              </w:rPr>
            </w:pPr>
            <w:r w:rsidRPr="00AB320C">
              <w:rPr>
                <w:sz w:val="16"/>
                <w:szCs w:val="16"/>
              </w:rPr>
              <w:t>Net</w:t>
            </w:r>
          </w:p>
        </w:tc>
        <w:tc>
          <w:tcPr>
            <w:tcW w:w="1121" w:type="dxa"/>
            <w:tcBorders>
              <w:top w:val="single" w:sz="4" w:space="0" w:color="auto"/>
              <w:left w:val="nil"/>
              <w:bottom w:val="single" w:sz="4" w:space="0" w:color="auto"/>
              <w:right w:val="nil"/>
            </w:tcBorders>
            <w:shd w:val="clear" w:color="000000" w:fill="FFFFFF"/>
            <w:noWrap/>
            <w:vAlign w:val="bottom"/>
            <w:hideMark/>
          </w:tcPr>
          <w:p w:rsidR="007A6514" w:rsidRPr="00AB320C" w:rsidP="00FB3FAC" w14:paraId="73536C77" w14:textId="47D07F62">
            <w:pPr>
              <w:jc w:val="center"/>
              <w:rPr>
                <w:sz w:val="16"/>
                <w:szCs w:val="16"/>
              </w:rPr>
            </w:pPr>
            <w:r w:rsidRPr="00AB320C">
              <w:rPr>
                <w:sz w:val="16"/>
                <w:szCs w:val="16"/>
              </w:rPr>
              <w:t>Accounts</w:t>
            </w:r>
            <w:r>
              <w:rPr>
                <w:sz w:val="16"/>
                <w:szCs w:val="16"/>
              </w:rPr>
              <w:br/>
            </w:r>
            <w:r w:rsidRPr="00AB320C">
              <w:rPr>
                <w:sz w:val="16"/>
                <w:szCs w:val="16"/>
              </w:rPr>
              <w:t>Receivable</w:t>
            </w:r>
          </w:p>
        </w:tc>
        <w:tc>
          <w:tcPr>
            <w:tcW w:w="1102" w:type="dxa"/>
            <w:tcBorders>
              <w:top w:val="single" w:sz="4" w:space="0" w:color="auto"/>
              <w:left w:val="nil"/>
              <w:bottom w:val="single" w:sz="4" w:space="0" w:color="auto"/>
              <w:right w:val="nil"/>
            </w:tcBorders>
            <w:shd w:val="clear" w:color="000000" w:fill="FFFFFF"/>
            <w:noWrap/>
            <w:vAlign w:val="bottom"/>
            <w:hideMark/>
          </w:tcPr>
          <w:p w:rsidR="007A6514" w:rsidRPr="00AB320C" w:rsidP="00FB3FAC" w14:paraId="62751301" w14:textId="77777777">
            <w:pPr>
              <w:jc w:val="center"/>
              <w:rPr>
                <w:sz w:val="16"/>
                <w:szCs w:val="16"/>
              </w:rPr>
            </w:pPr>
            <w:r w:rsidRPr="00AB320C">
              <w:rPr>
                <w:sz w:val="16"/>
                <w:szCs w:val="16"/>
              </w:rPr>
              <w:t>Allowance</w:t>
            </w:r>
          </w:p>
        </w:tc>
        <w:tc>
          <w:tcPr>
            <w:tcW w:w="954" w:type="dxa"/>
            <w:tcBorders>
              <w:top w:val="single" w:sz="4" w:space="0" w:color="auto"/>
              <w:left w:val="nil"/>
              <w:bottom w:val="single" w:sz="4" w:space="0" w:color="auto"/>
              <w:right w:val="nil"/>
            </w:tcBorders>
            <w:shd w:val="clear" w:color="000000" w:fill="FFFFFF"/>
            <w:noWrap/>
            <w:vAlign w:val="bottom"/>
            <w:hideMark/>
          </w:tcPr>
          <w:p w:rsidR="007A6514" w:rsidRPr="00AB320C" w:rsidP="00FB3FAC" w14:paraId="4066FE48" w14:textId="77777777">
            <w:pPr>
              <w:jc w:val="center"/>
              <w:rPr>
                <w:sz w:val="16"/>
                <w:szCs w:val="16"/>
              </w:rPr>
            </w:pPr>
            <w:r w:rsidRPr="00AB320C">
              <w:rPr>
                <w:sz w:val="16"/>
                <w:szCs w:val="16"/>
              </w:rPr>
              <w:t>Net</w:t>
            </w:r>
          </w:p>
        </w:tc>
      </w:tr>
      <w:tr w14:paraId="55B1BB5C" w14:textId="77777777" w:rsidTr="00C26A87">
        <w:tblPrEx>
          <w:tblW w:w="5002" w:type="pct"/>
          <w:tblLook w:val="04A0"/>
        </w:tblPrEx>
        <w:trPr>
          <w:trHeight w:val="216"/>
        </w:trPr>
        <w:tc>
          <w:tcPr>
            <w:tcW w:w="2646" w:type="dxa"/>
            <w:tcBorders>
              <w:top w:val="nil"/>
              <w:left w:val="nil"/>
              <w:bottom w:val="nil"/>
              <w:right w:val="nil"/>
            </w:tcBorders>
            <w:shd w:val="clear" w:color="000000" w:fill="FFFFFF"/>
            <w:noWrap/>
            <w:vAlign w:val="bottom"/>
            <w:hideMark/>
          </w:tcPr>
          <w:p w:rsidR="007A6514" w:rsidRPr="00AB320C" w:rsidP="004957F6" w14:paraId="0FD4DF08" w14:textId="77777777">
            <w:pPr>
              <w:rPr>
                <w:sz w:val="16"/>
                <w:szCs w:val="16"/>
              </w:rPr>
            </w:pPr>
            <w:r w:rsidRPr="00AB320C">
              <w:rPr>
                <w:sz w:val="16"/>
                <w:szCs w:val="16"/>
              </w:rPr>
              <w:t>USF</w:t>
            </w:r>
          </w:p>
        </w:tc>
        <w:tc>
          <w:tcPr>
            <w:tcW w:w="1328" w:type="dxa"/>
            <w:tcBorders>
              <w:top w:val="nil"/>
              <w:left w:val="nil"/>
              <w:bottom w:val="nil"/>
              <w:right w:val="nil"/>
            </w:tcBorders>
            <w:shd w:val="clear" w:color="000000" w:fill="FFFFFF"/>
            <w:noWrap/>
            <w:vAlign w:val="bottom"/>
            <w:hideMark/>
          </w:tcPr>
          <w:p w:rsidR="007A6514" w:rsidRPr="00AB320C" w:rsidP="004957F6" w14:paraId="747CDE11" w14:textId="6CC54FE9">
            <w:pPr>
              <w:jc w:val="right"/>
              <w:rPr>
                <w:sz w:val="16"/>
                <w:szCs w:val="16"/>
              </w:rPr>
            </w:pPr>
            <w:r w:rsidRPr="00AB320C">
              <w:rPr>
                <w:sz w:val="16"/>
                <w:szCs w:val="16"/>
              </w:rPr>
              <w:t>$</w:t>
            </w:r>
            <w:r w:rsidR="00D26D6A">
              <w:rPr>
                <w:sz w:val="16"/>
                <w:szCs w:val="16"/>
              </w:rPr>
              <w:t xml:space="preserve">         </w:t>
            </w:r>
            <w:r w:rsidRPr="00AB320C">
              <w:rPr>
                <w:sz w:val="16"/>
                <w:szCs w:val="16"/>
              </w:rPr>
              <w:t>1,088,153</w:t>
            </w:r>
            <w:r>
              <w:rPr>
                <w:sz w:val="16"/>
                <w:szCs w:val="16"/>
              </w:rPr>
              <w:t xml:space="preserve"> </w:t>
            </w:r>
          </w:p>
        </w:tc>
        <w:tc>
          <w:tcPr>
            <w:tcW w:w="1261" w:type="dxa"/>
            <w:tcBorders>
              <w:top w:val="nil"/>
              <w:left w:val="nil"/>
              <w:bottom w:val="nil"/>
              <w:right w:val="nil"/>
            </w:tcBorders>
            <w:shd w:val="clear" w:color="000000" w:fill="FFFFFF"/>
            <w:noWrap/>
            <w:vAlign w:val="bottom"/>
            <w:hideMark/>
          </w:tcPr>
          <w:p w:rsidR="007A6514" w:rsidRPr="00AB320C" w:rsidP="004957F6" w14:paraId="756019CC" w14:textId="79C3AECB">
            <w:pPr>
              <w:jc w:val="right"/>
              <w:rPr>
                <w:sz w:val="16"/>
                <w:szCs w:val="16"/>
              </w:rPr>
            </w:pPr>
            <w:r w:rsidRPr="00AB320C">
              <w:rPr>
                <w:sz w:val="16"/>
                <w:szCs w:val="16"/>
              </w:rPr>
              <w:t>$</w:t>
            </w:r>
            <w:r w:rsidR="00D26D6A">
              <w:rPr>
                <w:sz w:val="16"/>
                <w:szCs w:val="16"/>
              </w:rPr>
              <w:t xml:space="preserve">       </w:t>
            </w:r>
            <w:r>
              <w:rPr>
                <w:sz w:val="16"/>
                <w:szCs w:val="16"/>
              </w:rPr>
              <w:t xml:space="preserve"> </w:t>
            </w:r>
            <w:r w:rsidRPr="00AB320C">
              <w:rPr>
                <w:sz w:val="16"/>
                <w:szCs w:val="16"/>
              </w:rPr>
              <w:t>(342,570)</w:t>
            </w:r>
          </w:p>
        </w:tc>
        <w:tc>
          <w:tcPr>
            <w:tcW w:w="952" w:type="dxa"/>
            <w:tcBorders>
              <w:top w:val="nil"/>
              <w:left w:val="nil"/>
              <w:bottom w:val="nil"/>
              <w:right w:val="nil"/>
            </w:tcBorders>
            <w:shd w:val="clear" w:color="000000" w:fill="FFFFFF"/>
            <w:noWrap/>
            <w:vAlign w:val="bottom"/>
            <w:hideMark/>
          </w:tcPr>
          <w:p w:rsidR="007A6514" w:rsidRPr="00AB320C" w:rsidP="004957F6" w14:paraId="02CAAF68" w14:textId="7FF2944B">
            <w:pPr>
              <w:jc w:val="right"/>
              <w:rPr>
                <w:sz w:val="16"/>
                <w:szCs w:val="16"/>
              </w:rPr>
            </w:pPr>
            <w:r w:rsidRPr="00AB320C">
              <w:rPr>
                <w:sz w:val="16"/>
                <w:szCs w:val="16"/>
              </w:rPr>
              <w:t>$</w:t>
            </w:r>
            <w:r w:rsidR="00D26D6A">
              <w:rPr>
                <w:sz w:val="16"/>
                <w:szCs w:val="16"/>
              </w:rPr>
              <w:t xml:space="preserve">   </w:t>
            </w:r>
            <w:r w:rsidRPr="00AB320C">
              <w:rPr>
                <w:sz w:val="16"/>
                <w:szCs w:val="16"/>
              </w:rPr>
              <w:t>745,583</w:t>
            </w:r>
            <w:r>
              <w:rPr>
                <w:sz w:val="16"/>
                <w:szCs w:val="16"/>
              </w:rPr>
              <w:t xml:space="preserve"> </w:t>
            </w:r>
          </w:p>
        </w:tc>
        <w:tc>
          <w:tcPr>
            <w:tcW w:w="1121" w:type="dxa"/>
            <w:tcBorders>
              <w:top w:val="nil"/>
              <w:left w:val="nil"/>
              <w:bottom w:val="nil"/>
              <w:right w:val="nil"/>
            </w:tcBorders>
            <w:shd w:val="clear" w:color="000000" w:fill="FFFFFF"/>
            <w:noWrap/>
            <w:vAlign w:val="bottom"/>
            <w:hideMark/>
          </w:tcPr>
          <w:p w:rsidR="007A6514" w:rsidRPr="00AB320C" w:rsidP="004957F6" w14:paraId="34B7EBD8" w14:textId="090768A3">
            <w:pPr>
              <w:jc w:val="right"/>
              <w:rPr>
                <w:sz w:val="16"/>
                <w:szCs w:val="16"/>
              </w:rPr>
            </w:pPr>
            <w:r w:rsidRPr="00AB320C">
              <w:rPr>
                <w:sz w:val="16"/>
                <w:szCs w:val="16"/>
              </w:rPr>
              <w:t>$</w:t>
            </w:r>
            <w:r w:rsidR="00D26D6A">
              <w:rPr>
                <w:sz w:val="16"/>
                <w:szCs w:val="16"/>
              </w:rPr>
              <w:t xml:space="preserve">    </w:t>
            </w:r>
            <w:r w:rsidRPr="00AB320C">
              <w:rPr>
                <w:sz w:val="16"/>
                <w:szCs w:val="16"/>
              </w:rPr>
              <w:t>1,023,679</w:t>
            </w:r>
            <w:r>
              <w:rPr>
                <w:sz w:val="16"/>
                <w:szCs w:val="16"/>
              </w:rPr>
              <w:t xml:space="preserve"> </w:t>
            </w:r>
          </w:p>
        </w:tc>
        <w:tc>
          <w:tcPr>
            <w:tcW w:w="1102" w:type="dxa"/>
            <w:tcBorders>
              <w:top w:val="nil"/>
              <w:left w:val="nil"/>
              <w:bottom w:val="nil"/>
              <w:right w:val="nil"/>
            </w:tcBorders>
            <w:shd w:val="clear" w:color="000000" w:fill="FFFFFF"/>
            <w:noWrap/>
            <w:vAlign w:val="bottom"/>
            <w:hideMark/>
          </w:tcPr>
          <w:p w:rsidR="007A6514" w:rsidRPr="00AB320C" w:rsidP="004957F6" w14:paraId="0EDF86C1" w14:textId="2D4FCB0E">
            <w:pPr>
              <w:jc w:val="right"/>
              <w:rPr>
                <w:sz w:val="16"/>
                <w:szCs w:val="16"/>
              </w:rPr>
            </w:pPr>
            <w:r w:rsidRPr="00AB320C">
              <w:rPr>
                <w:sz w:val="16"/>
                <w:szCs w:val="16"/>
              </w:rPr>
              <w:t>$</w:t>
            </w:r>
            <w:r w:rsidR="00D26D6A">
              <w:rPr>
                <w:sz w:val="16"/>
                <w:szCs w:val="16"/>
              </w:rPr>
              <w:t xml:space="preserve">    </w:t>
            </w:r>
            <w:r w:rsidRPr="00AB320C">
              <w:rPr>
                <w:sz w:val="16"/>
                <w:szCs w:val="16"/>
              </w:rPr>
              <w:t>(314,298)</w:t>
            </w:r>
          </w:p>
        </w:tc>
        <w:tc>
          <w:tcPr>
            <w:tcW w:w="954" w:type="dxa"/>
            <w:tcBorders>
              <w:top w:val="nil"/>
              <w:left w:val="nil"/>
              <w:bottom w:val="nil"/>
              <w:right w:val="nil"/>
            </w:tcBorders>
            <w:shd w:val="clear" w:color="000000" w:fill="FFFFFF"/>
            <w:noWrap/>
            <w:vAlign w:val="bottom"/>
            <w:hideMark/>
          </w:tcPr>
          <w:p w:rsidR="007A6514" w:rsidRPr="00AB320C" w:rsidP="004957F6" w14:paraId="304156F5" w14:textId="27702EE9">
            <w:pPr>
              <w:jc w:val="right"/>
              <w:rPr>
                <w:sz w:val="16"/>
                <w:szCs w:val="16"/>
              </w:rPr>
            </w:pPr>
            <w:r w:rsidRPr="00AB320C">
              <w:rPr>
                <w:sz w:val="16"/>
                <w:szCs w:val="16"/>
              </w:rPr>
              <w:t>$</w:t>
            </w:r>
            <w:r w:rsidR="00D26D6A">
              <w:rPr>
                <w:sz w:val="16"/>
                <w:szCs w:val="16"/>
              </w:rPr>
              <w:t xml:space="preserve">   </w:t>
            </w:r>
            <w:r w:rsidRPr="00AB320C">
              <w:rPr>
                <w:sz w:val="16"/>
                <w:szCs w:val="16"/>
              </w:rPr>
              <w:t>709,381</w:t>
            </w:r>
            <w:r>
              <w:rPr>
                <w:sz w:val="16"/>
                <w:szCs w:val="16"/>
              </w:rPr>
              <w:t xml:space="preserve"> </w:t>
            </w:r>
          </w:p>
        </w:tc>
      </w:tr>
      <w:tr w14:paraId="08AF8A9E" w14:textId="77777777" w:rsidTr="00C26A87">
        <w:tblPrEx>
          <w:tblW w:w="5002" w:type="pct"/>
          <w:tblLook w:val="04A0"/>
        </w:tblPrEx>
        <w:trPr>
          <w:trHeight w:val="216"/>
        </w:trPr>
        <w:tc>
          <w:tcPr>
            <w:tcW w:w="2646" w:type="dxa"/>
            <w:tcBorders>
              <w:top w:val="nil"/>
              <w:left w:val="nil"/>
              <w:bottom w:val="nil"/>
              <w:right w:val="nil"/>
            </w:tcBorders>
            <w:shd w:val="clear" w:color="000000" w:fill="FFFFFF"/>
            <w:noWrap/>
            <w:vAlign w:val="bottom"/>
            <w:hideMark/>
          </w:tcPr>
          <w:p w:rsidR="007A6514" w:rsidRPr="00AB320C" w:rsidP="004957F6" w14:paraId="1E6DA7C5" w14:textId="77777777">
            <w:pPr>
              <w:rPr>
                <w:sz w:val="16"/>
                <w:szCs w:val="16"/>
              </w:rPr>
            </w:pPr>
            <w:r w:rsidRPr="00AB320C">
              <w:rPr>
                <w:sz w:val="16"/>
                <w:szCs w:val="16"/>
              </w:rPr>
              <w:t>COMAD</w:t>
            </w:r>
            <w:r>
              <w:rPr>
                <w:sz w:val="16"/>
                <w:szCs w:val="16"/>
              </w:rPr>
              <w:t xml:space="preserve"> </w:t>
            </w:r>
            <w:r w:rsidRPr="00AB320C">
              <w:rPr>
                <w:sz w:val="16"/>
                <w:szCs w:val="16"/>
              </w:rPr>
              <w:t>-</w:t>
            </w:r>
            <w:r>
              <w:rPr>
                <w:sz w:val="16"/>
                <w:szCs w:val="16"/>
              </w:rPr>
              <w:t xml:space="preserve"> </w:t>
            </w:r>
            <w:r w:rsidRPr="00AB320C">
              <w:rPr>
                <w:sz w:val="16"/>
                <w:szCs w:val="16"/>
              </w:rPr>
              <w:t>Schools</w:t>
            </w:r>
            <w:r>
              <w:rPr>
                <w:sz w:val="16"/>
                <w:szCs w:val="16"/>
              </w:rPr>
              <w:t xml:space="preserve"> </w:t>
            </w:r>
            <w:r w:rsidRPr="00AB320C">
              <w:rPr>
                <w:sz w:val="16"/>
                <w:szCs w:val="16"/>
              </w:rPr>
              <w:t>and</w:t>
            </w:r>
            <w:r>
              <w:rPr>
                <w:sz w:val="16"/>
                <w:szCs w:val="16"/>
              </w:rPr>
              <w:t xml:space="preserve"> </w:t>
            </w:r>
            <w:r w:rsidRPr="00AB320C">
              <w:rPr>
                <w:sz w:val="16"/>
                <w:szCs w:val="16"/>
              </w:rPr>
              <w:t>Libraries</w:t>
            </w:r>
          </w:p>
        </w:tc>
        <w:tc>
          <w:tcPr>
            <w:tcW w:w="1328" w:type="dxa"/>
            <w:tcBorders>
              <w:top w:val="nil"/>
              <w:left w:val="nil"/>
              <w:bottom w:val="nil"/>
              <w:right w:val="nil"/>
            </w:tcBorders>
            <w:shd w:val="clear" w:color="auto" w:fill="auto"/>
            <w:noWrap/>
            <w:vAlign w:val="bottom"/>
            <w:hideMark/>
          </w:tcPr>
          <w:p w:rsidR="007A6514" w:rsidRPr="00AB320C" w:rsidP="004957F6" w14:paraId="6FC9E0E4" w14:textId="77777777">
            <w:pPr>
              <w:jc w:val="right"/>
              <w:rPr>
                <w:sz w:val="16"/>
                <w:szCs w:val="16"/>
              </w:rPr>
            </w:pPr>
            <w:r>
              <w:rPr>
                <w:sz w:val="16"/>
                <w:szCs w:val="16"/>
              </w:rPr>
              <w:t xml:space="preserve"> </w:t>
            </w:r>
            <w:r w:rsidRPr="00AB320C">
              <w:rPr>
                <w:sz w:val="16"/>
                <w:szCs w:val="16"/>
              </w:rPr>
              <w:t>179,079</w:t>
            </w:r>
            <w:r>
              <w:rPr>
                <w:sz w:val="16"/>
                <w:szCs w:val="16"/>
              </w:rPr>
              <w:t xml:space="preserve"> </w:t>
            </w:r>
          </w:p>
        </w:tc>
        <w:tc>
          <w:tcPr>
            <w:tcW w:w="1261" w:type="dxa"/>
            <w:tcBorders>
              <w:top w:val="nil"/>
              <w:left w:val="nil"/>
              <w:bottom w:val="nil"/>
              <w:right w:val="nil"/>
            </w:tcBorders>
            <w:shd w:val="clear" w:color="auto" w:fill="auto"/>
            <w:noWrap/>
            <w:vAlign w:val="bottom"/>
            <w:hideMark/>
          </w:tcPr>
          <w:p w:rsidR="007A6514" w:rsidRPr="00AB320C" w:rsidP="004957F6" w14:paraId="2EC5911A" w14:textId="77777777">
            <w:pPr>
              <w:jc w:val="right"/>
              <w:rPr>
                <w:sz w:val="16"/>
                <w:szCs w:val="16"/>
              </w:rPr>
            </w:pPr>
            <w:r>
              <w:rPr>
                <w:sz w:val="16"/>
                <w:szCs w:val="16"/>
              </w:rPr>
              <w:t xml:space="preserve"> </w:t>
            </w:r>
            <w:r w:rsidRPr="00AB320C">
              <w:rPr>
                <w:sz w:val="16"/>
                <w:szCs w:val="16"/>
              </w:rPr>
              <w:t>(174,271)</w:t>
            </w:r>
          </w:p>
        </w:tc>
        <w:tc>
          <w:tcPr>
            <w:tcW w:w="952" w:type="dxa"/>
            <w:tcBorders>
              <w:top w:val="nil"/>
              <w:left w:val="nil"/>
              <w:bottom w:val="nil"/>
              <w:right w:val="nil"/>
            </w:tcBorders>
            <w:shd w:val="clear" w:color="000000" w:fill="FFFFFF"/>
            <w:noWrap/>
            <w:vAlign w:val="bottom"/>
            <w:hideMark/>
          </w:tcPr>
          <w:p w:rsidR="007A6514" w:rsidRPr="00AB320C" w:rsidP="004957F6" w14:paraId="6C5C591A" w14:textId="77777777">
            <w:pPr>
              <w:jc w:val="right"/>
              <w:rPr>
                <w:sz w:val="16"/>
                <w:szCs w:val="16"/>
              </w:rPr>
            </w:pPr>
            <w:r>
              <w:rPr>
                <w:sz w:val="16"/>
                <w:szCs w:val="16"/>
              </w:rPr>
              <w:t xml:space="preserve"> </w:t>
            </w:r>
            <w:r w:rsidRPr="00AB320C">
              <w:rPr>
                <w:sz w:val="16"/>
                <w:szCs w:val="16"/>
              </w:rPr>
              <w:t>4,808</w:t>
            </w:r>
            <w:r>
              <w:rPr>
                <w:sz w:val="16"/>
                <w:szCs w:val="16"/>
              </w:rPr>
              <w:t xml:space="preserve"> </w:t>
            </w:r>
          </w:p>
        </w:tc>
        <w:tc>
          <w:tcPr>
            <w:tcW w:w="1121" w:type="dxa"/>
            <w:tcBorders>
              <w:top w:val="nil"/>
              <w:left w:val="nil"/>
              <w:bottom w:val="nil"/>
              <w:right w:val="nil"/>
            </w:tcBorders>
            <w:shd w:val="clear" w:color="000000" w:fill="FFFFFF"/>
            <w:noWrap/>
            <w:vAlign w:val="bottom"/>
            <w:hideMark/>
          </w:tcPr>
          <w:p w:rsidR="007A6514" w:rsidRPr="00AB320C" w:rsidP="004957F6" w14:paraId="2DD31F4D" w14:textId="77777777">
            <w:pPr>
              <w:jc w:val="right"/>
              <w:rPr>
                <w:sz w:val="16"/>
                <w:szCs w:val="16"/>
              </w:rPr>
            </w:pPr>
            <w:r w:rsidRPr="00AB320C">
              <w:rPr>
                <w:sz w:val="16"/>
                <w:szCs w:val="16"/>
              </w:rPr>
              <w:t>193,569</w:t>
            </w:r>
            <w:r>
              <w:rPr>
                <w:sz w:val="16"/>
                <w:szCs w:val="16"/>
              </w:rPr>
              <w:t xml:space="preserve"> </w:t>
            </w:r>
          </w:p>
        </w:tc>
        <w:tc>
          <w:tcPr>
            <w:tcW w:w="1102" w:type="dxa"/>
            <w:tcBorders>
              <w:top w:val="nil"/>
              <w:left w:val="nil"/>
              <w:bottom w:val="nil"/>
              <w:right w:val="nil"/>
            </w:tcBorders>
            <w:shd w:val="clear" w:color="000000" w:fill="FFFFFF"/>
            <w:noWrap/>
            <w:vAlign w:val="bottom"/>
            <w:hideMark/>
          </w:tcPr>
          <w:p w:rsidR="007A6514" w:rsidRPr="00AB320C" w:rsidP="004957F6" w14:paraId="17649355" w14:textId="77777777">
            <w:pPr>
              <w:jc w:val="right"/>
              <w:rPr>
                <w:sz w:val="16"/>
                <w:szCs w:val="16"/>
              </w:rPr>
            </w:pPr>
            <w:r w:rsidRPr="00AB320C">
              <w:rPr>
                <w:sz w:val="16"/>
                <w:szCs w:val="16"/>
              </w:rPr>
              <w:t>(187,826)</w:t>
            </w:r>
          </w:p>
        </w:tc>
        <w:tc>
          <w:tcPr>
            <w:tcW w:w="954" w:type="dxa"/>
            <w:tcBorders>
              <w:top w:val="nil"/>
              <w:left w:val="nil"/>
              <w:bottom w:val="nil"/>
              <w:right w:val="nil"/>
            </w:tcBorders>
            <w:shd w:val="clear" w:color="000000" w:fill="FFFFFF"/>
            <w:noWrap/>
            <w:vAlign w:val="bottom"/>
            <w:hideMark/>
          </w:tcPr>
          <w:p w:rsidR="007A6514" w:rsidRPr="00AB320C" w:rsidP="004957F6" w14:paraId="0874ECDD" w14:textId="77777777">
            <w:pPr>
              <w:jc w:val="right"/>
              <w:rPr>
                <w:sz w:val="16"/>
                <w:szCs w:val="16"/>
              </w:rPr>
            </w:pPr>
            <w:r>
              <w:rPr>
                <w:sz w:val="16"/>
                <w:szCs w:val="16"/>
              </w:rPr>
              <w:t xml:space="preserve"> </w:t>
            </w:r>
            <w:r w:rsidRPr="00AB320C">
              <w:rPr>
                <w:sz w:val="16"/>
                <w:szCs w:val="16"/>
              </w:rPr>
              <w:t>5,743</w:t>
            </w:r>
            <w:r>
              <w:rPr>
                <w:sz w:val="16"/>
                <w:szCs w:val="16"/>
              </w:rPr>
              <w:t xml:space="preserve"> </w:t>
            </w:r>
          </w:p>
        </w:tc>
      </w:tr>
      <w:tr w14:paraId="6A9CC08D" w14:textId="77777777" w:rsidTr="00C26A87">
        <w:tblPrEx>
          <w:tblW w:w="5002" w:type="pct"/>
          <w:tblLook w:val="04A0"/>
        </w:tblPrEx>
        <w:trPr>
          <w:trHeight w:val="216"/>
        </w:trPr>
        <w:tc>
          <w:tcPr>
            <w:tcW w:w="2646" w:type="dxa"/>
            <w:tcBorders>
              <w:top w:val="nil"/>
              <w:left w:val="nil"/>
              <w:bottom w:val="nil"/>
              <w:right w:val="nil"/>
            </w:tcBorders>
            <w:shd w:val="clear" w:color="000000" w:fill="FFFFFF"/>
            <w:noWrap/>
            <w:vAlign w:val="bottom"/>
            <w:hideMark/>
          </w:tcPr>
          <w:p w:rsidR="007A6514" w:rsidRPr="00AB320C" w:rsidP="004957F6" w14:paraId="516588F1" w14:textId="77777777">
            <w:pPr>
              <w:rPr>
                <w:sz w:val="16"/>
                <w:szCs w:val="16"/>
              </w:rPr>
            </w:pPr>
            <w:r w:rsidRPr="00AB320C">
              <w:rPr>
                <w:sz w:val="16"/>
                <w:szCs w:val="16"/>
              </w:rPr>
              <w:t>TRS</w:t>
            </w:r>
          </w:p>
        </w:tc>
        <w:tc>
          <w:tcPr>
            <w:tcW w:w="1328" w:type="dxa"/>
            <w:tcBorders>
              <w:top w:val="nil"/>
              <w:left w:val="nil"/>
              <w:bottom w:val="nil"/>
              <w:right w:val="nil"/>
            </w:tcBorders>
            <w:shd w:val="clear" w:color="000000" w:fill="FFFFFF"/>
            <w:noWrap/>
            <w:vAlign w:val="bottom"/>
            <w:hideMark/>
          </w:tcPr>
          <w:p w:rsidR="007A6514" w:rsidRPr="00AB320C" w:rsidP="004957F6" w14:paraId="3F437292" w14:textId="77777777">
            <w:pPr>
              <w:jc w:val="right"/>
              <w:rPr>
                <w:sz w:val="16"/>
                <w:szCs w:val="16"/>
              </w:rPr>
            </w:pPr>
            <w:r>
              <w:rPr>
                <w:sz w:val="16"/>
                <w:szCs w:val="16"/>
              </w:rPr>
              <w:t xml:space="preserve"> </w:t>
            </w:r>
            <w:r w:rsidRPr="00AB320C">
              <w:rPr>
                <w:sz w:val="16"/>
                <w:szCs w:val="16"/>
              </w:rPr>
              <w:t>118,377</w:t>
            </w:r>
            <w:r>
              <w:rPr>
                <w:sz w:val="16"/>
                <w:szCs w:val="16"/>
              </w:rPr>
              <w:t xml:space="preserve"> </w:t>
            </w:r>
          </w:p>
        </w:tc>
        <w:tc>
          <w:tcPr>
            <w:tcW w:w="1261" w:type="dxa"/>
            <w:tcBorders>
              <w:top w:val="nil"/>
              <w:left w:val="nil"/>
              <w:bottom w:val="nil"/>
              <w:right w:val="nil"/>
            </w:tcBorders>
            <w:shd w:val="clear" w:color="000000" w:fill="FFFFFF"/>
            <w:noWrap/>
            <w:vAlign w:val="bottom"/>
            <w:hideMark/>
          </w:tcPr>
          <w:p w:rsidR="007A6514" w:rsidRPr="00AB320C" w:rsidP="004957F6" w14:paraId="198F2FE5" w14:textId="77777777">
            <w:pPr>
              <w:jc w:val="right"/>
              <w:rPr>
                <w:sz w:val="16"/>
                <w:szCs w:val="16"/>
              </w:rPr>
            </w:pPr>
            <w:r>
              <w:rPr>
                <w:sz w:val="16"/>
                <w:szCs w:val="16"/>
              </w:rPr>
              <w:t xml:space="preserve"> </w:t>
            </w:r>
            <w:r w:rsidRPr="00AB320C">
              <w:rPr>
                <w:sz w:val="16"/>
                <w:szCs w:val="16"/>
              </w:rPr>
              <w:t>(73,677)</w:t>
            </w:r>
          </w:p>
        </w:tc>
        <w:tc>
          <w:tcPr>
            <w:tcW w:w="952" w:type="dxa"/>
            <w:tcBorders>
              <w:top w:val="nil"/>
              <w:left w:val="nil"/>
              <w:bottom w:val="nil"/>
              <w:right w:val="nil"/>
            </w:tcBorders>
            <w:shd w:val="clear" w:color="000000" w:fill="FFFFFF"/>
            <w:noWrap/>
            <w:vAlign w:val="bottom"/>
            <w:hideMark/>
          </w:tcPr>
          <w:p w:rsidR="007A6514" w:rsidRPr="00AB320C" w:rsidP="004957F6" w14:paraId="252D2A67" w14:textId="77777777">
            <w:pPr>
              <w:jc w:val="right"/>
              <w:rPr>
                <w:sz w:val="16"/>
                <w:szCs w:val="16"/>
              </w:rPr>
            </w:pPr>
            <w:r>
              <w:rPr>
                <w:sz w:val="16"/>
                <w:szCs w:val="16"/>
              </w:rPr>
              <w:t xml:space="preserve"> </w:t>
            </w:r>
            <w:r w:rsidRPr="00AB320C">
              <w:rPr>
                <w:sz w:val="16"/>
                <w:szCs w:val="16"/>
              </w:rPr>
              <w:t>44,700</w:t>
            </w:r>
            <w:r>
              <w:rPr>
                <w:sz w:val="16"/>
                <w:szCs w:val="16"/>
              </w:rPr>
              <w:t xml:space="preserve"> </w:t>
            </w:r>
          </w:p>
        </w:tc>
        <w:tc>
          <w:tcPr>
            <w:tcW w:w="1121" w:type="dxa"/>
            <w:tcBorders>
              <w:top w:val="nil"/>
              <w:left w:val="nil"/>
              <w:bottom w:val="nil"/>
              <w:right w:val="nil"/>
            </w:tcBorders>
            <w:shd w:val="clear" w:color="000000" w:fill="FFFFFF"/>
            <w:noWrap/>
            <w:vAlign w:val="bottom"/>
            <w:hideMark/>
          </w:tcPr>
          <w:p w:rsidR="007A6514" w:rsidRPr="00AB320C" w:rsidP="004957F6" w14:paraId="50C06C76" w14:textId="77777777">
            <w:pPr>
              <w:jc w:val="right"/>
              <w:rPr>
                <w:sz w:val="16"/>
                <w:szCs w:val="16"/>
              </w:rPr>
            </w:pPr>
            <w:r w:rsidRPr="00AB320C">
              <w:rPr>
                <w:sz w:val="16"/>
                <w:szCs w:val="16"/>
              </w:rPr>
              <w:t>122,068</w:t>
            </w:r>
            <w:r>
              <w:rPr>
                <w:sz w:val="16"/>
                <w:szCs w:val="16"/>
              </w:rPr>
              <w:t xml:space="preserve"> </w:t>
            </w:r>
          </w:p>
        </w:tc>
        <w:tc>
          <w:tcPr>
            <w:tcW w:w="1102" w:type="dxa"/>
            <w:tcBorders>
              <w:top w:val="nil"/>
              <w:left w:val="nil"/>
              <w:bottom w:val="nil"/>
              <w:right w:val="nil"/>
            </w:tcBorders>
            <w:shd w:val="clear" w:color="000000" w:fill="FFFFFF"/>
            <w:noWrap/>
            <w:vAlign w:val="bottom"/>
            <w:hideMark/>
          </w:tcPr>
          <w:p w:rsidR="007A6514" w:rsidRPr="00AB320C" w:rsidP="004957F6" w14:paraId="010DC9CE" w14:textId="77777777">
            <w:pPr>
              <w:jc w:val="right"/>
              <w:rPr>
                <w:sz w:val="16"/>
                <w:szCs w:val="16"/>
              </w:rPr>
            </w:pPr>
            <w:r w:rsidRPr="00AB320C">
              <w:rPr>
                <w:sz w:val="16"/>
                <w:szCs w:val="16"/>
              </w:rPr>
              <w:t>(71,095)</w:t>
            </w:r>
          </w:p>
        </w:tc>
        <w:tc>
          <w:tcPr>
            <w:tcW w:w="954" w:type="dxa"/>
            <w:tcBorders>
              <w:top w:val="nil"/>
              <w:left w:val="nil"/>
              <w:bottom w:val="nil"/>
              <w:right w:val="nil"/>
            </w:tcBorders>
            <w:shd w:val="clear" w:color="000000" w:fill="FFFFFF"/>
            <w:noWrap/>
            <w:vAlign w:val="bottom"/>
            <w:hideMark/>
          </w:tcPr>
          <w:p w:rsidR="007A6514" w:rsidRPr="00AB320C" w:rsidP="004957F6" w14:paraId="09039CA3" w14:textId="77777777">
            <w:pPr>
              <w:jc w:val="right"/>
              <w:rPr>
                <w:sz w:val="16"/>
                <w:szCs w:val="16"/>
              </w:rPr>
            </w:pPr>
            <w:r>
              <w:rPr>
                <w:sz w:val="16"/>
                <w:szCs w:val="16"/>
              </w:rPr>
              <w:t xml:space="preserve"> </w:t>
            </w:r>
            <w:r w:rsidRPr="00AB320C">
              <w:rPr>
                <w:sz w:val="16"/>
                <w:szCs w:val="16"/>
              </w:rPr>
              <w:t>50,973</w:t>
            </w:r>
            <w:r>
              <w:rPr>
                <w:sz w:val="16"/>
                <w:szCs w:val="16"/>
              </w:rPr>
              <w:t xml:space="preserve"> </w:t>
            </w:r>
          </w:p>
        </w:tc>
      </w:tr>
      <w:tr w14:paraId="79783C1C" w14:textId="77777777" w:rsidTr="00C26A87">
        <w:tblPrEx>
          <w:tblW w:w="5002" w:type="pct"/>
          <w:tblLook w:val="04A0"/>
        </w:tblPrEx>
        <w:trPr>
          <w:trHeight w:val="216"/>
        </w:trPr>
        <w:tc>
          <w:tcPr>
            <w:tcW w:w="2646" w:type="dxa"/>
            <w:tcBorders>
              <w:top w:val="nil"/>
              <w:left w:val="nil"/>
              <w:bottom w:val="nil"/>
              <w:right w:val="nil"/>
            </w:tcBorders>
            <w:shd w:val="clear" w:color="000000" w:fill="FFFFFF"/>
            <w:noWrap/>
            <w:vAlign w:val="bottom"/>
            <w:hideMark/>
          </w:tcPr>
          <w:p w:rsidR="007A6514" w:rsidRPr="00AB320C" w:rsidP="004957F6" w14:paraId="1A93D46D" w14:textId="77777777">
            <w:pPr>
              <w:rPr>
                <w:sz w:val="16"/>
                <w:szCs w:val="16"/>
              </w:rPr>
            </w:pPr>
            <w:r w:rsidRPr="00AB320C">
              <w:rPr>
                <w:sz w:val="16"/>
                <w:szCs w:val="16"/>
              </w:rPr>
              <w:t>Regulatory</w:t>
            </w:r>
            <w:r>
              <w:rPr>
                <w:sz w:val="16"/>
                <w:szCs w:val="16"/>
              </w:rPr>
              <w:t xml:space="preserve"> </w:t>
            </w:r>
            <w:r w:rsidRPr="00AB320C">
              <w:rPr>
                <w:sz w:val="16"/>
                <w:szCs w:val="16"/>
              </w:rPr>
              <w:t>Fees</w:t>
            </w:r>
          </w:p>
        </w:tc>
        <w:tc>
          <w:tcPr>
            <w:tcW w:w="1328" w:type="dxa"/>
            <w:tcBorders>
              <w:top w:val="nil"/>
              <w:left w:val="nil"/>
              <w:bottom w:val="nil"/>
              <w:right w:val="nil"/>
            </w:tcBorders>
            <w:shd w:val="clear" w:color="000000" w:fill="FFFFFF"/>
            <w:noWrap/>
            <w:vAlign w:val="bottom"/>
            <w:hideMark/>
          </w:tcPr>
          <w:p w:rsidR="007A6514" w:rsidRPr="00AB320C" w:rsidP="004957F6" w14:paraId="34492AAC" w14:textId="77777777">
            <w:pPr>
              <w:jc w:val="right"/>
              <w:rPr>
                <w:sz w:val="16"/>
                <w:szCs w:val="16"/>
              </w:rPr>
            </w:pPr>
            <w:r>
              <w:rPr>
                <w:sz w:val="16"/>
                <w:szCs w:val="16"/>
              </w:rPr>
              <w:t xml:space="preserve"> </w:t>
            </w:r>
            <w:r w:rsidRPr="00AB320C">
              <w:rPr>
                <w:sz w:val="16"/>
                <w:szCs w:val="16"/>
              </w:rPr>
              <w:t>27,509</w:t>
            </w:r>
            <w:r>
              <w:rPr>
                <w:sz w:val="16"/>
                <w:szCs w:val="16"/>
              </w:rPr>
              <w:t xml:space="preserve"> </w:t>
            </w:r>
          </w:p>
        </w:tc>
        <w:tc>
          <w:tcPr>
            <w:tcW w:w="1261" w:type="dxa"/>
            <w:tcBorders>
              <w:top w:val="nil"/>
              <w:left w:val="nil"/>
              <w:bottom w:val="nil"/>
              <w:right w:val="nil"/>
            </w:tcBorders>
            <w:shd w:val="clear" w:color="000000" w:fill="FFFFFF"/>
            <w:noWrap/>
            <w:vAlign w:val="bottom"/>
            <w:hideMark/>
          </w:tcPr>
          <w:p w:rsidR="007A6514" w:rsidRPr="00AB320C" w:rsidP="004957F6" w14:paraId="75F6D07D" w14:textId="77777777">
            <w:pPr>
              <w:jc w:val="right"/>
              <w:rPr>
                <w:sz w:val="16"/>
                <w:szCs w:val="16"/>
              </w:rPr>
            </w:pPr>
            <w:r>
              <w:rPr>
                <w:sz w:val="16"/>
                <w:szCs w:val="16"/>
              </w:rPr>
              <w:t xml:space="preserve"> </w:t>
            </w:r>
            <w:r w:rsidRPr="00AB320C">
              <w:rPr>
                <w:sz w:val="16"/>
                <w:szCs w:val="16"/>
              </w:rPr>
              <w:t>(21,230)</w:t>
            </w:r>
          </w:p>
        </w:tc>
        <w:tc>
          <w:tcPr>
            <w:tcW w:w="952" w:type="dxa"/>
            <w:tcBorders>
              <w:top w:val="nil"/>
              <w:left w:val="nil"/>
              <w:bottom w:val="nil"/>
              <w:right w:val="nil"/>
            </w:tcBorders>
            <w:shd w:val="clear" w:color="000000" w:fill="FFFFFF"/>
            <w:noWrap/>
            <w:vAlign w:val="bottom"/>
            <w:hideMark/>
          </w:tcPr>
          <w:p w:rsidR="007A6514" w:rsidRPr="00AB320C" w:rsidP="004957F6" w14:paraId="18A93A9B" w14:textId="77777777">
            <w:pPr>
              <w:jc w:val="right"/>
              <w:rPr>
                <w:sz w:val="16"/>
                <w:szCs w:val="16"/>
              </w:rPr>
            </w:pPr>
            <w:r>
              <w:rPr>
                <w:sz w:val="16"/>
                <w:szCs w:val="16"/>
              </w:rPr>
              <w:t xml:space="preserve"> </w:t>
            </w:r>
            <w:r w:rsidRPr="00AB320C">
              <w:rPr>
                <w:sz w:val="16"/>
                <w:szCs w:val="16"/>
              </w:rPr>
              <w:t>6,279</w:t>
            </w:r>
            <w:r>
              <w:rPr>
                <w:sz w:val="16"/>
                <w:szCs w:val="16"/>
              </w:rPr>
              <w:t xml:space="preserve"> </w:t>
            </w:r>
          </w:p>
        </w:tc>
        <w:tc>
          <w:tcPr>
            <w:tcW w:w="1121" w:type="dxa"/>
            <w:tcBorders>
              <w:top w:val="nil"/>
              <w:left w:val="nil"/>
              <w:bottom w:val="nil"/>
              <w:right w:val="nil"/>
            </w:tcBorders>
            <w:shd w:val="clear" w:color="000000" w:fill="FFFFFF"/>
            <w:noWrap/>
            <w:vAlign w:val="bottom"/>
            <w:hideMark/>
          </w:tcPr>
          <w:p w:rsidR="007A6514" w:rsidRPr="00AB320C" w:rsidP="004957F6" w14:paraId="2F3A1511" w14:textId="77777777">
            <w:pPr>
              <w:jc w:val="right"/>
              <w:rPr>
                <w:sz w:val="16"/>
                <w:szCs w:val="16"/>
              </w:rPr>
            </w:pPr>
            <w:r w:rsidRPr="00AB320C">
              <w:rPr>
                <w:sz w:val="16"/>
                <w:szCs w:val="16"/>
              </w:rPr>
              <w:t>34,457</w:t>
            </w:r>
            <w:r>
              <w:rPr>
                <w:sz w:val="16"/>
                <w:szCs w:val="16"/>
              </w:rPr>
              <w:t xml:space="preserve"> </w:t>
            </w:r>
          </w:p>
        </w:tc>
        <w:tc>
          <w:tcPr>
            <w:tcW w:w="1102" w:type="dxa"/>
            <w:tcBorders>
              <w:top w:val="nil"/>
              <w:left w:val="nil"/>
              <w:bottom w:val="nil"/>
              <w:right w:val="nil"/>
            </w:tcBorders>
            <w:shd w:val="clear" w:color="000000" w:fill="FFFFFF"/>
            <w:noWrap/>
            <w:vAlign w:val="bottom"/>
            <w:hideMark/>
          </w:tcPr>
          <w:p w:rsidR="007A6514" w:rsidRPr="00AB320C" w:rsidP="004957F6" w14:paraId="6246EEF6" w14:textId="77777777">
            <w:pPr>
              <w:jc w:val="right"/>
              <w:rPr>
                <w:sz w:val="16"/>
                <w:szCs w:val="16"/>
              </w:rPr>
            </w:pPr>
            <w:r w:rsidRPr="00AB320C">
              <w:rPr>
                <w:sz w:val="16"/>
                <w:szCs w:val="16"/>
              </w:rPr>
              <w:t>(21,350)</w:t>
            </w:r>
          </w:p>
        </w:tc>
        <w:tc>
          <w:tcPr>
            <w:tcW w:w="954" w:type="dxa"/>
            <w:tcBorders>
              <w:top w:val="nil"/>
              <w:left w:val="nil"/>
              <w:bottom w:val="nil"/>
              <w:right w:val="nil"/>
            </w:tcBorders>
            <w:shd w:val="clear" w:color="000000" w:fill="FFFFFF"/>
            <w:noWrap/>
            <w:vAlign w:val="bottom"/>
            <w:hideMark/>
          </w:tcPr>
          <w:p w:rsidR="007A6514" w:rsidRPr="00AB320C" w:rsidP="004957F6" w14:paraId="564A3FA3" w14:textId="77777777">
            <w:pPr>
              <w:jc w:val="right"/>
              <w:rPr>
                <w:sz w:val="16"/>
                <w:szCs w:val="16"/>
              </w:rPr>
            </w:pPr>
            <w:r>
              <w:rPr>
                <w:sz w:val="16"/>
                <w:szCs w:val="16"/>
              </w:rPr>
              <w:t xml:space="preserve"> </w:t>
            </w:r>
            <w:r w:rsidRPr="00AB320C">
              <w:rPr>
                <w:sz w:val="16"/>
                <w:szCs w:val="16"/>
              </w:rPr>
              <w:t>13,107</w:t>
            </w:r>
            <w:r>
              <w:rPr>
                <w:sz w:val="16"/>
                <w:szCs w:val="16"/>
              </w:rPr>
              <w:t xml:space="preserve"> </w:t>
            </w:r>
          </w:p>
        </w:tc>
      </w:tr>
      <w:tr w14:paraId="2FF11918" w14:textId="77777777" w:rsidTr="00C26A87">
        <w:tblPrEx>
          <w:tblW w:w="5002" w:type="pct"/>
          <w:tblLook w:val="04A0"/>
        </w:tblPrEx>
        <w:trPr>
          <w:trHeight w:val="216"/>
        </w:trPr>
        <w:tc>
          <w:tcPr>
            <w:tcW w:w="2646" w:type="dxa"/>
            <w:tcBorders>
              <w:top w:val="nil"/>
              <w:left w:val="nil"/>
              <w:bottom w:val="nil"/>
              <w:right w:val="nil"/>
            </w:tcBorders>
            <w:shd w:val="clear" w:color="000000" w:fill="FFFFFF"/>
            <w:noWrap/>
            <w:vAlign w:val="bottom"/>
            <w:hideMark/>
          </w:tcPr>
          <w:p w:rsidR="007A6514" w:rsidRPr="00AB320C" w:rsidP="004957F6" w14:paraId="14A6ED98" w14:textId="77777777">
            <w:pPr>
              <w:rPr>
                <w:sz w:val="16"/>
                <w:szCs w:val="16"/>
              </w:rPr>
            </w:pPr>
            <w:r w:rsidRPr="00AB320C">
              <w:rPr>
                <w:sz w:val="16"/>
                <w:szCs w:val="16"/>
              </w:rPr>
              <w:t>Spectrum</w:t>
            </w:r>
            <w:r>
              <w:rPr>
                <w:sz w:val="16"/>
                <w:szCs w:val="16"/>
              </w:rPr>
              <w:t xml:space="preserve"> </w:t>
            </w:r>
            <w:r w:rsidRPr="00AB320C">
              <w:rPr>
                <w:sz w:val="16"/>
                <w:szCs w:val="16"/>
              </w:rPr>
              <w:t>Auction</w:t>
            </w:r>
          </w:p>
        </w:tc>
        <w:tc>
          <w:tcPr>
            <w:tcW w:w="1328" w:type="dxa"/>
            <w:tcBorders>
              <w:top w:val="nil"/>
              <w:left w:val="nil"/>
              <w:bottom w:val="nil"/>
              <w:right w:val="nil"/>
            </w:tcBorders>
            <w:shd w:val="clear" w:color="000000" w:fill="FFFFFF"/>
            <w:noWrap/>
            <w:vAlign w:val="bottom"/>
            <w:hideMark/>
          </w:tcPr>
          <w:p w:rsidR="007A6514" w:rsidRPr="00AB320C" w:rsidP="004957F6" w14:paraId="62F59797" w14:textId="77777777">
            <w:pPr>
              <w:jc w:val="right"/>
              <w:rPr>
                <w:sz w:val="16"/>
                <w:szCs w:val="16"/>
              </w:rPr>
            </w:pPr>
            <w:r>
              <w:rPr>
                <w:sz w:val="16"/>
                <w:szCs w:val="16"/>
              </w:rPr>
              <w:t xml:space="preserve"> </w:t>
            </w:r>
            <w:r w:rsidRPr="00AB320C">
              <w:rPr>
                <w:sz w:val="16"/>
                <w:szCs w:val="16"/>
              </w:rPr>
              <w:t>8,680</w:t>
            </w:r>
            <w:r>
              <w:rPr>
                <w:sz w:val="16"/>
                <w:szCs w:val="16"/>
              </w:rPr>
              <w:t xml:space="preserve"> </w:t>
            </w:r>
          </w:p>
        </w:tc>
        <w:tc>
          <w:tcPr>
            <w:tcW w:w="1261" w:type="dxa"/>
            <w:tcBorders>
              <w:top w:val="nil"/>
              <w:left w:val="nil"/>
              <w:bottom w:val="nil"/>
              <w:right w:val="nil"/>
            </w:tcBorders>
            <w:shd w:val="clear" w:color="000000" w:fill="FFFFFF"/>
            <w:noWrap/>
            <w:vAlign w:val="bottom"/>
            <w:hideMark/>
          </w:tcPr>
          <w:p w:rsidR="007A6514" w:rsidRPr="00AB320C" w:rsidP="004957F6" w14:paraId="02C55E9D" w14:textId="77777777">
            <w:pPr>
              <w:jc w:val="right"/>
              <w:rPr>
                <w:sz w:val="16"/>
                <w:szCs w:val="16"/>
              </w:rPr>
            </w:pPr>
            <w:r>
              <w:rPr>
                <w:sz w:val="16"/>
                <w:szCs w:val="16"/>
              </w:rPr>
              <w:t xml:space="preserve"> </w:t>
            </w:r>
            <w:r w:rsidRPr="00AB320C">
              <w:rPr>
                <w:sz w:val="16"/>
                <w:szCs w:val="16"/>
              </w:rPr>
              <w:t>(8,680)</w:t>
            </w:r>
          </w:p>
        </w:tc>
        <w:tc>
          <w:tcPr>
            <w:tcW w:w="952" w:type="dxa"/>
            <w:tcBorders>
              <w:top w:val="nil"/>
              <w:left w:val="nil"/>
              <w:bottom w:val="nil"/>
              <w:right w:val="nil"/>
            </w:tcBorders>
            <w:shd w:val="clear" w:color="000000" w:fill="FFFFFF"/>
            <w:noWrap/>
            <w:vAlign w:val="bottom"/>
            <w:hideMark/>
          </w:tcPr>
          <w:p w:rsidR="007A6514" w:rsidRPr="00AB320C" w:rsidP="004957F6" w14:paraId="68CB6FF2" w14:textId="77777777">
            <w:pPr>
              <w:jc w:val="right"/>
              <w:rPr>
                <w:sz w:val="16"/>
                <w:szCs w:val="16"/>
              </w:rPr>
            </w:pPr>
            <w:r>
              <w:rPr>
                <w:sz w:val="16"/>
                <w:szCs w:val="16"/>
              </w:rPr>
              <w:t xml:space="preserve"> </w:t>
            </w:r>
            <w:r w:rsidRPr="00AB320C">
              <w:rPr>
                <w:sz w:val="16"/>
                <w:szCs w:val="16"/>
              </w:rPr>
              <w:t>-</w:t>
            </w:r>
            <w:r>
              <w:rPr>
                <w:sz w:val="16"/>
                <w:szCs w:val="16"/>
              </w:rPr>
              <w:t xml:space="preserve"> </w:t>
            </w:r>
          </w:p>
        </w:tc>
        <w:tc>
          <w:tcPr>
            <w:tcW w:w="1121" w:type="dxa"/>
            <w:tcBorders>
              <w:top w:val="nil"/>
              <w:left w:val="nil"/>
              <w:bottom w:val="nil"/>
              <w:right w:val="nil"/>
            </w:tcBorders>
            <w:shd w:val="clear" w:color="000000" w:fill="FFFFFF"/>
            <w:noWrap/>
            <w:vAlign w:val="bottom"/>
            <w:hideMark/>
          </w:tcPr>
          <w:p w:rsidR="007A6514" w:rsidRPr="00AB320C" w:rsidP="004957F6" w14:paraId="5F92789F" w14:textId="77777777">
            <w:pPr>
              <w:jc w:val="right"/>
              <w:rPr>
                <w:sz w:val="16"/>
                <w:szCs w:val="16"/>
              </w:rPr>
            </w:pPr>
            <w:r w:rsidRPr="00AB320C">
              <w:rPr>
                <w:sz w:val="16"/>
                <w:szCs w:val="16"/>
              </w:rPr>
              <w:t>8,680</w:t>
            </w:r>
            <w:r>
              <w:rPr>
                <w:sz w:val="16"/>
                <w:szCs w:val="16"/>
              </w:rPr>
              <w:t xml:space="preserve"> </w:t>
            </w:r>
          </w:p>
        </w:tc>
        <w:tc>
          <w:tcPr>
            <w:tcW w:w="1102" w:type="dxa"/>
            <w:tcBorders>
              <w:top w:val="nil"/>
              <w:left w:val="nil"/>
              <w:bottom w:val="nil"/>
              <w:right w:val="nil"/>
            </w:tcBorders>
            <w:shd w:val="clear" w:color="000000" w:fill="FFFFFF"/>
            <w:noWrap/>
            <w:vAlign w:val="bottom"/>
            <w:hideMark/>
          </w:tcPr>
          <w:p w:rsidR="007A6514" w:rsidRPr="00AB320C" w:rsidP="004957F6" w14:paraId="112A5736" w14:textId="77777777">
            <w:pPr>
              <w:jc w:val="right"/>
              <w:rPr>
                <w:sz w:val="16"/>
                <w:szCs w:val="16"/>
              </w:rPr>
            </w:pPr>
            <w:r w:rsidRPr="00AB320C">
              <w:rPr>
                <w:sz w:val="16"/>
                <w:szCs w:val="16"/>
              </w:rPr>
              <w:t>(8,680)</w:t>
            </w:r>
          </w:p>
        </w:tc>
        <w:tc>
          <w:tcPr>
            <w:tcW w:w="954" w:type="dxa"/>
            <w:tcBorders>
              <w:top w:val="nil"/>
              <w:left w:val="nil"/>
              <w:bottom w:val="nil"/>
              <w:right w:val="nil"/>
            </w:tcBorders>
            <w:shd w:val="clear" w:color="000000" w:fill="FFFFFF"/>
            <w:noWrap/>
            <w:vAlign w:val="bottom"/>
            <w:hideMark/>
          </w:tcPr>
          <w:p w:rsidR="007A6514" w:rsidRPr="00AB320C" w:rsidP="004957F6" w14:paraId="2060783A" w14:textId="77777777">
            <w:pPr>
              <w:jc w:val="right"/>
              <w:rPr>
                <w:sz w:val="16"/>
                <w:szCs w:val="16"/>
              </w:rPr>
            </w:pPr>
            <w:r>
              <w:rPr>
                <w:sz w:val="16"/>
                <w:szCs w:val="16"/>
              </w:rPr>
              <w:t xml:space="preserve"> </w:t>
            </w:r>
            <w:r w:rsidRPr="00AB320C">
              <w:rPr>
                <w:sz w:val="16"/>
                <w:szCs w:val="16"/>
              </w:rPr>
              <w:t>-</w:t>
            </w:r>
            <w:r>
              <w:rPr>
                <w:sz w:val="16"/>
                <w:szCs w:val="16"/>
              </w:rPr>
              <w:t xml:space="preserve"> </w:t>
            </w:r>
          </w:p>
        </w:tc>
      </w:tr>
      <w:tr w14:paraId="6C9DB971" w14:textId="77777777" w:rsidTr="00C26A87">
        <w:tblPrEx>
          <w:tblW w:w="5002" w:type="pct"/>
          <w:tblLook w:val="04A0"/>
        </w:tblPrEx>
        <w:trPr>
          <w:trHeight w:val="216"/>
        </w:trPr>
        <w:tc>
          <w:tcPr>
            <w:tcW w:w="2646" w:type="dxa"/>
            <w:tcBorders>
              <w:top w:val="nil"/>
              <w:left w:val="nil"/>
              <w:bottom w:val="nil"/>
              <w:right w:val="nil"/>
            </w:tcBorders>
            <w:shd w:val="clear" w:color="000000" w:fill="FFFFFF"/>
            <w:noWrap/>
            <w:vAlign w:val="bottom"/>
            <w:hideMark/>
          </w:tcPr>
          <w:p w:rsidR="007A6514" w:rsidRPr="00AB320C" w:rsidP="004957F6" w14:paraId="4F5C8742" w14:textId="77777777">
            <w:pPr>
              <w:rPr>
                <w:sz w:val="16"/>
                <w:szCs w:val="16"/>
              </w:rPr>
            </w:pPr>
            <w:r w:rsidRPr="00AB320C">
              <w:rPr>
                <w:sz w:val="16"/>
                <w:szCs w:val="16"/>
              </w:rPr>
              <w:t>Civil</w:t>
            </w:r>
            <w:r>
              <w:rPr>
                <w:sz w:val="16"/>
                <w:szCs w:val="16"/>
              </w:rPr>
              <w:t xml:space="preserve"> </w:t>
            </w:r>
            <w:r w:rsidRPr="00AB320C">
              <w:rPr>
                <w:sz w:val="16"/>
                <w:szCs w:val="16"/>
              </w:rPr>
              <w:t>Monetary</w:t>
            </w:r>
            <w:r>
              <w:rPr>
                <w:sz w:val="16"/>
                <w:szCs w:val="16"/>
              </w:rPr>
              <w:t xml:space="preserve"> </w:t>
            </w:r>
            <w:r w:rsidRPr="00AB320C">
              <w:rPr>
                <w:sz w:val="16"/>
                <w:szCs w:val="16"/>
              </w:rPr>
              <w:t>Penalties</w:t>
            </w:r>
          </w:p>
        </w:tc>
        <w:tc>
          <w:tcPr>
            <w:tcW w:w="1328" w:type="dxa"/>
            <w:tcBorders>
              <w:top w:val="nil"/>
              <w:left w:val="nil"/>
              <w:bottom w:val="nil"/>
              <w:right w:val="nil"/>
            </w:tcBorders>
            <w:shd w:val="clear" w:color="000000" w:fill="FFFFFF"/>
            <w:noWrap/>
            <w:vAlign w:val="bottom"/>
            <w:hideMark/>
          </w:tcPr>
          <w:p w:rsidR="007A6514" w:rsidRPr="00AB320C" w:rsidP="004957F6" w14:paraId="2BBDCB24" w14:textId="77777777">
            <w:pPr>
              <w:jc w:val="right"/>
              <w:rPr>
                <w:sz w:val="16"/>
                <w:szCs w:val="16"/>
              </w:rPr>
            </w:pPr>
            <w:r>
              <w:rPr>
                <w:sz w:val="16"/>
                <w:szCs w:val="16"/>
              </w:rPr>
              <w:t xml:space="preserve"> </w:t>
            </w:r>
            <w:r w:rsidRPr="00AB320C">
              <w:rPr>
                <w:sz w:val="16"/>
                <w:szCs w:val="16"/>
              </w:rPr>
              <w:t>580,919</w:t>
            </w:r>
            <w:r>
              <w:rPr>
                <w:sz w:val="16"/>
                <w:szCs w:val="16"/>
              </w:rPr>
              <w:t xml:space="preserve"> </w:t>
            </w:r>
          </w:p>
        </w:tc>
        <w:tc>
          <w:tcPr>
            <w:tcW w:w="1261" w:type="dxa"/>
            <w:tcBorders>
              <w:top w:val="nil"/>
              <w:left w:val="nil"/>
              <w:bottom w:val="nil"/>
              <w:right w:val="nil"/>
            </w:tcBorders>
            <w:shd w:val="clear" w:color="000000" w:fill="FFFFFF"/>
            <w:noWrap/>
            <w:vAlign w:val="bottom"/>
            <w:hideMark/>
          </w:tcPr>
          <w:p w:rsidR="007A6514" w:rsidRPr="00AB320C" w:rsidP="004957F6" w14:paraId="2B26E797" w14:textId="77777777">
            <w:pPr>
              <w:jc w:val="right"/>
              <w:rPr>
                <w:sz w:val="16"/>
                <w:szCs w:val="16"/>
              </w:rPr>
            </w:pPr>
            <w:r>
              <w:rPr>
                <w:sz w:val="16"/>
                <w:szCs w:val="16"/>
              </w:rPr>
              <w:t xml:space="preserve"> </w:t>
            </w:r>
            <w:r w:rsidRPr="00AB320C">
              <w:rPr>
                <w:sz w:val="16"/>
                <w:szCs w:val="16"/>
              </w:rPr>
              <w:t>(566,556)</w:t>
            </w:r>
          </w:p>
        </w:tc>
        <w:tc>
          <w:tcPr>
            <w:tcW w:w="952" w:type="dxa"/>
            <w:tcBorders>
              <w:top w:val="nil"/>
              <w:left w:val="nil"/>
              <w:bottom w:val="nil"/>
              <w:right w:val="nil"/>
            </w:tcBorders>
            <w:shd w:val="clear" w:color="000000" w:fill="FFFFFF"/>
            <w:noWrap/>
            <w:vAlign w:val="bottom"/>
            <w:hideMark/>
          </w:tcPr>
          <w:p w:rsidR="007A6514" w:rsidRPr="00AB320C" w:rsidP="004957F6" w14:paraId="0E8F5896" w14:textId="77777777">
            <w:pPr>
              <w:jc w:val="right"/>
              <w:rPr>
                <w:sz w:val="16"/>
                <w:szCs w:val="16"/>
              </w:rPr>
            </w:pPr>
            <w:r>
              <w:rPr>
                <w:sz w:val="16"/>
                <w:szCs w:val="16"/>
              </w:rPr>
              <w:t xml:space="preserve"> </w:t>
            </w:r>
            <w:r w:rsidRPr="00AB320C">
              <w:rPr>
                <w:sz w:val="16"/>
                <w:szCs w:val="16"/>
              </w:rPr>
              <w:t>14,363</w:t>
            </w:r>
            <w:r>
              <w:rPr>
                <w:sz w:val="16"/>
                <w:szCs w:val="16"/>
              </w:rPr>
              <w:t xml:space="preserve"> </w:t>
            </w:r>
          </w:p>
        </w:tc>
        <w:tc>
          <w:tcPr>
            <w:tcW w:w="1121" w:type="dxa"/>
            <w:tcBorders>
              <w:top w:val="nil"/>
              <w:left w:val="nil"/>
              <w:bottom w:val="nil"/>
              <w:right w:val="nil"/>
            </w:tcBorders>
            <w:shd w:val="clear" w:color="000000" w:fill="FFFFFF"/>
            <w:noWrap/>
            <w:vAlign w:val="bottom"/>
            <w:hideMark/>
          </w:tcPr>
          <w:p w:rsidR="007A6514" w:rsidRPr="00AB320C" w:rsidP="004957F6" w14:paraId="2C4625F8" w14:textId="77777777">
            <w:pPr>
              <w:jc w:val="right"/>
              <w:rPr>
                <w:sz w:val="16"/>
                <w:szCs w:val="16"/>
              </w:rPr>
            </w:pPr>
            <w:r w:rsidRPr="00AB320C">
              <w:rPr>
                <w:sz w:val="16"/>
                <w:szCs w:val="16"/>
              </w:rPr>
              <w:t>250,023</w:t>
            </w:r>
            <w:r>
              <w:rPr>
                <w:sz w:val="16"/>
                <w:szCs w:val="16"/>
              </w:rPr>
              <w:t xml:space="preserve"> </w:t>
            </w:r>
          </w:p>
        </w:tc>
        <w:tc>
          <w:tcPr>
            <w:tcW w:w="1102" w:type="dxa"/>
            <w:tcBorders>
              <w:top w:val="nil"/>
              <w:left w:val="nil"/>
              <w:bottom w:val="nil"/>
              <w:right w:val="nil"/>
            </w:tcBorders>
            <w:shd w:val="clear" w:color="000000" w:fill="FFFFFF"/>
            <w:noWrap/>
            <w:vAlign w:val="bottom"/>
            <w:hideMark/>
          </w:tcPr>
          <w:p w:rsidR="007A6514" w:rsidRPr="00AB320C" w:rsidP="004957F6" w14:paraId="1A2B6CC5" w14:textId="77777777">
            <w:pPr>
              <w:jc w:val="right"/>
              <w:rPr>
                <w:sz w:val="16"/>
                <w:szCs w:val="16"/>
              </w:rPr>
            </w:pPr>
            <w:r w:rsidRPr="00AB320C">
              <w:rPr>
                <w:sz w:val="16"/>
                <w:szCs w:val="16"/>
              </w:rPr>
              <w:t>(244,980)</w:t>
            </w:r>
          </w:p>
        </w:tc>
        <w:tc>
          <w:tcPr>
            <w:tcW w:w="954" w:type="dxa"/>
            <w:tcBorders>
              <w:top w:val="nil"/>
              <w:left w:val="nil"/>
              <w:bottom w:val="nil"/>
              <w:right w:val="nil"/>
            </w:tcBorders>
            <w:shd w:val="clear" w:color="000000" w:fill="FFFFFF"/>
            <w:noWrap/>
            <w:vAlign w:val="bottom"/>
            <w:hideMark/>
          </w:tcPr>
          <w:p w:rsidR="007A6514" w:rsidRPr="00AB320C" w:rsidP="004957F6" w14:paraId="0EF87499" w14:textId="77777777">
            <w:pPr>
              <w:jc w:val="right"/>
              <w:rPr>
                <w:sz w:val="16"/>
                <w:szCs w:val="16"/>
              </w:rPr>
            </w:pPr>
            <w:r>
              <w:rPr>
                <w:sz w:val="16"/>
                <w:szCs w:val="16"/>
              </w:rPr>
              <w:t xml:space="preserve"> </w:t>
            </w:r>
            <w:r w:rsidRPr="00AB320C">
              <w:rPr>
                <w:sz w:val="16"/>
                <w:szCs w:val="16"/>
              </w:rPr>
              <w:t>5,043</w:t>
            </w:r>
            <w:r>
              <w:rPr>
                <w:sz w:val="16"/>
                <w:szCs w:val="16"/>
              </w:rPr>
              <w:t xml:space="preserve"> </w:t>
            </w:r>
          </w:p>
        </w:tc>
      </w:tr>
      <w:tr w14:paraId="31FB3B42" w14:textId="77777777" w:rsidTr="00C26A87">
        <w:tblPrEx>
          <w:tblW w:w="5002" w:type="pct"/>
          <w:tblLook w:val="04A0"/>
        </w:tblPrEx>
        <w:trPr>
          <w:trHeight w:val="216"/>
        </w:trPr>
        <w:tc>
          <w:tcPr>
            <w:tcW w:w="2646" w:type="dxa"/>
            <w:tcBorders>
              <w:top w:val="nil"/>
              <w:left w:val="nil"/>
              <w:bottom w:val="nil"/>
              <w:right w:val="nil"/>
            </w:tcBorders>
            <w:shd w:val="clear" w:color="000000" w:fill="FFFFFF"/>
            <w:noWrap/>
            <w:vAlign w:val="bottom"/>
            <w:hideMark/>
          </w:tcPr>
          <w:p w:rsidR="007A6514" w:rsidRPr="00AB320C" w:rsidP="004957F6" w14:paraId="79E0162A" w14:textId="77777777">
            <w:pPr>
              <w:rPr>
                <w:sz w:val="16"/>
                <w:szCs w:val="16"/>
              </w:rPr>
            </w:pPr>
            <w:r w:rsidRPr="00AB320C">
              <w:rPr>
                <w:sz w:val="16"/>
                <w:szCs w:val="16"/>
              </w:rPr>
              <w:t>Other</w:t>
            </w:r>
            <w:r>
              <w:rPr>
                <w:sz w:val="16"/>
                <w:szCs w:val="16"/>
              </w:rPr>
              <w:t xml:space="preserve"> </w:t>
            </w:r>
          </w:p>
        </w:tc>
        <w:tc>
          <w:tcPr>
            <w:tcW w:w="1328" w:type="dxa"/>
            <w:tcBorders>
              <w:top w:val="nil"/>
              <w:left w:val="nil"/>
              <w:bottom w:val="single" w:sz="4" w:space="0" w:color="auto"/>
              <w:right w:val="nil"/>
            </w:tcBorders>
            <w:shd w:val="clear" w:color="auto" w:fill="auto"/>
            <w:noWrap/>
            <w:vAlign w:val="bottom"/>
            <w:hideMark/>
          </w:tcPr>
          <w:p w:rsidR="007A6514" w:rsidRPr="00AB320C" w:rsidP="004957F6" w14:paraId="24BF3BAD" w14:textId="77777777">
            <w:pPr>
              <w:jc w:val="right"/>
              <w:rPr>
                <w:sz w:val="16"/>
                <w:szCs w:val="16"/>
              </w:rPr>
            </w:pPr>
            <w:r>
              <w:rPr>
                <w:sz w:val="16"/>
                <w:szCs w:val="16"/>
              </w:rPr>
              <w:t xml:space="preserve"> </w:t>
            </w:r>
            <w:r w:rsidRPr="00AB320C">
              <w:rPr>
                <w:sz w:val="16"/>
                <w:szCs w:val="16"/>
              </w:rPr>
              <w:t>14,903</w:t>
            </w:r>
            <w:r>
              <w:rPr>
                <w:sz w:val="16"/>
                <w:szCs w:val="16"/>
              </w:rPr>
              <w:t xml:space="preserve"> </w:t>
            </w:r>
          </w:p>
        </w:tc>
        <w:tc>
          <w:tcPr>
            <w:tcW w:w="1261" w:type="dxa"/>
            <w:tcBorders>
              <w:top w:val="nil"/>
              <w:left w:val="nil"/>
              <w:bottom w:val="single" w:sz="4" w:space="0" w:color="auto"/>
              <w:right w:val="nil"/>
            </w:tcBorders>
            <w:shd w:val="clear" w:color="000000" w:fill="FFFFFF"/>
            <w:noWrap/>
            <w:vAlign w:val="bottom"/>
            <w:hideMark/>
          </w:tcPr>
          <w:p w:rsidR="007A6514" w:rsidRPr="00AB320C" w:rsidP="004957F6" w14:paraId="57611D69" w14:textId="77777777">
            <w:pPr>
              <w:jc w:val="right"/>
              <w:rPr>
                <w:sz w:val="16"/>
                <w:szCs w:val="16"/>
              </w:rPr>
            </w:pPr>
            <w:r>
              <w:rPr>
                <w:sz w:val="16"/>
                <w:szCs w:val="16"/>
              </w:rPr>
              <w:t xml:space="preserve"> </w:t>
            </w:r>
            <w:r w:rsidRPr="00AB320C">
              <w:rPr>
                <w:sz w:val="16"/>
                <w:szCs w:val="16"/>
              </w:rPr>
              <w:t>(7,188)</w:t>
            </w:r>
          </w:p>
        </w:tc>
        <w:tc>
          <w:tcPr>
            <w:tcW w:w="952" w:type="dxa"/>
            <w:tcBorders>
              <w:top w:val="nil"/>
              <w:left w:val="nil"/>
              <w:bottom w:val="nil"/>
              <w:right w:val="nil"/>
            </w:tcBorders>
            <w:shd w:val="clear" w:color="auto" w:fill="auto"/>
            <w:noWrap/>
            <w:vAlign w:val="bottom"/>
            <w:hideMark/>
          </w:tcPr>
          <w:p w:rsidR="007A6514" w:rsidRPr="00AB320C" w:rsidP="004957F6" w14:paraId="43B21C83" w14:textId="77777777">
            <w:pPr>
              <w:jc w:val="right"/>
              <w:rPr>
                <w:sz w:val="16"/>
                <w:szCs w:val="16"/>
              </w:rPr>
            </w:pPr>
            <w:r>
              <w:rPr>
                <w:sz w:val="16"/>
                <w:szCs w:val="16"/>
              </w:rPr>
              <w:t xml:space="preserve"> </w:t>
            </w:r>
            <w:r w:rsidRPr="00AB320C">
              <w:rPr>
                <w:sz w:val="16"/>
                <w:szCs w:val="16"/>
              </w:rPr>
              <w:t>7,715</w:t>
            </w:r>
            <w:r>
              <w:rPr>
                <w:sz w:val="16"/>
                <w:szCs w:val="16"/>
              </w:rPr>
              <w:t xml:space="preserve"> </w:t>
            </w:r>
          </w:p>
        </w:tc>
        <w:tc>
          <w:tcPr>
            <w:tcW w:w="1121" w:type="dxa"/>
            <w:tcBorders>
              <w:top w:val="nil"/>
              <w:left w:val="nil"/>
              <w:bottom w:val="single" w:sz="4" w:space="0" w:color="auto"/>
              <w:right w:val="nil"/>
            </w:tcBorders>
            <w:shd w:val="clear" w:color="000000" w:fill="FFFFFF"/>
            <w:noWrap/>
            <w:vAlign w:val="bottom"/>
            <w:hideMark/>
          </w:tcPr>
          <w:p w:rsidR="007A6514" w:rsidRPr="00AB320C" w:rsidP="004957F6" w14:paraId="22FC9F7D" w14:textId="77777777">
            <w:pPr>
              <w:jc w:val="right"/>
              <w:rPr>
                <w:sz w:val="16"/>
                <w:szCs w:val="16"/>
              </w:rPr>
            </w:pPr>
            <w:r w:rsidRPr="00AB320C">
              <w:rPr>
                <w:sz w:val="16"/>
                <w:szCs w:val="16"/>
              </w:rPr>
              <w:t>11,524</w:t>
            </w:r>
            <w:r>
              <w:rPr>
                <w:sz w:val="16"/>
                <w:szCs w:val="16"/>
              </w:rPr>
              <w:t xml:space="preserve"> </w:t>
            </w:r>
          </w:p>
        </w:tc>
        <w:tc>
          <w:tcPr>
            <w:tcW w:w="1102" w:type="dxa"/>
            <w:tcBorders>
              <w:top w:val="nil"/>
              <w:left w:val="nil"/>
              <w:bottom w:val="single" w:sz="4" w:space="0" w:color="auto"/>
              <w:right w:val="nil"/>
            </w:tcBorders>
            <w:shd w:val="clear" w:color="000000" w:fill="FFFFFF"/>
            <w:noWrap/>
            <w:vAlign w:val="bottom"/>
            <w:hideMark/>
          </w:tcPr>
          <w:p w:rsidR="007A6514" w:rsidRPr="00AB320C" w:rsidP="004957F6" w14:paraId="507F4657" w14:textId="77777777">
            <w:pPr>
              <w:jc w:val="right"/>
              <w:rPr>
                <w:sz w:val="16"/>
                <w:szCs w:val="16"/>
              </w:rPr>
            </w:pPr>
            <w:r w:rsidRPr="00AB320C">
              <w:rPr>
                <w:sz w:val="16"/>
                <w:szCs w:val="16"/>
              </w:rPr>
              <w:t>(6,831)</w:t>
            </w:r>
          </w:p>
        </w:tc>
        <w:tc>
          <w:tcPr>
            <w:tcW w:w="954" w:type="dxa"/>
            <w:tcBorders>
              <w:top w:val="nil"/>
              <w:left w:val="nil"/>
              <w:bottom w:val="nil"/>
              <w:right w:val="nil"/>
            </w:tcBorders>
            <w:shd w:val="clear" w:color="000000" w:fill="FFFFFF"/>
            <w:noWrap/>
            <w:vAlign w:val="bottom"/>
            <w:hideMark/>
          </w:tcPr>
          <w:p w:rsidR="007A6514" w:rsidRPr="00AB320C" w:rsidP="004957F6" w14:paraId="3DBA5FD5" w14:textId="77777777">
            <w:pPr>
              <w:jc w:val="right"/>
              <w:rPr>
                <w:sz w:val="16"/>
                <w:szCs w:val="16"/>
              </w:rPr>
            </w:pPr>
            <w:r>
              <w:rPr>
                <w:sz w:val="16"/>
                <w:szCs w:val="16"/>
              </w:rPr>
              <w:t xml:space="preserve"> </w:t>
            </w:r>
            <w:r w:rsidRPr="00AB320C">
              <w:rPr>
                <w:sz w:val="16"/>
                <w:szCs w:val="16"/>
              </w:rPr>
              <w:t>4,693</w:t>
            </w:r>
            <w:r>
              <w:rPr>
                <w:sz w:val="16"/>
                <w:szCs w:val="16"/>
              </w:rPr>
              <w:t xml:space="preserve"> </w:t>
            </w:r>
          </w:p>
        </w:tc>
      </w:tr>
      <w:tr w14:paraId="3CF98E83" w14:textId="77777777" w:rsidTr="00C26A87">
        <w:tblPrEx>
          <w:tblW w:w="5002" w:type="pct"/>
          <w:tblLook w:val="04A0"/>
        </w:tblPrEx>
        <w:trPr>
          <w:trHeight w:val="216"/>
        </w:trPr>
        <w:tc>
          <w:tcPr>
            <w:tcW w:w="2646" w:type="dxa"/>
            <w:tcBorders>
              <w:top w:val="nil"/>
              <w:left w:val="nil"/>
              <w:bottom w:val="nil"/>
              <w:right w:val="nil"/>
            </w:tcBorders>
            <w:shd w:val="clear" w:color="000000" w:fill="FFFFFF"/>
            <w:noWrap/>
            <w:vAlign w:val="bottom"/>
            <w:hideMark/>
          </w:tcPr>
          <w:p w:rsidR="007A6514" w:rsidRPr="00AB320C" w:rsidP="004957F6" w14:paraId="0E1D1464" w14:textId="77777777">
            <w:pPr>
              <w:rPr>
                <w:sz w:val="16"/>
                <w:szCs w:val="16"/>
              </w:rPr>
            </w:pPr>
            <w:r w:rsidRPr="00AB320C">
              <w:rPr>
                <w:sz w:val="16"/>
                <w:szCs w:val="16"/>
              </w:rPr>
              <w:t>Total</w:t>
            </w:r>
          </w:p>
        </w:tc>
        <w:tc>
          <w:tcPr>
            <w:tcW w:w="1328" w:type="dxa"/>
            <w:tcBorders>
              <w:top w:val="nil"/>
              <w:left w:val="nil"/>
              <w:bottom w:val="double" w:sz="6" w:space="0" w:color="auto"/>
              <w:right w:val="nil"/>
            </w:tcBorders>
            <w:shd w:val="clear" w:color="000000" w:fill="FFFFFF"/>
            <w:noWrap/>
            <w:vAlign w:val="bottom"/>
            <w:hideMark/>
          </w:tcPr>
          <w:p w:rsidR="007A6514" w:rsidRPr="00AB320C" w:rsidP="004957F6" w14:paraId="0CA409C3" w14:textId="041D3CB0">
            <w:pPr>
              <w:jc w:val="right"/>
              <w:rPr>
                <w:sz w:val="16"/>
                <w:szCs w:val="16"/>
              </w:rPr>
            </w:pPr>
            <w:r w:rsidRPr="00AB320C">
              <w:rPr>
                <w:sz w:val="16"/>
                <w:szCs w:val="16"/>
              </w:rPr>
              <w:t>$</w:t>
            </w:r>
            <w:r w:rsidR="00D26D6A">
              <w:rPr>
                <w:sz w:val="16"/>
                <w:szCs w:val="16"/>
              </w:rPr>
              <w:t xml:space="preserve">         </w:t>
            </w:r>
            <w:r w:rsidRPr="00AB320C">
              <w:rPr>
                <w:sz w:val="16"/>
                <w:szCs w:val="16"/>
              </w:rPr>
              <w:t>2,017,620</w:t>
            </w:r>
            <w:r>
              <w:rPr>
                <w:sz w:val="16"/>
                <w:szCs w:val="16"/>
              </w:rPr>
              <w:t xml:space="preserve"> </w:t>
            </w:r>
          </w:p>
        </w:tc>
        <w:tc>
          <w:tcPr>
            <w:tcW w:w="1261" w:type="dxa"/>
            <w:tcBorders>
              <w:top w:val="nil"/>
              <w:left w:val="nil"/>
              <w:bottom w:val="double" w:sz="6" w:space="0" w:color="auto"/>
              <w:right w:val="nil"/>
            </w:tcBorders>
            <w:shd w:val="clear" w:color="000000" w:fill="FFFFFF"/>
            <w:noWrap/>
            <w:vAlign w:val="bottom"/>
            <w:hideMark/>
          </w:tcPr>
          <w:p w:rsidR="007A6514" w:rsidRPr="00AB320C" w:rsidP="004957F6" w14:paraId="0C17319E" w14:textId="10464B92">
            <w:pPr>
              <w:jc w:val="right"/>
              <w:rPr>
                <w:sz w:val="16"/>
                <w:szCs w:val="16"/>
              </w:rPr>
            </w:pPr>
            <w:r w:rsidRPr="00AB320C">
              <w:rPr>
                <w:sz w:val="16"/>
                <w:szCs w:val="16"/>
              </w:rPr>
              <w:t>$</w:t>
            </w:r>
            <w:r w:rsidR="00D26D6A">
              <w:rPr>
                <w:sz w:val="16"/>
                <w:szCs w:val="16"/>
              </w:rPr>
              <w:t xml:space="preserve">     </w:t>
            </w:r>
            <w:r w:rsidRPr="00AB320C">
              <w:rPr>
                <w:sz w:val="16"/>
                <w:szCs w:val="16"/>
              </w:rPr>
              <w:t>(1,194,172)</w:t>
            </w:r>
          </w:p>
        </w:tc>
        <w:tc>
          <w:tcPr>
            <w:tcW w:w="952" w:type="dxa"/>
            <w:tcBorders>
              <w:top w:val="single" w:sz="4" w:space="0" w:color="auto"/>
              <w:left w:val="nil"/>
              <w:bottom w:val="double" w:sz="6" w:space="0" w:color="auto"/>
              <w:right w:val="nil"/>
            </w:tcBorders>
            <w:shd w:val="clear" w:color="000000" w:fill="FFFFFF"/>
            <w:noWrap/>
            <w:vAlign w:val="bottom"/>
            <w:hideMark/>
          </w:tcPr>
          <w:p w:rsidR="007A6514" w:rsidRPr="00AB320C" w:rsidP="004957F6" w14:paraId="70D74194" w14:textId="3AADB7BF">
            <w:pPr>
              <w:jc w:val="right"/>
              <w:rPr>
                <w:sz w:val="16"/>
                <w:szCs w:val="16"/>
              </w:rPr>
            </w:pPr>
            <w:r w:rsidRPr="00AB320C">
              <w:rPr>
                <w:sz w:val="16"/>
                <w:szCs w:val="16"/>
              </w:rPr>
              <w:t>$</w:t>
            </w:r>
            <w:r w:rsidR="00D26D6A">
              <w:rPr>
                <w:sz w:val="16"/>
                <w:szCs w:val="16"/>
              </w:rPr>
              <w:t xml:space="preserve">   </w:t>
            </w:r>
            <w:r w:rsidRPr="00AB320C">
              <w:rPr>
                <w:sz w:val="16"/>
                <w:szCs w:val="16"/>
              </w:rPr>
              <w:t>823,448</w:t>
            </w:r>
            <w:r>
              <w:rPr>
                <w:sz w:val="16"/>
                <w:szCs w:val="16"/>
              </w:rPr>
              <w:t xml:space="preserve"> </w:t>
            </w:r>
          </w:p>
        </w:tc>
        <w:tc>
          <w:tcPr>
            <w:tcW w:w="1121" w:type="dxa"/>
            <w:tcBorders>
              <w:top w:val="nil"/>
              <w:left w:val="nil"/>
              <w:bottom w:val="double" w:sz="6" w:space="0" w:color="auto"/>
              <w:right w:val="nil"/>
            </w:tcBorders>
            <w:shd w:val="clear" w:color="000000" w:fill="FFFFFF"/>
            <w:noWrap/>
            <w:vAlign w:val="bottom"/>
            <w:hideMark/>
          </w:tcPr>
          <w:p w:rsidR="007A6514" w:rsidRPr="00AB320C" w:rsidP="004957F6" w14:paraId="0CFBBA0A" w14:textId="13A24AB4">
            <w:pPr>
              <w:jc w:val="right"/>
              <w:rPr>
                <w:sz w:val="16"/>
                <w:szCs w:val="16"/>
              </w:rPr>
            </w:pPr>
            <w:r w:rsidRPr="00AB320C">
              <w:rPr>
                <w:sz w:val="16"/>
                <w:szCs w:val="16"/>
              </w:rPr>
              <w:t>$</w:t>
            </w:r>
            <w:r w:rsidR="00D26D6A">
              <w:rPr>
                <w:sz w:val="16"/>
                <w:szCs w:val="16"/>
              </w:rPr>
              <w:t xml:space="preserve">    </w:t>
            </w:r>
            <w:r w:rsidRPr="00AB320C">
              <w:rPr>
                <w:sz w:val="16"/>
                <w:szCs w:val="16"/>
              </w:rPr>
              <w:t>1,644,000</w:t>
            </w:r>
            <w:r>
              <w:rPr>
                <w:sz w:val="16"/>
                <w:szCs w:val="16"/>
              </w:rPr>
              <w:t xml:space="preserve"> </w:t>
            </w:r>
          </w:p>
        </w:tc>
        <w:tc>
          <w:tcPr>
            <w:tcW w:w="1102" w:type="dxa"/>
            <w:tcBorders>
              <w:top w:val="nil"/>
              <w:left w:val="nil"/>
              <w:bottom w:val="double" w:sz="6" w:space="0" w:color="auto"/>
              <w:right w:val="nil"/>
            </w:tcBorders>
            <w:shd w:val="clear" w:color="000000" w:fill="FFFFFF"/>
            <w:noWrap/>
            <w:vAlign w:val="bottom"/>
            <w:hideMark/>
          </w:tcPr>
          <w:p w:rsidR="007A6514" w:rsidRPr="00AB320C" w:rsidP="004957F6" w14:paraId="301CBB12" w14:textId="49EBB6F4">
            <w:pPr>
              <w:jc w:val="right"/>
              <w:rPr>
                <w:sz w:val="16"/>
                <w:szCs w:val="16"/>
              </w:rPr>
            </w:pPr>
            <w:r w:rsidRPr="00AB320C">
              <w:rPr>
                <w:sz w:val="16"/>
                <w:szCs w:val="16"/>
              </w:rPr>
              <w:t>$</w:t>
            </w:r>
            <w:r w:rsidR="00D26D6A">
              <w:rPr>
                <w:sz w:val="16"/>
                <w:szCs w:val="16"/>
              </w:rPr>
              <w:t xml:space="preserve">    </w:t>
            </w:r>
            <w:r w:rsidRPr="00AB320C">
              <w:rPr>
                <w:sz w:val="16"/>
                <w:szCs w:val="16"/>
              </w:rPr>
              <w:t>(855,060)</w:t>
            </w:r>
          </w:p>
        </w:tc>
        <w:tc>
          <w:tcPr>
            <w:tcW w:w="954" w:type="dxa"/>
            <w:tcBorders>
              <w:top w:val="single" w:sz="4" w:space="0" w:color="auto"/>
              <w:left w:val="nil"/>
              <w:bottom w:val="double" w:sz="6" w:space="0" w:color="auto"/>
              <w:right w:val="nil"/>
            </w:tcBorders>
            <w:shd w:val="clear" w:color="000000" w:fill="FFFFFF"/>
            <w:noWrap/>
            <w:vAlign w:val="bottom"/>
            <w:hideMark/>
          </w:tcPr>
          <w:p w:rsidR="007A6514" w:rsidRPr="00AB320C" w:rsidP="004957F6" w14:paraId="5941662C" w14:textId="1BADBBD7">
            <w:pPr>
              <w:jc w:val="right"/>
              <w:rPr>
                <w:sz w:val="16"/>
                <w:szCs w:val="16"/>
              </w:rPr>
            </w:pPr>
            <w:r w:rsidRPr="00AB320C">
              <w:rPr>
                <w:sz w:val="16"/>
                <w:szCs w:val="16"/>
              </w:rPr>
              <w:t>$</w:t>
            </w:r>
            <w:r w:rsidR="00D26D6A">
              <w:rPr>
                <w:sz w:val="16"/>
                <w:szCs w:val="16"/>
              </w:rPr>
              <w:t xml:space="preserve">   </w:t>
            </w:r>
            <w:r w:rsidRPr="00AB320C">
              <w:rPr>
                <w:sz w:val="16"/>
                <w:szCs w:val="16"/>
              </w:rPr>
              <w:t>788,940</w:t>
            </w:r>
            <w:r>
              <w:rPr>
                <w:sz w:val="16"/>
                <w:szCs w:val="16"/>
              </w:rPr>
              <w:t xml:space="preserve"> </w:t>
            </w:r>
          </w:p>
        </w:tc>
      </w:tr>
    </w:tbl>
    <w:p w:rsidR="00285D06" w:rsidRPr="00BA1E56" w:rsidP="00F24913" w14:paraId="2E759147" w14:textId="634CB4E9">
      <w:pPr>
        <w:spacing w:before="260" w:after="240"/>
        <w:jc w:val="both"/>
        <w:rPr>
          <w:sz w:val="22"/>
          <w:szCs w:val="22"/>
        </w:rPr>
      </w:pPr>
      <w:r w:rsidRPr="00BA1E56">
        <w:rPr>
          <w:sz w:val="22"/>
          <w:szCs w:val="22"/>
        </w:rPr>
        <w:t>The Commitment Adjustment (COMAD) for Schools and Libraries audit receivables are subject to appeal and are not considered final until the appeals period has lapsed, or a final determination has been issued.</w:t>
      </w:r>
      <w:r w:rsidR="00C933B2">
        <w:rPr>
          <w:sz w:val="22"/>
          <w:szCs w:val="22"/>
        </w:rPr>
        <w:t xml:space="preserve"> </w:t>
      </w:r>
      <w:r w:rsidRPr="00BA1E56">
        <w:rPr>
          <w:sz w:val="22"/>
          <w:szCs w:val="22"/>
        </w:rPr>
        <w:t xml:space="preserve">The COMAD receivables for Schools and Libraries recorded an allowance rate of </w:t>
      </w:r>
      <w:r>
        <w:rPr>
          <w:sz w:val="22"/>
          <w:szCs w:val="22"/>
        </w:rPr>
        <w:t>97</w:t>
      </w:r>
      <w:r w:rsidRPr="00170D69">
        <w:rPr>
          <w:sz w:val="22"/>
          <w:szCs w:val="22"/>
        </w:rPr>
        <w:t>%</w:t>
      </w:r>
      <w:r w:rsidRPr="00BA1E56">
        <w:rPr>
          <w:sz w:val="22"/>
          <w:szCs w:val="22"/>
        </w:rPr>
        <w:t xml:space="preserve"> in FY </w:t>
      </w:r>
      <w:r>
        <w:rPr>
          <w:sz w:val="22"/>
          <w:szCs w:val="22"/>
        </w:rPr>
        <w:t>2021</w:t>
      </w:r>
      <w:r w:rsidRPr="00BA1E56">
        <w:rPr>
          <w:sz w:val="22"/>
          <w:szCs w:val="22"/>
        </w:rPr>
        <w:t xml:space="preserve"> and FY </w:t>
      </w:r>
      <w:r>
        <w:rPr>
          <w:sz w:val="22"/>
          <w:szCs w:val="22"/>
        </w:rPr>
        <w:t>2020</w:t>
      </w:r>
      <w:r w:rsidRPr="00BA1E56">
        <w:rPr>
          <w:sz w:val="22"/>
          <w:szCs w:val="22"/>
        </w:rPr>
        <w:t>.</w:t>
      </w:r>
    </w:p>
    <w:p w:rsidR="00285D06" w:rsidRPr="00BA1E56" w:rsidP="00493FED" w14:paraId="5FD7713A" w14:textId="78CB5667">
      <w:pPr>
        <w:spacing w:after="240"/>
        <w:jc w:val="both"/>
        <w:rPr>
          <w:sz w:val="22"/>
          <w:szCs w:val="22"/>
        </w:rPr>
      </w:pPr>
      <w:r w:rsidRPr="00BA1E56">
        <w:rPr>
          <w:sz w:val="22"/>
          <w:szCs w:val="22"/>
        </w:rPr>
        <w:t>The TRS accounts receivable includes $9,04</w:t>
      </w:r>
      <w:r>
        <w:rPr>
          <w:sz w:val="22"/>
          <w:szCs w:val="22"/>
        </w:rPr>
        <w:t>6</w:t>
      </w:r>
      <w:r w:rsidRPr="00BA1E56">
        <w:rPr>
          <w:sz w:val="22"/>
          <w:szCs w:val="22"/>
        </w:rPr>
        <w:t xml:space="preserve"> of gross receivables pertaining to criminal restitution for the TRS.</w:t>
      </w:r>
      <w:r w:rsidR="00C933B2">
        <w:rPr>
          <w:sz w:val="22"/>
          <w:szCs w:val="22"/>
        </w:rPr>
        <w:t xml:space="preserve"> </w:t>
      </w:r>
      <w:r w:rsidRPr="00BA1E56">
        <w:rPr>
          <w:sz w:val="22"/>
          <w:szCs w:val="22"/>
        </w:rPr>
        <w:t>The TRS estimated the net realizable value of criminal restitution receivable to be zero and recorded an allowance for the full amount of the receivable.</w:t>
      </w:r>
    </w:p>
    <w:p w:rsidR="005F53C7" w:rsidP="00493FED" w14:paraId="592D4831" w14:textId="77777777">
      <w:pPr>
        <w:spacing w:after="240"/>
        <w:rPr>
          <w:sz w:val="22"/>
          <w:szCs w:val="22"/>
        </w:rPr>
      </w:pPr>
      <w:r w:rsidRPr="00BA1E56">
        <w:rPr>
          <w:sz w:val="22"/>
          <w:szCs w:val="22"/>
        </w:rPr>
        <w:t xml:space="preserve">The Commission expects to collect 100% of intragovernmental receivables and no allowance is recorded. </w:t>
      </w:r>
    </w:p>
    <w:p w:rsidR="00615FAD" w:rsidP="004745C2" w14:paraId="1AE700B8" w14:textId="77777777">
      <w:pPr>
        <w:pStyle w:val="Heading4"/>
        <w:rPr>
          <w:sz w:val="22"/>
          <w:szCs w:val="22"/>
        </w:rPr>
        <w:sectPr w:rsidSect="00615FAD">
          <w:pgSz w:w="12240" w:h="15840"/>
          <w:pgMar w:top="1440" w:right="1440" w:bottom="1296" w:left="1440" w:header="720" w:footer="720" w:gutter="0"/>
          <w:cols w:space="720"/>
        </w:sectPr>
      </w:pPr>
    </w:p>
    <w:p w:rsidR="00285D06" w:rsidRPr="005F53C7" w:rsidP="004745C2" w14:paraId="377665D7" w14:textId="393755E5">
      <w:pPr>
        <w:pStyle w:val="Heading4"/>
        <w:rPr>
          <w:sz w:val="22"/>
          <w:szCs w:val="22"/>
        </w:rPr>
      </w:pPr>
      <w:bookmarkStart w:id="247" w:name="_Toc88780700"/>
      <w:r w:rsidRPr="005F53C7">
        <w:rPr>
          <w:sz w:val="22"/>
          <w:szCs w:val="22"/>
        </w:rPr>
        <w:t>Note 5 – General Property, Plant and Equipment, Net</w:t>
      </w:r>
      <w:bookmarkEnd w:id="247"/>
    </w:p>
    <w:p w:rsidR="00285D06" w:rsidRPr="00BA1E56" w:rsidP="00493FED" w14:paraId="783B2B00" w14:textId="77777777">
      <w:pPr>
        <w:spacing w:after="240"/>
        <w:jc w:val="both"/>
        <w:rPr>
          <w:sz w:val="22"/>
          <w:szCs w:val="22"/>
        </w:rPr>
      </w:pPr>
      <w:r w:rsidRPr="00BA1E56">
        <w:rPr>
          <w:sz w:val="22"/>
          <w:szCs w:val="22"/>
        </w:rPr>
        <w:t xml:space="preserve">The following table summarizes total PP&amp;E and accumulated depreciation for </w:t>
      </w:r>
      <w:r>
        <w:rPr>
          <w:sz w:val="22"/>
          <w:szCs w:val="22"/>
        </w:rPr>
        <w:t>Year Ended September 30, 2021</w:t>
      </w:r>
      <w:r w:rsidRPr="00BA1E56">
        <w:rPr>
          <w:sz w:val="22"/>
          <w:szCs w:val="22"/>
        </w:rPr>
        <w:t xml:space="preserve"> and </w:t>
      </w:r>
      <w:r>
        <w:rPr>
          <w:sz w:val="22"/>
          <w:szCs w:val="22"/>
        </w:rPr>
        <w:t>September 30, 2020</w:t>
      </w:r>
      <w:r w:rsidRPr="00BA1E56">
        <w:rPr>
          <w:sz w:val="22"/>
          <w:szCs w:val="22"/>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85"/>
        <w:gridCol w:w="1260"/>
        <w:gridCol w:w="1287"/>
      </w:tblGrid>
      <w:tr w14:paraId="33E55735" w14:textId="77777777" w:rsidTr="00044A83">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
          <w:jc w:val="center"/>
        </w:trPr>
        <w:tc>
          <w:tcPr>
            <w:tcW w:w="2785" w:type="dxa"/>
            <w:vAlign w:val="bottom"/>
          </w:tcPr>
          <w:p w:rsidR="00AD79E1" w:rsidRPr="00BA1E56" w:rsidP="00285D06" w14:paraId="352BA035" w14:textId="77777777">
            <w:pPr>
              <w:rPr>
                <w:sz w:val="22"/>
                <w:szCs w:val="22"/>
              </w:rPr>
            </w:pPr>
          </w:p>
        </w:tc>
        <w:tc>
          <w:tcPr>
            <w:tcW w:w="1260" w:type="dxa"/>
            <w:tcBorders>
              <w:bottom w:val="single" w:sz="4" w:space="0" w:color="auto"/>
            </w:tcBorders>
            <w:vAlign w:val="bottom"/>
          </w:tcPr>
          <w:p w:rsidR="00AD79E1" w:rsidRPr="00BA1E56" w:rsidP="00285D06" w14:paraId="5C8564DD" w14:textId="3B2A744F">
            <w:pPr>
              <w:jc w:val="center"/>
              <w:rPr>
                <w:sz w:val="22"/>
                <w:szCs w:val="22"/>
              </w:rPr>
            </w:pPr>
            <w:r w:rsidRPr="00BA1E56">
              <w:rPr>
                <w:sz w:val="22"/>
                <w:szCs w:val="22"/>
              </w:rPr>
              <w:t xml:space="preserve">FY </w:t>
            </w:r>
            <w:r>
              <w:rPr>
                <w:sz w:val="22"/>
                <w:szCs w:val="22"/>
              </w:rPr>
              <w:t>2021</w:t>
            </w:r>
            <w:r>
              <w:rPr>
                <w:sz w:val="22"/>
                <w:szCs w:val="22"/>
              </w:rPr>
              <w:br/>
            </w:r>
            <w:r w:rsidRPr="00BA1E56">
              <w:rPr>
                <w:sz w:val="22"/>
                <w:szCs w:val="22"/>
              </w:rPr>
              <w:t>Net PP&amp;E</w:t>
            </w:r>
          </w:p>
        </w:tc>
        <w:tc>
          <w:tcPr>
            <w:tcW w:w="1287" w:type="dxa"/>
            <w:tcBorders>
              <w:bottom w:val="single" w:sz="4" w:space="0" w:color="auto"/>
            </w:tcBorders>
            <w:vAlign w:val="bottom"/>
          </w:tcPr>
          <w:p w:rsidR="00AD79E1" w:rsidRPr="00BA1E56" w:rsidP="00285D06" w14:paraId="0A748A2B" w14:textId="4BC2BA5D">
            <w:pPr>
              <w:jc w:val="center"/>
              <w:rPr>
                <w:sz w:val="22"/>
                <w:szCs w:val="22"/>
              </w:rPr>
            </w:pPr>
            <w:r w:rsidRPr="00BA1E56">
              <w:rPr>
                <w:sz w:val="22"/>
                <w:szCs w:val="22"/>
              </w:rPr>
              <w:t xml:space="preserve">FY </w:t>
            </w:r>
            <w:r>
              <w:rPr>
                <w:sz w:val="22"/>
                <w:szCs w:val="22"/>
              </w:rPr>
              <w:t>2020</w:t>
            </w:r>
            <w:r>
              <w:rPr>
                <w:sz w:val="22"/>
                <w:szCs w:val="22"/>
              </w:rPr>
              <w:br/>
            </w:r>
            <w:r w:rsidRPr="00BA1E56">
              <w:rPr>
                <w:sz w:val="22"/>
                <w:szCs w:val="22"/>
              </w:rPr>
              <w:t>Net PP&amp;E</w:t>
            </w:r>
          </w:p>
        </w:tc>
      </w:tr>
      <w:tr w14:paraId="103B1C5E" w14:textId="77777777" w:rsidTr="00044A83">
        <w:tblPrEx>
          <w:tblW w:w="0" w:type="auto"/>
          <w:jc w:val="center"/>
          <w:tblLook w:val="04A0"/>
        </w:tblPrEx>
        <w:trPr>
          <w:trHeight w:val="404"/>
          <w:jc w:val="center"/>
        </w:trPr>
        <w:tc>
          <w:tcPr>
            <w:tcW w:w="2785" w:type="dxa"/>
            <w:vAlign w:val="bottom"/>
          </w:tcPr>
          <w:p w:rsidR="00AD79E1" w:rsidRPr="00BA1E56" w:rsidP="00285D06" w14:paraId="5CE8228B" w14:textId="77777777">
            <w:pPr>
              <w:rPr>
                <w:sz w:val="22"/>
                <w:szCs w:val="22"/>
              </w:rPr>
            </w:pPr>
            <w:r w:rsidRPr="00BA1E56">
              <w:rPr>
                <w:sz w:val="22"/>
                <w:szCs w:val="22"/>
              </w:rPr>
              <w:t>Balance beginning of year</w:t>
            </w:r>
          </w:p>
        </w:tc>
        <w:tc>
          <w:tcPr>
            <w:tcW w:w="1260" w:type="dxa"/>
            <w:vAlign w:val="bottom"/>
          </w:tcPr>
          <w:p w:rsidR="00AD79E1" w:rsidRPr="00BA1E56" w:rsidP="00285D06" w14:paraId="2724E150" w14:textId="4D75F370">
            <w:pPr>
              <w:ind w:right="72"/>
              <w:jc w:val="right"/>
              <w:rPr>
                <w:sz w:val="22"/>
                <w:szCs w:val="22"/>
              </w:rPr>
            </w:pPr>
            <w:r>
              <w:rPr>
                <w:sz w:val="22"/>
                <w:szCs w:val="22"/>
              </w:rPr>
              <w:t>$    79,878</w:t>
            </w:r>
          </w:p>
        </w:tc>
        <w:tc>
          <w:tcPr>
            <w:tcW w:w="1287" w:type="dxa"/>
            <w:vAlign w:val="bottom"/>
          </w:tcPr>
          <w:p w:rsidR="00AD79E1" w:rsidRPr="00BA1E56" w:rsidP="00285D06" w14:paraId="75F9EE62" w14:textId="597BF834">
            <w:pPr>
              <w:ind w:right="72"/>
              <w:jc w:val="right"/>
              <w:rPr>
                <w:sz w:val="22"/>
                <w:szCs w:val="22"/>
              </w:rPr>
            </w:pPr>
            <w:r w:rsidRPr="00BA1E56">
              <w:rPr>
                <w:sz w:val="22"/>
                <w:szCs w:val="22"/>
              </w:rPr>
              <w:t>$    72,138</w:t>
            </w:r>
          </w:p>
        </w:tc>
      </w:tr>
      <w:tr w14:paraId="3A5F50EE" w14:textId="77777777" w:rsidTr="00044A83">
        <w:tblPrEx>
          <w:tblW w:w="0" w:type="auto"/>
          <w:jc w:val="center"/>
          <w:tblLook w:val="04A0"/>
        </w:tblPrEx>
        <w:trPr>
          <w:jc w:val="center"/>
        </w:trPr>
        <w:tc>
          <w:tcPr>
            <w:tcW w:w="2785" w:type="dxa"/>
            <w:vAlign w:val="bottom"/>
          </w:tcPr>
          <w:p w:rsidR="00AD79E1" w:rsidRPr="00BA1E56" w:rsidP="00B3084F" w14:paraId="333B1344" w14:textId="77777777">
            <w:pPr>
              <w:ind w:left="288"/>
              <w:rPr>
                <w:sz w:val="22"/>
                <w:szCs w:val="22"/>
              </w:rPr>
            </w:pPr>
            <w:r w:rsidRPr="00BA1E56">
              <w:rPr>
                <w:sz w:val="22"/>
                <w:szCs w:val="22"/>
              </w:rPr>
              <w:t>Capitalized acquisitions</w:t>
            </w:r>
          </w:p>
        </w:tc>
        <w:tc>
          <w:tcPr>
            <w:tcW w:w="1260" w:type="dxa"/>
            <w:vAlign w:val="bottom"/>
          </w:tcPr>
          <w:p w:rsidR="00AD79E1" w:rsidRPr="00BA1E56" w:rsidP="00285D06" w14:paraId="5DB65D96" w14:textId="77777777">
            <w:pPr>
              <w:ind w:right="72"/>
              <w:jc w:val="right"/>
              <w:rPr>
                <w:sz w:val="22"/>
                <w:szCs w:val="22"/>
              </w:rPr>
            </w:pPr>
            <w:r>
              <w:rPr>
                <w:sz w:val="22"/>
                <w:szCs w:val="22"/>
              </w:rPr>
              <w:t>24,031</w:t>
            </w:r>
          </w:p>
        </w:tc>
        <w:tc>
          <w:tcPr>
            <w:tcW w:w="1287" w:type="dxa"/>
            <w:vAlign w:val="bottom"/>
          </w:tcPr>
          <w:p w:rsidR="00AD79E1" w:rsidRPr="00BA1E56" w:rsidP="00285D06" w14:paraId="508C888C" w14:textId="77777777">
            <w:pPr>
              <w:ind w:right="72"/>
              <w:jc w:val="right"/>
              <w:rPr>
                <w:sz w:val="22"/>
                <w:szCs w:val="22"/>
              </w:rPr>
            </w:pPr>
            <w:r w:rsidRPr="00BA1E56">
              <w:rPr>
                <w:sz w:val="22"/>
                <w:szCs w:val="22"/>
              </w:rPr>
              <w:t>28,894</w:t>
            </w:r>
          </w:p>
        </w:tc>
      </w:tr>
      <w:tr w14:paraId="3D249DB2" w14:textId="77777777" w:rsidTr="00044A83">
        <w:tblPrEx>
          <w:tblW w:w="0" w:type="auto"/>
          <w:jc w:val="center"/>
          <w:tblLook w:val="04A0"/>
        </w:tblPrEx>
        <w:trPr>
          <w:jc w:val="center"/>
        </w:trPr>
        <w:tc>
          <w:tcPr>
            <w:tcW w:w="2785" w:type="dxa"/>
            <w:vAlign w:val="bottom"/>
          </w:tcPr>
          <w:p w:rsidR="00AD79E1" w:rsidRPr="00BA1E56" w:rsidP="00B3084F" w14:paraId="113C0AE6" w14:textId="77777777">
            <w:pPr>
              <w:ind w:left="288"/>
              <w:rPr>
                <w:sz w:val="22"/>
                <w:szCs w:val="22"/>
              </w:rPr>
            </w:pPr>
            <w:r w:rsidRPr="00BA1E56">
              <w:rPr>
                <w:sz w:val="22"/>
                <w:szCs w:val="22"/>
              </w:rPr>
              <w:t>Depreciation expense</w:t>
            </w:r>
          </w:p>
        </w:tc>
        <w:tc>
          <w:tcPr>
            <w:tcW w:w="1260" w:type="dxa"/>
            <w:tcBorders>
              <w:bottom w:val="single" w:sz="4" w:space="0" w:color="auto"/>
            </w:tcBorders>
            <w:vAlign w:val="bottom"/>
          </w:tcPr>
          <w:p w:rsidR="00AD79E1" w:rsidRPr="00BA1E56" w:rsidP="00285D06" w14:paraId="4F06E755" w14:textId="77777777">
            <w:pPr>
              <w:jc w:val="right"/>
              <w:rPr>
                <w:sz w:val="22"/>
                <w:szCs w:val="22"/>
              </w:rPr>
            </w:pPr>
            <w:r>
              <w:rPr>
                <w:sz w:val="22"/>
                <w:szCs w:val="22"/>
              </w:rPr>
              <w:t>(19,707)</w:t>
            </w:r>
          </w:p>
        </w:tc>
        <w:tc>
          <w:tcPr>
            <w:tcW w:w="1287" w:type="dxa"/>
            <w:tcBorders>
              <w:bottom w:val="single" w:sz="4" w:space="0" w:color="auto"/>
            </w:tcBorders>
            <w:vAlign w:val="bottom"/>
          </w:tcPr>
          <w:p w:rsidR="00AD79E1" w:rsidRPr="00BA1E56" w:rsidP="00285D06" w14:paraId="409F5FA2" w14:textId="77777777">
            <w:pPr>
              <w:jc w:val="right"/>
              <w:rPr>
                <w:sz w:val="22"/>
                <w:szCs w:val="22"/>
              </w:rPr>
            </w:pPr>
            <w:r w:rsidRPr="00BA1E56">
              <w:rPr>
                <w:sz w:val="22"/>
                <w:szCs w:val="22"/>
              </w:rPr>
              <w:t>(21,154)</w:t>
            </w:r>
          </w:p>
        </w:tc>
      </w:tr>
      <w:tr w14:paraId="09DFC82E" w14:textId="77777777" w:rsidTr="00044A83">
        <w:tblPrEx>
          <w:tblW w:w="0" w:type="auto"/>
          <w:jc w:val="center"/>
          <w:tblLook w:val="04A0"/>
        </w:tblPrEx>
        <w:trPr>
          <w:jc w:val="center"/>
        </w:trPr>
        <w:tc>
          <w:tcPr>
            <w:tcW w:w="2785" w:type="dxa"/>
            <w:vAlign w:val="bottom"/>
          </w:tcPr>
          <w:p w:rsidR="00AD79E1" w:rsidRPr="00BA1E56" w:rsidP="00285D06" w14:paraId="40C29952" w14:textId="77777777">
            <w:pPr>
              <w:rPr>
                <w:sz w:val="22"/>
                <w:szCs w:val="22"/>
              </w:rPr>
            </w:pPr>
            <w:r w:rsidRPr="00BA1E56">
              <w:rPr>
                <w:sz w:val="22"/>
                <w:szCs w:val="22"/>
              </w:rPr>
              <w:t>Balance at end of year</w:t>
            </w:r>
          </w:p>
        </w:tc>
        <w:tc>
          <w:tcPr>
            <w:tcW w:w="1260" w:type="dxa"/>
            <w:tcBorders>
              <w:top w:val="single" w:sz="4" w:space="0" w:color="auto"/>
              <w:bottom w:val="double" w:sz="4" w:space="0" w:color="auto"/>
            </w:tcBorders>
            <w:vAlign w:val="bottom"/>
          </w:tcPr>
          <w:p w:rsidR="00AD79E1" w:rsidRPr="00BA1E56" w:rsidP="00285D06" w14:paraId="56D0A5D6" w14:textId="5DC85494">
            <w:pPr>
              <w:ind w:right="72"/>
              <w:jc w:val="right"/>
              <w:rPr>
                <w:sz w:val="22"/>
                <w:szCs w:val="22"/>
              </w:rPr>
            </w:pPr>
            <w:r>
              <w:rPr>
                <w:sz w:val="22"/>
                <w:szCs w:val="22"/>
              </w:rPr>
              <w:t>$    84,202</w:t>
            </w:r>
          </w:p>
        </w:tc>
        <w:tc>
          <w:tcPr>
            <w:tcW w:w="1287" w:type="dxa"/>
            <w:tcBorders>
              <w:top w:val="single" w:sz="4" w:space="0" w:color="auto"/>
              <w:bottom w:val="double" w:sz="4" w:space="0" w:color="auto"/>
            </w:tcBorders>
            <w:vAlign w:val="bottom"/>
          </w:tcPr>
          <w:p w:rsidR="00AD79E1" w:rsidRPr="00BA1E56" w:rsidP="00285D06" w14:paraId="73D6935A" w14:textId="67DB4490">
            <w:pPr>
              <w:spacing w:after="2"/>
              <w:ind w:right="72"/>
              <w:jc w:val="right"/>
              <w:rPr>
                <w:sz w:val="22"/>
                <w:szCs w:val="22"/>
              </w:rPr>
            </w:pPr>
            <w:r w:rsidRPr="00BA1E56">
              <w:rPr>
                <w:sz w:val="22"/>
                <w:szCs w:val="22"/>
              </w:rPr>
              <w:t>$    79,878</w:t>
            </w:r>
          </w:p>
        </w:tc>
      </w:tr>
    </w:tbl>
    <w:p w:rsidR="00285D06" w:rsidRPr="002D5870" w:rsidP="008D4749" w14:paraId="25003E61" w14:textId="77777777">
      <w:pPr>
        <w:pStyle w:val="Heading4"/>
        <w:spacing w:before="840"/>
        <w:rPr>
          <w:sz w:val="22"/>
          <w:szCs w:val="22"/>
        </w:rPr>
      </w:pPr>
      <w:bookmarkStart w:id="248" w:name="_Toc88780701"/>
      <w:r w:rsidRPr="002D5870">
        <w:rPr>
          <w:sz w:val="22"/>
          <w:szCs w:val="22"/>
        </w:rPr>
        <w:t>Note 6 – Liabilities Not Covered by Budgetary Resources</w:t>
      </w:r>
      <w:bookmarkEnd w:id="248"/>
    </w:p>
    <w:p w:rsidR="00285D06" w:rsidRPr="00BA1E56" w:rsidP="001D3555" w14:paraId="7C983064" w14:textId="3EE8EAC0">
      <w:pPr>
        <w:spacing w:after="240"/>
        <w:jc w:val="both"/>
        <w:rPr>
          <w:sz w:val="22"/>
          <w:szCs w:val="22"/>
        </w:rPr>
      </w:pPr>
      <w:r w:rsidRPr="00BA1E56">
        <w:rPr>
          <w:sz w:val="22"/>
          <w:szCs w:val="22"/>
        </w:rPr>
        <w:t xml:space="preserve">The following summarizes Liabilities Not Covered by Budgetary Resources as of </w:t>
      </w:r>
      <w:r>
        <w:rPr>
          <w:sz w:val="22"/>
          <w:szCs w:val="22"/>
        </w:rPr>
        <w:t>September 30, 2021</w:t>
      </w:r>
      <w:r w:rsidRPr="00BA1E56">
        <w:rPr>
          <w:sz w:val="22"/>
          <w:szCs w:val="22"/>
        </w:rPr>
        <w:t xml:space="preserve"> and September 30</w:t>
      </w:r>
      <w:r>
        <w:rPr>
          <w:sz w:val="22"/>
          <w:szCs w:val="22"/>
        </w:rPr>
        <w:t>, 2020</w:t>
      </w:r>
      <w:r w:rsidRPr="00BA1E56">
        <w:rPr>
          <w:sz w:val="22"/>
          <w:szCs w:val="22"/>
        </w:rPr>
        <w:t>:</w:t>
      </w:r>
      <w:r w:rsidR="00C933B2">
        <w:rPr>
          <w:sz w:val="22"/>
          <w:szCs w:val="22"/>
        </w:rPr>
        <w:t xml:space="preserve"> </w:t>
      </w:r>
    </w:p>
    <w:tbl>
      <w:tblPr>
        <w:tblW w:w="4671" w:type="pct"/>
        <w:tblLook w:val="04A0"/>
      </w:tblPr>
      <w:tblGrid>
        <w:gridCol w:w="5400"/>
        <w:gridCol w:w="1672"/>
        <w:gridCol w:w="1672"/>
      </w:tblGrid>
      <w:tr w14:paraId="3F18045A" w14:textId="77777777" w:rsidTr="003828ED">
        <w:tblPrEx>
          <w:tblW w:w="4671" w:type="pct"/>
          <w:tblLook w:val="04A0"/>
        </w:tblPrEx>
        <w:trPr>
          <w:trHeight w:val="259"/>
        </w:trPr>
        <w:tc>
          <w:tcPr>
            <w:tcW w:w="5400" w:type="dxa"/>
            <w:tcBorders>
              <w:top w:val="nil"/>
              <w:left w:val="nil"/>
              <w:bottom w:val="nil"/>
              <w:right w:val="nil"/>
            </w:tcBorders>
            <w:shd w:val="clear" w:color="000000" w:fill="FFFFFF"/>
            <w:noWrap/>
            <w:vAlign w:val="bottom"/>
            <w:hideMark/>
          </w:tcPr>
          <w:p w:rsidR="007A6514" w:rsidRPr="006B12E2" w:rsidP="004957F6" w14:paraId="414E91F6" w14:textId="330FCA20">
            <w:pPr>
              <w:rPr>
                <w:sz w:val="22"/>
                <w:szCs w:val="22"/>
              </w:rPr>
            </w:pPr>
          </w:p>
        </w:tc>
        <w:tc>
          <w:tcPr>
            <w:tcW w:w="1672" w:type="dxa"/>
            <w:tcBorders>
              <w:top w:val="nil"/>
              <w:left w:val="nil"/>
              <w:bottom w:val="single" w:sz="4" w:space="0" w:color="auto"/>
              <w:right w:val="nil"/>
            </w:tcBorders>
            <w:shd w:val="clear" w:color="000000" w:fill="FFFFFF"/>
            <w:noWrap/>
            <w:vAlign w:val="bottom"/>
            <w:hideMark/>
          </w:tcPr>
          <w:p w:rsidR="007A6514" w:rsidRPr="006B12E2" w:rsidP="00B84CF1" w14:paraId="7E4251D8" w14:textId="712E812E">
            <w:pPr>
              <w:jc w:val="center"/>
              <w:rPr>
                <w:sz w:val="22"/>
                <w:szCs w:val="22"/>
              </w:rPr>
            </w:pPr>
            <w:r w:rsidRPr="006B12E2">
              <w:rPr>
                <w:sz w:val="22"/>
                <w:szCs w:val="22"/>
              </w:rPr>
              <w:t>FY 2021</w:t>
            </w:r>
          </w:p>
        </w:tc>
        <w:tc>
          <w:tcPr>
            <w:tcW w:w="1672" w:type="dxa"/>
            <w:tcBorders>
              <w:top w:val="nil"/>
              <w:left w:val="nil"/>
              <w:bottom w:val="single" w:sz="4" w:space="0" w:color="auto"/>
              <w:right w:val="nil"/>
            </w:tcBorders>
            <w:shd w:val="clear" w:color="000000" w:fill="FFFFFF"/>
            <w:noWrap/>
            <w:vAlign w:val="bottom"/>
            <w:hideMark/>
          </w:tcPr>
          <w:p w:rsidR="007A6514" w:rsidRPr="006B12E2" w:rsidP="00B90FB3" w14:paraId="514AD69C" w14:textId="45977D9B">
            <w:pPr>
              <w:jc w:val="center"/>
              <w:rPr>
                <w:sz w:val="22"/>
                <w:szCs w:val="22"/>
              </w:rPr>
            </w:pPr>
            <w:r w:rsidRPr="006B12E2">
              <w:rPr>
                <w:sz w:val="22"/>
                <w:szCs w:val="22"/>
              </w:rPr>
              <w:t>FY 2020</w:t>
            </w:r>
          </w:p>
        </w:tc>
      </w:tr>
      <w:tr w14:paraId="7907D2F2" w14:textId="77777777" w:rsidTr="003828ED">
        <w:tblPrEx>
          <w:tblW w:w="4671" w:type="pct"/>
          <w:tblLook w:val="04A0"/>
        </w:tblPrEx>
        <w:trPr>
          <w:trHeight w:val="259"/>
        </w:trPr>
        <w:tc>
          <w:tcPr>
            <w:tcW w:w="5400" w:type="dxa"/>
            <w:tcBorders>
              <w:top w:val="nil"/>
              <w:left w:val="nil"/>
              <w:bottom w:val="nil"/>
              <w:right w:val="nil"/>
            </w:tcBorders>
            <w:shd w:val="clear" w:color="000000" w:fill="FFFFFF"/>
            <w:noWrap/>
            <w:vAlign w:val="bottom"/>
            <w:hideMark/>
          </w:tcPr>
          <w:p w:rsidR="007A6514" w:rsidRPr="006B12E2" w:rsidP="004957F6" w14:paraId="176BB6D5" w14:textId="77777777">
            <w:pPr>
              <w:rPr>
                <w:sz w:val="22"/>
                <w:szCs w:val="22"/>
              </w:rPr>
            </w:pPr>
            <w:r w:rsidRPr="006B12E2">
              <w:rPr>
                <w:sz w:val="22"/>
                <w:szCs w:val="22"/>
              </w:rPr>
              <w:t>Intragovernmental:</w:t>
            </w:r>
          </w:p>
        </w:tc>
        <w:tc>
          <w:tcPr>
            <w:tcW w:w="1672" w:type="dxa"/>
            <w:tcBorders>
              <w:top w:val="nil"/>
              <w:left w:val="nil"/>
              <w:bottom w:val="nil"/>
              <w:right w:val="nil"/>
            </w:tcBorders>
            <w:shd w:val="clear" w:color="000000" w:fill="FFFFFF"/>
            <w:noWrap/>
            <w:vAlign w:val="bottom"/>
            <w:hideMark/>
          </w:tcPr>
          <w:p w:rsidR="007A6514" w:rsidRPr="006B12E2" w:rsidP="004957F6" w14:paraId="1A51BD75" w14:textId="7FC9EA2A">
            <w:pPr>
              <w:jc w:val="right"/>
              <w:rPr>
                <w:sz w:val="22"/>
                <w:szCs w:val="22"/>
              </w:rPr>
            </w:pPr>
          </w:p>
        </w:tc>
        <w:tc>
          <w:tcPr>
            <w:tcW w:w="1672" w:type="dxa"/>
            <w:tcBorders>
              <w:top w:val="nil"/>
              <w:left w:val="nil"/>
              <w:bottom w:val="nil"/>
              <w:right w:val="nil"/>
            </w:tcBorders>
            <w:shd w:val="clear" w:color="000000" w:fill="FFFFFF"/>
            <w:noWrap/>
            <w:vAlign w:val="bottom"/>
            <w:hideMark/>
          </w:tcPr>
          <w:p w:rsidR="007A6514" w:rsidRPr="006B12E2" w:rsidP="004957F6" w14:paraId="4CDDEE32" w14:textId="00294479">
            <w:pPr>
              <w:jc w:val="right"/>
              <w:rPr>
                <w:sz w:val="22"/>
                <w:szCs w:val="22"/>
              </w:rPr>
            </w:pPr>
          </w:p>
        </w:tc>
      </w:tr>
      <w:tr w14:paraId="21AD6ADF" w14:textId="77777777" w:rsidTr="003828ED">
        <w:tblPrEx>
          <w:tblW w:w="4671" w:type="pct"/>
          <w:tblLook w:val="04A0"/>
        </w:tblPrEx>
        <w:trPr>
          <w:trHeight w:val="259"/>
        </w:trPr>
        <w:tc>
          <w:tcPr>
            <w:tcW w:w="5400" w:type="dxa"/>
            <w:tcBorders>
              <w:top w:val="nil"/>
              <w:left w:val="nil"/>
              <w:bottom w:val="nil"/>
              <w:right w:val="nil"/>
            </w:tcBorders>
            <w:shd w:val="clear" w:color="000000" w:fill="FFFFFF"/>
            <w:noWrap/>
            <w:vAlign w:val="bottom"/>
            <w:hideMark/>
          </w:tcPr>
          <w:p w:rsidR="007A6514" w:rsidRPr="006B12E2" w:rsidP="004957F6" w14:paraId="3C348580" w14:textId="77777777">
            <w:pPr>
              <w:ind w:firstLine="220" w:firstLineChars="100"/>
              <w:rPr>
                <w:sz w:val="22"/>
                <w:szCs w:val="22"/>
              </w:rPr>
            </w:pPr>
            <w:r w:rsidRPr="006B12E2">
              <w:rPr>
                <w:sz w:val="22"/>
                <w:szCs w:val="22"/>
              </w:rPr>
              <w:t>FECA Liability</w:t>
            </w:r>
          </w:p>
        </w:tc>
        <w:tc>
          <w:tcPr>
            <w:tcW w:w="1672" w:type="dxa"/>
            <w:tcBorders>
              <w:top w:val="nil"/>
              <w:left w:val="nil"/>
              <w:bottom w:val="nil"/>
              <w:right w:val="nil"/>
            </w:tcBorders>
            <w:shd w:val="clear" w:color="000000" w:fill="FFFFFF"/>
            <w:noWrap/>
            <w:vAlign w:val="bottom"/>
            <w:hideMark/>
          </w:tcPr>
          <w:p w:rsidR="007A6514" w:rsidRPr="006B12E2" w:rsidP="004957F6" w14:paraId="45F25571" w14:textId="7CBC8A3A">
            <w:pPr>
              <w:jc w:val="right"/>
              <w:rPr>
                <w:sz w:val="22"/>
                <w:szCs w:val="22"/>
              </w:rPr>
            </w:pPr>
            <w:r w:rsidRPr="006B12E2">
              <w:rPr>
                <w:sz w:val="22"/>
                <w:szCs w:val="22"/>
              </w:rPr>
              <w:t>$</w:t>
            </w:r>
            <w:r w:rsidRPr="006B12E2" w:rsidR="00302334">
              <w:rPr>
                <w:sz w:val="22"/>
                <w:szCs w:val="22"/>
              </w:rPr>
              <w:t xml:space="preserve">                 </w:t>
            </w:r>
            <w:r w:rsidRPr="006B12E2">
              <w:rPr>
                <w:sz w:val="22"/>
                <w:szCs w:val="22"/>
              </w:rPr>
              <w:t xml:space="preserve"> 435 </w:t>
            </w:r>
          </w:p>
        </w:tc>
        <w:tc>
          <w:tcPr>
            <w:tcW w:w="1672" w:type="dxa"/>
            <w:tcBorders>
              <w:top w:val="nil"/>
              <w:left w:val="nil"/>
              <w:bottom w:val="nil"/>
              <w:right w:val="nil"/>
            </w:tcBorders>
            <w:shd w:val="clear" w:color="000000" w:fill="FFFFFF"/>
            <w:noWrap/>
            <w:vAlign w:val="bottom"/>
            <w:hideMark/>
          </w:tcPr>
          <w:p w:rsidR="007A6514" w:rsidRPr="006B12E2" w:rsidP="004957F6" w14:paraId="7CC4B700" w14:textId="40CF3B9A">
            <w:pPr>
              <w:jc w:val="right"/>
              <w:rPr>
                <w:sz w:val="22"/>
                <w:szCs w:val="22"/>
              </w:rPr>
            </w:pPr>
            <w:r w:rsidRPr="006B12E2">
              <w:rPr>
                <w:sz w:val="22"/>
                <w:szCs w:val="22"/>
              </w:rPr>
              <w:t>$</w:t>
            </w:r>
            <w:r w:rsidRPr="006B12E2" w:rsidR="00302334">
              <w:rPr>
                <w:sz w:val="22"/>
                <w:szCs w:val="22"/>
              </w:rPr>
              <w:t xml:space="preserve">                 </w:t>
            </w:r>
            <w:r w:rsidRPr="006B12E2">
              <w:rPr>
                <w:sz w:val="22"/>
                <w:szCs w:val="22"/>
              </w:rPr>
              <w:t xml:space="preserve"> 486 </w:t>
            </w:r>
          </w:p>
        </w:tc>
      </w:tr>
      <w:tr w14:paraId="2A5CB9EA" w14:textId="77777777" w:rsidTr="003828ED">
        <w:tblPrEx>
          <w:tblW w:w="4671" w:type="pct"/>
          <w:tblLook w:val="04A0"/>
        </w:tblPrEx>
        <w:trPr>
          <w:trHeight w:val="259"/>
        </w:trPr>
        <w:tc>
          <w:tcPr>
            <w:tcW w:w="5400" w:type="dxa"/>
            <w:tcBorders>
              <w:top w:val="nil"/>
              <w:left w:val="nil"/>
              <w:bottom w:val="nil"/>
              <w:right w:val="nil"/>
            </w:tcBorders>
            <w:shd w:val="clear" w:color="000000" w:fill="FFFFFF"/>
            <w:noWrap/>
            <w:vAlign w:val="bottom"/>
            <w:hideMark/>
          </w:tcPr>
          <w:p w:rsidR="007A6514" w:rsidRPr="006B12E2" w:rsidP="004957F6" w14:paraId="14E9A7D5" w14:textId="77777777">
            <w:pPr>
              <w:ind w:firstLine="220" w:firstLineChars="100"/>
              <w:rPr>
                <w:sz w:val="22"/>
                <w:szCs w:val="22"/>
              </w:rPr>
            </w:pPr>
            <w:r w:rsidRPr="006B12E2">
              <w:rPr>
                <w:sz w:val="22"/>
                <w:szCs w:val="22"/>
              </w:rPr>
              <w:t>Unemployment Liability</w:t>
            </w:r>
          </w:p>
        </w:tc>
        <w:tc>
          <w:tcPr>
            <w:tcW w:w="1672" w:type="dxa"/>
            <w:tcBorders>
              <w:top w:val="nil"/>
              <w:left w:val="nil"/>
              <w:bottom w:val="nil"/>
              <w:right w:val="nil"/>
            </w:tcBorders>
            <w:shd w:val="clear" w:color="000000" w:fill="FFFFFF"/>
            <w:noWrap/>
            <w:vAlign w:val="bottom"/>
            <w:hideMark/>
          </w:tcPr>
          <w:p w:rsidR="007A6514" w:rsidRPr="006B12E2" w:rsidP="004957F6" w14:paraId="62D86068" w14:textId="77777777">
            <w:pPr>
              <w:jc w:val="right"/>
              <w:rPr>
                <w:sz w:val="22"/>
                <w:szCs w:val="22"/>
              </w:rPr>
            </w:pPr>
            <w:r w:rsidRPr="006B12E2">
              <w:rPr>
                <w:sz w:val="22"/>
                <w:szCs w:val="22"/>
              </w:rPr>
              <w:t xml:space="preserve">2 </w:t>
            </w:r>
          </w:p>
        </w:tc>
        <w:tc>
          <w:tcPr>
            <w:tcW w:w="1672" w:type="dxa"/>
            <w:tcBorders>
              <w:top w:val="nil"/>
              <w:left w:val="nil"/>
              <w:bottom w:val="nil"/>
              <w:right w:val="nil"/>
            </w:tcBorders>
            <w:shd w:val="clear" w:color="auto" w:fill="auto"/>
            <w:noWrap/>
            <w:vAlign w:val="bottom"/>
            <w:hideMark/>
          </w:tcPr>
          <w:p w:rsidR="007A6514" w:rsidRPr="006B12E2" w:rsidP="004957F6" w14:paraId="21F7614E" w14:textId="77777777">
            <w:pPr>
              <w:jc w:val="right"/>
              <w:rPr>
                <w:sz w:val="22"/>
                <w:szCs w:val="22"/>
              </w:rPr>
            </w:pPr>
            <w:r w:rsidRPr="006B12E2">
              <w:rPr>
                <w:sz w:val="22"/>
                <w:szCs w:val="22"/>
              </w:rPr>
              <w:t xml:space="preserve"> - </w:t>
            </w:r>
          </w:p>
        </w:tc>
      </w:tr>
      <w:tr w14:paraId="29211D20" w14:textId="77777777" w:rsidTr="003828ED">
        <w:tblPrEx>
          <w:tblW w:w="4671" w:type="pct"/>
          <w:tblLook w:val="04A0"/>
        </w:tblPrEx>
        <w:trPr>
          <w:trHeight w:val="259"/>
        </w:trPr>
        <w:tc>
          <w:tcPr>
            <w:tcW w:w="5400" w:type="dxa"/>
            <w:tcBorders>
              <w:top w:val="nil"/>
              <w:left w:val="nil"/>
              <w:bottom w:val="nil"/>
              <w:right w:val="nil"/>
            </w:tcBorders>
            <w:shd w:val="clear" w:color="000000" w:fill="FFFFFF"/>
            <w:noWrap/>
            <w:vAlign w:val="bottom"/>
            <w:hideMark/>
          </w:tcPr>
          <w:p w:rsidR="007A6514" w:rsidRPr="006B12E2" w:rsidP="00302334" w14:paraId="425511E9" w14:textId="77777777">
            <w:pPr>
              <w:ind w:left="432" w:firstLine="220" w:firstLineChars="100"/>
              <w:rPr>
                <w:sz w:val="22"/>
                <w:szCs w:val="22"/>
              </w:rPr>
            </w:pPr>
            <w:r w:rsidRPr="006B12E2">
              <w:rPr>
                <w:sz w:val="22"/>
                <w:szCs w:val="22"/>
              </w:rPr>
              <w:t>Total Intragovernmental</w:t>
            </w:r>
          </w:p>
        </w:tc>
        <w:tc>
          <w:tcPr>
            <w:tcW w:w="1672" w:type="dxa"/>
            <w:tcBorders>
              <w:top w:val="single" w:sz="4" w:space="0" w:color="auto"/>
              <w:left w:val="nil"/>
              <w:bottom w:val="nil"/>
              <w:right w:val="nil"/>
            </w:tcBorders>
            <w:shd w:val="clear" w:color="000000" w:fill="FFFFFF"/>
            <w:noWrap/>
            <w:vAlign w:val="bottom"/>
            <w:hideMark/>
          </w:tcPr>
          <w:p w:rsidR="007A6514" w:rsidRPr="006B12E2" w:rsidP="004957F6" w14:paraId="549CF18F" w14:textId="77777777">
            <w:pPr>
              <w:jc w:val="right"/>
              <w:rPr>
                <w:sz w:val="22"/>
                <w:szCs w:val="22"/>
              </w:rPr>
            </w:pPr>
            <w:r w:rsidRPr="006B12E2">
              <w:rPr>
                <w:sz w:val="22"/>
                <w:szCs w:val="22"/>
              </w:rPr>
              <w:t xml:space="preserve">437 </w:t>
            </w:r>
          </w:p>
        </w:tc>
        <w:tc>
          <w:tcPr>
            <w:tcW w:w="1672" w:type="dxa"/>
            <w:tcBorders>
              <w:top w:val="single" w:sz="4" w:space="0" w:color="auto"/>
              <w:left w:val="nil"/>
              <w:bottom w:val="nil"/>
              <w:right w:val="nil"/>
            </w:tcBorders>
            <w:shd w:val="clear" w:color="000000" w:fill="FFFFFF"/>
            <w:noWrap/>
            <w:vAlign w:val="bottom"/>
            <w:hideMark/>
          </w:tcPr>
          <w:p w:rsidR="007A6514" w:rsidRPr="006B12E2" w:rsidP="004957F6" w14:paraId="23EBD397" w14:textId="77777777">
            <w:pPr>
              <w:jc w:val="right"/>
              <w:rPr>
                <w:sz w:val="22"/>
                <w:szCs w:val="22"/>
              </w:rPr>
            </w:pPr>
            <w:r w:rsidRPr="006B12E2">
              <w:rPr>
                <w:sz w:val="22"/>
                <w:szCs w:val="22"/>
              </w:rPr>
              <w:t xml:space="preserve">486 </w:t>
            </w:r>
          </w:p>
        </w:tc>
      </w:tr>
      <w:tr w14:paraId="33DC1D96" w14:textId="77777777" w:rsidTr="006B12E2">
        <w:tblPrEx>
          <w:tblW w:w="4671" w:type="pct"/>
          <w:tblLook w:val="04A0"/>
        </w:tblPrEx>
        <w:trPr>
          <w:trHeight w:val="486"/>
        </w:trPr>
        <w:tc>
          <w:tcPr>
            <w:tcW w:w="5400" w:type="dxa"/>
            <w:tcBorders>
              <w:top w:val="nil"/>
              <w:left w:val="nil"/>
              <w:bottom w:val="nil"/>
              <w:right w:val="nil"/>
            </w:tcBorders>
            <w:shd w:val="clear" w:color="000000" w:fill="FFFFFF"/>
            <w:noWrap/>
            <w:vAlign w:val="bottom"/>
            <w:hideMark/>
          </w:tcPr>
          <w:p w:rsidR="007A6514" w:rsidRPr="006B12E2" w:rsidP="004957F6" w14:paraId="76672339" w14:textId="77777777">
            <w:pPr>
              <w:rPr>
                <w:sz w:val="22"/>
                <w:szCs w:val="22"/>
              </w:rPr>
            </w:pPr>
            <w:r w:rsidRPr="006B12E2">
              <w:rPr>
                <w:sz w:val="22"/>
                <w:szCs w:val="22"/>
              </w:rPr>
              <w:t>Unfunded Leave</w:t>
            </w:r>
          </w:p>
        </w:tc>
        <w:tc>
          <w:tcPr>
            <w:tcW w:w="1672" w:type="dxa"/>
            <w:tcBorders>
              <w:top w:val="nil"/>
              <w:left w:val="nil"/>
              <w:bottom w:val="nil"/>
              <w:right w:val="nil"/>
            </w:tcBorders>
            <w:shd w:val="clear" w:color="000000" w:fill="FFFFFF"/>
            <w:noWrap/>
            <w:vAlign w:val="bottom"/>
            <w:hideMark/>
          </w:tcPr>
          <w:p w:rsidR="007A6514" w:rsidRPr="006B12E2" w:rsidP="004957F6" w14:paraId="6DBF304C" w14:textId="77777777">
            <w:pPr>
              <w:jc w:val="right"/>
              <w:rPr>
                <w:sz w:val="22"/>
                <w:szCs w:val="22"/>
              </w:rPr>
            </w:pPr>
            <w:r w:rsidRPr="006B12E2">
              <w:rPr>
                <w:sz w:val="22"/>
                <w:szCs w:val="22"/>
              </w:rPr>
              <w:t xml:space="preserve">24,547 </w:t>
            </w:r>
          </w:p>
        </w:tc>
        <w:tc>
          <w:tcPr>
            <w:tcW w:w="1672" w:type="dxa"/>
            <w:tcBorders>
              <w:top w:val="nil"/>
              <w:left w:val="nil"/>
              <w:bottom w:val="nil"/>
              <w:right w:val="nil"/>
            </w:tcBorders>
            <w:shd w:val="clear" w:color="000000" w:fill="FFFFFF"/>
            <w:noWrap/>
            <w:vAlign w:val="bottom"/>
            <w:hideMark/>
          </w:tcPr>
          <w:p w:rsidR="007A6514" w:rsidRPr="006B12E2" w:rsidP="004957F6" w14:paraId="5AACD7B5" w14:textId="77777777">
            <w:pPr>
              <w:jc w:val="right"/>
              <w:rPr>
                <w:sz w:val="22"/>
                <w:szCs w:val="22"/>
              </w:rPr>
            </w:pPr>
            <w:r w:rsidRPr="006B12E2">
              <w:rPr>
                <w:sz w:val="22"/>
                <w:szCs w:val="22"/>
              </w:rPr>
              <w:t xml:space="preserve">23,555 </w:t>
            </w:r>
          </w:p>
        </w:tc>
      </w:tr>
      <w:tr w14:paraId="3DAF3B12" w14:textId="77777777" w:rsidTr="003828ED">
        <w:tblPrEx>
          <w:tblW w:w="4671" w:type="pct"/>
          <w:tblLook w:val="04A0"/>
        </w:tblPrEx>
        <w:trPr>
          <w:trHeight w:val="259"/>
        </w:trPr>
        <w:tc>
          <w:tcPr>
            <w:tcW w:w="5400" w:type="dxa"/>
            <w:tcBorders>
              <w:top w:val="nil"/>
              <w:left w:val="nil"/>
              <w:bottom w:val="nil"/>
              <w:right w:val="nil"/>
            </w:tcBorders>
            <w:shd w:val="clear" w:color="000000" w:fill="FFFFFF"/>
            <w:noWrap/>
            <w:vAlign w:val="bottom"/>
            <w:hideMark/>
          </w:tcPr>
          <w:p w:rsidR="007A6514" w:rsidRPr="006B12E2" w:rsidP="004957F6" w14:paraId="1E67CD60" w14:textId="77777777">
            <w:pPr>
              <w:rPr>
                <w:sz w:val="22"/>
                <w:szCs w:val="22"/>
              </w:rPr>
            </w:pPr>
            <w:r w:rsidRPr="006B12E2">
              <w:rPr>
                <w:sz w:val="22"/>
                <w:szCs w:val="22"/>
              </w:rPr>
              <w:t>Actuarial FECA Liability</w:t>
            </w:r>
          </w:p>
        </w:tc>
        <w:tc>
          <w:tcPr>
            <w:tcW w:w="1672" w:type="dxa"/>
            <w:tcBorders>
              <w:top w:val="nil"/>
              <w:left w:val="nil"/>
              <w:bottom w:val="nil"/>
              <w:right w:val="nil"/>
            </w:tcBorders>
            <w:shd w:val="clear" w:color="000000" w:fill="FFFFFF"/>
            <w:noWrap/>
            <w:vAlign w:val="bottom"/>
            <w:hideMark/>
          </w:tcPr>
          <w:p w:rsidR="007A6514" w:rsidRPr="006B12E2" w:rsidP="004957F6" w14:paraId="0F3E931A" w14:textId="77777777">
            <w:pPr>
              <w:jc w:val="right"/>
              <w:rPr>
                <w:sz w:val="22"/>
                <w:szCs w:val="22"/>
              </w:rPr>
            </w:pPr>
            <w:r w:rsidRPr="006B12E2">
              <w:rPr>
                <w:sz w:val="22"/>
                <w:szCs w:val="22"/>
              </w:rPr>
              <w:t xml:space="preserve">1,953 </w:t>
            </w:r>
          </w:p>
        </w:tc>
        <w:tc>
          <w:tcPr>
            <w:tcW w:w="1672" w:type="dxa"/>
            <w:tcBorders>
              <w:top w:val="nil"/>
              <w:left w:val="nil"/>
              <w:bottom w:val="nil"/>
              <w:right w:val="nil"/>
            </w:tcBorders>
            <w:shd w:val="clear" w:color="000000" w:fill="FFFFFF"/>
            <w:noWrap/>
            <w:vAlign w:val="bottom"/>
            <w:hideMark/>
          </w:tcPr>
          <w:p w:rsidR="007A6514" w:rsidRPr="006B12E2" w:rsidP="004957F6" w14:paraId="6E9DFAE6" w14:textId="77777777">
            <w:pPr>
              <w:jc w:val="right"/>
              <w:rPr>
                <w:sz w:val="22"/>
                <w:szCs w:val="22"/>
              </w:rPr>
            </w:pPr>
            <w:r w:rsidRPr="006B12E2">
              <w:rPr>
                <w:sz w:val="22"/>
                <w:szCs w:val="22"/>
              </w:rPr>
              <w:t xml:space="preserve">3,019 </w:t>
            </w:r>
          </w:p>
        </w:tc>
      </w:tr>
      <w:tr w14:paraId="3C83FFF6" w14:textId="77777777" w:rsidTr="003828ED">
        <w:tblPrEx>
          <w:tblW w:w="4671" w:type="pct"/>
          <w:tblLook w:val="04A0"/>
        </w:tblPrEx>
        <w:trPr>
          <w:trHeight w:val="259"/>
        </w:trPr>
        <w:tc>
          <w:tcPr>
            <w:tcW w:w="5400" w:type="dxa"/>
            <w:tcBorders>
              <w:top w:val="nil"/>
              <w:left w:val="nil"/>
              <w:bottom w:val="nil"/>
              <w:right w:val="nil"/>
            </w:tcBorders>
            <w:shd w:val="clear" w:color="000000" w:fill="FFFFFF"/>
            <w:noWrap/>
            <w:vAlign w:val="bottom"/>
            <w:hideMark/>
          </w:tcPr>
          <w:p w:rsidR="007A6514" w:rsidRPr="006B12E2" w:rsidP="004957F6" w14:paraId="067A0293" w14:textId="77777777">
            <w:pPr>
              <w:rPr>
                <w:sz w:val="22"/>
                <w:szCs w:val="22"/>
              </w:rPr>
            </w:pPr>
            <w:r w:rsidRPr="006B12E2">
              <w:rPr>
                <w:sz w:val="22"/>
                <w:szCs w:val="22"/>
              </w:rPr>
              <w:t>Other:</w:t>
            </w:r>
          </w:p>
        </w:tc>
        <w:tc>
          <w:tcPr>
            <w:tcW w:w="1672" w:type="dxa"/>
            <w:tcBorders>
              <w:top w:val="nil"/>
              <w:left w:val="nil"/>
              <w:bottom w:val="nil"/>
              <w:right w:val="nil"/>
            </w:tcBorders>
            <w:shd w:val="clear" w:color="000000" w:fill="FFFFFF"/>
            <w:noWrap/>
            <w:vAlign w:val="bottom"/>
            <w:hideMark/>
          </w:tcPr>
          <w:p w:rsidR="007A6514" w:rsidRPr="006B12E2" w:rsidP="004957F6" w14:paraId="11C17D7F" w14:textId="4A348922">
            <w:pPr>
              <w:jc w:val="right"/>
              <w:rPr>
                <w:sz w:val="22"/>
                <w:szCs w:val="22"/>
              </w:rPr>
            </w:pPr>
          </w:p>
        </w:tc>
        <w:tc>
          <w:tcPr>
            <w:tcW w:w="1672" w:type="dxa"/>
            <w:tcBorders>
              <w:top w:val="nil"/>
              <w:left w:val="nil"/>
              <w:bottom w:val="nil"/>
              <w:right w:val="nil"/>
            </w:tcBorders>
            <w:shd w:val="clear" w:color="000000" w:fill="FFFFFF"/>
            <w:noWrap/>
            <w:vAlign w:val="bottom"/>
            <w:hideMark/>
          </w:tcPr>
          <w:p w:rsidR="007A6514" w:rsidRPr="006B12E2" w:rsidP="004957F6" w14:paraId="46F83E8A" w14:textId="5C7DB983">
            <w:pPr>
              <w:jc w:val="right"/>
              <w:rPr>
                <w:sz w:val="22"/>
                <w:szCs w:val="22"/>
              </w:rPr>
            </w:pPr>
          </w:p>
        </w:tc>
      </w:tr>
      <w:tr w14:paraId="65E593FB" w14:textId="77777777" w:rsidTr="003828ED">
        <w:tblPrEx>
          <w:tblW w:w="4671" w:type="pct"/>
          <w:tblLook w:val="04A0"/>
        </w:tblPrEx>
        <w:trPr>
          <w:trHeight w:val="259"/>
        </w:trPr>
        <w:tc>
          <w:tcPr>
            <w:tcW w:w="5400" w:type="dxa"/>
            <w:tcBorders>
              <w:top w:val="nil"/>
              <w:left w:val="nil"/>
              <w:bottom w:val="nil"/>
              <w:right w:val="nil"/>
            </w:tcBorders>
            <w:shd w:val="clear" w:color="000000" w:fill="FFFFFF"/>
            <w:noWrap/>
            <w:vAlign w:val="bottom"/>
            <w:hideMark/>
          </w:tcPr>
          <w:p w:rsidR="007A6514" w:rsidRPr="006B12E2" w:rsidP="004957F6" w14:paraId="2EFF5350" w14:textId="77777777">
            <w:pPr>
              <w:ind w:firstLine="220" w:firstLineChars="100"/>
              <w:rPr>
                <w:sz w:val="22"/>
                <w:szCs w:val="22"/>
              </w:rPr>
            </w:pPr>
            <w:r w:rsidRPr="006B12E2">
              <w:rPr>
                <w:sz w:val="22"/>
                <w:szCs w:val="22"/>
              </w:rPr>
              <w:t>Energy Savings Performance Contract</w:t>
            </w:r>
          </w:p>
        </w:tc>
        <w:tc>
          <w:tcPr>
            <w:tcW w:w="1672" w:type="dxa"/>
            <w:tcBorders>
              <w:top w:val="nil"/>
              <w:left w:val="nil"/>
              <w:bottom w:val="nil"/>
              <w:right w:val="nil"/>
            </w:tcBorders>
            <w:shd w:val="clear" w:color="000000" w:fill="FFFFFF"/>
            <w:noWrap/>
            <w:vAlign w:val="bottom"/>
            <w:hideMark/>
          </w:tcPr>
          <w:p w:rsidR="007A6514" w:rsidRPr="006B12E2" w:rsidP="004957F6" w14:paraId="142C00D4" w14:textId="77777777">
            <w:pPr>
              <w:jc w:val="right"/>
              <w:rPr>
                <w:sz w:val="22"/>
                <w:szCs w:val="22"/>
              </w:rPr>
            </w:pPr>
            <w:r w:rsidRPr="006B12E2">
              <w:rPr>
                <w:sz w:val="22"/>
                <w:szCs w:val="22"/>
              </w:rPr>
              <w:t xml:space="preserve"> 6,610 </w:t>
            </w:r>
          </w:p>
        </w:tc>
        <w:tc>
          <w:tcPr>
            <w:tcW w:w="1672" w:type="dxa"/>
            <w:tcBorders>
              <w:top w:val="nil"/>
              <w:left w:val="nil"/>
              <w:bottom w:val="nil"/>
              <w:right w:val="nil"/>
            </w:tcBorders>
            <w:shd w:val="clear" w:color="000000" w:fill="FFFFFF"/>
            <w:noWrap/>
            <w:vAlign w:val="bottom"/>
            <w:hideMark/>
          </w:tcPr>
          <w:p w:rsidR="007A6514" w:rsidRPr="006B12E2" w:rsidP="004957F6" w14:paraId="7728738B" w14:textId="77777777">
            <w:pPr>
              <w:jc w:val="right"/>
              <w:rPr>
                <w:sz w:val="22"/>
                <w:szCs w:val="22"/>
              </w:rPr>
            </w:pPr>
            <w:r w:rsidRPr="006B12E2">
              <w:rPr>
                <w:sz w:val="22"/>
                <w:szCs w:val="22"/>
              </w:rPr>
              <w:t xml:space="preserve"> 7,027 </w:t>
            </w:r>
          </w:p>
        </w:tc>
      </w:tr>
      <w:tr w14:paraId="1F96C9D5" w14:textId="77777777" w:rsidTr="003828ED">
        <w:tblPrEx>
          <w:tblW w:w="4671" w:type="pct"/>
          <w:tblLook w:val="04A0"/>
        </w:tblPrEx>
        <w:trPr>
          <w:trHeight w:val="259"/>
        </w:trPr>
        <w:tc>
          <w:tcPr>
            <w:tcW w:w="5400" w:type="dxa"/>
            <w:tcBorders>
              <w:top w:val="nil"/>
              <w:left w:val="nil"/>
              <w:bottom w:val="nil"/>
              <w:right w:val="nil"/>
            </w:tcBorders>
            <w:shd w:val="clear" w:color="000000" w:fill="FFFFFF"/>
            <w:noWrap/>
            <w:vAlign w:val="bottom"/>
            <w:hideMark/>
          </w:tcPr>
          <w:p w:rsidR="007A6514" w:rsidRPr="006B12E2" w:rsidP="004957F6" w14:paraId="336AE105" w14:textId="77777777">
            <w:pPr>
              <w:ind w:firstLine="220" w:firstLineChars="100"/>
              <w:rPr>
                <w:sz w:val="22"/>
                <w:szCs w:val="22"/>
              </w:rPr>
            </w:pPr>
            <w:r w:rsidRPr="006B12E2">
              <w:rPr>
                <w:sz w:val="22"/>
                <w:szCs w:val="22"/>
              </w:rPr>
              <w:t>Accrued Liabilities for USF and TRS</w:t>
            </w:r>
          </w:p>
        </w:tc>
        <w:tc>
          <w:tcPr>
            <w:tcW w:w="1672" w:type="dxa"/>
            <w:tcBorders>
              <w:top w:val="nil"/>
              <w:left w:val="nil"/>
              <w:bottom w:val="single" w:sz="4" w:space="0" w:color="auto"/>
              <w:right w:val="nil"/>
            </w:tcBorders>
            <w:shd w:val="clear" w:color="000000" w:fill="FFFFFF"/>
            <w:noWrap/>
            <w:vAlign w:val="bottom"/>
            <w:hideMark/>
          </w:tcPr>
          <w:p w:rsidR="007A6514" w:rsidRPr="006B12E2" w:rsidP="004957F6" w14:paraId="264758AE" w14:textId="77777777">
            <w:pPr>
              <w:jc w:val="right"/>
              <w:rPr>
                <w:sz w:val="22"/>
                <w:szCs w:val="22"/>
              </w:rPr>
            </w:pPr>
            <w:r w:rsidRPr="006B12E2">
              <w:rPr>
                <w:sz w:val="22"/>
                <w:szCs w:val="22"/>
              </w:rPr>
              <w:t xml:space="preserve">490,897 </w:t>
            </w:r>
          </w:p>
        </w:tc>
        <w:tc>
          <w:tcPr>
            <w:tcW w:w="1672" w:type="dxa"/>
            <w:tcBorders>
              <w:top w:val="nil"/>
              <w:left w:val="nil"/>
              <w:bottom w:val="single" w:sz="4" w:space="0" w:color="auto"/>
              <w:right w:val="nil"/>
            </w:tcBorders>
            <w:shd w:val="clear" w:color="000000" w:fill="FFFFFF"/>
            <w:noWrap/>
            <w:vAlign w:val="bottom"/>
            <w:hideMark/>
          </w:tcPr>
          <w:p w:rsidR="007A6514" w:rsidRPr="006B12E2" w:rsidP="004957F6" w14:paraId="1A21D937" w14:textId="77777777">
            <w:pPr>
              <w:jc w:val="right"/>
              <w:rPr>
                <w:sz w:val="22"/>
                <w:szCs w:val="22"/>
              </w:rPr>
            </w:pPr>
            <w:r w:rsidRPr="006B12E2">
              <w:rPr>
                <w:sz w:val="22"/>
                <w:szCs w:val="22"/>
              </w:rPr>
              <w:t xml:space="preserve">483,329 </w:t>
            </w:r>
          </w:p>
        </w:tc>
      </w:tr>
      <w:tr w14:paraId="3FB10290" w14:textId="77777777" w:rsidTr="003828ED">
        <w:tblPrEx>
          <w:tblW w:w="4671" w:type="pct"/>
          <w:tblLook w:val="04A0"/>
        </w:tblPrEx>
        <w:trPr>
          <w:trHeight w:val="259"/>
        </w:trPr>
        <w:tc>
          <w:tcPr>
            <w:tcW w:w="5400" w:type="dxa"/>
            <w:tcBorders>
              <w:top w:val="nil"/>
              <w:left w:val="nil"/>
              <w:bottom w:val="nil"/>
              <w:right w:val="nil"/>
            </w:tcBorders>
            <w:shd w:val="clear" w:color="000000" w:fill="FFFFFF"/>
            <w:noWrap/>
            <w:vAlign w:val="bottom"/>
            <w:hideMark/>
          </w:tcPr>
          <w:p w:rsidR="007A6514" w:rsidRPr="006B12E2" w:rsidP="004957F6" w14:paraId="76C9A25A" w14:textId="77777777">
            <w:pPr>
              <w:rPr>
                <w:sz w:val="22"/>
                <w:szCs w:val="22"/>
              </w:rPr>
            </w:pPr>
            <w:r w:rsidRPr="006B12E2">
              <w:rPr>
                <w:sz w:val="22"/>
                <w:szCs w:val="22"/>
              </w:rPr>
              <w:t>Total liabilities not covered by budgetary resources</w:t>
            </w:r>
          </w:p>
        </w:tc>
        <w:tc>
          <w:tcPr>
            <w:tcW w:w="1672" w:type="dxa"/>
            <w:tcBorders>
              <w:top w:val="nil"/>
              <w:left w:val="nil"/>
              <w:bottom w:val="nil"/>
              <w:right w:val="nil"/>
            </w:tcBorders>
            <w:shd w:val="clear" w:color="000000" w:fill="FFFFFF"/>
            <w:noWrap/>
            <w:vAlign w:val="bottom"/>
            <w:hideMark/>
          </w:tcPr>
          <w:p w:rsidR="007A6514" w:rsidRPr="006B12E2" w:rsidP="004957F6" w14:paraId="30665CD1" w14:textId="77777777">
            <w:pPr>
              <w:jc w:val="right"/>
              <w:rPr>
                <w:sz w:val="22"/>
                <w:szCs w:val="22"/>
              </w:rPr>
            </w:pPr>
            <w:r w:rsidRPr="006B12E2">
              <w:rPr>
                <w:sz w:val="22"/>
                <w:szCs w:val="22"/>
              </w:rPr>
              <w:t xml:space="preserve"> 524,444 </w:t>
            </w:r>
          </w:p>
        </w:tc>
        <w:tc>
          <w:tcPr>
            <w:tcW w:w="1672" w:type="dxa"/>
            <w:tcBorders>
              <w:top w:val="nil"/>
              <w:left w:val="nil"/>
              <w:bottom w:val="nil"/>
              <w:right w:val="nil"/>
            </w:tcBorders>
            <w:shd w:val="clear" w:color="000000" w:fill="FFFFFF"/>
            <w:noWrap/>
            <w:vAlign w:val="bottom"/>
            <w:hideMark/>
          </w:tcPr>
          <w:p w:rsidR="007A6514" w:rsidRPr="006B12E2" w:rsidP="004957F6" w14:paraId="62039D28" w14:textId="77777777">
            <w:pPr>
              <w:jc w:val="right"/>
              <w:rPr>
                <w:sz w:val="22"/>
                <w:szCs w:val="22"/>
              </w:rPr>
            </w:pPr>
            <w:r w:rsidRPr="006B12E2">
              <w:rPr>
                <w:sz w:val="22"/>
                <w:szCs w:val="22"/>
              </w:rPr>
              <w:t xml:space="preserve"> 517,416 </w:t>
            </w:r>
          </w:p>
        </w:tc>
      </w:tr>
      <w:tr w14:paraId="061E36BA" w14:textId="77777777" w:rsidTr="003828ED">
        <w:tblPrEx>
          <w:tblW w:w="4671" w:type="pct"/>
          <w:tblLook w:val="04A0"/>
        </w:tblPrEx>
        <w:trPr>
          <w:trHeight w:val="259"/>
        </w:trPr>
        <w:tc>
          <w:tcPr>
            <w:tcW w:w="5400" w:type="dxa"/>
            <w:tcBorders>
              <w:top w:val="nil"/>
              <w:left w:val="nil"/>
              <w:bottom w:val="nil"/>
              <w:right w:val="nil"/>
            </w:tcBorders>
            <w:shd w:val="clear" w:color="000000" w:fill="FFFFFF"/>
            <w:noWrap/>
            <w:vAlign w:val="bottom"/>
            <w:hideMark/>
          </w:tcPr>
          <w:p w:rsidR="007A6514" w:rsidRPr="006B12E2" w:rsidP="004957F6" w14:paraId="04BC31E5" w14:textId="77777777">
            <w:pPr>
              <w:rPr>
                <w:sz w:val="22"/>
                <w:szCs w:val="22"/>
              </w:rPr>
            </w:pPr>
            <w:r w:rsidRPr="006B12E2">
              <w:rPr>
                <w:sz w:val="22"/>
                <w:szCs w:val="22"/>
              </w:rPr>
              <w:t>Total liabilities covered by budgetary resources</w:t>
            </w:r>
          </w:p>
        </w:tc>
        <w:tc>
          <w:tcPr>
            <w:tcW w:w="1672" w:type="dxa"/>
            <w:tcBorders>
              <w:top w:val="nil"/>
              <w:left w:val="nil"/>
              <w:bottom w:val="nil"/>
              <w:right w:val="nil"/>
            </w:tcBorders>
            <w:shd w:val="clear" w:color="000000" w:fill="FFFFFF"/>
            <w:noWrap/>
            <w:vAlign w:val="bottom"/>
            <w:hideMark/>
          </w:tcPr>
          <w:p w:rsidR="007A6514" w:rsidRPr="006B12E2" w:rsidP="004957F6" w14:paraId="42D2E107" w14:textId="77777777">
            <w:pPr>
              <w:jc w:val="right"/>
              <w:rPr>
                <w:sz w:val="22"/>
                <w:szCs w:val="22"/>
              </w:rPr>
            </w:pPr>
            <w:r w:rsidRPr="006B12E2">
              <w:rPr>
                <w:sz w:val="22"/>
                <w:szCs w:val="22"/>
              </w:rPr>
              <w:t xml:space="preserve"> 934,309 </w:t>
            </w:r>
          </w:p>
        </w:tc>
        <w:tc>
          <w:tcPr>
            <w:tcW w:w="1672" w:type="dxa"/>
            <w:tcBorders>
              <w:top w:val="nil"/>
              <w:left w:val="nil"/>
              <w:bottom w:val="nil"/>
              <w:right w:val="nil"/>
            </w:tcBorders>
            <w:shd w:val="clear" w:color="000000" w:fill="FFFFFF"/>
            <w:noWrap/>
            <w:vAlign w:val="bottom"/>
            <w:hideMark/>
          </w:tcPr>
          <w:p w:rsidR="007A6514" w:rsidRPr="006B12E2" w:rsidP="004957F6" w14:paraId="2F0FA448" w14:textId="77777777">
            <w:pPr>
              <w:jc w:val="right"/>
              <w:rPr>
                <w:sz w:val="22"/>
                <w:szCs w:val="22"/>
              </w:rPr>
            </w:pPr>
            <w:r w:rsidRPr="006B12E2">
              <w:rPr>
                <w:sz w:val="22"/>
                <w:szCs w:val="22"/>
              </w:rPr>
              <w:t xml:space="preserve"> 1,002,910 </w:t>
            </w:r>
          </w:p>
        </w:tc>
      </w:tr>
      <w:tr w14:paraId="3E39519C" w14:textId="77777777" w:rsidTr="003828ED">
        <w:tblPrEx>
          <w:tblW w:w="4671" w:type="pct"/>
          <w:tblLook w:val="04A0"/>
        </w:tblPrEx>
        <w:trPr>
          <w:trHeight w:val="259"/>
        </w:trPr>
        <w:tc>
          <w:tcPr>
            <w:tcW w:w="5400" w:type="dxa"/>
            <w:tcBorders>
              <w:top w:val="nil"/>
              <w:left w:val="nil"/>
              <w:bottom w:val="nil"/>
              <w:right w:val="nil"/>
            </w:tcBorders>
            <w:shd w:val="clear" w:color="000000" w:fill="FFFFFF"/>
            <w:noWrap/>
            <w:vAlign w:val="bottom"/>
            <w:hideMark/>
          </w:tcPr>
          <w:p w:rsidR="007A6514" w:rsidRPr="006B12E2" w:rsidP="004957F6" w14:paraId="50262582" w14:textId="77777777">
            <w:pPr>
              <w:rPr>
                <w:sz w:val="22"/>
                <w:szCs w:val="22"/>
              </w:rPr>
            </w:pPr>
            <w:r w:rsidRPr="006B12E2">
              <w:rPr>
                <w:sz w:val="22"/>
                <w:szCs w:val="22"/>
              </w:rPr>
              <w:t>Total liabilities not requiring budgetary resources</w:t>
            </w:r>
          </w:p>
        </w:tc>
        <w:tc>
          <w:tcPr>
            <w:tcW w:w="1672" w:type="dxa"/>
            <w:tcBorders>
              <w:top w:val="nil"/>
              <w:left w:val="nil"/>
              <w:bottom w:val="nil"/>
              <w:right w:val="nil"/>
            </w:tcBorders>
            <w:shd w:val="clear" w:color="000000" w:fill="FFFFFF"/>
            <w:noWrap/>
            <w:vAlign w:val="bottom"/>
            <w:hideMark/>
          </w:tcPr>
          <w:p w:rsidR="007A6514" w:rsidRPr="006B12E2" w:rsidP="004957F6" w14:paraId="6279BEF2" w14:textId="77777777">
            <w:pPr>
              <w:jc w:val="right"/>
              <w:rPr>
                <w:sz w:val="22"/>
                <w:szCs w:val="22"/>
              </w:rPr>
            </w:pPr>
            <w:r w:rsidRPr="006B12E2">
              <w:rPr>
                <w:sz w:val="22"/>
                <w:szCs w:val="22"/>
              </w:rPr>
              <w:t xml:space="preserve"> 84,956,087 </w:t>
            </w:r>
          </w:p>
        </w:tc>
        <w:tc>
          <w:tcPr>
            <w:tcW w:w="1672" w:type="dxa"/>
            <w:tcBorders>
              <w:top w:val="nil"/>
              <w:left w:val="nil"/>
              <w:bottom w:val="nil"/>
              <w:right w:val="nil"/>
            </w:tcBorders>
            <w:shd w:val="clear" w:color="000000" w:fill="FFFFFF"/>
            <w:noWrap/>
            <w:vAlign w:val="bottom"/>
            <w:hideMark/>
          </w:tcPr>
          <w:p w:rsidR="007A6514" w:rsidRPr="006B12E2" w:rsidP="004957F6" w14:paraId="739F3821" w14:textId="77777777">
            <w:pPr>
              <w:jc w:val="right"/>
              <w:rPr>
                <w:sz w:val="22"/>
                <w:szCs w:val="22"/>
              </w:rPr>
            </w:pPr>
            <w:r w:rsidRPr="006B12E2">
              <w:rPr>
                <w:sz w:val="22"/>
                <w:szCs w:val="22"/>
              </w:rPr>
              <w:t xml:space="preserve"> 10,704,354 </w:t>
            </w:r>
          </w:p>
        </w:tc>
      </w:tr>
      <w:tr w14:paraId="075F81B7" w14:textId="77777777" w:rsidTr="003828ED">
        <w:tblPrEx>
          <w:tblW w:w="4671" w:type="pct"/>
          <w:tblLook w:val="04A0"/>
        </w:tblPrEx>
        <w:trPr>
          <w:trHeight w:val="259"/>
        </w:trPr>
        <w:tc>
          <w:tcPr>
            <w:tcW w:w="5400" w:type="dxa"/>
            <w:tcBorders>
              <w:top w:val="nil"/>
              <w:left w:val="nil"/>
              <w:bottom w:val="nil"/>
              <w:right w:val="nil"/>
            </w:tcBorders>
            <w:shd w:val="clear" w:color="000000" w:fill="FFFFFF"/>
            <w:noWrap/>
            <w:vAlign w:val="bottom"/>
            <w:hideMark/>
          </w:tcPr>
          <w:p w:rsidR="007A6514" w:rsidRPr="006B12E2" w:rsidP="004957F6" w14:paraId="37FC9ED2" w14:textId="77777777">
            <w:pPr>
              <w:rPr>
                <w:sz w:val="22"/>
                <w:szCs w:val="22"/>
              </w:rPr>
            </w:pPr>
            <w:r w:rsidRPr="006B12E2">
              <w:rPr>
                <w:sz w:val="22"/>
                <w:szCs w:val="22"/>
              </w:rPr>
              <w:t>Total Liabilities</w:t>
            </w:r>
          </w:p>
        </w:tc>
        <w:tc>
          <w:tcPr>
            <w:tcW w:w="1672" w:type="dxa"/>
            <w:tcBorders>
              <w:top w:val="single" w:sz="4" w:space="0" w:color="auto"/>
              <w:left w:val="nil"/>
              <w:bottom w:val="double" w:sz="6" w:space="0" w:color="auto"/>
              <w:right w:val="nil"/>
            </w:tcBorders>
            <w:shd w:val="clear" w:color="000000" w:fill="FFFFFF"/>
            <w:noWrap/>
            <w:vAlign w:val="bottom"/>
            <w:hideMark/>
          </w:tcPr>
          <w:p w:rsidR="007A6514" w:rsidRPr="006B12E2" w:rsidP="004957F6" w14:paraId="7165AD43" w14:textId="7483450E">
            <w:pPr>
              <w:jc w:val="right"/>
              <w:rPr>
                <w:sz w:val="22"/>
                <w:szCs w:val="22"/>
              </w:rPr>
            </w:pPr>
            <w:r w:rsidRPr="006B12E2">
              <w:rPr>
                <w:sz w:val="22"/>
                <w:szCs w:val="22"/>
              </w:rPr>
              <w:t>$</w:t>
            </w:r>
            <w:r w:rsidRPr="006B12E2" w:rsidR="00302334">
              <w:rPr>
                <w:sz w:val="22"/>
                <w:szCs w:val="22"/>
              </w:rPr>
              <w:t xml:space="preserve">      </w:t>
            </w:r>
            <w:r w:rsidRPr="006B12E2">
              <w:rPr>
                <w:sz w:val="22"/>
                <w:szCs w:val="22"/>
              </w:rPr>
              <w:t xml:space="preserve">86,414,840 </w:t>
            </w:r>
          </w:p>
        </w:tc>
        <w:tc>
          <w:tcPr>
            <w:tcW w:w="1672" w:type="dxa"/>
            <w:tcBorders>
              <w:top w:val="single" w:sz="4" w:space="0" w:color="auto"/>
              <w:left w:val="nil"/>
              <w:bottom w:val="double" w:sz="6" w:space="0" w:color="auto"/>
              <w:right w:val="nil"/>
            </w:tcBorders>
            <w:shd w:val="clear" w:color="000000" w:fill="FFFFFF"/>
            <w:noWrap/>
            <w:vAlign w:val="bottom"/>
            <w:hideMark/>
          </w:tcPr>
          <w:p w:rsidR="007A6514" w:rsidRPr="006B12E2" w:rsidP="004957F6" w14:paraId="64B4CE69" w14:textId="63E2C7A1">
            <w:pPr>
              <w:jc w:val="right"/>
              <w:rPr>
                <w:sz w:val="22"/>
                <w:szCs w:val="22"/>
              </w:rPr>
            </w:pPr>
            <w:r w:rsidRPr="006B12E2">
              <w:rPr>
                <w:sz w:val="22"/>
                <w:szCs w:val="22"/>
              </w:rPr>
              <w:t>$</w:t>
            </w:r>
            <w:r w:rsidRPr="006B12E2" w:rsidR="00302334">
              <w:rPr>
                <w:sz w:val="22"/>
                <w:szCs w:val="22"/>
              </w:rPr>
              <w:t xml:space="preserve">      </w:t>
            </w:r>
            <w:r w:rsidRPr="006B12E2">
              <w:rPr>
                <w:sz w:val="22"/>
                <w:szCs w:val="22"/>
              </w:rPr>
              <w:t xml:space="preserve">12,224,680 </w:t>
            </w:r>
          </w:p>
        </w:tc>
      </w:tr>
    </w:tbl>
    <w:p w:rsidR="00285D06" w:rsidRPr="00BA1E56" w:rsidP="00651122" w14:paraId="1D329493" w14:textId="77777777">
      <w:pPr>
        <w:spacing w:before="360" w:after="360"/>
        <w:jc w:val="both"/>
        <w:rPr>
          <w:sz w:val="22"/>
          <w:szCs w:val="22"/>
        </w:rPr>
      </w:pPr>
      <w:r w:rsidRPr="00BA1E56">
        <w:rPr>
          <w:sz w:val="22"/>
          <w:szCs w:val="22"/>
        </w:rPr>
        <w:t>Liabilities not covered by budgetary resources are liabilities incurred that are not covered by realized budgetary resources as of the Consolidated Balance Sheet date.</w:t>
      </w:r>
    </w:p>
    <w:p w:rsidR="00401D62" w:rsidP="00285D06" w14:paraId="43890A04" w14:textId="77777777">
      <w:pPr>
        <w:jc w:val="both"/>
        <w:rPr>
          <w:sz w:val="22"/>
          <w:szCs w:val="22"/>
        </w:rPr>
        <w:sectPr w:rsidSect="00615FAD">
          <w:pgSz w:w="12240" w:h="15840"/>
          <w:pgMar w:top="1440" w:right="1440" w:bottom="1296" w:left="1440" w:header="720" w:footer="720" w:gutter="0"/>
          <w:cols w:space="720"/>
        </w:sectPr>
      </w:pPr>
      <w:r w:rsidRPr="00BA1E56">
        <w:rPr>
          <w:sz w:val="22"/>
          <w:szCs w:val="22"/>
        </w:rPr>
        <w:t>Liabilities not requiring budgetary resources are liabilities that have not in the past required, and will not in the future require, the use of budgetary resources.</w:t>
      </w:r>
      <w:r w:rsidR="00C933B2">
        <w:rPr>
          <w:sz w:val="22"/>
          <w:szCs w:val="22"/>
        </w:rPr>
        <w:t xml:space="preserve"> </w:t>
      </w:r>
    </w:p>
    <w:p w:rsidR="00285D06" w:rsidRPr="002D5870" w:rsidP="004745C2" w14:paraId="6C42964F" w14:textId="77777777">
      <w:pPr>
        <w:pStyle w:val="Heading4"/>
        <w:rPr>
          <w:sz w:val="22"/>
          <w:szCs w:val="22"/>
        </w:rPr>
      </w:pPr>
      <w:bookmarkStart w:id="249" w:name="_Toc88780702"/>
      <w:r w:rsidRPr="002D5870">
        <w:rPr>
          <w:sz w:val="22"/>
          <w:szCs w:val="22"/>
        </w:rPr>
        <w:t>Note 7 – Other Liabilities</w:t>
      </w:r>
      <w:bookmarkEnd w:id="249"/>
    </w:p>
    <w:p w:rsidR="00285D06" w:rsidRPr="00BA1E56" w:rsidP="00BA33F1" w14:paraId="3383B052" w14:textId="77777777">
      <w:pPr>
        <w:tabs>
          <w:tab w:val="left" w:pos="-1440"/>
          <w:tab w:val="right" w:pos="9360"/>
        </w:tabs>
        <w:spacing w:after="240"/>
        <w:ind w:left="7200" w:hanging="7200"/>
        <w:jc w:val="both"/>
        <w:rPr>
          <w:sz w:val="22"/>
          <w:szCs w:val="22"/>
        </w:rPr>
      </w:pPr>
      <w:bookmarkStart w:id="250" w:name="_Hlk50644292"/>
      <w:r w:rsidRPr="00BA1E56">
        <w:rPr>
          <w:sz w:val="22"/>
          <w:szCs w:val="22"/>
        </w:rPr>
        <w:t xml:space="preserve">The following summarizes Other Liabilities as of </w:t>
      </w:r>
      <w:bookmarkEnd w:id="250"/>
      <w:r>
        <w:rPr>
          <w:sz w:val="22"/>
          <w:szCs w:val="22"/>
        </w:rPr>
        <w:t>September 30, 2021</w:t>
      </w:r>
      <w:r w:rsidRPr="00BA1E56">
        <w:rPr>
          <w:sz w:val="22"/>
          <w:szCs w:val="22"/>
        </w:rPr>
        <w:t xml:space="preserve"> and September 30</w:t>
      </w:r>
      <w:r>
        <w:rPr>
          <w:sz w:val="22"/>
          <w:szCs w:val="22"/>
        </w:rPr>
        <w:t>, 2020</w:t>
      </w:r>
      <w:r w:rsidRPr="00BA1E56">
        <w:rPr>
          <w:sz w:val="22"/>
          <w:szCs w:val="22"/>
        </w:rPr>
        <w:t>:</w:t>
      </w:r>
    </w:p>
    <w:tbl>
      <w:tblPr>
        <w:tblW w:w="5000" w:type="pct"/>
        <w:tblLayout w:type="fixed"/>
        <w:tblLook w:val="04A0"/>
      </w:tblPr>
      <w:tblGrid>
        <w:gridCol w:w="4995"/>
        <w:gridCol w:w="1455"/>
        <w:gridCol w:w="1455"/>
        <w:gridCol w:w="1455"/>
      </w:tblGrid>
      <w:tr w14:paraId="59661AF6"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3D3286F4" w14:textId="77777777">
            <w:pPr>
              <w:rPr>
                <w:sz w:val="22"/>
                <w:szCs w:val="22"/>
                <w:u w:val="single"/>
              </w:rPr>
            </w:pPr>
            <w:bookmarkStart w:id="251" w:name="_Hlk20917252"/>
            <w:r w:rsidRPr="00645786">
              <w:rPr>
                <w:sz w:val="22"/>
                <w:szCs w:val="22"/>
                <w:u w:val="single"/>
              </w:rPr>
              <w:t>FY 2021</w:t>
            </w:r>
          </w:p>
        </w:tc>
        <w:tc>
          <w:tcPr>
            <w:tcW w:w="1455" w:type="dxa"/>
            <w:tcBorders>
              <w:top w:val="nil"/>
              <w:left w:val="nil"/>
              <w:bottom w:val="single" w:sz="4" w:space="0" w:color="auto"/>
              <w:right w:val="nil"/>
            </w:tcBorders>
            <w:shd w:val="clear" w:color="000000" w:fill="FFFFFF"/>
            <w:noWrap/>
            <w:vAlign w:val="bottom"/>
            <w:hideMark/>
          </w:tcPr>
          <w:p w:rsidR="003950CD" w:rsidRPr="00645786" w:rsidP="004957F6" w14:paraId="5670175B" w14:textId="77777777">
            <w:pPr>
              <w:jc w:val="right"/>
              <w:rPr>
                <w:sz w:val="22"/>
                <w:szCs w:val="22"/>
              </w:rPr>
            </w:pPr>
            <w:r w:rsidRPr="00645786">
              <w:rPr>
                <w:sz w:val="22"/>
                <w:szCs w:val="22"/>
              </w:rPr>
              <w:t>Non-Current</w:t>
            </w:r>
          </w:p>
        </w:tc>
        <w:tc>
          <w:tcPr>
            <w:tcW w:w="1455" w:type="dxa"/>
            <w:tcBorders>
              <w:top w:val="nil"/>
              <w:left w:val="nil"/>
              <w:bottom w:val="single" w:sz="4" w:space="0" w:color="auto"/>
              <w:right w:val="nil"/>
            </w:tcBorders>
            <w:shd w:val="clear" w:color="000000" w:fill="FFFFFF"/>
            <w:noWrap/>
            <w:vAlign w:val="bottom"/>
            <w:hideMark/>
          </w:tcPr>
          <w:p w:rsidR="003950CD" w:rsidRPr="00645786" w:rsidP="004957F6" w14:paraId="253CDA4C" w14:textId="77777777">
            <w:pPr>
              <w:jc w:val="right"/>
              <w:rPr>
                <w:sz w:val="22"/>
                <w:szCs w:val="22"/>
              </w:rPr>
            </w:pPr>
            <w:r w:rsidRPr="00645786">
              <w:rPr>
                <w:sz w:val="22"/>
                <w:szCs w:val="22"/>
              </w:rPr>
              <w:t>Current</w:t>
            </w:r>
          </w:p>
        </w:tc>
        <w:tc>
          <w:tcPr>
            <w:tcW w:w="1455" w:type="dxa"/>
            <w:tcBorders>
              <w:top w:val="nil"/>
              <w:left w:val="nil"/>
              <w:bottom w:val="single" w:sz="4" w:space="0" w:color="auto"/>
              <w:right w:val="nil"/>
            </w:tcBorders>
            <w:shd w:val="clear" w:color="000000" w:fill="FFFFFF"/>
            <w:noWrap/>
            <w:vAlign w:val="bottom"/>
            <w:hideMark/>
          </w:tcPr>
          <w:p w:rsidR="003950CD" w:rsidRPr="00645786" w:rsidP="004957F6" w14:paraId="2A8F6017" w14:textId="77777777">
            <w:pPr>
              <w:jc w:val="right"/>
              <w:rPr>
                <w:sz w:val="22"/>
                <w:szCs w:val="22"/>
              </w:rPr>
            </w:pPr>
            <w:r w:rsidRPr="00645786">
              <w:rPr>
                <w:sz w:val="22"/>
                <w:szCs w:val="22"/>
              </w:rPr>
              <w:t>Total</w:t>
            </w:r>
          </w:p>
        </w:tc>
      </w:tr>
      <w:tr w14:paraId="59837AD0"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3D252995" w14:textId="77777777">
            <w:pPr>
              <w:rPr>
                <w:sz w:val="22"/>
                <w:szCs w:val="22"/>
              </w:rPr>
            </w:pPr>
            <w:r w:rsidRPr="00645786">
              <w:rPr>
                <w:sz w:val="22"/>
                <w:szCs w:val="22"/>
              </w:rPr>
              <w:t>Intragovernmental</w:t>
            </w:r>
          </w:p>
        </w:tc>
        <w:tc>
          <w:tcPr>
            <w:tcW w:w="1455" w:type="dxa"/>
            <w:tcBorders>
              <w:top w:val="nil"/>
              <w:left w:val="nil"/>
              <w:bottom w:val="nil"/>
              <w:right w:val="nil"/>
            </w:tcBorders>
            <w:shd w:val="clear" w:color="000000" w:fill="FFFFFF"/>
            <w:noWrap/>
            <w:vAlign w:val="bottom"/>
          </w:tcPr>
          <w:p w:rsidR="003950CD" w:rsidRPr="00645786" w:rsidP="004957F6" w14:paraId="55B90747" w14:textId="4D8C5A22">
            <w:pPr>
              <w:jc w:val="right"/>
              <w:rPr>
                <w:sz w:val="22"/>
                <w:szCs w:val="22"/>
              </w:rPr>
            </w:pPr>
          </w:p>
        </w:tc>
        <w:tc>
          <w:tcPr>
            <w:tcW w:w="1455" w:type="dxa"/>
            <w:tcBorders>
              <w:top w:val="nil"/>
              <w:left w:val="nil"/>
              <w:bottom w:val="nil"/>
              <w:right w:val="nil"/>
            </w:tcBorders>
            <w:shd w:val="clear" w:color="000000" w:fill="FFFFFF"/>
            <w:noWrap/>
            <w:vAlign w:val="bottom"/>
          </w:tcPr>
          <w:p w:rsidR="003950CD" w:rsidRPr="00645786" w:rsidP="004957F6" w14:paraId="365919F1" w14:textId="586C4B29">
            <w:pPr>
              <w:jc w:val="right"/>
              <w:rPr>
                <w:sz w:val="22"/>
                <w:szCs w:val="22"/>
              </w:rPr>
            </w:pPr>
          </w:p>
        </w:tc>
        <w:tc>
          <w:tcPr>
            <w:tcW w:w="1455" w:type="dxa"/>
            <w:tcBorders>
              <w:top w:val="nil"/>
              <w:left w:val="nil"/>
              <w:bottom w:val="nil"/>
              <w:right w:val="nil"/>
            </w:tcBorders>
            <w:shd w:val="clear" w:color="000000" w:fill="FFFFFF"/>
            <w:noWrap/>
            <w:vAlign w:val="bottom"/>
          </w:tcPr>
          <w:p w:rsidR="003950CD" w:rsidRPr="00645786" w:rsidP="004957F6" w14:paraId="134502A7" w14:textId="58308507">
            <w:pPr>
              <w:jc w:val="right"/>
              <w:rPr>
                <w:sz w:val="22"/>
                <w:szCs w:val="22"/>
              </w:rPr>
            </w:pPr>
          </w:p>
        </w:tc>
      </w:tr>
      <w:tr w14:paraId="470CE9EF" w14:textId="77777777" w:rsidTr="003243E9">
        <w:tblPrEx>
          <w:tblW w:w="5000" w:type="pct"/>
          <w:tblLayout w:type="fixed"/>
          <w:tblLook w:val="04A0"/>
        </w:tblPrEx>
        <w:trPr>
          <w:trHeight w:val="252"/>
        </w:trPr>
        <w:tc>
          <w:tcPr>
            <w:tcW w:w="4995" w:type="dxa"/>
            <w:tcBorders>
              <w:top w:val="nil"/>
              <w:left w:val="nil"/>
              <w:bottom w:val="nil"/>
              <w:right w:val="nil"/>
            </w:tcBorders>
            <w:shd w:val="clear" w:color="000000" w:fill="FFFFFF"/>
            <w:vAlign w:val="bottom"/>
            <w:hideMark/>
          </w:tcPr>
          <w:p w:rsidR="003950CD" w:rsidRPr="00645786" w:rsidP="00F02B50" w14:paraId="240B559B" w14:textId="77777777">
            <w:pPr>
              <w:ind w:left="432"/>
              <w:rPr>
                <w:sz w:val="22"/>
                <w:szCs w:val="22"/>
              </w:rPr>
            </w:pPr>
            <w:r w:rsidRPr="00645786">
              <w:rPr>
                <w:sz w:val="22"/>
                <w:szCs w:val="22"/>
              </w:rPr>
              <w:t>Liability to the General Fund and Other Non-Entity Assets</w:t>
            </w:r>
          </w:p>
        </w:tc>
        <w:tc>
          <w:tcPr>
            <w:tcW w:w="1455" w:type="dxa"/>
            <w:tcBorders>
              <w:top w:val="nil"/>
              <w:left w:val="nil"/>
              <w:bottom w:val="nil"/>
              <w:right w:val="nil"/>
            </w:tcBorders>
            <w:shd w:val="clear" w:color="auto" w:fill="auto"/>
            <w:noWrap/>
            <w:vAlign w:val="bottom"/>
            <w:hideMark/>
          </w:tcPr>
          <w:p w:rsidR="003950CD" w:rsidRPr="00645786" w:rsidP="004957F6" w14:paraId="61DFDF31" w14:textId="5709413A">
            <w:pPr>
              <w:jc w:val="right"/>
              <w:rPr>
                <w:sz w:val="22"/>
                <w:szCs w:val="22"/>
              </w:rPr>
            </w:pPr>
            <w:r w:rsidRPr="00645786">
              <w:rPr>
                <w:sz w:val="22"/>
                <w:szCs w:val="22"/>
              </w:rPr>
              <w:t>$</w:t>
            </w:r>
            <w:r w:rsidRPr="00645786" w:rsidR="00BE6C0C">
              <w:rPr>
                <w:sz w:val="22"/>
                <w:szCs w:val="22"/>
              </w:rPr>
              <w:t xml:space="preserve">                  </w:t>
            </w:r>
            <w:r w:rsidRPr="00645786">
              <w:rPr>
                <w:sz w:val="22"/>
                <w:szCs w:val="22"/>
              </w:rPr>
              <w:t xml:space="preserve"> - </w:t>
            </w:r>
          </w:p>
        </w:tc>
        <w:tc>
          <w:tcPr>
            <w:tcW w:w="1455" w:type="dxa"/>
            <w:tcBorders>
              <w:top w:val="nil"/>
              <w:left w:val="nil"/>
              <w:bottom w:val="nil"/>
              <w:right w:val="nil"/>
            </w:tcBorders>
            <w:shd w:val="clear" w:color="auto" w:fill="auto"/>
            <w:noWrap/>
            <w:vAlign w:val="bottom"/>
            <w:hideMark/>
          </w:tcPr>
          <w:p w:rsidR="003950CD" w:rsidRPr="00645786" w:rsidP="004957F6" w14:paraId="64824A5E" w14:textId="459F1855">
            <w:pPr>
              <w:jc w:val="right"/>
              <w:rPr>
                <w:sz w:val="22"/>
                <w:szCs w:val="22"/>
              </w:rPr>
            </w:pPr>
            <w:r w:rsidRPr="00645786">
              <w:rPr>
                <w:sz w:val="22"/>
                <w:szCs w:val="22"/>
              </w:rPr>
              <w:t>$</w:t>
            </w:r>
            <w:r w:rsidRPr="00645786" w:rsidR="00EE40CF">
              <w:rPr>
                <w:sz w:val="22"/>
                <w:szCs w:val="22"/>
              </w:rPr>
              <w:t xml:space="preserve">  </w:t>
            </w:r>
            <w:r w:rsidRPr="00645786">
              <w:rPr>
                <w:sz w:val="22"/>
                <w:szCs w:val="22"/>
              </w:rPr>
              <w:t xml:space="preserve">84,234,840 </w:t>
            </w:r>
          </w:p>
        </w:tc>
        <w:tc>
          <w:tcPr>
            <w:tcW w:w="1455" w:type="dxa"/>
            <w:tcBorders>
              <w:top w:val="nil"/>
              <w:left w:val="nil"/>
              <w:bottom w:val="nil"/>
              <w:right w:val="nil"/>
            </w:tcBorders>
            <w:shd w:val="clear" w:color="auto" w:fill="auto"/>
            <w:noWrap/>
            <w:vAlign w:val="bottom"/>
            <w:hideMark/>
          </w:tcPr>
          <w:p w:rsidR="003950CD" w:rsidRPr="00645786" w:rsidP="004957F6" w14:paraId="756BE3BE" w14:textId="64ED4D26">
            <w:pPr>
              <w:jc w:val="right"/>
              <w:rPr>
                <w:sz w:val="22"/>
                <w:szCs w:val="22"/>
              </w:rPr>
            </w:pPr>
            <w:r w:rsidRPr="00645786">
              <w:rPr>
                <w:sz w:val="22"/>
                <w:szCs w:val="22"/>
              </w:rPr>
              <w:t>$</w:t>
            </w:r>
            <w:r w:rsidRPr="00645786" w:rsidR="00EE40CF">
              <w:rPr>
                <w:sz w:val="22"/>
                <w:szCs w:val="22"/>
              </w:rPr>
              <w:t xml:space="preserve">  </w:t>
            </w:r>
            <w:r w:rsidRPr="00645786">
              <w:rPr>
                <w:sz w:val="22"/>
                <w:szCs w:val="22"/>
              </w:rPr>
              <w:t xml:space="preserve">84,234,840 </w:t>
            </w:r>
          </w:p>
        </w:tc>
      </w:tr>
      <w:tr w14:paraId="6B3FD5ED"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55773DAE" w14:textId="77777777">
            <w:pPr>
              <w:ind w:firstLine="440" w:firstLineChars="200"/>
              <w:rPr>
                <w:sz w:val="22"/>
                <w:szCs w:val="22"/>
              </w:rPr>
            </w:pPr>
            <w:r w:rsidRPr="00645786">
              <w:rPr>
                <w:sz w:val="22"/>
                <w:szCs w:val="22"/>
              </w:rPr>
              <w:t>Other</w:t>
            </w:r>
          </w:p>
        </w:tc>
        <w:tc>
          <w:tcPr>
            <w:tcW w:w="1455" w:type="dxa"/>
            <w:tcBorders>
              <w:top w:val="nil"/>
              <w:left w:val="nil"/>
              <w:bottom w:val="nil"/>
              <w:right w:val="nil"/>
            </w:tcBorders>
            <w:shd w:val="clear" w:color="auto" w:fill="auto"/>
            <w:noWrap/>
            <w:vAlign w:val="bottom"/>
            <w:hideMark/>
          </w:tcPr>
          <w:p w:rsidR="003950CD" w:rsidRPr="00645786" w:rsidP="004957F6" w14:paraId="5A861D77" w14:textId="77777777">
            <w:pPr>
              <w:jc w:val="right"/>
              <w:rPr>
                <w:sz w:val="22"/>
                <w:szCs w:val="22"/>
              </w:rPr>
            </w:pPr>
            <w:r w:rsidRPr="00645786">
              <w:rPr>
                <w:sz w:val="22"/>
                <w:szCs w:val="22"/>
              </w:rPr>
              <w:t xml:space="preserve"> - </w:t>
            </w:r>
          </w:p>
        </w:tc>
        <w:tc>
          <w:tcPr>
            <w:tcW w:w="1455" w:type="dxa"/>
            <w:tcBorders>
              <w:top w:val="nil"/>
              <w:left w:val="nil"/>
              <w:bottom w:val="nil"/>
              <w:right w:val="nil"/>
            </w:tcBorders>
            <w:shd w:val="clear" w:color="auto" w:fill="auto"/>
            <w:noWrap/>
            <w:vAlign w:val="bottom"/>
            <w:hideMark/>
          </w:tcPr>
          <w:p w:rsidR="003950CD" w:rsidRPr="00645786" w:rsidP="004957F6" w14:paraId="66255597" w14:textId="77777777">
            <w:pPr>
              <w:jc w:val="right"/>
              <w:rPr>
                <w:sz w:val="22"/>
                <w:szCs w:val="22"/>
              </w:rPr>
            </w:pPr>
            <w:r w:rsidRPr="00645786">
              <w:rPr>
                <w:sz w:val="22"/>
                <w:szCs w:val="22"/>
              </w:rPr>
              <w:t xml:space="preserve"> 3,868 </w:t>
            </w:r>
          </w:p>
        </w:tc>
        <w:tc>
          <w:tcPr>
            <w:tcW w:w="1455" w:type="dxa"/>
            <w:tcBorders>
              <w:top w:val="nil"/>
              <w:left w:val="nil"/>
              <w:bottom w:val="nil"/>
              <w:right w:val="nil"/>
            </w:tcBorders>
            <w:shd w:val="clear" w:color="auto" w:fill="auto"/>
            <w:noWrap/>
            <w:vAlign w:val="bottom"/>
            <w:hideMark/>
          </w:tcPr>
          <w:p w:rsidR="003950CD" w:rsidRPr="00645786" w:rsidP="004957F6" w14:paraId="41516942" w14:textId="77777777">
            <w:pPr>
              <w:jc w:val="right"/>
              <w:rPr>
                <w:sz w:val="22"/>
                <w:szCs w:val="22"/>
              </w:rPr>
            </w:pPr>
            <w:r w:rsidRPr="00645786">
              <w:rPr>
                <w:sz w:val="22"/>
                <w:szCs w:val="22"/>
              </w:rPr>
              <w:t xml:space="preserve"> 3,868 </w:t>
            </w:r>
          </w:p>
        </w:tc>
      </w:tr>
      <w:tr w14:paraId="2F09D8BC"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0AFED3D8" w14:textId="77777777">
            <w:pPr>
              <w:rPr>
                <w:sz w:val="22"/>
                <w:szCs w:val="22"/>
              </w:rPr>
            </w:pPr>
            <w:r w:rsidRPr="00645786">
              <w:rPr>
                <w:sz w:val="22"/>
                <w:szCs w:val="22"/>
              </w:rPr>
              <w:t>Total Intragovernmental</w:t>
            </w:r>
          </w:p>
        </w:tc>
        <w:tc>
          <w:tcPr>
            <w:tcW w:w="1455" w:type="dxa"/>
            <w:tcBorders>
              <w:top w:val="single" w:sz="4" w:space="0" w:color="000000"/>
              <w:left w:val="nil"/>
              <w:bottom w:val="single" w:sz="4" w:space="0" w:color="000000"/>
              <w:right w:val="nil"/>
            </w:tcBorders>
            <w:shd w:val="clear" w:color="auto" w:fill="auto"/>
            <w:noWrap/>
            <w:vAlign w:val="bottom"/>
            <w:hideMark/>
          </w:tcPr>
          <w:p w:rsidR="003950CD" w:rsidRPr="00645786" w:rsidP="004957F6" w14:paraId="6D11CAED" w14:textId="77777777">
            <w:pPr>
              <w:jc w:val="right"/>
              <w:rPr>
                <w:sz w:val="22"/>
                <w:szCs w:val="22"/>
              </w:rPr>
            </w:pPr>
            <w:r w:rsidRPr="00645786">
              <w:rPr>
                <w:sz w:val="22"/>
                <w:szCs w:val="22"/>
              </w:rPr>
              <w:t xml:space="preserve"> - </w:t>
            </w:r>
          </w:p>
        </w:tc>
        <w:tc>
          <w:tcPr>
            <w:tcW w:w="1455" w:type="dxa"/>
            <w:tcBorders>
              <w:top w:val="single" w:sz="4" w:space="0" w:color="000000"/>
              <w:left w:val="nil"/>
              <w:bottom w:val="single" w:sz="4" w:space="0" w:color="000000"/>
              <w:right w:val="nil"/>
            </w:tcBorders>
            <w:shd w:val="clear" w:color="auto" w:fill="auto"/>
            <w:noWrap/>
            <w:vAlign w:val="bottom"/>
            <w:hideMark/>
          </w:tcPr>
          <w:p w:rsidR="003950CD" w:rsidRPr="00645786" w:rsidP="004957F6" w14:paraId="5EA2CE8C" w14:textId="77777777">
            <w:pPr>
              <w:jc w:val="right"/>
              <w:rPr>
                <w:sz w:val="22"/>
                <w:szCs w:val="22"/>
              </w:rPr>
            </w:pPr>
            <w:r w:rsidRPr="00645786">
              <w:rPr>
                <w:sz w:val="22"/>
                <w:szCs w:val="22"/>
              </w:rPr>
              <w:t xml:space="preserve"> 84,238,708 </w:t>
            </w:r>
          </w:p>
        </w:tc>
        <w:tc>
          <w:tcPr>
            <w:tcW w:w="1455" w:type="dxa"/>
            <w:tcBorders>
              <w:top w:val="single" w:sz="4" w:space="0" w:color="000000"/>
              <w:left w:val="nil"/>
              <w:bottom w:val="single" w:sz="4" w:space="0" w:color="000000"/>
              <w:right w:val="nil"/>
            </w:tcBorders>
            <w:shd w:val="clear" w:color="auto" w:fill="auto"/>
            <w:noWrap/>
            <w:vAlign w:val="bottom"/>
            <w:hideMark/>
          </w:tcPr>
          <w:p w:rsidR="003950CD" w:rsidRPr="00645786" w:rsidP="004957F6" w14:paraId="26DAB2CB" w14:textId="77777777">
            <w:pPr>
              <w:jc w:val="right"/>
              <w:rPr>
                <w:sz w:val="22"/>
                <w:szCs w:val="22"/>
              </w:rPr>
            </w:pPr>
            <w:r w:rsidRPr="00645786">
              <w:rPr>
                <w:sz w:val="22"/>
                <w:szCs w:val="22"/>
              </w:rPr>
              <w:t xml:space="preserve"> 84,238,708 </w:t>
            </w:r>
          </w:p>
        </w:tc>
      </w:tr>
      <w:tr w14:paraId="619F3468"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27CC669C" w14:textId="77777777">
            <w:pPr>
              <w:rPr>
                <w:sz w:val="22"/>
                <w:szCs w:val="22"/>
              </w:rPr>
            </w:pPr>
            <w:r w:rsidRPr="00645786">
              <w:rPr>
                <w:sz w:val="22"/>
                <w:szCs w:val="22"/>
              </w:rPr>
              <w:t>With the Public</w:t>
            </w:r>
          </w:p>
        </w:tc>
        <w:tc>
          <w:tcPr>
            <w:tcW w:w="1455" w:type="dxa"/>
            <w:tcBorders>
              <w:top w:val="nil"/>
              <w:left w:val="nil"/>
              <w:bottom w:val="nil"/>
              <w:right w:val="nil"/>
            </w:tcBorders>
            <w:shd w:val="clear" w:color="auto" w:fill="auto"/>
            <w:noWrap/>
            <w:vAlign w:val="bottom"/>
            <w:hideMark/>
          </w:tcPr>
          <w:p w:rsidR="003950CD" w:rsidRPr="00645786" w:rsidP="004957F6" w14:paraId="67893EFE" w14:textId="77777777">
            <w:pPr>
              <w:jc w:val="right"/>
              <w:rPr>
                <w:sz w:val="22"/>
                <w:szCs w:val="22"/>
              </w:rPr>
            </w:pPr>
          </w:p>
        </w:tc>
        <w:tc>
          <w:tcPr>
            <w:tcW w:w="1455" w:type="dxa"/>
            <w:tcBorders>
              <w:top w:val="nil"/>
              <w:left w:val="nil"/>
              <w:bottom w:val="nil"/>
              <w:right w:val="nil"/>
            </w:tcBorders>
            <w:shd w:val="clear" w:color="auto" w:fill="auto"/>
            <w:noWrap/>
            <w:vAlign w:val="bottom"/>
            <w:hideMark/>
          </w:tcPr>
          <w:p w:rsidR="003950CD" w:rsidRPr="00645786" w:rsidP="004957F6" w14:paraId="17428BB0" w14:textId="77777777">
            <w:pPr>
              <w:jc w:val="right"/>
              <w:rPr>
                <w:sz w:val="22"/>
                <w:szCs w:val="22"/>
              </w:rPr>
            </w:pPr>
          </w:p>
        </w:tc>
        <w:tc>
          <w:tcPr>
            <w:tcW w:w="1455" w:type="dxa"/>
            <w:tcBorders>
              <w:top w:val="nil"/>
              <w:left w:val="nil"/>
              <w:bottom w:val="nil"/>
              <w:right w:val="nil"/>
            </w:tcBorders>
            <w:shd w:val="clear" w:color="auto" w:fill="auto"/>
            <w:noWrap/>
            <w:vAlign w:val="bottom"/>
            <w:hideMark/>
          </w:tcPr>
          <w:p w:rsidR="003950CD" w:rsidRPr="00645786" w:rsidP="004957F6" w14:paraId="6EF5AA9D" w14:textId="77777777">
            <w:pPr>
              <w:jc w:val="right"/>
              <w:rPr>
                <w:sz w:val="22"/>
                <w:szCs w:val="22"/>
              </w:rPr>
            </w:pPr>
          </w:p>
        </w:tc>
      </w:tr>
      <w:tr w14:paraId="63A5BDDB"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33AA5EDC" w14:textId="77777777">
            <w:pPr>
              <w:rPr>
                <w:sz w:val="22"/>
                <w:szCs w:val="22"/>
              </w:rPr>
            </w:pPr>
            <w:r w:rsidRPr="00645786">
              <w:rPr>
                <w:sz w:val="22"/>
                <w:szCs w:val="22"/>
              </w:rPr>
              <w:t>Prepaid Contributions</w:t>
            </w:r>
          </w:p>
        </w:tc>
        <w:tc>
          <w:tcPr>
            <w:tcW w:w="1455" w:type="dxa"/>
            <w:tcBorders>
              <w:top w:val="nil"/>
              <w:left w:val="nil"/>
              <w:bottom w:val="nil"/>
              <w:right w:val="nil"/>
            </w:tcBorders>
            <w:shd w:val="clear" w:color="auto" w:fill="auto"/>
            <w:noWrap/>
            <w:vAlign w:val="bottom"/>
            <w:hideMark/>
          </w:tcPr>
          <w:p w:rsidR="003950CD" w:rsidRPr="00645786" w:rsidP="004957F6" w14:paraId="2A05F909" w14:textId="77777777">
            <w:pPr>
              <w:jc w:val="right"/>
              <w:rPr>
                <w:sz w:val="22"/>
                <w:szCs w:val="22"/>
              </w:rPr>
            </w:pPr>
            <w:r w:rsidRPr="00645786">
              <w:rPr>
                <w:sz w:val="22"/>
                <w:szCs w:val="22"/>
              </w:rPr>
              <w:t xml:space="preserve"> - </w:t>
            </w:r>
          </w:p>
        </w:tc>
        <w:tc>
          <w:tcPr>
            <w:tcW w:w="1455" w:type="dxa"/>
            <w:tcBorders>
              <w:top w:val="nil"/>
              <w:left w:val="nil"/>
              <w:bottom w:val="nil"/>
              <w:right w:val="nil"/>
            </w:tcBorders>
            <w:shd w:val="clear" w:color="auto" w:fill="auto"/>
            <w:noWrap/>
            <w:vAlign w:val="bottom"/>
            <w:hideMark/>
          </w:tcPr>
          <w:p w:rsidR="003950CD" w:rsidRPr="00645786" w:rsidP="004957F6" w14:paraId="422FA350" w14:textId="77777777">
            <w:pPr>
              <w:jc w:val="right"/>
              <w:rPr>
                <w:sz w:val="22"/>
                <w:szCs w:val="22"/>
              </w:rPr>
            </w:pPr>
            <w:r w:rsidRPr="00645786">
              <w:rPr>
                <w:sz w:val="22"/>
                <w:szCs w:val="22"/>
              </w:rPr>
              <w:t xml:space="preserve"> 44,563 </w:t>
            </w:r>
          </w:p>
        </w:tc>
        <w:tc>
          <w:tcPr>
            <w:tcW w:w="1455" w:type="dxa"/>
            <w:tcBorders>
              <w:top w:val="nil"/>
              <w:left w:val="nil"/>
              <w:bottom w:val="nil"/>
              <w:right w:val="nil"/>
            </w:tcBorders>
            <w:shd w:val="clear" w:color="auto" w:fill="auto"/>
            <w:noWrap/>
            <w:vAlign w:val="bottom"/>
            <w:hideMark/>
          </w:tcPr>
          <w:p w:rsidR="003950CD" w:rsidRPr="00645786" w:rsidP="004957F6" w14:paraId="3899141F" w14:textId="77777777">
            <w:pPr>
              <w:jc w:val="right"/>
              <w:rPr>
                <w:sz w:val="22"/>
                <w:szCs w:val="22"/>
              </w:rPr>
            </w:pPr>
            <w:r w:rsidRPr="00645786">
              <w:rPr>
                <w:sz w:val="22"/>
                <w:szCs w:val="22"/>
              </w:rPr>
              <w:t xml:space="preserve"> 44,563 </w:t>
            </w:r>
          </w:p>
        </w:tc>
      </w:tr>
      <w:tr w14:paraId="42CE60A0"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6871572B" w14:textId="77777777">
            <w:pPr>
              <w:rPr>
                <w:sz w:val="22"/>
                <w:szCs w:val="22"/>
              </w:rPr>
            </w:pPr>
            <w:r w:rsidRPr="00645786">
              <w:rPr>
                <w:sz w:val="22"/>
                <w:szCs w:val="22"/>
              </w:rPr>
              <w:t>Accrued Liabilities for USF and TRS</w:t>
            </w:r>
          </w:p>
        </w:tc>
        <w:tc>
          <w:tcPr>
            <w:tcW w:w="1455" w:type="dxa"/>
            <w:tcBorders>
              <w:top w:val="nil"/>
              <w:left w:val="nil"/>
              <w:bottom w:val="nil"/>
              <w:right w:val="nil"/>
            </w:tcBorders>
            <w:shd w:val="clear" w:color="auto" w:fill="auto"/>
            <w:noWrap/>
            <w:vAlign w:val="bottom"/>
            <w:hideMark/>
          </w:tcPr>
          <w:p w:rsidR="003950CD" w:rsidRPr="00645786" w:rsidP="004957F6" w14:paraId="5F29F9F1" w14:textId="77777777">
            <w:pPr>
              <w:jc w:val="right"/>
              <w:rPr>
                <w:sz w:val="22"/>
                <w:szCs w:val="22"/>
              </w:rPr>
            </w:pPr>
            <w:r w:rsidRPr="00645786">
              <w:rPr>
                <w:sz w:val="22"/>
                <w:szCs w:val="22"/>
              </w:rPr>
              <w:t xml:space="preserve"> - </w:t>
            </w:r>
          </w:p>
        </w:tc>
        <w:tc>
          <w:tcPr>
            <w:tcW w:w="1455" w:type="dxa"/>
            <w:tcBorders>
              <w:top w:val="nil"/>
              <w:left w:val="nil"/>
              <w:bottom w:val="nil"/>
              <w:right w:val="nil"/>
            </w:tcBorders>
            <w:shd w:val="clear" w:color="auto" w:fill="auto"/>
            <w:noWrap/>
            <w:vAlign w:val="bottom"/>
            <w:hideMark/>
          </w:tcPr>
          <w:p w:rsidR="003950CD" w:rsidRPr="00645786" w:rsidP="004957F6" w14:paraId="68666CEA" w14:textId="77777777">
            <w:pPr>
              <w:jc w:val="right"/>
              <w:rPr>
                <w:sz w:val="22"/>
                <w:szCs w:val="22"/>
              </w:rPr>
            </w:pPr>
            <w:r w:rsidRPr="00645786">
              <w:rPr>
                <w:sz w:val="22"/>
                <w:szCs w:val="22"/>
              </w:rPr>
              <w:t xml:space="preserve"> 490,897 </w:t>
            </w:r>
          </w:p>
        </w:tc>
        <w:tc>
          <w:tcPr>
            <w:tcW w:w="1455" w:type="dxa"/>
            <w:tcBorders>
              <w:top w:val="nil"/>
              <w:left w:val="nil"/>
              <w:bottom w:val="nil"/>
              <w:right w:val="nil"/>
            </w:tcBorders>
            <w:shd w:val="clear" w:color="auto" w:fill="auto"/>
            <w:noWrap/>
            <w:vAlign w:val="bottom"/>
            <w:hideMark/>
          </w:tcPr>
          <w:p w:rsidR="003950CD" w:rsidRPr="00645786" w:rsidP="004957F6" w14:paraId="3C6D2918" w14:textId="77777777">
            <w:pPr>
              <w:jc w:val="right"/>
              <w:rPr>
                <w:sz w:val="22"/>
                <w:szCs w:val="22"/>
              </w:rPr>
            </w:pPr>
            <w:r w:rsidRPr="00645786">
              <w:rPr>
                <w:sz w:val="22"/>
                <w:szCs w:val="22"/>
              </w:rPr>
              <w:t xml:space="preserve"> 490,897 </w:t>
            </w:r>
          </w:p>
        </w:tc>
      </w:tr>
      <w:tr w14:paraId="4CAA205E"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025DAAFA" w14:textId="77777777">
            <w:pPr>
              <w:rPr>
                <w:sz w:val="22"/>
                <w:szCs w:val="22"/>
              </w:rPr>
            </w:pPr>
            <w:r w:rsidRPr="00645786">
              <w:rPr>
                <w:sz w:val="22"/>
                <w:szCs w:val="22"/>
              </w:rPr>
              <w:t>Deposit/ Unapplied Liability</w:t>
            </w:r>
          </w:p>
        </w:tc>
        <w:tc>
          <w:tcPr>
            <w:tcW w:w="1455" w:type="dxa"/>
            <w:tcBorders>
              <w:top w:val="nil"/>
              <w:left w:val="nil"/>
              <w:bottom w:val="nil"/>
              <w:right w:val="nil"/>
            </w:tcBorders>
            <w:shd w:val="clear" w:color="auto" w:fill="auto"/>
            <w:noWrap/>
            <w:vAlign w:val="bottom"/>
            <w:hideMark/>
          </w:tcPr>
          <w:p w:rsidR="003950CD" w:rsidRPr="00645786" w:rsidP="004957F6" w14:paraId="5E74EBEB" w14:textId="77777777">
            <w:pPr>
              <w:jc w:val="right"/>
              <w:rPr>
                <w:sz w:val="22"/>
                <w:szCs w:val="22"/>
              </w:rPr>
            </w:pPr>
            <w:r w:rsidRPr="00645786">
              <w:rPr>
                <w:sz w:val="22"/>
                <w:szCs w:val="22"/>
              </w:rPr>
              <w:t xml:space="preserve"> - </w:t>
            </w:r>
          </w:p>
        </w:tc>
        <w:tc>
          <w:tcPr>
            <w:tcW w:w="1455" w:type="dxa"/>
            <w:tcBorders>
              <w:top w:val="nil"/>
              <w:left w:val="nil"/>
              <w:bottom w:val="nil"/>
              <w:right w:val="nil"/>
            </w:tcBorders>
            <w:shd w:val="clear" w:color="auto" w:fill="auto"/>
            <w:noWrap/>
            <w:vAlign w:val="bottom"/>
            <w:hideMark/>
          </w:tcPr>
          <w:p w:rsidR="003950CD" w:rsidRPr="00645786" w:rsidP="004957F6" w14:paraId="468B91EE" w14:textId="77777777">
            <w:pPr>
              <w:jc w:val="right"/>
              <w:rPr>
                <w:sz w:val="22"/>
                <w:szCs w:val="22"/>
              </w:rPr>
            </w:pPr>
            <w:r w:rsidRPr="00645786">
              <w:rPr>
                <w:sz w:val="22"/>
                <w:szCs w:val="22"/>
              </w:rPr>
              <w:t xml:space="preserve"> 606,917 </w:t>
            </w:r>
          </w:p>
        </w:tc>
        <w:tc>
          <w:tcPr>
            <w:tcW w:w="1455" w:type="dxa"/>
            <w:tcBorders>
              <w:top w:val="nil"/>
              <w:left w:val="nil"/>
              <w:bottom w:val="nil"/>
              <w:right w:val="nil"/>
            </w:tcBorders>
            <w:shd w:val="clear" w:color="auto" w:fill="auto"/>
            <w:noWrap/>
            <w:vAlign w:val="bottom"/>
            <w:hideMark/>
          </w:tcPr>
          <w:p w:rsidR="003950CD" w:rsidRPr="00645786" w:rsidP="004957F6" w14:paraId="736A3618" w14:textId="77777777">
            <w:pPr>
              <w:jc w:val="right"/>
              <w:rPr>
                <w:sz w:val="22"/>
                <w:szCs w:val="22"/>
              </w:rPr>
            </w:pPr>
            <w:r w:rsidRPr="00645786">
              <w:rPr>
                <w:sz w:val="22"/>
                <w:szCs w:val="22"/>
              </w:rPr>
              <w:t xml:space="preserve"> 606,917 </w:t>
            </w:r>
          </w:p>
        </w:tc>
      </w:tr>
      <w:tr w14:paraId="04B32164"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35A8947C" w14:textId="77777777">
            <w:pPr>
              <w:rPr>
                <w:sz w:val="22"/>
                <w:szCs w:val="22"/>
              </w:rPr>
            </w:pPr>
            <w:r w:rsidRPr="00645786">
              <w:rPr>
                <w:sz w:val="22"/>
                <w:szCs w:val="22"/>
              </w:rPr>
              <w:t>Other</w:t>
            </w:r>
          </w:p>
        </w:tc>
        <w:tc>
          <w:tcPr>
            <w:tcW w:w="1455" w:type="dxa"/>
            <w:tcBorders>
              <w:top w:val="nil"/>
              <w:left w:val="nil"/>
              <w:bottom w:val="single" w:sz="4" w:space="0" w:color="auto"/>
              <w:right w:val="nil"/>
            </w:tcBorders>
            <w:shd w:val="clear" w:color="auto" w:fill="auto"/>
            <w:noWrap/>
            <w:vAlign w:val="bottom"/>
            <w:hideMark/>
          </w:tcPr>
          <w:p w:rsidR="003950CD" w:rsidRPr="00645786" w:rsidP="004957F6" w14:paraId="1F5526D3" w14:textId="77777777">
            <w:pPr>
              <w:jc w:val="right"/>
              <w:rPr>
                <w:sz w:val="22"/>
                <w:szCs w:val="22"/>
              </w:rPr>
            </w:pPr>
            <w:r w:rsidRPr="00645786">
              <w:rPr>
                <w:sz w:val="22"/>
                <w:szCs w:val="22"/>
              </w:rPr>
              <w:t xml:space="preserve"> 6,325 </w:t>
            </w:r>
          </w:p>
        </w:tc>
        <w:tc>
          <w:tcPr>
            <w:tcW w:w="1455" w:type="dxa"/>
            <w:tcBorders>
              <w:top w:val="nil"/>
              <w:left w:val="nil"/>
              <w:bottom w:val="single" w:sz="4" w:space="0" w:color="auto"/>
              <w:right w:val="nil"/>
            </w:tcBorders>
            <w:shd w:val="clear" w:color="auto" w:fill="auto"/>
            <w:noWrap/>
            <w:vAlign w:val="bottom"/>
            <w:hideMark/>
          </w:tcPr>
          <w:p w:rsidR="003950CD" w:rsidRPr="00645786" w:rsidP="004957F6" w14:paraId="20BF34F6" w14:textId="77777777">
            <w:pPr>
              <w:jc w:val="right"/>
              <w:rPr>
                <w:sz w:val="22"/>
                <w:szCs w:val="22"/>
              </w:rPr>
            </w:pPr>
            <w:r w:rsidRPr="00645786">
              <w:rPr>
                <w:sz w:val="22"/>
                <w:szCs w:val="22"/>
              </w:rPr>
              <w:t xml:space="preserve"> 17,037 </w:t>
            </w:r>
          </w:p>
        </w:tc>
        <w:tc>
          <w:tcPr>
            <w:tcW w:w="1455" w:type="dxa"/>
            <w:tcBorders>
              <w:top w:val="nil"/>
              <w:left w:val="nil"/>
              <w:bottom w:val="single" w:sz="4" w:space="0" w:color="auto"/>
              <w:right w:val="nil"/>
            </w:tcBorders>
            <w:shd w:val="clear" w:color="auto" w:fill="auto"/>
            <w:noWrap/>
            <w:vAlign w:val="bottom"/>
            <w:hideMark/>
          </w:tcPr>
          <w:p w:rsidR="003950CD" w:rsidRPr="00645786" w:rsidP="004957F6" w14:paraId="625F7FB5" w14:textId="77777777">
            <w:pPr>
              <w:jc w:val="right"/>
              <w:rPr>
                <w:sz w:val="22"/>
                <w:szCs w:val="22"/>
              </w:rPr>
            </w:pPr>
            <w:r w:rsidRPr="00645786">
              <w:rPr>
                <w:sz w:val="22"/>
                <w:szCs w:val="22"/>
              </w:rPr>
              <w:t xml:space="preserve"> 23,362 </w:t>
            </w:r>
          </w:p>
        </w:tc>
      </w:tr>
      <w:tr w14:paraId="610DC7BC"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6714BC9D" w14:textId="77777777">
            <w:pPr>
              <w:rPr>
                <w:sz w:val="22"/>
                <w:szCs w:val="22"/>
              </w:rPr>
            </w:pPr>
            <w:r w:rsidRPr="00645786">
              <w:rPr>
                <w:sz w:val="22"/>
                <w:szCs w:val="22"/>
              </w:rPr>
              <w:t>Total With the Public</w:t>
            </w:r>
          </w:p>
        </w:tc>
        <w:tc>
          <w:tcPr>
            <w:tcW w:w="1455" w:type="dxa"/>
            <w:tcBorders>
              <w:top w:val="nil"/>
              <w:left w:val="nil"/>
              <w:bottom w:val="single" w:sz="4" w:space="0" w:color="auto"/>
              <w:right w:val="nil"/>
            </w:tcBorders>
            <w:shd w:val="clear" w:color="auto" w:fill="auto"/>
            <w:noWrap/>
            <w:vAlign w:val="bottom"/>
            <w:hideMark/>
          </w:tcPr>
          <w:p w:rsidR="003950CD" w:rsidRPr="00645786" w:rsidP="004957F6" w14:paraId="2194B139" w14:textId="77777777">
            <w:pPr>
              <w:jc w:val="right"/>
              <w:rPr>
                <w:sz w:val="22"/>
                <w:szCs w:val="22"/>
              </w:rPr>
            </w:pPr>
            <w:r w:rsidRPr="00645786">
              <w:rPr>
                <w:sz w:val="22"/>
                <w:szCs w:val="22"/>
              </w:rPr>
              <w:t xml:space="preserve"> 6,325 </w:t>
            </w:r>
          </w:p>
        </w:tc>
        <w:tc>
          <w:tcPr>
            <w:tcW w:w="1455" w:type="dxa"/>
            <w:tcBorders>
              <w:top w:val="nil"/>
              <w:left w:val="nil"/>
              <w:bottom w:val="nil"/>
              <w:right w:val="nil"/>
            </w:tcBorders>
            <w:shd w:val="clear" w:color="auto" w:fill="auto"/>
            <w:noWrap/>
            <w:vAlign w:val="bottom"/>
            <w:hideMark/>
          </w:tcPr>
          <w:p w:rsidR="003950CD" w:rsidRPr="00645786" w:rsidP="004957F6" w14:paraId="605F978B" w14:textId="77777777">
            <w:pPr>
              <w:jc w:val="right"/>
              <w:rPr>
                <w:sz w:val="22"/>
                <w:szCs w:val="22"/>
              </w:rPr>
            </w:pPr>
            <w:r w:rsidRPr="00645786">
              <w:rPr>
                <w:sz w:val="22"/>
                <w:szCs w:val="22"/>
              </w:rPr>
              <w:t xml:space="preserve"> 1,159,414 </w:t>
            </w:r>
          </w:p>
        </w:tc>
        <w:tc>
          <w:tcPr>
            <w:tcW w:w="1455" w:type="dxa"/>
            <w:tcBorders>
              <w:top w:val="nil"/>
              <w:left w:val="nil"/>
              <w:bottom w:val="nil"/>
              <w:right w:val="nil"/>
            </w:tcBorders>
            <w:shd w:val="clear" w:color="auto" w:fill="auto"/>
            <w:noWrap/>
            <w:vAlign w:val="bottom"/>
            <w:hideMark/>
          </w:tcPr>
          <w:p w:rsidR="003950CD" w:rsidRPr="00645786" w:rsidP="004957F6" w14:paraId="4E45A668" w14:textId="77777777">
            <w:pPr>
              <w:jc w:val="right"/>
              <w:rPr>
                <w:sz w:val="22"/>
                <w:szCs w:val="22"/>
              </w:rPr>
            </w:pPr>
            <w:r w:rsidRPr="00645786">
              <w:rPr>
                <w:sz w:val="22"/>
                <w:szCs w:val="22"/>
              </w:rPr>
              <w:t xml:space="preserve"> 1,165,739 </w:t>
            </w:r>
          </w:p>
        </w:tc>
      </w:tr>
      <w:tr w14:paraId="3D548DB9" w14:textId="77777777" w:rsidTr="003243E9">
        <w:tblPrEx>
          <w:tblW w:w="5000" w:type="pct"/>
          <w:tblLayout w:type="fixed"/>
          <w:tblLook w:val="04A0"/>
        </w:tblPrEx>
        <w:trPr>
          <w:trHeight w:val="288"/>
        </w:trPr>
        <w:tc>
          <w:tcPr>
            <w:tcW w:w="4995" w:type="dxa"/>
            <w:tcBorders>
              <w:top w:val="nil"/>
              <w:left w:val="nil"/>
              <w:bottom w:val="nil"/>
              <w:right w:val="nil"/>
            </w:tcBorders>
            <w:shd w:val="clear" w:color="000000" w:fill="FFFFFF"/>
            <w:noWrap/>
            <w:vAlign w:val="bottom"/>
            <w:hideMark/>
          </w:tcPr>
          <w:p w:rsidR="003950CD" w:rsidRPr="00645786" w:rsidP="004957F6" w14:paraId="68B45CF9" w14:textId="77777777">
            <w:pPr>
              <w:rPr>
                <w:sz w:val="22"/>
                <w:szCs w:val="22"/>
              </w:rPr>
            </w:pPr>
            <w:r w:rsidRPr="00645786">
              <w:rPr>
                <w:sz w:val="22"/>
                <w:szCs w:val="22"/>
              </w:rPr>
              <w:t>Total Other Liabilities</w:t>
            </w:r>
          </w:p>
        </w:tc>
        <w:tc>
          <w:tcPr>
            <w:tcW w:w="1455" w:type="dxa"/>
            <w:tcBorders>
              <w:top w:val="single" w:sz="4" w:space="0" w:color="auto"/>
              <w:left w:val="nil"/>
              <w:bottom w:val="double" w:sz="6" w:space="0" w:color="auto"/>
              <w:right w:val="nil"/>
            </w:tcBorders>
            <w:shd w:val="clear" w:color="auto" w:fill="auto"/>
            <w:noWrap/>
            <w:vAlign w:val="bottom"/>
            <w:hideMark/>
          </w:tcPr>
          <w:p w:rsidR="003950CD" w:rsidRPr="00645786" w:rsidP="004957F6" w14:paraId="6A5FA8F3" w14:textId="1AB7DEC4">
            <w:pPr>
              <w:jc w:val="right"/>
              <w:rPr>
                <w:sz w:val="22"/>
                <w:szCs w:val="22"/>
              </w:rPr>
            </w:pPr>
            <w:r w:rsidRPr="00645786">
              <w:rPr>
                <w:sz w:val="22"/>
                <w:szCs w:val="22"/>
              </w:rPr>
              <w:t>$</w:t>
            </w:r>
            <w:r w:rsidRPr="00645786" w:rsidR="00E644A4">
              <w:rPr>
                <w:sz w:val="22"/>
                <w:szCs w:val="22"/>
              </w:rPr>
              <w:t xml:space="preserve">          </w:t>
            </w:r>
            <w:r w:rsidRPr="00645786">
              <w:rPr>
                <w:sz w:val="22"/>
                <w:szCs w:val="22"/>
              </w:rPr>
              <w:t xml:space="preserve"> 6,325 </w:t>
            </w:r>
          </w:p>
        </w:tc>
        <w:tc>
          <w:tcPr>
            <w:tcW w:w="1455" w:type="dxa"/>
            <w:tcBorders>
              <w:top w:val="single" w:sz="4" w:space="0" w:color="auto"/>
              <w:left w:val="nil"/>
              <w:bottom w:val="double" w:sz="6" w:space="0" w:color="auto"/>
              <w:right w:val="nil"/>
            </w:tcBorders>
            <w:shd w:val="clear" w:color="auto" w:fill="auto"/>
            <w:noWrap/>
            <w:vAlign w:val="bottom"/>
            <w:hideMark/>
          </w:tcPr>
          <w:p w:rsidR="003950CD" w:rsidRPr="00645786" w:rsidP="004957F6" w14:paraId="72E17314" w14:textId="5925FFCE">
            <w:pPr>
              <w:jc w:val="right"/>
              <w:rPr>
                <w:sz w:val="22"/>
                <w:szCs w:val="22"/>
              </w:rPr>
            </w:pPr>
            <w:r w:rsidRPr="00645786">
              <w:rPr>
                <w:sz w:val="22"/>
                <w:szCs w:val="22"/>
              </w:rPr>
              <w:t>$</w:t>
            </w:r>
            <w:r w:rsidRPr="00645786" w:rsidR="00E644A4">
              <w:rPr>
                <w:sz w:val="22"/>
                <w:szCs w:val="22"/>
              </w:rPr>
              <w:t xml:space="preserve">  </w:t>
            </w:r>
            <w:r w:rsidRPr="00645786">
              <w:rPr>
                <w:sz w:val="22"/>
                <w:szCs w:val="22"/>
              </w:rPr>
              <w:t xml:space="preserve">85,398,122 </w:t>
            </w:r>
          </w:p>
        </w:tc>
        <w:tc>
          <w:tcPr>
            <w:tcW w:w="1455" w:type="dxa"/>
            <w:tcBorders>
              <w:top w:val="single" w:sz="4" w:space="0" w:color="auto"/>
              <w:left w:val="nil"/>
              <w:bottom w:val="double" w:sz="6" w:space="0" w:color="auto"/>
              <w:right w:val="nil"/>
            </w:tcBorders>
            <w:shd w:val="clear" w:color="auto" w:fill="auto"/>
            <w:noWrap/>
            <w:vAlign w:val="bottom"/>
            <w:hideMark/>
          </w:tcPr>
          <w:p w:rsidR="003950CD" w:rsidRPr="00645786" w:rsidP="004957F6" w14:paraId="4E08A952" w14:textId="0C1D27A4">
            <w:pPr>
              <w:jc w:val="right"/>
              <w:rPr>
                <w:sz w:val="22"/>
                <w:szCs w:val="22"/>
              </w:rPr>
            </w:pPr>
            <w:r w:rsidRPr="00645786">
              <w:rPr>
                <w:sz w:val="22"/>
                <w:szCs w:val="22"/>
              </w:rPr>
              <w:t>$</w:t>
            </w:r>
            <w:r w:rsidRPr="00645786" w:rsidR="00E644A4">
              <w:rPr>
                <w:sz w:val="22"/>
                <w:szCs w:val="22"/>
              </w:rPr>
              <w:t xml:space="preserve">  </w:t>
            </w:r>
            <w:r w:rsidRPr="00645786">
              <w:rPr>
                <w:sz w:val="22"/>
                <w:szCs w:val="22"/>
              </w:rPr>
              <w:t xml:space="preserve">85,404,447 </w:t>
            </w:r>
          </w:p>
        </w:tc>
      </w:tr>
    </w:tbl>
    <w:p w:rsidR="003243E9" w14:paraId="793F1F60" w14:textId="77777777"/>
    <w:tbl>
      <w:tblPr>
        <w:tblW w:w="5000" w:type="pct"/>
        <w:tblLayout w:type="fixed"/>
        <w:tblLook w:val="04A0"/>
      </w:tblPr>
      <w:tblGrid>
        <w:gridCol w:w="4995"/>
        <w:gridCol w:w="1455"/>
        <w:gridCol w:w="1455"/>
        <w:gridCol w:w="1455"/>
      </w:tblGrid>
      <w:tr w14:paraId="20D2DD96" w14:textId="77777777" w:rsidTr="006E7441">
        <w:tblPrEx>
          <w:tblW w:w="5000" w:type="pct"/>
          <w:tblLayout w:type="fixed"/>
          <w:tblLook w:val="04A0"/>
        </w:tblPrEx>
        <w:trPr>
          <w:trHeight w:val="306"/>
        </w:trPr>
        <w:tc>
          <w:tcPr>
            <w:tcW w:w="4995" w:type="dxa"/>
            <w:tcBorders>
              <w:top w:val="nil"/>
              <w:left w:val="nil"/>
              <w:bottom w:val="nil"/>
              <w:right w:val="nil"/>
            </w:tcBorders>
            <w:shd w:val="clear" w:color="000000" w:fill="FFFFFF"/>
            <w:noWrap/>
            <w:vAlign w:val="bottom"/>
            <w:hideMark/>
          </w:tcPr>
          <w:p w:rsidR="003950CD" w:rsidRPr="00645786" w:rsidP="004957F6" w14:paraId="6FCDD15D" w14:textId="77777777">
            <w:pPr>
              <w:rPr>
                <w:sz w:val="22"/>
                <w:szCs w:val="22"/>
                <w:u w:val="single"/>
              </w:rPr>
            </w:pPr>
            <w:r w:rsidRPr="00645786">
              <w:rPr>
                <w:sz w:val="22"/>
                <w:szCs w:val="22"/>
                <w:u w:val="single"/>
              </w:rPr>
              <w:t>FY 2020</w:t>
            </w:r>
          </w:p>
        </w:tc>
        <w:tc>
          <w:tcPr>
            <w:tcW w:w="1455" w:type="dxa"/>
            <w:tcBorders>
              <w:top w:val="nil"/>
              <w:left w:val="nil"/>
              <w:bottom w:val="single" w:sz="4" w:space="0" w:color="auto"/>
              <w:right w:val="nil"/>
            </w:tcBorders>
            <w:shd w:val="clear" w:color="auto" w:fill="auto"/>
            <w:noWrap/>
            <w:vAlign w:val="bottom"/>
            <w:hideMark/>
          </w:tcPr>
          <w:p w:rsidR="003950CD" w:rsidRPr="00645786" w:rsidP="004957F6" w14:paraId="45E5D0D9" w14:textId="77777777">
            <w:pPr>
              <w:jc w:val="right"/>
              <w:rPr>
                <w:sz w:val="22"/>
                <w:szCs w:val="22"/>
              </w:rPr>
            </w:pPr>
            <w:r w:rsidRPr="00645786">
              <w:rPr>
                <w:sz w:val="22"/>
                <w:szCs w:val="22"/>
              </w:rPr>
              <w:t>Non-Current</w:t>
            </w:r>
          </w:p>
        </w:tc>
        <w:tc>
          <w:tcPr>
            <w:tcW w:w="1455" w:type="dxa"/>
            <w:tcBorders>
              <w:top w:val="nil"/>
              <w:left w:val="nil"/>
              <w:bottom w:val="single" w:sz="4" w:space="0" w:color="auto"/>
              <w:right w:val="nil"/>
            </w:tcBorders>
            <w:shd w:val="clear" w:color="auto" w:fill="auto"/>
            <w:noWrap/>
            <w:vAlign w:val="bottom"/>
            <w:hideMark/>
          </w:tcPr>
          <w:p w:rsidR="003950CD" w:rsidRPr="00645786" w:rsidP="004957F6" w14:paraId="1C89FC9C" w14:textId="77777777">
            <w:pPr>
              <w:jc w:val="right"/>
              <w:rPr>
                <w:sz w:val="22"/>
                <w:szCs w:val="22"/>
              </w:rPr>
            </w:pPr>
            <w:r w:rsidRPr="00645786">
              <w:rPr>
                <w:sz w:val="22"/>
                <w:szCs w:val="22"/>
              </w:rPr>
              <w:t>Current</w:t>
            </w:r>
          </w:p>
        </w:tc>
        <w:tc>
          <w:tcPr>
            <w:tcW w:w="1455" w:type="dxa"/>
            <w:tcBorders>
              <w:top w:val="nil"/>
              <w:left w:val="nil"/>
              <w:bottom w:val="single" w:sz="4" w:space="0" w:color="auto"/>
              <w:right w:val="nil"/>
            </w:tcBorders>
            <w:shd w:val="clear" w:color="auto" w:fill="auto"/>
            <w:noWrap/>
            <w:vAlign w:val="bottom"/>
            <w:hideMark/>
          </w:tcPr>
          <w:p w:rsidR="003950CD" w:rsidRPr="00645786" w:rsidP="004957F6" w14:paraId="74ACB619" w14:textId="77777777">
            <w:pPr>
              <w:jc w:val="right"/>
              <w:rPr>
                <w:sz w:val="22"/>
                <w:szCs w:val="22"/>
              </w:rPr>
            </w:pPr>
            <w:r w:rsidRPr="00645786">
              <w:rPr>
                <w:sz w:val="22"/>
                <w:szCs w:val="22"/>
              </w:rPr>
              <w:t>Total</w:t>
            </w:r>
          </w:p>
        </w:tc>
      </w:tr>
      <w:tr w14:paraId="33EC5096"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548B8AC0" w14:textId="77777777">
            <w:pPr>
              <w:rPr>
                <w:sz w:val="22"/>
                <w:szCs w:val="22"/>
              </w:rPr>
            </w:pPr>
            <w:r w:rsidRPr="00645786">
              <w:rPr>
                <w:sz w:val="22"/>
                <w:szCs w:val="22"/>
              </w:rPr>
              <w:t>Intragovernmental</w:t>
            </w:r>
          </w:p>
        </w:tc>
        <w:tc>
          <w:tcPr>
            <w:tcW w:w="1455" w:type="dxa"/>
            <w:tcBorders>
              <w:top w:val="nil"/>
              <w:left w:val="nil"/>
              <w:bottom w:val="nil"/>
              <w:right w:val="nil"/>
            </w:tcBorders>
            <w:shd w:val="clear" w:color="auto" w:fill="auto"/>
            <w:noWrap/>
            <w:vAlign w:val="bottom"/>
            <w:hideMark/>
          </w:tcPr>
          <w:p w:rsidR="003950CD" w:rsidRPr="00645786" w:rsidP="004957F6" w14:paraId="0856B7A1" w14:textId="77777777">
            <w:pPr>
              <w:jc w:val="right"/>
              <w:rPr>
                <w:sz w:val="22"/>
                <w:szCs w:val="22"/>
              </w:rPr>
            </w:pPr>
          </w:p>
        </w:tc>
        <w:tc>
          <w:tcPr>
            <w:tcW w:w="1455" w:type="dxa"/>
            <w:tcBorders>
              <w:top w:val="nil"/>
              <w:left w:val="nil"/>
              <w:bottom w:val="nil"/>
              <w:right w:val="nil"/>
            </w:tcBorders>
            <w:shd w:val="clear" w:color="auto" w:fill="auto"/>
            <w:noWrap/>
            <w:vAlign w:val="bottom"/>
            <w:hideMark/>
          </w:tcPr>
          <w:p w:rsidR="003950CD" w:rsidRPr="00645786" w:rsidP="004957F6" w14:paraId="01CF40BB" w14:textId="77777777">
            <w:pPr>
              <w:jc w:val="right"/>
              <w:rPr>
                <w:sz w:val="22"/>
                <w:szCs w:val="22"/>
              </w:rPr>
            </w:pPr>
          </w:p>
        </w:tc>
        <w:tc>
          <w:tcPr>
            <w:tcW w:w="1455" w:type="dxa"/>
            <w:tcBorders>
              <w:top w:val="nil"/>
              <w:left w:val="nil"/>
              <w:bottom w:val="nil"/>
              <w:right w:val="nil"/>
            </w:tcBorders>
            <w:shd w:val="clear" w:color="auto" w:fill="auto"/>
            <w:noWrap/>
            <w:vAlign w:val="bottom"/>
            <w:hideMark/>
          </w:tcPr>
          <w:p w:rsidR="003950CD" w:rsidRPr="00645786" w:rsidP="004957F6" w14:paraId="06F303FA" w14:textId="77777777">
            <w:pPr>
              <w:jc w:val="right"/>
              <w:rPr>
                <w:sz w:val="22"/>
                <w:szCs w:val="22"/>
              </w:rPr>
            </w:pPr>
          </w:p>
        </w:tc>
      </w:tr>
      <w:tr w14:paraId="30A53EAA" w14:textId="77777777" w:rsidTr="003243E9">
        <w:tblPrEx>
          <w:tblW w:w="5000" w:type="pct"/>
          <w:tblLayout w:type="fixed"/>
          <w:tblLook w:val="04A0"/>
        </w:tblPrEx>
        <w:trPr>
          <w:trHeight w:val="279"/>
        </w:trPr>
        <w:tc>
          <w:tcPr>
            <w:tcW w:w="4995" w:type="dxa"/>
            <w:tcBorders>
              <w:top w:val="nil"/>
              <w:left w:val="nil"/>
              <w:bottom w:val="nil"/>
              <w:right w:val="nil"/>
            </w:tcBorders>
            <w:shd w:val="clear" w:color="000000" w:fill="FFFFFF"/>
            <w:vAlign w:val="bottom"/>
            <w:hideMark/>
          </w:tcPr>
          <w:p w:rsidR="003950CD" w:rsidRPr="00645786" w:rsidP="00F02B50" w14:paraId="0BDC4EE5" w14:textId="77777777">
            <w:pPr>
              <w:ind w:left="432"/>
              <w:rPr>
                <w:sz w:val="22"/>
                <w:szCs w:val="22"/>
              </w:rPr>
            </w:pPr>
            <w:r w:rsidRPr="00645786">
              <w:rPr>
                <w:sz w:val="22"/>
                <w:szCs w:val="22"/>
              </w:rPr>
              <w:t>Liability to the General Fund and Other Non-Entity Assets</w:t>
            </w:r>
          </w:p>
        </w:tc>
        <w:tc>
          <w:tcPr>
            <w:tcW w:w="1455" w:type="dxa"/>
            <w:tcBorders>
              <w:top w:val="nil"/>
              <w:left w:val="nil"/>
              <w:bottom w:val="nil"/>
              <w:right w:val="nil"/>
            </w:tcBorders>
            <w:shd w:val="clear" w:color="auto" w:fill="auto"/>
            <w:noWrap/>
            <w:vAlign w:val="bottom"/>
            <w:hideMark/>
          </w:tcPr>
          <w:p w:rsidR="003950CD" w:rsidRPr="00645786" w:rsidP="004957F6" w14:paraId="1DCB6B91" w14:textId="11AA41A2">
            <w:pPr>
              <w:jc w:val="right"/>
              <w:rPr>
                <w:sz w:val="22"/>
                <w:szCs w:val="22"/>
              </w:rPr>
            </w:pPr>
            <w:r w:rsidRPr="00645786">
              <w:rPr>
                <w:sz w:val="22"/>
                <w:szCs w:val="22"/>
              </w:rPr>
              <w:t>$</w:t>
            </w:r>
            <w:r w:rsidRPr="00645786" w:rsidR="00E644A4">
              <w:rPr>
                <w:sz w:val="22"/>
                <w:szCs w:val="22"/>
              </w:rPr>
              <w:t xml:space="preserve">                  </w:t>
            </w:r>
            <w:r w:rsidRPr="00645786">
              <w:rPr>
                <w:sz w:val="22"/>
                <w:szCs w:val="22"/>
              </w:rPr>
              <w:t xml:space="preserve"> - </w:t>
            </w:r>
          </w:p>
        </w:tc>
        <w:tc>
          <w:tcPr>
            <w:tcW w:w="1455" w:type="dxa"/>
            <w:tcBorders>
              <w:top w:val="nil"/>
              <w:left w:val="nil"/>
              <w:bottom w:val="nil"/>
              <w:right w:val="nil"/>
            </w:tcBorders>
            <w:shd w:val="clear" w:color="auto" w:fill="auto"/>
            <w:noWrap/>
            <w:vAlign w:val="bottom"/>
            <w:hideMark/>
          </w:tcPr>
          <w:p w:rsidR="003950CD" w:rsidRPr="00645786" w:rsidP="004957F6" w14:paraId="1FEA56A2" w14:textId="53DFDF5B">
            <w:pPr>
              <w:jc w:val="right"/>
              <w:rPr>
                <w:sz w:val="22"/>
                <w:szCs w:val="22"/>
              </w:rPr>
            </w:pPr>
            <w:r w:rsidRPr="00645786">
              <w:rPr>
                <w:sz w:val="22"/>
                <w:szCs w:val="22"/>
              </w:rPr>
              <w:t>$</w:t>
            </w:r>
            <w:r w:rsidRPr="00645786" w:rsidR="00E644A4">
              <w:rPr>
                <w:sz w:val="22"/>
                <w:szCs w:val="22"/>
              </w:rPr>
              <w:t xml:space="preserve">   </w:t>
            </w:r>
            <w:r w:rsidRPr="00645786">
              <w:rPr>
                <w:sz w:val="22"/>
                <w:szCs w:val="22"/>
              </w:rPr>
              <w:t xml:space="preserve"> 7,738,740 </w:t>
            </w:r>
          </w:p>
        </w:tc>
        <w:tc>
          <w:tcPr>
            <w:tcW w:w="1455" w:type="dxa"/>
            <w:tcBorders>
              <w:top w:val="nil"/>
              <w:left w:val="nil"/>
              <w:bottom w:val="nil"/>
              <w:right w:val="nil"/>
            </w:tcBorders>
            <w:shd w:val="clear" w:color="auto" w:fill="auto"/>
            <w:noWrap/>
            <w:vAlign w:val="bottom"/>
            <w:hideMark/>
          </w:tcPr>
          <w:p w:rsidR="003950CD" w:rsidRPr="00645786" w:rsidP="004957F6" w14:paraId="7C0A427A" w14:textId="68043BFC">
            <w:pPr>
              <w:jc w:val="right"/>
              <w:rPr>
                <w:sz w:val="22"/>
                <w:szCs w:val="22"/>
              </w:rPr>
            </w:pPr>
            <w:r w:rsidRPr="00645786">
              <w:rPr>
                <w:sz w:val="22"/>
                <w:szCs w:val="22"/>
              </w:rPr>
              <w:t>$</w:t>
            </w:r>
            <w:r w:rsidRPr="00645786" w:rsidR="00E644A4">
              <w:rPr>
                <w:sz w:val="22"/>
                <w:szCs w:val="22"/>
              </w:rPr>
              <w:t xml:space="preserve">   </w:t>
            </w:r>
            <w:r w:rsidRPr="00645786">
              <w:rPr>
                <w:sz w:val="22"/>
                <w:szCs w:val="22"/>
              </w:rPr>
              <w:t xml:space="preserve"> 7,738,740 </w:t>
            </w:r>
          </w:p>
        </w:tc>
      </w:tr>
      <w:tr w14:paraId="7306E90F"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4E61D70C" w14:textId="77777777">
            <w:pPr>
              <w:ind w:firstLine="440" w:firstLineChars="200"/>
              <w:rPr>
                <w:sz w:val="22"/>
                <w:szCs w:val="22"/>
              </w:rPr>
            </w:pPr>
            <w:r w:rsidRPr="00645786">
              <w:rPr>
                <w:sz w:val="22"/>
                <w:szCs w:val="22"/>
              </w:rPr>
              <w:t>Other</w:t>
            </w:r>
          </w:p>
        </w:tc>
        <w:tc>
          <w:tcPr>
            <w:tcW w:w="1455" w:type="dxa"/>
            <w:tcBorders>
              <w:top w:val="nil"/>
              <w:left w:val="nil"/>
              <w:bottom w:val="single" w:sz="4" w:space="0" w:color="auto"/>
              <w:right w:val="nil"/>
            </w:tcBorders>
            <w:shd w:val="clear" w:color="auto" w:fill="auto"/>
            <w:noWrap/>
            <w:vAlign w:val="bottom"/>
            <w:hideMark/>
          </w:tcPr>
          <w:p w:rsidR="003950CD" w:rsidRPr="00645786" w:rsidP="004957F6" w14:paraId="1A83D8A7" w14:textId="77777777">
            <w:pPr>
              <w:jc w:val="right"/>
              <w:rPr>
                <w:sz w:val="22"/>
                <w:szCs w:val="22"/>
              </w:rPr>
            </w:pPr>
            <w:r w:rsidRPr="00645786">
              <w:rPr>
                <w:sz w:val="22"/>
                <w:szCs w:val="22"/>
              </w:rPr>
              <w:t xml:space="preserve"> - </w:t>
            </w:r>
          </w:p>
        </w:tc>
        <w:tc>
          <w:tcPr>
            <w:tcW w:w="1455" w:type="dxa"/>
            <w:tcBorders>
              <w:top w:val="nil"/>
              <w:left w:val="nil"/>
              <w:bottom w:val="single" w:sz="4" w:space="0" w:color="auto"/>
              <w:right w:val="nil"/>
            </w:tcBorders>
            <w:shd w:val="clear" w:color="auto" w:fill="auto"/>
            <w:noWrap/>
            <w:vAlign w:val="bottom"/>
            <w:hideMark/>
          </w:tcPr>
          <w:p w:rsidR="003950CD" w:rsidRPr="00645786" w:rsidP="004957F6" w14:paraId="4F1B4AB8" w14:textId="77777777">
            <w:pPr>
              <w:jc w:val="right"/>
              <w:rPr>
                <w:sz w:val="22"/>
                <w:szCs w:val="22"/>
              </w:rPr>
            </w:pPr>
            <w:r w:rsidRPr="00645786">
              <w:rPr>
                <w:sz w:val="22"/>
                <w:szCs w:val="22"/>
              </w:rPr>
              <w:t xml:space="preserve"> 3,553 </w:t>
            </w:r>
          </w:p>
        </w:tc>
        <w:tc>
          <w:tcPr>
            <w:tcW w:w="1455" w:type="dxa"/>
            <w:tcBorders>
              <w:top w:val="nil"/>
              <w:left w:val="nil"/>
              <w:bottom w:val="single" w:sz="4" w:space="0" w:color="auto"/>
              <w:right w:val="nil"/>
            </w:tcBorders>
            <w:shd w:val="clear" w:color="auto" w:fill="auto"/>
            <w:noWrap/>
            <w:vAlign w:val="bottom"/>
            <w:hideMark/>
          </w:tcPr>
          <w:p w:rsidR="003950CD" w:rsidRPr="00645786" w:rsidP="004957F6" w14:paraId="650E5CB1" w14:textId="77777777">
            <w:pPr>
              <w:jc w:val="right"/>
              <w:rPr>
                <w:sz w:val="22"/>
                <w:szCs w:val="22"/>
              </w:rPr>
            </w:pPr>
            <w:r w:rsidRPr="00645786">
              <w:rPr>
                <w:sz w:val="22"/>
                <w:szCs w:val="22"/>
              </w:rPr>
              <w:t xml:space="preserve"> 3,553 </w:t>
            </w:r>
          </w:p>
        </w:tc>
      </w:tr>
      <w:tr w14:paraId="55838DFB"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6B27E0D4" w14:textId="77777777">
            <w:pPr>
              <w:rPr>
                <w:sz w:val="22"/>
                <w:szCs w:val="22"/>
              </w:rPr>
            </w:pPr>
            <w:r w:rsidRPr="00645786">
              <w:rPr>
                <w:sz w:val="22"/>
                <w:szCs w:val="22"/>
              </w:rPr>
              <w:t>Total Intragovernmental</w:t>
            </w:r>
          </w:p>
        </w:tc>
        <w:tc>
          <w:tcPr>
            <w:tcW w:w="1455" w:type="dxa"/>
            <w:tcBorders>
              <w:top w:val="nil"/>
              <w:left w:val="nil"/>
              <w:bottom w:val="nil"/>
              <w:right w:val="nil"/>
            </w:tcBorders>
            <w:shd w:val="clear" w:color="auto" w:fill="auto"/>
            <w:noWrap/>
            <w:vAlign w:val="bottom"/>
            <w:hideMark/>
          </w:tcPr>
          <w:p w:rsidR="003950CD" w:rsidRPr="00645786" w:rsidP="004957F6" w14:paraId="73E912EF" w14:textId="77777777">
            <w:pPr>
              <w:jc w:val="right"/>
              <w:rPr>
                <w:sz w:val="22"/>
                <w:szCs w:val="22"/>
              </w:rPr>
            </w:pPr>
            <w:r w:rsidRPr="00645786">
              <w:rPr>
                <w:sz w:val="22"/>
                <w:szCs w:val="22"/>
              </w:rPr>
              <w:t xml:space="preserve"> - </w:t>
            </w:r>
          </w:p>
        </w:tc>
        <w:tc>
          <w:tcPr>
            <w:tcW w:w="1455" w:type="dxa"/>
            <w:tcBorders>
              <w:top w:val="nil"/>
              <w:left w:val="nil"/>
              <w:bottom w:val="nil"/>
              <w:right w:val="nil"/>
            </w:tcBorders>
            <w:shd w:val="clear" w:color="auto" w:fill="auto"/>
            <w:noWrap/>
            <w:vAlign w:val="bottom"/>
            <w:hideMark/>
          </w:tcPr>
          <w:p w:rsidR="003950CD" w:rsidRPr="00645786" w:rsidP="004957F6" w14:paraId="4F8846A5" w14:textId="77777777">
            <w:pPr>
              <w:jc w:val="right"/>
              <w:rPr>
                <w:sz w:val="22"/>
                <w:szCs w:val="22"/>
              </w:rPr>
            </w:pPr>
            <w:r w:rsidRPr="00645786">
              <w:rPr>
                <w:sz w:val="22"/>
                <w:szCs w:val="22"/>
              </w:rPr>
              <w:t xml:space="preserve"> 7,742,293 </w:t>
            </w:r>
          </w:p>
        </w:tc>
        <w:tc>
          <w:tcPr>
            <w:tcW w:w="1455" w:type="dxa"/>
            <w:tcBorders>
              <w:top w:val="nil"/>
              <w:left w:val="nil"/>
              <w:bottom w:val="nil"/>
              <w:right w:val="nil"/>
            </w:tcBorders>
            <w:shd w:val="clear" w:color="auto" w:fill="auto"/>
            <w:noWrap/>
            <w:vAlign w:val="bottom"/>
            <w:hideMark/>
          </w:tcPr>
          <w:p w:rsidR="003950CD" w:rsidRPr="00645786" w:rsidP="004957F6" w14:paraId="3A0B1078" w14:textId="77777777">
            <w:pPr>
              <w:jc w:val="right"/>
              <w:rPr>
                <w:sz w:val="22"/>
                <w:szCs w:val="22"/>
              </w:rPr>
            </w:pPr>
            <w:r w:rsidRPr="00645786">
              <w:rPr>
                <w:sz w:val="22"/>
                <w:szCs w:val="22"/>
              </w:rPr>
              <w:t xml:space="preserve"> 7,742,293 </w:t>
            </w:r>
          </w:p>
        </w:tc>
      </w:tr>
      <w:tr w14:paraId="5126B2EC"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32EAAD7A" w14:textId="77777777">
            <w:pPr>
              <w:rPr>
                <w:sz w:val="22"/>
                <w:szCs w:val="22"/>
              </w:rPr>
            </w:pPr>
            <w:r w:rsidRPr="00645786">
              <w:rPr>
                <w:sz w:val="22"/>
                <w:szCs w:val="22"/>
              </w:rPr>
              <w:t>With the Public</w:t>
            </w:r>
          </w:p>
        </w:tc>
        <w:tc>
          <w:tcPr>
            <w:tcW w:w="1455" w:type="dxa"/>
            <w:tcBorders>
              <w:top w:val="nil"/>
              <w:left w:val="nil"/>
              <w:bottom w:val="nil"/>
              <w:right w:val="nil"/>
            </w:tcBorders>
            <w:shd w:val="clear" w:color="auto" w:fill="auto"/>
            <w:noWrap/>
            <w:vAlign w:val="bottom"/>
            <w:hideMark/>
          </w:tcPr>
          <w:p w:rsidR="003950CD" w:rsidRPr="00645786" w:rsidP="004957F6" w14:paraId="700DEC3F" w14:textId="77777777">
            <w:pPr>
              <w:jc w:val="right"/>
              <w:rPr>
                <w:sz w:val="22"/>
                <w:szCs w:val="22"/>
              </w:rPr>
            </w:pPr>
          </w:p>
        </w:tc>
        <w:tc>
          <w:tcPr>
            <w:tcW w:w="1455" w:type="dxa"/>
            <w:tcBorders>
              <w:top w:val="nil"/>
              <w:left w:val="nil"/>
              <w:bottom w:val="nil"/>
              <w:right w:val="nil"/>
            </w:tcBorders>
            <w:shd w:val="clear" w:color="auto" w:fill="auto"/>
            <w:noWrap/>
            <w:vAlign w:val="bottom"/>
            <w:hideMark/>
          </w:tcPr>
          <w:p w:rsidR="003950CD" w:rsidRPr="00645786" w:rsidP="004957F6" w14:paraId="612D1F4D" w14:textId="77777777">
            <w:pPr>
              <w:jc w:val="right"/>
              <w:rPr>
                <w:sz w:val="22"/>
                <w:szCs w:val="22"/>
              </w:rPr>
            </w:pPr>
          </w:p>
        </w:tc>
        <w:tc>
          <w:tcPr>
            <w:tcW w:w="1455" w:type="dxa"/>
            <w:tcBorders>
              <w:top w:val="nil"/>
              <w:left w:val="nil"/>
              <w:bottom w:val="nil"/>
              <w:right w:val="nil"/>
            </w:tcBorders>
            <w:shd w:val="clear" w:color="auto" w:fill="auto"/>
            <w:noWrap/>
            <w:vAlign w:val="bottom"/>
            <w:hideMark/>
          </w:tcPr>
          <w:p w:rsidR="003950CD" w:rsidRPr="00645786" w:rsidP="004957F6" w14:paraId="1B16B4E7" w14:textId="77777777">
            <w:pPr>
              <w:jc w:val="right"/>
              <w:rPr>
                <w:sz w:val="22"/>
                <w:szCs w:val="22"/>
              </w:rPr>
            </w:pPr>
          </w:p>
        </w:tc>
      </w:tr>
      <w:tr w14:paraId="05DF6FC0"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54AAD9A1" w14:textId="77777777">
            <w:pPr>
              <w:rPr>
                <w:sz w:val="22"/>
                <w:szCs w:val="22"/>
              </w:rPr>
            </w:pPr>
            <w:r w:rsidRPr="00645786">
              <w:rPr>
                <w:sz w:val="22"/>
                <w:szCs w:val="22"/>
              </w:rPr>
              <w:t>Prepaid Contributions</w:t>
            </w:r>
          </w:p>
        </w:tc>
        <w:tc>
          <w:tcPr>
            <w:tcW w:w="1455" w:type="dxa"/>
            <w:tcBorders>
              <w:top w:val="nil"/>
              <w:left w:val="nil"/>
              <w:bottom w:val="nil"/>
              <w:right w:val="nil"/>
            </w:tcBorders>
            <w:shd w:val="clear" w:color="auto" w:fill="auto"/>
            <w:noWrap/>
            <w:vAlign w:val="bottom"/>
            <w:hideMark/>
          </w:tcPr>
          <w:p w:rsidR="003950CD" w:rsidRPr="00645786" w:rsidP="004957F6" w14:paraId="396BE3C9" w14:textId="77777777">
            <w:pPr>
              <w:jc w:val="right"/>
              <w:rPr>
                <w:sz w:val="22"/>
                <w:szCs w:val="22"/>
              </w:rPr>
            </w:pPr>
            <w:r w:rsidRPr="00645786">
              <w:rPr>
                <w:sz w:val="22"/>
                <w:szCs w:val="22"/>
              </w:rPr>
              <w:t xml:space="preserve"> - </w:t>
            </w:r>
          </w:p>
        </w:tc>
        <w:tc>
          <w:tcPr>
            <w:tcW w:w="1455" w:type="dxa"/>
            <w:tcBorders>
              <w:top w:val="nil"/>
              <w:left w:val="nil"/>
              <w:bottom w:val="nil"/>
              <w:right w:val="nil"/>
            </w:tcBorders>
            <w:shd w:val="clear" w:color="auto" w:fill="auto"/>
            <w:noWrap/>
            <w:vAlign w:val="bottom"/>
            <w:hideMark/>
          </w:tcPr>
          <w:p w:rsidR="003950CD" w:rsidRPr="00645786" w:rsidP="004957F6" w14:paraId="7B0E57E1" w14:textId="77777777">
            <w:pPr>
              <w:jc w:val="right"/>
              <w:rPr>
                <w:sz w:val="22"/>
                <w:szCs w:val="22"/>
              </w:rPr>
            </w:pPr>
            <w:r w:rsidRPr="00645786">
              <w:rPr>
                <w:sz w:val="22"/>
                <w:szCs w:val="22"/>
              </w:rPr>
              <w:t xml:space="preserve"> 108,399 </w:t>
            </w:r>
          </w:p>
        </w:tc>
        <w:tc>
          <w:tcPr>
            <w:tcW w:w="1455" w:type="dxa"/>
            <w:tcBorders>
              <w:top w:val="nil"/>
              <w:left w:val="nil"/>
              <w:bottom w:val="nil"/>
              <w:right w:val="nil"/>
            </w:tcBorders>
            <w:shd w:val="clear" w:color="auto" w:fill="auto"/>
            <w:noWrap/>
            <w:vAlign w:val="bottom"/>
            <w:hideMark/>
          </w:tcPr>
          <w:p w:rsidR="003950CD" w:rsidRPr="00645786" w:rsidP="004957F6" w14:paraId="704E45FA" w14:textId="77777777">
            <w:pPr>
              <w:jc w:val="right"/>
              <w:rPr>
                <w:sz w:val="22"/>
                <w:szCs w:val="22"/>
              </w:rPr>
            </w:pPr>
            <w:r w:rsidRPr="00645786">
              <w:rPr>
                <w:sz w:val="22"/>
                <w:szCs w:val="22"/>
              </w:rPr>
              <w:t xml:space="preserve"> 108,399 </w:t>
            </w:r>
          </w:p>
        </w:tc>
      </w:tr>
      <w:tr w14:paraId="54798B3E"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67CEC9D3" w14:textId="77777777">
            <w:pPr>
              <w:rPr>
                <w:sz w:val="22"/>
                <w:szCs w:val="22"/>
              </w:rPr>
            </w:pPr>
            <w:r w:rsidRPr="00645786">
              <w:rPr>
                <w:sz w:val="22"/>
                <w:szCs w:val="22"/>
              </w:rPr>
              <w:t>Accrued Liabilities for USF and TRS</w:t>
            </w:r>
          </w:p>
        </w:tc>
        <w:tc>
          <w:tcPr>
            <w:tcW w:w="1455" w:type="dxa"/>
            <w:tcBorders>
              <w:top w:val="nil"/>
              <w:left w:val="nil"/>
              <w:bottom w:val="nil"/>
              <w:right w:val="nil"/>
            </w:tcBorders>
            <w:shd w:val="clear" w:color="auto" w:fill="auto"/>
            <w:noWrap/>
            <w:vAlign w:val="bottom"/>
            <w:hideMark/>
          </w:tcPr>
          <w:p w:rsidR="003950CD" w:rsidRPr="00645786" w:rsidP="004957F6" w14:paraId="0321A2E2" w14:textId="77777777">
            <w:pPr>
              <w:jc w:val="right"/>
              <w:rPr>
                <w:sz w:val="22"/>
                <w:szCs w:val="22"/>
              </w:rPr>
            </w:pPr>
            <w:r w:rsidRPr="00645786">
              <w:rPr>
                <w:sz w:val="22"/>
                <w:szCs w:val="22"/>
              </w:rPr>
              <w:t xml:space="preserve"> - </w:t>
            </w:r>
          </w:p>
        </w:tc>
        <w:tc>
          <w:tcPr>
            <w:tcW w:w="1455" w:type="dxa"/>
            <w:tcBorders>
              <w:top w:val="nil"/>
              <w:left w:val="nil"/>
              <w:bottom w:val="nil"/>
              <w:right w:val="nil"/>
            </w:tcBorders>
            <w:shd w:val="clear" w:color="auto" w:fill="auto"/>
            <w:noWrap/>
            <w:vAlign w:val="bottom"/>
            <w:hideMark/>
          </w:tcPr>
          <w:p w:rsidR="003950CD" w:rsidRPr="00645786" w:rsidP="004957F6" w14:paraId="3C727BEA" w14:textId="77777777">
            <w:pPr>
              <w:jc w:val="right"/>
              <w:rPr>
                <w:sz w:val="22"/>
                <w:szCs w:val="22"/>
              </w:rPr>
            </w:pPr>
            <w:r w:rsidRPr="00645786">
              <w:rPr>
                <w:sz w:val="22"/>
                <w:szCs w:val="22"/>
              </w:rPr>
              <w:t xml:space="preserve"> 483,329 </w:t>
            </w:r>
          </w:p>
        </w:tc>
        <w:tc>
          <w:tcPr>
            <w:tcW w:w="1455" w:type="dxa"/>
            <w:tcBorders>
              <w:top w:val="nil"/>
              <w:left w:val="nil"/>
              <w:bottom w:val="nil"/>
              <w:right w:val="nil"/>
            </w:tcBorders>
            <w:shd w:val="clear" w:color="auto" w:fill="auto"/>
            <w:noWrap/>
            <w:vAlign w:val="bottom"/>
            <w:hideMark/>
          </w:tcPr>
          <w:p w:rsidR="003950CD" w:rsidRPr="00645786" w:rsidP="004957F6" w14:paraId="0F088240" w14:textId="77777777">
            <w:pPr>
              <w:jc w:val="right"/>
              <w:rPr>
                <w:sz w:val="22"/>
                <w:szCs w:val="22"/>
              </w:rPr>
            </w:pPr>
            <w:r w:rsidRPr="00645786">
              <w:rPr>
                <w:sz w:val="22"/>
                <w:szCs w:val="22"/>
              </w:rPr>
              <w:t xml:space="preserve"> 483,329 </w:t>
            </w:r>
          </w:p>
        </w:tc>
      </w:tr>
      <w:tr w14:paraId="44FCC4F0"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2BA9E425" w14:textId="77777777">
            <w:pPr>
              <w:rPr>
                <w:sz w:val="22"/>
                <w:szCs w:val="22"/>
              </w:rPr>
            </w:pPr>
            <w:r w:rsidRPr="00645786">
              <w:rPr>
                <w:sz w:val="22"/>
                <w:szCs w:val="22"/>
              </w:rPr>
              <w:t>Other</w:t>
            </w:r>
          </w:p>
        </w:tc>
        <w:tc>
          <w:tcPr>
            <w:tcW w:w="1455" w:type="dxa"/>
            <w:tcBorders>
              <w:top w:val="nil"/>
              <w:left w:val="nil"/>
              <w:bottom w:val="nil"/>
              <w:right w:val="nil"/>
            </w:tcBorders>
            <w:shd w:val="clear" w:color="auto" w:fill="auto"/>
            <w:noWrap/>
            <w:vAlign w:val="bottom"/>
            <w:hideMark/>
          </w:tcPr>
          <w:p w:rsidR="003950CD" w:rsidRPr="00645786" w:rsidP="004957F6" w14:paraId="2FA23769" w14:textId="77777777">
            <w:pPr>
              <w:jc w:val="right"/>
              <w:rPr>
                <w:sz w:val="22"/>
                <w:szCs w:val="22"/>
              </w:rPr>
            </w:pPr>
            <w:r w:rsidRPr="00645786">
              <w:rPr>
                <w:sz w:val="22"/>
                <w:szCs w:val="22"/>
              </w:rPr>
              <w:t xml:space="preserve"> 6,570 </w:t>
            </w:r>
          </w:p>
        </w:tc>
        <w:tc>
          <w:tcPr>
            <w:tcW w:w="1455" w:type="dxa"/>
            <w:tcBorders>
              <w:top w:val="nil"/>
              <w:left w:val="nil"/>
              <w:bottom w:val="nil"/>
              <w:right w:val="nil"/>
            </w:tcBorders>
            <w:shd w:val="clear" w:color="auto" w:fill="auto"/>
            <w:noWrap/>
            <w:vAlign w:val="bottom"/>
            <w:hideMark/>
          </w:tcPr>
          <w:p w:rsidR="003950CD" w:rsidRPr="00645786" w:rsidP="004957F6" w14:paraId="7D34740F" w14:textId="77777777">
            <w:pPr>
              <w:jc w:val="right"/>
              <w:rPr>
                <w:sz w:val="22"/>
                <w:szCs w:val="22"/>
              </w:rPr>
            </w:pPr>
            <w:r w:rsidRPr="00645786">
              <w:rPr>
                <w:sz w:val="22"/>
                <w:szCs w:val="22"/>
              </w:rPr>
              <w:t xml:space="preserve"> 21,409 </w:t>
            </w:r>
          </w:p>
        </w:tc>
        <w:tc>
          <w:tcPr>
            <w:tcW w:w="1455" w:type="dxa"/>
            <w:tcBorders>
              <w:top w:val="nil"/>
              <w:left w:val="nil"/>
              <w:bottom w:val="nil"/>
              <w:right w:val="nil"/>
            </w:tcBorders>
            <w:shd w:val="clear" w:color="auto" w:fill="auto"/>
            <w:noWrap/>
            <w:vAlign w:val="bottom"/>
            <w:hideMark/>
          </w:tcPr>
          <w:p w:rsidR="003950CD" w:rsidRPr="00645786" w:rsidP="004957F6" w14:paraId="60555723" w14:textId="77777777">
            <w:pPr>
              <w:jc w:val="right"/>
              <w:rPr>
                <w:sz w:val="22"/>
                <w:szCs w:val="22"/>
              </w:rPr>
            </w:pPr>
            <w:r w:rsidRPr="00645786">
              <w:rPr>
                <w:sz w:val="22"/>
                <w:szCs w:val="22"/>
              </w:rPr>
              <w:t xml:space="preserve"> 27,979 </w:t>
            </w:r>
          </w:p>
        </w:tc>
      </w:tr>
      <w:tr w14:paraId="045B19C4" w14:textId="77777777" w:rsidTr="003243E9">
        <w:tblPrEx>
          <w:tblW w:w="5000" w:type="pct"/>
          <w:tblLayout w:type="fixed"/>
          <w:tblLook w:val="04A0"/>
        </w:tblPrEx>
        <w:trPr>
          <w:trHeight w:val="276"/>
        </w:trPr>
        <w:tc>
          <w:tcPr>
            <w:tcW w:w="4995" w:type="dxa"/>
            <w:tcBorders>
              <w:top w:val="nil"/>
              <w:left w:val="nil"/>
              <w:bottom w:val="nil"/>
              <w:right w:val="nil"/>
            </w:tcBorders>
            <w:shd w:val="clear" w:color="000000" w:fill="FFFFFF"/>
            <w:noWrap/>
            <w:vAlign w:val="bottom"/>
            <w:hideMark/>
          </w:tcPr>
          <w:p w:rsidR="003950CD" w:rsidRPr="00645786" w:rsidP="004957F6" w14:paraId="301C0241" w14:textId="77777777">
            <w:pPr>
              <w:rPr>
                <w:sz w:val="22"/>
                <w:szCs w:val="22"/>
              </w:rPr>
            </w:pPr>
            <w:r w:rsidRPr="00645786">
              <w:rPr>
                <w:sz w:val="22"/>
                <w:szCs w:val="22"/>
              </w:rPr>
              <w:t>Total With the Public</w:t>
            </w:r>
          </w:p>
        </w:tc>
        <w:tc>
          <w:tcPr>
            <w:tcW w:w="1455" w:type="dxa"/>
            <w:tcBorders>
              <w:top w:val="single" w:sz="4" w:space="0" w:color="000000"/>
              <w:left w:val="nil"/>
              <w:bottom w:val="single" w:sz="4" w:space="0" w:color="000000"/>
              <w:right w:val="nil"/>
            </w:tcBorders>
            <w:shd w:val="clear" w:color="auto" w:fill="auto"/>
            <w:noWrap/>
            <w:vAlign w:val="bottom"/>
            <w:hideMark/>
          </w:tcPr>
          <w:p w:rsidR="003950CD" w:rsidRPr="00645786" w:rsidP="004957F6" w14:paraId="3D8F5400" w14:textId="77777777">
            <w:pPr>
              <w:jc w:val="right"/>
              <w:rPr>
                <w:sz w:val="22"/>
                <w:szCs w:val="22"/>
              </w:rPr>
            </w:pPr>
            <w:r w:rsidRPr="00645786">
              <w:rPr>
                <w:sz w:val="22"/>
                <w:szCs w:val="22"/>
              </w:rPr>
              <w:t xml:space="preserve"> 6,570 </w:t>
            </w:r>
          </w:p>
        </w:tc>
        <w:tc>
          <w:tcPr>
            <w:tcW w:w="1455" w:type="dxa"/>
            <w:tcBorders>
              <w:top w:val="single" w:sz="4" w:space="0" w:color="000000"/>
              <w:left w:val="nil"/>
              <w:bottom w:val="single" w:sz="4" w:space="0" w:color="000000"/>
              <w:right w:val="nil"/>
            </w:tcBorders>
            <w:shd w:val="clear" w:color="auto" w:fill="auto"/>
            <w:noWrap/>
            <w:vAlign w:val="bottom"/>
            <w:hideMark/>
          </w:tcPr>
          <w:p w:rsidR="003950CD" w:rsidRPr="00645786" w:rsidP="004957F6" w14:paraId="3E965C6A" w14:textId="77777777">
            <w:pPr>
              <w:jc w:val="right"/>
              <w:rPr>
                <w:sz w:val="22"/>
                <w:szCs w:val="22"/>
              </w:rPr>
            </w:pPr>
            <w:r w:rsidRPr="00645786">
              <w:rPr>
                <w:sz w:val="22"/>
                <w:szCs w:val="22"/>
              </w:rPr>
              <w:t xml:space="preserve"> 613,137 </w:t>
            </w:r>
          </w:p>
        </w:tc>
        <w:tc>
          <w:tcPr>
            <w:tcW w:w="1455" w:type="dxa"/>
            <w:tcBorders>
              <w:top w:val="single" w:sz="4" w:space="0" w:color="000000"/>
              <w:left w:val="nil"/>
              <w:bottom w:val="single" w:sz="4" w:space="0" w:color="000000"/>
              <w:right w:val="nil"/>
            </w:tcBorders>
            <w:shd w:val="clear" w:color="auto" w:fill="auto"/>
            <w:noWrap/>
            <w:vAlign w:val="bottom"/>
            <w:hideMark/>
          </w:tcPr>
          <w:p w:rsidR="003950CD" w:rsidRPr="00645786" w:rsidP="004957F6" w14:paraId="2964353C" w14:textId="77777777">
            <w:pPr>
              <w:jc w:val="right"/>
              <w:rPr>
                <w:sz w:val="22"/>
                <w:szCs w:val="22"/>
              </w:rPr>
            </w:pPr>
            <w:r w:rsidRPr="00645786">
              <w:rPr>
                <w:sz w:val="22"/>
                <w:szCs w:val="22"/>
              </w:rPr>
              <w:t xml:space="preserve"> 619,707 </w:t>
            </w:r>
          </w:p>
        </w:tc>
      </w:tr>
      <w:tr w14:paraId="2B916381" w14:textId="77777777" w:rsidTr="003243E9">
        <w:tblPrEx>
          <w:tblW w:w="5000" w:type="pct"/>
          <w:tblLayout w:type="fixed"/>
          <w:tblLook w:val="04A0"/>
        </w:tblPrEx>
        <w:trPr>
          <w:trHeight w:val="288"/>
        </w:trPr>
        <w:tc>
          <w:tcPr>
            <w:tcW w:w="4995" w:type="dxa"/>
            <w:tcBorders>
              <w:top w:val="nil"/>
              <w:left w:val="nil"/>
              <w:bottom w:val="nil"/>
              <w:right w:val="nil"/>
            </w:tcBorders>
            <w:shd w:val="clear" w:color="000000" w:fill="FFFFFF"/>
            <w:noWrap/>
            <w:vAlign w:val="bottom"/>
            <w:hideMark/>
          </w:tcPr>
          <w:p w:rsidR="003950CD" w:rsidRPr="00645786" w:rsidP="004957F6" w14:paraId="35F814F3" w14:textId="77777777">
            <w:pPr>
              <w:rPr>
                <w:sz w:val="22"/>
                <w:szCs w:val="22"/>
              </w:rPr>
            </w:pPr>
            <w:r w:rsidRPr="00645786">
              <w:rPr>
                <w:sz w:val="22"/>
                <w:szCs w:val="22"/>
              </w:rPr>
              <w:t>Total Other Liabilities</w:t>
            </w:r>
          </w:p>
        </w:tc>
        <w:tc>
          <w:tcPr>
            <w:tcW w:w="1455" w:type="dxa"/>
            <w:tcBorders>
              <w:top w:val="nil"/>
              <w:left w:val="nil"/>
              <w:bottom w:val="double" w:sz="6" w:space="0" w:color="auto"/>
              <w:right w:val="nil"/>
            </w:tcBorders>
            <w:shd w:val="clear" w:color="auto" w:fill="auto"/>
            <w:noWrap/>
            <w:vAlign w:val="bottom"/>
            <w:hideMark/>
          </w:tcPr>
          <w:p w:rsidR="003950CD" w:rsidRPr="00645786" w:rsidP="004957F6" w14:paraId="09487038" w14:textId="7BE22358">
            <w:pPr>
              <w:jc w:val="right"/>
              <w:rPr>
                <w:sz w:val="22"/>
                <w:szCs w:val="22"/>
              </w:rPr>
            </w:pPr>
            <w:r w:rsidRPr="00645786">
              <w:rPr>
                <w:sz w:val="22"/>
                <w:szCs w:val="22"/>
              </w:rPr>
              <w:t>$</w:t>
            </w:r>
            <w:r w:rsidRPr="00645786" w:rsidR="00E644A4">
              <w:rPr>
                <w:sz w:val="22"/>
                <w:szCs w:val="22"/>
              </w:rPr>
              <w:t xml:space="preserve">          </w:t>
            </w:r>
            <w:r w:rsidRPr="00645786">
              <w:rPr>
                <w:sz w:val="22"/>
                <w:szCs w:val="22"/>
              </w:rPr>
              <w:t xml:space="preserve"> 6,570 </w:t>
            </w:r>
          </w:p>
        </w:tc>
        <w:tc>
          <w:tcPr>
            <w:tcW w:w="1455" w:type="dxa"/>
            <w:tcBorders>
              <w:top w:val="nil"/>
              <w:left w:val="nil"/>
              <w:bottom w:val="double" w:sz="6" w:space="0" w:color="auto"/>
              <w:right w:val="nil"/>
            </w:tcBorders>
            <w:shd w:val="clear" w:color="auto" w:fill="auto"/>
            <w:noWrap/>
            <w:vAlign w:val="bottom"/>
            <w:hideMark/>
          </w:tcPr>
          <w:p w:rsidR="003950CD" w:rsidRPr="00645786" w:rsidP="004957F6" w14:paraId="3B05C1D3" w14:textId="184694FE">
            <w:pPr>
              <w:jc w:val="right"/>
              <w:rPr>
                <w:sz w:val="22"/>
                <w:szCs w:val="22"/>
              </w:rPr>
            </w:pPr>
            <w:r w:rsidRPr="00645786">
              <w:rPr>
                <w:sz w:val="22"/>
                <w:szCs w:val="22"/>
              </w:rPr>
              <w:t>$</w:t>
            </w:r>
            <w:r w:rsidRPr="00645786" w:rsidR="00E644A4">
              <w:rPr>
                <w:sz w:val="22"/>
                <w:szCs w:val="22"/>
              </w:rPr>
              <w:t xml:space="preserve">   </w:t>
            </w:r>
            <w:r w:rsidRPr="00645786">
              <w:rPr>
                <w:sz w:val="22"/>
                <w:szCs w:val="22"/>
              </w:rPr>
              <w:t xml:space="preserve"> 8,355,430 </w:t>
            </w:r>
          </w:p>
        </w:tc>
        <w:tc>
          <w:tcPr>
            <w:tcW w:w="1455" w:type="dxa"/>
            <w:tcBorders>
              <w:top w:val="nil"/>
              <w:left w:val="nil"/>
              <w:bottom w:val="double" w:sz="6" w:space="0" w:color="auto"/>
              <w:right w:val="nil"/>
            </w:tcBorders>
            <w:shd w:val="clear" w:color="auto" w:fill="auto"/>
            <w:noWrap/>
            <w:vAlign w:val="bottom"/>
            <w:hideMark/>
          </w:tcPr>
          <w:p w:rsidR="003950CD" w:rsidRPr="00645786" w:rsidP="004957F6" w14:paraId="66E99F4E" w14:textId="583B21A2">
            <w:pPr>
              <w:jc w:val="right"/>
              <w:rPr>
                <w:sz w:val="22"/>
                <w:szCs w:val="22"/>
              </w:rPr>
            </w:pPr>
            <w:r w:rsidRPr="00645786">
              <w:rPr>
                <w:sz w:val="22"/>
                <w:szCs w:val="22"/>
              </w:rPr>
              <w:t>$</w:t>
            </w:r>
            <w:r w:rsidRPr="00645786" w:rsidR="00E644A4">
              <w:rPr>
                <w:sz w:val="22"/>
                <w:szCs w:val="22"/>
              </w:rPr>
              <w:t xml:space="preserve">   </w:t>
            </w:r>
            <w:r w:rsidRPr="00645786">
              <w:rPr>
                <w:sz w:val="22"/>
                <w:szCs w:val="22"/>
              </w:rPr>
              <w:t xml:space="preserve"> 8,362,000 </w:t>
            </w:r>
          </w:p>
        </w:tc>
      </w:tr>
    </w:tbl>
    <w:p w:rsidR="00285D06" w:rsidRPr="00BA1E56" w:rsidP="00EF7DFE" w14:paraId="10891F47" w14:textId="6EB18F2D">
      <w:pPr>
        <w:spacing w:before="240" w:after="240"/>
        <w:jc w:val="both"/>
        <w:rPr>
          <w:sz w:val="22"/>
          <w:szCs w:val="22"/>
        </w:rPr>
      </w:pPr>
      <w:r w:rsidRPr="00BA1E56">
        <w:rPr>
          <w:sz w:val="22"/>
          <w:szCs w:val="22"/>
        </w:rPr>
        <w:t>The Liability to the General Fund and Other Non-Entity Assets includes both cash collected, and net accounts receivable being held for transfer to the Treasury General Fund or other Federal agencies.</w:t>
      </w:r>
      <w:r w:rsidR="00C933B2">
        <w:rPr>
          <w:sz w:val="22"/>
          <w:szCs w:val="22"/>
        </w:rPr>
        <w:t xml:space="preserve"> </w:t>
      </w:r>
      <w:r w:rsidRPr="00BA1E56">
        <w:rPr>
          <w:sz w:val="22"/>
          <w:szCs w:val="22"/>
        </w:rPr>
        <w:t>The Commission collects the following types of custodial revenue:</w:t>
      </w:r>
      <w:r w:rsidR="00C933B2">
        <w:rPr>
          <w:sz w:val="22"/>
          <w:szCs w:val="22"/>
        </w:rPr>
        <w:t xml:space="preserve"> </w:t>
      </w:r>
      <w:r w:rsidRPr="00BA1E56">
        <w:rPr>
          <w:sz w:val="22"/>
          <w:szCs w:val="22"/>
        </w:rPr>
        <w:t>fines and forfeitures revenue,</w:t>
      </w:r>
      <w:r>
        <w:rPr>
          <w:sz w:val="22"/>
          <w:szCs w:val="22"/>
        </w:rPr>
        <w:t xml:space="preserve"> </w:t>
      </w:r>
      <w:r w:rsidRPr="00BA1E56">
        <w:rPr>
          <w:sz w:val="22"/>
          <w:szCs w:val="22"/>
        </w:rPr>
        <w:t>penalty revenue on regulatory fees</w:t>
      </w:r>
      <w:r>
        <w:rPr>
          <w:sz w:val="22"/>
          <w:szCs w:val="22"/>
        </w:rPr>
        <w:t xml:space="preserve"> and </w:t>
      </w:r>
      <w:r w:rsidRPr="00BA1E56">
        <w:rPr>
          <w:sz w:val="22"/>
          <w:szCs w:val="22"/>
        </w:rPr>
        <w:t xml:space="preserve">spectrum </w:t>
      </w:r>
      <w:r w:rsidRPr="28223BF4">
        <w:rPr>
          <w:sz w:val="22"/>
          <w:szCs w:val="22"/>
        </w:rPr>
        <w:t>auctions program</w:t>
      </w:r>
      <w:r w:rsidRPr="00BA1E56">
        <w:rPr>
          <w:sz w:val="22"/>
          <w:szCs w:val="22"/>
        </w:rPr>
        <w:t xml:space="preserve"> revenue.</w:t>
      </w:r>
      <w:r w:rsidR="00C933B2">
        <w:rPr>
          <w:sz w:val="22"/>
          <w:szCs w:val="22"/>
        </w:rPr>
        <w:t xml:space="preserve"> </w:t>
      </w:r>
    </w:p>
    <w:bookmarkEnd w:id="251"/>
    <w:p w:rsidR="00F054D8" w:rsidP="00EF7DFE" w14:paraId="55689D04" w14:textId="77777777">
      <w:pPr>
        <w:spacing w:after="240"/>
        <w:jc w:val="both"/>
        <w:rPr>
          <w:sz w:val="22"/>
          <w:szCs w:val="22"/>
        </w:rPr>
        <w:sectPr w:rsidSect="00401D62">
          <w:pgSz w:w="12240" w:h="15840"/>
          <w:pgMar w:top="1440" w:right="1440" w:bottom="1296" w:left="1440" w:header="720" w:footer="720" w:gutter="0"/>
          <w:cols w:space="720"/>
        </w:sectPr>
      </w:pPr>
      <w:r w:rsidRPr="00BA1E56">
        <w:rPr>
          <w:sz w:val="22"/>
          <w:szCs w:val="22"/>
        </w:rPr>
        <w:t>Prepaid Contributions include USF and TRS contribution overpayments that may be refunded or used to offset future payments.</w:t>
      </w:r>
      <w:r w:rsidR="00C933B2">
        <w:rPr>
          <w:sz w:val="22"/>
          <w:szCs w:val="22"/>
        </w:rPr>
        <w:t xml:space="preserve"> </w:t>
      </w:r>
      <w:r w:rsidRPr="00BA1E56">
        <w:rPr>
          <w:sz w:val="22"/>
          <w:szCs w:val="22"/>
        </w:rPr>
        <w:t xml:space="preserve">Accrued Liabilities for USF and TRS primarily represent anticipated future payments for the Lifeline program, and certain support mechanisms within the High Cost program and </w:t>
      </w:r>
      <w:r w:rsidRPr="00BA1E56">
        <w:rPr>
          <w:spacing w:val="-4"/>
          <w:kern w:val="16"/>
          <w:sz w:val="22"/>
          <w:szCs w:val="22"/>
        </w:rPr>
        <w:t>Telecommunications Relay Service</w:t>
      </w:r>
      <w:r w:rsidRPr="00BA1E56">
        <w:rPr>
          <w:sz w:val="22"/>
          <w:szCs w:val="22"/>
        </w:rPr>
        <w:t>.</w:t>
      </w:r>
      <w:r w:rsidR="00C933B2">
        <w:rPr>
          <w:sz w:val="22"/>
          <w:szCs w:val="22"/>
        </w:rPr>
        <w:t xml:space="preserve"> </w:t>
      </w:r>
      <w:r w:rsidRPr="00BA1E56">
        <w:rPr>
          <w:sz w:val="22"/>
          <w:szCs w:val="22"/>
        </w:rPr>
        <w:t>The obligations for these subsidies are not recognized until payment files are approved in the subsequent month.</w:t>
      </w:r>
      <w:r w:rsidR="00C933B2">
        <w:rPr>
          <w:sz w:val="22"/>
          <w:szCs w:val="22"/>
        </w:rPr>
        <w:t xml:space="preserve"> </w:t>
      </w:r>
      <w:r w:rsidRPr="00BA1E56">
        <w:rPr>
          <w:sz w:val="22"/>
          <w:szCs w:val="22"/>
        </w:rPr>
        <w:t>Remaining Other Liabilities primarily represent anticipated payments related to payroll and other services, Energy Saving Performance Contract, and funds received that are being held until proper application is determined.</w:t>
      </w:r>
    </w:p>
    <w:p w:rsidR="00285D06" w:rsidRPr="00EF747D" w:rsidP="004745C2" w14:paraId="2EF5D1D4" w14:textId="77777777">
      <w:pPr>
        <w:pStyle w:val="Heading4"/>
        <w:rPr>
          <w:sz w:val="22"/>
          <w:szCs w:val="22"/>
        </w:rPr>
      </w:pPr>
      <w:bookmarkStart w:id="252" w:name="_Toc88780703"/>
      <w:r w:rsidRPr="00EF747D">
        <w:rPr>
          <w:sz w:val="22"/>
          <w:szCs w:val="22"/>
        </w:rPr>
        <w:t>Note 8 – Commitments and Contingencies</w:t>
      </w:r>
      <w:bookmarkEnd w:id="252"/>
    </w:p>
    <w:p w:rsidR="00285D06" w:rsidRPr="00BA1E56" w:rsidP="00AA3977" w14:paraId="60734144" w14:textId="56B8AFF5">
      <w:pPr>
        <w:spacing w:after="260"/>
        <w:jc w:val="both"/>
        <w:rPr>
          <w:bCs/>
          <w:kern w:val="16"/>
          <w:sz w:val="22"/>
          <w:szCs w:val="22"/>
        </w:rPr>
      </w:pPr>
      <w:r w:rsidRPr="00BA1E56">
        <w:rPr>
          <w:bCs/>
          <w:kern w:val="16"/>
          <w:sz w:val="22"/>
          <w:szCs w:val="22"/>
        </w:rPr>
        <w:t>The Commission is a party in various administrative proceedings, legal actions, and claims brought by or against the agency.</w:t>
      </w:r>
      <w:r w:rsidR="00C933B2">
        <w:rPr>
          <w:bCs/>
          <w:kern w:val="16"/>
          <w:sz w:val="22"/>
          <w:szCs w:val="22"/>
        </w:rPr>
        <w:t xml:space="preserve"> </w:t>
      </w:r>
      <w:r w:rsidRPr="00BA1E56">
        <w:rPr>
          <w:bCs/>
          <w:kern w:val="16"/>
          <w:sz w:val="22"/>
          <w:szCs w:val="22"/>
        </w:rPr>
        <w:t xml:space="preserve">The Commission, USAC, and the Department of Justice are investigating several cases and prosecuting others related to disbursements of </w:t>
      </w:r>
      <w:r>
        <w:rPr>
          <w:bCs/>
          <w:kern w:val="16"/>
          <w:sz w:val="22"/>
          <w:szCs w:val="22"/>
        </w:rPr>
        <w:t>u</w:t>
      </w:r>
      <w:r w:rsidRPr="00BA1E56">
        <w:rPr>
          <w:bCs/>
          <w:kern w:val="16"/>
          <w:sz w:val="22"/>
          <w:szCs w:val="22"/>
        </w:rPr>
        <w:t xml:space="preserve">niversal </w:t>
      </w:r>
      <w:r>
        <w:rPr>
          <w:bCs/>
          <w:kern w:val="16"/>
          <w:sz w:val="22"/>
          <w:szCs w:val="22"/>
        </w:rPr>
        <w:t>s</w:t>
      </w:r>
      <w:r w:rsidRPr="00BA1E56">
        <w:rPr>
          <w:bCs/>
          <w:kern w:val="16"/>
          <w:sz w:val="22"/>
          <w:szCs w:val="22"/>
        </w:rPr>
        <w:t>ervice funds from its programs which might result in future proceedings or actions.</w:t>
      </w:r>
      <w:r w:rsidR="00C933B2">
        <w:rPr>
          <w:bCs/>
          <w:kern w:val="16"/>
          <w:sz w:val="22"/>
          <w:szCs w:val="22"/>
        </w:rPr>
        <w:t xml:space="preserve"> </w:t>
      </w:r>
      <w:r w:rsidRPr="00BA1E56">
        <w:rPr>
          <w:bCs/>
          <w:kern w:val="16"/>
          <w:sz w:val="22"/>
          <w:szCs w:val="22"/>
        </w:rPr>
        <w:t xml:space="preserve">Similarly, the Commission, </w:t>
      </w:r>
      <w:r>
        <w:rPr>
          <w:bCs/>
          <w:kern w:val="16"/>
          <w:sz w:val="22"/>
          <w:szCs w:val="22"/>
        </w:rPr>
        <w:t>TRS fund administrator</w:t>
      </w:r>
      <w:r w:rsidRPr="00BA1E56">
        <w:rPr>
          <w:bCs/>
          <w:kern w:val="16"/>
          <w:sz w:val="22"/>
          <w:szCs w:val="22"/>
        </w:rPr>
        <w:t>, and the Department of Justice are investigating several cases related to the TRS funds.</w:t>
      </w:r>
      <w:r w:rsidR="00C933B2">
        <w:rPr>
          <w:bCs/>
          <w:kern w:val="16"/>
          <w:sz w:val="22"/>
          <w:szCs w:val="22"/>
        </w:rPr>
        <w:t xml:space="preserve"> </w:t>
      </w:r>
      <w:r w:rsidRPr="00BA1E56">
        <w:rPr>
          <w:bCs/>
          <w:kern w:val="16"/>
          <w:sz w:val="22"/>
          <w:szCs w:val="22"/>
        </w:rPr>
        <w:t>The complexity of these future actions precludes management from estimating the total amount of recovery that may result.</w:t>
      </w:r>
      <w:r w:rsidR="00C933B2">
        <w:rPr>
          <w:bCs/>
          <w:kern w:val="16"/>
          <w:sz w:val="22"/>
          <w:szCs w:val="22"/>
        </w:rPr>
        <w:t xml:space="preserve"> </w:t>
      </w:r>
    </w:p>
    <w:p w:rsidR="00285D06" w:rsidRPr="00BA1E56" w:rsidP="00AA3977" w14:paraId="32E3DE37" w14:textId="5CE7976B">
      <w:pPr>
        <w:spacing w:after="260"/>
        <w:jc w:val="both"/>
        <w:rPr>
          <w:bCs/>
          <w:kern w:val="16"/>
          <w:sz w:val="22"/>
          <w:szCs w:val="22"/>
        </w:rPr>
      </w:pPr>
      <w:r w:rsidRPr="00BA1E56">
        <w:rPr>
          <w:bCs/>
          <w:kern w:val="16"/>
          <w:sz w:val="22"/>
          <w:szCs w:val="22"/>
        </w:rPr>
        <w:t>In addition, there are certain operating leases and contracts that may contain provisions regarding contract termination costs upon early contract termination.</w:t>
      </w:r>
      <w:r w:rsidR="00C933B2">
        <w:rPr>
          <w:bCs/>
          <w:kern w:val="16"/>
          <w:sz w:val="22"/>
          <w:szCs w:val="22"/>
        </w:rPr>
        <w:t xml:space="preserve"> </w:t>
      </w:r>
      <w:r w:rsidRPr="00BA1E56">
        <w:rPr>
          <w:bCs/>
          <w:kern w:val="16"/>
          <w:sz w:val="22"/>
          <w:szCs w:val="22"/>
        </w:rPr>
        <w:t>In the management’s opinion, early contract termination will not materially affect the Commission’s consolidated financial statements.</w:t>
      </w:r>
    </w:p>
    <w:p w:rsidR="00285D06" w:rsidRPr="00BA1E56" w:rsidP="00CA65F6" w14:paraId="63208934" w14:textId="77777777">
      <w:pPr>
        <w:spacing w:after="520"/>
        <w:jc w:val="both"/>
        <w:rPr>
          <w:bCs/>
          <w:kern w:val="16"/>
          <w:sz w:val="22"/>
          <w:szCs w:val="22"/>
        </w:rPr>
      </w:pPr>
      <w:r w:rsidRPr="00BA1E56">
        <w:rPr>
          <w:bCs/>
          <w:kern w:val="16"/>
          <w:sz w:val="22"/>
          <w:szCs w:val="22"/>
        </w:rPr>
        <w:t xml:space="preserve">As of </w:t>
      </w:r>
      <w:r>
        <w:rPr>
          <w:bCs/>
          <w:kern w:val="16"/>
          <w:sz w:val="22"/>
          <w:szCs w:val="22"/>
        </w:rPr>
        <w:t>September 30, 2021</w:t>
      </w:r>
      <w:r w:rsidRPr="00BA1E56">
        <w:rPr>
          <w:bCs/>
          <w:kern w:val="16"/>
          <w:sz w:val="22"/>
          <w:szCs w:val="22"/>
        </w:rPr>
        <w:t>, the likelihood of an unfavorable outcome on all current legal cases is considered remote and no additional disclosure is needed.</w:t>
      </w:r>
    </w:p>
    <w:p w:rsidR="00285D06" w:rsidRPr="00634A42" w:rsidP="006C11B4" w14:paraId="0CDAE59C" w14:textId="77777777">
      <w:pPr>
        <w:pStyle w:val="Heading4"/>
        <w:rPr>
          <w:sz w:val="22"/>
          <w:szCs w:val="22"/>
        </w:rPr>
      </w:pPr>
      <w:bookmarkStart w:id="253" w:name="_Toc88780704"/>
      <w:bookmarkStart w:id="254" w:name="_Hlk14244015"/>
      <w:r w:rsidRPr="00634A42">
        <w:rPr>
          <w:sz w:val="22"/>
          <w:szCs w:val="22"/>
        </w:rPr>
        <w:t>Note 9 – Funds from Dedicated Collections</w:t>
      </w:r>
      <w:bookmarkEnd w:id="253"/>
    </w:p>
    <w:bookmarkEnd w:id="254"/>
    <w:p w:rsidR="00285D06" w:rsidRPr="00BA1E56" w:rsidP="006C11B4" w14:paraId="626799B4" w14:textId="080D3474">
      <w:pPr>
        <w:spacing w:after="240"/>
        <w:jc w:val="both"/>
        <w:rPr>
          <w:sz w:val="22"/>
          <w:szCs w:val="22"/>
        </w:rPr>
      </w:pPr>
      <w:r w:rsidRPr="00BA1E56">
        <w:rPr>
          <w:sz w:val="22"/>
          <w:szCs w:val="22"/>
        </w:rPr>
        <w:t>The telecommunications companies in the U.S. are obligated to make contributions to the USF and the TRS Fund.</w:t>
      </w:r>
      <w:r w:rsidR="00C933B2">
        <w:rPr>
          <w:sz w:val="22"/>
          <w:szCs w:val="22"/>
        </w:rPr>
        <w:t xml:space="preserve"> </w:t>
      </w:r>
      <w:r w:rsidRPr="00BA1E56">
        <w:rPr>
          <w:sz w:val="22"/>
          <w:szCs w:val="22"/>
        </w:rPr>
        <w:t>The Commission currently recognizes the contributions collected under the USF and TRS as Non-exchange revenue on its Statement of Changes in Net Position, and the related disbursements as program expenses on the Statement of Net Cost.</w:t>
      </w:r>
      <w:r w:rsidR="00C933B2">
        <w:rPr>
          <w:sz w:val="22"/>
          <w:szCs w:val="22"/>
        </w:rPr>
        <w:t xml:space="preserve"> </w:t>
      </w:r>
    </w:p>
    <w:p w:rsidR="00285D06" w:rsidRPr="00BA1E56" w:rsidP="006C11B4" w14:paraId="4C7E1F51" w14:textId="5727E2F4">
      <w:pPr>
        <w:spacing w:after="240"/>
        <w:jc w:val="both"/>
        <w:rPr>
          <w:sz w:val="22"/>
          <w:szCs w:val="22"/>
        </w:rPr>
      </w:pPr>
      <w:r w:rsidRPr="00BA1E56">
        <w:rPr>
          <w:sz w:val="22"/>
          <w:szCs w:val="22"/>
        </w:rPr>
        <w:t xml:space="preserve">As previously discussed, the Spectrum Act requires the Commission to reimburse relocation costs reasonably incurred by full power and Class A broadcasters and MVPDs who </w:t>
      </w:r>
      <w:r w:rsidRPr="00BA1E56">
        <w:rPr>
          <w:rFonts w:eastAsia="Calibri"/>
          <w:sz w:val="22"/>
          <w:szCs w:val="22"/>
        </w:rPr>
        <w:t xml:space="preserve">are involuntarily reassigned to new channels </w:t>
      </w:r>
      <w:bookmarkStart w:id="255" w:name="_Hlk22368206"/>
      <w:r w:rsidRPr="00BA1E56">
        <w:rPr>
          <w:rFonts w:eastAsia="Calibri"/>
          <w:sz w:val="22"/>
          <w:szCs w:val="22"/>
        </w:rPr>
        <w:t xml:space="preserve">as a result of the </w:t>
      </w:r>
      <w:bookmarkEnd w:id="255"/>
      <w:r w:rsidRPr="00BA1E56">
        <w:rPr>
          <w:rFonts w:eastAsia="Calibri"/>
          <w:sz w:val="22"/>
          <w:szCs w:val="22"/>
        </w:rPr>
        <w:t>BIA.</w:t>
      </w:r>
      <w:r w:rsidR="00C933B2">
        <w:rPr>
          <w:rFonts w:eastAsia="Calibri"/>
          <w:sz w:val="22"/>
          <w:szCs w:val="22"/>
        </w:rPr>
        <w:t xml:space="preserve"> </w:t>
      </w:r>
      <w:r w:rsidRPr="00BA1E56">
        <w:rPr>
          <w:rFonts w:eastAsia="Calibri"/>
          <w:sz w:val="22"/>
          <w:szCs w:val="22"/>
        </w:rPr>
        <w:t>In FY 2018, Congress</w:t>
      </w:r>
      <w:r w:rsidRPr="00BA1E56">
        <w:rPr>
          <w:sz w:val="22"/>
          <w:szCs w:val="22"/>
        </w:rPr>
        <w:t xml:space="preserve"> appropriated additional funding and </w:t>
      </w:r>
      <w:r w:rsidRPr="00BA1E56">
        <w:rPr>
          <w:bCs/>
          <w:kern w:val="16"/>
          <w:sz w:val="22"/>
          <w:szCs w:val="22"/>
        </w:rPr>
        <w:t>also expanded the universe of entities eligible for reimbursement</w:t>
      </w:r>
      <w:r w:rsidRPr="00BA1E56">
        <w:rPr>
          <w:sz w:val="22"/>
          <w:szCs w:val="22"/>
        </w:rPr>
        <w:t>.</w:t>
      </w:r>
      <w:r w:rsidR="00C933B2">
        <w:rPr>
          <w:sz w:val="22"/>
          <w:szCs w:val="22"/>
        </w:rPr>
        <w:t xml:space="preserve"> </w:t>
      </w:r>
      <w:r w:rsidRPr="00BA1E56">
        <w:rPr>
          <w:sz w:val="22"/>
          <w:szCs w:val="22"/>
        </w:rPr>
        <w:t>These reimbursement costs are accounted for in the U.S. Budget as the “TV Broadcaster Relocation Fund,” which is funded by forward auction proceeds and direct appropriations.</w:t>
      </w:r>
      <w:r w:rsidR="00C933B2">
        <w:rPr>
          <w:sz w:val="22"/>
          <w:szCs w:val="22"/>
        </w:rPr>
        <w:t xml:space="preserve"> </w:t>
      </w:r>
      <w:r w:rsidRPr="00BA1E56">
        <w:rPr>
          <w:sz w:val="22"/>
          <w:szCs w:val="22"/>
        </w:rPr>
        <w:t>The Commission recognized the reimbursement costs for the TVBRF as program expenses on the Statement of Net Cost.</w:t>
      </w:r>
    </w:p>
    <w:p w:rsidR="00285D06" w:rsidP="006C11B4" w14:paraId="7382FAD1" w14:textId="506C2F2F">
      <w:pPr>
        <w:spacing w:after="240"/>
        <w:jc w:val="both"/>
        <w:rPr>
          <w:sz w:val="22"/>
          <w:szCs w:val="22"/>
        </w:rPr>
      </w:pPr>
      <w:r w:rsidRPr="00BA1E56">
        <w:rPr>
          <w:sz w:val="22"/>
          <w:szCs w:val="22"/>
        </w:rPr>
        <w:t xml:space="preserve">The Commission had no activity related to Gifts and Bequests in FY </w:t>
      </w:r>
      <w:r>
        <w:rPr>
          <w:sz w:val="22"/>
          <w:szCs w:val="22"/>
        </w:rPr>
        <w:t>2021</w:t>
      </w:r>
      <w:r w:rsidRPr="00BA1E56">
        <w:rPr>
          <w:sz w:val="22"/>
          <w:szCs w:val="22"/>
        </w:rPr>
        <w:t xml:space="preserve"> and FY </w:t>
      </w:r>
      <w:r>
        <w:rPr>
          <w:sz w:val="22"/>
          <w:szCs w:val="22"/>
        </w:rPr>
        <w:t>2020</w:t>
      </w:r>
      <w:r w:rsidRPr="00BA1E56">
        <w:rPr>
          <w:sz w:val="22"/>
          <w:szCs w:val="22"/>
        </w:rPr>
        <w:t>.</w:t>
      </w:r>
      <w:r w:rsidR="00C933B2">
        <w:rPr>
          <w:sz w:val="22"/>
          <w:szCs w:val="22"/>
        </w:rPr>
        <w:t xml:space="preserve"> </w:t>
      </w:r>
    </w:p>
    <w:p w:rsidR="007C04D8" w:rsidP="006C11B4" w14:paraId="7121F6BF" w14:textId="77777777">
      <w:pPr>
        <w:spacing w:after="240"/>
        <w:jc w:val="both"/>
        <w:rPr>
          <w:sz w:val="22"/>
          <w:szCs w:val="22"/>
        </w:rPr>
        <w:sectPr w:rsidSect="00F054D8">
          <w:pgSz w:w="12240" w:h="15840"/>
          <w:pgMar w:top="1440" w:right="1440" w:bottom="1296" w:left="1440" w:header="720" w:footer="720" w:gutter="0"/>
          <w:cols w:space="720"/>
        </w:sectPr>
      </w:pPr>
      <w:r w:rsidRPr="00BA1E56">
        <w:rPr>
          <w:sz w:val="22"/>
          <w:szCs w:val="22"/>
        </w:rPr>
        <w:t xml:space="preserve">The following pages summarize the significant assets, liabilities, and costs incurred related to the TVBRF, USF and TRS as of </w:t>
      </w:r>
      <w:r>
        <w:rPr>
          <w:sz w:val="22"/>
          <w:szCs w:val="22"/>
        </w:rPr>
        <w:t>September 30, 2021</w:t>
      </w:r>
      <w:r w:rsidRPr="00BA1E56">
        <w:rPr>
          <w:sz w:val="22"/>
          <w:szCs w:val="22"/>
        </w:rPr>
        <w:t xml:space="preserve"> and September 30</w:t>
      </w:r>
      <w:r>
        <w:rPr>
          <w:sz w:val="22"/>
          <w:szCs w:val="22"/>
        </w:rPr>
        <w:t>, 2020</w:t>
      </w:r>
      <w:r w:rsidRPr="00BA1E56">
        <w:rPr>
          <w:sz w:val="22"/>
          <w:szCs w:val="22"/>
        </w:rPr>
        <w:t>.</w:t>
      </w:r>
      <w:r w:rsidR="00C933B2">
        <w:rPr>
          <w:sz w:val="22"/>
          <w:szCs w:val="22"/>
        </w:rPr>
        <w:t xml:space="preserve"> </w:t>
      </w:r>
      <w:r>
        <w:rPr>
          <w:sz w:val="22"/>
          <w:szCs w:val="22"/>
        </w:rPr>
        <w:t>The information below is shown on a combined and consolidated bases.</w:t>
      </w:r>
      <w:r w:rsidR="00C933B2">
        <w:rPr>
          <w:sz w:val="22"/>
          <w:szCs w:val="22"/>
        </w:rPr>
        <w:t xml:space="preserve"> </w:t>
      </w:r>
      <w:r>
        <w:rPr>
          <w:sz w:val="22"/>
          <w:szCs w:val="22"/>
        </w:rPr>
        <w:t>The Commission had no eliminations between dedicated collection funds.</w:t>
      </w:r>
      <w:r w:rsidR="00C933B2">
        <w:rPr>
          <w:sz w:val="22"/>
          <w:szCs w:val="22"/>
        </w:rPr>
        <w:t xml:space="preserve"> </w:t>
      </w:r>
      <w:r>
        <w:rPr>
          <w:sz w:val="22"/>
          <w:szCs w:val="22"/>
        </w:rPr>
        <w:t>Therefore, the combined and consolidated are the same.</w:t>
      </w:r>
    </w:p>
    <w:p w:rsidR="00285D06" w:rsidP="000764D1" w14:paraId="3B322A5F" w14:textId="77777777">
      <w:pPr>
        <w:spacing w:after="240"/>
        <w:jc w:val="both"/>
        <w:rPr>
          <w:b/>
          <w:bCs/>
          <w:sz w:val="22"/>
          <w:szCs w:val="22"/>
        </w:rPr>
      </w:pPr>
      <w:r w:rsidRPr="00BA1E56">
        <w:rPr>
          <w:b/>
          <w:bCs/>
          <w:sz w:val="22"/>
          <w:szCs w:val="22"/>
        </w:rPr>
        <w:t xml:space="preserve">Note </w:t>
      </w:r>
      <w:r>
        <w:rPr>
          <w:b/>
          <w:bCs/>
          <w:sz w:val="22"/>
          <w:szCs w:val="22"/>
        </w:rPr>
        <w:t>9</w:t>
      </w:r>
      <w:r w:rsidRPr="00BA1E56">
        <w:rPr>
          <w:b/>
          <w:bCs/>
          <w:sz w:val="22"/>
          <w:szCs w:val="22"/>
        </w:rPr>
        <w:t xml:space="preserve"> – Funds from Dedicated Collections (continued)</w:t>
      </w:r>
    </w:p>
    <w:tbl>
      <w:tblPr>
        <w:tblW w:w="5000" w:type="pct"/>
        <w:tblLook w:val="04A0"/>
      </w:tblPr>
      <w:tblGrid>
        <w:gridCol w:w="4480"/>
        <w:gridCol w:w="1220"/>
        <w:gridCol w:w="1220"/>
        <w:gridCol w:w="1220"/>
        <w:gridCol w:w="1220"/>
      </w:tblGrid>
      <w:tr w14:paraId="6705AD78" w14:textId="77777777" w:rsidTr="00026A7C">
        <w:tblPrEx>
          <w:tblW w:w="5000" w:type="pct"/>
          <w:tblLook w:val="04A0"/>
        </w:tblPrEx>
        <w:trPr>
          <w:trHeight w:val="259"/>
        </w:trPr>
        <w:tc>
          <w:tcPr>
            <w:tcW w:w="4860" w:type="dxa"/>
            <w:tcBorders>
              <w:top w:val="nil"/>
              <w:left w:val="nil"/>
              <w:bottom w:val="nil"/>
              <w:right w:val="nil"/>
            </w:tcBorders>
            <w:shd w:val="clear" w:color="000000" w:fill="FFFFFF"/>
            <w:noWrap/>
            <w:vAlign w:val="bottom"/>
            <w:hideMark/>
          </w:tcPr>
          <w:p w:rsidR="002C7C06" w:rsidRPr="005945C5" w:rsidP="004957F6" w14:paraId="15635276" w14:textId="77777777">
            <w:pPr>
              <w:ind w:left="-18"/>
              <w:rPr>
                <w:sz w:val="16"/>
                <w:szCs w:val="16"/>
                <w:u w:val="single"/>
              </w:rPr>
            </w:pPr>
            <w:r w:rsidRPr="005945C5">
              <w:rPr>
                <w:sz w:val="16"/>
                <w:szCs w:val="16"/>
                <w:u w:val="single"/>
              </w:rPr>
              <w:t>FY 2021</w:t>
            </w:r>
          </w:p>
        </w:tc>
        <w:tc>
          <w:tcPr>
            <w:tcW w:w="1310" w:type="dxa"/>
            <w:tcBorders>
              <w:top w:val="nil"/>
              <w:left w:val="nil"/>
              <w:bottom w:val="single" w:sz="4" w:space="0" w:color="auto"/>
              <w:right w:val="nil"/>
            </w:tcBorders>
            <w:shd w:val="clear" w:color="000000" w:fill="FFFFFF"/>
            <w:vAlign w:val="bottom"/>
            <w:hideMark/>
          </w:tcPr>
          <w:p w:rsidR="002C7C06" w:rsidRPr="005945C5" w:rsidP="004957F6" w14:paraId="1E5F2A19" w14:textId="77777777">
            <w:pPr>
              <w:ind w:left="-18"/>
              <w:jc w:val="center"/>
              <w:rPr>
                <w:sz w:val="16"/>
                <w:szCs w:val="16"/>
              </w:rPr>
            </w:pPr>
            <w:r w:rsidRPr="005945C5">
              <w:rPr>
                <w:sz w:val="16"/>
                <w:szCs w:val="16"/>
              </w:rPr>
              <w:t>TVBRF</w:t>
            </w:r>
          </w:p>
        </w:tc>
        <w:tc>
          <w:tcPr>
            <w:tcW w:w="1310" w:type="dxa"/>
            <w:tcBorders>
              <w:top w:val="nil"/>
              <w:left w:val="nil"/>
              <w:bottom w:val="single" w:sz="4" w:space="0" w:color="auto"/>
              <w:right w:val="nil"/>
            </w:tcBorders>
            <w:shd w:val="clear" w:color="000000" w:fill="FFFFFF"/>
            <w:vAlign w:val="bottom"/>
            <w:hideMark/>
          </w:tcPr>
          <w:p w:rsidR="002C7C06" w:rsidRPr="005945C5" w:rsidP="004957F6" w14:paraId="43DEC185" w14:textId="77777777">
            <w:pPr>
              <w:ind w:left="-18"/>
              <w:jc w:val="center"/>
              <w:rPr>
                <w:sz w:val="16"/>
                <w:szCs w:val="16"/>
              </w:rPr>
            </w:pPr>
            <w:r w:rsidRPr="005945C5">
              <w:rPr>
                <w:sz w:val="16"/>
                <w:szCs w:val="16"/>
              </w:rPr>
              <w:t>USF</w:t>
            </w:r>
          </w:p>
        </w:tc>
        <w:tc>
          <w:tcPr>
            <w:tcW w:w="1310" w:type="dxa"/>
            <w:tcBorders>
              <w:top w:val="nil"/>
              <w:left w:val="nil"/>
              <w:bottom w:val="single" w:sz="4" w:space="0" w:color="auto"/>
              <w:right w:val="nil"/>
            </w:tcBorders>
            <w:shd w:val="clear" w:color="000000" w:fill="FFFFFF"/>
            <w:vAlign w:val="bottom"/>
            <w:hideMark/>
          </w:tcPr>
          <w:p w:rsidR="002C7C06" w:rsidRPr="005945C5" w:rsidP="004957F6" w14:paraId="53B2ED3F" w14:textId="77777777">
            <w:pPr>
              <w:ind w:left="-18"/>
              <w:jc w:val="center"/>
              <w:rPr>
                <w:sz w:val="16"/>
                <w:szCs w:val="16"/>
              </w:rPr>
            </w:pPr>
            <w:r w:rsidRPr="005945C5">
              <w:rPr>
                <w:sz w:val="16"/>
                <w:szCs w:val="16"/>
              </w:rPr>
              <w:t>TRS</w:t>
            </w:r>
          </w:p>
        </w:tc>
        <w:tc>
          <w:tcPr>
            <w:tcW w:w="1310" w:type="dxa"/>
            <w:tcBorders>
              <w:top w:val="nil"/>
              <w:left w:val="nil"/>
              <w:bottom w:val="single" w:sz="4" w:space="0" w:color="auto"/>
              <w:right w:val="nil"/>
            </w:tcBorders>
            <w:shd w:val="clear" w:color="000000" w:fill="FFFFFF"/>
            <w:vAlign w:val="bottom"/>
            <w:hideMark/>
          </w:tcPr>
          <w:p w:rsidR="002C7C06" w:rsidRPr="005945C5" w:rsidP="004957F6" w14:paraId="1244733D" w14:textId="77777777">
            <w:pPr>
              <w:ind w:left="-18"/>
              <w:jc w:val="center"/>
              <w:rPr>
                <w:sz w:val="16"/>
                <w:szCs w:val="16"/>
              </w:rPr>
            </w:pPr>
            <w:r w:rsidRPr="005945C5">
              <w:rPr>
                <w:sz w:val="16"/>
                <w:szCs w:val="16"/>
              </w:rPr>
              <w:t>Total Funds from Dedicated Collections (Combined/</w:t>
            </w:r>
            <w:r w:rsidRPr="005945C5">
              <w:rPr>
                <w:sz w:val="16"/>
                <w:szCs w:val="16"/>
              </w:rPr>
              <w:br/>
              <w:t>Consolidated)</w:t>
            </w:r>
          </w:p>
        </w:tc>
      </w:tr>
      <w:tr w14:paraId="4CFF94BF" w14:textId="77777777" w:rsidTr="00F5732C">
        <w:tblPrEx>
          <w:tblW w:w="5000" w:type="pct"/>
          <w:tblLook w:val="04A0"/>
        </w:tblPrEx>
        <w:trPr>
          <w:trHeight w:val="197"/>
        </w:trPr>
        <w:tc>
          <w:tcPr>
            <w:tcW w:w="4860" w:type="dxa"/>
            <w:tcBorders>
              <w:top w:val="nil"/>
              <w:left w:val="nil"/>
              <w:bottom w:val="nil"/>
              <w:right w:val="nil"/>
            </w:tcBorders>
            <w:shd w:val="clear" w:color="auto" w:fill="auto"/>
            <w:noWrap/>
            <w:vAlign w:val="bottom"/>
            <w:hideMark/>
          </w:tcPr>
          <w:p w:rsidR="002C7C06" w:rsidRPr="005945C5" w:rsidP="004957F6" w14:paraId="5FDCCB47" w14:textId="77777777">
            <w:pPr>
              <w:ind w:left="-18"/>
              <w:rPr>
                <w:b/>
                <w:bCs/>
                <w:sz w:val="16"/>
                <w:szCs w:val="16"/>
              </w:rPr>
            </w:pPr>
            <w:r w:rsidRPr="005945C5">
              <w:rPr>
                <w:b/>
                <w:bCs/>
                <w:sz w:val="16"/>
                <w:szCs w:val="16"/>
              </w:rPr>
              <w:t>Balance Sheet as of September 30, 2021</w:t>
            </w:r>
          </w:p>
        </w:tc>
        <w:tc>
          <w:tcPr>
            <w:tcW w:w="1310" w:type="dxa"/>
            <w:tcBorders>
              <w:top w:val="nil"/>
              <w:left w:val="nil"/>
              <w:bottom w:val="nil"/>
              <w:right w:val="nil"/>
            </w:tcBorders>
            <w:shd w:val="clear" w:color="000000" w:fill="FFFFFF"/>
            <w:noWrap/>
            <w:vAlign w:val="bottom"/>
          </w:tcPr>
          <w:p w:rsidR="002C7C06" w:rsidRPr="005945C5" w:rsidP="006F7B23" w14:paraId="346F5835" w14:textId="4D521999">
            <w:pPr>
              <w:jc w:val="right"/>
              <w:rPr>
                <w:b/>
                <w:bCs/>
                <w:sz w:val="16"/>
                <w:szCs w:val="16"/>
              </w:rPr>
            </w:pPr>
          </w:p>
        </w:tc>
        <w:tc>
          <w:tcPr>
            <w:tcW w:w="1310" w:type="dxa"/>
            <w:tcBorders>
              <w:top w:val="nil"/>
              <w:left w:val="nil"/>
              <w:bottom w:val="nil"/>
              <w:right w:val="nil"/>
            </w:tcBorders>
            <w:shd w:val="clear" w:color="000000" w:fill="FFFFFF"/>
            <w:noWrap/>
            <w:vAlign w:val="bottom"/>
          </w:tcPr>
          <w:p w:rsidR="002C7C06" w:rsidRPr="005945C5" w:rsidP="006F7B23" w14:paraId="2E97B4EF" w14:textId="4C96B95E">
            <w:pPr>
              <w:jc w:val="right"/>
              <w:rPr>
                <w:b/>
                <w:bCs/>
                <w:sz w:val="16"/>
                <w:szCs w:val="16"/>
              </w:rPr>
            </w:pPr>
          </w:p>
        </w:tc>
        <w:tc>
          <w:tcPr>
            <w:tcW w:w="1310" w:type="dxa"/>
            <w:tcBorders>
              <w:top w:val="nil"/>
              <w:left w:val="nil"/>
              <w:bottom w:val="nil"/>
              <w:right w:val="nil"/>
            </w:tcBorders>
            <w:shd w:val="clear" w:color="000000" w:fill="FFFFFF"/>
            <w:noWrap/>
            <w:vAlign w:val="bottom"/>
          </w:tcPr>
          <w:p w:rsidR="002C7C06" w:rsidRPr="005945C5" w:rsidP="006F7B23" w14:paraId="0D04F9D6" w14:textId="7B321D30">
            <w:pPr>
              <w:jc w:val="right"/>
              <w:rPr>
                <w:b/>
                <w:bCs/>
                <w:sz w:val="16"/>
                <w:szCs w:val="16"/>
              </w:rPr>
            </w:pPr>
          </w:p>
        </w:tc>
        <w:tc>
          <w:tcPr>
            <w:tcW w:w="1310" w:type="dxa"/>
            <w:tcBorders>
              <w:top w:val="nil"/>
              <w:left w:val="nil"/>
              <w:bottom w:val="nil"/>
              <w:right w:val="nil"/>
            </w:tcBorders>
            <w:shd w:val="clear" w:color="000000" w:fill="FFFFFF"/>
            <w:noWrap/>
            <w:vAlign w:val="bottom"/>
          </w:tcPr>
          <w:p w:rsidR="002C7C06" w:rsidRPr="005945C5" w:rsidP="006F7B23" w14:paraId="12F14563" w14:textId="31FABD04">
            <w:pPr>
              <w:jc w:val="right"/>
              <w:rPr>
                <w:sz w:val="16"/>
                <w:szCs w:val="16"/>
              </w:rPr>
            </w:pPr>
          </w:p>
        </w:tc>
      </w:tr>
      <w:tr w14:paraId="1CD0E1B2" w14:textId="77777777" w:rsidTr="00854BC4">
        <w:tblPrEx>
          <w:tblW w:w="5000" w:type="pct"/>
          <w:tblLook w:val="04A0"/>
        </w:tblPrEx>
        <w:trPr>
          <w:trHeight w:val="360"/>
        </w:trPr>
        <w:tc>
          <w:tcPr>
            <w:tcW w:w="4860" w:type="dxa"/>
            <w:tcBorders>
              <w:top w:val="nil"/>
              <w:left w:val="nil"/>
              <w:bottom w:val="nil"/>
              <w:right w:val="nil"/>
            </w:tcBorders>
            <w:shd w:val="clear" w:color="000000" w:fill="FFFFFF"/>
            <w:noWrap/>
            <w:vAlign w:val="bottom"/>
            <w:hideMark/>
          </w:tcPr>
          <w:p w:rsidR="002C7C06" w:rsidRPr="005945C5" w:rsidP="004866DB" w14:paraId="03FA3C8E" w14:textId="20DABCB3">
            <w:pPr>
              <w:ind w:left="72"/>
              <w:rPr>
                <w:sz w:val="16"/>
                <w:szCs w:val="16"/>
              </w:rPr>
            </w:pPr>
            <w:r w:rsidRPr="005945C5">
              <w:rPr>
                <w:sz w:val="16"/>
                <w:szCs w:val="16"/>
              </w:rPr>
              <w:t>Intragovernmental</w:t>
            </w:r>
          </w:p>
        </w:tc>
        <w:tc>
          <w:tcPr>
            <w:tcW w:w="1310" w:type="dxa"/>
            <w:tcBorders>
              <w:top w:val="nil"/>
              <w:left w:val="nil"/>
              <w:bottom w:val="nil"/>
              <w:right w:val="nil"/>
            </w:tcBorders>
            <w:shd w:val="clear" w:color="000000" w:fill="FFFFFF"/>
            <w:noWrap/>
            <w:vAlign w:val="bottom"/>
          </w:tcPr>
          <w:p w:rsidR="002C7C06" w:rsidRPr="005945C5" w:rsidP="006F7B23" w14:paraId="31F1CCE8" w14:textId="33E66C2A">
            <w:pPr>
              <w:jc w:val="right"/>
              <w:rPr>
                <w:sz w:val="16"/>
                <w:szCs w:val="16"/>
              </w:rPr>
            </w:pPr>
          </w:p>
        </w:tc>
        <w:tc>
          <w:tcPr>
            <w:tcW w:w="1310" w:type="dxa"/>
            <w:tcBorders>
              <w:top w:val="nil"/>
              <w:left w:val="nil"/>
              <w:bottom w:val="nil"/>
              <w:right w:val="nil"/>
            </w:tcBorders>
            <w:shd w:val="clear" w:color="000000" w:fill="FFFFFF"/>
            <w:noWrap/>
            <w:vAlign w:val="bottom"/>
          </w:tcPr>
          <w:p w:rsidR="002C7C06" w:rsidRPr="005945C5" w:rsidP="006F7B23" w14:paraId="244EB866" w14:textId="68E4FDB8">
            <w:pPr>
              <w:jc w:val="right"/>
              <w:rPr>
                <w:sz w:val="16"/>
                <w:szCs w:val="16"/>
              </w:rPr>
            </w:pPr>
          </w:p>
        </w:tc>
        <w:tc>
          <w:tcPr>
            <w:tcW w:w="1310" w:type="dxa"/>
            <w:tcBorders>
              <w:top w:val="nil"/>
              <w:left w:val="nil"/>
              <w:bottom w:val="nil"/>
              <w:right w:val="nil"/>
            </w:tcBorders>
            <w:shd w:val="clear" w:color="000000" w:fill="FFFFFF"/>
            <w:noWrap/>
            <w:vAlign w:val="bottom"/>
          </w:tcPr>
          <w:p w:rsidR="002C7C06" w:rsidRPr="005945C5" w:rsidP="006F7B23" w14:paraId="7B04EBE8" w14:textId="40968123">
            <w:pPr>
              <w:jc w:val="right"/>
              <w:rPr>
                <w:sz w:val="16"/>
                <w:szCs w:val="16"/>
              </w:rPr>
            </w:pPr>
          </w:p>
        </w:tc>
        <w:tc>
          <w:tcPr>
            <w:tcW w:w="1310" w:type="dxa"/>
            <w:tcBorders>
              <w:top w:val="nil"/>
              <w:left w:val="nil"/>
              <w:bottom w:val="nil"/>
              <w:right w:val="nil"/>
            </w:tcBorders>
            <w:shd w:val="clear" w:color="000000" w:fill="FFFFFF"/>
            <w:noWrap/>
            <w:vAlign w:val="bottom"/>
          </w:tcPr>
          <w:p w:rsidR="002C7C06" w:rsidRPr="005945C5" w:rsidP="006F7B23" w14:paraId="06DB0EBB" w14:textId="61ACE33D">
            <w:pPr>
              <w:jc w:val="right"/>
              <w:rPr>
                <w:sz w:val="16"/>
                <w:szCs w:val="16"/>
              </w:rPr>
            </w:pPr>
          </w:p>
        </w:tc>
      </w:tr>
      <w:tr w14:paraId="6210BF56" w14:textId="77777777" w:rsidTr="00D75345">
        <w:tblPrEx>
          <w:tblW w:w="5000" w:type="pct"/>
          <w:tblLook w:val="04A0"/>
        </w:tblPrEx>
        <w:trPr>
          <w:trHeight w:val="20"/>
        </w:trPr>
        <w:tc>
          <w:tcPr>
            <w:tcW w:w="4860" w:type="dxa"/>
            <w:tcBorders>
              <w:top w:val="nil"/>
              <w:left w:val="nil"/>
              <w:bottom w:val="nil"/>
              <w:right w:val="nil"/>
            </w:tcBorders>
            <w:shd w:val="clear" w:color="000000" w:fill="FFFFFF"/>
            <w:noWrap/>
            <w:vAlign w:val="bottom"/>
            <w:hideMark/>
          </w:tcPr>
          <w:p w:rsidR="002C7C06" w:rsidRPr="005945C5" w:rsidP="004866DB" w14:paraId="146F2144" w14:textId="026CBEA7">
            <w:pPr>
              <w:ind w:left="72"/>
              <w:rPr>
                <w:sz w:val="16"/>
                <w:szCs w:val="16"/>
              </w:rPr>
            </w:pPr>
            <w:r w:rsidRPr="005945C5">
              <w:rPr>
                <w:sz w:val="16"/>
                <w:szCs w:val="16"/>
              </w:rPr>
              <w:t>Fund Balance with Treasury</w:t>
            </w:r>
          </w:p>
        </w:tc>
        <w:tc>
          <w:tcPr>
            <w:tcW w:w="1310" w:type="dxa"/>
            <w:tcBorders>
              <w:top w:val="nil"/>
              <w:left w:val="nil"/>
              <w:bottom w:val="nil"/>
              <w:right w:val="nil"/>
            </w:tcBorders>
            <w:shd w:val="clear" w:color="000000" w:fill="FFFFFF"/>
            <w:noWrap/>
            <w:vAlign w:val="bottom"/>
            <w:hideMark/>
          </w:tcPr>
          <w:p w:rsidR="002C7C06" w:rsidRPr="005945C5" w:rsidP="006F7B23" w14:paraId="065BD8A4" w14:textId="55C92FA6">
            <w:pPr>
              <w:jc w:val="right"/>
              <w:rPr>
                <w:sz w:val="16"/>
                <w:szCs w:val="16"/>
              </w:rPr>
            </w:pPr>
            <w:r w:rsidRPr="005945C5">
              <w:rPr>
                <w:sz w:val="16"/>
                <w:szCs w:val="16"/>
              </w:rPr>
              <w:t>$</w:t>
            </w:r>
            <w:r w:rsidR="00AD5474">
              <w:rPr>
                <w:sz w:val="16"/>
                <w:szCs w:val="16"/>
              </w:rPr>
              <w:t xml:space="preserve">       </w:t>
            </w:r>
            <w:r w:rsidRPr="005945C5">
              <w:rPr>
                <w:sz w:val="16"/>
                <w:szCs w:val="16"/>
              </w:rPr>
              <w:t xml:space="preserve">1,098,862 </w:t>
            </w:r>
          </w:p>
        </w:tc>
        <w:tc>
          <w:tcPr>
            <w:tcW w:w="1310" w:type="dxa"/>
            <w:tcBorders>
              <w:top w:val="nil"/>
              <w:left w:val="nil"/>
              <w:bottom w:val="nil"/>
              <w:right w:val="nil"/>
            </w:tcBorders>
            <w:shd w:val="clear" w:color="000000" w:fill="FFFFFF"/>
            <w:noWrap/>
            <w:vAlign w:val="bottom"/>
            <w:hideMark/>
          </w:tcPr>
          <w:p w:rsidR="002C7C06" w:rsidRPr="005945C5" w:rsidP="006F7B23" w14:paraId="0C92C221" w14:textId="1135FFA6">
            <w:pPr>
              <w:jc w:val="right"/>
              <w:rPr>
                <w:sz w:val="16"/>
                <w:szCs w:val="16"/>
              </w:rPr>
            </w:pPr>
            <w:r w:rsidRPr="005945C5">
              <w:rPr>
                <w:sz w:val="16"/>
                <w:szCs w:val="16"/>
              </w:rPr>
              <w:t>$</w:t>
            </w:r>
            <w:r w:rsidR="00AD5474">
              <w:rPr>
                <w:sz w:val="16"/>
                <w:szCs w:val="16"/>
              </w:rPr>
              <w:t xml:space="preserve">       </w:t>
            </w:r>
            <w:r w:rsidRPr="005945C5">
              <w:rPr>
                <w:sz w:val="16"/>
                <w:szCs w:val="16"/>
              </w:rPr>
              <w:t xml:space="preserve">6,404,781 </w:t>
            </w:r>
          </w:p>
        </w:tc>
        <w:tc>
          <w:tcPr>
            <w:tcW w:w="1310" w:type="dxa"/>
            <w:tcBorders>
              <w:top w:val="nil"/>
              <w:left w:val="nil"/>
              <w:bottom w:val="nil"/>
              <w:right w:val="nil"/>
            </w:tcBorders>
            <w:shd w:val="clear" w:color="000000" w:fill="FFFFFF"/>
            <w:noWrap/>
            <w:vAlign w:val="bottom"/>
            <w:hideMark/>
          </w:tcPr>
          <w:p w:rsidR="002C7C06" w:rsidRPr="005945C5" w:rsidP="006F7B23" w14:paraId="752E2874" w14:textId="7387BE91">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495,349 </w:t>
            </w:r>
          </w:p>
        </w:tc>
        <w:tc>
          <w:tcPr>
            <w:tcW w:w="1310" w:type="dxa"/>
            <w:tcBorders>
              <w:top w:val="nil"/>
              <w:left w:val="nil"/>
              <w:bottom w:val="nil"/>
              <w:right w:val="nil"/>
            </w:tcBorders>
            <w:shd w:val="clear" w:color="000000" w:fill="FFFFFF"/>
            <w:noWrap/>
            <w:vAlign w:val="bottom"/>
            <w:hideMark/>
          </w:tcPr>
          <w:p w:rsidR="002C7C06" w:rsidRPr="005945C5" w:rsidP="006F7B23" w14:paraId="06D2DA63" w14:textId="39E6BFE0">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7,998,992 </w:t>
            </w:r>
          </w:p>
        </w:tc>
      </w:tr>
      <w:tr w14:paraId="45AD2E51" w14:textId="77777777" w:rsidTr="00D75345">
        <w:tblPrEx>
          <w:tblW w:w="5000" w:type="pct"/>
          <w:tblLook w:val="04A0"/>
        </w:tblPrEx>
        <w:trPr>
          <w:trHeight w:val="20"/>
        </w:trPr>
        <w:tc>
          <w:tcPr>
            <w:tcW w:w="4860" w:type="dxa"/>
            <w:tcBorders>
              <w:top w:val="nil"/>
              <w:left w:val="nil"/>
              <w:bottom w:val="nil"/>
              <w:right w:val="nil"/>
            </w:tcBorders>
            <w:shd w:val="clear" w:color="000000" w:fill="FFFFFF"/>
            <w:noWrap/>
            <w:vAlign w:val="bottom"/>
            <w:hideMark/>
          </w:tcPr>
          <w:p w:rsidR="002C7C06" w:rsidRPr="005945C5" w:rsidP="004866DB" w14:paraId="37892900" w14:textId="158DF7EB">
            <w:pPr>
              <w:ind w:left="72"/>
              <w:rPr>
                <w:sz w:val="16"/>
                <w:szCs w:val="16"/>
              </w:rPr>
            </w:pPr>
            <w:r w:rsidRPr="005945C5">
              <w:rPr>
                <w:sz w:val="16"/>
                <w:szCs w:val="16"/>
              </w:rPr>
              <w:t xml:space="preserve">Total intragovernmental assets </w:t>
            </w:r>
          </w:p>
        </w:tc>
        <w:tc>
          <w:tcPr>
            <w:tcW w:w="1310" w:type="dxa"/>
            <w:tcBorders>
              <w:top w:val="single" w:sz="4" w:space="0" w:color="auto"/>
              <w:left w:val="nil"/>
              <w:bottom w:val="single" w:sz="4" w:space="0" w:color="auto"/>
              <w:right w:val="nil"/>
            </w:tcBorders>
            <w:shd w:val="clear" w:color="000000" w:fill="FFFFFF"/>
            <w:noWrap/>
            <w:vAlign w:val="bottom"/>
            <w:hideMark/>
          </w:tcPr>
          <w:p w:rsidR="002C7C06" w:rsidRPr="005945C5" w:rsidP="006F7B23" w14:paraId="23F6A7EA" w14:textId="77777777">
            <w:pPr>
              <w:jc w:val="right"/>
              <w:rPr>
                <w:sz w:val="16"/>
                <w:szCs w:val="16"/>
              </w:rPr>
            </w:pPr>
            <w:r>
              <w:rPr>
                <w:sz w:val="16"/>
                <w:szCs w:val="16"/>
              </w:rPr>
              <w:t xml:space="preserve"> </w:t>
            </w:r>
            <w:r w:rsidRPr="005945C5">
              <w:rPr>
                <w:sz w:val="16"/>
                <w:szCs w:val="16"/>
              </w:rPr>
              <w:t xml:space="preserve">1,098,862 </w:t>
            </w:r>
          </w:p>
        </w:tc>
        <w:tc>
          <w:tcPr>
            <w:tcW w:w="1310" w:type="dxa"/>
            <w:tcBorders>
              <w:top w:val="single" w:sz="4" w:space="0" w:color="auto"/>
              <w:left w:val="nil"/>
              <w:bottom w:val="single" w:sz="4" w:space="0" w:color="auto"/>
              <w:right w:val="nil"/>
            </w:tcBorders>
            <w:shd w:val="clear" w:color="000000" w:fill="FFFFFF"/>
            <w:noWrap/>
            <w:vAlign w:val="bottom"/>
            <w:hideMark/>
          </w:tcPr>
          <w:p w:rsidR="002C7C06" w:rsidRPr="005945C5" w:rsidP="006F7B23" w14:paraId="4894775A" w14:textId="77777777">
            <w:pPr>
              <w:jc w:val="right"/>
              <w:rPr>
                <w:sz w:val="16"/>
                <w:szCs w:val="16"/>
              </w:rPr>
            </w:pPr>
            <w:r>
              <w:rPr>
                <w:sz w:val="16"/>
                <w:szCs w:val="16"/>
              </w:rPr>
              <w:t xml:space="preserve"> </w:t>
            </w:r>
            <w:r w:rsidRPr="005945C5">
              <w:rPr>
                <w:sz w:val="16"/>
                <w:szCs w:val="16"/>
              </w:rPr>
              <w:t xml:space="preserve">6,404,781 </w:t>
            </w:r>
          </w:p>
        </w:tc>
        <w:tc>
          <w:tcPr>
            <w:tcW w:w="1310" w:type="dxa"/>
            <w:tcBorders>
              <w:top w:val="single" w:sz="4" w:space="0" w:color="auto"/>
              <w:left w:val="nil"/>
              <w:bottom w:val="single" w:sz="4" w:space="0" w:color="auto"/>
              <w:right w:val="nil"/>
            </w:tcBorders>
            <w:shd w:val="clear" w:color="000000" w:fill="FFFFFF"/>
            <w:noWrap/>
            <w:vAlign w:val="bottom"/>
            <w:hideMark/>
          </w:tcPr>
          <w:p w:rsidR="002C7C06" w:rsidRPr="005945C5" w:rsidP="006F7B23" w14:paraId="02B38C25" w14:textId="77777777">
            <w:pPr>
              <w:jc w:val="right"/>
              <w:rPr>
                <w:sz w:val="16"/>
                <w:szCs w:val="16"/>
              </w:rPr>
            </w:pPr>
            <w:r>
              <w:rPr>
                <w:sz w:val="16"/>
                <w:szCs w:val="16"/>
              </w:rPr>
              <w:t xml:space="preserve"> </w:t>
            </w:r>
            <w:r w:rsidRPr="005945C5">
              <w:rPr>
                <w:sz w:val="16"/>
                <w:szCs w:val="16"/>
              </w:rPr>
              <w:t xml:space="preserve">495,349 </w:t>
            </w:r>
          </w:p>
        </w:tc>
        <w:tc>
          <w:tcPr>
            <w:tcW w:w="1310" w:type="dxa"/>
            <w:tcBorders>
              <w:top w:val="single" w:sz="4" w:space="0" w:color="auto"/>
              <w:left w:val="nil"/>
              <w:bottom w:val="single" w:sz="4" w:space="0" w:color="auto"/>
              <w:right w:val="nil"/>
            </w:tcBorders>
            <w:shd w:val="clear" w:color="000000" w:fill="FFFFFF"/>
            <w:noWrap/>
            <w:vAlign w:val="bottom"/>
            <w:hideMark/>
          </w:tcPr>
          <w:p w:rsidR="002C7C06" w:rsidRPr="005945C5" w:rsidP="006F7B23" w14:paraId="3D140FC1" w14:textId="77777777">
            <w:pPr>
              <w:jc w:val="right"/>
              <w:rPr>
                <w:sz w:val="16"/>
                <w:szCs w:val="16"/>
              </w:rPr>
            </w:pPr>
            <w:r>
              <w:rPr>
                <w:sz w:val="16"/>
                <w:szCs w:val="16"/>
              </w:rPr>
              <w:t xml:space="preserve"> </w:t>
            </w:r>
            <w:r w:rsidRPr="005945C5">
              <w:rPr>
                <w:sz w:val="16"/>
                <w:szCs w:val="16"/>
              </w:rPr>
              <w:t xml:space="preserve">7,998,992 </w:t>
            </w:r>
          </w:p>
        </w:tc>
      </w:tr>
      <w:tr w14:paraId="4BE77E7E" w14:textId="77777777" w:rsidTr="00D75345">
        <w:tblPrEx>
          <w:tblW w:w="5000" w:type="pct"/>
          <w:tblLook w:val="04A0"/>
        </w:tblPrEx>
        <w:trPr>
          <w:trHeight w:val="20"/>
        </w:trPr>
        <w:tc>
          <w:tcPr>
            <w:tcW w:w="4860" w:type="dxa"/>
            <w:tcBorders>
              <w:top w:val="nil"/>
              <w:left w:val="nil"/>
              <w:bottom w:val="nil"/>
              <w:right w:val="nil"/>
            </w:tcBorders>
            <w:shd w:val="clear" w:color="000000" w:fill="FFFFFF"/>
            <w:noWrap/>
            <w:vAlign w:val="bottom"/>
            <w:hideMark/>
          </w:tcPr>
          <w:p w:rsidR="002C7C06" w:rsidRPr="005945C5" w:rsidP="004866DB" w14:paraId="1FD6A3AF" w14:textId="3C5149EE">
            <w:pPr>
              <w:ind w:left="72"/>
              <w:rPr>
                <w:sz w:val="16"/>
                <w:szCs w:val="16"/>
              </w:rPr>
            </w:pPr>
            <w:r w:rsidRPr="005945C5">
              <w:rPr>
                <w:sz w:val="16"/>
                <w:szCs w:val="16"/>
              </w:rPr>
              <w:t>Other than intragovernmental</w:t>
            </w:r>
          </w:p>
        </w:tc>
        <w:tc>
          <w:tcPr>
            <w:tcW w:w="1310" w:type="dxa"/>
            <w:tcBorders>
              <w:top w:val="nil"/>
              <w:left w:val="nil"/>
              <w:bottom w:val="nil"/>
              <w:right w:val="nil"/>
            </w:tcBorders>
            <w:shd w:val="clear" w:color="000000" w:fill="FFFFFF"/>
            <w:noWrap/>
            <w:vAlign w:val="bottom"/>
            <w:hideMark/>
          </w:tcPr>
          <w:p w:rsidR="002C7C06" w:rsidRPr="005945C5" w:rsidP="006F7B23" w14:paraId="08522447" w14:textId="77777777">
            <w:pPr>
              <w:jc w:val="right"/>
              <w:rPr>
                <w:sz w:val="16"/>
                <w:szCs w:val="16"/>
              </w:rPr>
            </w:pPr>
            <w:r w:rsidRPr="005945C5">
              <w:rPr>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52467801" w14:textId="77777777">
            <w:pPr>
              <w:jc w:val="right"/>
              <w:rPr>
                <w:sz w:val="16"/>
                <w:szCs w:val="16"/>
              </w:rPr>
            </w:pPr>
            <w:r w:rsidRPr="005945C5">
              <w:rPr>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7476B1C0" w14:textId="77777777">
            <w:pPr>
              <w:jc w:val="right"/>
              <w:rPr>
                <w:sz w:val="16"/>
                <w:szCs w:val="16"/>
              </w:rPr>
            </w:pPr>
            <w:r w:rsidRPr="005945C5">
              <w:rPr>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088E0877" w14:textId="77777777">
            <w:pPr>
              <w:jc w:val="right"/>
              <w:rPr>
                <w:sz w:val="16"/>
                <w:szCs w:val="16"/>
              </w:rPr>
            </w:pPr>
            <w:r w:rsidRPr="005945C5">
              <w:rPr>
                <w:sz w:val="16"/>
                <w:szCs w:val="16"/>
              </w:rPr>
              <w:t> </w:t>
            </w:r>
          </w:p>
        </w:tc>
      </w:tr>
      <w:tr w14:paraId="61F33657" w14:textId="77777777" w:rsidTr="00D75345">
        <w:tblPrEx>
          <w:tblW w:w="5000" w:type="pct"/>
          <w:tblLook w:val="04A0"/>
        </w:tblPrEx>
        <w:trPr>
          <w:trHeight w:val="20"/>
        </w:trPr>
        <w:tc>
          <w:tcPr>
            <w:tcW w:w="4860" w:type="dxa"/>
            <w:tcBorders>
              <w:top w:val="nil"/>
              <w:left w:val="nil"/>
              <w:bottom w:val="nil"/>
              <w:right w:val="nil"/>
            </w:tcBorders>
            <w:shd w:val="clear" w:color="000000" w:fill="FFFFFF"/>
            <w:noWrap/>
            <w:vAlign w:val="bottom"/>
            <w:hideMark/>
          </w:tcPr>
          <w:p w:rsidR="002C7C06" w:rsidRPr="005945C5" w:rsidP="004866DB" w14:paraId="0AEC89A2" w14:textId="7F535E30">
            <w:pPr>
              <w:ind w:left="72"/>
              <w:rPr>
                <w:sz w:val="16"/>
                <w:szCs w:val="16"/>
              </w:rPr>
            </w:pPr>
            <w:r w:rsidRPr="005945C5">
              <w:rPr>
                <w:sz w:val="16"/>
                <w:szCs w:val="16"/>
              </w:rPr>
              <w:t>Accounts receivable, net</w:t>
            </w:r>
          </w:p>
        </w:tc>
        <w:tc>
          <w:tcPr>
            <w:tcW w:w="1310" w:type="dxa"/>
            <w:tcBorders>
              <w:top w:val="nil"/>
              <w:left w:val="nil"/>
              <w:bottom w:val="nil"/>
              <w:right w:val="nil"/>
            </w:tcBorders>
            <w:shd w:val="clear" w:color="000000" w:fill="FFFFFF"/>
            <w:noWrap/>
            <w:vAlign w:val="bottom"/>
            <w:hideMark/>
          </w:tcPr>
          <w:p w:rsidR="002C7C06" w:rsidRPr="005945C5" w:rsidP="006F7B23" w14:paraId="2F68C7DF" w14:textId="77777777">
            <w:pPr>
              <w:jc w:val="right"/>
              <w:rPr>
                <w:sz w:val="16"/>
                <w:szCs w:val="16"/>
              </w:rPr>
            </w:pPr>
            <w:r>
              <w:rPr>
                <w:sz w:val="16"/>
                <w:szCs w:val="16"/>
              </w:rPr>
              <w:t xml:space="preserve"> </w:t>
            </w:r>
            <w:r w:rsidRPr="005945C5">
              <w:rPr>
                <w:sz w:val="16"/>
                <w:szCs w:val="16"/>
              </w:rPr>
              <w:t xml:space="preserve">3,324 </w:t>
            </w:r>
          </w:p>
        </w:tc>
        <w:tc>
          <w:tcPr>
            <w:tcW w:w="1310" w:type="dxa"/>
            <w:tcBorders>
              <w:top w:val="nil"/>
              <w:left w:val="nil"/>
              <w:bottom w:val="nil"/>
              <w:right w:val="nil"/>
            </w:tcBorders>
            <w:shd w:val="clear" w:color="000000" w:fill="FFFFFF"/>
            <w:noWrap/>
            <w:vAlign w:val="bottom"/>
            <w:hideMark/>
          </w:tcPr>
          <w:p w:rsidR="002C7C06" w:rsidRPr="005945C5" w:rsidP="006F7B23" w14:paraId="61C87C71" w14:textId="77777777">
            <w:pPr>
              <w:jc w:val="right"/>
              <w:rPr>
                <w:sz w:val="16"/>
                <w:szCs w:val="16"/>
              </w:rPr>
            </w:pPr>
            <w:r>
              <w:rPr>
                <w:sz w:val="16"/>
                <w:szCs w:val="16"/>
              </w:rPr>
              <w:t xml:space="preserve"> </w:t>
            </w:r>
            <w:r w:rsidRPr="005945C5">
              <w:rPr>
                <w:sz w:val="16"/>
                <w:szCs w:val="16"/>
              </w:rPr>
              <w:t xml:space="preserve">750,391 </w:t>
            </w:r>
          </w:p>
        </w:tc>
        <w:tc>
          <w:tcPr>
            <w:tcW w:w="1310" w:type="dxa"/>
            <w:tcBorders>
              <w:top w:val="nil"/>
              <w:left w:val="nil"/>
              <w:bottom w:val="nil"/>
              <w:right w:val="nil"/>
            </w:tcBorders>
            <w:shd w:val="clear" w:color="000000" w:fill="FFFFFF"/>
            <w:noWrap/>
            <w:vAlign w:val="bottom"/>
            <w:hideMark/>
          </w:tcPr>
          <w:p w:rsidR="002C7C06" w:rsidRPr="005945C5" w:rsidP="006F7B23" w14:paraId="635AF15C" w14:textId="77777777">
            <w:pPr>
              <w:jc w:val="right"/>
              <w:rPr>
                <w:sz w:val="16"/>
                <w:szCs w:val="16"/>
              </w:rPr>
            </w:pPr>
            <w:r>
              <w:rPr>
                <w:sz w:val="16"/>
                <w:szCs w:val="16"/>
              </w:rPr>
              <w:t xml:space="preserve"> </w:t>
            </w:r>
            <w:r w:rsidRPr="005945C5">
              <w:rPr>
                <w:sz w:val="16"/>
                <w:szCs w:val="16"/>
              </w:rPr>
              <w:t xml:space="preserve">44,733 </w:t>
            </w:r>
          </w:p>
        </w:tc>
        <w:tc>
          <w:tcPr>
            <w:tcW w:w="1310" w:type="dxa"/>
            <w:tcBorders>
              <w:top w:val="nil"/>
              <w:left w:val="nil"/>
              <w:bottom w:val="nil"/>
              <w:right w:val="nil"/>
            </w:tcBorders>
            <w:shd w:val="clear" w:color="000000" w:fill="FFFFFF"/>
            <w:noWrap/>
            <w:vAlign w:val="bottom"/>
            <w:hideMark/>
          </w:tcPr>
          <w:p w:rsidR="002C7C06" w:rsidRPr="005945C5" w:rsidP="006F7B23" w14:paraId="32EA4F5B" w14:textId="77777777">
            <w:pPr>
              <w:jc w:val="right"/>
              <w:rPr>
                <w:sz w:val="16"/>
                <w:szCs w:val="16"/>
              </w:rPr>
            </w:pPr>
            <w:r>
              <w:rPr>
                <w:sz w:val="16"/>
                <w:szCs w:val="16"/>
              </w:rPr>
              <w:t xml:space="preserve"> </w:t>
            </w:r>
            <w:r w:rsidRPr="005945C5">
              <w:rPr>
                <w:sz w:val="16"/>
                <w:szCs w:val="16"/>
              </w:rPr>
              <w:t xml:space="preserve">798,448 </w:t>
            </w:r>
          </w:p>
        </w:tc>
      </w:tr>
      <w:tr w14:paraId="56F422FD" w14:textId="77777777" w:rsidTr="00D75345">
        <w:tblPrEx>
          <w:tblW w:w="5000" w:type="pct"/>
          <w:tblLook w:val="04A0"/>
        </w:tblPrEx>
        <w:trPr>
          <w:trHeight w:val="20"/>
        </w:trPr>
        <w:tc>
          <w:tcPr>
            <w:tcW w:w="4860" w:type="dxa"/>
            <w:tcBorders>
              <w:top w:val="nil"/>
              <w:left w:val="nil"/>
              <w:bottom w:val="nil"/>
              <w:right w:val="nil"/>
            </w:tcBorders>
            <w:shd w:val="clear" w:color="000000" w:fill="FFFFFF"/>
            <w:noWrap/>
            <w:vAlign w:val="bottom"/>
            <w:hideMark/>
          </w:tcPr>
          <w:p w:rsidR="002C7C06" w:rsidRPr="005945C5" w:rsidP="004866DB" w14:paraId="4A78911B" w14:textId="2EB8B70E">
            <w:pPr>
              <w:ind w:left="72"/>
              <w:rPr>
                <w:sz w:val="16"/>
                <w:szCs w:val="16"/>
              </w:rPr>
            </w:pPr>
            <w:r w:rsidRPr="005945C5">
              <w:rPr>
                <w:sz w:val="16"/>
                <w:szCs w:val="16"/>
              </w:rPr>
              <w:t>General property, plant, and equipment, net</w:t>
            </w:r>
          </w:p>
        </w:tc>
        <w:tc>
          <w:tcPr>
            <w:tcW w:w="1310" w:type="dxa"/>
            <w:tcBorders>
              <w:top w:val="nil"/>
              <w:left w:val="nil"/>
              <w:bottom w:val="nil"/>
              <w:right w:val="nil"/>
            </w:tcBorders>
            <w:shd w:val="clear" w:color="000000" w:fill="FFFFFF"/>
            <w:noWrap/>
            <w:vAlign w:val="bottom"/>
            <w:hideMark/>
          </w:tcPr>
          <w:p w:rsidR="002C7C06" w:rsidRPr="005945C5" w:rsidP="006F7B23" w14:paraId="0E63890F" w14:textId="77777777">
            <w:pPr>
              <w:jc w:val="right"/>
              <w:rPr>
                <w:sz w:val="16"/>
                <w:szCs w:val="16"/>
              </w:rPr>
            </w:pP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1B8DCC88" w14:textId="77777777">
            <w:pPr>
              <w:jc w:val="right"/>
              <w:rPr>
                <w:sz w:val="16"/>
                <w:szCs w:val="16"/>
              </w:rPr>
            </w:pPr>
            <w:r>
              <w:rPr>
                <w:sz w:val="16"/>
                <w:szCs w:val="16"/>
              </w:rPr>
              <w:t xml:space="preserve"> </w:t>
            </w:r>
            <w:r w:rsidRPr="005945C5">
              <w:rPr>
                <w:sz w:val="16"/>
                <w:szCs w:val="16"/>
              </w:rPr>
              <w:t xml:space="preserve">11,345 </w:t>
            </w:r>
          </w:p>
        </w:tc>
        <w:tc>
          <w:tcPr>
            <w:tcW w:w="1310" w:type="dxa"/>
            <w:tcBorders>
              <w:top w:val="nil"/>
              <w:left w:val="nil"/>
              <w:bottom w:val="nil"/>
              <w:right w:val="nil"/>
            </w:tcBorders>
            <w:shd w:val="clear" w:color="000000" w:fill="FFFFFF"/>
            <w:noWrap/>
            <w:vAlign w:val="bottom"/>
            <w:hideMark/>
          </w:tcPr>
          <w:p w:rsidR="002C7C06" w:rsidRPr="005945C5" w:rsidP="006F7B23" w14:paraId="29EC4D35" w14:textId="77777777">
            <w:pPr>
              <w:jc w:val="right"/>
              <w:rPr>
                <w:sz w:val="16"/>
                <w:szCs w:val="16"/>
              </w:rPr>
            </w:pPr>
            <w:r>
              <w:rPr>
                <w:sz w:val="16"/>
                <w:szCs w:val="16"/>
              </w:rPr>
              <w:t xml:space="preserve"> </w:t>
            </w:r>
            <w:r w:rsidRPr="005945C5">
              <w:rPr>
                <w:sz w:val="16"/>
                <w:szCs w:val="16"/>
              </w:rPr>
              <w:t xml:space="preserve">233 </w:t>
            </w:r>
          </w:p>
        </w:tc>
        <w:tc>
          <w:tcPr>
            <w:tcW w:w="1310" w:type="dxa"/>
            <w:tcBorders>
              <w:top w:val="nil"/>
              <w:left w:val="nil"/>
              <w:bottom w:val="nil"/>
              <w:right w:val="nil"/>
            </w:tcBorders>
            <w:shd w:val="clear" w:color="000000" w:fill="FFFFFF"/>
            <w:noWrap/>
            <w:vAlign w:val="bottom"/>
            <w:hideMark/>
          </w:tcPr>
          <w:p w:rsidR="002C7C06" w:rsidRPr="005945C5" w:rsidP="006F7B23" w14:paraId="695AAEE3" w14:textId="77777777">
            <w:pPr>
              <w:jc w:val="right"/>
              <w:rPr>
                <w:sz w:val="16"/>
                <w:szCs w:val="16"/>
              </w:rPr>
            </w:pPr>
            <w:r>
              <w:rPr>
                <w:sz w:val="16"/>
                <w:szCs w:val="16"/>
              </w:rPr>
              <w:t xml:space="preserve"> </w:t>
            </w:r>
            <w:r w:rsidRPr="005945C5">
              <w:rPr>
                <w:sz w:val="16"/>
                <w:szCs w:val="16"/>
              </w:rPr>
              <w:t xml:space="preserve">11,578 </w:t>
            </w:r>
          </w:p>
        </w:tc>
      </w:tr>
      <w:tr w14:paraId="6DDDD256" w14:textId="77777777" w:rsidTr="00D75345">
        <w:tblPrEx>
          <w:tblW w:w="5000" w:type="pct"/>
          <w:tblLook w:val="04A0"/>
        </w:tblPrEx>
        <w:trPr>
          <w:trHeight w:val="20"/>
        </w:trPr>
        <w:tc>
          <w:tcPr>
            <w:tcW w:w="4860" w:type="dxa"/>
            <w:tcBorders>
              <w:top w:val="nil"/>
              <w:left w:val="nil"/>
              <w:bottom w:val="nil"/>
              <w:right w:val="nil"/>
            </w:tcBorders>
            <w:shd w:val="clear" w:color="000000" w:fill="FFFFFF"/>
            <w:noWrap/>
            <w:vAlign w:val="bottom"/>
            <w:hideMark/>
          </w:tcPr>
          <w:p w:rsidR="002C7C06" w:rsidRPr="005945C5" w:rsidP="005C6FB1" w14:paraId="6EEF2CA8" w14:textId="77777777">
            <w:pPr>
              <w:ind w:left="72" w:firstLine="160" w:firstLineChars="100"/>
              <w:rPr>
                <w:sz w:val="16"/>
                <w:szCs w:val="16"/>
              </w:rPr>
            </w:pPr>
            <w:r w:rsidRPr="005945C5">
              <w:rPr>
                <w:sz w:val="16"/>
                <w:szCs w:val="16"/>
              </w:rPr>
              <w:t>Advances and prepayments</w:t>
            </w:r>
          </w:p>
        </w:tc>
        <w:tc>
          <w:tcPr>
            <w:tcW w:w="1310" w:type="dxa"/>
            <w:tcBorders>
              <w:top w:val="nil"/>
              <w:left w:val="nil"/>
              <w:bottom w:val="nil"/>
              <w:right w:val="nil"/>
            </w:tcBorders>
            <w:shd w:val="clear" w:color="000000" w:fill="FFFFFF"/>
            <w:noWrap/>
            <w:vAlign w:val="bottom"/>
            <w:hideMark/>
          </w:tcPr>
          <w:p w:rsidR="002C7C06" w:rsidRPr="005945C5" w:rsidP="006F7B23" w14:paraId="689126AF" w14:textId="77777777">
            <w:pPr>
              <w:jc w:val="right"/>
              <w:rPr>
                <w:sz w:val="16"/>
                <w:szCs w:val="16"/>
              </w:rPr>
            </w:pP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2385F8F1" w14:textId="77777777">
            <w:pPr>
              <w:jc w:val="right"/>
              <w:rPr>
                <w:sz w:val="16"/>
                <w:szCs w:val="16"/>
              </w:rPr>
            </w:pPr>
            <w:r>
              <w:rPr>
                <w:sz w:val="16"/>
                <w:szCs w:val="16"/>
              </w:rPr>
              <w:t xml:space="preserve"> </w:t>
            </w:r>
            <w:r w:rsidRPr="005945C5">
              <w:rPr>
                <w:sz w:val="16"/>
                <w:szCs w:val="16"/>
              </w:rPr>
              <w:t xml:space="preserve">18,024 </w:t>
            </w:r>
          </w:p>
        </w:tc>
        <w:tc>
          <w:tcPr>
            <w:tcW w:w="1310" w:type="dxa"/>
            <w:tcBorders>
              <w:top w:val="nil"/>
              <w:left w:val="nil"/>
              <w:bottom w:val="nil"/>
              <w:right w:val="nil"/>
            </w:tcBorders>
            <w:shd w:val="clear" w:color="000000" w:fill="FFFFFF"/>
            <w:noWrap/>
            <w:vAlign w:val="bottom"/>
            <w:hideMark/>
          </w:tcPr>
          <w:p w:rsidR="002C7C06" w:rsidRPr="005945C5" w:rsidP="006F7B23" w14:paraId="65AC0892" w14:textId="77777777">
            <w:pPr>
              <w:jc w:val="right"/>
              <w:rPr>
                <w:sz w:val="16"/>
                <w:szCs w:val="16"/>
              </w:rPr>
            </w:pP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13D1ACC6" w14:textId="77777777">
            <w:pPr>
              <w:jc w:val="right"/>
              <w:rPr>
                <w:sz w:val="16"/>
                <w:szCs w:val="16"/>
              </w:rPr>
            </w:pPr>
            <w:r>
              <w:rPr>
                <w:sz w:val="16"/>
                <w:szCs w:val="16"/>
              </w:rPr>
              <w:t xml:space="preserve"> </w:t>
            </w:r>
            <w:r w:rsidRPr="005945C5">
              <w:rPr>
                <w:sz w:val="16"/>
                <w:szCs w:val="16"/>
              </w:rPr>
              <w:t xml:space="preserve">18,024 </w:t>
            </w:r>
          </w:p>
        </w:tc>
      </w:tr>
      <w:tr w14:paraId="5131940B" w14:textId="77777777" w:rsidTr="00D75345">
        <w:tblPrEx>
          <w:tblW w:w="5000" w:type="pct"/>
          <w:tblLook w:val="04A0"/>
        </w:tblPrEx>
        <w:trPr>
          <w:trHeight w:val="20"/>
        </w:trPr>
        <w:tc>
          <w:tcPr>
            <w:tcW w:w="4860" w:type="dxa"/>
            <w:tcBorders>
              <w:top w:val="nil"/>
              <w:left w:val="nil"/>
              <w:bottom w:val="nil"/>
              <w:right w:val="nil"/>
            </w:tcBorders>
            <w:shd w:val="clear" w:color="000000" w:fill="FFFFFF"/>
            <w:noWrap/>
            <w:vAlign w:val="bottom"/>
            <w:hideMark/>
          </w:tcPr>
          <w:p w:rsidR="002C7C06" w:rsidRPr="005945C5" w:rsidP="00812C3A" w14:paraId="71DB2619" w14:textId="7114316B">
            <w:pPr>
              <w:ind w:left="72"/>
              <w:rPr>
                <w:sz w:val="16"/>
                <w:szCs w:val="16"/>
              </w:rPr>
            </w:pPr>
            <w:r w:rsidRPr="005945C5">
              <w:rPr>
                <w:sz w:val="16"/>
                <w:szCs w:val="16"/>
              </w:rPr>
              <w:t>Total other than intragovernmental</w:t>
            </w:r>
          </w:p>
        </w:tc>
        <w:tc>
          <w:tcPr>
            <w:tcW w:w="1310" w:type="dxa"/>
            <w:tcBorders>
              <w:top w:val="single" w:sz="4" w:space="0" w:color="auto"/>
              <w:left w:val="nil"/>
              <w:bottom w:val="single" w:sz="4" w:space="0" w:color="auto"/>
              <w:right w:val="nil"/>
            </w:tcBorders>
            <w:shd w:val="clear" w:color="000000" w:fill="FFFFFF"/>
            <w:noWrap/>
            <w:vAlign w:val="bottom"/>
            <w:hideMark/>
          </w:tcPr>
          <w:p w:rsidR="002C7C06" w:rsidRPr="005945C5" w:rsidP="006F7B23" w14:paraId="7F518CD5" w14:textId="77777777">
            <w:pPr>
              <w:jc w:val="right"/>
              <w:rPr>
                <w:sz w:val="16"/>
                <w:szCs w:val="16"/>
              </w:rPr>
            </w:pPr>
            <w:r>
              <w:rPr>
                <w:sz w:val="16"/>
                <w:szCs w:val="16"/>
              </w:rPr>
              <w:t xml:space="preserve"> </w:t>
            </w:r>
            <w:r w:rsidRPr="005945C5">
              <w:rPr>
                <w:sz w:val="16"/>
                <w:szCs w:val="16"/>
              </w:rPr>
              <w:t xml:space="preserve">3,324 </w:t>
            </w:r>
          </w:p>
        </w:tc>
        <w:tc>
          <w:tcPr>
            <w:tcW w:w="1310" w:type="dxa"/>
            <w:tcBorders>
              <w:top w:val="single" w:sz="4" w:space="0" w:color="auto"/>
              <w:left w:val="nil"/>
              <w:bottom w:val="single" w:sz="4" w:space="0" w:color="auto"/>
              <w:right w:val="nil"/>
            </w:tcBorders>
            <w:shd w:val="clear" w:color="000000" w:fill="FFFFFF"/>
            <w:noWrap/>
            <w:vAlign w:val="bottom"/>
            <w:hideMark/>
          </w:tcPr>
          <w:p w:rsidR="002C7C06" w:rsidRPr="005945C5" w:rsidP="006F7B23" w14:paraId="7694BC0A" w14:textId="77777777">
            <w:pPr>
              <w:jc w:val="right"/>
              <w:rPr>
                <w:sz w:val="16"/>
                <w:szCs w:val="16"/>
              </w:rPr>
            </w:pPr>
            <w:r>
              <w:rPr>
                <w:sz w:val="16"/>
                <w:szCs w:val="16"/>
              </w:rPr>
              <w:t xml:space="preserve"> </w:t>
            </w:r>
            <w:r w:rsidRPr="005945C5">
              <w:rPr>
                <w:sz w:val="16"/>
                <w:szCs w:val="16"/>
              </w:rPr>
              <w:t xml:space="preserve">779,760 </w:t>
            </w:r>
          </w:p>
        </w:tc>
        <w:tc>
          <w:tcPr>
            <w:tcW w:w="1310" w:type="dxa"/>
            <w:tcBorders>
              <w:top w:val="single" w:sz="4" w:space="0" w:color="auto"/>
              <w:left w:val="nil"/>
              <w:bottom w:val="single" w:sz="4" w:space="0" w:color="auto"/>
              <w:right w:val="nil"/>
            </w:tcBorders>
            <w:shd w:val="clear" w:color="000000" w:fill="FFFFFF"/>
            <w:noWrap/>
            <w:vAlign w:val="bottom"/>
            <w:hideMark/>
          </w:tcPr>
          <w:p w:rsidR="002C7C06" w:rsidRPr="005945C5" w:rsidP="006F7B23" w14:paraId="42FEC4CB" w14:textId="77777777">
            <w:pPr>
              <w:jc w:val="right"/>
              <w:rPr>
                <w:sz w:val="16"/>
                <w:szCs w:val="16"/>
              </w:rPr>
            </w:pPr>
            <w:r>
              <w:rPr>
                <w:sz w:val="16"/>
                <w:szCs w:val="16"/>
              </w:rPr>
              <w:t xml:space="preserve"> </w:t>
            </w:r>
            <w:r w:rsidRPr="005945C5">
              <w:rPr>
                <w:sz w:val="16"/>
                <w:szCs w:val="16"/>
              </w:rPr>
              <w:t xml:space="preserve">44,966 </w:t>
            </w:r>
          </w:p>
        </w:tc>
        <w:tc>
          <w:tcPr>
            <w:tcW w:w="1310" w:type="dxa"/>
            <w:tcBorders>
              <w:top w:val="single" w:sz="4" w:space="0" w:color="auto"/>
              <w:left w:val="nil"/>
              <w:bottom w:val="single" w:sz="4" w:space="0" w:color="auto"/>
              <w:right w:val="nil"/>
            </w:tcBorders>
            <w:shd w:val="clear" w:color="000000" w:fill="FFFFFF"/>
            <w:noWrap/>
            <w:vAlign w:val="bottom"/>
            <w:hideMark/>
          </w:tcPr>
          <w:p w:rsidR="002C7C06" w:rsidRPr="005945C5" w:rsidP="006F7B23" w14:paraId="42D06EA5" w14:textId="77777777">
            <w:pPr>
              <w:jc w:val="right"/>
              <w:rPr>
                <w:sz w:val="16"/>
                <w:szCs w:val="16"/>
              </w:rPr>
            </w:pPr>
            <w:r>
              <w:rPr>
                <w:sz w:val="16"/>
                <w:szCs w:val="16"/>
              </w:rPr>
              <w:t xml:space="preserve"> </w:t>
            </w:r>
            <w:r w:rsidRPr="005945C5">
              <w:rPr>
                <w:sz w:val="16"/>
                <w:szCs w:val="16"/>
              </w:rPr>
              <w:t xml:space="preserve">828,050 </w:t>
            </w:r>
          </w:p>
        </w:tc>
      </w:tr>
      <w:tr w14:paraId="33377258" w14:textId="77777777" w:rsidTr="003B0C40">
        <w:tblPrEx>
          <w:tblW w:w="5000" w:type="pct"/>
          <w:tblLook w:val="04A0"/>
        </w:tblPrEx>
        <w:trPr>
          <w:trHeight w:val="197"/>
        </w:trPr>
        <w:tc>
          <w:tcPr>
            <w:tcW w:w="4860" w:type="dxa"/>
            <w:tcBorders>
              <w:top w:val="nil"/>
              <w:left w:val="nil"/>
              <w:bottom w:val="nil"/>
              <w:right w:val="nil"/>
            </w:tcBorders>
            <w:shd w:val="clear" w:color="000000" w:fill="FFFFFF"/>
            <w:noWrap/>
            <w:vAlign w:val="bottom"/>
            <w:hideMark/>
          </w:tcPr>
          <w:p w:rsidR="002C7C06" w:rsidRPr="005945C5" w:rsidP="004957F6" w14:paraId="76095D9C" w14:textId="77777777">
            <w:pPr>
              <w:ind w:left="-18" w:firstLine="640" w:firstLineChars="400"/>
              <w:rPr>
                <w:b/>
                <w:bCs/>
                <w:sz w:val="16"/>
                <w:szCs w:val="16"/>
              </w:rPr>
            </w:pPr>
            <w:r w:rsidRPr="005945C5">
              <w:rPr>
                <w:b/>
                <w:bCs/>
                <w:sz w:val="16"/>
                <w:szCs w:val="16"/>
              </w:rPr>
              <w:t>Total assets</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60590DED" w14:textId="0BF24263">
            <w:pPr>
              <w:jc w:val="right"/>
              <w:rPr>
                <w:sz w:val="16"/>
                <w:szCs w:val="16"/>
              </w:rPr>
            </w:pPr>
            <w:r w:rsidRPr="005945C5">
              <w:rPr>
                <w:sz w:val="16"/>
                <w:szCs w:val="16"/>
              </w:rPr>
              <w:t>$</w:t>
            </w:r>
            <w:r w:rsidR="00AD5474">
              <w:rPr>
                <w:sz w:val="16"/>
                <w:szCs w:val="16"/>
              </w:rPr>
              <w:t xml:space="preserve">       </w:t>
            </w:r>
            <w:r w:rsidRPr="005945C5">
              <w:rPr>
                <w:sz w:val="16"/>
                <w:szCs w:val="16"/>
              </w:rPr>
              <w:t xml:space="preserve">1,102,186 </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5378186F" w14:textId="77B8BE6C">
            <w:pPr>
              <w:jc w:val="right"/>
              <w:rPr>
                <w:sz w:val="16"/>
                <w:szCs w:val="16"/>
              </w:rPr>
            </w:pPr>
            <w:r w:rsidRPr="005945C5">
              <w:rPr>
                <w:sz w:val="16"/>
                <w:szCs w:val="16"/>
              </w:rPr>
              <w:t>$</w:t>
            </w:r>
            <w:r w:rsidR="00AD5474">
              <w:rPr>
                <w:sz w:val="16"/>
                <w:szCs w:val="16"/>
              </w:rPr>
              <w:t xml:space="preserve">       </w:t>
            </w:r>
            <w:r w:rsidRPr="005945C5">
              <w:rPr>
                <w:sz w:val="16"/>
                <w:szCs w:val="16"/>
              </w:rPr>
              <w:t xml:space="preserve">7,184,541 </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414E4446" w14:textId="13AE9AB0">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540,315 </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729E051F" w14:textId="472D4587">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8,827,042 </w:t>
            </w:r>
          </w:p>
        </w:tc>
      </w:tr>
      <w:tr w14:paraId="3174A1C7" w14:textId="77777777" w:rsidTr="00AD255A">
        <w:tblPrEx>
          <w:tblW w:w="5000" w:type="pct"/>
          <w:tblLook w:val="04A0"/>
        </w:tblPrEx>
        <w:trPr>
          <w:trHeight w:val="342"/>
        </w:trPr>
        <w:tc>
          <w:tcPr>
            <w:tcW w:w="4860" w:type="dxa"/>
            <w:tcBorders>
              <w:top w:val="nil"/>
              <w:left w:val="nil"/>
              <w:bottom w:val="nil"/>
              <w:right w:val="nil"/>
            </w:tcBorders>
            <w:shd w:val="clear" w:color="000000" w:fill="FFFFFF"/>
            <w:noWrap/>
            <w:vAlign w:val="bottom"/>
            <w:hideMark/>
          </w:tcPr>
          <w:p w:rsidR="002C7C06" w:rsidRPr="005945C5" w:rsidP="007F5C16" w14:paraId="712A6C03" w14:textId="2FF2C0F1">
            <w:pPr>
              <w:ind w:left="72"/>
              <w:rPr>
                <w:sz w:val="16"/>
                <w:szCs w:val="16"/>
              </w:rPr>
            </w:pPr>
            <w:r w:rsidRPr="005945C5">
              <w:rPr>
                <w:sz w:val="16"/>
                <w:szCs w:val="16"/>
              </w:rPr>
              <w:t>Other than intragovernmental</w:t>
            </w:r>
          </w:p>
        </w:tc>
        <w:tc>
          <w:tcPr>
            <w:tcW w:w="1310" w:type="dxa"/>
            <w:tcBorders>
              <w:top w:val="nil"/>
              <w:left w:val="nil"/>
              <w:bottom w:val="nil"/>
              <w:right w:val="nil"/>
            </w:tcBorders>
            <w:shd w:val="clear" w:color="000000" w:fill="FFFFFF"/>
            <w:noWrap/>
            <w:vAlign w:val="bottom"/>
            <w:hideMark/>
          </w:tcPr>
          <w:p w:rsidR="002C7C06" w:rsidRPr="005945C5" w:rsidP="006F7B23" w14:paraId="037EAB53" w14:textId="77777777">
            <w:pPr>
              <w:jc w:val="right"/>
              <w:rPr>
                <w:sz w:val="16"/>
                <w:szCs w:val="16"/>
              </w:rPr>
            </w:pPr>
            <w:r w:rsidRPr="005945C5">
              <w:rPr>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2D7F48EC" w14:textId="77777777">
            <w:pPr>
              <w:jc w:val="right"/>
              <w:rPr>
                <w:sz w:val="16"/>
                <w:szCs w:val="16"/>
              </w:rPr>
            </w:pPr>
            <w:r w:rsidRPr="005945C5">
              <w:rPr>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071D614D" w14:textId="77777777">
            <w:pPr>
              <w:jc w:val="right"/>
              <w:rPr>
                <w:sz w:val="16"/>
                <w:szCs w:val="16"/>
              </w:rPr>
            </w:pPr>
            <w:r w:rsidRPr="005945C5">
              <w:rPr>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0D2A791A" w14:textId="77777777">
            <w:pPr>
              <w:jc w:val="right"/>
              <w:rPr>
                <w:sz w:val="16"/>
                <w:szCs w:val="16"/>
              </w:rPr>
            </w:pPr>
            <w:r w:rsidRPr="005945C5">
              <w:rPr>
                <w:sz w:val="16"/>
                <w:szCs w:val="16"/>
              </w:rPr>
              <w:t> </w:t>
            </w:r>
          </w:p>
        </w:tc>
      </w:tr>
      <w:tr w14:paraId="679B8D39" w14:textId="77777777" w:rsidTr="00D75345">
        <w:tblPrEx>
          <w:tblW w:w="5000" w:type="pct"/>
          <w:tblLook w:val="04A0"/>
        </w:tblPrEx>
        <w:trPr>
          <w:trHeight w:val="20"/>
        </w:trPr>
        <w:tc>
          <w:tcPr>
            <w:tcW w:w="4860" w:type="dxa"/>
            <w:tcBorders>
              <w:top w:val="nil"/>
              <w:left w:val="nil"/>
              <w:bottom w:val="nil"/>
              <w:right w:val="nil"/>
            </w:tcBorders>
            <w:shd w:val="clear" w:color="000000" w:fill="FFFFFF"/>
            <w:noWrap/>
            <w:vAlign w:val="bottom"/>
            <w:hideMark/>
          </w:tcPr>
          <w:p w:rsidR="002C7C06" w:rsidRPr="005945C5" w:rsidP="007F5C16" w14:paraId="626F2622" w14:textId="0EE0985F">
            <w:pPr>
              <w:ind w:left="72"/>
              <w:rPr>
                <w:sz w:val="16"/>
                <w:szCs w:val="16"/>
              </w:rPr>
            </w:pPr>
            <w:r w:rsidRPr="005945C5">
              <w:rPr>
                <w:sz w:val="16"/>
                <w:szCs w:val="16"/>
              </w:rPr>
              <w:t>Accounts payable</w:t>
            </w:r>
          </w:p>
        </w:tc>
        <w:tc>
          <w:tcPr>
            <w:tcW w:w="1310" w:type="dxa"/>
            <w:tcBorders>
              <w:top w:val="nil"/>
              <w:left w:val="nil"/>
              <w:bottom w:val="nil"/>
              <w:right w:val="nil"/>
            </w:tcBorders>
            <w:shd w:val="clear" w:color="000000" w:fill="FFFFFF"/>
            <w:noWrap/>
            <w:vAlign w:val="bottom"/>
            <w:hideMark/>
          </w:tcPr>
          <w:p w:rsidR="002C7C06" w:rsidRPr="005945C5" w:rsidP="006F7B23" w14:paraId="5D16D432" w14:textId="6CB3749C">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90,124 </w:t>
            </w:r>
          </w:p>
        </w:tc>
        <w:tc>
          <w:tcPr>
            <w:tcW w:w="1310" w:type="dxa"/>
            <w:tcBorders>
              <w:top w:val="nil"/>
              <w:left w:val="nil"/>
              <w:bottom w:val="nil"/>
              <w:right w:val="nil"/>
            </w:tcBorders>
            <w:shd w:val="clear" w:color="000000" w:fill="FFFFFF"/>
            <w:noWrap/>
            <w:vAlign w:val="bottom"/>
            <w:hideMark/>
          </w:tcPr>
          <w:p w:rsidR="002C7C06" w:rsidRPr="005945C5" w:rsidP="006F7B23" w14:paraId="4FD766F1" w14:textId="6325FD9E">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419,487 </w:t>
            </w:r>
          </w:p>
        </w:tc>
        <w:tc>
          <w:tcPr>
            <w:tcW w:w="1310" w:type="dxa"/>
            <w:tcBorders>
              <w:top w:val="nil"/>
              <w:left w:val="nil"/>
              <w:bottom w:val="nil"/>
              <w:right w:val="nil"/>
            </w:tcBorders>
            <w:shd w:val="clear" w:color="000000" w:fill="FFFFFF"/>
            <w:noWrap/>
            <w:vAlign w:val="bottom"/>
            <w:hideMark/>
          </w:tcPr>
          <w:p w:rsidR="002C7C06" w:rsidRPr="005945C5" w:rsidP="006F7B23" w14:paraId="15951128" w14:textId="798E4B42">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5,502 </w:t>
            </w:r>
          </w:p>
        </w:tc>
        <w:tc>
          <w:tcPr>
            <w:tcW w:w="1310" w:type="dxa"/>
            <w:tcBorders>
              <w:top w:val="nil"/>
              <w:left w:val="nil"/>
              <w:bottom w:val="nil"/>
              <w:right w:val="nil"/>
            </w:tcBorders>
            <w:shd w:val="clear" w:color="000000" w:fill="FFFFFF"/>
            <w:noWrap/>
            <w:vAlign w:val="bottom"/>
            <w:hideMark/>
          </w:tcPr>
          <w:p w:rsidR="002C7C06" w:rsidRPr="005945C5" w:rsidP="006F7B23" w14:paraId="12BFEAB3" w14:textId="741EA36B">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515,113 </w:t>
            </w:r>
          </w:p>
        </w:tc>
      </w:tr>
      <w:tr w14:paraId="2D7EEEDF" w14:textId="77777777" w:rsidTr="00D75345">
        <w:tblPrEx>
          <w:tblW w:w="5000" w:type="pct"/>
          <w:tblLook w:val="04A0"/>
        </w:tblPrEx>
        <w:trPr>
          <w:trHeight w:val="20"/>
        </w:trPr>
        <w:tc>
          <w:tcPr>
            <w:tcW w:w="4860" w:type="dxa"/>
            <w:tcBorders>
              <w:top w:val="nil"/>
              <w:left w:val="nil"/>
              <w:bottom w:val="nil"/>
              <w:right w:val="nil"/>
            </w:tcBorders>
            <w:shd w:val="clear" w:color="000000" w:fill="FFFFFF"/>
            <w:noWrap/>
            <w:vAlign w:val="bottom"/>
            <w:hideMark/>
          </w:tcPr>
          <w:p w:rsidR="002C7C06" w:rsidRPr="005945C5" w:rsidP="007F5C16" w14:paraId="5585A663" w14:textId="59423E8A">
            <w:pPr>
              <w:ind w:left="72"/>
              <w:rPr>
                <w:sz w:val="16"/>
                <w:szCs w:val="16"/>
              </w:rPr>
            </w:pPr>
            <w:r w:rsidRPr="005945C5">
              <w:rPr>
                <w:sz w:val="16"/>
                <w:szCs w:val="16"/>
              </w:rPr>
              <w:t>Deferred revenue</w:t>
            </w:r>
          </w:p>
        </w:tc>
        <w:tc>
          <w:tcPr>
            <w:tcW w:w="1310" w:type="dxa"/>
            <w:tcBorders>
              <w:top w:val="nil"/>
              <w:left w:val="nil"/>
              <w:bottom w:val="nil"/>
              <w:right w:val="nil"/>
            </w:tcBorders>
            <w:shd w:val="clear" w:color="000000" w:fill="FFFFFF"/>
            <w:noWrap/>
            <w:vAlign w:val="bottom"/>
            <w:hideMark/>
          </w:tcPr>
          <w:p w:rsidR="002C7C06" w:rsidRPr="005945C5" w:rsidP="006F7B23" w14:paraId="034D0646" w14:textId="77777777">
            <w:pPr>
              <w:jc w:val="right"/>
              <w:rPr>
                <w:sz w:val="16"/>
                <w:szCs w:val="16"/>
              </w:rPr>
            </w:pP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3CF66AE5" w14:textId="77777777">
            <w:pPr>
              <w:jc w:val="right"/>
              <w:rPr>
                <w:sz w:val="16"/>
                <w:szCs w:val="16"/>
              </w:rPr>
            </w:pP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546FA743" w14:textId="77777777">
            <w:pPr>
              <w:jc w:val="right"/>
              <w:rPr>
                <w:sz w:val="16"/>
                <w:szCs w:val="16"/>
              </w:rPr>
            </w:pPr>
            <w:r>
              <w:rPr>
                <w:sz w:val="16"/>
                <w:szCs w:val="16"/>
              </w:rPr>
              <w:t xml:space="preserve"> </w:t>
            </w:r>
            <w:r w:rsidRPr="005945C5">
              <w:rPr>
                <w:sz w:val="16"/>
                <w:szCs w:val="16"/>
              </w:rPr>
              <w:t xml:space="preserve">8,977 </w:t>
            </w:r>
          </w:p>
        </w:tc>
        <w:tc>
          <w:tcPr>
            <w:tcW w:w="1310" w:type="dxa"/>
            <w:tcBorders>
              <w:top w:val="nil"/>
              <w:left w:val="nil"/>
              <w:bottom w:val="nil"/>
              <w:right w:val="nil"/>
            </w:tcBorders>
            <w:shd w:val="clear" w:color="000000" w:fill="FFFFFF"/>
            <w:noWrap/>
            <w:vAlign w:val="bottom"/>
            <w:hideMark/>
          </w:tcPr>
          <w:p w:rsidR="002C7C06" w:rsidRPr="005945C5" w:rsidP="006F7B23" w14:paraId="5A709E8A" w14:textId="77777777">
            <w:pPr>
              <w:jc w:val="right"/>
              <w:rPr>
                <w:sz w:val="16"/>
                <w:szCs w:val="16"/>
              </w:rPr>
            </w:pPr>
            <w:r>
              <w:rPr>
                <w:sz w:val="16"/>
                <w:szCs w:val="16"/>
              </w:rPr>
              <w:t xml:space="preserve"> </w:t>
            </w:r>
            <w:r w:rsidRPr="005945C5">
              <w:rPr>
                <w:sz w:val="16"/>
                <w:szCs w:val="16"/>
              </w:rPr>
              <w:t xml:space="preserve">8,977 </w:t>
            </w:r>
          </w:p>
        </w:tc>
      </w:tr>
      <w:tr w14:paraId="1534E79F" w14:textId="77777777" w:rsidTr="00D75345">
        <w:tblPrEx>
          <w:tblW w:w="5000" w:type="pct"/>
          <w:tblLook w:val="04A0"/>
        </w:tblPrEx>
        <w:trPr>
          <w:trHeight w:val="20"/>
        </w:trPr>
        <w:tc>
          <w:tcPr>
            <w:tcW w:w="4860" w:type="dxa"/>
            <w:tcBorders>
              <w:top w:val="nil"/>
              <w:left w:val="nil"/>
              <w:bottom w:val="nil"/>
              <w:right w:val="nil"/>
            </w:tcBorders>
            <w:shd w:val="clear" w:color="000000" w:fill="FFFFFF"/>
            <w:noWrap/>
            <w:vAlign w:val="bottom"/>
            <w:hideMark/>
          </w:tcPr>
          <w:p w:rsidR="002C7C06" w:rsidRPr="005945C5" w:rsidP="007F5C16" w14:paraId="799EB993" w14:textId="5D661FA7">
            <w:pPr>
              <w:ind w:left="72"/>
              <w:rPr>
                <w:sz w:val="16"/>
                <w:szCs w:val="16"/>
              </w:rPr>
            </w:pPr>
            <w:r w:rsidRPr="005945C5">
              <w:rPr>
                <w:sz w:val="16"/>
                <w:szCs w:val="16"/>
              </w:rPr>
              <w:t>Prepaid contributions</w:t>
            </w:r>
          </w:p>
        </w:tc>
        <w:tc>
          <w:tcPr>
            <w:tcW w:w="1310" w:type="dxa"/>
            <w:tcBorders>
              <w:top w:val="nil"/>
              <w:left w:val="nil"/>
              <w:bottom w:val="nil"/>
              <w:right w:val="nil"/>
            </w:tcBorders>
            <w:shd w:val="clear" w:color="000000" w:fill="FFFFFF"/>
            <w:noWrap/>
            <w:vAlign w:val="bottom"/>
            <w:hideMark/>
          </w:tcPr>
          <w:p w:rsidR="002C7C06" w:rsidRPr="005945C5" w:rsidP="006F7B23" w14:paraId="59423111" w14:textId="77777777">
            <w:pPr>
              <w:jc w:val="right"/>
              <w:rPr>
                <w:sz w:val="16"/>
                <w:szCs w:val="16"/>
              </w:rPr>
            </w:pP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5B612BF8" w14:textId="77777777">
            <w:pPr>
              <w:jc w:val="right"/>
              <w:rPr>
                <w:sz w:val="16"/>
                <w:szCs w:val="16"/>
              </w:rPr>
            </w:pPr>
            <w:r>
              <w:rPr>
                <w:sz w:val="16"/>
                <w:szCs w:val="16"/>
              </w:rPr>
              <w:t xml:space="preserve"> </w:t>
            </w:r>
            <w:r w:rsidRPr="005945C5">
              <w:rPr>
                <w:sz w:val="16"/>
                <w:szCs w:val="16"/>
              </w:rPr>
              <w:t xml:space="preserve">42,899 </w:t>
            </w:r>
          </w:p>
        </w:tc>
        <w:tc>
          <w:tcPr>
            <w:tcW w:w="1310" w:type="dxa"/>
            <w:tcBorders>
              <w:top w:val="nil"/>
              <w:left w:val="nil"/>
              <w:bottom w:val="nil"/>
              <w:right w:val="nil"/>
            </w:tcBorders>
            <w:shd w:val="clear" w:color="000000" w:fill="FFFFFF"/>
            <w:noWrap/>
            <w:vAlign w:val="bottom"/>
            <w:hideMark/>
          </w:tcPr>
          <w:p w:rsidR="002C7C06" w:rsidRPr="005945C5" w:rsidP="006F7B23" w14:paraId="39E0BE48" w14:textId="77777777">
            <w:pPr>
              <w:jc w:val="right"/>
              <w:rPr>
                <w:sz w:val="16"/>
                <w:szCs w:val="16"/>
              </w:rPr>
            </w:pPr>
            <w:r>
              <w:rPr>
                <w:sz w:val="16"/>
                <w:szCs w:val="16"/>
              </w:rPr>
              <w:t xml:space="preserve"> </w:t>
            </w:r>
            <w:r w:rsidRPr="005945C5">
              <w:rPr>
                <w:sz w:val="16"/>
                <w:szCs w:val="16"/>
              </w:rPr>
              <w:t xml:space="preserve">1,664 </w:t>
            </w:r>
          </w:p>
        </w:tc>
        <w:tc>
          <w:tcPr>
            <w:tcW w:w="1310" w:type="dxa"/>
            <w:tcBorders>
              <w:top w:val="nil"/>
              <w:left w:val="nil"/>
              <w:bottom w:val="nil"/>
              <w:right w:val="nil"/>
            </w:tcBorders>
            <w:shd w:val="clear" w:color="000000" w:fill="FFFFFF"/>
            <w:noWrap/>
            <w:vAlign w:val="bottom"/>
            <w:hideMark/>
          </w:tcPr>
          <w:p w:rsidR="002C7C06" w:rsidRPr="005945C5" w:rsidP="006F7B23" w14:paraId="7DF0AD4A" w14:textId="77777777">
            <w:pPr>
              <w:jc w:val="right"/>
              <w:rPr>
                <w:sz w:val="16"/>
                <w:szCs w:val="16"/>
              </w:rPr>
            </w:pPr>
            <w:r>
              <w:rPr>
                <w:sz w:val="16"/>
                <w:szCs w:val="16"/>
              </w:rPr>
              <w:t xml:space="preserve"> </w:t>
            </w:r>
            <w:r w:rsidRPr="005945C5">
              <w:rPr>
                <w:sz w:val="16"/>
                <w:szCs w:val="16"/>
              </w:rPr>
              <w:t xml:space="preserve">44,563 </w:t>
            </w:r>
          </w:p>
        </w:tc>
      </w:tr>
      <w:tr w14:paraId="2F6B5897" w14:textId="77777777" w:rsidTr="00D75345">
        <w:tblPrEx>
          <w:tblW w:w="5000" w:type="pct"/>
          <w:tblLook w:val="04A0"/>
        </w:tblPrEx>
        <w:trPr>
          <w:trHeight w:val="20"/>
        </w:trPr>
        <w:tc>
          <w:tcPr>
            <w:tcW w:w="4860" w:type="dxa"/>
            <w:tcBorders>
              <w:top w:val="nil"/>
              <w:left w:val="nil"/>
              <w:bottom w:val="nil"/>
              <w:right w:val="nil"/>
            </w:tcBorders>
            <w:shd w:val="clear" w:color="000000" w:fill="FFFFFF"/>
            <w:noWrap/>
            <w:vAlign w:val="bottom"/>
            <w:hideMark/>
          </w:tcPr>
          <w:p w:rsidR="002C7C06" w:rsidRPr="005945C5" w:rsidP="007F5C16" w14:paraId="29A67C6E" w14:textId="31D93C9C">
            <w:pPr>
              <w:ind w:left="72"/>
              <w:rPr>
                <w:sz w:val="16"/>
                <w:szCs w:val="16"/>
              </w:rPr>
            </w:pPr>
            <w:r w:rsidRPr="005945C5">
              <w:rPr>
                <w:sz w:val="16"/>
                <w:szCs w:val="16"/>
              </w:rPr>
              <w:t>Accrued liabilities</w:t>
            </w:r>
          </w:p>
        </w:tc>
        <w:tc>
          <w:tcPr>
            <w:tcW w:w="1310" w:type="dxa"/>
            <w:tcBorders>
              <w:top w:val="nil"/>
              <w:left w:val="nil"/>
              <w:bottom w:val="nil"/>
              <w:right w:val="nil"/>
            </w:tcBorders>
            <w:shd w:val="clear" w:color="000000" w:fill="FFFFFF"/>
            <w:noWrap/>
            <w:vAlign w:val="bottom"/>
            <w:hideMark/>
          </w:tcPr>
          <w:p w:rsidR="002C7C06" w:rsidRPr="005945C5" w:rsidP="006F7B23" w14:paraId="73004E3E" w14:textId="77777777">
            <w:pPr>
              <w:jc w:val="right"/>
              <w:rPr>
                <w:sz w:val="16"/>
                <w:szCs w:val="16"/>
              </w:rPr>
            </w:pP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6DC688E5" w14:textId="77777777">
            <w:pPr>
              <w:jc w:val="right"/>
              <w:rPr>
                <w:sz w:val="16"/>
                <w:szCs w:val="16"/>
              </w:rPr>
            </w:pPr>
            <w:r>
              <w:rPr>
                <w:sz w:val="16"/>
                <w:szCs w:val="16"/>
              </w:rPr>
              <w:t xml:space="preserve"> </w:t>
            </w:r>
            <w:r w:rsidRPr="005945C5">
              <w:rPr>
                <w:sz w:val="16"/>
                <w:szCs w:val="16"/>
              </w:rPr>
              <w:t xml:space="preserve">282,277 </w:t>
            </w:r>
          </w:p>
        </w:tc>
        <w:tc>
          <w:tcPr>
            <w:tcW w:w="1310" w:type="dxa"/>
            <w:tcBorders>
              <w:top w:val="nil"/>
              <w:left w:val="nil"/>
              <w:bottom w:val="nil"/>
              <w:right w:val="nil"/>
            </w:tcBorders>
            <w:shd w:val="clear" w:color="000000" w:fill="FFFFFF"/>
            <w:noWrap/>
            <w:vAlign w:val="bottom"/>
            <w:hideMark/>
          </w:tcPr>
          <w:p w:rsidR="002C7C06" w:rsidRPr="005945C5" w:rsidP="006F7B23" w14:paraId="747EBA71" w14:textId="77777777">
            <w:pPr>
              <w:jc w:val="right"/>
              <w:rPr>
                <w:sz w:val="16"/>
                <w:szCs w:val="16"/>
              </w:rPr>
            </w:pPr>
            <w:r>
              <w:rPr>
                <w:sz w:val="16"/>
                <w:szCs w:val="16"/>
              </w:rPr>
              <w:t xml:space="preserve"> </w:t>
            </w:r>
            <w:r w:rsidRPr="005945C5">
              <w:rPr>
                <w:sz w:val="16"/>
                <w:szCs w:val="16"/>
              </w:rPr>
              <w:t xml:space="preserve">208,620 </w:t>
            </w:r>
          </w:p>
        </w:tc>
        <w:tc>
          <w:tcPr>
            <w:tcW w:w="1310" w:type="dxa"/>
            <w:tcBorders>
              <w:top w:val="nil"/>
              <w:left w:val="nil"/>
              <w:bottom w:val="nil"/>
              <w:right w:val="nil"/>
            </w:tcBorders>
            <w:shd w:val="clear" w:color="000000" w:fill="FFFFFF"/>
            <w:noWrap/>
            <w:vAlign w:val="bottom"/>
            <w:hideMark/>
          </w:tcPr>
          <w:p w:rsidR="002C7C06" w:rsidRPr="005945C5" w:rsidP="006F7B23" w14:paraId="3CC367A1" w14:textId="77777777">
            <w:pPr>
              <w:jc w:val="right"/>
              <w:rPr>
                <w:sz w:val="16"/>
                <w:szCs w:val="16"/>
              </w:rPr>
            </w:pPr>
            <w:r>
              <w:rPr>
                <w:sz w:val="16"/>
                <w:szCs w:val="16"/>
              </w:rPr>
              <w:t xml:space="preserve"> </w:t>
            </w:r>
            <w:r w:rsidRPr="005945C5">
              <w:rPr>
                <w:sz w:val="16"/>
                <w:szCs w:val="16"/>
              </w:rPr>
              <w:t xml:space="preserve">490,897 </w:t>
            </w:r>
          </w:p>
        </w:tc>
      </w:tr>
      <w:tr w14:paraId="6883730F" w14:textId="77777777" w:rsidTr="00474104">
        <w:tblPrEx>
          <w:tblW w:w="5000" w:type="pct"/>
          <w:tblLook w:val="04A0"/>
        </w:tblPrEx>
        <w:trPr>
          <w:trHeight w:val="134"/>
        </w:trPr>
        <w:tc>
          <w:tcPr>
            <w:tcW w:w="4860" w:type="dxa"/>
            <w:tcBorders>
              <w:top w:val="nil"/>
              <w:left w:val="nil"/>
              <w:bottom w:val="nil"/>
              <w:right w:val="nil"/>
            </w:tcBorders>
            <w:shd w:val="clear" w:color="000000" w:fill="FFFFFF"/>
            <w:noWrap/>
            <w:vAlign w:val="bottom"/>
            <w:hideMark/>
          </w:tcPr>
          <w:p w:rsidR="002C7C06" w:rsidRPr="005945C5" w:rsidP="004957F6" w14:paraId="44326F2C" w14:textId="77777777">
            <w:pPr>
              <w:ind w:left="-18" w:firstLine="640" w:firstLineChars="400"/>
              <w:rPr>
                <w:b/>
                <w:bCs/>
                <w:sz w:val="16"/>
                <w:szCs w:val="16"/>
              </w:rPr>
            </w:pPr>
            <w:r w:rsidRPr="005945C5">
              <w:rPr>
                <w:b/>
                <w:bCs/>
                <w:sz w:val="16"/>
                <w:szCs w:val="16"/>
              </w:rPr>
              <w:t>Total liabilities</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5DDFCE6A" w14:textId="1CA06908">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90,124 </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6DFE93C5" w14:textId="1F568EDF">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744,663 </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5A77CF8C" w14:textId="7FC36948">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224,763 </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416205C0" w14:textId="2FEB403D">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1,059,550 </w:t>
            </w:r>
          </w:p>
        </w:tc>
      </w:tr>
      <w:tr w14:paraId="5C437C16" w14:textId="77777777" w:rsidTr="00026A7C">
        <w:tblPrEx>
          <w:tblW w:w="5000" w:type="pct"/>
          <w:tblLook w:val="04A0"/>
        </w:tblPrEx>
        <w:trPr>
          <w:trHeight w:val="259"/>
        </w:trPr>
        <w:tc>
          <w:tcPr>
            <w:tcW w:w="4860" w:type="dxa"/>
            <w:tcBorders>
              <w:top w:val="nil"/>
              <w:left w:val="nil"/>
              <w:bottom w:val="nil"/>
              <w:right w:val="nil"/>
            </w:tcBorders>
            <w:shd w:val="clear" w:color="000000" w:fill="FFFFFF"/>
            <w:noWrap/>
            <w:vAlign w:val="bottom"/>
            <w:hideMark/>
          </w:tcPr>
          <w:p w:rsidR="002C7C06" w:rsidRPr="005945C5" w:rsidP="00854BC4" w14:paraId="15E1FE43" w14:textId="77777777">
            <w:pPr>
              <w:rPr>
                <w:sz w:val="16"/>
                <w:szCs w:val="16"/>
              </w:rPr>
            </w:pPr>
            <w:r w:rsidRPr="005945C5">
              <w:rPr>
                <w:sz w:val="16"/>
                <w:szCs w:val="16"/>
              </w:rPr>
              <w:t>Unexpended appropriations</w:t>
            </w:r>
          </w:p>
        </w:tc>
        <w:tc>
          <w:tcPr>
            <w:tcW w:w="1310" w:type="dxa"/>
            <w:tcBorders>
              <w:top w:val="nil"/>
              <w:left w:val="nil"/>
              <w:bottom w:val="nil"/>
              <w:right w:val="nil"/>
            </w:tcBorders>
            <w:shd w:val="clear" w:color="000000" w:fill="FFFFFF"/>
            <w:noWrap/>
            <w:vAlign w:val="bottom"/>
            <w:hideMark/>
          </w:tcPr>
          <w:p w:rsidR="002C7C06" w:rsidRPr="005945C5" w:rsidP="006F7B23" w14:paraId="19E414D4" w14:textId="4F8BD015">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819,020 </w:t>
            </w:r>
          </w:p>
        </w:tc>
        <w:tc>
          <w:tcPr>
            <w:tcW w:w="1310" w:type="dxa"/>
            <w:tcBorders>
              <w:top w:val="nil"/>
              <w:left w:val="nil"/>
              <w:bottom w:val="nil"/>
              <w:right w:val="nil"/>
            </w:tcBorders>
            <w:shd w:val="clear" w:color="000000" w:fill="FFFFFF"/>
            <w:noWrap/>
            <w:vAlign w:val="bottom"/>
            <w:hideMark/>
          </w:tcPr>
          <w:p w:rsidR="002C7C06" w:rsidRPr="005945C5" w:rsidP="006F7B23" w14:paraId="5DFFBD3D" w14:textId="6647BAC3">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370BBE27" w14:textId="2901EC5C">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588AB4B5" w14:textId="5E783BE8">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819,020 </w:t>
            </w:r>
          </w:p>
        </w:tc>
      </w:tr>
      <w:tr w14:paraId="58682AF4" w14:textId="77777777" w:rsidTr="00026A7C">
        <w:tblPrEx>
          <w:tblW w:w="5000" w:type="pct"/>
          <w:tblLook w:val="04A0"/>
        </w:tblPrEx>
        <w:trPr>
          <w:trHeight w:val="259"/>
        </w:trPr>
        <w:tc>
          <w:tcPr>
            <w:tcW w:w="4860" w:type="dxa"/>
            <w:tcBorders>
              <w:top w:val="nil"/>
              <w:left w:val="nil"/>
              <w:bottom w:val="nil"/>
              <w:right w:val="nil"/>
            </w:tcBorders>
            <w:shd w:val="clear" w:color="000000" w:fill="FFFFFF"/>
            <w:noWrap/>
            <w:vAlign w:val="bottom"/>
            <w:hideMark/>
          </w:tcPr>
          <w:p w:rsidR="002C7C06" w:rsidRPr="005945C5" w:rsidP="00854BC4" w14:paraId="23FC4D42" w14:textId="77777777">
            <w:pPr>
              <w:rPr>
                <w:sz w:val="16"/>
                <w:szCs w:val="16"/>
              </w:rPr>
            </w:pPr>
            <w:r w:rsidRPr="005945C5">
              <w:rPr>
                <w:sz w:val="16"/>
                <w:szCs w:val="16"/>
              </w:rPr>
              <w:t>Cumulative results of operations</w:t>
            </w:r>
          </w:p>
        </w:tc>
        <w:tc>
          <w:tcPr>
            <w:tcW w:w="1310" w:type="dxa"/>
            <w:tcBorders>
              <w:top w:val="nil"/>
              <w:left w:val="nil"/>
              <w:bottom w:val="single" w:sz="4" w:space="0" w:color="auto"/>
              <w:right w:val="nil"/>
            </w:tcBorders>
            <w:shd w:val="clear" w:color="000000" w:fill="FFFFFF"/>
            <w:noWrap/>
            <w:vAlign w:val="bottom"/>
            <w:hideMark/>
          </w:tcPr>
          <w:p w:rsidR="002C7C06" w:rsidRPr="005945C5" w:rsidP="006F7B23" w14:paraId="212C9AB8" w14:textId="77777777">
            <w:pPr>
              <w:jc w:val="right"/>
              <w:rPr>
                <w:sz w:val="16"/>
                <w:szCs w:val="16"/>
              </w:rPr>
            </w:pPr>
            <w:r>
              <w:rPr>
                <w:sz w:val="16"/>
                <w:szCs w:val="16"/>
              </w:rPr>
              <w:t xml:space="preserve"> </w:t>
            </w:r>
            <w:r w:rsidRPr="005945C5">
              <w:rPr>
                <w:sz w:val="16"/>
                <w:szCs w:val="16"/>
              </w:rPr>
              <w:t xml:space="preserve">193,042 </w:t>
            </w:r>
          </w:p>
        </w:tc>
        <w:tc>
          <w:tcPr>
            <w:tcW w:w="1310" w:type="dxa"/>
            <w:tcBorders>
              <w:top w:val="nil"/>
              <w:left w:val="nil"/>
              <w:bottom w:val="single" w:sz="4" w:space="0" w:color="auto"/>
              <w:right w:val="nil"/>
            </w:tcBorders>
            <w:shd w:val="clear" w:color="000000" w:fill="FFFFFF"/>
            <w:noWrap/>
            <w:vAlign w:val="bottom"/>
            <w:hideMark/>
          </w:tcPr>
          <w:p w:rsidR="002C7C06" w:rsidRPr="005945C5" w:rsidP="006F7B23" w14:paraId="47385218" w14:textId="77777777">
            <w:pPr>
              <w:jc w:val="right"/>
              <w:rPr>
                <w:sz w:val="16"/>
                <w:szCs w:val="16"/>
              </w:rPr>
            </w:pPr>
            <w:r>
              <w:rPr>
                <w:sz w:val="16"/>
                <w:szCs w:val="16"/>
              </w:rPr>
              <w:t xml:space="preserve"> </w:t>
            </w:r>
            <w:r w:rsidRPr="005945C5">
              <w:rPr>
                <w:sz w:val="16"/>
                <w:szCs w:val="16"/>
              </w:rPr>
              <w:t xml:space="preserve">6,439,878 </w:t>
            </w:r>
          </w:p>
        </w:tc>
        <w:tc>
          <w:tcPr>
            <w:tcW w:w="1310" w:type="dxa"/>
            <w:tcBorders>
              <w:top w:val="nil"/>
              <w:left w:val="nil"/>
              <w:bottom w:val="single" w:sz="4" w:space="0" w:color="auto"/>
              <w:right w:val="nil"/>
            </w:tcBorders>
            <w:shd w:val="clear" w:color="000000" w:fill="FFFFFF"/>
            <w:noWrap/>
            <w:vAlign w:val="bottom"/>
            <w:hideMark/>
          </w:tcPr>
          <w:p w:rsidR="002C7C06" w:rsidRPr="005945C5" w:rsidP="006F7B23" w14:paraId="56B246F9" w14:textId="77777777">
            <w:pPr>
              <w:jc w:val="right"/>
              <w:rPr>
                <w:sz w:val="16"/>
                <w:szCs w:val="16"/>
              </w:rPr>
            </w:pPr>
            <w:r>
              <w:rPr>
                <w:sz w:val="16"/>
                <w:szCs w:val="16"/>
              </w:rPr>
              <w:t xml:space="preserve"> </w:t>
            </w:r>
            <w:r w:rsidRPr="005945C5">
              <w:rPr>
                <w:sz w:val="16"/>
                <w:szCs w:val="16"/>
              </w:rPr>
              <w:t xml:space="preserve">315,552 </w:t>
            </w:r>
          </w:p>
        </w:tc>
        <w:tc>
          <w:tcPr>
            <w:tcW w:w="1310" w:type="dxa"/>
            <w:tcBorders>
              <w:top w:val="nil"/>
              <w:left w:val="nil"/>
              <w:bottom w:val="single" w:sz="4" w:space="0" w:color="auto"/>
              <w:right w:val="nil"/>
            </w:tcBorders>
            <w:shd w:val="clear" w:color="000000" w:fill="FFFFFF"/>
            <w:noWrap/>
            <w:vAlign w:val="bottom"/>
            <w:hideMark/>
          </w:tcPr>
          <w:p w:rsidR="002C7C06" w:rsidRPr="005945C5" w:rsidP="006F7B23" w14:paraId="105999A6" w14:textId="77777777">
            <w:pPr>
              <w:jc w:val="right"/>
              <w:rPr>
                <w:sz w:val="16"/>
                <w:szCs w:val="16"/>
              </w:rPr>
            </w:pPr>
            <w:r>
              <w:rPr>
                <w:sz w:val="16"/>
                <w:szCs w:val="16"/>
              </w:rPr>
              <w:t xml:space="preserve"> </w:t>
            </w:r>
            <w:r w:rsidRPr="005945C5">
              <w:rPr>
                <w:sz w:val="16"/>
                <w:szCs w:val="16"/>
              </w:rPr>
              <w:t xml:space="preserve">6,948,472 </w:t>
            </w:r>
          </w:p>
        </w:tc>
      </w:tr>
      <w:tr w14:paraId="5EA9B225" w14:textId="77777777" w:rsidTr="003B0C40">
        <w:tblPrEx>
          <w:tblW w:w="5000" w:type="pct"/>
          <w:tblLook w:val="04A0"/>
        </w:tblPrEx>
        <w:trPr>
          <w:trHeight w:val="197"/>
        </w:trPr>
        <w:tc>
          <w:tcPr>
            <w:tcW w:w="4860" w:type="dxa"/>
            <w:tcBorders>
              <w:top w:val="nil"/>
              <w:left w:val="nil"/>
              <w:bottom w:val="nil"/>
              <w:right w:val="nil"/>
            </w:tcBorders>
            <w:shd w:val="clear" w:color="000000" w:fill="FFFFFF"/>
            <w:noWrap/>
            <w:vAlign w:val="bottom"/>
            <w:hideMark/>
          </w:tcPr>
          <w:p w:rsidR="002C7C06" w:rsidRPr="005945C5" w:rsidP="004957F6" w14:paraId="2F44AE94" w14:textId="77777777">
            <w:pPr>
              <w:ind w:left="-18" w:firstLine="640" w:firstLineChars="400"/>
              <w:rPr>
                <w:b/>
                <w:bCs/>
                <w:sz w:val="16"/>
                <w:szCs w:val="16"/>
              </w:rPr>
            </w:pPr>
            <w:r w:rsidRPr="005945C5">
              <w:rPr>
                <w:b/>
                <w:bCs/>
                <w:sz w:val="16"/>
                <w:szCs w:val="16"/>
              </w:rPr>
              <w:t>Total liabilities and net position</w:t>
            </w:r>
          </w:p>
        </w:tc>
        <w:tc>
          <w:tcPr>
            <w:tcW w:w="1310" w:type="dxa"/>
            <w:tcBorders>
              <w:top w:val="nil"/>
              <w:left w:val="nil"/>
              <w:bottom w:val="double" w:sz="6" w:space="0" w:color="auto"/>
              <w:right w:val="nil"/>
            </w:tcBorders>
            <w:shd w:val="clear" w:color="000000" w:fill="FFFFFF"/>
            <w:noWrap/>
            <w:vAlign w:val="bottom"/>
            <w:hideMark/>
          </w:tcPr>
          <w:p w:rsidR="002C7C06" w:rsidRPr="005945C5" w:rsidP="006F7B23" w14:paraId="78EA38BB" w14:textId="2A177B92">
            <w:pPr>
              <w:ind w:firstLine="6"/>
              <w:jc w:val="right"/>
              <w:rPr>
                <w:sz w:val="16"/>
                <w:szCs w:val="16"/>
              </w:rPr>
            </w:pPr>
            <w:r w:rsidRPr="005945C5">
              <w:rPr>
                <w:sz w:val="16"/>
                <w:szCs w:val="16"/>
              </w:rPr>
              <w:t>$</w:t>
            </w:r>
            <w:r w:rsidR="006F7B23">
              <w:rPr>
                <w:sz w:val="16"/>
                <w:szCs w:val="16"/>
              </w:rPr>
              <w:t xml:space="preserve">      </w:t>
            </w:r>
            <w:r w:rsidRPr="005945C5">
              <w:rPr>
                <w:sz w:val="16"/>
                <w:szCs w:val="16"/>
              </w:rPr>
              <w:t xml:space="preserve">1,102,186 </w:t>
            </w:r>
          </w:p>
        </w:tc>
        <w:tc>
          <w:tcPr>
            <w:tcW w:w="1310" w:type="dxa"/>
            <w:tcBorders>
              <w:top w:val="nil"/>
              <w:left w:val="nil"/>
              <w:bottom w:val="double" w:sz="6" w:space="0" w:color="auto"/>
              <w:right w:val="nil"/>
            </w:tcBorders>
            <w:shd w:val="clear" w:color="000000" w:fill="FFFFFF"/>
            <w:noWrap/>
            <w:vAlign w:val="bottom"/>
            <w:hideMark/>
          </w:tcPr>
          <w:p w:rsidR="002C7C06" w:rsidRPr="005945C5" w:rsidP="006F7B23" w14:paraId="4C8F5D63" w14:textId="705D1066">
            <w:pPr>
              <w:jc w:val="right"/>
              <w:rPr>
                <w:sz w:val="16"/>
                <w:szCs w:val="16"/>
              </w:rPr>
            </w:pPr>
            <w:r w:rsidRPr="005945C5">
              <w:rPr>
                <w:sz w:val="16"/>
                <w:szCs w:val="16"/>
              </w:rPr>
              <w:t>$</w:t>
            </w:r>
            <w:r w:rsidR="00AD5474">
              <w:rPr>
                <w:sz w:val="16"/>
                <w:szCs w:val="16"/>
              </w:rPr>
              <w:t xml:space="preserve">       </w:t>
            </w:r>
            <w:r w:rsidRPr="005945C5">
              <w:rPr>
                <w:sz w:val="16"/>
                <w:szCs w:val="16"/>
              </w:rPr>
              <w:t xml:space="preserve">7,184,541 </w:t>
            </w:r>
          </w:p>
        </w:tc>
        <w:tc>
          <w:tcPr>
            <w:tcW w:w="1310" w:type="dxa"/>
            <w:tcBorders>
              <w:top w:val="nil"/>
              <w:left w:val="nil"/>
              <w:bottom w:val="double" w:sz="6" w:space="0" w:color="auto"/>
              <w:right w:val="nil"/>
            </w:tcBorders>
            <w:shd w:val="clear" w:color="000000" w:fill="FFFFFF"/>
            <w:noWrap/>
            <w:vAlign w:val="bottom"/>
            <w:hideMark/>
          </w:tcPr>
          <w:p w:rsidR="002C7C06" w:rsidRPr="005945C5" w:rsidP="006F7B23" w14:paraId="32FE77C2" w14:textId="23F8D2BE">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540,315 </w:t>
            </w:r>
          </w:p>
        </w:tc>
        <w:tc>
          <w:tcPr>
            <w:tcW w:w="1310" w:type="dxa"/>
            <w:tcBorders>
              <w:top w:val="nil"/>
              <w:left w:val="nil"/>
              <w:bottom w:val="double" w:sz="6" w:space="0" w:color="auto"/>
              <w:right w:val="nil"/>
            </w:tcBorders>
            <w:shd w:val="clear" w:color="000000" w:fill="FFFFFF"/>
            <w:noWrap/>
            <w:vAlign w:val="bottom"/>
            <w:hideMark/>
          </w:tcPr>
          <w:p w:rsidR="002C7C06" w:rsidRPr="005945C5" w:rsidP="006F7B23" w14:paraId="67450A51" w14:textId="58846C72">
            <w:pPr>
              <w:jc w:val="right"/>
              <w:rPr>
                <w:sz w:val="16"/>
                <w:szCs w:val="16"/>
              </w:rPr>
            </w:pPr>
            <w:r w:rsidRPr="005945C5">
              <w:rPr>
                <w:sz w:val="16"/>
                <w:szCs w:val="16"/>
              </w:rPr>
              <w:t>$</w:t>
            </w:r>
            <w:r w:rsidR="00AD5474">
              <w:rPr>
                <w:sz w:val="16"/>
                <w:szCs w:val="16"/>
              </w:rPr>
              <w:t xml:space="preserve">      </w:t>
            </w:r>
            <w:r>
              <w:rPr>
                <w:sz w:val="16"/>
                <w:szCs w:val="16"/>
              </w:rPr>
              <w:t xml:space="preserve"> </w:t>
            </w:r>
            <w:r w:rsidRPr="005945C5">
              <w:rPr>
                <w:sz w:val="16"/>
                <w:szCs w:val="16"/>
              </w:rPr>
              <w:t xml:space="preserve">8,827,042 </w:t>
            </w:r>
          </w:p>
        </w:tc>
      </w:tr>
      <w:tr w14:paraId="528BFCCF" w14:textId="77777777" w:rsidTr="00AD255A">
        <w:tblPrEx>
          <w:tblW w:w="5000" w:type="pct"/>
          <w:tblLook w:val="04A0"/>
        </w:tblPrEx>
        <w:trPr>
          <w:trHeight w:val="531"/>
        </w:trPr>
        <w:tc>
          <w:tcPr>
            <w:tcW w:w="4860" w:type="dxa"/>
            <w:tcBorders>
              <w:top w:val="nil"/>
              <w:left w:val="nil"/>
              <w:bottom w:val="nil"/>
              <w:right w:val="nil"/>
            </w:tcBorders>
            <w:shd w:val="clear" w:color="auto" w:fill="auto"/>
            <w:noWrap/>
            <w:vAlign w:val="center"/>
            <w:hideMark/>
          </w:tcPr>
          <w:p w:rsidR="002C7C06" w:rsidRPr="005945C5" w:rsidP="004957F6" w14:paraId="2F2424C9" w14:textId="77777777">
            <w:pPr>
              <w:ind w:left="-18"/>
              <w:rPr>
                <w:b/>
                <w:bCs/>
                <w:sz w:val="16"/>
                <w:szCs w:val="16"/>
              </w:rPr>
            </w:pPr>
            <w:r w:rsidRPr="005945C5">
              <w:rPr>
                <w:b/>
                <w:bCs/>
                <w:sz w:val="16"/>
                <w:szCs w:val="16"/>
              </w:rPr>
              <w:t>Statement of Net Cost for the Year Ended September 30, 2021</w:t>
            </w:r>
          </w:p>
        </w:tc>
        <w:tc>
          <w:tcPr>
            <w:tcW w:w="1310" w:type="dxa"/>
            <w:tcBorders>
              <w:top w:val="nil"/>
              <w:left w:val="nil"/>
              <w:bottom w:val="nil"/>
              <w:right w:val="nil"/>
            </w:tcBorders>
            <w:shd w:val="clear" w:color="000000" w:fill="FFFFFF"/>
            <w:noWrap/>
            <w:vAlign w:val="bottom"/>
            <w:hideMark/>
          </w:tcPr>
          <w:p w:rsidR="002C7C06" w:rsidRPr="005945C5" w:rsidP="006F7B23" w14:paraId="18A409B7" w14:textId="77777777">
            <w:pPr>
              <w:jc w:val="right"/>
              <w:rPr>
                <w:b/>
                <w:bCs/>
                <w:sz w:val="16"/>
                <w:szCs w:val="16"/>
              </w:rPr>
            </w:pPr>
            <w:r w:rsidRPr="005945C5">
              <w:rPr>
                <w:b/>
                <w:bCs/>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68156B06" w14:textId="77777777">
            <w:pPr>
              <w:jc w:val="right"/>
              <w:rPr>
                <w:b/>
                <w:bCs/>
                <w:sz w:val="16"/>
                <w:szCs w:val="16"/>
              </w:rPr>
            </w:pPr>
            <w:r w:rsidRPr="005945C5">
              <w:rPr>
                <w:b/>
                <w:bCs/>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18B7B234" w14:textId="77777777">
            <w:pPr>
              <w:jc w:val="right"/>
              <w:rPr>
                <w:b/>
                <w:bCs/>
                <w:sz w:val="16"/>
                <w:szCs w:val="16"/>
              </w:rPr>
            </w:pPr>
            <w:r w:rsidRPr="005945C5">
              <w:rPr>
                <w:b/>
                <w:bCs/>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5A3C3361" w14:textId="77777777">
            <w:pPr>
              <w:jc w:val="right"/>
              <w:rPr>
                <w:sz w:val="16"/>
                <w:szCs w:val="16"/>
              </w:rPr>
            </w:pPr>
            <w:r w:rsidRPr="005945C5">
              <w:rPr>
                <w:sz w:val="16"/>
                <w:szCs w:val="16"/>
              </w:rPr>
              <w:t> </w:t>
            </w:r>
          </w:p>
        </w:tc>
      </w:tr>
      <w:tr w14:paraId="2854CAD1" w14:textId="77777777" w:rsidTr="00B55227">
        <w:tblPrEx>
          <w:tblW w:w="5000" w:type="pct"/>
          <w:tblLook w:val="04A0"/>
        </w:tblPrEx>
        <w:trPr>
          <w:trHeight w:val="188"/>
        </w:trPr>
        <w:tc>
          <w:tcPr>
            <w:tcW w:w="4860" w:type="dxa"/>
            <w:tcBorders>
              <w:top w:val="nil"/>
              <w:left w:val="nil"/>
              <w:bottom w:val="nil"/>
              <w:right w:val="nil"/>
            </w:tcBorders>
            <w:shd w:val="clear" w:color="000000" w:fill="FFFFFF"/>
            <w:noWrap/>
            <w:vAlign w:val="bottom"/>
            <w:hideMark/>
          </w:tcPr>
          <w:p w:rsidR="002C7C06" w:rsidRPr="005945C5" w:rsidP="004957F6" w14:paraId="5F6E729B" w14:textId="77777777">
            <w:pPr>
              <w:ind w:left="-18"/>
              <w:rPr>
                <w:sz w:val="16"/>
                <w:szCs w:val="16"/>
              </w:rPr>
            </w:pPr>
            <w:r w:rsidRPr="005945C5">
              <w:rPr>
                <w:sz w:val="16"/>
                <w:szCs w:val="16"/>
              </w:rPr>
              <w:t>Net cost of operations</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2B2F833F" w14:textId="654B28C8">
            <w:pPr>
              <w:jc w:val="right"/>
              <w:rPr>
                <w:sz w:val="16"/>
                <w:szCs w:val="16"/>
              </w:rPr>
            </w:pPr>
            <w:r w:rsidRPr="005945C5">
              <w:rPr>
                <w:sz w:val="16"/>
                <w:szCs w:val="16"/>
              </w:rPr>
              <w:t>$</w:t>
            </w:r>
            <w:r w:rsidR="006F7B23">
              <w:rPr>
                <w:sz w:val="16"/>
                <w:szCs w:val="16"/>
              </w:rPr>
              <w:t xml:space="preserve">        </w:t>
            </w:r>
            <w:r>
              <w:rPr>
                <w:sz w:val="16"/>
                <w:szCs w:val="16"/>
              </w:rPr>
              <w:t xml:space="preserve"> </w:t>
            </w:r>
            <w:r w:rsidRPr="005945C5">
              <w:rPr>
                <w:sz w:val="16"/>
                <w:szCs w:val="16"/>
              </w:rPr>
              <w:t>(23,809)</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58CAC0AE" w14:textId="6EB9838D">
            <w:pPr>
              <w:jc w:val="right"/>
              <w:rPr>
                <w:sz w:val="16"/>
                <w:szCs w:val="16"/>
              </w:rPr>
            </w:pPr>
            <w:r w:rsidRPr="005945C5">
              <w:rPr>
                <w:sz w:val="16"/>
                <w:szCs w:val="16"/>
              </w:rPr>
              <w:t>$</w:t>
            </w:r>
            <w:r w:rsidR="006F7B23">
              <w:rPr>
                <w:sz w:val="16"/>
                <w:szCs w:val="16"/>
              </w:rPr>
              <w:t xml:space="preserve">       </w:t>
            </w:r>
            <w:r w:rsidRPr="005945C5">
              <w:rPr>
                <w:sz w:val="16"/>
                <w:szCs w:val="16"/>
              </w:rPr>
              <w:t xml:space="preserve">8,795,041 </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754EC746" w14:textId="5B97E1F1">
            <w:pPr>
              <w:jc w:val="right"/>
              <w:rPr>
                <w:sz w:val="16"/>
                <w:szCs w:val="16"/>
              </w:rPr>
            </w:pPr>
            <w:r w:rsidRPr="005945C5">
              <w:rPr>
                <w:sz w:val="16"/>
                <w:szCs w:val="16"/>
              </w:rPr>
              <w:t>$</w:t>
            </w:r>
            <w:r w:rsidR="006F7B23">
              <w:rPr>
                <w:sz w:val="16"/>
                <w:szCs w:val="16"/>
              </w:rPr>
              <w:t xml:space="preserve">       </w:t>
            </w:r>
            <w:r w:rsidRPr="005945C5">
              <w:rPr>
                <w:sz w:val="16"/>
                <w:szCs w:val="16"/>
              </w:rPr>
              <w:t xml:space="preserve">1,420,828 </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6A3FB021" w14:textId="15012A9F">
            <w:pPr>
              <w:jc w:val="right"/>
              <w:rPr>
                <w:sz w:val="16"/>
                <w:szCs w:val="16"/>
              </w:rPr>
            </w:pPr>
            <w:r w:rsidRPr="005945C5">
              <w:rPr>
                <w:sz w:val="16"/>
                <w:szCs w:val="16"/>
              </w:rPr>
              <w:t>$</w:t>
            </w:r>
            <w:r w:rsidR="006F7B23">
              <w:rPr>
                <w:sz w:val="16"/>
                <w:szCs w:val="16"/>
              </w:rPr>
              <w:t xml:space="preserve">    </w:t>
            </w:r>
            <w:r>
              <w:rPr>
                <w:sz w:val="16"/>
                <w:szCs w:val="16"/>
              </w:rPr>
              <w:t xml:space="preserve"> </w:t>
            </w:r>
            <w:r w:rsidRPr="005945C5">
              <w:rPr>
                <w:sz w:val="16"/>
                <w:szCs w:val="16"/>
              </w:rPr>
              <w:t xml:space="preserve">10,192,060 </w:t>
            </w:r>
          </w:p>
        </w:tc>
      </w:tr>
      <w:tr w14:paraId="220FBED8" w14:textId="77777777" w:rsidTr="00AD255A">
        <w:tblPrEx>
          <w:tblW w:w="5000" w:type="pct"/>
          <w:tblLook w:val="04A0"/>
        </w:tblPrEx>
        <w:trPr>
          <w:trHeight w:val="495"/>
        </w:trPr>
        <w:tc>
          <w:tcPr>
            <w:tcW w:w="4860" w:type="dxa"/>
            <w:tcBorders>
              <w:top w:val="nil"/>
              <w:left w:val="nil"/>
              <w:bottom w:val="nil"/>
              <w:right w:val="nil"/>
            </w:tcBorders>
            <w:shd w:val="clear" w:color="auto" w:fill="auto"/>
            <w:noWrap/>
            <w:vAlign w:val="bottom"/>
            <w:hideMark/>
          </w:tcPr>
          <w:p w:rsidR="002C7C06" w:rsidRPr="005945C5" w:rsidP="004957F6" w14:paraId="57F56BD2" w14:textId="77777777">
            <w:pPr>
              <w:ind w:left="-18"/>
              <w:rPr>
                <w:b/>
                <w:bCs/>
                <w:sz w:val="16"/>
                <w:szCs w:val="16"/>
              </w:rPr>
            </w:pPr>
            <w:r w:rsidRPr="005945C5">
              <w:rPr>
                <w:b/>
                <w:bCs/>
                <w:sz w:val="16"/>
                <w:szCs w:val="16"/>
              </w:rPr>
              <w:t>Statement of Changes in Net Position for the Year Ended September 30, 2021</w:t>
            </w:r>
          </w:p>
        </w:tc>
        <w:tc>
          <w:tcPr>
            <w:tcW w:w="1310" w:type="dxa"/>
            <w:tcBorders>
              <w:top w:val="nil"/>
              <w:left w:val="nil"/>
              <w:bottom w:val="nil"/>
              <w:right w:val="nil"/>
            </w:tcBorders>
            <w:shd w:val="clear" w:color="000000" w:fill="FFFFFF"/>
            <w:noWrap/>
            <w:vAlign w:val="bottom"/>
            <w:hideMark/>
          </w:tcPr>
          <w:p w:rsidR="002C7C06" w:rsidRPr="005945C5" w:rsidP="006F7B23" w14:paraId="7D364475" w14:textId="77777777">
            <w:pPr>
              <w:jc w:val="right"/>
              <w:rPr>
                <w:b/>
                <w:bCs/>
                <w:sz w:val="16"/>
                <w:szCs w:val="16"/>
              </w:rPr>
            </w:pPr>
            <w:r w:rsidRPr="005945C5">
              <w:rPr>
                <w:b/>
                <w:bCs/>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25ED2F4C" w14:textId="77777777">
            <w:pPr>
              <w:jc w:val="right"/>
              <w:rPr>
                <w:b/>
                <w:bCs/>
                <w:sz w:val="16"/>
                <w:szCs w:val="16"/>
              </w:rPr>
            </w:pPr>
            <w:r w:rsidRPr="005945C5">
              <w:rPr>
                <w:b/>
                <w:bCs/>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173C3494" w14:textId="77777777">
            <w:pPr>
              <w:jc w:val="right"/>
              <w:rPr>
                <w:b/>
                <w:bCs/>
                <w:sz w:val="16"/>
                <w:szCs w:val="16"/>
              </w:rPr>
            </w:pPr>
            <w:r w:rsidRPr="005945C5">
              <w:rPr>
                <w:b/>
                <w:bCs/>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7BB9CD8E" w14:textId="77777777">
            <w:pPr>
              <w:jc w:val="right"/>
              <w:rPr>
                <w:sz w:val="16"/>
                <w:szCs w:val="16"/>
              </w:rPr>
            </w:pPr>
            <w:r w:rsidRPr="005945C5">
              <w:rPr>
                <w:sz w:val="16"/>
                <w:szCs w:val="16"/>
              </w:rPr>
              <w:t> </w:t>
            </w:r>
          </w:p>
        </w:tc>
      </w:tr>
      <w:tr w14:paraId="353DBADD" w14:textId="77777777" w:rsidTr="00AD255A">
        <w:tblPrEx>
          <w:tblW w:w="5000" w:type="pct"/>
          <w:tblLook w:val="04A0"/>
        </w:tblPrEx>
        <w:trPr>
          <w:trHeight w:val="387"/>
        </w:trPr>
        <w:tc>
          <w:tcPr>
            <w:tcW w:w="4860" w:type="dxa"/>
            <w:tcBorders>
              <w:top w:val="nil"/>
              <w:left w:val="nil"/>
              <w:bottom w:val="nil"/>
              <w:right w:val="nil"/>
            </w:tcBorders>
            <w:shd w:val="clear" w:color="000000" w:fill="FFFFFF"/>
            <w:noWrap/>
            <w:vAlign w:val="bottom"/>
            <w:hideMark/>
          </w:tcPr>
          <w:p w:rsidR="002C7C06" w:rsidRPr="005945C5" w:rsidP="004957F6" w14:paraId="51191A7E" w14:textId="77777777">
            <w:pPr>
              <w:ind w:left="-18"/>
              <w:rPr>
                <w:b/>
                <w:bCs/>
                <w:sz w:val="16"/>
                <w:szCs w:val="16"/>
              </w:rPr>
            </w:pPr>
            <w:r w:rsidRPr="005945C5">
              <w:rPr>
                <w:b/>
                <w:bCs/>
                <w:sz w:val="16"/>
                <w:szCs w:val="16"/>
              </w:rPr>
              <w:t>Unexpended Appropriations:</w:t>
            </w:r>
          </w:p>
        </w:tc>
        <w:tc>
          <w:tcPr>
            <w:tcW w:w="1310" w:type="dxa"/>
            <w:tcBorders>
              <w:top w:val="nil"/>
              <w:left w:val="nil"/>
              <w:bottom w:val="nil"/>
              <w:right w:val="nil"/>
            </w:tcBorders>
            <w:shd w:val="clear" w:color="000000" w:fill="FFFFFF"/>
            <w:noWrap/>
            <w:vAlign w:val="bottom"/>
            <w:hideMark/>
          </w:tcPr>
          <w:p w:rsidR="002C7C06" w:rsidRPr="005945C5" w:rsidP="006F7B23" w14:paraId="4B1A2C30" w14:textId="77777777">
            <w:pPr>
              <w:jc w:val="right"/>
              <w:rPr>
                <w:b/>
                <w:bCs/>
                <w:sz w:val="16"/>
                <w:szCs w:val="16"/>
              </w:rPr>
            </w:pPr>
            <w:r w:rsidRPr="005945C5">
              <w:rPr>
                <w:b/>
                <w:bCs/>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461E142A" w14:textId="77777777">
            <w:pPr>
              <w:jc w:val="right"/>
              <w:rPr>
                <w:b/>
                <w:bCs/>
                <w:sz w:val="16"/>
                <w:szCs w:val="16"/>
              </w:rPr>
            </w:pPr>
            <w:r w:rsidRPr="005945C5">
              <w:rPr>
                <w:b/>
                <w:bCs/>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0AF86A39" w14:textId="77777777">
            <w:pPr>
              <w:jc w:val="right"/>
              <w:rPr>
                <w:b/>
                <w:bCs/>
                <w:sz w:val="16"/>
                <w:szCs w:val="16"/>
              </w:rPr>
            </w:pPr>
            <w:r w:rsidRPr="005945C5">
              <w:rPr>
                <w:b/>
                <w:bCs/>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770FD3D0" w14:textId="77777777">
            <w:pPr>
              <w:jc w:val="right"/>
              <w:rPr>
                <w:sz w:val="16"/>
                <w:szCs w:val="16"/>
              </w:rPr>
            </w:pPr>
            <w:r w:rsidRPr="005945C5">
              <w:rPr>
                <w:sz w:val="16"/>
                <w:szCs w:val="16"/>
              </w:rPr>
              <w:t> </w:t>
            </w:r>
          </w:p>
        </w:tc>
      </w:tr>
      <w:tr w14:paraId="595DB5E0" w14:textId="77777777" w:rsidTr="00026A7C">
        <w:tblPrEx>
          <w:tblW w:w="5000" w:type="pct"/>
          <w:tblLook w:val="04A0"/>
        </w:tblPrEx>
        <w:trPr>
          <w:trHeight w:val="259"/>
        </w:trPr>
        <w:tc>
          <w:tcPr>
            <w:tcW w:w="4860" w:type="dxa"/>
            <w:tcBorders>
              <w:top w:val="nil"/>
              <w:left w:val="nil"/>
              <w:bottom w:val="nil"/>
              <w:right w:val="nil"/>
            </w:tcBorders>
            <w:shd w:val="clear" w:color="000000" w:fill="FFFFFF"/>
            <w:noWrap/>
            <w:vAlign w:val="bottom"/>
            <w:hideMark/>
          </w:tcPr>
          <w:p w:rsidR="002C7C06" w:rsidRPr="005945C5" w:rsidP="00213A6D" w14:paraId="1C368422" w14:textId="77777777">
            <w:pPr>
              <w:ind w:left="72"/>
              <w:rPr>
                <w:sz w:val="16"/>
                <w:szCs w:val="16"/>
              </w:rPr>
            </w:pPr>
            <w:r w:rsidRPr="005945C5">
              <w:rPr>
                <w:sz w:val="16"/>
                <w:szCs w:val="16"/>
              </w:rPr>
              <w:t>Beginning balances</w:t>
            </w:r>
          </w:p>
        </w:tc>
        <w:tc>
          <w:tcPr>
            <w:tcW w:w="1310" w:type="dxa"/>
            <w:tcBorders>
              <w:top w:val="nil"/>
              <w:left w:val="nil"/>
              <w:bottom w:val="nil"/>
              <w:right w:val="nil"/>
            </w:tcBorders>
            <w:shd w:val="clear" w:color="000000" w:fill="FFFFFF"/>
            <w:noWrap/>
            <w:vAlign w:val="bottom"/>
            <w:hideMark/>
          </w:tcPr>
          <w:p w:rsidR="002C7C06" w:rsidRPr="005945C5" w:rsidP="006F7B23" w14:paraId="7277C9A4" w14:textId="0EEF230E">
            <w:pPr>
              <w:jc w:val="right"/>
              <w:rPr>
                <w:sz w:val="16"/>
                <w:szCs w:val="16"/>
              </w:rPr>
            </w:pPr>
            <w:r w:rsidRPr="005945C5">
              <w:rPr>
                <w:sz w:val="16"/>
                <w:szCs w:val="16"/>
              </w:rPr>
              <w:t>$</w:t>
            </w:r>
            <w:r w:rsidR="00AD439F">
              <w:rPr>
                <w:sz w:val="16"/>
                <w:szCs w:val="16"/>
              </w:rPr>
              <w:t xml:space="preserve">         </w:t>
            </w:r>
            <w:r>
              <w:rPr>
                <w:sz w:val="16"/>
                <w:szCs w:val="16"/>
              </w:rPr>
              <w:t xml:space="preserve"> </w:t>
            </w:r>
            <w:r w:rsidRPr="005945C5">
              <w:rPr>
                <w:sz w:val="16"/>
                <w:szCs w:val="16"/>
              </w:rPr>
              <w:t xml:space="preserve">819,020 </w:t>
            </w:r>
          </w:p>
        </w:tc>
        <w:tc>
          <w:tcPr>
            <w:tcW w:w="1310" w:type="dxa"/>
            <w:tcBorders>
              <w:top w:val="nil"/>
              <w:left w:val="nil"/>
              <w:bottom w:val="nil"/>
              <w:right w:val="nil"/>
            </w:tcBorders>
            <w:shd w:val="clear" w:color="000000" w:fill="FFFFFF"/>
            <w:noWrap/>
            <w:vAlign w:val="bottom"/>
            <w:hideMark/>
          </w:tcPr>
          <w:p w:rsidR="002C7C06" w:rsidRPr="005945C5" w:rsidP="006F7B23" w14:paraId="787F88BE" w14:textId="429318A7">
            <w:pPr>
              <w:jc w:val="right"/>
              <w:rPr>
                <w:sz w:val="16"/>
                <w:szCs w:val="16"/>
              </w:rPr>
            </w:pPr>
            <w:r w:rsidRPr="005945C5">
              <w:rPr>
                <w:sz w:val="16"/>
                <w:szCs w:val="16"/>
              </w:rPr>
              <w:t>$</w:t>
            </w:r>
            <w:r w:rsidR="00AD439F">
              <w:rPr>
                <w:sz w:val="16"/>
                <w:szCs w:val="16"/>
              </w:rPr>
              <w:t xml:space="preserve">                    </w:t>
            </w: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4FADDE14" w14:textId="5F720CB6">
            <w:pPr>
              <w:jc w:val="right"/>
              <w:rPr>
                <w:sz w:val="16"/>
                <w:szCs w:val="16"/>
              </w:rPr>
            </w:pPr>
            <w:r w:rsidRPr="005945C5">
              <w:rPr>
                <w:sz w:val="16"/>
                <w:szCs w:val="16"/>
              </w:rPr>
              <w:t>$</w:t>
            </w:r>
            <w:r w:rsidR="00AD439F">
              <w:rPr>
                <w:sz w:val="16"/>
                <w:szCs w:val="16"/>
              </w:rPr>
              <w:t xml:space="preserve">                    </w:t>
            </w: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5C2D853F" w14:textId="628BAB30">
            <w:pPr>
              <w:jc w:val="right"/>
              <w:rPr>
                <w:sz w:val="16"/>
                <w:szCs w:val="16"/>
              </w:rPr>
            </w:pPr>
            <w:r w:rsidRPr="005945C5">
              <w:rPr>
                <w:sz w:val="16"/>
                <w:szCs w:val="16"/>
              </w:rPr>
              <w:t>$</w:t>
            </w:r>
            <w:r w:rsidR="006F7B23">
              <w:rPr>
                <w:sz w:val="16"/>
                <w:szCs w:val="16"/>
              </w:rPr>
              <w:t xml:space="preserve">         </w:t>
            </w:r>
            <w:r>
              <w:rPr>
                <w:sz w:val="16"/>
                <w:szCs w:val="16"/>
              </w:rPr>
              <w:t xml:space="preserve"> </w:t>
            </w:r>
            <w:r w:rsidRPr="005945C5">
              <w:rPr>
                <w:sz w:val="16"/>
                <w:szCs w:val="16"/>
              </w:rPr>
              <w:t xml:space="preserve">819,020 </w:t>
            </w:r>
          </w:p>
        </w:tc>
      </w:tr>
      <w:tr w14:paraId="6602F3B8" w14:textId="77777777" w:rsidTr="002B7EC2">
        <w:tblPrEx>
          <w:tblW w:w="5000" w:type="pct"/>
          <w:tblLook w:val="04A0"/>
        </w:tblPrEx>
        <w:trPr>
          <w:trHeight w:val="179"/>
        </w:trPr>
        <w:tc>
          <w:tcPr>
            <w:tcW w:w="4860" w:type="dxa"/>
            <w:tcBorders>
              <w:top w:val="nil"/>
              <w:left w:val="nil"/>
              <w:bottom w:val="nil"/>
              <w:right w:val="nil"/>
            </w:tcBorders>
            <w:shd w:val="clear" w:color="000000" w:fill="FFFFFF"/>
            <w:noWrap/>
            <w:vAlign w:val="bottom"/>
            <w:hideMark/>
          </w:tcPr>
          <w:p w:rsidR="002C7C06" w:rsidRPr="005945C5" w:rsidP="004957F6" w14:paraId="7B17331B" w14:textId="7A26D2CC">
            <w:pPr>
              <w:ind w:left="-18" w:firstLine="320" w:firstLineChars="200"/>
              <w:rPr>
                <w:sz w:val="16"/>
                <w:szCs w:val="16"/>
              </w:rPr>
            </w:pPr>
            <w:r w:rsidRPr="005945C5">
              <w:rPr>
                <w:sz w:val="16"/>
                <w:szCs w:val="16"/>
              </w:rPr>
              <w:t>Total unexpended appropriations</w:t>
            </w:r>
          </w:p>
        </w:tc>
        <w:tc>
          <w:tcPr>
            <w:tcW w:w="1310" w:type="dxa"/>
            <w:tcBorders>
              <w:top w:val="single" w:sz="4" w:space="0" w:color="auto"/>
              <w:left w:val="nil"/>
              <w:bottom w:val="nil"/>
              <w:right w:val="nil"/>
            </w:tcBorders>
            <w:shd w:val="clear" w:color="000000" w:fill="FFFFFF"/>
            <w:noWrap/>
            <w:vAlign w:val="bottom"/>
            <w:hideMark/>
          </w:tcPr>
          <w:p w:rsidR="002C7C06" w:rsidRPr="005945C5" w:rsidP="006F7B23" w14:paraId="44107FC1" w14:textId="77777777">
            <w:pPr>
              <w:jc w:val="right"/>
              <w:rPr>
                <w:sz w:val="16"/>
                <w:szCs w:val="16"/>
              </w:rPr>
            </w:pPr>
            <w:r>
              <w:rPr>
                <w:sz w:val="16"/>
                <w:szCs w:val="16"/>
              </w:rPr>
              <w:t xml:space="preserve"> </w:t>
            </w:r>
            <w:r w:rsidRPr="005945C5">
              <w:rPr>
                <w:sz w:val="16"/>
                <w:szCs w:val="16"/>
              </w:rPr>
              <w:t xml:space="preserve">819,020 </w:t>
            </w:r>
          </w:p>
        </w:tc>
        <w:tc>
          <w:tcPr>
            <w:tcW w:w="1310" w:type="dxa"/>
            <w:tcBorders>
              <w:top w:val="single" w:sz="4" w:space="0" w:color="auto"/>
              <w:left w:val="nil"/>
              <w:bottom w:val="nil"/>
              <w:right w:val="nil"/>
            </w:tcBorders>
            <w:shd w:val="clear" w:color="000000" w:fill="FFFFFF"/>
            <w:noWrap/>
            <w:vAlign w:val="bottom"/>
            <w:hideMark/>
          </w:tcPr>
          <w:p w:rsidR="002C7C06" w:rsidRPr="005945C5" w:rsidP="006F7B23" w14:paraId="4801ED26" w14:textId="77777777">
            <w:pPr>
              <w:jc w:val="right"/>
              <w:rPr>
                <w:sz w:val="16"/>
                <w:szCs w:val="16"/>
              </w:rPr>
            </w:pPr>
            <w:r>
              <w:rPr>
                <w:sz w:val="16"/>
                <w:szCs w:val="16"/>
              </w:rPr>
              <w:t xml:space="preserve"> </w:t>
            </w:r>
            <w:r w:rsidRPr="005945C5">
              <w:rPr>
                <w:sz w:val="16"/>
                <w:szCs w:val="16"/>
              </w:rPr>
              <w:t xml:space="preserve">- </w:t>
            </w:r>
          </w:p>
        </w:tc>
        <w:tc>
          <w:tcPr>
            <w:tcW w:w="1310" w:type="dxa"/>
            <w:tcBorders>
              <w:top w:val="single" w:sz="4" w:space="0" w:color="auto"/>
              <w:left w:val="nil"/>
              <w:bottom w:val="nil"/>
              <w:right w:val="nil"/>
            </w:tcBorders>
            <w:shd w:val="clear" w:color="000000" w:fill="FFFFFF"/>
            <w:noWrap/>
            <w:vAlign w:val="bottom"/>
            <w:hideMark/>
          </w:tcPr>
          <w:p w:rsidR="002C7C06" w:rsidRPr="005945C5" w:rsidP="006F7B23" w14:paraId="0CF3A313" w14:textId="77777777">
            <w:pPr>
              <w:jc w:val="right"/>
              <w:rPr>
                <w:sz w:val="16"/>
                <w:szCs w:val="16"/>
              </w:rPr>
            </w:pPr>
            <w:r>
              <w:rPr>
                <w:sz w:val="16"/>
                <w:szCs w:val="16"/>
              </w:rPr>
              <w:t xml:space="preserve"> </w:t>
            </w:r>
            <w:r w:rsidRPr="005945C5">
              <w:rPr>
                <w:sz w:val="16"/>
                <w:szCs w:val="16"/>
              </w:rPr>
              <w:t xml:space="preserve">- </w:t>
            </w:r>
          </w:p>
        </w:tc>
        <w:tc>
          <w:tcPr>
            <w:tcW w:w="1310" w:type="dxa"/>
            <w:tcBorders>
              <w:top w:val="single" w:sz="4" w:space="0" w:color="auto"/>
              <w:left w:val="nil"/>
              <w:bottom w:val="nil"/>
              <w:right w:val="nil"/>
            </w:tcBorders>
            <w:shd w:val="clear" w:color="000000" w:fill="FFFFFF"/>
            <w:noWrap/>
            <w:vAlign w:val="bottom"/>
            <w:hideMark/>
          </w:tcPr>
          <w:p w:rsidR="002C7C06" w:rsidRPr="005945C5" w:rsidP="006F7B23" w14:paraId="79C3C253" w14:textId="77777777">
            <w:pPr>
              <w:jc w:val="right"/>
              <w:rPr>
                <w:sz w:val="16"/>
                <w:szCs w:val="16"/>
              </w:rPr>
            </w:pPr>
            <w:r>
              <w:rPr>
                <w:sz w:val="16"/>
                <w:szCs w:val="16"/>
              </w:rPr>
              <w:t xml:space="preserve"> </w:t>
            </w:r>
            <w:r w:rsidRPr="005945C5">
              <w:rPr>
                <w:sz w:val="16"/>
                <w:szCs w:val="16"/>
              </w:rPr>
              <w:t xml:space="preserve">819,020 </w:t>
            </w:r>
          </w:p>
        </w:tc>
      </w:tr>
      <w:tr w14:paraId="5EEEAE70" w14:textId="77777777" w:rsidTr="00026A7C">
        <w:tblPrEx>
          <w:tblW w:w="5000" w:type="pct"/>
          <w:tblLook w:val="04A0"/>
        </w:tblPrEx>
        <w:trPr>
          <w:trHeight w:val="259"/>
        </w:trPr>
        <w:tc>
          <w:tcPr>
            <w:tcW w:w="4860" w:type="dxa"/>
            <w:tcBorders>
              <w:top w:val="nil"/>
              <w:left w:val="nil"/>
              <w:bottom w:val="nil"/>
              <w:right w:val="nil"/>
            </w:tcBorders>
            <w:shd w:val="clear" w:color="000000" w:fill="FFFFFF"/>
            <w:noWrap/>
            <w:vAlign w:val="bottom"/>
            <w:hideMark/>
          </w:tcPr>
          <w:p w:rsidR="002C7C06" w:rsidRPr="005945C5" w:rsidP="004957F6" w14:paraId="1A4CC691" w14:textId="77777777">
            <w:pPr>
              <w:ind w:left="-18"/>
              <w:rPr>
                <w:b/>
                <w:bCs/>
                <w:sz w:val="16"/>
                <w:szCs w:val="16"/>
              </w:rPr>
            </w:pPr>
            <w:r w:rsidRPr="005945C5">
              <w:rPr>
                <w:b/>
                <w:bCs/>
                <w:sz w:val="16"/>
                <w:szCs w:val="16"/>
              </w:rPr>
              <w:t>Cumulative results of operations:</w:t>
            </w:r>
          </w:p>
        </w:tc>
        <w:tc>
          <w:tcPr>
            <w:tcW w:w="1310" w:type="dxa"/>
            <w:tcBorders>
              <w:top w:val="nil"/>
              <w:left w:val="nil"/>
              <w:bottom w:val="nil"/>
              <w:right w:val="nil"/>
            </w:tcBorders>
            <w:shd w:val="clear" w:color="000000" w:fill="FFFFFF"/>
            <w:noWrap/>
            <w:vAlign w:val="bottom"/>
            <w:hideMark/>
          </w:tcPr>
          <w:p w:rsidR="002C7C06" w:rsidRPr="005945C5" w:rsidP="006F7B23" w14:paraId="0E6A71A9" w14:textId="77777777">
            <w:pPr>
              <w:jc w:val="right"/>
              <w:rPr>
                <w:sz w:val="16"/>
                <w:szCs w:val="16"/>
              </w:rPr>
            </w:pPr>
            <w:r w:rsidRPr="005945C5">
              <w:rPr>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249710BA" w14:textId="77777777">
            <w:pPr>
              <w:jc w:val="right"/>
              <w:rPr>
                <w:sz w:val="16"/>
                <w:szCs w:val="16"/>
              </w:rPr>
            </w:pPr>
            <w:r w:rsidRPr="005945C5">
              <w:rPr>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5269691D" w14:textId="77777777">
            <w:pPr>
              <w:jc w:val="right"/>
              <w:rPr>
                <w:sz w:val="16"/>
                <w:szCs w:val="16"/>
              </w:rPr>
            </w:pPr>
            <w:r w:rsidRPr="005945C5">
              <w:rPr>
                <w:sz w:val="16"/>
                <w:szCs w:val="16"/>
              </w:rPr>
              <w:t> </w:t>
            </w:r>
          </w:p>
        </w:tc>
        <w:tc>
          <w:tcPr>
            <w:tcW w:w="1310" w:type="dxa"/>
            <w:tcBorders>
              <w:top w:val="nil"/>
              <w:left w:val="nil"/>
              <w:bottom w:val="nil"/>
              <w:right w:val="nil"/>
            </w:tcBorders>
            <w:shd w:val="clear" w:color="000000" w:fill="FFFFFF"/>
            <w:noWrap/>
            <w:vAlign w:val="bottom"/>
            <w:hideMark/>
          </w:tcPr>
          <w:p w:rsidR="002C7C06" w:rsidRPr="005945C5" w:rsidP="006F7B23" w14:paraId="30F26A8F" w14:textId="77777777">
            <w:pPr>
              <w:jc w:val="right"/>
              <w:rPr>
                <w:sz w:val="16"/>
                <w:szCs w:val="16"/>
              </w:rPr>
            </w:pPr>
            <w:r w:rsidRPr="005945C5">
              <w:rPr>
                <w:sz w:val="16"/>
                <w:szCs w:val="16"/>
              </w:rPr>
              <w:t> </w:t>
            </w:r>
          </w:p>
        </w:tc>
      </w:tr>
      <w:tr w14:paraId="34BB4E7D" w14:textId="77777777" w:rsidTr="000668AC">
        <w:tblPrEx>
          <w:tblW w:w="5000" w:type="pct"/>
          <w:tblLook w:val="04A0"/>
        </w:tblPrEx>
        <w:tc>
          <w:tcPr>
            <w:tcW w:w="4860" w:type="dxa"/>
            <w:tcBorders>
              <w:top w:val="nil"/>
              <w:left w:val="nil"/>
              <w:bottom w:val="nil"/>
              <w:right w:val="nil"/>
            </w:tcBorders>
            <w:shd w:val="clear" w:color="000000" w:fill="FFFFFF"/>
            <w:noWrap/>
            <w:vAlign w:val="bottom"/>
            <w:hideMark/>
          </w:tcPr>
          <w:p w:rsidR="002C7C06" w:rsidRPr="005945C5" w:rsidP="00213A6D" w14:paraId="05A6EB43" w14:textId="77777777">
            <w:pPr>
              <w:ind w:left="72"/>
              <w:rPr>
                <w:sz w:val="16"/>
                <w:szCs w:val="16"/>
              </w:rPr>
            </w:pPr>
            <w:r w:rsidRPr="005945C5">
              <w:rPr>
                <w:sz w:val="16"/>
                <w:szCs w:val="16"/>
              </w:rPr>
              <w:t>Beginning balances</w:t>
            </w:r>
          </w:p>
        </w:tc>
        <w:tc>
          <w:tcPr>
            <w:tcW w:w="1310" w:type="dxa"/>
            <w:tcBorders>
              <w:top w:val="nil"/>
              <w:left w:val="nil"/>
              <w:bottom w:val="nil"/>
              <w:right w:val="nil"/>
            </w:tcBorders>
            <w:shd w:val="clear" w:color="000000" w:fill="FFFFFF"/>
            <w:noWrap/>
            <w:vAlign w:val="bottom"/>
            <w:hideMark/>
          </w:tcPr>
          <w:p w:rsidR="002C7C06" w:rsidRPr="005945C5" w:rsidP="006F7B23" w14:paraId="6F9C2461" w14:textId="77777777">
            <w:pPr>
              <w:jc w:val="right"/>
              <w:rPr>
                <w:sz w:val="16"/>
                <w:szCs w:val="16"/>
              </w:rPr>
            </w:pPr>
            <w:r>
              <w:rPr>
                <w:sz w:val="16"/>
                <w:szCs w:val="16"/>
              </w:rPr>
              <w:t xml:space="preserve"> </w:t>
            </w:r>
            <w:r w:rsidRPr="005945C5">
              <w:rPr>
                <w:sz w:val="16"/>
                <w:szCs w:val="16"/>
              </w:rPr>
              <w:t xml:space="preserve">130,405 </w:t>
            </w:r>
          </w:p>
        </w:tc>
        <w:tc>
          <w:tcPr>
            <w:tcW w:w="1310" w:type="dxa"/>
            <w:tcBorders>
              <w:top w:val="nil"/>
              <w:left w:val="nil"/>
              <w:bottom w:val="nil"/>
              <w:right w:val="nil"/>
            </w:tcBorders>
            <w:shd w:val="clear" w:color="000000" w:fill="FFFFFF"/>
            <w:noWrap/>
            <w:vAlign w:val="bottom"/>
            <w:hideMark/>
          </w:tcPr>
          <w:p w:rsidR="002C7C06" w:rsidRPr="005945C5" w:rsidP="006F7B23" w14:paraId="542CA289" w14:textId="77777777">
            <w:pPr>
              <w:jc w:val="right"/>
              <w:rPr>
                <w:sz w:val="16"/>
                <w:szCs w:val="16"/>
              </w:rPr>
            </w:pPr>
            <w:r>
              <w:rPr>
                <w:sz w:val="16"/>
                <w:szCs w:val="16"/>
              </w:rPr>
              <w:t xml:space="preserve"> </w:t>
            </w:r>
            <w:r w:rsidRPr="005945C5">
              <w:rPr>
                <w:sz w:val="16"/>
                <w:szCs w:val="16"/>
              </w:rPr>
              <w:t xml:space="preserve">5,942,105 </w:t>
            </w:r>
          </w:p>
        </w:tc>
        <w:tc>
          <w:tcPr>
            <w:tcW w:w="1310" w:type="dxa"/>
            <w:tcBorders>
              <w:top w:val="nil"/>
              <w:left w:val="nil"/>
              <w:bottom w:val="nil"/>
              <w:right w:val="nil"/>
            </w:tcBorders>
            <w:shd w:val="clear" w:color="000000" w:fill="FFFFFF"/>
            <w:noWrap/>
            <w:vAlign w:val="bottom"/>
            <w:hideMark/>
          </w:tcPr>
          <w:p w:rsidR="002C7C06" w:rsidRPr="005945C5" w:rsidP="006F7B23" w14:paraId="4F644101" w14:textId="77777777">
            <w:pPr>
              <w:jc w:val="right"/>
              <w:rPr>
                <w:sz w:val="16"/>
                <w:szCs w:val="16"/>
              </w:rPr>
            </w:pPr>
            <w:r>
              <w:rPr>
                <w:sz w:val="16"/>
                <w:szCs w:val="16"/>
              </w:rPr>
              <w:t xml:space="preserve"> </w:t>
            </w:r>
            <w:r w:rsidRPr="005945C5">
              <w:rPr>
                <w:sz w:val="16"/>
                <w:szCs w:val="16"/>
              </w:rPr>
              <w:t xml:space="preserve">179,271 </w:t>
            </w:r>
          </w:p>
        </w:tc>
        <w:tc>
          <w:tcPr>
            <w:tcW w:w="1310" w:type="dxa"/>
            <w:tcBorders>
              <w:top w:val="nil"/>
              <w:left w:val="nil"/>
              <w:bottom w:val="nil"/>
              <w:right w:val="nil"/>
            </w:tcBorders>
            <w:shd w:val="clear" w:color="000000" w:fill="FFFFFF"/>
            <w:noWrap/>
            <w:vAlign w:val="bottom"/>
            <w:hideMark/>
          </w:tcPr>
          <w:p w:rsidR="002C7C06" w:rsidRPr="005945C5" w:rsidP="006F7B23" w14:paraId="541E9808" w14:textId="77777777">
            <w:pPr>
              <w:jc w:val="right"/>
              <w:rPr>
                <w:sz w:val="16"/>
                <w:szCs w:val="16"/>
              </w:rPr>
            </w:pPr>
            <w:r>
              <w:rPr>
                <w:sz w:val="16"/>
                <w:szCs w:val="16"/>
              </w:rPr>
              <w:t xml:space="preserve"> </w:t>
            </w:r>
            <w:r w:rsidRPr="005945C5">
              <w:rPr>
                <w:sz w:val="16"/>
                <w:szCs w:val="16"/>
              </w:rPr>
              <w:t xml:space="preserve">6,251,781 </w:t>
            </w:r>
          </w:p>
        </w:tc>
      </w:tr>
      <w:tr w14:paraId="65BF62D9" w14:textId="77777777" w:rsidTr="000668AC">
        <w:tblPrEx>
          <w:tblW w:w="5000" w:type="pct"/>
          <w:tblLook w:val="04A0"/>
        </w:tblPrEx>
        <w:tc>
          <w:tcPr>
            <w:tcW w:w="4860" w:type="dxa"/>
            <w:tcBorders>
              <w:top w:val="nil"/>
              <w:left w:val="nil"/>
              <w:bottom w:val="nil"/>
              <w:right w:val="nil"/>
            </w:tcBorders>
            <w:shd w:val="clear" w:color="000000" w:fill="FFFFFF"/>
            <w:noWrap/>
            <w:vAlign w:val="bottom"/>
            <w:hideMark/>
          </w:tcPr>
          <w:p w:rsidR="002C7C06" w:rsidRPr="005945C5" w:rsidP="00213A6D" w14:paraId="10BED440" w14:textId="77777777">
            <w:pPr>
              <w:ind w:left="72"/>
              <w:rPr>
                <w:sz w:val="16"/>
                <w:szCs w:val="16"/>
              </w:rPr>
            </w:pPr>
            <w:r w:rsidRPr="005945C5">
              <w:rPr>
                <w:sz w:val="16"/>
                <w:szCs w:val="16"/>
              </w:rPr>
              <w:t>Appropriations used</w:t>
            </w:r>
          </w:p>
        </w:tc>
        <w:tc>
          <w:tcPr>
            <w:tcW w:w="1310" w:type="dxa"/>
            <w:tcBorders>
              <w:top w:val="nil"/>
              <w:left w:val="nil"/>
              <w:bottom w:val="nil"/>
              <w:right w:val="nil"/>
            </w:tcBorders>
            <w:shd w:val="clear" w:color="000000" w:fill="FFFFFF"/>
            <w:noWrap/>
            <w:vAlign w:val="bottom"/>
            <w:hideMark/>
          </w:tcPr>
          <w:p w:rsidR="002C7C06" w:rsidRPr="005945C5" w:rsidP="006F7B23" w14:paraId="03E14FA1" w14:textId="77777777">
            <w:pPr>
              <w:jc w:val="right"/>
              <w:rPr>
                <w:sz w:val="16"/>
                <w:szCs w:val="16"/>
              </w:rPr>
            </w:pPr>
            <w:r>
              <w:rPr>
                <w:sz w:val="16"/>
                <w:szCs w:val="16"/>
              </w:rPr>
              <w:t xml:space="preserve"> </w:t>
            </w:r>
            <w:r w:rsidRPr="005945C5">
              <w:rPr>
                <w:sz w:val="16"/>
                <w:szCs w:val="16"/>
              </w:rPr>
              <w:t xml:space="preserve">38,828 </w:t>
            </w:r>
          </w:p>
        </w:tc>
        <w:tc>
          <w:tcPr>
            <w:tcW w:w="1310" w:type="dxa"/>
            <w:tcBorders>
              <w:top w:val="nil"/>
              <w:left w:val="nil"/>
              <w:bottom w:val="nil"/>
              <w:right w:val="nil"/>
            </w:tcBorders>
            <w:shd w:val="clear" w:color="000000" w:fill="FFFFFF"/>
            <w:noWrap/>
            <w:vAlign w:val="bottom"/>
            <w:hideMark/>
          </w:tcPr>
          <w:p w:rsidR="002C7C06" w:rsidRPr="005945C5" w:rsidP="006F7B23" w14:paraId="75B885B0" w14:textId="77777777">
            <w:pPr>
              <w:jc w:val="right"/>
              <w:rPr>
                <w:sz w:val="16"/>
                <w:szCs w:val="16"/>
              </w:rPr>
            </w:pP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42EDA59A" w14:textId="77777777">
            <w:pPr>
              <w:jc w:val="right"/>
              <w:rPr>
                <w:sz w:val="16"/>
                <w:szCs w:val="16"/>
              </w:rPr>
            </w:pP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31F6D7BE" w14:textId="77777777">
            <w:pPr>
              <w:jc w:val="right"/>
              <w:rPr>
                <w:sz w:val="16"/>
                <w:szCs w:val="16"/>
              </w:rPr>
            </w:pPr>
            <w:r>
              <w:rPr>
                <w:sz w:val="16"/>
                <w:szCs w:val="16"/>
              </w:rPr>
              <w:t xml:space="preserve"> </w:t>
            </w:r>
            <w:r w:rsidRPr="005945C5">
              <w:rPr>
                <w:sz w:val="16"/>
                <w:szCs w:val="16"/>
              </w:rPr>
              <w:t xml:space="preserve">38,828 </w:t>
            </w:r>
          </w:p>
        </w:tc>
      </w:tr>
      <w:tr w14:paraId="2E479C88" w14:textId="77777777" w:rsidTr="000668AC">
        <w:tblPrEx>
          <w:tblW w:w="5000" w:type="pct"/>
          <w:tblLook w:val="04A0"/>
        </w:tblPrEx>
        <w:tc>
          <w:tcPr>
            <w:tcW w:w="4860" w:type="dxa"/>
            <w:tcBorders>
              <w:top w:val="nil"/>
              <w:left w:val="nil"/>
              <w:bottom w:val="nil"/>
              <w:right w:val="nil"/>
            </w:tcBorders>
            <w:shd w:val="clear" w:color="000000" w:fill="FFFFFF"/>
            <w:vAlign w:val="bottom"/>
            <w:hideMark/>
          </w:tcPr>
          <w:p w:rsidR="002C7C06" w:rsidRPr="005945C5" w:rsidP="00213A6D" w14:paraId="7A3FFBF7" w14:textId="5BA3FC1D">
            <w:pPr>
              <w:ind w:left="72" w:firstLine="160" w:firstLineChars="100"/>
              <w:rPr>
                <w:sz w:val="16"/>
                <w:szCs w:val="16"/>
              </w:rPr>
            </w:pPr>
            <w:r w:rsidRPr="005945C5">
              <w:rPr>
                <w:sz w:val="16"/>
                <w:szCs w:val="16"/>
              </w:rPr>
              <w:t>Other than intragovernmental non-exchange revenue</w:t>
            </w:r>
          </w:p>
        </w:tc>
        <w:tc>
          <w:tcPr>
            <w:tcW w:w="1310" w:type="dxa"/>
            <w:tcBorders>
              <w:top w:val="nil"/>
              <w:left w:val="nil"/>
              <w:bottom w:val="nil"/>
              <w:right w:val="nil"/>
            </w:tcBorders>
            <w:shd w:val="clear" w:color="000000" w:fill="FFFFFF"/>
            <w:noWrap/>
            <w:vAlign w:val="bottom"/>
            <w:hideMark/>
          </w:tcPr>
          <w:p w:rsidR="002C7C06" w:rsidRPr="005945C5" w:rsidP="006F7B23" w14:paraId="03B22A78" w14:textId="77777777">
            <w:pPr>
              <w:jc w:val="right"/>
              <w:rPr>
                <w:sz w:val="16"/>
                <w:szCs w:val="16"/>
              </w:rPr>
            </w:pPr>
            <w:r>
              <w:rPr>
                <w:sz w:val="16"/>
                <w:szCs w:val="16"/>
              </w:rPr>
              <w:t xml:space="preserve"> </w:t>
            </w:r>
            <w:r w:rsidRPr="005945C5">
              <w:rPr>
                <w:sz w:val="16"/>
                <w:szCs w:val="16"/>
              </w:rPr>
              <w:t xml:space="preserve">- </w:t>
            </w:r>
          </w:p>
        </w:tc>
        <w:tc>
          <w:tcPr>
            <w:tcW w:w="1310" w:type="dxa"/>
            <w:tcBorders>
              <w:top w:val="nil"/>
              <w:left w:val="nil"/>
              <w:bottom w:val="nil"/>
              <w:right w:val="nil"/>
            </w:tcBorders>
            <w:shd w:val="clear" w:color="000000" w:fill="FFFFFF"/>
            <w:noWrap/>
            <w:vAlign w:val="bottom"/>
            <w:hideMark/>
          </w:tcPr>
          <w:p w:rsidR="002C7C06" w:rsidRPr="005945C5" w:rsidP="006F7B23" w14:paraId="6513FB42" w14:textId="77777777">
            <w:pPr>
              <w:jc w:val="right"/>
              <w:rPr>
                <w:sz w:val="16"/>
                <w:szCs w:val="16"/>
              </w:rPr>
            </w:pPr>
            <w:r>
              <w:rPr>
                <w:sz w:val="16"/>
                <w:szCs w:val="16"/>
              </w:rPr>
              <w:t xml:space="preserve"> </w:t>
            </w:r>
            <w:r w:rsidRPr="005945C5">
              <w:rPr>
                <w:sz w:val="16"/>
                <w:szCs w:val="16"/>
              </w:rPr>
              <w:t xml:space="preserve">9,292,814 </w:t>
            </w:r>
          </w:p>
        </w:tc>
        <w:tc>
          <w:tcPr>
            <w:tcW w:w="1310" w:type="dxa"/>
            <w:tcBorders>
              <w:top w:val="nil"/>
              <w:left w:val="nil"/>
              <w:bottom w:val="nil"/>
              <w:right w:val="nil"/>
            </w:tcBorders>
            <w:shd w:val="clear" w:color="000000" w:fill="FFFFFF"/>
            <w:noWrap/>
            <w:vAlign w:val="bottom"/>
            <w:hideMark/>
          </w:tcPr>
          <w:p w:rsidR="002C7C06" w:rsidRPr="005945C5" w:rsidP="006F7B23" w14:paraId="4A9AFF9F" w14:textId="77777777">
            <w:pPr>
              <w:jc w:val="right"/>
              <w:rPr>
                <w:sz w:val="16"/>
                <w:szCs w:val="16"/>
              </w:rPr>
            </w:pPr>
            <w:r>
              <w:rPr>
                <w:sz w:val="16"/>
                <w:szCs w:val="16"/>
              </w:rPr>
              <w:t xml:space="preserve"> </w:t>
            </w:r>
            <w:r w:rsidRPr="005945C5">
              <w:rPr>
                <w:sz w:val="16"/>
                <w:szCs w:val="16"/>
              </w:rPr>
              <w:t xml:space="preserve">1,557,109 </w:t>
            </w:r>
          </w:p>
        </w:tc>
        <w:tc>
          <w:tcPr>
            <w:tcW w:w="1310" w:type="dxa"/>
            <w:tcBorders>
              <w:top w:val="nil"/>
              <w:left w:val="nil"/>
              <w:bottom w:val="nil"/>
              <w:right w:val="nil"/>
            </w:tcBorders>
            <w:shd w:val="clear" w:color="000000" w:fill="FFFFFF"/>
            <w:noWrap/>
            <w:vAlign w:val="bottom"/>
            <w:hideMark/>
          </w:tcPr>
          <w:p w:rsidR="002C7C06" w:rsidRPr="005945C5" w:rsidP="006F7B23" w14:paraId="374D5F23" w14:textId="77777777">
            <w:pPr>
              <w:jc w:val="right"/>
              <w:rPr>
                <w:sz w:val="16"/>
                <w:szCs w:val="16"/>
              </w:rPr>
            </w:pPr>
            <w:r>
              <w:rPr>
                <w:sz w:val="16"/>
                <w:szCs w:val="16"/>
              </w:rPr>
              <w:t xml:space="preserve"> </w:t>
            </w:r>
            <w:r w:rsidRPr="005945C5">
              <w:rPr>
                <w:sz w:val="16"/>
                <w:szCs w:val="16"/>
              </w:rPr>
              <w:t xml:space="preserve">10,849,923 </w:t>
            </w:r>
          </w:p>
        </w:tc>
      </w:tr>
      <w:tr w14:paraId="064EC504" w14:textId="77777777" w:rsidTr="000668AC">
        <w:tblPrEx>
          <w:tblW w:w="5000" w:type="pct"/>
          <w:tblLook w:val="04A0"/>
        </w:tblPrEx>
        <w:tc>
          <w:tcPr>
            <w:tcW w:w="4860" w:type="dxa"/>
            <w:tcBorders>
              <w:top w:val="nil"/>
              <w:left w:val="nil"/>
              <w:bottom w:val="nil"/>
              <w:right w:val="nil"/>
            </w:tcBorders>
            <w:shd w:val="clear" w:color="000000" w:fill="FFFFFF"/>
            <w:noWrap/>
            <w:vAlign w:val="bottom"/>
            <w:hideMark/>
          </w:tcPr>
          <w:p w:rsidR="002C7C06" w:rsidRPr="005945C5" w:rsidP="004957F6" w14:paraId="0C4CC694" w14:textId="77777777">
            <w:pPr>
              <w:ind w:left="-18"/>
              <w:rPr>
                <w:sz w:val="16"/>
                <w:szCs w:val="16"/>
              </w:rPr>
            </w:pPr>
            <w:r w:rsidRPr="005945C5">
              <w:rPr>
                <w:sz w:val="16"/>
                <w:szCs w:val="16"/>
              </w:rPr>
              <w:t>Net cost of operations</w:t>
            </w:r>
          </w:p>
        </w:tc>
        <w:tc>
          <w:tcPr>
            <w:tcW w:w="1310" w:type="dxa"/>
            <w:tcBorders>
              <w:top w:val="nil"/>
              <w:left w:val="nil"/>
              <w:bottom w:val="single" w:sz="4" w:space="0" w:color="auto"/>
              <w:right w:val="nil"/>
            </w:tcBorders>
            <w:shd w:val="clear" w:color="000000" w:fill="FFFFFF"/>
            <w:noWrap/>
            <w:vAlign w:val="bottom"/>
            <w:hideMark/>
          </w:tcPr>
          <w:p w:rsidR="002C7C06" w:rsidRPr="005945C5" w:rsidP="006F7B23" w14:paraId="786AE5F1" w14:textId="77777777">
            <w:pPr>
              <w:jc w:val="right"/>
              <w:rPr>
                <w:sz w:val="16"/>
                <w:szCs w:val="16"/>
              </w:rPr>
            </w:pPr>
            <w:r>
              <w:rPr>
                <w:sz w:val="16"/>
                <w:szCs w:val="16"/>
              </w:rPr>
              <w:t xml:space="preserve"> </w:t>
            </w:r>
            <w:r w:rsidRPr="005945C5">
              <w:rPr>
                <w:sz w:val="16"/>
                <w:szCs w:val="16"/>
              </w:rPr>
              <w:t>(23,809)</w:t>
            </w:r>
          </w:p>
        </w:tc>
        <w:tc>
          <w:tcPr>
            <w:tcW w:w="1310" w:type="dxa"/>
            <w:tcBorders>
              <w:top w:val="nil"/>
              <w:left w:val="nil"/>
              <w:bottom w:val="nil"/>
              <w:right w:val="nil"/>
            </w:tcBorders>
            <w:shd w:val="clear" w:color="000000" w:fill="FFFFFF"/>
            <w:noWrap/>
            <w:vAlign w:val="bottom"/>
            <w:hideMark/>
          </w:tcPr>
          <w:p w:rsidR="002C7C06" w:rsidRPr="005945C5" w:rsidP="006F7B23" w14:paraId="38044803" w14:textId="77777777">
            <w:pPr>
              <w:jc w:val="right"/>
              <w:rPr>
                <w:sz w:val="16"/>
                <w:szCs w:val="16"/>
              </w:rPr>
            </w:pPr>
            <w:r>
              <w:rPr>
                <w:sz w:val="16"/>
                <w:szCs w:val="16"/>
              </w:rPr>
              <w:t xml:space="preserve"> </w:t>
            </w:r>
            <w:r w:rsidRPr="005945C5">
              <w:rPr>
                <w:sz w:val="16"/>
                <w:szCs w:val="16"/>
              </w:rPr>
              <w:t xml:space="preserve">8,795,041 </w:t>
            </w:r>
          </w:p>
        </w:tc>
        <w:tc>
          <w:tcPr>
            <w:tcW w:w="1310" w:type="dxa"/>
            <w:tcBorders>
              <w:top w:val="nil"/>
              <w:left w:val="nil"/>
              <w:bottom w:val="nil"/>
              <w:right w:val="nil"/>
            </w:tcBorders>
            <w:shd w:val="clear" w:color="000000" w:fill="FFFFFF"/>
            <w:noWrap/>
            <w:vAlign w:val="bottom"/>
            <w:hideMark/>
          </w:tcPr>
          <w:p w:rsidR="002C7C06" w:rsidRPr="005945C5" w:rsidP="006F7B23" w14:paraId="174B5F81" w14:textId="77777777">
            <w:pPr>
              <w:jc w:val="right"/>
              <w:rPr>
                <w:sz w:val="16"/>
                <w:szCs w:val="16"/>
              </w:rPr>
            </w:pPr>
            <w:r>
              <w:rPr>
                <w:sz w:val="16"/>
                <w:szCs w:val="16"/>
              </w:rPr>
              <w:t xml:space="preserve"> </w:t>
            </w:r>
            <w:r w:rsidRPr="005945C5">
              <w:rPr>
                <w:sz w:val="16"/>
                <w:szCs w:val="16"/>
              </w:rPr>
              <w:t xml:space="preserve">1,420,828 </w:t>
            </w:r>
          </w:p>
        </w:tc>
        <w:tc>
          <w:tcPr>
            <w:tcW w:w="1310" w:type="dxa"/>
            <w:tcBorders>
              <w:top w:val="nil"/>
              <w:left w:val="nil"/>
              <w:bottom w:val="nil"/>
              <w:right w:val="nil"/>
            </w:tcBorders>
            <w:shd w:val="clear" w:color="000000" w:fill="FFFFFF"/>
            <w:noWrap/>
            <w:vAlign w:val="bottom"/>
            <w:hideMark/>
          </w:tcPr>
          <w:p w:rsidR="002C7C06" w:rsidRPr="005945C5" w:rsidP="006F7B23" w14:paraId="419B851F" w14:textId="77777777">
            <w:pPr>
              <w:jc w:val="right"/>
              <w:rPr>
                <w:sz w:val="16"/>
                <w:szCs w:val="16"/>
              </w:rPr>
            </w:pPr>
            <w:r>
              <w:rPr>
                <w:sz w:val="16"/>
                <w:szCs w:val="16"/>
              </w:rPr>
              <w:t xml:space="preserve"> </w:t>
            </w:r>
            <w:r w:rsidRPr="005945C5">
              <w:rPr>
                <w:sz w:val="16"/>
                <w:szCs w:val="16"/>
              </w:rPr>
              <w:t xml:space="preserve">10,192,060 </w:t>
            </w:r>
          </w:p>
        </w:tc>
      </w:tr>
      <w:tr w14:paraId="001D63EE" w14:textId="77777777" w:rsidTr="000668AC">
        <w:tblPrEx>
          <w:tblW w:w="5000" w:type="pct"/>
          <w:tblLook w:val="04A0"/>
        </w:tblPrEx>
        <w:tc>
          <w:tcPr>
            <w:tcW w:w="4860" w:type="dxa"/>
            <w:tcBorders>
              <w:top w:val="nil"/>
              <w:left w:val="nil"/>
              <w:bottom w:val="nil"/>
              <w:right w:val="nil"/>
            </w:tcBorders>
            <w:shd w:val="clear" w:color="000000" w:fill="FFFFFF"/>
            <w:noWrap/>
            <w:vAlign w:val="bottom"/>
            <w:hideMark/>
          </w:tcPr>
          <w:p w:rsidR="002C7C06" w:rsidRPr="005945C5" w:rsidP="004957F6" w14:paraId="16E8DA43" w14:textId="77777777">
            <w:pPr>
              <w:ind w:left="-18"/>
              <w:rPr>
                <w:sz w:val="16"/>
                <w:szCs w:val="16"/>
              </w:rPr>
            </w:pPr>
            <w:r w:rsidRPr="005945C5">
              <w:rPr>
                <w:sz w:val="16"/>
                <w:szCs w:val="16"/>
              </w:rPr>
              <w:t>Net Change in Cumulative Results of Operations</w:t>
            </w:r>
          </w:p>
        </w:tc>
        <w:tc>
          <w:tcPr>
            <w:tcW w:w="1310" w:type="dxa"/>
            <w:tcBorders>
              <w:top w:val="nil"/>
              <w:left w:val="nil"/>
              <w:bottom w:val="nil"/>
              <w:right w:val="nil"/>
            </w:tcBorders>
            <w:shd w:val="clear" w:color="000000" w:fill="FFFFFF"/>
            <w:noWrap/>
            <w:vAlign w:val="bottom"/>
            <w:hideMark/>
          </w:tcPr>
          <w:p w:rsidR="002C7C06" w:rsidRPr="005945C5" w:rsidP="006F7B23" w14:paraId="7E09EB77" w14:textId="77777777">
            <w:pPr>
              <w:jc w:val="right"/>
              <w:rPr>
                <w:sz w:val="16"/>
                <w:szCs w:val="16"/>
              </w:rPr>
            </w:pPr>
            <w:r>
              <w:rPr>
                <w:sz w:val="16"/>
                <w:szCs w:val="16"/>
              </w:rPr>
              <w:t xml:space="preserve"> </w:t>
            </w:r>
            <w:r w:rsidRPr="005945C5">
              <w:rPr>
                <w:sz w:val="16"/>
                <w:szCs w:val="16"/>
              </w:rPr>
              <w:t xml:space="preserve">62,637 </w:t>
            </w:r>
          </w:p>
        </w:tc>
        <w:tc>
          <w:tcPr>
            <w:tcW w:w="1310" w:type="dxa"/>
            <w:tcBorders>
              <w:top w:val="single" w:sz="4" w:space="0" w:color="auto"/>
              <w:left w:val="nil"/>
              <w:bottom w:val="nil"/>
              <w:right w:val="nil"/>
            </w:tcBorders>
            <w:shd w:val="clear" w:color="000000" w:fill="FFFFFF"/>
            <w:noWrap/>
            <w:vAlign w:val="bottom"/>
            <w:hideMark/>
          </w:tcPr>
          <w:p w:rsidR="002C7C06" w:rsidRPr="005945C5" w:rsidP="006F7B23" w14:paraId="5D9B3E19" w14:textId="77777777">
            <w:pPr>
              <w:jc w:val="right"/>
              <w:rPr>
                <w:sz w:val="16"/>
                <w:szCs w:val="16"/>
              </w:rPr>
            </w:pPr>
            <w:r>
              <w:rPr>
                <w:sz w:val="16"/>
                <w:szCs w:val="16"/>
              </w:rPr>
              <w:t xml:space="preserve"> </w:t>
            </w:r>
            <w:r w:rsidRPr="005945C5">
              <w:rPr>
                <w:sz w:val="16"/>
                <w:szCs w:val="16"/>
              </w:rPr>
              <w:t xml:space="preserve">497,773 </w:t>
            </w:r>
          </w:p>
        </w:tc>
        <w:tc>
          <w:tcPr>
            <w:tcW w:w="1310" w:type="dxa"/>
            <w:tcBorders>
              <w:top w:val="single" w:sz="4" w:space="0" w:color="auto"/>
              <w:left w:val="nil"/>
              <w:bottom w:val="nil"/>
              <w:right w:val="nil"/>
            </w:tcBorders>
            <w:shd w:val="clear" w:color="000000" w:fill="FFFFFF"/>
            <w:noWrap/>
            <w:vAlign w:val="bottom"/>
            <w:hideMark/>
          </w:tcPr>
          <w:p w:rsidR="002C7C06" w:rsidRPr="005945C5" w:rsidP="006F7B23" w14:paraId="27AA2751" w14:textId="77777777">
            <w:pPr>
              <w:jc w:val="right"/>
              <w:rPr>
                <w:sz w:val="16"/>
                <w:szCs w:val="16"/>
              </w:rPr>
            </w:pPr>
            <w:r>
              <w:rPr>
                <w:sz w:val="16"/>
                <w:szCs w:val="16"/>
              </w:rPr>
              <w:t xml:space="preserve"> </w:t>
            </w:r>
            <w:r w:rsidRPr="005945C5">
              <w:rPr>
                <w:sz w:val="16"/>
                <w:szCs w:val="16"/>
              </w:rPr>
              <w:t xml:space="preserve">136,281 </w:t>
            </w:r>
          </w:p>
        </w:tc>
        <w:tc>
          <w:tcPr>
            <w:tcW w:w="1310" w:type="dxa"/>
            <w:tcBorders>
              <w:top w:val="single" w:sz="4" w:space="0" w:color="auto"/>
              <w:left w:val="nil"/>
              <w:bottom w:val="nil"/>
              <w:right w:val="nil"/>
            </w:tcBorders>
            <w:shd w:val="clear" w:color="000000" w:fill="FFFFFF"/>
            <w:noWrap/>
            <w:vAlign w:val="bottom"/>
            <w:hideMark/>
          </w:tcPr>
          <w:p w:rsidR="002C7C06" w:rsidRPr="005945C5" w:rsidP="006F7B23" w14:paraId="45B306EC" w14:textId="77777777">
            <w:pPr>
              <w:jc w:val="right"/>
              <w:rPr>
                <w:sz w:val="16"/>
                <w:szCs w:val="16"/>
              </w:rPr>
            </w:pPr>
            <w:r>
              <w:rPr>
                <w:sz w:val="16"/>
                <w:szCs w:val="16"/>
              </w:rPr>
              <w:t xml:space="preserve"> </w:t>
            </w:r>
            <w:r w:rsidRPr="005945C5">
              <w:rPr>
                <w:sz w:val="16"/>
                <w:szCs w:val="16"/>
              </w:rPr>
              <w:t xml:space="preserve">696,691 </w:t>
            </w:r>
          </w:p>
        </w:tc>
      </w:tr>
      <w:tr w14:paraId="27D718F8" w14:textId="77777777" w:rsidTr="00026A7C">
        <w:tblPrEx>
          <w:tblW w:w="5000" w:type="pct"/>
          <w:tblLook w:val="04A0"/>
        </w:tblPrEx>
        <w:trPr>
          <w:trHeight w:val="259"/>
        </w:trPr>
        <w:tc>
          <w:tcPr>
            <w:tcW w:w="4860" w:type="dxa"/>
            <w:tcBorders>
              <w:top w:val="nil"/>
              <w:left w:val="nil"/>
              <w:bottom w:val="nil"/>
              <w:right w:val="nil"/>
            </w:tcBorders>
            <w:shd w:val="clear" w:color="000000" w:fill="FFFFFF"/>
            <w:noWrap/>
            <w:vAlign w:val="bottom"/>
            <w:hideMark/>
          </w:tcPr>
          <w:p w:rsidR="002C7C06" w:rsidRPr="005945C5" w:rsidP="004957F6" w14:paraId="028F4CEC" w14:textId="77777777">
            <w:pPr>
              <w:ind w:left="-18"/>
              <w:rPr>
                <w:b/>
                <w:bCs/>
                <w:sz w:val="16"/>
                <w:szCs w:val="16"/>
              </w:rPr>
            </w:pPr>
            <w:r w:rsidRPr="005945C5">
              <w:rPr>
                <w:b/>
                <w:bCs/>
                <w:sz w:val="16"/>
                <w:szCs w:val="16"/>
              </w:rPr>
              <w:t>Cumulative Results of Operations: Ending</w:t>
            </w:r>
          </w:p>
        </w:tc>
        <w:tc>
          <w:tcPr>
            <w:tcW w:w="1310" w:type="dxa"/>
            <w:tcBorders>
              <w:top w:val="single" w:sz="4" w:space="0" w:color="auto"/>
              <w:left w:val="nil"/>
              <w:bottom w:val="single" w:sz="4" w:space="0" w:color="auto"/>
              <w:right w:val="nil"/>
            </w:tcBorders>
            <w:shd w:val="clear" w:color="000000" w:fill="FFFFFF"/>
            <w:noWrap/>
            <w:vAlign w:val="bottom"/>
            <w:hideMark/>
          </w:tcPr>
          <w:p w:rsidR="002C7C06" w:rsidRPr="005945C5" w:rsidP="006F7B23" w14:paraId="4E86BAB3" w14:textId="77777777">
            <w:pPr>
              <w:jc w:val="right"/>
              <w:rPr>
                <w:sz w:val="16"/>
                <w:szCs w:val="16"/>
              </w:rPr>
            </w:pPr>
            <w:r>
              <w:rPr>
                <w:sz w:val="16"/>
                <w:szCs w:val="16"/>
              </w:rPr>
              <w:t xml:space="preserve"> </w:t>
            </w:r>
            <w:r w:rsidRPr="005945C5">
              <w:rPr>
                <w:sz w:val="16"/>
                <w:szCs w:val="16"/>
              </w:rPr>
              <w:t xml:space="preserve">193,042 </w:t>
            </w:r>
          </w:p>
        </w:tc>
        <w:tc>
          <w:tcPr>
            <w:tcW w:w="1310" w:type="dxa"/>
            <w:tcBorders>
              <w:top w:val="single" w:sz="4" w:space="0" w:color="auto"/>
              <w:left w:val="nil"/>
              <w:bottom w:val="single" w:sz="4" w:space="0" w:color="auto"/>
              <w:right w:val="nil"/>
            </w:tcBorders>
            <w:shd w:val="clear" w:color="000000" w:fill="FFFFFF"/>
            <w:noWrap/>
            <w:vAlign w:val="bottom"/>
            <w:hideMark/>
          </w:tcPr>
          <w:p w:rsidR="002C7C06" w:rsidRPr="005945C5" w:rsidP="006F7B23" w14:paraId="21B53963" w14:textId="77777777">
            <w:pPr>
              <w:jc w:val="right"/>
              <w:rPr>
                <w:sz w:val="16"/>
                <w:szCs w:val="16"/>
              </w:rPr>
            </w:pPr>
            <w:r>
              <w:rPr>
                <w:sz w:val="16"/>
                <w:szCs w:val="16"/>
              </w:rPr>
              <w:t xml:space="preserve"> </w:t>
            </w:r>
            <w:r w:rsidRPr="005945C5">
              <w:rPr>
                <w:sz w:val="16"/>
                <w:szCs w:val="16"/>
              </w:rPr>
              <w:t xml:space="preserve">6,439,878 </w:t>
            </w:r>
          </w:p>
        </w:tc>
        <w:tc>
          <w:tcPr>
            <w:tcW w:w="1310" w:type="dxa"/>
            <w:tcBorders>
              <w:top w:val="single" w:sz="4" w:space="0" w:color="auto"/>
              <w:left w:val="nil"/>
              <w:bottom w:val="single" w:sz="4" w:space="0" w:color="auto"/>
              <w:right w:val="nil"/>
            </w:tcBorders>
            <w:shd w:val="clear" w:color="000000" w:fill="FFFFFF"/>
            <w:noWrap/>
            <w:vAlign w:val="bottom"/>
            <w:hideMark/>
          </w:tcPr>
          <w:p w:rsidR="002C7C06" w:rsidRPr="005945C5" w:rsidP="006F7B23" w14:paraId="406752BF" w14:textId="77777777">
            <w:pPr>
              <w:jc w:val="right"/>
              <w:rPr>
                <w:sz w:val="16"/>
                <w:szCs w:val="16"/>
              </w:rPr>
            </w:pPr>
            <w:r>
              <w:rPr>
                <w:sz w:val="16"/>
                <w:szCs w:val="16"/>
              </w:rPr>
              <w:t xml:space="preserve"> </w:t>
            </w:r>
            <w:r w:rsidRPr="005945C5">
              <w:rPr>
                <w:sz w:val="16"/>
                <w:szCs w:val="16"/>
              </w:rPr>
              <w:t xml:space="preserve">315,552 </w:t>
            </w:r>
          </w:p>
        </w:tc>
        <w:tc>
          <w:tcPr>
            <w:tcW w:w="1310" w:type="dxa"/>
            <w:tcBorders>
              <w:top w:val="single" w:sz="4" w:space="0" w:color="auto"/>
              <w:left w:val="nil"/>
              <w:bottom w:val="single" w:sz="4" w:space="0" w:color="auto"/>
              <w:right w:val="nil"/>
            </w:tcBorders>
            <w:shd w:val="clear" w:color="000000" w:fill="FFFFFF"/>
            <w:noWrap/>
            <w:vAlign w:val="bottom"/>
            <w:hideMark/>
          </w:tcPr>
          <w:p w:rsidR="002C7C06" w:rsidRPr="005945C5" w:rsidP="006F7B23" w14:paraId="56DE43AD" w14:textId="77777777">
            <w:pPr>
              <w:jc w:val="right"/>
              <w:rPr>
                <w:sz w:val="16"/>
                <w:szCs w:val="16"/>
              </w:rPr>
            </w:pPr>
            <w:r>
              <w:rPr>
                <w:sz w:val="16"/>
                <w:szCs w:val="16"/>
              </w:rPr>
              <w:t xml:space="preserve"> </w:t>
            </w:r>
            <w:r w:rsidRPr="005945C5">
              <w:rPr>
                <w:sz w:val="16"/>
                <w:szCs w:val="16"/>
              </w:rPr>
              <w:t xml:space="preserve">6,948,472 </w:t>
            </w:r>
          </w:p>
        </w:tc>
      </w:tr>
      <w:tr w14:paraId="78B9A122" w14:textId="77777777" w:rsidTr="0069209A">
        <w:tblPrEx>
          <w:tblW w:w="5000" w:type="pct"/>
          <w:tblLook w:val="04A0"/>
        </w:tblPrEx>
        <w:trPr>
          <w:trHeight w:val="152"/>
        </w:trPr>
        <w:tc>
          <w:tcPr>
            <w:tcW w:w="4860" w:type="dxa"/>
            <w:tcBorders>
              <w:top w:val="nil"/>
              <w:left w:val="nil"/>
              <w:bottom w:val="nil"/>
              <w:right w:val="nil"/>
            </w:tcBorders>
            <w:shd w:val="clear" w:color="000000" w:fill="FFFFFF"/>
            <w:noWrap/>
            <w:vAlign w:val="bottom"/>
            <w:hideMark/>
          </w:tcPr>
          <w:p w:rsidR="002C7C06" w:rsidRPr="005945C5" w:rsidP="004957F6" w14:paraId="01E5A2C3" w14:textId="77777777">
            <w:pPr>
              <w:ind w:left="-18"/>
              <w:rPr>
                <w:b/>
                <w:bCs/>
                <w:sz w:val="16"/>
                <w:szCs w:val="16"/>
              </w:rPr>
            </w:pPr>
            <w:r w:rsidRPr="005945C5">
              <w:rPr>
                <w:b/>
                <w:bCs/>
                <w:sz w:val="16"/>
                <w:szCs w:val="16"/>
              </w:rPr>
              <w:t>Net Position, end of period</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61A1BCF3" w14:textId="6744B3CD">
            <w:pPr>
              <w:jc w:val="right"/>
              <w:rPr>
                <w:sz w:val="16"/>
                <w:szCs w:val="16"/>
              </w:rPr>
            </w:pPr>
            <w:r w:rsidRPr="005945C5">
              <w:rPr>
                <w:sz w:val="16"/>
                <w:szCs w:val="16"/>
              </w:rPr>
              <w:t>$</w:t>
            </w:r>
            <w:r w:rsidR="00AD439F">
              <w:rPr>
                <w:sz w:val="16"/>
                <w:szCs w:val="16"/>
              </w:rPr>
              <w:t xml:space="preserve">       </w:t>
            </w:r>
            <w:r w:rsidRPr="005945C5">
              <w:rPr>
                <w:sz w:val="16"/>
                <w:szCs w:val="16"/>
              </w:rPr>
              <w:t xml:space="preserve">1,012,062 </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14DA9345" w14:textId="7B99496A">
            <w:pPr>
              <w:jc w:val="right"/>
              <w:rPr>
                <w:sz w:val="16"/>
                <w:szCs w:val="16"/>
              </w:rPr>
            </w:pPr>
            <w:r w:rsidRPr="005945C5">
              <w:rPr>
                <w:sz w:val="16"/>
                <w:szCs w:val="16"/>
              </w:rPr>
              <w:t>$</w:t>
            </w:r>
            <w:r w:rsidR="00AD439F">
              <w:rPr>
                <w:sz w:val="16"/>
                <w:szCs w:val="16"/>
              </w:rPr>
              <w:t xml:space="preserve">       </w:t>
            </w:r>
            <w:r w:rsidRPr="005945C5">
              <w:rPr>
                <w:sz w:val="16"/>
                <w:szCs w:val="16"/>
              </w:rPr>
              <w:t xml:space="preserve">6,439,878 </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20507225" w14:textId="42A25427">
            <w:pPr>
              <w:jc w:val="right"/>
              <w:rPr>
                <w:sz w:val="16"/>
                <w:szCs w:val="16"/>
              </w:rPr>
            </w:pPr>
            <w:r w:rsidRPr="005945C5">
              <w:rPr>
                <w:sz w:val="16"/>
                <w:szCs w:val="16"/>
              </w:rPr>
              <w:t>$</w:t>
            </w:r>
            <w:r w:rsidR="00AD439F">
              <w:rPr>
                <w:sz w:val="16"/>
                <w:szCs w:val="16"/>
              </w:rPr>
              <w:t xml:space="preserve">         </w:t>
            </w:r>
            <w:r>
              <w:rPr>
                <w:sz w:val="16"/>
                <w:szCs w:val="16"/>
              </w:rPr>
              <w:t xml:space="preserve"> </w:t>
            </w:r>
            <w:r w:rsidRPr="005945C5">
              <w:rPr>
                <w:sz w:val="16"/>
                <w:szCs w:val="16"/>
              </w:rPr>
              <w:t xml:space="preserve">315,552 </w:t>
            </w:r>
          </w:p>
        </w:tc>
        <w:tc>
          <w:tcPr>
            <w:tcW w:w="1310" w:type="dxa"/>
            <w:tcBorders>
              <w:top w:val="single" w:sz="4" w:space="0" w:color="auto"/>
              <w:left w:val="nil"/>
              <w:bottom w:val="double" w:sz="6" w:space="0" w:color="auto"/>
              <w:right w:val="nil"/>
            </w:tcBorders>
            <w:shd w:val="clear" w:color="000000" w:fill="FFFFFF"/>
            <w:noWrap/>
            <w:vAlign w:val="bottom"/>
            <w:hideMark/>
          </w:tcPr>
          <w:p w:rsidR="002C7C06" w:rsidRPr="005945C5" w:rsidP="006F7B23" w14:paraId="4937B222" w14:textId="03D928ED">
            <w:pPr>
              <w:jc w:val="right"/>
              <w:rPr>
                <w:sz w:val="16"/>
                <w:szCs w:val="16"/>
              </w:rPr>
            </w:pPr>
            <w:r w:rsidRPr="005945C5">
              <w:rPr>
                <w:sz w:val="16"/>
                <w:szCs w:val="16"/>
              </w:rPr>
              <w:t>$</w:t>
            </w:r>
            <w:r w:rsidR="00AD439F">
              <w:rPr>
                <w:sz w:val="16"/>
                <w:szCs w:val="16"/>
              </w:rPr>
              <w:t xml:space="preserve">      </w:t>
            </w:r>
            <w:r>
              <w:rPr>
                <w:sz w:val="16"/>
                <w:szCs w:val="16"/>
              </w:rPr>
              <w:t xml:space="preserve"> </w:t>
            </w:r>
            <w:r w:rsidRPr="005945C5">
              <w:rPr>
                <w:sz w:val="16"/>
                <w:szCs w:val="16"/>
              </w:rPr>
              <w:t xml:space="preserve">7,767,492 </w:t>
            </w:r>
          </w:p>
        </w:tc>
      </w:tr>
    </w:tbl>
    <w:p w:rsidR="008566B0" w:rsidP="002C7C06" w14:paraId="7F693AC5" w14:textId="77777777">
      <w:pPr>
        <w:rPr>
          <w:noProof/>
        </w:rPr>
      </w:pPr>
    </w:p>
    <w:p w:rsidR="002C7C06" w:rsidP="00285D06" w14:paraId="25E7874D" w14:textId="798506F7">
      <w:pPr>
        <w:jc w:val="center"/>
        <w:rPr>
          <w:b/>
          <w:bCs/>
          <w:sz w:val="22"/>
          <w:szCs w:val="22"/>
        </w:rPr>
        <w:sectPr w:rsidSect="00F054D8">
          <w:pgSz w:w="12240" w:h="15840"/>
          <w:pgMar w:top="1440" w:right="1440" w:bottom="1296" w:left="1440" w:header="720" w:footer="720" w:gutter="0"/>
          <w:cols w:space="720"/>
        </w:sectPr>
      </w:pPr>
    </w:p>
    <w:p w:rsidR="00285D06" w:rsidRPr="00912A4C" w:rsidP="003E1336" w14:paraId="785DD318" w14:textId="77777777">
      <w:pPr>
        <w:spacing w:after="240"/>
        <w:jc w:val="both"/>
        <w:rPr>
          <w:b/>
          <w:bCs/>
          <w:sz w:val="22"/>
          <w:szCs w:val="22"/>
        </w:rPr>
      </w:pPr>
      <w:r w:rsidRPr="00BA1E56">
        <w:rPr>
          <w:b/>
          <w:bCs/>
          <w:sz w:val="22"/>
          <w:szCs w:val="22"/>
        </w:rPr>
        <w:t xml:space="preserve">Note </w:t>
      </w:r>
      <w:r>
        <w:rPr>
          <w:b/>
          <w:bCs/>
          <w:sz w:val="22"/>
          <w:szCs w:val="22"/>
        </w:rPr>
        <w:t>9</w:t>
      </w:r>
      <w:r w:rsidRPr="00BA1E56">
        <w:rPr>
          <w:b/>
          <w:bCs/>
          <w:sz w:val="22"/>
          <w:szCs w:val="22"/>
        </w:rPr>
        <w:t xml:space="preserve"> – Funds from Dedicated Collections (continued)</w:t>
      </w:r>
    </w:p>
    <w:tbl>
      <w:tblPr>
        <w:tblW w:w="5000" w:type="pct"/>
        <w:tblLayout w:type="fixed"/>
        <w:tblLook w:val="04A0"/>
      </w:tblPr>
      <w:tblGrid>
        <w:gridCol w:w="3674"/>
        <w:gridCol w:w="1413"/>
        <w:gridCol w:w="1412"/>
        <w:gridCol w:w="1412"/>
        <w:gridCol w:w="1412"/>
        <w:gridCol w:w="37"/>
      </w:tblGrid>
      <w:tr w14:paraId="52B03541"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957F6" w14:paraId="5B4F5379" w14:textId="77777777">
            <w:pPr>
              <w:rPr>
                <w:sz w:val="16"/>
                <w:szCs w:val="16"/>
                <w:u w:val="single"/>
              </w:rPr>
            </w:pPr>
            <w:r w:rsidRPr="007D67B4">
              <w:rPr>
                <w:sz w:val="16"/>
                <w:szCs w:val="16"/>
                <w:u w:val="single"/>
              </w:rPr>
              <w:t>FY 2020</w:t>
            </w:r>
          </w:p>
        </w:tc>
        <w:tc>
          <w:tcPr>
            <w:tcW w:w="1413" w:type="dxa"/>
            <w:tcBorders>
              <w:top w:val="nil"/>
              <w:left w:val="nil"/>
              <w:bottom w:val="single" w:sz="4" w:space="0" w:color="auto"/>
              <w:right w:val="nil"/>
            </w:tcBorders>
            <w:shd w:val="clear" w:color="000000" w:fill="FFFFFF"/>
            <w:vAlign w:val="bottom"/>
            <w:hideMark/>
          </w:tcPr>
          <w:p w:rsidR="002F2E94" w:rsidRPr="007D67B4" w:rsidP="00460D87" w14:paraId="0D422845" w14:textId="77777777">
            <w:pPr>
              <w:jc w:val="center"/>
              <w:rPr>
                <w:sz w:val="16"/>
                <w:szCs w:val="16"/>
              </w:rPr>
            </w:pPr>
            <w:r w:rsidRPr="007D67B4">
              <w:rPr>
                <w:sz w:val="16"/>
                <w:szCs w:val="16"/>
              </w:rPr>
              <w:t>TVBRF</w:t>
            </w:r>
          </w:p>
        </w:tc>
        <w:tc>
          <w:tcPr>
            <w:tcW w:w="1412" w:type="dxa"/>
            <w:tcBorders>
              <w:top w:val="nil"/>
              <w:left w:val="nil"/>
              <w:bottom w:val="single" w:sz="4" w:space="0" w:color="auto"/>
              <w:right w:val="nil"/>
            </w:tcBorders>
            <w:shd w:val="clear" w:color="000000" w:fill="FFFFFF"/>
            <w:vAlign w:val="bottom"/>
            <w:hideMark/>
          </w:tcPr>
          <w:p w:rsidR="002F2E94" w:rsidRPr="007D67B4" w:rsidP="00460D87" w14:paraId="3E0F9457" w14:textId="77777777">
            <w:pPr>
              <w:jc w:val="center"/>
              <w:rPr>
                <w:sz w:val="16"/>
                <w:szCs w:val="16"/>
              </w:rPr>
            </w:pPr>
            <w:r w:rsidRPr="007D67B4">
              <w:rPr>
                <w:sz w:val="16"/>
                <w:szCs w:val="16"/>
              </w:rPr>
              <w:t>USF</w:t>
            </w:r>
          </w:p>
        </w:tc>
        <w:tc>
          <w:tcPr>
            <w:tcW w:w="1412" w:type="dxa"/>
            <w:tcBorders>
              <w:top w:val="nil"/>
              <w:left w:val="nil"/>
              <w:bottom w:val="single" w:sz="4" w:space="0" w:color="auto"/>
              <w:right w:val="nil"/>
            </w:tcBorders>
            <w:shd w:val="clear" w:color="000000" w:fill="FFFFFF"/>
            <w:vAlign w:val="bottom"/>
            <w:hideMark/>
          </w:tcPr>
          <w:p w:rsidR="002F2E94" w:rsidRPr="007D67B4" w:rsidP="00460D87" w14:paraId="76BAAD10" w14:textId="77777777">
            <w:pPr>
              <w:jc w:val="center"/>
              <w:rPr>
                <w:sz w:val="16"/>
                <w:szCs w:val="16"/>
              </w:rPr>
            </w:pPr>
            <w:r w:rsidRPr="007D67B4">
              <w:rPr>
                <w:sz w:val="16"/>
                <w:szCs w:val="16"/>
              </w:rPr>
              <w:t>TRS</w:t>
            </w:r>
          </w:p>
        </w:tc>
        <w:tc>
          <w:tcPr>
            <w:tcW w:w="1412" w:type="dxa"/>
            <w:tcBorders>
              <w:top w:val="nil"/>
              <w:left w:val="nil"/>
              <w:bottom w:val="single" w:sz="4" w:space="0" w:color="auto"/>
              <w:right w:val="nil"/>
            </w:tcBorders>
            <w:shd w:val="clear" w:color="000000" w:fill="FFFFFF"/>
            <w:vAlign w:val="bottom"/>
            <w:hideMark/>
          </w:tcPr>
          <w:p w:rsidR="002F2E94" w:rsidRPr="007D67B4" w:rsidP="00460D87" w14:paraId="728E2862" w14:textId="1C9D3AC5">
            <w:pPr>
              <w:ind w:hanging="12"/>
              <w:jc w:val="center"/>
              <w:rPr>
                <w:sz w:val="16"/>
                <w:szCs w:val="16"/>
              </w:rPr>
            </w:pPr>
            <w:r w:rsidRPr="007D67B4">
              <w:rPr>
                <w:sz w:val="16"/>
                <w:szCs w:val="16"/>
              </w:rPr>
              <w:t>Total Funds</w:t>
            </w:r>
            <w:r w:rsidR="00F96DB4">
              <w:rPr>
                <w:sz w:val="16"/>
                <w:szCs w:val="16"/>
              </w:rPr>
              <w:br/>
            </w:r>
            <w:r w:rsidRPr="007D67B4">
              <w:rPr>
                <w:sz w:val="16"/>
                <w:szCs w:val="16"/>
              </w:rPr>
              <w:t>from Dedicated Collections (Combined/</w:t>
            </w:r>
            <w:r w:rsidRPr="007D67B4">
              <w:rPr>
                <w:sz w:val="16"/>
                <w:szCs w:val="16"/>
              </w:rPr>
              <w:br/>
              <w:t>Consolidated)</w:t>
            </w:r>
          </w:p>
        </w:tc>
      </w:tr>
      <w:tr w14:paraId="020A9906"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auto" w:fill="auto"/>
            <w:noWrap/>
            <w:vAlign w:val="bottom"/>
            <w:hideMark/>
          </w:tcPr>
          <w:p w:rsidR="002F2E94" w:rsidRPr="007D67B4" w:rsidP="004957F6" w14:paraId="4CF7EFFB" w14:textId="77777777">
            <w:pPr>
              <w:rPr>
                <w:b/>
                <w:bCs/>
                <w:sz w:val="16"/>
                <w:szCs w:val="16"/>
              </w:rPr>
            </w:pPr>
            <w:r w:rsidRPr="007D67B4">
              <w:rPr>
                <w:b/>
                <w:bCs/>
                <w:sz w:val="16"/>
                <w:szCs w:val="16"/>
              </w:rPr>
              <w:t>Balance Sheet as of September 30, 2020</w:t>
            </w:r>
          </w:p>
        </w:tc>
        <w:tc>
          <w:tcPr>
            <w:tcW w:w="1413" w:type="dxa"/>
            <w:tcBorders>
              <w:top w:val="nil"/>
              <w:left w:val="nil"/>
              <w:bottom w:val="nil"/>
              <w:right w:val="nil"/>
            </w:tcBorders>
            <w:shd w:val="clear" w:color="000000" w:fill="FFFFFF"/>
            <w:noWrap/>
            <w:vAlign w:val="bottom"/>
          </w:tcPr>
          <w:p w:rsidR="002F2E94" w:rsidRPr="007D67B4" w:rsidP="00460D87" w14:paraId="5EBE4334" w14:textId="47D270D4">
            <w:pPr>
              <w:jc w:val="right"/>
              <w:rPr>
                <w:b/>
                <w:bCs/>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4425059F" w14:textId="0CF5ABF4">
            <w:pPr>
              <w:jc w:val="right"/>
              <w:rPr>
                <w:b/>
                <w:bCs/>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5B557588" w14:textId="5BA61161">
            <w:pPr>
              <w:jc w:val="right"/>
              <w:rPr>
                <w:b/>
                <w:bCs/>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788ADB43" w14:textId="71581838">
            <w:pPr>
              <w:jc w:val="right"/>
              <w:rPr>
                <w:sz w:val="16"/>
                <w:szCs w:val="16"/>
              </w:rPr>
            </w:pPr>
          </w:p>
        </w:tc>
      </w:tr>
      <w:tr w14:paraId="1F133431" w14:textId="77777777" w:rsidTr="007955F7">
        <w:tblPrEx>
          <w:tblW w:w="5000" w:type="pct"/>
          <w:tblLayout w:type="fixed"/>
          <w:tblLook w:val="04A0"/>
        </w:tblPrEx>
        <w:trPr>
          <w:gridAfter w:val="1"/>
          <w:wAfter w:w="37" w:type="dxa"/>
          <w:trHeight w:val="324"/>
        </w:trPr>
        <w:tc>
          <w:tcPr>
            <w:tcW w:w="3674" w:type="dxa"/>
            <w:tcBorders>
              <w:top w:val="nil"/>
              <w:left w:val="nil"/>
              <w:bottom w:val="nil"/>
              <w:right w:val="nil"/>
            </w:tcBorders>
            <w:shd w:val="clear" w:color="000000" w:fill="FFFFFF"/>
            <w:noWrap/>
            <w:vAlign w:val="bottom"/>
            <w:hideMark/>
          </w:tcPr>
          <w:p w:rsidR="002F2E94" w:rsidRPr="007D67B4" w:rsidP="004D65F6" w14:paraId="6B9D1C12" w14:textId="78139406">
            <w:pPr>
              <w:ind w:left="72"/>
              <w:rPr>
                <w:sz w:val="16"/>
                <w:szCs w:val="16"/>
              </w:rPr>
            </w:pPr>
            <w:r w:rsidRPr="007D67B4">
              <w:rPr>
                <w:sz w:val="16"/>
                <w:szCs w:val="16"/>
              </w:rPr>
              <w:t>Intragovernmental</w:t>
            </w:r>
          </w:p>
        </w:tc>
        <w:tc>
          <w:tcPr>
            <w:tcW w:w="1413" w:type="dxa"/>
            <w:tcBorders>
              <w:top w:val="nil"/>
              <w:left w:val="nil"/>
              <w:bottom w:val="nil"/>
              <w:right w:val="nil"/>
            </w:tcBorders>
            <w:shd w:val="clear" w:color="000000" w:fill="FFFFFF"/>
            <w:noWrap/>
            <w:vAlign w:val="bottom"/>
          </w:tcPr>
          <w:p w:rsidR="002F2E94" w:rsidRPr="007D67B4" w:rsidP="00460D87" w14:paraId="054AD4C8" w14:textId="68B240CA">
            <w:pPr>
              <w:jc w:val="right"/>
              <w:rPr>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22D1B8FA" w14:textId="0FFFF04C">
            <w:pPr>
              <w:jc w:val="right"/>
              <w:rPr>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62B20AC3" w14:textId="6AE9376B">
            <w:pPr>
              <w:jc w:val="right"/>
              <w:rPr>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6353C0AA" w14:textId="6F3F4FE7">
            <w:pPr>
              <w:jc w:val="right"/>
              <w:rPr>
                <w:sz w:val="16"/>
                <w:szCs w:val="16"/>
              </w:rPr>
            </w:pPr>
          </w:p>
        </w:tc>
      </w:tr>
      <w:tr w14:paraId="735BC55F"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D65F6" w14:paraId="3EC60DFF" w14:textId="2222AD15">
            <w:pPr>
              <w:ind w:left="72"/>
              <w:rPr>
                <w:sz w:val="16"/>
                <w:szCs w:val="16"/>
              </w:rPr>
            </w:pPr>
            <w:r w:rsidRPr="007D67B4">
              <w:rPr>
                <w:sz w:val="16"/>
                <w:szCs w:val="16"/>
              </w:rPr>
              <w:t>Fund Balance with Treasury</w:t>
            </w:r>
          </w:p>
        </w:tc>
        <w:tc>
          <w:tcPr>
            <w:tcW w:w="1413" w:type="dxa"/>
            <w:tcBorders>
              <w:top w:val="nil"/>
              <w:left w:val="nil"/>
              <w:bottom w:val="nil"/>
              <w:right w:val="nil"/>
            </w:tcBorders>
            <w:shd w:val="clear" w:color="000000" w:fill="FFFFFF"/>
            <w:noWrap/>
            <w:vAlign w:val="bottom"/>
            <w:hideMark/>
          </w:tcPr>
          <w:p w:rsidR="002F2E94" w:rsidRPr="007D67B4" w:rsidP="00460D87" w14:paraId="4F13D371" w14:textId="07D9847E">
            <w:pPr>
              <w:ind w:hanging="30"/>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1,407,813 </w:t>
            </w:r>
          </w:p>
        </w:tc>
        <w:tc>
          <w:tcPr>
            <w:tcW w:w="1412" w:type="dxa"/>
            <w:tcBorders>
              <w:top w:val="nil"/>
              <w:left w:val="nil"/>
              <w:bottom w:val="nil"/>
              <w:right w:val="nil"/>
            </w:tcBorders>
            <w:shd w:val="clear" w:color="000000" w:fill="FFFFFF"/>
            <w:noWrap/>
            <w:vAlign w:val="bottom"/>
            <w:hideMark/>
          </w:tcPr>
          <w:p w:rsidR="002F2E94" w:rsidRPr="007D67B4" w:rsidP="00460D87" w14:paraId="46A36DCB" w14:textId="6137F5F0">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5,911,691 </w:t>
            </w:r>
          </w:p>
        </w:tc>
        <w:tc>
          <w:tcPr>
            <w:tcW w:w="1412" w:type="dxa"/>
            <w:tcBorders>
              <w:top w:val="nil"/>
              <w:left w:val="nil"/>
              <w:bottom w:val="nil"/>
              <w:right w:val="nil"/>
            </w:tcBorders>
            <w:shd w:val="clear" w:color="000000" w:fill="FFFFFF"/>
            <w:noWrap/>
            <w:vAlign w:val="bottom"/>
            <w:hideMark/>
          </w:tcPr>
          <w:p w:rsidR="002F2E94" w:rsidRPr="007D67B4" w:rsidP="00460D87" w14:paraId="06B7D320" w14:textId="2E5A7D48">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377,572 </w:t>
            </w:r>
          </w:p>
        </w:tc>
        <w:tc>
          <w:tcPr>
            <w:tcW w:w="1412" w:type="dxa"/>
            <w:tcBorders>
              <w:top w:val="nil"/>
              <w:left w:val="nil"/>
              <w:bottom w:val="nil"/>
              <w:right w:val="nil"/>
            </w:tcBorders>
            <w:shd w:val="clear" w:color="000000" w:fill="FFFFFF"/>
            <w:noWrap/>
            <w:vAlign w:val="bottom"/>
            <w:hideMark/>
          </w:tcPr>
          <w:p w:rsidR="002F2E94" w:rsidRPr="007D67B4" w:rsidP="00460D87" w14:paraId="552B25F3" w14:textId="676DD10E">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7,697,076 </w:t>
            </w:r>
          </w:p>
        </w:tc>
      </w:tr>
      <w:tr w14:paraId="4EBDD110"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D65F6" w14:paraId="22AFD582" w14:textId="2756BEB2">
            <w:pPr>
              <w:ind w:left="72"/>
              <w:rPr>
                <w:sz w:val="16"/>
                <w:szCs w:val="16"/>
              </w:rPr>
            </w:pPr>
            <w:r w:rsidRPr="007D67B4">
              <w:rPr>
                <w:sz w:val="16"/>
                <w:szCs w:val="16"/>
              </w:rPr>
              <w:t xml:space="preserve">Total intragovernmental assets </w:t>
            </w:r>
          </w:p>
        </w:tc>
        <w:tc>
          <w:tcPr>
            <w:tcW w:w="1413" w:type="dxa"/>
            <w:tcBorders>
              <w:top w:val="single" w:sz="4" w:space="0" w:color="auto"/>
              <w:left w:val="nil"/>
              <w:bottom w:val="nil"/>
              <w:right w:val="nil"/>
            </w:tcBorders>
            <w:shd w:val="clear" w:color="000000" w:fill="FFFFFF"/>
            <w:noWrap/>
            <w:vAlign w:val="bottom"/>
            <w:hideMark/>
          </w:tcPr>
          <w:p w:rsidR="002F2E94" w:rsidRPr="007D67B4" w:rsidP="00460D87" w14:paraId="4E9EA9C7" w14:textId="77777777">
            <w:pPr>
              <w:jc w:val="right"/>
              <w:rPr>
                <w:sz w:val="16"/>
                <w:szCs w:val="16"/>
              </w:rPr>
            </w:pPr>
            <w:r>
              <w:rPr>
                <w:sz w:val="16"/>
                <w:szCs w:val="16"/>
              </w:rPr>
              <w:t xml:space="preserve"> </w:t>
            </w:r>
            <w:r w:rsidRPr="007D67B4">
              <w:rPr>
                <w:sz w:val="16"/>
                <w:szCs w:val="16"/>
              </w:rPr>
              <w:t xml:space="preserve">1,407,813 </w:t>
            </w:r>
          </w:p>
        </w:tc>
        <w:tc>
          <w:tcPr>
            <w:tcW w:w="1412" w:type="dxa"/>
            <w:tcBorders>
              <w:top w:val="single" w:sz="4" w:space="0" w:color="auto"/>
              <w:left w:val="nil"/>
              <w:bottom w:val="nil"/>
              <w:right w:val="nil"/>
            </w:tcBorders>
            <w:shd w:val="clear" w:color="000000" w:fill="FFFFFF"/>
            <w:noWrap/>
            <w:vAlign w:val="bottom"/>
            <w:hideMark/>
          </w:tcPr>
          <w:p w:rsidR="002F2E94" w:rsidRPr="007D67B4" w:rsidP="00460D87" w14:paraId="37E4110F" w14:textId="77777777">
            <w:pPr>
              <w:jc w:val="right"/>
              <w:rPr>
                <w:sz w:val="16"/>
                <w:szCs w:val="16"/>
              </w:rPr>
            </w:pPr>
            <w:r>
              <w:rPr>
                <w:sz w:val="16"/>
                <w:szCs w:val="16"/>
              </w:rPr>
              <w:t xml:space="preserve"> </w:t>
            </w:r>
            <w:r w:rsidRPr="007D67B4">
              <w:rPr>
                <w:sz w:val="16"/>
                <w:szCs w:val="16"/>
              </w:rPr>
              <w:t xml:space="preserve">5,911,691 </w:t>
            </w:r>
          </w:p>
        </w:tc>
        <w:tc>
          <w:tcPr>
            <w:tcW w:w="1412" w:type="dxa"/>
            <w:tcBorders>
              <w:top w:val="single" w:sz="4" w:space="0" w:color="auto"/>
              <w:left w:val="nil"/>
              <w:bottom w:val="nil"/>
              <w:right w:val="nil"/>
            </w:tcBorders>
            <w:shd w:val="clear" w:color="000000" w:fill="FFFFFF"/>
            <w:noWrap/>
            <w:vAlign w:val="bottom"/>
            <w:hideMark/>
          </w:tcPr>
          <w:p w:rsidR="002F2E94" w:rsidRPr="007D67B4" w:rsidP="00460D87" w14:paraId="436F3727" w14:textId="77777777">
            <w:pPr>
              <w:jc w:val="right"/>
              <w:rPr>
                <w:sz w:val="16"/>
                <w:szCs w:val="16"/>
              </w:rPr>
            </w:pPr>
            <w:r>
              <w:rPr>
                <w:sz w:val="16"/>
                <w:szCs w:val="16"/>
              </w:rPr>
              <w:t xml:space="preserve"> </w:t>
            </w:r>
            <w:r w:rsidRPr="007D67B4">
              <w:rPr>
                <w:sz w:val="16"/>
                <w:szCs w:val="16"/>
              </w:rPr>
              <w:t xml:space="preserve">377,572 </w:t>
            </w:r>
          </w:p>
        </w:tc>
        <w:tc>
          <w:tcPr>
            <w:tcW w:w="1412" w:type="dxa"/>
            <w:tcBorders>
              <w:top w:val="single" w:sz="4" w:space="0" w:color="auto"/>
              <w:left w:val="nil"/>
              <w:bottom w:val="nil"/>
              <w:right w:val="nil"/>
            </w:tcBorders>
            <w:shd w:val="clear" w:color="000000" w:fill="FFFFFF"/>
            <w:noWrap/>
            <w:vAlign w:val="bottom"/>
            <w:hideMark/>
          </w:tcPr>
          <w:p w:rsidR="002F2E94" w:rsidRPr="007D67B4" w:rsidP="00460D87" w14:paraId="1CA3B0AE" w14:textId="77777777">
            <w:pPr>
              <w:jc w:val="right"/>
              <w:rPr>
                <w:sz w:val="16"/>
                <w:szCs w:val="16"/>
              </w:rPr>
            </w:pPr>
            <w:r>
              <w:rPr>
                <w:sz w:val="16"/>
                <w:szCs w:val="16"/>
              </w:rPr>
              <w:t xml:space="preserve"> </w:t>
            </w:r>
            <w:r w:rsidRPr="007D67B4">
              <w:rPr>
                <w:sz w:val="16"/>
                <w:szCs w:val="16"/>
              </w:rPr>
              <w:t xml:space="preserve">7,697,076 </w:t>
            </w:r>
          </w:p>
        </w:tc>
      </w:tr>
      <w:tr w14:paraId="66C3F5AC"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D65F6" w14:paraId="630A2216" w14:textId="45DE71C1">
            <w:pPr>
              <w:ind w:left="72"/>
              <w:rPr>
                <w:sz w:val="16"/>
                <w:szCs w:val="16"/>
              </w:rPr>
            </w:pPr>
            <w:r w:rsidRPr="007D67B4">
              <w:rPr>
                <w:sz w:val="16"/>
                <w:szCs w:val="16"/>
              </w:rPr>
              <w:t>Other than intragovernmental</w:t>
            </w:r>
          </w:p>
        </w:tc>
        <w:tc>
          <w:tcPr>
            <w:tcW w:w="1413" w:type="dxa"/>
            <w:tcBorders>
              <w:top w:val="nil"/>
              <w:left w:val="nil"/>
              <w:bottom w:val="nil"/>
              <w:right w:val="nil"/>
            </w:tcBorders>
            <w:shd w:val="clear" w:color="000000" w:fill="FFFFFF"/>
            <w:noWrap/>
            <w:vAlign w:val="bottom"/>
            <w:hideMark/>
          </w:tcPr>
          <w:p w:rsidR="002F2E94" w:rsidRPr="007D67B4" w:rsidP="00460D87" w14:paraId="16CA8694" w14:textId="77777777">
            <w:pPr>
              <w:jc w:val="right"/>
              <w:rPr>
                <w:sz w:val="16"/>
                <w:szCs w:val="16"/>
              </w:rPr>
            </w:pPr>
            <w:r w:rsidRPr="007D67B4">
              <w:rPr>
                <w:sz w:val="16"/>
                <w:szCs w:val="16"/>
              </w:rPr>
              <w:t> </w:t>
            </w:r>
          </w:p>
        </w:tc>
        <w:tc>
          <w:tcPr>
            <w:tcW w:w="1412" w:type="dxa"/>
            <w:tcBorders>
              <w:top w:val="nil"/>
              <w:left w:val="nil"/>
              <w:bottom w:val="nil"/>
              <w:right w:val="nil"/>
            </w:tcBorders>
            <w:shd w:val="clear" w:color="000000" w:fill="FFFFFF"/>
            <w:noWrap/>
            <w:vAlign w:val="bottom"/>
            <w:hideMark/>
          </w:tcPr>
          <w:p w:rsidR="002F2E94" w:rsidRPr="007D67B4" w:rsidP="00460D87" w14:paraId="72999469" w14:textId="77777777">
            <w:pPr>
              <w:jc w:val="right"/>
              <w:rPr>
                <w:sz w:val="16"/>
                <w:szCs w:val="16"/>
              </w:rPr>
            </w:pPr>
            <w:r w:rsidRPr="007D67B4">
              <w:rPr>
                <w:sz w:val="16"/>
                <w:szCs w:val="16"/>
              </w:rPr>
              <w:t> </w:t>
            </w:r>
          </w:p>
        </w:tc>
        <w:tc>
          <w:tcPr>
            <w:tcW w:w="1412" w:type="dxa"/>
            <w:tcBorders>
              <w:top w:val="nil"/>
              <w:left w:val="nil"/>
              <w:bottom w:val="nil"/>
              <w:right w:val="nil"/>
            </w:tcBorders>
            <w:shd w:val="clear" w:color="000000" w:fill="FFFFFF"/>
            <w:noWrap/>
            <w:vAlign w:val="bottom"/>
            <w:hideMark/>
          </w:tcPr>
          <w:p w:rsidR="002F2E94" w:rsidRPr="007D67B4" w:rsidP="00460D87" w14:paraId="08DF6647" w14:textId="77777777">
            <w:pPr>
              <w:jc w:val="right"/>
              <w:rPr>
                <w:sz w:val="16"/>
                <w:szCs w:val="16"/>
              </w:rPr>
            </w:pPr>
            <w:r w:rsidRPr="007D67B4">
              <w:rPr>
                <w:sz w:val="16"/>
                <w:szCs w:val="16"/>
              </w:rPr>
              <w:t> </w:t>
            </w:r>
          </w:p>
        </w:tc>
        <w:tc>
          <w:tcPr>
            <w:tcW w:w="1412" w:type="dxa"/>
            <w:tcBorders>
              <w:top w:val="nil"/>
              <w:left w:val="nil"/>
              <w:bottom w:val="nil"/>
              <w:right w:val="nil"/>
            </w:tcBorders>
            <w:shd w:val="clear" w:color="000000" w:fill="FFFFFF"/>
            <w:noWrap/>
            <w:vAlign w:val="bottom"/>
            <w:hideMark/>
          </w:tcPr>
          <w:p w:rsidR="002F2E94" w:rsidRPr="007D67B4" w:rsidP="00460D87" w14:paraId="7D635515" w14:textId="77777777">
            <w:pPr>
              <w:jc w:val="right"/>
              <w:rPr>
                <w:sz w:val="16"/>
                <w:szCs w:val="16"/>
              </w:rPr>
            </w:pPr>
            <w:r w:rsidRPr="007D67B4">
              <w:rPr>
                <w:sz w:val="16"/>
                <w:szCs w:val="16"/>
              </w:rPr>
              <w:t> </w:t>
            </w:r>
          </w:p>
        </w:tc>
      </w:tr>
      <w:tr w14:paraId="3A6A657D"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D65F6" w14:paraId="06B4A8D2" w14:textId="01BED0B5">
            <w:pPr>
              <w:ind w:left="72"/>
              <w:rPr>
                <w:sz w:val="16"/>
                <w:szCs w:val="16"/>
              </w:rPr>
            </w:pPr>
            <w:r w:rsidRPr="007D67B4">
              <w:rPr>
                <w:sz w:val="16"/>
                <w:szCs w:val="16"/>
              </w:rPr>
              <w:t>Accounts receivable, net</w:t>
            </w:r>
          </w:p>
        </w:tc>
        <w:tc>
          <w:tcPr>
            <w:tcW w:w="1413" w:type="dxa"/>
            <w:tcBorders>
              <w:top w:val="nil"/>
              <w:left w:val="nil"/>
              <w:bottom w:val="nil"/>
              <w:right w:val="nil"/>
            </w:tcBorders>
            <w:shd w:val="clear" w:color="000000" w:fill="FFFFFF"/>
            <w:noWrap/>
            <w:vAlign w:val="bottom"/>
            <w:hideMark/>
          </w:tcPr>
          <w:p w:rsidR="002F2E94" w:rsidRPr="007D67B4" w:rsidP="00460D87" w14:paraId="5BBD31E4" w14:textId="77777777">
            <w:pPr>
              <w:jc w:val="right"/>
              <w:rPr>
                <w:sz w:val="16"/>
                <w:szCs w:val="16"/>
              </w:rPr>
            </w:pPr>
            <w:r>
              <w:rPr>
                <w:sz w:val="16"/>
                <w:szCs w:val="16"/>
              </w:rPr>
              <w:t xml:space="preserve"> </w:t>
            </w:r>
            <w:r w:rsidRPr="007D67B4">
              <w:rPr>
                <w:sz w:val="16"/>
                <w:szCs w:val="16"/>
              </w:rPr>
              <w:t xml:space="preserve">572 </w:t>
            </w:r>
          </w:p>
        </w:tc>
        <w:tc>
          <w:tcPr>
            <w:tcW w:w="1412" w:type="dxa"/>
            <w:tcBorders>
              <w:top w:val="nil"/>
              <w:left w:val="nil"/>
              <w:bottom w:val="nil"/>
              <w:right w:val="nil"/>
            </w:tcBorders>
            <w:shd w:val="clear" w:color="000000" w:fill="FFFFFF"/>
            <w:noWrap/>
            <w:vAlign w:val="bottom"/>
            <w:hideMark/>
          </w:tcPr>
          <w:p w:rsidR="002F2E94" w:rsidRPr="007D67B4" w:rsidP="00460D87" w14:paraId="042FDB1D" w14:textId="77777777">
            <w:pPr>
              <w:jc w:val="right"/>
              <w:rPr>
                <w:sz w:val="16"/>
                <w:szCs w:val="16"/>
              </w:rPr>
            </w:pPr>
            <w:r>
              <w:rPr>
                <w:sz w:val="16"/>
                <w:szCs w:val="16"/>
              </w:rPr>
              <w:t xml:space="preserve"> </w:t>
            </w:r>
            <w:r w:rsidRPr="007D67B4">
              <w:rPr>
                <w:sz w:val="16"/>
                <w:szCs w:val="16"/>
              </w:rPr>
              <w:t xml:space="preserve">715,124 </w:t>
            </w:r>
          </w:p>
        </w:tc>
        <w:tc>
          <w:tcPr>
            <w:tcW w:w="1412" w:type="dxa"/>
            <w:tcBorders>
              <w:top w:val="nil"/>
              <w:left w:val="nil"/>
              <w:bottom w:val="nil"/>
              <w:right w:val="nil"/>
            </w:tcBorders>
            <w:shd w:val="clear" w:color="000000" w:fill="FFFFFF"/>
            <w:noWrap/>
            <w:vAlign w:val="bottom"/>
            <w:hideMark/>
          </w:tcPr>
          <w:p w:rsidR="002F2E94" w:rsidRPr="007D67B4" w:rsidP="00460D87" w14:paraId="3AF58E80" w14:textId="77777777">
            <w:pPr>
              <w:jc w:val="right"/>
              <w:rPr>
                <w:sz w:val="16"/>
                <w:szCs w:val="16"/>
              </w:rPr>
            </w:pPr>
            <w:r>
              <w:rPr>
                <w:sz w:val="16"/>
                <w:szCs w:val="16"/>
              </w:rPr>
              <w:t xml:space="preserve"> </w:t>
            </w:r>
            <w:r w:rsidRPr="007D67B4">
              <w:rPr>
                <w:sz w:val="16"/>
                <w:szCs w:val="16"/>
              </w:rPr>
              <w:t xml:space="preserve">51,020 </w:t>
            </w:r>
          </w:p>
        </w:tc>
        <w:tc>
          <w:tcPr>
            <w:tcW w:w="1412" w:type="dxa"/>
            <w:tcBorders>
              <w:top w:val="nil"/>
              <w:left w:val="nil"/>
              <w:bottom w:val="nil"/>
              <w:right w:val="nil"/>
            </w:tcBorders>
            <w:shd w:val="clear" w:color="000000" w:fill="FFFFFF"/>
            <w:noWrap/>
            <w:vAlign w:val="bottom"/>
            <w:hideMark/>
          </w:tcPr>
          <w:p w:rsidR="002F2E94" w:rsidRPr="007D67B4" w:rsidP="00460D87" w14:paraId="7968895B" w14:textId="77777777">
            <w:pPr>
              <w:jc w:val="right"/>
              <w:rPr>
                <w:sz w:val="16"/>
                <w:szCs w:val="16"/>
              </w:rPr>
            </w:pPr>
            <w:r>
              <w:rPr>
                <w:sz w:val="16"/>
                <w:szCs w:val="16"/>
              </w:rPr>
              <w:t xml:space="preserve"> </w:t>
            </w:r>
            <w:r w:rsidRPr="007D67B4">
              <w:rPr>
                <w:sz w:val="16"/>
                <w:szCs w:val="16"/>
              </w:rPr>
              <w:t xml:space="preserve">766,716 </w:t>
            </w:r>
          </w:p>
        </w:tc>
      </w:tr>
      <w:tr w14:paraId="18CFD0C8"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D65F6" w14:paraId="1EC448F3" w14:textId="10597032">
            <w:pPr>
              <w:ind w:left="72"/>
              <w:rPr>
                <w:sz w:val="16"/>
                <w:szCs w:val="16"/>
              </w:rPr>
            </w:pPr>
            <w:r w:rsidRPr="007D67B4">
              <w:rPr>
                <w:sz w:val="16"/>
                <w:szCs w:val="16"/>
              </w:rPr>
              <w:t>General property, plant, and equipment, net</w:t>
            </w:r>
          </w:p>
        </w:tc>
        <w:tc>
          <w:tcPr>
            <w:tcW w:w="1413" w:type="dxa"/>
            <w:tcBorders>
              <w:top w:val="nil"/>
              <w:left w:val="nil"/>
              <w:bottom w:val="nil"/>
              <w:right w:val="nil"/>
            </w:tcBorders>
            <w:shd w:val="clear" w:color="000000" w:fill="FFFFFF"/>
            <w:noWrap/>
            <w:vAlign w:val="bottom"/>
            <w:hideMark/>
          </w:tcPr>
          <w:p w:rsidR="002F2E94" w:rsidRPr="007D67B4" w:rsidP="00460D87" w14:paraId="6B2F5244" w14:textId="77777777">
            <w:pPr>
              <w:jc w:val="right"/>
              <w:rPr>
                <w:sz w:val="16"/>
                <w:szCs w:val="16"/>
              </w:rPr>
            </w:pP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1173D931" w14:textId="77777777">
            <w:pPr>
              <w:jc w:val="right"/>
              <w:rPr>
                <w:sz w:val="16"/>
                <w:szCs w:val="16"/>
              </w:rPr>
            </w:pPr>
            <w:r>
              <w:rPr>
                <w:sz w:val="16"/>
                <w:szCs w:val="16"/>
              </w:rPr>
              <w:t xml:space="preserve"> </w:t>
            </w:r>
            <w:r w:rsidRPr="007D67B4">
              <w:rPr>
                <w:sz w:val="16"/>
                <w:szCs w:val="16"/>
              </w:rPr>
              <w:t xml:space="preserve">16,441 </w:t>
            </w:r>
          </w:p>
        </w:tc>
        <w:tc>
          <w:tcPr>
            <w:tcW w:w="1412" w:type="dxa"/>
            <w:tcBorders>
              <w:top w:val="nil"/>
              <w:left w:val="nil"/>
              <w:bottom w:val="nil"/>
              <w:right w:val="nil"/>
            </w:tcBorders>
            <w:shd w:val="clear" w:color="000000" w:fill="FFFFFF"/>
            <w:noWrap/>
            <w:vAlign w:val="bottom"/>
            <w:hideMark/>
          </w:tcPr>
          <w:p w:rsidR="002F2E94" w:rsidRPr="007D67B4" w:rsidP="00460D87" w14:paraId="245FE23A" w14:textId="77777777">
            <w:pPr>
              <w:jc w:val="right"/>
              <w:rPr>
                <w:sz w:val="16"/>
                <w:szCs w:val="16"/>
              </w:rPr>
            </w:pP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0D76921B" w14:textId="77777777">
            <w:pPr>
              <w:jc w:val="right"/>
              <w:rPr>
                <w:sz w:val="16"/>
                <w:szCs w:val="16"/>
              </w:rPr>
            </w:pPr>
            <w:r>
              <w:rPr>
                <w:sz w:val="16"/>
                <w:szCs w:val="16"/>
              </w:rPr>
              <w:t xml:space="preserve"> </w:t>
            </w:r>
            <w:r w:rsidRPr="007D67B4">
              <w:rPr>
                <w:sz w:val="16"/>
                <w:szCs w:val="16"/>
              </w:rPr>
              <w:t xml:space="preserve">16,441 </w:t>
            </w:r>
          </w:p>
        </w:tc>
      </w:tr>
      <w:tr w14:paraId="41FD6006"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592727" w14:paraId="77893A41" w14:textId="77777777">
            <w:pPr>
              <w:ind w:left="72" w:firstLine="160" w:firstLineChars="100"/>
              <w:rPr>
                <w:sz w:val="16"/>
                <w:szCs w:val="16"/>
              </w:rPr>
            </w:pPr>
            <w:r w:rsidRPr="007D67B4">
              <w:rPr>
                <w:sz w:val="16"/>
                <w:szCs w:val="16"/>
              </w:rPr>
              <w:t>Advances and prepayments</w:t>
            </w:r>
          </w:p>
        </w:tc>
        <w:tc>
          <w:tcPr>
            <w:tcW w:w="1413" w:type="dxa"/>
            <w:tcBorders>
              <w:top w:val="nil"/>
              <w:left w:val="nil"/>
              <w:bottom w:val="single" w:sz="4" w:space="0" w:color="auto"/>
              <w:right w:val="nil"/>
            </w:tcBorders>
            <w:shd w:val="clear" w:color="000000" w:fill="FFFFFF"/>
            <w:noWrap/>
            <w:vAlign w:val="bottom"/>
            <w:hideMark/>
          </w:tcPr>
          <w:p w:rsidR="002F2E94" w:rsidRPr="007D67B4" w:rsidP="00460D87" w14:paraId="668CD941" w14:textId="77777777">
            <w:pPr>
              <w:jc w:val="right"/>
              <w:rPr>
                <w:sz w:val="16"/>
                <w:szCs w:val="16"/>
              </w:rPr>
            </w:pPr>
            <w:r>
              <w:rPr>
                <w:sz w:val="16"/>
                <w:szCs w:val="16"/>
              </w:rPr>
              <w:t xml:space="preserve"> </w:t>
            </w:r>
            <w:r w:rsidRPr="007D67B4">
              <w:rPr>
                <w:sz w:val="16"/>
                <w:szCs w:val="16"/>
              </w:rPr>
              <w:t xml:space="preserve">- </w:t>
            </w:r>
          </w:p>
        </w:tc>
        <w:tc>
          <w:tcPr>
            <w:tcW w:w="1412" w:type="dxa"/>
            <w:tcBorders>
              <w:top w:val="nil"/>
              <w:left w:val="nil"/>
              <w:bottom w:val="single" w:sz="4" w:space="0" w:color="auto"/>
              <w:right w:val="nil"/>
            </w:tcBorders>
            <w:shd w:val="clear" w:color="000000" w:fill="FFFFFF"/>
            <w:noWrap/>
            <w:vAlign w:val="bottom"/>
            <w:hideMark/>
          </w:tcPr>
          <w:p w:rsidR="002F2E94" w:rsidRPr="007D67B4" w:rsidP="00460D87" w14:paraId="44778661" w14:textId="77777777">
            <w:pPr>
              <w:jc w:val="right"/>
              <w:rPr>
                <w:sz w:val="16"/>
                <w:szCs w:val="16"/>
              </w:rPr>
            </w:pPr>
            <w:r>
              <w:rPr>
                <w:sz w:val="16"/>
                <w:szCs w:val="16"/>
              </w:rPr>
              <w:t xml:space="preserve"> </w:t>
            </w:r>
            <w:r w:rsidRPr="007D67B4">
              <w:rPr>
                <w:sz w:val="16"/>
                <w:szCs w:val="16"/>
              </w:rPr>
              <w:t xml:space="preserve">18,024 </w:t>
            </w:r>
          </w:p>
        </w:tc>
        <w:tc>
          <w:tcPr>
            <w:tcW w:w="1412" w:type="dxa"/>
            <w:tcBorders>
              <w:top w:val="nil"/>
              <w:left w:val="nil"/>
              <w:bottom w:val="single" w:sz="4" w:space="0" w:color="auto"/>
              <w:right w:val="nil"/>
            </w:tcBorders>
            <w:shd w:val="clear" w:color="000000" w:fill="FFFFFF"/>
            <w:noWrap/>
            <w:vAlign w:val="bottom"/>
            <w:hideMark/>
          </w:tcPr>
          <w:p w:rsidR="002F2E94" w:rsidRPr="007D67B4" w:rsidP="00460D87" w14:paraId="386B0311" w14:textId="77777777">
            <w:pPr>
              <w:jc w:val="right"/>
              <w:rPr>
                <w:sz w:val="16"/>
                <w:szCs w:val="16"/>
              </w:rPr>
            </w:pP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7C61761E" w14:textId="77777777">
            <w:pPr>
              <w:jc w:val="right"/>
              <w:rPr>
                <w:sz w:val="16"/>
                <w:szCs w:val="16"/>
              </w:rPr>
            </w:pPr>
            <w:r>
              <w:rPr>
                <w:sz w:val="16"/>
                <w:szCs w:val="16"/>
              </w:rPr>
              <w:t xml:space="preserve"> </w:t>
            </w:r>
            <w:r w:rsidRPr="007D67B4">
              <w:rPr>
                <w:sz w:val="16"/>
                <w:szCs w:val="16"/>
              </w:rPr>
              <w:t xml:space="preserve">18,024 </w:t>
            </w:r>
          </w:p>
        </w:tc>
      </w:tr>
      <w:tr w14:paraId="4EF47583"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592727" w14:paraId="30599B39" w14:textId="73B58BB0">
            <w:pPr>
              <w:ind w:left="72"/>
              <w:rPr>
                <w:sz w:val="16"/>
                <w:szCs w:val="16"/>
              </w:rPr>
            </w:pPr>
            <w:r w:rsidRPr="007D67B4">
              <w:rPr>
                <w:sz w:val="16"/>
                <w:szCs w:val="16"/>
              </w:rPr>
              <w:t>Total other than intragovernmental</w:t>
            </w:r>
          </w:p>
        </w:tc>
        <w:tc>
          <w:tcPr>
            <w:tcW w:w="1413" w:type="dxa"/>
            <w:tcBorders>
              <w:top w:val="nil"/>
              <w:left w:val="nil"/>
              <w:bottom w:val="nil"/>
              <w:right w:val="nil"/>
            </w:tcBorders>
            <w:shd w:val="clear" w:color="000000" w:fill="FFFFFF"/>
            <w:noWrap/>
            <w:vAlign w:val="bottom"/>
            <w:hideMark/>
          </w:tcPr>
          <w:p w:rsidR="002F2E94" w:rsidRPr="007D67B4" w:rsidP="00460D87" w14:paraId="78A4B9C3" w14:textId="77777777">
            <w:pPr>
              <w:jc w:val="right"/>
              <w:rPr>
                <w:sz w:val="16"/>
                <w:szCs w:val="16"/>
              </w:rPr>
            </w:pPr>
            <w:r>
              <w:rPr>
                <w:sz w:val="16"/>
                <w:szCs w:val="16"/>
              </w:rPr>
              <w:t xml:space="preserve"> </w:t>
            </w:r>
            <w:r w:rsidRPr="007D67B4">
              <w:rPr>
                <w:sz w:val="16"/>
                <w:szCs w:val="16"/>
              </w:rPr>
              <w:t xml:space="preserve">572 </w:t>
            </w:r>
          </w:p>
        </w:tc>
        <w:tc>
          <w:tcPr>
            <w:tcW w:w="1412" w:type="dxa"/>
            <w:tcBorders>
              <w:top w:val="nil"/>
              <w:left w:val="nil"/>
              <w:bottom w:val="nil"/>
              <w:right w:val="nil"/>
            </w:tcBorders>
            <w:shd w:val="clear" w:color="000000" w:fill="FFFFFF"/>
            <w:noWrap/>
            <w:vAlign w:val="bottom"/>
            <w:hideMark/>
          </w:tcPr>
          <w:p w:rsidR="002F2E94" w:rsidRPr="007D67B4" w:rsidP="00460D87" w14:paraId="627768CC" w14:textId="77777777">
            <w:pPr>
              <w:jc w:val="right"/>
              <w:rPr>
                <w:sz w:val="16"/>
                <w:szCs w:val="16"/>
              </w:rPr>
            </w:pPr>
            <w:r>
              <w:rPr>
                <w:sz w:val="16"/>
                <w:szCs w:val="16"/>
              </w:rPr>
              <w:t xml:space="preserve"> </w:t>
            </w:r>
            <w:r w:rsidRPr="007D67B4">
              <w:rPr>
                <w:sz w:val="16"/>
                <w:szCs w:val="16"/>
              </w:rPr>
              <w:t xml:space="preserve">749,589 </w:t>
            </w:r>
          </w:p>
        </w:tc>
        <w:tc>
          <w:tcPr>
            <w:tcW w:w="1412" w:type="dxa"/>
            <w:tcBorders>
              <w:top w:val="nil"/>
              <w:left w:val="nil"/>
              <w:bottom w:val="nil"/>
              <w:right w:val="nil"/>
            </w:tcBorders>
            <w:shd w:val="clear" w:color="000000" w:fill="FFFFFF"/>
            <w:noWrap/>
            <w:vAlign w:val="bottom"/>
            <w:hideMark/>
          </w:tcPr>
          <w:p w:rsidR="002F2E94" w:rsidRPr="007D67B4" w:rsidP="00460D87" w14:paraId="19FC36CC" w14:textId="77777777">
            <w:pPr>
              <w:jc w:val="right"/>
              <w:rPr>
                <w:sz w:val="16"/>
                <w:szCs w:val="16"/>
              </w:rPr>
            </w:pPr>
            <w:r>
              <w:rPr>
                <w:sz w:val="16"/>
                <w:szCs w:val="16"/>
              </w:rPr>
              <w:t xml:space="preserve"> </w:t>
            </w:r>
            <w:r w:rsidRPr="007D67B4">
              <w:rPr>
                <w:sz w:val="16"/>
                <w:szCs w:val="16"/>
              </w:rPr>
              <w:t xml:space="preserve">51,020 </w:t>
            </w:r>
          </w:p>
        </w:tc>
        <w:tc>
          <w:tcPr>
            <w:tcW w:w="1412" w:type="dxa"/>
            <w:tcBorders>
              <w:top w:val="single" w:sz="4" w:space="0" w:color="auto"/>
              <w:left w:val="nil"/>
              <w:bottom w:val="single" w:sz="4" w:space="0" w:color="auto"/>
              <w:right w:val="nil"/>
            </w:tcBorders>
            <w:shd w:val="clear" w:color="000000" w:fill="FFFFFF"/>
            <w:noWrap/>
            <w:vAlign w:val="bottom"/>
            <w:hideMark/>
          </w:tcPr>
          <w:p w:rsidR="002F2E94" w:rsidRPr="007D67B4" w:rsidP="00460D87" w14:paraId="7BCEFE08" w14:textId="77777777">
            <w:pPr>
              <w:jc w:val="right"/>
              <w:rPr>
                <w:sz w:val="16"/>
                <w:szCs w:val="16"/>
              </w:rPr>
            </w:pPr>
            <w:r>
              <w:rPr>
                <w:sz w:val="16"/>
                <w:szCs w:val="16"/>
              </w:rPr>
              <w:t xml:space="preserve"> </w:t>
            </w:r>
            <w:r w:rsidRPr="007D67B4">
              <w:rPr>
                <w:sz w:val="16"/>
                <w:szCs w:val="16"/>
              </w:rPr>
              <w:t xml:space="preserve">801,181 </w:t>
            </w:r>
          </w:p>
        </w:tc>
      </w:tr>
      <w:tr w14:paraId="7427D778"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957F6" w14:paraId="134CFF21" w14:textId="77777777">
            <w:pPr>
              <w:ind w:firstLine="640" w:firstLineChars="400"/>
              <w:rPr>
                <w:b/>
                <w:bCs/>
                <w:sz w:val="16"/>
                <w:szCs w:val="16"/>
              </w:rPr>
            </w:pPr>
            <w:r w:rsidRPr="007D67B4">
              <w:rPr>
                <w:b/>
                <w:bCs/>
                <w:sz w:val="16"/>
                <w:szCs w:val="16"/>
              </w:rPr>
              <w:t>Total assets</w:t>
            </w:r>
          </w:p>
        </w:tc>
        <w:tc>
          <w:tcPr>
            <w:tcW w:w="1413"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0BE454FB" w14:textId="6E4A3DD2">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1,408,385 </w:t>
            </w:r>
          </w:p>
        </w:tc>
        <w:tc>
          <w:tcPr>
            <w:tcW w:w="1412"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519CD94E" w14:textId="7B81B1F0">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6,661,280 </w:t>
            </w:r>
          </w:p>
        </w:tc>
        <w:tc>
          <w:tcPr>
            <w:tcW w:w="1412"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0949610D" w14:textId="06F9AEB3">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428,592 </w:t>
            </w:r>
          </w:p>
        </w:tc>
        <w:tc>
          <w:tcPr>
            <w:tcW w:w="1412"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5F1CEFC9" w14:textId="768F21AA">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8,498,257 </w:t>
            </w:r>
          </w:p>
        </w:tc>
      </w:tr>
      <w:tr w14:paraId="1ED5E031" w14:textId="77777777" w:rsidTr="007955F7">
        <w:tblPrEx>
          <w:tblW w:w="5000" w:type="pct"/>
          <w:tblLayout w:type="fixed"/>
          <w:tblLook w:val="04A0"/>
        </w:tblPrEx>
        <w:trPr>
          <w:gridAfter w:val="1"/>
          <w:wAfter w:w="37" w:type="dxa"/>
          <w:trHeight w:val="342"/>
        </w:trPr>
        <w:tc>
          <w:tcPr>
            <w:tcW w:w="3674" w:type="dxa"/>
            <w:tcBorders>
              <w:top w:val="nil"/>
              <w:left w:val="nil"/>
              <w:bottom w:val="nil"/>
              <w:right w:val="nil"/>
            </w:tcBorders>
            <w:shd w:val="clear" w:color="000000" w:fill="FFFFFF"/>
            <w:noWrap/>
            <w:vAlign w:val="bottom"/>
            <w:hideMark/>
          </w:tcPr>
          <w:p w:rsidR="002F2E94" w:rsidRPr="007D67B4" w:rsidP="00026A7C" w14:paraId="3782148D" w14:textId="16BCCA03">
            <w:pPr>
              <w:ind w:left="72"/>
              <w:rPr>
                <w:sz w:val="16"/>
                <w:szCs w:val="16"/>
              </w:rPr>
            </w:pPr>
            <w:r w:rsidRPr="007D67B4">
              <w:rPr>
                <w:sz w:val="16"/>
                <w:szCs w:val="16"/>
              </w:rPr>
              <w:t>Other than intragovernmental</w:t>
            </w:r>
          </w:p>
        </w:tc>
        <w:tc>
          <w:tcPr>
            <w:tcW w:w="1413" w:type="dxa"/>
            <w:tcBorders>
              <w:top w:val="nil"/>
              <w:left w:val="nil"/>
              <w:bottom w:val="nil"/>
              <w:right w:val="nil"/>
            </w:tcBorders>
            <w:shd w:val="clear" w:color="000000" w:fill="FFFFFF"/>
            <w:noWrap/>
            <w:vAlign w:val="bottom"/>
          </w:tcPr>
          <w:p w:rsidR="002F2E94" w:rsidRPr="007D67B4" w:rsidP="00460D87" w14:paraId="145B25BD" w14:textId="257386AA">
            <w:pPr>
              <w:jc w:val="right"/>
              <w:rPr>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07C38633" w14:textId="33497E00">
            <w:pPr>
              <w:jc w:val="right"/>
              <w:rPr>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73001164" w14:textId="7098DC54">
            <w:pPr>
              <w:jc w:val="right"/>
              <w:rPr>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64A81260" w14:textId="196C7388">
            <w:pPr>
              <w:jc w:val="right"/>
              <w:rPr>
                <w:sz w:val="16"/>
                <w:szCs w:val="16"/>
              </w:rPr>
            </w:pPr>
          </w:p>
        </w:tc>
      </w:tr>
      <w:tr w14:paraId="68CA54C8"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026A7C" w14:paraId="0E06802F" w14:textId="639E9E4B">
            <w:pPr>
              <w:ind w:left="72"/>
              <w:rPr>
                <w:sz w:val="16"/>
                <w:szCs w:val="16"/>
              </w:rPr>
            </w:pPr>
            <w:r w:rsidRPr="007D67B4">
              <w:rPr>
                <w:sz w:val="16"/>
                <w:szCs w:val="16"/>
              </w:rPr>
              <w:t>Accounts payable</w:t>
            </w:r>
          </w:p>
        </w:tc>
        <w:tc>
          <w:tcPr>
            <w:tcW w:w="1413" w:type="dxa"/>
            <w:tcBorders>
              <w:top w:val="nil"/>
              <w:left w:val="nil"/>
              <w:bottom w:val="nil"/>
              <w:right w:val="nil"/>
            </w:tcBorders>
            <w:shd w:val="clear" w:color="000000" w:fill="FFFFFF"/>
            <w:noWrap/>
            <w:vAlign w:val="bottom"/>
            <w:hideMark/>
          </w:tcPr>
          <w:p w:rsidR="002F2E94" w:rsidRPr="007D67B4" w:rsidP="00460D87" w14:paraId="2A705062" w14:textId="356D9E87">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420,132 </w:t>
            </w:r>
          </w:p>
        </w:tc>
        <w:tc>
          <w:tcPr>
            <w:tcW w:w="1412" w:type="dxa"/>
            <w:tcBorders>
              <w:top w:val="nil"/>
              <w:left w:val="nil"/>
              <w:bottom w:val="nil"/>
              <w:right w:val="nil"/>
            </w:tcBorders>
            <w:shd w:val="clear" w:color="000000" w:fill="FFFFFF"/>
            <w:noWrap/>
            <w:vAlign w:val="bottom"/>
            <w:hideMark/>
          </w:tcPr>
          <w:p w:rsidR="002F2E94" w:rsidRPr="007D67B4" w:rsidP="00460D87" w14:paraId="31C89A1E" w14:textId="21ED8142">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361,758 </w:t>
            </w:r>
          </w:p>
        </w:tc>
        <w:tc>
          <w:tcPr>
            <w:tcW w:w="1412" w:type="dxa"/>
            <w:tcBorders>
              <w:top w:val="nil"/>
              <w:left w:val="nil"/>
              <w:bottom w:val="nil"/>
              <w:right w:val="nil"/>
            </w:tcBorders>
            <w:shd w:val="clear" w:color="000000" w:fill="FFFFFF"/>
            <w:noWrap/>
            <w:vAlign w:val="bottom"/>
            <w:hideMark/>
          </w:tcPr>
          <w:p w:rsidR="002F2E94" w:rsidRPr="007D67B4" w:rsidP="00460D87" w14:paraId="77CD348E" w14:textId="0AAA72D4">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6,111 </w:t>
            </w:r>
          </w:p>
        </w:tc>
        <w:tc>
          <w:tcPr>
            <w:tcW w:w="1412" w:type="dxa"/>
            <w:tcBorders>
              <w:top w:val="nil"/>
              <w:left w:val="nil"/>
              <w:bottom w:val="nil"/>
              <w:right w:val="nil"/>
            </w:tcBorders>
            <w:shd w:val="clear" w:color="000000" w:fill="FFFFFF"/>
            <w:noWrap/>
            <w:vAlign w:val="bottom"/>
            <w:hideMark/>
          </w:tcPr>
          <w:p w:rsidR="002F2E94" w:rsidRPr="007D67B4" w:rsidP="00460D87" w14:paraId="16662C9E" w14:textId="599BBBDB">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788,001 </w:t>
            </w:r>
          </w:p>
        </w:tc>
      </w:tr>
      <w:tr w14:paraId="26AB0971"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026A7C" w14:paraId="35235D04" w14:textId="572B8ED8">
            <w:pPr>
              <w:ind w:left="72"/>
              <w:rPr>
                <w:sz w:val="16"/>
                <w:szCs w:val="16"/>
              </w:rPr>
            </w:pPr>
            <w:r w:rsidRPr="007D67B4">
              <w:rPr>
                <w:sz w:val="16"/>
                <w:szCs w:val="16"/>
              </w:rPr>
              <w:t>Deferred revenue</w:t>
            </w:r>
          </w:p>
        </w:tc>
        <w:tc>
          <w:tcPr>
            <w:tcW w:w="1413" w:type="dxa"/>
            <w:tcBorders>
              <w:top w:val="nil"/>
              <w:left w:val="nil"/>
              <w:bottom w:val="nil"/>
              <w:right w:val="nil"/>
            </w:tcBorders>
            <w:shd w:val="clear" w:color="000000" w:fill="FFFFFF"/>
            <w:noWrap/>
            <w:vAlign w:val="bottom"/>
            <w:hideMark/>
          </w:tcPr>
          <w:p w:rsidR="002F2E94" w:rsidRPr="007D67B4" w:rsidP="00460D87" w14:paraId="28B42C8F" w14:textId="77777777">
            <w:pPr>
              <w:jc w:val="right"/>
              <w:rPr>
                <w:sz w:val="16"/>
                <w:szCs w:val="16"/>
              </w:rPr>
            </w:pP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231E3614" w14:textId="77777777">
            <w:pPr>
              <w:jc w:val="right"/>
              <w:rPr>
                <w:sz w:val="16"/>
                <w:szCs w:val="16"/>
              </w:rPr>
            </w:pP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590D65B8" w14:textId="77777777">
            <w:pPr>
              <w:jc w:val="right"/>
              <w:rPr>
                <w:sz w:val="16"/>
                <w:szCs w:val="16"/>
              </w:rPr>
            </w:pPr>
            <w:r>
              <w:rPr>
                <w:sz w:val="16"/>
                <w:szCs w:val="16"/>
              </w:rPr>
              <w:t xml:space="preserve"> </w:t>
            </w:r>
            <w:r w:rsidRPr="007D67B4">
              <w:rPr>
                <w:sz w:val="16"/>
                <w:szCs w:val="16"/>
              </w:rPr>
              <w:t xml:space="preserve">8,899 </w:t>
            </w:r>
          </w:p>
        </w:tc>
        <w:tc>
          <w:tcPr>
            <w:tcW w:w="1412" w:type="dxa"/>
            <w:tcBorders>
              <w:top w:val="nil"/>
              <w:left w:val="nil"/>
              <w:bottom w:val="nil"/>
              <w:right w:val="nil"/>
            </w:tcBorders>
            <w:shd w:val="clear" w:color="000000" w:fill="FFFFFF"/>
            <w:noWrap/>
            <w:vAlign w:val="bottom"/>
            <w:hideMark/>
          </w:tcPr>
          <w:p w:rsidR="002F2E94" w:rsidRPr="007D67B4" w:rsidP="00460D87" w14:paraId="7204367B" w14:textId="77777777">
            <w:pPr>
              <w:jc w:val="right"/>
              <w:rPr>
                <w:sz w:val="16"/>
                <w:szCs w:val="16"/>
              </w:rPr>
            </w:pPr>
            <w:r>
              <w:rPr>
                <w:sz w:val="16"/>
                <w:szCs w:val="16"/>
              </w:rPr>
              <w:t xml:space="preserve"> </w:t>
            </w:r>
            <w:r w:rsidRPr="007D67B4">
              <w:rPr>
                <w:sz w:val="16"/>
                <w:szCs w:val="16"/>
              </w:rPr>
              <w:t xml:space="preserve">8,899 </w:t>
            </w:r>
          </w:p>
        </w:tc>
      </w:tr>
      <w:tr w14:paraId="2D9A7637"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026A7C" w14:paraId="0A95F82A" w14:textId="3D13C804">
            <w:pPr>
              <w:ind w:left="72"/>
              <w:rPr>
                <w:sz w:val="16"/>
                <w:szCs w:val="16"/>
              </w:rPr>
            </w:pPr>
            <w:r w:rsidRPr="007D67B4">
              <w:rPr>
                <w:sz w:val="16"/>
                <w:szCs w:val="16"/>
              </w:rPr>
              <w:t>Prepaid contributions</w:t>
            </w:r>
          </w:p>
        </w:tc>
        <w:tc>
          <w:tcPr>
            <w:tcW w:w="1413" w:type="dxa"/>
            <w:tcBorders>
              <w:top w:val="nil"/>
              <w:left w:val="nil"/>
              <w:bottom w:val="nil"/>
              <w:right w:val="nil"/>
            </w:tcBorders>
            <w:shd w:val="clear" w:color="000000" w:fill="FFFFFF"/>
            <w:noWrap/>
            <w:vAlign w:val="bottom"/>
            <w:hideMark/>
          </w:tcPr>
          <w:p w:rsidR="002F2E94" w:rsidRPr="007D67B4" w:rsidP="00460D87" w14:paraId="365E1B01" w14:textId="77777777">
            <w:pPr>
              <w:jc w:val="right"/>
              <w:rPr>
                <w:sz w:val="16"/>
                <w:szCs w:val="16"/>
              </w:rPr>
            </w:pP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533ED499" w14:textId="77777777">
            <w:pPr>
              <w:jc w:val="right"/>
              <w:rPr>
                <w:sz w:val="16"/>
                <w:szCs w:val="16"/>
              </w:rPr>
            </w:pPr>
            <w:r>
              <w:rPr>
                <w:sz w:val="16"/>
                <w:szCs w:val="16"/>
              </w:rPr>
              <w:t xml:space="preserve"> </w:t>
            </w:r>
            <w:r w:rsidRPr="007D67B4">
              <w:rPr>
                <w:sz w:val="16"/>
                <w:szCs w:val="16"/>
              </w:rPr>
              <w:t xml:space="preserve">105,435 </w:t>
            </w:r>
          </w:p>
        </w:tc>
        <w:tc>
          <w:tcPr>
            <w:tcW w:w="1412" w:type="dxa"/>
            <w:tcBorders>
              <w:top w:val="nil"/>
              <w:left w:val="nil"/>
              <w:bottom w:val="nil"/>
              <w:right w:val="nil"/>
            </w:tcBorders>
            <w:shd w:val="clear" w:color="000000" w:fill="FFFFFF"/>
            <w:noWrap/>
            <w:vAlign w:val="bottom"/>
            <w:hideMark/>
          </w:tcPr>
          <w:p w:rsidR="002F2E94" w:rsidRPr="007D67B4" w:rsidP="00460D87" w14:paraId="2C6EC641" w14:textId="77777777">
            <w:pPr>
              <w:jc w:val="right"/>
              <w:rPr>
                <w:sz w:val="16"/>
                <w:szCs w:val="16"/>
              </w:rPr>
            </w:pPr>
            <w:r>
              <w:rPr>
                <w:sz w:val="16"/>
                <w:szCs w:val="16"/>
              </w:rPr>
              <w:t xml:space="preserve"> </w:t>
            </w:r>
            <w:r w:rsidRPr="007D67B4">
              <w:rPr>
                <w:sz w:val="16"/>
                <w:szCs w:val="16"/>
              </w:rPr>
              <w:t xml:space="preserve">2,964 </w:t>
            </w:r>
          </w:p>
        </w:tc>
        <w:tc>
          <w:tcPr>
            <w:tcW w:w="1412" w:type="dxa"/>
            <w:tcBorders>
              <w:top w:val="nil"/>
              <w:left w:val="nil"/>
              <w:bottom w:val="nil"/>
              <w:right w:val="nil"/>
            </w:tcBorders>
            <w:shd w:val="clear" w:color="000000" w:fill="FFFFFF"/>
            <w:noWrap/>
            <w:vAlign w:val="bottom"/>
            <w:hideMark/>
          </w:tcPr>
          <w:p w:rsidR="002F2E94" w:rsidRPr="007D67B4" w:rsidP="00460D87" w14:paraId="30B868D5" w14:textId="77777777">
            <w:pPr>
              <w:jc w:val="right"/>
              <w:rPr>
                <w:sz w:val="16"/>
                <w:szCs w:val="16"/>
              </w:rPr>
            </w:pPr>
            <w:r>
              <w:rPr>
                <w:sz w:val="16"/>
                <w:szCs w:val="16"/>
              </w:rPr>
              <w:t xml:space="preserve"> </w:t>
            </w:r>
            <w:r w:rsidRPr="007D67B4">
              <w:rPr>
                <w:sz w:val="16"/>
                <w:szCs w:val="16"/>
              </w:rPr>
              <w:t xml:space="preserve">108,399 </w:t>
            </w:r>
          </w:p>
        </w:tc>
      </w:tr>
      <w:tr w14:paraId="05244D31"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026A7C" w14:paraId="19B5F6B9" w14:textId="3AED093C">
            <w:pPr>
              <w:ind w:left="72"/>
              <w:rPr>
                <w:sz w:val="16"/>
                <w:szCs w:val="16"/>
              </w:rPr>
            </w:pPr>
            <w:r w:rsidRPr="007D67B4">
              <w:rPr>
                <w:sz w:val="16"/>
                <w:szCs w:val="16"/>
              </w:rPr>
              <w:t>Accrued liabilities</w:t>
            </w:r>
          </w:p>
        </w:tc>
        <w:tc>
          <w:tcPr>
            <w:tcW w:w="1413" w:type="dxa"/>
            <w:tcBorders>
              <w:top w:val="nil"/>
              <w:left w:val="nil"/>
              <w:bottom w:val="nil"/>
              <w:right w:val="nil"/>
            </w:tcBorders>
            <w:shd w:val="clear" w:color="000000" w:fill="FFFFFF"/>
            <w:noWrap/>
            <w:vAlign w:val="bottom"/>
            <w:hideMark/>
          </w:tcPr>
          <w:p w:rsidR="002F2E94" w:rsidRPr="007D67B4" w:rsidP="00460D87" w14:paraId="74C6C968" w14:textId="77777777">
            <w:pPr>
              <w:jc w:val="right"/>
              <w:rPr>
                <w:sz w:val="16"/>
                <w:szCs w:val="16"/>
              </w:rPr>
            </w:pP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09298F73" w14:textId="77777777">
            <w:pPr>
              <w:jc w:val="right"/>
              <w:rPr>
                <w:sz w:val="16"/>
                <w:szCs w:val="16"/>
              </w:rPr>
            </w:pPr>
            <w:r>
              <w:rPr>
                <w:sz w:val="16"/>
                <w:szCs w:val="16"/>
              </w:rPr>
              <w:t xml:space="preserve"> </w:t>
            </w:r>
            <w:r w:rsidRPr="007D67B4">
              <w:rPr>
                <w:sz w:val="16"/>
                <w:szCs w:val="16"/>
              </w:rPr>
              <w:t xml:space="preserve">251,982 </w:t>
            </w:r>
          </w:p>
        </w:tc>
        <w:tc>
          <w:tcPr>
            <w:tcW w:w="1412" w:type="dxa"/>
            <w:tcBorders>
              <w:top w:val="nil"/>
              <w:left w:val="nil"/>
              <w:bottom w:val="nil"/>
              <w:right w:val="nil"/>
            </w:tcBorders>
            <w:shd w:val="clear" w:color="000000" w:fill="FFFFFF"/>
            <w:noWrap/>
            <w:vAlign w:val="bottom"/>
            <w:hideMark/>
          </w:tcPr>
          <w:p w:rsidR="002F2E94" w:rsidRPr="007D67B4" w:rsidP="00460D87" w14:paraId="1A70DB36" w14:textId="77777777">
            <w:pPr>
              <w:jc w:val="right"/>
              <w:rPr>
                <w:sz w:val="16"/>
                <w:szCs w:val="16"/>
              </w:rPr>
            </w:pPr>
            <w:r>
              <w:rPr>
                <w:sz w:val="16"/>
                <w:szCs w:val="16"/>
              </w:rPr>
              <w:t xml:space="preserve"> </w:t>
            </w:r>
            <w:r w:rsidRPr="007D67B4">
              <w:rPr>
                <w:sz w:val="16"/>
                <w:szCs w:val="16"/>
              </w:rPr>
              <w:t xml:space="preserve">231,347 </w:t>
            </w:r>
          </w:p>
        </w:tc>
        <w:tc>
          <w:tcPr>
            <w:tcW w:w="1412" w:type="dxa"/>
            <w:tcBorders>
              <w:top w:val="nil"/>
              <w:left w:val="nil"/>
              <w:bottom w:val="nil"/>
              <w:right w:val="nil"/>
            </w:tcBorders>
            <w:shd w:val="clear" w:color="000000" w:fill="FFFFFF"/>
            <w:noWrap/>
            <w:vAlign w:val="bottom"/>
            <w:hideMark/>
          </w:tcPr>
          <w:p w:rsidR="002F2E94" w:rsidRPr="007D67B4" w:rsidP="00460D87" w14:paraId="76967570" w14:textId="77777777">
            <w:pPr>
              <w:jc w:val="right"/>
              <w:rPr>
                <w:sz w:val="16"/>
                <w:szCs w:val="16"/>
              </w:rPr>
            </w:pPr>
            <w:r>
              <w:rPr>
                <w:sz w:val="16"/>
                <w:szCs w:val="16"/>
              </w:rPr>
              <w:t xml:space="preserve"> </w:t>
            </w:r>
            <w:r w:rsidRPr="007D67B4">
              <w:rPr>
                <w:sz w:val="16"/>
                <w:szCs w:val="16"/>
              </w:rPr>
              <w:t xml:space="preserve">483,329 </w:t>
            </w:r>
          </w:p>
        </w:tc>
      </w:tr>
      <w:tr w14:paraId="1DB0B315" w14:textId="77777777" w:rsidTr="007955F7">
        <w:tblPrEx>
          <w:tblW w:w="5000" w:type="pct"/>
          <w:tblLayout w:type="fixed"/>
          <w:tblLook w:val="04A0"/>
        </w:tblPrEx>
        <w:trPr>
          <w:gridAfter w:val="1"/>
          <w:wAfter w:w="37" w:type="dxa"/>
          <w:trHeight w:val="152"/>
        </w:trPr>
        <w:tc>
          <w:tcPr>
            <w:tcW w:w="3674" w:type="dxa"/>
            <w:tcBorders>
              <w:top w:val="nil"/>
              <w:left w:val="nil"/>
              <w:bottom w:val="nil"/>
              <w:right w:val="nil"/>
            </w:tcBorders>
            <w:shd w:val="clear" w:color="000000" w:fill="FFFFFF"/>
            <w:noWrap/>
            <w:vAlign w:val="bottom"/>
            <w:hideMark/>
          </w:tcPr>
          <w:p w:rsidR="002F2E94" w:rsidRPr="007D67B4" w:rsidP="004957F6" w14:paraId="507E11E1" w14:textId="77777777">
            <w:pPr>
              <w:ind w:firstLine="640" w:firstLineChars="400"/>
              <w:rPr>
                <w:b/>
                <w:bCs/>
                <w:sz w:val="16"/>
                <w:szCs w:val="16"/>
              </w:rPr>
            </w:pPr>
            <w:r w:rsidRPr="007D67B4">
              <w:rPr>
                <w:b/>
                <w:bCs/>
                <w:sz w:val="16"/>
                <w:szCs w:val="16"/>
              </w:rPr>
              <w:t>Total liabilities</w:t>
            </w:r>
          </w:p>
        </w:tc>
        <w:tc>
          <w:tcPr>
            <w:tcW w:w="1413"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0F80C8D9" w14:textId="0C530A66">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420,132 </w:t>
            </w:r>
          </w:p>
        </w:tc>
        <w:tc>
          <w:tcPr>
            <w:tcW w:w="1412"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5AA5D3B8" w14:textId="0F708040">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719,175 </w:t>
            </w:r>
          </w:p>
        </w:tc>
        <w:tc>
          <w:tcPr>
            <w:tcW w:w="1412"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26B81E1A" w14:textId="7128BB2F">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249,321 </w:t>
            </w:r>
          </w:p>
        </w:tc>
        <w:tc>
          <w:tcPr>
            <w:tcW w:w="1412"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00678046" w14:textId="5B16C705">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1,388,628 </w:t>
            </w:r>
          </w:p>
        </w:tc>
      </w:tr>
      <w:tr w14:paraId="54541A3A" w14:textId="77777777" w:rsidTr="007955F7">
        <w:tblPrEx>
          <w:tblW w:w="5000" w:type="pct"/>
          <w:tblLayout w:type="fixed"/>
          <w:tblLook w:val="04A0"/>
        </w:tblPrEx>
        <w:trPr>
          <w:gridAfter w:val="1"/>
          <w:wAfter w:w="37" w:type="dxa"/>
          <w:trHeight w:val="288"/>
        </w:trPr>
        <w:tc>
          <w:tcPr>
            <w:tcW w:w="3674" w:type="dxa"/>
            <w:tcBorders>
              <w:top w:val="nil"/>
              <w:left w:val="nil"/>
              <w:bottom w:val="nil"/>
              <w:right w:val="nil"/>
            </w:tcBorders>
            <w:shd w:val="clear" w:color="000000" w:fill="FFFFFF"/>
            <w:noWrap/>
            <w:vAlign w:val="bottom"/>
            <w:hideMark/>
          </w:tcPr>
          <w:p w:rsidR="002F2E94" w:rsidRPr="007D67B4" w:rsidP="004957F6" w14:paraId="1ED2E235" w14:textId="77777777">
            <w:pPr>
              <w:rPr>
                <w:sz w:val="16"/>
                <w:szCs w:val="16"/>
              </w:rPr>
            </w:pPr>
            <w:r w:rsidRPr="007D67B4">
              <w:rPr>
                <w:sz w:val="16"/>
                <w:szCs w:val="16"/>
              </w:rPr>
              <w:t>Unexpended appropriations</w:t>
            </w:r>
          </w:p>
        </w:tc>
        <w:tc>
          <w:tcPr>
            <w:tcW w:w="1413" w:type="dxa"/>
            <w:tcBorders>
              <w:top w:val="nil"/>
              <w:left w:val="nil"/>
              <w:bottom w:val="nil"/>
              <w:right w:val="nil"/>
            </w:tcBorders>
            <w:shd w:val="clear" w:color="000000" w:fill="FFFFFF"/>
            <w:noWrap/>
            <w:vAlign w:val="bottom"/>
            <w:hideMark/>
          </w:tcPr>
          <w:p w:rsidR="002F2E94" w:rsidRPr="007D67B4" w:rsidP="00460D87" w14:paraId="1B3CC840" w14:textId="46DB41B0">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857,848 </w:t>
            </w:r>
          </w:p>
        </w:tc>
        <w:tc>
          <w:tcPr>
            <w:tcW w:w="1412" w:type="dxa"/>
            <w:tcBorders>
              <w:top w:val="nil"/>
              <w:left w:val="nil"/>
              <w:bottom w:val="nil"/>
              <w:right w:val="nil"/>
            </w:tcBorders>
            <w:shd w:val="clear" w:color="000000" w:fill="FFFFFF"/>
            <w:noWrap/>
            <w:vAlign w:val="bottom"/>
            <w:hideMark/>
          </w:tcPr>
          <w:p w:rsidR="002F2E94" w:rsidRPr="007D67B4" w:rsidP="00460D87" w14:paraId="05DAED2F" w14:textId="6473E157">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3AC9E4D0" w14:textId="4C98AFBB">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6E5BD700" w14:textId="77491213">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857,848 </w:t>
            </w:r>
          </w:p>
        </w:tc>
      </w:tr>
      <w:tr w14:paraId="20E6B421"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957F6" w14:paraId="397F0D65" w14:textId="77777777">
            <w:pPr>
              <w:rPr>
                <w:sz w:val="16"/>
                <w:szCs w:val="16"/>
              </w:rPr>
            </w:pPr>
            <w:r w:rsidRPr="007D67B4">
              <w:rPr>
                <w:sz w:val="16"/>
                <w:szCs w:val="16"/>
              </w:rPr>
              <w:t>Cumulative results of operations</w:t>
            </w:r>
          </w:p>
        </w:tc>
        <w:tc>
          <w:tcPr>
            <w:tcW w:w="1413" w:type="dxa"/>
            <w:tcBorders>
              <w:top w:val="nil"/>
              <w:left w:val="nil"/>
              <w:bottom w:val="single" w:sz="4" w:space="0" w:color="auto"/>
              <w:right w:val="nil"/>
            </w:tcBorders>
            <w:shd w:val="clear" w:color="000000" w:fill="FFFFFF"/>
            <w:noWrap/>
            <w:vAlign w:val="bottom"/>
            <w:hideMark/>
          </w:tcPr>
          <w:p w:rsidR="002F2E94" w:rsidRPr="007D67B4" w:rsidP="00460D87" w14:paraId="5A31ABDD" w14:textId="77777777">
            <w:pPr>
              <w:jc w:val="right"/>
              <w:rPr>
                <w:sz w:val="16"/>
                <w:szCs w:val="16"/>
              </w:rPr>
            </w:pPr>
            <w:r>
              <w:rPr>
                <w:sz w:val="16"/>
                <w:szCs w:val="16"/>
              </w:rPr>
              <w:t xml:space="preserve"> </w:t>
            </w:r>
            <w:r w:rsidRPr="007D67B4">
              <w:rPr>
                <w:sz w:val="16"/>
                <w:szCs w:val="16"/>
              </w:rPr>
              <w:t xml:space="preserve">130,405 </w:t>
            </w:r>
          </w:p>
        </w:tc>
        <w:tc>
          <w:tcPr>
            <w:tcW w:w="1412" w:type="dxa"/>
            <w:tcBorders>
              <w:top w:val="nil"/>
              <w:left w:val="nil"/>
              <w:bottom w:val="single" w:sz="4" w:space="0" w:color="auto"/>
              <w:right w:val="nil"/>
            </w:tcBorders>
            <w:shd w:val="clear" w:color="000000" w:fill="FFFFFF"/>
            <w:noWrap/>
            <w:vAlign w:val="bottom"/>
            <w:hideMark/>
          </w:tcPr>
          <w:p w:rsidR="002F2E94" w:rsidRPr="007D67B4" w:rsidP="00460D87" w14:paraId="3E9B24C3" w14:textId="77777777">
            <w:pPr>
              <w:jc w:val="right"/>
              <w:rPr>
                <w:sz w:val="16"/>
                <w:szCs w:val="16"/>
              </w:rPr>
            </w:pPr>
            <w:r>
              <w:rPr>
                <w:sz w:val="16"/>
                <w:szCs w:val="16"/>
              </w:rPr>
              <w:t xml:space="preserve"> </w:t>
            </w:r>
            <w:r w:rsidRPr="007D67B4">
              <w:rPr>
                <w:sz w:val="16"/>
                <w:szCs w:val="16"/>
              </w:rPr>
              <w:t xml:space="preserve">5,942,105 </w:t>
            </w:r>
          </w:p>
        </w:tc>
        <w:tc>
          <w:tcPr>
            <w:tcW w:w="1412" w:type="dxa"/>
            <w:tcBorders>
              <w:top w:val="nil"/>
              <w:left w:val="nil"/>
              <w:bottom w:val="single" w:sz="4" w:space="0" w:color="auto"/>
              <w:right w:val="nil"/>
            </w:tcBorders>
            <w:shd w:val="clear" w:color="000000" w:fill="FFFFFF"/>
            <w:noWrap/>
            <w:vAlign w:val="bottom"/>
            <w:hideMark/>
          </w:tcPr>
          <w:p w:rsidR="002F2E94" w:rsidRPr="007D67B4" w:rsidP="00460D87" w14:paraId="60DE20C2" w14:textId="77777777">
            <w:pPr>
              <w:jc w:val="right"/>
              <w:rPr>
                <w:sz w:val="16"/>
                <w:szCs w:val="16"/>
              </w:rPr>
            </w:pPr>
            <w:r>
              <w:rPr>
                <w:sz w:val="16"/>
                <w:szCs w:val="16"/>
              </w:rPr>
              <w:t xml:space="preserve"> </w:t>
            </w:r>
            <w:r w:rsidRPr="007D67B4">
              <w:rPr>
                <w:sz w:val="16"/>
                <w:szCs w:val="16"/>
              </w:rPr>
              <w:t xml:space="preserve">179,271 </w:t>
            </w:r>
          </w:p>
        </w:tc>
        <w:tc>
          <w:tcPr>
            <w:tcW w:w="1412" w:type="dxa"/>
            <w:tcBorders>
              <w:top w:val="nil"/>
              <w:left w:val="nil"/>
              <w:bottom w:val="single" w:sz="4" w:space="0" w:color="auto"/>
              <w:right w:val="nil"/>
            </w:tcBorders>
            <w:shd w:val="clear" w:color="000000" w:fill="FFFFFF"/>
            <w:noWrap/>
            <w:vAlign w:val="bottom"/>
            <w:hideMark/>
          </w:tcPr>
          <w:p w:rsidR="002F2E94" w:rsidRPr="007D67B4" w:rsidP="00460D87" w14:paraId="449B9D19" w14:textId="77777777">
            <w:pPr>
              <w:jc w:val="right"/>
              <w:rPr>
                <w:sz w:val="16"/>
                <w:szCs w:val="16"/>
              </w:rPr>
            </w:pPr>
            <w:r>
              <w:rPr>
                <w:sz w:val="16"/>
                <w:szCs w:val="16"/>
              </w:rPr>
              <w:t xml:space="preserve"> </w:t>
            </w:r>
            <w:r w:rsidRPr="007D67B4">
              <w:rPr>
                <w:sz w:val="16"/>
                <w:szCs w:val="16"/>
              </w:rPr>
              <w:t xml:space="preserve">6,251,781 </w:t>
            </w:r>
          </w:p>
        </w:tc>
      </w:tr>
      <w:tr w14:paraId="4A36FDD3" w14:textId="77777777" w:rsidTr="007955F7">
        <w:tblPrEx>
          <w:tblW w:w="5000" w:type="pct"/>
          <w:tblLayout w:type="fixed"/>
          <w:tblLook w:val="04A0"/>
        </w:tblPrEx>
        <w:trPr>
          <w:gridAfter w:val="1"/>
          <w:wAfter w:w="37" w:type="dxa"/>
          <w:trHeight w:val="359"/>
        </w:trPr>
        <w:tc>
          <w:tcPr>
            <w:tcW w:w="3674" w:type="dxa"/>
            <w:tcBorders>
              <w:top w:val="nil"/>
              <w:left w:val="nil"/>
              <w:bottom w:val="nil"/>
              <w:right w:val="nil"/>
            </w:tcBorders>
            <w:shd w:val="clear" w:color="000000" w:fill="FFFFFF"/>
            <w:noWrap/>
            <w:vAlign w:val="bottom"/>
            <w:hideMark/>
          </w:tcPr>
          <w:p w:rsidR="002F2E94" w:rsidRPr="007D67B4" w:rsidP="004957F6" w14:paraId="4D992CFB" w14:textId="77777777">
            <w:pPr>
              <w:ind w:firstLine="640" w:firstLineChars="400"/>
              <w:rPr>
                <w:b/>
                <w:bCs/>
                <w:sz w:val="16"/>
                <w:szCs w:val="16"/>
              </w:rPr>
            </w:pPr>
            <w:r w:rsidRPr="007D67B4">
              <w:rPr>
                <w:b/>
                <w:bCs/>
                <w:sz w:val="16"/>
                <w:szCs w:val="16"/>
              </w:rPr>
              <w:t>Total liabilities and net position</w:t>
            </w:r>
          </w:p>
        </w:tc>
        <w:tc>
          <w:tcPr>
            <w:tcW w:w="1413" w:type="dxa"/>
            <w:tcBorders>
              <w:top w:val="nil"/>
              <w:left w:val="nil"/>
              <w:bottom w:val="double" w:sz="6" w:space="0" w:color="auto"/>
              <w:right w:val="nil"/>
            </w:tcBorders>
            <w:shd w:val="clear" w:color="000000" w:fill="FFFFFF"/>
            <w:noWrap/>
            <w:vAlign w:val="bottom"/>
            <w:hideMark/>
          </w:tcPr>
          <w:p w:rsidR="002F2E94" w:rsidRPr="007D67B4" w:rsidP="00460D87" w14:paraId="085F6E9B" w14:textId="50E8C90B">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1,408,385 </w:t>
            </w:r>
          </w:p>
        </w:tc>
        <w:tc>
          <w:tcPr>
            <w:tcW w:w="1412" w:type="dxa"/>
            <w:tcBorders>
              <w:top w:val="nil"/>
              <w:left w:val="nil"/>
              <w:bottom w:val="double" w:sz="6" w:space="0" w:color="auto"/>
              <w:right w:val="nil"/>
            </w:tcBorders>
            <w:shd w:val="clear" w:color="000000" w:fill="FFFFFF"/>
            <w:noWrap/>
            <w:vAlign w:val="bottom"/>
            <w:hideMark/>
          </w:tcPr>
          <w:p w:rsidR="002F2E94" w:rsidRPr="007D67B4" w:rsidP="00460D87" w14:paraId="5022E67B" w14:textId="70DA72E3">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6,661,280 </w:t>
            </w:r>
          </w:p>
        </w:tc>
        <w:tc>
          <w:tcPr>
            <w:tcW w:w="1412" w:type="dxa"/>
            <w:tcBorders>
              <w:top w:val="nil"/>
              <w:left w:val="nil"/>
              <w:bottom w:val="double" w:sz="6" w:space="0" w:color="auto"/>
              <w:right w:val="nil"/>
            </w:tcBorders>
            <w:shd w:val="clear" w:color="000000" w:fill="FFFFFF"/>
            <w:noWrap/>
            <w:vAlign w:val="bottom"/>
            <w:hideMark/>
          </w:tcPr>
          <w:p w:rsidR="002F2E94" w:rsidRPr="007D67B4" w:rsidP="00460D87" w14:paraId="65F0E309" w14:textId="6110FAE0">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428,592 </w:t>
            </w:r>
          </w:p>
        </w:tc>
        <w:tc>
          <w:tcPr>
            <w:tcW w:w="1412" w:type="dxa"/>
            <w:tcBorders>
              <w:top w:val="nil"/>
              <w:left w:val="nil"/>
              <w:bottom w:val="double" w:sz="6" w:space="0" w:color="auto"/>
              <w:right w:val="nil"/>
            </w:tcBorders>
            <w:shd w:val="clear" w:color="000000" w:fill="FFFFFF"/>
            <w:noWrap/>
            <w:vAlign w:val="bottom"/>
            <w:hideMark/>
          </w:tcPr>
          <w:p w:rsidR="002F2E94" w:rsidRPr="007D67B4" w:rsidP="00460D87" w14:paraId="6542AEC1" w14:textId="26243CD9">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8,498,257 </w:t>
            </w:r>
          </w:p>
        </w:tc>
      </w:tr>
      <w:tr w14:paraId="72B2A6EF" w14:textId="77777777" w:rsidTr="007955F7">
        <w:tblPrEx>
          <w:tblW w:w="5000" w:type="pct"/>
          <w:tblLayout w:type="fixed"/>
          <w:tblLook w:val="04A0"/>
        </w:tblPrEx>
        <w:trPr>
          <w:gridAfter w:val="1"/>
          <w:wAfter w:w="37" w:type="dxa"/>
          <w:trHeight w:val="612"/>
        </w:trPr>
        <w:tc>
          <w:tcPr>
            <w:tcW w:w="3674" w:type="dxa"/>
            <w:tcBorders>
              <w:top w:val="nil"/>
              <w:left w:val="nil"/>
              <w:bottom w:val="nil"/>
              <w:right w:val="nil"/>
            </w:tcBorders>
            <w:shd w:val="clear" w:color="auto" w:fill="auto"/>
            <w:noWrap/>
            <w:vAlign w:val="center"/>
            <w:hideMark/>
          </w:tcPr>
          <w:p w:rsidR="002F2E94" w:rsidRPr="007D67B4" w:rsidP="004957F6" w14:paraId="3AB46E14" w14:textId="77777777">
            <w:pPr>
              <w:rPr>
                <w:b/>
                <w:bCs/>
                <w:sz w:val="16"/>
                <w:szCs w:val="16"/>
              </w:rPr>
            </w:pPr>
            <w:r w:rsidRPr="007D67B4">
              <w:rPr>
                <w:b/>
                <w:bCs/>
                <w:sz w:val="16"/>
                <w:szCs w:val="16"/>
              </w:rPr>
              <w:t>Statement of Net Cost for the Year Ended September 30, 2020</w:t>
            </w:r>
          </w:p>
        </w:tc>
        <w:tc>
          <w:tcPr>
            <w:tcW w:w="1413" w:type="dxa"/>
            <w:tcBorders>
              <w:top w:val="nil"/>
              <w:left w:val="nil"/>
              <w:bottom w:val="nil"/>
              <w:right w:val="nil"/>
            </w:tcBorders>
            <w:shd w:val="clear" w:color="000000" w:fill="FFFFFF"/>
            <w:noWrap/>
            <w:vAlign w:val="bottom"/>
          </w:tcPr>
          <w:p w:rsidR="002F2E94" w:rsidRPr="007D67B4" w:rsidP="00460D87" w14:paraId="36EFDAB8" w14:textId="0F483503">
            <w:pPr>
              <w:jc w:val="right"/>
              <w:rPr>
                <w:b/>
                <w:bCs/>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2AA69C70" w14:textId="1D0621B7">
            <w:pPr>
              <w:jc w:val="right"/>
              <w:rPr>
                <w:b/>
                <w:bCs/>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54CC3520" w14:textId="1F0EFCD4">
            <w:pPr>
              <w:jc w:val="right"/>
              <w:rPr>
                <w:b/>
                <w:bCs/>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391EEE8F" w14:textId="2C7BA8FF">
            <w:pPr>
              <w:jc w:val="right"/>
              <w:rPr>
                <w:sz w:val="16"/>
                <w:szCs w:val="16"/>
              </w:rPr>
            </w:pPr>
          </w:p>
        </w:tc>
      </w:tr>
      <w:tr w14:paraId="0E55993C"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957F6" w14:paraId="4ABB0780" w14:textId="77777777">
            <w:pPr>
              <w:rPr>
                <w:sz w:val="16"/>
                <w:szCs w:val="16"/>
              </w:rPr>
            </w:pPr>
            <w:r w:rsidRPr="007D67B4">
              <w:rPr>
                <w:sz w:val="16"/>
                <w:szCs w:val="16"/>
              </w:rPr>
              <w:t>Net cost of operations</w:t>
            </w:r>
          </w:p>
        </w:tc>
        <w:tc>
          <w:tcPr>
            <w:tcW w:w="1413"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041B89E7" w14:textId="2CB6C145">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641,434 </w:t>
            </w:r>
          </w:p>
        </w:tc>
        <w:tc>
          <w:tcPr>
            <w:tcW w:w="1412"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2F861293" w14:textId="6A1E35CE">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8,231,849 </w:t>
            </w:r>
          </w:p>
        </w:tc>
        <w:tc>
          <w:tcPr>
            <w:tcW w:w="1412"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458358F5" w14:textId="251F4642">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1,430,314 </w:t>
            </w:r>
          </w:p>
        </w:tc>
        <w:tc>
          <w:tcPr>
            <w:tcW w:w="1412"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5AF89AC0" w14:textId="4537EAF3">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10,303,597 </w:t>
            </w:r>
          </w:p>
        </w:tc>
      </w:tr>
      <w:tr w14:paraId="1A307FC0" w14:textId="77777777" w:rsidTr="007955F7">
        <w:tblPrEx>
          <w:tblW w:w="5000" w:type="pct"/>
          <w:tblLayout w:type="fixed"/>
          <w:tblLook w:val="04A0"/>
        </w:tblPrEx>
        <w:trPr>
          <w:gridAfter w:val="1"/>
          <w:wAfter w:w="37" w:type="dxa"/>
          <w:trHeight w:val="576"/>
        </w:trPr>
        <w:tc>
          <w:tcPr>
            <w:tcW w:w="3674" w:type="dxa"/>
            <w:tcBorders>
              <w:top w:val="nil"/>
              <w:left w:val="nil"/>
              <w:bottom w:val="nil"/>
              <w:right w:val="nil"/>
            </w:tcBorders>
            <w:shd w:val="clear" w:color="auto" w:fill="auto"/>
            <w:noWrap/>
            <w:vAlign w:val="center"/>
            <w:hideMark/>
          </w:tcPr>
          <w:p w:rsidR="002F2E94" w:rsidRPr="007D67B4" w:rsidP="004957F6" w14:paraId="04E45257" w14:textId="77777777">
            <w:pPr>
              <w:rPr>
                <w:b/>
                <w:bCs/>
                <w:sz w:val="16"/>
                <w:szCs w:val="16"/>
              </w:rPr>
            </w:pPr>
            <w:r w:rsidRPr="007D67B4">
              <w:rPr>
                <w:b/>
                <w:bCs/>
                <w:sz w:val="16"/>
                <w:szCs w:val="16"/>
              </w:rPr>
              <w:t>Statement of Changes in Net Position for the Year Ended September 30, 2020</w:t>
            </w:r>
          </w:p>
        </w:tc>
        <w:tc>
          <w:tcPr>
            <w:tcW w:w="1413" w:type="dxa"/>
            <w:tcBorders>
              <w:top w:val="nil"/>
              <w:left w:val="nil"/>
              <w:bottom w:val="nil"/>
              <w:right w:val="nil"/>
            </w:tcBorders>
            <w:shd w:val="clear" w:color="000000" w:fill="FFFFFF"/>
            <w:noWrap/>
            <w:vAlign w:val="bottom"/>
          </w:tcPr>
          <w:p w:rsidR="002F2E94" w:rsidRPr="007D67B4" w:rsidP="00460D87" w14:paraId="46378848" w14:textId="144EA23F">
            <w:pPr>
              <w:jc w:val="right"/>
              <w:rPr>
                <w:b/>
                <w:bCs/>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5B74003B" w14:textId="645B0EAB">
            <w:pPr>
              <w:jc w:val="right"/>
              <w:rPr>
                <w:b/>
                <w:bCs/>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0C39BB9E" w14:textId="529CCC6B">
            <w:pPr>
              <w:jc w:val="right"/>
              <w:rPr>
                <w:b/>
                <w:bCs/>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1DDF4A42" w14:textId="5C01F83B">
            <w:pPr>
              <w:jc w:val="right"/>
              <w:rPr>
                <w:sz w:val="16"/>
                <w:szCs w:val="16"/>
              </w:rPr>
            </w:pPr>
          </w:p>
        </w:tc>
      </w:tr>
      <w:tr w14:paraId="095031B4" w14:textId="77777777" w:rsidTr="007955F7">
        <w:tblPrEx>
          <w:tblW w:w="5000" w:type="pct"/>
          <w:tblLayout w:type="fixed"/>
          <w:tblLook w:val="04A0"/>
        </w:tblPrEx>
        <w:trPr>
          <w:gridAfter w:val="1"/>
          <w:wAfter w:w="37" w:type="dxa"/>
          <w:trHeight w:val="270"/>
        </w:trPr>
        <w:tc>
          <w:tcPr>
            <w:tcW w:w="3674" w:type="dxa"/>
            <w:tcBorders>
              <w:top w:val="nil"/>
              <w:left w:val="nil"/>
              <w:bottom w:val="nil"/>
              <w:right w:val="nil"/>
            </w:tcBorders>
            <w:shd w:val="clear" w:color="000000" w:fill="FFFFFF"/>
            <w:noWrap/>
            <w:vAlign w:val="bottom"/>
            <w:hideMark/>
          </w:tcPr>
          <w:p w:rsidR="002F2E94" w:rsidRPr="007D67B4" w:rsidP="004957F6" w14:paraId="51A19DF3" w14:textId="77777777">
            <w:pPr>
              <w:rPr>
                <w:b/>
                <w:bCs/>
                <w:sz w:val="16"/>
                <w:szCs w:val="16"/>
              </w:rPr>
            </w:pPr>
            <w:r w:rsidRPr="007D67B4">
              <w:rPr>
                <w:b/>
                <w:bCs/>
                <w:sz w:val="16"/>
                <w:szCs w:val="16"/>
              </w:rPr>
              <w:t>Unexpended Appropriations:</w:t>
            </w:r>
          </w:p>
        </w:tc>
        <w:tc>
          <w:tcPr>
            <w:tcW w:w="1413" w:type="dxa"/>
            <w:tcBorders>
              <w:top w:val="nil"/>
              <w:left w:val="nil"/>
              <w:bottom w:val="nil"/>
              <w:right w:val="nil"/>
            </w:tcBorders>
            <w:shd w:val="clear" w:color="000000" w:fill="FFFFFF"/>
            <w:noWrap/>
            <w:vAlign w:val="bottom"/>
          </w:tcPr>
          <w:p w:rsidR="002F2E94" w:rsidRPr="007D67B4" w:rsidP="00460D87" w14:paraId="40354BC5" w14:textId="2B711692">
            <w:pPr>
              <w:jc w:val="right"/>
              <w:rPr>
                <w:b/>
                <w:bCs/>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57A88BE6" w14:textId="70ACACE1">
            <w:pPr>
              <w:jc w:val="right"/>
              <w:rPr>
                <w:b/>
                <w:bCs/>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780BCD65" w14:textId="19732059">
            <w:pPr>
              <w:jc w:val="right"/>
              <w:rPr>
                <w:b/>
                <w:bCs/>
                <w:sz w:val="16"/>
                <w:szCs w:val="16"/>
              </w:rPr>
            </w:pPr>
          </w:p>
        </w:tc>
        <w:tc>
          <w:tcPr>
            <w:tcW w:w="1412" w:type="dxa"/>
            <w:tcBorders>
              <w:top w:val="nil"/>
              <w:left w:val="nil"/>
              <w:bottom w:val="nil"/>
              <w:right w:val="nil"/>
            </w:tcBorders>
            <w:shd w:val="clear" w:color="000000" w:fill="FFFFFF"/>
            <w:noWrap/>
            <w:vAlign w:val="bottom"/>
          </w:tcPr>
          <w:p w:rsidR="002F2E94" w:rsidRPr="007D67B4" w:rsidP="00460D87" w14:paraId="77D38989" w14:textId="27B3027C">
            <w:pPr>
              <w:jc w:val="right"/>
              <w:rPr>
                <w:sz w:val="16"/>
                <w:szCs w:val="16"/>
              </w:rPr>
            </w:pPr>
          </w:p>
        </w:tc>
      </w:tr>
      <w:tr w14:paraId="71BD5122"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957F6" w14:paraId="648F6D47" w14:textId="77777777">
            <w:pPr>
              <w:ind w:firstLine="160" w:firstLineChars="100"/>
              <w:rPr>
                <w:sz w:val="16"/>
                <w:szCs w:val="16"/>
              </w:rPr>
            </w:pPr>
            <w:r w:rsidRPr="007D67B4">
              <w:rPr>
                <w:sz w:val="16"/>
                <w:szCs w:val="16"/>
              </w:rPr>
              <w:t>Beginning balances</w:t>
            </w:r>
          </w:p>
        </w:tc>
        <w:tc>
          <w:tcPr>
            <w:tcW w:w="1413" w:type="dxa"/>
            <w:tcBorders>
              <w:top w:val="nil"/>
              <w:left w:val="nil"/>
              <w:bottom w:val="nil"/>
              <w:right w:val="nil"/>
            </w:tcBorders>
            <w:shd w:val="clear" w:color="000000" w:fill="FFFFFF"/>
            <w:noWrap/>
            <w:vAlign w:val="bottom"/>
            <w:hideMark/>
          </w:tcPr>
          <w:p w:rsidR="002F2E94" w:rsidRPr="007D67B4" w:rsidP="00460D87" w14:paraId="6D60210B" w14:textId="7FDD9F6A">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857,848 </w:t>
            </w:r>
          </w:p>
        </w:tc>
        <w:tc>
          <w:tcPr>
            <w:tcW w:w="1412" w:type="dxa"/>
            <w:tcBorders>
              <w:top w:val="nil"/>
              <w:left w:val="nil"/>
              <w:bottom w:val="nil"/>
              <w:right w:val="nil"/>
            </w:tcBorders>
            <w:shd w:val="clear" w:color="000000" w:fill="FFFFFF"/>
            <w:noWrap/>
            <w:vAlign w:val="bottom"/>
            <w:hideMark/>
          </w:tcPr>
          <w:p w:rsidR="002F2E94" w:rsidRPr="007D67B4" w:rsidP="00460D87" w14:paraId="1BE0A48D" w14:textId="7439B032">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14156AF3" w14:textId="642976C2">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14B4A8D3" w14:textId="7DCACE4D">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857,848 </w:t>
            </w:r>
          </w:p>
        </w:tc>
      </w:tr>
      <w:tr w14:paraId="1B3841AD"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957F6" w14:paraId="06DE852F" w14:textId="5C088663">
            <w:pPr>
              <w:ind w:firstLine="320" w:firstLineChars="200"/>
              <w:rPr>
                <w:sz w:val="16"/>
                <w:szCs w:val="16"/>
              </w:rPr>
            </w:pPr>
            <w:r w:rsidRPr="007D67B4">
              <w:rPr>
                <w:sz w:val="16"/>
                <w:szCs w:val="16"/>
              </w:rPr>
              <w:t>Total unexpended appropriations</w:t>
            </w:r>
          </w:p>
        </w:tc>
        <w:tc>
          <w:tcPr>
            <w:tcW w:w="1413" w:type="dxa"/>
            <w:tcBorders>
              <w:top w:val="single" w:sz="4" w:space="0" w:color="auto"/>
              <w:left w:val="nil"/>
              <w:bottom w:val="nil"/>
              <w:right w:val="nil"/>
            </w:tcBorders>
            <w:shd w:val="clear" w:color="000000" w:fill="FFFFFF"/>
            <w:noWrap/>
            <w:vAlign w:val="bottom"/>
            <w:hideMark/>
          </w:tcPr>
          <w:p w:rsidR="002F2E94" w:rsidRPr="007D67B4" w:rsidP="00460D87" w14:paraId="21A80B0E" w14:textId="77777777">
            <w:pPr>
              <w:jc w:val="right"/>
              <w:rPr>
                <w:sz w:val="16"/>
                <w:szCs w:val="16"/>
              </w:rPr>
            </w:pPr>
            <w:r>
              <w:rPr>
                <w:sz w:val="16"/>
                <w:szCs w:val="16"/>
              </w:rPr>
              <w:t xml:space="preserve"> </w:t>
            </w:r>
            <w:r w:rsidRPr="007D67B4">
              <w:rPr>
                <w:sz w:val="16"/>
                <w:szCs w:val="16"/>
              </w:rPr>
              <w:t xml:space="preserve">857,848 </w:t>
            </w:r>
          </w:p>
        </w:tc>
        <w:tc>
          <w:tcPr>
            <w:tcW w:w="1412" w:type="dxa"/>
            <w:tcBorders>
              <w:top w:val="single" w:sz="4" w:space="0" w:color="auto"/>
              <w:left w:val="nil"/>
              <w:bottom w:val="nil"/>
              <w:right w:val="nil"/>
            </w:tcBorders>
            <w:shd w:val="clear" w:color="000000" w:fill="FFFFFF"/>
            <w:noWrap/>
            <w:vAlign w:val="bottom"/>
            <w:hideMark/>
          </w:tcPr>
          <w:p w:rsidR="002F2E94" w:rsidRPr="007D67B4" w:rsidP="00460D87" w14:paraId="46BCEDA7" w14:textId="77777777">
            <w:pPr>
              <w:jc w:val="right"/>
              <w:rPr>
                <w:sz w:val="16"/>
                <w:szCs w:val="16"/>
              </w:rPr>
            </w:pPr>
            <w:r>
              <w:rPr>
                <w:sz w:val="16"/>
                <w:szCs w:val="16"/>
              </w:rPr>
              <w:t xml:space="preserve"> </w:t>
            </w:r>
            <w:r w:rsidRPr="007D67B4">
              <w:rPr>
                <w:sz w:val="16"/>
                <w:szCs w:val="16"/>
              </w:rPr>
              <w:t xml:space="preserve">- </w:t>
            </w:r>
          </w:p>
        </w:tc>
        <w:tc>
          <w:tcPr>
            <w:tcW w:w="1412" w:type="dxa"/>
            <w:tcBorders>
              <w:top w:val="single" w:sz="4" w:space="0" w:color="auto"/>
              <w:left w:val="nil"/>
              <w:bottom w:val="nil"/>
              <w:right w:val="nil"/>
            </w:tcBorders>
            <w:shd w:val="clear" w:color="000000" w:fill="FFFFFF"/>
            <w:noWrap/>
            <w:vAlign w:val="bottom"/>
            <w:hideMark/>
          </w:tcPr>
          <w:p w:rsidR="002F2E94" w:rsidRPr="007D67B4" w:rsidP="00460D87" w14:paraId="58F60A24" w14:textId="77777777">
            <w:pPr>
              <w:jc w:val="right"/>
              <w:rPr>
                <w:sz w:val="16"/>
                <w:szCs w:val="16"/>
              </w:rPr>
            </w:pPr>
            <w:r>
              <w:rPr>
                <w:sz w:val="16"/>
                <w:szCs w:val="16"/>
              </w:rPr>
              <w:t xml:space="preserve"> </w:t>
            </w:r>
            <w:r w:rsidRPr="007D67B4">
              <w:rPr>
                <w:sz w:val="16"/>
                <w:szCs w:val="16"/>
              </w:rPr>
              <w:t xml:space="preserve">- </w:t>
            </w:r>
          </w:p>
        </w:tc>
        <w:tc>
          <w:tcPr>
            <w:tcW w:w="1412" w:type="dxa"/>
            <w:tcBorders>
              <w:top w:val="single" w:sz="4" w:space="0" w:color="auto"/>
              <w:left w:val="nil"/>
              <w:bottom w:val="nil"/>
              <w:right w:val="nil"/>
            </w:tcBorders>
            <w:shd w:val="clear" w:color="000000" w:fill="FFFFFF"/>
            <w:noWrap/>
            <w:vAlign w:val="bottom"/>
            <w:hideMark/>
          </w:tcPr>
          <w:p w:rsidR="002F2E94" w:rsidRPr="007D67B4" w:rsidP="00460D87" w14:paraId="71EFE52F" w14:textId="77777777">
            <w:pPr>
              <w:jc w:val="right"/>
              <w:rPr>
                <w:sz w:val="16"/>
                <w:szCs w:val="16"/>
              </w:rPr>
            </w:pPr>
            <w:r>
              <w:rPr>
                <w:sz w:val="16"/>
                <w:szCs w:val="16"/>
              </w:rPr>
              <w:t xml:space="preserve"> </w:t>
            </w:r>
            <w:r w:rsidRPr="007D67B4">
              <w:rPr>
                <w:sz w:val="16"/>
                <w:szCs w:val="16"/>
              </w:rPr>
              <w:t xml:space="preserve">857,848 </w:t>
            </w:r>
          </w:p>
        </w:tc>
      </w:tr>
      <w:tr w14:paraId="5069E935"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957F6" w14:paraId="583C383A" w14:textId="77777777">
            <w:pPr>
              <w:rPr>
                <w:b/>
                <w:bCs/>
                <w:sz w:val="16"/>
                <w:szCs w:val="16"/>
              </w:rPr>
            </w:pPr>
            <w:r w:rsidRPr="007D67B4">
              <w:rPr>
                <w:b/>
                <w:bCs/>
                <w:sz w:val="16"/>
                <w:szCs w:val="16"/>
              </w:rPr>
              <w:t>Cumulative results of operations:</w:t>
            </w:r>
          </w:p>
        </w:tc>
        <w:tc>
          <w:tcPr>
            <w:tcW w:w="1413" w:type="dxa"/>
            <w:tcBorders>
              <w:top w:val="nil"/>
              <w:left w:val="nil"/>
              <w:bottom w:val="nil"/>
              <w:right w:val="nil"/>
            </w:tcBorders>
            <w:shd w:val="clear" w:color="000000" w:fill="FFFFFF"/>
            <w:noWrap/>
            <w:vAlign w:val="bottom"/>
            <w:hideMark/>
          </w:tcPr>
          <w:p w:rsidR="002F2E94" w:rsidRPr="007D67B4" w:rsidP="00460D87" w14:paraId="1945F39F" w14:textId="77777777">
            <w:pPr>
              <w:jc w:val="right"/>
              <w:rPr>
                <w:sz w:val="16"/>
                <w:szCs w:val="16"/>
              </w:rPr>
            </w:pPr>
            <w:r w:rsidRPr="007D67B4">
              <w:rPr>
                <w:sz w:val="16"/>
                <w:szCs w:val="16"/>
              </w:rPr>
              <w:t> </w:t>
            </w:r>
          </w:p>
        </w:tc>
        <w:tc>
          <w:tcPr>
            <w:tcW w:w="1412" w:type="dxa"/>
            <w:tcBorders>
              <w:top w:val="nil"/>
              <w:left w:val="nil"/>
              <w:bottom w:val="nil"/>
              <w:right w:val="nil"/>
            </w:tcBorders>
            <w:shd w:val="clear" w:color="000000" w:fill="FFFFFF"/>
            <w:noWrap/>
            <w:vAlign w:val="bottom"/>
            <w:hideMark/>
          </w:tcPr>
          <w:p w:rsidR="002F2E94" w:rsidRPr="007D67B4" w:rsidP="00460D87" w14:paraId="2B9FD97A" w14:textId="77777777">
            <w:pPr>
              <w:jc w:val="right"/>
              <w:rPr>
                <w:sz w:val="16"/>
                <w:szCs w:val="16"/>
              </w:rPr>
            </w:pPr>
            <w:r w:rsidRPr="007D67B4">
              <w:rPr>
                <w:sz w:val="16"/>
                <w:szCs w:val="16"/>
              </w:rPr>
              <w:t> </w:t>
            </w:r>
          </w:p>
        </w:tc>
        <w:tc>
          <w:tcPr>
            <w:tcW w:w="1412" w:type="dxa"/>
            <w:tcBorders>
              <w:top w:val="nil"/>
              <w:left w:val="nil"/>
              <w:bottom w:val="nil"/>
              <w:right w:val="nil"/>
            </w:tcBorders>
            <w:shd w:val="clear" w:color="000000" w:fill="FFFFFF"/>
            <w:noWrap/>
            <w:vAlign w:val="bottom"/>
            <w:hideMark/>
          </w:tcPr>
          <w:p w:rsidR="002F2E94" w:rsidRPr="007D67B4" w:rsidP="00460D87" w14:paraId="2E66F86F" w14:textId="77777777">
            <w:pPr>
              <w:jc w:val="right"/>
              <w:rPr>
                <w:sz w:val="16"/>
                <w:szCs w:val="16"/>
              </w:rPr>
            </w:pPr>
            <w:r w:rsidRPr="007D67B4">
              <w:rPr>
                <w:sz w:val="16"/>
                <w:szCs w:val="16"/>
              </w:rPr>
              <w:t> </w:t>
            </w:r>
          </w:p>
        </w:tc>
        <w:tc>
          <w:tcPr>
            <w:tcW w:w="1412" w:type="dxa"/>
            <w:tcBorders>
              <w:top w:val="nil"/>
              <w:left w:val="nil"/>
              <w:bottom w:val="nil"/>
              <w:right w:val="nil"/>
            </w:tcBorders>
            <w:shd w:val="clear" w:color="000000" w:fill="FFFFFF"/>
            <w:noWrap/>
            <w:vAlign w:val="bottom"/>
            <w:hideMark/>
          </w:tcPr>
          <w:p w:rsidR="002F2E94" w:rsidRPr="007D67B4" w:rsidP="00460D87" w14:paraId="3F558F5E" w14:textId="77777777">
            <w:pPr>
              <w:jc w:val="right"/>
              <w:rPr>
                <w:sz w:val="16"/>
                <w:szCs w:val="16"/>
              </w:rPr>
            </w:pPr>
            <w:r w:rsidRPr="007D67B4">
              <w:rPr>
                <w:sz w:val="16"/>
                <w:szCs w:val="16"/>
              </w:rPr>
              <w:t> </w:t>
            </w:r>
          </w:p>
        </w:tc>
      </w:tr>
      <w:tr w14:paraId="7FC30FC5"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957F6" w14:paraId="0A246ADA" w14:textId="77777777">
            <w:pPr>
              <w:ind w:firstLine="160" w:firstLineChars="100"/>
              <w:rPr>
                <w:sz w:val="16"/>
                <w:szCs w:val="16"/>
              </w:rPr>
            </w:pPr>
            <w:r w:rsidRPr="007D67B4">
              <w:rPr>
                <w:sz w:val="16"/>
                <w:szCs w:val="16"/>
              </w:rPr>
              <w:t>Beginning balances</w:t>
            </w:r>
          </w:p>
        </w:tc>
        <w:tc>
          <w:tcPr>
            <w:tcW w:w="1413" w:type="dxa"/>
            <w:tcBorders>
              <w:top w:val="nil"/>
              <w:left w:val="nil"/>
              <w:bottom w:val="nil"/>
              <w:right w:val="nil"/>
            </w:tcBorders>
            <w:shd w:val="clear" w:color="000000" w:fill="FFFFFF"/>
            <w:noWrap/>
            <w:vAlign w:val="bottom"/>
            <w:hideMark/>
          </w:tcPr>
          <w:p w:rsidR="002F2E94" w:rsidRPr="007D67B4" w:rsidP="00460D87" w14:paraId="3223E372" w14:textId="77777777">
            <w:pPr>
              <w:jc w:val="right"/>
              <w:rPr>
                <w:sz w:val="16"/>
                <w:szCs w:val="16"/>
              </w:rPr>
            </w:pPr>
            <w:r>
              <w:rPr>
                <w:sz w:val="16"/>
                <w:szCs w:val="16"/>
              </w:rPr>
              <w:t xml:space="preserve"> </w:t>
            </w:r>
            <w:r w:rsidRPr="007D67B4">
              <w:rPr>
                <w:sz w:val="16"/>
                <w:szCs w:val="16"/>
              </w:rPr>
              <w:t xml:space="preserve">646,735 </w:t>
            </w:r>
          </w:p>
        </w:tc>
        <w:tc>
          <w:tcPr>
            <w:tcW w:w="1412" w:type="dxa"/>
            <w:tcBorders>
              <w:top w:val="nil"/>
              <w:left w:val="nil"/>
              <w:bottom w:val="nil"/>
              <w:right w:val="nil"/>
            </w:tcBorders>
            <w:shd w:val="clear" w:color="000000" w:fill="FFFFFF"/>
            <w:noWrap/>
            <w:vAlign w:val="bottom"/>
            <w:hideMark/>
          </w:tcPr>
          <w:p w:rsidR="002F2E94" w:rsidRPr="007D67B4" w:rsidP="00460D87" w14:paraId="25D95360" w14:textId="77777777">
            <w:pPr>
              <w:jc w:val="right"/>
              <w:rPr>
                <w:sz w:val="16"/>
                <w:szCs w:val="16"/>
              </w:rPr>
            </w:pPr>
            <w:r>
              <w:rPr>
                <w:sz w:val="16"/>
                <w:szCs w:val="16"/>
              </w:rPr>
              <w:t xml:space="preserve"> </w:t>
            </w:r>
            <w:r w:rsidRPr="007D67B4">
              <w:rPr>
                <w:sz w:val="16"/>
                <w:szCs w:val="16"/>
              </w:rPr>
              <w:t xml:space="preserve">6,358,074 </w:t>
            </w:r>
          </w:p>
        </w:tc>
        <w:tc>
          <w:tcPr>
            <w:tcW w:w="1412" w:type="dxa"/>
            <w:tcBorders>
              <w:top w:val="nil"/>
              <w:left w:val="nil"/>
              <w:bottom w:val="nil"/>
              <w:right w:val="nil"/>
            </w:tcBorders>
            <w:shd w:val="clear" w:color="000000" w:fill="FFFFFF"/>
            <w:noWrap/>
            <w:vAlign w:val="bottom"/>
            <w:hideMark/>
          </w:tcPr>
          <w:p w:rsidR="002F2E94" w:rsidRPr="007D67B4" w:rsidP="00460D87" w14:paraId="1D603DE1" w14:textId="77777777">
            <w:pPr>
              <w:jc w:val="right"/>
              <w:rPr>
                <w:sz w:val="16"/>
                <w:szCs w:val="16"/>
              </w:rPr>
            </w:pPr>
            <w:r>
              <w:rPr>
                <w:sz w:val="16"/>
                <w:szCs w:val="16"/>
              </w:rPr>
              <w:t xml:space="preserve"> </w:t>
            </w:r>
            <w:r w:rsidRPr="007D67B4">
              <w:rPr>
                <w:sz w:val="16"/>
                <w:szCs w:val="16"/>
              </w:rPr>
              <w:t xml:space="preserve">153,804 </w:t>
            </w:r>
          </w:p>
        </w:tc>
        <w:tc>
          <w:tcPr>
            <w:tcW w:w="1412" w:type="dxa"/>
            <w:tcBorders>
              <w:top w:val="nil"/>
              <w:left w:val="nil"/>
              <w:bottom w:val="nil"/>
              <w:right w:val="nil"/>
            </w:tcBorders>
            <w:shd w:val="clear" w:color="000000" w:fill="FFFFFF"/>
            <w:noWrap/>
            <w:vAlign w:val="bottom"/>
            <w:hideMark/>
          </w:tcPr>
          <w:p w:rsidR="002F2E94" w:rsidRPr="007D67B4" w:rsidP="00460D87" w14:paraId="10329677" w14:textId="77777777">
            <w:pPr>
              <w:jc w:val="right"/>
              <w:rPr>
                <w:sz w:val="16"/>
                <w:szCs w:val="16"/>
              </w:rPr>
            </w:pPr>
            <w:r>
              <w:rPr>
                <w:sz w:val="16"/>
                <w:szCs w:val="16"/>
              </w:rPr>
              <w:t xml:space="preserve"> </w:t>
            </w:r>
            <w:r w:rsidRPr="007D67B4">
              <w:rPr>
                <w:sz w:val="16"/>
                <w:szCs w:val="16"/>
              </w:rPr>
              <w:t xml:space="preserve">7,158,613 </w:t>
            </w:r>
          </w:p>
        </w:tc>
      </w:tr>
      <w:tr w14:paraId="0A16BA30" w14:textId="77777777" w:rsidTr="007955F7">
        <w:tblPrEx>
          <w:tblW w:w="5000" w:type="pct"/>
          <w:tblLayout w:type="fixed"/>
          <w:tblLook w:val="04A0"/>
        </w:tblPrEx>
        <w:trPr>
          <w:gridAfter w:val="1"/>
          <w:wAfter w:w="37" w:type="dxa"/>
          <w:trHeight w:val="20"/>
        </w:trPr>
        <w:tc>
          <w:tcPr>
            <w:tcW w:w="3674" w:type="dxa"/>
            <w:tcBorders>
              <w:top w:val="nil"/>
              <w:left w:val="nil"/>
              <w:bottom w:val="nil"/>
              <w:right w:val="nil"/>
            </w:tcBorders>
            <w:shd w:val="clear" w:color="000000" w:fill="FFFFFF"/>
            <w:noWrap/>
            <w:vAlign w:val="bottom"/>
            <w:hideMark/>
          </w:tcPr>
          <w:p w:rsidR="002F2E94" w:rsidRPr="007D67B4" w:rsidP="004957F6" w14:paraId="7940EFC6" w14:textId="77777777">
            <w:pPr>
              <w:ind w:firstLine="160" w:firstLineChars="100"/>
              <w:rPr>
                <w:sz w:val="16"/>
                <w:szCs w:val="16"/>
              </w:rPr>
            </w:pPr>
            <w:r w:rsidRPr="007D67B4">
              <w:rPr>
                <w:sz w:val="16"/>
                <w:szCs w:val="16"/>
              </w:rPr>
              <w:t>Appropriations used</w:t>
            </w:r>
          </w:p>
        </w:tc>
        <w:tc>
          <w:tcPr>
            <w:tcW w:w="1413" w:type="dxa"/>
            <w:tcBorders>
              <w:top w:val="nil"/>
              <w:left w:val="nil"/>
              <w:bottom w:val="nil"/>
              <w:right w:val="nil"/>
            </w:tcBorders>
            <w:shd w:val="clear" w:color="000000" w:fill="FFFFFF"/>
            <w:noWrap/>
            <w:vAlign w:val="bottom"/>
            <w:hideMark/>
          </w:tcPr>
          <w:p w:rsidR="002F2E94" w:rsidRPr="007D67B4" w:rsidP="00460D87" w14:paraId="4B3B7ED5" w14:textId="77777777">
            <w:pPr>
              <w:jc w:val="right"/>
              <w:rPr>
                <w:sz w:val="16"/>
                <w:szCs w:val="16"/>
              </w:rPr>
            </w:pPr>
            <w:r>
              <w:rPr>
                <w:sz w:val="16"/>
                <w:szCs w:val="16"/>
              </w:rPr>
              <w:t xml:space="preserve"> </w:t>
            </w:r>
            <w:r w:rsidRPr="007D67B4">
              <w:rPr>
                <w:sz w:val="16"/>
                <w:szCs w:val="16"/>
              </w:rPr>
              <w:t xml:space="preserve">125,104 </w:t>
            </w:r>
          </w:p>
        </w:tc>
        <w:tc>
          <w:tcPr>
            <w:tcW w:w="1412" w:type="dxa"/>
            <w:tcBorders>
              <w:top w:val="nil"/>
              <w:left w:val="nil"/>
              <w:bottom w:val="nil"/>
              <w:right w:val="nil"/>
            </w:tcBorders>
            <w:shd w:val="clear" w:color="000000" w:fill="FFFFFF"/>
            <w:noWrap/>
            <w:vAlign w:val="bottom"/>
            <w:hideMark/>
          </w:tcPr>
          <w:p w:rsidR="002F2E94" w:rsidRPr="007D67B4" w:rsidP="00460D87" w14:paraId="447D8D9E" w14:textId="77777777">
            <w:pPr>
              <w:jc w:val="right"/>
              <w:rPr>
                <w:sz w:val="16"/>
                <w:szCs w:val="16"/>
              </w:rPr>
            </w:pP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1FAEB0E1" w14:textId="77777777">
            <w:pPr>
              <w:jc w:val="right"/>
              <w:rPr>
                <w:sz w:val="16"/>
                <w:szCs w:val="16"/>
              </w:rPr>
            </w:pP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0BC47059" w14:textId="77777777">
            <w:pPr>
              <w:jc w:val="right"/>
              <w:rPr>
                <w:sz w:val="16"/>
                <w:szCs w:val="16"/>
              </w:rPr>
            </w:pPr>
            <w:r>
              <w:rPr>
                <w:sz w:val="16"/>
                <w:szCs w:val="16"/>
              </w:rPr>
              <w:t xml:space="preserve"> </w:t>
            </w:r>
            <w:r w:rsidRPr="007D67B4">
              <w:rPr>
                <w:sz w:val="16"/>
                <w:szCs w:val="16"/>
              </w:rPr>
              <w:t xml:space="preserve">125,104 </w:t>
            </w:r>
          </w:p>
        </w:tc>
      </w:tr>
      <w:tr w14:paraId="02F61E3D" w14:textId="77777777" w:rsidTr="007955F7">
        <w:tblPrEx>
          <w:tblW w:w="5000" w:type="pct"/>
          <w:tblLayout w:type="fixed"/>
          <w:tblLook w:val="04A0"/>
        </w:tblPrEx>
        <w:trPr>
          <w:trHeight w:val="259"/>
        </w:trPr>
        <w:tc>
          <w:tcPr>
            <w:tcW w:w="3674" w:type="dxa"/>
            <w:tcBorders>
              <w:top w:val="nil"/>
              <w:left w:val="nil"/>
              <w:bottom w:val="nil"/>
              <w:right w:val="nil"/>
            </w:tcBorders>
            <w:shd w:val="clear" w:color="000000" w:fill="FFFFFF"/>
            <w:vAlign w:val="bottom"/>
            <w:hideMark/>
          </w:tcPr>
          <w:p w:rsidR="002F2E94" w:rsidRPr="007D67B4" w:rsidP="00460D87" w14:paraId="24F16B3A" w14:textId="77777777">
            <w:pPr>
              <w:ind w:left="288"/>
              <w:rPr>
                <w:sz w:val="16"/>
                <w:szCs w:val="16"/>
              </w:rPr>
            </w:pPr>
            <w:r w:rsidRPr="007D67B4">
              <w:rPr>
                <w:sz w:val="16"/>
                <w:szCs w:val="16"/>
              </w:rPr>
              <w:t>Other than intragovernmental non-exchange revenue</w:t>
            </w:r>
          </w:p>
        </w:tc>
        <w:tc>
          <w:tcPr>
            <w:tcW w:w="1413" w:type="dxa"/>
            <w:tcBorders>
              <w:top w:val="nil"/>
              <w:left w:val="nil"/>
              <w:bottom w:val="nil"/>
              <w:right w:val="nil"/>
            </w:tcBorders>
            <w:shd w:val="clear" w:color="000000" w:fill="FFFFFF"/>
            <w:noWrap/>
            <w:vAlign w:val="bottom"/>
            <w:hideMark/>
          </w:tcPr>
          <w:p w:rsidR="002F2E94" w:rsidRPr="007D67B4" w:rsidP="00460D87" w14:paraId="5CAB54DA" w14:textId="77777777">
            <w:pPr>
              <w:jc w:val="right"/>
              <w:rPr>
                <w:sz w:val="16"/>
                <w:szCs w:val="16"/>
              </w:rPr>
            </w:pPr>
            <w:r>
              <w:rPr>
                <w:sz w:val="16"/>
                <w:szCs w:val="16"/>
              </w:rPr>
              <w:t xml:space="preserve"> </w:t>
            </w:r>
            <w:r w:rsidRPr="007D67B4">
              <w:rPr>
                <w:sz w:val="16"/>
                <w:szCs w:val="16"/>
              </w:rPr>
              <w:t xml:space="preserve">- </w:t>
            </w:r>
          </w:p>
        </w:tc>
        <w:tc>
          <w:tcPr>
            <w:tcW w:w="1412" w:type="dxa"/>
            <w:tcBorders>
              <w:top w:val="nil"/>
              <w:left w:val="nil"/>
              <w:bottom w:val="nil"/>
              <w:right w:val="nil"/>
            </w:tcBorders>
            <w:shd w:val="clear" w:color="000000" w:fill="FFFFFF"/>
            <w:noWrap/>
            <w:vAlign w:val="bottom"/>
            <w:hideMark/>
          </w:tcPr>
          <w:p w:rsidR="002F2E94" w:rsidRPr="007D67B4" w:rsidP="00460D87" w14:paraId="33E325A8" w14:textId="77777777">
            <w:pPr>
              <w:jc w:val="right"/>
              <w:rPr>
                <w:sz w:val="16"/>
                <w:szCs w:val="16"/>
              </w:rPr>
            </w:pPr>
            <w:r>
              <w:rPr>
                <w:sz w:val="16"/>
                <w:szCs w:val="16"/>
              </w:rPr>
              <w:t xml:space="preserve"> </w:t>
            </w:r>
            <w:r w:rsidRPr="007D67B4">
              <w:rPr>
                <w:sz w:val="16"/>
                <w:szCs w:val="16"/>
              </w:rPr>
              <w:t xml:space="preserve">7,815,880 </w:t>
            </w:r>
          </w:p>
        </w:tc>
        <w:tc>
          <w:tcPr>
            <w:tcW w:w="1412" w:type="dxa"/>
            <w:tcBorders>
              <w:top w:val="nil"/>
              <w:left w:val="nil"/>
              <w:bottom w:val="nil"/>
              <w:right w:val="nil"/>
            </w:tcBorders>
            <w:shd w:val="clear" w:color="000000" w:fill="FFFFFF"/>
            <w:noWrap/>
            <w:vAlign w:val="bottom"/>
            <w:hideMark/>
          </w:tcPr>
          <w:p w:rsidR="002F2E94" w:rsidRPr="007D67B4" w:rsidP="00460D87" w14:paraId="2C287E8A" w14:textId="77777777">
            <w:pPr>
              <w:jc w:val="right"/>
              <w:rPr>
                <w:sz w:val="16"/>
                <w:szCs w:val="16"/>
              </w:rPr>
            </w:pPr>
            <w:r>
              <w:rPr>
                <w:sz w:val="16"/>
                <w:szCs w:val="16"/>
              </w:rPr>
              <w:t xml:space="preserve"> </w:t>
            </w:r>
            <w:r w:rsidRPr="007D67B4">
              <w:rPr>
                <w:sz w:val="16"/>
                <w:szCs w:val="16"/>
              </w:rPr>
              <w:t xml:space="preserve">1,455,781 </w:t>
            </w:r>
          </w:p>
        </w:tc>
        <w:tc>
          <w:tcPr>
            <w:tcW w:w="1449" w:type="dxa"/>
            <w:gridSpan w:val="2"/>
            <w:tcBorders>
              <w:top w:val="nil"/>
              <w:left w:val="nil"/>
              <w:bottom w:val="nil"/>
              <w:right w:val="nil"/>
            </w:tcBorders>
            <w:shd w:val="clear" w:color="000000" w:fill="FFFFFF"/>
            <w:noWrap/>
            <w:vAlign w:val="bottom"/>
            <w:hideMark/>
          </w:tcPr>
          <w:p w:rsidR="002F2E94" w:rsidRPr="007D67B4" w:rsidP="00460D87" w14:paraId="288B4C2D" w14:textId="77777777">
            <w:pPr>
              <w:jc w:val="right"/>
              <w:rPr>
                <w:sz w:val="16"/>
                <w:szCs w:val="16"/>
              </w:rPr>
            </w:pPr>
            <w:r>
              <w:rPr>
                <w:sz w:val="16"/>
                <w:szCs w:val="16"/>
              </w:rPr>
              <w:t xml:space="preserve"> </w:t>
            </w:r>
            <w:r w:rsidRPr="007D67B4">
              <w:rPr>
                <w:sz w:val="16"/>
                <w:szCs w:val="16"/>
              </w:rPr>
              <w:t xml:space="preserve">9,271,661 </w:t>
            </w:r>
          </w:p>
        </w:tc>
      </w:tr>
      <w:tr w14:paraId="72F961EC" w14:textId="77777777" w:rsidTr="007955F7">
        <w:tblPrEx>
          <w:tblW w:w="5000" w:type="pct"/>
          <w:tblLayout w:type="fixed"/>
          <w:tblLook w:val="04A0"/>
        </w:tblPrEx>
        <w:trPr>
          <w:trHeight w:val="144"/>
        </w:trPr>
        <w:tc>
          <w:tcPr>
            <w:tcW w:w="3674" w:type="dxa"/>
            <w:tcBorders>
              <w:top w:val="nil"/>
              <w:left w:val="nil"/>
              <w:bottom w:val="nil"/>
              <w:right w:val="nil"/>
            </w:tcBorders>
            <w:shd w:val="clear" w:color="000000" w:fill="FFFFFF"/>
            <w:noWrap/>
            <w:vAlign w:val="bottom"/>
            <w:hideMark/>
          </w:tcPr>
          <w:p w:rsidR="002F2E94" w:rsidRPr="007D67B4" w:rsidP="004957F6" w14:paraId="36F2AD01" w14:textId="77777777">
            <w:pPr>
              <w:rPr>
                <w:sz w:val="16"/>
                <w:szCs w:val="16"/>
              </w:rPr>
            </w:pPr>
            <w:r w:rsidRPr="007D67B4">
              <w:rPr>
                <w:sz w:val="16"/>
                <w:szCs w:val="16"/>
              </w:rPr>
              <w:t>Net cost of operations</w:t>
            </w:r>
          </w:p>
        </w:tc>
        <w:tc>
          <w:tcPr>
            <w:tcW w:w="1413" w:type="dxa"/>
            <w:tcBorders>
              <w:top w:val="nil"/>
              <w:left w:val="nil"/>
              <w:bottom w:val="single" w:sz="4" w:space="0" w:color="auto"/>
              <w:right w:val="nil"/>
            </w:tcBorders>
            <w:shd w:val="clear" w:color="000000" w:fill="FFFFFF"/>
            <w:noWrap/>
            <w:vAlign w:val="bottom"/>
            <w:hideMark/>
          </w:tcPr>
          <w:p w:rsidR="002F2E94" w:rsidRPr="007D67B4" w:rsidP="00460D87" w14:paraId="16E3C49A" w14:textId="77777777">
            <w:pPr>
              <w:jc w:val="right"/>
              <w:rPr>
                <w:sz w:val="16"/>
                <w:szCs w:val="16"/>
              </w:rPr>
            </w:pPr>
            <w:r>
              <w:rPr>
                <w:sz w:val="16"/>
                <w:szCs w:val="16"/>
              </w:rPr>
              <w:t xml:space="preserve"> </w:t>
            </w:r>
            <w:r w:rsidRPr="007D67B4">
              <w:rPr>
                <w:sz w:val="16"/>
                <w:szCs w:val="16"/>
              </w:rPr>
              <w:t xml:space="preserve">641,434 </w:t>
            </w:r>
          </w:p>
        </w:tc>
        <w:tc>
          <w:tcPr>
            <w:tcW w:w="1412" w:type="dxa"/>
            <w:tcBorders>
              <w:top w:val="nil"/>
              <w:left w:val="nil"/>
              <w:bottom w:val="single" w:sz="4" w:space="0" w:color="auto"/>
              <w:right w:val="nil"/>
            </w:tcBorders>
            <w:shd w:val="clear" w:color="000000" w:fill="FFFFFF"/>
            <w:noWrap/>
            <w:vAlign w:val="bottom"/>
            <w:hideMark/>
          </w:tcPr>
          <w:p w:rsidR="002F2E94" w:rsidRPr="007D67B4" w:rsidP="00460D87" w14:paraId="3AFA0C21" w14:textId="77777777">
            <w:pPr>
              <w:jc w:val="right"/>
              <w:rPr>
                <w:sz w:val="16"/>
                <w:szCs w:val="16"/>
              </w:rPr>
            </w:pPr>
            <w:r>
              <w:rPr>
                <w:sz w:val="16"/>
                <w:szCs w:val="16"/>
              </w:rPr>
              <w:t xml:space="preserve"> </w:t>
            </w:r>
            <w:r w:rsidRPr="007D67B4">
              <w:rPr>
                <w:sz w:val="16"/>
                <w:szCs w:val="16"/>
              </w:rPr>
              <w:t xml:space="preserve">8,231,849 </w:t>
            </w:r>
          </w:p>
        </w:tc>
        <w:tc>
          <w:tcPr>
            <w:tcW w:w="1412" w:type="dxa"/>
            <w:tcBorders>
              <w:top w:val="nil"/>
              <w:left w:val="nil"/>
              <w:bottom w:val="single" w:sz="4" w:space="0" w:color="auto"/>
              <w:right w:val="nil"/>
            </w:tcBorders>
            <w:shd w:val="clear" w:color="000000" w:fill="FFFFFF"/>
            <w:noWrap/>
            <w:vAlign w:val="bottom"/>
            <w:hideMark/>
          </w:tcPr>
          <w:p w:rsidR="002F2E94" w:rsidRPr="007D67B4" w:rsidP="00460D87" w14:paraId="25B03312" w14:textId="77777777">
            <w:pPr>
              <w:jc w:val="right"/>
              <w:rPr>
                <w:sz w:val="16"/>
                <w:szCs w:val="16"/>
              </w:rPr>
            </w:pPr>
            <w:r>
              <w:rPr>
                <w:sz w:val="16"/>
                <w:szCs w:val="16"/>
              </w:rPr>
              <w:t xml:space="preserve"> </w:t>
            </w:r>
            <w:r w:rsidRPr="007D67B4">
              <w:rPr>
                <w:sz w:val="16"/>
                <w:szCs w:val="16"/>
              </w:rPr>
              <w:t xml:space="preserve">1,430,314 </w:t>
            </w:r>
          </w:p>
        </w:tc>
        <w:tc>
          <w:tcPr>
            <w:tcW w:w="1449" w:type="dxa"/>
            <w:gridSpan w:val="2"/>
            <w:tcBorders>
              <w:top w:val="nil"/>
              <w:left w:val="nil"/>
              <w:bottom w:val="single" w:sz="4" w:space="0" w:color="auto"/>
              <w:right w:val="nil"/>
            </w:tcBorders>
            <w:shd w:val="clear" w:color="000000" w:fill="FFFFFF"/>
            <w:noWrap/>
            <w:vAlign w:val="bottom"/>
            <w:hideMark/>
          </w:tcPr>
          <w:p w:rsidR="002F2E94" w:rsidRPr="007D67B4" w:rsidP="00460D87" w14:paraId="73A3EE49" w14:textId="77777777">
            <w:pPr>
              <w:jc w:val="right"/>
              <w:rPr>
                <w:sz w:val="16"/>
                <w:szCs w:val="16"/>
              </w:rPr>
            </w:pPr>
            <w:r>
              <w:rPr>
                <w:sz w:val="16"/>
                <w:szCs w:val="16"/>
              </w:rPr>
              <w:t xml:space="preserve"> </w:t>
            </w:r>
            <w:r w:rsidRPr="007D67B4">
              <w:rPr>
                <w:sz w:val="16"/>
                <w:szCs w:val="16"/>
              </w:rPr>
              <w:t xml:space="preserve">10,303,597 </w:t>
            </w:r>
          </w:p>
        </w:tc>
      </w:tr>
      <w:tr w14:paraId="3A25447C" w14:textId="77777777" w:rsidTr="007955F7">
        <w:tblPrEx>
          <w:tblW w:w="5000" w:type="pct"/>
          <w:tblLayout w:type="fixed"/>
          <w:tblLook w:val="04A0"/>
        </w:tblPrEx>
        <w:trPr>
          <w:trHeight w:val="224"/>
        </w:trPr>
        <w:tc>
          <w:tcPr>
            <w:tcW w:w="3674" w:type="dxa"/>
            <w:tcBorders>
              <w:top w:val="nil"/>
              <w:left w:val="nil"/>
              <w:bottom w:val="nil"/>
              <w:right w:val="nil"/>
            </w:tcBorders>
            <w:shd w:val="clear" w:color="000000" w:fill="FFFFFF"/>
            <w:noWrap/>
            <w:vAlign w:val="bottom"/>
            <w:hideMark/>
          </w:tcPr>
          <w:p w:rsidR="002F2E94" w:rsidRPr="007D67B4" w:rsidP="004957F6" w14:paraId="642EA13B" w14:textId="77777777">
            <w:pPr>
              <w:rPr>
                <w:sz w:val="16"/>
                <w:szCs w:val="16"/>
              </w:rPr>
            </w:pPr>
            <w:r w:rsidRPr="007D67B4">
              <w:rPr>
                <w:sz w:val="16"/>
                <w:szCs w:val="16"/>
              </w:rPr>
              <w:t>Net Change in Cumulative Results of Operations</w:t>
            </w:r>
          </w:p>
        </w:tc>
        <w:tc>
          <w:tcPr>
            <w:tcW w:w="1413" w:type="dxa"/>
            <w:tcBorders>
              <w:top w:val="nil"/>
              <w:left w:val="nil"/>
              <w:bottom w:val="nil"/>
              <w:right w:val="nil"/>
            </w:tcBorders>
            <w:shd w:val="clear" w:color="000000" w:fill="FFFFFF"/>
            <w:noWrap/>
            <w:vAlign w:val="bottom"/>
            <w:hideMark/>
          </w:tcPr>
          <w:p w:rsidR="002F2E94" w:rsidRPr="007D67B4" w:rsidP="00460D87" w14:paraId="6BEC3012" w14:textId="77777777">
            <w:pPr>
              <w:jc w:val="right"/>
              <w:rPr>
                <w:sz w:val="16"/>
                <w:szCs w:val="16"/>
              </w:rPr>
            </w:pPr>
            <w:r>
              <w:rPr>
                <w:sz w:val="16"/>
                <w:szCs w:val="16"/>
              </w:rPr>
              <w:t xml:space="preserve"> </w:t>
            </w:r>
            <w:r w:rsidRPr="007D67B4">
              <w:rPr>
                <w:sz w:val="16"/>
                <w:szCs w:val="16"/>
              </w:rPr>
              <w:t>(516,330)</w:t>
            </w:r>
          </w:p>
        </w:tc>
        <w:tc>
          <w:tcPr>
            <w:tcW w:w="1412" w:type="dxa"/>
            <w:tcBorders>
              <w:top w:val="nil"/>
              <w:left w:val="nil"/>
              <w:bottom w:val="nil"/>
              <w:right w:val="nil"/>
            </w:tcBorders>
            <w:shd w:val="clear" w:color="000000" w:fill="FFFFFF"/>
            <w:noWrap/>
            <w:vAlign w:val="bottom"/>
            <w:hideMark/>
          </w:tcPr>
          <w:p w:rsidR="002F2E94" w:rsidRPr="007D67B4" w:rsidP="00460D87" w14:paraId="5EFD01FF" w14:textId="77777777">
            <w:pPr>
              <w:jc w:val="right"/>
              <w:rPr>
                <w:sz w:val="16"/>
                <w:szCs w:val="16"/>
              </w:rPr>
            </w:pPr>
            <w:r>
              <w:rPr>
                <w:sz w:val="16"/>
                <w:szCs w:val="16"/>
              </w:rPr>
              <w:t xml:space="preserve"> </w:t>
            </w:r>
            <w:r w:rsidRPr="007D67B4">
              <w:rPr>
                <w:sz w:val="16"/>
                <w:szCs w:val="16"/>
              </w:rPr>
              <w:t>(415,969)</w:t>
            </w:r>
          </w:p>
        </w:tc>
        <w:tc>
          <w:tcPr>
            <w:tcW w:w="1412" w:type="dxa"/>
            <w:tcBorders>
              <w:top w:val="nil"/>
              <w:left w:val="nil"/>
              <w:bottom w:val="nil"/>
              <w:right w:val="nil"/>
            </w:tcBorders>
            <w:shd w:val="clear" w:color="000000" w:fill="FFFFFF"/>
            <w:noWrap/>
            <w:vAlign w:val="bottom"/>
            <w:hideMark/>
          </w:tcPr>
          <w:p w:rsidR="002F2E94" w:rsidRPr="007D67B4" w:rsidP="00460D87" w14:paraId="2B427D5D" w14:textId="77777777">
            <w:pPr>
              <w:jc w:val="right"/>
              <w:rPr>
                <w:sz w:val="16"/>
                <w:szCs w:val="16"/>
              </w:rPr>
            </w:pPr>
            <w:r>
              <w:rPr>
                <w:sz w:val="16"/>
                <w:szCs w:val="16"/>
              </w:rPr>
              <w:t xml:space="preserve"> </w:t>
            </w:r>
            <w:r w:rsidRPr="007D67B4">
              <w:rPr>
                <w:sz w:val="16"/>
                <w:szCs w:val="16"/>
              </w:rPr>
              <w:t xml:space="preserve">25,467 </w:t>
            </w:r>
          </w:p>
        </w:tc>
        <w:tc>
          <w:tcPr>
            <w:tcW w:w="1449" w:type="dxa"/>
            <w:gridSpan w:val="2"/>
            <w:tcBorders>
              <w:top w:val="nil"/>
              <w:left w:val="nil"/>
              <w:bottom w:val="nil"/>
              <w:right w:val="nil"/>
            </w:tcBorders>
            <w:shd w:val="clear" w:color="000000" w:fill="FFFFFF"/>
            <w:noWrap/>
            <w:vAlign w:val="bottom"/>
            <w:hideMark/>
          </w:tcPr>
          <w:p w:rsidR="002F2E94" w:rsidRPr="007D67B4" w:rsidP="00460D87" w14:paraId="30D01794" w14:textId="77777777">
            <w:pPr>
              <w:jc w:val="right"/>
              <w:rPr>
                <w:sz w:val="16"/>
                <w:szCs w:val="16"/>
              </w:rPr>
            </w:pPr>
            <w:r>
              <w:rPr>
                <w:sz w:val="16"/>
                <w:szCs w:val="16"/>
              </w:rPr>
              <w:t xml:space="preserve"> </w:t>
            </w:r>
            <w:r w:rsidRPr="007D67B4">
              <w:rPr>
                <w:sz w:val="16"/>
                <w:szCs w:val="16"/>
              </w:rPr>
              <w:t>(906,832)</w:t>
            </w:r>
          </w:p>
        </w:tc>
      </w:tr>
      <w:tr w14:paraId="3188DB4B" w14:textId="77777777" w:rsidTr="007955F7">
        <w:tblPrEx>
          <w:tblW w:w="5000" w:type="pct"/>
          <w:tblLayout w:type="fixed"/>
          <w:tblLook w:val="04A0"/>
        </w:tblPrEx>
        <w:trPr>
          <w:trHeight w:val="259"/>
        </w:trPr>
        <w:tc>
          <w:tcPr>
            <w:tcW w:w="3674" w:type="dxa"/>
            <w:tcBorders>
              <w:top w:val="nil"/>
              <w:left w:val="nil"/>
              <w:bottom w:val="nil"/>
              <w:right w:val="nil"/>
            </w:tcBorders>
            <w:shd w:val="clear" w:color="000000" w:fill="FFFFFF"/>
            <w:noWrap/>
            <w:vAlign w:val="bottom"/>
            <w:hideMark/>
          </w:tcPr>
          <w:p w:rsidR="002F2E94" w:rsidRPr="007D67B4" w:rsidP="004957F6" w14:paraId="42C119F8" w14:textId="77777777">
            <w:pPr>
              <w:rPr>
                <w:b/>
                <w:bCs/>
                <w:sz w:val="16"/>
                <w:szCs w:val="16"/>
              </w:rPr>
            </w:pPr>
            <w:r w:rsidRPr="007D67B4">
              <w:rPr>
                <w:b/>
                <w:bCs/>
                <w:sz w:val="16"/>
                <w:szCs w:val="16"/>
              </w:rPr>
              <w:t>Cumulative Results of Operations: Ending</w:t>
            </w:r>
          </w:p>
        </w:tc>
        <w:tc>
          <w:tcPr>
            <w:tcW w:w="1413" w:type="dxa"/>
            <w:tcBorders>
              <w:top w:val="nil"/>
              <w:left w:val="nil"/>
              <w:bottom w:val="nil"/>
              <w:right w:val="nil"/>
            </w:tcBorders>
            <w:shd w:val="clear" w:color="000000" w:fill="FFFFFF"/>
            <w:noWrap/>
            <w:vAlign w:val="bottom"/>
            <w:hideMark/>
          </w:tcPr>
          <w:p w:rsidR="002F2E94" w:rsidRPr="007D67B4" w:rsidP="00460D87" w14:paraId="050E1F88" w14:textId="77777777">
            <w:pPr>
              <w:jc w:val="right"/>
              <w:rPr>
                <w:sz w:val="16"/>
                <w:szCs w:val="16"/>
              </w:rPr>
            </w:pPr>
            <w:r>
              <w:rPr>
                <w:sz w:val="16"/>
                <w:szCs w:val="16"/>
              </w:rPr>
              <w:t xml:space="preserve"> </w:t>
            </w:r>
            <w:r w:rsidRPr="007D67B4">
              <w:rPr>
                <w:sz w:val="16"/>
                <w:szCs w:val="16"/>
              </w:rPr>
              <w:t xml:space="preserve">130,405 </w:t>
            </w:r>
          </w:p>
        </w:tc>
        <w:tc>
          <w:tcPr>
            <w:tcW w:w="1412" w:type="dxa"/>
            <w:tcBorders>
              <w:top w:val="nil"/>
              <w:left w:val="nil"/>
              <w:bottom w:val="nil"/>
              <w:right w:val="nil"/>
            </w:tcBorders>
            <w:shd w:val="clear" w:color="000000" w:fill="FFFFFF"/>
            <w:noWrap/>
            <w:vAlign w:val="bottom"/>
            <w:hideMark/>
          </w:tcPr>
          <w:p w:rsidR="002F2E94" w:rsidRPr="007D67B4" w:rsidP="00460D87" w14:paraId="09DC4F1E" w14:textId="77777777">
            <w:pPr>
              <w:jc w:val="right"/>
              <w:rPr>
                <w:sz w:val="16"/>
                <w:szCs w:val="16"/>
              </w:rPr>
            </w:pPr>
            <w:r>
              <w:rPr>
                <w:sz w:val="16"/>
                <w:szCs w:val="16"/>
              </w:rPr>
              <w:t xml:space="preserve"> </w:t>
            </w:r>
            <w:r w:rsidRPr="007D67B4">
              <w:rPr>
                <w:sz w:val="16"/>
                <w:szCs w:val="16"/>
              </w:rPr>
              <w:t xml:space="preserve">5,942,105 </w:t>
            </w:r>
          </w:p>
        </w:tc>
        <w:tc>
          <w:tcPr>
            <w:tcW w:w="1412" w:type="dxa"/>
            <w:tcBorders>
              <w:top w:val="nil"/>
              <w:left w:val="nil"/>
              <w:bottom w:val="nil"/>
              <w:right w:val="nil"/>
            </w:tcBorders>
            <w:shd w:val="clear" w:color="000000" w:fill="FFFFFF"/>
            <w:noWrap/>
            <w:vAlign w:val="bottom"/>
            <w:hideMark/>
          </w:tcPr>
          <w:p w:rsidR="002F2E94" w:rsidRPr="007D67B4" w:rsidP="00460D87" w14:paraId="63D3F9E7" w14:textId="77777777">
            <w:pPr>
              <w:jc w:val="right"/>
              <w:rPr>
                <w:sz w:val="16"/>
                <w:szCs w:val="16"/>
              </w:rPr>
            </w:pPr>
            <w:r>
              <w:rPr>
                <w:sz w:val="16"/>
                <w:szCs w:val="16"/>
              </w:rPr>
              <w:t xml:space="preserve"> </w:t>
            </w:r>
            <w:r w:rsidRPr="007D67B4">
              <w:rPr>
                <w:sz w:val="16"/>
                <w:szCs w:val="16"/>
              </w:rPr>
              <w:t xml:space="preserve">179,271 </w:t>
            </w:r>
          </w:p>
        </w:tc>
        <w:tc>
          <w:tcPr>
            <w:tcW w:w="1449" w:type="dxa"/>
            <w:gridSpan w:val="2"/>
            <w:tcBorders>
              <w:top w:val="nil"/>
              <w:left w:val="nil"/>
              <w:bottom w:val="nil"/>
              <w:right w:val="nil"/>
            </w:tcBorders>
            <w:shd w:val="clear" w:color="000000" w:fill="FFFFFF"/>
            <w:noWrap/>
            <w:vAlign w:val="bottom"/>
            <w:hideMark/>
          </w:tcPr>
          <w:p w:rsidR="002F2E94" w:rsidRPr="007D67B4" w:rsidP="00460D87" w14:paraId="5627021C" w14:textId="77777777">
            <w:pPr>
              <w:jc w:val="right"/>
              <w:rPr>
                <w:sz w:val="16"/>
                <w:szCs w:val="16"/>
              </w:rPr>
            </w:pPr>
            <w:r>
              <w:rPr>
                <w:sz w:val="16"/>
                <w:szCs w:val="16"/>
              </w:rPr>
              <w:t xml:space="preserve"> </w:t>
            </w:r>
            <w:r w:rsidRPr="007D67B4">
              <w:rPr>
                <w:sz w:val="16"/>
                <w:szCs w:val="16"/>
              </w:rPr>
              <w:t xml:space="preserve">6,251,781 </w:t>
            </w:r>
          </w:p>
        </w:tc>
      </w:tr>
      <w:tr w14:paraId="71A4FA8D" w14:textId="77777777" w:rsidTr="007955F7">
        <w:tblPrEx>
          <w:tblW w:w="5000" w:type="pct"/>
          <w:tblLayout w:type="fixed"/>
          <w:tblLook w:val="04A0"/>
        </w:tblPrEx>
        <w:trPr>
          <w:trHeight w:val="152"/>
        </w:trPr>
        <w:tc>
          <w:tcPr>
            <w:tcW w:w="3674" w:type="dxa"/>
            <w:tcBorders>
              <w:top w:val="nil"/>
              <w:left w:val="nil"/>
              <w:bottom w:val="nil"/>
              <w:right w:val="nil"/>
            </w:tcBorders>
            <w:shd w:val="clear" w:color="000000" w:fill="FFFFFF"/>
            <w:noWrap/>
            <w:vAlign w:val="bottom"/>
            <w:hideMark/>
          </w:tcPr>
          <w:p w:rsidR="002F2E94" w:rsidRPr="007D67B4" w:rsidP="004957F6" w14:paraId="6A518E08" w14:textId="77777777">
            <w:pPr>
              <w:rPr>
                <w:b/>
                <w:bCs/>
                <w:sz w:val="16"/>
                <w:szCs w:val="16"/>
              </w:rPr>
            </w:pPr>
            <w:r w:rsidRPr="007D67B4">
              <w:rPr>
                <w:b/>
                <w:bCs/>
                <w:sz w:val="16"/>
                <w:szCs w:val="16"/>
              </w:rPr>
              <w:t>Net Position, end of period</w:t>
            </w:r>
          </w:p>
        </w:tc>
        <w:tc>
          <w:tcPr>
            <w:tcW w:w="1413"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55C2B52D" w14:textId="45F9C50C">
            <w:pPr>
              <w:jc w:val="right"/>
              <w:rPr>
                <w:sz w:val="16"/>
                <w:szCs w:val="16"/>
              </w:rPr>
            </w:pPr>
            <w:r w:rsidRPr="007D67B4">
              <w:rPr>
                <w:sz w:val="16"/>
                <w:szCs w:val="16"/>
              </w:rPr>
              <w:t>$</w:t>
            </w:r>
            <w:r w:rsidR="00823B2E">
              <w:rPr>
                <w:sz w:val="16"/>
                <w:szCs w:val="16"/>
              </w:rPr>
              <w:t xml:space="preserve">  </w:t>
            </w:r>
            <w:r w:rsidR="000F7B3A">
              <w:rPr>
                <w:sz w:val="16"/>
                <w:szCs w:val="16"/>
              </w:rPr>
              <w:t xml:space="preserve">       </w:t>
            </w:r>
            <w:r w:rsidR="00823B2E">
              <w:rPr>
                <w:sz w:val="16"/>
                <w:szCs w:val="16"/>
              </w:rPr>
              <w:t xml:space="preserve">    </w:t>
            </w:r>
            <w:r>
              <w:rPr>
                <w:sz w:val="16"/>
                <w:szCs w:val="16"/>
              </w:rPr>
              <w:t xml:space="preserve"> </w:t>
            </w:r>
            <w:r w:rsidRPr="007D67B4">
              <w:rPr>
                <w:sz w:val="16"/>
                <w:szCs w:val="16"/>
              </w:rPr>
              <w:t xml:space="preserve">988,253 </w:t>
            </w:r>
          </w:p>
        </w:tc>
        <w:tc>
          <w:tcPr>
            <w:tcW w:w="1412"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29AD6B3F" w14:textId="6C21ED85">
            <w:pPr>
              <w:jc w:val="right"/>
              <w:rPr>
                <w:sz w:val="16"/>
                <w:szCs w:val="16"/>
              </w:rPr>
            </w:pPr>
            <w:r w:rsidRPr="007D67B4">
              <w:rPr>
                <w:sz w:val="16"/>
                <w:szCs w:val="16"/>
              </w:rPr>
              <w:t>$</w:t>
            </w:r>
            <w:r w:rsidR="00F96DB4">
              <w:rPr>
                <w:sz w:val="16"/>
                <w:szCs w:val="16"/>
              </w:rPr>
              <w:t xml:space="preserve">          </w:t>
            </w:r>
            <w:r>
              <w:rPr>
                <w:sz w:val="16"/>
                <w:szCs w:val="16"/>
              </w:rPr>
              <w:t xml:space="preserve"> </w:t>
            </w:r>
            <w:r w:rsidRPr="007D67B4">
              <w:rPr>
                <w:sz w:val="16"/>
                <w:szCs w:val="16"/>
              </w:rPr>
              <w:t xml:space="preserve">5,942,105 </w:t>
            </w:r>
          </w:p>
        </w:tc>
        <w:tc>
          <w:tcPr>
            <w:tcW w:w="1412" w:type="dxa"/>
            <w:tcBorders>
              <w:top w:val="single" w:sz="4" w:space="0" w:color="auto"/>
              <w:left w:val="nil"/>
              <w:bottom w:val="double" w:sz="6" w:space="0" w:color="auto"/>
              <w:right w:val="nil"/>
            </w:tcBorders>
            <w:shd w:val="clear" w:color="000000" w:fill="FFFFFF"/>
            <w:noWrap/>
            <w:vAlign w:val="bottom"/>
            <w:hideMark/>
          </w:tcPr>
          <w:p w:rsidR="002F2E94" w:rsidRPr="007D67B4" w:rsidP="00460D87" w14:paraId="7CF818F0" w14:textId="1C3B8B58">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179,271 </w:t>
            </w:r>
          </w:p>
        </w:tc>
        <w:tc>
          <w:tcPr>
            <w:tcW w:w="1449" w:type="dxa"/>
            <w:gridSpan w:val="2"/>
            <w:tcBorders>
              <w:top w:val="single" w:sz="4" w:space="0" w:color="auto"/>
              <w:left w:val="nil"/>
              <w:bottom w:val="double" w:sz="6" w:space="0" w:color="auto"/>
              <w:right w:val="nil"/>
            </w:tcBorders>
            <w:shd w:val="clear" w:color="000000" w:fill="FFFFFF"/>
            <w:noWrap/>
            <w:vAlign w:val="bottom"/>
            <w:hideMark/>
          </w:tcPr>
          <w:p w:rsidR="002F2E94" w:rsidRPr="007D67B4" w:rsidP="00460D87" w14:paraId="54E1B336" w14:textId="212BFA5D">
            <w:pPr>
              <w:jc w:val="right"/>
              <w:rPr>
                <w:sz w:val="16"/>
                <w:szCs w:val="16"/>
              </w:rPr>
            </w:pPr>
            <w:r w:rsidRPr="007D67B4">
              <w:rPr>
                <w:sz w:val="16"/>
                <w:szCs w:val="16"/>
              </w:rPr>
              <w:t>$</w:t>
            </w:r>
            <w:r w:rsidR="000F7B3A">
              <w:rPr>
                <w:sz w:val="16"/>
                <w:szCs w:val="16"/>
              </w:rPr>
              <w:t xml:space="preserve">           </w:t>
            </w:r>
            <w:r>
              <w:rPr>
                <w:sz w:val="16"/>
                <w:szCs w:val="16"/>
              </w:rPr>
              <w:t xml:space="preserve"> </w:t>
            </w:r>
            <w:r w:rsidRPr="007D67B4">
              <w:rPr>
                <w:sz w:val="16"/>
                <w:szCs w:val="16"/>
              </w:rPr>
              <w:t xml:space="preserve">7,109,629 </w:t>
            </w:r>
          </w:p>
        </w:tc>
      </w:tr>
    </w:tbl>
    <w:p w:rsidR="00505157" w:rsidP="002F2E94" w14:paraId="64633BCF" w14:textId="77777777">
      <w:pPr>
        <w:rPr>
          <w:noProof/>
        </w:rPr>
      </w:pPr>
    </w:p>
    <w:p w:rsidR="002F2E94" w:rsidP="00285D06" w14:paraId="69DAB2BF" w14:textId="653604CE">
      <w:pPr>
        <w:jc w:val="center"/>
        <w:rPr>
          <w:b/>
          <w:bCs/>
        </w:rPr>
        <w:sectPr w:rsidSect="00F054D8">
          <w:pgSz w:w="12240" w:h="15840"/>
          <w:pgMar w:top="1440" w:right="1440" w:bottom="1296" w:left="1440" w:header="720" w:footer="720" w:gutter="0"/>
          <w:cols w:space="720"/>
        </w:sectPr>
      </w:pPr>
    </w:p>
    <w:p w:rsidR="00285D06" w:rsidRPr="00912A4C" w:rsidP="00ED4560" w14:paraId="1133081F" w14:textId="77777777">
      <w:pPr>
        <w:spacing w:after="240"/>
        <w:jc w:val="both"/>
        <w:rPr>
          <w:b/>
          <w:bCs/>
          <w:sz w:val="22"/>
          <w:szCs w:val="22"/>
        </w:rPr>
      </w:pPr>
      <w:r w:rsidRPr="00BA1E56">
        <w:rPr>
          <w:b/>
          <w:bCs/>
          <w:sz w:val="22"/>
          <w:szCs w:val="22"/>
        </w:rPr>
        <w:t xml:space="preserve">Note </w:t>
      </w:r>
      <w:r>
        <w:rPr>
          <w:b/>
          <w:bCs/>
          <w:sz w:val="22"/>
          <w:szCs w:val="22"/>
        </w:rPr>
        <w:t>9</w:t>
      </w:r>
      <w:r w:rsidRPr="00BA1E56">
        <w:rPr>
          <w:b/>
          <w:bCs/>
          <w:sz w:val="22"/>
          <w:szCs w:val="22"/>
        </w:rPr>
        <w:t xml:space="preserve"> – Funds from Dedicated Collections (continued)</w:t>
      </w:r>
    </w:p>
    <w:p w:rsidR="00285D06" w:rsidP="0034626F" w14:paraId="2C84A18B" w14:textId="0ADBE582">
      <w:pPr>
        <w:spacing w:after="280"/>
        <w:jc w:val="both"/>
        <w:rPr>
          <w:sz w:val="22"/>
          <w:szCs w:val="22"/>
        </w:rPr>
      </w:pPr>
      <w:r>
        <w:rPr>
          <w:sz w:val="22"/>
          <w:szCs w:val="22"/>
        </w:rPr>
        <w:t>The FY 2021 and FY 2020 funds from dedicated collections are presented on a combined basis.</w:t>
      </w:r>
      <w:r w:rsidR="00C933B2">
        <w:rPr>
          <w:sz w:val="22"/>
          <w:szCs w:val="22"/>
        </w:rPr>
        <w:t xml:space="preserve"> </w:t>
      </w:r>
      <w:r>
        <w:rPr>
          <w:sz w:val="22"/>
          <w:szCs w:val="22"/>
        </w:rPr>
        <w:t xml:space="preserve">The tables below summarize the elimination of activities between dedicated collections and all other fund types to arrive at the consolidated assets and liabilities as presented on the balance sheet. </w:t>
      </w: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3"/>
        <w:gridCol w:w="1347"/>
        <w:gridCol w:w="1440"/>
        <w:gridCol w:w="1351"/>
        <w:gridCol w:w="1349"/>
        <w:gridCol w:w="1440"/>
      </w:tblGrid>
      <w:tr w14:paraId="7421EED2" w14:textId="77777777" w:rsidTr="00285D06">
        <w:tblPrEx>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80"/>
          <w:jc w:val="center"/>
        </w:trPr>
        <w:tc>
          <w:tcPr>
            <w:tcW w:w="2613" w:type="dxa"/>
            <w:vAlign w:val="center"/>
          </w:tcPr>
          <w:p w:rsidR="00285D06" w:rsidRPr="0021453B" w:rsidP="00285D06" w14:paraId="74B34DB4" w14:textId="77777777">
            <w:pPr>
              <w:jc w:val="center"/>
              <w:rPr>
                <w:sz w:val="18"/>
                <w:szCs w:val="18"/>
              </w:rPr>
            </w:pPr>
          </w:p>
        </w:tc>
        <w:tc>
          <w:tcPr>
            <w:tcW w:w="1347" w:type="dxa"/>
            <w:tcBorders>
              <w:bottom w:val="single" w:sz="4" w:space="0" w:color="auto"/>
            </w:tcBorders>
            <w:vAlign w:val="bottom"/>
          </w:tcPr>
          <w:p w:rsidR="00285D06" w:rsidRPr="0021453B" w:rsidP="00285D06" w14:paraId="1DB8EC4D" w14:textId="77777777">
            <w:pPr>
              <w:jc w:val="center"/>
              <w:rPr>
                <w:sz w:val="18"/>
                <w:szCs w:val="18"/>
              </w:rPr>
            </w:pPr>
            <w:r w:rsidRPr="0021453B">
              <w:rPr>
                <w:b/>
                <w:sz w:val="18"/>
                <w:szCs w:val="18"/>
              </w:rPr>
              <w:t>Dedicated Collections Combined</w:t>
            </w:r>
          </w:p>
        </w:tc>
        <w:tc>
          <w:tcPr>
            <w:tcW w:w="1440" w:type="dxa"/>
            <w:tcBorders>
              <w:bottom w:val="single" w:sz="4" w:space="0" w:color="auto"/>
            </w:tcBorders>
            <w:vAlign w:val="bottom"/>
          </w:tcPr>
          <w:p w:rsidR="00285D06" w:rsidRPr="0021453B" w:rsidP="00285D06" w14:paraId="5A4E0DD4" w14:textId="77777777">
            <w:pPr>
              <w:jc w:val="center"/>
              <w:rPr>
                <w:sz w:val="18"/>
                <w:szCs w:val="18"/>
              </w:rPr>
            </w:pPr>
            <w:r w:rsidRPr="0021453B">
              <w:rPr>
                <w:b/>
                <w:sz w:val="18"/>
                <w:szCs w:val="18"/>
              </w:rPr>
              <w:t>All Other Amounts (with Eliminations)</w:t>
            </w:r>
          </w:p>
        </w:tc>
        <w:tc>
          <w:tcPr>
            <w:tcW w:w="1351" w:type="dxa"/>
            <w:tcBorders>
              <w:bottom w:val="single" w:sz="4" w:space="0" w:color="auto"/>
            </w:tcBorders>
            <w:vAlign w:val="bottom"/>
          </w:tcPr>
          <w:p w:rsidR="00285D06" w:rsidRPr="0021453B" w:rsidP="00285D06" w14:paraId="7F755F45" w14:textId="77777777">
            <w:pPr>
              <w:jc w:val="center"/>
              <w:rPr>
                <w:b/>
                <w:sz w:val="18"/>
                <w:szCs w:val="18"/>
              </w:rPr>
            </w:pPr>
            <w:r w:rsidRPr="0021453B">
              <w:rPr>
                <w:b/>
                <w:sz w:val="18"/>
                <w:szCs w:val="18"/>
              </w:rPr>
              <w:t>Total Combined</w:t>
            </w:r>
          </w:p>
        </w:tc>
        <w:tc>
          <w:tcPr>
            <w:tcW w:w="1349" w:type="dxa"/>
            <w:tcBorders>
              <w:bottom w:val="single" w:sz="4" w:space="0" w:color="auto"/>
            </w:tcBorders>
            <w:vAlign w:val="bottom"/>
          </w:tcPr>
          <w:p w:rsidR="00285D06" w:rsidRPr="0021453B" w:rsidP="00285D06" w14:paraId="54D4D16D" w14:textId="77777777">
            <w:pPr>
              <w:jc w:val="center"/>
              <w:rPr>
                <w:sz w:val="18"/>
                <w:szCs w:val="18"/>
              </w:rPr>
            </w:pPr>
            <w:r w:rsidRPr="0021453B">
              <w:rPr>
                <w:b/>
                <w:sz w:val="18"/>
                <w:szCs w:val="18"/>
              </w:rPr>
              <w:t>Consolidating Eliminations Between Dedicated &amp; All Other</w:t>
            </w:r>
          </w:p>
        </w:tc>
        <w:tc>
          <w:tcPr>
            <w:tcW w:w="1440" w:type="dxa"/>
            <w:tcBorders>
              <w:bottom w:val="single" w:sz="4" w:space="0" w:color="auto"/>
            </w:tcBorders>
            <w:vAlign w:val="bottom"/>
          </w:tcPr>
          <w:p w:rsidR="00285D06" w:rsidRPr="0021453B" w:rsidP="00285D06" w14:paraId="03732A14" w14:textId="77777777">
            <w:pPr>
              <w:jc w:val="center"/>
              <w:rPr>
                <w:b/>
                <w:sz w:val="18"/>
                <w:szCs w:val="18"/>
              </w:rPr>
            </w:pPr>
            <w:r w:rsidRPr="0021453B">
              <w:rPr>
                <w:b/>
                <w:sz w:val="18"/>
                <w:szCs w:val="18"/>
              </w:rPr>
              <w:t>Consolidated</w:t>
            </w:r>
          </w:p>
        </w:tc>
      </w:tr>
      <w:tr w14:paraId="46CFC8F9" w14:textId="77777777" w:rsidTr="005609A4">
        <w:tblPrEx>
          <w:tblW w:w="9540" w:type="dxa"/>
          <w:jc w:val="center"/>
          <w:tblLook w:val="04A0"/>
        </w:tblPrEx>
        <w:trPr>
          <w:jc w:val="center"/>
        </w:trPr>
        <w:tc>
          <w:tcPr>
            <w:tcW w:w="2613" w:type="dxa"/>
            <w:vAlign w:val="bottom"/>
          </w:tcPr>
          <w:p w:rsidR="00285D06" w:rsidRPr="0021453B" w:rsidP="00285D06" w14:paraId="54D3D8E9" w14:textId="77777777">
            <w:pPr>
              <w:rPr>
                <w:sz w:val="18"/>
                <w:szCs w:val="18"/>
                <w:u w:val="single"/>
              </w:rPr>
            </w:pPr>
            <w:r w:rsidRPr="0021453B">
              <w:rPr>
                <w:sz w:val="18"/>
                <w:szCs w:val="18"/>
                <w:u w:val="single"/>
              </w:rPr>
              <w:t>FY 202</w:t>
            </w:r>
            <w:r>
              <w:rPr>
                <w:sz w:val="18"/>
                <w:szCs w:val="18"/>
                <w:u w:val="single"/>
              </w:rPr>
              <w:t>1</w:t>
            </w:r>
          </w:p>
        </w:tc>
        <w:tc>
          <w:tcPr>
            <w:tcW w:w="1347" w:type="dxa"/>
            <w:tcBorders>
              <w:top w:val="single" w:sz="4" w:space="0" w:color="auto"/>
            </w:tcBorders>
            <w:vAlign w:val="bottom"/>
          </w:tcPr>
          <w:p w:rsidR="00285D06" w:rsidRPr="0021453B" w:rsidP="00285D06" w14:paraId="5E354EC4" w14:textId="77777777">
            <w:pPr>
              <w:ind w:right="72"/>
              <w:jc w:val="right"/>
              <w:rPr>
                <w:sz w:val="18"/>
                <w:szCs w:val="18"/>
              </w:rPr>
            </w:pPr>
          </w:p>
        </w:tc>
        <w:tc>
          <w:tcPr>
            <w:tcW w:w="1440" w:type="dxa"/>
            <w:tcBorders>
              <w:top w:val="single" w:sz="4" w:space="0" w:color="auto"/>
            </w:tcBorders>
            <w:vAlign w:val="bottom"/>
          </w:tcPr>
          <w:p w:rsidR="00285D06" w:rsidRPr="0021453B" w:rsidP="00285D06" w14:paraId="3E1B932A" w14:textId="77777777">
            <w:pPr>
              <w:ind w:right="72"/>
              <w:jc w:val="right"/>
              <w:rPr>
                <w:sz w:val="18"/>
                <w:szCs w:val="18"/>
              </w:rPr>
            </w:pPr>
          </w:p>
        </w:tc>
        <w:tc>
          <w:tcPr>
            <w:tcW w:w="1351" w:type="dxa"/>
            <w:tcBorders>
              <w:top w:val="single" w:sz="4" w:space="0" w:color="auto"/>
            </w:tcBorders>
            <w:vAlign w:val="bottom"/>
          </w:tcPr>
          <w:p w:rsidR="00285D06" w:rsidRPr="0021453B" w:rsidP="00285D06" w14:paraId="42E9838E" w14:textId="77777777">
            <w:pPr>
              <w:ind w:right="72"/>
              <w:jc w:val="right"/>
              <w:rPr>
                <w:sz w:val="18"/>
                <w:szCs w:val="18"/>
              </w:rPr>
            </w:pPr>
          </w:p>
        </w:tc>
        <w:tc>
          <w:tcPr>
            <w:tcW w:w="1349" w:type="dxa"/>
            <w:tcBorders>
              <w:top w:val="single" w:sz="4" w:space="0" w:color="auto"/>
            </w:tcBorders>
            <w:vAlign w:val="bottom"/>
          </w:tcPr>
          <w:p w:rsidR="00285D06" w:rsidRPr="0021453B" w:rsidP="00285D06" w14:paraId="1368BB80" w14:textId="77777777">
            <w:pPr>
              <w:jc w:val="right"/>
              <w:rPr>
                <w:sz w:val="18"/>
                <w:szCs w:val="18"/>
              </w:rPr>
            </w:pPr>
          </w:p>
        </w:tc>
        <w:tc>
          <w:tcPr>
            <w:tcW w:w="1440" w:type="dxa"/>
            <w:tcBorders>
              <w:top w:val="single" w:sz="4" w:space="0" w:color="auto"/>
            </w:tcBorders>
            <w:vAlign w:val="bottom"/>
          </w:tcPr>
          <w:p w:rsidR="00285D06" w:rsidRPr="0021453B" w:rsidP="00285D06" w14:paraId="33EDD9F8" w14:textId="77777777">
            <w:pPr>
              <w:ind w:right="72"/>
              <w:jc w:val="right"/>
              <w:rPr>
                <w:sz w:val="18"/>
                <w:szCs w:val="18"/>
              </w:rPr>
            </w:pPr>
          </w:p>
        </w:tc>
      </w:tr>
      <w:tr w14:paraId="1763D965" w14:textId="77777777" w:rsidTr="005609A4">
        <w:tblPrEx>
          <w:tblW w:w="9540" w:type="dxa"/>
          <w:jc w:val="center"/>
          <w:tblLook w:val="04A0"/>
        </w:tblPrEx>
        <w:trPr>
          <w:jc w:val="center"/>
        </w:trPr>
        <w:tc>
          <w:tcPr>
            <w:tcW w:w="2613" w:type="dxa"/>
            <w:vAlign w:val="bottom"/>
          </w:tcPr>
          <w:p w:rsidR="00285D06" w:rsidRPr="0021453B" w:rsidP="00285D06" w14:paraId="2C5DD60B" w14:textId="77777777">
            <w:pPr>
              <w:rPr>
                <w:sz w:val="18"/>
                <w:szCs w:val="18"/>
              </w:rPr>
            </w:pPr>
            <w:r w:rsidRPr="0021453B">
              <w:rPr>
                <w:sz w:val="18"/>
                <w:szCs w:val="18"/>
              </w:rPr>
              <w:t>Assets with</w:t>
            </w:r>
            <w:r>
              <w:rPr>
                <w:sz w:val="18"/>
                <w:szCs w:val="18"/>
              </w:rPr>
              <w:t xml:space="preserve"> the</w:t>
            </w:r>
            <w:r w:rsidRPr="0021453B">
              <w:rPr>
                <w:sz w:val="18"/>
                <w:szCs w:val="18"/>
              </w:rPr>
              <w:t xml:space="preserve"> </w:t>
            </w:r>
            <w:r>
              <w:rPr>
                <w:sz w:val="18"/>
                <w:szCs w:val="18"/>
              </w:rPr>
              <w:t>p</w:t>
            </w:r>
            <w:r w:rsidRPr="0021453B">
              <w:rPr>
                <w:sz w:val="18"/>
                <w:szCs w:val="18"/>
              </w:rPr>
              <w:t>ublic</w:t>
            </w:r>
          </w:p>
        </w:tc>
        <w:tc>
          <w:tcPr>
            <w:tcW w:w="1347" w:type="dxa"/>
            <w:vAlign w:val="bottom"/>
          </w:tcPr>
          <w:p w:rsidR="00285D06" w:rsidRPr="0021453B" w:rsidP="00285D06" w14:paraId="26E938D1" w14:textId="77777777">
            <w:pPr>
              <w:ind w:right="72"/>
              <w:jc w:val="right"/>
              <w:rPr>
                <w:sz w:val="18"/>
                <w:szCs w:val="18"/>
              </w:rPr>
            </w:pPr>
          </w:p>
        </w:tc>
        <w:tc>
          <w:tcPr>
            <w:tcW w:w="1440" w:type="dxa"/>
            <w:vAlign w:val="bottom"/>
          </w:tcPr>
          <w:p w:rsidR="00285D06" w:rsidRPr="0021453B" w:rsidP="00285D06" w14:paraId="5C357514" w14:textId="77777777">
            <w:pPr>
              <w:ind w:right="72"/>
              <w:jc w:val="right"/>
              <w:rPr>
                <w:sz w:val="18"/>
                <w:szCs w:val="18"/>
              </w:rPr>
            </w:pPr>
          </w:p>
        </w:tc>
        <w:tc>
          <w:tcPr>
            <w:tcW w:w="1351" w:type="dxa"/>
            <w:vAlign w:val="bottom"/>
          </w:tcPr>
          <w:p w:rsidR="00285D06" w:rsidRPr="0021453B" w:rsidP="00285D06" w14:paraId="09D9613A" w14:textId="77777777">
            <w:pPr>
              <w:ind w:right="72"/>
              <w:jc w:val="right"/>
              <w:rPr>
                <w:sz w:val="18"/>
                <w:szCs w:val="18"/>
              </w:rPr>
            </w:pPr>
          </w:p>
        </w:tc>
        <w:tc>
          <w:tcPr>
            <w:tcW w:w="1349" w:type="dxa"/>
            <w:vAlign w:val="bottom"/>
          </w:tcPr>
          <w:p w:rsidR="00285D06" w:rsidRPr="0021453B" w:rsidP="00285D06" w14:paraId="7373A331" w14:textId="77777777">
            <w:pPr>
              <w:jc w:val="right"/>
              <w:rPr>
                <w:sz w:val="18"/>
                <w:szCs w:val="18"/>
              </w:rPr>
            </w:pPr>
          </w:p>
        </w:tc>
        <w:tc>
          <w:tcPr>
            <w:tcW w:w="1440" w:type="dxa"/>
            <w:vAlign w:val="bottom"/>
          </w:tcPr>
          <w:p w:rsidR="00285D06" w:rsidRPr="0021453B" w:rsidP="00285D06" w14:paraId="364886B0" w14:textId="77777777">
            <w:pPr>
              <w:ind w:right="72"/>
              <w:jc w:val="right"/>
              <w:rPr>
                <w:sz w:val="18"/>
                <w:szCs w:val="18"/>
              </w:rPr>
            </w:pPr>
          </w:p>
        </w:tc>
      </w:tr>
      <w:tr w14:paraId="0D9EC432" w14:textId="77777777" w:rsidTr="005609A4">
        <w:tblPrEx>
          <w:tblW w:w="9540" w:type="dxa"/>
          <w:jc w:val="center"/>
          <w:tblLook w:val="04A0"/>
        </w:tblPrEx>
        <w:trPr>
          <w:jc w:val="center"/>
        </w:trPr>
        <w:tc>
          <w:tcPr>
            <w:tcW w:w="2613" w:type="dxa"/>
            <w:vAlign w:val="bottom"/>
          </w:tcPr>
          <w:p w:rsidR="00783F9C" w:rsidRPr="0021453B" w:rsidP="00A40DEC" w14:paraId="110D081E" w14:textId="77777777">
            <w:pPr>
              <w:ind w:left="432"/>
              <w:rPr>
                <w:sz w:val="18"/>
                <w:szCs w:val="18"/>
              </w:rPr>
            </w:pPr>
            <w:r w:rsidRPr="0021453B">
              <w:rPr>
                <w:sz w:val="18"/>
                <w:szCs w:val="18"/>
              </w:rPr>
              <w:t>Accounts Receivable, Net</w:t>
            </w:r>
          </w:p>
        </w:tc>
        <w:tc>
          <w:tcPr>
            <w:tcW w:w="1347" w:type="dxa"/>
            <w:vAlign w:val="bottom"/>
          </w:tcPr>
          <w:p w:rsidR="00783F9C" w:rsidRPr="0021453B" w:rsidP="00783F9C" w14:paraId="3BFD13A2" w14:textId="0091E30B">
            <w:pPr>
              <w:rPr>
                <w:sz w:val="18"/>
                <w:szCs w:val="18"/>
              </w:rPr>
            </w:pPr>
            <w:r>
              <w:rPr>
                <w:sz w:val="18"/>
                <w:szCs w:val="18"/>
              </w:rPr>
              <w:t>$          798,448</w:t>
            </w:r>
          </w:p>
        </w:tc>
        <w:tc>
          <w:tcPr>
            <w:tcW w:w="1440" w:type="dxa"/>
            <w:vAlign w:val="bottom"/>
          </w:tcPr>
          <w:p w:rsidR="00783F9C" w:rsidRPr="0021453B" w:rsidP="00783F9C" w14:paraId="76E6F22F" w14:textId="14D5C1D3">
            <w:pPr>
              <w:rPr>
                <w:sz w:val="18"/>
                <w:szCs w:val="18"/>
              </w:rPr>
            </w:pPr>
            <w:r>
              <w:rPr>
                <w:sz w:val="18"/>
                <w:szCs w:val="18"/>
              </w:rPr>
              <w:t>$            24,672</w:t>
            </w:r>
          </w:p>
        </w:tc>
        <w:tc>
          <w:tcPr>
            <w:tcW w:w="1351" w:type="dxa"/>
            <w:vAlign w:val="bottom"/>
          </w:tcPr>
          <w:p w:rsidR="00783F9C" w:rsidRPr="0021453B" w:rsidP="00783F9C" w14:paraId="14E5E818" w14:textId="376CE4E3">
            <w:pPr>
              <w:rPr>
                <w:sz w:val="18"/>
                <w:szCs w:val="18"/>
              </w:rPr>
            </w:pPr>
            <w:r>
              <w:rPr>
                <w:sz w:val="18"/>
                <w:szCs w:val="18"/>
              </w:rPr>
              <w:t>$        823,120</w:t>
            </w:r>
          </w:p>
        </w:tc>
        <w:tc>
          <w:tcPr>
            <w:tcW w:w="1349" w:type="dxa"/>
            <w:vAlign w:val="bottom"/>
          </w:tcPr>
          <w:p w:rsidR="00783F9C" w:rsidRPr="0021453B" w:rsidP="00783F9C" w14:paraId="53058D4D" w14:textId="73C6B8F0">
            <w:pPr>
              <w:rPr>
                <w:sz w:val="18"/>
                <w:szCs w:val="18"/>
              </w:rPr>
            </w:pPr>
            <w:r>
              <w:rPr>
                <w:sz w:val="18"/>
                <w:szCs w:val="18"/>
              </w:rPr>
              <w:t>$              (33)</w:t>
            </w:r>
          </w:p>
        </w:tc>
        <w:tc>
          <w:tcPr>
            <w:tcW w:w="1440" w:type="dxa"/>
            <w:vAlign w:val="bottom"/>
          </w:tcPr>
          <w:p w:rsidR="00783F9C" w:rsidRPr="0021453B" w:rsidP="00783F9C" w14:paraId="170A9FBD" w14:textId="23E152ED">
            <w:pPr>
              <w:rPr>
                <w:sz w:val="18"/>
                <w:szCs w:val="18"/>
              </w:rPr>
            </w:pPr>
            <w:r>
              <w:rPr>
                <w:sz w:val="18"/>
                <w:szCs w:val="18"/>
              </w:rPr>
              <w:t>$            823,087</w:t>
            </w:r>
          </w:p>
        </w:tc>
      </w:tr>
      <w:tr w14:paraId="79FF97BB" w14:textId="77777777" w:rsidTr="00692891">
        <w:tblPrEx>
          <w:tblW w:w="9540" w:type="dxa"/>
          <w:jc w:val="center"/>
          <w:tblLook w:val="04A0"/>
        </w:tblPrEx>
        <w:trPr>
          <w:trHeight w:val="396"/>
          <w:jc w:val="center"/>
        </w:trPr>
        <w:tc>
          <w:tcPr>
            <w:tcW w:w="2613" w:type="dxa"/>
            <w:vAlign w:val="bottom"/>
          </w:tcPr>
          <w:p w:rsidR="00783F9C" w:rsidRPr="0021453B" w:rsidP="00783F9C" w14:paraId="5AD48CC7" w14:textId="77777777">
            <w:pPr>
              <w:rPr>
                <w:sz w:val="18"/>
                <w:szCs w:val="18"/>
              </w:rPr>
            </w:pPr>
            <w:r>
              <w:rPr>
                <w:sz w:val="18"/>
                <w:szCs w:val="18"/>
              </w:rPr>
              <w:t>Liabilities with the public</w:t>
            </w:r>
          </w:p>
        </w:tc>
        <w:tc>
          <w:tcPr>
            <w:tcW w:w="1347" w:type="dxa"/>
            <w:vAlign w:val="bottom"/>
          </w:tcPr>
          <w:p w:rsidR="00783F9C" w:rsidRPr="0021453B" w:rsidP="00783F9C" w14:paraId="27299B64" w14:textId="77777777">
            <w:pPr>
              <w:rPr>
                <w:sz w:val="18"/>
                <w:szCs w:val="18"/>
              </w:rPr>
            </w:pPr>
          </w:p>
        </w:tc>
        <w:tc>
          <w:tcPr>
            <w:tcW w:w="1440" w:type="dxa"/>
            <w:vAlign w:val="bottom"/>
          </w:tcPr>
          <w:p w:rsidR="00783F9C" w:rsidRPr="0021453B" w:rsidP="00783F9C" w14:paraId="023B10CA" w14:textId="77777777">
            <w:pPr>
              <w:rPr>
                <w:sz w:val="18"/>
                <w:szCs w:val="18"/>
              </w:rPr>
            </w:pPr>
          </w:p>
        </w:tc>
        <w:tc>
          <w:tcPr>
            <w:tcW w:w="1351" w:type="dxa"/>
            <w:tcBorders>
              <w:left w:val="nil"/>
            </w:tcBorders>
            <w:vAlign w:val="bottom"/>
          </w:tcPr>
          <w:p w:rsidR="00783F9C" w:rsidRPr="0021453B" w:rsidP="00783F9C" w14:paraId="2EFFD779" w14:textId="77777777">
            <w:pPr>
              <w:rPr>
                <w:sz w:val="18"/>
                <w:szCs w:val="18"/>
              </w:rPr>
            </w:pPr>
          </w:p>
        </w:tc>
        <w:tc>
          <w:tcPr>
            <w:tcW w:w="1349" w:type="dxa"/>
            <w:vAlign w:val="bottom"/>
          </w:tcPr>
          <w:p w:rsidR="00783F9C" w:rsidRPr="0021453B" w:rsidP="00783F9C" w14:paraId="27F9F861" w14:textId="77777777">
            <w:pPr>
              <w:rPr>
                <w:sz w:val="18"/>
                <w:szCs w:val="18"/>
              </w:rPr>
            </w:pPr>
          </w:p>
        </w:tc>
        <w:tc>
          <w:tcPr>
            <w:tcW w:w="1440" w:type="dxa"/>
            <w:vAlign w:val="bottom"/>
          </w:tcPr>
          <w:p w:rsidR="00783F9C" w:rsidRPr="0021453B" w:rsidP="00783F9C" w14:paraId="3BBA6D4B" w14:textId="77777777">
            <w:pPr>
              <w:rPr>
                <w:sz w:val="18"/>
                <w:szCs w:val="18"/>
              </w:rPr>
            </w:pPr>
          </w:p>
        </w:tc>
      </w:tr>
      <w:tr w14:paraId="56882610" w14:textId="77777777" w:rsidTr="005609A4">
        <w:tblPrEx>
          <w:tblW w:w="9540" w:type="dxa"/>
          <w:jc w:val="center"/>
          <w:tblLook w:val="04A0"/>
        </w:tblPrEx>
        <w:trPr>
          <w:jc w:val="center"/>
        </w:trPr>
        <w:tc>
          <w:tcPr>
            <w:tcW w:w="2613" w:type="dxa"/>
            <w:vAlign w:val="bottom"/>
          </w:tcPr>
          <w:p w:rsidR="00783F9C" w:rsidRPr="0021453B" w:rsidP="00A40DEC" w14:paraId="339B9DC2" w14:textId="77777777">
            <w:pPr>
              <w:ind w:left="432"/>
              <w:rPr>
                <w:sz w:val="18"/>
                <w:szCs w:val="18"/>
              </w:rPr>
            </w:pPr>
            <w:r>
              <w:rPr>
                <w:sz w:val="18"/>
                <w:szCs w:val="18"/>
              </w:rPr>
              <w:t>Other</w:t>
            </w:r>
          </w:p>
        </w:tc>
        <w:tc>
          <w:tcPr>
            <w:tcW w:w="1347" w:type="dxa"/>
            <w:vAlign w:val="bottom"/>
          </w:tcPr>
          <w:p w:rsidR="00783F9C" w:rsidRPr="0021453B" w:rsidP="00783F9C" w14:paraId="73FFEA00" w14:textId="573B9676">
            <w:pPr>
              <w:rPr>
                <w:sz w:val="18"/>
                <w:szCs w:val="18"/>
              </w:rPr>
            </w:pPr>
            <w:r>
              <w:rPr>
                <w:sz w:val="18"/>
                <w:szCs w:val="18"/>
              </w:rPr>
              <w:t>$                     -</w:t>
            </w:r>
          </w:p>
        </w:tc>
        <w:tc>
          <w:tcPr>
            <w:tcW w:w="1440" w:type="dxa"/>
            <w:vAlign w:val="bottom"/>
          </w:tcPr>
          <w:p w:rsidR="00783F9C" w:rsidRPr="0021453B" w:rsidP="00783F9C" w14:paraId="3BC0E9A0" w14:textId="64BF2ADC">
            <w:pPr>
              <w:rPr>
                <w:sz w:val="18"/>
                <w:szCs w:val="18"/>
              </w:rPr>
            </w:pPr>
            <w:r>
              <w:rPr>
                <w:sz w:val="18"/>
                <w:szCs w:val="18"/>
              </w:rPr>
              <w:t>$           23,395</w:t>
            </w:r>
          </w:p>
        </w:tc>
        <w:tc>
          <w:tcPr>
            <w:tcW w:w="1351" w:type="dxa"/>
            <w:tcBorders>
              <w:left w:val="nil"/>
            </w:tcBorders>
            <w:vAlign w:val="bottom"/>
          </w:tcPr>
          <w:p w:rsidR="00783F9C" w:rsidRPr="0021453B" w:rsidP="00783F9C" w14:paraId="72CF810E" w14:textId="5F279560">
            <w:pPr>
              <w:rPr>
                <w:sz w:val="18"/>
                <w:szCs w:val="18"/>
              </w:rPr>
            </w:pPr>
            <w:r>
              <w:rPr>
                <w:sz w:val="18"/>
                <w:szCs w:val="18"/>
              </w:rPr>
              <w:t>$         23,395</w:t>
            </w:r>
          </w:p>
        </w:tc>
        <w:tc>
          <w:tcPr>
            <w:tcW w:w="1349" w:type="dxa"/>
            <w:vAlign w:val="bottom"/>
          </w:tcPr>
          <w:p w:rsidR="00783F9C" w:rsidRPr="0021453B" w:rsidP="00783F9C" w14:paraId="1D96DF70" w14:textId="1940A4B3">
            <w:pPr>
              <w:rPr>
                <w:sz w:val="18"/>
                <w:szCs w:val="18"/>
              </w:rPr>
            </w:pPr>
            <w:r>
              <w:rPr>
                <w:sz w:val="18"/>
                <w:szCs w:val="18"/>
              </w:rPr>
              <w:t>$              (33)</w:t>
            </w:r>
          </w:p>
        </w:tc>
        <w:tc>
          <w:tcPr>
            <w:tcW w:w="1440" w:type="dxa"/>
            <w:vAlign w:val="bottom"/>
          </w:tcPr>
          <w:p w:rsidR="00783F9C" w:rsidRPr="0021453B" w:rsidP="00783F9C" w14:paraId="40068E26" w14:textId="3EE6FC07">
            <w:pPr>
              <w:rPr>
                <w:sz w:val="18"/>
                <w:szCs w:val="18"/>
              </w:rPr>
            </w:pPr>
            <w:r>
              <w:rPr>
                <w:sz w:val="18"/>
                <w:szCs w:val="18"/>
              </w:rPr>
              <w:t>$              23,362</w:t>
            </w:r>
          </w:p>
        </w:tc>
      </w:tr>
    </w:tbl>
    <w:p w:rsidR="00285D06" w:rsidP="00141D0D" w14:paraId="00D11B45" w14:textId="77777777">
      <w:pPr>
        <w:spacing w:after="240"/>
      </w:pP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3"/>
        <w:gridCol w:w="1347"/>
        <w:gridCol w:w="1440"/>
        <w:gridCol w:w="1351"/>
        <w:gridCol w:w="1349"/>
        <w:gridCol w:w="1440"/>
      </w:tblGrid>
      <w:tr w14:paraId="2F89B326" w14:textId="77777777" w:rsidTr="00285D06">
        <w:tblPrEx>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80"/>
          <w:jc w:val="center"/>
        </w:trPr>
        <w:tc>
          <w:tcPr>
            <w:tcW w:w="2613" w:type="dxa"/>
            <w:vAlign w:val="center"/>
          </w:tcPr>
          <w:p w:rsidR="00285D06" w:rsidRPr="0021453B" w:rsidP="00285D06" w14:paraId="710FDA4A" w14:textId="77777777">
            <w:pPr>
              <w:jc w:val="center"/>
              <w:rPr>
                <w:sz w:val="18"/>
                <w:szCs w:val="18"/>
              </w:rPr>
            </w:pPr>
          </w:p>
        </w:tc>
        <w:tc>
          <w:tcPr>
            <w:tcW w:w="1347" w:type="dxa"/>
            <w:tcBorders>
              <w:bottom w:val="single" w:sz="4" w:space="0" w:color="auto"/>
            </w:tcBorders>
            <w:vAlign w:val="bottom"/>
          </w:tcPr>
          <w:p w:rsidR="00285D06" w:rsidRPr="0021453B" w:rsidP="00285D06" w14:paraId="08364561" w14:textId="77777777">
            <w:pPr>
              <w:jc w:val="center"/>
              <w:rPr>
                <w:sz w:val="18"/>
                <w:szCs w:val="18"/>
              </w:rPr>
            </w:pPr>
            <w:r w:rsidRPr="0021453B">
              <w:rPr>
                <w:b/>
                <w:sz w:val="18"/>
                <w:szCs w:val="18"/>
              </w:rPr>
              <w:t>Dedicated Collections Combined</w:t>
            </w:r>
          </w:p>
        </w:tc>
        <w:tc>
          <w:tcPr>
            <w:tcW w:w="1440" w:type="dxa"/>
            <w:tcBorders>
              <w:bottom w:val="single" w:sz="4" w:space="0" w:color="auto"/>
            </w:tcBorders>
            <w:vAlign w:val="bottom"/>
          </w:tcPr>
          <w:p w:rsidR="00285D06" w:rsidRPr="0021453B" w:rsidP="00285D06" w14:paraId="2510422D" w14:textId="77777777">
            <w:pPr>
              <w:jc w:val="center"/>
              <w:rPr>
                <w:sz w:val="18"/>
                <w:szCs w:val="18"/>
              </w:rPr>
            </w:pPr>
            <w:r w:rsidRPr="0021453B">
              <w:rPr>
                <w:b/>
                <w:sz w:val="18"/>
                <w:szCs w:val="18"/>
              </w:rPr>
              <w:t>All Other Amounts (with Eliminations)</w:t>
            </w:r>
          </w:p>
        </w:tc>
        <w:tc>
          <w:tcPr>
            <w:tcW w:w="1351" w:type="dxa"/>
            <w:tcBorders>
              <w:bottom w:val="single" w:sz="4" w:space="0" w:color="auto"/>
            </w:tcBorders>
            <w:vAlign w:val="bottom"/>
          </w:tcPr>
          <w:p w:rsidR="00285D06" w:rsidRPr="0021453B" w:rsidP="00285D06" w14:paraId="7BC78B11" w14:textId="77777777">
            <w:pPr>
              <w:jc w:val="center"/>
              <w:rPr>
                <w:b/>
                <w:sz w:val="18"/>
                <w:szCs w:val="18"/>
              </w:rPr>
            </w:pPr>
            <w:r w:rsidRPr="0021453B">
              <w:rPr>
                <w:b/>
                <w:sz w:val="18"/>
                <w:szCs w:val="18"/>
              </w:rPr>
              <w:t>Total Combined</w:t>
            </w:r>
          </w:p>
        </w:tc>
        <w:tc>
          <w:tcPr>
            <w:tcW w:w="1349" w:type="dxa"/>
            <w:tcBorders>
              <w:bottom w:val="single" w:sz="4" w:space="0" w:color="auto"/>
            </w:tcBorders>
            <w:vAlign w:val="bottom"/>
          </w:tcPr>
          <w:p w:rsidR="00285D06" w:rsidRPr="0021453B" w:rsidP="00285D06" w14:paraId="312EF966" w14:textId="77777777">
            <w:pPr>
              <w:jc w:val="center"/>
              <w:rPr>
                <w:sz w:val="18"/>
                <w:szCs w:val="18"/>
              </w:rPr>
            </w:pPr>
            <w:r w:rsidRPr="0021453B">
              <w:rPr>
                <w:b/>
                <w:sz w:val="18"/>
                <w:szCs w:val="18"/>
              </w:rPr>
              <w:t>Consolidating Eliminations Between Dedicated &amp; All Other</w:t>
            </w:r>
          </w:p>
        </w:tc>
        <w:tc>
          <w:tcPr>
            <w:tcW w:w="1440" w:type="dxa"/>
            <w:tcBorders>
              <w:bottom w:val="single" w:sz="4" w:space="0" w:color="auto"/>
            </w:tcBorders>
            <w:vAlign w:val="bottom"/>
          </w:tcPr>
          <w:p w:rsidR="00285D06" w:rsidRPr="0021453B" w:rsidP="00285D06" w14:paraId="72227905" w14:textId="77777777">
            <w:pPr>
              <w:jc w:val="center"/>
              <w:rPr>
                <w:b/>
                <w:sz w:val="18"/>
                <w:szCs w:val="18"/>
              </w:rPr>
            </w:pPr>
            <w:r w:rsidRPr="0021453B">
              <w:rPr>
                <w:b/>
                <w:sz w:val="18"/>
                <w:szCs w:val="18"/>
              </w:rPr>
              <w:t>Consolidated</w:t>
            </w:r>
          </w:p>
        </w:tc>
      </w:tr>
      <w:tr w14:paraId="303A2F0C" w14:textId="77777777" w:rsidTr="00AF2174">
        <w:tblPrEx>
          <w:tblW w:w="9540" w:type="dxa"/>
          <w:jc w:val="center"/>
          <w:tblLook w:val="04A0"/>
        </w:tblPrEx>
        <w:trPr>
          <w:jc w:val="center"/>
        </w:trPr>
        <w:tc>
          <w:tcPr>
            <w:tcW w:w="2613" w:type="dxa"/>
            <w:vAlign w:val="bottom"/>
          </w:tcPr>
          <w:p w:rsidR="00285D06" w:rsidRPr="0021453B" w:rsidP="00285D06" w14:paraId="50AA75DF" w14:textId="77777777">
            <w:pPr>
              <w:rPr>
                <w:sz w:val="18"/>
                <w:szCs w:val="18"/>
                <w:u w:val="single"/>
              </w:rPr>
            </w:pPr>
            <w:r w:rsidRPr="0021453B">
              <w:rPr>
                <w:sz w:val="18"/>
                <w:szCs w:val="18"/>
                <w:u w:val="single"/>
              </w:rPr>
              <w:t>FY 2020</w:t>
            </w:r>
          </w:p>
        </w:tc>
        <w:tc>
          <w:tcPr>
            <w:tcW w:w="1347" w:type="dxa"/>
            <w:tcBorders>
              <w:top w:val="single" w:sz="4" w:space="0" w:color="auto"/>
            </w:tcBorders>
            <w:vAlign w:val="center"/>
          </w:tcPr>
          <w:p w:rsidR="00285D06" w:rsidRPr="0021453B" w:rsidP="00285D06" w14:paraId="3678C746" w14:textId="77777777">
            <w:pPr>
              <w:ind w:right="72"/>
              <w:jc w:val="right"/>
              <w:rPr>
                <w:sz w:val="18"/>
                <w:szCs w:val="18"/>
              </w:rPr>
            </w:pPr>
          </w:p>
        </w:tc>
        <w:tc>
          <w:tcPr>
            <w:tcW w:w="1440" w:type="dxa"/>
            <w:tcBorders>
              <w:top w:val="single" w:sz="4" w:space="0" w:color="auto"/>
            </w:tcBorders>
            <w:vAlign w:val="center"/>
          </w:tcPr>
          <w:p w:rsidR="00285D06" w:rsidRPr="0021453B" w:rsidP="00285D06" w14:paraId="5281AB69" w14:textId="77777777">
            <w:pPr>
              <w:ind w:right="72"/>
              <w:jc w:val="right"/>
              <w:rPr>
                <w:sz w:val="18"/>
                <w:szCs w:val="18"/>
              </w:rPr>
            </w:pPr>
          </w:p>
        </w:tc>
        <w:tc>
          <w:tcPr>
            <w:tcW w:w="1351" w:type="dxa"/>
            <w:tcBorders>
              <w:top w:val="single" w:sz="4" w:space="0" w:color="auto"/>
            </w:tcBorders>
            <w:vAlign w:val="center"/>
          </w:tcPr>
          <w:p w:rsidR="00285D06" w:rsidRPr="0021453B" w:rsidP="00285D06" w14:paraId="5399B2F6" w14:textId="77777777">
            <w:pPr>
              <w:ind w:right="72"/>
              <w:jc w:val="right"/>
              <w:rPr>
                <w:sz w:val="18"/>
                <w:szCs w:val="18"/>
              </w:rPr>
            </w:pPr>
          </w:p>
        </w:tc>
        <w:tc>
          <w:tcPr>
            <w:tcW w:w="1349" w:type="dxa"/>
            <w:tcBorders>
              <w:top w:val="single" w:sz="4" w:space="0" w:color="auto"/>
            </w:tcBorders>
            <w:vAlign w:val="center"/>
          </w:tcPr>
          <w:p w:rsidR="00285D06" w:rsidRPr="0021453B" w:rsidP="00285D06" w14:paraId="4A735CB6" w14:textId="77777777">
            <w:pPr>
              <w:jc w:val="right"/>
              <w:rPr>
                <w:sz w:val="18"/>
                <w:szCs w:val="18"/>
              </w:rPr>
            </w:pPr>
          </w:p>
        </w:tc>
        <w:tc>
          <w:tcPr>
            <w:tcW w:w="1440" w:type="dxa"/>
            <w:tcBorders>
              <w:top w:val="single" w:sz="4" w:space="0" w:color="auto"/>
            </w:tcBorders>
            <w:vAlign w:val="center"/>
          </w:tcPr>
          <w:p w:rsidR="00285D06" w:rsidRPr="0021453B" w:rsidP="00285D06" w14:paraId="46B887AF" w14:textId="77777777">
            <w:pPr>
              <w:ind w:right="72"/>
              <w:jc w:val="right"/>
              <w:rPr>
                <w:sz w:val="18"/>
                <w:szCs w:val="18"/>
              </w:rPr>
            </w:pPr>
          </w:p>
        </w:tc>
      </w:tr>
      <w:tr w14:paraId="0650399B" w14:textId="77777777" w:rsidTr="00AF2174">
        <w:tblPrEx>
          <w:tblW w:w="9540" w:type="dxa"/>
          <w:jc w:val="center"/>
          <w:tblLook w:val="04A0"/>
        </w:tblPrEx>
        <w:trPr>
          <w:jc w:val="center"/>
        </w:trPr>
        <w:tc>
          <w:tcPr>
            <w:tcW w:w="2613" w:type="dxa"/>
            <w:vAlign w:val="bottom"/>
          </w:tcPr>
          <w:p w:rsidR="00285D06" w:rsidRPr="0021453B" w:rsidP="00285D06" w14:paraId="432BBD78" w14:textId="77777777">
            <w:pPr>
              <w:rPr>
                <w:sz w:val="18"/>
                <w:szCs w:val="18"/>
              </w:rPr>
            </w:pPr>
            <w:r w:rsidRPr="0021453B">
              <w:rPr>
                <w:sz w:val="18"/>
                <w:szCs w:val="18"/>
              </w:rPr>
              <w:t xml:space="preserve">Assets with </w:t>
            </w:r>
            <w:r>
              <w:rPr>
                <w:sz w:val="18"/>
                <w:szCs w:val="18"/>
              </w:rPr>
              <w:t>the p</w:t>
            </w:r>
            <w:r w:rsidRPr="0021453B">
              <w:rPr>
                <w:sz w:val="18"/>
                <w:szCs w:val="18"/>
              </w:rPr>
              <w:t>ublic</w:t>
            </w:r>
          </w:p>
        </w:tc>
        <w:tc>
          <w:tcPr>
            <w:tcW w:w="1347" w:type="dxa"/>
            <w:vAlign w:val="bottom"/>
          </w:tcPr>
          <w:p w:rsidR="00285D06" w:rsidRPr="0021453B" w:rsidP="00285D06" w14:paraId="001083D5" w14:textId="77777777">
            <w:pPr>
              <w:ind w:right="72"/>
              <w:jc w:val="right"/>
              <w:rPr>
                <w:sz w:val="18"/>
                <w:szCs w:val="18"/>
              </w:rPr>
            </w:pPr>
          </w:p>
        </w:tc>
        <w:tc>
          <w:tcPr>
            <w:tcW w:w="1440" w:type="dxa"/>
            <w:vAlign w:val="bottom"/>
          </w:tcPr>
          <w:p w:rsidR="00285D06" w:rsidRPr="0021453B" w:rsidP="00285D06" w14:paraId="149E30B0" w14:textId="77777777">
            <w:pPr>
              <w:ind w:right="72"/>
              <w:jc w:val="right"/>
              <w:rPr>
                <w:sz w:val="18"/>
                <w:szCs w:val="18"/>
              </w:rPr>
            </w:pPr>
          </w:p>
        </w:tc>
        <w:tc>
          <w:tcPr>
            <w:tcW w:w="1351" w:type="dxa"/>
            <w:vAlign w:val="bottom"/>
          </w:tcPr>
          <w:p w:rsidR="00285D06" w:rsidRPr="0021453B" w:rsidP="00285D06" w14:paraId="13BE8D29" w14:textId="77777777">
            <w:pPr>
              <w:ind w:right="72"/>
              <w:jc w:val="right"/>
              <w:rPr>
                <w:sz w:val="18"/>
                <w:szCs w:val="18"/>
              </w:rPr>
            </w:pPr>
          </w:p>
        </w:tc>
        <w:tc>
          <w:tcPr>
            <w:tcW w:w="1349" w:type="dxa"/>
            <w:vAlign w:val="bottom"/>
          </w:tcPr>
          <w:p w:rsidR="00285D06" w:rsidRPr="0021453B" w:rsidP="00285D06" w14:paraId="103A0807" w14:textId="77777777">
            <w:pPr>
              <w:jc w:val="right"/>
              <w:rPr>
                <w:sz w:val="18"/>
                <w:szCs w:val="18"/>
              </w:rPr>
            </w:pPr>
          </w:p>
        </w:tc>
        <w:tc>
          <w:tcPr>
            <w:tcW w:w="1440" w:type="dxa"/>
            <w:vAlign w:val="bottom"/>
          </w:tcPr>
          <w:p w:rsidR="00285D06" w:rsidRPr="0021453B" w:rsidP="00285D06" w14:paraId="1D52A352" w14:textId="77777777">
            <w:pPr>
              <w:ind w:right="72"/>
              <w:jc w:val="right"/>
              <w:rPr>
                <w:sz w:val="18"/>
                <w:szCs w:val="18"/>
              </w:rPr>
            </w:pPr>
          </w:p>
        </w:tc>
      </w:tr>
      <w:tr w14:paraId="0F500D0F" w14:textId="77777777" w:rsidTr="00AF2174">
        <w:tblPrEx>
          <w:tblW w:w="9540" w:type="dxa"/>
          <w:jc w:val="center"/>
          <w:tblLook w:val="04A0"/>
        </w:tblPrEx>
        <w:trPr>
          <w:jc w:val="center"/>
        </w:trPr>
        <w:tc>
          <w:tcPr>
            <w:tcW w:w="2613" w:type="dxa"/>
            <w:vAlign w:val="bottom"/>
          </w:tcPr>
          <w:p w:rsidR="00A21BB4" w:rsidRPr="0021453B" w:rsidP="00A40DEC" w14:paraId="05380B03" w14:textId="77777777">
            <w:pPr>
              <w:ind w:left="432"/>
              <w:rPr>
                <w:sz w:val="18"/>
                <w:szCs w:val="18"/>
              </w:rPr>
            </w:pPr>
            <w:r w:rsidRPr="0021453B">
              <w:rPr>
                <w:sz w:val="18"/>
                <w:szCs w:val="18"/>
              </w:rPr>
              <w:t>Accounts Receivable, Net</w:t>
            </w:r>
          </w:p>
        </w:tc>
        <w:tc>
          <w:tcPr>
            <w:tcW w:w="1347" w:type="dxa"/>
            <w:vAlign w:val="bottom"/>
          </w:tcPr>
          <w:p w:rsidR="00A21BB4" w:rsidRPr="0021453B" w:rsidP="00A21BB4" w14:paraId="520B18E7" w14:textId="2A8A8765">
            <w:pPr>
              <w:rPr>
                <w:sz w:val="18"/>
                <w:szCs w:val="18"/>
              </w:rPr>
            </w:pPr>
            <w:r>
              <w:rPr>
                <w:sz w:val="18"/>
                <w:szCs w:val="18"/>
              </w:rPr>
              <w:t>$          766,716</w:t>
            </w:r>
          </w:p>
        </w:tc>
        <w:tc>
          <w:tcPr>
            <w:tcW w:w="1440" w:type="dxa"/>
            <w:vAlign w:val="bottom"/>
          </w:tcPr>
          <w:p w:rsidR="00A21BB4" w:rsidRPr="0021453B" w:rsidP="00A21BB4" w14:paraId="0EC73335" w14:textId="7CA4F1CE">
            <w:pPr>
              <w:rPr>
                <w:sz w:val="18"/>
                <w:szCs w:val="18"/>
              </w:rPr>
            </w:pPr>
            <w:r>
              <w:rPr>
                <w:sz w:val="18"/>
                <w:szCs w:val="18"/>
              </w:rPr>
              <w:t>$            21,834</w:t>
            </w:r>
          </w:p>
        </w:tc>
        <w:tc>
          <w:tcPr>
            <w:tcW w:w="1351" w:type="dxa"/>
            <w:vAlign w:val="bottom"/>
          </w:tcPr>
          <w:p w:rsidR="00A21BB4" w:rsidRPr="0021453B" w:rsidP="00A21BB4" w14:paraId="0B043134" w14:textId="6F475039">
            <w:pPr>
              <w:rPr>
                <w:sz w:val="18"/>
                <w:szCs w:val="18"/>
              </w:rPr>
            </w:pPr>
            <w:r>
              <w:rPr>
                <w:sz w:val="18"/>
                <w:szCs w:val="18"/>
              </w:rPr>
              <w:t>$        788,550</w:t>
            </w:r>
          </w:p>
        </w:tc>
        <w:tc>
          <w:tcPr>
            <w:tcW w:w="1349" w:type="dxa"/>
            <w:vAlign w:val="bottom"/>
          </w:tcPr>
          <w:p w:rsidR="00A21BB4" w:rsidRPr="0021453B" w:rsidP="00A21BB4" w14:paraId="3AE04D2A" w14:textId="56DDAD39">
            <w:pPr>
              <w:rPr>
                <w:sz w:val="18"/>
                <w:szCs w:val="18"/>
              </w:rPr>
            </w:pPr>
            <w:r>
              <w:rPr>
                <w:sz w:val="18"/>
                <w:szCs w:val="18"/>
              </w:rPr>
              <w:t>$              (49)</w:t>
            </w:r>
          </w:p>
        </w:tc>
        <w:tc>
          <w:tcPr>
            <w:tcW w:w="1440" w:type="dxa"/>
            <w:vAlign w:val="bottom"/>
          </w:tcPr>
          <w:p w:rsidR="00A21BB4" w:rsidRPr="0021453B" w:rsidP="00A21BB4" w14:paraId="49FD23B7" w14:textId="125369B1">
            <w:pPr>
              <w:rPr>
                <w:sz w:val="18"/>
                <w:szCs w:val="18"/>
              </w:rPr>
            </w:pPr>
            <w:r>
              <w:rPr>
                <w:sz w:val="18"/>
                <w:szCs w:val="18"/>
              </w:rPr>
              <w:t>$            788,501</w:t>
            </w:r>
          </w:p>
        </w:tc>
      </w:tr>
      <w:tr w14:paraId="74B1AF77" w14:textId="77777777" w:rsidTr="00AF2174">
        <w:tblPrEx>
          <w:tblW w:w="9540" w:type="dxa"/>
          <w:jc w:val="center"/>
          <w:tblLook w:val="04A0"/>
        </w:tblPrEx>
        <w:trPr>
          <w:trHeight w:val="396"/>
          <w:jc w:val="center"/>
        </w:trPr>
        <w:tc>
          <w:tcPr>
            <w:tcW w:w="2613" w:type="dxa"/>
            <w:vAlign w:val="bottom"/>
          </w:tcPr>
          <w:p w:rsidR="00A21BB4" w:rsidRPr="0021453B" w:rsidP="00A21BB4" w14:paraId="195AC58F" w14:textId="77777777">
            <w:pPr>
              <w:rPr>
                <w:sz w:val="18"/>
                <w:szCs w:val="18"/>
              </w:rPr>
            </w:pPr>
            <w:r>
              <w:rPr>
                <w:sz w:val="18"/>
                <w:szCs w:val="18"/>
              </w:rPr>
              <w:t>Liabilities with the public</w:t>
            </w:r>
          </w:p>
        </w:tc>
        <w:tc>
          <w:tcPr>
            <w:tcW w:w="1347" w:type="dxa"/>
            <w:vAlign w:val="bottom"/>
          </w:tcPr>
          <w:p w:rsidR="00A21BB4" w:rsidRPr="0021453B" w:rsidP="00A21BB4" w14:paraId="4A59AE9A" w14:textId="77777777">
            <w:pPr>
              <w:rPr>
                <w:sz w:val="18"/>
                <w:szCs w:val="18"/>
              </w:rPr>
            </w:pPr>
          </w:p>
        </w:tc>
        <w:tc>
          <w:tcPr>
            <w:tcW w:w="1440" w:type="dxa"/>
            <w:vAlign w:val="bottom"/>
          </w:tcPr>
          <w:p w:rsidR="00A21BB4" w:rsidRPr="0021453B" w:rsidP="00A21BB4" w14:paraId="6D8C37DD" w14:textId="77777777">
            <w:pPr>
              <w:rPr>
                <w:sz w:val="18"/>
                <w:szCs w:val="18"/>
              </w:rPr>
            </w:pPr>
          </w:p>
        </w:tc>
        <w:tc>
          <w:tcPr>
            <w:tcW w:w="1351" w:type="dxa"/>
            <w:tcBorders>
              <w:left w:val="nil"/>
            </w:tcBorders>
            <w:vAlign w:val="bottom"/>
          </w:tcPr>
          <w:p w:rsidR="00A21BB4" w:rsidRPr="0021453B" w:rsidP="00A21BB4" w14:paraId="37480508" w14:textId="77777777">
            <w:pPr>
              <w:rPr>
                <w:sz w:val="18"/>
                <w:szCs w:val="18"/>
              </w:rPr>
            </w:pPr>
          </w:p>
        </w:tc>
        <w:tc>
          <w:tcPr>
            <w:tcW w:w="1349" w:type="dxa"/>
            <w:vAlign w:val="bottom"/>
          </w:tcPr>
          <w:p w:rsidR="00A21BB4" w:rsidRPr="0021453B" w:rsidP="00A21BB4" w14:paraId="60F5E589" w14:textId="77777777">
            <w:pPr>
              <w:rPr>
                <w:sz w:val="18"/>
                <w:szCs w:val="18"/>
              </w:rPr>
            </w:pPr>
          </w:p>
        </w:tc>
        <w:tc>
          <w:tcPr>
            <w:tcW w:w="1440" w:type="dxa"/>
            <w:vAlign w:val="bottom"/>
          </w:tcPr>
          <w:p w:rsidR="00A21BB4" w:rsidRPr="0021453B" w:rsidP="00A21BB4" w14:paraId="5473AC9C" w14:textId="77777777">
            <w:pPr>
              <w:rPr>
                <w:sz w:val="18"/>
                <w:szCs w:val="18"/>
              </w:rPr>
            </w:pPr>
          </w:p>
        </w:tc>
      </w:tr>
      <w:tr w14:paraId="223BB3F8" w14:textId="77777777" w:rsidTr="00AF2174">
        <w:tblPrEx>
          <w:tblW w:w="9540" w:type="dxa"/>
          <w:jc w:val="center"/>
          <w:tblLook w:val="04A0"/>
        </w:tblPrEx>
        <w:trPr>
          <w:jc w:val="center"/>
        </w:trPr>
        <w:tc>
          <w:tcPr>
            <w:tcW w:w="2613" w:type="dxa"/>
            <w:vAlign w:val="bottom"/>
          </w:tcPr>
          <w:p w:rsidR="00A21BB4" w:rsidRPr="0021453B" w:rsidP="00A40DEC" w14:paraId="65FDAF01" w14:textId="77777777">
            <w:pPr>
              <w:ind w:left="432"/>
              <w:rPr>
                <w:sz w:val="18"/>
                <w:szCs w:val="18"/>
              </w:rPr>
            </w:pPr>
            <w:r>
              <w:rPr>
                <w:sz w:val="18"/>
                <w:szCs w:val="18"/>
              </w:rPr>
              <w:t>Other</w:t>
            </w:r>
          </w:p>
        </w:tc>
        <w:tc>
          <w:tcPr>
            <w:tcW w:w="1347" w:type="dxa"/>
            <w:vAlign w:val="bottom"/>
          </w:tcPr>
          <w:p w:rsidR="00A21BB4" w:rsidRPr="0021453B" w:rsidP="00A21BB4" w14:paraId="502FB119" w14:textId="1D2D0413">
            <w:pPr>
              <w:rPr>
                <w:sz w:val="18"/>
                <w:szCs w:val="18"/>
              </w:rPr>
            </w:pPr>
            <w:r>
              <w:rPr>
                <w:sz w:val="18"/>
                <w:szCs w:val="18"/>
              </w:rPr>
              <w:t>$                     -</w:t>
            </w:r>
          </w:p>
        </w:tc>
        <w:tc>
          <w:tcPr>
            <w:tcW w:w="1440" w:type="dxa"/>
            <w:vAlign w:val="bottom"/>
          </w:tcPr>
          <w:p w:rsidR="00A21BB4" w:rsidRPr="0021453B" w:rsidP="00A21BB4" w14:paraId="50A9EFF6" w14:textId="61C958E5">
            <w:pPr>
              <w:rPr>
                <w:sz w:val="18"/>
                <w:szCs w:val="18"/>
              </w:rPr>
            </w:pPr>
            <w:r>
              <w:rPr>
                <w:sz w:val="18"/>
                <w:szCs w:val="18"/>
              </w:rPr>
              <w:t>$           28,028</w:t>
            </w:r>
          </w:p>
        </w:tc>
        <w:tc>
          <w:tcPr>
            <w:tcW w:w="1351" w:type="dxa"/>
            <w:tcBorders>
              <w:left w:val="nil"/>
            </w:tcBorders>
            <w:vAlign w:val="bottom"/>
          </w:tcPr>
          <w:p w:rsidR="00A21BB4" w:rsidRPr="0021453B" w:rsidP="00A21BB4" w14:paraId="22678F14" w14:textId="14DC6AD3">
            <w:pPr>
              <w:rPr>
                <w:sz w:val="18"/>
                <w:szCs w:val="18"/>
              </w:rPr>
            </w:pPr>
            <w:r>
              <w:rPr>
                <w:sz w:val="18"/>
                <w:szCs w:val="18"/>
              </w:rPr>
              <w:t>$         28,028</w:t>
            </w:r>
          </w:p>
        </w:tc>
        <w:tc>
          <w:tcPr>
            <w:tcW w:w="1349" w:type="dxa"/>
            <w:vAlign w:val="bottom"/>
          </w:tcPr>
          <w:p w:rsidR="00A21BB4" w:rsidRPr="0021453B" w:rsidP="00A21BB4" w14:paraId="79E8BC84" w14:textId="427A4733">
            <w:pPr>
              <w:rPr>
                <w:sz w:val="18"/>
                <w:szCs w:val="18"/>
              </w:rPr>
            </w:pPr>
            <w:r>
              <w:rPr>
                <w:sz w:val="18"/>
                <w:szCs w:val="18"/>
              </w:rPr>
              <w:t>$              (49)</w:t>
            </w:r>
          </w:p>
        </w:tc>
        <w:tc>
          <w:tcPr>
            <w:tcW w:w="1440" w:type="dxa"/>
            <w:vAlign w:val="bottom"/>
          </w:tcPr>
          <w:p w:rsidR="00A21BB4" w:rsidRPr="0021453B" w:rsidP="00A21BB4" w14:paraId="70951461" w14:textId="6DD2CB23">
            <w:pPr>
              <w:rPr>
                <w:sz w:val="18"/>
                <w:szCs w:val="18"/>
              </w:rPr>
            </w:pPr>
            <w:r>
              <w:rPr>
                <w:sz w:val="18"/>
                <w:szCs w:val="18"/>
              </w:rPr>
              <w:t>$              27,979</w:t>
            </w:r>
          </w:p>
        </w:tc>
      </w:tr>
    </w:tbl>
    <w:p w:rsidR="00285D06" w:rsidRPr="004A488C" w:rsidP="00597A22" w14:paraId="71591102" w14:textId="33617F64">
      <w:pPr>
        <w:pStyle w:val="Heading4"/>
        <w:spacing w:before="480" w:after="360"/>
        <w:rPr>
          <w:sz w:val="22"/>
          <w:szCs w:val="22"/>
        </w:rPr>
      </w:pPr>
      <w:bookmarkStart w:id="256" w:name="_Toc88780705"/>
      <w:r w:rsidRPr="004A488C">
        <w:rPr>
          <w:sz w:val="22"/>
          <w:szCs w:val="22"/>
        </w:rPr>
        <w:t>Note 10 – Inter-Entity Costs</w:t>
      </w:r>
      <w:bookmarkEnd w:id="256"/>
      <w:r w:rsidRPr="004A488C" w:rsidR="00C933B2">
        <w:rPr>
          <w:sz w:val="22"/>
          <w:szCs w:val="22"/>
        </w:rPr>
        <w:t xml:space="preserve"> </w:t>
      </w:r>
    </w:p>
    <w:p w:rsidR="00285D06" w:rsidRPr="00BA1E56" w:rsidP="004A488C" w14:paraId="550B10C3" w14:textId="3A797C45">
      <w:pPr>
        <w:spacing w:after="480"/>
        <w:jc w:val="both"/>
        <w:rPr>
          <w:sz w:val="22"/>
          <w:szCs w:val="22"/>
        </w:rPr>
      </w:pPr>
      <w:r w:rsidRPr="00BA1E56">
        <w:rPr>
          <w:sz w:val="22"/>
          <w:szCs w:val="22"/>
        </w:rPr>
        <w:t>Goods and services are received from other federal entities at no cost or at a cost less than the full cost to the providing federal entity.</w:t>
      </w:r>
      <w:r w:rsidR="00C933B2">
        <w:rPr>
          <w:sz w:val="22"/>
          <w:szCs w:val="22"/>
        </w:rPr>
        <w:t xml:space="preserve"> </w:t>
      </w:r>
      <w:r w:rsidRPr="00BA1E56">
        <w:rPr>
          <w:sz w:val="22"/>
          <w:szCs w:val="22"/>
        </w:rPr>
        <w:t>Consistent with accounting standards, certain costs of the providing entity that are not fully reimbursed by the Commission are recognized as imputed cost in the Statement of Net Cost and are offset by imputed revenue in the Statement of Changes in Net Position.</w:t>
      </w:r>
      <w:r w:rsidR="00C933B2">
        <w:rPr>
          <w:sz w:val="22"/>
          <w:szCs w:val="22"/>
        </w:rPr>
        <w:t xml:space="preserve"> </w:t>
      </w:r>
      <w:r w:rsidRPr="00BA1E56">
        <w:rPr>
          <w:sz w:val="22"/>
          <w:szCs w:val="22"/>
        </w:rPr>
        <w:t>Such imputed costs and revenues relate to employee benefits.</w:t>
      </w:r>
      <w:r w:rsidR="00C933B2">
        <w:rPr>
          <w:sz w:val="22"/>
          <w:szCs w:val="22"/>
        </w:rPr>
        <w:t xml:space="preserve"> </w:t>
      </w:r>
      <w:r w:rsidRPr="00BA1E56">
        <w:rPr>
          <w:sz w:val="22"/>
          <w:szCs w:val="22"/>
        </w:rPr>
        <w:t xml:space="preserve">However, unreimbursed costs of goods and services other than those identified above are not included in our financial statements. </w:t>
      </w:r>
    </w:p>
    <w:p w:rsidR="00285D06" w:rsidRPr="0011086A" w:rsidP="004745C2" w14:paraId="0E8B7263" w14:textId="77777777">
      <w:pPr>
        <w:pStyle w:val="Heading4"/>
        <w:rPr>
          <w:sz w:val="22"/>
          <w:szCs w:val="22"/>
        </w:rPr>
      </w:pPr>
      <w:bookmarkStart w:id="257" w:name="_Toc88780706"/>
      <w:r w:rsidRPr="0011086A">
        <w:rPr>
          <w:sz w:val="22"/>
          <w:szCs w:val="22"/>
        </w:rPr>
        <w:t>Note 11 – Undelivered Orders at the End of the Period</w:t>
      </w:r>
      <w:bookmarkEnd w:id="257"/>
    </w:p>
    <w:p w:rsidR="00285D06" w:rsidP="0011086A" w14:paraId="780F5CBA" w14:textId="4172D4A6">
      <w:pPr>
        <w:spacing w:after="240"/>
        <w:jc w:val="both"/>
        <w:rPr>
          <w:sz w:val="22"/>
          <w:szCs w:val="22"/>
        </w:rPr>
      </w:pPr>
      <w:r w:rsidRPr="2DBFB3BB">
        <w:rPr>
          <w:sz w:val="22"/>
          <w:szCs w:val="22"/>
        </w:rPr>
        <w:t>The amount of budgetary resources obligated for undelivered orders totaled $16,</w:t>
      </w:r>
      <w:r>
        <w:rPr>
          <w:sz w:val="22"/>
          <w:szCs w:val="22"/>
        </w:rPr>
        <w:t>812,274</w:t>
      </w:r>
      <w:r w:rsidRPr="2DBFB3BB">
        <w:rPr>
          <w:sz w:val="22"/>
          <w:szCs w:val="22"/>
        </w:rPr>
        <w:t xml:space="preserve"> as of </w:t>
      </w:r>
      <w:r>
        <w:rPr>
          <w:sz w:val="22"/>
          <w:szCs w:val="22"/>
        </w:rPr>
        <w:t>September 30, 2021</w:t>
      </w:r>
      <w:r w:rsidRPr="2DBFB3BB">
        <w:rPr>
          <w:sz w:val="22"/>
          <w:szCs w:val="22"/>
        </w:rPr>
        <w:t xml:space="preserve"> and $15,823,352 as of September 30, 2020.</w:t>
      </w:r>
      <w:r w:rsidR="00C933B2">
        <w:rPr>
          <w:sz w:val="22"/>
          <w:szCs w:val="22"/>
        </w:rPr>
        <w:t xml:space="preserve"> </w:t>
      </w:r>
      <w:r w:rsidRPr="2DBFB3BB">
        <w:rPr>
          <w:sz w:val="22"/>
          <w:szCs w:val="22"/>
        </w:rPr>
        <w:t xml:space="preserve">The following summarizes Undelivered Orders as of </w:t>
      </w:r>
      <w:r>
        <w:rPr>
          <w:sz w:val="22"/>
          <w:szCs w:val="22"/>
        </w:rPr>
        <w:t>September 30, 2021</w:t>
      </w:r>
      <w:r w:rsidRPr="2DBFB3BB">
        <w:rPr>
          <w:sz w:val="22"/>
          <w:szCs w:val="22"/>
        </w:rPr>
        <w:t xml:space="preserve"> and September 30, 2020:</w:t>
      </w:r>
      <w:r w:rsidR="00C933B2">
        <w:rPr>
          <w:sz w:val="22"/>
          <w:szCs w:val="22"/>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1"/>
        <w:gridCol w:w="1526"/>
        <w:gridCol w:w="1611"/>
        <w:gridCol w:w="1652"/>
      </w:tblGrid>
      <w:tr w14:paraId="44F4366C" w14:textId="77777777" w:rsidTr="00FF3584">
        <w:tblPrEx>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315" w:type="dxa"/>
          </w:tcPr>
          <w:p w:rsidR="000F7B3A" w:rsidRPr="00BA1E56" w:rsidP="00285D06" w14:paraId="4846E631" w14:textId="77777777">
            <w:pPr>
              <w:rPr>
                <w:bCs/>
                <w:sz w:val="22"/>
                <w:szCs w:val="22"/>
                <w:u w:val="single"/>
              </w:rPr>
            </w:pPr>
            <w:r w:rsidRPr="00BA1E56">
              <w:rPr>
                <w:bCs/>
                <w:sz w:val="22"/>
                <w:szCs w:val="22"/>
                <w:u w:val="single"/>
              </w:rPr>
              <w:t>FY 202</w:t>
            </w:r>
            <w:r>
              <w:rPr>
                <w:bCs/>
                <w:sz w:val="22"/>
                <w:szCs w:val="22"/>
                <w:u w:val="single"/>
              </w:rPr>
              <w:t>1</w:t>
            </w:r>
          </w:p>
        </w:tc>
        <w:tc>
          <w:tcPr>
            <w:tcW w:w="1440" w:type="dxa"/>
            <w:tcBorders>
              <w:bottom w:val="single" w:sz="4" w:space="0" w:color="auto"/>
            </w:tcBorders>
          </w:tcPr>
          <w:p w:rsidR="000F7B3A" w:rsidRPr="00BA1E56" w:rsidP="00285D06" w14:paraId="62F9C70F" w14:textId="77777777">
            <w:pPr>
              <w:jc w:val="center"/>
              <w:rPr>
                <w:bCs/>
                <w:sz w:val="22"/>
                <w:szCs w:val="22"/>
              </w:rPr>
            </w:pPr>
            <w:r w:rsidRPr="00BA1E56">
              <w:rPr>
                <w:bCs/>
                <w:sz w:val="22"/>
                <w:szCs w:val="22"/>
              </w:rPr>
              <w:t>Federal</w:t>
            </w:r>
          </w:p>
        </w:tc>
        <w:tc>
          <w:tcPr>
            <w:tcW w:w="1521" w:type="dxa"/>
            <w:tcBorders>
              <w:bottom w:val="single" w:sz="4" w:space="0" w:color="auto"/>
            </w:tcBorders>
          </w:tcPr>
          <w:p w:rsidR="000F7B3A" w:rsidRPr="00BA1E56" w:rsidP="00285D06" w14:paraId="4526F2FC" w14:textId="77777777">
            <w:pPr>
              <w:jc w:val="center"/>
              <w:rPr>
                <w:bCs/>
                <w:sz w:val="22"/>
                <w:szCs w:val="22"/>
              </w:rPr>
            </w:pPr>
            <w:r w:rsidRPr="00BA1E56">
              <w:rPr>
                <w:bCs/>
                <w:sz w:val="22"/>
                <w:szCs w:val="22"/>
              </w:rPr>
              <w:t>Non-Federal</w:t>
            </w:r>
          </w:p>
        </w:tc>
        <w:tc>
          <w:tcPr>
            <w:tcW w:w="1559" w:type="dxa"/>
            <w:tcBorders>
              <w:bottom w:val="single" w:sz="4" w:space="0" w:color="auto"/>
            </w:tcBorders>
          </w:tcPr>
          <w:p w:rsidR="000F7B3A" w:rsidRPr="00BA1E56" w:rsidP="00285D06" w14:paraId="1A44300E" w14:textId="77777777">
            <w:pPr>
              <w:jc w:val="center"/>
              <w:rPr>
                <w:bCs/>
                <w:sz w:val="22"/>
                <w:szCs w:val="22"/>
              </w:rPr>
            </w:pPr>
            <w:r w:rsidRPr="00BA1E56">
              <w:rPr>
                <w:bCs/>
                <w:sz w:val="22"/>
                <w:szCs w:val="22"/>
              </w:rPr>
              <w:t>Total</w:t>
            </w:r>
          </w:p>
        </w:tc>
      </w:tr>
      <w:tr w14:paraId="4AD2F125" w14:textId="77777777" w:rsidTr="00FF3584">
        <w:tblPrEx>
          <w:tblW w:w="5000" w:type="pct"/>
          <w:jc w:val="center"/>
          <w:tblLook w:val="04A0"/>
        </w:tblPrEx>
        <w:trPr>
          <w:jc w:val="center"/>
        </w:trPr>
        <w:tc>
          <w:tcPr>
            <w:tcW w:w="4315" w:type="dxa"/>
          </w:tcPr>
          <w:p w:rsidR="000F7B3A" w:rsidRPr="00BA1E56" w:rsidP="002949AF" w14:paraId="67D89397" w14:textId="77777777">
            <w:pPr>
              <w:rPr>
                <w:bCs/>
                <w:sz w:val="22"/>
                <w:szCs w:val="22"/>
              </w:rPr>
            </w:pPr>
            <w:r w:rsidRPr="00BA1E56">
              <w:rPr>
                <w:bCs/>
                <w:sz w:val="22"/>
                <w:szCs w:val="22"/>
              </w:rPr>
              <w:t>Undelivered Orders-Unpaid</w:t>
            </w:r>
          </w:p>
        </w:tc>
        <w:tc>
          <w:tcPr>
            <w:tcW w:w="1440" w:type="dxa"/>
            <w:tcBorders>
              <w:top w:val="single" w:sz="4" w:space="0" w:color="auto"/>
            </w:tcBorders>
          </w:tcPr>
          <w:p w:rsidR="000F7B3A" w:rsidRPr="00BA1E56" w:rsidP="002949AF" w14:paraId="7AA2F732" w14:textId="1FDE4F77">
            <w:pPr>
              <w:jc w:val="right"/>
              <w:rPr>
                <w:sz w:val="22"/>
                <w:szCs w:val="22"/>
              </w:rPr>
            </w:pPr>
            <w:r w:rsidRPr="63D94EB6">
              <w:rPr>
                <w:sz w:val="22"/>
                <w:szCs w:val="22"/>
              </w:rPr>
              <w:t xml:space="preserve">$     </w:t>
            </w:r>
            <w:r>
              <w:rPr>
                <w:sz w:val="22"/>
                <w:szCs w:val="22"/>
              </w:rPr>
              <w:t xml:space="preserve">   </w:t>
            </w:r>
            <w:r w:rsidRPr="63D94EB6">
              <w:rPr>
                <w:sz w:val="22"/>
                <w:szCs w:val="22"/>
              </w:rPr>
              <w:t xml:space="preserve">   </w:t>
            </w:r>
            <w:r w:rsidRPr="5002292C">
              <w:rPr>
                <w:sz w:val="22"/>
                <w:szCs w:val="22"/>
              </w:rPr>
              <w:t>5,62</w:t>
            </w:r>
            <w:r>
              <w:rPr>
                <w:sz w:val="22"/>
                <w:szCs w:val="22"/>
              </w:rPr>
              <w:t>7</w:t>
            </w:r>
          </w:p>
        </w:tc>
        <w:tc>
          <w:tcPr>
            <w:tcW w:w="1521" w:type="dxa"/>
            <w:tcBorders>
              <w:top w:val="single" w:sz="4" w:space="0" w:color="auto"/>
            </w:tcBorders>
          </w:tcPr>
          <w:p w:rsidR="000F7B3A" w:rsidRPr="00BA1E56" w:rsidP="002949AF" w14:paraId="5F16E253" w14:textId="17B8391D">
            <w:pPr>
              <w:jc w:val="right"/>
              <w:rPr>
                <w:sz w:val="22"/>
                <w:szCs w:val="22"/>
              </w:rPr>
            </w:pPr>
            <w:r w:rsidRPr="63D94EB6">
              <w:rPr>
                <w:sz w:val="22"/>
                <w:szCs w:val="22"/>
              </w:rPr>
              <w:t xml:space="preserve">$ </w:t>
            </w:r>
            <w:r>
              <w:rPr>
                <w:sz w:val="22"/>
                <w:szCs w:val="22"/>
              </w:rPr>
              <w:t xml:space="preserve">  </w:t>
            </w:r>
            <w:r w:rsidRPr="63D94EB6">
              <w:rPr>
                <w:sz w:val="22"/>
                <w:szCs w:val="22"/>
              </w:rPr>
              <w:t>16,</w:t>
            </w:r>
            <w:r>
              <w:rPr>
                <w:sz w:val="22"/>
                <w:szCs w:val="22"/>
              </w:rPr>
              <w:t>786,984</w:t>
            </w:r>
          </w:p>
        </w:tc>
        <w:tc>
          <w:tcPr>
            <w:tcW w:w="1559" w:type="dxa"/>
            <w:tcBorders>
              <w:top w:val="single" w:sz="4" w:space="0" w:color="auto"/>
            </w:tcBorders>
          </w:tcPr>
          <w:p w:rsidR="000F7B3A" w:rsidRPr="00BA1E56" w:rsidP="002949AF" w14:paraId="63F50BCF" w14:textId="22A90BC7">
            <w:pPr>
              <w:jc w:val="right"/>
              <w:rPr>
                <w:sz w:val="22"/>
                <w:szCs w:val="22"/>
              </w:rPr>
            </w:pPr>
            <w:r w:rsidRPr="63D94EB6">
              <w:rPr>
                <w:sz w:val="22"/>
                <w:szCs w:val="22"/>
              </w:rPr>
              <w:t xml:space="preserve">$  </w:t>
            </w:r>
            <w:r>
              <w:rPr>
                <w:sz w:val="22"/>
                <w:szCs w:val="22"/>
              </w:rPr>
              <w:t xml:space="preserve"> </w:t>
            </w:r>
            <w:r w:rsidRPr="63D94EB6">
              <w:rPr>
                <w:sz w:val="22"/>
                <w:szCs w:val="22"/>
              </w:rPr>
              <w:t xml:space="preserve"> 16,</w:t>
            </w:r>
            <w:r>
              <w:rPr>
                <w:sz w:val="22"/>
                <w:szCs w:val="22"/>
              </w:rPr>
              <w:t>792,611</w:t>
            </w:r>
          </w:p>
        </w:tc>
      </w:tr>
      <w:tr w14:paraId="76AB09D1" w14:textId="77777777" w:rsidTr="00FF3584">
        <w:tblPrEx>
          <w:tblW w:w="5000" w:type="pct"/>
          <w:jc w:val="center"/>
          <w:tblLook w:val="04A0"/>
        </w:tblPrEx>
        <w:trPr>
          <w:trHeight w:val="288"/>
          <w:jc w:val="center"/>
        </w:trPr>
        <w:tc>
          <w:tcPr>
            <w:tcW w:w="4315" w:type="dxa"/>
          </w:tcPr>
          <w:p w:rsidR="000F7B3A" w:rsidRPr="00BA1E56" w:rsidP="002949AF" w14:paraId="1979F654" w14:textId="77777777">
            <w:pPr>
              <w:rPr>
                <w:bCs/>
                <w:sz w:val="22"/>
                <w:szCs w:val="22"/>
              </w:rPr>
            </w:pPr>
            <w:r w:rsidRPr="00BA1E56">
              <w:rPr>
                <w:bCs/>
                <w:sz w:val="22"/>
                <w:szCs w:val="22"/>
              </w:rPr>
              <w:t>Undelivered Orders-Paid</w:t>
            </w:r>
          </w:p>
        </w:tc>
        <w:tc>
          <w:tcPr>
            <w:tcW w:w="1440" w:type="dxa"/>
            <w:tcBorders>
              <w:bottom w:val="single" w:sz="4" w:space="0" w:color="auto"/>
            </w:tcBorders>
          </w:tcPr>
          <w:p w:rsidR="000F7B3A" w:rsidRPr="00BA1E56" w:rsidP="002949AF" w14:paraId="76EBBED7" w14:textId="06609B22">
            <w:pPr>
              <w:jc w:val="right"/>
              <w:rPr>
                <w:bCs/>
                <w:sz w:val="22"/>
                <w:szCs w:val="22"/>
              </w:rPr>
            </w:pPr>
            <w:r w:rsidRPr="5002292C">
              <w:rPr>
                <w:sz w:val="22"/>
                <w:szCs w:val="22"/>
              </w:rPr>
              <w:t>1,639</w:t>
            </w:r>
          </w:p>
        </w:tc>
        <w:tc>
          <w:tcPr>
            <w:tcW w:w="1521" w:type="dxa"/>
            <w:tcBorders>
              <w:bottom w:val="single" w:sz="4" w:space="0" w:color="auto"/>
            </w:tcBorders>
          </w:tcPr>
          <w:p w:rsidR="000F7B3A" w:rsidRPr="00BA1E56" w:rsidP="002949AF" w14:paraId="5E482207" w14:textId="0E3646E1">
            <w:pPr>
              <w:jc w:val="right"/>
              <w:rPr>
                <w:bCs/>
                <w:sz w:val="22"/>
                <w:szCs w:val="22"/>
              </w:rPr>
            </w:pPr>
            <w:r w:rsidRPr="00BA1E56">
              <w:rPr>
                <w:bCs/>
                <w:sz w:val="22"/>
                <w:szCs w:val="22"/>
              </w:rPr>
              <w:t>18,024</w:t>
            </w:r>
          </w:p>
        </w:tc>
        <w:tc>
          <w:tcPr>
            <w:tcW w:w="1559" w:type="dxa"/>
            <w:tcBorders>
              <w:bottom w:val="single" w:sz="4" w:space="0" w:color="auto"/>
            </w:tcBorders>
          </w:tcPr>
          <w:p w:rsidR="000F7B3A" w:rsidRPr="00BA1E56" w:rsidP="002949AF" w14:paraId="29F6A880" w14:textId="55E7C494">
            <w:pPr>
              <w:jc w:val="right"/>
              <w:rPr>
                <w:bCs/>
                <w:sz w:val="22"/>
                <w:szCs w:val="22"/>
              </w:rPr>
            </w:pPr>
            <w:r w:rsidRPr="5002292C">
              <w:rPr>
                <w:sz w:val="22"/>
                <w:szCs w:val="22"/>
              </w:rPr>
              <w:t>19,663</w:t>
            </w:r>
          </w:p>
        </w:tc>
      </w:tr>
      <w:tr w14:paraId="4095DC37" w14:textId="77777777" w:rsidTr="00FF3584">
        <w:tblPrEx>
          <w:tblW w:w="5000" w:type="pct"/>
          <w:jc w:val="center"/>
          <w:tblLook w:val="04A0"/>
        </w:tblPrEx>
        <w:trPr>
          <w:jc w:val="center"/>
        </w:trPr>
        <w:tc>
          <w:tcPr>
            <w:tcW w:w="4315" w:type="dxa"/>
          </w:tcPr>
          <w:p w:rsidR="000F7B3A" w:rsidRPr="00BA1E56" w:rsidP="002949AF" w14:paraId="1AA49688" w14:textId="77777777">
            <w:pPr>
              <w:rPr>
                <w:bCs/>
                <w:sz w:val="22"/>
                <w:szCs w:val="22"/>
              </w:rPr>
            </w:pPr>
            <w:r w:rsidRPr="00BA1E56">
              <w:rPr>
                <w:bCs/>
                <w:sz w:val="22"/>
                <w:szCs w:val="22"/>
              </w:rPr>
              <w:t>Total</w:t>
            </w:r>
          </w:p>
        </w:tc>
        <w:tc>
          <w:tcPr>
            <w:tcW w:w="1440" w:type="dxa"/>
            <w:tcBorders>
              <w:top w:val="single" w:sz="4" w:space="0" w:color="auto"/>
              <w:bottom w:val="double" w:sz="4" w:space="0" w:color="auto"/>
            </w:tcBorders>
          </w:tcPr>
          <w:p w:rsidR="000F7B3A" w:rsidRPr="00BA1E56" w:rsidP="002949AF" w14:paraId="372F9FC5" w14:textId="769423F5">
            <w:pPr>
              <w:jc w:val="right"/>
              <w:rPr>
                <w:sz w:val="22"/>
                <w:szCs w:val="22"/>
              </w:rPr>
            </w:pPr>
            <w:r w:rsidRPr="63D94EB6">
              <w:rPr>
                <w:sz w:val="22"/>
                <w:szCs w:val="22"/>
              </w:rPr>
              <w:t xml:space="preserve">$        </w:t>
            </w:r>
            <w:r>
              <w:rPr>
                <w:sz w:val="22"/>
                <w:szCs w:val="22"/>
              </w:rPr>
              <w:t xml:space="preserve">   </w:t>
            </w:r>
            <w:r w:rsidRPr="5002292C">
              <w:rPr>
                <w:sz w:val="22"/>
                <w:szCs w:val="22"/>
              </w:rPr>
              <w:t>7,26</w:t>
            </w:r>
            <w:r>
              <w:rPr>
                <w:sz w:val="22"/>
                <w:szCs w:val="22"/>
              </w:rPr>
              <w:t>6</w:t>
            </w:r>
          </w:p>
        </w:tc>
        <w:tc>
          <w:tcPr>
            <w:tcW w:w="1521" w:type="dxa"/>
            <w:tcBorders>
              <w:top w:val="single" w:sz="4" w:space="0" w:color="auto"/>
              <w:bottom w:val="double" w:sz="4" w:space="0" w:color="auto"/>
            </w:tcBorders>
          </w:tcPr>
          <w:p w:rsidR="000F7B3A" w:rsidRPr="00BA1E56" w:rsidP="002949AF" w14:paraId="618CDF83" w14:textId="71B141CB">
            <w:pPr>
              <w:jc w:val="right"/>
              <w:rPr>
                <w:sz w:val="22"/>
                <w:szCs w:val="22"/>
              </w:rPr>
            </w:pPr>
            <w:r w:rsidRPr="63D94EB6">
              <w:rPr>
                <w:sz w:val="22"/>
                <w:szCs w:val="22"/>
              </w:rPr>
              <w:t xml:space="preserve">$  </w:t>
            </w:r>
            <w:r>
              <w:rPr>
                <w:sz w:val="22"/>
                <w:szCs w:val="22"/>
              </w:rPr>
              <w:t xml:space="preserve"> </w:t>
            </w:r>
            <w:r w:rsidRPr="63D94EB6">
              <w:rPr>
                <w:sz w:val="22"/>
                <w:szCs w:val="22"/>
              </w:rPr>
              <w:t>16,</w:t>
            </w:r>
            <w:r>
              <w:rPr>
                <w:sz w:val="22"/>
                <w:szCs w:val="22"/>
              </w:rPr>
              <w:t>805,008</w:t>
            </w:r>
          </w:p>
        </w:tc>
        <w:tc>
          <w:tcPr>
            <w:tcW w:w="1559" w:type="dxa"/>
            <w:tcBorders>
              <w:top w:val="single" w:sz="4" w:space="0" w:color="auto"/>
              <w:bottom w:val="double" w:sz="4" w:space="0" w:color="auto"/>
            </w:tcBorders>
          </w:tcPr>
          <w:p w:rsidR="000F7B3A" w:rsidRPr="00BA1E56" w:rsidP="002949AF" w14:paraId="4394DAAC" w14:textId="08FCE6E4">
            <w:pPr>
              <w:jc w:val="right"/>
              <w:rPr>
                <w:sz w:val="22"/>
                <w:szCs w:val="22"/>
              </w:rPr>
            </w:pPr>
            <w:r w:rsidRPr="63D94EB6">
              <w:rPr>
                <w:sz w:val="22"/>
                <w:szCs w:val="22"/>
              </w:rPr>
              <w:t xml:space="preserve">$  </w:t>
            </w:r>
            <w:r>
              <w:rPr>
                <w:sz w:val="22"/>
                <w:szCs w:val="22"/>
              </w:rPr>
              <w:t xml:space="preserve"> </w:t>
            </w:r>
            <w:r w:rsidRPr="63D94EB6">
              <w:rPr>
                <w:sz w:val="22"/>
                <w:szCs w:val="22"/>
              </w:rPr>
              <w:t xml:space="preserve"> 16,</w:t>
            </w:r>
            <w:r>
              <w:rPr>
                <w:sz w:val="22"/>
                <w:szCs w:val="22"/>
              </w:rPr>
              <w:t>812,274</w:t>
            </w:r>
          </w:p>
        </w:tc>
      </w:tr>
    </w:tbl>
    <w:p w:rsidR="00285D06" w:rsidRPr="00A960F2" w:rsidP="00EE683D" w14:paraId="7D7D3CB0" w14:textId="7CEE4396">
      <w:pPr>
        <w:spacing w:before="960" w:after="240"/>
        <w:rPr>
          <w:b/>
          <w:bCs/>
          <w:sz w:val="22"/>
          <w:szCs w:val="22"/>
        </w:rPr>
      </w:pPr>
      <w:r w:rsidRPr="00A960F2">
        <w:rPr>
          <w:b/>
          <w:bCs/>
          <w:sz w:val="22"/>
          <w:szCs w:val="22"/>
        </w:rPr>
        <w:t>Note 11 – Undelivered Orders at the End of the Period</w:t>
      </w:r>
      <w:r>
        <w:rPr>
          <w:b/>
          <w:bCs/>
          <w:sz w:val="22"/>
          <w:szCs w:val="22"/>
        </w:rPr>
        <w:t xml:space="preserve"> (continued)</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71"/>
        <w:gridCol w:w="1526"/>
        <w:gridCol w:w="1611"/>
        <w:gridCol w:w="1652"/>
      </w:tblGrid>
      <w:tr w14:paraId="2AA3CE9C" w14:textId="77777777" w:rsidTr="00FF3584">
        <w:tblPrEx>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315" w:type="dxa"/>
          </w:tcPr>
          <w:p w:rsidR="000F7B3A" w:rsidRPr="00BA1E56" w:rsidP="00285D06" w14:paraId="0F7A0743" w14:textId="77777777">
            <w:pPr>
              <w:rPr>
                <w:bCs/>
                <w:sz w:val="22"/>
                <w:szCs w:val="22"/>
                <w:u w:val="single"/>
              </w:rPr>
            </w:pPr>
            <w:r w:rsidRPr="00BA1E56">
              <w:rPr>
                <w:bCs/>
                <w:sz w:val="22"/>
                <w:szCs w:val="22"/>
                <w:u w:val="single"/>
              </w:rPr>
              <w:t>FY 20</w:t>
            </w:r>
            <w:r>
              <w:rPr>
                <w:bCs/>
                <w:sz w:val="22"/>
                <w:szCs w:val="22"/>
                <w:u w:val="single"/>
              </w:rPr>
              <w:t>20</w:t>
            </w:r>
          </w:p>
        </w:tc>
        <w:tc>
          <w:tcPr>
            <w:tcW w:w="1440" w:type="dxa"/>
            <w:tcBorders>
              <w:bottom w:val="single" w:sz="4" w:space="0" w:color="auto"/>
            </w:tcBorders>
          </w:tcPr>
          <w:p w:rsidR="000F7B3A" w:rsidRPr="00BA1E56" w:rsidP="00285D06" w14:paraId="57754E49" w14:textId="77777777">
            <w:pPr>
              <w:jc w:val="center"/>
              <w:rPr>
                <w:bCs/>
                <w:sz w:val="22"/>
                <w:szCs w:val="22"/>
              </w:rPr>
            </w:pPr>
            <w:r w:rsidRPr="00BA1E56">
              <w:rPr>
                <w:bCs/>
                <w:sz w:val="22"/>
                <w:szCs w:val="22"/>
              </w:rPr>
              <w:t>Federal</w:t>
            </w:r>
          </w:p>
        </w:tc>
        <w:tc>
          <w:tcPr>
            <w:tcW w:w="1521" w:type="dxa"/>
            <w:tcBorders>
              <w:bottom w:val="single" w:sz="4" w:space="0" w:color="auto"/>
            </w:tcBorders>
          </w:tcPr>
          <w:p w:rsidR="000F7B3A" w:rsidRPr="00BA1E56" w:rsidP="00285D06" w14:paraId="72B037FD" w14:textId="77777777">
            <w:pPr>
              <w:jc w:val="center"/>
              <w:rPr>
                <w:bCs/>
                <w:sz w:val="22"/>
                <w:szCs w:val="22"/>
              </w:rPr>
            </w:pPr>
            <w:r w:rsidRPr="00BA1E56">
              <w:rPr>
                <w:bCs/>
                <w:sz w:val="22"/>
                <w:szCs w:val="22"/>
              </w:rPr>
              <w:t>Non-Federal</w:t>
            </w:r>
          </w:p>
        </w:tc>
        <w:tc>
          <w:tcPr>
            <w:tcW w:w="1559" w:type="dxa"/>
            <w:tcBorders>
              <w:bottom w:val="single" w:sz="4" w:space="0" w:color="auto"/>
            </w:tcBorders>
          </w:tcPr>
          <w:p w:rsidR="000F7B3A" w:rsidRPr="00BA1E56" w:rsidP="00285D06" w14:paraId="35DE4257" w14:textId="77777777">
            <w:pPr>
              <w:jc w:val="center"/>
              <w:rPr>
                <w:bCs/>
                <w:sz w:val="22"/>
                <w:szCs w:val="22"/>
              </w:rPr>
            </w:pPr>
            <w:r w:rsidRPr="00BA1E56">
              <w:rPr>
                <w:bCs/>
                <w:sz w:val="22"/>
                <w:szCs w:val="22"/>
              </w:rPr>
              <w:t>Total</w:t>
            </w:r>
          </w:p>
        </w:tc>
      </w:tr>
      <w:tr w14:paraId="60584E8E" w14:textId="77777777" w:rsidTr="00FF3584">
        <w:tblPrEx>
          <w:tblW w:w="5000" w:type="pct"/>
          <w:jc w:val="center"/>
          <w:tblLook w:val="04A0"/>
        </w:tblPrEx>
        <w:trPr>
          <w:jc w:val="center"/>
        </w:trPr>
        <w:tc>
          <w:tcPr>
            <w:tcW w:w="4315" w:type="dxa"/>
          </w:tcPr>
          <w:p w:rsidR="000F7B3A" w:rsidRPr="00BA1E56" w:rsidP="00A826E1" w14:paraId="693A09B1" w14:textId="77777777">
            <w:pPr>
              <w:rPr>
                <w:bCs/>
                <w:sz w:val="22"/>
                <w:szCs w:val="22"/>
              </w:rPr>
            </w:pPr>
            <w:r w:rsidRPr="00BA1E56">
              <w:rPr>
                <w:bCs/>
                <w:sz w:val="22"/>
                <w:szCs w:val="22"/>
              </w:rPr>
              <w:t>Undelivered Orders-Unpaid</w:t>
            </w:r>
          </w:p>
        </w:tc>
        <w:tc>
          <w:tcPr>
            <w:tcW w:w="1440" w:type="dxa"/>
            <w:tcBorders>
              <w:top w:val="single" w:sz="4" w:space="0" w:color="auto"/>
            </w:tcBorders>
          </w:tcPr>
          <w:p w:rsidR="000F7B3A" w:rsidRPr="00BA1E56" w:rsidP="00A826E1" w14:paraId="7292AF07" w14:textId="4353EFD8">
            <w:pPr>
              <w:jc w:val="right"/>
              <w:rPr>
                <w:sz w:val="22"/>
                <w:szCs w:val="22"/>
              </w:rPr>
            </w:pPr>
            <w:r w:rsidRPr="63D94EB6">
              <w:rPr>
                <w:sz w:val="22"/>
                <w:szCs w:val="22"/>
              </w:rPr>
              <w:t xml:space="preserve">$    </w:t>
            </w:r>
            <w:r>
              <w:rPr>
                <w:sz w:val="22"/>
                <w:szCs w:val="22"/>
              </w:rPr>
              <w:t xml:space="preserve"> </w:t>
            </w:r>
            <w:r w:rsidRPr="63D94EB6">
              <w:rPr>
                <w:sz w:val="22"/>
                <w:szCs w:val="22"/>
              </w:rPr>
              <w:t xml:space="preserve">    17,969</w:t>
            </w:r>
          </w:p>
        </w:tc>
        <w:tc>
          <w:tcPr>
            <w:tcW w:w="1521" w:type="dxa"/>
            <w:tcBorders>
              <w:top w:val="single" w:sz="4" w:space="0" w:color="auto"/>
            </w:tcBorders>
          </w:tcPr>
          <w:p w:rsidR="000F7B3A" w:rsidRPr="00BA1E56" w:rsidP="00A826E1" w14:paraId="550E63DB" w14:textId="53E261E2">
            <w:pPr>
              <w:jc w:val="right"/>
              <w:rPr>
                <w:sz w:val="22"/>
                <w:szCs w:val="22"/>
              </w:rPr>
            </w:pPr>
            <w:r w:rsidRPr="63D94EB6">
              <w:rPr>
                <w:sz w:val="22"/>
                <w:szCs w:val="22"/>
              </w:rPr>
              <w:t xml:space="preserve">$  </w:t>
            </w:r>
            <w:r>
              <w:rPr>
                <w:sz w:val="22"/>
                <w:szCs w:val="22"/>
              </w:rPr>
              <w:t xml:space="preserve"> </w:t>
            </w:r>
            <w:r w:rsidRPr="63D94EB6">
              <w:rPr>
                <w:sz w:val="22"/>
                <w:szCs w:val="22"/>
              </w:rPr>
              <w:t>15,784,496</w:t>
            </w:r>
          </w:p>
        </w:tc>
        <w:tc>
          <w:tcPr>
            <w:tcW w:w="1559" w:type="dxa"/>
            <w:tcBorders>
              <w:top w:val="single" w:sz="4" w:space="0" w:color="auto"/>
            </w:tcBorders>
          </w:tcPr>
          <w:p w:rsidR="000F7B3A" w:rsidRPr="00BA1E56" w:rsidP="00A826E1" w14:paraId="087A8BF8" w14:textId="47BCF293">
            <w:pPr>
              <w:jc w:val="right"/>
              <w:rPr>
                <w:sz w:val="22"/>
                <w:szCs w:val="22"/>
              </w:rPr>
            </w:pPr>
            <w:r w:rsidRPr="63D94EB6">
              <w:rPr>
                <w:sz w:val="22"/>
                <w:szCs w:val="22"/>
              </w:rPr>
              <w:t xml:space="preserve">$  </w:t>
            </w:r>
            <w:r>
              <w:rPr>
                <w:sz w:val="22"/>
                <w:szCs w:val="22"/>
              </w:rPr>
              <w:t xml:space="preserve"> </w:t>
            </w:r>
            <w:r w:rsidRPr="63D94EB6">
              <w:rPr>
                <w:sz w:val="22"/>
                <w:szCs w:val="22"/>
              </w:rPr>
              <w:t xml:space="preserve"> 15,802,465</w:t>
            </w:r>
          </w:p>
        </w:tc>
      </w:tr>
      <w:tr w14:paraId="5C4D82C3" w14:textId="77777777" w:rsidTr="00FF3584">
        <w:tblPrEx>
          <w:tblW w:w="5000" w:type="pct"/>
          <w:jc w:val="center"/>
          <w:tblLook w:val="04A0"/>
        </w:tblPrEx>
        <w:trPr>
          <w:jc w:val="center"/>
        </w:trPr>
        <w:tc>
          <w:tcPr>
            <w:tcW w:w="4315" w:type="dxa"/>
          </w:tcPr>
          <w:p w:rsidR="000F7B3A" w:rsidRPr="00BA1E56" w:rsidP="00A826E1" w14:paraId="36CA96E5" w14:textId="77777777">
            <w:pPr>
              <w:rPr>
                <w:bCs/>
                <w:sz w:val="22"/>
                <w:szCs w:val="22"/>
              </w:rPr>
            </w:pPr>
            <w:r w:rsidRPr="00BA1E56">
              <w:rPr>
                <w:bCs/>
                <w:sz w:val="22"/>
                <w:szCs w:val="22"/>
              </w:rPr>
              <w:t>Undelivered Orders-Paid</w:t>
            </w:r>
          </w:p>
        </w:tc>
        <w:tc>
          <w:tcPr>
            <w:tcW w:w="1440" w:type="dxa"/>
            <w:tcBorders>
              <w:bottom w:val="single" w:sz="4" w:space="0" w:color="auto"/>
            </w:tcBorders>
          </w:tcPr>
          <w:p w:rsidR="000F7B3A" w:rsidRPr="00BA1E56" w:rsidP="00A826E1" w14:paraId="150BABF5" w14:textId="06C3DD53">
            <w:pPr>
              <w:jc w:val="right"/>
              <w:rPr>
                <w:bCs/>
                <w:sz w:val="22"/>
                <w:szCs w:val="22"/>
              </w:rPr>
            </w:pPr>
            <w:r w:rsidRPr="00BA1E56">
              <w:rPr>
                <w:bCs/>
                <w:sz w:val="22"/>
                <w:szCs w:val="22"/>
              </w:rPr>
              <w:t>2,863</w:t>
            </w:r>
          </w:p>
        </w:tc>
        <w:tc>
          <w:tcPr>
            <w:tcW w:w="1521" w:type="dxa"/>
            <w:tcBorders>
              <w:bottom w:val="single" w:sz="4" w:space="0" w:color="auto"/>
            </w:tcBorders>
          </w:tcPr>
          <w:p w:rsidR="000F7B3A" w:rsidRPr="00BA1E56" w:rsidP="00A826E1" w14:paraId="09794DE5" w14:textId="7C6A02A6">
            <w:pPr>
              <w:jc w:val="right"/>
              <w:rPr>
                <w:bCs/>
                <w:sz w:val="22"/>
                <w:szCs w:val="22"/>
              </w:rPr>
            </w:pPr>
            <w:r w:rsidRPr="00BA1E56">
              <w:rPr>
                <w:bCs/>
                <w:sz w:val="22"/>
                <w:szCs w:val="22"/>
              </w:rPr>
              <w:t>18,024</w:t>
            </w:r>
          </w:p>
        </w:tc>
        <w:tc>
          <w:tcPr>
            <w:tcW w:w="1559" w:type="dxa"/>
            <w:tcBorders>
              <w:bottom w:val="single" w:sz="4" w:space="0" w:color="auto"/>
            </w:tcBorders>
          </w:tcPr>
          <w:p w:rsidR="000F7B3A" w:rsidRPr="00BA1E56" w:rsidP="00A826E1" w14:paraId="675C559E" w14:textId="048E04F2">
            <w:pPr>
              <w:jc w:val="right"/>
              <w:rPr>
                <w:bCs/>
                <w:sz w:val="22"/>
                <w:szCs w:val="22"/>
              </w:rPr>
            </w:pPr>
            <w:r w:rsidRPr="00BA1E56">
              <w:rPr>
                <w:bCs/>
                <w:sz w:val="22"/>
                <w:szCs w:val="22"/>
              </w:rPr>
              <w:t>20,887</w:t>
            </w:r>
          </w:p>
        </w:tc>
      </w:tr>
      <w:tr w14:paraId="6CE81614" w14:textId="77777777" w:rsidTr="00FF3584">
        <w:tblPrEx>
          <w:tblW w:w="5000" w:type="pct"/>
          <w:jc w:val="center"/>
          <w:tblLook w:val="04A0"/>
        </w:tblPrEx>
        <w:trPr>
          <w:jc w:val="center"/>
        </w:trPr>
        <w:tc>
          <w:tcPr>
            <w:tcW w:w="4315" w:type="dxa"/>
          </w:tcPr>
          <w:p w:rsidR="000F7B3A" w:rsidRPr="00BA1E56" w:rsidP="00A826E1" w14:paraId="249E500D" w14:textId="77777777">
            <w:pPr>
              <w:rPr>
                <w:bCs/>
                <w:sz w:val="22"/>
                <w:szCs w:val="22"/>
              </w:rPr>
            </w:pPr>
            <w:r w:rsidRPr="00BA1E56">
              <w:rPr>
                <w:bCs/>
                <w:sz w:val="22"/>
                <w:szCs w:val="22"/>
              </w:rPr>
              <w:t>Total</w:t>
            </w:r>
          </w:p>
        </w:tc>
        <w:tc>
          <w:tcPr>
            <w:tcW w:w="1440" w:type="dxa"/>
            <w:tcBorders>
              <w:top w:val="single" w:sz="4" w:space="0" w:color="auto"/>
              <w:bottom w:val="double" w:sz="4" w:space="0" w:color="auto"/>
            </w:tcBorders>
          </w:tcPr>
          <w:p w:rsidR="000F7B3A" w:rsidRPr="00BA1E56" w:rsidP="00A826E1" w14:paraId="6871DB10" w14:textId="2804D883">
            <w:pPr>
              <w:jc w:val="right"/>
              <w:rPr>
                <w:sz w:val="22"/>
                <w:szCs w:val="22"/>
              </w:rPr>
            </w:pPr>
            <w:r w:rsidRPr="63D94EB6">
              <w:rPr>
                <w:sz w:val="22"/>
                <w:szCs w:val="22"/>
              </w:rPr>
              <w:t xml:space="preserve">$     </w:t>
            </w:r>
            <w:r>
              <w:rPr>
                <w:sz w:val="22"/>
                <w:szCs w:val="22"/>
              </w:rPr>
              <w:t xml:space="preserve"> </w:t>
            </w:r>
            <w:r w:rsidRPr="63D94EB6">
              <w:rPr>
                <w:sz w:val="22"/>
                <w:szCs w:val="22"/>
              </w:rPr>
              <w:t xml:space="preserve">   20,832</w:t>
            </w:r>
          </w:p>
        </w:tc>
        <w:tc>
          <w:tcPr>
            <w:tcW w:w="1521" w:type="dxa"/>
            <w:tcBorders>
              <w:top w:val="single" w:sz="4" w:space="0" w:color="auto"/>
              <w:bottom w:val="double" w:sz="4" w:space="0" w:color="auto"/>
            </w:tcBorders>
          </w:tcPr>
          <w:p w:rsidR="000F7B3A" w:rsidRPr="00BA1E56" w:rsidP="00A826E1" w14:paraId="2900C420" w14:textId="6CD99281">
            <w:pPr>
              <w:jc w:val="right"/>
              <w:rPr>
                <w:sz w:val="22"/>
                <w:szCs w:val="22"/>
              </w:rPr>
            </w:pPr>
            <w:r w:rsidRPr="63D94EB6">
              <w:rPr>
                <w:sz w:val="22"/>
                <w:szCs w:val="22"/>
              </w:rPr>
              <w:t xml:space="preserve">$  </w:t>
            </w:r>
            <w:r>
              <w:rPr>
                <w:sz w:val="22"/>
                <w:szCs w:val="22"/>
              </w:rPr>
              <w:t xml:space="preserve"> </w:t>
            </w:r>
            <w:r w:rsidRPr="63D94EB6">
              <w:rPr>
                <w:sz w:val="22"/>
                <w:szCs w:val="22"/>
              </w:rPr>
              <w:t>15,802,520</w:t>
            </w:r>
          </w:p>
        </w:tc>
        <w:tc>
          <w:tcPr>
            <w:tcW w:w="1559" w:type="dxa"/>
            <w:tcBorders>
              <w:top w:val="single" w:sz="4" w:space="0" w:color="auto"/>
              <w:bottom w:val="double" w:sz="4" w:space="0" w:color="auto"/>
            </w:tcBorders>
          </w:tcPr>
          <w:p w:rsidR="000F7B3A" w:rsidRPr="00BA1E56" w:rsidP="00A826E1" w14:paraId="0A795CC1" w14:textId="46E78E0F">
            <w:pPr>
              <w:jc w:val="right"/>
              <w:rPr>
                <w:sz w:val="22"/>
                <w:szCs w:val="22"/>
              </w:rPr>
            </w:pPr>
            <w:r w:rsidRPr="63D94EB6">
              <w:rPr>
                <w:sz w:val="22"/>
                <w:szCs w:val="22"/>
              </w:rPr>
              <w:t xml:space="preserve">$ </w:t>
            </w:r>
            <w:r>
              <w:rPr>
                <w:sz w:val="22"/>
                <w:szCs w:val="22"/>
              </w:rPr>
              <w:t xml:space="preserve"> </w:t>
            </w:r>
            <w:r w:rsidRPr="63D94EB6">
              <w:rPr>
                <w:sz w:val="22"/>
                <w:szCs w:val="22"/>
              </w:rPr>
              <w:t xml:space="preserve">  15,823,352</w:t>
            </w:r>
          </w:p>
        </w:tc>
      </w:tr>
    </w:tbl>
    <w:p w:rsidR="00285D06" w:rsidRPr="00770595" w:rsidP="00612C28" w14:paraId="2EFA09AE" w14:textId="77777777">
      <w:pPr>
        <w:pStyle w:val="Heading4"/>
        <w:spacing w:before="480"/>
        <w:rPr>
          <w:sz w:val="22"/>
          <w:szCs w:val="22"/>
        </w:rPr>
      </w:pPr>
      <w:bookmarkStart w:id="258" w:name="_Toc88780707"/>
      <w:r w:rsidRPr="00770595">
        <w:rPr>
          <w:sz w:val="22"/>
          <w:szCs w:val="22"/>
        </w:rPr>
        <w:t>Note 12 – Permanent Indefinite Appropriations</w:t>
      </w:r>
      <w:bookmarkEnd w:id="258"/>
    </w:p>
    <w:p w:rsidR="00285D06" w:rsidRPr="00BA1E56" w:rsidP="008E014E" w14:paraId="6ED8CB1A" w14:textId="3E7261BF">
      <w:pPr>
        <w:pStyle w:val="Default"/>
        <w:spacing w:after="240"/>
        <w:jc w:val="both"/>
        <w:rPr>
          <w:rFonts w:ascii="Times New Roman" w:hAnsi="Times New Roman" w:cs="Times New Roman"/>
          <w:color w:val="auto"/>
          <w:sz w:val="22"/>
          <w:szCs w:val="22"/>
        </w:rPr>
      </w:pPr>
      <w:r w:rsidRPr="00BA1E56">
        <w:rPr>
          <w:rFonts w:ascii="Times New Roman" w:hAnsi="Times New Roman" w:cs="Times New Roman"/>
          <w:color w:val="auto"/>
          <w:sz w:val="22"/>
          <w:szCs w:val="22"/>
        </w:rPr>
        <w:t xml:space="preserve">The </w:t>
      </w:r>
      <w:r w:rsidRPr="00BA1E56">
        <w:rPr>
          <w:rFonts w:ascii="Times New Roman" w:hAnsi="Times New Roman" w:eastAsiaTheme="minorHAnsi" w:cs="Times New Roman"/>
          <w:color w:val="auto"/>
          <w:sz w:val="22"/>
          <w:szCs w:val="22"/>
        </w:rPr>
        <w:t xml:space="preserve">Commission has permanent indefinite appropriations available to fund its universal service programs and TRS, subsidy costs incurred under credit reform programs, and </w:t>
      </w:r>
      <w:r w:rsidRPr="00BA1E56">
        <w:rPr>
          <w:rFonts w:ascii="Times New Roman" w:hAnsi="Times New Roman" w:cs="Times New Roman"/>
          <w:color w:val="auto"/>
          <w:sz w:val="22"/>
          <w:szCs w:val="22"/>
        </w:rPr>
        <w:t>the development and implementation costs related to the competitive auction program.</w:t>
      </w:r>
      <w:r w:rsidR="00C933B2">
        <w:rPr>
          <w:rFonts w:ascii="Times New Roman" w:hAnsi="Times New Roman" w:cs="Times New Roman"/>
          <w:color w:val="auto"/>
          <w:sz w:val="22"/>
          <w:szCs w:val="22"/>
        </w:rPr>
        <w:t xml:space="preserve"> </w:t>
      </w:r>
    </w:p>
    <w:p w:rsidR="00285D06" w:rsidRPr="00BA1E56" w:rsidP="008E014E" w14:paraId="7C6BD0E9" w14:textId="6FBCB24F">
      <w:pPr>
        <w:pStyle w:val="Default"/>
        <w:spacing w:after="240"/>
        <w:jc w:val="both"/>
        <w:rPr>
          <w:rFonts w:ascii="Times New Roman" w:hAnsi="Times New Roman" w:cs="Times New Roman"/>
          <w:color w:val="auto"/>
          <w:spacing w:val="-2"/>
          <w:kern w:val="22"/>
          <w:sz w:val="22"/>
          <w:szCs w:val="22"/>
        </w:rPr>
      </w:pPr>
      <w:r w:rsidRPr="00BA1E56">
        <w:rPr>
          <w:rFonts w:ascii="Times New Roman" w:hAnsi="Times New Roman" w:eastAsiaTheme="minorHAnsi" w:cs="Times New Roman"/>
          <w:color w:val="auto"/>
          <w:spacing w:val="-2"/>
          <w:kern w:val="22"/>
          <w:sz w:val="22"/>
          <w:szCs w:val="22"/>
        </w:rPr>
        <w:t xml:space="preserve">Pursuant to 47 U.S.C. </w:t>
      </w:r>
      <w:r w:rsidRPr="00BA1E56">
        <w:rPr>
          <w:rFonts w:ascii="Times New Roman" w:hAnsi="Times New Roman" w:cs="Times New Roman"/>
          <w:color w:val="auto"/>
          <w:spacing w:val="-2"/>
          <w:kern w:val="22"/>
          <w:sz w:val="22"/>
          <w:szCs w:val="22"/>
        </w:rPr>
        <w:t>§ 254 and § 225, the FCC has a permanent indefinite appropriation to fund its universal service programs including the TRS Fund.</w:t>
      </w:r>
      <w:r w:rsidR="00C933B2">
        <w:rPr>
          <w:rFonts w:ascii="Times New Roman" w:hAnsi="Times New Roman" w:cs="Times New Roman"/>
          <w:color w:val="auto"/>
          <w:spacing w:val="-2"/>
          <w:kern w:val="22"/>
          <w:sz w:val="22"/>
          <w:szCs w:val="22"/>
        </w:rPr>
        <w:t xml:space="preserve"> </w:t>
      </w:r>
      <w:r w:rsidRPr="00BA1E56">
        <w:rPr>
          <w:rFonts w:ascii="Times New Roman" w:hAnsi="Times New Roman" w:cs="Times New Roman"/>
          <w:color w:val="auto"/>
          <w:spacing w:val="-2"/>
          <w:kern w:val="22"/>
          <w:sz w:val="22"/>
          <w:szCs w:val="22"/>
        </w:rPr>
        <w:t>These programs operate by collecting mandatory contributions from telecommunications carriers providing interstate telecommunications services, and from other providers of interstate telecommunications required to contribute if the public interest so requires.</w:t>
      </w:r>
      <w:r w:rsidR="00C933B2">
        <w:rPr>
          <w:rFonts w:ascii="Times New Roman" w:hAnsi="Times New Roman" w:cs="Times New Roman"/>
          <w:color w:val="auto"/>
          <w:spacing w:val="-2"/>
          <w:kern w:val="22"/>
          <w:sz w:val="22"/>
          <w:szCs w:val="22"/>
        </w:rPr>
        <w:t xml:space="preserve"> </w:t>
      </w:r>
    </w:p>
    <w:p w:rsidR="00285D06" w:rsidRPr="00BA1E56" w:rsidP="008E014E" w14:paraId="12A43BDB" w14:textId="2EBFE930">
      <w:pPr>
        <w:pStyle w:val="Default"/>
        <w:spacing w:after="240"/>
        <w:jc w:val="both"/>
        <w:rPr>
          <w:rFonts w:ascii="Times New Roman" w:hAnsi="Times New Roman" w:cs="Times New Roman"/>
          <w:color w:val="auto"/>
          <w:spacing w:val="-6"/>
          <w:kern w:val="16"/>
          <w:sz w:val="22"/>
          <w:szCs w:val="22"/>
        </w:rPr>
      </w:pPr>
      <w:r w:rsidRPr="00BA1E56">
        <w:rPr>
          <w:rFonts w:ascii="Times New Roman" w:hAnsi="Times New Roman" w:cs="Times New Roman"/>
          <w:color w:val="auto"/>
          <w:spacing w:val="-6"/>
          <w:kern w:val="16"/>
          <w:sz w:val="22"/>
          <w:szCs w:val="22"/>
        </w:rPr>
        <w:t>Credit reform is mainly available to finance any disbursements incurred under the liquidating accounts.</w:t>
      </w:r>
      <w:r w:rsidR="00C933B2">
        <w:rPr>
          <w:rFonts w:ascii="Times New Roman" w:hAnsi="Times New Roman" w:cs="Times New Roman"/>
          <w:color w:val="auto"/>
          <w:spacing w:val="-6"/>
          <w:kern w:val="16"/>
          <w:sz w:val="22"/>
          <w:szCs w:val="22"/>
        </w:rPr>
        <w:t xml:space="preserve"> </w:t>
      </w:r>
      <w:r w:rsidRPr="00BA1E56">
        <w:rPr>
          <w:rFonts w:ascii="Times New Roman" w:hAnsi="Times New Roman" w:cs="Times New Roman"/>
          <w:color w:val="auto"/>
          <w:spacing w:val="-6"/>
          <w:kern w:val="16"/>
          <w:sz w:val="22"/>
          <w:szCs w:val="22"/>
        </w:rPr>
        <w:t>These appropriations become available pursuant to standing provisions of law without further action by Congress after transmittal of the budget for the year involved.</w:t>
      </w:r>
      <w:r w:rsidR="00C933B2">
        <w:rPr>
          <w:rFonts w:ascii="Times New Roman" w:hAnsi="Times New Roman" w:cs="Times New Roman"/>
          <w:color w:val="auto"/>
          <w:spacing w:val="-6"/>
          <w:kern w:val="16"/>
          <w:sz w:val="22"/>
          <w:szCs w:val="22"/>
        </w:rPr>
        <w:t xml:space="preserve"> </w:t>
      </w:r>
      <w:r w:rsidRPr="00BA1E56">
        <w:rPr>
          <w:rFonts w:ascii="Times New Roman" w:hAnsi="Times New Roman" w:cs="Times New Roman"/>
          <w:color w:val="auto"/>
          <w:spacing w:val="-6"/>
          <w:kern w:val="16"/>
          <w:sz w:val="22"/>
          <w:szCs w:val="22"/>
        </w:rPr>
        <w:t>They are treated as permanent the first year they become available, as well as in succeeding years.</w:t>
      </w:r>
      <w:r w:rsidR="00C933B2">
        <w:rPr>
          <w:rFonts w:ascii="Times New Roman" w:hAnsi="Times New Roman" w:cs="Times New Roman"/>
          <w:color w:val="auto"/>
          <w:spacing w:val="-6"/>
          <w:kern w:val="16"/>
          <w:sz w:val="22"/>
          <w:szCs w:val="22"/>
        </w:rPr>
        <w:t xml:space="preserve"> </w:t>
      </w:r>
      <w:r w:rsidRPr="00BA1E56">
        <w:rPr>
          <w:rFonts w:ascii="Times New Roman" w:hAnsi="Times New Roman" w:cs="Times New Roman"/>
          <w:color w:val="auto"/>
          <w:spacing w:val="-6"/>
          <w:kern w:val="16"/>
          <w:sz w:val="22"/>
          <w:szCs w:val="22"/>
        </w:rPr>
        <w:t>However, they are not stated as specific amounts but instead are determined by specified variable factors, such as cash needs for liquidating accounts, and information about the actual performance of a cohort or estimated changes in future cash flows of the cohort in the program accounts.</w:t>
      </w:r>
    </w:p>
    <w:p w:rsidR="00285D06" w:rsidRPr="00BA1E56" w:rsidP="00EC7ED2" w14:paraId="223601B2" w14:textId="21B02DD1">
      <w:pPr>
        <w:spacing w:after="480"/>
        <w:jc w:val="both"/>
        <w:rPr>
          <w:sz w:val="22"/>
          <w:szCs w:val="22"/>
        </w:rPr>
      </w:pPr>
      <w:r w:rsidRPr="00BA1E56">
        <w:rPr>
          <w:sz w:val="22"/>
          <w:szCs w:val="22"/>
        </w:rPr>
        <w:t>Pursuant to 47 U.S.C. § 309(j)(8)(B), the FCC can retain proceeds from spectrum auctions for amounts that may be necessary for the costs of developing and implementing the competitive auction program.</w:t>
      </w:r>
      <w:r w:rsidR="00C933B2">
        <w:rPr>
          <w:sz w:val="22"/>
          <w:szCs w:val="22"/>
        </w:rPr>
        <w:t xml:space="preserve"> </w:t>
      </w:r>
      <w:r w:rsidRPr="00BA1E56">
        <w:rPr>
          <w:sz w:val="22"/>
          <w:szCs w:val="22"/>
        </w:rPr>
        <w:t>These retained proceeds are offsetting collections that remain available until expended.</w:t>
      </w:r>
      <w:r w:rsidR="00C933B2">
        <w:rPr>
          <w:sz w:val="22"/>
          <w:szCs w:val="22"/>
        </w:rPr>
        <w:t xml:space="preserve"> </w:t>
      </w:r>
      <w:r w:rsidRPr="00BA1E56">
        <w:rPr>
          <w:sz w:val="22"/>
          <w:szCs w:val="22"/>
        </w:rPr>
        <w:t xml:space="preserve">Notwithstanding 47 U.S.C. § 309(j)(8)(B), for FY </w:t>
      </w:r>
      <w:r>
        <w:rPr>
          <w:sz w:val="22"/>
          <w:szCs w:val="22"/>
        </w:rPr>
        <w:t>2021</w:t>
      </w:r>
      <w:r w:rsidRPr="00BA1E56">
        <w:rPr>
          <w:sz w:val="22"/>
          <w:szCs w:val="22"/>
        </w:rPr>
        <w:t xml:space="preserve"> Congress limited the amount of the auction proceeds that may be retained and made available for obligation to </w:t>
      </w:r>
      <w:r w:rsidRPr="004B4F39">
        <w:rPr>
          <w:sz w:val="22"/>
          <w:szCs w:val="22"/>
        </w:rPr>
        <w:t>$</w:t>
      </w:r>
      <w:r>
        <w:rPr>
          <w:sz w:val="22"/>
          <w:szCs w:val="22"/>
        </w:rPr>
        <w:t>134,495</w:t>
      </w:r>
      <w:r w:rsidRPr="00BA1E56">
        <w:rPr>
          <w:sz w:val="22"/>
          <w:szCs w:val="22"/>
        </w:rPr>
        <w:t>.</w:t>
      </w:r>
    </w:p>
    <w:p w:rsidR="00285D06" w:rsidRPr="00F223E7" w:rsidP="004745C2" w14:paraId="54E92C8A" w14:textId="77777777">
      <w:pPr>
        <w:pStyle w:val="Heading4"/>
        <w:rPr>
          <w:sz w:val="22"/>
          <w:szCs w:val="22"/>
        </w:rPr>
      </w:pPr>
      <w:bookmarkStart w:id="259" w:name="_Toc88780708"/>
      <w:r w:rsidRPr="00F223E7">
        <w:rPr>
          <w:sz w:val="22"/>
          <w:szCs w:val="22"/>
        </w:rPr>
        <w:t>Note 13 – Legal Arrangements Affecting Use of Unobligated Balances</w:t>
      </w:r>
      <w:bookmarkEnd w:id="259"/>
    </w:p>
    <w:p w:rsidR="00285D06" w:rsidRPr="00BA1E56" w:rsidP="00EC7ED2" w14:paraId="17F656BB" w14:textId="2E5E5418">
      <w:pPr>
        <w:spacing w:after="480"/>
        <w:jc w:val="both"/>
        <w:rPr>
          <w:sz w:val="22"/>
          <w:szCs w:val="22"/>
        </w:rPr>
      </w:pPr>
      <w:r w:rsidRPr="00BA1E56">
        <w:rPr>
          <w:sz w:val="22"/>
          <w:szCs w:val="22"/>
        </w:rPr>
        <w:t xml:space="preserve">Offsetting collections received in excess of </w:t>
      </w:r>
      <w:r w:rsidRPr="004B4F39">
        <w:rPr>
          <w:sz w:val="22"/>
          <w:szCs w:val="22"/>
        </w:rPr>
        <w:t>$</w:t>
      </w:r>
      <w:r w:rsidRPr="00BA1E56">
        <w:rPr>
          <w:sz w:val="22"/>
          <w:szCs w:val="22"/>
        </w:rPr>
        <w:t>3</w:t>
      </w:r>
      <w:r>
        <w:rPr>
          <w:sz w:val="22"/>
          <w:szCs w:val="22"/>
        </w:rPr>
        <w:t>74</w:t>
      </w:r>
      <w:r w:rsidRPr="00BA1E56">
        <w:rPr>
          <w:sz w:val="22"/>
          <w:szCs w:val="22"/>
        </w:rPr>
        <w:t xml:space="preserve">,000 in FY </w:t>
      </w:r>
      <w:r>
        <w:rPr>
          <w:sz w:val="22"/>
          <w:szCs w:val="22"/>
        </w:rPr>
        <w:t>2021</w:t>
      </w:r>
      <w:r w:rsidRPr="00BA1E56">
        <w:rPr>
          <w:sz w:val="22"/>
          <w:szCs w:val="22"/>
        </w:rPr>
        <w:t xml:space="preserve"> and</w:t>
      </w:r>
      <w:r>
        <w:rPr>
          <w:sz w:val="22"/>
          <w:szCs w:val="22"/>
        </w:rPr>
        <w:t xml:space="preserve"> $339,000</w:t>
      </w:r>
      <w:r w:rsidRPr="00BA1E56">
        <w:rPr>
          <w:sz w:val="22"/>
          <w:szCs w:val="22"/>
        </w:rPr>
        <w:t xml:space="preserve"> </w:t>
      </w:r>
      <w:r>
        <w:rPr>
          <w:sz w:val="22"/>
          <w:szCs w:val="22"/>
        </w:rPr>
        <w:t xml:space="preserve">in </w:t>
      </w:r>
      <w:r w:rsidRPr="00BA1E56">
        <w:rPr>
          <w:sz w:val="22"/>
          <w:szCs w:val="22"/>
        </w:rPr>
        <w:t xml:space="preserve">FY </w:t>
      </w:r>
      <w:r>
        <w:rPr>
          <w:sz w:val="22"/>
          <w:szCs w:val="22"/>
        </w:rPr>
        <w:t>2020</w:t>
      </w:r>
      <w:r w:rsidRPr="00BA1E56">
        <w:rPr>
          <w:sz w:val="22"/>
          <w:szCs w:val="22"/>
        </w:rPr>
        <w:t xml:space="preserve"> are precluded from obligation.</w:t>
      </w:r>
      <w:r w:rsidR="00C933B2">
        <w:rPr>
          <w:sz w:val="22"/>
          <w:szCs w:val="22"/>
        </w:rPr>
        <w:t xml:space="preserve"> </w:t>
      </w:r>
      <w:r w:rsidRPr="00BA1E56">
        <w:rPr>
          <w:sz w:val="22"/>
          <w:szCs w:val="22"/>
        </w:rPr>
        <w:t>In addition, the RAY BAUM’S Act requires the Commission to transfer all excess regulatory fees collected from prior and subsequent fiscal years to the Treasury General Fund for the sole purpose of deficit reduction.</w:t>
      </w:r>
      <w:r w:rsidR="00C933B2">
        <w:rPr>
          <w:sz w:val="22"/>
          <w:szCs w:val="22"/>
        </w:rPr>
        <w:t xml:space="preserve"> </w:t>
      </w:r>
    </w:p>
    <w:p w:rsidR="00285D06" w:rsidRPr="00EC7ED2" w:rsidP="004745C2" w14:paraId="3B570423" w14:textId="4A5C8987">
      <w:pPr>
        <w:pStyle w:val="Heading4"/>
        <w:rPr>
          <w:sz w:val="22"/>
          <w:szCs w:val="22"/>
        </w:rPr>
      </w:pPr>
      <w:bookmarkStart w:id="260" w:name="_Toc88780709"/>
      <w:r w:rsidRPr="00EC7ED2">
        <w:rPr>
          <w:sz w:val="22"/>
          <w:szCs w:val="22"/>
        </w:rPr>
        <w:t>Note 14 – Explanation of Differences between the Statement of Budgetary Resources and the Budget of the U.S. Government</w:t>
      </w:r>
      <w:bookmarkEnd w:id="260"/>
      <w:r w:rsidRPr="00EC7ED2">
        <w:rPr>
          <w:sz w:val="22"/>
          <w:szCs w:val="22"/>
        </w:rPr>
        <w:t xml:space="preserve"> </w:t>
      </w:r>
    </w:p>
    <w:p w:rsidR="0016236B" w:rsidP="00770595" w14:paraId="013B3F1C" w14:textId="77777777">
      <w:pPr>
        <w:spacing w:after="360"/>
        <w:jc w:val="both"/>
        <w:rPr>
          <w:spacing w:val="-1"/>
          <w:sz w:val="22"/>
          <w:szCs w:val="22"/>
        </w:rPr>
      </w:pPr>
      <w:r w:rsidRPr="00BA1E56">
        <w:rPr>
          <w:sz w:val="22"/>
          <w:szCs w:val="22"/>
        </w:rPr>
        <w:t xml:space="preserve">There were no material differences between the Combined Statement of Budgetary Resources (SBR) for FY </w:t>
      </w:r>
      <w:r>
        <w:rPr>
          <w:sz w:val="22"/>
          <w:szCs w:val="22"/>
        </w:rPr>
        <w:t>2020</w:t>
      </w:r>
      <w:r w:rsidRPr="00BA1E56">
        <w:rPr>
          <w:sz w:val="22"/>
          <w:szCs w:val="22"/>
        </w:rPr>
        <w:t xml:space="preserve"> and the amounts presented in the FY 202</w:t>
      </w:r>
      <w:r>
        <w:rPr>
          <w:sz w:val="22"/>
          <w:szCs w:val="22"/>
        </w:rPr>
        <w:t>2</w:t>
      </w:r>
      <w:r w:rsidRPr="00BA1E56">
        <w:rPr>
          <w:sz w:val="22"/>
          <w:szCs w:val="22"/>
        </w:rPr>
        <w:t xml:space="preserve"> Budget of the United States Government.</w:t>
      </w:r>
      <w:r w:rsidR="00C933B2">
        <w:rPr>
          <w:sz w:val="22"/>
          <w:szCs w:val="22"/>
        </w:rPr>
        <w:t xml:space="preserve"> </w:t>
      </w:r>
      <w:r w:rsidRPr="00BA1E56">
        <w:rPr>
          <w:sz w:val="22"/>
          <w:szCs w:val="22"/>
        </w:rPr>
        <w:t>The FY 202</w:t>
      </w:r>
      <w:r>
        <w:rPr>
          <w:sz w:val="22"/>
          <w:szCs w:val="22"/>
        </w:rPr>
        <w:t>3</w:t>
      </w:r>
      <w:r w:rsidRPr="00BA1E56">
        <w:rPr>
          <w:sz w:val="22"/>
          <w:szCs w:val="22"/>
        </w:rPr>
        <w:t xml:space="preserve"> Budget of the United States Government, which will include actual numbers for FY </w:t>
      </w:r>
      <w:r>
        <w:rPr>
          <w:sz w:val="22"/>
          <w:szCs w:val="22"/>
        </w:rPr>
        <w:t>2021</w:t>
      </w:r>
      <w:r w:rsidRPr="00BA1E56">
        <w:rPr>
          <w:sz w:val="22"/>
          <w:szCs w:val="22"/>
        </w:rPr>
        <w:t>, has not been published at this time.</w:t>
      </w:r>
      <w:r w:rsidR="00C933B2">
        <w:rPr>
          <w:sz w:val="22"/>
          <w:szCs w:val="22"/>
        </w:rPr>
        <w:t xml:space="preserve"> </w:t>
      </w:r>
      <w:r w:rsidRPr="00BA1E56">
        <w:rPr>
          <w:sz w:val="22"/>
          <w:szCs w:val="22"/>
        </w:rPr>
        <w:t>Pursuant to 31 USC § 1105, the Budget of the United States Government</w:t>
      </w:r>
      <w:r w:rsidRPr="00BA1E56">
        <w:rPr>
          <w:i/>
          <w:sz w:val="22"/>
          <w:szCs w:val="22"/>
        </w:rPr>
        <w:t xml:space="preserve"> </w:t>
      </w:r>
      <w:r w:rsidRPr="00BA1E56">
        <w:rPr>
          <w:sz w:val="22"/>
          <w:szCs w:val="22"/>
        </w:rPr>
        <w:t>will be released not later than the first Monday in February and will be available at the following website:</w:t>
      </w:r>
      <w:r w:rsidR="00C933B2">
        <w:rPr>
          <w:sz w:val="22"/>
          <w:szCs w:val="22"/>
        </w:rPr>
        <w:t xml:space="preserve"> </w:t>
      </w:r>
      <w:hyperlink r:id="rId73" w:history="1">
        <w:r w:rsidRPr="0004523F">
          <w:rPr>
            <w:rStyle w:val="Hyperlink"/>
            <w:spacing w:val="-1"/>
            <w:sz w:val="22"/>
            <w:szCs w:val="22"/>
          </w:rPr>
          <w:t>https://www.whitehouse.gov/omb/budget/</w:t>
        </w:r>
      </w:hyperlink>
      <w:r w:rsidRPr="00BA1E56">
        <w:rPr>
          <w:spacing w:val="-1"/>
          <w:sz w:val="22"/>
          <w:szCs w:val="22"/>
        </w:rPr>
        <w:t>.</w:t>
      </w:r>
      <w:r w:rsidR="00C933B2">
        <w:rPr>
          <w:spacing w:val="-1"/>
          <w:sz w:val="22"/>
          <w:szCs w:val="22"/>
        </w:rPr>
        <w:t xml:space="preserve"> </w:t>
      </w:r>
    </w:p>
    <w:p w:rsidR="00285D06" w:rsidRPr="00687D9A" w:rsidP="009502CD" w14:paraId="51EDA265" w14:textId="77777777">
      <w:pPr>
        <w:pStyle w:val="Heading4"/>
        <w:rPr>
          <w:sz w:val="22"/>
          <w:szCs w:val="22"/>
        </w:rPr>
      </w:pPr>
      <w:bookmarkStart w:id="261" w:name="_Toc88780710"/>
      <w:r w:rsidRPr="00687D9A">
        <w:rPr>
          <w:sz w:val="22"/>
          <w:szCs w:val="22"/>
        </w:rPr>
        <w:t>Note 15 – Custodial Revenues</w:t>
      </w:r>
      <w:bookmarkEnd w:id="261"/>
    </w:p>
    <w:p w:rsidR="00BD45C7" w:rsidRPr="00BA1E56" w:rsidP="00BD45C7" w14:paraId="02A0E158" w14:textId="12565AE0">
      <w:pPr>
        <w:jc w:val="both"/>
        <w:rPr>
          <w:sz w:val="22"/>
          <w:szCs w:val="22"/>
        </w:rPr>
      </w:pPr>
      <w:r w:rsidRPr="00BA1E56">
        <w:rPr>
          <w:sz w:val="22"/>
          <w:szCs w:val="22"/>
        </w:rPr>
        <w:t xml:space="preserve">In accordance with the provisions of SFFAS 7, </w:t>
      </w:r>
      <w:r w:rsidRPr="00BA1E56">
        <w:rPr>
          <w:i/>
          <w:sz w:val="22"/>
          <w:szCs w:val="22"/>
        </w:rPr>
        <w:t>Accounting for Revenue &amp; Other Financing Sources</w:t>
      </w:r>
      <w:r w:rsidRPr="00BA1E56">
        <w:rPr>
          <w:sz w:val="22"/>
          <w:szCs w:val="22"/>
        </w:rPr>
        <w:t>, the Commission collects non-exchange revenues</w:t>
      </w:r>
      <w:r>
        <w:rPr>
          <w:sz w:val="22"/>
          <w:szCs w:val="22"/>
        </w:rPr>
        <w:t>,</w:t>
      </w:r>
      <w:r w:rsidRPr="00BA1E56">
        <w:rPr>
          <w:sz w:val="22"/>
          <w:szCs w:val="22"/>
        </w:rPr>
        <w:t xml:space="preserve"> </w:t>
      </w:r>
      <w:r>
        <w:rPr>
          <w:sz w:val="22"/>
          <w:szCs w:val="22"/>
        </w:rPr>
        <w:t>on a modified cash basis of accounting, and do not affect the Commission’s net cost or net position.</w:t>
      </w:r>
      <w:r w:rsidR="00C933B2">
        <w:rPr>
          <w:sz w:val="22"/>
          <w:szCs w:val="22"/>
        </w:rPr>
        <w:t xml:space="preserve"> </w:t>
      </w:r>
      <w:r>
        <w:rPr>
          <w:sz w:val="22"/>
          <w:szCs w:val="22"/>
        </w:rPr>
        <w:t xml:space="preserve">Custodial collections consists of </w:t>
      </w:r>
      <w:r w:rsidRPr="00BA1E56">
        <w:rPr>
          <w:sz w:val="22"/>
          <w:szCs w:val="22"/>
        </w:rPr>
        <w:t>miscellaneous receipts</w:t>
      </w:r>
      <w:r>
        <w:rPr>
          <w:sz w:val="22"/>
          <w:szCs w:val="22"/>
        </w:rPr>
        <w:t>,</w:t>
      </w:r>
      <w:r w:rsidRPr="00BA1E56">
        <w:rPr>
          <w:sz w:val="22"/>
          <w:szCs w:val="22"/>
        </w:rPr>
        <w:t xml:space="preserve"> and fines and forfeitures to be deposited in the Treasury General Fund.</w:t>
      </w:r>
      <w:r w:rsidR="00C933B2">
        <w:rPr>
          <w:sz w:val="22"/>
          <w:szCs w:val="22"/>
        </w:rPr>
        <w:t xml:space="preserve"> </w:t>
      </w:r>
      <w:r w:rsidRPr="00BA1E56">
        <w:rPr>
          <w:sz w:val="22"/>
          <w:szCs w:val="22"/>
        </w:rPr>
        <w:t>Fines and Forfeitures are made up of consent decrees and forfeiture orders.</w:t>
      </w:r>
      <w:r w:rsidR="00C933B2">
        <w:rPr>
          <w:sz w:val="22"/>
          <w:szCs w:val="22"/>
        </w:rPr>
        <w:t xml:space="preserve"> </w:t>
      </w:r>
      <w:r w:rsidRPr="00BA1E56">
        <w:rPr>
          <w:sz w:val="22"/>
          <w:szCs w:val="22"/>
        </w:rPr>
        <w:t>Forfeiture orders are probable, measurable, and legally enforceable claims, but need to result in a judgement issued by a Federal court before they become legally collectible debts</w:t>
      </w:r>
      <w:r>
        <w:rPr>
          <w:sz w:val="22"/>
          <w:szCs w:val="22"/>
        </w:rPr>
        <w:t>.</w:t>
      </w:r>
      <w:r w:rsidR="00C933B2">
        <w:rPr>
          <w:sz w:val="22"/>
          <w:szCs w:val="22"/>
        </w:rPr>
        <w:t xml:space="preserve"> </w:t>
      </w:r>
      <w:r w:rsidRPr="00BA1E56">
        <w:rPr>
          <w:sz w:val="22"/>
          <w:szCs w:val="22"/>
        </w:rPr>
        <w:t>Consent decrees are legally collectible debts.</w:t>
      </w:r>
      <w:r w:rsidR="00C933B2">
        <w:rPr>
          <w:sz w:val="22"/>
          <w:szCs w:val="22"/>
        </w:rPr>
        <w:t xml:space="preserve"> </w:t>
      </w:r>
      <w:r w:rsidRPr="00BA1E56">
        <w:rPr>
          <w:sz w:val="22"/>
          <w:szCs w:val="22"/>
        </w:rPr>
        <w:t>Additionally, the Commission reports exchange revenue associated with radio spectrum auction proceeds</w:t>
      </w:r>
      <w:r w:rsidRPr="00BA1E56">
        <w:rPr>
          <w:sz w:val="22"/>
          <w:szCs w:val="22"/>
        </w:rPr>
        <w:t xml:space="preserve"> </w:t>
      </w:r>
      <w:r w:rsidRPr="00BA1E56">
        <w:rPr>
          <w:sz w:val="22"/>
          <w:szCs w:val="22"/>
        </w:rPr>
        <w:t>on the Statement of Custodial Activity.</w:t>
      </w:r>
      <w:r w:rsidR="00C933B2">
        <w:rPr>
          <w:sz w:val="22"/>
          <w:szCs w:val="22"/>
        </w:rPr>
        <w:t xml:space="preserve"> </w:t>
      </w:r>
      <w:r w:rsidRPr="00BA1E56">
        <w:rPr>
          <w:sz w:val="22"/>
          <w:szCs w:val="22"/>
        </w:rPr>
        <w:t xml:space="preserve">For more information, refer to Note 1 </w:t>
      </w:r>
      <w:r>
        <w:rPr>
          <w:sz w:val="22"/>
          <w:szCs w:val="22"/>
        </w:rPr>
        <w:t>L</w:t>
      </w:r>
      <w:r w:rsidRPr="00BA1E56">
        <w:rPr>
          <w:sz w:val="22"/>
          <w:szCs w:val="22"/>
        </w:rPr>
        <w:t>.</w:t>
      </w:r>
      <w:r w:rsidR="00C933B2">
        <w:rPr>
          <w:sz w:val="22"/>
          <w:szCs w:val="22"/>
        </w:rPr>
        <w:t xml:space="preserve"> </w:t>
      </w:r>
      <w:r w:rsidRPr="00BA1E56">
        <w:rPr>
          <w:sz w:val="22"/>
          <w:szCs w:val="22"/>
        </w:rPr>
        <w:t xml:space="preserve">The custodial non-exchange collections for </w:t>
      </w:r>
      <w:r>
        <w:rPr>
          <w:sz w:val="22"/>
          <w:szCs w:val="22"/>
        </w:rPr>
        <w:t>the year ended September 30, 2021 were $207,301 and $63,343 for the year ended September 30, 2020</w:t>
      </w:r>
      <w:r w:rsidRPr="00BA1E56">
        <w:rPr>
          <w:sz w:val="22"/>
          <w:szCs w:val="22"/>
        </w:rPr>
        <w:t>.</w:t>
      </w:r>
      <w:r w:rsidR="00C933B2">
        <w:rPr>
          <w:sz w:val="22"/>
          <w:szCs w:val="22"/>
        </w:rPr>
        <w:t xml:space="preserve"> </w:t>
      </w:r>
      <w:r>
        <w:rPr>
          <w:sz w:val="22"/>
          <w:szCs w:val="22"/>
        </w:rPr>
        <w:t>There were no material refunds issued for the year ended September 30, 2021 and September 30, 2020.</w:t>
      </w:r>
      <w:r w:rsidR="00C933B2">
        <w:rPr>
          <w:sz w:val="22"/>
          <w:szCs w:val="22"/>
        </w:rPr>
        <w:t xml:space="preserve"> </w:t>
      </w:r>
    </w:p>
    <w:p w:rsidR="00285D06" w:rsidRPr="007A7D88" w:rsidP="007A7D88" w14:paraId="3A451004" w14:textId="77777777">
      <w:pPr>
        <w:pStyle w:val="Heading4"/>
        <w:spacing w:before="480"/>
        <w:rPr>
          <w:sz w:val="22"/>
          <w:szCs w:val="22"/>
        </w:rPr>
      </w:pPr>
      <w:bookmarkStart w:id="262" w:name="_Toc88780711"/>
      <w:r w:rsidRPr="007A7D88">
        <w:rPr>
          <w:sz w:val="22"/>
          <w:szCs w:val="22"/>
        </w:rPr>
        <w:t>Note 16 – Reconciliation of Net Cost to Net Outlays</w:t>
      </w:r>
      <w:bookmarkEnd w:id="262"/>
      <w:r w:rsidRPr="007A7D88">
        <w:rPr>
          <w:sz w:val="22"/>
          <w:szCs w:val="22"/>
        </w:rPr>
        <w:t xml:space="preserve"> </w:t>
      </w:r>
    </w:p>
    <w:p w:rsidR="00285D06" w:rsidRPr="00BA1E56" w:rsidP="00810DA6" w14:paraId="1BFC5B93" w14:textId="751D4B29">
      <w:pPr>
        <w:spacing w:after="240"/>
        <w:jc w:val="both"/>
        <w:rPr>
          <w:sz w:val="22"/>
          <w:szCs w:val="22"/>
        </w:rPr>
      </w:pPr>
      <w:r w:rsidRPr="00BA1E56">
        <w:rPr>
          <w:sz w:val="22"/>
          <w:szCs w:val="22"/>
        </w:rPr>
        <w:t>Budgetary and financial accounting information differ.</w:t>
      </w:r>
      <w:r w:rsidR="00C933B2">
        <w:rPr>
          <w:sz w:val="22"/>
          <w:szCs w:val="22"/>
        </w:rPr>
        <w:t xml:space="preserve"> </w:t>
      </w:r>
      <w:r w:rsidRPr="00BA1E56">
        <w:rPr>
          <w:sz w:val="22"/>
          <w:szCs w:val="22"/>
        </w:rPr>
        <w:t>Budgetary accounting is used for planning and control purposes and relates to both the receipt and use of cash, as well as reporting the federal deficit.</w:t>
      </w:r>
      <w:r w:rsidR="00C933B2">
        <w:rPr>
          <w:sz w:val="22"/>
          <w:szCs w:val="22"/>
        </w:rPr>
        <w:t xml:space="preserve"> </w:t>
      </w:r>
      <w:r w:rsidRPr="00BA1E56">
        <w:rPr>
          <w:sz w:val="22"/>
          <w:szCs w:val="22"/>
        </w:rPr>
        <w:t>Financial accounting is intended to provide a picture of the government's financial operations and financial</w:t>
      </w:r>
      <w:r>
        <w:rPr>
          <w:sz w:val="22"/>
          <w:szCs w:val="22"/>
        </w:rPr>
        <w:t xml:space="preserve"> </w:t>
      </w:r>
      <w:r w:rsidRPr="00BA1E56">
        <w:rPr>
          <w:sz w:val="22"/>
          <w:szCs w:val="22"/>
        </w:rPr>
        <w:t>position, so it presents information on an accrual basis.</w:t>
      </w:r>
      <w:r w:rsidR="00C933B2">
        <w:rPr>
          <w:sz w:val="22"/>
          <w:szCs w:val="22"/>
        </w:rPr>
        <w:t xml:space="preserve"> </w:t>
      </w:r>
      <w:r w:rsidRPr="00BA1E56">
        <w:rPr>
          <w:sz w:val="22"/>
          <w:szCs w:val="22"/>
        </w:rPr>
        <w:t>The accrual basis includes information about costs arising from the consumption of assets and the incurrence of liabilities.</w:t>
      </w:r>
      <w:r w:rsidR="00C933B2">
        <w:rPr>
          <w:sz w:val="22"/>
          <w:szCs w:val="22"/>
        </w:rPr>
        <w:t xml:space="preserve"> </w:t>
      </w:r>
      <w:r w:rsidRPr="00BA1E56">
        <w:rPr>
          <w:sz w:val="22"/>
          <w:szCs w:val="22"/>
        </w:rPr>
        <w:t>The reconciliation of net outlays, presented on a budgetary basis, and the net cost, presented on an accrual basis, provides an explanation of the relationship between budgetary and financial accounting information.</w:t>
      </w:r>
      <w:r w:rsidR="00C933B2">
        <w:rPr>
          <w:sz w:val="22"/>
          <w:szCs w:val="22"/>
        </w:rPr>
        <w:t xml:space="preserve"> </w:t>
      </w:r>
      <w:r w:rsidRPr="00BA1E56">
        <w:rPr>
          <w:sz w:val="22"/>
          <w:szCs w:val="22"/>
        </w:rPr>
        <w:t>The reconciliation serves not only to identify costs paid for in the past and those that will be paid in the future, but also to assure integrity between budgetary and financial accounting.</w:t>
      </w:r>
    </w:p>
    <w:p w:rsidR="003D69E9" w:rsidP="00285D06" w14:paraId="78BFBB13" w14:textId="77777777">
      <w:pPr>
        <w:jc w:val="both"/>
        <w:rPr>
          <w:sz w:val="22"/>
          <w:szCs w:val="22"/>
        </w:rPr>
        <w:sectPr w:rsidSect="00F054D8">
          <w:pgSz w:w="12240" w:h="15840"/>
          <w:pgMar w:top="1440" w:right="1440" w:bottom="1296" w:left="1440" w:header="720" w:footer="720" w:gutter="0"/>
          <w:cols w:space="720"/>
        </w:sectPr>
      </w:pPr>
      <w:r w:rsidRPr="00BA1E56">
        <w:rPr>
          <w:sz w:val="22"/>
          <w:szCs w:val="22"/>
        </w:rPr>
        <w:t xml:space="preserve">The following analysis illustrates this reconciliation by listing the Commission’s key differences between net cost and net outlays for the reporting period as of </w:t>
      </w:r>
      <w:r>
        <w:rPr>
          <w:sz w:val="22"/>
          <w:szCs w:val="22"/>
        </w:rPr>
        <w:t>September 30, 2021</w:t>
      </w:r>
      <w:r w:rsidRPr="00BA1E56">
        <w:rPr>
          <w:sz w:val="22"/>
          <w:szCs w:val="22"/>
        </w:rPr>
        <w:t xml:space="preserve"> and September 30</w:t>
      </w:r>
      <w:r>
        <w:rPr>
          <w:sz w:val="22"/>
          <w:szCs w:val="22"/>
        </w:rPr>
        <w:t>, 2020</w:t>
      </w:r>
      <w:r w:rsidRPr="00BA1E56">
        <w:rPr>
          <w:sz w:val="22"/>
          <w:szCs w:val="22"/>
        </w:rPr>
        <w:t>.</w:t>
      </w:r>
      <w:r w:rsidR="00C933B2">
        <w:rPr>
          <w:sz w:val="22"/>
          <w:szCs w:val="22"/>
        </w:rPr>
        <w:t xml:space="preserve"> </w:t>
      </w:r>
    </w:p>
    <w:p w:rsidR="00285D06" w:rsidRPr="00D4551C" w:rsidP="00D4253D" w14:paraId="75DD96EC" w14:textId="77777777">
      <w:pPr>
        <w:spacing w:after="240"/>
        <w:jc w:val="both"/>
        <w:rPr>
          <w:b/>
          <w:bCs/>
          <w:sz w:val="22"/>
          <w:szCs w:val="22"/>
        </w:rPr>
      </w:pPr>
      <w:r w:rsidRPr="00D4551C">
        <w:rPr>
          <w:b/>
          <w:bCs/>
          <w:sz w:val="22"/>
          <w:szCs w:val="22"/>
        </w:rPr>
        <w:t>Note 16 – Reconciliation of Net Costs to Net Outlays (continued)</w:t>
      </w:r>
    </w:p>
    <w:tbl>
      <w:tblPr>
        <w:tblW w:w="5000" w:type="pct"/>
        <w:tblLayout w:type="fixed"/>
        <w:tblLook w:val="04A0"/>
      </w:tblPr>
      <w:tblGrid>
        <w:gridCol w:w="4770"/>
        <w:gridCol w:w="1580"/>
        <w:gridCol w:w="1505"/>
        <w:gridCol w:w="1505"/>
      </w:tblGrid>
      <w:tr w14:paraId="546A9FDA" w14:textId="77777777" w:rsidTr="0005406F">
        <w:tblPrEx>
          <w:tblW w:w="5000" w:type="pct"/>
          <w:tblLayout w:type="fixed"/>
          <w:tblLook w:val="04A0"/>
        </w:tblPrEx>
        <w:trPr>
          <w:trHeight w:val="20"/>
        </w:trPr>
        <w:tc>
          <w:tcPr>
            <w:tcW w:w="4770" w:type="dxa"/>
            <w:tcBorders>
              <w:top w:val="nil"/>
              <w:left w:val="nil"/>
              <w:bottom w:val="nil"/>
              <w:right w:val="nil"/>
            </w:tcBorders>
            <w:shd w:val="clear" w:color="auto" w:fill="auto"/>
            <w:vAlign w:val="bottom"/>
            <w:hideMark/>
          </w:tcPr>
          <w:p w:rsidR="00D462D3" w:rsidRPr="0027639D" w:rsidP="004957F6" w14:paraId="48E5338D" w14:textId="77777777">
            <w:pPr>
              <w:rPr>
                <w:b/>
                <w:bCs/>
                <w:sz w:val="16"/>
                <w:szCs w:val="16"/>
                <w:u w:val="single"/>
              </w:rPr>
            </w:pPr>
            <w:r w:rsidRPr="0027639D">
              <w:rPr>
                <w:b/>
                <w:bCs/>
                <w:sz w:val="16"/>
                <w:szCs w:val="16"/>
                <w:u w:val="single"/>
              </w:rPr>
              <w:t>FY 2021</w:t>
            </w:r>
          </w:p>
        </w:tc>
        <w:tc>
          <w:tcPr>
            <w:tcW w:w="1580" w:type="dxa"/>
            <w:tcBorders>
              <w:top w:val="nil"/>
              <w:left w:val="nil"/>
              <w:bottom w:val="single" w:sz="4" w:space="0" w:color="auto"/>
              <w:right w:val="nil"/>
            </w:tcBorders>
            <w:shd w:val="clear" w:color="000000" w:fill="FFFFFF"/>
            <w:noWrap/>
            <w:vAlign w:val="bottom"/>
            <w:hideMark/>
          </w:tcPr>
          <w:p w:rsidR="00D462D3" w:rsidRPr="0027639D" w:rsidP="008431BD" w14:paraId="1BF785BC" w14:textId="77777777">
            <w:pPr>
              <w:jc w:val="center"/>
              <w:rPr>
                <w:b/>
                <w:bCs/>
                <w:sz w:val="16"/>
                <w:szCs w:val="16"/>
              </w:rPr>
            </w:pPr>
            <w:r w:rsidRPr="0027639D">
              <w:rPr>
                <w:b/>
                <w:bCs/>
                <w:sz w:val="16"/>
                <w:szCs w:val="16"/>
              </w:rPr>
              <w:t>Intragovernmental</w:t>
            </w:r>
          </w:p>
        </w:tc>
        <w:tc>
          <w:tcPr>
            <w:tcW w:w="1505" w:type="dxa"/>
            <w:tcBorders>
              <w:top w:val="nil"/>
              <w:left w:val="nil"/>
              <w:bottom w:val="single" w:sz="4" w:space="0" w:color="auto"/>
            </w:tcBorders>
            <w:shd w:val="clear" w:color="000000" w:fill="FFFFFF"/>
            <w:vAlign w:val="bottom"/>
            <w:hideMark/>
          </w:tcPr>
          <w:p w:rsidR="00D462D3" w:rsidRPr="0027639D" w:rsidP="008431BD" w14:paraId="01D24B27" w14:textId="77777777">
            <w:pPr>
              <w:jc w:val="center"/>
              <w:rPr>
                <w:b/>
                <w:bCs/>
                <w:sz w:val="16"/>
                <w:szCs w:val="16"/>
              </w:rPr>
            </w:pPr>
            <w:r w:rsidRPr="0027639D">
              <w:rPr>
                <w:b/>
                <w:bCs/>
                <w:sz w:val="16"/>
                <w:szCs w:val="16"/>
              </w:rPr>
              <w:t>With the Public</w:t>
            </w:r>
          </w:p>
        </w:tc>
        <w:tc>
          <w:tcPr>
            <w:tcW w:w="1505" w:type="dxa"/>
            <w:tcBorders>
              <w:top w:val="nil"/>
              <w:left w:val="nil"/>
              <w:bottom w:val="single" w:sz="4" w:space="0" w:color="auto"/>
              <w:right w:val="nil"/>
            </w:tcBorders>
            <w:shd w:val="clear" w:color="000000" w:fill="FFFFFF"/>
            <w:noWrap/>
            <w:vAlign w:val="bottom"/>
            <w:hideMark/>
          </w:tcPr>
          <w:p w:rsidR="00D462D3" w:rsidRPr="0027639D" w:rsidP="008431BD" w14:paraId="7B99C013" w14:textId="77777777">
            <w:pPr>
              <w:jc w:val="center"/>
              <w:rPr>
                <w:b/>
                <w:bCs/>
                <w:sz w:val="16"/>
                <w:szCs w:val="16"/>
              </w:rPr>
            </w:pPr>
            <w:r w:rsidRPr="0027639D">
              <w:rPr>
                <w:b/>
                <w:bCs/>
                <w:sz w:val="16"/>
                <w:szCs w:val="16"/>
              </w:rPr>
              <w:t>Total</w:t>
            </w:r>
          </w:p>
        </w:tc>
      </w:tr>
      <w:tr w14:paraId="1EAB52DD" w14:textId="77777777" w:rsidTr="008B5AE1">
        <w:tblPrEx>
          <w:tblW w:w="5000" w:type="pct"/>
          <w:tblLayout w:type="fixed"/>
          <w:tblLook w:val="04A0"/>
        </w:tblPrEx>
        <w:trPr>
          <w:trHeight w:val="404"/>
        </w:trPr>
        <w:tc>
          <w:tcPr>
            <w:tcW w:w="4770" w:type="dxa"/>
            <w:tcBorders>
              <w:top w:val="nil"/>
              <w:left w:val="nil"/>
              <w:bottom w:val="nil"/>
              <w:right w:val="nil"/>
            </w:tcBorders>
            <w:shd w:val="clear" w:color="auto" w:fill="auto"/>
            <w:noWrap/>
            <w:vAlign w:val="bottom"/>
            <w:hideMark/>
          </w:tcPr>
          <w:p w:rsidR="00D462D3" w:rsidRPr="0027639D" w:rsidP="004957F6" w14:paraId="19833DD9" w14:textId="77777777">
            <w:pPr>
              <w:rPr>
                <w:b/>
                <w:bCs/>
                <w:sz w:val="16"/>
                <w:szCs w:val="16"/>
              </w:rPr>
            </w:pPr>
            <w:r w:rsidRPr="0027639D">
              <w:rPr>
                <w:b/>
                <w:bCs/>
                <w:sz w:val="16"/>
                <w:szCs w:val="16"/>
              </w:rPr>
              <w:t>Net Cost of Operations</w:t>
            </w:r>
          </w:p>
        </w:tc>
        <w:tc>
          <w:tcPr>
            <w:tcW w:w="1580" w:type="dxa"/>
            <w:tcBorders>
              <w:top w:val="nil"/>
              <w:left w:val="nil"/>
              <w:bottom w:val="double" w:sz="6" w:space="0" w:color="auto"/>
              <w:right w:val="nil"/>
            </w:tcBorders>
            <w:shd w:val="clear" w:color="000000" w:fill="FFFFFF"/>
            <w:noWrap/>
            <w:vAlign w:val="bottom"/>
            <w:hideMark/>
          </w:tcPr>
          <w:p w:rsidR="00D462D3" w:rsidRPr="0027639D" w:rsidP="008431BD" w14:paraId="5AE86487" w14:textId="17232E9E">
            <w:pPr>
              <w:jc w:val="right"/>
              <w:rPr>
                <w:sz w:val="16"/>
                <w:szCs w:val="16"/>
              </w:rPr>
            </w:pPr>
            <w:r w:rsidRPr="0027639D">
              <w:rPr>
                <w:sz w:val="16"/>
                <w:szCs w:val="16"/>
              </w:rPr>
              <w:t>$</w:t>
            </w:r>
            <w:r w:rsidR="00BE0FF4">
              <w:rPr>
                <w:sz w:val="16"/>
                <w:szCs w:val="16"/>
              </w:rPr>
              <w:t xml:space="preserve">                  </w:t>
            </w:r>
            <w:r>
              <w:rPr>
                <w:sz w:val="16"/>
                <w:szCs w:val="16"/>
              </w:rPr>
              <w:t xml:space="preserve"> </w:t>
            </w:r>
            <w:r w:rsidRPr="0027639D">
              <w:rPr>
                <w:sz w:val="16"/>
                <w:szCs w:val="16"/>
              </w:rPr>
              <w:t xml:space="preserve">111,701 </w:t>
            </w:r>
          </w:p>
        </w:tc>
        <w:tc>
          <w:tcPr>
            <w:tcW w:w="1505" w:type="dxa"/>
            <w:tcBorders>
              <w:top w:val="nil"/>
              <w:left w:val="nil"/>
              <w:bottom w:val="double" w:sz="6" w:space="0" w:color="auto"/>
              <w:right w:val="nil"/>
            </w:tcBorders>
            <w:shd w:val="clear" w:color="000000" w:fill="FFFFFF"/>
            <w:noWrap/>
            <w:vAlign w:val="bottom"/>
            <w:hideMark/>
          </w:tcPr>
          <w:p w:rsidR="00D462D3" w:rsidRPr="0027639D" w:rsidP="008431BD" w14:paraId="20657FD0" w14:textId="48F5F8B9">
            <w:pPr>
              <w:jc w:val="right"/>
              <w:rPr>
                <w:sz w:val="16"/>
                <w:szCs w:val="16"/>
              </w:rPr>
            </w:pPr>
            <w:r w:rsidRPr="0027639D">
              <w:rPr>
                <w:sz w:val="16"/>
                <w:szCs w:val="16"/>
              </w:rPr>
              <w:t>$</w:t>
            </w:r>
            <w:r w:rsidR="00BE0FF4">
              <w:rPr>
                <w:sz w:val="16"/>
                <w:szCs w:val="16"/>
              </w:rPr>
              <w:t xml:space="preserve">           </w:t>
            </w:r>
            <w:r>
              <w:rPr>
                <w:sz w:val="16"/>
                <w:szCs w:val="16"/>
              </w:rPr>
              <w:t xml:space="preserve"> </w:t>
            </w:r>
            <w:r w:rsidRPr="0027639D">
              <w:rPr>
                <w:sz w:val="16"/>
                <w:szCs w:val="16"/>
              </w:rPr>
              <w:t xml:space="preserve">11,031,152 </w:t>
            </w:r>
          </w:p>
        </w:tc>
        <w:tc>
          <w:tcPr>
            <w:tcW w:w="1505" w:type="dxa"/>
            <w:tcBorders>
              <w:top w:val="nil"/>
              <w:left w:val="nil"/>
              <w:bottom w:val="double" w:sz="6" w:space="0" w:color="auto"/>
              <w:right w:val="nil"/>
            </w:tcBorders>
            <w:shd w:val="clear" w:color="000000" w:fill="FFFFFF"/>
            <w:noWrap/>
            <w:vAlign w:val="bottom"/>
            <w:hideMark/>
          </w:tcPr>
          <w:p w:rsidR="00D462D3" w:rsidRPr="0027639D" w:rsidP="008431BD" w14:paraId="70E51032" w14:textId="01077393">
            <w:pPr>
              <w:jc w:val="right"/>
              <w:rPr>
                <w:sz w:val="16"/>
                <w:szCs w:val="16"/>
              </w:rPr>
            </w:pPr>
            <w:r w:rsidRPr="0027639D">
              <w:rPr>
                <w:sz w:val="16"/>
                <w:szCs w:val="16"/>
              </w:rPr>
              <w:t>$</w:t>
            </w:r>
            <w:r w:rsidR="00BE0FF4">
              <w:rPr>
                <w:sz w:val="16"/>
                <w:szCs w:val="16"/>
              </w:rPr>
              <w:t xml:space="preserve">           </w:t>
            </w:r>
            <w:r>
              <w:rPr>
                <w:sz w:val="16"/>
                <w:szCs w:val="16"/>
              </w:rPr>
              <w:t xml:space="preserve"> </w:t>
            </w:r>
            <w:r w:rsidRPr="0027639D">
              <w:rPr>
                <w:sz w:val="16"/>
                <w:szCs w:val="16"/>
              </w:rPr>
              <w:t xml:space="preserve">11,142,853 </w:t>
            </w:r>
          </w:p>
        </w:tc>
      </w:tr>
      <w:tr w14:paraId="2FFD0FC9" w14:textId="77777777" w:rsidTr="0005406F">
        <w:tblPrEx>
          <w:tblW w:w="5000" w:type="pct"/>
          <w:tblLayout w:type="fixed"/>
          <w:tblLook w:val="04A0"/>
        </w:tblPrEx>
        <w:trPr>
          <w:trHeight w:val="20"/>
        </w:trPr>
        <w:tc>
          <w:tcPr>
            <w:tcW w:w="4770" w:type="dxa"/>
            <w:tcBorders>
              <w:top w:val="nil"/>
              <w:left w:val="nil"/>
              <w:bottom w:val="nil"/>
              <w:right w:val="nil"/>
            </w:tcBorders>
            <w:shd w:val="clear" w:color="auto" w:fill="auto"/>
            <w:noWrap/>
            <w:vAlign w:val="bottom"/>
            <w:hideMark/>
          </w:tcPr>
          <w:p w:rsidR="00D462D3" w:rsidRPr="0027639D" w:rsidP="004957F6" w14:paraId="2D96B623" w14:textId="77777777">
            <w:pPr>
              <w:rPr>
                <w:b/>
                <w:bCs/>
                <w:sz w:val="16"/>
                <w:szCs w:val="16"/>
              </w:rPr>
            </w:pPr>
            <w:r w:rsidRPr="0027639D">
              <w:rPr>
                <w:b/>
                <w:bCs/>
                <w:sz w:val="16"/>
                <w:szCs w:val="16"/>
              </w:rPr>
              <w:t>Components of Net Operating Cost Not Part of the Budgetary Outlays:</w:t>
            </w:r>
          </w:p>
        </w:tc>
        <w:tc>
          <w:tcPr>
            <w:tcW w:w="1580" w:type="dxa"/>
            <w:tcBorders>
              <w:top w:val="nil"/>
              <w:left w:val="nil"/>
              <w:bottom w:val="nil"/>
              <w:right w:val="nil"/>
            </w:tcBorders>
            <w:shd w:val="clear" w:color="000000" w:fill="FFFFFF"/>
            <w:noWrap/>
            <w:vAlign w:val="bottom"/>
          </w:tcPr>
          <w:p w:rsidR="00D462D3" w:rsidRPr="0027639D" w:rsidP="008431BD" w14:paraId="09D62BFE" w14:textId="204603B6">
            <w:pPr>
              <w:jc w:val="right"/>
              <w:rPr>
                <w:sz w:val="16"/>
                <w:szCs w:val="16"/>
              </w:rPr>
            </w:pPr>
          </w:p>
        </w:tc>
        <w:tc>
          <w:tcPr>
            <w:tcW w:w="1505" w:type="dxa"/>
            <w:tcBorders>
              <w:top w:val="nil"/>
              <w:left w:val="nil"/>
              <w:bottom w:val="nil"/>
              <w:right w:val="nil"/>
            </w:tcBorders>
            <w:shd w:val="clear" w:color="000000" w:fill="FFFFFF"/>
            <w:noWrap/>
            <w:vAlign w:val="bottom"/>
          </w:tcPr>
          <w:p w:rsidR="00D462D3" w:rsidRPr="0027639D" w:rsidP="008431BD" w14:paraId="7862697D" w14:textId="4E54A4E0">
            <w:pPr>
              <w:jc w:val="right"/>
              <w:rPr>
                <w:sz w:val="16"/>
                <w:szCs w:val="16"/>
              </w:rPr>
            </w:pPr>
          </w:p>
        </w:tc>
        <w:tc>
          <w:tcPr>
            <w:tcW w:w="1505" w:type="dxa"/>
            <w:tcBorders>
              <w:top w:val="nil"/>
              <w:left w:val="nil"/>
              <w:bottom w:val="nil"/>
              <w:right w:val="nil"/>
            </w:tcBorders>
            <w:shd w:val="clear" w:color="000000" w:fill="FFFFFF"/>
            <w:noWrap/>
            <w:vAlign w:val="bottom"/>
          </w:tcPr>
          <w:p w:rsidR="00D462D3" w:rsidRPr="0027639D" w:rsidP="008431BD" w14:paraId="7275E5C8" w14:textId="7F6B3170">
            <w:pPr>
              <w:jc w:val="right"/>
              <w:rPr>
                <w:sz w:val="16"/>
                <w:szCs w:val="16"/>
              </w:rPr>
            </w:pPr>
          </w:p>
        </w:tc>
      </w:tr>
      <w:tr w14:paraId="209F299B" w14:textId="77777777" w:rsidTr="0005406F">
        <w:tblPrEx>
          <w:tblW w:w="5000" w:type="pct"/>
          <w:tblLayout w:type="fixed"/>
          <w:tblLook w:val="04A0"/>
        </w:tblPrEx>
        <w:trPr>
          <w:trHeight w:val="20"/>
        </w:trPr>
        <w:tc>
          <w:tcPr>
            <w:tcW w:w="4770" w:type="dxa"/>
            <w:tcBorders>
              <w:top w:val="nil"/>
              <w:left w:val="nil"/>
              <w:bottom w:val="nil"/>
              <w:right w:val="nil"/>
            </w:tcBorders>
            <w:shd w:val="clear" w:color="auto" w:fill="auto"/>
            <w:noWrap/>
            <w:vAlign w:val="bottom"/>
            <w:hideMark/>
          </w:tcPr>
          <w:p w:rsidR="00D462D3" w:rsidRPr="0027639D" w:rsidP="008B5AE1" w14:paraId="1A535BAD" w14:textId="77777777">
            <w:pPr>
              <w:ind w:firstLine="400" w:firstLineChars="250"/>
              <w:rPr>
                <w:sz w:val="16"/>
                <w:szCs w:val="16"/>
              </w:rPr>
            </w:pPr>
            <w:r w:rsidRPr="0027639D">
              <w:rPr>
                <w:sz w:val="16"/>
                <w:szCs w:val="16"/>
              </w:rPr>
              <w:t xml:space="preserve">Property, plant, and equipment depreciation </w:t>
            </w:r>
          </w:p>
        </w:tc>
        <w:tc>
          <w:tcPr>
            <w:tcW w:w="1580" w:type="dxa"/>
            <w:tcBorders>
              <w:top w:val="nil"/>
              <w:left w:val="nil"/>
              <w:bottom w:val="nil"/>
              <w:right w:val="nil"/>
            </w:tcBorders>
            <w:shd w:val="clear" w:color="000000" w:fill="FFFFFF"/>
            <w:noWrap/>
            <w:vAlign w:val="bottom"/>
            <w:hideMark/>
          </w:tcPr>
          <w:p w:rsidR="00D462D3" w:rsidRPr="0027639D" w:rsidP="008431BD" w14:paraId="0AF0C488" w14:textId="77777777">
            <w:pPr>
              <w:jc w:val="right"/>
              <w:rPr>
                <w:sz w:val="16"/>
                <w:szCs w:val="16"/>
              </w:rPr>
            </w:pPr>
            <w:r>
              <w:rPr>
                <w:sz w:val="16"/>
                <w:szCs w:val="16"/>
              </w:rPr>
              <w:t xml:space="preserve"> </w:t>
            </w:r>
            <w:r w:rsidRPr="0027639D">
              <w:rPr>
                <w:sz w:val="16"/>
                <w:szCs w:val="16"/>
              </w:rPr>
              <w:t xml:space="preserve">- </w:t>
            </w:r>
          </w:p>
        </w:tc>
        <w:tc>
          <w:tcPr>
            <w:tcW w:w="1505" w:type="dxa"/>
            <w:tcBorders>
              <w:top w:val="nil"/>
              <w:left w:val="nil"/>
              <w:bottom w:val="nil"/>
              <w:right w:val="nil"/>
            </w:tcBorders>
            <w:shd w:val="clear" w:color="000000" w:fill="FFFFFF"/>
            <w:noWrap/>
            <w:vAlign w:val="bottom"/>
            <w:hideMark/>
          </w:tcPr>
          <w:p w:rsidR="00D462D3" w:rsidRPr="0027639D" w:rsidP="008431BD" w14:paraId="51B05039" w14:textId="77777777">
            <w:pPr>
              <w:jc w:val="right"/>
              <w:rPr>
                <w:sz w:val="16"/>
                <w:szCs w:val="16"/>
              </w:rPr>
            </w:pPr>
            <w:r>
              <w:rPr>
                <w:sz w:val="16"/>
                <w:szCs w:val="16"/>
              </w:rPr>
              <w:t xml:space="preserve"> </w:t>
            </w:r>
            <w:r w:rsidRPr="0027639D">
              <w:rPr>
                <w:sz w:val="16"/>
                <w:szCs w:val="16"/>
              </w:rPr>
              <w:t>(19,707)</w:t>
            </w:r>
          </w:p>
        </w:tc>
        <w:tc>
          <w:tcPr>
            <w:tcW w:w="1505" w:type="dxa"/>
            <w:tcBorders>
              <w:top w:val="nil"/>
              <w:left w:val="nil"/>
              <w:bottom w:val="nil"/>
              <w:right w:val="nil"/>
            </w:tcBorders>
            <w:shd w:val="clear" w:color="000000" w:fill="FFFFFF"/>
            <w:noWrap/>
            <w:vAlign w:val="bottom"/>
            <w:hideMark/>
          </w:tcPr>
          <w:p w:rsidR="00D462D3" w:rsidRPr="0027639D" w:rsidP="008431BD" w14:paraId="74028B19" w14:textId="77777777">
            <w:pPr>
              <w:jc w:val="right"/>
              <w:rPr>
                <w:sz w:val="16"/>
                <w:szCs w:val="16"/>
              </w:rPr>
            </w:pPr>
            <w:r>
              <w:rPr>
                <w:sz w:val="16"/>
                <w:szCs w:val="16"/>
              </w:rPr>
              <w:t xml:space="preserve"> </w:t>
            </w:r>
            <w:r w:rsidRPr="0027639D">
              <w:rPr>
                <w:sz w:val="16"/>
                <w:szCs w:val="16"/>
              </w:rPr>
              <w:t>(19,707)</w:t>
            </w:r>
          </w:p>
        </w:tc>
      </w:tr>
      <w:tr w14:paraId="5984EFC7" w14:textId="77777777" w:rsidTr="008B5AE1">
        <w:tblPrEx>
          <w:tblW w:w="5000" w:type="pct"/>
          <w:tblLayout w:type="fixed"/>
          <w:tblLook w:val="04A0"/>
        </w:tblPrEx>
        <w:trPr>
          <w:trHeight w:val="387"/>
        </w:trPr>
        <w:tc>
          <w:tcPr>
            <w:tcW w:w="4770" w:type="dxa"/>
            <w:tcBorders>
              <w:top w:val="nil"/>
              <w:left w:val="nil"/>
              <w:bottom w:val="nil"/>
              <w:right w:val="nil"/>
            </w:tcBorders>
            <w:shd w:val="clear" w:color="000000" w:fill="FFFFFF"/>
            <w:noWrap/>
            <w:vAlign w:val="bottom"/>
            <w:hideMark/>
          </w:tcPr>
          <w:p w:rsidR="00D462D3" w:rsidRPr="0027639D" w:rsidP="008B5AE1" w14:paraId="150BEBF7" w14:textId="77777777">
            <w:pPr>
              <w:ind w:firstLine="400" w:firstLineChars="250"/>
              <w:rPr>
                <w:b/>
                <w:bCs/>
                <w:sz w:val="16"/>
                <w:szCs w:val="16"/>
              </w:rPr>
            </w:pPr>
            <w:r w:rsidRPr="0027639D">
              <w:rPr>
                <w:b/>
                <w:bCs/>
                <w:sz w:val="16"/>
                <w:szCs w:val="16"/>
              </w:rPr>
              <w:t>Increase/(Decrease) in Assets not affecting Budget Outlays:</w:t>
            </w:r>
          </w:p>
        </w:tc>
        <w:tc>
          <w:tcPr>
            <w:tcW w:w="1580" w:type="dxa"/>
            <w:tcBorders>
              <w:top w:val="nil"/>
              <w:left w:val="nil"/>
              <w:bottom w:val="nil"/>
              <w:right w:val="nil"/>
            </w:tcBorders>
            <w:shd w:val="clear" w:color="000000" w:fill="FFFFFF"/>
            <w:noWrap/>
            <w:vAlign w:val="bottom"/>
            <w:hideMark/>
          </w:tcPr>
          <w:p w:rsidR="00D462D3" w:rsidRPr="0027639D" w:rsidP="008431BD" w14:paraId="05680F3E" w14:textId="77777777">
            <w:pPr>
              <w:jc w:val="right"/>
              <w:rPr>
                <w:sz w:val="16"/>
                <w:szCs w:val="16"/>
              </w:rPr>
            </w:pPr>
            <w:r w:rsidRPr="0027639D">
              <w:rPr>
                <w:sz w:val="16"/>
                <w:szCs w:val="16"/>
              </w:rPr>
              <w:t> </w:t>
            </w:r>
          </w:p>
        </w:tc>
        <w:tc>
          <w:tcPr>
            <w:tcW w:w="1505" w:type="dxa"/>
            <w:tcBorders>
              <w:top w:val="nil"/>
              <w:left w:val="nil"/>
              <w:bottom w:val="nil"/>
              <w:right w:val="nil"/>
            </w:tcBorders>
            <w:shd w:val="clear" w:color="000000" w:fill="FFFFFF"/>
            <w:noWrap/>
            <w:vAlign w:val="bottom"/>
            <w:hideMark/>
          </w:tcPr>
          <w:p w:rsidR="00D462D3" w:rsidRPr="0027639D" w:rsidP="008431BD" w14:paraId="041D6CF5" w14:textId="77777777">
            <w:pPr>
              <w:jc w:val="right"/>
              <w:rPr>
                <w:sz w:val="16"/>
                <w:szCs w:val="16"/>
              </w:rPr>
            </w:pPr>
            <w:r w:rsidRPr="0027639D">
              <w:rPr>
                <w:sz w:val="16"/>
                <w:szCs w:val="16"/>
              </w:rPr>
              <w:t> </w:t>
            </w:r>
          </w:p>
        </w:tc>
        <w:tc>
          <w:tcPr>
            <w:tcW w:w="1505" w:type="dxa"/>
            <w:tcBorders>
              <w:top w:val="nil"/>
              <w:left w:val="nil"/>
              <w:bottom w:val="nil"/>
              <w:right w:val="nil"/>
            </w:tcBorders>
            <w:shd w:val="clear" w:color="000000" w:fill="FFFFFF"/>
            <w:noWrap/>
            <w:vAlign w:val="bottom"/>
            <w:hideMark/>
          </w:tcPr>
          <w:p w:rsidR="00D462D3" w:rsidRPr="0027639D" w:rsidP="008431BD" w14:paraId="77E9A5A7" w14:textId="77777777">
            <w:pPr>
              <w:jc w:val="right"/>
              <w:rPr>
                <w:sz w:val="16"/>
                <w:szCs w:val="16"/>
              </w:rPr>
            </w:pPr>
            <w:r w:rsidRPr="0027639D">
              <w:rPr>
                <w:sz w:val="16"/>
                <w:szCs w:val="16"/>
              </w:rPr>
              <w:t> </w:t>
            </w:r>
          </w:p>
        </w:tc>
      </w:tr>
      <w:tr w14:paraId="778BCFED" w14:textId="77777777" w:rsidTr="0005406F">
        <w:tblPrEx>
          <w:tblW w:w="5000" w:type="pct"/>
          <w:tblLayout w:type="fixed"/>
          <w:tblLook w:val="04A0"/>
        </w:tblPrEx>
        <w:trPr>
          <w:trHeight w:val="20"/>
        </w:trPr>
        <w:tc>
          <w:tcPr>
            <w:tcW w:w="4770" w:type="dxa"/>
            <w:tcBorders>
              <w:top w:val="nil"/>
              <w:left w:val="nil"/>
              <w:bottom w:val="nil"/>
              <w:right w:val="nil"/>
            </w:tcBorders>
            <w:shd w:val="clear" w:color="auto" w:fill="auto"/>
            <w:noWrap/>
            <w:vAlign w:val="bottom"/>
            <w:hideMark/>
          </w:tcPr>
          <w:p w:rsidR="00D462D3" w:rsidRPr="0027639D" w:rsidP="004D7946" w14:paraId="5BEF85B9" w14:textId="77777777">
            <w:pPr>
              <w:ind w:firstLine="560" w:firstLineChars="350"/>
              <w:rPr>
                <w:sz w:val="16"/>
                <w:szCs w:val="16"/>
              </w:rPr>
            </w:pPr>
            <w:r w:rsidRPr="0027639D">
              <w:rPr>
                <w:sz w:val="16"/>
                <w:szCs w:val="16"/>
              </w:rPr>
              <w:t>Accounts receivable, net</w:t>
            </w:r>
          </w:p>
        </w:tc>
        <w:tc>
          <w:tcPr>
            <w:tcW w:w="1580" w:type="dxa"/>
            <w:tcBorders>
              <w:top w:val="nil"/>
              <w:left w:val="nil"/>
              <w:bottom w:val="nil"/>
              <w:right w:val="nil"/>
            </w:tcBorders>
            <w:shd w:val="clear" w:color="000000" w:fill="FFFFFF"/>
            <w:noWrap/>
            <w:vAlign w:val="bottom"/>
            <w:hideMark/>
          </w:tcPr>
          <w:p w:rsidR="00D462D3" w:rsidRPr="0027639D" w:rsidP="008431BD" w14:paraId="0EEA01A5" w14:textId="77777777">
            <w:pPr>
              <w:jc w:val="right"/>
              <w:rPr>
                <w:sz w:val="16"/>
                <w:szCs w:val="16"/>
              </w:rPr>
            </w:pPr>
            <w:r>
              <w:rPr>
                <w:sz w:val="16"/>
                <w:szCs w:val="16"/>
              </w:rPr>
              <w:t xml:space="preserve"> </w:t>
            </w:r>
            <w:r w:rsidRPr="0027639D">
              <w:rPr>
                <w:sz w:val="16"/>
                <w:szCs w:val="16"/>
              </w:rPr>
              <w:t>(78)</w:t>
            </w:r>
          </w:p>
        </w:tc>
        <w:tc>
          <w:tcPr>
            <w:tcW w:w="1505" w:type="dxa"/>
            <w:tcBorders>
              <w:top w:val="nil"/>
              <w:left w:val="nil"/>
              <w:bottom w:val="nil"/>
              <w:right w:val="nil"/>
            </w:tcBorders>
            <w:shd w:val="clear" w:color="000000" w:fill="FFFFFF"/>
            <w:noWrap/>
            <w:vAlign w:val="bottom"/>
            <w:hideMark/>
          </w:tcPr>
          <w:p w:rsidR="00D462D3" w:rsidRPr="0027639D" w:rsidP="008431BD" w14:paraId="424DDEF3" w14:textId="77777777">
            <w:pPr>
              <w:jc w:val="right"/>
              <w:rPr>
                <w:sz w:val="16"/>
                <w:szCs w:val="16"/>
              </w:rPr>
            </w:pPr>
            <w:r>
              <w:rPr>
                <w:sz w:val="16"/>
                <w:szCs w:val="16"/>
              </w:rPr>
              <w:t xml:space="preserve"> </w:t>
            </w:r>
            <w:r w:rsidRPr="0027639D">
              <w:rPr>
                <w:sz w:val="16"/>
                <w:szCs w:val="16"/>
              </w:rPr>
              <w:t>(18,565)</w:t>
            </w:r>
          </w:p>
        </w:tc>
        <w:tc>
          <w:tcPr>
            <w:tcW w:w="1505" w:type="dxa"/>
            <w:tcBorders>
              <w:top w:val="nil"/>
              <w:left w:val="nil"/>
              <w:right w:val="nil"/>
            </w:tcBorders>
            <w:shd w:val="clear" w:color="000000" w:fill="FFFFFF"/>
            <w:noWrap/>
            <w:vAlign w:val="bottom"/>
            <w:hideMark/>
          </w:tcPr>
          <w:p w:rsidR="00D462D3" w:rsidRPr="0027639D" w:rsidP="008431BD" w14:paraId="406ED91C" w14:textId="77777777">
            <w:pPr>
              <w:jc w:val="right"/>
              <w:rPr>
                <w:sz w:val="16"/>
                <w:szCs w:val="16"/>
              </w:rPr>
            </w:pPr>
            <w:r>
              <w:rPr>
                <w:sz w:val="16"/>
                <w:szCs w:val="16"/>
              </w:rPr>
              <w:t xml:space="preserve"> </w:t>
            </w:r>
            <w:r w:rsidRPr="0027639D">
              <w:rPr>
                <w:sz w:val="16"/>
                <w:szCs w:val="16"/>
              </w:rPr>
              <w:t>(18,643)</w:t>
            </w:r>
          </w:p>
        </w:tc>
      </w:tr>
      <w:tr w14:paraId="01A88286" w14:textId="77777777" w:rsidTr="0005406F">
        <w:tblPrEx>
          <w:tblW w:w="5000" w:type="pct"/>
          <w:tblLayout w:type="fixed"/>
          <w:tblLook w:val="04A0"/>
        </w:tblPrEx>
        <w:trPr>
          <w:trHeight w:val="20"/>
        </w:trPr>
        <w:tc>
          <w:tcPr>
            <w:tcW w:w="4770" w:type="dxa"/>
            <w:tcBorders>
              <w:top w:val="nil"/>
              <w:left w:val="nil"/>
              <w:bottom w:val="nil"/>
              <w:right w:val="nil"/>
            </w:tcBorders>
            <w:shd w:val="clear" w:color="auto" w:fill="auto"/>
            <w:noWrap/>
            <w:vAlign w:val="bottom"/>
            <w:hideMark/>
          </w:tcPr>
          <w:p w:rsidR="00D462D3" w:rsidRPr="0027639D" w:rsidP="004D7946" w14:paraId="49B49F3F" w14:textId="77777777">
            <w:pPr>
              <w:ind w:firstLine="560" w:firstLineChars="350"/>
              <w:rPr>
                <w:sz w:val="16"/>
                <w:szCs w:val="16"/>
              </w:rPr>
            </w:pPr>
            <w:r w:rsidRPr="0027639D">
              <w:rPr>
                <w:sz w:val="16"/>
                <w:szCs w:val="16"/>
              </w:rPr>
              <w:t>Other assets</w:t>
            </w:r>
          </w:p>
        </w:tc>
        <w:tc>
          <w:tcPr>
            <w:tcW w:w="1580" w:type="dxa"/>
            <w:tcBorders>
              <w:top w:val="nil"/>
              <w:left w:val="nil"/>
              <w:bottom w:val="nil"/>
              <w:right w:val="nil"/>
            </w:tcBorders>
            <w:shd w:val="clear" w:color="000000" w:fill="FFFFFF"/>
            <w:noWrap/>
            <w:vAlign w:val="bottom"/>
            <w:hideMark/>
          </w:tcPr>
          <w:p w:rsidR="00D462D3" w:rsidRPr="0027639D" w:rsidP="008431BD" w14:paraId="314E204F" w14:textId="77777777">
            <w:pPr>
              <w:jc w:val="right"/>
              <w:rPr>
                <w:sz w:val="16"/>
                <w:szCs w:val="16"/>
              </w:rPr>
            </w:pPr>
            <w:r>
              <w:rPr>
                <w:sz w:val="16"/>
                <w:szCs w:val="16"/>
              </w:rPr>
              <w:t xml:space="preserve"> </w:t>
            </w:r>
            <w:r w:rsidRPr="0027639D">
              <w:rPr>
                <w:sz w:val="16"/>
                <w:szCs w:val="16"/>
              </w:rPr>
              <w:t>(1,224)</w:t>
            </w:r>
          </w:p>
        </w:tc>
        <w:tc>
          <w:tcPr>
            <w:tcW w:w="1505" w:type="dxa"/>
            <w:tcBorders>
              <w:top w:val="nil"/>
              <w:left w:val="nil"/>
              <w:bottom w:val="nil"/>
              <w:right w:val="nil"/>
            </w:tcBorders>
            <w:shd w:val="clear" w:color="000000" w:fill="FFFFFF"/>
            <w:noWrap/>
            <w:vAlign w:val="bottom"/>
            <w:hideMark/>
          </w:tcPr>
          <w:p w:rsidR="00D462D3" w:rsidRPr="0027639D" w:rsidP="008431BD" w14:paraId="1D3A4A2C" w14:textId="77777777">
            <w:pPr>
              <w:jc w:val="right"/>
              <w:rPr>
                <w:sz w:val="16"/>
                <w:szCs w:val="16"/>
              </w:rPr>
            </w:pPr>
            <w:r>
              <w:rPr>
                <w:sz w:val="16"/>
                <w:szCs w:val="16"/>
              </w:rPr>
              <w:t xml:space="preserve"> </w:t>
            </w:r>
            <w:r w:rsidRPr="0027639D">
              <w:rPr>
                <w:sz w:val="16"/>
                <w:szCs w:val="16"/>
              </w:rPr>
              <w:t xml:space="preserve">- </w:t>
            </w:r>
          </w:p>
        </w:tc>
        <w:tc>
          <w:tcPr>
            <w:tcW w:w="1505" w:type="dxa"/>
            <w:tcBorders>
              <w:top w:val="nil"/>
              <w:left w:val="nil"/>
              <w:bottom w:val="nil"/>
              <w:right w:val="nil"/>
            </w:tcBorders>
            <w:shd w:val="clear" w:color="000000" w:fill="FFFFFF"/>
            <w:noWrap/>
            <w:vAlign w:val="bottom"/>
            <w:hideMark/>
          </w:tcPr>
          <w:p w:rsidR="00D462D3" w:rsidRPr="0027639D" w:rsidP="008431BD" w14:paraId="603C3ACC" w14:textId="77777777">
            <w:pPr>
              <w:jc w:val="right"/>
              <w:rPr>
                <w:sz w:val="16"/>
                <w:szCs w:val="16"/>
              </w:rPr>
            </w:pPr>
            <w:r>
              <w:rPr>
                <w:sz w:val="16"/>
                <w:szCs w:val="16"/>
              </w:rPr>
              <w:t xml:space="preserve"> </w:t>
            </w:r>
            <w:r w:rsidRPr="0027639D">
              <w:rPr>
                <w:sz w:val="16"/>
                <w:szCs w:val="16"/>
              </w:rPr>
              <w:t>(1,224)</w:t>
            </w:r>
          </w:p>
        </w:tc>
      </w:tr>
      <w:tr w14:paraId="19743D9D" w14:textId="77777777" w:rsidTr="00F80840">
        <w:tblPrEx>
          <w:tblW w:w="5000" w:type="pct"/>
          <w:tblLayout w:type="fixed"/>
          <w:tblLook w:val="04A0"/>
        </w:tblPrEx>
        <w:trPr>
          <w:trHeight w:val="531"/>
        </w:trPr>
        <w:tc>
          <w:tcPr>
            <w:tcW w:w="4770" w:type="dxa"/>
            <w:tcBorders>
              <w:top w:val="nil"/>
              <w:left w:val="nil"/>
              <w:bottom w:val="nil"/>
              <w:right w:val="nil"/>
            </w:tcBorders>
            <w:shd w:val="clear" w:color="000000" w:fill="FFFFFF"/>
            <w:noWrap/>
            <w:vAlign w:val="bottom"/>
            <w:hideMark/>
          </w:tcPr>
          <w:p w:rsidR="00D462D3" w:rsidRPr="0027639D" w:rsidP="004D7946" w14:paraId="38A3FD10" w14:textId="77777777">
            <w:pPr>
              <w:ind w:left="432"/>
              <w:rPr>
                <w:b/>
                <w:bCs/>
                <w:sz w:val="16"/>
                <w:szCs w:val="16"/>
              </w:rPr>
            </w:pPr>
            <w:r w:rsidRPr="0027639D">
              <w:rPr>
                <w:b/>
                <w:bCs/>
                <w:sz w:val="16"/>
                <w:szCs w:val="16"/>
              </w:rPr>
              <w:t>(Increase)/Decrease in Liabilities not affecting Budget Outlays:</w:t>
            </w:r>
          </w:p>
        </w:tc>
        <w:tc>
          <w:tcPr>
            <w:tcW w:w="1580" w:type="dxa"/>
            <w:tcBorders>
              <w:top w:val="nil"/>
              <w:left w:val="nil"/>
              <w:bottom w:val="nil"/>
              <w:right w:val="nil"/>
            </w:tcBorders>
            <w:shd w:val="clear" w:color="000000" w:fill="FFFFFF"/>
            <w:noWrap/>
            <w:vAlign w:val="bottom"/>
          </w:tcPr>
          <w:p w:rsidR="00D462D3" w:rsidRPr="0027639D" w:rsidP="008431BD" w14:paraId="06301301" w14:textId="03F9E6D4">
            <w:pPr>
              <w:jc w:val="right"/>
              <w:rPr>
                <w:sz w:val="16"/>
                <w:szCs w:val="16"/>
              </w:rPr>
            </w:pPr>
          </w:p>
        </w:tc>
        <w:tc>
          <w:tcPr>
            <w:tcW w:w="1505" w:type="dxa"/>
            <w:tcBorders>
              <w:top w:val="nil"/>
              <w:left w:val="nil"/>
              <w:bottom w:val="nil"/>
              <w:right w:val="nil"/>
            </w:tcBorders>
            <w:shd w:val="clear" w:color="000000" w:fill="FFFFFF"/>
            <w:noWrap/>
            <w:vAlign w:val="bottom"/>
          </w:tcPr>
          <w:p w:rsidR="00D462D3" w:rsidRPr="0027639D" w:rsidP="008431BD" w14:paraId="7D55B12D" w14:textId="243E456B">
            <w:pPr>
              <w:jc w:val="right"/>
              <w:rPr>
                <w:sz w:val="16"/>
                <w:szCs w:val="16"/>
              </w:rPr>
            </w:pPr>
          </w:p>
        </w:tc>
        <w:tc>
          <w:tcPr>
            <w:tcW w:w="1505" w:type="dxa"/>
            <w:tcBorders>
              <w:top w:val="nil"/>
              <w:left w:val="nil"/>
              <w:bottom w:val="nil"/>
              <w:right w:val="nil"/>
            </w:tcBorders>
            <w:shd w:val="clear" w:color="000000" w:fill="FFFFFF"/>
            <w:noWrap/>
            <w:vAlign w:val="bottom"/>
          </w:tcPr>
          <w:p w:rsidR="00D462D3" w:rsidRPr="0027639D" w:rsidP="008431BD" w14:paraId="5B7B04CE" w14:textId="57EC6DD4">
            <w:pPr>
              <w:jc w:val="right"/>
              <w:rPr>
                <w:sz w:val="16"/>
                <w:szCs w:val="16"/>
              </w:rPr>
            </w:pPr>
          </w:p>
        </w:tc>
      </w:tr>
      <w:tr w14:paraId="73956E18" w14:textId="77777777" w:rsidTr="0005406F">
        <w:tblPrEx>
          <w:tblW w:w="5000" w:type="pct"/>
          <w:tblLayout w:type="fixed"/>
          <w:tblLook w:val="04A0"/>
        </w:tblPrEx>
        <w:trPr>
          <w:trHeight w:val="20"/>
        </w:trPr>
        <w:tc>
          <w:tcPr>
            <w:tcW w:w="4770" w:type="dxa"/>
            <w:tcBorders>
              <w:top w:val="nil"/>
              <w:left w:val="nil"/>
              <w:bottom w:val="nil"/>
              <w:right w:val="nil"/>
            </w:tcBorders>
            <w:shd w:val="clear" w:color="000000" w:fill="FFFFFF"/>
            <w:noWrap/>
            <w:vAlign w:val="bottom"/>
            <w:hideMark/>
          </w:tcPr>
          <w:p w:rsidR="00D462D3" w:rsidRPr="0027639D" w:rsidP="004957F6" w14:paraId="1B6C5D4B" w14:textId="77777777">
            <w:pPr>
              <w:ind w:firstLine="640" w:firstLineChars="400"/>
              <w:rPr>
                <w:sz w:val="16"/>
                <w:szCs w:val="16"/>
              </w:rPr>
            </w:pPr>
            <w:r w:rsidRPr="0027639D">
              <w:rPr>
                <w:sz w:val="16"/>
                <w:szCs w:val="16"/>
              </w:rPr>
              <w:t>Accounts payable</w:t>
            </w:r>
          </w:p>
        </w:tc>
        <w:tc>
          <w:tcPr>
            <w:tcW w:w="1580" w:type="dxa"/>
            <w:tcBorders>
              <w:top w:val="nil"/>
              <w:left w:val="nil"/>
              <w:bottom w:val="nil"/>
              <w:right w:val="nil"/>
            </w:tcBorders>
            <w:shd w:val="clear" w:color="000000" w:fill="FFFFFF"/>
            <w:noWrap/>
            <w:vAlign w:val="bottom"/>
            <w:hideMark/>
          </w:tcPr>
          <w:p w:rsidR="00D462D3" w:rsidRPr="0027639D" w:rsidP="008431BD" w14:paraId="2743D4FF" w14:textId="77777777">
            <w:pPr>
              <w:jc w:val="right"/>
              <w:rPr>
                <w:sz w:val="16"/>
                <w:szCs w:val="16"/>
              </w:rPr>
            </w:pPr>
            <w:r>
              <w:rPr>
                <w:sz w:val="16"/>
                <w:szCs w:val="16"/>
              </w:rPr>
              <w:t xml:space="preserve"> </w:t>
            </w:r>
            <w:r w:rsidRPr="0027639D">
              <w:rPr>
                <w:sz w:val="16"/>
                <w:szCs w:val="16"/>
              </w:rPr>
              <w:t xml:space="preserve">8,606 </w:t>
            </w:r>
          </w:p>
        </w:tc>
        <w:tc>
          <w:tcPr>
            <w:tcW w:w="1505" w:type="dxa"/>
            <w:tcBorders>
              <w:top w:val="nil"/>
              <w:left w:val="nil"/>
              <w:bottom w:val="nil"/>
              <w:right w:val="nil"/>
            </w:tcBorders>
            <w:shd w:val="clear" w:color="000000" w:fill="FFFFFF"/>
            <w:noWrap/>
            <w:vAlign w:val="bottom"/>
            <w:hideMark/>
          </w:tcPr>
          <w:p w:rsidR="00D462D3" w:rsidRPr="0027639D" w:rsidP="008431BD" w14:paraId="704F10CD" w14:textId="77777777">
            <w:pPr>
              <w:jc w:val="right"/>
              <w:rPr>
                <w:sz w:val="16"/>
                <w:szCs w:val="16"/>
              </w:rPr>
            </w:pPr>
            <w:r>
              <w:rPr>
                <w:sz w:val="16"/>
                <w:szCs w:val="16"/>
              </w:rPr>
              <w:t xml:space="preserve"> </w:t>
            </w:r>
            <w:r w:rsidRPr="0027639D">
              <w:rPr>
                <w:sz w:val="16"/>
                <w:szCs w:val="16"/>
              </w:rPr>
              <w:t>(875)</w:t>
            </w:r>
          </w:p>
        </w:tc>
        <w:tc>
          <w:tcPr>
            <w:tcW w:w="1505" w:type="dxa"/>
            <w:tcBorders>
              <w:top w:val="nil"/>
              <w:left w:val="nil"/>
              <w:bottom w:val="nil"/>
              <w:right w:val="nil"/>
            </w:tcBorders>
            <w:shd w:val="clear" w:color="000000" w:fill="FFFFFF"/>
            <w:noWrap/>
            <w:vAlign w:val="bottom"/>
            <w:hideMark/>
          </w:tcPr>
          <w:p w:rsidR="00D462D3" w:rsidRPr="0027639D" w:rsidP="008431BD" w14:paraId="24448455" w14:textId="77777777">
            <w:pPr>
              <w:jc w:val="right"/>
              <w:rPr>
                <w:sz w:val="16"/>
                <w:szCs w:val="16"/>
              </w:rPr>
            </w:pPr>
            <w:r>
              <w:rPr>
                <w:sz w:val="16"/>
                <w:szCs w:val="16"/>
              </w:rPr>
              <w:t xml:space="preserve"> </w:t>
            </w:r>
            <w:r w:rsidRPr="0027639D">
              <w:rPr>
                <w:sz w:val="16"/>
                <w:szCs w:val="16"/>
              </w:rPr>
              <w:t xml:space="preserve">7,731 </w:t>
            </w:r>
          </w:p>
        </w:tc>
      </w:tr>
      <w:tr w14:paraId="2924AB2A" w14:textId="77777777" w:rsidTr="0005406F">
        <w:tblPrEx>
          <w:tblW w:w="5000" w:type="pct"/>
          <w:tblLayout w:type="fixed"/>
          <w:tblLook w:val="04A0"/>
        </w:tblPrEx>
        <w:trPr>
          <w:trHeight w:val="20"/>
        </w:trPr>
        <w:tc>
          <w:tcPr>
            <w:tcW w:w="4770" w:type="dxa"/>
            <w:tcBorders>
              <w:top w:val="nil"/>
              <w:left w:val="nil"/>
              <w:bottom w:val="nil"/>
              <w:right w:val="nil"/>
            </w:tcBorders>
            <w:shd w:val="clear" w:color="000000" w:fill="FFFFFF"/>
            <w:noWrap/>
            <w:vAlign w:val="bottom"/>
            <w:hideMark/>
          </w:tcPr>
          <w:p w:rsidR="00D462D3" w:rsidRPr="0027639D" w:rsidP="004957F6" w14:paraId="46AD77EB" w14:textId="77777777">
            <w:pPr>
              <w:ind w:firstLine="640" w:firstLineChars="400"/>
              <w:rPr>
                <w:sz w:val="16"/>
                <w:szCs w:val="16"/>
              </w:rPr>
            </w:pPr>
            <w:r w:rsidRPr="0027639D">
              <w:rPr>
                <w:sz w:val="16"/>
                <w:szCs w:val="16"/>
              </w:rPr>
              <w:t>Federal employee and veteran benefits/benefits due payable</w:t>
            </w:r>
          </w:p>
        </w:tc>
        <w:tc>
          <w:tcPr>
            <w:tcW w:w="1580" w:type="dxa"/>
            <w:tcBorders>
              <w:top w:val="nil"/>
              <w:left w:val="nil"/>
              <w:bottom w:val="nil"/>
              <w:right w:val="nil"/>
            </w:tcBorders>
            <w:shd w:val="clear" w:color="000000" w:fill="FFFFFF"/>
            <w:noWrap/>
            <w:vAlign w:val="bottom"/>
            <w:hideMark/>
          </w:tcPr>
          <w:p w:rsidR="00D462D3" w:rsidRPr="0027639D" w:rsidP="008431BD" w14:paraId="07DE4D1D" w14:textId="77777777">
            <w:pPr>
              <w:jc w:val="right"/>
              <w:rPr>
                <w:sz w:val="16"/>
                <w:szCs w:val="16"/>
              </w:rPr>
            </w:pPr>
            <w:r>
              <w:rPr>
                <w:sz w:val="16"/>
                <w:szCs w:val="16"/>
              </w:rPr>
              <w:t xml:space="preserve"> </w:t>
            </w:r>
            <w:r w:rsidRPr="0027639D">
              <w:rPr>
                <w:sz w:val="16"/>
                <w:szCs w:val="16"/>
              </w:rPr>
              <w:t xml:space="preserve">- </w:t>
            </w:r>
          </w:p>
        </w:tc>
        <w:tc>
          <w:tcPr>
            <w:tcW w:w="1505" w:type="dxa"/>
            <w:tcBorders>
              <w:top w:val="nil"/>
              <w:left w:val="nil"/>
              <w:bottom w:val="nil"/>
              <w:right w:val="nil"/>
            </w:tcBorders>
            <w:shd w:val="clear" w:color="000000" w:fill="FFFFFF"/>
            <w:noWrap/>
            <w:vAlign w:val="bottom"/>
            <w:hideMark/>
          </w:tcPr>
          <w:p w:rsidR="00D462D3" w:rsidRPr="0027639D" w:rsidP="008431BD" w14:paraId="764103BC" w14:textId="77777777">
            <w:pPr>
              <w:jc w:val="right"/>
              <w:rPr>
                <w:sz w:val="16"/>
                <w:szCs w:val="16"/>
              </w:rPr>
            </w:pPr>
            <w:r>
              <w:rPr>
                <w:sz w:val="16"/>
                <w:szCs w:val="16"/>
              </w:rPr>
              <w:t xml:space="preserve"> </w:t>
            </w:r>
            <w:r w:rsidRPr="0027639D">
              <w:rPr>
                <w:sz w:val="16"/>
                <w:szCs w:val="16"/>
              </w:rPr>
              <w:t>(85)</w:t>
            </w:r>
          </w:p>
        </w:tc>
        <w:tc>
          <w:tcPr>
            <w:tcW w:w="1505" w:type="dxa"/>
            <w:tcBorders>
              <w:top w:val="nil"/>
              <w:left w:val="nil"/>
              <w:bottom w:val="nil"/>
              <w:right w:val="nil"/>
            </w:tcBorders>
            <w:shd w:val="clear" w:color="000000" w:fill="FFFFFF"/>
            <w:noWrap/>
            <w:vAlign w:val="bottom"/>
            <w:hideMark/>
          </w:tcPr>
          <w:p w:rsidR="00D462D3" w:rsidRPr="0027639D" w:rsidP="008431BD" w14:paraId="373937F6" w14:textId="77777777">
            <w:pPr>
              <w:jc w:val="right"/>
              <w:rPr>
                <w:sz w:val="16"/>
                <w:szCs w:val="16"/>
              </w:rPr>
            </w:pPr>
            <w:r>
              <w:rPr>
                <w:sz w:val="16"/>
                <w:szCs w:val="16"/>
              </w:rPr>
              <w:t xml:space="preserve"> </w:t>
            </w:r>
            <w:r w:rsidRPr="0027639D">
              <w:rPr>
                <w:sz w:val="16"/>
                <w:szCs w:val="16"/>
              </w:rPr>
              <w:t>(85)</w:t>
            </w:r>
          </w:p>
        </w:tc>
      </w:tr>
      <w:tr w14:paraId="54F3B4E8" w14:textId="77777777" w:rsidTr="0005406F">
        <w:tblPrEx>
          <w:tblW w:w="5000" w:type="pct"/>
          <w:tblLayout w:type="fixed"/>
          <w:tblLook w:val="04A0"/>
        </w:tblPrEx>
        <w:trPr>
          <w:trHeight w:val="20"/>
        </w:trPr>
        <w:tc>
          <w:tcPr>
            <w:tcW w:w="4770" w:type="dxa"/>
            <w:tcBorders>
              <w:top w:val="nil"/>
              <w:left w:val="nil"/>
              <w:bottom w:val="nil"/>
              <w:right w:val="nil"/>
            </w:tcBorders>
            <w:shd w:val="clear" w:color="000000" w:fill="FFFFFF"/>
            <w:noWrap/>
            <w:vAlign w:val="bottom"/>
            <w:hideMark/>
          </w:tcPr>
          <w:p w:rsidR="00D462D3" w:rsidRPr="0027639D" w:rsidP="004957F6" w14:paraId="7EC73914" w14:textId="77777777">
            <w:pPr>
              <w:ind w:firstLine="640" w:firstLineChars="400"/>
              <w:rPr>
                <w:sz w:val="16"/>
                <w:szCs w:val="16"/>
              </w:rPr>
            </w:pPr>
            <w:r w:rsidRPr="0027639D">
              <w:rPr>
                <w:sz w:val="16"/>
                <w:szCs w:val="16"/>
              </w:rPr>
              <w:t>Other liabilities</w:t>
            </w:r>
          </w:p>
        </w:tc>
        <w:tc>
          <w:tcPr>
            <w:tcW w:w="1580" w:type="dxa"/>
            <w:tcBorders>
              <w:top w:val="nil"/>
              <w:left w:val="nil"/>
              <w:bottom w:val="nil"/>
              <w:right w:val="nil"/>
            </w:tcBorders>
            <w:shd w:val="clear" w:color="000000" w:fill="FFFFFF"/>
            <w:noWrap/>
            <w:vAlign w:val="bottom"/>
            <w:hideMark/>
          </w:tcPr>
          <w:p w:rsidR="00D462D3" w:rsidRPr="0027639D" w:rsidP="008431BD" w14:paraId="3BE5B7C4" w14:textId="77777777">
            <w:pPr>
              <w:jc w:val="right"/>
              <w:rPr>
                <w:sz w:val="16"/>
                <w:szCs w:val="16"/>
              </w:rPr>
            </w:pPr>
            <w:r>
              <w:rPr>
                <w:sz w:val="16"/>
                <w:szCs w:val="16"/>
              </w:rPr>
              <w:t xml:space="preserve"> </w:t>
            </w:r>
            <w:r w:rsidRPr="0027639D">
              <w:rPr>
                <w:sz w:val="16"/>
                <w:szCs w:val="16"/>
              </w:rPr>
              <w:t xml:space="preserve">203 </w:t>
            </w:r>
          </w:p>
        </w:tc>
        <w:tc>
          <w:tcPr>
            <w:tcW w:w="1505" w:type="dxa"/>
            <w:tcBorders>
              <w:top w:val="nil"/>
              <w:left w:val="nil"/>
              <w:bottom w:val="nil"/>
              <w:right w:val="nil"/>
            </w:tcBorders>
            <w:shd w:val="clear" w:color="000000" w:fill="FFFFFF"/>
            <w:noWrap/>
            <w:vAlign w:val="bottom"/>
            <w:hideMark/>
          </w:tcPr>
          <w:p w:rsidR="00D462D3" w:rsidRPr="0027639D" w:rsidP="008431BD" w14:paraId="76C7ABA6" w14:textId="77777777">
            <w:pPr>
              <w:jc w:val="right"/>
              <w:rPr>
                <w:sz w:val="16"/>
                <w:szCs w:val="16"/>
              </w:rPr>
            </w:pPr>
            <w:r>
              <w:rPr>
                <w:sz w:val="16"/>
                <w:szCs w:val="16"/>
              </w:rPr>
              <w:t xml:space="preserve"> </w:t>
            </w:r>
            <w:r w:rsidRPr="0027639D">
              <w:rPr>
                <w:sz w:val="16"/>
                <w:szCs w:val="16"/>
              </w:rPr>
              <w:t>(10,018)</w:t>
            </w:r>
          </w:p>
        </w:tc>
        <w:tc>
          <w:tcPr>
            <w:tcW w:w="1505" w:type="dxa"/>
            <w:tcBorders>
              <w:top w:val="nil"/>
              <w:left w:val="nil"/>
              <w:bottom w:val="nil"/>
              <w:right w:val="nil"/>
            </w:tcBorders>
            <w:shd w:val="clear" w:color="000000" w:fill="FFFFFF"/>
            <w:noWrap/>
            <w:vAlign w:val="bottom"/>
            <w:hideMark/>
          </w:tcPr>
          <w:p w:rsidR="00D462D3" w:rsidRPr="0027639D" w:rsidP="008431BD" w14:paraId="6510EA27" w14:textId="77777777">
            <w:pPr>
              <w:jc w:val="right"/>
              <w:rPr>
                <w:sz w:val="16"/>
                <w:szCs w:val="16"/>
              </w:rPr>
            </w:pPr>
            <w:r>
              <w:rPr>
                <w:sz w:val="16"/>
                <w:szCs w:val="16"/>
              </w:rPr>
              <w:t xml:space="preserve"> </w:t>
            </w:r>
            <w:r w:rsidRPr="0027639D">
              <w:rPr>
                <w:sz w:val="16"/>
                <w:szCs w:val="16"/>
              </w:rPr>
              <w:t>(9,815)</w:t>
            </w:r>
          </w:p>
        </w:tc>
      </w:tr>
      <w:tr w14:paraId="3B5235BC" w14:textId="77777777" w:rsidTr="00F80840">
        <w:tblPrEx>
          <w:tblW w:w="5000" w:type="pct"/>
          <w:tblLayout w:type="fixed"/>
          <w:tblLook w:val="04A0"/>
        </w:tblPrEx>
        <w:trPr>
          <w:trHeight w:val="351"/>
        </w:trPr>
        <w:tc>
          <w:tcPr>
            <w:tcW w:w="4770" w:type="dxa"/>
            <w:tcBorders>
              <w:top w:val="nil"/>
              <w:left w:val="nil"/>
              <w:bottom w:val="nil"/>
              <w:right w:val="nil"/>
            </w:tcBorders>
            <w:shd w:val="clear" w:color="000000" w:fill="FFFFFF"/>
            <w:noWrap/>
            <w:vAlign w:val="bottom"/>
            <w:hideMark/>
          </w:tcPr>
          <w:p w:rsidR="00D462D3" w:rsidRPr="0027639D" w:rsidP="004957F6" w14:paraId="247000D9" w14:textId="77777777">
            <w:pPr>
              <w:ind w:firstLine="480" w:firstLineChars="300"/>
              <w:rPr>
                <w:b/>
                <w:bCs/>
                <w:sz w:val="16"/>
                <w:szCs w:val="16"/>
              </w:rPr>
            </w:pPr>
            <w:r w:rsidRPr="0027639D">
              <w:rPr>
                <w:b/>
                <w:bCs/>
                <w:sz w:val="16"/>
                <w:szCs w:val="16"/>
              </w:rPr>
              <w:t>Financing sources:</w:t>
            </w:r>
          </w:p>
        </w:tc>
        <w:tc>
          <w:tcPr>
            <w:tcW w:w="1580" w:type="dxa"/>
            <w:tcBorders>
              <w:top w:val="nil"/>
              <w:left w:val="nil"/>
              <w:bottom w:val="nil"/>
              <w:right w:val="nil"/>
            </w:tcBorders>
            <w:shd w:val="clear" w:color="000000" w:fill="FFFFFF"/>
            <w:noWrap/>
            <w:vAlign w:val="bottom"/>
            <w:hideMark/>
          </w:tcPr>
          <w:p w:rsidR="00D462D3" w:rsidRPr="0027639D" w:rsidP="008431BD" w14:paraId="77DD5321" w14:textId="77777777">
            <w:pPr>
              <w:jc w:val="right"/>
              <w:rPr>
                <w:sz w:val="16"/>
                <w:szCs w:val="16"/>
              </w:rPr>
            </w:pPr>
            <w:r w:rsidRPr="0027639D">
              <w:rPr>
                <w:sz w:val="16"/>
                <w:szCs w:val="16"/>
              </w:rPr>
              <w:t> </w:t>
            </w:r>
          </w:p>
        </w:tc>
        <w:tc>
          <w:tcPr>
            <w:tcW w:w="1505" w:type="dxa"/>
            <w:tcBorders>
              <w:top w:val="nil"/>
              <w:left w:val="nil"/>
              <w:bottom w:val="nil"/>
              <w:right w:val="nil"/>
            </w:tcBorders>
            <w:shd w:val="clear" w:color="000000" w:fill="FFFFFF"/>
            <w:noWrap/>
            <w:vAlign w:val="bottom"/>
            <w:hideMark/>
          </w:tcPr>
          <w:p w:rsidR="00D462D3" w:rsidRPr="0027639D" w:rsidP="008431BD" w14:paraId="00CB1214" w14:textId="77777777">
            <w:pPr>
              <w:jc w:val="right"/>
              <w:rPr>
                <w:sz w:val="16"/>
                <w:szCs w:val="16"/>
              </w:rPr>
            </w:pPr>
            <w:r w:rsidRPr="0027639D">
              <w:rPr>
                <w:sz w:val="16"/>
                <w:szCs w:val="16"/>
              </w:rPr>
              <w:t> </w:t>
            </w:r>
          </w:p>
        </w:tc>
        <w:tc>
          <w:tcPr>
            <w:tcW w:w="1505" w:type="dxa"/>
            <w:tcBorders>
              <w:top w:val="nil"/>
              <w:left w:val="nil"/>
              <w:bottom w:val="nil"/>
              <w:right w:val="nil"/>
            </w:tcBorders>
            <w:shd w:val="clear" w:color="000000" w:fill="FFFFFF"/>
            <w:noWrap/>
            <w:vAlign w:val="bottom"/>
            <w:hideMark/>
          </w:tcPr>
          <w:p w:rsidR="00D462D3" w:rsidRPr="0027639D" w:rsidP="008431BD" w14:paraId="09812AC3" w14:textId="77777777">
            <w:pPr>
              <w:jc w:val="right"/>
              <w:rPr>
                <w:sz w:val="16"/>
                <w:szCs w:val="16"/>
              </w:rPr>
            </w:pPr>
            <w:r w:rsidRPr="0027639D">
              <w:rPr>
                <w:sz w:val="16"/>
                <w:szCs w:val="16"/>
              </w:rPr>
              <w:t> </w:t>
            </w:r>
          </w:p>
        </w:tc>
      </w:tr>
      <w:tr w14:paraId="69257CF8" w14:textId="77777777" w:rsidTr="0005406F">
        <w:tblPrEx>
          <w:tblW w:w="5000" w:type="pct"/>
          <w:tblLayout w:type="fixed"/>
          <w:tblLook w:val="04A0"/>
        </w:tblPrEx>
        <w:trPr>
          <w:trHeight w:val="20"/>
        </w:trPr>
        <w:tc>
          <w:tcPr>
            <w:tcW w:w="4770" w:type="dxa"/>
            <w:tcBorders>
              <w:top w:val="nil"/>
              <w:left w:val="nil"/>
              <w:bottom w:val="nil"/>
              <w:right w:val="nil"/>
            </w:tcBorders>
            <w:shd w:val="clear" w:color="000000" w:fill="FFFFFF"/>
            <w:vAlign w:val="bottom"/>
            <w:hideMark/>
          </w:tcPr>
          <w:p w:rsidR="00D462D3" w:rsidRPr="0027639D" w:rsidP="004957F6" w14:paraId="5BE449CB" w14:textId="77777777">
            <w:pPr>
              <w:ind w:firstLine="640" w:firstLineChars="400"/>
              <w:rPr>
                <w:sz w:val="16"/>
                <w:szCs w:val="16"/>
              </w:rPr>
            </w:pPr>
            <w:r w:rsidRPr="0027639D">
              <w:rPr>
                <w:sz w:val="16"/>
                <w:szCs w:val="16"/>
              </w:rPr>
              <w:t>Imputed cost</w:t>
            </w:r>
          </w:p>
        </w:tc>
        <w:tc>
          <w:tcPr>
            <w:tcW w:w="1580" w:type="dxa"/>
            <w:tcBorders>
              <w:top w:val="nil"/>
              <w:left w:val="nil"/>
              <w:bottom w:val="nil"/>
              <w:right w:val="nil"/>
            </w:tcBorders>
            <w:shd w:val="clear" w:color="000000" w:fill="FFFFFF"/>
            <w:noWrap/>
            <w:vAlign w:val="bottom"/>
            <w:hideMark/>
          </w:tcPr>
          <w:p w:rsidR="00D462D3" w:rsidRPr="0027639D" w:rsidP="008431BD" w14:paraId="5FEFE6D5" w14:textId="77777777">
            <w:pPr>
              <w:jc w:val="right"/>
              <w:rPr>
                <w:sz w:val="16"/>
                <w:szCs w:val="16"/>
              </w:rPr>
            </w:pPr>
            <w:r>
              <w:rPr>
                <w:sz w:val="16"/>
                <w:szCs w:val="16"/>
              </w:rPr>
              <w:t xml:space="preserve"> </w:t>
            </w:r>
            <w:r w:rsidRPr="0027639D">
              <w:rPr>
                <w:sz w:val="16"/>
                <w:szCs w:val="16"/>
              </w:rPr>
              <w:t>(13,240)</w:t>
            </w:r>
          </w:p>
        </w:tc>
        <w:tc>
          <w:tcPr>
            <w:tcW w:w="1505" w:type="dxa"/>
            <w:tcBorders>
              <w:top w:val="nil"/>
              <w:left w:val="nil"/>
              <w:bottom w:val="nil"/>
              <w:right w:val="nil"/>
            </w:tcBorders>
            <w:shd w:val="clear" w:color="000000" w:fill="FFFFFF"/>
            <w:noWrap/>
            <w:vAlign w:val="bottom"/>
            <w:hideMark/>
          </w:tcPr>
          <w:p w:rsidR="00D462D3" w:rsidRPr="0027639D" w:rsidP="008431BD" w14:paraId="11775D69" w14:textId="77777777">
            <w:pPr>
              <w:jc w:val="right"/>
              <w:rPr>
                <w:sz w:val="16"/>
                <w:szCs w:val="16"/>
              </w:rPr>
            </w:pPr>
            <w:r>
              <w:rPr>
                <w:sz w:val="16"/>
                <w:szCs w:val="16"/>
              </w:rPr>
              <w:t xml:space="preserve"> </w:t>
            </w:r>
            <w:r w:rsidRPr="0027639D">
              <w:rPr>
                <w:sz w:val="16"/>
                <w:szCs w:val="16"/>
              </w:rPr>
              <w:t xml:space="preserve">- </w:t>
            </w:r>
          </w:p>
        </w:tc>
        <w:tc>
          <w:tcPr>
            <w:tcW w:w="1505" w:type="dxa"/>
            <w:tcBorders>
              <w:top w:val="nil"/>
              <w:left w:val="nil"/>
              <w:bottom w:val="nil"/>
              <w:right w:val="nil"/>
            </w:tcBorders>
            <w:shd w:val="clear" w:color="000000" w:fill="FFFFFF"/>
            <w:noWrap/>
            <w:vAlign w:val="bottom"/>
            <w:hideMark/>
          </w:tcPr>
          <w:p w:rsidR="00D462D3" w:rsidRPr="0027639D" w:rsidP="008431BD" w14:paraId="2B474B6E" w14:textId="77777777">
            <w:pPr>
              <w:jc w:val="right"/>
              <w:rPr>
                <w:sz w:val="16"/>
                <w:szCs w:val="16"/>
              </w:rPr>
            </w:pPr>
            <w:r>
              <w:rPr>
                <w:sz w:val="16"/>
                <w:szCs w:val="16"/>
              </w:rPr>
              <w:t xml:space="preserve"> </w:t>
            </w:r>
            <w:r w:rsidRPr="0027639D">
              <w:rPr>
                <w:sz w:val="16"/>
                <w:szCs w:val="16"/>
              </w:rPr>
              <w:t>(13,240)</w:t>
            </w:r>
          </w:p>
        </w:tc>
      </w:tr>
      <w:tr w14:paraId="0FBC268B" w14:textId="77777777" w:rsidTr="001871FF">
        <w:tblPrEx>
          <w:tblW w:w="5000" w:type="pct"/>
          <w:tblLayout w:type="fixed"/>
          <w:tblLook w:val="04A0"/>
        </w:tblPrEx>
        <w:trPr>
          <w:trHeight w:val="621"/>
        </w:trPr>
        <w:tc>
          <w:tcPr>
            <w:tcW w:w="4770" w:type="dxa"/>
            <w:tcBorders>
              <w:top w:val="nil"/>
              <w:left w:val="nil"/>
              <w:bottom w:val="nil"/>
              <w:right w:val="nil"/>
            </w:tcBorders>
            <w:shd w:val="clear" w:color="000000" w:fill="FFFFFF"/>
            <w:vAlign w:val="bottom"/>
            <w:hideMark/>
          </w:tcPr>
          <w:p w:rsidR="00D462D3" w:rsidRPr="0027639D" w:rsidP="004957F6" w14:paraId="5E383745" w14:textId="77777777">
            <w:pPr>
              <w:rPr>
                <w:b/>
                <w:bCs/>
                <w:sz w:val="16"/>
                <w:szCs w:val="16"/>
              </w:rPr>
            </w:pPr>
            <w:r w:rsidRPr="0027639D">
              <w:rPr>
                <w:b/>
                <w:bCs/>
                <w:sz w:val="16"/>
                <w:szCs w:val="16"/>
              </w:rPr>
              <w:t>Total Components of Net Operating Cost Not Part of the Budget Outlays</w:t>
            </w:r>
          </w:p>
        </w:tc>
        <w:tc>
          <w:tcPr>
            <w:tcW w:w="1580" w:type="dxa"/>
            <w:tcBorders>
              <w:top w:val="nil"/>
              <w:left w:val="nil"/>
              <w:bottom w:val="double" w:sz="6" w:space="0" w:color="auto"/>
              <w:right w:val="nil"/>
            </w:tcBorders>
            <w:shd w:val="clear" w:color="000000" w:fill="FFFFFF"/>
            <w:noWrap/>
            <w:vAlign w:val="bottom"/>
            <w:hideMark/>
          </w:tcPr>
          <w:p w:rsidR="00D462D3" w:rsidRPr="0027639D" w:rsidP="008431BD" w14:paraId="2DAD319A" w14:textId="160AF49A">
            <w:pPr>
              <w:jc w:val="right"/>
              <w:rPr>
                <w:sz w:val="16"/>
                <w:szCs w:val="16"/>
              </w:rPr>
            </w:pPr>
            <w:r w:rsidRPr="0027639D">
              <w:rPr>
                <w:sz w:val="16"/>
                <w:szCs w:val="16"/>
              </w:rPr>
              <w:t>$</w:t>
            </w:r>
            <w:r w:rsidR="001A68BC">
              <w:rPr>
                <w:sz w:val="16"/>
                <w:szCs w:val="16"/>
              </w:rPr>
              <w:t xml:space="preserve">                   </w:t>
            </w:r>
            <w:r>
              <w:rPr>
                <w:sz w:val="16"/>
                <w:szCs w:val="16"/>
              </w:rPr>
              <w:t xml:space="preserve"> </w:t>
            </w:r>
            <w:r w:rsidRPr="0027639D">
              <w:rPr>
                <w:sz w:val="16"/>
                <w:szCs w:val="16"/>
              </w:rPr>
              <w:t>(5,733)</w:t>
            </w:r>
          </w:p>
        </w:tc>
        <w:tc>
          <w:tcPr>
            <w:tcW w:w="1505" w:type="dxa"/>
            <w:tcBorders>
              <w:top w:val="nil"/>
              <w:left w:val="nil"/>
              <w:bottom w:val="double" w:sz="6" w:space="0" w:color="auto"/>
              <w:right w:val="nil"/>
            </w:tcBorders>
            <w:shd w:val="clear" w:color="000000" w:fill="FFFFFF"/>
            <w:noWrap/>
            <w:vAlign w:val="bottom"/>
            <w:hideMark/>
          </w:tcPr>
          <w:p w:rsidR="00D462D3" w:rsidRPr="0027639D" w:rsidP="008431BD" w14:paraId="6854AB1F" w14:textId="7C6A75F8">
            <w:pPr>
              <w:jc w:val="right"/>
              <w:rPr>
                <w:sz w:val="16"/>
                <w:szCs w:val="16"/>
              </w:rPr>
            </w:pPr>
            <w:r w:rsidRPr="0027639D">
              <w:rPr>
                <w:sz w:val="16"/>
                <w:szCs w:val="16"/>
              </w:rPr>
              <w:t>$</w:t>
            </w:r>
            <w:r w:rsidR="001A68BC">
              <w:rPr>
                <w:sz w:val="16"/>
                <w:szCs w:val="16"/>
              </w:rPr>
              <w:t xml:space="preserve">               </w:t>
            </w:r>
            <w:r>
              <w:rPr>
                <w:sz w:val="16"/>
                <w:szCs w:val="16"/>
              </w:rPr>
              <w:t xml:space="preserve"> </w:t>
            </w:r>
            <w:r w:rsidRPr="0027639D">
              <w:rPr>
                <w:sz w:val="16"/>
                <w:szCs w:val="16"/>
              </w:rPr>
              <w:t>(49,250)</w:t>
            </w:r>
          </w:p>
        </w:tc>
        <w:tc>
          <w:tcPr>
            <w:tcW w:w="1505" w:type="dxa"/>
            <w:tcBorders>
              <w:top w:val="nil"/>
              <w:left w:val="nil"/>
              <w:bottom w:val="double" w:sz="6" w:space="0" w:color="auto"/>
              <w:right w:val="nil"/>
            </w:tcBorders>
            <w:shd w:val="clear" w:color="000000" w:fill="FFFFFF"/>
            <w:noWrap/>
            <w:vAlign w:val="bottom"/>
            <w:hideMark/>
          </w:tcPr>
          <w:p w:rsidR="00D462D3" w:rsidRPr="0027639D" w:rsidP="008431BD" w14:paraId="1335BDB9" w14:textId="36C31303">
            <w:pPr>
              <w:jc w:val="right"/>
              <w:rPr>
                <w:sz w:val="16"/>
                <w:szCs w:val="16"/>
              </w:rPr>
            </w:pPr>
            <w:r w:rsidRPr="0027639D">
              <w:rPr>
                <w:sz w:val="16"/>
                <w:szCs w:val="16"/>
              </w:rPr>
              <w:t>$</w:t>
            </w:r>
            <w:r w:rsidR="001A68BC">
              <w:rPr>
                <w:sz w:val="16"/>
                <w:szCs w:val="16"/>
              </w:rPr>
              <w:t xml:space="preserve">               </w:t>
            </w:r>
            <w:r>
              <w:rPr>
                <w:sz w:val="16"/>
                <w:szCs w:val="16"/>
              </w:rPr>
              <w:t xml:space="preserve"> </w:t>
            </w:r>
            <w:r w:rsidRPr="0027639D">
              <w:rPr>
                <w:sz w:val="16"/>
                <w:szCs w:val="16"/>
              </w:rPr>
              <w:t>(54,983)</w:t>
            </w:r>
          </w:p>
        </w:tc>
      </w:tr>
      <w:tr w14:paraId="5C3B59F7" w14:textId="77777777" w:rsidTr="001871FF">
        <w:tblPrEx>
          <w:tblW w:w="5000" w:type="pct"/>
          <w:tblLayout w:type="fixed"/>
          <w:tblLook w:val="04A0"/>
        </w:tblPrEx>
        <w:trPr>
          <w:trHeight w:val="495"/>
        </w:trPr>
        <w:tc>
          <w:tcPr>
            <w:tcW w:w="4770" w:type="dxa"/>
            <w:tcBorders>
              <w:top w:val="nil"/>
              <w:left w:val="nil"/>
              <w:bottom w:val="nil"/>
              <w:right w:val="nil"/>
            </w:tcBorders>
            <w:shd w:val="clear" w:color="000000" w:fill="FFFFFF"/>
            <w:noWrap/>
            <w:vAlign w:val="bottom"/>
            <w:hideMark/>
          </w:tcPr>
          <w:p w:rsidR="00D462D3" w:rsidRPr="0027639D" w:rsidP="004957F6" w14:paraId="401F6F26" w14:textId="77777777">
            <w:pPr>
              <w:rPr>
                <w:b/>
                <w:bCs/>
                <w:sz w:val="16"/>
                <w:szCs w:val="16"/>
              </w:rPr>
            </w:pPr>
            <w:r w:rsidRPr="0027639D">
              <w:rPr>
                <w:b/>
                <w:bCs/>
                <w:sz w:val="16"/>
                <w:szCs w:val="16"/>
              </w:rPr>
              <w:t>Components of the Budget Outlays That Are Not Part of Net Operating Cost:</w:t>
            </w:r>
          </w:p>
        </w:tc>
        <w:tc>
          <w:tcPr>
            <w:tcW w:w="1580" w:type="dxa"/>
            <w:tcBorders>
              <w:top w:val="nil"/>
              <w:left w:val="nil"/>
              <w:bottom w:val="nil"/>
              <w:right w:val="nil"/>
            </w:tcBorders>
            <w:shd w:val="clear" w:color="000000" w:fill="FFFFFF"/>
            <w:noWrap/>
            <w:vAlign w:val="bottom"/>
          </w:tcPr>
          <w:p w:rsidR="00D462D3" w:rsidRPr="0027639D" w:rsidP="008431BD" w14:paraId="10F7D7AE" w14:textId="24D18A65">
            <w:pPr>
              <w:jc w:val="right"/>
              <w:rPr>
                <w:sz w:val="16"/>
                <w:szCs w:val="16"/>
              </w:rPr>
            </w:pPr>
          </w:p>
        </w:tc>
        <w:tc>
          <w:tcPr>
            <w:tcW w:w="1505" w:type="dxa"/>
            <w:tcBorders>
              <w:top w:val="nil"/>
              <w:left w:val="nil"/>
              <w:bottom w:val="nil"/>
              <w:right w:val="nil"/>
            </w:tcBorders>
            <w:shd w:val="clear" w:color="000000" w:fill="FFFFFF"/>
            <w:noWrap/>
            <w:vAlign w:val="bottom"/>
          </w:tcPr>
          <w:p w:rsidR="00D462D3" w:rsidRPr="0027639D" w:rsidP="008431BD" w14:paraId="0F19DDA5" w14:textId="3F2C62A8">
            <w:pPr>
              <w:jc w:val="right"/>
              <w:rPr>
                <w:sz w:val="16"/>
                <w:szCs w:val="16"/>
              </w:rPr>
            </w:pPr>
          </w:p>
        </w:tc>
        <w:tc>
          <w:tcPr>
            <w:tcW w:w="1505" w:type="dxa"/>
            <w:tcBorders>
              <w:top w:val="nil"/>
              <w:left w:val="nil"/>
              <w:bottom w:val="nil"/>
              <w:right w:val="nil"/>
            </w:tcBorders>
            <w:shd w:val="clear" w:color="000000" w:fill="FFFFFF"/>
            <w:noWrap/>
            <w:vAlign w:val="bottom"/>
          </w:tcPr>
          <w:p w:rsidR="00D462D3" w:rsidRPr="0027639D" w:rsidP="008431BD" w14:paraId="6E58B597" w14:textId="6E86A9C8">
            <w:pPr>
              <w:jc w:val="right"/>
              <w:rPr>
                <w:sz w:val="16"/>
                <w:szCs w:val="16"/>
              </w:rPr>
            </w:pPr>
          </w:p>
        </w:tc>
      </w:tr>
      <w:tr w14:paraId="29943226" w14:textId="77777777" w:rsidTr="0005406F">
        <w:tblPrEx>
          <w:tblW w:w="5000" w:type="pct"/>
          <w:tblLayout w:type="fixed"/>
          <w:tblLook w:val="04A0"/>
        </w:tblPrEx>
        <w:trPr>
          <w:trHeight w:val="20"/>
        </w:trPr>
        <w:tc>
          <w:tcPr>
            <w:tcW w:w="4770" w:type="dxa"/>
            <w:tcBorders>
              <w:top w:val="nil"/>
              <w:left w:val="nil"/>
              <w:bottom w:val="nil"/>
              <w:right w:val="nil"/>
            </w:tcBorders>
            <w:shd w:val="clear" w:color="auto" w:fill="auto"/>
            <w:noWrap/>
            <w:vAlign w:val="bottom"/>
            <w:hideMark/>
          </w:tcPr>
          <w:p w:rsidR="00D462D3" w:rsidRPr="0027639D" w:rsidP="004957F6" w14:paraId="6BF73929" w14:textId="77777777">
            <w:pPr>
              <w:ind w:firstLine="480" w:firstLineChars="300"/>
              <w:rPr>
                <w:sz w:val="16"/>
                <w:szCs w:val="16"/>
              </w:rPr>
            </w:pPr>
            <w:r w:rsidRPr="0027639D">
              <w:rPr>
                <w:sz w:val="16"/>
                <w:szCs w:val="16"/>
              </w:rPr>
              <w:t>Acquisition of capital assets</w:t>
            </w:r>
          </w:p>
        </w:tc>
        <w:tc>
          <w:tcPr>
            <w:tcW w:w="1580" w:type="dxa"/>
            <w:tcBorders>
              <w:top w:val="nil"/>
              <w:left w:val="nil"/>
              <w:bottom w:val="nil"/>
              <w:right w:val="nil"/>
            </w:tcBorders>
            <w:shd w:val="clear" w:color="000000" w:fill="FFFFFF"/>
            <w:noWrap/>
            <w:vAlign w:val="bottom"/>
            <w:hideMark/>
          </w:tcPr>
          <w:p w:rsidR="00D462D3" w:rsidRPr="0027639D" w:rsidP="008431BD" w14:paraId="0658D156" w14:textId="77777777">
            <w:pPr>
              <w:jc w:val="right"/>
              <w:rPr>
                <w:sz w:val="16"/>
                <w:szCs w:val="16"/>
              </w:rPr>
            </w:pPr>
            <w:r>
              <w:rPr>
                <w:sz w:val="16"/>
                <w:szCs w:val="16"/>
              </w:rPr>
              <w:t xml:space="preserve"> </w:t>
            </w:r>
            <w:r w:rsidRPr="0027639D">
              <w:rPr>
                <w:sz w:val="16"/>
                <w:szCs w:val="16"/>
              </w:rPr>
              <w:t xml:space="preserve">- </w:t>
            </w:r>
          </w:p>
        </w:tc>
        <w:tc>
          <w:tcPr>
            <w:tcW w:w="1505" w:type="dxa"/>
            <w:tcBorders>
              <w:top w:val="nil"/>
              <w:left w:val="nil"/>
              <w:bottom w:val="nil"/>
              <w:right w:val="nil"/>
            </w:tcBorders>
            <w:shd w:val="clear" w:color="000000" w:fill="FFFFFF"/>
            <w:noWrap/>
            <w:vAlign w:val="bottom"/>
            <w:hideMark/>
          </w:tcPr>
          <w:p w:rsidR="00D462D3" w:rsidRPr="0027639D" w:rsidP="008431BD" w14:paraId="1863720A" w14:textId="77777777">
            <w:pPr>
              <w:jc w:val="right"/>
              <w:rPr>
                <w:sz w:val="16"/>
                <w:szCs w:val="16"/>
              </w:rPr>
            </w:pPr>
            <w:r>
              <w:rPr>
                <w:sz w:val="16"/>
                <w:szCs w:val="16"/>
              </w:rPr>
              <w:t xml:space="preserve"> </w:t>
            </w:r>
            <w:r w:rsidRPr="0027639D">
              <w:rPr>
                <w:sz w:val="16"/>
                <w:szCs w:val="16"/>
              </w:rPr>
              <w:t xml:space="preserve">24,031 </w:t>
            </w:r>
          </w:p>
        </w:tc>
        <w:tc>
          <w:tcPr>
            <w:tcW w:w="1505" w:type="dxa"/>
            <w:tcBorders>
              <w:top w:val="nil"/>
              <w:left w:val="nil"/>
              <w:bottom w:val="nil"/>
              <w:right w:val="nil"/>
            </w:tcBorders>
            <w:shd w:val="clear" w:color="000000" w:fill="FFFFFF"/>
            <w:noWrap/>
            <w:vAlign w:val="bottom"/>
            <w:hideMark/>
          </w:tcPr>
          <w:p w:rsidR="00D462D3" w:rsidRPr="0027639D" w:rsidP="008431BD" w14:paraId="3A1A9A0A" w14:textId="77777777">
            <w:pPr>
              <w:jc w:val="right"/>
              <w:rPr>
                <w:sz w:val="16"/>
                <w:szCs w:val="16"/>
              </w:rPr>
            </w:pPr>
            <w:r>
              <w:rPr>
                <w:sz w:val="16"/>
                <w:szCs w:val="16"/>
              </w:rPr>
              <w:t xml:space="preserve"> </w:t>
            </w:r>
            <w:r w:rsidRPr="0027639D">
              <w:rPr>
                <w:sz w:val="16"/>
                <w:szCs w:val="16"/>
              </w:rPr>
              <w:t xml:space="preserve">24,031 </w:t>
            </w:r>
          </w:p>
        </w:tc>
      </w:tr>
      <w:tr w14:paraId="314C59A6" w14:textId="77777777" w:rsidTr="001871FF">
        <w:tblPrEx>
          <w:tblW w:w="5000" w:type="pct"/>
          <w:tblLayout w:type="fixed"/>
          <w:tblLook w:val="04A0"/>
        </w:tblPrEx>
        <w:trPr>
          <w:trHeight w:val="540"/>
        </w:trPr>
        <w:tc>
          <w:tcPr>
            <w:tcW w:w="4770" w:type="dxa"/>
            <w:tcBorders>
              <w:top w:val="nil"/>
              <w:left w:val="nil"/>
              <w:bottom w:val="nil"/>
              <w:right w:val="nil"/>
            </w:tcBorders>
            <w:shd w:val="clear" w:color="000000" w:fill="FFFFFF"/>
            <w:vAlign w:val="bottom"/>
            <w:hideMark/>
          </w:tcPr>
          <w:p w:rsidR="00D462D3" w:rsidRPr="0027639D" w:rsidP="00222D81" w14:paraId="35549E58" w14:textId="77777777">
            <w:pPr>
              <w:ind w:left="144" w:hanging="144"/>
              <w:rPr>
                <w:b/>
                <w:bCs/>
                <w:sz w:val="16"/>
                <w:szCs w:val="16"/>
              </w:rPr>
            </w:pPr>
            <w:r w:rsidRPr="0027639D">
              <w:rPr>
                <w:b/>
                <w:bCs/>
                <w:sz w:val="16"/>
                <w:szCs w:val="16"/>
              </w:rPr>
              <w:t>Total Components of the Budgetary Outlays That Are Not Part of</w:t>
            </w:r>
            <w:r w:rsidRPr="0027639D">
              <w:rPr>
                <w:b/>
                <w:bCs/>
                <w:sz w:val="16"/>
                <w:szCs w:val="16"/>
              </w:rPr>
              <w:br/>
              <w:t xml:space="preserve"> Net Operating Cost </w:t>
            </w:r>
          </w:p>
        </w:tc>
        <w:tc>
          <w:tcPr>
            <w:tcW w:w="1580" w:type="dxa"/>
            <w:tcBorders>
              <w:top w:val="nil"/>
              <w:left w:val="nil"/>
              <w:bottom w:val="double" w:sz="6" w:space="0" w:color="auto"/>
              <w:right w:val="nil"/>
            </w:tcBorders>
            <w:shd w:val="clear" w:color="000000" w:fill="FFFFFF"/>
            <w:noWrap/>
            <w:vAlign w:val="bottom"/>
            <w:hideMark/>
          </w:tcPr>
          <w:p w:rsidR="00D462D3" w:rsidRPr="0027639D" w:rsidP="008431BD" w14:paraId="0A4B54D6" w14:textId="3D547792">
            <w:pPr>
              <w:jc w:val="right"/>
              <w:rPr>
                <w:sz w:val="16"/>
                <w:szCs w:val="16"/>
              </w:rPr>
            </w:pPr>
            <w:r w:rsidRPr="0027639D">
              <w:rPr>
                <w:sz w:val="16"/>
                <w:szCs w:val="16"/>
              </w:rPr>
              <w:t>$</w:t>
            </w:r>
            <w:r w:rsidR="001A68BC">
              <w:rPr>
                <w:sz w:val="16"/>
                <w:szCs w:val="16"/>
              </w:rPr>
              <w:t xml:space="preserve">                             </w:t>
            </w:r>
            <w:r>
              <w:rPr>
                <w:sz w:val="16"/>
                <w:szCs w:val="16"/>
              </w:rPr>
              <w:t xml:space="preserve"> </w:t>
            </w:r>
            <w:r w:rsidRPr="0027639D">
              <w:rPr>
                <w:sz w:val="16"/>
                <w:szCs w:val="16"/>
              </w:rPr>
              <w:t xml:space="preserve">- </w:t>
            </w:r>
          </w:p>
        </w:tc>
        <w:tc>
          <w:tcPr>
            <w:tcW w:w="1505" w:type="dxa"/>
            <w:tcBorders>
              <w:top w:val="nil"/>
              <w:left w:val="nil"/>
              <w:bottom w:val="double" w:sz="6" w:space="0" w:color="auto"/>
              <w:right w:val="nil"/>
            </w:tcBorders>
            <w:shd w:val="clear" w:color="000000" w:fill="FFFFFF"/>
            <w:noWrap/>
            <w:vAlign w:val="bottom"/>
            <w:hideMark/>
          </w:tcPr>
          <w:p w:rsidR="00D462D3" w:rsidRPr="0027639D" w:rsidP="008431BD" w14:paraId="0702586F" w14:textId="0DB4C6E0">
            <w:pPr>
              <w:jc w:val="right"/>
              <w:rPr>
                <w:sz w:val="16"/>
                <w:szCs w:val="16"/>
              </w:rPr>
            </w:pPr>
            <w:r w:rsidRPr="0027639D">
              <w:rPr>
                <w:sz w:val="16"/>
                <w:szCs w:val="16"/>
              </w:rPr>
              <w:t>$</w:t>
            </w:r>
            <w:r w:rsidR="001A68BC">
              <w:rPr>
                <w:sz w:val="16"/>
                <w:szCs w:val="16"/>
              </w:rPr>
              <w:t xml:space="preserve">                  </w:t>
            </w:r>
            <w:r>
              <w:rPr>
                <w:sz w:val="16"/>
                <w:szCs w:val="16"/>
              </w:rPr>
              <w:t xml:space="preserve"> </w:t>
            </w:r>
            <w:r w:rsidRPr="0027639D">
              <w:rPr>
                <w:sz w:val="16"/>
                <w:szCs w:val="16"/>
              </w:rPr>
              <w:t xml:space="preserve">24,031 </w:t>
            </w:r>
          </w:p>
        </w:tc>
        <w:tc>
          <w:tcPr>
            <w:tcW w:w="1505" w:type="dxa"/>
            <w:tcBorders>
              <w:top w:val="nil"/>
              <w:left w:val="nil"/>
              <w:bottom w:val="double" w:sz="6" w:space="0" w:color="auto"/>
              <w:right w:val="nil"/>
            </w:tcBorders>
            <w:shd w:val="clear" w:color="000000" w:fill="FFFFFF"/>
            <w:noWrap/>
            <w:vAlign w:val="bottom"/>
            <w:hideMark/>
          </w:tcPr>
          <w:p w:rsidR="00D462D3" w:rsidRPr="0027639D" w:rsidP="008431BD" w14:paraId="000740C4" w14:textId="3B2F5D73">
            <w:pPr>
              <w:jc w:val="right"/>
              <w:rPr>
                <w:sz w:val="16"/>
                <w:szCs w:val="16"/>
              </w:rPr>
            </w:pPr>
            <w:r w:rsidRPr="0027639D">
              <w:rPr>
                <w:sz w:val="16"/>
                <w:szCs w:val="16"/>
              </w:rPr>
              <w:t>$</w:t>
            </w:r>
            <w:r w:rsidR="001A68BC">
              <w:rPr>
                <w:sz w:val="16"/>
                <w:szCs w:val="16"/>
              </w:rPr>
              <w:t xml:space="preserve">                  </w:t>
            </w:r>
            <w:r>
              <w:rPr>
                <w:sz w:val="16"/>
                <w:szCs w:val="16"/>
              </w:rPr>
              <w:t xml:space="preserve"> </w:t>
            </w:r>
            <w:r w:rsidRPr="0027639D">
              <w:rPr>
                <w:sz w:val="16"/>
                <w:szCs w:val="16"/>
              </w:rPr>
              <w:t xml:space="preserve">24,031 </w:t>
            </w:r>
          </w:p>
        </w:tc>
      </w:tr>
      <w:tr w14:paraId="13679B72" w14:textId="77777777" w:rsidTr="001871FF">
        <w:tblPrEx>
          <w:tblW w:w="5000" w:type="pct"/>
          <w:tblLayout w:type="fixed"/>
          <w:tblLook w:val="04A0"/>
        </w:tblPrEx>
        <w:trPr>
          <w:trHeight w:val="315"/>
        </w:trPr>
        <w:tc>
          <w:tcPr>
            <w:tcW w:w="4770" w:type="dxa"/>
            <w:tcBorders>
              <w:top w:val="nil"/>
              <w:left w:val="nil"/>
              <w:bottom w:val="nil"/>
              <w:right w:val="nil"/>
            </w:tcBorders>
            <w:shd w:val="clear" w:color="auto" w:fill="auto"/>
            <w:vAlign w:val="bottom"/>
            <w:hideMark/>
          </w:tcPr>
          <w:p w:rsidR="00D462D3" w:rsidRPr="0027639D" w:rsidP="004957F6" w14:paraId="591802DB" w14:textId="77777777">
            <w:pPr>
              <w:rPr>
                <w:b/>
                <w:bCs/>
                <w:sz w:val="16"/>
                <w:szCs w:val="16"/>
              </w:rPr>
            </w:pPr>
            <w:r w:rsidRPr="0027639D">
              <w:rPr>
                <w:b/>
                <w:bCs/>
                <w:sz w:val="16"/>
                <w:szCs w:val="16"/>
              </w:rPr>
              <w:t>Other Reconciling Items:</w:t>
            </w:r>
          </w:p>
        </w:tc>
        <w:tc>
          <w:tcPr>
            <w:tcW w:w="1580" w:type="dxa"/>
            <w:tcBorders>
              <w:top w:val="nil"/>
              <w:left w:val="nil"/>
              <w:bottom w:val="nil"/>
              <w:right w:val="nil"/>
            </w:tcBorders>
            <w:shd w:val="clear" w:color="000000" w:fill="FFFFFF"/>
            <w:noWrap/>
            <w:vAlign w:val="bottom"/>
          </w:tcPr>
          <w:p w:rsidR="00D462D3" w:rsidRPr="0027639D" w:rsidP="008431BD" w14:paraId="093272F7" w14:textId="3299F8D9">
            <w:pPr>
              <w:jc w:val="right"/>
              <w:rPr>
                <w:sz w:val="16"/>
                <w:szCs w:val="16"/>
              </w:rPr>
            </w:pPr>
          </w:p>
        </w:tc>
        <w:tc>
          <w:tcPr>
            <w:tcW w:w="1505" w:type="dxa"/>
            <w:tcBorders>
              <w:top w:val="nil"/>
              <w:left w:val="nil"/>
              <w:bottom w:val="nil"/>
              <w:right w:val="nil"/>
            </w:tcBorders>
            <w:shd w:val="clear" w:color="000000" w:fill="FFFFFF"/>
            <w:noWrap/>
            <w:vAlign w:val="bottom"/>
          </w:tcPr>
          <w:p w:rsidR="00D462D3" w:rsidRPr="0027639D" w:rsidP="008431BD" w14:paraId="6F711451" w14:textId="081BEE84">
            <w:pPr>
              <w:jc w:val="right"/>
              <w:rPr>
                <w:sz w:val="16"/>
                <w:szCs w:val="16"/>
              </w:rPr>
            </w:pPr>
          </w:p>
        </w:tc>
        <w:tc>
          <w:tcPr>
            <w:tcW w:w="1505" w:type="dxa"/>
            <w:tcBorders>
              <w:top w:val="nil"/>
              <w:left w:val="nil"/>
              <w:bottom w:val="nil"/>
              <w:right w:val="nil"/>
            </w:tcBorders>
            <w:shd w:val="clear" w:color="000000" w:fill="FFFFFF"/>
            <w:noWrap/>
            <w:vAlign w:val="bottom"/>
          </w:tcPr>
          <w:p w:rsidR="00D462D3" w:rsidRPr="0027639D" w:rsidP="008431BD" w14:paraId="6025562B" w14:textId="658706C7">
            <w:pPr>
              <w:jc w:val="right"/>
              <w:rPr>
                <w:sz w:val="16"/>
                <w:szCs w:val="16"/>
              </w:rPr>
            </w:pPr>
          </w:p>
        </w:tc>
      </w:tr>
      <w:tr w14:paraId="213B98CB" w14:textId="77777777" w:rsidTr="0005406F">
        <w:tblPrEx>
          <w:tblW w:w="5000" w:type="pct"/>
          <w:tblLayout w:type="fixed"/>
          <w:tblLook w:val="04A0"/>
        </w:tblPrEx>
        <w:trPr>
          <w:trHeight w:val="20"/>
        </w:trPr>
        <w:tc>
          <w:tcPr>
            <w:tcW w:w="4770" w:type="dxa"/>
            <w:tcBorders>
              <w:top w:val="nil"/>
              <w:left w:val="nil"/>
              <w:bottom w:val="nil"/>
              <w:right w:val="nil"/>
            </w:tcBorders>
            <w:shd w:val="clear" w:color="auto" w:fill="auto"/>
            <w:noWrap/>
            <w:vAlign w:val="bottom"/>
            <w:hideMark/>
          </w:tcPr>
          <w:p w:rsidR="00D462D3" w:rsidRPr="0027639D" w:rsidP="004957F6" w14:paraId="08C32681" w14:textId="77777777">
            <w:pPr>
              <w:ind w:firstLine="480" w:firstLineChars="300"/>
              <w:rPr>
                <w:sz w:val="16"/>
                <w:szCs w:val="16"/>
              </w:rPr>
            </w:pPr>
            <w:r w:rsidRPr="0027639D">
              <w:rPr>
                <w:sz w:val="16"/>
                <w:szCs w:val="16"/>
              </w:rPr>
              <w:t>Custodial/non-exchange revenue</w:t>
            </w:r>
          </w:p>
        </w:tc>
        <w:tc>
          <w:tcPr>
            <w:tcW w:w="1580" w:type="dxa"/>
            <w:tcBorders>
              <w:top w:val="nil"/>
              <w:left w:val="nil"/>
              <w:bottom w:val="nil"/>
              <w:right w:val="nil"/>
            </w:tcBorders>
            <w:shd w:val="clear" w:color="000000" w:fill="FFFFFF"/>
            <w:noWrap/>
            <w:vAlign w:val="bottom"/>
            <w:hideMark/>
          </w:tcPr>
          <w:p w:rsidR="00D462D3" w:rsidRPr="0027639D" w:rsidP="008431BD" w14:paraId="41A8DE48" w14:textId="77777777">
            <w:pPr>
              <w:jc w:val="right"/>
              <w:rPr>
                <w:sz w:val="16"/>
                <w:szCs w:val="16"/>
              </w:rPr>
            </w:pPr>
            <w:r>
              <w:rPr>
                <w:sz w:val="16"/>
                <w:szCs w:val="16"/>
              </w:rPr>
              <w:t xml:space="preserve"> </w:t>
            </w:r>
            <w:r w:rsidRPr="0027639D">
              <w:rPr>
                <w:sz w:val="16"/>
                <w:szCs w:val="16"/>
              </w:rPr>
              <w:t>(4,123)</w:t>
            </w:r>
          </w:p>
        </w:tc>
        <w:tc>
          <w:tcPr>
            <w:tcW w:w="1505" w:type="dxa"/>
            <w:tcBorders>
              <w:top w:val="nil"/>
              <w:left w:val="nil"/>
              <w:bottom w:val="nil"/>
              <w:right w:val="nil"/>
            </w:tcBorders>
            <w:shd w:val="clear" w:color="000000" w:fill="FFFFFF"/>
            <w:noWrap/>
            <w:vAlign w:val="bottom"/>
            <w:hideMark/>
          </w:tcPr>
          <w:p w:rsidR="00D462D3" w:rsidRPr="0027639D" w:rsidP="008431BD" w14:paraId="06644B93" w14:textId="77777777">
            <w:pPr>
              <w:jc w:val="right"/>
              <w:rPr>
                <w:sz w:val="16"/>
                <w:szCs w:val="16"/>
              </w:rPr>
            </w:pPr>
            <w:r>
              <w:rPr>
                <w:sz w:val="16"/>
                <w:szCs w:val="16"/>
              </w:rPr>
              <w:t xml:space="preserve"> </w:t>
            </w:r>
            <w:r w:rsidRPr="0027639D">
              <w:rPr>
                <w:sz w:val="16"/>
                <w:szCs w:val="16"/>
              </w:rPr>
              <w:t xml:space="preserve">12,549 </w:t>
            </w:r>
          </w:p>
        </w:tc>
        <w:tc>
          <w:tcPr>
            <w:tcW w:w="1505" w:type="dxa"/>
            <w:tcBorders>
              <w:top w:val="nil"/>
              <w:left w:val="nil"/>
              <w:bottom w:val="nil"/>
              <w:right w:val="nil"/>
            </w:tcBorders>
            <w:shd w:val="clear" w:color="000000" w:fill="FFFFFF"/>
            <w:noWrap/>
            <w:vAlign w:val="bottom"/>
            <w:hideMark/>
          </w:tcPr>
          <w:p w:rsidR="00D462D3" w:rsidRPr="0027639D" w:rsidP="008431BD" w14:paraId="50B3EA98" w14:textId="77777777">
            <w:pPr>
              <w:jc w:val="right"/>
              <w:rPr>
                <w:sz w:val="16"/>
                <w:szCs w:val="16"/>
              </w:rPr>
            </w:pPr>
            <w:r>
              <w:rPr>
                <w:sz w:val="16"/>
                <w:szCs w:val="16"/>
              </w:rPr>
              <w:t xml:space="preserve"> </w:t>
            </w:r>
            <w:r w:rsidRPr="0027639D">
              <w:rPr>
                <w:sz w:val="16"/>
                <w:szCs w:val="16"/>
              </w:rPr>
              <w:t xml:space="preserve">8,426 </w:t>
            </w:r>
          </w:p>
        </w:tc>
      </w:tr>
      <w:tr w14:paraId="51C91FB5" w14:textId="77777777" w:rsidTr="0005406F">
        <w:tblPrEx>
          <w:tblW w:w="5000" w:type="pct"/>
          <w:tblLayout w:type="fixed"/>
          <w:tblLook w:val="04A0"/>
        </w:tblPrEx>
        <w:trPr>
          <w:trHeight w:val="20"/>
        </w:trPr>
        <w:tc>
          <w:tcPr>
            <w:tcW w:w="4770" w:type="dxa"/>
            <w:tcBorders>
              <w:top w:val="nil"/>
              <w:left w:val="nil"/>
              <w:bottom w:val="nil"/>
              <w:right w:val="nil"/>
            </w:tcBorders>
            <w:shd w:val="clear" w:color="auto" w:fill="auto"/>
            <w:noWrap/>
            <w:vAlign w:val="bottom"/>
            <w:hideMark/>
          </w:tcPr>
          <w:p w:rsidR="00D462D3" w:rsidRPr="0027639D" w:rsidP="004957F6" w14:paraId="066179D8" w14:textId="77777777">
            <w:pPr>
              <w:ind w:firstLine="480" w:firstLineChars="300"/>
              <w:rPr>
                <w:sz w:val="16"/>
                <w:szCs w:val="16"/>
              </w:rPr>
            </w:pPr>
            <w:r w:rsidRPr="0027639D">
              <w:rPr>
                <w:sz w:val="16"/>
                <w:szCs w:val="16"/>
              </w:rPr>
              <w:t>Other temporary timing differences</w:t>
            </w:r>
          </w:p>
        </w:tc>
        <w:tc>
          <w:tcPr>
            <w:tcW w:w="1580" w:type="dxa"/>
            <w:tcBorders>
              <w:top w:val="nil"/>
              <w:left w:val="nil"/>
              <w:bottom w:val="nil"/>
              <w:right w:val="nil"/>
            </w:tcBorders>
            <w:shd w:val="clear" w:color="000000" w:fill="FFFFFF"/>
            <w:noWrap/>
            <w:vAlign w:val="bottom"/>
            <w:hideMark/>
          </w:tcPr>
          <w:p w:rsidR="00D462D3" w:rsidRPr="0027639D" w:rsidP="008431BD" w14:paraId="648BFBA1" w14:textId="77777777">
            <w:pPr>
              <w:jc w:val="right"/>
              <w:rPr>
                <w:sz w:val="16"/>
                <w:szCs w:val="16"/>
              </w:rPr>
            </w:pPr>
            <w:r>
              <w:rPr>
                <w:sz w:val="16"/>
                <w:szCs w:val="16"/>
              </w:rPr>
              <w:t xml:space="preserve"> </w:t>
            </w:r>
            <w:r w:rsidRPr="0027639D">
              <w:rPr>
                <w:sz w:val="16"/>
                <w:szCs w:val="16"/>
              </w:rPr>
              <w:t xml:space="preserve">- </w:t>
            </w:r>
          </w:p>
        </w:tc>
        <w:tc>
          <w:tcPr>
            <w:tcW w:w="1505" w:type="dxa"/>
            <w:tcBorders>
              <w:top w:val="nil"/>
              <w:left w:val="nil"/>
              <w:bottom w:val="nil"/>
              <w:right w:val="nil"/>
            </w:tcBorders>
            <w:shd w:val="clear" w:color="000000" w:fill="FFFFFF"/>
            <w:noWrap/>
            <w:vAlign w:val="bottom"/>
            <w:hideMark/>
          </w:tcPr>
          <w:p w:rsidR="00D462D3" w:rsidRPr="0027639D" w:rsidP="008431BD" w14:paraId="6941371D" w14:textId="77777777">
            <w:pPr>
              <w:jc w:val="right"/>
              <w:rPr>
                <w:sz w:val="16"/>
                <w:szCs w:val="16"/>
              </w:rPr>
            </w:pPr>
            <w:r>
              <w:rPr>
                <w:sz w:val="16"/>
                <w:szCs w:val="16"/>
              </w:rPr>
              <w:t xml:space="preserve"> </w:t>
            </w:r>
            <w:r w:rsidRPr="0027639D">
              <w:rPr>
                <w:sz w:val="16"/>
                <w:szCs w:val="16"/>
              </w:rPr>
              <w:t>(2,492)</w:t>
            </w:r>
          </w:p>
        </w:tc>
        <w:tc>
          <w:tcPr>
            <w:tcW w:w="1505" w:type="dxa"/>
            <w:tcBorders>
              <w:top w:val="nil"/>
              <w:left w:val="nil"/>
              <w:bottom w:val="nil"/>
              <w:right w:val="nil"/>
            </w:tcBorders>
            <w:shd w:val="clear" w:color="000000" w:fill="FFFFFF"/>
            <w:noWrap/>
            <w:vAlign w:val="bottom"/>
            <w:hideMark/>
          </w:tcPr>
          <w:p w:rsidR="00D462D3" w:rsidRPr="0027639D" w:rsidP="008431BD" w14:paraId="05EC3565" w14:textId="77777777">
            <w:pPr>
              <w:jc w:val="right"/>
              <w:rPr>
                <w:sz w:val="16"/>
                <w:szCs w:val="16"/>
              </w:rPr>
            </w:pPr>
            <w:r>
              <w:rPr>
                <w:sz w:val="16"/>
                <w:szCs w:val="16"/>
              </w:rPr>
              <w:t xml:space="preserve"> </w:t>
            </w:r>
            <w:r w:rsidRPr="0027639D">
              <w:rPr>
                <w:sz w:val="16"/>
                <w:szCs w:val="16"/>
              </w:rPr>
              <w:t>(2,492)</w:t>
            </w:r>
          </w:p>
        </w:tc>
      </w:tr>
      <w:tr w14:paraId="294DC726" w14:textId="77777777" w:rsidTr="001871FF">
        <w:tblPrEx>
          <w:tblW w:w="5000" w:type="pct"/>
          <w:tblLayout w:type="fixed"/>
          <w:tblLook w:val="04A0"/>
        </w:tblPrEx>
        <w:trPr>
          <w:trHeight w:val="351"/>
        </w:trPr>
        <w:tc>
          <w:tcPr>
            <w:tcW w:w="4770" w:type="dxa"/>
            <w:tcBorders>
              <w:top w:val="nil"/>
              <w:left w:val="nil"/>
              <w:bottom w:val="nil"/>
              <w:right w:val="nil"/>
            </w:tcBorders>
            <w:shd w:val="clear" w:color="auto" w:fill="auto"/>
            <w:vAlign w:val="bottom"/>
            <w:hideMark/>
          </w:tcPr>
          <w:p w:rsidR="00D462D3" w:rsidRPr="0027639D" w:rsidP="004957F6" w14:paraId="2BD24F8D" w14:textId="77777777">
            <w:pPr>
              <w:rPr>
                <w:b/>
                <w:bCs/>
                <w:sz w:val="16"/>
                <w:szCs w:val="16"/>
              </w:rPr>
            </w:pPr>
            <w:r w:rsidRPr="0027639D">
              <w:rPr>
                <w:b/>
                <w:bCs/>
                <w:sz w:val="16"/>
                <w:szCs w:val="16"/>
              </w:rPr>
              <w:t>Total Other Reconciling Items</w:t>
            </w:r>
          </w:p>
        </w:tc>
        <w:tc>
          <w:tcPr>
            <w:tcW w:w="1580" w:type="dxa"/>
            <w:tcBorders>
              <w:top w:val="nil"/>
              <w:left w:val="nil"/>
              <w:bottom w:val="double" w:sz="6" w:space="0" w:color="auto"/>
              <w:right w:val="nil"/>
            </w:tcBorders>
            <w:shd w:val="clear" w:color="000000" w:fill="FFFFFF"/>
            <w:noWrap/>
            <w:vAlign w:val="bottom"/>
            <w:hideMark/>
          </w:tcPr>
          <w:p w:rsidR="00D462D3" w:rsidRPr="0027639D" w:rsidP="008431BD" w14:paraId="3E42A42C" w14:textId="09608CEB">
            <w:pPr>
              <w:jc w:val="right"/>
              <w:rPr>
                <w:sz w:val="16"/>
                <w:szCs w:val="16"/>
              </w:rPr>
            </w:pPr>
            <w:r w:rsidRPr="0027639D">
              <w:rPr>
                <w:sz w:val="16"/>
                <w:szCs w:val="16"/>
              </w:rPr>
              <w:t>$</w:t>
            </w:r>
            <w:r w:rsidR="001A68BC">
              <w:rPr>
                <w:sz w:val="16"/>
                <w:szCs w:val="16"/>
              </w:rPr>
              <w:t xml:space="preserve">                   </w:t>
            </w:r>
            <w:r>
              <w:rPr>
                <w:sz w:val="16"/>
                <w:szCs w:val="16"/>
              </w:rPr>
              <w:t xml:space="preserve"> </w:t>
            </w:r>
            <w:r w:rsidRPr="0027639D">
              <w:rPr>
                <w:sz w:val="16"/>
                <w:szCs w:val="16"/>
              </w:rPr>
              <w:t>(4,123)</w:t>
            </w:r>
          </w:p>
        </w:tc>
        <w:tc>
          <w:tcPr>
            <w:tcW w:w="1505" w:type="dxa"/>
            <w:tcBorders>
              <w:top w:val="nil"/>
              <w:left w:val="nil"/>
              <w:bottom w:val="double" w:sz="6" w:space="0" w:color="auto"/>
              <w:right w:val="nil"/>
            </w:tcBorders>
            <w:shd w:val="clear" w:color="000000" w:fill="FFFFFF"/>
            <w:noWrap/>
            <w:vAlign w:val="bottom"/>
            <w:hideMark/>
          </w:tcPr>
          <w:p w:rsidR="00D462D3" w:rsidRPr="0027639D" w:rsidP="008431BD" w14:paraId="1DA0FE8F" w14:textId="64108854">
            <w:pPr>
              <w:jc w:val="right"/>
              <w:rPr>
                <w:sz w:val="16"/>
                <w:szCs w:val="16"/>
              </w:rPr>
            </w:pPr>
            <w:r w:rsidRPr="0027639D">
              <w:rPr>
                <w:sz w:val="16"/>
                <w:szCs w:val="16"/>
              </w:rPr>
              <w:t>$</w:t>
            </w:r>
            <w:r w:rsidR="001A68BC">
              <w:rPr>
                <w:sz w:val="16"/>
                <w:szCs w:val="16"/>
              </w:rPr>
              <w:t xml:space="preserve">                  </w:t>
            </w:r>
            <w:r>
              <w:rPr>
                <w:sz w:val="16"/>
                <w:szCs w:val="16"/>
              </w:rPr>
              <w:t xml:space="preserve"> </w:t>
            </w:r>
            <w:r w:rsidRPr="0027639D">
              <w:rPr>
                <w:sz w:val="16"/>
                <w:szCs w:val="16"/>
              </w:rPr>
              <w:t xml:space="preserve">10,057 </w:t>
            </w:r>
          </w:p>
        </w:tc>
        <w:tc>
          <w:tcPr>
            <w:tcW w:w="1505" w:type="dxa"/>
            <w:tcBorders>
              <w:top w:val="nil"/>
              <w:left w:val="nil"/>
              <w:bottom w:val="double" w:sz="6" w:space="0" w:color="auto"/>
              <w:right w:val="nil"/>
            </w:tcBorders>
            <w:shd w:val="clear" w:color="000000" w:fill="FFFFFF"/>
            <w:noWrap/>
            <w:vAlign w:val="bottom"/>
            <w:hideMark/>
          </w:tcPr>
          <w:p w:rsidR="00D462D3" w:rsidRPr="0027639D" w:rsidP="008431BD" w14:paraId="44526DDE" w14:textId="722B67B7">
            <w:pPr>
              <w:jc w:val="right"/>
              <w:rPr>
                <w:sz w:val="16"/>
                <w:szCs w:val="16"/>
              </w:rPr>
            </w:pPr>
            <w:r w:rsidRPr="0027639D">
              <w:rPr>
                <w:sz w:val="16"/>
                <w:szCs w:val="16"/>
              </w:rPr>
              <w:t>$</w:t>
            </w:r>
            <w:r w:rsidR="001A68BC">
              <w:rPr>
                <w:sz w:val="16"/>
                <w:szCs w:val="16"/>
              </w:rPr>
              <w:t xml:space="preserve">                    </w:t>
            </w:r>
            <w:r>
              <w:rPr>
                <w:sz w:val="16"/>
                <w:szCs w:val="16"/>
              </w:rPr>
              <w:t xml:space="preserve"> </w:t>
            </w:r>
            <w:r w:rsidRPr="0027639D">
              <w:rPr>
                <w:sz w:val="16"/>
                <w:szCs w:val="16"/>
              </w:rPr>
              <w:t xml:space="preserve">5,934 </w:t>
            </w:r>
          </w:p>
        </w:tc>
      </w:tr>
      <w:tr w14:paraId="3C81562D" w14:textId="77777777" w:rsidTr="001871FF">
        <w:tblPrEx>
          <w:tblW w:w="5000" w:type="pct"/>
          <w:tblLayout w:type="fixed"/>
          <w:tblLook w:val="04A0"/>
        </w:tblPrEx>
        <w:trPr>
          <w:trHeight w:val="405"/>
        </w:trPr>
        <w:tc>
          <w:tcPr>
            <w:tcW w:w="4770" w:type="dxa"/>
            <w:tcBorders>
              <w:top w:val="nil"/>
              <w:left w:val="nil"/>
              <w:bottom w:val="nil"/>
              <w:right w:val="nil"/>
            </w:tcBorders>
            <w:shd w:val="clear" w:color="000000" w:fill="FFFFFF"/>
            <w:noWrap/>
            <w:vAlign w:val="bottom"/>
            <w:hideMark/>
          </w:tcPr>
          <w:p w:rsidR="00D462D3" w:rsidRPr="0027639D" w:rsidP="004957F6" w14:paraId="27DDCD0E" w14:textId="77777777">
            <w:pPr>
              <w:rPr>
                <w:b/>
                <w:bCs/>
                <w:sz w:val="16"/>
                <w:szCs w:val="16"/>
              </w:rPr>
            </w:pPr>
            <w:r w:rsidRPr="0027639D">
              <w:rPr>
                <w:b/>
                <w:bCs/>
                <w:sz w:val="16"/>
                <w:szCs w:val="16"/>
              </w:rPr>
              <w:t>NET OUTLAYS (Calculated Total)</w:t>
            </w:r>
          </w:p>
        </w:tc>
        <w:tc>
          <w:tcPr>
            <w:tcW w:w="1580" w:type="dxa"/>
            <w:tcBorders>
              <w:top w:val="nil"/>
              <w:left w:val="nil"/>
              <w:bottom w:val="double" w:sz="6" w:space="0" w:color="auto"/>
              <w:right w:val="nil"/>
            </w:tcBorders>
            <w:shd w:val="clear" w:color="000000" w:fill="FFFFFF"/>
            <w:noWrap/>
            <w:vAlign w:val="bottom"/>
            <w:hideMark/>
          </w:tcPr>
          <w:p w:rsidR="00D462D3" w:rsidRPr="0027639D" w:rsidP="008431BD" w14:paraId="03105A2C" w14:textId="3A386A46">
            <w:pPr>
              <w:jc w:val="right"/>
              <w:rPr>
                <w:sz w:val="16"/>
                <w:szCs w:val="16"/>
              </w:rPr>
            </w:pPr>
            <w:r w:rsidRPr="0027639D">
              <w:rPr>
                <w:sz w:val="16"/>
                <w:szCs w:val="16"/>
              </w:rPr>
              <w:t>$</w:t>
            </w:r>
            <w:r w:rsidR="00A90921">
              <w:rPr>
                <w:sz w:val="16"/>
                <w:szCs w:val="16"/>
              </w:rPr>
              <w:t xml:space="preserve">   </w:t>
            </w:r>
            <w:r w:rsidR="001A68BC">
              <w:rPr>
                <w:sz w:val="16"/>
                <w:szCs w:val="16"/>
              </w:rPr>
              <w:t xml:space="preserve">  </w:t>
            </w:r>
            <w:r w:rsidR="00A90921">
              <w:rPr>
                <w:sz w:val="16"/>
                <w:szCs w:val="16"/>
              </w:rPr>
              <w:t xml:space="preserve">             </w:t>
            </w:r>
            <w:r>
              <w:rPr>
                <w:sz w:val="16"/>
                <w:szCs w:val="16"/>
              </w:rPr>
              <w:t xml:space="preserve"> </w:t>
            </w:r>
            <w:r w:rsidRPr="0027639D">
              <w:rPr>
                <w:sz w:val="16"/>
                <w:szCs w:val="16"/>
              </w:rPr>
              <w:t xml:space="preserve">101,845 </w:t>
            </w:r>
          </w:p>
        </w:tc>
        <w:tc>
          <w:tcPr>
            <w:tcW w:w="1505" w:type="dxa"/>
            <w:tcBorders>
              <w:top w:val="nil"/>
              <w:left w:val="nil"/>
              <w:bottom w:val="double" w:sz="6" w:space="0" w:color="auto"/>
              <w:right w:val="nil"/>
            </w:tcBorders>
            <w:shd w:val="clear" w:color="000000" w:fill="FFFFFF"/>
            <w:noWrap/>
            <w:vAlign w:val="bottom"/>
            <w:hideMark/>
          </w:tcPr>
          <w:p w:rsidR="00D462D3" w:rsidRPr="0027639D" w:rsidP="008431BD" w14:paraId="255FF36C" w14:textId="12C34DC3">
            <w:pPr>
              <w:jc w:val="right"/>
              <w:rPr>
                <w:sz w:val="16"/>
                <w:szCs w:val="16"/>
              </w:rPr>
            </w:pPr>
            <w:r w:rsidRPr="0027639D">
              <w:rPr>
                <w:sz w:val="16"/>
                <w:szCs w:val="16"/>
              </w:rPr>
              <w:t>$</w:t>
            </w:r>
            <w:r w:rsidR="001A68BC">
              <w:rPr>
                <w:sz w:val="16"/>
                <w:szCs w:val="16"/>
              </w:rPr>
              <w:t xml:space="preserve">            </w:t>
            </w:r>
            <w:r w:rsidRPr="0027639D">
              <w:rPr>
                <w:sz w:val="16"/>
                <w:szCs w:val="16"/>
              </w:rPr>
              <w:t xml:space="preserve">11,015,990 </w:t>
            </w:r>
          </w:p>
        </w:tc>
        <w:tc>
          <w:tcPr>
            <w:tcW w:w="1505" w:type="dxa"/>
            <w:tcBorders>
              <w:top w:val="nil"/>
              <w:left w:val="nil"/>
              <w:bottom w:val="double" w:sz="6" w:space="0" w:color="auto"/>
              <w:right w:val="nil"/>
            </w:tcBorders>
            <w:shd w:val="clear" w:color="000000" w:fill="FFFFFF"/>
            <w:noWrap/>
            <w:vAlign w:val="bottom"/>
            <w:hideMark/>
          </w:tcPr>
          <w:p w:rsidR="00D462D3" w:rsidRPr="0027639D" w:rsidP="008431BD" w14:paraId="6D0A3ADE" w14:textId="6474CA6C">
            <w:pPr>
              <w:jc w:val="right"/>
              <w:rPr>
                <w:sz w:val="16"/>
                <w:szCs w:val="16"/>
              </w:rPr>
            </w:pPr>
            <w:r w:rsidRPr="0027639D">
              <w:rPr>
                <w:sz w:val="16"/>
                <w:szCs w:val="16"/>
              </w:rPr>
              <w:t>$</w:t>
            </w:r>
            <w:r w:rsidR="001A68BC">
              <w:rPr>
                <w:sz w:val="16"/>
                <w:szCs w:val="16"/>
              </w:rPr>
              <w:t xml:space="preserve">           </w:t>
            </w:r>
            <w:r>
              <w:rPr>
                <w:sz w:val="16"/>
                <w:szCs w:val="16"/>
              </w:rPr>
              <w:t xml:space="preserve"> </w:t>
            </w:r>
            <w:r w:rsidRPr="0027639D">
              <w:rPr>
                <w:sz w:val="16"/>
                <w:szCs w:val="16"/>
              </w:rPr>
              <w:t xml:space="preserve">11,117,835 </w:t>
            </w:r>
          </w:p>
        </w:tc>
      </w:tr>
      <w:tr w14:paraId="40B6E069" w14:textId="77777777" w:rsidTr="001871FF">
        <w:tblPrEx>
          <w:tblW w:w="5000" w:type="pct"/>
          <w:tblLayout w:type="fixed"/>
          <w:tblLook w:val="04A0"/>
        </w:tblPrEx>
        <w:trPr>
          <w:trHeight w:val="405"/>
        </w:trPr>
        <w:tc>
          <w:tcPr>
            <w:tcW w:w="4770" w:type="dxa"/>
            <w:tcBorders>
              <w:top w:val="nil"/>
              <w:left w:val="nil"/>
              <w:bottom w:val="nil"/>
              <w:right w:val="nil"/>
            </w:tcBorders>
            <w:shd w:val="clear" w:color="auto" w:fill="auto"/>
            <w:vAlign w:val="bottom"/>
            <w:hideMark/>
          </w:tcPr>
          <w:p w:rsidR="00D462D3" w:rsidRPr="0027639D" w:rsidP="004957F6" w14:paraId="48D3DC2E" w14:textId="77777777">
            <w:pPr>
              <w:rPr>
                <w:b/>
                <w:bCs/>
                <w:sz w:val="16"/>
                <w:szCs w:val="16"/>
              </w:rPr>
            </w:pPr>
            <w:r w:rsidRPr="0027639D">
              <w:rPr>
                <w:b/>
                <w:bCs/>
                <w:sz w:val="16"/>
                <w:szCs w:val="16"/>
              </w:rPr>
              <w:t>Budgetary Agency Outlays, net (SBR 4210)</w:t>
            </w:r>
          </w:p>
        </w:tc>
        <w:tc>
          <w:tcPr>
            <w:tcW w:w="1580" w:type="dxa"/>
            <w:tcBorders>
              <w:top w:val="nil"/>
              <w:left w:val="nil"/>
              <w:bottom w:val="nil"/>
              <w:right w:val="nil"/>
            </w:tcBorders>
            <w:shd w:val="clear" w:color="000000" w:fill="FFFFFF"/>
            <w:noWrap/>
            <w:vAlign w:val="bottom"/>
          </w:tcPr>
          <w:p w:rsidR="00D462D3" w:rsidRPr="0027639D" w:rsidP="008431BD" w14:paraId="02B2B6C4" w14:textId="290D67C4">
            <w:pPr>
              <w:jc w:val="right"/>
              <w:rPr>
                <w:sz w:val="16"/>
                <w:szCs w:val="16"/>
              </w:rPr>
            </w:pPr>
          </w:p>
        </w:tc>
        <w:tc>
          <w:tcPr>
            <w:tcW w:w="1505" w:type="dxa"/>
            <w:tcBorders>
              <w:top w:val="nil"/>
              <w:left w:val="nil"/>
              <w:bottom w:val="nil"/>
              <w:right w:val="nil"/>
            </w:tcBorders>
            <w:shd w:val="clear" w:color="000000" w:fill="FFFFFF"/>
            <w:noWrap/>
            <w:vAlign w:val="bottom"/>
          </w:tcPr>
          <w:p w:rsidR="00D462D3" w:rsidRPr="0027639D" w:rsidP="008431BD" w14:paraId="1D1A3FD1" w14:textId="15B7037C">
            <w:pPr>
              <w:jc w:val="right"/>
              <w:rPr>
                <w:sz w:val="16"/>
                <w:szCs w:val="16"/>
              </w:rPr>
            </w:pPr>
          </w:p>
        </w:tc>
        <w:tc>
          <w:tcPr>
            <w:tcW w:w="1505" w:type="dxa"/>
            <w:tcBorders>
              <w:top w:val="nil"/>
              <w:left w:val="nil"/>
              <w:bottom w:val="nil"/>
              <w:right w:val="nil"/>
            </w:tcBorders>
            <w:shd w:val="clear" w:color="000000" w:fill="FFFFFF"/>
            <w:noWrap/>
            <w:vAlign w:val="bottom"/>
            <w:hideMark/>
          </w:tcPr>
          <w:p w:rsidR="00D462D3" w:rsidRPr="0027639D" w:rsidP="008431BD" w14:paraId="130EFAC4" w14:textId="77777777">
            <w:pPr>
              <w:jc w:val="right"/>
              <w:rPr>
                <w:sz w:val="16"/>
                <w:szCs w:val="16"/>
              </w:rPr>
            </w:pPr>
            <w:r w:rsidRPr="0027639D">
              <w:rPr>
                <w:sz w:val="16"/>
                <w:szCs w:val="16"/>
              </w:rPr>
              <w:t> </w:t>
            </w:r>
          </w:p>
        </w:tc>
      </w:tr>
      <w:tr w14:paraId="141C8C6D" w14:textId="77777777" w:rsidTr="0005406F">
        <w:tblPrEx>
          <w:tblW w:w="5000" w:type="pct"/>
          <w:tblLayout w:type="fixed"/>
          <w:tblLook w:val="04A0"/>
        </w:tblPrEx>
        <w:trPr>
          <w:trHeight w:val="20"/>
        </w:trPr>
        <w:tc>
          <w:tcPr>
            <w:tcW w:w="4770" w:type="dxa"/>
            <w:tcBorders>
              <w:top w:val="nil"/>
              <w:left w:val="nil"/>
              <w:bottom w:val="nil"/>
              <w:right w:val="nil"/>
            </w:tcBorders>
            <w:shd w:val="clear" w:color="auto" w:fill="auto"/>
            <w:noWrap/>
            <w:vAlign w:val="bottom"/>
            <w:hideMark/>
          </w:tcPr>
          <w:p w:rsidR="00D462D3" w:rsidRPr="0027639D" w:rsidP="004957F6" w14:paraId="42CBE041" w14:textId="77777777">
            <w:pPr>
              <w:ind w:firstLine="480" w:firstLineChars="300"/>
              <w:rPr>
                <w:sz w:val="16"/>
                <w:szCs w:val="16"/>
              </w:rPr>
            </w:pPr>
            <w:r w:rsidRPr="0027639D">
              <w:rPr>
                <w:sz w:val="16"/>
                <w:szCs w:val="16"/>
              </w:rPr>
              <w:t>Outlays, net (total) (discretionary and mandatory)</w:t>
            </w:r>
          </w:p>
        </w:tc>
        <w:tc>
          <w:tcPr>
            <w:tcW w:w="1580" w:type="dxa"/>
            <w:tcBorders>
              <w:top w:val="nil"/>
              <w:left w:val="nil"/>
              <w:bottom w:val="nil"/>
              <w:right w:val="nil"/>
            </w:tcBorders>
            <w:shd w:val="clear" w:color="000000" w:fill="FFFFFF"/>
            <w:noWrap/>
            <w:vAlign w:val="bottom"/>
          </w:tcPr>
          <w:p w:rsidR="00D462D3" w:rsidRPr="0027639D" w:rsidP="008431BD" w14:paraId="2266FBBA" w14:textId="3615FB0F">
            <w:pPr>
              <w:jc w:val="right"/>
              <w:rPr>
                <w:sz w:val="16"/>
                <w:szCs w:val="16"/>
              </w:rPr>
            </w:pPr>
          </w:p>
        </w:tc>
        <w:tc>
          <w:tcPr>
            <w:tcW w:w="1505" w:type="dxa"/>
            <w:tcBorders>
              <w:top w:val="nil"/>
              <w:left w:val="nil"/>
              <w:bottom w:val="nil"/>
              <w:right w:val="nil"/>
            </w:tcBorders>
            <w:shd w:val="clear" w:color="000000" w:fill="FFFFFF"/>
            <w:noWrap/>
            <w:vAlign w:val="bottom"/>
          </w:tcPr>
          <w:p w:rsidR="00D462D3" w:rsidRPr="0027639D" w:rsidP="008431BD" w14:paraId="63D3C770" w14:textId="02529B21">
            <w:pPr>
              <w:jc w:val="right"/>
              <w:rPr>
                <w:sz w:val="16"/>
                <w:szCs w:val="16"/>
              </w:rPr>
            </w:pPr>
          </w:p>
        </w:tc>
        <w:tc>
          <w:tcPr>
            <w:tcW w:w="1505" w:type="dxa"/>
            <w:tcBorders>
              <w:top w:val="nil"/>
              <w:left w:val="nil"/>
              <w:bottom w:val="nil"/>
              <w:right w:val="nil"/>
            </w:tcBorders>
            <w:shd w:val="clear" w:color="000000" w:fill="FFFFFF"/>
            <w:noWrap/>
            <w:vAlign w:val="bottom"/>
            <w:hideMark/>
          </w:tcPr>
          <w:p w:rsidR="00D462D3" w:rsidRPr="0027639D" w:rsidP="008431BD" w14:paraId="4E970EB8" w14:textId="77777777">
            <w:pPr>
              <w:jc w:val="right"/>
              <w:rPr>
                <w:sz w:val="16"/>
                <w:szCs w:val="16"/>
              </w:rPr>
            </w:pPr>
            <w:r>
              <w:rPr>
                <w:sz w:val="16"/>
                <w:szCs w:val="16"/>
              </w:rPr>
              <w:t xml:space="preserve"> </w:t>
            </w:r>
            <w:r w:rsidRPr="0027639D">
              <w:rPr>
                <w:sz w:val="16"/>
                <w:szCs w:val="16"/>
              </w:rPr>
              <w:t xml:space="preserve">11,152,514 </w:t>
            </w:r>
          </w:p>
        </w:tc>
      </w:tr>
      <w:tr w14:paraId="71996EDA" w14:textId="77777777" w:rsidTr="0005406F">
        <w:tblPrEx>
          <w:tblW w:w="5000" w:type="pct"/>
          <w:tblLayout w:type="fixed"/>
          <w:tblLook w:val="04A0"/>
        </w:tblPrEx>
        <w:trPr>
          <w:trHeight w:val="20"/>
        </w:trPr>
        <w:tc>
          <w:tcPr>
            <w:tcW w:w="4770" w:type="dxa"/>
            <w:tcBorders>
              <w:top w:val="nil"/>
              <w:left w:val="nil"/>
              <w:bottom w:val="nil"/>
              <w:right w:val="nil"/>
            </w:tcBorders>
            <w:shd w:val="clear" w:color="auto" w:fill="auto"/>
            <w:noWrap/>
            <w:vAlign w:val="bottom"/>
            <w:hideMark/>
          </w:tcPr>
          <w:p w:rsidR="00D462D3" w:rsidRPr="0027639D" w:rsidP="004957F6" w14:paraId="2643F470" w14:textId="77777777">
            <w:pPr>
              <w:ind w:firstLine="480" w:firstLineChars="300"/>
              <w:rPr>
                <w:sz w:val="16"/>
                <w:szCs w:val="16"/>
              </w:rPr>
            </w:pPr>
            <w:r w:rsidRPr="0027639D">
              <w:rPr>
                <w:sz w:val="16"/>
                <w:szCs w:val="16"/>
              </w:rPr>
              <w:t>Distributed offsetting receipts (-)</w:t>
            </w:r>
          </w:p>
        </w:tc>
        <w:tc>
          <w:tcPr>
            <w:tcW w:w="1580" w:type="dxa"/>
            <w:tcBorders>
              <w:top w:val="nil"/>
              <w:left w:val="nil"/>
              <w:bottom w:val="nil"/>
              <w:right w:val="nil"/>
            </w:tcBorders>
            <w:shd w:val="clear" w:color="000000" w:fill="FFFFFF"/>
            <w:noWrap/>
            <w:vAlign w:val="bottom"/>
          </w:tcPr>
          <w:p w:rsidR="00D462D3" w:rsidRPr="0027639D" w:rsidP="008431BD" w14:paraId="18052111" w14:textId="228AD6B1">
            <w:pPr>
              <w:jc w:val="right"/>
              <w:rPr>
                <w:sz w:val="16"/>
                <w:szCs w:val="16"/>
              </w:rPr>
            </w:pPr>
          </w:p>
        </w:tc>
        <w:tc>
          <w:tcPr>
            <w:tcW w:w="1505" w:type="dxa"/>
            <w:tcBorders>
              <w:top w:val="nil"/>
              <w:left w:val="nil"/>
              <w:bottom w:val="nil"/>
              <w:right w:val="nil"/>
            </w:tcBorders>
            <w:shd w:val="clear" w:color="000000" w:fill="FFFFFF"/>
            <w:noWrap/>
            <w:vAlign w:val="bottom"/>
          </w:tcPr>
          <w:p w:rsidR="00D462D3" w:rsidRPr="0027639D" w:rsidP="008431BD" w14:paraId="17D23B61" w14:textId="044D3F87">
            <w:pPr>
              <w:jc w:val="right"/>
              <w:rPr>
                <w:sz w:val="16"/>
                <w:szCs w:val="16"/>
              </w:rPr>
            </w:pPr>
          </w:p>
        </w:tc>
        <w:tc>
          <w:tcPr>
            <w:tcW w:w="1505" w:type="dxa"/>
            <w:tcBorders>
              <w:top w:val="nil"/>
              <w:left w:val="nil"/>
              <w:bottom w:val="nil"/>
              <w:right w:val="nil"/>
            </w:tcBorders>
            <w:shd w:val="clear" w:color="000000" w:fill="FFFFFF"/>
            <w:noWrap/>
            <w:vAlign w:val="bottom"/>
            <w:hideMark/>
          </w:tcPr>
          <w:p w:rsidR="00D462D3" w:rsidRPr="0027639D" w:rsidP="008431BD" w14:paraId="773CC689" w14:textId="77777777">
            <w:pPr>
              <w:jc w:val="right"/>
              <w:rPr>
                <w:sz w:val="16"/>
                <w:szCs w:val="16"/>
              </w:rPr>
            </w:pPr>
            <w:r>
              <w:rPr>
                <w:sz w:val="16"/>
                <w:szCs w:val="16"/>
              </w:rPr>
              <w:t xml:space="preserve"> </w:t>
            </w:r>
            <w:r w:rsidRPr="0027639D">
              <w:rPr>
                <w:sz w:val="16"/>
                <w:szCs w:val="16"/>
              </w:rPr>
              <w:t>(34,679)</w:t>
            </w:r>
          </w:p>
        </w:tc>
      </w:tr>
      <w:tr w14:paraId="48A8849D" w14:textId="77777777" w:rsidTr="0005406F">
        <w:tblPrEx>
          <w:tblW w:w="5000" w:type="pct"/>
          <w:tblLayout w:type="fixed"/>
          <w:tblLook w:val="04A0"/>
        </w:tblPrEx>
        <w:trPr>
          <w:trHeight w:val="20"/>
        </w:trPr>
        <w:tc>
          <w:tcPr>
            <w:tcW w:w="4770" w:type="dxa"/>
            <w:tcBorders>
              <w:top w:val="nil"/>
              <w:left w:val="nil"/>
              <w:bottom w:val="nil"/>
              <w:right w:val="nil"/>
            </w:tcBorders>
            <w:shd w:val="clear" w:color="auto" w:fill="auto"/>
            <w:vAlign w:val="bottom"/>
            <w:hideMark/>
          </w:tcPr>
          <w:p w:rsidR="00D462D3" w:rsidRPr="0027639D" w:rsidP="004957F6" w14:paraId="263E8F6B" w14:textId="77777777">
            <w:pPr>
              <w:rPr>
                <w:b/>
                <w:bCs/>
                <w:sz w:val="16"/>
                <w:szCs w:val="16"/>
              </w:rPr>
            </w:pPr>
            <w:r w:rsidRPr="0027639D">
              <w:rPr>
                <w:b/>
                <w:bCs/>
                <w:sz w:val="16"/>
                <w:szCs w:val="16"/>
              </w:rPr>
              <w:t>Budgetary Agency Outlays, net</w:t>
            </w:r>
          </w:p>
        </w:tc>
        <w:tc>
          <w:tcPr>
            <w:tcW w:w="1580" w:type="dxa"/>
            <w:tcBorders>
              <w:top w:val="nil"/>
              <w:left w:val="nil"/>
              <w:bottom w:val="nil"/>
              <w:right w:val="nil"/>
            </w:tcBorders>
            <w:shd w:val="clear" w:color="000000" w:fill="FFFFFF"/>
            <w:noWrap/>
            <w:vAlign w:val="bottom"/>
          </w:tcPr>
          <w:p w:rsidR="00D462D3" w:rsidRPr="0027639D" w:rsidP="008431BD" w14:paraId="4910B6D7" w14:textId="15B7C9C2">
            <w:pPr>
              <w:jc w:val="right"/>
              <w:rPr>
                <w:sz w:val="16"/>
                <w:szCs w:val="16"/>
              </w:rPr>
            </w:pPr>
          </w:p>
        </w:tc>
        <w:tc>
          <w:tcPr>
            <w:tcW w:w="1505" w:type="dxa"/>
            <w:tcBorders>
              <w:top w:val="nil"/>
              <w:left w:val="nil"/>
              <w:bottom w:val="nil"/>
              <w:right w:val="nil"/>
            </w:tcBorders>
            <w:shd w:val="clear" w:color="000000" w:fill="FFFFFF"/>
            <w:noWrap/>
            <w:vAlign w:val="bottom"/>
          </w:tcPr>
          <w:p w:rsidR="00D462D3" w:rsidRPr="0027639D" w:rsidP="008431BD" w14:paraId="21432E13" w14:textId="435B0411">
            <w:pPr>
              <w:jc w:val="right"/>
              <w:rPr>
                <w:sz w:val="16"/>
                <w:szCs w:val="16"/>
              </w:rPr>
            </w:pPr>
          </w:p>
        </w:tc>
        <w:tc>
          <w:tcPr>
            <w:tcW w:w="1505" w:type="dxa"/>
            <w:tcBorders>
              <w:top w:val="nil"/>
              <w:left w:val="nil"/>
              <w:bottom w:val="double" w:sz="4" w:space="0" w:color="auto"/>
              <w:right w:val="nil"/>
            </w:tcBorders>
            <w:shd w:val="clear" w:color="000000" w:fill="FFFFFF"/>
            <w:noWrap/>
            <w:vAlign w:val="bottom"/>
            <w:hideMark/>
          </w:tcPr>
          <w:p w:rsidR="00D462D3" w:rsidRPr="0027639D" w:rsidP="008431BD" w14:paraId="294B4BD2" w14:textId="24A7917A">
            <w:pPr>
              <w:jc w:val="right"/>
              <w:rPr>
                <w:sz w:val="16"/>
                <w:szCs w:val="16"/>
              </w:rPr>
            </w:pPr>
            <w:r w:rsidRPr="0027639D">
              <w:rPr>
                <w:sz w:val="16"/>
                <w:szCs w:val="16"/>
              </w:rPr>
              <w:t>$</w:t>
            </w:r>
            <w:r w:rsidR="001A68BC">
              <w:rPr>
                <w:sz w:val="16"/>
                <w:szCs w:val="16"/>
              </w:rPr>
              <w:t xml:space="preserve">           </w:t>
            </w:r>
            <w:r>
              <w:rPr>
                <w:sz w:val="16"/>
                <w:szCs w:val="16"/>
              </w:rPr>
              <w:t xml:space="preserve"> </w:t>
            </w:r>
            <w:r w:rsidRPr="0027639D">
              <w:rPr>
                <w:sz w:val="16"/>
                <w:szCs w:val="16"/>
              </w:rPr>
              <w:t xml:space="preserve">11,117,835 </w:t>
            </w:r>
          </w:p>
        </w:tc>
      </w:tr>
    </w:tbl>
    <w:p w:rsidR="00054555" w:rsidP="00D462D3" w14:paraId="52294BD5" w14:textId="77777777">
      <w:pPr>
        <w:rPr>
          <w:b/>
          <w:bCs/>
          <w:noProof/>
          <w:sz w:val="22"/>
          <w:szCs w:val="22"/>
        </w:rPr>
      </w:pPr>
    </w:p>
    <w:p w:rsidR="00D462D3" w:rsidP="00D462D3" w14:paraId="590DC09B" w14:textId="15F77AA8">
      <w:pPr>
        <w:rPr>
          <w:b/>
          <w:bCs/>
          <w:sz w:val="22"/>
          <w:szCs w:val="22"/>
        </w:rPr>
        <w:sectPr w:rsidSect="00F054D8">
          <w:pgSz w:w="12240" w:h="15840"/>
          <w:pgMar w:top="1440" w:right="1440" w:bottom="1296" w:left="1440" w:header="720" w:footer="720" w:gutter="0"/>
          <w:cols w:space="720"/>
        </w:sectPr>
      </w:pPr>
    </w:p>
    <w:p w:rsidR="00285D06" w:rsidRPr="00BA1E56" w:rsidP="005C2931" w14:paraId="6190B78C" w14:textId="77777777">
      <w:pPr>
        <w:spacing w:after="240"/>
        <w:jc w:val="both"/>
        <w:rPr>
          <w:b/>
          <w:bCs/>
          <w:sz w:val="22"/>
          <w:szCs w:val="22"/>
        </w:rPr>
      </w:pPr>
      <w:r w:rsidRPr="00BA1E56">
        <w:rPr>
          <w:b/>
          <w:bCs/>
          <w:sz w:val="22"/>
          <w:szCs w:val="22"/>
        </w:rPr>
        <w:t xml:space="preserve">Note </w:t>
      </w:r>
      <w:r>
        <w:rPr>
          <w:b/>
          <w:bCs/>
          <w:sz w:val="22"/>
          <w:szCs w:val="22"/>
        </w:rPr>
        <w:t>16</w:t>
      </w:r>
      <w:r w:rsidRPr="00BA1E56">
        <w:rPr>
          <w:b/>
          <w:bCs/>
          <w:sz w:val="22"/>
          <w:szCs w:val="22"/>
        </w:rPr>
        <w:t xml:space="preserve"> – </w:t>
      </w:r>
      <w:r>
        <w:rPr>
          <w:b/>
          <w:bCs/>
          <w:sz w:val="22"/>
          <w:szCs w:val="22"/>
        </w:rPr>
        <w:t>Reconciliation of Net Costs to Net Outlays</w:t>
      </w:r>
      <w:r w:rsidRPr="00BA1E56">
        <w:rPr>
          <w:b/>
          <w:bCs/>
          <w:sz w:val="22"/>
          <w:szCs w:val="22"/>
        </w:rPr>
        <w:t xml:space="preserve"> (continued)</w:t>
      </w:r>
    </w:p>
    <w:tbl>
      <w:tblPr>
        <w:tblW w:w="5000" w:type="pct"/>
        <w:tblInd w:w="-90" w:type="dxa"/>
        <w:tblLayout w:type="fixed"/>
        <w:tblLook w:val="04A0"/>
      </w:tblPr>
      <w:tblGrid>
        <w:gridCol w:w="4950"/>
        <w:gridCol w:w="1542"/>
        <w:gridCol w:w="1434"/>
        <w:gridCol w:w="1434"/>
      </w:tblGrid>
      <w:tr w14:paraId="2202EA80" w14:textId="77777777" w:rsidTr="000E7BEB">
        <w:tblPrEx>
          <w:tblW w:w="5000" w:type="pct"/>
          <w:tblInd w:w="-90" w:type="dxa"/>
          <w:tblLayout w:type="fixed"/>
          <w:tblLook w:val="04A0"/>
        </w:tblPrEx>
        <w:trPr>
          <w:trHeight w:val="276"/>
        </w:trPr>
        <w:tc>
          <w:tcPr>
            <w:tcW w:w="4950" w:type="dxa"/>
            <w:tcBorders>
              <w:top w:val="nil"/>
              <w:left w:val="nil"/>
              <w:bottom w:val="nil"/>
              <w:right w:val="nil"/>
            </w:tcBorders>
            <w:shd w:val="clear" w:color="auto" w:fill="auto"/>
            <w:vAlign w:val="bottom"/>
            <w:hideMark/>
          </w:tcPr>
          <w:p w:rsidR="002649FB" w:rsidRPr="004A2D37" w:rsidP="004957F6" w14:paraId="4179B629" w14:textId="77777777">
            <w:pPr>
              <w:rPr>
                <w:b/>
                <w:bCs/>
                <w:sz w:val="16"/>
                <w:szCs w:val="16"/>
                <w:u w:val="single"/>
              </w:rPr>
            </w:pPr>
            <w:r w:rsidRPr="004A2D37">
              <w:rPr>
                <w:b/>
                <w:bCs/>
                <w:sz w:val="16"/>
                <w:szCs w:val="16"/>
                <w:u w:val="single"/>
              </w:rPr>
              <w:t>FY 2020</w:t>
            </w:r>
          </w:p>
        </w:tc>
        <w:tc>
          <w:tcPr>
            <w:tcW w:w="1542" w:type="dxa"/>
            <w:tcBorders>
              <w:top w:val="nil"/>
              <w:left w:val="nil"/>
              <w:bottom w:val="single" w:sz="4" w:space="0" w:color="auto"/>
              <w:right w:val="nil"/>
            </w:tcBorders>
            <w:shd w:val="clear" w:color="000000" w:fill="FFFFFF"/>
            <w:noWrap/>
            <w:vAlign w:val="bottom"/>
            <w:hideMark/>
          </w:tcPr>
          <w:p w:rsidR="002649FB" w:rsidRPr="004A2D37" w:rsidP="004957F6" w14:paraId="754E2845" w14:textId="77777777">
            <w:pPr>
              <w:jc w:val="center"/>
              <w:rPr>
                <w:b/>
                <w:bCs/>
                <w:sz w:val="16"/>
                <w:szCs w:val="16"/>
              </w:rPr>
            </w:pPr>
            <w:r w:rsidRPr="004A2D37">
              <w:rPr>
                <w:b/>
                <w:bCs/>
                <w:sz w:val="16"/>
                <w:szCs w:val="16"/>
              </w:rPr>
              <w:t>Intragovernmental</w:t>
            </w:r>
          </w:p>
        </w:tc>
        <w:tc>
          <w:tcPr>
            <w:tcW w:w="1434" w:type="dxa"/>
            <w:tcBorders>
              <w:top w:val="nil"/>
              <w:left w:val="nil"/>
              <w:bottom w:val="single" w:sz="4" w:space="0" w:color="auto"/>
              <w:right w:val="nil"/>
            </w:tcBorders>
            <w:shd w:val="clear" w:color="000000" w:fill="FFFFFF"/>
            <w:noWrap/>
            <w:vAlign w:val="bottom"/>
            <w:hideMark/>
          </w:tcPr>
          <w:p w:rsidR="002649FB" w:rsidRPr="004A2D37" w:rsidP="004957F6" w14:paraId="526BD60D" w14:textId="77777777">
            <w:pPr>
              <w:ind w:left="-120" w:right="-144"/>
              <w:jc w:val="center"/>
              <w:rPr>
                <w:b/>
                <w:bCs/>
                <w:sz w:val="16"/>
                <w:szCs w:val="16"/>
              </w:rPr>
            </w:pPr>
            <w:r w:rsidRPr="004A2D37">
              <w:rPr>
                <w:b/>
                <w:bCs/>
                <w:sz w:val="16"/>
                <w:szCs w:val="16"/>
              </w:rPr>
              <w:t>With the Public</w:t>
            </w:r>
          </w:p>
        </w:tc>
        <w:tc>
          <w:tcPr>
            <w:tcW w:w="1434" w:type="dxa"/>
            <w:tcBorders>
              <w:top w:val="nil"/>
              <w:left w:val="nil"/>
              <w:bottom w:val="single" w:sz="4" w:space="0" w:color="auto"/>
              <w:right w:val="nil"/>
            </w:tcBorders>
            <w:shd w:val="clear" w:color="000000" w:fill="FFFFFF"/>
            <w:noWrap/>
            <w:vAlign w:val="bottom"/>
            <w:hideMark/>
          </w:tcPr>
          <w:p w:rsidR="002649FB" w:rsidRPr="004A2D37" w:rsidP="004957F6" w14:paraId="0DFF9BA6" w14:textId="77777777">
            <w:pPr>
              <w:jc w:val="center"/>
              <w:rPr>
                <w:b/>
                <w:bCs/>
                <w:sz w:val="16"/>
                <w:szCs w:val="16"/>
              </w:rPr>
            </w:pPr>
            <w:r w:rsidRPr="004A2D37">
              <w:rPr>
                <w:b/>
                <w:bCs/>
                <w:sz w:val="16"/>
                <w:szCs w:val="16"/>
              </w:rPr>
              <w:t>Total</w:t>
            </w:r>
          </w:p>
        </w:tc>
      </w:tr>
      <w:tr w14:paraId="05A7B387" w14:textId="77777777" w:rsidTr="000E7BEB">
        <w:tblPrEx>
          <w:tblW w:w="5000" w:type="pct"/>
          <w:tblInd w:w="-90" w:type="dxa"/>
          <w:tblLayout w:type="fixed"/>
          <w:tblLook w:val="04A0"/>
        </w:tblPrEx>
        <w:trPr>
          <w:trHeight w:val="431"/>
        </w:trPr>
        <w:tc>
          <w:tcPr>
            <w:tcW w:w="4950" w:type="dxa"/>
            <w:tcBorders>
              <w:top w:val="nil"/>
              <w:left w:val="nil"/>
              <w:bottom w:val="nil"/>
              <w:right w:val="nil"/>
            </w:tcBorders>
            <w:shd w:val="clear" w:color="auto" w:fill="auto"/>
            <w:noWrap/>
            <w:vAlign w:val="bottom"/>
            <w:hideMark/>
          </w:tcPr>
          <w:p w:rsidR="002649FB" w:rsidRPr="004A2D37" w:rsidP="004957F6" w14:paraId="64EAF701" w14:textId="77777777">
            <w:pPr>
              <w:rPr>
                <w:b/>
                <w:bCs/>
                <w:sz w:val="16"/>
                <w:szCs w:val="16"/>
              </w:rPr>
            </w:pPr>
            <w:r w:rsidRPr="004A2D37">
              <w:rPr>
                <w:b/>
                <w:bCs/>
                <w:sz w:val="16"/>
                <w:szCs w:val="16"/>
              </w:rPr>
              <w:t>Net Cost of Operations</w:t>
            </w:r>
          </w:p>
        </w:tc>
        <w:tc>
          <w:tcPr>
            <w:tcW w:w="1542" w:type="dxa"/>
            <w:tcBorders>
              <w:top w:val="nil"/>
              <w:left w:val="nil"/>
              <w:bottom w:val="double" w:sz="6" w:space="0" w:color="auto"/>
              <w:right w:val="nil"/>
            </w:tcBorders>
            <w:shd w:val="clear" w:color="000000" w:fill="FFFFFF"/>
            <w:noWrap/>
            <w:vAlign w:val="bottom"/>
            <w:hideMark/>
          </w:tcPr>
          <w:p w:rsidR="002649FB" w:rsidRPr="004A2D37" w:rsidP="004957F6" w14:paraId="2512DEA5" w14:textId="5463FD46">
            <w:pPr>
              <w:jc w:val="right"/>
              <w:rPr>
                <w:sz w:val="16"/>
                <w:szCs w:val="16"/>
              </w:rPr>
            </w:pPr>
            <w:r w:rsidRPr="004A2D37">
              <w:rPr>
                <w:sz w:val="16"/>
                <w:szCs w:val="16"/>
              </w:rPr>
              <w:t>$</w:t>
            </w:r>
            <w:r w:rsidR="009649B8">
              <w:rPr>
                <w:sz w:val="16"/>
                <w:szCs w:val="16"/>
              </w:rPr>
              <w:t xml:space="preserve">                 </w:t>
            </w:r>
            <w:r>
              <w:rPr>
                <w:sz w:val="16"/>
                <w:szCs w:val="16"/>
              </w:rPr>
              <w:t xml:space="preserve"> </w:t>
            </w:r>
            <w:r w:rsidRPr="004A2D37">
              <w:rPr>
                <w:sz w:val="16"/>
                <w:szCs w:val="16"/>
              </w:rPr>
              <w:t xml:space="preserve">122,024 </w:t>
            </w:r>
          </w:p>
        </w:tc>
        <w:tc>
          <w:tcPr>
            <w:tcW w:w="1434" w:type="dxa"/>
            <w:tcBorders>
              <w:top w:val="nil"/>
              <w:left w:val="nil"/>
              <w:bottom w:val="double" w:sz="6" w:space="0" w:color="auto"/>
              <w:right w:val="nil"/>
            </w:tcBorders>
            <w:shd w:val="clear" w:color="000000" w:fill="FFFFFF"/>
            <w:noWrap/>
            <w:vAlign w:val="bottom"/>
            <w:hideMark/>
          </w:tcPr>
          <w:p w:rsidR="002649FB" w:rsidRPr="004A2D37" w:rsidP="004957F6" w14:paraId="5FF42E64" w14:textId="4FF659F2">
            <w:pPr>
              <w:ind w:left="-120"/>
              <w:jc w:val="right"/>
              <w:rPr>
                <w:sz w:val="16"/>
                <w:szCs w:val="16"/>
              </w:rPr>
            </w:pPr>
            <w:r w:rsidRPr="004A2D37">
              <w:rPr>
                <w:sz w:val="16"/>
                <w:szCs w:val="16"/>
              </w:rPr>
              <w:t>$</w:t>
            </w:r>
            <w:r w:rsidR="009649B8">
              <w:rPr>
                <w:sz w:val="16"/>
                <w:szCs w:val="16"/>
              </w:rPr>
              <w:t xml:space="preserve">            </w:t>
            </w:r>
            <w:r>
              <w:rPr>
                <w:sz w:val="16"/>
                <w:szCs w:val="16"/>
              </w:rPr>
              <w:t xml:space="preserve"> </w:t>
            </w:r>
            <w:r w:rsidRPr="004A2D37">
              <w:rPr>
                <w:sz w:val="16"/>
                <w:szCs w:val="16"/>
              </w:rPr>
              <w:t xml:space="preserve">10,245,008 </w:t>
            </w:r>
          </w:p>
        </w:tc>
        <w:tc>
          <w:tcPr>
            <w:tcW w:w="1434" w:type="dxa"/>
            <w:tcBorders>
              <w:top w:val="nil"/>
              <w:left w:val="nil"/>
              <w:bottom w:val="double" w:sz="6" w:space="0" w:color="auto"/>
              <w:right w:val="nil"/>
            </w:tcBorders>
            <w:shd w:val="clear" w:color="000000" w:fill="FFFFFF"/>
            <w:noWrap/>
            <w:vAlign w:val="bottom"/>
            <w:hideMark/>
          </w:tcPr>
          <w:p w:rsidR="002649FB" w:rsidRPr="004A2D37" w:rsidP="004957F6" w14:paraId="35A492FD" w14:textId="0A72165F">
            <w:pPr>
              <w:jc w:val="right"/>
              <w:rPr>
                <w:sz w:val="16"/>
                <w:szCs w:val="16"/>
              </w:rPr>
            </w:pPr>
            <w:r w:rsidRPr="004A2D37">
              <w:rPr>
                <w:sz w:val="16"/>
                <w:szCs w:val="16"/>
              </w:rPr>
              <w:t>$</w:t>
            </w:r>
            <w:r w:rsidR="009649B8">
              <w:rPr>
                <w:sz w:val="16"/>
                <w:szCs w:val="16"/>
              </w:rPr>
              <w:t xml:space="preserve">         </w:t>
            </w:r>
            <w:r>
              <w:rPr>
                <w:sz w:val="16"/>
                <w:szCs w:val="16"/>
              </w:rPr>
              <w:t xml:space="preserve"> </w:t>
            </w:r>
            <w:r w:rsidRPr="004A2D37">
              <w:rPr>
                <w:sz w:val="16"/>
                <w:szCs w:val="16"/>
              </w:rPr>
              <w:t xml:space="preserve">10,367,032 </w:t>
            </w:r>
          </w:p>
        </w:tc>
      </w:tr>
      <w:tr w14:paraId="717EF67F" w14:textId="77777777" w:rsidTr="000E7BEB">
        <w:tblPrEx>
          <w:tblW w:w="5000" w:type="pct"/>
          <w:tblInd w:w="-90" w:type="dxa"/>
          <w:tblLayout w:type="fixed"/>
          <w:tblLook w:val="04A0"/>
        </w:tblPrEx>
        <w:trPr>
          <w:trHeight w:val="477"/>
        </w:trPr>
        <w:tc>
          <w:tcPr>
            <w:tcW w:w="4950" w:type="dxa"/>
            <w:tcBorders>
              <w:top w:val="nil"/>
              <w:left w:val="nil"/>
              <w:bottom w:val="nil"/>
              <w:right w:val="nil"/>
            </w:tcBorders>
            <w:shd w:val="clear" w:color="auto" w:fill="auto"/>
            <w:noWrap/>
            <w:vAlign w:val="bottom"/>
            <w:hideMark/>
          </w:tcPr>
          <w:p w:rsidR="002649FB" w:rsidRPr="004A2D37" w:rsidP="004957F6" w14:paraId="0D9EFDB0" w14:textId="77777777">
            <w:pPr>
              <w:rPr>
                <w:b/>
                <w:bCs/>
                <w:sz w:val="16"/>
                <w:szCs w:val="16"/>
              </w:rPr>
            </w:pPr>
            <w:r w:rsidRPr="004A2D37">
              <w:rPr>
                <w:b/>
                <w:bCs/>
                <w:sz w:val="16"/>
                <w:szCs w:val="16"/>
              </w:rPr>
              <w:t>Components of Net Operating Cost Not Part of the Budgetary Outlays:</w:t>
            </w:r>
          </w:p>
        </w:tc>
        <w:tc>
          <w:tcPr>
            <w:tcW w:w="1542" w:type="dxa"/>
            <w:tcBorders>
              <w:top w:val="nil"/>
              <w:left w:val="nil"/>
              <w:bottom w:val="nil"/>
              <w:right w:val="nil"/>
            </w:tcBorders>
            <w:shd w:val="clear" w:color="000000" w:fill="FFFFFF"/>
            <w:noWrap/>
            <w:vAlign w:val="bottom"/>
            <w:hideMark/>
          </w:tcPr>
          <w:p w:rsidR="002649FB" w:rsidRPr="004A2D37" w:rsidP="004957F6" w14:paraId="277712E5"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1E1C9962"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4A35154D" w14:textId="77777777">
            <w:pPr>
              <w:jc w:val="right"/>
              <w:rPr>
                <w:sz w:val="16"/>
                <w:szCs w:val="16"/>
              </w:rPr>
            </w:pPr>
            <w:r w:rsidRPr="004A2D37">
              <w:rPr>
                <w:sz w:val="16"/>
                <w:szCs w:val="16"/>
              </w:rPr>
              <w:t> </w:t>
            </w:r>
          </w:p>
        </w:tc>
      </w:tr>
      <w:tr w14:paraId="4BDC8EA4" w14:textId="77777777" w:rsidTr="000E7BEB">
        <w:tblPrEx>
          <w:tblW w:w="5000" w:type="pct"/>
          <w:tblInd w:w="-90" w:type="dxa"/>
          <w:tblLayout w:type="fixed"/>
          <w:tblLook w:val="04A0"/>
        </w:tblPrEx>
        <w:trPr>
          <w:trHeight w:val="276"/>
        </w:trPr>
        <w:tc>
          <w:tcPr>
            <w:tcW w:w="4950" w:type="dxa"/>
            <w:tcBorders>
              <w:top w:val="nil"/>
              <w:left w:val="nil"/>
              <w:bottom w:val="nil"/>
              <w:right w:val="nil"/>
            </w:tcBorders>
            <w:shd w:val="clear" w:color="000000" w:fill="FFFFFF"/>
            <w:noWrap/>
            <w:vAlign w:val="bottom"/>
            <w:hideMark/>
          </w:tcPr>
          <w:p w:rsidR="002649FB" w:rsidRPr="004A2D37" w:rsidP="0061016A" w14:paraId="2EC369F0" w14:textId="77777777">
            <w:pPr>
              <w:ind w:firstLine="560" w:firstLineChars="350"/>
              <w:rPr>
                <w:sz w:val="16"/>
                <w:szCs w:val="16"/>
              </w:rPr>
            </w:pPr>
            <w:r w:rsidRPr="004A2D37">
              <w:rPr>
                <w:sz w:val="16"/>
                <w:szCs w:val="16"/>
              </w:rPr>
              <w:t xml:space="preserve">Property, plant, and equipment depreciation </w:t>
            </w:r>
          </w:p>
        </w:tc>
        <w:tc>
          <w:tcPr>
            <w:tcW w:w="1542" w:type="dxa"/>
            <w:tcBorders>
              <w:top w:val="nil"/>
              <w:left w:val="nil"/>
              <w:bottom w:val="nil"/>
              <w:right w:val="nil"/>
            </w:tcBorders>
            <w:shd w:val="clear" w:color="000000" w:fill="FFFFFF"/>
            <w:noWrap/>
            <w:vAlign w:val="bottom"/>
            <w:hideMark/>
          </w:tcPr>
          <w:p w:rsidR="002649FB" w:rsidRPr="004A2D37" w:rsidP="004957F6" w14:paraId="19C3E326" w14:textId="77777777">
            <w:pPr>
              <w:jc w:val="right"/>
              <w:rPr>
                <w:sz w:val="16"/>
                <w:szCs w:val="16"/>
              </w:rPr>
            </w:pPr>
            <w:r>
              <w:rPr>
                <w:sz w:val="16"/>
                <w:szCs w:val="16"/>
              </w:rPr>
              <w:t xml:space="preserve"> </w:t>
            </w:r>
            <w:r w:rsidRPr="004A2D37">
              <w:rPr>
                <w:sz w:val="16"/>
                <w:szCs w:val="16"/>
              </w:rPr>
              <w:t xml:space="preserve">- </w:t>
            </w:r>
          </w:p>
        </w:tc>
        <w:tc>
          <w:tcPr>
            <w:tcW w:w="1434" w:type="dxa"/>
            <w:tcBorders>
              <w:top w:val="nil"/>
              <w:left w:val="nil"/>
              <w:bottom w:val="nil"/>
              <w:right w:val="nil"/>
            </w:tcBorders>
            <w:shd w:val="clear" w:color="000000" w:fill="FFFFFF"/>
            <w:noWrap/>
            <w:vAlign w:val="bottom"/>
            <w:hideMark/>
          </w:tcPr>
          <w:p w:rsidR="002649FB" w:rsidRPr="004A2D37" w:rsidP="004957F6" w14:paraId="0AEDDCCF" w14:textId="77777777">
            <w:pPr>
              <w:jc w:val="right"/>
              <w:rPr>
                <w:sz w:val="16"/>
                <w:szCs w:val="16"/>
              </w:rPr>
            </w:pPr>
            <w:r>
              <w:rPr>
                <w:sz w:val="16"/>
                <w:szCs w:val="16"/>
              </w:rPr>
              <w:t xml:space="preserve"> </w:t>
            </w:r>
            <w:r w:rsidRPr="004A2D37">
              <w:rPr>
                <w:sz w:val="16"/>
                <w:szCs w:val="16"/>
              </w:rPr>
              <w:t>(21,154)</w:t>
            </w:r>
          </w:p>
        </w:tc>
        <w:tc>
          <w:tcPr>
            <w:tcW w:w="1434" w:type="dxa"/>
            <w:tcBorders>
              <w:top w:val="nil"/>
              <w:left w:val="nil"/>
              <w:bottom w:val="nil"/>
              <w:right w:val="nil"/>
            </w:tcBorders>
            <w:shd w:val="clear" w:color="000000" w:fill="FFFFFF"/>
            <w:noWrap/>
            <w:vAlign w:val="bottom"/>
            <w:hideMark/>
          </w:tcPr>
          <w:p w:rsidR="002649FB" w:rsidRPr="004A2D37" w:rsidP="004957F6" w14:paraId="623CA6EC" w14:textId="77777777">
            <w:pPr>
              <w:jc w:val="right"/>
              <w:rPr>
                <w:sz w:val="16"/>
                <w:szCs w:val="16"/>
              </w:rPr>
            </w:pPr>
            <w:r>
              <w:rPr>
                <w:sz w:val="16"/>
                <w:szCs w:val="16"/>
              </w:rPr>
              <w:t xml:space="preserve"> </w:t>
            </w:r>
            <w:r w:rsidRPr="004A2D37">
              <w:rPr>
                <w:sz w:val="16"/>
                <w:szCs w:val="16"/>
              </w:rPr>
              <w:t>(21,154)</w:t>
            </w:r>
          </w:p>
        </w:tc>
      </w:tr>
      <w:tr w14:paraId="5FDB31C6" w14:textId="77777777" w:rsidTr="00347F96">
        <w:tblPrEx>
          <w:tblW w:w="5000" w:type="pct"/>
          <w:tblInd w:w="-90" w:type="dxa"/>
          <w:tblLayout w:type="fixed"/>
          <w:tblLook w:val="04A0"/>
        </w:tblPrEx>
        <w:trPr>
          <w:trHeight w:val="333"/>
        </w:trPr>
        <w:tc>
          <w:tcPr>
            <w:tcW w:w="4950" w:type="dxa"/>
            <w:tcBorders>
              <w:top w:val="nil"/>
              <w:left w:val="nil"/>
              <w:bottom w:val="nil"/>
              <w:right w:val="nil"/>
            </w:tcBorders>
            <w:shd w:val="clear" w:color="000000" w:fill="FFFFFF"/>
            <w:noWrap/>
            <w:vAlign w:val="bottom"/>
            <w:hideMark/>
          </w:tcPr>
          <w:p w:rsidR="002649FB" w:rsidRPr="004A2D37" w:rsidP="0061016A" w14:paraId="6758FA6C" w14:textId="77777777">
            <w:pPr>
              <w:ind w:firstLine="320" w:firstLineChars="200"/>
              <w:rPr>
                <w:b/>
                <w:bCs/>
                <w:sz w:val="16"/>
                <w:szCs w:val="16"/>
              </w:rPr>
            </w:pPr>
            <w:r w:rsidRPr="004A2D37">
              <w:rPr>
                <w:b/>
                <w:bCs/>
                <w:sz w:val="16"/>
                <w:szCs w:val="16"/>
              </w:rPr>
              <w:t>Increase/(Decrease) in Assets not affecting Budget Outlays:</w:t>
            </w:r>
          </w:p>
        </w:tc>
        <w:tc>
          <w:tcPr>
            <w:tcW w:w="1542" w:type="dxa"/>
            <w:tcBorders>
              <w:top w:val="nil"/>
              <w:left w:val="nil"/>
              <w:bottom w:val="nil"/>
              <w:right w:val="nil"/>
            </w:tcBorders>
            <w:shd w:val="clear" w:color="000000" w:fill="FFFFFF"/>
            <w:noWrap/>
            <w:vAlign w:val="bottom"/>
            <w:hideMark/>
          </w:tcPr>
          <w:p w:rsidR="002649FB" w:rsidRPr="004A2D37" w:rsidP="004957F6" w14:paraId="5B8C0110"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25119802"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2F014C5C" w14:textId="77777777">
            <w:pPr>
              <w:jc w:val="right"/>
              <w:rPr>
                <w:sz w:val="16"/>
                <w:szCs w:val="16"/>
              </w:rPr>
            </w:pPr>
            <w:r w:rsidRPr="004A2D37">
              <w:rPr>
                <w:sz w:val="16"/>
                <w:szCs w:val="16"/>
              </w:rPr>
              <w:t> </w:t>
            </w:r>
          </w:p>
        </w:tc>
      </w:tr>
      <w:tr w14:paraId="26B6F8B6" w14:textId="77777777" w:rsidTr="000E7BEB">
        <w:tblPrEx>
          <w:tblW w:w="5000" w:type="pct"/>
          <w:tblInd w:w="-90" w:type="dxa"/>
          <w:tblLayout w:type="fixed"/>
          <w:tblLook w:val="04A0"/>
        </w:tblPrEx>
        <w:trPr>
          <w:trHeight w:val="276"/>
        </w:trPr>
        <w:tc>
          <w:tcPr>
            <w:tcW w:w="4950" w:type="dxa"/>
            <w:tcBorders>
              <w:top w:val="nil"/>
              <w:left w:val="nil"/>
              <w:bottom w:val="nil"/>
              <w:right w:val="nil"/>
            </w:tcBorders>
            <w:shd w:val="clear" w:color="000000" w:fill="FFFFFF"/>
            <w:noWrap/>
            <w:vAlign w:val="bottom"/>
            <w:hideMark/>
          </w:tcPr>
          <w:p w:rsidR="002649FB" w:rsidRPr="004A2D37" w:rsidP="0061016A" w14:paraId="7711564A" w14:textId="77777777">
            <w:pPr>
              <w:ind w:firstLine="560" w:firstLineChars="350"/>
              <w:rPr>
                <w:sz w:val="16"/>
                <w:szCs w:val="16"/>
              </w:rPr>
            </w:pPr>
            <w:r w:rsidRPr="004A2D37">
              <w:rPr>
                <w:sz w:val="16"/>
                <w:szCs w:val="16"/>
              </w:rPr>
              <w:t xml:space="preserve">Accounts receivable </w:t>
            </w:r>
          </w:p>
        </w:tc>
        <w:tc>
          <w:tcPr>
            <w:tcW w:w="1542" w:type="dxa"/>
            <w:tcBorders>
              <w:top w:val="nil"/>
              <w:left w:val="nil"/>
              <w:bottom w:val="nil"/>
              <w:right w:val="nil"/>
            </w:tcBorders>
            <w:shd w:val="clear" w:color="000000" w:fill="FFFFFF"/>
            <w:noWrap/>
            <w:vAlign w:val="bottom"/>
            <w:hideMark/>
          </w:tcPr>
          <w:p w:rsidR="002649FB" w:rsidRPr="004A2D37" w:rsidP="004957F6" w14:paraId="6F283B28" w14:textId="77777777">
            <w:pPr>
              <w:jc w:val="right"/>
              <w:rPr>
                <w:sz w:val="16"/>
                <w:szCs w:val="16"/>
              </w:rPr>
            </w:pPr>
            <w:r>
              <w:rPr>
                <w:sz w:val="16"/>
                <w:szCs w:val="16"/>
              </w:rPr>
              <w:t xml:space="preserve"> </w:t>
            </w:r>
            <w:r w:rsidRPr="004A2D37">
              <w:rPr>
                <w:sz w:val="16"/>
                <w:szCs w:val="16"/>
              </w:rPr>
              <w:t xml:space="preserve">98 </w:t>
            </w:r>
          </w:p>
        </w:tc>
        <w:tc>
          <w:tcPr>
            <w:tcW w:w="1434" w:type="dxa"/>
            <w:tcBorders>
              <w:top w:val="nil"/>
              <w:left w:val="nil"/>
              <w:bottom w:val="nil"/>
              <w:right w:val="nil"/>
            </w:tcBorders>
            <w:shd w:val="clear" w:color="000000" w:fill="FFFFFF"/>
            <w:noWrap/>
            <w:vAlign w:val="bottom"/>
            <w:hideMark/>
          </w:tcPr>
          <w:p w:rsidR="002649FB" w:rsidRPr="004A2D37" w:rsidP="004957F6" w14:paraId="75726B7C" w14:textId="77777777">
            <w:pPr>
              <w:jc w:val="right"/>
              <w:rPr>
                <w:sz w:val="16"/>
                <w:szCs w:val="16"/>
              </w:rPr>
            </w:pPr>
            <w:r>
              <w:rPr>
                <w:sz w:val="16"/>
                <w:szCs w:val="16"/>
              </w:rPr>
              <w:t xml:space="preserve"> </w:t>
            </w:r>
            <w:r w:rsidRPr="004A2D37">
              <w:rPr>
                <w:sz w:val="16"/>
                <w:szCs w:val="16"/>
              </w:rPr>
              <w:t xml:space="preserve">18,465 </w:t>
            </w:r>
          </w:p>
        </w:tc>
        <w:tc>
          <w:tcPr>
            <w:tcW w:w="1434" w:type="dxa"/>
            <w:tcBorders>
              <w:top w:val="nil"/>
              <w:left w:val="nil"/>
              <w:bottom w:val="nil"/>
              <w:right w:val="nil"/>
            </w:tcBorders>
            <w:shd w:val="clear" w:color="000000" w:fill="FFFFFF"/>
            <w:noWrap/>
            <w:vAlign w:val="bottom"/>
            <w:hideMark/>
          </w:tcPr>
          <w:p w:rsidR="002649FB" w:rsidRPr="004A2D37" w:rsidP="004957F6" w14:paraId="41925AEC" w14:textId="77777777">
            <w:pPr>
              <w:jc w:val="right"/>
              <w:rPr>
                <w:sz w:val="16"/>
                <w:szCs w:val="16"/>
              </w:rPr>
            </w:pPr>
            <w:r>
              <w:rPr>
                <w:sz w:val="16"/>
                <w:szCs w:val="16"/>
              </w:rPr>
              <w:t xml:space="preserve"> </w:t>
            </w:r>
            <w:r w:rsidRPr="004A2D37">
              <w:rPr>
                <w:sz w:val="16"/>
                <w:szCs w:val="16"/>
              </w:rPr>
              <w:t xml:space="preserve">18,563 </w:t>
            </w:r>
          </w:p>
        </w:tc>
      </w:tr>
      <w:tr w14:paraId="3DDAB0F0" w14:textId="77777777" w:rsidTr="001410DA">
        <w:tblPrEx>
          <w:tblW w:w="5000" w:type="pct"/>
          <w:tblInd w:w="-90" w:type="dxa"/>
          <w:tblLayout w:type="fixed"/>
          <w:tblLook w:val="04A0"/>
        </w:tblPrEx>
        <w:trPr>
          <w:trHeight w:val="90"/>
        </w:trPr>
        <w:tc>
          <w:tcPr>
            <w:tcW w:w="4950" w:type="dxa"/>
            <w:tcBorders>
              <w:top w:val="nil"/>
              <w:left w:val="nil"/>
              <w:bottom w:val="nil"/>
              <w:right w:val="nil"/>
            </w:tcBorders>
            <w:shd w:val="clear" w:color="000000" w:fill="FFFFFF"/>
            <w:noWrap/>
            <w:vAlign w:val="bottom"/>
            <w:hideMark/>
          </w:tcPr>
          <w:p w:rsidR="002649FB" w:rsidRPr="004A2D37" w:rsidP="001410DA" w14:paraId="547023F3" w14:textId="77777777">
            <w:pPr>
              <w:ind w:firstLine="560" w:firstLineChars="350"/>
              <w:rPr>
                <w:sz w:val="16"/>
                <w:szCs w:val="16"/>
              </w:rPr>
            </w:pPr>
            <w:r w:rsidRPr="004A2D37">
              <w:rPr>
                <w:sz w:val="16"/>
                <w:szCs w:val="16"/>
              </w:rPr>
              <w:t>Investments</w:t>
            </w:r>
          </w:p>
        </w:tc>
        <w:tc>
          <w:tcPr>
            <w:tcW w:w="1542" w:type="dxa"/>
            <w:tcBorders>
              <w:top w:val="nil"/>
              <w:left w:val="nil"/>
              <w:bottom w:val="nil"/>
              <w:right w:val="nil"/>
            </w:tcBorders>
            <w:shd w:val="clear" w:color="000000" w:fill="FFFFFF"/>
            <w:noWrap/>
            <w:vAlign w:val="bottom"/>
            <w:hideMark/>
          </w:tcPr>
          <w:p w:rsidR="002649FB" w:rsidRPr="004A2D37" w:rsidP="004957F6" w14:paraId="6D200634" w14:textId="77777777">
            <w:pPr>
              <w:jc w:val="right"/>
              <w:rPr>
                <w:sz w:val="16"/>
                <w:szCs w:val="16"/>
              </w:rPr>
            </w:pPr>
            <w:r>
              <w:rPr>
                <w:sz w:val="16"/>
                <w:szCs w:val="16"/>
              </w:rPr>
              <w:t xml:space="preserve"> </w:t>
            </w:r>
            <w:r w:rsidRPr="004A2D37">
              <w:rPr>
                <w:sz w:val="16"/>
                <w:szCs w:val="16"/>
              </w:rPr>
              <w:t xml:space="preserve">- </w:t>
            </w:r>
          </w:p>
        </w:tc>
        <w:tc>
          <w:tcPr>
            <w:tcW w:w="1434" w:type="dxa"/>
            <w:tcBorders>
              <w:top w:val="nil"/>
              <w:left w:val="nil"/>
              <w:bottom w:val="nil"/>
              <w:right w:val="nil"/>
            </w:tcBorders>
            <w:shd w:val="clear" w:color="000000" w:fill="FFFFFF"/>
            <w:noWrap/>
            <w:vAlign w:val="bottom"/>
            <w:hideMark/>
          </w:tcPr>
          <w:p w:rsidR="002649FB" w:rsidRPr="004A2D37" w:rsidP="004957F6" w14:paraId="009AEC6F" w14:textId="77777777">
            <w:pPr>
              <w:jc w:val="right"/>
              <w:rPr>
                <w:sz w:val="16"/>
                <w:szCs w:val="16"/>
              </w:rPr>
            </w:pPr>
            <w:r>
              <w:rPr>
                <w:sz w:val="16"/>
                <w:szCs w:val="16"/>
              </w:rPr>
              <w:t xml:space="preserve"> </w:t>
            </w:r>
            <w:r w:rsidRPr="004A2D37">
              <w:rPr>
                <w:sz w:val="16"/>
                <w:szCs w:val="16"/>
              </w:rPr>
              <w:t>(675)</w:t>
            </w:r>
          </w:p>
        </w:tc>
        <w:tc>
          <w:tcPr>
            <w:tcW w:w="1434" w:type="dxa"/>
            <w:tcBorders>
              <w:top w:val="nil"/>
              <w:left w:val="nil"/>
              <w:bottom w:val="nil"/>
              <w:right w:val="nil"/>
            </w:tcBorders>
            <w:shd w:val="clear" w:color="000000" w:fill="FFFFFF"/>
            <w:noWrap/>
            <w:vAlign w:val="bottom"/>
            <w:hideMark/>
          </w:tcPr>
          <w:p w:rsidR="002649FB" w:rsidRPr="004A2D37" w:rsidP="004957F6" w14:paraId="526D1565" w14:textId="77777777">
            <w:pPr>
              <w:jc w:val="right"/>
              <w:rPr>
                <w:sz w:val="16"/>
                <w:szCs w:val="16"/>
              </w:rPr>
            </w:pPr>
            <w:r>
              <w:rPr>
                <w:sz w:val="16"/>
                <w:szCs w:val="16"/>
              </w:rPr>
              <w:t xml:space="preserve"> </w:t>
            </w:r>
            <w:r w:rsidRPr="004A2D37">
              <w:rPr>
                <w:sz w:val="16"/>
                <w:szCs w:val="16"/>
              </w:rPr>
              <w:t>(675)</w:t>
            </w:r>
          </w:p>
        </w:tc>
      </w:tr>
      <w:tr w14:paraId="7C761422" w14:textId="77777777" w:rsidTr="001410DA">
        <w:tblPrEx>
          <w:tblW w:w="5000" w:type="pct"/>
          <w:tblInd w:w="-90" w:type="dxa"/>
          <w:tblLayout w:type="fixed"/>
          <w:tblLook w:val="04A0"/>
        </w:tblPrEx>
        <w:trPr>
          <w:trHeight w:val="171"/>
        </w:trPr>
        <w:tc>
          <w:tcPr>
            <w:tcW w:w="4950" w:type="dxa"/>
            <w:tcBorders>
              <w:top w:val="nil"/>
              <w:left w:val="nil"/>
              <w:bottom w:val="nil"/>
              <w:right w:val="nil"/>
            </w:tcBorders>
            <w:shd w:val="clear" w:color="000000" w:fill="FFFFFF"/>
            <w:noWrap/>
            <w:vAlign w:val="bottom"/>
            <w:hideMark/>
          </w:tcPr>
          <w:p w:rsidR="002649FB" w:rsidRPr="004A2D37" w:rsidP="001410DA" w14:paraId="09C2C60D" w14:textId="77777777">
            <w:pPr>
              <w:ind w:firstLine="560" w:firstLineChars="350"/>
              <w:rPr>
                <w:sz w:val="16"/>
                <w:szCs w:val="16"/>
              </w:rPr>
            </w:pPr>
            <w:r w:rsidRPr="004A2D37">
              <w:rPr>
                <w:sz w:val="16"/>
                <w:szCs w:val="16"/>
              </w:rPr>
              <w:t>Other assets</w:t>
            </w:r>
          </w:p>
        </w:tc>
        <w:tc>
          <w:tcPr>
            <w:tcW w:w="1542" w:type="dxa"/>
            <w:tcBorders>
              <w:top w:val="nil"/>
              <w:left w:val="nil"/>
              <w:bottom w:val="nil"/>
              <w:right w:val="nil"/>
            </w:tcBorders>
            <w:shd w:val="clear" w:color="000000" w:fill="FFFFFF"/>
            <w:noWrap/>
            <w:vAlign w:val="bottom"/>
            <w:hideMark/>
          </w:tcPr>
          <w:p w:rsidR="002649FB" w:rsidRPr="004A2D37" w:rsidP="004957F6" w14:paraId="1034928E" w14:textId="77777777">
            <w:pPr>
              <w:jc w:val="right"/>
              <w:rPr>
                <w:sz w:val="16"/>
                <w:szCs w:val="16"/>
              </w:rPr>
            </w:pPr>
            <w:r>
              <w:rPr>
                <w:sz w:val="16"/>
                <w:szCs w:val="16"/>
              </w:rPr>
              <w:t xml:space="preserve"> </w:t>
            </w:r>
            <w:r w:rsidRPr="004A2D37">
              <w:rPr>
                <w:sz w:val="16"/>
                <w:szCs w:val="16"/>
              </w:rPr>
              <w:t xml:space="preserve">1,622 </w:t>
            </w:r>
          </w:p>
        </w:tc>
        <w:tc>
          <w:tcPr>
            <w:tcW w:w="1434" w:type="dxa"/>
            <w:tcBorders>
              <w:top w:val="nil"/>
              <w:left w:val="nil"/>
              <w:bottom w:val="nil"/>
              <w:right w:val="nil"/>
            </w:tcBorders>
            <w:shd w:val="clear" w:color="000000" w:fill="FFFFFF"/>
            <w:noWrap/>
            <w:vAlign w:val="bottom"/>
            <w:hideMark/>
          </w:tcPr>
          <w:p w:rsidR="002649FB" w:rsidRPr="004A2D37" w:rsidP="004957F6" w14:paraId="4BE6FD0B" w14:textId="77777777">
            <w:pPr>
              <w:jc w:val="right"/>
              <w:rPr>
                <w:sz w:val="16"/>
                <w:szCs w:val="16"/>
              </w:rPr>
            </w:pPr>
            <w:r>
              <w:rPr>
                <w:sz w:val="16"/>
                <w:szCs w:val="16"/>
              </w:rPr>
              <w:t xml:space="preserve"> </w:t>
            </w:r>
            <w:r w:rsidRPr="004A2D37">
              <w:rPr>
                <w:sz w:val="16"/>
                <w:szCs w:val="16"/>
              </w:rPr>
              <w:t xml:space="preserve">5,000 </w:t>
            </w:r>
          </w:p>
        </w:tc>
        <w:tc>
          <w:tcPr>
            <w:tcW w:w="1434" w:type="dxa"/>
            <w:tcBorders>
              <w:top w:val="nil"/>
              <w:left w:val="nil"/>
              <w:bottom w:val="nil"/>
              <w:right w:val="nil"/>
            </w:tcBorders>
            <w:shd w:val="clear" w:color="000000" w:fill="FFFFFF"/>
            <w:noWrap/>
            <w:vAlign w:val="bottom"/>
            <w:hideMark/>
          </w:tcPr>
          <w:p w:rsidR="002649FB" w:rsidRPr="004A2D37" w:rsidP="004957F6" w14:paraId="77867652" w14:textId="77777777">
            <w:pPr>
              <w:jc w:val="right"/>
              <w:rPr>
                <w:sz w:val="16"/>
                <w:szCs w:val="16"/>
              </w:rPr>
            </w:pPr>
            <w:r>
              <w:rPr>
                <w:sz w:val="16"/>
                <w:szCs w:val="16"/>
              </w:rPr>
              <w:t xml:space="preserve"> </w:t>
            </w:r>
            <w:r w:rsidRPr="004A2D37">
              <w:rPr>
                <w:sz w:val="16"/>
                <w:szCs w:val="16"/>
              </w:rPr>
              <w:t xml:space="preserve">6,622 </w:t>
            </w:r>
          </w:p>
        </w:tc>
      </w:tr>
      <w:tr w14:paraId="2779FFA1" w14:textId="77777777" w:rsidTr="00347F96">
        <w:tblPrEx>
          <w:tblW w:w="5000" w:type="pct"/>
          <w:tblInd w:w="-90" w:type="dxa"/>
          <w:tblLayout w:type="fixed"/>
          <w:tblLook w:val="04A0"/>
        </w:tblPrEx>
        <w:trPr>
          <w:trHeight w:val="333"/>
        </w:trPr>
        <w:tc>
          <w:tcPr>
            <w:tcW w:w="4950" w:type="dxa"/>
            <w:tcBorders>
              <w:top w:val="nil"/>
              <w:left w:val="nil"/>
              <w:bottom w:val="nil"/>
              <w:right w:val="nil"/>
            </w:tcBorders>
            <w:shd w:val="clear" w:color="000000" w:fill="FFFFFF"/>
            <w:noWrap/>
            <w:vAlign w:val="bottom"/>
            <w:hideMark/>
          </w:tcPr>
          <w:p w:rsidR="002649FB" w:rsidRPr="004A2D37" w:rsidP="001772DD" w14:paraId="58EF4F5E" w14:textId="77777777">
            <w:pPr>
              <w:ind w:firstLine="320" w:firstLineChars="200"/>
              <w:rPr>
                <w:b/>
                <w:bCs/>
                <w:sz w:val="16"/>
                <w:szCs w:val="16"/>
              </w:rPr>
            </w:pPr>
            <w:r w:rsidRPr="004A2D37">
              <w:rPr>
                <w:b/>
                <w:bCs/>
                <w:sz w:val="16"/>
                <w:szCs w:val="16"/>
              </w:rPr>
              <w:t>(Increase)/Decrease in Liabilities not affecting Budget Outlays:</w:t>
            </w:r>
          </w:p>
        </w:tc>
        <w:tc>
          <w:tcPr>
            <w:tcW w:w="1542" w:type="dxa"/>
            <w:tcBorders>
              <w:top w:val="nil"/>
              <w:left w:val="nil"/>
              <w:bottom w:val="nil"/>
              <w:right w:val="nil"/>
            </w:tcBorders>
            <w:shd w:val="clear" w:color="000000" w:fill="FFFFFF"/>
            <w:noWrap/>
            <w:vAlign w:val="bottom"/>
            <w:hideMark/>
          </w:tcPr>
          <w:p w:rsidR="002649FB" w:rsidRPr="004A2D37" w:rsidP="004957F6" w14:paraId="6FC49C17"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64A5217A"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2E0240BB" w14:textId="77777777">
            <w:pPr>
              <w:jc w:val="right"/>
              <w:rPr>
                <w:sz w:val="16"/>
                <w:szCs w:val="16"/>
              </w:rPr>
            </w:pPr>
            <w:r w:rsidRPr="004A2D37">
              <w:rPr>
                <w:sz w:val="16"/>
                <w:szCs w:val="16"/>
              </w:rPr>
              <w:t> </w:t>
            </w:r>
          </w:p>
        </w:tc>
      </w:tr>
      <w:tr w14:paraId="23F6A899" w14:textId="77777777" w:rsidTr="000E7BEB">
        <w:tblPrEx>
          <w:tblW w:w="5000" w:type="pct"/>
          <w:tblInd w:w="-90" w:type="dxa"/>
          <w:tblLayout w:type="fixed"/>
          <w:tblLook w:val="04A0"/>
        </w:tblPrEx>
        <w:trPr>
          <w:trHeight w:val="276"/>
        </w:trPr>
        <w:tc>
          <w:tcPr>
            <w:tcW w:w="4950" w:type="dxa"/>
            <w:tcBorders>
              <w:top w:val="nil"/>
              <w:left w:val="nil"/>
              <w:bottom w:val="nil"/>
              <w:right w:val="nil"/>
            </w:tcBorders>
            <w:shd w:val="clear" w:color="000000" w:fill="FFFFFF"/>
            <w:noWrap/>
            <w:vAlign w:val="bottom"/>
            <w:hideMark/>
          </w:tcPr>
          <w:p w:rsidR="002649FB" w:rsidRPr="004A2D37" w:rsidP="001410DA" w14:paraId="0E509816" w14:textId="77777777">
            <w:pPr>
              <w:ind w:firstLine="560" w:firstLineChars="350"/>
              <w:rPr>
                <w:sz w:val="16"/>
                <w:szCs w:val="16"/>
              </w:rPr>
            </w:pPr>
            <w:r w:rsidRPr="004A2D37">
              <w:rPr>
                <w:sz w:val="16"/>
                <w:szCs w:val="16"/>
              </w:rPr>
              <w:t>Accounts payable</w:t>
            </w:r>
          </w:p>
        </w:tc>
        <w:tc>
          <w:tcPr>
            <w:tcW w:w="1542" w:type="dxa"/>
            <w:tcBorders>
              <w:top w:val="nil"/>
              <w:left w:val="nil"/>
              <w:bottom w:val="nil"/>
              <w:right w:val="nil"/>
            </w:tcBorders>
            <w:shd w:val="clear" w:color="000000" w:fill="FFFFFF"/>
            <w:noWrap/>
            <w:vAlign w:val="bottom"/>
            <w:hideMark/>
          </w:tcPr>
          <w:p w:rsidR="002649FB" w:rsidRPr="004A2D37" w:rsidP="004957F6" w14:paraId="44E73A3E" w14:textId="77777777">
            <w:pPr>
              <w:jc w:val="right"/>
              <w:rPr>
                <w:sz w:val="16"/>
                <w:szCs w:val="16"/>
              </w:rPr>
            </w:pPr>
            <w:r>
              <w:rPr>
                <w:sz w:val="16"/>
                <w:szCs w:val="16"/>
              </w:rPr>
              <w:t xml:space="preserve"> </w:t>
            </w:r>
            <w:r w:rsidRPr="004A2D37">
              <w:rPr>
                <w:sz w:val="16"/>
                <w:szCs w:val="16"/>
              </w:rPr>
              <w:t>(9,712)</w:t>
            </w:r>
          </w:p>
        </w:tc>
        <w:tc>
          <w:tcPr>
            <w:tcW w:w="1434" w:type="dxa"/>
            <w:tcBorders>
              <w:top w:val="nil"/>
              <w:left w:val="nil"/>
              <w:bottom w:val="nil"/>
              <w:right w:val="nil"/>
            </w:tcBorders>
            <w:shd w:val="clear" w:color="000000" w:fill="FFFFFF"/>
            <w:noWrap/>
            <w:vAlign w:val="bottom"/>
            <w:hideMark/>
          </w:tcPr>
          <w:p w:rsidR="002649FB" w:rsidRPr="004A2D37" w:rsidP="004957F6" w14:paraId="75B2237A" w14:textId="77777777">
            <w:pPr>
              <w:jc w:val="right"/>
              <w:rPr>
                <w:sz w:val="16"/>
                <w:szCs w:val="16"/>
              </w:rPr>
            </w:pPr>
            <w:r>
              <w:rPr>
                <w:sz w:val="16"/>
                <w:szCs w:val="16"/>
              </w:rPr>
              <w:t xml:space="preserve"> </w:t>
            </w:r>
            <w:r w:rsidRPr="004A2D37">
              <w:rPr>
                <w:sz w:val="16"/>
                <w:szCs w:val="16"/>
              </w:rPr>
              <w:t>(130,520)</w:t>
            </w:r>
          </w:p>
        </w:tc>
        <w:tc>
          <w:tcPr>
            <w:tcW w:w="1434" w:type="dxa"/>
            <w:tcBorders>
              <w:top w:val="nil"/>
              <w:left w:val="nil"/>
              <w:bottom w:val="nil"/>
              <w:right w:val="nil"/>
            </w:tcBorders>
            <w:shd w:val="clear" w:color="000000" w:fill="FFFFFF"/>
            <w:noWrap/>
            <w:vAlign w:val="bottom"/>
            <w:hideMark/>
          </w:tcPr>
          <w:p w:rsidR="002649FB" w:rsidRPr="004A2D37" w:rsidP="004957F6" w14:paraId="4E08000C" w14:textId="77777777">
            <w:pPr>
              <w:jc w:val="right"/>
              <w:rPr>
                <w:sz w:val="16"/>
                <w:szCs w:val="16"/>
              </w:rPr>
            </w:pPr>
            <w:r>
              <w:rPr>
                <w:sz w:val="16"/>
                <w:szCs w:val="16"/>
              </w:rPr>
              <w:t xml:space="preserve"> </w:t>
            </w:r>
            <w:r w:rsidRPr="004A2D37">
              <w:rPr>
                <w:sz w:val="16"/>
                <w:szCs w:val="16"/>
              </w:rPr>
              <w:t>(140,232)</w:t>
            </w:r>
          </w:p>
        </w:tc>
      </w:tr>
      <w:tr w14:paraId="4133A33A" w14:textId="77777777" w:rsidTr="001410DA">
        <w:tblPrEx>
          <w:tblW w:w="5000" w:type="pct"/>
          <w:tblInd w:w="-90" w:type="dxa"/>
          <w:tblLayout w:type="fixed"/>
          <w:tblLook w:val="04A0"/>
        </w:tblPrEx>
        <w:trPr>
          <w:trHeight w:val="189"/>
        </w:trPr>
        <w:tc>
          <w:tcPr>
            <w:tcW w:w="4950" w:type="dxa"/>
            <w:tcBorders>
              <w:top w:val="nil"/>
              <w:left w:val="nil"/>
              <w:bottom w:val="nil"/>
              <w:right w:val="nil"/>
            </w:tcBorders>
            <w:shd w:val="clear" w:color="000000" w:fill="FFFFFF"/>
            <w:noWrap/>
            <w:vAlign w:val="bottom"/>
            <w:hideMark/>
          </w:tcPr>
          <w:p w:rsidR="002649FB" w:rsidRPr="004A2D37" w:rsidP="001410DA" w14:paraId="48AEC010" w14:textId="77777777">
            <w:pPr>
              <w:ind w:firstLine="560" w:firstLineChars="350"/>
              <w:rPr>
                <w:sz w:val="16"/>
                <w:szCs w:val="16"/>
              </w:rPr>
            </w:pPr>
            <w:r w:rsidRPr="004A2D37">
              <w:rPr>
                <w:sz w:val="16"/>
                <w:szCs w:val="16"/>
              </w:rPr>
              <w:t xml:space="preserve">Salaries and benefits </w:t>
            </w:r>
          </w:p>
        </w:tc>
        <w:tc>
          <w:tcPr>
            <w:tcW w:w="1542" w:type="dxa"/>
            <w:tcBorders>
              <w:top w:val="nil"/>
              <w:left w:val="nil"/>
              <w:bottom w:val="nil"/>
              <w:right w:val="nil"/>
            </w:tcBorders>
            <w:shd w:val="clear" w:color="000000" w:fill="FFFFFF"/>
            <w:noWrap/>
            <w:vAlign w:val="bottom"/>
            <w:hideMark/>
          </w:tcPr>
          <w:p w:rsidR="002649FB" w:rsidRPr="004A2D37" w:rsidP="004957F6" w14:paraId="730AEE6A" w14:textId="77777777">
            <w:pPr>
              <w:jc w:val="right"/>
              <w:rPr>
                <w:sz w:val="16"/>
                <w:szCs w:val="16"/>
              </w:rPr>
            </w:pPr>
            <w:r>
              <w:rPr>
                <w:sz w:val="16"/>
                <w:szCs w:val="16"/>
              </w:rPr>
              <w:t xml:space="preserve"> </w:t>
            </w:r>
            <w:r w:rsidRPr="004A2D37">
              <w:rPr>
                <w:sz w:val="16"/>
                <w:szCs w:val="16"/>
              </w:rPr>
              <w:t>(402)</w:t>
            </w:r>
          </w:p>
        </w:tc>
        <w:tc>
          <w:tcPr>
            <w:tcW w:w="1434" w:type="dxa"/>
            <w:tcBorders>
              <w:top w:val="nil"/>
              <w:left w:val="nil"/>
              <w:bottom w:val="nil"/>
              <w:right w:val="nil"/>
            </w:tcBorders>
            <w:shd w:val="clear" w:color="000000" w:fill="FFFFFF"/>
            <w:noWrap/>
            <w:vAlign w:val="bottom"/>
            <w:hideMark/>
          </w:tcPr>
          <w:p w:rsidR="002649FB" w:rsidRPr="004A2D37" w:rsidP="004957F6" w14:paraId="05695917" w14:textId="77777777">
            <w:pPr>
              <w:jc w:val="right"/>
              <w:rPr>
                <w:sz w:val="16"/>
                <w:szCs w:val="16"/>
              </w:rPr>
            </w:pPr>
            <w:r>
              <w:rPr>
                <w:sz w:val="16"/>
                <w:szCs w:val="16"/>
              </w:rPr>
              <w:t xml:space="preserve"> </w:t>
            </w:r>
            <w:r w:rsidRPr="004A2D37">
              <w:rPr>
                <w:sz w:val="16"/>
                <w:szCs w:val="16"/>
              </w:rPr>
              <w:t>(1,386)</w:t>
            </w:r>
          </w:p>
        </w:tc>
        <w:tc>
          <w:tcPr>
            <w:tcW w:w="1434" w:type="dxa"/>
            <w:tcBorders>
              <w:top w:val="nil"/>
              <w:left w:val="nil"/>
              <w:bottom w:val="nil"/>
              <w:right w:val="nil"/>
            </w:tcBorders>
            <w:shd w:val="clear" w:color="000000" w:fill="FFFFFF"/>
            <w:noWrap/>
            <w:vAlign w:val="bottom"/>
            <w:hideMark/>
          </w:tcPr>
          <w:p w:rsidR="002649FB" w:rsidRPr="004A2D37" w:rsidP="004957F6" w14:paraId="358B6F25" w14:textId="77777777">
            <w:pPr>
              <w:jc w:val="right"/>
              <w:rPr>
                <w:sz w:val="16"/>
                <w:szCs w:val="16"/>
              </w:rPr>
            </w:pPr>
            <w:r>
              <w:rPr>
                <w:sz w:val="16"/>
                <w:szCs w:val="16"/>
              </w:rPr>
              <w:t xml:space="preserve"> </w:t>
            </w:r>
            <w:r w:rsidRPr="004A2D37">
              <w:rPr>
                <w:sz w:val="16"/>
                <w:szCs w:val="16"/>
              </w:rPr>
              <w:t>(1,788)</w:t>
            </w:r>
          </w:p>
        </w:tc>
      </w:tr>
      <w:tr w14:paraId="4642FEF3" w14:textId="77777777" w:rsidTr="000E7BEB">
        <w:tblPrEx>
          <w:tblW w:w="5000" w:type="pct"/>
          <w:tblInd w:w="-90" w:type="dxa"/>
          <w:tblLayout w:type="fixed"/>
          <w:tblLook w:val="04A0"/>
        </w:tblPrEx>
        <w:trPr>
          <w:trHeight w:val="276"/>
        </w:trPr>
        <w:tc>
          <w:tcPr>
            <w:tcW w:w="4950" w:type="dxa"/>
            <w:tcBorders>
              <w:top w:val="nil"/>
              <w:left w:val="nil"/>
              <w:bottom w:val="nil"/>
              <w:right w:val="nil"/>
            </w:tcBorders>
            <w:shd w:val="clear" w:color="000000" w:fill="FFFFFF"/>
            <w:noWrap/>
            <w:vAlign w:val="bottom"/>
            <w:hideMark/>
          </w:tcPr>
          <w:p w:rsidR="002649FB" w:rsidRPr="004A2D37" w:rsidP="001410DA" w14:paraId="7509B82A" w14:textId="77777777">
            <w:pPr>
              <w:ind w:left="576"/>
              <w:rPr>
                <w:sz w:val="16"/>
                <w:szCs w:val="16"/>
              </w:rPr>
            </w:pPr>
            <w:r w:rsidRPr="004A2D37">
              <w:rPr>
                <w:sz w:val="16"/>
                <w:szCs w:val="16"/>
              </w:rPr>
              <w:t>Other liabilities (Unfunded leave, unfunded FECA, actuarial FECA)</w:t>
            </w:r>
          </w:p>
        </w:tc>
        <w:tc>
          <w:tcPr>
            <w:tcW w:w="1542" w:type="dxa"/>
            <w:tcBorders>
              <w:top w:val="nil"/>
              <w:left w:val="nil"/>
              <w:bottom w:val="nil"/>
              <w:right w:val="nil"/>
            </w:tcBorders>
            <w:shd w:val="clear" w:color="000000" w:fill="FFFFFF"/>
            <w:noWrap/>
            <w:vAlign w:val="bottom"/>
            <w:hideMark/>
          </w:tcPr>
          <w:p w:rsidR="002649FB" w:rsidRPr="004A2D37" w:rsidP="004957F6" w14:paraId="10EB2A22" w14:textId="77777777">
            <w:pPr>
              <w:jc w:val="right"/>
              <w:rPr>
                <w:sz w:val="16"/>
                <w:szCs w:val="16"/>
              </w:rPr>
            </w:pPr>
            <w:r>
              <w:rPr>
                <w:sz w:val="16"/>
                <w:szCs w:val="16"/>
              </w:rPr>
              <w:t xml:space="preserve"> </w:t>
            </w:r>
            <w:r w:rsidRPr="004A2D37">
              <w:rPr>
                <w:sz w:val="16"/>
                <w:szCs w:val="16"/>
              </w:rPr>
              <w:t xml:space="preserve">62 </w:t>
            </w:r>
          </w:p>
        </w:tc>
        <w:tc>
          <w:tcPr>
            <w:tcW w:w="1434" w:type="dxa"/>
            <w:tcBorders>
              <w:top w:val="nil"/>
              <w:left w:val="nil"/>
              <w:bottom w:val="nil"/>
              <w:right w:val="nil"/>
            </w:tcBorders>
            <w:shd w:val="clear" w:color="000000" w:fill="FFFFFF"/>
            <w:noWrap/>
            <w:vAlign w:val="bottom"/>
            <w:hideMark/>
          </w:tcPr>
          <w:p w:rsidR="002649FB" w:rsidRPr="004A2D37" w:rsidP="004957F6" w14:paraId="28BC0C08" w14:textId="77777777">
            <w:pPr>
              <w:jc w:val="right"/>
              <w:rPr>
                <w:sz w:val="16"/>
                <w:szCs w:val="16"/>
              </w:rPr>
            </w:pPr>
            <w:r>
              <w:rPr>
                <w:sz w:val="16"/>
                <w:szCs w:val="16"/>
              </w:rPr>
              <w:t xml:space="preserve"> </w:t>
            </w:r>
            <w:r w:rsidRPr="004A2D37">
              <w:rPr>
                <w:sz w:val="16"/>
                <w:szCs w:val="16"/>
              </w:rPr>
              <w:t xml:space="preserve">2,361 </w:t>
            </w:r>
          </w:p>
        </w:tc>
        <w:tc>
          <w:tcPr>
            <w:tcW w:w="1434" w:type="dxa"/>
            <w:tcBorders>
              <w:top w:val="nil"/>
              <w:left w:val="nil"/>
              <w:bottom w:val="nil"/>
              <w:right w:val="nil"/>
            </w:tcBorders>
            <w:shd w:val="clear" w:color="000000" w:fill="FFFFFF"/>
            <w:noWrap/>
            <w:vAlign w:val="bottom"/>
            <w:hideMark/>
          </w:tcPr>
          <w:p w:rsidR="002649FB" w:rsidRPr="004A2D37" w:rsidP="004957F6" w14:paraId="512652CA" w14:textId="77777777">
            <w:pPr>
              <w:jc w:val="right"/>
              <w:rPr>
                <w:sz w:val="16"/>
                <w:szCs w:val="16"/>
              </w:rPr>
            </w:pPr>
            <w:r>
              <w:rPr>
                <w:sz w:val="16"/>
                <w:szCs w:val="16"/>
              </w:rPr>
              <w:t xml:space="preserve"> </w:t>
            </w:r>
            <w:r w:rsidRPr="004A2D37">
              <w:rPr>
                <w:sz w:val="16"/>
                <w:szCs w:val="16"/>
              </w:rPr>
              <w:t xml:space="preserve">2,423 </w:t>
            </w:r>
          </w:p>
        </w:tc>
      </w:tr>
      <w:tr w14:paraId="0E2F4563" w14:textId="77777777" w:rsidTr="00347F96">
        <w:tblPrEx>
          <w:tblW w:w="5000" w:type="pct"/>
          <w:tblInd w:w="-90" w:type="dxa"/>
          <w:tblLayout w:type="fixed"/>
          <w:tblLook w:val="04A0"/>
        </w:tblPrEx>
        <w:trPr>
          <w:trHeight w:val="333"/>
        </w:trPr>
        <w:tc>
          <w:tcPr>
            <w:tcW w:w="4950" w:type="dxa"/>
            <w:tcBorders>
              <w:top w:val="nil"/>
              <w:left w:val="nil"/>
              <w:bottom w:val="nil"/>
              <w:right w:val="nil"/>
            </w:tcBorders>
            <w:shd w:val="clear" w:color="000000" w:fill="FFFFFF"/>
            <w:noWrap/>
            <w:vAlign w:val="bottom"/>
            <w:hideMark/>
          </w:tcPr>
          <w:p w:rsidR="002649FB" w:rsidRPr="004A2D37" w:rsidP="001410DA" w14:paraId="133B9BE1" w14:textId="77777777">
            <w:pPr>
              <w:ind w:firstLine="320" w:firstLineChars="200"/>
              <w:rPr>
                <w:b/>
                <w:bCs/>
                <w:sz w:val="16"/>
                <w:szCs w:val="16"/>
              </w:rPr>
            </w:pPr>
            <w:r w:rsidRPr="004A2D37">
              <w:rPr>
                <w:b/>
                <w:bCs/>
                <w:sz w:val="16"/>
                <w:szCs w:val="16"/>
              </w:rPr>
              <w:t>Other financing sources:</w:t>
            </w:r>
          </w:p>
        </w:tc>
        <w:tc>
          <w:tcPr>
            <w:tcW w:w="1542" w:type="dxa"/>
            <w:tcBorders>
              <w:top w:val="nil"/>
              <w:left w:val="nil"/>
              <w:bottom w:val="nil"/>
              <w:right w:val="nil"/>
            </w:tcBorders>
            <w:shd w:val="clear" w:color="000000" w:fill="FFFFFF"/>
            <w:noWrap/>
            <w:vAlign w:val="bottom"/>
            <w:hideMark/>
          </w:tcPr>
          <w:p w:rsidR="002649FB" w:rsidRPr="004A2D37" w:rsidP="004957F6" w14:paraId="70D7B3EB"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1E1E2C85"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069E9E65" w14:textId="77777777">
            <w:pPr>
              <w:jc w:val="right"/>
              <w:rPr>
                <w:sz w:val="16"/>
                <w:szCs w:val="16"/>
              </w:rPr>
            </w:pPr>
            <w:r w:rsidRPr="004A2D37">
              <w:rPr>
                <w:sz w:val="16"/>
                <w:szCs w:val="16"/>
              </w:rPr>
              <w:t> </w:t>
            </w:r>
          </w:p>
        </w:tc>
      </w:tr>
      <w:tr w14:paraId="48A2624E" w14:textId="77777777" w:rsidTr="000E7BEB">
        <w:tblPrEx>
          <w:tblW w:w="5000" w:type="pct"/>
          <w:tblInd w:w="-90" w:type="dxa"/>
          <w:tblLayout w:type="fixed"/>
          <w:tblLook w:val="04A0"/>
        </w:tblPrEx>
        <w:trPr>
          <w:trHeight w:val="276"/>
        </w:trPr>
        <w:tc>
          <w:tcPr>
            <w:tcW w:w="4950" w:type="dxa"/>
            <w:tcBorders>
              <w:top w:val="nil"/>
              <w:left w:val="nil"/>
              <w:bottom w:val="nil"/>
              <w:right w:val="nil"/>
            </w:tcBorders>
            <w:shd w:val="clear" w:color="000000" w:fill="FFFFFF"/>
            <w:vAlign w:val="bottom"/>
            <w:hideMark/>
          </w:tcPr>
          <w:p w:rsidR="002649FB" w:rsidRPr="004A2D37" w:rsidP="000E7BEB" w14:paraId="46859F63" w14:textId="77777777">
            <w:pPr>
              <w:ind w:left="576"/>
              <w:rPr>
                <w:sz w:val="16"/>
                <w:szCs w:val="16"/>
              </w:rPr>
            </w:pPr>
            <w:r w:rsidRPr="004A2D37">
              <w:rPr>
                <w:sz w:val="16"/>
                <w:szCs w:val="16"/>
              </w:rPr>
              <w:t>Federal employee retirement benefit costs paid by OPM &amp; imputed to agency</w:t>
            </w:r>
          </w:p>
        </w:tc>
        <w:tc>
          <w:tcPr>
            <w:tcW w:w="1542" w:type="dxa"/>
            <w:tcBorders>
              <w:top w:val="nil"/>
              <w:left w:val="nil"/>
              <w:bottom w:val="nil"/>
              <w:right w:val="nil"/>
            </w:tcBorders>
            <w:shd w:val="clear" w:color="000000" w:fill="FFFFFF"/>
            <w:noWrap/>
            <w:vAlign w:val="bottom"/>
            <w:hideMark/>
          </w:tcPr>
          <w:p w:rsidR="002649FB" w:rsidRPr="004A2D37" w:rsidP="004957F6" w14:paraId="0F406A31" w14:textId="77777777">
            <w:pPr>
              <w:ind w:left="-138"/>
              <w:jc w:val="right"/>
              <w:rPr>
                <w:sz w:val="16"/>
                <w:szCs w:val="16"/>
              </w:rPr>
            </w:pPr>
            <w:r>
              <w:rPr>
                <w:sz w:val="16"/>
                <w:szCs w:val="16"/>
              </w:rPr>
              <w:t xml:space="preserve"> </w:t>
            </w:r>
            <w:r w:rsidRPr="004A2D37">
              <w:rPr>
                <w:sz w:val="16"/>
                <w:szCs w:val="16"/>
              </w:rPr>
              <w:t>(11,670)</w:t>
            </w:r>
          </w:p>
        </w:tc>
        <w:tc>
          <w:tcPr>
            <w:tcW w:w="1434" w:type="dxa"/>
            <w:tcBorders>
              <w:top w:val="nil"/>
              <w:left w:val="nil"/>
              <w:bottom w:val="nil"/>
              <w:right w:val="nil"/>
            </w:tcBorders>
            <w:shd w:val="clear" w:color="000000" w:fill="FFFFFF"/>
            <w:noWrap/>
            <w:vAlign w:val="bottom"/>
            <w:hideMark/>
          </w:tcPr>
          <w:p w:rsidR="002649FB" w:rsidRPr="004A2D37" w:rsidP="004957F6" w14:paraId="35368962" w14:textId="77777777">
            <w:pPr>
              <w:ind w:left="-120"/>
              <w:jc w:val="right"/>
              <w:rPr>
                <w:sz w:val="16"/>
                <w:szCs w:val="16"/>
              </w:rPr>
            </w:pPr>
            <w:r>
              <w:rPr>
                <w:sz w:val="16"/>
                <w:szCs w:val="16"/>
              </w:rPr>
              <w:t xml:space="preserve"> </w:t>
            </w:r>
            <w:r w:rsidRPr="004A2D37">
              <w:rPr>
                <w:sz w:val="16"/>
                <w:szCs w:val="16"/>
              </w:rPr>
              <w:t xml:space="preserve">- </w:t>
            </w:r>
          </w:p>
        </w:tc>
        <w:tc>
          <w:tcPr>
            <w:tcW w:w="1434" w:type="dxa"/>
            <w:tcBorders>
              <w:top w:val="nil"/>
              <w:left w:val="nil"/>
              <w:bottom w:val="nil"/>
              <w:right w:val="nil"/>
            </w:tcBorders>
            <w:shd w:val="clear" w:color="000000" w:fill="FFFFFF"/>
            <w:noWrap/>
            <w:vAlign w:val="bottom"/>
            <w:hideMark/>
          </w:tcPr>
          <w:p w:rsidR="002649FB" w:rsidRPr="004A2D37" w:rsidP="004957F6" w14:paraId="08413532" w14:textId="77777777">
            <w:pPr>
              <w:jc w:val="right"/>
              <w:rPr>
                <w:sz w:val="16"/>
                <w:szCs w:val="16"/>
              </w:rPr>
            </w:pPr>
            <w:r>
              <w:rPr>
                <w:sz w:val="16"/>
                <w:szCs w:val="16"/>
              </w:rPr>
              <w:t xml:space="preserve"> </w:t>
            </w:r>
            <w:r w:rsidRPr="004A2D37">
              <w:rPr>
                <w:sz w:val="16"/>
                <w:szCs w:val="16"/>
              </w:rPr>
              <w:t>(11,670)</w:t>
            </w:r>
          </w:p>
        </w:tc>
      </w:tr>
      <w:tr w14:paraId="50538D3A" w14:textId="77777777" w:rsidTr="000E7BEB">
        <w:tblPrEx>
          <w:tblW w:w="5000" w:type="pct"/>
          <w:tblInd w:w="-90" w:type="dxa"/>
          <w:tblLayout w:type="fixed"/>
          <w:tblLook w:val="04A0"/>
        </w:tblPrEx>
        <w:trPr>
          <w:trHeight w:val="441"/>
        </w:trPr>
        <w:tc>
          <w:tcPr>
            <w:tcW w:w="4950" w:type="dxa"/>
            <w:tcBorders>
              <w:top w:val="nil"/>
              <w:left w:val="nil"/>
              <w:bottom w:val="nil"/>
              <w:right w:val="nil"/>
            </w:tcBorders>
            <w:shd w:val="clear" w:color="000000" w:fill="FFFFFF"/>
            <w:vAlign w:val="bottom"/>
            <w:hideMark/>
          </w:tcPr>
          <w:p w:rsidR="002649FB" w:rsidRPr="004A2D37" w:rsidP="004957F6" w14:paraId="18A22B72" w14:textId="77777777">
            <w:pPr>
              <w:rPr>
                <w:b/>
                <w:bCs/>
                <w:sz w:val="16"/>
                <w:szCs w:val="16"/>
              </w:rPr>
            </w:pPr>
            <w:r w:rsidRPr="004A2D37">
              <w:rPr>
                <w:b/>
                <w:bCs/>
                <w:sz w:val="16"/>
                <w:szCs w:val="16"/>
              </w:rPr>
              <w:t>Total Components of Net Operating Cost Not Part of the Budget Outlays</w:t>
            </w:r>
          </w:p>
        </w:tc>
        <w:tc>
          <w:tcPr>
            <w:tcW w:w="1542" w:type="dxa"/>
            <w:tcBorders>
              <w:top w:val="nil"/>
              <w:left w:val="nil"/>
              <w:bottom w:val="double" w:sz="6" w:space="0" w:color="auto"/>
              <w:right w:val="nil"/>
            </w:tcBorders>
            <w:shd w:val="clear" w:color="000000" w:fill="FFFFFF"/>
            <w:noWrap/>
            <w:vAlign w:val="bottom"/>
            <w:hideMark/>
          </w:tcPr>
          <w:p w:rsidR="002649FB" w:rsidRPr="004A2D37" w:rsidP="004957F6" w14:paraId="2069777A" w14:textId="461C82AB">
            <w:pPr>
              <w:jc w:val="right"/>
              <w:rPr>
                <w:sz w:val="16"/>
                <w:szCs w:val="16"/>
              </w:rPr>
            </w:pPr>
            <w:r w:rsidRPr="004A2D37">
              <w:rPr>
                <w:sz w:val="16"/>
                <w:szCs w:val="16"/>
              </w:rPr>
              <w:t>$</w:t>
            </w:r>
            <w:r w:rsidR="009649B8">
              <w:rPr>
                <w:sz w:val="16"/>
                <w:szCs w:val="16"/>
              </w:rPr>
              <w:t xml:space="preserve">                </w:t>
            </w:r>
            <w:r>
              <w:rPr>
                <w:sz w:val="16"/>
                <w:szCs w:val="16"/>
              </w:rPr>
              <w:t xml:space="preserve"> </w:t>
            </w:r>
            <w:r w:rsidRPr="004A2D37">
              <w:rPr>
                <w:sz w:val="16"/>
                <w:szCs w:val="16"/>
              </w:rPr>
              <w:t>(20,002)</w:t>
            </w:r>
          </w:p>
        </w:tc>
        <w:tc>
          <w:tcPr>
            <w:tcW w:w="1434" w:type="dxa"/>
            <w:tcBorders>
              <w:top w:val="nil"/>
              <w:left w:val="nil"/>
              <w:bottom w:val="double" w:sz="6" w:space="0" w:color="auto"/>
              <w:right w:val="nil"/>
            </w:tcBorders>
            <w:shd w:val="clear" w:color="000000" w:fill="FFFFFF"/>
            <w:noWrap/>
            <w:vAlign w:val="bottom"/>
            <w:hideMark/>
          </w:tcPr>
          <w:p w:rsidR="002649FB" w:rsidRPr="004A2D37" w:rsidP="004957F6" w14:paraId="09194C9B" w14:textId="4BFF75DE">
            <w:pPr>
              <w:ind w:left="-120"/>
              <w:jc w:val="right"/>
              <w:rPr>
                <w:sz w:val="16"/>
                <w:szCs w:val="16"/>
              </w:rPr>
            </w:pPr>
            <w:r w:rsidRPr="004A2D37">
              <w:rPr>
                <w:sz w:val="16"/>
                <w:szCs w:val="16"/>
              </w:rPr>
              <w:t>$</w:t>
            </w:r>
            <w:r w:rsidR="009649B8">
              <w:rPr>
                <w:sz w:val="16"/>
                <w:szCs w:val="16"/>
              </w:rPr>
              <w:t xml:space="preserve">              </w:t>
            </w:r>
            <w:r>
              <w:rPr>
                <w:sz w:val="16"/>
                <w:szCs w:val="16"/>
              </w:rPr>
              <w:t xml:space="preserve"> </w:t>
            </w:r>
            <w:r w:rsidRPr="004A2D37">
              <w:rPr>
                <w:sz w:val="16"/>
                <w:szCs w:val="16"/>
              </w:rPr>
              <w:t>(127,909)</w:t>
            </w:r>
          </w:p>
        </w:tc>
        <w:tc>
          <w:tcPr>
            <w:tcW w:w="1434" w:type="dxa"/>
            <w:tcBorders>
              <w:top w:val="nil"/>
              <w:left w:val="nil"/>
              <w:bottom w:val="double" w:sz="6" w:space="0" w:color="auto"/>
              <w:right w:val="nil"/>
            </w:tcBorders>
            <w:shd w:val="clear" w:color="000000" w:fill="FFFFFF"/>
            <w:noWrap/>
            <w:vAlign w:val="bottom"/>
            <w:hideMark/>
          </w:tcPr>
          <w:p w:rsidR="002649FB" w:rsidRPr="004A2D37" w:rsidP="004957F6" w14:paraId="2A9C7C26" w14:textId="1D7BEAE6">
            <w:pPr>
              <w:jc w:val="right"/>
              <w:rPr>
                <w:sz w:val="16"/>
                <w:szCs w:val="16"/>
              </w:rPr>
            </w:pPr>
            <w:r w:rsidRPr="004A2D37">
              <w:rPr>
                <w:sz w:val="16"/>
                <w:szCs w:val="16"/>
              </w:rPr>
              <w:t>$</w:t>
            </w:r>
            <w:r w:rsidR="009649B8">
              <w:rPr>
                <w:sz w:val="16"/>
                <w:szCs w:val="16"/>
              </w:rPr>
              <w:t xml:space="preserve">           </w:t>
            </w:r>
            <w:r>
              <w:rPr>
                <w:sz w:val="16"/>
                <w:szCs w:val="16"/>
              </w:rPr>
              <w:t xml:space="preserve"> </w:t>
            </w:r>
            <w:r w:rsidRPr="004A2D37">
              <w:rPr>
                <w:sz w:val="16"/>
                <w:szCs w:val="16"/>
              </w:rPr>
              <w:t>(147,911)</w:t>
            </w:r>
          </w:p>
        </w:tc>
      </w:tr>
      <w:tr w14:paraId="45BC30C3" w14:textId="77777777" w:rsidTr="00A969F1">
        <w:tblPrEx>
          <w:tblW w:w="5000" w:type="pct"/>
          <w:tblInd w:w="-90" w:type="dxa"/>
          <w:tblLayout w:type="fixed"/>
          <w:tblLook w:val="04A0"/>
        </w:tblPrEx>
        <w:trPr>
          <w:trHeight w:val="603"/>
        </w:trPr>
        <w:tc>
          <w:tcPr>
            <w:tcW w:w="4950" w:type="dxa"/>
            <w:tcBorders>
              <w:top w:val="nil"/>
              <w:left w:val="nil"/>
              <w:bottom w:val="nil"/>
              <w:right w:val="nil"/>
            </w:tcBorders>
            <w:shd w:val="clear" w:color="000000" w:fill="FFFFFF"/>
            <w:noWrap/>
            <w:vAlign w:val="bottom"/>
            <w:hideMark/>
          </w:tcPr>
          <w:p w:rsidR="002649FB" w:rsidRPr="004A2D37" w:rsidP="004957F6" w14:paraId="305DD897" w14:textId="77777777">
            <w:pPr>
              <w:rPr>
                <w:b/>
                <w:bCs/>
                <w:sz w:val="16"/>
                <w:szCs w:val="16"/>
              </w:rPr>
            </w:pPr>
            <w:r w:rsidRPr="004A2D37">
              <w:rPr>
                <w:b/>
                <w:bCs/>
                <w:sz w:val="16"/>
                <w:szCs w:val="16"/>
              </w:rPr>
              <w:t>Components of the Budget Outlays That Are Not Part of Net Operating Cost:</w:t>
            </w:r>
          </w:p>
        </w:tc>
        <w:tc>
          <w:tcPr>
            <w:tcW w:w="1542" w:type="dxa"/>
            <w:tcBorders>
              <w:top w:val="nil"/>
              <w:left w:val="nil"/>
              <w:bottom w:val="nil"/>
              <w:right w:val="nil"/>
            </w:tcBorders>
            <w:shd w:val="clear" w:color="000000" w:fill="FFFFFF"/>
            <w:noWrap/>
            <w:vAlign w:val="bottom"/>
            <w:hideMark/>
          </w:tcPr>
          <w:p w:rsidR="002649FB" w:rsidRPr="004A2D37" w:rsidP="004957F6" w14:paraId="1B4AEFA0"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24D78DA4"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7C618F1C" w14:textId="77777777">
            <w:pPr>
              <w:jc w:val="right"/>
              <w:rPr>
                <w:sz w:val="16"/>
                <w:szCs w:val="16"/>
              </w:rPr>
            </w:pPr>
            <w:r w:rsidRPr="004A2D37">
              <w:rPr>
                <w:sz w:val="16"/>
                <w:szCs w:val="16"/>
              </w:rPr>
              <w:t> </w:t>
            </w:r>
          </w:p>
        </w:tc>
      </w:tr>
      <w:tr w14:paraId="6295A007" w14:textId="77777777" w:rsidTr="00A969F1">
        <w:tblPrEx>
          <w:tblW w:w="5000" w:type="pct"/>
          <w:tblInd w:w="-90" w:type="dxa"/>
          <w:tblLayout w:type="fixed"/>
          <w:tblLook w:val="04A0"/>
        </w:tblPrEx>
        <w:trPr>
          <w:trHeight w:val="180"/>
        </w:trPr>
        <w:tc>
          <w:tcPr>
            <w:tcW w:w="4950" w:type="dxa"/>
            <w:tcBorders>
              <w:top w:val="nil"/>
              <w:left w:val="nil"/>
              <w:bottom w:val="nil"/>
              <w:right w:val="nil"/>
            </w:tcBorders>
            <w:shd w:val="clear" w:color="000000" w:fill="FFFFFF"/>
            <w:noWrap/>
            <w:vAlign w:val="bottom"/>
            <w:hideMark/>
          </w:tcPr>
          <w:p w:rsidR="002649FB" w:rsidRPr="004A2D37" w:rsidP="00A969F1" w14:paraId="5FA791F6" w14:textId="77777777">
            <w:pPr>
              <w:ind w:left="576"/>
              <w:rPr>
                <w:sz w:val="16"/>
                <w:szCs w:val="16"/>
              </w:rPr>
            </w:pPr>
            <w:r w:rsidRPr="004A2D37">
              <w:rPr>
                <w:sz w:val="16"/>
                <w:szCs w:val="16"/>
              </w:rPr>
              <w:t>Acquisition of capital assets</w:t>
            </w:r>
          </w:p>
        </w:tc>
        <w:tc>
          <w:tcPr>
            <w:tcW w:w="1542" w:type="dxa"/>
            <w:tcBorders>
              <w:top w:val="nil"/>
              <w:left w:val="nil"/>
              <w:bottom w:val="nil"/>
              <w:right w:val="nil"/>
            </w:tcBorders>
            <w:shd w:val="clear" w:color="000000" w:fill="FFFFFF"/>
            <w:noWrap/>
            <w:vAlign w:val="bottom"/>
            <w:hideMark/>
          </w:tcPr>
          <w:p w:rsidR="002649FB" w:rsidRPr="004A2D37" w:rsidP="004957F6" w14:paraId="3A978480" w14:textId="77777777">
            <w:pPr>
              <w:jc w:val="right"/>
              <w:rPr>
                <w:sz w:val="16"/>
                <w:szCs w:val="16"/>
              </w:rPr>
            </w:pPr>
            <w:r>
              <w:rPr>
                <w:sz w:val="16"/>
                <w:szCs w:val="16"/>
              </w:rPr>
              <w:t xml:space="preserve"> </w:t>
            </w:r>
            <w:r w:rsidRPr="004A2D37">
              <w:rPr>
                <w:sz w:val="16"/>
                <w:szCs w:val="16"/>
              </w:rPr>
              <w:t xml:space="preserve">- </w:t>
            </w:r>
          </w:p>
        </w:tc>
        <w:tc>
          <w:tcPr>
            <w:tcW w:w="1434" w:type="dxa"/>
            <w:tcBorders>
              <w:top w:val="nil"/>
              <w:left w:val="nil"/>
              <w:bottom w:val="nil"/>
              <w:right w:val="nil"/>
            </w:tcBorders>
            <w:shd w:val="clear" w:color="000000" w:fill="FFFFFF"/>
            <w:noWrap/>
            <w:vAlign w:val="bottom"/>
            <w:hideMark/>
          </w:tcPr>
          <w:p w:rsidR="002649FB" w:rsidRPr="004A2D37" w:rsidP="004957F6" w14:paraId="61C2FF2F" w14:textId="77777777">
            <w:pPr>
              <w:jc w:val="right"/>
              <w:rPr>
                <w:sz w:val="16"/>
                <w:szCs w:val="16"/>
              </w:rPr>
            </w:pPr>
            <w:r>
              <w:rPr>
                <w:sz w:val="16"/>
                <w:szCs w:val="16"/>
              </w:rPr>
              <w:t xml:space="preserve"> </w:t>
            </w:r>
            <w:r w:rsidRPr="004A2D37">
              <w:rPr>
                <w:sz w:val="16"/>
                <w:szCs w:val="16"/>
              </w:rPr>
              <w:t xml:space="preserve">28,894 </w:t>
            </w:r>
          </w:p>
        </w:tc>
        <w:tc>
          <w:tcPr>
            <w:tcW w:w="1434" w:type="dxa"/>
            <w:tcBorders>
              <w:top w:val="nil"/>
              <w:left w:val="nil"/>
              <w:bottom w:val="nil"/>
              <w:right w:val="nil"/>
            </w:tcBorders>
            <w:shd w:val="clear" w:color="000000" w:fill="FFFFFF"/>
            <w:noWrap/>
            <w:vAlign w:val="bottom"/>
            <w:hideMark/>
          </w:tcPr>
          <w:p w:rsidR="002649FB" w:rsidRPr="004A2D37" w:rsidP="004957F6" w14:paraId="10C4A25E" w14:textId="77777777">
            <w:pPr>
              <w:jc w:val="right"/>
              <w:rPr>
                <w:sz w:val="16"/>
                <w:szCs w:val="16"/>
              </w:rPr>
            </w:pPr>
            <w:r>
              <w:rPr>
                <w:sz w:val="16"/>
                <w:szCs w:val="16"/>
              </w:rPr>
              <w:t xml:space="preserve"> </w:t>
            </w:r>
            <w:r w:rsidRPr="004A2D37">
              <w:rPr>
                <w:sz w:val="16"/>
                <w:szCs w:val="16"/>
              </w:rPr>
              <w:t xml:space="preserve">28,894 </w:t>
            </w:r>
          </w:p>
        </w:tc>
      </w:tr>
      <w:tr w14:paraId="49A1649F" w14:textId="77777777" w:rsidTr="000E7BEB">
        <w:tblPrEx>
          <w:tblW w:w="5000" w:type="pct"/>
          <w:tblInd w:w="-90" w:type="dxa"/>
          <w:tblLayout w:type="fixed"/>
          <w:tblLook w:val="04A0"/>
        </w:tblPrEx>
        <w:trPr>
          <w:trHeight w:val="162"/>
        </w:trPr>
        <w:tc>
          <w:tcPr>
            <w:tcW w:w="4950" w:type="dxa"/>
            <w:tcBorders>
              <w:top w:val="nil"/>
              <w:left w:val="nil"/>
              <w:bottom w:val="nil"/>
              <w:right w:val="nil"/>
            </w:tcBorders>
            <w:shd w:val="clear" w:color="000000" w:fill="FFFFFF"/>
            <w:noWrap/>
            <w:vAlign w:val="bottom"/>
            <w:hideMark/>
          </w:tcPr>
          <w:p w:rsidR="002649FB" w:rsidRPr="004A2D37" w:rsidP="00A969F1" w14:paraId="21290902" w14:textId="77777777">
            <w:pPr>
              <w:ind w:left="576"/>
              <w:rPr>
                <w:sz w:val="16"/>
                <w:szCs w:val="16"/>
              </w:rPr>
            </w:pPr>
            <w:r w:rsidRPr="004A2D37">
              <w:rPr>
                <w:sz w:val="16"/>
                <w:szCs w:val="16"/>
              </w:rPr>
              <w:t>Other</w:t>
            </w:r>
          </w:p>
        </w:tc>
        <w:tc>
          <w:tcPr>
            <w:tcW w:w="1542" w:type="dxa"/>
            <w:tcBorders>
              <w:top w:val="nil"/>
              <w:left w:val="nil"/>
              <w:bottom w:val="nil"/>
              <w:right w:val="nil"/>
            </w:tcBorders>
            <w:shd w:val="clear" w:color="000000" w:fill="FFFFFF"/>
            <w:noWrap/>
            <w:vAlign w:val="bottom"/>
            <w:hideMark/>
          </w:tcPr>
          <w:p w:rsidR="002649FB" w:rsidRPr="004A2D37" w:rsidP="004957F6" w14:paraId="3E4B4ABF" w14:textId="77777777">
            <w:pPr>
              <w:jc w:val="right"/>
              <w:rPr>
                <w:sz w:val="16"/>
                <w:szCs w:val="16"/>
              </w:rPr>
            </w:pPr>
            <w:r>
              <w:rPr>
                <w:sz w:val="16"/>
                <w:szCs w:val="16"/>
              </w:rPr>
              <w:t xml:space="preserve"> </w:t>
            </w:r>
            <w:r w:rsidRPr="004A2D37">
              <w:rPr>
                <w:sz w:val="16"/>
                <w:szCs w:val="16"/>
              </w:rPr>
              <w:t xml:space="preserve">- </w:t>
            </w:r>
          </w:p>
        </w:tc>
        <w:tc>
          <w:tcPr>
            <w:tcW w:w="1434" w:type="dxa"/>
            <w:tcBorders>
              <w:top w:val="nil"/>
              <w:left w:val="nil"/>
              <w:bottom w:val="nil"/>
              <w:right w:val="nil"/>
            </w:tcBorders>
            <w:shd w:val="clear" w:color="000000" w:fill="FFFFFF"/>
            <w:noWrap/>
            <w:vAlign w:val="bottom"/>
            <w:hideMark/>
          </w:tcPr>
          <w:p w:rsidR="002649FB" w:rsidRPr="004A2D37" w:rsidP="004957F6" w14:paraId="697F63FD" w14:textId="77777777">
            <w:pPr>
              <w:jc w:val="right"/>
              <w:rPr>
                <w:sz w:val="16"/>
                <w:szCs w:val="16"/>
              </w:rPr>
            </w:pPr>
            <w:r>
              <w:rPr>
                <w:sz w:val="16"/>
                <w:szCs w:val="16"/>
              </w:rPr>
              <w:t xml:space="preserve"> </w:t>
            </w:r>
            <w:r w:rsidRPr="004A2D37">
              <w:rPr>
                <w:sz w:val="16"/>
                <w:szCs w:val="16"/>
              </w:rPr>
              <w:t>(5,876)</w:t>
            </w:r>
          </w:p>
        </w:tc>
        <w:tc>
          <w:tcPr>
            <w:tcW w:w="1434" w:type="dxa"/>
            <w:tcBorders>
              <w:top w:val="nil"/>
              <w:left w:val="nil"/>
              <w:bottom w:val="nil"/>
              <w:right w:val="nil"/>
            </w:tcBorders>
            <w:shd w:val="clear" w:color="000000" w:fill="FFFFFF"/>
            <w:noWrap/>
            <w:vAlign w:val="bottom"/>
            <w:hideMark/>
          </w:tcPr>
          <w:p w:rsidR="002649FB" w:rsidRPr="004A2D37" w:rsidP="004957F6" w14:paraId="572BE29C" w14:textId="77777777">
            <w:pPr>
              <w:jc w:val="right"/>
              <w:rPr>
                <w:sz w:val="16"/>
                <w:szCs w:val="16"/>
              </w:rPr>
            </w:pPr>
            <w:r>
              <w:rPr>
                <w:sz w:val="16"/>
                <w:szCs w:val="16"/>
              </w:rPr>
              <w:t xml:space="preserve"> </w:t>
            </w:r>
            <w:r w:rsidRPr="004A2D37">
              <w:rPr>
                <w:sz w:val="16"/>
                <w:szCs w:val="16"/>
              </w:rPr>
              <w:t>(5,876)</w:t>
            </w:r>
          </w:p>
        </w:tc>
      </w:tr>
      <w:tr w14:paraId="03B6770B" w14:textId="77777777" w:rsidTr="000E7BEB">
        <w:tblPrEx>
          <w:tblW w:w="5000" w:type="pct"/>
          <w:tblInd w:w="-90" w:type="dxa"/>
          <w:tblLayout w:type="fixed"/>
          <w:tblLook w:val="04A0"/>
        </w:tblPrEx>
        <w:trPr>
          <w:trHeight w:val="564"/>
        </w:trPr>
        <w:tc>
          <w:tcPr>
            <w:tcW w:w="4950" w:type="dxa"/>
            <w:tcBorders>
              <w:top w:val="nil"/>
              <w:left w:val="nil"/>
              <w:bottom w:val="nil"/>
              <w:right w:val="nil"/>
            </w:tcBorders>
            <w:shd w:val="clear" w:color="000000" w:fill="FFFFFF"/>
            <w:vAlign w:val="bottom"/>
            <w:hideMark/>
          </w:tcPr>
          <w:p w:rsidR="002649FB" w:rsidRPr="004A2D37" w:rsidP="004957F6" w14:paraId="4F9DFB75" w14:textId="77777777">
            <w:pPr>
              <w:rPr>
                <w:b/>
                <w:bCs/>
                <w:sz w:val="16"/>
                <w:szCs w:val="16"/>
              </w:rPr>
            </w:pPr>
            <w:r w:rsidRPr="004A2D37">
              <w:rPr>
                <w:b/>
                <w:bCs/>
                <w:sz w:val="16"/>
                <w:szCs w:val="16"/>
              </w:rPr>
              <w:t>Total Components of the Budgetary Outlays That Are Not Part of</w:t>
            </w:r>
            <w:r w:rsidRPr="004A2D37">
              <w:rPr>
                <w:b/>
                <w:bCs/>
                <w:sz w:val="16"/>
                <w:szCs w:val="16"/>
              </w:rPr>
              <w:br/>
              <w:t xml:space="preserve"> Net Operating Cost </w:t>
            </w:r>
          </w:p>
        </w:tc>
        <w:tc>
          <w:tcPr>
            <w:tcW w:w="1542" w:type="dxa"/>
            <w:tcBorders>
              <w:top w:val="nil"/>
              <w:left w:val="nil"/>
              <w:bottom w:val="double" w:sz="6" w:space="0" w:color="auto"/>
              <w:right w:val="nil"/>
            </w:tcBorders>
            <w:shd w:val="clear" w:color="000000" w:fill="FFFFFF"/>
            <w:noWrap/>
            <w:vAlign w:val="bottom"/>
            <w:hideMark/>
          </w:tcPr>
          <w:p w:rsidR="002649FB" w:rsidRPr="004A2D37" w:rsidP="004957F6" w14:paraId="7AC48D38" w14:textId="6A270F3B">
            <w:pPr>
              <w:jc w:val="right"/>
              <w:rPr>
                <w:sz w:val="16"/>
                <w:szCs w:val="16"/>
              </w:rPr>
            </w:pPr>
            <w:r w:rsidRPr="004A2D37">
              <w:rPr>
                <w:sz w:val="16"/>
                <w:szCs w:val="16"/>
              </w:rPr>
              <w:t>$</w:t>
            </w:r>
            <w:r w:rsidR="009649B8">
              <w:rPr>
                <w:sz w:val="16"/>
                <w:szCs w:val="16"/>
              </w:rPr>
              <w:t xml:space="preserve">                            </w:t>
            </w:r>
            <w:r>
              <w:rPr>
                <w:sz w:val="16"/>
                <w:szCs w:val="16"/>
              </w:rPr>
              <w:t xml:space="preserve"> </w:t>
            </w:r>
            <w:r w:rsidRPr="004A2D37">
              <w:rPr>
                <w:sz w:val="16"/>
                <w:szCs w:val="16"/>
              </w:rPr>
              <w:t xml:space="preserve">- </w:t>
            </w:r>
          </w:p>
        </w:tc>
        <w:tc>
          <w:tcPr>
            <w:tcW w:w="1434" w:type="dxa"/>
            <w:tcBorders>
              <w:top w:val="nil"/>
              <w:left w:val="nil"/>
              <w:bottom w:val="double" w:sz="6" w:space="0" w:color="auto"/>
              <w:right w:val="nil"/>
            </w:tcBorders>
            <w:shd w:val="clear" w:color="000000" w:fill="FFFFFF"/>
            <w:noWrap/>
            <w:vAlign w:val="bottom"/>
            <w:hideMark/>
          </w:tcPr>
          <w:p w:rsidR="002649FB" w:rsidRPr="004A2D37" w:rsidP="004957F6" w14:paraId="616A95C0" w14:textId="0457C784">
            <w:pPr>
              <w:ind w:left="-120"/>
              <w:jc w:val="right"/>
              <w:rPr>
                <w:sz w:val="16"/>
                <w:szCs w:val="16"/>
              </w:rPr>
            </w:pPr>
            <w:r w:rsidRPr="004A2D37">
              <w:rPr>
                <w:sz w:val="16"/>
                <w:szCs w:val="16"/>
              </w:rPr>
              <w:t>$</w:t>
            </w:r>
            <w:r w:rsidR="009649B8">
              <w:rPr>
                <w:sz w:val="16"/>
                <w:szCs w:val="16"/>
              </w:rPr>
              <w:t xml:space="preserve">                   </w:t>
            </w:r>
            <w:r>
              <w:rPr>
                <w:sz w:val="16"/>
                <w:szCs w:val="16"/>
              </w:rPr>
              <w:t xml:space="preserve"> </w:t>
            </w:r>
            <w:r w:rsidRPr="004A2D37">
              <w:rPr>
                <w:sz w:val="16"/>
                <w:szCs w:val="16"/>
              </w:rPr>
              <w:t xml:space="preserve">23,018 </w:t>
            </w:r>
          </w:p>
        </w:tc>
        <w:tc>
          <w:tcPr>
            <w:tcW w:w="1434" w:type="dxa"/>
            <w:tcBorders>
              <w:top w:val="nil"/>
              <w:left w:val="nil"/>
              <w:bottom w:val="double" w:sz="6" w:space="0" w:color="auto"/>
              <w:right w:val="nil"/>
            </w:tcBorders>
            <w:shd w:val="clear" w:color="000000" w:fill="FFFFFF"/>
            <w:noWrap/>
            <w:vAlign w:val="bottom"/>
            <w:hideMark/>
          </w:tcPr>
          <w:p w:rsidR="002649FB" w:rsidRPr="004A2D37" w:rsidP="004957F6" w14:paraId="50FFE30E" w14:textId="7B95570C">
            <w:pPr>
              <w:jc w:val="right"/>
              <w:rPr>
                <w:sz w:val="16"/>
                <w:szCs w:val="16"/>
              </w:rPr>
            </w:pPr>
            <w:r w:rsidRPr="004A2D37">
              <w:rPr>
                <w:sz w:val="16"/>
                <w:szCs w:val="16"/>
              </w:rPr>
              <w:t>$</w:t>
            </w:r>
            <w:r w:rsidR="009649B8">
              <w:rPr>
                <w:sz w:val="16"/>
                <w:szCs w:val="16"/>
              </w:rPr>
              <w:t xml:space="preserve">                </w:t>
            </w:r>
            <w:r>
              <w:rPr>
                <w:sz w:val="16"/>
                <w:szCs w:val="16"/>
              </w:rPr>
              <w:t xml:space="preserve"> </w:t>
            </w:r>
            <w:r w:rsidRPr="004A2D37">
              <w:rPr>
                <w:sz w:val="16"/>
                <w:szCs w:val="16"/>
              </w:rPr>
              <w:t xml:space="preserve">23,018 </w:t>
            </w:r>
          </w:p>
        </w:tc>
      </w:tr>
      <w:tr w14:paraId="6D06ADE9" w14:textId="77777777" w:rsidTr="000E7BEB">
        <w:tblPrEx>
          <w:tblW w:w="5000" w:type="pct"/>
          <w:tblInd w:w="-90" w:type="dxa"/>
          <w:tblLayout w:type="fixed"/>
          <w:tblLook w:val="04A0"/>
        </w:tblPrEx>
        <w:trPr>
          <w:trHeight w:val="378"/>
        </w:trPr>
        <w:tc>
          <w:tcPr>
            <w:tcW w:w="4950" w:type="dxa"/>
            <w:tcBorders>
              <w:top w:val="nil"/>
              <w:left w:val="nil"/>
              <w:bottom w:val="nil"/>
              <w:right w:val="nil"/>
            </w:tcBorders>
            <w:shd w:val="clear" w:color="000000" w:fill="FFFFFF"/>
            <w:noWrap/>
            <w:vAlign w:val="bottom"/>
            <w:hideMark/>
          </w:tcPr>
          <w:p w:rsidR="002649FB" w:rsidRPr="004A2D37" w:rsidP="004957F6" w14:paraId="0A018424" w14:textId="77777777">
            <w:pPr>
              <w:rPr>
                <w:b/>
                <w:bCs/>
                <w:sz w:val="16"/>
                <w:szCs w:val="16"/>
              </w:rPr>
            </w:pPr>
            <w:r w:rsidRPr="004A2D37">
              <w:rPr>
                <w:b/>
                <w:bCs/>
                <w:sz w:val="16"/>
                <w:szCs w:val="16"/>
              </w:rPr>
              <w:t>NET OUTLAYS (Calculated Total)</w:t>
            </w:r>
          </w:p>
        </w:tc>
        <w:tc>
          <w:tcPr>
            <w:tcW w:w="1542" w:type="dxa"/>
            <w:tcBorders>
              <w:top w:val="nil"/>
              <w:left w:val="nil"/>
              <w:bottom w:val="double" w:sz="6" w:space="0" w:color="auto"/>
              <w:right w:val="nil"/>
            </w:tcBorders>
            <w:shd w:val="clear" w:color="000000" w:fill="FFFFFF"/>
            <w:noWrap/>
            <w:vAlign w:val="bottom"/>
            <w:hideMark/>
          </w:tcPr>
          <w:p w:rsidR="002649FB" w:rsidRPr="004A2D37" w:rsidP="004957F6" w14:paraId="773713D2" w14:textId="7DE2C843">
            <w:pPr>
              <w:jc w:val="right"/>
              <w:rPr>
                <w:sz w:val="16"/>
                <w:szCs w:val="16"/>
              </w:rPr>
            </w:pPr>
            <w:r w:rsidRPr="004A2D37">
              <w:rPr>
                <w:sz w:val="16"/>
                <w:szCs w:val="16"/>
              </w:rPr>
              <w:t>$</w:t>
            </w:r>
            <w:r w:rsidR="009649B8">
              <w:rPr>
                <w:sz w:val="16"/>
                <w:szCs w:val="16"/>
              </w:rPr>
              <w:t xml:space="preserve">                 </w:t>
            </w:r>
            <w:r>
              <w:rPr>
                <w:sz w:val="16"/>
                <w:szCs w:val="16"/>
              </w:rPr>
              <w:t xml:space="preserve"> </w:t>
            </w:r>
            <w:r w:rsidRPr="004A2D37">
              <w:rPr>
                <w:sz w:val="16"/>
                <w:szCs w:val="16"/>
              </w:rPr>
              <w:t xml:space="preserve">102,022 </w:t>
            </w:r>
          </w:p>
        </w:tc>
        <w:tc>
          <w:tcPr>
            <w:tcW w:w="1434" w:type="dxa"/>
            <w:tcBorders>
              <w:top w:val="nil"/>
              <w:left w:val="nil"/>
              <w:bottom w:val="double" w:sz="6" w:space="0" w:color="auto"/>
              <w:right w:val="nil"/>
            </w:tcBorders>
            <w:shd w:val="clear" w:color="000000" w:fill="FFFFFF"/>
            <w:noWrap/>
            <w:vAlign w:val="bottom"/>
            <w:hideMark/>
          </w:tcPr>
          <w:p w:rsidR="002649FB" w:rsidRPr="004A2D37" w:rsidP="004957F6" w14:paraId="170048B7" w14:textId="341C8873">
            <w:pPr>
              <w:ind w:left="-120"/>
              <w:jc w:val="right"/>
              <w:rPr>
                <w:sz w:val="16"/>
                <w:szCs w:val="16"/>
              </w:rPr>
            </w:pPr>
            <w:r w:rsidRPr="004A2D37">
              <w:rPr>
                <w:sz w:val="16"/>
                <w:szCs w:val="16"/>
              </w:rPr>
              <w:t>$</w:t>
            </w:r>
            <w:r w:rsidR="009649B8">
              <w:rPr>
                <w:sz w:val="16"/>
                <w:szCs w:val="16"/>
              </w:rPr>
              <w:t xml:space="preserve">            </w:t>
            </w:r>
            <w:r>
              <w:rPr>
                <w:sz w:val="16"/>
                <w:szCs w:val="16"/>
              </w:rPr>
              <w:t xml:space="preserve"> </w:t>
            </w:r>
            <w:r w:rsidRPr="004A2D37">
              <w:rPr>
                <w:sz w:val="16"/>
                <w:szCs w:val="16"/>
              </w:rPr>
              <w:t xml:space="preserve">10,140,117 </w:t>
            </w:r>
          </w:p>
        </w:tc>
        <w:tc>
          <w:tcPr>
            <w:tcW w:w="1434" w:type="dxa"/>
            <w:tcBorders>
              <w:top w:val="nil"/>
              <w:left w:val="nil"/>
              <w:bottom w:val="double" w:sz="6" w:space="0" w:color="auto"/>
              <w:right w:val="nil"/>
            </w:tcBorders>
            <w:shd w:val="clear" w:color="000000" w:fill="FFFFFF"/>
            <w:noWrap/>
            <w:vAlign w:val="bottom"/>
            <w:hideMark/>
          </w:tcPr>
          <w:p w:rsidR="002649FB" w:rsidRPr="004A2D37" w:rsidP="004957F6" w14:paraId="00F25DD7" w14:textId="45799D00">
            <w:pPr>
              <w:jc w:val="right"/>
              <w:rPr>
                <w:sz w:val="16"/>
                <w:szCs w:val="16"/>
              </w:rPr>
            </w:pPr>
            <w:r w:rsidRPr="004A2D37">
              <w:rPr>
                <w:sz w:val="16"/>
                <w:szCs w:val="16"/>
              </w:rPr>
              <w:t>$</w:t>
            </w:r>
            <w:r w:rsidR="009649B8">
              <w:rPr>
                <w:sz w:val="16"/>
                <w:szCs w:val="16"/>
              </w:rPr>
              <w:t xml:space="preserve">          </w:t>
            </w:r>
            <w:r w:rsidRPr="004A2D37">
              <w:rPr>
                <w:sz w:val="16"/>
                <w:szCs w:val="16"/>
              </w:rPr>
              <w:t xml:space="preserve">10,242,139 </w:t>
            </w:r>
          </w:p>
        </w:tc>
      </w:tr>
      <w:tr w14:paraId="1F1BDBB4" w14:textId="77777777" w:rsidTr="00FF5E9F">
        <w:tblPrEx>
          <w:tblW w:w="5000" w:type="pct"/>
          <w:tblInd w:w="-90" w:type="dxa"/>
          <w:tblLayout w:type="fixed"/>
          <w:tblLook w:val="04A0"/>
        </w:tblPrEx>
        <w:trPr>
          <w:trHeight w:val="315"/>
        </w:trPr>
        <w:tc>
          <w:tcPr>
            <w:tcW w:w="4950" w:type="dxa"/>
            <w:tcBorders>
              <w:top w:val="nil"/>
              <w:left w:val="nil"/>
              <w:bottom w:val="nil"/>
              <w:right w:val="nil"/>
            </w:tcBorders>
            <w:shd w:val="clear" w:color="000000" w:fill="FFFFFF"/>
            <w:noWrap/>
            <w:vAlign w:val="bottom"/>
            <w:hideMark/>
          </w:tcPr>
          <w:p w:rsidR="002649FB" w:rsidRPr="004A2D37" w:rsidP="004957F6" w14:paraId="344AB550" w14:textId="77777777">
            <w:pPr>
              <w:rPr>
                <w:b/>
                <w:bCs/>
                <w:sz w:val="16"/>
                <w:szCs w:val="16"/>
              </w:rPr>
            </w:pPr>
            <w:r w:rsidRPr="004A2D37">
              <w:rPr>
                <w:b/>
                <w:bCs/>
                <w:sz w:val="16"/>
                <w:szCs w:val="16"/>
              </w:rPr>
              <w:t>Related Amounts on the Statement of Budgetary Resources</w:t>
            </w:r>
          </w:p>
        </w:tc>
        <w:tc>
          <w:tcPr>
            <w:tcW w:w="1542" w:type="dxa"/>
            <w:tcBorders>
              <w:top w:val="nil"/>
              <w:left w:val="nil"/>
              <w:bottom w:val="nil"/>
              <w:right w:val="nil"/>
            </w:tcBorders>
            <w:shd w:val="clear" w:color="000000" w:fill="FFFFFF"/>
            <w:noWrap/>
            <w:vAlign w:val="bottom"/>
            <w:hideMark/>
          </w:tcPr>
          <w:p w:rsidR="002649FB" w:rsidRPr="004A2D37" w:rsidP="004957F6" w14:paraId="311A9235"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6367D46B"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214CEC8F" w14:textId="77777777">
            <w:pPr>
              <w:jc w:val="right"/>
              <w:rPr>
                <w:sz w:val="16"/>
                <w:szCs w:val="16"/>
              </w:rPr>
            </w:pPr>
            <w:r w:rsidRPr="004A2D37">
              <w:rPr>
                <w:sz w:val="16"/>
                <w:szCs w:val="16"/>
              </w:rPr>
              <w:t> </w:t>
            </w:r>
          </w:p>
        </w:tc>
      </w:tr>
      <w:tr w14:paraId="4CA9FC11" w14:textId="77777777" w:rsidTr="000E7BEB">
        <w:tblPrEx>
          <w:tblW w:w="5000" w:type="pct"/>
          <w:tblInd w:w="-90" w:type="dxa"/>
          <w:tblLayout w:type="fixed"/>
          <w:tblLook w:val="04A0"/>
        </w:tblPrEx>
        <w:trPr>
          <w:trHeight w:val="276"/>
        </w:trPr>
        <w:tc>
          <w:tcPr>
            <w:tcW w:w="4950" w:type="dxa"/>
            <w:tcBorders>
              <w:top w:val="nil"/>
              <w:left w:val="nil"/>
              <w:bottom w:val="nil"/>
              <w:right w:val="nil"/>
            </w:tcBorders>
            <w:shd w:val="clear" w:color="000000" w:fill="FFFFFF"/>
            <w:noWrap/>
            <w:vAlign w:val="bottom"/>
            <w:hideMark/>
          </w:tcPr>
          <w:p w:rsidR="002649FB" w:rsidRPr="004A2D37" w:rsidP="00A969F1" w14:paraId="0AC8533F" w14:textId="77777777">
            <w:pPr>
              <w:ind w:left="576"/>
              <w:rPr>
                <w:sz w:val="16"/>
                <w:szCs w:val="16"/>
              </w:rPr>
            </w:pPr>
            <w:r w:rsidRPr="004A2D37">
              <w:rPr>
                <w:sz w:val="16"/>
                <w:szCs w:val="16"/>
              </w:rPr>
              <w:t>Outlays, net (total) (discretionary and mandatory)</w:t>
            </w:r>
          </w:p>
        </w:tc>
        <w:tc>
          <w:tcPr>
            <w:tcW w:w="1542" w:type="dxa"/>
            <w:tcBorders>
              <w:top w:val="nil"/>
              <w:left w:val="nil"/>
              <w:bottom w:val="nil"/>
              <w:right w:val="nil"/>
            </w:tcBorders>
            <w:shd w:val="clear" w:color="000000" w:fill="FFFFFF"/>
            <w:noWrap/>
            <w:vAlign w:val="bottom"/>
            <w:hideMark/>
          </w:tcPr>
          <w:p w:rsidR="002649FB" w:rsidRPr="004A2D37" w:rsidP="004957F6" w14:paraId="422E5CF9"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07B18212"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3FD79633" w14:textId="77777777">
            <w:pPr>
              <w:jc w:val="right"/>
              <w:rPr>
                <w:sz w:val="16"/>
                <w:szCs w:val="16"/>
              </w:rPr>
            </w:pPr>
            <w:r>
              <w:rPr>
                <w:sz w:val="16"/>
                <w:szCs w:val="16"/>
              </w:rPr>
              <w:t xml:space="preserve"> </w:t>
            </w:r>
            <w:r w:rsidRPr="004A2D37">
              <w:rPr>
                <w:sz w:val="16"/>
                <w:szCs w:val="16"/>
              </w:rPr>
              <w:t xml:space="preserve">10,271,908 </w:t>
            </w:r>
          </w:p>
        </w:tc>
      </w:tr>
      <w:tr w14:paraId="705A947A" w14:textId="77777777" w:rsidTr="00A969F1">
        <w:tblPrEx>
          <w:tblW w:w="5000" w:type="pct"/>
          <w:tblInd w:w="-90" w:type="dxa"/>
          <w:tblLayout w:type="fixed"/>
          <w:tblLook w:val="04A0"/>
        </w:tblPrEx>
        <w:trPr>
          <w:trHeight w:val="171"/>
        </w:trPr>
        <w:tc>
          <w:tcPr>
            <w:tcW w:w="4950" w:type="dxa"/>
            <w:tcBorders>
              <w:top w:val="nil"/>
              <w:left w:val="nil"/>
              <w:bottom w:val="nil"/>
              <w:right w:val="nil"/>
            </w:tcBorders>
            <w:shd w:val="clear" w:color="000000" w:fill="FFFFFF"/>
            <w:noWrap/>
            <w:vAlign w:val="bottom"/>
            <w:hideMark/>
          </w:tcPr>
          <w:p w:rsidR="002649FB" w:rsidRPr="004A2D37" w:rsidP="00A969F1" w14:paraId="3037F457" w14:textId="77777777">
            <w:pPr>
              <w:ind w:left="576"/>
              <w:rPr>
                <w:sz w:val="16"/>
                <w:szCs w:val="16"/>
              </w:rPr>
            </w:pPr>
            <w:r w:rsidRPr="004A2D37">
              <w:rPr>
                <w:sz w:val="16"/>
                <w:szCs w:val="16"/>
              </w:rPr>
              <w:t>Distributed offsetting receipts (-)</w:t>
            </w:r>
          </w:p>
        </w:tc>
        <w:tc>
          <w:tcPr>
            <w:tcW w:w="1542" w:type="dxa"/>
            <w:tcBorders>
              <w:top w:val="nil"/>
              <w:left w:val="nil"/>
              <w:bottom w:val="nil"/>
              <w:right w:val="nil"/>
            </w:tcBorders>
            <w:shd w:val="clear" w:color="000000" w:fill="FFFFFF"/>
            <w:noWrap/>
            <w:vAlign w:val="bottom"/>
            <w:hideMark/>
          </w:tcPr>
          <w:p w:rsidR="002649FB" w:rsidRPr="004A2D37" w:rsidP="004957F6" w14:paraId="6DA5711D"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7EF1589F"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0BE1CBF8" w14:textId="77777777">
            <w:pPr>
              <w:jc w:val="right"/>
              <w:rPr>
                <w:sz w:val="16"/>
                <w:szCs w:val="16"/>
              </w:rPr>
            </w:pPr>
            <w:r>
              <w:rPr>
                <w:sz w:val="16"/>
                <w:szCs w:val="16"/>
              </w:rPr>
              <w:t xml:space="preserve"> </w:t>
            </w:r>
            <w:r w:rsidRPr="004A2D37">
              <w:rPr>
                <w:sz w:val="16"/>
                <w:szCs w:val="16"/>
              </w:rPr>
              <w:t>(29,769)</w:t>
            </w:r>
          </w:p>
        </w:tc>
      </w:tr>
      <w:tr w14:paraId="64EA86AD" w14:textId="77777777" w:rsidTr="00A969F1">
        <w:tblPrEx>
          <w:tblW w:w="5000" w:type="pct"/>
          <w:tblInd w:w="-90" w:type="dxa"/>
          <w:tblLayout w:type="fixed"/>
          <w:tblLook w:val="04A0"/>
        </w:tblPrEx>
        <w:trPr>
          <w:trHeight w:val="162"/>
        </w:trPr>
        <w:tc>
          <w:tcPr>
            <w:tcW w:w="4950" w:type="dxa"/>
            <w:tcBorders>
              <w:top w:val="nil"/>
              <w:left w:val="nil"/>
              <w:bottom w:val="nil"/>
              <w:right w:val="nil"/>
            </w:tcBorders>
            <w:shd w:val="clear" w:color="000000" w:fill="FFFFFF"/>
            <w:noWrap/>
            <w:vAlign w:val="bottom"/>
            <w:hideMark/>
          </w:tcPr>
          <w:p w:rsidR="002649FB" w:rsidRPr="004A2D37" w:rsidP="004957F6" w14:paraId="5DFEECAD" w14:textId="77777777">
            <w:pPr>
              <w:rPr>
                <w:sz w:val="16"/>
                <w:szCs w:val="16"/>
              </w:rPr>
            </w:pPr>
            <w:r w:rsidRPr="004A2D37">
              <w:rPr>
                <w:sz w:val="16"/>
                <w:szCs w:val="16"/>
              </w:rPr>
              <w:t>Agency outlays, net (discretionary and mandatory)</w:t>
            </w:r>
          </w:p>
        </w:tc>
        <w:tc>
          <w:tcPr>
            <w:tcW w:w="1542" w:type="dxa"/>
            <w:tcBorders>
              <w:top w:val="nil"/>
              <w:left w:val="nil"/>
              <w:bottom w:val="nil"/>
              <w:right w:val="nil"/>
            </w:tcBorders>
            <w:shd w:val="clear" w:color="000000" w:fill="FFFFFF"/>
            <w:noWrap/>
            <w:vAlign w:val="bottom"/>
            <w:hideMark/>
          </w:tcPr>
          <w:p w:rsidR="002649FB" w:rsidRPr="004A2D37" w:rsidP="004957F6" w14:paraId="17CA9978" w14:textId="77777777">
            <w:pPr>
              <w:jc w:val="right"/>
              <w:rPr>
                <w:sz w:val="16"/>
                <w:szCs w:val="16"/>
              </w:rPr>
            </w:pPr>
            <w:r w:rsidRPr="004A2D37">
              <w:rPr>
                <w:sz w:val="16"/>
                <w:szCs w:val="16"/>
              </w:rPr>
              <w:t> </w:t>
            </w:r>
          </w:p>
        </w:tc>
        <w:tc>
          <w:tcPr>
            <w:tcW w:w="1434" w:type="dxa"/>
            <w:tcBorders>
              <w:top w:val="nil"/>
              <w:left w:val="nil"/>
              <w:bottom w:val="nil"/>
              <w:right w:val="nil"/>
            </w:tcBorders>
            <w:shd w:val="clear" w:color="000000" w:fill="FFFFFF"/>
            <w:noWrap/>
            <w:vAlign w:val="bottom"/>
            <w:hideMark/>
          </w:tcPr>
          <w:p w:rsidR="002649FB" w:rsidRPr="004A2D37" w:rsidP="004957F6" w14:paraId="526E444B" w14:textId="77777777">
            <w:pPr>
              <w:jc w:val="right"/>
              <w:rPr>
                <w:sz w:val="16"/>
                <w:szCs w:val="16"/>
              </w:rPr>
            </w:pPr>
            <w:r w:rsidRPr="004A2D37">
              <w:rPr>
                <w:sz w:val="16"/>
                <w:szCs w:val="16"/>
              </w:rPr>
              <w:t> </w:t>
            </w:r>
          </w:p>
        </w:tc>
        <w:tc>
          <w:tcPr>
            <w:tcW w:w="1434" w:type="dxa"/>
            <w:tcBorders>
              <w:top w:val="nil"/>
              <w:left w:val="nil"/>
              <w:bottom w:val="double" w:sz="6" w:space="0" w:color="auto"/>
              <w:right w:val="nil"/>
            </w:tcBorders>
            <w:shd w:val="clear" w:color="000000" w:fill="FFFFFF"/>
            <w:noWrap/>
            <w:vAlign w:val="bottom"/>
            <w:hideMark/>
          </w:tcPr>
          <w:p w:rsidR="002649FB" w:rsidRPr="004A2D37" w:rsidP="004957F6" w14:paraId="6B3ED7D2" w14:textId="0D112AB0">
            <w:pPr>
              <w:jc w:val="right"/>
              <w:rPr>
                <w:sz w:val="16"/>
                <w:szCs w:val="16"/>
              </w:rPr>
            </w:pPr>
            <w:r w:rsidRPr="004A2D37">
              <w:rPr>
                <w:sz w:val="16"/>
                <w:szCs w:val="16"/>
              </w:rPr>
              <w:t>$</w:t>
            </w:r>
            <w:r w:rsidR="009649B8">
              <w:rPr>
                <w:sz w:val="16"/>
                <w:szCs w:val="16"/>
              </w:rPr>
              <w:t xml:space="preserve">         </w:t>
            </w:r>
            <w:r>
              <w:rPr>
                <w:sz w:val="16"/>
                <w:szCs w:val="16"/>
              </w:rPr>
              <w:t xml:space="preserve"> </w:t>
            </w:r>
            <w:r w:rsidRPr="004A2D37">
              <w:rPr>
                <w:sz w:val="16"/>
                <w:szCs w:val="16"/>
              </w:rPr>
              <w:t xml:space="preserve">10,242,139 </w:t>
            </w:r>
          </w:p>
        </w:tc>
      </w:tr>
    </w:tbl>
    <w:p w:rsidR="00285D06" w:rsidRPr="00CE419D" w:rsidP="00160223" w14:paraId="3AFE297E" w14:textId="77777777">
      <w:pPr>
        <w:pStyle w:val="Heading4"/>
        <w:spacing w:before="720"/>
        <w:rPr>
          <w:sz w:val="22"/>
          <w:szCs w:val="22"/>
        </w:rPr>
      </w:pPr>
      <w:bookmarkStart w:id="263" w:name="_Toc88780712"/>
      <w:bookmarkStart w:id="264" w:name="_Hlk45205289"/>
      <w:r w:rsidRPr="00CE419D">
        <w:rPr>
          <w:sz w:val="22"/>
          <w:szCs w:val="22"/>
        </w:rPr>
        <w:t>Note 17 – Disclosure Entities</w:t>
      </w:r>
      <w:bookmarkEnd w:id="263"/>
    </w:p>
    <w:p w:rsidR="00285D06" w:rsidRPr="00BA1E56" w:rsidP="00160223" w14:paraId="3799C035" w14:textId="0C46BBB8">
      <w:pPr>
        <w:spacing w:after="360"/>
        <w:jc w:val="both"/>
        <w:rPr>
          <w:sz w:val="22"/>
          <w:szCs w:val="22"/>
        </w:rPr>
      </w:pPr>
      <w:r w:rsidRPr="00BA1E56">
        <w:rPr>
          <w:spacing w:val="-4"/>
          <w:kern w:val="16"/>
          <w:sz w:val="22"/>
          <w:szCs w:val="22"/>
          <w:u w:val="single"/>
        </w:rPr>
        <w:t>Universal Service Administrative Company (USAC)</w:t>
      </w:r>
      <w:r w:rsidRPr="00BA1E56">
        <w:rPr>
          <w:spacing w:val="-4"/>
          <w:kern w:val="16"/>
          <w:sz w:val="22"/>
          <w:szCs w:val="22"/>
        </w:rPr>
        <w:t xml:space="preserve"> </w:t>
      </w:r>
      <w:r w:rsidRPr="00BA1E56">
        <w:rPr>
          <w:sz w:val="22"/>
          <w:szCs w:val="22"/>
        </w:rPr>
        <w:t>–</w:t>
      </w:r>
      <w:r w:rsidRPr="00BA1E56">
        <w:rPr>
          <w:spacing w:val="-4"/>
          <w:kern w:val="16"/>
          <w:sz w:val="22"/>
          <w:szCs w:val="22"/>
        </w:rPr>
        <w:t xml:space="preserve"> The Commission is responsible for the overall management and oversight of the USF, including all USF policy decisions.</w:t>
      </w:r>
      <w:r w:rsidR="00C933B2">
        <w:rPr>
          <w:spacing w:val="-4"/>
          <w:kern w:val="16"/>
          <w:sz w:val="22"/>
          <w:szCs w:val="22"/>
        </w:rPr>
        <w:t xml:space="preserve"> </w:t>
      </w:r>
      <w:r w:rsidRPr="00BA1E56">
        <w:rPr>
          <w:spacing w:val="-4"/>
          <w:kern w:val="16"/>
          <w:sz w:val="22"/>
          <w:szCs w:val="22"/>
        </w:rPr>
        <w:t>USAC was established in 1997 as a not-for-profit subsidiary of the National Exchange Carrier Association, Inc. (NECA), and in that same year, the FCC appointed USAC as the permanent administrator, under the Commission’s direction, of the four USF programs and the CCPP.</w:t>
      </w:r>
      <w:r w:rsidR="00C933B2">
        <w:rPr>
          <w:spacing w:val="-4"/>
          <w:kern w:val="16"/>
          <w:sz w:val="22"/>
          <w:szCs w:val="22"/>
        </w:rPr>
        <w:t xml:space="preserve"> </w:t>
      </w:r>
      <w:r w:rsidRPr="00BA1E56">
        <w:rPr>
          <w:spacing w:val="-4"/>
          <w:kern w:val="16"/>
          <w:sz w:val="22"/>
          <w:szCs w:val="22"/>
        </w:rPr>
        <w:t>The four USF</w:t>
      </w:r>
      <w:r w:rsidRPr="00BA1E56">
        <w:rPr>
          <w:sz w:val="22"/>
          <w:szCs w:val="22"/>
        </w:rPr>
        <w:t xml:space="preserve"> programs are High Cost, Lifeline, Rural Health Care, and School and Libraries.</w:t>
      </w:r>
      <w:r w:rsidR="00C933B2">
        <w:rPr>
          <w:sz w:val="22"/>
          <w:szCs w:val="22"/>
        </w:rPr>
        <w:t xml:space="preserve"> </w:t>
      </w:r>
      <w:r w:rsidRPr="00BA1E56">
        <w:rPr>
          <w:sz w:val="22"/>
          <w:szCs w:val="22"/>
        </w:rPr>
        <w:t>USAC, as the administrator of the USF, is responsible for the effective administration of the USF programs, including billing, collection, and disbursement.</w:t>
      </w:r>
      <w:r w:rsidR="00C933B2">
        <w:rPr>
          <w:sz w:val="22"/>
          <w:szCs w:val="22"/>
        </w:rPr>
        <w:t xml:space="preserve"> </w:t>
      </w:r>
    </w:p>
    <w:p w:rsidR="00244A60" w:rsidP="00781438" w14:paraId="52C90350" w14:textId="77777777">
      <w:pPr>
        <w:spacing w:after="480"/>
        <w:jc w:val="both"/>
        <w:rPr>
          <w:sz w:val="22"/>
          <w:szCs w:val="22"/>
        </w:rPr>
        <w:sectPr w:rsidSect="00F054D8">
          <w:pgSz w:w="12240" w:h="15840"/>
          <w:pgMar w:top="1440" w:right="1440" w:bottom="1296" w:left="1440" w:header="720" w:footer="720" w:gutter="0"/>
          <w:cols w:space="720"/>
        </w:sectPr>
      </w:pPr>
      <w:r w:rsidRPr="00BA1E56">
        <w:rPr>
          <w:sz w:val="22"/>
          <w:szCs w:val="22"/>
          <w:u w:val="single"/>
        </w:rPr>
        <w:t>National Exchange Carrier Association, Inc. (NECA)</w:t>
      </w:r>
      <w:r w:rsidRPr="00BA1E56">
        <w:rPr>
          <w:sz w:val="22"/>
          <w:szCs w:val="22"/>
        </w:rPr>
        <w:t xml:space="preserve"> – NECA was established as a non-stock Delaware corporation, which, pursuant to FCC rules, files interstate access tariffs and administers interstate access </w:t>
      </w:r>
    </w:p>
    <w:p w:rsidR="00285D06" w:rsidRPr="00BA1E56" w:rsidP="00781438" w14:paraId="11BC9E7E" w14:textId="77777777">
      <w:pPr>
        <w:spacing w:before="240" w:after="240"/>
        <w:jc w:val="both"/>
        <w:rPr>
          <w:b/>
          <w:bCs/>
          <w:sz w:val="22"/>
          <w:szCs w:val="22"/>
        </w:rPr>
      </w:pPr>
      <w:r w:rsidRPr="00BA1E56">
        <w:rPr>
          <w:b/>
          <w:bCs/>
          <w:sz w:val="22"/>
          <w:szCs w:val="22"/>
        </w:rPr>
        <w:t>Note 1</w:t>
      </w:r>
      <w:r>
        <w:rPr>
          <w:b/>
          <w:bCs/>
          <w:sz w:val="22"/>
          <w:szCs w:val="22"/>
        </w:rPr>
        <w:t>7</w:t>
      </w:r>
      <w:r w:rsidRPr="00BA1E56">
        <w:rPr>
          <w:b/>
          <w:bCs/>
          <w:sz w:val="22"/>
          <w:szCs w:val="22"/>
        </w:rPr>
        <w:t xml:space="preserve"> – Disclosure Entities (continued)</w:t>
      </w:r>
    </w:p>
    <w:p w:rsidR="00285D06" w:rsidP="00781438" w14:paraId="37937F18" w14:textId="71878534">
      <w:pPr>
        <w:spacing w:after="240"/>
        <w:jc w:val="both"/>
        <w:rPr>
          <w:sz w:val="22"/>
          <w:szCs w:val="22"/>
        </w:rPr>
      </w:pPr>
      <w:r w:rsidRPr="00BA1E56">
        <w:rPr>
          <w:sz w:val="22"/>
          <w:szCs w:val="22"/>
        </w:rPr>
        <w:t>revenue pools for local telephone companies throughout the United States including its territories.</w:t>
      </w:r>
      <w:r w:rsidR="00C933B2">
        <w:rPr>
          <w:sz w:val="22"/>
          <w:szCs w:val="22"/>
        </w:rPr>
        <w:t xml:space="preserve"> </w:t>
      </w:r>
      <w:r w:rsidRPr="00BA1E56">
        <w:rPr>
          <w:sz w:val="22"/>
          <w:szCs w:val="22"/>
        </w:rPr>
        <w:t>NECA performs data collection functions for the High Cost program and bills USAC for the associated costs.</w:t>
      </w:r>
      <w:r w:rsidR="00C933B2">
        <w:rPr>
          <w:sz w:val="22"/>
          <w:szCs w:val="22"/>
        </w:rPr>
        <w:t xml:space="preserve"> </w:t>
      </w:r>
    </w:p>
    <w:p w:rsidR="00285D06" w:rsidRPr="00BA1E56" w:rsidP="00781438" w14:paraId="25F04AC9" w14:textId="7A9C402B">
      <w:pPr>
        <w:spacing w:after="240"/>
        <w:jc w:val="both"/>
        <w:rPr>
          <w:sz w:val="22"/>
          <w:szCs w:val="22"/>
        </w:rPr>
      </w:pPr>
      <w:r w:rsidRPr="00BA1E56">
        <w:rPr>
          <w:sz w:val="22"/>
          <w:szCs w:val="22"/>
        </w:rPr>
        <w:t>NECA is compensated by USAC in accordance with NECA’s Cost Accounting and Procedures Manual.</w:t>
      </w:r>
      <w:r w:rsidR="00C933B2">
        <w:rPr>
          <w:sz w:val="22"/>
          <w:szCs w:val="22"/>
        </w:rPr>
        <w:t xml:space="preserve"> </w:t>
      </w:r>
      <w:r w:rsidRPr="00BA1E56">
        <w:rPr>
          <w:sz w:val="22"/>
          <w:szCs w:val="22"/>
        </w:rPr>
        <w:t>NECA has no management control over USAC and derives no economic benefits from this subsidiary relationship.</w:t>
      </w:r>
      <w:r w:rsidR="00C933B2">
        <w:rPr>
          <w:sz w:val="22"/>
          <w:szCs w:val="22"/>
        </w:rPr>
        <w:t xml:space="preserve"> </w:t>
      </w:r>
      <w:r w:rsidRPr="00BA1E56">
        <w:rPr>
          <w:sz w:val="22"/>
          <w:szCs w:val="22"/>
        </w:rPr>
        <w:t>NECA does not consolidate with USAC’s financial statements since it does not meet the criteria for consolidation in accordance with the accounting standards for consolidation of all majority-owned subsidiaries.</w:t>
      </w:r>
      <w:r w:rsidR="00C933B2">
        <w:rPr>
          <w:sz w:val="22"/>
          <w:szCs w:val="22"/>
        </w:rPr>
        <w:t xml:space="preserve"> </w:t>
      </w:r>
      <w:r w:rsidRPr="00BA1E56">
        <w:rPr>
          <w:sz w:val="22"/>
          <w:szCs w:val="22"/>
        </w:rPr>
        <w:t>The investment in USAC, which is carried at cost, is insignificant to these financial statements.</w:t>
      </w:r>
    </w:p>
    <w:p w:rsidR="00285D06" w:rsidRPr="00BA1E56" w:rsidP="00781438" w14:paraId="3B31BD4B" w14:textId="7989B93C">
      <w:pPr>
        <w:spacing w:after="240"/>
        <w:jc w:val="both"/>
        <w:rPr>
          <w:sz w:val="22"/>
          <w:szCs w:val="22"/>
        </w:rPr>
      </w:pPr>
      <w:r w:rsidRPr="00BA1E56">
        <w:rPr>
          <w:sz w:val="22"/>
          <w:szCs w:val="22"/>
          <w:u w:val="single"/>
        </w:rPr>
        <w:t>Local Number Portability Administrator (LNPA) Program</w:t>
      </w:r>
      <w:r w:rsidRPr="00BA1E56">
        <w:rPr>
          <w:sz w:val="22"/>
          <w:szCs w:val="22"/>
        </w:rPr>
        <w:t xml:space="preserve"> – The LNPA program facilitates portability of U.S. geographic telephone numbers between telephony service providers.</w:t>
      </w:r>
      <w:r w:rsidR="00C933B2">
        <w:rPr>
          <w:sz w:val="22"/>
          <w:szCs w:val="22"/>
        </w:rPr>
        <w:t xml:space="preserve"> </w:t>
      </w:r>
      <w:r w:rsidRPr="00BA1E56">
        <w:rPr>
          <w:sz w:val="22"/>
          <w:szCs w:val="22"/>
        </w:rPr>
        <w:t>The LNPA program provides and operates the Number Portability Administration Center (NPAC) system that provides local number portability for the United States, performing the service of porting telephone numbers between service providers.</w:t>
      </w:r>
      <w:r w:rsidR="00C933B2">
        <w:rPr>
          <w:sz w:val="22"/>
          <w:szCs w:val="22"/>
        </w:rPr>
        <w:t xml:space="preserve"> </w:t>
      </w:r>
      <w:r w:rsidRPr="00BA1E56">
        <w:rPr>
          <w:sz w:val="22"/>
          <w:szCs w:val="22"/>
        </w:rPr>
        <w:t>The LNPA program is funded by fees the LNPA charges telecommunications service providers for its service, pursuant to FCC rules.</w:t>
      </w:r>
    </w:p>
    <w:p w:rsidR="00285D06" w:rsidP="00781438" w14:paraId="39473AE4" w14:textId="61C396E4">
      <w:pPr>
        <w:spacing w:after="240"/>
        <w:jc w:val="both"/>
        <w:rPr>
          <w:sz w:val="22"/>
          <w:szCs w:val="22"/>
        </w:rPr>
      </w:pPr>
      <w:r w:rsidRPr="00BA1E56">
        <w:rPr>
          <w:sz w:val="22"/>
          <w:szCs w:val="22"/>
        </w:rPr>
        <w:t>The FCC exercises oversight of the LNPA procurement process and regulates local number portability.</w:t>
      </w:r>
      <w:r w:rsidR="00C933B2">
        <w:rPr>
          <w:sz w:val="22"/>
          <w:szCs w:val="22"/>
        </w:rPr>
        <w:t xml:space="preserve"> </w:t>
      </w:r>
      <w:r w:rsidRPr="00BA1E56">
        <w:rPr>
          <w:sz w:val="22"/>
          <w:szCs w:val="22"/>
        </w:rPr>
        <w:t>The FCC has authorized the telephony service provider industry consortium, North American Portability Management, LLC (NAPM), to procure the LNPA and oversee the LNPA’s performance and operation of the LNPA program.</w:t>
      </w:r>
      <w:r w:rsidR="00C933B2">
        <w:rPr>
          <w:sz w:val="22"/>
          <w:szCs w:val="22"/>
        </w:rPr>
        <w:t xml:space="preserve"> </w:t>
      </w:r>
      <w:r w:rsidRPr="00BA1E56">
        <w:rPr>
          <w:sz w:val="22"/>
          <w:szCs w:val="22"/>
        </w:rPr>
        <w:t xml:space="preserve">Currently </w:t>
      </w:r>
      <w:r w:rsidRPr="00BA1E56">
        <w:rPr>
          <w:sz w:val="22"/>
          <w:szCs w:val="22"/>
        </w:rPr>
        <w:t>iconectiv</w:t>
      </w:r>
      <w:r w:rsidRPr="00BA1E56">
        <w:rPr>
          <w:sz w:val="22"/>
          <w:szCs w:val="22"/>
        </w:rPr>
        <w:t xml:space="preserve">, LLC is the LNPA under a contract with NAPM; </w:t>
      </w:r>
      <w:r w:rsidRPr="00BA1E56">
        <w:rPr>
          <w:sz w:val="22"/>
          <w:szCs w:val="22"/>
        </w:rPr>
        <w:t>iconectiv</w:t>
      </w:r>
      <w:r w:rsidRPr="00BA1E56">
        <w:rPr>
          <w:sz w:val="22"/>
          <w:szCs w:val="22"/>
        </w:rPr>
        <w:t xml:space="preserve">, LLC is a subsidiary, subject to a voting trust, of </w:t>
      </w:r>
      <w:r w:rsidRPr="00BA1E56">
        <w:rPr>
          <w:sz w:val="22"/>
          <w:szCs w:val="22"/>
        </w:rPr>
        <w:t>Telefonaktiebolaget</w:t>
      </w:r>
      <w:r w:rsidRPr="00BA1E56">
        <w:rPr>
          <w:sz w:val="22"/>
          <w:szCs w:val="22"/>
        </w:rPr>
        <w:t xml:space="preserve"> LM Ericsson (d/b/a Ericsson), a publicly traded Swedish multinational networking and telecommunications company.</w:t>
      </w:r>
      <w:r w:rsidR="00C933B2">
        <w:rPr>
          <w:sz w:val="22"/>
          <w:szCs w:val="22"/>
        </w:rPr>
        <w:t xml:space="preserve"> </w:t>
      </w:r>
    </w:p>
    <w:p w:rsidR="00285D06" w:rsidRPr="00BA1E56" w:rsidP="00781438" w14:paraId="4C185E34" w14:textId="5AE4CD7D">
      <w:pPr>
        <w:spacing w:after="240"/>
        <w:jc w:val="both"/>
        <w:rPr>
          <w:spacing w:val="-4"/>
          <w:kern w:val="16"/>
          <w:sz w:val="22"/>
          <w:szCs w:val="22"/>
        </w:rPr>
      </w:pPr>
      <w:bookmarkStart w:id="265" w:name="_Hlk80703555"/>
      <w:r w:rsidRPr="00114FB6">
        <w:rPr>
          <w:spacing w:val="-4"/>
          <w:kern w:val="16"/>
          <w:sz w:val="22"/>
          <w:szCs w:val="22"/>
        </w:rPr>
        <w:t xml:space="preserve">In accordance with SFFAS 47, </w:t>
      </w:r>
      <w:r w:rsidRPr="00114FB6">
        <w:rPr>
          <w:i/>
          <w:spacing w:val="-4"/>
          <w:kern w:val="16"/>
          <w:sz w:val="22"/>
          <w:szCs w:val="22"/>
        </w:rPr>
        <w:t xml:space="preserve">Reporting Entity, </w:t>
      </w:r>
      <w:r w:rsidRPr="00114FB6">
        <w:rPr>
          <w:spacing w:val="-4"/>
          <w:kern w:val="16"/>
          <w:sz w:val="22"/>
          <w:szCs w:val="22"/>
        </w:rPr>
        <w:t xml:space="preserve">the Commission </w:t>
      </w:r>
      <w:r>
        <w:rPr>
          <w:spacing w:val="-4"/>
          <w:kern w:val="16"/>
          <w:sz w:val="22"/>
          <w:szCs w:val="22"/>
        </w:rPr>
        <w:t>has</w:t>
      </w:r>
      <w:r>
        <w:rPr>
          <w:sz w:val="22"/>
          <w:szCs w:val="22"/>
        </w:rPr>
        <w:t xml:space="preserve"> excluded</w:t>
      </w:r>
      <w:r w:rsidRPr="00145F49">
        <w:rPr>
          <w:sz w:val="22"/>
          <w:szCs w:val="22"/>
        </w:rPr>
        <w:t xml:space="preserve"> the North American Numbering Plan Administrator (NANPA) Program and</w:t>
      </w:r>
      <w:r>
        <w:rPr>
          <w:sz w:val="22"/>
          <w:szCs w:val="22"/>
        </w:rPr>
        <w:t xml:space="preserve"> the</w:t>
      </w:r>
      <w:r w:rsidRPr="00145F49">
        <w:rPr>
          <w:sz w:val="22"/>
          <w:szCs w:val="22"/>
        </w:rPr>
        <w:t xml:space="preserve"> North American Portability Management, LLC (NAPM)</w:t>
      </w:r>
      <w:r>
        <w:rPr>
          <w:sz w:val="22"/>
          <w:szCs w:val="22"/>
        </w:rPr>
        <w:t xml:space="preserve"> because they are immaterial disclosure entities.</w:t>
      </w:r>
      <w:r w:rsidR="00C933B2">
        <w:rPr>
          <w:sz w:val="22"/>
          <w:szCs w:val="22"/>
        </w:rPr>
        <w:t xml:space="preserve"> </w:t>
      </w:r>
      <w:bookmarkEnd w:id="265"/>
      <w:r w:rsidRPr="00BA1E56">
        <w:rPr>
          <w:spacing w:val="-4"/>
          <w:kern w:val="16"/>
          <w:sz w:val="22"/>
          <w:szCs w:val="22"/>
        </w:rPr>
        <w:t xml:space="preserve">None of these entities substantially meet the requirements </w:t>
      </w:r>
      <w:r>
        <w:rPr>
          <w:spacing w:val="-4"/>
          <w:kern w:val="16"/>
          <w:sz w:val="22"/>
          <w:szCs w:val="22"/>
        </w:rPr>
        <w:t>for</w:t>
      </w:r>
      <w:r w:rsidRPr="00BA1E56">
        <w:rPr>
          <w:spacing w:val="-4"/>
          <w:kern w:val="16"/>
          <w:sz w:val="22"/>
          <w:szCs w:val="22"/>
        </w:rPr>
        <w:t xml:space="preserve"> consolidated entities.</w:t>
      </w:r>
      <w:r w:rsidR="00C933B2">
        <w:rPr>
          <w:spacing w:val="-4"/>
          <w:kern w:val="16"/>
          <w:sz w:val="22"/>
          <w:szCs w:val="22"/>
        </w:rPr>
        <w:t xml:space="preserve"> </w:t>
      </w:r>
      <w:r w:rsidRPr="00BA1E56">
        <w:rPr>
          <w:sz w:val="22"/>
          <w:szCs w:val="22"/>
        </w:rPr>
        <w:t xml:space="preserve">As of </w:t>
      </w:r>
      <w:r>
        <w:rPr>
          <w:sz w:val="22"/>
          <w:szCs w:val="22"/>
        </w:rPr>
        <w:t>September 30, 2021</w:t>
      </w:r>
      <w:r w:rsidRPr="00BA1E56">
        <w:rPr>
          <w:sz w:val="22"/>
          <w:szCs w:val="22"/>
        </w:rPr>
        <w:t xml:space="preserve">, </w:t>
      </w:r>
      <w:r w:rsidRPr="00BA1E56">
        <w:rPr>
          <w:spacing w:val="-4"/>
          <w:kern w:val="16"/>
          <w:sz w:val="22"/>
          <w:szCs w:val="22"/>
        </w:rPr>
        <w:t xml:space="preserve">the likelihood is considered remote of any potential </w:t>
      </w:r>
      <w:r w:rsidRPr="00BA1E56">
        <w:rPr>
          <w:sz w:val="22"/>
          <w:szCs w:val="22"/>
        </w:rPr>
        <w:t>financial and non-financial</w:t>
      </w:r>
      <w:r w:rsidRPr="00BA1E56">
        <w:rPr>
          <w:spacing w:val="-4"/>
          <w:kern w:val="16"/>
          <w:sz w:val="22"/>
          <w:szCs w:val="22"/>
        </w:rPr>
        <w:t xml:space="preserve"> risks or benefits for the Commission associated with the control of or involvement with USAC, NECA, </w:t>
      </w:r>
      <w:r>
        <w:rPr>
          <w:spacing w:val="-4"/>
          <w:kern w:val="16"/>
          <w:sz w:val="22"/>
          <w:szCs w:val="22"/>
        </w:rPr>
        <w:t xml:space="preserve">or </w:t>
      </w:r>
      <w:r w:rsidRPr="00BA1E56">
        <w:rPr>
          <w:spacing w:val="-4"/>
          <w:kern w:val="16"/>
          <w:sz w:val="22"/>
          <w:szCs w:val="22"/>
        </w:rPr>
        <w:t>LNPA program.</w:t>
      </w:r>
      <w:r w:rsidR="00C933B2">
        <w:rPr>
          <w:spacing w:val="-4"/>
          <w:kern w:val="16"/>
          <w:sz w:val="22"/>
          <w:szCs w:val="22"/>
        </w:rPr>
        <w:t xml:space="preserve"> </w:t>
      </w:r>
      <w:r w:rsidRPr="00BA1E56">
        <w:rPr>
          <w:spacing w:val="-4"/>
          <w:kern w:val="16"/>
          <w:sz w:val="22"/>
          <w:szCs w:val="22"/>
        </w:rPr>
        <w:t>USAC and NECA are all not-for-profit corporations</w:t>
      </w:r>
      <w:r>
        <w:rPr>
          <w:spacing w:val="-4"/>
          <w:kern w:val="16"/>
          <w:sz w:val="22"/>
          <w:szCs w:val="22"/>
        </w:rPr>
        <w:t xml:space="preserve"> </w:t>
      </w:r>
      <w:r w:rsidRPr="00BA1E56">
        <w:rPr>
          <w:spacing w:val="-4"/>
          <w:kern w:val="16"/>
          <w:sz w:val="22"/>
          <w:szCs w:val="22"/>
        </w:rPr>
        <w:t xml:space="preserve">and LNPA </w:t>
      </w:r>
      <w:r>
        <w:rPr>
          <w:spacing w:val="-4"/>
          <w:kern w:val="16"/>
          <w:sz w:val="22"/>
          <w:szCs w:val="22"/>
        </w:rPr>
        <w:t>is a</w:t>
      </w:r>
      <w:r w:rsidRPr="00BA1E56">
        <w:rPr>
          <w:spacing w:val="-4"/>
          <w:kern w:val="16"/>
          <w:sz w:val="22"/>
          <w:szCs w:val="22"/>
        </w:rPr>
        <w:t xml:space="preserve"> program pursuant to FCC rules.</w:t>
      </w:r>
      <w:r w:rsidR="00C933B2">
        <w:rPr>
          <w:spacing w:val="-4"/>
          <w:kern w:val="16"/>
          <w:sz w:val="22"/>
          <w:szCs w:val="22"/>
        </w:rPr>
        <w:t xml:space="preserve"> </w:t>
      </w:r>
      <w:r w:rsidRPr="00BA1E56">
        <w:rPr>
          <w:spacing w:val="-4"/>
          <w:kern w:val="16"/>
          <w:sz w:val="22"/>
          <w:szCs w:val="22"/>
        </w:rPr>
        <w:t xml:space="preserve">USAC’s annual reports are available at </w:t>
      </w:r>
      <w:hyperlink r:id="rId74" w:history="1">
        <w:r w:rsidRPr="00BA1E56">
          <w:rPr>
            <w:rStyle w:val="Hyperlink"/>
            <w:spacing w:val="-1"/>
            <w:sz w:val="22"/>
            <w:szCs w:val="22"/>
          </w:rPr>
          <w:t>https://www.usac.org</w:t>
        </w:r>
      </w:hyperlink>
      <w:r w:rsidRPr="00BA1E56">
        <w:rPr>
          <w:spacing w:val="-4"/>
          <w:kern w:val="16"/>
          <w:sz w:val="22"/>
          <w:szCs w:val="22"/>
        </w:rPr>
        <w:t xml:space="preserve">, while NECA’s annual reports are available </w:t>
      </w:r>
      <w:r w:rsidRPr="00BA1E56">
        <w:rPr>
          <w:sz w:val="22"/>
          <w:szCs w:val="22"/>
        </w:rPr>
        <w:t xml:space="preserve">at </w:t>
      </w:r>
      <w:hyperlink r:id="rId75" w:history="1">
        <w:r w:rsidRPr="00BA1E56">
          <w:rPr>
            <w:rStyle w:val="Hyperlink"/>
            <w:spacing w:val="-1"/>
            <w:sz w:val="22"/>
            <w:szCs w:val="22"/>
          </w:rPr>
          <w:t>https://www.neca.org</w:t>
        </w:r>
      </w:hyperlink>
      <w:r w:rsidRPr="00BA1E56">
        <w:rPr>
          <w:sz w:val="22"/>
          <w:szCs w:val="22"/>
        </w:rPr>
        <w:t>.</w:t>
      </w:r>
      <w:r w:rsidR="00C933B2">
        <w:rPr>
          <w:sz w:val="22"/>
          <w:szCs w:val="22"/>
        </w:rPr>
        <w:t xml:space="preserve"> </w:t>
      </w:r>
      <w:r w:rsidRPr="00BA1E56">
        <w:rPr>
          <w:sz w:val="22"/>
          <w:szCs w:val="22"/>
        </w:rPr>
        <w:t>LNPA program’s annual reports are submitted to N</w:t>
      </w:r>
      <w:r>
        <w:rPr>
          <w:sz w:val="22"/>
          <w:szCs w:val="22"/>
        </w:rPr>
        <w:t xml:space="preserve">orth </w:t>
      </w:r>
      <w:r w:rsidRPr="00BA1E56">
        <w:rPr>
          <w:sz w:val="22"/>
          <w:szCs w:val="22"/>
        </w:rPr>
        <w:t>A</w:t>
      </w:r>
      <w:r>
        <w:rPr>
          <w:sz w:val="22"/>
          <w:szCs w:val="22"/>
        </w:rPr>
        <w:t xml:space="preserve">merican </w:t>
      </w:r>
      <w:r w:rsidRPr="00BA1E56">
        <w:rPr>
          <w:sz w:val="22"/>
          <w:szCs w:val="22"/>
        </w:rPr>
        <w:t>P</w:t>
      </w:r>
      <w:r>
        <w:rPr>
          <w:sz w:val="22"/>
          <w:szCs w:val="22"/>
        </w:rPr>
        <w:t xml:space="preserve">ortability </w:t>
      </w:r>
      <w:r w:rsidRPr="00BA1E56">
        <w:rPr>
          <w:sz w:val="22"/>
          <w:szCs w:val="22"/>
        </w:rPr>
        <w:t>M</w:t>
      </w:r>
      <w:r>
        <w:rPr>
          <w:sz w:val="22"/>
          <w:szCs w:val="22"/>
        </w:rPr>
        <w:t>anagement LLC</w:t>
      </w:r>
      <w:r w:rsidRPr="00BA1E56">
        <w:rPr>
          <w:sz w:val="22"/>
          <w:szCs w:val="22"/>
        </w:rPr>
        <w:t>, which provides them to the FCC.</w:t>
      </w:r>
      <w:r w:rsidR="00C933B2">
        <w:rPr>
          <w:sz w:val="22"/>
          <w:szCs w:val="22"/>
        </w:rPr>
        <w:t xml:space="preserve"> </w:t>
      </w:r>
    </w:p>
    <w:p w:rsidR="004A38A6" w:rsidP="00781438" w14:paraId="4546B68B" w14:textId="77777777">
      <w:pPr>
        <w:spacing w:after="240"/>
        <w:jc w:val="both"/>
        <w:rPr>
          <w:sz w:val="22"/>
          <w:szCs w:val="22"/>
        </w:rPr>
        <w:sectPr w:rsidSect="00F054D8">
          <w:pgSz w:w="12240" w:h="15840"/>
          <w:pgMar w:top="1440" w:right="1440" w:bottom="1296" w:left="1440" w:header="720" w:footer="720" w:gutter="0"/>
          <w:cols w:space="720"/>
        </w:sectPr>
      </w:pPr>
      <w:r w:rsidRPr="00BA1E56">
        <w:rPr>
          <w:sz w:val="22"/>
          <w:szCs w:val="22"/>
        </w:rPr>
        <w:t>The following summarizes the balances</w:t>
      </w:r>
      <w:r>
        <w:rPr>
          <w:sz w:val="22"/>
          <w:szCs w:val="22"/>
        </w:rPr>
        <w:t xml:space="preserve"> from transactions</w:t>
      </w:r>
      <w:r w:rsidRPr="00BA1E56">
        <w:rPr>
          <w:sz w:val="22"/>
          <w:szCs w:val="22"/>
        </w:rPr>
        <w:t xml:space="preserve"> with Disclosure Entit</w:t>
      </w:r>
      <w:r>
        <w:rPr>
          <w:sz w:val="22"/>
          <w:szCs w:val="22"/>
        </w:rPr>
        <w:t>i</w:t>
      </w:r>
      <w:r w:rsidRPr="00BA1E56">
        <w:rPr>
          <w:sz w:val="22"/>
          <w:szCs w:val="22"/>
        </w:rPr>
        <w:t xml:space="preserve">es as of </w:t>
      </w:r>
      <w:r>
        <w:rPr>
          <w:sz w:val="22"/>
          <w:szCs w:val="22"/>
        </w:rPr>
        <w:t>September 30, 2021</w:t>
      </w:r>
      <w:r w:rsidRPr="00BA1E56">
        <w:rPr>
          <w:sz w:val="22"/>
          <w:szCs w:val="22"/>
        </w:rPr>
        <w:t xml:space="preserve"> and September 30</w:t>
      </w:r>
      <w:r>
        <w:rPr>
          <w:sz w:val="22"/>
          <w:szCs w:val="22"/>
        </w:rPr>
        <w:t>, 2020</w:t>
      </w:r>
      <w:r w:rsidRPr="00BA1E56">
        <w:rPr>
          <w:sz w:val="22"/>
          <w:szCs w:val="22"/>
        </w:rPr>
        <w:t>.</w:t>
      </w:r>
    </w:p>
    <w:p w:rsidR="00285D06" w:rsidRPr="00BA1E56" w:rsidP="00B4635C" w14:paraId="57A9E09B" w14:textId="77777777">
      <w:pPr>
        <w:spacing w:after="240"/>
        <w:jc w:val="both"/>
        <w:rPr>
          <w:b/>
          <w:bCs/>
          <w:sz w:val="22"/>
          <w:szCs w:val="22"/>
        </w:rPr>
      </w:pPr>
      <w:r w:rsidRPr="00BA1E56">
        <w:rPr>
          <w:b/>
          <w:bCs/>
          <w:sz w:val="22"/>
          <w:szCs w:val="22"/>
        </w:rPr>
        <w:t>Note 1</w:t>
      </w:r>
      <w:r>
        <w:rPr>
          <w:b/>
          <w:bCs/>
          <w:sz w:val="22"/>
          <w:szCs w:val="22"/>
        </w:rPr>
        <w:t>7</w:t>
      </w:r>
      <w:r w:rsidRPr="00BA1E56">
        <w:rPr>
          <w:b/>
          <w:bCs/>
          <w:sz w:val="22"/>
          <w:szCs w:val="22"/>
        </w:rPr>
        <w:t xml:space="preserve"> – Disclosure Entities (continued)</w:t>
      </w:r>
    </w:p>
    <w:tbl>
      <w:tblPr>
        <w:tblStyle w:val="TableGrid"/>
        <w:tblW w:w="81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050"/>
        <w:gridCol w:w="1260"/>
        <w:gridCol w:w="1350"/>
        <w:gridCol w:w="1440"/>
      </w:tblGrid>
      <w:tr w14:paraId="58AB978B" w14:textId="77777777" w:rsidTr="00F56E68">
        <w:tblPrEx>
          <w:tblW w:w="81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blHeader/>
          <w:jc w:val="center"/>
        </w:trPr>
        <w:tc>
          <w:tcPr>
            <w:tcW w:w="4050" w:type="dxa"/>
            <w:vAlign w:val="bottom"/>
          </w:tcPr>
          <w:bookmarkEnd w:id="264"/>
          <w:p w:rsidR="00D744C3" w:rsidRPr="003F5AE1" w:rsidP="00285D06" w14:paraId="4ACE8B86" w14:textId="3FF09350">
            <w:pPr>
              <w:jc w:val="both"/>
              <w:rPr>
                <w:sz w:val="22"/>
                <w:szCs w:val="22"/>
              </w:rPr>
            </w:pPr>
            <w:r w:rsidRPr="003F5AE1">
              <w:rPr>
                <w:sz w:val="22"/>
                <w:szCs w:val="22"/>
                <w:u w:val="single"/>
              </w:rPr>
              <w:t xml:space="preserve">FY </w:t>
            </w:r>
            <w:r>
              <w:rPr>
                <w:sz w:val="22"/>
                <w:szCs w:val="22"/>
                <w:u w:val="single"/>
              </w:rPr>
              <w:t>2021</w:t>
            </w:r>
          </w:p>
        </w:tc>
        <w:tc>
          <w:tcPr>
            <w:tcW w:w="1260" w:type="dxa"/>
            <w:tcBorders>
              <w:bottom w:val="single" w:sz="4" w:space="0" w:color="auto"/>
            </w:tcBorders>
            <w:vAlign w:val="bottom"/>
          </w:tcPr>
          <w:p w:rsidR="00D744C3" w:rsidRPr="003F5AE1" w:rsidP="00285D06" w14:paraId="70CB815F" w14:textId="77777777">
            <w:pPr>
              <w:jc w:val="center"/>
            </w:pPr>
            <w:r w:rsidRPr="003F5AE1">
              <w:t>USAC</w:t>
            </w:r>
          </w:p>
        </w:tc>
        <w:tc>
          <w:tcPr>
            <w:tcW w:w="1350" w:type="dxa"/>
            <w:tcBorders>
              <w:left w:val="nil"/>
              <w:bottom w:val="single" w:sz="4" w:space="0" w:color="auto"/>
            </w:tcBorders>
            <w:vAlign w:val="bottom"/>
          </w:tcPr>
          <w:p w:rsidR="00D744C3" w:rsidRPr="003F5AE1" w:rsidP="00285D06" w14:paraId="0B875867" w14:textId="77777777">
            <w:pPr>
              <w:jc w:val="center"/>
            </w:pPr>
            <w:r w:rsidRPr="003F5AE1">
              <w:t>NECA</w:t>
            </w:r>
          </w:p>
        </w:tc>
        <w:tc>
          <w:tcPr>
            <w:tcW w:w="1440" w:type="dxa"/>
            <w:tcBorders>
              <w:left w:val="nil"/>
              <w:bottom w:val="single" w:sz="4" w:space="0" w:color="auto"/>
            </w:tcBorders>
            <w:vAlign w:val="bottom"/>
          </w:tcPr>
          <w:p w:rsidR="00D744C3" w:rsidRPr="003F5AE1" w:rsidP="00285D06" w14:paraId="455E95F4" w14:textId="77777777">
            <w:pPr>
              <w:jc w:val="center"/>
            </w:pPr>
            <w:r w:rsidRPr="003F5AE1">
              <w:t xml:space="preserve">Total </w:t>
            </w:r>
          </w:p>
        </w:tc>
      </w:tr>
      <w:tr w14:paraId="2B708179" w14:textId="77777777" w:rsidTr="00F56E68">
        <w:tblPrEx>
          <w:tblW w:w="8100" w:type="dxa"/>
          <w:jc w:val="center"/>
          <w:tblLayout w:type="fixed"/>
          <w:tblLook w:val="04A0"/>
        </w:tblPrEx>
        <w:trPr>
          <w:jc w:val="center"/>
        </w:trPr>
        <w:tc>
          <w:tcPr>
            <w:tcW w:w="4050" w:type="dxa"/>
            <w:vAlign w:val="bottom"/>
          </w:tcPr>
          <w:p w:rsidR="00D744C3" w:rsidRPr="003F5AE1" w:rsidP="00285D06" w14:paraId="6C8C77D8" w14:textId="07431F6E">
            <w:pPr>
              <w:jc w:val="both"/>
              <w:rPr>
                <w:sz w:val="22"/>
                <w:szCs w:val="22"/>
              </w:rPr>
            </w:pPr>
            <w:r w:rsidRPr="003F5AE1">
              <w:rPr>
                <w:b/>
                <w:bCs/>
                <w:sz w:val="22"/>
                <w:szCs w:val="22"/>
              </w:rPr>
              <w:t>Balance Sheet</w:t>
            </w:r>
          </w:p>
        </w:tc>
        <w:tc>
          <w:tcPr>
            <w:tcW w:w="1260" w:type="dxa"/>
            <w:tcBorders>
              <w:top w:val="single" w:sz="4" w:space="0" w:color="auto"/>
            </w:tcBorders>
            <w:vAlign w:val="bottom"/>
          </w:tcPr>
          <w:p w:rsidR="00D744C3" w:rsidRPr="003F5AE1" w:rsidP="00285D06" w14:paraId="63DE7DA5" w14:textId="77777777">
            <w:pPr>
              <w:jc w:val="center"/>
              <w:rPr>
                <w:sz w:val="22"/>
                <w:szCs w:val="22"/>
              </w:rPr>
            </w:pPr>
          </w:p>
        </w:tc>
        <w:tc>
          <w:tcPr>
            <w:tcW w:w="1350" w:type="dxa"/>
            <w:tcBorders>
              <w:top w:val="single" w:sz="4" w:space="0" w:color="auto"/>
            </w:tcBorders>
            <w:vAlign w:val="bottom"/>
          </w:tcPr>
          <w:p w:rsidR="00D744C3" w:rsidRPr="003F5AE1" w:rsidP="00285D06" w14:paraId="7F875DAE" w14:textId="77777777">
            <w:pPr>
              <w:jc w:val="center"/>
              <w:rPr>
                <w:sz w:val="22"/>
                <w:szCs w:val="22"/>
              </w:rPr>
            </w:pPr>
          </w:p>
        </w:tc>
        <w:tc>
          <w:tcPr>
            <w:tcW w:w="1440" w:type="dxa"/>
            <w:tcBorders>
              <w:top w:val="single" w:sz="4" w:space="0" w:color="auto"/>
            </w:tcBorders>
            <w:vAlign w:val="bottom"/>
          </w:tcPr>
          <w:p w:rsidR="00D744C3" w:rsidRPr="003F5AE1" w:rsidP="00285D06" w14:paraId="38B5A465" w14:textId="77777777">
            <w:pPr>
              <w:jc w:val="center"/>
              <w:rPr>
                <w:sz w:val="22"/>
                <w:szCs w:val="22"/>
              </w:rPr>
            </w:pPr>
          </w:p>
        </w:tc>
      </w:tr>
      <w:tr w14:paraId="3E905E6E" w14:textId="77777777" w:rsidTr="00F56E68">
        <w:tblPrEx>
          <w:tblW w:w="8100" w:type="dxa"/>
          <w:jc w:val="center"/>
          <w:tblLayout w:type="fixed"/>
          <w:tblLook w:val="04A0"/>
        </w:tblPrEx>
        <w:trPr>
          <w:jc w:val="center"/>
        </w:trPr>
        <w:tc>
          <w:tcPr>
            <w:tcW w:w="4050" w:type="dxa"/>
            <w:vAlign w:val="bottom"/>
          </w:tcPr>
          <w:p w:rsidR="00D744C3" w:rsidP="00B4635C" w14:paraId="74194BA1" w14:textId="77777777">
            <w:pPr>
              <w:ind w:left="288"/>
              <w:rPr>
                <w:sz w:val="22"/>
                <w:szCs w:val="22"/>
              </w:rPr>
            </w:pPr>
            <w:r>
              <w:rPr>
                <w:sz w:val="22"/>
                <w:szCs w:val="22"/>
              </w:rPr>
              <w:t>Advances and prepayments</w:t>
            </w:r>
            <w:r w:rsidRPr="003F5AE1">
              <w:rPr>
                <w:sz w:val="22"/>
                <w:szCs w:val="22"/>
              </w:rPr>
              <w:t xml:space="preserve"> </w:t>
            </w:r>
          </w:p>
          <w:p w:rsidR="00D744C3" w:rsidRPr="003F5AE1" w:rsidP="00B4635C" w14:paraId="09775581" w14:textId="77777777">
            <w:pPr>
              <w:ind w:left="288"/>
              <w:rPr>
                <w:sz w:val="22"/>
                <w:szCs w:val="22"/>
              </w:rPr>
            </w:pPr>
            <w:r w:rsidRPr="003F5AE1">
              <w:rPr>
                <w:sz w:val="22"/>
                <w:szCs w:val="22"/>
              </w:rPr>
              <w:t xml:space="preserve">(Note 1 </w:t>
            </w:r>
            <w:r>
              <w:rPr>
                <w:sz w:val="22"/>
                <w:szCs w:val="22"/>
              </w:rPr>
              <w:t>G</w:t>
            </w:r>
            <w:r w:rsidRPr="003F5AE1">
              <w:rPr>
                <w:sz w:val="22"/>
                <w:szCs w:val="22"/>
              </w:rPr>
              <w:t>)</w:t>
            </w:r>
          </w:p>
        </w:tc>
        <w:tc>
          <w:tcPr>
            <w:tcW w:w="1260" w:type="dxa"/>
            <w:tcBorders>
              <w:left w:val="nil"/>
            </w:tcBorders>
            <w:vAlign w:val="bottom"/>
          </w:tcPr>
          <w:p w:rsidR="00D744C3" w:rsidRPr="003F5AE1" w:rsidP="00285D06" w14:paraId="4217ECA3" w14:textId="60513519">
            <w:pPr>
              <w:jc w:val="right"/>
              <w:rPr>
                <w:sz w:val="22"/>
                <w:szCs w:val="22"/>
              </w:rPr>
            </w:pPr>
            <w:r>
              <w:rPr>
                <w:sz w:val="22"/>
                <w:szCs w:val="22"/>
              </w:rPr>
              <w:t>$</w:t>
            </w:r>
            <w:r w:rsidR="0018008C">
              <w:rPr>
                <w:sz w:val="22"/>
                <w:szCs w:val="22"/>
              </w:rPr>
              <w:t xml:space="preserve">  </w:t>
            </w:r>
            <w:r>
              <w:rPr>
                <w:sz w:val="22"/>
                <w:szCs w:val="22"/>
              </w:rPr>
              <w:t xml:space="preserve">   18,024</w:t>
            </w:r>
          </w:p>
        </w:tc>
        <w:tc>
          <w:tcPr>
            <w:tcW w:w="1350" w:type="dxa"/>
            <w:vAlign w:val="bottom"/>
          </w:tcPr>
          <w:p w:rsidR="00D744C3" w:rsidRPr="003F5AE1" w:rsidP="00C44467" w14:paraId="20E33060" w14:textId="6D5F8013">
            <w:pPr>
              <w:rPr>
                <w:sz w:val="22"/>
                <w:szCs w:val="22"/>
              </w:rPr>
            </w:pPr>
            <w:r>
              <w:rPr>
                <w:sz w:val="22"/>
                <w:szCs w:val="22"/>
              </w:rPr>
              <w:t>$                 -</w:t>
            </w:r>
          </w:p>
        </w:tc>
        <w:tc>
          <w:tcPr>
            <w:tcW w:w="1440" w:type="dxa"/>
            <w:vAlign w:val="bottom"/>
          </w:tcPr>
          <w:p w:rsidR="00D744C3" w:rsidRPr="003F5AE1" w:rsidP="00285D06" w14:paraId="56C0D3F6" w14:textId="6FC963B4">
            <w:pPr>
              <w:jc w:val="right"/>
              <w:rPr>
                <w:sz w:val="22"/>
                <w:szCs w:val="22"/>
              </w:rPr>
            </w:pPr>
            <w:r>
              <w:rPr>
                <w:sz w:val="22"/>
                <w:szCs w:val="22"/>
              </w:rPr>
              <w:t>$         18,024</w:t>
            </w:r>
          </w:p>
        </w:tc>
      </w:tr>
      <w:tr w14:paraId="0AD66D27" w14:textId="77777777" w:rsidTr="00F56E68">
        <w:tblPrEx>
          <w:tblW w:w="8100" w:type="dxa"/>
          <w:jc w:val="center"/>
          <w:tblLayout w:type="fixed"/>
          <w:tblLook w:val="04A0"/>
        </w:tblPrEx>
        <w:trPr>
          <w:jc w:val="center"/>
        </w:trPr>
        <w:tc>
          <w:tcPr>
            <w:tcW w:w="4050" w:type="dxa"/>
            <w:vAlign w:val="bottom"/>
          </w:tcPr>
          <w:p w:rsidR="00D744C3" w:rsidRPr="003F5AE1" w:rsidP="00B4635C" w14:paraId="2819E329" w14:textId="78AF9E95">
            <w:pPr>
              <w:ind w:left="288"/>
              <w:jc w:val="both"/>
              <w:rPr>
                <w:sz w:val="22"/>
                <w:szCs w:val="22"/>
              </w:rPr>
            </w:pPr>
            <w:r w:rsidRPr="003F5AE1">
              <w:rPr>
                <w:sz w:val="22"/>
                <w:szCs w:val="22"/>
              </w:rPr>
              <w:t>Accounts payable</w:t>
            </w:r>
            <w:r>
              <w:rPr>
                <w:rStyle w:val="FootnoteReference"/>
                <w:sz w:val="22"/>
                <w:szCs w:val="22"/>
              </w:rPr>
              <w:footnoteReference w:customMarkFollows="1" w:id="17"/>
              <w:t xml:space="preserve">1</w:t>
            </w:r>
          </w:p>
        </w:tc>
        <w:tc>
          <w:tcPr>
            <w:tcW w:w="1260" w:type="dxa"/>
            <w:tcBorders>
              <w:left w:val="nil"/>
            </w:tcBorders>
            <w:vAlign w:val="bottom"/>
          </w:tcPr>
          <w:p w:rsidR="00D744C3" w:rsidRPr="003F5AE1" w:rsidP="00285D06" w14:paraId="042C6B3F" w14:textId="77777777">
            <w:pPr>
              <w:jc w:val="right"/>
              <w:rPr>
                <w:sz w:val="22"/>
                <w:szCs w:val="22"/>
              </w:rPr>
            </w:pPr>
            <w:r>
              <w:rPr>
                <w:sz w:val="22"/>
                <w:szCs w:val="22"/>
              </w:rPr>
              <w:t>12,813</w:t>
            </w:r>
          </w:p>
        </w:tc>
        <w:tc>
          <w:tcPr>
            <w:tcW w:w="1350" w:type="dxa"/>
            <w:vAlign w:val="bottom"/>
          </w:tcPr>
          <w:p w:rsidR="00D744C3" w:rsidRPr="003F5AE1" w:rsidP="00285D06" w14:paraId="246AE0CB" w14:textId="77777777">
            <w:pPr>
              <w:jc w:val="right"/>
              <w:rPr>
                <w:sz w:val="22"/>
                <w:szCs w:val="22"/>
              </w:rPr>
            </w:pPr>
            <w:r>
              <w:rPr>
                <w:sz w:val="22"/>
                <w:szCs w:val="22"/>
              </w:rPr>
              <w:t>-</w:t>
            </w:r>
          </w:p>
        </w:tc>
        <w:tc>
          <w:tcPr>
            <w:tcW w:w="1440" w:type="dxa"/>
            <w:vAlign w:val="bottom"/>
          </w:tcPr>
          <w:p w:rsidR="00D744C3" w:rsidRPr="003F5AE1" w:rsidP="00285D06" w14:paraId="01894987" w14:textId="77777777">
            <w:pPr>
              <w:jc w:val="right"/>
              <w:rPr>
                <w:sz w:val="22"/>
                <w:szCs w:val="22"/>
              </w:rPr>
            </w:pPr>
            <w:r>
              <w:rPr>
                <w:sz w:val="22"/>
                <w:szCs w:val="22"/>
              </w:rPr>
              <w:t>12,813</w:t>
            </w:r>
          </w:p>
        </w:tc>
      </w:tr>
      <w:tr w14:paraId="44340417" w14:textId="77777777" w:rsidTr="00F56E68">
        <w:tblPrEx>
          <w:tblW w:w="8100" w:type="dxa"/>
          <w:jc w:val="center"/>
          <w:tblLayout w:type="fixed"/>
          <w:tblLook w:val="04A0"/>
        </w:tblPrEx>
        <w:trPr>
          <w:trHeight w:val="459"/>
          <w:jc w:val="center"/>
        </w:trPr>
        <w:tc>
          <w:tcPr>
            <w:tcW w:w="4050" w:type="dxa"/>
            <w:vAlign w:val="bottom"/>
          </w:tcPr>
          <w:p w:rsidR="00D744C3" w:rsidRPr="003F5AE1" w:rsidP="00285D06" w14:paraId="02BD9448" w14:textId="1E30A31B">
            <w:pPr>
              <w:jc w:val="both"/>
              <w:rPr>
                <w:sz w:val="22"/>
                <w:szCs w:val="22"/>
              </w:rPr>
            </w:pPr>
            <w:r w:rsidRPr="003F5AE1">
              <w:rPr>
                <w:b/>
                <w:bCs/>
                <w:sz w:val="22"/>
                <w:szCs w:val="22"/>
              </w:rPr>
              <w:t>Statement of Net Cost</w:t>
            </w:r>
          </w:p>
        </w:tc>
        <w:tc>
          <w:tcPr>
            <w:tcW w:w="1260" w:type="dxa"/>
            <w:tcBorders>
              <w:left w:val="nil"/>
            </w:tcBorders>
            <w:vAlign w:val="bottom"/>
          </w:tcPr>
          <w:p w:rsidR="00D744C3" w:rsidRPr="003F5AE1" w:rsidP="00285D06" w14:paraId="3DEE3CD6" w14:textId="77777777">
            <w:pPr>
              <w:jc w:val="right"/>
              <w:rPr>
                <w:sz w:val="22"/>
                <w:szCs w:val="22"/>
              </w:rPr>
            </w:pPr>
          </w:p>
        </w:tc>
        <w:tc>
          <w:tcPr>
            <w:tcW w:w="1350" w:type="dxa"/>
            <w:vAlign w:val="bottom"/>
          </w:tcPr>
          <w:p w:rsidR="00D744C3" w:rsidRPr="003F5AE1" w:rsidP="00285D06" w14:paraId="6C9E4D11" w14:textId="77777777">
            <w:pPr>
              <w:jc w:val="right"/>
              <w:rPr>
                <w:sz w:val="22"/>
                <w:szCs w:val="22"/>
              </w:rPr>
            </w:pPr>
          </w:p>
        </w:tc>
        <w:tc>
          <w:tcPr>
            <w:tcW w:w="1440" w:type="dxa"/>
            <w:vAlign w:val="bottom"/>
          </w:tcPr>
          <w:p w:rsidR="00D744C3" w:rsidRPr="003F5AE1" w:rsidP="00285D06" w14:paraId="57BB36D9" w14:textId="77777777">
            <w:pPr>
              <w:jc w:val="right"/>
              <w:rPr>
                <w:sz w:val="22"/>
                <w:szCs w:val="22"/>
              </w:rPr>
            </w:pPr>
          </w:p>
        </w:tc>
      </w:tr>
      <w:tr w14:paraId="47A6AA95" w14:textId="77777777" w:rsidTr="00F56E68">
        <w:tblPrEx>
          <w:tblW w:w="8100" w:type="dxa"/>
          <w:jc w:val="center"/>
          <w:tblLayout w:type="fixed"/>
          <w:tblLook w:val="04A0"/>
        </w:tblPrEx>
        <w:trPr>
          <w:jc w:val="center"/>
        </w:trPr>
        <w:tc>
          <w:tcPr>
            <w:tcW w:w="4050" w:type="dxa"/>
            <w:vAlign w:val="bottom"/>
          </w:tcPr>
          <w:p w:rsidR="00D744C3" w:rsidRPr="003F5AE1" w:rsidP="00B4635C" w14:paraId="49BFDF19" w14:textId="65EBD203">
            <w:pPr>
              <w:ind w:left="288"/>
              <w:jc w:val="both"/>
              <w:rPr>
                <w:sz w:val="22"/>
                <w:szCs w:val="22"/>
              </w:rPr>
            </w:pPr>
            <w:r w:rsidRPr="003F5AE1">
              <w:rPr>
                <w:sz w:val="22"/>
                <w:szCs w:val="22"/>
              </w:rPr>
              <w:t>Net cost of operations</w:t>
            </w:r>
            <w:r>
              <w:rPr>
                <w:rStyle w:val="FootnoteReference"/>
                <w:sz w:val="22"/>
                <w:szCs w:val="22"/>
              </w:rPr>
              <w:footnoteReference w:customMarkFollows="1" w:id="18"/>
              <w:t xml:space="preserve">2</w:t>
            </w:r>
          </w:p>
        </w:tc>
        <w:tc>
          <w:tcPr>
            <w:tcW w:w="1260" w:type="dxa"/>
            <w:tcBorders>
              <w:left w:val="nil"/>
            </w:tcBorders>
            <w:vAlign w:val="bottom"/>
          </w:tcPr>
          <w:p w:rsidR="00D744C3" w:rsidRPr="003F5AE1" w:rsidP="00285D06" w14:paraId="60DE8F08" w14:textId="0A112700">
            <w:pPr>
              <w:jc w:val="right"/>
              <w:rPr>
                <w:sz w:val="22"/>
                <w:szCs w:val="22"/>
              </w:rPr>
            </w:pPr>
            <w:r>
              <w:rPr>
                <w:sz w:val="22"/>
                <w:szCs w:val="22"/>
              </w:rPr>
              <w:t>$</w:t>
            </w:r>
            <w:r w:rsidR="0018008C">
              <w:rPr>
                <w:sz w:val="22"/>
                <w:szCs w:val="22"/>
              </w:rPr>
              <w:t xml:space="preserve">  </w:t>
            </w:r>
            <w:r>
              <w:rPr>
                <w:sz w:val="22"/>
                <w:szCs w:val="22"/>
              </w:rPr>
              <w:t xml:space="preserve"> 196,364</w:t>
            </w:r>
          </w:p>
        </w:tc>
        <w:tc>
          <w:tcPr>
            <w:tcW w:w="1350" w:type="dxa"/>
            <w:vAlign w:val="bottom"/>
          </w:tcPr>
          <w:p w:rsidR="00D744C3" w:rsidRPr="003F5AE1" w:rsidP="00285D06" w14:paraId="177F0FFB" w14:textId="0DA0544A">
            <w:pPr>
              <w:jc w:val="right"/>
              <w:rPr>
                <w:sz w:val="22"/>
                <w:szCs w:val="22"/>
              </w:rPr>
            </w:pPr>
            <w:r>
              <w:rPr>
                <w:sz w:val="22"/>
                <w:szCs w:val="22"/>
              </w:rPr>
              <w:t>$            321</w:t>
            </w:r>
          </w:p>
        </w:tc>
        <w:tc>
          <w:tcPr>
            <w:tcW w:w="1440" w:type="dxa"/>
            <w:vAlign w:val="bottom"/>
          </w:tcPr>
          <w:p w:rsidR="00D744C3" w:rsidRPr="003F5AE1" w:rsidP="00285D06" w14:paraId="663CDAE7" w14:textId="65618A78">
            <w:pPr>
              <w:jc w:val="right"/>
              <w:rPr>
                <w:sz w:val="22"/>
                <w:szCs w:val="22"/>
              </w:rPr>
            </w:pPr>
            <w:r>
              <w:rPr>
                <w:sz w:val="22"/>
                <w:szCs w:val="22"/>
              </w:rPr>
              <w:t>$       196,685</w:t>
            </w:r>
          </w:p>
        </w:tc>
      </w:tr>
      <w:tr w14:paraId="10B32205" w14:textId="77777777" w:rsidTr="00F56E68">
        <w:tblPrEx>
          <w:tblW w:w="8100" w:type="dxa"/>
          <w:jc w:val="center"/>
          <w:tblLayout w:type="fixed"/>
          <w:tblLook w:val="04A0"/>
        </w:tblPrEx>
        <w:trPr>
          <w:trHeight w:val="468"/>
          <w:jc w:val="center"/>
        </w:trPr>
        <w:tc>
          <w:tcPr>
            <w:tcW w:w="4050" w:type="dxa"/>
            <w:vAlign w:val="bottom"/>
          </w:tcPr>
          <w:p w:rsidR="00D744C3" w:rsidRPr="003F5AE1" w:rsidP="00285D06" w14:paraId="0153AFA3" w14:textId="77777777">
            <w:pPr>
              <w:rPr>
                <w:b/>
                <w:bCs/>
                <w:sz w:val="22"/>
                <w:szCs w:val="22"/>
              </w:rPr>
            </w:pPr>
            <w:r w:rsidRPr="003F5AE1">
              <w:rPr>
                <w:b/>
                <w:bCs/>
                <w:sz w:val="22"/>
                <w:szCs w:val="22"/>
              </w:rPr>
              <w:t>Statement of Changes in Net Position</w:t>
            </w:r>
          </w:p>
        </w:tc>
        <w:tc>
          <w:tcPr>
            <w:tcW w:w="1260" w:type="dxa"/>
            <w:tcBorders>
              <w:left w:val="nil"/>
            </w:tcBorders>
            <w:vAlign w:val="bottom"/>
          </w:tcPr>
          <w:p w:rsidR="00D744C3" w:rsidRPr="003F5AE1" w:rsidP="00285D06" w14:paraId="0285A010" w14:textId="77777777">
            <w:pPr>
              <w:jc w:val="both"/>
              <w:rPr>
                <w:sz w:val="22"/>
                <w:szCs w:val="22"/>
              </w:rPr>
            </w:pPr>
          </w:p>
        </w:tc>
        <w:tc>
          <w:tcPr>
            <w:tcW w:w="1350" w:type="dxa"/>
            <w:vAlign w:val="bottom"/>
          </w:tcPr>
          <w:p w:rsidR="00D744C3" w:rsidRPr="003F5AE1" w:rsidP="00285D06" w14:paraId="3076FBFE" w14:textId="77777777">
            <w:pPr>
              <w:jc w:val="both"/>
              <w:rPr>
                <w:sz w:val="22"/>
                <w:szCs w:val="22"/>
              </w:rPr>
            </w:pPr>
          </w:p>
        </w:tc>
        <w:tc>
          <w:tcPr>
            <w:tcW w:w="1440" w:type="dxa"/>
            <w:vAlign w:val="bottom"/>
          </w:tcPr>
          <w:p w:rsidR="00D744C3" w:rsidRPr="003F5AE1" w:rsidP="00285D06" w14:paraId="34934462" w14:textId="77777777">
            <w:pPr>
              <w:jc w:val="both"/>
              <w:rPr>
                <w:sz w:val="22"/>
                <w:szCs w:val="22"/>
              </w:rPr>
            </w:pPr>
          </w:p>
        </w:tc>
      </w:tr>
      <w:tr w14:paraId="75B3F081" w14:textId="77777777" w:rsidTr="00F56E68">
        <w:tblPrEx>
          <w:tblW w:w="8100" w:type="dxa"/>
          <w:jc w:val="center"/>
          <w:tblLayout w:type="fixed"/>
          <w:tblLook w:val="04A0"/>
        </w:tblPrEx>
        <w:trPr>
          <w:jc w:val="center"/>
        </w:trPr>
        <w:tc>
          <w:tcPr>
            <w:tcW w:w="4050" w:type="dxa"/>
            <w:vAlign w:val="bottom"/>
          </w:tcPr>
          <w:p w:rsidR="00D744C3" w:rsidRPr="003F5AE1" w:rsidP="00B4635C" w14:paraId="2E0FB5B3" w14:textId="4CB5B890">
            <w:pPr>
              <w:ind w:left="288"/>
              <w:jc w:val="both"/>
              <w:rPr>
                <w:sz w:val="22"/>
                <w:szCs w:val="22"/>
              </w:rPr>
            </w:pPr>
            <w:r w:rsidRPr="003F5AE1">
              <w:rPr>
                <w:sz w:val="22"/>
                <w:szCs w:val="22"/>
              </w:rPr>
              <w:t>Net cost of operations</w:t>
            </w:r>
            <w:r w:rsidRPr="003F5AE1">
              <w:rPr>
                <w:rStyle w:val="FootnoteReference"/>
                <w:sz w:val="22"/>
                <w:szCs w:val="22"/>
              </w:rPr>
              <w:t>2</w:t>
            </w:r>
          </w:p>
        </w:tc>
        <w:tc>
          <w:tcPr>
            <w:tcW w:w="1260" w:type="dxa"/>
            <w:tcBorders>
              <w:left w:val="nil"/>
            </w:tcBorders>
            <w:vAlign w:val="bottom"/>
          </w:tcPr>
          <w:p w:rsidR="00D744C3" w:rsidP="00285D06" w14:paraId="2BBA7117" w14:textId="08BB6501">
            <w:pPr>
              <w:jc w:val="right"/>
              <w:rPr>
                <w:sz w:val="22"/>
                <w:szCs w:val="22"/>
              </w:rPr>
            </w:pPr>
            <w:r>
              <w:rPr>
                <w:sz w:val="22"/>
                <w:szCs w:val="22"/>
              </w:rPr>
              <w:t>$</w:t>
            </w:r>
            <w:r w:rsidR="0018008C">
              <w:rPr>
                <w:sz w:val="22"/>
                <w:szCs w:val="22"/>
              </w:rPr>
              <w:t xml:space="preserve">  </w:t>
            </w:r>
            <w:r>
              <w:rPr>
                <w:sz w:val="22"/>
                <w:szCs w:val="22"/>
              </w:rPr>
              <w:t xml:space="preserve"> 196,364</w:t>
            </w:r>
          </w:p>
        </w:tc>
        <w:tc>
          <w:tcPr>
            <w:tcW w:w="1350" w:type="dxa"/>
            <w:vAlign w:val="bottom"/>
          </w:tcPr>
          <w:p w:rsidR="00D744C3" w:rsidP="00285D06" w14:paraId="22C77F7B" w14:textId="4FE251F7">
            <w:pPr>
              <w:jc w:val="right"/>
              <w:rPr>
                <w:sz w:val="22"/>
                <w:szCs w:val="22"/>
              </w:rPr>
            </w:pPr>
            <w:r>
              <w:rPr>
                <w:sz w:val="22"/>
                <w:szCs w:val="22"/>
              </w:rPr>
              <w:t>$            321</w:t>
            </w:r>
          </w:p>
        </w:tc>
        <w:tc>
          <w:tcPr>
            <w:tcW w:w="1440" w:type="dxa"/>
            <w:vAlign w:val="bottom"/>
          </w:tcPr>
          <w:p w:rsidR="00D744C3" w:rsidP="00285D06" w14:paraId="6D807FCE" w14:textId="07521DA3">
            <w:pPr>
              <w:jc w:val="right"/>
              <w:rPr>
                <w:sz w:val="22"/>
                <w:szCs w:val="22"/>
              </w:rPr>
            </w:pPr>
            <w:r>
              <w:rPr>
                <w:sz w:val="22"/>
                <w:szCs w:val="22"/>
              </w:rPr>
              <w:t>$       196,685</w:t>
            </w:r>
          </w:p>
        </w:tc>
      </w:tr>
    </w:tbl>
    <w:p w:rsidR="00285D06" w:rsidP="00AB50B2" w14:paraId="2379CD24" w14:textId="77777777">
      <w:pPr>
        <w:spacing w:before="240"/>
        <w:jc w:val="both"/>
      </w:pPr>
    </w:p>
    <w:tbl>
      <w:tblPr>
        <w:tblStyle w:val="TableGrid"/>
        <w:tblW w:w="8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870"/>
        <w:gridCol w:w="1260"/>
        <w:gridCol w:w="1350"/>
        <w:gridCol w:w="1530"/>
      </w:tblGrid>
      <w:tr w14:paraId="7ABFF314" w14:textId="77777777" w:rsidTr="00F56E68">
        <w:tblPrEx>
          <w:tblW w:w="80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blHeader/>
          <w:jc w:val="center"/>
        </w:trPr>
        <w:tc>
          <w:tcPr>
            <w:tcW w:w="3870" w:type="dxa"/>
            <w:vAlign w:val="bottom"/>
          </w:tcPr>
          <w:p w:rsidR="00D744C3" w:rsidRPr="003F5AE1" w:rsidP="00285D06" w14:paraId="5D2844C3" w14:textId="4944FD54">
            <w:pPr>
              <w:jc w:val="both"/>
              <w:rPr>
                <w:sz w:val="22"/>
                <w:szCs w:val="22"/>
              </w:rPr>
            </w:pPr>
            <w:r w:rsidRPr="003F5AE1">
              <w:rPr>
                <w:sz w:val="22"/>
                <w:szCs w:val="22"/>
                <w:u w:val="single"/>
              </w:rPr>
              <w:t xml:space="preserve">FY </w:t>
            </w:r>
            <w:r>
              <w:rPr>
                <w:sz w:val="22"/>
                <w:szCs w:val="22"/>
                <w:u w:val="single"/>
              </w:rPr>
              <w:t>2020</w:t>
            </w:r>
          </w:p>
        </w:tc>
        <w:tc>
          <w:tcPr>
            <w:tcW w:w="1260" w:type="dxa"/>
            <w:tcBorders>
              <w:bottom w:val="single" w:sz="4" w:space="0" w:color="auto"/>
            </w:tcBorders>
            <w:vAlign w:val="center"/>
          </w:tcPr>
          <w:p w:rsidR="00D744C3" w:rsidRPr="003F5AE1" w:rsidP="00285D06" w14:paraId="6CE2CD0C" w14:textId="77777777">
            <w:pPr>
              <w:jc w:val="center"/>
            </w:pPr>
            <w:r w:rsidRPr="003F5AE1">
              <w:t>USAC</w:t>
            </w:r>
          </w:p>
        </w:tc>
        <w:tc>
          <w:tcPr>
            <w:tcW w:w="1350" w:type="dxa"/>
            <w:tcBorders>
              <w:left w:val="nil"/>
              <w:bottom w:val="single" w:sz="4" w:space="0" w:color="auto"/>
            </w:tcBorders>
            <w:vAlign w:val="center"/>
          </w:tcPr>
          <w:p w:rsidR="00D744C3" w:rsidRPr="003F5AE1" w:rsidP="00285D06" w14:paraId="7FC42A45" w14:textId="77777777">
            <w:pPr>
              <w:jc w:val="center"/>
            </w:pPr>
            <w:r w:rsidRPr="003F5AE1">
              <w:t>NECA</w:t>
            </w:r>
          </w:p>
        </w:tc>
        <w:tc>
          <w:tcPr>
            <w:tcW w:w="1530" w:type="dxa"/>
            <w:tcBorders>
              <w:left w:val="nil"/>
              <w:bottom w:val="single" w:sz="4" w:space="0" w:color="auto"/>
            </w:tcBorders>
            <w:vAlign w:val="center"/>
          </w:tcPr>
          <w:p w:rsidR="00D744C3" w:rsidRPr="003F5AE1" w:rsidP="00285D06" w14:paraId="61D67128" w14:textId="77777777">
            <w:pPr>
              <w:jc w:val="center"/>
            </w:pPr>
            <w:r w:rsidRPr="003F5AE1">
              <w:t xml:space="preserve">Total </w:t>
            </w:r>
          </w:p>
        </w:tc>
      </w:tr>
      <w:tr w14:paraId="0B530643" w14:textId="77777777" w:rsidTr="00F56E68">
        <w:tblPrEx>
          <w:tblW w:w="8010" w:type="dxa"/>
          <w:jc w:val="center"/>
          <w:tblLayout w:type="fixed"/>
          <w:tblLook w:val="04A0"/>
        </w:tblPrEx>
        <w:trPr>
          <w:jc w:val="center"/>
        </w:trPr>
        <w:tc>
          <w:tcPr>
            <w:tcW w:w="3870" w:type="dxa"/>
            <w:vAlign w:val="bottom"/>
          </w:tcPr>
          <w:p w:rsidR="00D744C3" w:rsidRPr="003F5AE1" w:rsidP="00285D06" w14:paraId="340D7988" w14:textId="741F8C17">
            <w:pPr>
              <w:jc w:val="both"/>
              <w:rPr>
                <w:sz w:val="22"/>
                <w:szCs w:val="22"/>
              </w:rPr>
            </w:pPr>
            <w:r w:rsidRPr="003F5AE1">
              <w:rPr>
                <w:b/>
                <w:bCs/>
                <w:sz w:val="22"/>
                <w:szCs w:val="22"/>
              </w:rPr>
              <w:t>Balance Sheet</w:t>
            </w:r>
          </w:p>
        </w:tc>
        <w:tc>
          <w:tcPr>
            <w:tcW w:w="1260" w:type="dxa"/>
            <w:tcBorders>
              <w:top w:val="single" w:sz="4" w:space="0" w:color="auto"/>
            </w:tcBorders>
            <w:vAlign w:val="bottom"/>
          </w:tcPr>
          <w:p w:rsidR="00D744C3" w:rsidRPr="003F5AE1" w:rsidP="00285D06" w14:paraId="03FC2370" w14:textId="77777777">
            <w:pPr>
              <w:jc w:val="center"/>
              <w:rPr>
                <w:sz w:val="22"/>
                <w:szCs w:val="22"/>
              </w:rPr>
            </w:pPr>
          </w:p>
        </w:tc>
        <w:tc>
          <w:tcPr>
            <w:tcW w:w="1350" w:type="dxa"/>
            <w:tcBorders>
              <w:top w:val="single" w:sz="4" w:space="0" w:color="auto"/>
            </w:tcBorders>
            <w:vAlign w:val="bottom"/>
          </w:tcPr>
          <w:p w:rsidR="00D744C3" w:rsidRPr="003F5AE1" w:rsidP="00285D06" w14:paraId="376D3609" w14:textId="77777777">
            <w:pPr>
              <w:jc w:val="center"/>
              <w:rPr>
                <w:sz w:val="22"/>
                <w:szCs w:val="22"/>
              </w:rPr>
            </w:pPr>
          </w:p>
        </w:tc>
        <w:tc>
          <w:tcPr>
            <w:tcW w:w="1530" w:type="dxa"/>
            <w:tcBorders>
              <w:top w:val="single" w:sz="4" w:space="0" w:color="auto"/>
            </w:tcBorders>
            <w:vAlign w:val="bottom"/>
          </w:tcPr>
          <w:p w:rsidR="00D744C3" w:rsidRPr="003F5AE1" w:rsidP="00285D06" w14:paraId="7A96EEC5" w14:textId="77777777">
            <w:pPr>
              <w:jc w:val="center"/>
              <w:rPr>
                <w:sz w:val="22"/>
                <w:szCs w:val="22"/>
              </w:rPr>
            </w:pPr>
          </w:p>
        </w:tc>
      </w:tr>
      <w:tr w14:paraId="7A4E4E21" w14:textId="77777777" w:rsidTr="00F56E68">
        <w:tblPrEx>
          <w:tblW w:w="8010" w:type="dxa"/>
          <w:jc w:val="center"/>
          <w:tblLayout w:type="fixed"/>
          <w:tblLook w:val="04A0"/>
        </w:tblPrEx>
        <w:trPr>
          <w:jc w:val="center"/>
        </w:trPr>
        <w:tc>
          <w:tcPr>
            <w:tcW w:w="3870" w:type="dxa"/>
            <w:vAlign w:val="bottom"/>
          </w:tcPr>
          <w:p w:rsidR="00D744C3" w:rsidP="00656593" w14:paraId="7D5C741C" w14:textId="77777777">
            <w:pPr>
              <w:ind w:left="288"/>
              <w:rPr>
                <w:sz w:val="22"/>
                <w:szCs w:val="22"/>
              </w:rPr>
            </w:pPr>
            <w:r>
              <w:rPr>
                <w:sz w:val="22"/>
                <w:szCs w:val="22"/>
              </w:rPr>
              <w:t>Advance and prepayments</w:t>
            </w:r>
            <w:r w:rsidRPr="003F5AE1">
              <w:rPr>
                <w:sz w:val="22"/>
                <w:szCs w:val="22"/>
              </w:rPr>
              <w:t xml:space="preserve"> </w:t>
            </w:r>
          </w:p>
          <w:p w:rsidR="00D744C3" w:rsidRPr="003F5AE1" w:rsidP="00656593" w14:paraId="5EDF54B9" w14:textId="77777777">
            <w:pPr>
              <w:ind w:left="288"/>
              <w:rPr>
                <w:sz w:val="22"/>
                <w:szCs w:val="22"/>
              </w:rPr>
            </w:pPr>
            <w:r w:rsidRPr="003F5AE1">
              <w:rPr>
                <w:sz w:val="22"/>
                <w:szCs w:val="22"/>
              </w:rPr>
              <w:t xml:space="preserve">(Note 1 </w:t>
            </w:r>
            <w:r>
              <w:rPr>
                <w:sz w:val="22"/>
                <w:szCs w:val="22"/>
              </w:rPr>
              <w:t>G</w:t>
            </w:r>
            <w:r w:rsidRPr="003F5AE1">
              <w:rPr>
                <w:sz w:val="22"/>
                <w:szCs w:val="22"/>
              </w:rPr>
              <w:t>)</w:t>
            </w:r>
          </w:p>
        </w:tc>
        <w:tc>
          <w:tcPr>
            <w:tcW w:w="1260" w:type="dxa"/>
            <w:vAlign w:val="bottom"/>
          </w:tcPr>
          <w:p w:rsidR="00D744C3" w:rsidRPr="003F5AE1" w:rsidP="00285D06" w14:paraId="38C23578" w14:textId="4E44E081">
            <w:pPr>
              <w:jc w:val="right"/>
              <w:rPr>
                <w:sz w:val="22"/>
                <w:szCs w:val="22"/>
              </w:rPr>
            </w:pPr>
            <w:r w:rsidRPr="003F5AE1">
              <w:rPr>
                <w:sz w:val="22"/>
                <w:szCs w:val="22"/>
              </w:rPr>
              <w:t>$</w:t>
            </w:r>
            <w:r>
              <w:rPr>
                <w:sz w:val="22"/>
                <w:szCs w:val="22"/>
              </w:rPr>
              <w:t xml:space="preserve"> </w:t>
            </w:r>
            <w:r w:rsidR="00614783">
              <w:rPr>
                <w:sz w:val="22"/>
                <w:szCs w:val="22"/>
              </w:rPr>
              <w:t xml:space="preserve">  </w:t>
            </w:r>
            <w:r>
              <w:rPr>
                <w:sz w:val="22"/>
                <w:szCs w:val="22"/>
              </w:rPr>
              <w:t xml:space="preserve">  </w:t>
            </w:r>
            <w:r w:rsidRPr="003F5AE1">
              <w:rPr>
                <w:sz w:val="22"/>
                <w:szCs w:val="22"/>
              </w:rPr>
              <w:t>18,024</w:t>
            </w:r>
          </w:p>
        </w:tc>
        <w:tc>
          <w:tcPr>
            <w:tcW w:w="1350" w:type="dxa"/>
            <w:vAlign w:val="bottom"/>
          </w:tcPr>
          <w:p w:rsidR="00D744C3" w:rsidRPr="003F5AE1" w:rsidP="00285D06" w14:paraId="02DC70E9" w14:textId="6B858490">
            <w:pPr>
              <w:jc w:val="right"/>
              <w:rPr>
                <w:sz w:val="22"/>
                <w:szCs w:val="22"/>
              </w:rPr>
            </w:pPr>
            <w:r w:rsidRPr="003F5AE1">
              <w:rPr>
                <w:sz w:val="22"/>
                <w:szCs w:val="22"/>
              </w:rPr>
              <w:t>$</w:t>
            </w:r>
            <w:r>
              <w:rPr>
                <w:sz w:val="22"/>
                <w:szCs w:val="22"/>
              </w:rPr>
              <w:t xml:space="preserve">     </w:t>
            </w:r>
            <w:r w:rsidRPr="003F5AE1">
              <w:rPr>
                <w:sz w:val="22"/>
                <w:szCs w:val="22"/>
              </w:rPr>
              <w:t xml:space="preserve">            -</w:t>
            </w:r>
          </w:p>
        </w:tc>
        <w:tc>
          <w:tcPr>
            <w:tcW w:w="1530" w:type="dxa"/>
            <w:vAlign w:val="bottom"/>
          </w:tcPr>
          <w:p w:rsidR="00D744C3" w:rsidRPr="003F5AE1" w:rsidP="00285D06" w14:paraId="18A48350" w14:textId="550D80BB">
            <w:pPr>
              <w:jc w:val="right"/>
              <w:rPr>
                <w:sz w:val="22"/>
                <w:szCs w:val="22"/>
              </w:rPr>
            </w:pPr>
            <w:r w:rsidRPr="003F5AE1">
              <w:rPr>
                <w:sz w:val="22"/>
                <w:szCs w:val="22"/>
              </w:rPr>
              <w:t>$</w:t>
            </w:r>
            <w:r>
              <w:rPr>
                <w:sz w:val="22"/>
                <w:szCs w:val="22"/>
              </w:rPr>
              <w:t xml:space="preserve">          </w:t>
            </w:r>
            <w:r w:rsidRPr="003F5AE1">
              <w:rPr>
                <w:sz w:val="22"/>
                <w:szCs w:val="22"/>
              </w:rPr>
              <w:t>18,024</w:t>
            </w:r>
          </w:p>
        </w:tc>
      </w:tr>
      <w:tr w14:paraId="540100EF" w14:textId="77777777" w:rsidTr="00F56E68">
        <w:tblPrEx>
          <w:tblW w:w="8010" w:type="dxa"/>
          <w:jc w:val="center"/>
          <w:tblLayout w:type="fixed"/>
          <w:tblLook w:val="04A0"/>
        </w:tblPrEx>
        <w:trPr>
          <w:jc w:val="center"/>
        </w:trPr>
        <w:tc>
          <w:tcPr>
            <w:tcW w:w="3870" w:type="dxa"/>
            <w:vAlign w:val="bottom"/>
          </w:tcPr>
          <w:p w:rsidR="00D744C3" w:rsidRPr="003F5AE1" w:rsidP="00656593" w14:paraId="224600C1" w14:textId="77777777">
            <w:pPr>
              <w:ind w:left="288"/>
              <w:jc w:val="both"/>
              <w:rPr>
                <w:sz w:val="22"/>
                <w:szCs w:val="22"/>
              </w:rPr>
            </w:pPr>
            <w:r w:rsidRPr="003F5AE1">
              <w:rPr>
                <w:sz w:val="22"/>
                <w:szCs w:val="22"/>
              </w:rPr>
              <w:t>Accounts payable</w:t>
            </w:r>
            <w:r>
              <w:rPr>
                <w:rStyle w:val="FootnoteReference"/>
                <w:sz w:val="22"/>
                <w:szCs w:val="22"/>
              </w:rPr>
              <w:t>1</w:t>
            </w:r>
          </w:p>
        </w:tc>
        <w:tc>
          <w:tcPr>
            <w:tcW w:w="1260" w:type="dxa"/>
            <w:vAlign w:val="bottom"/>
          </w:tcPr>
          <w:p w:rsidR="00D744C3" w:rsidRPr="003F5AE1" w:rsidP="00285D06" w14:paraId="7297C2E1" w14:textId="77777777">
            <w:pPr>
              <w:jc w:val="right"/>
              <w:rPr>
                <w:sz w:val="22"/>
                <w:szCs w:val="22"/>
              </w:rPr>
            </w:pPr>
            <w:r>
              <w:rPr>
                <w:sz w:val="22"/>
                <w:szCs w:val="22"/>
              </w:rPr>
              <w:t>7,270</w:t>
            </w:r>
          </w:p>
        </w:tc>
        <w:tc>
          <w:tcPr>
            <w:tcW w:w="1350" w:type="dxa"/>
            <w:vAlign w:val="bottom"/>
          </w:tcPr>
          <w:p w:rsidR="00D744C3" w:rsidRPr="003F5AE1" w:rsidP="00285D06" w14:paraId="27E92803" w14:textId="77777777">
            <w:pPr>
              <w:jc w:val="right"/>
              <w:rPr>
                <w:sz w:val="22"/>
                <w:szCs w:val="22"/>
              </w:rPr>
            </w:pPr>
            <w:r w:rsidRPr="003F5AE1">
              <w:rPr>
                <w:sz w:val="22"/>
                <w:szCs w:val="22"/>
              </w:rPr>
              <w:t>2</w:t>
            </w:r>
            <w:r>
              <w:rPr>
                <w:sz w:val="22"/>
                <w:szCs w:val="22"/>
              </w:rPr>
              <w:t>7</w:t>
            </w:r>
          </w:p>
        </w:tc>
        <w:tc>
          <w:tcPr>
            <w:tcW w:w="1530" w:type="dxa"/>
            <w:vAlign w:val="bottom"/>
          </w:tcPr>
          <w:p w:rsidR="00D744C3" w:rsidRPr="003F5AE1" w:rsidP="00285D06" w14:paraId="35E602AA" w14:textId="77777777">
            <w:pPr>
              <w:jc w:val="right"/>
              <w:rPr>
                <w:sz w:val="22"/>
                <w:szCs w:val="22"/>
              </w:rPr>
            </w:pPr>
            <w:r>
              <w:rPr>
                <w:sz w:val="22"/>
                <w:szCs w:val="22"/>
              </w:rPr>
              <w:t>7,297</w:t>
            </w:r>
          </w:p>
        </w:tc>
      </w:tr>
      <w:tr w14:paraId="6D59F36D" w14:textId="77777777" w:rsidTr="00F56E68">
        <w:tblPrEx>
          <w:tblW w:w="8010" w:type="dxa"/>
          <w:jc w:val="center"/>
          <w:tblLayout w:type="fixed"/>
          <w:tblLook w:val="04A0"/>
        </w:tblPrEx>
        <w:trPr>
          <w:trHeight w:val="423"/>
          <w:jc w:val="center"/>
        </w:trPr>
        <w:tc>
          <w:tcPr>
            <w:tcW w:w="3870" w:type="dxa"/>
            <w:vAlign w:val="bottom"/>
          </w:tcPr>
          <w:p w:rsidR="00D744C3" w:rsidRPr="003F5AE1" w:rsidP="00285D06" w14:paraId="00C71989" w14:textId="18A12E6F">
            <w:pPr>
              <w:jc w:val="both"/>
              <w:rPr>
                <w:sz w:val="22"/>
                <w:szCs w:val="22"/>
              </w:rPr>
            </w:pPr>
            <w:r w:rsidRPr="003F5AE1">
              <w:rPr>
                <w:b/>
                <w:bCs/>
                <w:sz w:val="22"/>
                <w:szCs w:val="22"/>
              </w:rPr>
              <w:t>Statement of Net Cost</w:t>
            </w:r>
          </w:p>
        </w:tc>
        <w:tc>
          <w:tcPr>
            <w:tcW w:w="1260" w:type="dxa"/>
            <w:tcBorders>
              <w:left w:val="nil"/>
            </w:tcBorders>
            <w:vAlign w:val="bottom"/>
          </w:tcPr>
          <w:p w:rsidR="00D744C3" w:rsidRPr="003F5AE1" w:rsidP="00285D06" w14:paraId="712B3D49" w14:textId="77777777">
            <w:pPr>
              <w:jc w:val="right"/>
              <w:rPr>
                <w:sz w:val="22"/>
                <w:szCs w:val="22"/>
              </w:rPr>
            </w:pPr>
          </w:p>
        </w:tc>
        <w:tc>
          <w:tcPr>
            <w:tcW w:w="1350" w:type="dxa"/>
            <w:vAlign w:val="bottom"/>
          </w:tcPr>
          <w:p w:rsidR="00D744C3" w:rsidRPr="003F5AE1" w:rsidP="00285D06" w14:paraId="497F769D" w14:textId="77777777">
            <w:pPr>
              <w:jc w:val="right"/>
              <w:rPr>
                <w:sz w:val="22"/>
                <w:szCs w:val="22"/>
              </w:rPr>
            </w:pPr>
          </w:p>
        </w:tc>
        <w:tc>
          <w:tcPr>
            <w:tcW w:w="1530" w:type="dxa"/>
            <w:vAlign w:val="bottom"/>
          </w:tcPr>
          <w:p w:rsidR="00D744C3" w:rsidRPr="003F5AE1" w:rsidP="00285D06" w14:paraId="39076FD4" w14:textId="77777777">
            <w:pPr>
              <w:jc w:val="right"/>
              <w:rPr>
                <w:sz w:val="22"/>
                <w:szCs w:val="22"/>
              </w:rPr>
            </w:pPr>
          </w:p>
        </w:tc>
      </w:tr>
      <w:tr w14:paraId="2C834111" w14:textId="77777777" w:rsidTr="00F56E68">
        <w:tblPrEx>
          <w:tblW w:w="8010" w:type="dxa"/>
          <w:jc w:val="center"/>
          <w:tblLayout w:type="fixed"/>
          <w:tblLook w:val="04A0"/>
        </w:tblPrEx>
        <w:trPr>
          <w:jc w:val="center"/>
        </w:trPr>
        <w:tc>
          <w:tcPr>
            <w:tcW w:w="3870" w:type="dxa"/>
            <w:vAlign w:val="bottom"/>
          </w:tcPr>
          <w:p w:rsidR="00D744C3" w:rsidRPr="003F5AE1" w:rsidP="00656593" w14:paraId="5E2DD09A" w14:textId="77777777">
            <w:pPr>
              <w:ind w:left="288"/>
              <w:jc w:val="both"/>
              <w:rPr>
                <w:sz w:val="22"/>
                <w:szCs w:val="22"/>
              </w:rPr>
            </w:pPr>
            <w:r w:rsidRPr="003F5AE1">
              <w:rPr>
                <w:sz w:val="22"/>
                <w:szCs w:val="22"/>
              </w:rPr>
              <w:t>Net cost of operations</w:t>
            </w:r>
            <w:r>
              <w:rPr>
                <w:rStyle w:val="FootnoteReference"/>
                <w:sz w:val="22"/>
                <w:szCs w:val="22"/>
              </w:rPr>
              <w:t>2</w:t>
            </w:r>
          </w:p>
        </w:tc>
        <w:tc>
          <w:tcPr>
            <w:tcW w:w="1260" w:type="dxa"/>
            <w:tcBorders>
              <w:left w:val="nil"/>
            </w:tcBorders>
            <w:vAlign w:val="bottom"/>
          </w:tcPr>
          <w:p w:rsidR="00D744C3" w:rsidRPr="003F5AE1" w:rsidP="00285D06" w14:paraId="1EA88102" w14:textId="3FF15DF5">
            <w:pPr>
              <w:jc w:val="right"/>
              <w:rPr>
                <w:sz w:val="22"/>
                <w:szCs w:val="22"/>
              </w:rPr>
            </w:pPr>
            <w:r w:rsidRPr="003F5AE1">
              <w:rPr>
                <w:sz w:val="22"/>
                <w:szCs w:val="22"/>
              </w:rPr>
              <w:t>$</w:t>
            </w:r>
            <w:r>
              <w:rPr>
                <w:sz w:val="22"/>
                <w:szCs w:val="22"/>
              </w:rPr>
              <w:t xml:space="preserve"> </w:t>
            </w:r>
            <w:r w:rsidR="00614783">
              <w:rPr>
                <w:sz w:val="22"/>
                <w:szCs w:val="22"/>
              </w:rPr>
              <w:t xml:space="preserve">  </w:t>
            </w:r>
            <w:r w:rsidRPr="003F5AE1">
              <w:rPr>
                <w:sz w:val="22"/>
                <w:szCs w:val="22"/>
              </w:rPr>
              <w:t>1</w:t>
            </w:r>
            <w:r>
              <w:rPr>
                <w:sz w:val="22"/>
                <w:szCs w:val="22"/>
              </w:rPr>
              <w:t>87,458</w:t>
            </w:r>
          </w:p>
        </w:tc>
        <w:tc>
          <w:tcPr>
            <w:tcW w:w="1350" w:type="dxa"/>
            <w:vAlign w:val="bottom"/>
          </w:tcPr>
          <w:p w:rsidR="00D744C3" w:rsidRPr="003F5AE1" w:rsidP="00285D06" w14:paraId="18C77DFE" w14:textId="16446FE1">
            <w:pPr>
              <w:jc w:val="right"/>
              <w:rPr>
                <w:sz w:val="22"/>
                <w:szCs w:val="22"/>
              </w:rPr>
            </w:pPr>
            <w:r w:rsidRPr="003F5AE1">
              <w:rPr>
                <w:sz w:val="22"/>
                <w:szCs w:val="22"/>
              </w:rPr>
              <w:t>$</w:t>
            </w:r>
            <w:r>
              <w:rPr>
                <w:sz w:val="22"/>
                <w:szCs w:val="22"/>
              </w:rPr>
              <w:t xml:space="preserve">            </w:t>
            </w:r>
            <w:r w:rsidRPr="003F5AE1">
              <w:rPr>
                <w:sz w:val="22"/>
                <w:szCs w:val="22"/>
              </w:rPr>
              <w:t>4</w:t>
            </w:r>
            <w:r>
              <w:rPr>
                <w:sz w:val="22"/>
                <w:szCs w:val="22"/>
              </w:rPr>
              <w:t>82</w:t>
            </w:r>
          </w:p>
        </w:tc>
        <w:tc>
          <w:tcPr>
            <w:tcW w:w="1530" w:type="dxa"/>
            <w:vAlign w:val="bottom"/>
          </w:tcPr>
          <w:p w:rsidR="00D744C3" w:rsidRPr="003F5AE1" w:rsidP="00285D06" w14:paraId="05230BAB" w14:textId="5E2BE56D">
            <w:pPr>
              <w:jc w:val="right"/>
              <w:rPr>
                <w:sz w:val="22"/>
                <w:szCs w:val="22"/>
              </w:rPr>
            </w:pPr>
            <w:r w:rsidRPr="003F5AE1">
              <w:rPr>
                <w:sz w:val="22"/>
                <w:szCs w:val="22"/>
              </w:rPr>
              <w:t>$</w:t>
            </w:r>
            <w:r>
              <w:rPr>
                <w:sz w:val="22"/>
                <w:szCs w:val="22"/>
              </w:rPr>
              <w:t xml:space="preserve">        </w:t>
            </w:r>
            <w:r w:rsidRPr="003F5AE1">
              <w:rPr>
                <w:sz w:val="22"/>
                <w:szCs w:val="22"/>
              </w:rPr>
              <w:t>1</w:t>
            </w:r>
            <w:r>
              <w:rPr>
                <w:sz w:val="22"/>
                <w:szCs w:val="22"/>
              </w:rPr>
              <w:t>87,940</w:t>
            </w:r>
          </w:p>
        </w:tc>
      </w:tr>
      <w:tr w14:paraId="23B2839C" w14:textId="77777777" w:rsidTr="00F56E68">
        <w:tblPrEx>
          <w:tblW w:w="8010" w:type="dxa"/>
          <w:jc w:val="center"/>
          <w:tblLayout w:type="fixed"/>
          <w:tblLook w:val="04A0"/>
        </w:tblPrEx>
        <w:trPr>
          <w:trHeight w:val="414"/>
          <w:jc w:val="center"/>
        </w:trPr>
        <w:tc>
          <w:tcPr>
            <w:tcW w:w="3870" w:type="dxa"/>
            <w:vAlign w:val="bottom"/>
          </w:tcPr>
          <w:p w:rsidR="00D744C3" w:rsidRPr="003F5AE1" w:rsidP="00285D06" w14:paraId="2CB29A23" w14:textId="77777777">
            <w:pPr>
              <w:rPr>
                <w:b/>
                <w:bCs/>
                <w:sz w:val="22"/>
                <w:szCs w:val="22"/>
              </w:rPr>
            </w:pPr>
            <w:r w:rsidRPr="003F5AE1">
              <w:rPr>
                <w:b/>
                <w:bCs/>
                <w:sz w:val="22"/>
                <w:szCs w:val="22"/>
              </w:rPr>
              <w:t>Statement of Changes in Net Position</w:t>
            </w:r>
          </w:p>
        </w:tc>
        <w:tc>
          <w:tcPr>
            <w:tcW w:w="1260" w:type="dxa"/>
            <w:vAlign w:val="bottom"/>
          </w:tcPr>
          <w:p w:rsidR="00D744C3" w:rsidRPr="003F5AE1" w:rsidP="00285D06" w14:paraId="5AD00B27" w14:textId="77777777">
            <w:pPr>
              <w:jc w:val="both"/>
              <w:rPr>
                <w:sz w:val="22"/>
                <w:szCs w:val="22"/>
              </w:rPr>
            </w:pPr>
          </w:p>
        </w:tc>
        <w:tc>
          <w:tcPr>
            <w:tcW w:w="1350" w:type="dxa"/>
            <w:vAlign w:val="bottom"/>
          </w:tcPr>
          <w:p w:rsidR="00D744C3" w:rsidRPr="003F5AE1" w:rsidP="00285D06" w14:paraId="531CFB7E" w14:textId="77777777">
            <w:pPr>
              <w:jc w:val="both"/>
              <w:rPr>
                <w:sz w:val="22"/>
                <w:szCs w:val="22"/>
              </w:rPr>
            </w:pPr>
          </w:p>
        </w:tc>
        <w:tc>
          <w:tcPr>
            <w:tcW w:w="1530" w:type="dxa"/>
            <w:vAlign w:val="bottom"/>
          </w:tcPr>
          <w:p w:rsidR="00D744C3" w:rsidRPr="003F5AE1" w:rsidP="00285D06" w14:paraId="1635A974" w14:textId="77777777">
            <w:pPr>
              <w:jc w:val="both"/>
              <w:rPr>
                <w:sz w:val="22"/>
                <w:szCs w:val="22"/>
              </w:rPr>
            </w:pPr>
          </w:p>
        </w:tc>
      </w:tr>
      <w:tr w14:paraId="2A8539CF" w14:textId="77777777" w:rsidTr="00F56E68">
        <w:tblPrEx>
          <w:tblW w:w="8010" w:type="dxa"/>
          <w:jc w:val="center"/>
          <w:tblLayout w:type="fixed"/>
          <w:tblLook w:val="04A0"/>
        </w:tblPrEx>
        <w:trPr>
          <w:jc w:val="center"/>
        </w:trPr>
        <w:tc>
          <w:tcPr>
            <w:tcW w:w="3870" w:type="dxa"/>
            <w:vAlign w:val="bottom"/>
          </w:tcPr>
          <w:p w:rsidR="00D744C3" w:rsidRPr="003F5AE1" w:rsidP="00656593" w14:paraId="64611BCE" w14:textId="77777777">
            <w:pPr>
              <w:ind w:left="288"/>
              <w:jc w:val="both"/>
              <w:rPr>
                <w:sz w:val="22"/>
                <w:szCs w:val="22"/>
              </w:rPr>
            </w:pPr>
            <w:r w:rsidRPr="003F5AE1">
              <w:rPr>
                <w:sz w:val="22"/>
                <w:szCs w:val="22"/>
              </w:rPr>
              <w:t>Net cost of operations</w:t>
            </w:r>
            <w:r w:rsidRPr="003F5AE1">
              <w:rPr>
                <w:rStyle w:val="FootnoteReference"/>
                <w:sz w:val="22"/>
                <w:szCs w:val="22"/>
              </w:rPr>
              <w:t>2</w:t>
            </w:r>
          </w:p>
        </w:tc>
        <w:tc>
          <w:tcPr>
            <w:tcW w:w="1260" w:type="dxa"/>
            <w:vAlign w:val="bottom"/>
          </w:tcPr>
          <w:p w:rsidR="00D744C3" w:rsidRPr="003F5AE1" w:rsidP="00285D06" w14:paraId="7C74A904" w14:textId="6E447A1E">
            <w:pPr>
              <w:jc w:val="right"/>
              <w:rPr>
                <w:sz w:val="22"/>
                <w:szCs w:val="22"/>
              </w:rPr>
            </w:pPr>
            <w:r w:rsidRPr="003F5AE1">
              <w:rPr>
                <w:sz w:val="22"/>
                <w:szCs w:val="22"/>
              </w:rPr>
              <w:t>$</w:t>
            </w:r>
            <w:r w:rsidR="0018008C">
              <w:rPr>
                <w:sz w:val="22"/>
                <w:szCs w:val="22"/>
              </w:rPr>
              <w:t xml:space="preserve">  </w:t>
            </w:r>
            <w:r>
              <w:rPr>
                <w:sz w:val="22"/>
                <w:szCs w:val="22"/>
              </w:rPr>
              <w:t xml:space="preserve"> </w:t>
            </w:r>
            <w:r w:rsidRPr="003F5AE1">
              <w:rPr>
                <w:sz w:val="22"/>
                <w:szCs w:val="22"/>
              </w:rPr>
              <w:t>1</w:t>
            </w:r>
            <w:r>
              <w:rPr>
                <w:sz w:val="22"/>
                <w:szCs w:val="22"/>
              </w:rPr>
              <w:t>87,458</w:t>
            </w:r>
          </w:p>
        </w:tc>
        <w:tc>
          <w:tcPr>
            <w:tcW w:w="1350" w:type="dxa"/>
            <w:vAlign w:val="bottom"/>
          </w:tcPr>
          <w:p w:rsidR="00D744C3" w:rsidRPr="003F5AE1" w:rsidP="00285D06" w14:paraId="60F6DE20" w14:textId="6384FD62">
            <w:pPr>
              <w:jc w:val="right"/>
              <w:rPr>
                <w:sz w:val="22"/>
                <w:szCs w:val="22"/>
              </w:rPr>
            </w:pPr>
            <w:r w:rsidRPr="003F5AE1">
              <w:rPr>
                <w:sz w:val="22"/>
                <w:szCs w:val="22"/>
              </w:rPr>
              <w:t>$</w:t>
            </w:r>
            <w:r>
              <w:rPr>
                <w:sz w:val="22"/>
                <w:szCs w:val="22"/>
              </w:rPr>
              <w:t xml:space="preserve">            </w:t>
            </w:r>
            <w:r w:rsidRPr="003F5AE1">
              <w:rPr>
                <w:sz w:val="22"/>
                <w:szCs w:val="22"/>
              </w:rPr>
              <w:t>4</w:t>
            </w:r>
            <w:r>
              <w:rPr>
                <w:sz w:val="22"/>
                <w:szCs w:val="22"/>
              </w:rPr>
              <w:t>82</w:t>
            </w:r>
          </w:p>
        </w:tc>
        <w:tc>
          <w:tcPr>
            <w:tcW w:w="1530" w:type="dxa"/>
            <w:vAlign w:val="bottom"/>
          </w:tcPr>
          <w:p w:rsidR="00D744C3" w:rsidRPr="003F5AE1" w:rsidP="00285D06" w14:paraId="160A7708" w14:textId="70B3F6B3">
            <w:pPr>
              <w:jc w:val="right"/>
              <w:rPr>
                <w:sz w:val="22"/>
                <w:szCs w:val="22"/>
              </w:rPr>
            </w:pPr>
            <w:r w:rsidRPr="003F5AE1">
              <w:rPr>
                <w:sz w:val="22"/>
                <w:szCs w:val="22"/>
              </w:rPr>
              <w:t>$</w:t>
            </w:r>
            <w:r>
              <w:rPr>
                <w:sz w:val="22"/>
                <w:szCs w:val="22"/>
              </w:rPr>
              <w:t xml:space="preserve">        </w:t>
            </w:r>
            <w:r w:rsidRPr="003F5AE1">
              <w:rPr>
                <w:sz w:val="22"/>
                <w:szCs w:val="22"/>
              </w:rPr>
              <w:t>1</w:t>
            </w:r>
            <w:r>
              <w:rPr>
                <w:sz w:val="22"/>
                <w:szCs w:val="22"/>
              </w:rPr>
              <w:t>87,940</w:t>
            </w:r>
          </w:p>
        </w:tc>
      </w:tr>
    </w:tbl>
    <w:p w:rsidR="00285D06" w:rsidRPr="00705175" w:rsidP="00656593" w14:paraId="337CB12D" w14:textId="77777777">
      <w:pPr>
        <w:pStyle w:val="Heading4"/>
        <w:spacing w:before="480"/>
        <w:rPr>
          <w:sz w:val="22"/>
          <w:szCs w:val="22"/>
        </w:rPr>
      </w:pPr>
      <w:bookmarkStart w:id="266" w:name="_Toc88780713"/>
      <w:bookmarkStart w:id="267" w:name="_Hlk86145392"/>
      <w:r w:rsidRPr="00705175">
        <w:rPr>
          <w:sz w:val="22"/>
          <w:szCs w:val="22"/>
        </w:rPr>
        <w:t>Note 18 – COVID-19 Activity</w:t>
      </w:r>
      <w:bookmarkEnd w:id="266"/>
    </w:p>
    <w:p w:rsidR="00974668" w:rsidP="00285D06" w14:paraId="56548E12" w14:textId="77777777">
      <w:pPr>
        <w:jc w:val="both"/>
        <w:rPr>
          <w:sz w:val="22"/>
          <w:szCs w:val="22"/>
        </w:rPr>
        <w:sectPr w:rsidSect="00F054D8">
          <w:pgSz w:w="12240" w:h="15840"/>
          <w:pgMar w:top="1440" w:right="1440" w:bottom="1296" w:left="1440" w:header="720" w:footer="720" w:gutter="0"/>
          <w:cols w:space="720"/>
        </w:sectPr>
      </w:pPr>
      <w:r w:rsidRPr="00927035">
        <w:rPr>
          <w:sz w:val="22"/>
          <w:szCs w:val="22"/>
          <w:u w:val="single"/>
        </w:rPr>
        <w:t>COVID-19 Telehealth Program</w:t>
      </w:r>
      <w:r w:rsidRPr="00A04C35">
        <w:rPr>
          <w:sz w:val="22"/>
          <w:szCs w:val="22"/>
        </w:rPr>
        <w:t xml:space="preserve"> </w:t>
      </w:r>
      <w:r w:rsidRPr="00927035">
        <w:rPr>
          <w:sz w:val="22"/>
          <w:szCs w:val="22"/>
        </w:rPr>
        <w:t>–</w:t>
      </w:r>
      <w:r>
        <w:rPr>
          <w:sz w:val="22"/>
          <w:szCs w:val="22"/>
        </w:rPr>
        <w:t xml:space="preserve"> </w:t>
      </w:r>
      <w:r w:rsidRPr="006B1DAC">
        <w:rPr>
          <w:sz w:val="22"/>
          <w:szCs w:val="22"/>
        </w:rPr>
        <w:t>Due to the ongoing novel</w:t>
      </w:r>
      <w:r>
        <w:rPr>
          <w:sz w:val="22"/>
          <w:szCs w:val="22"/>
        </w:rPr>
        <w:t xml:space="preserve"> </w:t>
      </w:r>
      <w:r w:rsidRPr="00D80FAC">
        <w:rPr>
          <w:sz w:val="22"/>
          <w:szCs w:val="22"/>
        </w:rPr>
        <w:t xml:space="preserve">COVID-19 pandemic, the Commission established the COVID-19 Telehealth Program through a Report and Order released on April 2, </w:t>
      </w:r>
      <w:r w:rsidRPr="006B1DAC">
        <w:rPr>
          <w:sz w:val="22"/>
          <w:szCs w:val="22"/>
        </w:rPr>
        <w:t>2020.</w:t>
      </w:r>
      <w:r w:rsidR="00C933B2">
        <w:rPr>
          <w:sz w:val="22"/>
          <w:szCs w:val="22"/>
        </w:rPr>
        <w:t xml:space="preserve"> </w:t>
      </w:r>
      <w:r w:rsidRPr="006B1DAC">
        <w:rPr>
          <w:sz w:val="22"/>
          <w:szCs w:val="22"/>
        </w:rPr>
        <w:t xml:space="preserve">The Commission began accepting applications on April 13, 2020 and stopped accepting </w:t>
      </w:r>
      <w:r>
        <w:rPr>
          <w:sz w:val="22"/>
          <w:szCs w:val="22"/>
        </w:rPr>
        <w:t xml:space="preserve">applications </w:t>
      </w:r>
      <w:r w:rsidRPr="006B1DAC">
        <w:rPr>
          <w:sz w:val="22"/>
          <w:szCs w:val="22"/>
        </w:rPr>
        <w:t>on June 25, 2020.</w:t>
      </w:r>
      <w:r w:rsidR="00C933B2">
        <w:rPr>
          <w:sz w:val="22"/>
          <w:szCs w:val="22"/>
        </w:rPr>
        <w:t xml:space="preserve"> </w:t>
      </w:r>
      <w:r w:rsidRPr="006B1DAC">
        <w:rPr>
          <w:sz w:val="22"/>
          <w:szCs w:val="22"/>
        </w:rPr>
        <w:t xml:space="preserve">The COVID-19 Telehealth Program </w:t>
      </w:r>
      <w:r>
        <w:rPr>
          <w:sz w:val="22"/>
          <w:szCs w:val="22"/>
        </w:rPr>
        <w:t xml:space="preserve">(Round 1) </w:t>
      </w:r>
      <w:r w:rsidRPr="006B1DAC">
        <w:rPr>
          <w:sz w:val="22"/>
          <w:szCs w:val="22"/>
        </w:rPr>
        <w:t>is funded through a $200</w:t>
      </w:r>
      <w:r>
        <w:rPr>
          <w:sz w:val="22"/>
          <w:szCs w:val="22"/>
        </w:rPr>
        <w:t>,000</w:t>
      </w:r>
      <w:r w:rsidRPr="006B1DAC">
        <w:rPr>
          <w:sz w:val="22"/>
          <w:szCs w:val="22"/>
        </w:rPr>
        <w:t xml:space="preserve"> Congressional appropriation as part of the Coronavirus Aid, Relief, and Economic Security (CARES) Act, to immediately support eligible health care providers responding to the pandemic by providing funding for telecommunications services, information services, and connected devices necessary to provide critical connected care services whether for treatment of the COVID-19 disease or other health conditions during the COVID-19 pandemic.</w:t>
      </w:r>
      <w:r w:rsidR="00C933B2">
        <w:rPr>
          <w:sz w:val="22"/>
          <w:szCs w:val="22"/>
        </w:rPr>
        <w:t xml:space="preserve"> </w:t>
      </w:r>
      <w:r w:rsidRPr="006B1DAC">
        <w:rPr>
          <w:sz w:val="22"/>
          <w:szCs w:val="22"/>
        </w:rPr>
        <w:t>The COVID-19 Telehealth Program is a financial assistance program, not a grant program, that is designed to provide flexibility for eligible health care providers that apply for and receive funding commitments, and then request reimbursement for eligible expenses that they have purchased and received from their service providers or vendors under the COVID-19 Telehealth Program</w:t>
      </w:r>
      <w:r>
        <w:rPr>
          <w:sz w:val="22"/>
          <w:szCs w:val="22"/>
        </w:rPr>
        <w:t xml:space="preserve"> (Round 1)</w:t>
      </w:r>
      <w:r w:rsidRPr="00B4194E">
        <w:rPr>
          <w:sz w:val="22"/>
          <w:szCs w:val="22"/>
        </w:rPr>
        <w:t>.</w:t>
      </w:r>
      <w:r w:rsidR="00C933B2">
        <w:rPr>
          <w:sz w:val="22"/>
          <w:szCs w:val="22"/>
        </w:rPr>
        <w:t xml:space="preserve"> </w:t>
      </w:r>
      <w:r w:rsidRPr="00B4194E">
        <w:rPr>
          <w:sz w:val="22"/>
          <w:szCs w:val="22"/>
        </w:rPr>
        <w:t xml:space="preserve">As of September 30, 2021, the </w:t>
      </w:r>
      <w:r>
        <w:rPr>
          <w:sz w:val="22"/>
          <w:szCs w:val="22"/>
        </w:rPr>
        <w:t xml:space="preserve">amount obligated for Round 1, net of de-obligations, was </w:t>
      </w:r>
      <w:r w:rsidRPr="00B4194E">
        <w:rPr>
          <w:sz w:val="22"/>
          <w:szCs w:val="22"/>
        </w:rPr>
        <w:t xml:space="preserve">$194,097 and </w:t>
      </w:r>
      <w:r>
        <w:rPr>
          <w:sz w:val="22"/>
          <w:szCs w:val="22"/>
        </w:rPr>
        <w:t xml:space="preserve">had </w:t>
      </w:r>
      <w:r w:rsidRPr="00B4194E">
        <w:rPr>
          <w:sz w:val="22"/>
          <w:szCs w:val="22"/>
        </w:rPr>
        <w:t>expended $185,666 of budgetary resources</w:t>
      </w:r>
      <w:r>
        <w:rPr>
          <w:sz w:val="22"/>
          <w:szCs w:val="22"/>
        </w:rPr>
        <w:t>.</w:t>
      </w:r>
      <w:r w:rsidR="00C933B2">
        <w:rPr>
          <w:sz w:val="22"/>
          <w:szCs w:val="22"/>
        </w:rPr>
        <w:t xml:space="preserve"> </w:t>
      </w:r>
      <w:r>
        <w:rPr>
          <w:sz w:val="22"/>
          <w:szCs w:val="22"/>
        </w:rPr>
        <w:t>The de-obligated fund balance of $5,903 was carried</w:t>
      </w:r>
      <w:r w:rsidR="00143AC3">
        <w:rPr>
          <w:sz w:val="22"/>
          <w:szCs w:val="22"/>
        </w:rPr>
        <w:t xml:space="preserve"> forward.</w:t>
      </w:r>
      <w:r w:rsidR="00C933B2">
        <w:rPr>
          <w:sz w:val="22"/>
          <w:szCs w:val="22"/>
        </w:rPr>
        <w:t xml:space="preserve"> </w:t>
      </w:r>
    </w:p>
    <w:p w:rsidR="00285D06" w:rsidRPr="00BA1E56" w:rsidP="00F707AF" w14:paraId="718831DC" w14:textId="77777777">
      <w:pPr>
        <w:spacing w:after="240"/>
        <w:jc w:val="both"/>
        <w:rPr>
          <w:b/>
          <w:bCs/>
          <w:sz w:val="22"/>
          <w:szCs w:val="22"/>
        </w:rPr>
      </w:pPr>
      <w:r w:rsidRPr="00BA1E56">
        <w:rPr>
          <w:b/>
          <w:bCs/>
          <w:sz w:val="22"/>
          <w:szCs w:val="22"/>
        </w:rPr>
        <w:t xml:space="preserve">Note </w:t>
      </w:r>
      <w:r>
        <w:rPr>
          <w:b/>
          <w:bCs/>
          <w:sz w:val="22"/>
          <w:szCs w:val="22"/>
        </w:rPr>
        <w:t>18</w:t>
      </w:r>
      <w:r w:rsidRPr="00BA1E56">
        <w:rPr>
          <w:b/>
          <w:bCs/>
          <w:sz w:val="22"/>
          <w:szCs w:val="22"/>
        </w:rPr>
        <w:t xml:space="preserve"> – </w:t>
      </w:r>
      <w:r>
        <w:rPr>
          <w:b/>
          <w:bCs/>
          <w:sz w:val="22"/>
          <w:szCs w:val="22"/>
        </w:rPr>
        <w:t>COVID-19 Activity</w:t>
      </w:r>
      <w:r w:rsidRPr="00BA1E56">
        <w:rPr>
          <w:b/>
          <w:bCs/>
          <w:sz w:val="22"/>
          <w:szCs w:val="22"/>
        </w:rPr>
        <w:t xml:space="preserve"> (continued)</w:t>
      </w:r>
    </w:p>
    <w:p w:rsidR="00285D06" w:rsidRPr="0050304A" w:rsidP="00F707AF" w14:paraId="0B34BF72" w14:textId="0D8B2F60">
      <w:pPr>
        <w:spacing w:after="240"/>
        <w:jc w:val="both"/>
        <w:rPr>
          <w:sz w:val="22"/>
          <w:szCs w:val="22"/>
        </w:rPr>
      </w:pPr>
      <w:r>
        <w:rPr>
          <w:sz w:val="22"/>
          <w:szCs w:val="22"/>
        </w:rPr>
        <w:t>As of September 30, 2020, the amount obligated for Round 1 was $200,000 and had expended $52,078 of budgetary resources and no unobligated balances were carried forward.</w:t>
      </w:r>
      <w:r w:rsidR="00C933B2">
        <w:rPr>
          <w:sz w:val="22"/>
          <w:szCs w:val="22"/>
        </w:rPr>
        <w:t xml:space="preserve"> </w:t>
      </w:r>
    </w:p>
    <w:bookmarkEnd w:id="267"/>
    <w:p w:rsidR="00285D06" w:rsidP="00F707AF" w14:paraId="2120245A" w14:textId="414950D1">
      <w:pPr>
        <w:spacing w:after="240"/>
        <w:jc w:val="both"/>
        <w:rPr>
          <w:sz w:val="22"/>
          <w:szCs w:val="22"/>
        </w:rPr>
      </w:pPr>
      <w:r w:rsidRPr="00045658">
        <w:rPr>
          <w:sz w:val="22"/>
          <w:szCs w:val="22"/>
        </w:rPr>
        <w:t>On December 27, 2020, the Consolidated Appropriations Act, 2021 was signed into law, which appropriated an additional $249</w:t>
      </w:r>
      <w:r>
        <w:rPr>
          <w:sz w:val="22"/>
          <w:szCs w:val="22"/>
        </w:rPr>
        <w:t>,</w:t>
      </w:r>
      <w:r w:rsidRPr="00D24F89">
        <w:rPr>
          <w:sz w:val="22"/>
          <w:szCs w:val="22"/>
        </w:rPr>
        <w:t>95</w:t>
      </w:r>
      <w:r>
        <w:rPr>
          <w:sz w:val="22"/>
          <w:szCs w:val="22"/>
        </w:rPr>
        <w:t>0</w:t>
      </w:r>
      <w:r w:rsidRPr="00D24F89">
        <w:rPr>
          <w:sz w:val="22"/>
          <w:szCs w:val="22"/>
        </w:rPr>
        <w:t xml:space="preserve"> to the Commission’s COVID-19 Telehealth Program (Round 2)</w:t>
      </w:r>
      <w:r>
        <w:rPr>
          <w:sz w:val="22"/>
          <w:szCs w:val="22"/>
        </w:rPr>
        <w:t xml:space="preserve"> of which $50 was for the Office of Inspector General (OIG)</w:t>
      </w:r>
      <w:r w:rsidRPr="00D24F89">
        <w:rPr>
          <w:sz w:val="22"/>
          <w:szCs w:val="22"/>
        </w:rPr>
        <w:t>.</w:t>
      </w:r>
      <w:r w:rsidR="00C933B2">
        <w:rPr>
          <w:sz w:val="22"/>
          <w:szCs w:val="22"/>
        </w:rPr>
        <w:t xml:space="preserve"> </w:t>
      </w:r>
      <w:r w:rsidRPr="00D24F89">
        <w:rPr>
          <w:sz w:val="22"/>
          <w:szCs w:val="22"/>
        </w:rPr>
        <w:t>This additional funding will allow the Commission to continue its efforts to expand telehealth and connected care throughout the country and enable patients to access necessary health care services while helping slow the spread of the disease.</w:t>
      </w:r>
      <w:r w:rsidR="00C933B2">
        <w:rPr>
          <w:sz w:val="22"/>
          <w:szCs w:val="22"/>
        </w:rPr>
        <w:t xml:space="preserve"> </w:t>
      </w:r>
      <w:r w:rsidRPr="00D24F89">
        <w:rPr>
          <w:sz w:val="22"/>
          <w:szCs w:val="22"/>
        </w:rPr>
        <w:t>Per congressional directive, the Commission was required to seek comment on various ideas related to committing the new funding, including the criteria to use to evaluate applications and how to treat pending applications from Round 1.</w:t>
      </w:r>
      <w:r w:rsidR="00C933B2">
        <w:rPr>
          <w:sz w:val="22"/>
          <w:szCs w:val="22"/>
        </w:rPr>
        <w:t xml:space="preserve"> </w:t>
      </w:r>
      <w:r w:rsidRPr="00D24F89">
        <w:rPr>
          <w:sz w:val="22"/>
          <w:szCs w:val="22"/>
        </w:rPr>
        <w:t>The Commission released a Public Notice seeking comment on these issues on January 6, 2021.</w:t>
      </w:r>
      <w:r w:rsidR="00C933B2">
        <w:rPr>
          <w:sz w:val="22"/>
          <w:szCs w:val="22"/>
        </w:rPr>
        <w:t xml:space="preserve"> </w:t>
      </w:r>
      <w:r w:rsidRPr="00D24F89">
        <w:rPr>
          <w:sz w:val="22"/>
          <w:szCs w:val="22"/>
        </w:rPr>
        <w:t>On February 2, 2021, the Commission adopted a Report and Order finding that it was in the public interest to use the USAC to administer the COVID-19 Telehealth Program going forward.</w:t>
      </w:r>
      <w:r w:rsidR="00C933B2">
        <w:rPr>
          <w:sz w:val="22"/>
          <w:szCs w:val="22"/>
        </w:rPr>
        <w:t xml:space="preserve"> </w:t>
      </w:r>
      <w:r w:rsidRPr="00045658">
        <w:rPr>
          <w:sz w:val="22"/>
          <w:szCs w:val="22"/>
        </w:rPr>
        <w:t>On March 30, 2021, the Commission released a Report and Order and Order on Reconsideration setting forth additional details about the policies and procedures that would apply during Round 2.</w:t>
      </w:r>
      <w:r w:rsidR="00C933B2">
        <w:rPr>
          <w:sz w:val="22"/>
          <w:szCs w:val="22"/>
        </w:rPr>
        <w:t xml:space="preserve"> </w:t>
      </w:r>
      <w:r w:rsidRPr="00045658">
        <w:rPr>
          <w:sz w:val="22"/>
          <w:szCs w:val="22"/>
        </w:rPr>
        <w:t>On April 15, 2021, the Bureau released a Public Notice announcing the duration of the Round 2 application filing window, which opened on April 29, 2021 and closed on May 6, 2021.</w:t>
      </w:r>
      <w:r w:rsidR="00C933B2">
        <w:rPr>
          <w:sz w:val="22"/>
          <w:szCs w:val="22"/>
        </w:rPr>
        <w:t xml:space="preserve"> </w:t>
      </w:r>
      <w:r w:rsidRPr="00B669D6">
        <w:rPr>
          <w:rFonts w:eastAsia="Calibri"/>
          <w:sz w:val="22"/>
          <w:szCs w:val="22"/>
        </w:rPr>
        <w:t>On August 26, 2021, WCB released a Public Notice announcing the first group of funding awardees, as well as a separate Public Notice to provide additional guidance on the invoicing process for Round 2.</w:t>
      </w:r>
      <w:r w:rsidR="00C933B2">
        <w:rPr>
          <w:rFonts w:eastAsia="Calibri"/>
          <w:sz w:val="22"/>
          <w:szCs w:val="22"/>
        </w:rPr>
        <w:t xml:space="preserve"> </w:t>
      </w:r>
      <w:r w:rsidRPr="00D37CC3">
        <w:rPr>
          <w:sz w:val="22"/>
          <w:szCs w:val="22"/>
        </w:rPr>
        <w:t>As of September 30, 2021, the Commission obligated $89,694 of the Round 2 funding and expended $1,125 of budgetary resources</w:t>
      </w:r>
      <w:r>
        <w:rPr>
          <w:sz w:val="22"/>
          <w:szCs w:val="22"/>
        </w:rPr>
        <w:t>.</w:t>
      </w:r>
      <w:r w:rsidR="00C933B2">
        <w:rPr>
          <w:sz w:val="22"/>
          <w:szCs w:val="22"/>
        </w:rPr>
        <w:t xml:space="preserve"> </w:t>
      </w:r>
      <w:r>
        <w:rPr>
          <w:sz w:val="22"/>
          <w:szCs w:val="22"/>
        </w:rPr>
        <w:t>Unobligated balances of $160,256 was carried forward</w:t>
      </w:r>
      <w:r w:rsidRPr="00D37CC3">
        <w:rPr>
          <w:sz w:val="22"/>
          <w:szCs w:val="22"/>
        </w:rPr>
        <w:t>.</w:t>
      </w:r>
      <w:r w:rsidR="00C933B2">
        <w:rPr>
          <w:sz w:val="22"/>
          <w:szCs w:val="22"/>
        </w:rPr>
        <w:t xml:space="preserve"> </w:t>
      </w:r>
      <w:r w:rsidRPr="00D37CC3">
        <w:rPr>
          <w:sz w:val="22"/>
          <w:szCs w:val="22"/>
        </w:rPr>
        <w:t>Also, see Note 1 H and L, and Note 3.</w:t>
      </w:r>
      <w:r w:rsidRPr="00045658">
        <w:rPr>
          <w:sz w:val="22"/>
          <w:szCs w:val="22"/>
        </w:rPr>
        <w:t xml:space="preserve"> </w:t>
      </w:r>
    </w:p>
    <w:p w:rsidR="00285D06" w:rsidRPr="00B95683" w:rsidP="00F707AF" w14:paraId="73E556D9" w14:textId="1D42C857">
      <w:pPr>
        <w:spacing w:after="240"/>
        <w:jc w:val="both"/>
        <w:rPr>
          <w:rFonts w:eastAsiaTheme="minorEastAsia"/>
          <w:sz w:val="22"/>
          <w:szCs w:val="22"/>
          <w:lang w:eastAsia="zh-TW"/>
        </w:rPr>
      </w:pPr>
      <w:r w:rsidRPr="00A04C35">
        <w:rPr>
          <w:sz w:val="22"/>
          <w:szCs w:val="22"/>
          <w:u w:val="single"/>
        </w:rPr>
        <w:t xml:space="preserve">Emergency Broadband Connectivity Fund, </w:t>
      </w:r>
      <w:bookmarkStart w:id="268" w:name="_Hlk85707861"/>
      <w:r w:rsidRPr="00A04C35">
        <w:rPr>
          <w:sz w:val="22"/>
          <w:szCs w:val="22"/>
          <w:u w:val="single"/>
        </w:rPr>
        <w:t>Emergency Broadband Benefit Program</w:t>
      </w:r>
      <w:r>
        <w:rPr>
          <w:sz w:val="22"/>
          <w:szCs w:val="22"/>
          <w:u w:val="single"/>
        </w:rPr>
        <w:t xml:space="preserve"> </w:t>
      </w:r>
      <w:bookmarkEnd w:id="268"/>
      <w:r>
        <w:rPr>
          <w:sz w:val="22"/>
          <w:szCs w:val="22"/>
          <w:u w:val="single"/>
        </w:rPr>
        <w:t>(EBCF-EBBP)</w:t>
      </w:r>
      <w:r w:rsidRPr="009C69CE">
        <w:rPr>
          <w:sz w:val="22"/>
          <w:szCs w:val="22"/>
        </w:rPr>
        <w:t xml:space="preserve"> </w:t>
      </w:r>
      <w:r w:rsidRPr="00927035">
        <w:rPr>
          <w:sz w:val="22"/>
          <w:szCs w:val="22"/>
        </w:rPr>
        <w:t>–</w:t>
      </w:r>
      <w:r>
        <w:rPr>
          <w:sz w:val="22"/>
          <w:szCs w:val="22"/>
        </w:rPr>
        <w:t xml:space="preserve"> </w:t>
      </w:r>
      <w:r w:rsidRPr="00B95683">
        <w:rPr>
          <w:sz w:val="22"/>
          <w:szCs w:val="22"/>
        </w:rPr>
        <w:t xml:space="preserve">The Consolidated Appropriations Act, 2021 created and appropriated $3,200,000 for the Emergency Broadband Connectivity Fund and directed the Commission to establish the </w:t>
      </w:r>
      <w:r w:rsidRPr="006D5ED5">
        <w:rPr>
          <w:sz w:val="22"/>
          <w:szCs w:val="22"/>
        </w:rPr>
        <w:t>Emergency Broadband Benefit Program</w:t>
      </w:r>
      <w:r w:rsidRPr="00B95683">
        <w:rPr>
          <w:sz w:val="22"/>
          <w:szCs w:val="22"/>
        </w:rPr>
        <w:t>, under which eligible low-income households may receive a discount off the cost of broadband service and certain connected devices during an emergency period relating to the COVID-19 pandemic.</w:t>
      </w:r>
      <w:r w:rsidR="00C933B2">
        <w:rPr>
          <w:sz w:val="22"/>
          <w:szCs w:val="22"/>
        </w:rPr>
        <w:t xml:space="preserve"> </w:t>
      </w:r>
      <w:r w:rsidRPr="00B95683">
        <w:rPr>
          <w:rFonts w:eastAsiaTheme="minorEastAsia"/>
          <w:sz w:val="22"/>
          <w:szCs w:val="22"/>
          <w:lang w:eastAsia="zh-TW"/>
        </w:rPr>
        <w:t xml:space="preserve">In implementing the </w:t>
      </w:r>
      <w:r>
        <w:rPr>
          <w:rFonts w:eastAsiaTheme="minorEastAsia"/>
          <w:sz w:val="22"/>
          <w:szCs w:val="22"/>
          <w:lang w:eastAsia="zh-TW"/>
        </w:rPr>
        <w:t>EBCF-</w:t>
      </w:r>
      <w:r w:rsidRPr="00B95683">
        <w:rPr>
          <w:rFonts w:eastAsiaTheme="minorEastAsia"/>
          <w:sz w:val="22"/>
          <w:szCs w:val="22"/>
          <w:lang w:eastAsia="zh-TW"/>
        </w:rPr>
        <w:t xml:space="preserve">EBBP, the Consolidated Appropriations Act permits the Commission to apply rules contained in part 54 of the Commission’s rules, including those governing the Lifeline program, and further permits the Commission to avail itself of USAC’s services to administer the </w:t>
      </w:r>
      <w:r>
        <w:rPr>
          <w:rFonts w:eastAsiaTheme="minorEastAsia"/>
          <w:sz w:val="22"/>
          <w:szCs w:val="22"/>
          <w:lang w:eastAsia="zh-TW"/>
        </w:rPr>
        <w:t>EBCF-</w:t>
      </w:r>
      <w:r w:rsidRPr="00B95683">
        <w:rPr>
          <w:rFonts w:eastAsiaTheme="minorEastAsia"/>
          <w:sz w:val="22"/>
          <w:szCs w:val="22"/>
          <w:lang w:eastAsia="zh-TW"/>
        </w:rPr>
        <w:t xml:space="preserve">EBBP. </w:t>
      </w:r>
    </w:p>
    <w:p w:rsidR="00285D06" w:rsidRPr="00045658" w:rsidP="00F707AF" w14:paraId="337FBDA4" w14:textId="0802959D">
      <w:pPr>
        <w:autoSpaceDE w:val="0"/>
        <w:autoSpaceDN w:val="0"/>
        <w:adjustRightInd w:val="0"/>
        <w:spacing w:after="240"/>
        <w:jc w:val="both"/>
        <w:rPr>
          <w:rFonts w:eastAsiaTheme="minorEastAsia"/>
          <w:sz w:val="22"/>
          <w:szCs w:val="22"/>
          <w:lang w:eastAsia="zh-TW"/>
        </w:rPr>
      </w:pPr>
      <w:r w:rsidRPr="00B669D6">
        <w:rPr>
          <w:rFonts w:eastAsiaTheme="minorEastAsia"/>
          <w:sz w:val="22"/>
          <w:szCs w:val="22"/>
          <w:lang w:eastAsia="zh-TW"/>
        </w:rPr>
        <w:t xml:space="preserve">Consistent with the Consolidated Appropriations Act, the Commission adopted rules and policies in a Report and Order on February 25, 2021 to govern the </w:t>
      </w:r>
      <w:r>
        <w:rPr>
          <w:rFonts w:eastAsiaTheme="minorEastAsia"/>
          <w:sz w:val="22"/>
          <w:szCs w:val="22"/>
          <w:lang w:eastAsia="zh-TW"/>
        </w:rPr>
        <w:t>EBCF-</w:t>
      </w:r>
      <w:r w:rsidRPr="00B669D6">
        <w:rPr>
          <w:rFonts w:eastAsiaTheme="minorEastAsia"/>
          <w:sz w:val="22"/>
          <w:szCs w:val="22"/>
          <w:lang w:eastAsia="zh-TW"/>
        </w:rPr>
        <w:t>EBB</w:t>
      </w:r>
      <w:r>
        <w:rPr>
          <w:rFonts w:eastAsiaTheme="minorEastAsia"/>
          <w:sz w:val="22"/>
          <w:szCs w:val="22"/>
          <w:lang w:eastAsia="zh-TW"/>
        </w:rPr>
        <w:t>P</w:t>
      </w:r>
      <w:r w:rsidRPr="00B669D6">
        <w:rPr>
          <w:rFonts w:eastAsiaTheme="minorEastAsia"/>
          <w:sz w:val="22"/>
          <w:szCs w:val="22"/>
          <w:lang w:eastAsia="zh-TW"/>
        </w:rPr>
        <w:t>.</w:t>
      </w:r>
      <w:r w:rsidR="00C933B2">
        <w:rPr>
          <w:rFonts w:eastAsiaTheme="minorEastAsia"/>
          <w:sz w:val="22"/>
          <w:szCs w:val="22"/>
          <w:lang w:eastAsia="zh-TW"/>
        </w:rPr>
        <w:t xml:space="preserve"> </w:t>
      </w:r>
      <w:r w:rsidRPr="00B669D6">
        <w:rPr>
          <w:rFonts w:eastAsiaTheme="minorEastAsia"/>
          <w:sz w:val="22"/>
          <w:szCs w:val="22"/>
          <w:lang w:eastAsia="zh-TW"/>
        </w:rPr>
        <w:t xml:space="preserve">The WCB, other Commission staff, and USAC have established </w:t>
      </w:r>
      <w:r>
        <w:rPr>
          <w:rFonts w:eastAsiaTheme="minorEastAsia"/>
          <w:sz w:val="22"/>
          <w:szCs w:val="22"/>
          <w:lang w:eastAsia="zh-TW"/>
        </w:rPr>
        <w:t>p</w:t>
      </w:r>
      <w:r w:rsidRPr="00B669D6">
        <w:rPr>
          <w:rFonts w:eastAsiaTheme="minorEastAsia"/>
          <w:sz w:val="22"/>
          <w:szCs w:val="22"/>
          <w:lang w:eastAsia="zh-TW"/>
        </w:rPr>
        <w:t xml:space="preserve">rocesses and systems needed to administer the </w:t>
      </w:r>
      <w:r>
        <w:rPr>
          <w:rFonts w:eastAsiaTheme="minorEastAsia"/>
          <w:sz w:val="22"/>
          <w:szCs w:val="22"/>
          <w:lang w:eastAsia="zh-TW"/>
        </w:rPr>
        <w:t>EBCF-</w:t>
      </w:r>
      <w:r w:rsidRPr="00B669D6">
        <w:rPr>
          <w:rFonts w:eastAsiaTheme="minorEastAsia"/>
          <w:sz w:val="22"/>
          <w:szCs w:val="22"/>
          <w:lang w:eastAsia="zh-TW"/>
        </w:rPr>
        <w:t xml:space="preserve">EBBP, </w:t>
      </w:r>
      <w:r w:rsidRPr="004311FD">
        <w:rPr>
          <w:sz w:val="22"/>
          <w:szCs w:val="22"/>
        </w:rPr>
        <w:t>including approval</w:t>
      </w:r>
      <w:r>
        <w:rPr>
          <w:sz w:val="22"/>
          <w:szCs w:val="22"/>
        </w:rPr>
        <w:t xml:space="preserve"> </w:t>
      </w:r>
      <w:r w:rsidRPr="004311FD">
        <w:rPr>
          <w:sz w:val="22"/>
          <w:szCs w:val="22"/>
        </w:rPr>
        <w:t>and election processes for broadband providers to participate, consumer application and enrollment</w:t>
      </w:r>
      <w:r>
        <w:rPr>
          <w:sz w:val="22"/>
          <w:szCs w:val="22"/>
        </w:rPr>
        <w:t xml:space="preserve"> </w:t>
      </w:r>
      <w:r w:rsidRPr="004311FD">
        <w:rPr>
          <w:sz w:val="22"/>
          <w:szCs w:val="22"/>
        </w:rPr>
        <w:t>processes, and</w:t>
      </w:r>
      <w:r>
        <w:rPr>
          <w:sz w:val="22"/>
          <w:szCs w:val="22"/>
        </w:rPr>
        <w:t xml:space="preserve"> </w:t>
      </w:r>
      <w:r w:rsidRPr="004311FD">
        <w:rPr>
          <w:sz w:val="22"/>
          <w:szCs w:val="22"/>
        </w:rPr>
        <w:t>provider reimbursement.</w:t>
      </w:r>
      <w:r w:rsidR="00C933B2">
        <w:rPr>
          <w:sz w:val="22"/>
          <w:szCs w:val="22"/>
        </w:rPr>
        <w:t xml:space="preserve"> </w:t>
      </w:r>
      <w:r w:rsidRPr="00B669D6">
        <w:rPr>
          <w:rFonts w:eastAsiaTheme="minorEastAsia"/>
          <w:sz w:val="22"/>
          <w:szCs w:val="22"/>
          <w:lang w:eastAsia="zh-TW"/>
        </w:rPr>
        <w:t>On March 4, 2021, the WCB announced the initial deadlines for approving the broadband provider participation and election process and will announce at a later date other administrative deadlines or milestones.</w:t>
      </w:r>
      <w:r w:rsidR="00C933B2">
        <w:rPr>
          <w:rFonts w:eastAsiaTheme="minorEastAsia"/>
          <w:sz w:val="22"/>
          <w:szCs w:val="22"/>
          <w:lang w:eastAsia="zh-TW"/>
        </w:rPr>
        <w:t xml:space="preserve"> </w:t>
      </w:r>
      <w:r w:rsidRPr="00B669D6">
        <w:rPr>
          <w:rFonts w:eastAsiaTheme="minorEastAsia"/>
          <w:sz w:val="22"/>
          <w:szCs w:val="22"/>
          <w:lang w:eastAsia="zh-TW"/>
        </w:rPr>
        <w:t xml:space="preserve">On May 12, 2021, the </w:t>
      </w:r>
      <w:r>
        <w:rPr>
          <w:rFonts w:eastAsiaTheme="minorEastAsia"/>
          <w:sz w:val="22"/>
          <w:szCs w:val="22"/>
          <w:lang w:eastAsia="zh-TW"/>
        </w:rPr>
        <w:t>EBCF-</w:t>
      </w:r>
      <w:r w:rsidRPr="00B669D6">
        <w:rPr>
          <w:rFonts w:eastAsiaTheme="minorEastAsia"/>
          <w:sz w:val="22"/>
          <w:szCs w:val="22"/>
          <w:lang w:eastAsia="zh-TW"/>
        </w:rPr>
        <w:t xml:space="preserve">EBBP launched </w:t>
      </w:r>
      <w:r w:rsidRPr="004311FD">
        <w:rPr>
          <w:sz w:val="22"/>
          <w:szCs w:val="22"/>
        </w:rPr>
        <w:t xml:space="preserve">the National Verifier at </w:t>
      </w:r>
      <w:hyperlink r:id="rId76" w:tgtFrame="_blank" w:history="1">
        <w:r w:rsidRPr="004311FD">
          <w:rPr>
            <w:color w:val="0000FF"/>
            <w:sz w:val="22"/>
            <w:szCs w:val="22"/>
            <w:u w:val="single"/>
          </w:rPr>
          <w:t>GetEmergencyBroadband.org</w:t>
        </w:r>
      </w:hyperlink>
      <w:r w:rsidRPr="004311FD">
        <w:rPr>
          <w:sz w:val="22"/>
          <w:szCs w:val="22"/>
        </w:rPr>
        <w:t xml:space="preserve"> </w:t>
      </w:r>
      <w:r>
        <w:rPr>
          <w:sz w:val="22"/>
          <w:szCs w:val="22"/>
        </w:rPr>
        <w:t>for</w:t>
      </w:r>
      <w:r w:rsidRPr="004311FD">
        <w:rPr>
          <w:sz w:val="22"/>
          <w:szCs w:val="22"/>
        </w:rPr>
        <w:t xml:space="preserve"> enrolling consumers</w:t>
      </w:r>
      <w:r>
        <w:rPr>
          <w:sz w:val="22"/>
          <w:szCs w:val="22"/>
        </w:rPr>
        <w:t xml:space="preserve"> and submitting applications</w:t>
      </w:r>
      <w:r w:rsidRPr="004311FD">
        <w:rPr>
          <w:sz w:val="22"/>
          <w:szCs w:val="22"/>
        </w:rPr>
        <w:t>.</w:t>
      </w:r>
      <w:r w:rsidR="00C933B2">
        <w:rPr>
          <w:rFonts w:eastAsiaTheme="minorEastAsia"/>
          <w:sz w:val="22"/>
          <w:szCs w:val="22"/>
          <w:lang w:eastAsia="zh-TW"/>
        </w:rPr>
        <w:t xml:space="preserve"> </w:t>
      </w:r>
      <w:r w:rsidRPr="00B669D6">
        <w:rPr>
          <w:sz w:val="22"/>
          <w:szCs w:val="22"/>
        </w:rPr>
        <w:t>As</w:t>
      </w:r>
      <w:r w:rsidRPr="001373C7">
        <w:rPr>
          <w:sz w:val="22"/>
          <w:szCs w:val="22"/>
        </w:rPr>
        <w:t xml:space="preserve"> of </w:t>
      </w:r>
      <w:r>
        <w:rPr>
          <w:sz w:val="22"/>
          <w:szCs w:val="22"/>
        </w:rPr>
        <w:t>September 30, 2021</w:t>
      </w:r>
      <w:r w:rsidRPr="001373C7">
        <w:rPr>
          <w:sz w:val="22"/>
          <w:szCs w:val="22"/>
        </w:rPr>
        <w:t xml:space="preserve">, </w:t>
      </w:r>
      <w:r>
        <w:rPr>
          <w:sz w:val="22"/>
          <w:szCs w:val="22"/>
        </w:rPr>
        <w:t xml:space="preserve">the </w:t>
      </w:r>
      <w:r w:rsidRPr="001373C7">
        <w:rPr>
          <w:sz w:val="22"/>
          <w:szCs w:val="22"/>
        </w:rPr>
        <w:t xml:space="preserve">FCC </w:t>
      </w:r>
      <w:r>
        <w:rPr>
          <w:sz w:val="22"/>
          <w:szCs w:val="22"/>
        </w:rPr>
        <w:t>obligated</w:t>
      </w:r>
      <w:r w:rsidRPr="001373C7">
        <w:rPr>
          <w:sz w:val="22"/>
          <w:szCs w:val="22"/>
        </w:rPr>
        <w:t xml:space="preserve"> </w:t>
      </w:r>
      <w:r w:rsidRPr="00D97A7F">
        <w:rPr>
          <w:sz w:val="22"/>
          <w:szCs w:val="22"/>
        </w:rPr>
        <w:t>$</w:t>
      </w:r>
      <w:r>
        <w:rPr>
          <w:sz w:val="22"/>
          <w:szCs w:val="22"/>
        </w:rPr>
        <w:t>907,557</w:t>
      </w:r>
      <w:r w:rsidRPr="00DA1C85">
        <w:rPr>
          <w:sz w:val="22"/>
          <w:szCs w:val="22"/>
        </w:rPr>
        <w:t xml:space="preserve"> </w:t>
      </w:r>
      <w:r w:rsidRPr="001373C7">
        <w:rPr>
          <w:sz w:val="22"/>
          <w:szCs w:val="22"/>
        </w:rPr>
        <w:t xml:space="preserve">of the </w:t>
      </w:r>
      <w:r>
        <w:rPr>
          <w:sz w:val="22"/>
          <w:szCs w:val="22"/>
        </w:rPr>
        <w:t xml:space="preserve">EBCF-EBBP </w:t>
      </w:r>
      <w:r w:rsidRPr="001373C7">
        <w:rPr>
          <w:sz w:val="22"/>
          <w:szCs w:val="22"/>
        </w:rPr>
        <w:t xml:space="preserve">and expended </w:t>
      </w:r>
      <w:r w:rsidRPr="00D97A7F">
        <w:rPr>
          <w:sz w:val="22"/>
          <w:szCs w:val="22"/>
        </w:rPr>
        <w:t>$</w:t>
      </w:r>
      <w:r>
        <w:rPr>
          <w:sz w:val="22"/>
          <w:szCs w:val="22"/>
        </w:rPr>
        <w:t>867,264</w:t>
      </w:r>
      <w:r w:rsidRPr="00DA1C85">
        <w:rPr>
          <w:sz w:val="22"/>
          <w:szCs w:val="22"/>
        </w:rPr>
        <w:t xml:space="preserve"> </w:t>
      </w:r>
      <w:r w:rsidRPr="001373C7">
        <w:rPr>
          <w:sz w:val="22"/>
          <w:szCs w:val="22"/>
        </w:rPr>
        <w:t>of budgetary resources</w:t>
      </w:r>
      <w:r>
        <w:rPr>
          <w:sz w:val="22"/>
          <w:szCs w:val="22"/>
        </w:rPr>
        <w:t>.</w:t>
      </w:r>
      <w:r w:rsidR="00C933B2">
        <w:rPr>
          <w:sz w:val="22"/>
          <w:szCs w:val="22"/>
        </w:rPr>
        <w:t xml:space="preserve"> </w:t>
      </w:r>
      <w:r>
        <w:rPr>
          <w:sz w:val="22"/>
          <w:szCs w:val="22"/>
        </w:rPr>
        <w:t>Unobligated balances of $2,292,443 was carried forward</w:t>
      </w:r>
      <w:r w:rsidRPr="001373C7">
        <w:rPr>
          <w:sz w:val="22"/>
          <w:szCs w:val="22"/>
        </w:rPr>
        <w:t>.</w:t>
      </w:r>
      <w:r w:rsidR="00C933B2">
        <w:rPr>
          <w:sz w:val="22"/>
          <w:szCs w:val="22"/>
        </w:rPr>
        <w:t xml:space="preserve"> </w:t>
      </w:r>
    </w:p>
    <w:p w:rsidR="00285D06" w:rsidP="00F707AF" w14:paraId="424E2B5E" w14:textId="1AC49369">
      <w:pPr>
        <w:spacing w:after="240"/>
        <w:jc w:val="both"/>
        <w:rPr>
          <w:sz w:val="22"/>
          <w:szCs w:val="22"/>
          <w:lang w:eastAsia="zh-TW"/>
        </w:rPr>
      </w:pPr>
      <w:r w:rsidRPr="33B14630">
        <w:rPr>
          <w:sz w:val="22"/>
          <w:szCs w:val="22"/>
          <w:u w:val="single"/>
        </w:rPr>
        <w:t>Emergency Connectivity Fund (ECF)</w:t>
      </w:r>
      <w:r w:rsidRPr="33B14630">
        <w:rPr>
          <w:sz w:val="22"/>
          <w:szCs w:val="22"/>
        </w:rPr>
        <w:t xml:space="preserve"> – </w:t>
      </w:r>
      <w:r w:rsidRPr="33B14630">
        <w:rPr>
          <w:sz w:val="22"/>
          <w:szCs w:val="22"/>
          <w:lang w:eastAsia="zh-TW"/>
        </w:rPr>
        <w:t>To help schools and libraries provide connected devices, such as a laptop, tablet, or similar end-user devices, and connectivity to students, school staff, and library patrons during the COVID-19 pandemic, Congress established a $7,172,000 ECF (of which $1,000 was for OIG), to remain available until September 30, 2030 as part of the American Rescue Plan Act of 2021 (American Rescue Plan Act) signed into law on March 11, 2021.</w:t>
      </w:r>
      <w:r w:rsidR="00C933B2">
        <w:rPr>
          <w:sz w:val="22"/>
          <w:szCs w:val="22"/>
          <w:lang w:eastAsia="zh-TW"/>
        </w:rPr>
        <w:t xml:space="preserve"> </w:t>
      </w:r>
      <w:r w:rsidRPr="33B14630">
        <w:rPr>
          <w:sz w:val="22"/>
          <w:szCs w:val="22"/>
          <w:lang w:val="en" w:eastAsia="zh-TW"/>
        </w:rPr>
        <w:t>Pursuant to congressional directive, on March 16, 2021, the WCB sought comment on the provision of support from the ECF consistent with section 7402 of the American Rescue Plan Act.</w:t>
      </w:r>
      <w:r w:rsidR="00C933B2">
        <w:rPr>
          <w:sz w:val="22"/>
          <w:szCs w:val="22"/>
          <w:lang w:val="en" w:eastAsia="zh-TW"/>
        </w:rPr>
        <w:t xml:space="preserve"> </w:t>
      </w:r>
      <w:r w:rsidRPr="33B14630">
        <w:rPr>
          <w:sz w:val="22"/>
          <w:szCs w:val="22"/>
          <w:lang w:val="en" w:eastAsia="zh-TW"/>
        </w:rPr>
        <w:t xml:space="preserve">Subsequently, on </w:t>
      </w:r>
      <w:r w:rsidRPr="33B14630">
        <w:rPr>
          <w:sz w:val="22"/>
          <w:szCs w:val="22"/>
          <w:lang w:eastAsia="zh-TW"/>
        </w:rPr>
        <w:t xml:space="preserve">May 11, 2021, the Commission released a Report and </w:t>
      </w:r>
    </w:p>
    <w:p w:rsidR="00285D06" w:rsidRPr="00BA1E56" w:rsidP="00F707AF" w14:paraId="4BE296DB" w14:textId="77777777">
      <w:pPr>
        <w:spacing w:after="240"/>
        <w:jc w:val="both"/>
        <w:rPr>
          <w:b/>
          <w:bCs/>
          <w:sz w:val="22"/>
          <w:szCs w:val="22"/>
        </w:rPr>
      </w:pPr>
      <w:r w:rsidRPr="00BA1E56">
        <w:rPr>
          <w:b/>
          <w:bCs/>
          <w:sz w:val="22"/>
          <w:szCs w:val="22"/>
        </w:rPr>
        <w:t xml:space="preserve">Note </w:t>
      </w:r>
      <w:r>
        <w:rPr>
          <w:b/>
          <w:bCs/>
          <w:sz w:val="22"/>
          <w:szCs w:val="22"/>
        </w:rPr>
        <w:t>18</w:t>
      </w:r>
      <w:r w:rsidRPr="00BA1E56">
        <w:rPr>
          <w:b/>
          <w:bCs/>
          <w:sz w:val="22"/>
          <w:szCs w:val="22"/>
        </w:rPr>
        <w:t xml:space="preserve"> – </w:t>
      </w:r>
      <w:r>
        <w:rPr>
          <w:b/>
          <w:bCs/>
          <w:sz w:val="22"/>
          <w:szCs w:val="22"/>
        </w:rPr>
        <w:t>COVID-19 Activity</w:t>
      </w:r>
      <w:r w:rsidRPr="00BA1E56">
        <w:rPr>
          <w:b/>
          <w:bCs/>
          <w:sz w:val="22"/>
          <w:szCs w:val="22"/>
        </w:rPr>
        <w:t xml:space="preserve"> (continued)</w:t>
      </w:r>
    </w:p>
    <w:p w:rsidR="00285D06" w:rsidP="00F707AF" w14:paraId="08EC090B" w14:textId="460869EA">
      <w:pPr>
        <w:spacing w:after="240"/>
        <w:jc w:val="both"/>
        <w:rPr>
          <w:sz w:val="22"/>
          <w:szCs w:val="22"/>
          <w:lang w:eastAsia="zh-TW"/>
        </w:rPr>
      </w:pPr>
      <w:r w:rsidRPr="33B14630">
        <w:rPr>
          <w:sz w:val="22"/>
          <w:szCs w:val="22"/>
          <w:lang w:eastAsia="zh-TW"/>
        </w:rPr>
        <w:t>Order establishing rules and policies governing the ECF Program.</w:t>
      </w:r>
      <w:r w:rsidR="00C933B2">
        <w:rPr>
          <w:sz w:val="22"/>
          <w:szCs w:val="22"/>
          <w:lang w:eastAsia="zh-TW"/>
        </w:rPr>
        <w:t xml:space="preserve"> </w:t>
      </w:r>
      <w:r w:rsidRPr="33B14630">
        <w:rPr>
          <w:sz w:val="22"/>
          <w:szCs w:val="22"/>
          <w:lang w:eastAsia="zh-TW"/>
        </w:rPr>
        <w:t>The Report and Order designates the USAC as the program administrator with Commission oversight, and leverages the processes and structures used in the E-Rate Program for the benefit of schools and libraries</w:t>
      </w:r>
      <w:r w:rsidRPr="33B14630">
        <w:rPr>
          <w:rFonts w:ascii="TimesNewRomanPSMT" w:hAnsi="TimesNewRomanPSMT" w:eastAsiaTheme="minorEastAsia" w:cs="TimesNewRomanPSMT"/>
          <w:sz w:val="22"/>
          <w:szCs w:val="22"/>
          <w:lang w:eastAsia="zh-TW"/>
        </w:rPr>
        <w:t xml:space="preserve"> </w:t>
      </w:r>
      <w:r w:rsidRPr="33B14630">
        <w:rPr>
          <w:sz w:val="22"/>
          <w:szCs w:val="22"/>
          <w:lang w:eastAsia="zh-TW"/>
        </w:rPr>
        <w:t>already familiar with the E-Rate Program.</w:t>
      </w:r>
      <w:r w:rsidR="00C933B2">
        <w:rPr>
          <w:sz w:val="22"/>
          <w:szCs w:val="22"/>
          <w:lang w:eastAsia="zh-TW"/>
        </w:rPr>
        <w:t xml:space="preserve"> </w:t>
      </w:r>
      <w:r w:rsidRPr="33B14630">
        <w:rPr>
          <w:sz w:val="22"/>
          <w:szCs w:val="22"/>
          <w:lang w:eastAsia="zh-TW"/>
        </w:rPr>
        <w:t>It also adopts procedures to protect the limited funding from waste, fraud, and abuse.</w:t>
      </w:r>
    </w:p>
    <w:p w:rsidR="00285D06" w:rsidRPr="00045658" w:rsidP="00F707AF" w14:paraId="09EB2BFF" w14:textId="1DB47271">
      <w:pPr>
        <w:spacing w:after="240"/>
        <w:jc w:val="both"/>
        <w:rPr>
          <w:sz w:val="22"/>
          <w:szCs w:val="22"/>
        </w:rPr>
      </w:pPr>
      <w:r w:rsidRPr="006D5ED5">
        <w:rPr>
          <w:sz w:val="22"/>
          <w:szCs w:val="22"/>
          <w:lang w:eastAsia="zh-TW"/>
        </w:rPr>
        <w:t>Specifically, the ECF Program will enable eligible schools and libraries to seek funding for purchases during the upcoming school year (2021-2022) of laptops and tablet computers, Wi-Fi hotspots, other eligible equipment, and broadband connectivity for students, school staff, and library patrons who would otherwise lack access to connected devices and broadband service sufficient for remote learning.</w:t>
      </w:r>
      <w:r w:rsidR="00C933B2">
        <w:rPr>
          <w:sz w:val="22"/>
          <w:szCs w:val="22"/>
          <w:lang w:eastAsia="zh-TW"/>
        </w:rPr>
        <w:t xml:space="preserve"> </w:t>
      </w:r>
      <w:r w:rsidRPr="006D5ED5">
        <w:rPr>
          <w:sz w:val="22"/>
          <w:szCs w:val="22"/>
          <w:lang w:eastAsia="zh-TW"/>
        </w:rPr>
        <w:t>The initial ECF Program application filing window opened on June 29, 2021 and closed on August 13, 2021.</w:t>
      </w:r>
      <w:r w:rsidR="00C933B2">
        <w:rPr>
          <w:sz w:val="22"/>
          <w:szCs w:val="22"/>
          <w:lang w:eastAsia="zh-TW"/>
        </w:rPr>
        <w:t xml:space="preserve"> </w:t>
      </w:r>
      <w:r w:rsidRPr="006D5ED5">
        <w:rPr>
          <w:sz w:val="22"/>
          <w:szCs w:val="22"/>
          <w:lang w:eastAsia="zh-TW"/>
        </w:rPr>
        <w:t>During this application filing window, eligible schools and libraries could submit requests for funding to purchase eligible equipment and services between July 1, 2021 and June 30, 2022.</w:t>
      </w:r>
      <w:r w:rsidR="00C933B2">
        <w:rPr>
          <w:sz w:val="22"/>
          <w:szCs w:val="22"/>
          <w:lang w:eastAsia="zh-TW"/>
        </w:rPr>
        <w:t xml:space="preserve"> </w:t>
      </w:r>
      <w:r w:rsidRPr="006D5ED5">
        <w:rPr>
          <w:sz w:val="22"/>
          <w:szCs w:val="22"/>
          <w:lang w:eastAsia="zh-TW"/>
        </w:rPr>
        <w:t>As of September 30, 2021, the FCC obligated $1,311,091 and expended $4,212</w:t>
      </w:r>
      <w:r>
        <w:rPr>
          <w:sz w:val="22"/>
          <w:szCs w:val="22"/>
          <w:lang w:eastAsia="zh-TW"/>
        </w:rPr>
        <w:t>.</w:t>
      </w:r>
      <w:r w:rsidR="00C933B2">
        <w:rPr>
          <w:sz w:val="22"/>
          <w:szCs w:val="22"/>
          <w:lang w:eastAsia="zh-TW"/>
        </w:rPr>
        <w:t xml:space="preserve"> </w:t>
      </w:r>
      <w:r>
        <w:rPr>
          <w:sz w:val="22"/>
          <w:szCs w:val="22"/>
          <w:lang w:eastAsia="zh-TW"/>
        </w:rPr>
        <w:t>Unobligated balances of $</w:t>
      </w:r>
      <w:r>
        <w:rPr>
          <w:sz w:val="22"/>
          <w:szCs w:val="22"/>
        </w:rPr>
        <w:t>5,860,909 was carried forward</w:t>
      </w:r>
      <w:r w:rsidRPr="006D5ED5">
        <w:rPr>
          <w:sz w:val="22"/>
          <w:szCs w:val="22"/>
          <w:lang w:eastAsia="zh-TW"/>
        </w:rPr>
        <w:t>.</w:t>
      </w:r>
    </w:p>
    <w:p w:rsidR="00EC0D32" w:rsidP="00F707AF" w14:paraId="3AAC2F12" w14:textId="185500A3">
      <w:pPr>
        <w:spacing w:after="240"/>
        <w:jc w:val="both"/>
        <w:rPr>
          <w:sz w:val="22"/>
          <w:szCs w:val="22"/>
        </w:rPr>
      </w:pPr>
      <w:r>
        <w:rPr>
          <w:sz w:val="22"/>
          <w:szCs w:val="22"/>
        </w:rPr>
        <w:t>The chart</w:t>
      </w:r>
      <w:r w:rsidR="00930FDB">
        <w:rPr>
          <w:sz w:val="22"/>
          <w:szCs w:val="22"/>
        </w:rPr>
        <w:t>s</w:t>
      </w:r>
      <w:r>
        <w:rPr>
          <w:sz w:val="22"/>
          <w:szCs w:val="22"/>
        </w:rPr>
        <w:t xml:space="preserve"> below summarize</w:t>
      </w:r>
      <w:r w:rsidR="006B1185">
        <w:rPr>
          <w:sz w:val="22"/>
          <w:szCs w:val="22"/>
        </w:rPr>
        <w:t xml:space="preserve"> the cumulative</w:t>
      </w:r>
      <w:r>
        <w:rPr>
          <w:sz w:val="22"/>
          <w:szCs w:val="22"/>
        </w:rPr>
        <w:t xml:space="preserve"> amounts received and used under each program </w:t>
      </w:r>
      <w:r w:rsidR="006B1185">
        <w:rPr>
          <w:sz w:val="22"/>
          <w:szCs w:val="22"/>
        </w:rPr>
        <w:t>as of</w:t>
      </w:r>
      <w:r w:rsidRPr="00BA1E56">
        <w:rPr>
          <w:sz w:val="22"/>
          <w:szCs w:val="22"/>
        </w:rPr>
        <w:t xml:space="preserve"> </w:t>
      </w:r>
      <w:r>
        <w:rPr>
          <w:sz w:val="22"/>
          <w:szCs w:val="22"/>
        </w:rPr>
        <w:t>September 30, 2021</w:t>
      </w:r>
      <w:r w:rsidR="00930FDB">
        <w:rPr>
          <w:sz w:val="22"/>
          <w:szCs w:val="22"/>
        </w:rPr>
        <w:t xml:space="preserve"> and September 30, 2020</w:t>
      </w:r>
      <w:r>
        <w:rPr>
          <w:sz w:val="22"/>
          <w:szCs w:val="22"/>
        </w:rPr>
        <w:t>:</w:t>
      </w:r>
    </w:p>
    <w:tbl>
      <w:tblPr>
        <w:tblStyle w:val="TableGrid"/>
        <w:tblW w:w="8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60"/>
        <w:gridCol w:w="1615"/>
        <w:gridCol w:w="1294"/>
        <w:gridCol w:w="1474"/>
        <w:gridCol w:w="1564"/>
      </w:tblGrid>
      <w:tr w14:paraId="123F726C" w14:textId="77777777" w:rsidTr="00D851B4">
        <w:tblPrEx>
          <w:tblW w:w="81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jc w:val="center"/>
        </w:trPr>
        <w:tc>
          <w:tcPr>
            <w:tcW w:w="2160" w:type="dxa"/>
            <w:vAlign w:val="bottom"/>
          </w:tcPr>
          <w:p w:rsidR="00D851B4" w:rsidRPr="00B74646" w:rsidP="008F50AF" w14:paraId="002AD561" w14:textId="7A5B134C">
            <w:pPr>
              <w:rPr>
                <w:sz w:val="22"/>
                <w:szCs w:val="22"/>
                <w:u w:val="single"/>
              </w:rPr>
            </w:pPr>
            <w:r>
              <w:rPr>
                <w:sz w:val="22"/>
                <w:szCs w:val="22"/>
                <w:u w:val="single"/>
              </w:rPr>
              <w:t>FY 2021</w:t>
            </w:r>
          </w:p>
        </w:tc>
        <w:tc>
          <w:tcPr>
            <w:tcW w:w="1615" w:type="dxa"/>
            <w:tcBorders>
              <w:bottom w:val="single" w:sz="4" w:space="0" w:color="auto"/>
            </w:tcBorders>
            <w:vAlign w:val="bottom"/>
          </w:tcPr>
          <w:p w:rsidR="00D851B4" w:rsidP="008F50AF" w14:paraId="064899D2" w14:textId="77777777">
            <w:pPr>
              <w:jc w:val="center"/>
              <w:rPr>
                <w:sz w:val="22"/>
                <w:szCs w:val="22"/>
              </w:rPr>
            </w:pPr>
            <w:r>
              <w:rPr>
                <w:sz w:val="22"/>
                <w:szCs w:val="22"/>
              </w:rPr>
              <w:t>Appropriations Received</w:t>
            </w:r>
          </w:p>
        </w:tc>
        <w:tc>
          <w:tcPr>
            <w:tcW w:w="1294" w:type="dxa"/>
            <w:tcBorders>
              <w:bottom w:val="single" w:sz="4" w:space="0" w:color="auto"/>
            </w:tcBorders>
            <w:vAlign w:val="bottom"/>
          </w:tcPr>
          <w:p w:rsidR="00D851B4" w:rsidP="008F50AF" w14:paraId="3984089E" w14:textId="77777777">
            <w:pPr>
              <w:jc w:val="center"/>
              <w:rPr>
                <w:sz w:val="22"/>
                <w:szCs w:val="22"/>
              </w:rPr>
            </w:pPr>
            <w:r>
              <w:rPr>
                <w:sz w:val="22"/>
                <w:szCs w:val="22"/>
              </w:rPr>
              <w:t>Obligations Incurred</w:t>
            </w:r>
          </w:p>
        </w:tc>
        <w:tc>
          <w:tcPr>
            <w:tcW w:w="1474" w:type="dxa"/>
            <w:tcBorders>
              <w:bottom w:val="single" w:sz="4" w:space="0" w:color="auto"/>
            </w:tcBorders>
            <w:vAlign w:val="bottom"/>
          </w:tcPr>
          <w:p w:rsidR="00D851B4" w:rsidP="008F50AF" w14:paraId="7AE7FC1C" w14:textId="77777777">
            <w:pPr>
              <w:jc w:val="center"/>
              <w:rPr>
                <w:sz w:val="22"/>
                <w:szCs w:val="22"/>
              </w:rPr>
            </w:pPr>
            <w:r>
              <w:rPr>
                <w:sz w:val="22"/>
                <w:szCs w:val="22"/>
              </w:rPr>
              <w:t>Remaining Available for Obligation</w:t>
            </w:r>
          </w:p>
        </w:tc>
        <w:tc>
          <w:tcPr>
            <w:tcW w:w="1564" w:type="dxa"/>
            <w:tcBorders>
              <w:bottom w:val="single" w:sz="4" w:space="0" w:color="auto"/>
            </w:tcBorders>
            <w:vAlign w:val="bottom"/>
          </w:tcPr>
          <w:p w:rsidR="00D851B4" w:rsidP="008F50AF" w14:paraId="433CE58F" w14:textId="77777777">
            <w:pPr>
              <w:jc w:val="center"/>
              <w:rPr>
                <w:sz w:val="22"/>
                <w:szCs w:val="22"/>
              </w:rPr>
            </w:pPr>
            <w:r>
              <w:rPr>
                <w:sz w:val="22"/>
                <w:szCs w:val="22"/>
              </w:rPr>
              <w:t>Appropriations Used</w:t>
            </w:r>
          </w:p>
        </w:tc>
      </w:tr>
      <w:tr w14:paraId="7650EBC8" w14:textId="77777777" w:rsidTr="00D851B4">
        <w:tblPrEx>
          <w:tblW w:w="8107" w:type="dxa"/>
          <w:jc w:val="center"/>
          <w:tblLayout w:type="fixed"/>
          <w:tblLook w:val="04A0"/>
        </w:tblPrEx>
        <w:trPr>
          <w:jc w:val="center"/>
        </w:trPr>
        <w:tc>
          <w:tcPr>
            <w:tcW w:w="2160" w:type="dxa"/>
          </w:tcPr>
          <w:p w:rsidR="00D851B4" w:rsidP="008F50AF" w14:paraId="2D4BC652" w14:textId="77777777">
            <w:pPr>
              <w:rPr>
                <w:sz w:val="22"/>
                <w:szCs w:val="22"/>
              </w:rPr>
            </w:pPr>
            <w:r>
              <w:rPr>
                <w:sz w:val="22"/>
                <w:szCs w:val="22"/>
              </w:rPr>
              <w:t>COVID-19 Telehealth (Round 1)</w:t>
            </w:r>
          </w:p>
        </w:tc>
        <w:tc>
          <w:tcPr>
            <w:tcW w:w="1615" w:type="dxa"/>
            <w:vAlign w:val="bottom"/>
          </w:tcPr>
          <w:p w:rsidR="00D851B4" w:rsidP="008F50AF" w14:paraId="4F041380" w14:textId="287E720D">
            <w:pPr>
              <w:jc w:val="right"/>
              <w:rPr>
                <w:sz w:val="22"/>
                <w:szCs w:val="22"/>
              </w:rPr>
            </w:pPr>
            <w:r>
              <w:rPr>
                <w:sz w:val="22"/>
                <w:szCs w:val="22"/>
              </w:rPr>
              <w:t>$      200,000</w:t>
            </w:r>
          </w:p>
        </w:tc>
        <w:tc>
          <w:tcPr>
            <w:tcW w:w="1294" w:type="dxa"/>
            <w:vAlign w:val="bottom"/>
          </w:tcPr>
          <w:p w:rsidR="00D851B4" w:rsidP="008F50AF" w14:paraId="7209988C" w14:textId="6434167E">
            <w:pPr>
              <w:jc w:val="right"/>
              <w:rPr>
                <w:sz w:val="22"/>
                <w:szCs w:val="22"/>
              </w:rPr>
            </w:pPr>
            <w:r>
              <w:rPr>
                <w:sz w:val="22"/>
                <w:szCs w:val="22"/>
              </w:rPr>
              <w:t>$    194,097</w:t>
            </w:r>
          </w:p>
        </w:tc>
        <w:tc>
          <w:tcPr>
            <w:tcW w:w="1474" w:type="dxa"/>
            <w:vAlign w:val="bottom"/>
          </w:tcPr>
          <w:p w:rsidR="00D851B4" w:rsidP="008F50AF" w14:paraId="08138271" w14:textId="3F93B168">
            <w:pPr>
              <w:jc w:val="right"/>
              <w:rPr>
                <w:sz w:val="22"/>
                <w:szCs w:val="22"/>
              </w:rPr>
            </w:pPr>
            <w:r>
              <w:rPr>
                <w:sz w:val="22"/>
                <w:szCs w:val="22"/>
              </w:rPr>
              <w:t xml:space="preserve">$    </w:t>
            </w:r>
            <w:r w:rsidR="007A0F29">
              <w:rPr>
                <w:sz w:val="22"/>
                <w:szCs w:val="22"/>
              </w:rPr>
              <w:t xml:space="preserve">  </w:t>
            </w:r>
            <w:r>
              <w:rPr>
                <w:sz w:val="22"/>
                <w:szCs w:val="22"/>
              </w:rPr>
              <w:t xml:space="preserve">     5,903</w:t>
            </w:r>
          </w:p>
        </w:tc>
        <w:tc>
          <w:tcPr>
            <w:tcW w:w="1564" w:type="dxa"/>
            <w:vAlign w:val="bottom"/>
          </w:tcPr>
          <w:p w:rsidR="00D851B4" w:rsidP="008F50AF" w14:paraId="19809E98" w14:textId="4A7E9BE3">
            <w:pPr>
              <w:jc w:val="right"/>
              <w:rPr>
                <w:sz w:val="22"/>
                <w:szCs w:val="22"/>
              </w:rPr>
            </w:pPr>
            <w:r>
              <w:rPr>
                <w:sz w:val="22"/>
                <w:szCs w:val="22"/>
              </w:rPr>
              <w:t xml:space="preserve">$    </w:t>
            </w:r>
            <w:r w:rsidR="007A0F29">
              <w:rPr>
                <w:sz w:val="22"/>
                <w:szCs w:val="22"/>
              </w:rPr>
              <w:t xml:space="preserve">    </w:t>
            </w:r>
            <w:r>
              <w:rPr>
                <w:sz w:val="22"/>
                <w:szCs w:val="22"/>
              </w:rPr>
              <w:t xml:space="preserve"> 185,666</w:t>
            </w:r>
          </w:p>
        </w:tc>
      </w:tr>
      <w:tr w14:paraId="195D4BCD" w14:textId="77777777" w:rsidTr="00D851B4">
        <w:tblPrEx>
          <w:tblW w:w="8107" w:type="dxa"/>
          <w:jc w:val="center"/>
          <w:tblLayout w:type="fixed"/>
          <w:tblLook w:val="04A0"/>
        </w:tblPrEx>
        <w:trPr>
          <w:jc w:val="center"/>
        </w:trPr>
        <w:tc>
          <w:tcPr>
            <w:tcW w:w="2160" w:type="dxa"/>
          </w:tcPr>
          <w:p w:rsidR="00D851B4" w:rsidP="008F50AF" w14:paraId="19724B33" w14:textId="77777777">
            <w:pPr>
              <w:rPr>
                <w:sz w:val="22"/>
                <w:szCs w:val="22"/>
              </w:rPr>
            </w:pPr>
            <w:r>
              <w:rPr>
                <w:sz w:val="22"/>
                <w:szCs w:val="22"/>
              </w:rPr>
              <w:t>COVID-19 Telehealth (Round 2)</w:t>
            </w:r>
          </w:p>
        </w:tc>
        <w:tc>
          <w:tcPr>
            <w:tcW w:w="1615" w:type="dxa"/>
            <w:vAlign w:val="bottom"/>
          </w:tcPr>
          <w:p w:rsidR="00D851B4" w:rsidP="008F50AF" w14:paraId="50BB9A99" w14:textId="77777777">
            <w:pPr>
              <w:jc w:val="right"/>
              <w:rPr>
                <w:sz w:val="22"/>
                <w:szCs w:val="22"/>
              </w:rPr>
            </w:pPr>
            <w:r>
              <w:rPr>
                <w:sz w:val="22"/>
                <w:szCs w:val="22"/>
              </w:rPr>
              <w:t>249,950</w:t>
            </w:r>
          </w:p>
        </w:tc>
        <w:tc>
          <w:tcPr>
            <w:tcW w:w="1294" w:type="dxa"/>
            <w:vAlign w:val="bottom"/>
          </w:tcPr>
          <w:p w:rsidR="00D851B4" w:rsidP="008F50AF" w14:paraId="138CB46A" w14:textId="77777777">
            <w:pPr>
              <w:jc w:val="right"/>
              <w:rPr>
                <w:sz w:val="22"/>
                <w:szCs w:val="22"/>
              </w:rPr>
            </w:pPr>
            <w:r>
              <w:rPr>
                <w:sz w:val="22"/>
                <w:szCs w:val="22"/>
              </w:rPr>
              <w:t>89,694</w:t>
            </w:r>
          </w:p>
        </w:tc>
        <w:tc>
          <w:tcPr>
            <w:tcW w:w="1474" w:type="dxa"/>
            <w:vAlign w:val="bottom"/>
          </w:tcPr>
          <w:p w:rsidR="00D851B4" w:rsidP="008F50AF" w14:paraId="3A045F3A" w14:textId="77777777">
            <w:pPr>
              <w:jc w:val="right"/>
              <w:rPr>
                <w:sz w:val="22"/>
                <w:szCs w:val="22"/>
              </w:rPr>
            </w:pPr>
            <w:r>
              <w:rPr>
                <w:sz w:val="22"/>
                <w:szCs w:val="22"/>
              </w:rPr>
              <w:t>160,256</w:t>
            </w:r>
          </w:p>
        </w:tc>
        <w:tc>
          <w:tcPr>
            <w:tcW w:w="1564" w:type="dxa"/>
            <w:vAlign w:val="bottom"/>
          </w:tcPr>
          <w:p w:rsidR="00D851B4" w:rsidP="008F50AF" w14:paraId="4C3E9EC2" w14:textId="77777777">
            <w:pPr>
              <w:jc w:val="right"/>
              <w:rPr>
                <w:sz w:val="22"/>
                <w:szCs w:val="22"/>
              </w:rPr>
            </w:pPr>
            <w:r>
              <w:rPr>
                <w:sz w:val="22"/>
                <w:szCs w:val="22"/>
              </w:rPr>
              <w:t>1,125</w:t>
            </w:r>
          </w:p>
        </w:tc>
      </w:tr>
      <w:tr w14:paraId="191B00BD" w14:textId="77777777" w:rsidTr="00D851B4">
        <w:tblPrEx>
          <w:tblW w:w="8107" w:type="dxa"/>
          <w:jc w:val="center"/>
          <w:tblLayout w:type="fixed"/>
          <w:tblLook w:val="04A0"/>
        </w:tblPrEx>
        <w:trPr>
          <w:jc w:val="center"/>
        </w:trPr>
        <w:tc>
          <w:tcPr>
            <w:tcW w:w="2160" w:type="dxa"/>
          </w:tcPr>
          <w:p w:rsidR="00D851B4" w:rsidP="008F50AF" w14:paraId="2B31AA5A" w14:textId="77777777">
            <w:pPr>
              <w:rPr>
                <w:sz w:val="22"/>
                <w:szCs w:val="22"/>
              </w:rPr>
            </w:pPr>
            <w:r>
              <w:rPr>
                <w:sz w:val="22"/>
                <w:szCs w:val="22"/>
              </w:rPr>
              <w:t>EBCF-EBBP</w:t>
            </w:r>
          </w:p>
        </w:tc>
        <w:tc>
          <w:tcPr>
            <w:tcW w:w="1615" w:type="dxa"/>
            <w:vAlign w:val="bottom"/>
          </w:tcPr>
          <w:p w:rsidR="00D851B4" w:rsidP="008F50AF" w14:paraId="2B60FEFC" w14:textId="77777777">
            <w:pPr>
              <w:jc w:val="right"/>
              <w:rPr>
                <w:sz w:val="22"/>
                <w:szCs w:val="22"/>
              </w:rPr>
            </w:pPr>
            <w:r>
              <w:rPr>
                <w:sz w:val="22"/>
                <w:szCs w:val="22"/>
              </w:rPr>
              <w:t>3,200,000</w:t>
            </w:r>
          </w:p>
        </w:tc>
        <w:tc>
          <w:tcPr>
            <w:tcW w:w="1294" w:type="dxa"/>
            <w:vAlign w:val="bottom"/>
          </w:tcPr>
          <w:p w:rsidR="00D851B4" w:rsidP="008F50AF" w14:paraId="2B99E8BA" w14:textId="77777777">
            <w:pPr>
              <w:jc w:val="right"/>
              <w:rPr>
                <w:sz w:val="22"/>
                <w:szCs w:val="22"/>
              </w:rPr>
            </w:pPr>
            <w:r>
              <w:rPr>
                <w:sz w:val="22"/>
                <w:szCs w:val="22"/>
              </w:rPr>
              <w:t>907,557</w:t>
            </w:r>
          </w:p>
        </w:tc>
        <w:tc>
          <w:tcPr>
            <w:tcW w:w="1474" w:type="dxa"/>
            <w:vAlign w:val="bottom"/>
          </w:tcPr>
          <w:p w:rsidR="00D851B4" w:rsidP="008F50AF" w14:paraId="74D994B7" w14:textId="77777777">
            <w:pPr>
              <w:jc w:val="right"/>
              <w:rPr>
                <w:sz w:val="22"/>
                <w:szCs w:val="22"/>
              </w:rPr>
            </w:pPr>
            <w:r>
              <w:rPr>
                <w:sz w:val="22"/>
                <w:szCs w:val="22"/>
              </w:rPr>
              <w:t>2,292,443</w:t>
            </w:r>
          </w:p>
        </w:tc>
        <w:tc>
          <w:tcPr>
            <w:tcW w:w="1564" w:type="dxa"/>
            <w:vAlign w:val="bottom"/>
          </w:tcPr>
          <w:p w:rsidR="00D851B4" w:rsidP="008F50AF" w14:paraId="44C6C908" w14:textId="77777777">
            <w:pPr>
              <w:jc w:val="right"/>
              <w:rPr>
                <w:sz w:val="22"/>
                <w:szCs w:val="22"/>
              </w:rPr>
            </w:pPr>
            <w:r>
              <w:rPr>
                <w:sz w:val="22"/>
                <w:szCs w:val="22"/>
              </w:rPr>
              <w:t>867,264</w:t>
            </w:r>
          </w:p>
        </w:tc>
      </w:tr>
      <w:tr w14:paraId="506E1705" w14:textId="77777777" w:rsidTr="00D851B4">
        <w:tblPrEx>
          <w:tblW w:w="8107" w:type="dxa"/>
          <w:jc w:val="center"/>
          <w:tblLayout w:type="fixed"/>
          <w:tblLook w:val="04A0"/>
        </w:tblPrEx>
        <w:trPr>
          <w:jc w:val="center"/>
        </w:trPr>
        <w:tc>
          <w:tcPr>
            <w:tcW w:w="2160" w:type="dxa"/>
          </w:tcPr>
          <w:p w:rsidR="00D851B4" w:rsidP="008F50AF" w14:paraId="3BF81B6B" w14:textId="77777777">
            <w:pPr>
              <w:rPr>
                <w:sz w:val="22"/>
                <w:szCs w:val="22"/>
              </w:rPr>
            </w:pPr>
            <w:r>
              <w:rPr>
                <w:sz w:val="22"/>
                <w:szCs w:val="22"/>
              </w:rPr>
              <w:t>ECF</w:t>
            </w:r>
          </w:p>
        </w:tc>
        <w:tc>
          <w:tcPr>
            <w:tcW w:w="1615" w:type="dxa"/>
            <w:tcBorders>
              <w:bottom w:val="single" w:sz="4" w:space="0" w:color="auto"/>
            </w:tcBorders>
            <w:vAlign w:val="bottom"/>
          </w:tcPr>
          <w:p w:rsidR="00D851B4" w:rsidP="008F50AF" w14:paraId="384099A9" w14:textId="77777777">
            <w:pPr>
              <w:jc w:val="right"/>
              <w:rPr>
                <w:sz w:val="22"/>
                <w:szCs w:val="22"/>
              </w:rPr>
            </w:pPr>
            <w:r>
              <w:rPr>
                <w:sz w:val="22"/>
                <w:szCs w:val="22"/>
              </w:rPr>
              <w:t>7,172,000</w:t>
            </w:r>
          </w:p>
        </w:tc>
        <w:tc>
          <w:tcPr>
            <w:tcW w:w="1294" w:type="dxa"/>
            <w:tcBorders>
              <w:bottom w:val="single" w:sz="4" w:space="0" w:color="auto"/>
            </w:tcBorders>
            <w:vAlign w:val="bottom"/>
          </w:tcPr>
          <w:p w:rsidR="00D851B4" w:rsidP="008F50AF" w14:paraId="2252ABDF" w14:textId="77777777">
            <w:pPr>
              <w:jc w:val="right"/>
              <w:rPr>
                <w:sz w:val="22"/>
                <w:szCs w:val="22"/>
              </w:rPr>
            </w:pPr>
            <w:r>
              <w:rPr>
                <w:sz w:val="22"/>
                <w:szCs w:val="22"/>
              </w:rPr>
              <w:t>1,311,091</w:t>
            </w:r>
          </w:p>
        </w:tc>
        <w:tc>
          <w:tcPr>
            <w:tcW w:w="1474" w:type="dxa"/>
            <w:tcBorders>
              <w:bottom w:val="single" w:sz="4" w:space="0" w:color="auto"/>
            </w:tcBorders>
            <w:vAlign w:val="bottom"/>
          </w:tcPr>
          <w:p w:rsidR="00D851B4" w:rsidP="008F50AF" w14:paraId="66B790D6" w14:textId="77777777">
            <w:pPr>
              <w:jc w:val="right"/>
              <w:rPr>
                <w:sz w:val="22"/>
                <w:szCs w:val="22"/>
              </w:rPr>
            </w:pPr>
            <w:r>
              <w:rPr>
                <w:sz w:val="22"/>
                <w:szCs w:val="22"/>
              </w:rPr>
              <w:t>5,860,909</w:t>
            </w:r>
          </w:p>
        </w:tc>
        <w:tc>
          <w:tcPr>
            <w:tcW w:w="1564" w:type="dxa"/>
            <w:tcBorders>
              <w:bottom w:val="single" w:sz="4" w:space="0" w:color="auto"/>
            </w:tcBorders>
            <w:vAlign w:val="bottom"/>
          </w:tcPr>
          <w:p w:rsidR="00D851B4" w:rsidP="008F50AF" w14:paraId="41115170" w14:textId="77777777">
            <w:pPr>
              <w:jc w:val="right"/>
              <w:rPr>
                <w:sz w:val="22"/>
                <w:szCs w:val="22"/>
              </w:rPr>
            </w:pPr>
            <w:r>
              <w:rPr>
                <w:sz w:val="22"/>
                <w:szCs w:val="22"/>
              </w:rPr>
              <w:t>4,212</w:t>
            </w:r>
          </w:p>
        </w:tc>
      </w:tr>
      <w:tr w14:paraId="2DFCF123" w14:textId="77777777" w:rsidTr="00D851B4">
        <w:tblPrEx>
          <w:tblW w:w="8107" w:type="dxa"/>
          <w:jc w:val="center"/>
          <w:tblLayout w:type="fixed"/>
          <w:tblLook w:val="04A0"/>
        </w:tblPrEx>
        <w:trPr>
          <w:jc w:val="center"/>
        </w:trPr>
        <w:tc>
          <w:tcPr>
            <w:tcW w:w="2160" w:type="dxa"/>
          </w:tcPr>
          <w:p w:rsidR="00D851B4" w:rsidP="008F50AF" w14:paraId="2A75F2C9" w14:textId="77777777">
            <w:pPr>
              <w:rPr>
                <w:sz w:val="22"/>
                <w:szCs w:val="22"/>
              </w:rPr>
            </w:pPr>
            <w:r>
              <w:rPr>
                <w:sz w:val="22"/>
                <w:szCs w:val="22"/>
              </w:rPr>
              <w:t>Total</w:t>
            </w:r>
          </w:p>
        </w:tc>
        <w:tc>
          <w:tcPr>
            <w:tcW w:w="1615" w:type="dxa"/>
            <w:tcBorders>
              <w:top w:val="single" w:sz="4" w:space="0" w:color="auto"/>
              <w:bottom w:val="double" w:sz="4" w:space="0" w:color="auto"/>
            </w:tcBorders>
            <w:vAlign w:val="bottom"/>
          </w:tcPr>
          <w:p w:rsidR="00D851B4" w:rsidP="008F50AF" w14:paraId="09EFC5F1" w14:textId="11C50ED5">
            <w:pPr>
              <w:jc w:val="right"/>
              <w:rPr>
                <w:sz w:val="22"/>
                <w:szCs w:val="22"/>
              </w:rPr>
            </w:pPr>
            <w:r>
              <w:rPr>
                <w:sz w:val="22"/>
                <w:szCs w:val="22"/>
              </w:rPr>
              <w:t>$</w:t>
            </w:r>
            <w:r w:rsidR="00A11774">
              <w:rPr>
                <w:sz w:val="22"/>
                <w:szCs w:val="22"/>
              </w:rPr>
              <w:t xml:space="preserve">    </w:t>
            </w:r>
            <w:r>
              <w:rPr>
                <w:sz w:val="22"/>
                <w:szCs w:val="22"/>
              </w:rPr>
              <w:t xml:space="preserve"> 10,821,950</w:t>
            </w:r>
          </w:p>
        </w:tc>
        <w:tc>
          <w:tcPr>
            <w:tcW w:w="1294" w:type="dxa"/>
            <w:tcBorders>
              <w:top w:val="single" w:sz="4" w:space="0" w:color="auto"/>
              <w:bottom w:val="double" w:sz="4" w:space="0" w:color="auto"/>
            </w:tcBorders>
            <w:vAlign w:val="bottom"/>
          </w:tcPr>
          <w:p w:rsidR="00D851B4" w:rsidP="008F50AF" w14:paraId="05A26DD1" w14:textId="77777777">
            <w:pPr>
              <w:jc w:val="right"/>
              <w:rPr>
                <w:sz w:val="22"/>
                <w:szCs w:val="22"/>
              </w:rPr>
            </w:pPr>
            <w:r>
              <w:rPr>
                <w:sz w:val="22"/>
                <w:szCs w:val="22"/>
              </w:rPr>
              <w:t>$ 2,502,439</w:t>
            </w:r>
          </w:p>
        </w:tc>
        <w:tc>
          <w:tcPr>
            <w:tcW w:w="1474" w:type="dxa"/>
            <w:tcBorders>
              <w:top w:val="single" w:sz="4" w:space="0" w:color="auto"/>
              <w:bottom w:val="double" w:sz="4" w:space="0" w:color="auto"/>
            </w:tcBorders>
            <w:vAlign w:val="bottom"/>
          </w:tcPr>
          <w:p w:rsidR="00D851B4" w:rsidP="008F50AF" w14:paraId="2C6E4BE0" w14:textId="719A9B37">
            <w:pPr>
              <w:jc w:val="right"/>
              <w:rPr>
                <w:sz w:val="22"/>
                <w:szCs w:val="22"/>
              </w:rPr>
            </w:pPr>
            <w:r>
              <w:rPr>
                <w:sz w:val="22"/>
                <w:szCs w:val="22"/>
              </w:rPr>
              <w:t>$</w:t>
            </w:r>
            <w:r w:rsidR="00394F1E">
              <w:rPr>
                <w:sz w:val="22"/>
                <w:szCs w:val="22"/>
              </w:rPr>
              <w:t xml:space="preserve">  </w:t>
            </w:r>
            <w:r w:rsidR="00A95303">
              <w:rPr>
                <w:sz w:val="22"/>
                <w:szCs w:val="22"/>
              </w:rPr>
              <w:t xml:space="preserve"> </w:t>
            </w:r>
            <w:r>
              <w:rPr>
                <w:sz w:val="22"/>
                <w:szCs w:val="22"/>
              </w:rPr>
              <w:t xml:space="preserve"> 8,319,511</w:t>
            </w:r>
          </w:p>
        </w:tc>
        <w:tc>
          <w:tcPr>
            <w:tcW w:w="1564" w:type="dxa"/>
            <w:tcBorders>
              <w:top w:val="single" w:sz="4" w:space="0" w:color="auto"/>
              <w:bottom w:val="double" w:sz="4" w:space="0" w:color="auto"/>
            </w:tcBorders>
            <w:vAlign w:val="bottom"/>
          </w:tcPr>
          <w:p w:rsidR="00D851B4" w:rsidP="008F50AF" w14:paraId="2395341D" w14:textId="27DD635D">
            <w:pPr>
              <w:jc w:val="right"/>
              <w:rPr>
                <w:sz w:val="22"/>
                <w:szCs w:val="22"/>
              </w:rPr>
            </w:pPr>
            <w:r>
              <w:rPr>
                <w:sz w:val="22"/>
                <w:szCs w:val="22"/>
              </w:rPr>
              <w:t xml:space="preserve">$ </w:t>
            </w:r>
            <w:r w:rsidR="007A0F29">
              <w:rPr>
                <w:sz w:val="22"/>
                <w:szCs w:val="22"/>
              </w:rPr>
              <w:t xml:space="preserve">    </w:t>
            </w:r>
            <w:r w:rsidR="00A95303">
              <w:rPr>
                <w:sz w:val="22"/>
                <w:szCs w:val="22"/>
              </w:rPr>
              <w:t xml:space="preserve"> </w:t>
            </w:r>
            <w:r>
              <w:rPr>
                <w:sz w:val="22"/>
                <w:szCs w:val="22"/>
              </w:rPr>
              <w:t>1,058,267</w:t>
            </w:r>
          </w:p>
        </w:tc>
      </w:tr>
    </w:tbl>
    <w:p w:rsidR="00EC0D32" w:rsidP="00381E5B" w14:paraId="43149BBC" w14:textId="1438AA4B">
      <w:pPr>
        <w:spacing w:before="100" w:beforeAutospacing="1" w:after="120"/>
        <w:rPr>
          <w:sz w:val="22"/>
          <w:szCs w:val="22"/>
        </w:rPr>
      </w:pPr>
    </w:p>
    <w:tbl>
      <w:tblPr>
        <w:tblStyle w:val="TableGrid"/>
        <w:tblW w:w="80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155"/>
        <w:gridCol w:w="1620"/>
        <w:gridCol w:w="1260"/>
        <w:gridCol w:w="1440"/>
        <w:gridCol w:w="1564"/>
      </w:tblGrid>
      <w:tr w14:paraId="507A96B6" w14:textId="6FD0A3F9" w:rsidTr="00D851B4">
        <w:tblPrEx>
          <w:tblW w:w="80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jc w:val="center"/>
        </w:trPr>
        <w:tc>
          <w:tcPr>
            <w:tcW w:w="2155" w:type="dxa"/>
            <w:vAlign w:val="bottom"/>
          </w:tcPr>
          <w:p w:rsidR="00D851B4" w:rsidRPr="00B74646" w:rsidP="008F50AF" w14:paraId="08A74AF3" w14:textId="09DBE66C">
            <w:pPr>
              <w:rPr>
                <w:sz w:val="22"/>
                <w:szCs w:val="22"/>
                <w:u w:val="single"/>
              </w:rPr>
            </w:pPr>
            <w:r>
              <w:rPr>
                <w:sz w:val="22"/>
                <w:szCs w:val="22"/>
                <w:u w:val="single"/>
              </w:rPr>
              <w:t xml:space="preserve">FY </w:t>
            </w:r>
            <w:r w:rsidRPr="00B74646">
              <w:rPr>
                <w:sz w:val="22"/>
                <w:szCs w:val="22"/>
                <w:u w:val="single"/>
              </w:rPr>
              <w:t>202</w:t>
            </w:r>
            <w:r>
              <w:rPr>
                <w:sz w:val="22"/>
                <w:szCs w:val="22"/>
                <w:u w:val="single"/>
              </w:rPr>
              <w:t>0</w:t>
            </w:r>
          </w:p>
        </w:tc>
        <w:tc>
          <w:tcPr>
            <w:tcW w:w="1620" w:type="dxa"/>
            <w:tcBorders>
              <w:bottom w:val="single" w:sz="4" w:space="0" w:color="auto"/>
            </w:tcBorders>
            <w:vAlign w:val="bottom"/>
          </w:tcPr>
          <w:p w:rsidR="00D851B4" w:rsidP="008F50AF" w14:paraId="14F302FA" w14:textId="3C552D69">
            <w:pPr>
              <w:jc w:val="center"/>
              <w:rPr>
                <w:sz w:val="22"/>
                <w:szCs w:val="22"/>
              </w:rPr>
            </w:pPr>
            <w:r>
              <w:rPr>
                <w:sz w:val="22"/>
                <w:szCs w:val="22"/>
              </w:rPr>
              <w:t>Appropriations Received</w:t>
            </w:r>
          </w:p>
        </w:tc>
        <w:tc>
          <w:tcPr>
            <w:tcW w:w="1260" w:type="dxa"/>
            <w:tcBorders>
              <w:bottom w:val="single" w:sz="4" w:space="0" w:color="auto"/>
            </w:tcBorders>
            <w:vAlign w:val="bottom"/>
          </w:tcPr>
          <w:p w:rsidR="00D851B4" w:rsidP="008F50AF" w14:paraId="4B43A1B5" w14:textId="39832D9F">
            <w:pPr>
              <w:jc w:val="center"/>
              <w:rPr>
                <w:sz w:val="22"/>
                <w:szCs w:val="22"/>
              </w:rPr>
            </w:pPr>
            <w:r>
              <w:rPr>
                <w:sz w:val="22"/>
                <w:szCs w:val="22"/>
              </w:rPr>
              <w:t>Obligations Incurred</w:t>
            </w:r>
          </w:p>
        </w:tc>
        <w:tc>
          <w:tcPr>
            <w:tcW w:w="1440" w:type="dxa"/>
            <w:tcBorders>
              <w:bottom w:val="single" w:sz="4" w:space="0" w:color="auto"/>
            </w:tcBorders>
            <w:vAlign w:val="bottom"/>
          </w:tcPr>
          <w:p w:rsidR="00D851B4" w:rsidP="008F50AF" w14:paraId="0D41EF22" w14:textId="0AF6CD33">
            <w:pPr>
              <w:jc w:val="center"/>
              <w:rPr>
                <w:sz w:val="22"/>
                <w:szCs w:val="22"/>
              </w:rPr>
            </w:pPr>
            <w:r>
              <w:rPr>
                <w:sz w:val="22"/>
                <w:szCs w:val="22"/>
              </w:rPr>
              <w:t>Remaining Available for Obligation</w:t>
            </w:r>
          </w:p>
        </w:tc>
        <w:tc>
          <w:tcPr>
            <w:tcW w:w="1564" w:type="dxa"/>
            <w:tcBorders>
              <w:bottom w:val="single" w:sz="4" w:space="0" w:color="auto"/>
            </w:tcBorders>
            <w:vAlign w:val="bottom"/>
          </w:tcPr>
          <w:p w:rsidR="00D851B4" w:rsidP="008F50AF" w14:paraId="7F21D879" w14:textId="68E68D89">
            <w:pPr>
              <w:jc w:val="center"/>
              <w:rPr>
                <w:sz w:val="22"/>
                <w:szCs w:val="22"/>
              </w:rPr>
            </w:pPr>
            <w:r>
              <w:rPr>
                <w:sz w:val="22"/>
                <w:szCs w:val="22"/>
              </w:rPr>
              <w:t>Appropriations Used</w:t>
            </w:r>
          </w:p>
        </w:tc>
      </w:tr>
      <w:tr w14:paraId="7F3AA79F" w14:textId="369C3498" w:rsidTr="00D851B4">
        <w:tblPrEx>
          <w:tblW w:w="8039" w:type="dxa"/>
          <w:jc w:val="center"/>
          <w:tblLayout w:type="fixed"/>
          <w:tblLook w:val="04A0"/>
        </w:tblPrEx>
        <w:trPr>
          <w:jc w:val="center"/>
        </w:trPr>
        <w:tc>
          <w:tcPr>
            <w:tcW w:w="2155" w:type="dxa"/>
          </w:tcPr>
          <w:p w:rsidR="00D851B4" w:rsidP="008F50AF" w14:paraId="2F40FEAA" w14:textId="3EF4C108">
            <w:pPr>
              <w:rPr>
                <w:sz w:val="22"/>
                <w:szCs w:val="22"/>
              </w:rPr>
            </w:pPr>
            <w:r>
              <w:rPr>
                <w:sz w:val="22"/>
                <w:szCs w:val="22"/>
              </w:rPr>
              <w:t>COVID-19 Telehealth (Round 1)</w:t>
            </w:r>
          </w:p>
        </w:tc>
        <w:tc>
          <w:tcPr>
            <w:tcW w:w="1620" w:type="dxa"/>
            <w:tcBorders>
              <w:bottom w:val="single" w:sz="4" w:space="0" w:color="auto"/>
            </w:tcBorders>
            <w:vAlign w:val="bottom"/>
          </w:tcPr>
          <w:p w:rsidR="00D851B4" w:rsidP="008F50AF" w14:paraId="6B768657" w14:textId="7BC932FF">
            <w:pPr>
              <w:jc w:val="right"/>
              <w:rPr>
                <w:sz w:val="22"/>
                <w:szCs w:val="22"/>
              </w:rPr>
            </w:pPr>
            <w:r>
              <w:rPr>
                <w:sz w:val="22"/>
                <w:szCs w:val="22"/>
              </w:rPr>
              <w:t xml:space="preserve">$ </w:t>
            </w:r>
            <w:r w:rsidR="00A95303">
              <w:rPr>
                <w:sz w:val="22"/>
                <w:szCs w:val="22"/>
              </w:rPr>
              <w:t xml:space="preserve">      </w:t>
            </w:r>
            <w:r>
              <w:rPr>
                <w:sz w:val="22"/>
                <w:szCs w:val="22"/>
              </w:rPr>
              <w:t>200,000</w:t>
            </w:r>
          </w:p>
        </w:tc>
        <w:tc>
          <w:tcPr>
            <w:tcW w:w="1260" w:type="dxa"/>
            <w:tcBorders>
              <w:bottom w:val="single" w:sz="4" w:space="0" w:color="auto"/>
            </w:tcBorders>
            <w:vAlign w:val="bottom"/>
          </w:tcPr>
          <w:p w:rsidR="00D851B4" w:rsidP="008F50AF" w14:paraId="26CFCD2E" w14:textId="316009DF">
            <w:pPr>
              <w:jc w:val="right"/>
              <w:rPr>
                <w:sz w:val="22"/>
                <w:szCs w:val="22"/>
              </w:rPr>
            </w:pPr>
            <w:r>
              <w:rPr>
                <w:sz w:val="22"/>
                <w:szCs w:val="22"/>
              </w:rPr>
              <w:t>$</w:t>
            </w:r>
            <w:r w:rsidR="00A95303">
              <w:rPr>
                <w:sz w:val="22"/>
                <w:szCs w:val="22"/>
              </w:rPr>
              <w:t xml:space="preserve">  </w:t>
            </w:r>
            <w:r>
              <w:rPr>
                <w:sz w:val="22"/>
                <w:szCs w:val="22"/>
              </w:rPr>
              <w:t xml:space="preserve"> 200,000</w:t>
            </w:r>
          </w:p>
        </w:tc>
        <w:tc>
          <w:tcPr>
            <w:tcW w:w="1440" w:type="dxa"/>
            <w:tcBorders>
              <w:bottom w:val="single" w:sz="4" w:space="0" w:color="auto"/>
            </w:tcBorders>
            <w:vAlign w:val="bottom"/>
          </w:tcPr>
          <w:p w:rsidR="00D851B4" w:rsidP="008F50AF" w14:paraId="326277AB" w14:textId="426D8DB8">
            <w:pPr>
              <w:jc w:val="right"/>
              <w:rPr>
                <w:sz w:val="22"/>
                <w:szCs w:val="22"/>
              </w:rPr>
            </w:pPr>
            <w:r>
              <w:rPr>
                <w:sz w:val="22"/>
                <w:szCs w:val="22"/>
              </w:rPr>
              <w:t>$</w:t>
            </w:r>
            <w:r w:rsidR="00A95303">
              <w:rPr>
                <w:sz w:val="22"/>
                <w:szCs w:val="22"/>
              </w:rPr>
              <w:t xml:space="preserve">              </w:t>
            </w:r>
            <w:r>
              <w:rPr>
                <w:sz w:val="22"/>
                <w:szCs w:val="22"/>
              </w:rPr>
              <w:t xml:space="preserve"> -</w:t>
            </w:r>
          </w:p>
        </w:tc>
        <w:tc>
          <w:tcPr>
            <w:tcW w:w="1564" w:type="dxa"/>
            <w:tcBorders>
              <w:bottom w:val="single" w:sz="4" w:space="0" w:color="auto"/>
            </w:tcBorders>
            <w:vAlign w:val="bottom"/>
          </w:tcPr>
          <w:p w:rsidR="00D851B4" w:rsidP="008F50AF" w14:paraId="367D47DD" w14:textId="77A63D07">
            <w:pPr>
              <w:jc w:val="right"/>
              <w:rPr>
                <w:sz w:val="22"/>
                <w:szCs w:val="22"/>
              </w:rPr>
            </w:pPr>
            <w:r>
              <w:rPr>
                <w:sz w:val="22"/>
                <w:szCs w:val="22"/>
              </w:rPr>
              <w:t>$</w:t>
            </w:r>
            <w:r w:rsidR="007A0F29">
              <w:rPr>
                <w:sz w:val="22"/>
                <w:szCs w:val="22"/>
              </w:rPr>
              <w:t xml:space="preserve">      </w:t>
            </w:r>
            <w:r>
              <w:rPr>
                <w:sz w:val="22"/>
                <w:szCs w:val="22"/>
              </w:rPr>
              <w:t xml:space="preserve"> </w:t>
            </w:r>
            <w:r w:rsidR="00A95303">
              <w:rPr>
                <w:sz w:val="22"/>
                <w:szCs w:val="22"/>
              </w:rPr>
              <w:t xml:space="preserve">    </w:t>
            </w:r>
            <w:r>
              <w:rPr>
                <w:sz w:val="22"/>
                <w:szCs w:val="22"/>
              </w:rPr>
              <w:t>52,078</w:t>
            </w:r>
          </w:p>
        </w:tc>
      </w:tr>
      <w:tr w14:paraId="24A31CDE" w14:textId="77777777" w:rsidTr="00D851B4">
        <w:tblPrEx>
          <w:tblW w:w="8039" w:type="dxa"/>
          <w:jc w:val="center"/>
          <w:tblLayout w:type="fixed"/>
          <w:tblLook w:val="04A0"/>
        </w:tblPrEx>
        <w:trPr>
          <w:jc w:val="center"/>
        </w:trPr>
        <w:tc>
          <w:tcPr>
            <w:tcW w:w="2155" w:type="dxa"/>
          </w:tcPr>
          <w:p w:rsidR="00D851B4" w:rsidP="00930FDB" w14:paraId="1B50485B" w14:textId="3F90E90C">
            <w:pPr>
              <w:rPr>
                <w:sz w:val="22"/>
                <w:szCs w:val="22"/>
              </w:rPr>
            </w:pPr>
            <w:r>
              <w:rPr>
                <w:sz w:val="22"/>
                <w:szCs w:val="22"/>
              </w:rPr>
              <w:t>Total</w:t>
            </w:r>
          </w:p>
        </w:tc>
        <w:tc>
          <w:tcPr>
            <w:tcW w:w="1620" w:type="dxa"/>
            <w:tcBorders>
              <w:top w:val="single" w:sz="4" w:space="0" w:color="auto"/>
              <w:bottom w:val="double" w:sz="4" w:space="0" w:color="auto"/>
            </w:tcBorders>
            <w:vAlign w:val="bottom"/>
          </w:tcPr>
          <w:p w:rsidR="00D851B4" w:rsidP="00930FDB" w14:paraId="71F48CD8" w14:textId="3539A7DB">
            <w:pPr>
              <w:jc w:val="right"/>
              <w:rPr>
                <w:sz w:val="22"/>
                <w:szCs w:val="22"/>
              </w:rPr>
            </w:pPr>
            <w:r>
              <w:rPr>
                <w:sz w:val="22"/>
                <w:szCs w:val="22"/>
              </w:rPr>
              <w:t>$</w:t>
            </w:r>
            <w:r w:rsidR="00A95303">
              <w:rPr>
                <w:sz w:val="22"/>
                <w:szCs w:val="22"/>
              </w:rPr>
              <w:t xml:space="preserve">      </w:t>
            </w:r>
            <w:r>
              <w:rPr>
                <w:sz w:val="22"/>
                <w:szCs w:val="22"/>
              </w:rPr>
              <w:t xml:space="preserve"> 200,000</w:t>
            </w:r>
          </w:p>
        </w:tc>
        <w:tc>
          <w:tcPr>
            <w:tcW w:w="1260" w:type="dxa"/>
            <w:tcBorders>
              <w:top w:val="single" w:sz="4" w:space="0" w:color="auto"/>
              <w:bottom w:val="double" w:sz="4" w:space="0" w:color="auto"/>
            </w:tcBorders>
            <w:vAlign w:val="bottom"/>
          </w:tcPr>
          <w:p w:rsidR="00D851B4" w:rsidP="00930FDB" w14:paraId="2BF70CA2" w14:textId="3A0C4E48">
            <w:pPr>
              <w:jc w:val="right"/>
              <w:rPr>
                <w:sz w:val="22"/>
                <w:szCs w:val="22"/>
              </w:rPr>
            </w:pPr>
            <w:r>
              <w:rPr>
                <w:sz w:val="22"/>
                <w:szCs w:val="22"/>
              </w:rPr>
              <w:t xml:space="preserve">$ </w:t>
            </w:r>
            <w:r w:rsidR="00A95303">
              <w:rPr>
                <w:sz w:val="22"/>
                <w:szCs w:val="22"/>
              </w:rPr>
              <w:t xml:space="preserve">  </w:t>
            </w:r>
            <w:r>
              <w:rPr>
                <w:sz w:val="22"/>
                <w:szCs w:val="22"/>
              </w:rPr>
              <w:t>200,000</w:t>
            </w:r>
          </w:p>
        </w:tc>
        <w:tc>
          <w:tcPr>
            <w:tcW w:w="1440" w:type="dxa"/>
            <w:tcBorders>
              <w:top w:val="single" w:sz="4" w:space="0" w:color="auto"/>
              <w:bottom w:val="double" w:sz="4" w:space="0" w:color="auto"/>
            </w:tcBorders>
            <w:vAlign w:val="bottom"/>
          </w:tcPr>
          <w:p w:rsidR="00D851B4" w:rsidP="00930FDB" w14:paraId="55BFD4EA" w14:textId="13997483">
            <w:pPr>
              <w:jc w:val="right"/>
              <w:rPr>
                <w:sz w:val="22"/>
                <w:szCs w:val="22"/>
              </w:rPr>
            </w:pPr>
            <w:r>
              <w:rPr>
                <w:sz w:val="22"/>
                <w:szCs w:val="22"/>
              </w:rPr>
              <w:t>$</w:t>
            </w:r>
            <w:r w:rsidR="00A95303">
              <w:rPr>
                <w:sz w:val="22"/>
                <w:szCs w:val="22"/>
              </w:rPr>
              <w:t xml:space="preserve">              </w:t>
            </w:r>
            <w:r>
              <w:rPr>
                <w:sz w:val="22"/>
                <w:szCs w:val="22"/>
              </w:rPr>
              <w:t xml:space="preserve"> -</w:t>
            </w:r>
          </w:p>
        </w:tc>
        <w:tc>
          <w:tcPr>
            <w:tcW w:w="1564" w:type="dxa"/>
            <w:tcBorders>
              <w:top w:val="single" w:sz="4" w:space="0" w:color="auto"/>
              <w:bottom w:val="double" w:sz="4" w:space="0" w:color="auto"/>
            </w:tcBorders>
            <w:vAlign w:val="bottom"/>
          </w:tcPr>
          <w:p w:rsidR="00D851B4" w:rsidP="00930FDB" w14:paraId="37CBE87F" w14:textId="5D7E01EC">
            <w:pPr>
              <w:jc w:val="right"/>
              <w:rPr>
                <w:sz w:val="22"/>
                <w:szCs w:val="22"/>
              </w:rPr>
            </w:pPr>
            <w:r>
              <w:rPr>
                <w:sz w:val="22"/>
                <w:szCs w:val="22"/>
              </w:rPr>
              <w:t>$</w:t>
            </w:r>
            <w:r w:rsidR="000724E5">
              <w:rPr>
                <w:sz w:val="22"/>
                <w:szCs w:val="22"/>
              </w:rPr>
              <w:t xml:space="preserve">   </w:t>
            </w:r>
            <w:r w:rsidR="007A0F29">
              <w:rPr>
                <w:sz w:val="22"/>
                <w:szCs w:val="22"/>
              </w:rPr>
              <w:t xml:space="preserve">      </w:t>
            </w:r>
            <w:r w:rsidR="000724E5">
              <w:rPr>
                <w:sz w:val="22"/>
                <w:szCs w:val="22"/>
              </w:rPr>
              <w:t xml:space="preserve"> </w:t>
            </w:r>
            <w:r>
              <w:rPr>
                <w:sz w:val="22"/>
                <w:szCs w:val="22"/>
              </w:rPr>
              <w:t xml:space="preserve"> 52,078</w:t>
            </w:r>
          </w:p>
        </w:tc>
      </w:tr>
    </w:tbl>
    <w:p w:rsidR="00285D06" w:rsidRPr="00212989" w:rsidP="00724A01" w14:paraId="4A93E816" w14:textId="77777777">
      <w:pPr>
        <w:pStyle w:val="Heading4"/>
        <w:spacing w:before="480"/>
        <w:rPr>
          <w:sz w:val="22"/>
          <w:szCs w:val="22"/>
        </w:rPr>
      </w:pPr>
      <w:bookmarkStart w:id="269" w:name="_Toc88780714"/>
      <w:r w:rsidRPr="00212989">
        <w:rPr>
          <w:sz w:val="22"/>
          <w:szCs w:val="22"/>
        </w:rPr>
        <w:t>Note 19 – Subsequent Events</w:t>
      </w:r>
      <w:bookmarkEnd w:id="269"/>
      <w:r w:rsidRPr="00212989">
        <w:rPr>
          <w:sz w:val="22"/>
          <w:szCs w:val="22"/>
        </w:rPr>
        <w:t xml:space="preserve"> </w:t>
      </w:r>
    </w:p>
    <w:p w:rsidR="004526A7" w:rsidP="00930FDB" w14:paraId="4B17FA93" w14:textId="77777777">
      <w:pPr>
        <w:jc w:val="both"/>
        <w:rPr>
          <w:rFonts w:eastAsia="Calibri"/>
          <w:sz w:val="22"/>
          <w:szCs w:val="22"/>
        </w:rPr>
      </w:pPr>
      <w:r w:rsidRPr="002119CE">
        <w:rPr>
          <w:rFonts w:eastAsia="Calibri"/>
          <w:sz w:val="22"/>
          <w:szCs w:val="22"/>
        </w:rPr>
        <w:t xml:space="preserve">As of this report issuance, the President </w:t>
      </w:r>
      <w:r w:rsidR="0063575B">
        <w:rPr>
          <w:rFonts w:eastAsia="Calibri"/>
          <w:sz w:val="22"/>
          <w:szCs w:val="22"/>
        </w:rPr>
        <w:t>has</w:t>
      </w:r>
      <w:r w:rsidRPr="002119CE">
        <w:rPr>
          <w:rFonts w:eastAsia="Calibri"/>
          <w:sz w:val="22"/>
          <w:szCs w:val="22"/>
        </w:rPr>
        <w:t xml:space="preserve"> sign</w:t>
      </w:r>
      <w:r w:rsidR="0063575B">
        <w:rPr>
          <w:rFonts w:eastAsia="Calibri"/>
          <w:sz w:val="22"/>
          <w:szCs w:val="22"/>
        </w:rPr>
        <w:t>ed</w:t>
      </w:r>
      <w:r w:rsidRPr="002119CE">
        <w:rPr>
          <w:rFonts w:eastAsia="Calibri"/>
          <w:sz w:val="22"/>
          <w:szCs w:val="22"/>
        </w:rPr>
        <w:t xml:space="preserve"> the Infrastructure Investment and Jobs Act (H.R. 3684) available at </w:t>
      </w:r>
      <w:hyperlink r:id="rId77" w:history="1">
        <w:r w:rsidRPr="002119CE">
          <w:rPr>
            <w:rFonts w:eastAsia="Calibri"/>
            <w:color w:val="0563C1"/>
            <w:sz w:val="22"/>
            <w:szCs w:val="22"/>
            <w:u w:val="single"/>
          </w:rPr>
          <w:t>https://www.congress.gov/bill/117th-congress/house-bill/3684/text</w:t>
        </w:r>
      </w:hyperlink>
      <w:r w:rsidRPr="002119CE">
        <w:rPr>
          <w:rFonts w:eastAsia="Calibri"/>
          <w:color w:val="0563C1"/>
          <w:sz w:val="22"/>
          <w:szCs w:val="22"/>
          <w:u w:val="single"/>
        </w:rPr>
        <w:t>.</w:t>
      </w:r>
      <w:r w:rsidR="00C933B2">
        <w:rPr>
          <w:rFonts w:eastAsia="Calibri"/>
          <w:color w:val="0563C1"/>
          <w:sz w:val="22"/>
          <w:szCs w:val="22"/>
        </w:rPr>
        <w:t xml:space="preserve"> </w:t>
      </w:r>
      <w:r w:rsidRPr="002119CE">
        <w:rPr>
          <w:rFonts w:eastAsia="Calibri"/>
          <w:sz w:val="22"/>
          <w:szCs w:val="22"/>
        </w:rPr>
        <w:t xml:space="preserve">The Infrastructure Investment and Jobs (IIJ) Act directs the Commission </w:t>
      </w:r>
      <w:r w:rsidRPr="002119CE">
        <w:rPr>
          <w:rFonts w:eastAsia="Calibri"/>
          <w:sz w:val="22"/>
          <w:szCs w:val="22"/>
          <w:lang w:val="en"/>
        </w:rPr>
        <w:t>to adopt final rules modifying and extending the EBCF-EBBP to a longer-term broadband affordability program to be called the Affordable Connectivity Program (ACP).</w:t>
      </w:r>
      <w:r w:rsidR="00C933B2">
        <w:rPr>
          <w:rFonts w:eastAsia="Calibri"/>
          <w:sz w:val="22"/>
          <w:szCs w:val="22"/>
          <w:lang w:val="en"/>
        </w:rPr>
        <w:t xml:space="preserve"> </w:t>
      </w:r>
      <w:r w:rsidRPr="002119CE">
        <w:rPr>
          <w:rFonts w:eastAsia="Calibri"/>
          <w:sz w:val="22"/>
          <w:szCs w:val="22"/>
          <w:lang w:val="en"/>
        </w:rPr>
        <w:t>The ACP, as described in the IIJ Act, features changes to the eligibility criteria, an adjusted subsidy rate, a new mechanism for providing an enhanced subsidy amount to households in high-cost areas, a transition period for existing EBBP households, and additional consumer protection provisions.</w:t>
      </w:r>
      <w:r w:rsidR="00C933B2">
        <w:rPr>
          <w:rFonts w:eastAsia="Calibri"/>
          <w:sz w:val="22"/>
          <w:szCs w:val="22"/>
        </w:rPr>
        <w:t xml:space="preserve"> </w:t>
      </w:r>
      <w:r w:rsidRPr="002119CE">
        <w:rPr>
          <w:rFonts w:eastAsia="Calibri"/>
          <w:sz w:val="22"/>
          <w:szCs w:val="22"/>
        </w:rPr>
        <w:t>The IIJ Act appropriates $14.2 billion to the Affordable Connectivity Fund for the support of the ACP.</w:t>
      </w:r>
    </w:p>
    <w:p w:rsidR="00285D06" w:rsidRPr="004526A7" w:rsidP="00B52AF8" w14:paraId="26227271" w14:textId="6E8866D6">
      <w:pPr>
        <w:pStyle w:val="Heading4"/>
        <w:spacing w:before="480"/>
        <w:jc w:val="both"/>
        <w:rPr>
          <w:sz w:val="22"/>
          <w:szCs w:val="22"/>
        </w:rPr>
      </w:pPr>
      <w:bookmarkStart w:id="270" w:name="_Toc88780715"/>
      <w:r w:rsidRPr="004526A7">
        <w:rPr>
          <w:sz w:val="22"/>
          <w:szCs w:val="22"/>
        </w:rPr>
        <w:t xml:space="preserve">Note </w:t>
      </w:r>
      <w:r w:rsidRPr="004526A7" w:rsidR="00096EFA">
        <w:rPr>
          <w:sz w:val="22"/>
          <w:szCs w:val="22"/>
        </w:rPr>
        <w:t xml:space="preserve">20 </w:t>
      </w:r>
      <w:r w:rsidRPr="004526A7">
        <w:rPr>
          <w:sz w:val="22"/>
          <w:szCs w:val="22"/>
        </w:rPr>
        <w:t>– Reclassification of Financial Statement Line Items for Financial Report Compilation Process</w:t>
      </w:r>
      <w:bookmarkEnd w:id="270"/>
    </w:p>
    <w:p w:rsidR="00285D06" w:rsidP="00285D06" w14:paraId="4BAD001B" w14:textId="79845630">
      <w:pPr>
        <w:jc w:val="both"/>
        <w:rPr>
          <w:sz w:val="22"/>
          <w:szCs w:val="22"/>
        </w:rPr>
      </w:pPr>
      <w:r w:rsidRPr="00BA1E56">
        <w:rPr>
          <w:sz w:val="22"/>
          <w:szCs w:val="22"/>
        </w:rPr>
        <w:t xml:space="preserve">To prepare the </w:t>
      </w:r>
      <w:r w:rsidRPr="00F96C42">
        <w:rPr>
          <w:i/>
          <w:iCs/>
          <w:sz w:val="22"/>
          <w:szCs w:val="22"/>
        </w:rPr>
        <w:t>Financial Report of the U.S. Government (Financial Report)</w:t>
      </w:r>
      <w:r w:rsidRPr="00BA1E56">
        <w:rPr>
          <w:sz w:val="22"/>
          <w:szCs w:val="22"/>
        </w:rPr>
        <w:t>, Treasury requires agencies to submit an adjusted trial balance, which is a listing of amounts by U.S. Standard General Ledger account that appear in the financial statements.</w:t>
      </w:r>
      <w:r w:rsidR="00C933B2">
        <w:rPr>
          <w:sz w:val="22"/>
          <w:szCs w:val="22"/>
        </w:rPr>
        <w:t xml:space="preserve"> </w:t>
      </w:r>
      <w:r w:rsidRPr="00BA1E56">
        <w:rPr>
          <w:sz w:val="22"/>
          <w:szCs w:val="22"/>
        </w:rPr>
        <w:t>Treasury uses the trial balance information reported in the Governmentwide Treasury Account Symbol Adjusted Trial Balance System (GTAS) to develop a Reclassified Statement of Net Cost, and a Reclassified Statement of Changes in Net Position for each agency, which are accessed using GTAS.</w:t>
      </w:r>
      <w:r w:rsidR="00C933B2">
        <w:rPr>
          <w:sz w:val="22"/>
          <w:szCs w:val="22"/>
        </w:rPr>
        <w:t xml:space="preserve"> </w:t>
      </w:r>
      <w:r w:rsidRPr="00BA1E56">
        <w:rPr>
          <w:sz w:val="22"/>
          <w:szCs w:val="22"/>
        </w:rPr>
        <w:t xml:space="preserve">Treasury eliminates all intragovernmental balances from the reclassified statements and aggregates lines with the same title to develop the </w:t>
      </w:r>
      <w:r w:rsidRPr="00F96C42">
        <w:rPr>
          <w:i/>
          <w:iCs/>
          <w:sz w:val="22"/>
          <w:szCs w:val="22"/>
        </w:rPr>
        <w:t>Financial</w:t>
      </w:r>
      <w:r>
        <w:rPr>
          <w:sz w:val="22"/>
          <w:szCs w:val="22"/>
        </w:rPr>
        <w:t xml:space="preserve"> </w:t>
      </w:r>
      <w:r w:rsidRPr="00F96C42">
        <w:rPr>
          <w:i/>
          <w:iCs/>
          <w:sz w:val="22"/>
          <w:szCs w:val="22"/>
        </w:rPr>
        <w:t>Report</w:t>
      </w:r>
      <w:r w:rsidRPr="00BA1E56">
        <w:rPr>
          <w:sz w:val="22"/>
          <w:szCs w:val="22"/>
        </w:rPr>
        <w:t xml:space="preserve"> statements.</w:t>
      </w:r>
      <w:r w:rsidR="00C933B2">
        <w:rPr>
          <w:sz w:val="22"/>
          <w:szCs w:val="22"/>
        </w:rPr>
        <w:t xml:space="preserve"> </w:t>
      </w:r>
      <w:r w:rsidRPr="00BA1E56">
        <w:rPr>
          <w:sz w:val="22"/>
          <w:szCs w:val="22"/>
        </w:rPr>
        <w:t xml:space="preserve">This note shows the Commission’s financial statements and the Commission’s reclassified statements prior to elimination of intragovernmental balances and prior to aggregation of repeated </w:t>
      </w:r>
      <w:r w:rsidRPr="00F96C42">
        <w:rPr>
          <w:i/>
          <w:iCs/>
          <w:sz w:val="22"/>
          <w:szCs w:val="22"/>
        </w:rPr>
        <w:t xml:space="preserve">Financial Report </w:t>
      </w:r>
      <w:r w:rsidRPr="00BA1E56">
        <w:rPr>
          <w:sz w:val="22"/>
          <w:szCs w:val="22"/>
        </w:rPr>
        <w:t>line items.</w:t>
      </w:r>
      <w:r w:rsidR="00C933B2">
        <w:rPr>
          <w:sz w:val="22"/>
          <w:szCs w:val="22"/>
        </w:rPr>
        <w:t xml:space="preserve"> </w:t>
      </w:r>
      <w:r w:rsidRPr="00F96C42">
        <w:rPr>
          <w:sz w:val="22"/>
          <w:szCs w:val="22"/>
        </w:rPr>
        <w:t xml:space="preserve">A copy of the 2020 </w:t>
      </w:r>
      <w:r w:rsidRPr="00F96C42">
        <w:rPr>
          <w:i/>
          <w:iCs/>
          <w:sz w:val="22"/>
          <w:szCs w:val="22"/>
        </w:rPr>
        <w:t>Financial Report</w:t>
      </w:r>
      <w:r w:rsidRPr="00F96C42">
        <w:rPr>
          <w:sz w:val="22"/>
          <w:szCs w:val="22"/>
        </w:rPr>
        <w:t xml:space="preserve"> can be found here:</w:t>
      </w:r>
      <w:r w:rsidR="00C933B2">
        <w:rPr>
          <w:sz w:val="22"/>
          <w:szCs w:val="22"/>
        </w:rPr>
        <w:t xml:space="preserve"> </w:t>
      </w:r>
      <w:r w:rsidRPr="00F96C42">
        <w:rPr>
          <w:sz w:val="22"/>
          <w:szCs w:val="22"/>
        </w:rPr>
        <w:t>Bureau of the Fiscal Service - Reports, Statements &amp; Publications (</w:t>
      </w:r>
      <w:hyperlink r:id="rId78" w:history="1">
        <w:r w:rsidRPr="003B1265">
          <w:rPr>
            <w:rStyle w:val="Hyperlink"/>
            <w:sz w:val="22"/>
            <w:szCs w:val="22"/>
          </w:rPr>
          <w:t>treasury.gov</w:t>
        </w:r>
      </w:hyperlink>
      <w:r w:rsidRPr="00F96C42">
        <w:rPr>
          <w:sz w:val="22"/>
          <w:szCs w:val="22"/>
        </w:rPr>
        <w:t>)</w:t>
      </w:r>
      <w:r w:rsidRPr="00BA1E56">
        <w:rPr>
          <w:sz w:val="22"/>
          <w:szCs w:val="22"/>
        </w:rPr>
        <w:t xml:space="preserve"> </w:t>
      </w:r>
      <w:r>
        <w:rPr>
          <w:sz w:val="22"/>
          <w:szCs w:val="22"/>
        </w:rPr>
        <w:t>and</w:t>
      </w:r>
      <w:r w:rsidRPr="00BA1E56">
        <w:rPr>
          <w:sz w:val="22"/>
          <w:szCs w:val="22"/>
        </w:rPr>
        <w:t xml:space="preserve"> </w:t>
      </w:r>
      <w:r>
        <w:rPr>
          <w:sz w:val="22"/>
          <w:szCs w:val="22"/>
        </w:rPr>
        <w:t>a</w:t>
      </w:r>
      <w:r w:rsidRPr="00BA1E56">
        <w:rPr>
          <w:sz w:val="22"/>
          <w:szCs w:val="22"/>
        </w:rPr>
        <w:t xml:space="preserve"> copy of the </w:t>
      </w:r>
      <w:r>
        <w:rPr>
          <w:sz w:val="22"/>
          <w:szCs w:val="22"/>
        </w:rPr>
        <w:t>2021</w:t>
      </w:r>
      <w:r w:rsidRPr="00BA1E56">
        <w:rPr>
          <w:sz w:val="22"/>
          <w:szCs w:val="22"/>
        </w:rPr>
        <w:t xml:space="preserve"> </w:t>
      </w:r>
      <w:r w:rsidRPr="00F96C42">
        <w:rPr>
          <w:i/>
          <w:iCs/>
          <w:sz w:val="22"/>
          <w:szCs w:val="22"/>
        </w:rPr>
        <w:t xml:space="preserve">Financial Report </w:t>
      </w:r>
      <w:r w:rsidRPr="00BA1E56">
        <w:rPr>
          <w:sz w:val="22"/>
          <w:szCs w:val="22"/>
        </w:rPr>
        <w:t xml:space="preserve">will be </w:t>
      </w:r>
      <w:r>
        <w:rPr>
          <w:sz w:val="22"/>
          <w:szCs w:val="22"/>
        </w:rPr>
        <w:t xml:space="preserve">posted to this site </w:t>
      </w:r>
      <w:r w:rsidR="00B27F06">
        <w:rPr>
          <w:sz w:val="22"/>
          <w:szCs w:val="22"/>
        </w:rPr>
        <w:t>upon</w:t>
      </w:r>
      <w:r w:rsidRPr="00BA1E56">
        <w:rPr>
          <w:sz w:val="22"/>
          <w:szCs w:val="22"/>
        </w:rPr>
        <w:t xml:space="preserve"> release.</w:t>
      </w:r>
      <w:r w:rsidR="00C933B2">
        <w:rPr>
          <w:sz w:val="22"/>
          <w:szCs w:val="22"/>
        </w:rPr>
        <w:t xml:space="preserve"> </w:t>
      </w:r>
      <w:r w:rsidRPr="00BA1E56">
        <w:rPr>
          <w:sz w:val="22"/>
          <w:szCs w:val="22"/>
        </w:rPr>
        <w:t>The term “non-Federal” is used in this note to refer to Federal Government amounts that result from transactions with non-Federal entities.</w:t>
      </w:r>
      <w:r w:rsidR="00C933B2">
        <w:rPr>
          <w:sz w:val="22"/>
          <w:szCs w:val="22"/>
        </w:rPr>
        <w:t xml:space="preserve"> </w:t>
      </w:r>
      <w:r w:rsidRPr="00BA1E56">
        <w:rPr>
          <w:sz w:val="22"/>
          <w:szCs w:val="22"/>
        </w:rPr>
        <w:t>These include transactions with individuals, businesses, non-profit entities, and State, local, and foreign governments.</w:t>
      </w:r>
      <w:r w:rsidR="00C933B2">
        <w:rPr>
          <w:sz w:val="22"/>
          <w:szCs w:val="22"/>
        </w:rPr>
        <w:t xml:space="preserve"> </w:t>
      </w:r>
    </w:p>
    <w:p w:rsidR="00285D06" w:rsidRPr="00D32FE2" w:rsidP="00D32FE2" w14:paraId="1381FD97" w14:textId="67CF8993">
      <w:pPr>
        <w:pStyle w:val="Heading5"/>
        <w:spacing w:before="240"/>
        <w:rPr>
          <w:sz w:val="22"/>
          <w:szCs w:val="22"/>
        </w:rPr>
      </w:pPr>
      <w:bookmarkStart w:id="271" w:name="_Toc88780716"/>
      <w:r w:rsidRPr="00D32FE2">
        <w:rPr>
          <w:sz w:val="22"/>
          <w:szCs w:val="22"/>
        </w:rPr>
        <w:t>Reclassification of Statement of Net Cost to Line Items Used for the Government-wide Statement of Net Cost for the Year Ended September 30, 2021 and September 30, 2020</w:t>
      </w:r>
      <w:bookmarkEnd w:id="271"/>
    </w:p>
    <w:tbl>
      <w:tblPr>
        <w:tblW w:w="5000" w:type="pct"/>
        <w:tblLook w:val="04A0"/>
      </w:tblPr>
      <w:tblGrid>
        <w:gridCol w:w="2150"/>
        <w:gridCol w:w="1170"/>
        <w:gridCol w:w="990"/>
        <w:gridCol w:w="1350"/>
        <w:gridCol w:w="1170"/>
        <w:gridCol w:w="2510"/>
      </w:tblGrid>
      <w:tr w14:paraId="5D99DDCA" w14:textId="77777777" w:rsidTr="009436BA">
        <w:tblPrEx>
          <w:tblW w:w="5000" w:type="pct"/>
          <w:tblLook w:val="04A0"/>
        </w:tblPrEx>
        <w:trPr>
          <w:trHeight w:val="20"/>
        </w:trPr>
        <w:tc>
          <w:tcPr>
            <w:tcW w:w="2150" w:type="dxa"/>
            <w:tcBorders>
              <w:top w:val="single" w:sz="8" w:space="0" w:color="auto"/>
              <w:left w:val="single" w:sz="8" w:space="0" w:color="auto"/>
              <w:bottom w:val="single" w:sz="8" w:space="0" w:color="auto"/>
              <w:right w:val="nil"/>
            </w:tcBorders>
            <w:shd w:val="clear" w:color="000000" w:fill="FFFFFF"/>
            <w:vAlign w:val="center"/>
            <w:hideMark/>
          </w:tcPr>
          <w:p w:rsidR="008E0F8E" w:rsidRPr="00B173B5" w:rsidP="004957F6" w14:paraId="6AAA75B5" w14:textId="77777777">
            <w:pPr>
              <w:ind w:right="246"/>
              <w:jc w:val="center"/>
              <w:rPr>
                <w:b/>
                <w:bCs/>
                <w:sz w:val="13"/>
                <w:szCs w:val="13"/>
              </w:rPr>
            </w:pPr>
            <w:r w:rsidRPr="00B173B5">
              <w:rPr>
                <w:b/>
                <w:bCs/>
                <w:sz w:val="13"/>
                <w:szCs w:val="13"/>
              </w:rPr>
              <w:t>AFR Line</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rsidR="008E0F8E" w:rsidRPr="00B173B5" w:rsidP="004957F6" w14:paraId="2872A348" w14:textId="77777777">
            <w:pPr>
              <w:jc w:val="center"/>
              <w:rPr>
                <w:b/>
                <w:bCs/>
                <w:sz w:val="13"/>
                <w:szCs w:val="13"/>
              </w:rPr>
            </w:pPr>
            <w:r w:rsidRPr="00B173B5">
              <w:rPr>
                <w:b/>
                <w:bCs/>
                <w:sz w:val="13"/>
                <w:szCs w:val="13"/>
              </w:rPr>
              <w:t>2021 FCC SONC</w:t>
            </w:r>
          </w:p>
        </w:tc>
        <w:tc>
          <w:tcPr>
            <w:tcW w:w="990" w:type="dxa"/>
            <w:tcBorders>
              <w:top w:val="single" w:sz="8" w:space="0" w:color="auto"/>
              <w:left w:val="nil"/>
              <w:bottom w:val="single" w:sz="8" w:space="0" w:color="auto"/>
              <w:right w:val="nil"/>
            </w:tcBorders>
            <w:shd w:val="clear" w:color="auto" w:fill="auto"/>
            <w:vAlign w:val="center"/>
            <w:hideMark/>
          </w:tcPr>
          <w:p w:rsidR="008E0F8E" w:rsidRPr="00B173B5" w:rsidP="004957F6" w14:paraId="50EEC4AA" w14:textId="77777777">
            <w:pPr>
              <w:jc w:val="center"/>
              <w:rPr>
                <w:b/>
                <w:bCs/>
                <w:sz w:val="13"/>
                <w:szCs w:val="13"/>
              </w:rPr>
            </w:pPr>
            <w:r w:rsidRPr="00B173B5">
              <w:rPr>
                <w:b/>
                <w:bCs/>
                <w:sz w:val="13"/>
                <w:szCs w:val="13"/>
              </w:rPr>
              <w:t>Dedicated Collections Combined</w:t>
            </w:r>
          </w:p>
        </w:tc>
        <w:tc>
          <w:tcPr>
            <w:tcW w:w="1350" w:type="dxa"/>
            <w:tcBorders>
              <w:top w:val="single" w:sz="8" w:space="0" w:color="auto"/>
              <w:left w:val="nil"/>
              <w:bottom w:val="single" w:sz="8" w:space="0" w:color="auto"/>
              <w:right w:val="single" w:sz="8" w:space="0" w:color="FFFFFF"/>
            </w:tcBorders>
            <w:shd w:val="clear" w:color="auto" w:fill="auto"/>
            <w:vAlign w:val="center"/>
            <w:hideMark/>
          </w:tcPr>
          <w:p w:rsidR="008E0F8E" w:rsidRPr="00B173B5" w:rsidP="004957F6" w14:paraId="72FBA0D8" w14:textId="77777777">
            <w:pPr>
              <w:jc w:val="center"/>
              <w:rPr>
                <w:b/>
                <w:bCs/>
                <w:sz w:val="13"/>
                <w:szCs w:val="13"/>
              </w:rPr>
            </w:pPr>
            <w:r w:rsidRPr="00B173B5">
              <w:rPr>
                <w:b/>
                <w:bCs/>
                <w:sz w:val="13"/>
                <w:szCs w:val="13"/>
              </w:rPr>
              <w:t>All Other Amounts (with Eliminations)</w:t>
            </w:r>
          </w:p>
        </w:tc>
        <w:tc>
          <w:tcPr>
            <w:tcW w:w="1170" w:type="dxa"/>
            <w:tcBorders>
              <w:top w:val="single" w:sz="8" w:space="0" w:color="auto"/>
              <w:left w:val="nil"/>
              <w:bottom w:val="single" w:sz="8" w:space="0" w:color="auto"/>
              <w:right w:val="nil"/>
            </w:tcBorders>
            <w:shd w:val="clear" w:color="auto" w:fill="auto"/>
            <w:vAlign w:val="center"/>
            <w:hideMark/>
          </w:tcPr>
          <w:p w:rsidR="008E0F8E" w:rsidRPr="00B173B5" w:rsidP="004957F6" w14:paraId="3A567EAC" w14:textId="0056C5CD">
            <w:pPr>
              <w:jc w:val="center"/>
              <w:rPr>
                <w:b/>
                <w:bCs/>
                <w:sz w:val="13"/>
                <w:szCs w:val="13"/>
              </w:rPr>
            </w:pPr>
            <w:r w:rsidRPr="00B173B5">
              <w:rPr>
                <w:b/>
                <w:bCs/>
                <w:sz w:val="13"/>
                <w:szCs w:val="13"/>
              </w:rPr>
              <w:t>2021 Reclassified</w:t>
            </w:r>
            <w:r w:rsidRPr="00B173B5" w:rsidR="00FC430B">
              <w:rPr>
                <w:b/>
                <w:bCs/>
                <w:sz w:val="13"/>
                <w:szCs w:val="13"/>
              </w:rPr>
              <w:br/>
            </w:r>
            <w:r w:rsidRPr="00B173B5">
              <w:rPr>
                <w:b/>
                <w:bCs/>
                <w:sz w:val="13"/>
                <w:szCs w:val="13"/>
              </w:rPr>
              <w:t>SONC Total</w:t>
            </w:r>
          </w:p>
        </w:tc>
        <w:tc>
          <w:tcPr>
            <w:tcW w:w="2510" w:type="dxa"/>
            <w:tcBorders>
              <w:top w:val="single" w:sz="8" w:space="0" w:color="auto"/>
              <w:left w:val="nil"/>
              <w:bottom w:val="single" w:sz="8" w:space="0" w:color="auto"/>
              <w:right w:val="single" w:sz="8" w:space="0" w:color="auto"/>
            </w:tcBorders>
            <w:shd w:val="clear" w:color="000000" w:fill="FFFFFF"/>
            <w:vAlign w:val="center"/>
            <w:hideMark/>
          </w:tcPr>
          <w:p w:rsidR="008E0F8E" w:rsidRPr="00B173B5" w:rsidP="004957F6" w14:paraId="23465E3C" w14:textId="77777777">
            <w:pPr>
              <w:jc w:val="center"/>
              <w:rPr>
                <w:b/>
                <w:bCs/>
                <w:sz w:val="13"/>
                <w:szCs w:val="13"/>
              </w:rPr>
            </w:pPr>
            <w:r w:rsidRPr="00B173B5">
              <w:rPr>
                <w:b/>
                <w:bCs/>
                <w:sz w:val="13"/>
                <w:szCs w:val="13"/>
              </w:rPr>
              <w:t>Reclassified Line</w:t>
            </w:r>
          </w:p>
        </w:tc>
      </w:tr>
      <w:tr w14:paraId="5C513475" w14:textId="77777777" w:rsidTr="00201A92">
        <w:tblPrEx>
          <w:tblW w:w="5000" w:type="pct"/>
          <w:tblLook w:val="04A0"/>
        </w:tblPrEx>
        <w:trPr>
          <w:trHeight w:val="20"/>
        </w:trPr>
        <w:tc>
          <w:tcPr>
            <w:tcW w:w="2150" w:type="dxa"/>
            <w:tcBorders>
              <w:top w:val="nil"/>
              <w:left w:val="single" w:sz="8" w:space="0" w:color="auto"/>
              <w:right w:val="nil"/>
            </w:tcBorders>
            <w:shd w:val="clear" w:color="000000" w:fill="FFFFFF"/>
            <w:hideMark/>
          </w:tcPr>
          <w:p w:rsidR="00201A92" w:rsidRPr="00B173B5" w:rsidP="00180DA8" w14:paraId="72DE7ED9" w14:textId="77777777">
            <w:pPr>
              <w:ind w:left="-72"/>
              <w:rPr>
                <w:sz w:val="13"/>
                <w:szCs w:val="13"/>
              </w:rPr>
            </w:pPr>
            <w:r w:rsidRPr="00B173B5">
              <w:rPr>
                <w:sz w:val="13"/>
                <w:szCs w:val="13"/>
              </w:rPr>
              <w:t>Gross Costs</w:t>
            </w:r>
          </w:p>
        </w:tc>
        <w:tc>
          <w:tcPr>
            <w:tcW w:w="1170" w:type="dxa"/>
            <w:tcBorders>
              <w:top w:val="nil"/>
              <w:left w:val="nil"/>
              <w:bottom w:val="nil"/>
              <w:right w:val="single" w:sz="8" w:space="0" w:color="auto"/>
            </w:tcBorders>
            <w:shd w:val="clear" w:color="000000" w:fill="FFFFFF"/>
            <w:vAlign w:val="bottom"/>
            <w:hideMark/>
          </w:tcPr>
          <w:p w:rsidR="00201A92" w:rsidRPr="00B173B5" w:rsidP="00FC430B" w14:paraId="5CB53D52" w14:textId="3FA33D18">
            <w:pPr>
              <w:jc w:val="right"/>
              <w:rPr>
                <w:sz w:val="13"/>
                <w:szCs w:val="13"/>
              </w:rPr>
            </w:pPr>
            <w:r w:rsidRPr="00B173B5">
              <w:rPr>
                <w:sz w:val="13"/>
                <w:szCs w:val="13"/>
              </w:rPr>
              <w:t>$</w:t>
            </w:r>
            <w:r w:rsidR="004B570A">
              <w:rPr>
                <w:sz w:val="13"/>
                <w:szCs w:val="13"/>
              </w:rPr>
              <w:t xml:space="preserve">        </w:t>
            </w:r>
            <w:r w:rsidRPr="00B173B5">
              <w:rPr>
                <w:sz w:val="13"/>
                <w:szCs w:val="13"/>
              </w:rPr>
              <w:t xml:space="preserve"> 11,679,218 </w:t>
            </w:r>
          </w:p>
        </w:tc>
        <w:tc>
          <w:tcPr>
            <w:tcW w:w="990" w:type="dxa"/>
            <w:tcBorders>
              <w:top w:val="nil"/>
              <w:left w:val="nil"/>
              <w:bottom w:val="nil"/>
              <w:right w:val="nil"/>
            </w:tcBorders>
            <w:shd w:val="clear" w:color="000000" w:fill="FFFFFF"/>
            <w:vAlign w:val="bottom"/>
            <w:hideMark/>
          </w:tcPr>
          <w:p w:rsidR="00201A92" w:rsidRPr="00B173B5" w:rsidP="00FC430B" w14:paraId="2FFE619C" w14:textId="20C9F774">
            <w:pPr>
              <w:jc w:val="right"/>
              <w:rPr>
                <w:sz w:val="13"/>
                <w:szCs w:val="13"/>
              </w:rPr>
            </w:pPr>
            <w:r w:rsidRPr="00B173B5">
              <w:rPr>
                <w:sz w:val="13"/>
                <w:szCs w:val="13"/>
              </w:rPr>
              <w:t>$</w:t>
            </w:r>
            <w:r w:rsidR="004B570A">
              <w:rPr>
                <w:sz w:val="13"/>
                <w:szCs w:val="13"/>
              </w:rPr>
              <w:t xml:space="preserve">  </w:t>
            </w:r>
            <w:r w:rsidRPr="00B173B5">
              <w:rPr>
                <w:sz w:val="13"/>
                <w:szCs w:val="13"/>
              </w:rPr>
              <w:t xml:space="preserve"> 10,192,060 </w:t>
            </w:r>
          </w:p>
        </w:tc>
        <w:tc>
          <w:tcPr>
            <w:tcW w:w="1350" w:type="dxa"/>
            <w:tcBorders>
              <w:top w:val="nil"/>
              <w:left w:val="nil"/>
              <w:bottom w:val="nil"/>
              <w:right w:val="nil"/>
            </w:tcBorders>
            <w:shd w:val="clear" w:color="000000" w:fill="FFFFFF"/>
            <w:vAlign w:val="bottom"/>
            <w:hideMark/>
          </w:tcPr>
          <w:p w:rsidR="00201A92" w:rsidRPr="00B173B5" w:rsidP="00FC430B" w14:paraId="4CF369F3" w14:textId="604C0F70">
            <w:pPr>
              <w:jc w:val="right"/>
              <w:rPr>
                <w:sz w:val="13"/>
                <w:szCs w:val="13"/>
              </w:rPr>
            </w:pPr>
            <w:r w:rsidRPr="00B173B5">
              <w:rPr>
                <w:sz w:val="13"/>
                <w:szCs w:val="13"/>
              </w:rPr>
              <w:t>$</w:t>
            </w:r>
            <w:r w:rsidR="004B570A">
              <w:rPr>
                <w:sz w:val="13"/>
                <w:szCs w:val="13"/>
              </w:rPr>
              <w:t xml:space="preserve">               </w:t>
            </w:r>
            <w:r w:rsidRPr="00B173B5">
              <w:rPr>
                <w:sz w:val="13"/>
                <w:szCs w:val="13"/>
              </w:rPr>
              <w:t xml:space="preserve"> 1,374,634 </w:t>
            </w:r>
          </w:p>
        </w:tc>
        <w:tc>
          <w:tcPr>
            <w:tcW w:w="1170" w:type="dxa"/>
            <w:tcBorders>
              <w:top w:val="nil"/>
              <w:left w:val="nil"/>
              <w:bottom w:val="nil"/>
              <w:right w:val="nil"/>
            </w:tcBorders>
            <w:shd w:val="clear" w:color="000000" w:fill="FFFFFF"/>
            <w:vAlign w:val="bottom"/>
            <w:hideMark/>
          </w:tcPr>
          <w:p w:rsidR="00201A92" w:rsidRPr="00B173B5" w:rsidP="00FC430B" w14:paraId="313465AC" w14:textId="11AE659A">
            <w:pPr>
              <w:jc w:val="right"/>
              <w:rPr>
                <w:sz w:val="13"/>
                <w:szCs w:val="13"/>
              </w:rPr>
            </w:pPr>
            <w:r w:rsidRPr="00B173B5">
              <w:rPr>
                <w:sz w:val="13"/>
                <w:szCs w:val="13"/>
              </w:rPr>
              <w:t>$</w:t>
            </w:r>
            <w:r w:rsidR="004B570A">
              <w:rPr>
                <w:sz w:val="13"/>
                <w:szCs w:val="13"/>
              </w:rPr>
              <w:t xml:space="preserve">        </w:t>
            </w:r>
            <w:r w:rsidRPr="00B173B5">
              <w:rPr>
                <w:sz w:val="13"/>
                <w:szCs w:val="13"/>
              </w:rPr>
              <w:t xml:space="preserve"> 11,566,694 </w:t>
            </w:r>
          </w:p>
        </w:tc>
        <w:tc>
          <w:tcPr>
            <w:tcW w:w="2510" w:type="dxa"/>
            <w:tcBorders>
              <w:top w:val="nil"/>
              <w:left w:val="nil"/>
              <w:bottom w:val="nil"/>
              <w:right w:val="single" w:sz="8" w:space="0" w:color="auto"/>
            </w:tcBorders>
            <w:shd w:val="clear" w:color="000000" w:fill="FFFFFF"/>
            <w:vAlign w:val="bottom"/>
            <w:hideMark/>
          </w:tcPr>
          <w:p w:rsidR="00201A92" w:rsidRPr="00B173B5" w:rsidP="00DF39C2" w14:paraId="422D3B85" w14:textId="77777777">
            <w:pPr>
              <w:ind w:left="-72"/>
              <w:rPr>
                <w:sz w:val="13"/>
                <w:szCs w:val="13"/>
              </w:rPr>
            </w:pPr>
            <w:r w:rsidRPr="00B173B5">
              <w:rPr>
                <w:sz w:val="13"/>
                <w:szCs w:val="13"/>
              </w:rPr>
              <w:t>Non-Federal Gross Cost</w:t>
            </w:r>
          </w:p>
        </w:tc>
      </w:tr>
      <w:tr w14:paraId="58B4044A" w14:textId="77777777" w:rsidTr="00DC61AA">
        <w:tblPrEx>
          <w:tblW w:w="5000" w:type="pct"/>
          <w:tblLook w:val="04A0"/>
        </w:tblPrEx>
        <w:trPr>
          <w:trHeight w:val="20"/>
        </w:trPr>
        <w:tc>
          <w:tcPr>
            <w:tcW w:w="2150" w:type="dxa"/>
            <w:tcBorders>
              <w:left w:val="single" w:sz="8" w:space="0" w:color="auto"/>
              <w:right w:val="nil"/>
            </w:tcBorders>
            <w:shd w:val="clear" w:color="000000" w:fill="FFFFFF"/>
            <w:vAlign w:val="bottom"/>
          </w:tcPr>
          <w:p w:rsidR="00201A92" w:rsidRPr="00B173B5" w:rsidP="00180DA8" w14:paraId="32564FDC" w14:textId="0D18DB1F">
            <w:pPr>
              <w:ind w:left="-72"/>
              <w:rPr>
                <w:sz w:val="13"/>
                <w:szCs w:val="13"/>
              </w:rPr>
            </w:pPr>
          </w:p>
        </w:tc>
        <w:tc>
          <w:tcPr>
            <w:tcW w:w="1170" w:type="dxa"/>
            <w:tcBorders>
              <w:top w:val="nil"/>
              <w:left w:val="nil"/>
              <w:bottom w:val="nil"/>
              <w:right w:val="single" w:sz="8" w:space="0" w:color="auto"/>
            </w:tcBorders>
            <w:shd w:val="clear" w:color="000000" w:fill="FFFFFF"/>
            <w:vAlign w:val="bottom"/>
            <w:hideMark/>
          </w:tcPr>
          <w:p w:rsidR="00201A92" w:rsidRPr="00B173B5" w:rsidP="00FC430B" w14:paraId="34427F38" w14:textId="77777777">
            <w:pPr>
              <w:jc w:val="right"/>
              <w:rPr>
                <w:sz w:val="13"/>
                <w:szCs w:val="13"/>
              </w:rPr>
            </w:pPr>
            <w:r w:rsidRPr="00B173B5">
              <w:rPr>
                <w:sz w:val="13"/>
                <w:szCs w:val="13"/>
              </w:rPr>
              <w:t> </w:t>
            </w:r>
          </w:p>
        </w:tc>
        <w:tc>
          <w:tcPr>
            <w:tcW w:w="990" w:type="dxa"/>
            <w:tcBorders>
              <w:top w:val="nil"/>
              <w:left w:val="nil"/>
              <w:bottom w:val="nil"/>
              <w:right w:val="nil"/>
            </w:tcBorders>
            <w:shd w:val="clear" w:color="000000" w:fill="FFFFFF"/>
            <w:vAlign w:val="bottom"/>
            <w:hideMark/>
          </w:tcPr>
          <w:p w:rsidR="00201A92" w:rsidRPr="00B173B5" w:rsidP="00FC430B" w14:paraId="76174814" w14:textId="77777777">
            <w:pPr>
              <w:jc w:val="right"/>
              <w:rPr>
                <w:sz w:val="13"/>
                <w:szCs w:val="13"/>
              </w:rPr>
            </w:pPr>
            <w:r w:rsidRPr="00B173B5">
              <w:rPr>
                <w:sz w:val="13"/>
                <w:szCs w:val="13"/>
              </w:rPr>
              <w:t> </w:t>
            </w:r>
          </w:p>
        </w:tc>
        <w:tc>
          <w:tcPr>
            <w:tcW w:w="1350" w:type="dxa"/>
            <w:tcBorders>
              <w:top w:val="nil"/>
              <w:left w:val="nil"/>
              <w:bottom w:val="nil"/>
              <w:right w:val="nil"/>
            </w:tcBorders>
            <w:shd w:val="clear" w:color="000000" w:fill="FFFFFF"/>
            <w:vAlign w:val="bottom"/>
            <w:hideMark/>
          </w:tcPr>
          <w:p w:rsidR="00201A92" w:rsidRPr="00B173B5" w:rsidP="00FC430B" w14:paraId="76352511" w14:textId="77777777">
            <w:pPr>
              <w:jc w:val="right"/>
              <w:rPr>
                <w:sz w:val="13"/>
                <w:szCs w:val="13"/>
              </w:rPr>
            </w:pPr>
            <w:r w:rsidRPr="00B173B5">
              <w:rPr>
                <w:sz w:val="13"/>
                <w:szCs w:val="13"/>
              </w:rPr>
              <w:t> </w:t>
            </w:r>
          </w:p>
        </w:tc>
        <w:tc>
          <w:tcPr>
            <w:tcW w:w="1170" w:type="dxa"/>
            <w:tcBorders>
              <w:top w:val="nil"/>
              <w:left w:val="nil"/>
              <w:bottom w:val="nil"/>
              <w:right w:val="nil"/>
            </w:tcBorders>
            <w:shd w:val="clear" w:color="000000" w:fill="FFFFFF"/>
            <w:vAlign w:val="bottom"/>
            <w:hideMark/>
          </w:tcPr>
          <w:p w:rsidR="00201A92" w:rsidRPr="00B173B5" w:rsidP="00FC430B" w14:paraId="6FDBFC7A" w14:textId="77777777">
            <w:pPr>
              <w:jc w:val="right"/>
              <w:rPr>
                <w:sz w:val="13"/>
                <w:szCs w:val="13"/>
              </w:rPr>
            </w:pPr>
            <w:r w:rsidRPr="00B173B5">
              <w:rPr>
                <w:sz w:val="13"/>
                <w:szCs w:val="13"/>
              </w:rPr>
              <w:t> </w:t>
            </w:r>
          </w:p>
        </w:tc>
        <w:tc>
          <w:tcPr>
            <w:tcW w:w="2510" w:type="dxa"/>
            <w:tcBorders>
              <w:top w:val="nil"/>
              <w:left w:val="nil"/>
              <w:bottom w:val="nil"/>
              <w:right w:val="single" w:sz="8" w:space="0" w:color="auto"/>
            </w:tcBorders>
            <w:shd w:val="clear" w:color="000000" w:fill="FFFFFF"/>
            <w:vAlign w:val="bottom"/>
            <w:hideMark/>
          </w:tcPr>
          <w:p w:rsidR="00201A92" w:rsidRPr="00B173B5" w:rsidP="00DF39C2" w14:paraId="6571C589" w14:textId="77777777">
            <w:pPr>
              <w:ind w:left="-72"/>
              <w:rPr>
                <w:b/>
                <w:bCs/>
                <w:i/>
                <w:iCs/>
                <w:sz w:val="13"/>
                <w:szCs w:val="13"/>
              </w:rPr>
            </w:pPr>
            <w:r w:rsidRPr="00B173B5">
              <w:rPr>
                <w:b/>
                <w:bCs/>
                <w:i/>
                <w:iCs/>
                <w:sz w:val="13"/>
                <w:szCs w:val="13"/>
              </w:rPr>
              <w:t>Intragovernmental Costs</w:t>
            </w:r>
          </w:p>
        </w:tc>
      </w:tr>
      <w:tr w14:paraId="134B0BF3" w14:textId="77777777" w:rsidTr="00DC61AA">
        <w:tblPrEx>
          <w:tblW w:w="5000" w:type="pct"/>
          <w:tblLook w:val="04A0"/>
        </w:tblPrEx>
        <w:trPr>
          <w:trHeight w:val="20"/>
        </w:trPr>
        <w:tc>
          <w:tcPr>
            <w:tcW w:w="2150" w:type="dxa"/>
            <w:tcBorders>
              <w:left w:val="single" w:sz="8" w:space="0" w:color="auto"/>
              <w:right w:val="nil"/>
            </w:tcBorders>
            <w:shd w:val="clear" w:color="000000" w:fill="FFFFFF"/>
            <w:vAlign w:val="bottom"/>
          </w:tcPr>
          <w:p w:rsidR="00201A92" w:rsidRPr="00B173B5" w:rsidP="00180DA8" w14:paraId="0D157DD4" w14:textId="0D9AFCCC">
            <w:pPr>
              <w:ind w:left="-72"/>
              <w:rPr>
                <w:sz w:val="13"/>
                <w:szCs w:val="13"/>
              </w:rPr>
            </w:pPr>
          </w:p>
        </w:tc>
        <w:tc>
          <w:tcPr>
            <w:tcW w:w="1170" w:type="dxa"/>
            <w:tcBorders>
              <w:top w:val="nil"/>
              <w:left w:val="nil"/>
              <w:bottom w:val="nil"/>
              <w:right w:val="single" w:sz="8" w:space="0" w:color="auto"/>
            </w:tcBorders>
            <w:shd w:val="clear" w:color="000000" w:fill="FFFFFF"/>
            <w:vAlign w:val="bottom"/>
            <w:hideMark/>
          </w:tcPr>
          <w:p w:rsidR="00201A92" w:rsidRPr="00B173B5" w:rsidP="00FC430B" w14:paraId="0C88D38F" w14:textId="77777777">
            <w:pPr>
              <w:jc w:val="right"/>
              <w:rPr>
                <w:sz w:val="13"/>
                <w:szCs w:val="13"/>
              </w:rPr>
            </w:pPr>
            <w:r w:rsidRPr="00B173B5">
              <w:rPr>
                <w:sz w:val="13"/>
                <w:szCs w:val="13"/>
              </w:rPr>
              <w:t xml:space="preserve">  - </w:t>
            </w:r>
          </w:p>
        </w:tc>
        <w:tc>
          <w:tcPr>
            <w:tcW w:w="990" w:type="dxa"/>
            <w:tcBorders>
              <w:top w:val="nil"/>
              <w:left w:val="nil"/>
              <w:bottom w:val="nil"/>
              <w:right w:val="nil"/>
            </w:tcBorders>
            <w:shd w:val="clear" w:color="000000" w:fill="FFFFFF"/>
            <w:vAlign w:val="bottom"/>
            <w:hideMark/>
          </w:tcPr>
          <w:p w:rsidR="00201A92" w:rsidRPr="00B173B5" w:rsidP="00FC430B" w14:paraId="7828C87F" w14:textId="77777777">
            <w:pPr>
              <w:jc w:val="right"/>
              <w:rPr>
                <w:sz w:val="13"/>
                <w:szCs w:val="13"/>
              </w:rPr>
            </w:pPr>
            <w:r w:rsidRPr="00B173B5">
              <w:rPr>
                <w:sz w:val="13"/>
                <w:szCs w:val="13"/>
              </w:rPr>
              <w:t xml:space="preserve">  - </w:t>
            </w:r>
          </w:p>
        </w:tc>
        <w:tc>
          <w:tcPr>
            <w:tcW w:w="1350" w:type="dxa"/>
            <w:tcBorders>
              <w:top w:val="nil"/>
              <w:left w:val="nil"/>
              <w:bottom w:val="nil"/>
              <w:right w:val="nil"/>
            </w:tcBorders>
            <w:shd w:val="clear" w:color="000000" w:fill="FFFFFF"/>
            <w:vAlign w:val="bottom"/>
            <w:hideMark/>
          </w:tcPr>
          <w:p w:rsidR="00201A92" w:rsidRPr="00B173B5" w:rsidP="00FC430B" w14:paraId="4FA0AF24" w14:textId="77777777">
            <w:pPr>
              <w:jc w:val="right"/>
              <w:rPr>
                <w:sz w:val="13"/>
                <w:szCs w:val="13"/>
              </w:rPr>
            </w:pPr>
            <w:r w:rsidRPr="00B173B5">
              <w:rPr>
                <w:sz w:val="13"/>
                <w:szCs w:val="13"/>
              </w:rPr>
              <w:t xml:space="preserve">  49,402 </w:t>
            </w:r>
          </w:p>
        </w:tc>
        <w:tc>
          <w:tcPr>
            <w:tcW w:w="1170" w:type="dxa"/>
            <w:tcBorders>
              <w:top w:val="nil"/>
              <w:left w:val="nil"/>
              <w:bottom w:val="nil"/>
              <w:right w:val="nil"/>
            </w:tcBorders>
            <w:shd w:val="clear" w:color="000000" w:fill="FFFFFF"/>
            <w:noWrap/>
            <w:vAlign w:val="bottom"/>
            <w:hideMark/>
          </w:tcPr>
          <w:p w:rsidR="00201A92" w:rsidRPr="00B173B5" w:rsidP="00FC430B" w14:paraId="626BCD6B" w14:textId="77777777">
            <w:pPr>
              <w:jc w:val="right"/>
              <w:rPr>
                <w:color w:val="000000"/>
                <w:sz w:val="13"/>
                <w:szCs w:val="13"/>
              </w:rPr>
            </w:pPr>
            <w:r w:rsidRPr="00B173B5">
              <w:rPr>
                <w:color w:val="000000"/>
                <w:sz w:val="13"/>
                <w:szCs w:val="13"/>
              </w:rPr>
              <w:t xml:space="preserve">  49,402 </w:t>
            </w:r>
          </w:p>
        </w:tc>
        <w:tc>
          <w:tcPr>
            <w:tcW w:w="2510" w:type="dxa"/>
            <w:tcBorders>
              <w:top w:val="nil"/>
              <w:left w:val="nil"/>
              <w:bottom w:val="nil"/>
              <w:right w:val="single" w:sz="8" w:space="0" w:color="auto"/>
            </w:tcBorders>
            <w:shd w:val="clear" w:color="000000" w:fill="FFFFFF"/>
            <w:vAlign w:val="bottom"/>
            <w:hideMark/>
          </w:tcPr>
          <w:p w:rsidR="00201A92" w:rsidRPr="00B173B5" w:rsidP="00DF39C2" w14:paraId="5CB47DCD" w14:textId="77777777">
            <w:pPr>
              <w:ind w:left="-72"/>
              <w:rPr>
                <w:sz w:val="13"/>
                <w:szCs w:val="13"/>
              </w:rPr>
            </w:pPr>
            <w:r w:rsidRPr="00B173B5">
              <w:rPr>
                <w:sz w:val="13"/>
                <w:szCs w:val="13"/>
              </w:rPr>
              <w:t>Benefit Program Costs</w:t>
            </w:r>
          </w:p>
        </w:tc>
      </w:tr>
      <w:tr w14:paraId="223C6FE6" w14:textId="77777777" w:rsidTr="00DC61AA">
        <w:tblPrEx>
          <w:tblW w:w="5000" w:type="pct"/>
          <w:tblLook w:val="04A0"/>
        </w:tblPrEx>
        <w:trPr>
          <w:trHeight w:val="20"/>
        </w:trPr>
        <w:tc>
          <w:tcPr>
            <w:tcW w:w="2150" w:type="dxa"/>
            <w:tcBorders>
              <w:left w:val="single" w:sz="8" w:space="0" w:color="auto"/>
              <w:right w:val="nil"/>
            </w:tcBorders>
            <w:shd w:val="clear" w:color="000000" w:fill="FFFFFF"/>
            <w:vAlign w:val="bottom"/>
          </w:tcPr>
          <w:p w:rsidR="00201A92" w:rsidRPr="00B173B5" w:rsidP="00180DA8" w14:paraId="41162106" w14:textId="0DE0CAFF">
            <w:pPr>
              <w:ind w:left="-72"/>
              <w:rPr>
                <w:sz w:val="13"/>
                <w:szCs w:val="13"/>
              </w:rPr>
            </w:pPr>
          </w:p>
        </w:tc>
        <w:tc>
          <w:tcPr>
            <w:tcW w:w="1170" w:type="dxa"/>
            <w:tcBorders>
              <w:top w:val="nil"/>
              <w:left w:val="nil"/>
              <w:bottom w:val="nil"/>
              <w:right w:val="single" w:sz="8" w:space="0" w:color="auto"/>
            </w:tcBorders>
            <w:shd w:val="clear" w:color="000000" w:fill="FFFFFF"/>
            <w:vAlign w:val="bottom"/>
            <w:hideMark/>
          </w:tcPr>
          <w:p w:rsidR="00201A92" w:rsidRPr="00B173B5" w:rsidP="00FC430B" w14:paraId="08FDC26B" w14:textId="77777777">
            <w:pPr>
              <w:jc w:val="right"/>
              <w:rPr>
                <w:sz w:val="13"/>
                <w:szCs w:val="13"/>
              </w:rPr>
            </w:pPr>
            <w:r w:rsidRPr="00B173B5">
              <w:rPr>
                <w:sz w:val="13"/>
                <w:szCs w:val="13"/>
              </w:rPr>
              <w:t xml:space="preserve">  - </w:t>
            </w:r>
          </w:p>
        </w:tc>
        <w:tc>
          <w:tcPr>
            <w:tcW w:w="990" w:type="dxa"/>
            <w:tcBorders>
              <w:top w:val="nil"/>
              <w:left w:val="nil"/>
              <w:bottom w:val="nil"/>
              <w:right w:val="nil"/>
            </w:tcBorders>
            <w:shd w:val="clear" w:color="000000" w:fill="FFFFFF"/>
            <w:vAlign w:val="bottom"/>
            <w:hideMark/>
          </w:tcPr>
          <w:p w:rsidR="00201A92" w:rsidRPr="00B173B5" w:rsidP="00FC430B" w14:paraId="0A18312E" w14:textId="77777777">
            <w:pPr>
              <w:jc w:val="right"/>
              <w:rPr>
                <w:sz w:val="13"/>
                <w:szCs w:val="13"/>
              </w:rPr>
            </w:pPr>
            <w:r w:rsidRPr="00B173B5">
              <w:rPr>
                <w:sz w:val="13"/>
                <w:szCs w:val="13"/>
              </w:rPr>
              <w:t xml:space="preserve">  - </w:t>
            </w:r>
          </w:p>
        </w:tc>
        <w:tc>
          <w:tcPr>
            <w:tcW w:w="1350" w:type="dxa"/>
            <w:tcBorders>
              <w:top w:val="nil"/>
              <w:left w:val="nil"/>
              <w:bottom w:val="nil"/>
              <w:right w:val="nil"/>
            </w:tcBorders>
            <w:shd w:val="clear" w:color="000000" w:fill="FFFFFF"/>
            <w:vAlign w:val="bottom"/>
            <w:hideMark/>
          </w:tcPr>
          <w:p w:rsidR="00201A92" w:rsidRPr="00B173B5" w:rsidP="00FC430B" w14:paraId="5D236EED" w14:textId="77777777">
            <w:pPr>
              <w:jc w:val="right"/>
              <w:rPr>
                <w:sz w:val="13"/>
                <w:szCs w:val="13"/>
              </w:rPr>
            </w:pPr>
            <w:r w:rsidRPr="00B173B5">
              <w:rPr>
                <w:sz w:val="13"/>
                <w:szCs w:val="13"/>
              </w:rPr>
              <w:t xml:space="preserve">  13,241 </w:t>
            </w:r>
          </w:p>
        </w:tc>
        <w:tc>
          <w:tcPr>
            <w:tcW w:w="1170" w:type="dxa"/>
            <w:tcBorders>
              <w:top w:val="nil"/>
              <w:left w:val="nil"/>
              <w:bottom w:val="nil"/>
              <w:right w:val="nil"/>
            </w:tcBorders>
            <w:shd w:val="clear" w:color="000000" w:fill="FFFFFF"/>
            <w:vAlign w:val="bottom"/>
            <w:hideMark/>
          </w:tcPr>
          <w:p w:rsidR="00201A92" w:rsidRPr="00B173B5" w:rsidP="00FC430B" w14:paraId="3363634C" w14:textId="77777777">
            <w:pPr>
              <w:jc w:val="right"/>
              <w:rPr>
                <w:sz w:val="13"/>
                <w:szCs w:val="13"/>
              </w:rPr>
            </w:pPr>
            <w:r w:rsidRPr="00B173B5">
              <w:rPr>
                <w:sz w:val="13"/>
                <w:szCs w:val="13"/>
              </w:rPr>
              <w:t xml:space="preserve">  13,241 </w:t>
            </w:r>
          </w:p>
        </w:tc>
        <w:tc>
          <w:tcPr>
            <w:tcW w:w="2510" w:type="dxa"/>
            <w:tcBorders>
              <w:top w:val="nil"/>
              <w:left w:val="nil"/>
              <w:bottom w:val="nil"/>
              <w:right w:val="single" w:sz="8" w:space="0" w:color="auto"/>
            </w:tcBorders>
            <w:shd w:val="clear" w:color="000000" w:fill="FFFFFF"/>
            <w:vAlign w:val="bottom"/>
            <w:hideMark/>
          </w:tcPr>
          <w:p w:rsidR="00201A92" w:rsidRPr="00B173B5" w:rsidP="00DF39C2" w14:paraId="06E5355A" w14:textId="77777777">
            <w:pPr>
              <w:ind w:left="-72"/>
              <w:rPr>
                <w:sz w:val="13"/>
                <w:szCs w:val="13"/>
              </w:rPr>
            </w:pPr>
            <w:r w:rsidRPr="00B173B5">
              <w:rPr>
                <w:sz w:val="13"/>
                <w:szCs w:val="13"/>
              </w:rPr>
              <w:t>Imputed Costs</w:t>
            </w:r>
          </w:p>
        </w:tc>
      </w:tr>
      <w:tr w14:paraId="75C78E52" w14:textId="77777777" w:rsidTr="00DC61AA">
        <w:tblPrEx>
          <w:tblW w:w="5000" w:type="pct"/>
          <w:tblLook w:val="04A0"/>
        </w:tblPrEx>
        <w:trPr>
          <w:trHeight w:val="20"/>
        </w:trPr>
        <w:tc>
          <w:tcPr>
            <w:tcW w:w="2150" w:type="dxa"/>
            <w:tcBorders>
              <w:left w:val="single" w:sz="8" w:space="0" w:color="auto"/>
              <w:right w:val="nil"/>
            </w:tcBorders>
            <w:shd w:val="clear" w:color="000000" w:fill="FFFFFF"/>
            <w:vAlign w:val="bottom"/>
          </w:tcPr>
          <w:p w:rsidR="00201A92" w:rsidRPr="00B173B5" w:rsidP="00180DA8" w14:paraId="039D98DC" w14:textId="03D8448C">
            <w:pPr>
              <w:ind w:left="-72"/>
              <w:rPr>
                <w:sz w:val="13"/>
                <w:szCs w:val="13"/>
              </w:rPr>
            </w:pPr>
          </w:p>
        </w:tc>
        <w:tc>
          <w:tcPr>
            <w:tcW w:w="1170" w:type="dxa"/>
            <w:tcBorders>
              <w:top w:val="nil"/>
              <w:left w:val="nil"/>
              <w:bottom w:val="nil"/>
              <w:right w:val="single" w:sz="8" w:space="0" w:color="auto"/>
            </w:tcBorders>
            <w:shd w:val="clear" w:color="000000" w:fill="FFFFFF"/>
            <w:vAlign w:val="bottom"/>
            <w:hideMark/>
          </w:tcPr>
          <w:p w:rsidR="00201A92" w:rsidRPr="00B173B5" w:rsidP="00FC430B" w14:paraId="4FFDDC47" w14:textId="77777777">
            <w:pPr>
              <w:jc w:val="right"/>
              <w:rPr>
                <w:sz w:val="13"/>
                <w:szCs w:val="13"/>
              </w:rPr>
            </w:pPr>
            <w:r w:rsidRPr="00B173B5">
              <w:rPr>
                <w:sz w:val="13"/>
                <w:szCs w:val="13"/>
              </w:rPr>
              <w:t xml:space="preserve">  - </w:t>
            </w:r>
          </w:p>
        </w:tc>
        <w:tc>
          <w:tcPr>
            <w:tcW w:w="990" w:type="dxa"/>
            <w:tcBorders>
              <w:top w:val="nil"/>
              <w:left w:val="nil"/>
              <w:bottom w:val="nil"/>
              <w:right w:val="nil"/>
            </w:tcBorders>
            <w:shd w:val="clear" w:color="000000" w:fill="FFFFFF"/>
            <w:vAlign w:val="bottom"/>
            <w:hideMark/>
          </w:tcPr>
          <w:p w:rsidR="00201A92" w:rsidRPr="00B173B5" w:rsidP="00FC430B" w14:paraId="58F87E03" w14:textId="77777777">
            <w:pPr>
              <w:jc w:val="right"/>
              <w:rPr>
                <w:sz w:val="13"/>
                <w:szCs w:val="13"/>
              </w:rPr>
            </w:pPr>
            <w:r w:rsidRPr="00B173B5">
              <w:rPr>
                <w:sz w:val="13"/>
                <w:szCs w:val="13"/>
              </w:rPr>
              <w:t xml:space="preserve">  - </w:t>
            </w:r>
          </w:p>
        </w:tc>
        <w:tc>
          <w:tcPr>
            <w:tcW w:w="1350" w:type="dxa"/>
            <w:tcBorders>
              <w:top w:val="nil"/>
              <w:left w:val="nil"/>
              <w:bottom w:val="nil"/>
              <w:right w:val="nil"/>
            </w:tcBorders>
            <w:shd w:val="clear" w:color="000000" w:fill="FFFFFF"/>
            <w:vAlign w:val="bottom"/>
            <w:hideMark/>
          </w:tcPr>
          <w:p w:rsidR="00201A92" w:rsidRPr="00B173B5" w:rsidP="00FC430B" w14:paraId="50071A59" w14:textId="77777777">
            <w:pPr>
              <w:jc w:val="right"/>
              <w:rPr>
                <w:sz w:val="13"/>
                <w:szCs w:val="13"/>
              </w:rPr>
            </w:pPr>
            <w:r w:rsidRPr="00B173B5">
              <w:rPr>
                <w:sz w:val="13"/>
                <w:szCs w:val="13"/>
              </w:rPr>
              <w:t xml:space="preserve">  35,556 </w:t>
            </w:r>
          </w:p>
        </w:tc>
        <w:tc>
          <w:tcPr>
            <w:tcW w:w="1170" w:type="dxa"/>
            <w:tcBorders>
              <w:top w:val="nil"/>
              <w:left w:val="nil"/>
              <w:bottom w:val="nil"/>
              <w:right w:val="nil"/>
            </w:tcBorders>
            <w:shd w:val="clear" w:color="000000" w:fill="FFFFFF"/>
            <w:vAlign w:val="bottom"/>
            <w:hideMark/>
          </w:tcPr>
          <w:p w:rsidR="00201A92" w:rsidRPr="00B173B5" w:rsidP="00FC430B" w14:paraId="3B8A9955" w14:textId="77777777">
            <w:pPr>
              <w:jc w:val="right"/>
              <w:rPr>
                <w:sz w:val="13"/>
                <w:szCs w:val="13"/>
              </w:rPr>
            </w:pPr>
            <w:r w:rsidRPr="00B173B5">
              <w:rPr>
                <w:sz w:val="13"/>
                <w:szCs w:val="13"/>
              </w:rPr>
              <w:t xml:space="preserve">  35,556 </w:t>
            </w:r>
          </w:p>
        </w:tc>
        <w:tc>
          <w:tcPr>
            <w:tcW w:w="2510" w:type="dxa"/>
            <w:tcBorders>
              <w:top w:val="nil"/>
              <w:left w:val="nil"/>
              <w:bottom w:val="nil"/>
              <w:right w:val="single" w:sz="8" w:space="0" w:color="auto"/>
            </w:tcBorders>
            <w:shd w:val="clear" w:color="000000" w:fill="FFFFFF"/>
            <w:vAlign w:val="bottom"/>
            <w:hideMark/>
          </w:tcPr>
          <w:p w:rsidR="00201A92" w:rsidRPr="00B173B5" w:rsidP="00DF39C2" w14:paraId="4F2912EB" w14:textId="77777777">
            <w:pPr>
              <w:ind w:left="-72"/>
              <w:rPr>
                <w:sz w:val="13"/>
                <w:szCs w:val="13"/>
              </w:rPr>
            </w:pPr>
            <w:r w:rsidRPr="00B173B5">
              <w:rPr>
                <w:sz w:val="13"/>
                <w:szCs w:val="13"/>
              </w:rPr>
              <w:t>Buy/Sell Costs</w:t>
            </w:r>
          </w:p>
        </w:tc>
      </w:tr>
      <w:tr w14:paraId="06128A49" w14:textId="77777777" w:rsidTr="00DC61AA">
        <w:tblPrEx>
          <w:tblW w:w="5000" w:type="pct"/>
          <w:tblLook w:val="04A0"/>
        </w:tblPrEx>
        <w:trPr>
          <w:trHeight w:val="20"/>
        </w:trPr>
        <w:tc>
          <w:tcPr>
            <w:tcW w:w="2150" w:type="dxa"/>
            <w:tcBorders>
              <w:left w:val="single" w:sz="8" w:space="0" w:color="auto"/>
              <w:right w:val="nil"/>
            </w:tcBorders>
            <w:shd w:val="clear" w:color="000000" w:fill="FFFFFF"/>
            <w:vAlign w:val="bottom"/>
          </w:tcPr>
          <w:p w:rsidR="00201A92" w:rsidRPr="00B173B5" w:rsidP="00180DA8" w14:paraId="03ABCE89" w14:textId="1ACA7346">
            <w:pPr>
              <w:ind w:left="-72"/>
              <w:rPr>
                <w:sz w:val="13"/>
                <w:szCs w:val="13"/>
              </w:rPr>
            </w:pPr>
          </w:p>
        </w:tc>
        <w:tc>
          <w:tcPr>
            <w:tcW w:w="1170" w:type="dxa"/>
            <w:tcBorders>
              <w:top w:val="nil"/>
              <w:left w:val="nil"/>
              <w:bottom w:val="nil"/>
              <w:right w:val="single" w:sz="8" w:space="0" w:color="auto"/>
            </w:tcBorders>
            <w:shd w:val="clear" w:color="000000" w:fill="FFFFFF"/>
            <w:vAlign w:val="bottom"/>
            <w:hideMark/>
          </w:tcPr>
          <w:p w:rsidR="00201A92" w:rsidRPr="00B173B5" w:rsidP="00FC430B" w14:paraId="711F233A" w14:textId="77777777">
            <w:pPr>
              <w:jc w:val="right"/>
              <w:rPr>
                <w:sz w:val="13"/>
                <w:szCs w:val="13"/>
              </w:rPr>
            </w:pPr>
            <w:r w:rsidRPr="00B173B5">
              <w:rPr>
                <w:sz w:val="13"/>
                <w:szCs w:val="13"/>
              </w:rPr>
              <w:t xml:space="preserve">  - </w:t>
            </w:r>
          </w:p>
        </w:tc>
        <w:tc>
          <w:tcPr>
            <w:tcW w:w="990" w:type="dxa"/>
            <w:tcBorders>
              <w:top w:val="nil"/>
              <w:left w:val="nil"/>
              <w:bottom w:val="nil"/>
              <w:right w:val="nil"/>
            </w:tcBorders>
            <w:shd w:val="clear" w:color="000000" w:fill="FFFFFF"/>
            <w:vAlign w:val="bottom"/>
            <w:hideMark/>
          </w:tcPr>
          <w:p w:rsidR="00201A92" w:rsidRPr="00B173B5" w:rsidP="00FC430B" w14:paraId="52975085" w14:textId="77777777">
            <w:pPr>
              <w:jc w:val="right"/>
              <w:rPr>
                <w:sz w:val="13"/>
                <w:szCs w:val="13"/>
              </w:rPr>
            </w:pPr>
            <w:r w:rsidRPr="00B173B5">
              <w:rPr>
                <w:sz w:val="13"/>
                <w:szCs w:val="13"/>
              </w:rPr>
              <w:t xml:space="preserve">  - </w:t>
            </w:r>
          </w:p>
        </w:tc>
        <w:tc>
          <w:tcPr>
            <w:tcW w:w="1350" w:type="dxa"/>
            <w:tcBorders>
              <w:top w:val="nil"/>
              <w:left w:val="nil"/>
              <w:bottom w:val="nil"/>
              <w:right w:val="nil"/>
            </w:tcBorders>
            <w:shd w:val="clear" w:color="000000" w:fill="FFFFFF"/>
            <w:vAlign w:val="bottom"/>
            <w:hideMark/>
          </w:tcPr>
          <w:p w:rsidR="00201A92" w:rsidRPr="00B173B5" w:rsidP="00FC430B" w14:paraId="11F8E040" w14:textId="77777777">
            <w:pPr>
              <w:jc w:val="right"/>
              <w:rPr>
                <w:sz w:val="13"/>
                <w:szCs w:val="13"/>
              </w:rPr>
            </w:pPr>
            <w:r w:rsidRPr="00B173B5">
              <w:rPr>
                <w:sz w:val="13"/>
                <w:szCs w:val="13"/>
              </w:rPr>
              <w:t xml:space="preserve">  14,325 </w:t>
            </w:r>
          </w:p>
        </w:tc>
        <w:tc>
          <w:tcPr>
            <w:tcW w:w="1170" w:type="dxa"/>
            <w:tcBorders>
              <w:top w:val="nil"/>
              <w:left w:val="nil"/>
              <w:bottom w:val="nil"/>
              <w:right w:val="nil"/>
            </w:tcBorders>
            <w:shd w:val="clear" w:color="000000" w:fill="FFFFFF"/>
            <w:vAlign w:val="bottom"/>
            <w:hideMark/>
          </w:tcPr>
          <w:p w:rsidR="00201A92" w:rsidRPr="00B173B5" w:rsidP="00FC430B" w14:paraId="13BFBA3D" w14:textId="77777777">
            <w:pPr>
              <w:jc w:val="right"/>
              <w:rPr>
                <w:sz w:val="13"/>
                <w:szCs w:val="13"/>
              </w:rPr>
            </w:pPr>
            <w:r w:rsidRPr="00B173B5">
              <w:rPr>
                <w:sz w:val="13"/>
                <w:szCs w:val="13"/>
              </w:rPr>
              <w:t xml:space="preserve">  14,325 </w:t>
            </w:r>
          </w:p>
        </w:tc>
        <w:tc>
          <w:tcPr>
            <w:tcW w:w="2510" w:type="dxa"/>
            <w:tcBorders>
              <w:top w:val="nil"/>
              <w:left w:val="nil"/>
              <w:bottom w:val="nil"/>
              <w:right w:val="single" w:sz="8" w:space="0" w:color="auto"/>
            </w:tcBorders>
            <w:shd w:val="clear" w:color="000000" w:fill="FFFFFF"/>
            <w:vAlign w:val="bottom"/>
            <w:hideMark/>
          </w:tcPr>
          <w:p w:rsidR="00201A92" w:rsidRPr="00B173B5" w:rsidP="00DF39C2" w14:paraId="3D587879" w14:textId="77777777">
            <w:pPr>
              <w:ind w:left="-72"/>
              <w:rPr>
                <w:sz w:val="13"/>
                <w:szCs w:val="13"/>
              </w:rPr>
            </w:pPr>
            <w:r w:rsidRPr="00B173B5">
              <w:rPr>
                <w:sz w:val="13"/>
                <w:szCs w:val="13"/>
              </w:rPr>
              <w:t>Other Expenses (w/o Reciprocals)</w:t>
            </w:r>
          </w:p>
        </w:tc>
      </w:tr>
      <w:tr w14:paraId="6A4B780E" w14:textId="77777777" w:rsidTr="00DC61AA">
        <w:tblPrEx>
          <w:tblW w:w="5000" w:type="pct"/>
          <w:tblLook w:val="04A0"/>
        </w:tblPrEx>
        <w:trPr>
          <w:trHeight w:val="20"/>
        </w:trPr>
        <w:tc>
          <w:tcPr>
            <w:tcW w:w="2150" w:type="dxa"/>
            <w:tcBorders>
              <w:left w:val="single" w:sz="8" w:space="0" w:color="auto"/>
              <w:bottom w:val="nil"/>
              <w:right w:val="nil"/>
            </w:tcBorders>
            <w:shd w:val="clear" w:color="000000" w:fill="FFFFFF"/>
            <w:vAlign w:val="bottom"/>
          </w:tcPr>
          <w:p w:rsidR="00201A92" w:rsidRPr="00B173B5" w:rsidP="00180DA8" w14:paraId="104FBB35" w14:textId="63B4F1AF">
            <w:pPr>
              <w:ind w:left="-72"/>
              <w:rPr>
                <w:sz w:val="13"/>
                <w:szCs w:val="13"/>
              </w:rPr>
            </w:pPr>
          </w:p>
        </w:tc>
        <w:tc>
          <w:tcPr>
            <w:tcW w:w="1170" w:type="dxa"/>
            <w:tcBorders>
              <w:top w:val="single" w:sz="4" w:space="0" w:color="auto"/>
              <w:left w:val="nil"/>
              <w:bottom w:val="single" w:sz="4" w:space="0" w:color="auto"/>
              <w:right w:val="single" w:sz="8" w:space="0" w:color="auto"/>
            </w:tcBorders>
            <w:shd w:val="clear" w:color="000000" w:fill="FFFFFF"/>
            <w:vAlign w:val="bottom"/>
            <w:hideMark/>
          </w:tcPr>
          <w:p w:rsidR="00201A92" w:rsidRPr="00B173B5" w:rsidP="00FC430B" w14:paraId="5DCDABEE" w14:textId="77777777">
            <w:pPr>
              <w:jc w:val="right"/>
              <w:rPr>
                <w:sz w:val="13"/>
                <w:szCs w:val="13"/>
              </w:rPr>
            </w:pPr>
            <w:r w:rsidRPr="00B173B5">
              <w:rPr>
                <w:sz w:val="13"/>
                <w:szCs w:val="13"/>
              </w:rPr>
              <w:t xml:space="preserve">  - </w:t>
            </w:r>
          </w:p>
        </w:tc>
        <w:tc>
          <w:tcPr>
            <w:tcW w:w="990" w:type="dxa"/>
            <w:tcBorders>
              <w:top w:val="single" w:sz="4" w:space="0" w:color="auto"/>
              <w:left w:val="nil"/>
              <w:bottom w:val="nil"/>
              <w:right w:val="nil"/>
            </w:tcBorders>
            <w:shd w:val="clear" w:color="000000" w:fill="FFFFFF"/>
            <w:vAlign w:val="bottom"/>
            <w:hideMark/>
          </w:tcPr>
          <w:p w:rsidR="00201A92" w:rsidRPr="00B173B5" w:rsidP="00FC430B" w14:paraId="3649B4D6" w14:textId="77777777">
            <w:pPr>
              <w:jc w:val="right"/>
              <w:rPr>
                <w:b/>
                <w:bCs/>
                <w:sz w:val="13"/>
                <w:szCs w:val="13"/>
              </w:rPr>
            </w:pPr>
            <w:r w:rsidRPr="00B173B5">
              <w:rPr>
                <w:b/>
                <w:bCs/>
                <w:sz w:val="13"/>
                <w:szCs w:val="13"/>
              </w:rPr>
              <w:t xml:space="preserve">  - </w:t>
            </w:r>
          </w:p>
        </w:tc>
        <w:tc>
          <w:tcPr>
            <w:tcW w:w="1350" w:type="dxa"/>
            <w:tcBorders>
              <w:top w:val="single" w:sz="4" w:space="0" w:color="auto"/>
              <w:left w:val="nil"/>
              <w:bottom w:val="nil"/>
              <w:right w:val="nil"/>
            </w:tcBorders>
            <w:shd w:val="clear" w:color="000000" w:fill="FFFFFF"/>
            <w:vAlign w:val="bottom"/>
            <w:hideMark/>
          </w:tcPr>
          <w:p w:rsidR="00201A92" w:rsidRPr="00B173B5" w:rsidP="00FC430B" w14:paraId="44AB3462" w14:textId="77777777">
            <w:pPr>
              <w:jc w:val="right"/>
              <w:rPr>
                <w:b/>
                <w:bCs/>
                <w:i/>
                <w:iCs/>
                <w:sz w:val="13"/>
                <w:szCs w:val="13"/>
              </w:rPr>
            </w:pPr>
            <w:r w:rsidRPr="00B173B5">
              <w:rPr>
                <w:b/>
                <w:bCs/>
                <w:i/>
                <w:iCs/>
                <w:sz w:val="13"/>
                <w:szCs w:val="13"/>
              </w:rPr>
              <w:t xml:space="preserve">  112,524 </w:t>
            </w:r>
          </w:p>
        </w:tc>
        <w:tc>
          <w:tcPr>
            <w:tcW w:w="1170" w:type="dxa"/>
            <w:tcBorders>
              <w:top w:val="single" w:sz="4" w:space="0" w:color="auto"/>
              <w:left w:val="nil"/>
              <w:bottom w:val="nil"/>
              <w:right w:val="nil"/>
            </w:tcBorders>
            <w:shd w:val="clear" w:color="000000" w:fill="FFFFFF"/>
            <w:vAlign w:val="bottom"/>
            <w:hideMark/>
          </w:tcPr>
          <w:p w:rsidR="00201A92" w:rsidRPr="00B173B5" w:rsidP="00FC430B" w14:paraId="770567BE" w14:textId="77777777">
            <w:pPr>
              <w:jc w:val="right"/>
              <w:rPr>
                <w:b/>
                <w:bCs/>
                <w:i/>
                <w:iCs/>
                <w:sz w:val="13"/>
                <w:szCs w:val="13"/>
              </w:rPr>
            </w:pPr>
            <w:r w:rsidRPr="00B173B5">
              <w:rPr>
                <w:b/>
                <w:bCs/>
                <w:i/>
                <w:iCs/>
                <w:sz w:val="13"/>
                <w:szCs w:val="13"/>
              </w:rPr>
              <w:t xml:space="preserve"> 112,524 </w:t>
            </w:r>
          </w:p>
        </w:tc>
        <w:tc>
          <w:tcPr>
            <w:tcW w:w="2510" w:type="dxa"/>
            <w:tcBorders>
              <w:top w:val="nil"/>
              <w:left w:val="nil"/>
              <w:bottom w:val="nil"/>
              <w:right w:val="single" w:sz="8" w:space="0" w:color="auto"/>
            </w:tcBorders>
            <w:shd w:val="clear" w:color="000000" w:fill="FFFFFF"/>
            <w:vAlign w:val="bottom"/>
            <w:hideMark/>
          </w:tcPr>
          <w:p w:rsidR="00201A92" w:rsidRPr="00B173B5" w:rsidP="00DF39C2" w14:paraId="2569E38E" w14:textId="77777777">
            <w:pPr>
              <w:ind w:left="-72"/>
              <w:rPr>
                <w:b/>
                <w:bCs/>
                <w:i/>
                <w:iCs/>
                <w:sz w:val="13"/>
                <w:szCs w:val="13"/>
              </w:rPr>
            </w:pPr>
            <w:r w:rsidRPr="00B173B5">
              <w:rPr>
                <w:b/>
                <w:bCs/>
                <w:i/>
                <w:iCs/>
                <w:sz w:val="13"/>
                <w:szCs w:val="13"/>
              </w:rPr>
              <w:t>Total Intragovernmental Costs</w:t>
            </w:r>
          </w:p>
        </w:tc>
      </w:tr>
      <w:tr w14:paraId="6DDA59EF" w14:textId="77777777" w:rsidTr="009436BA">
        <w:tblPrEx>
          <w:tblW w:w="5000" w:type="pct"/>
          <w:tblLook w:val="04A0"/>
        </w:tblPrEx>
        <w:trPr>
          <w:trHeight w:val="20"/>
        </w:trPr>
        <w:tc>
          <w:tcPr>
            <w:tcW w:w="2150" w:type="dxa"/>
            <w:tcBorders>
              <w:top w:val="nil"/>
              <w:left w:val="single" w:sz="8" w:space="0" w:color="auto"/>
              <w:bottom w:val="single" w:sz="4" w:space="0" w:color="auto"/>
              <w:right w:val="nil"/>
            </w:tcBorders>
            <w:shd w:val="clear" w:color="000000" w:fill="FFFFFF"/>
            <w:vAlign w:val="bottom"/>
            <w:hideMark/>
          </w:tcPr>
          <w:p w:rsidR="008E0F8E" w:rsidRPr="00B173B5" w:rsidP="00180DA8" w14:paraId="6C499723" w14:textId="77777777">
            <w:pPr>
              <w:ind w:left="-72"/>
              <w:rPr>
                <w:b/>
                <w:bCs/>
                <w:i/>
                <w:iCs/>
                <w:sz w:val="13"/>
                <w:szCs w:val="13"/>
              </w:rPr>
            </w:pPr>
            <w:r w:rsidRPr="00B173B5">
              <w:rPr>
                <w:b/>
                <w:bCs/>
                <w:i/>
                <w:iCs/>
                <w:sz w:val="13"/>
                <w:szCs w:val="13"/>
              </w:rPr>
              <w:t>Total Gross Costs</w:t>
            </w:r>
          </w:p>
        </w:tc>
        <w:tc>
          <w:tcPr>
            <w:tcW w:w="1170" w:type="dxa"/>
            <w:tcBorders>
              <w:top w:val="nil"/>
              <w:left w:val="nil"/>
              <w:bottom w:val="single" w:sz="4" w:space="0" w:color="auto"/>
              <w:right w:val="single" w:sz="8" w:space="0" w:color="auto"/>
            </w:tcBorders>
            <w:shd w:val="clear" w:color="000000" w:fill="FFFFFF"/>
            <w:vAlign w:val="bottom"/>
            <w:hideMark/>
          </w:tcPr>
          <w:p w:rsidR="008E0F8E" w:rsidRPr="00B173B5" w:rsidP="00FC430B" w14:paraId="5E3802B0" w14:textId="741D4D98">
            <w:pPr>
              <w:jc w:val="right"/>
              <w:rPr>
                <w:b/>
                <w:bCs/>
                <w:i/>
                <w:iCs/>
                <w:sz w:val="13"/>
                <w:szCs w:val="13"/>
              </w:rPr>
            </w:pPr>
            <w:r w:rsidRPr="00B173B5">
              <w:rPr>
                <w:b/>
                <w:bCs/>
                <w:i/>
                <w:iCs/>
                <w:sz w:val="13"/>
                <w:szCs w:val="13"/>
              </w:rPr>
              <w:t>$</w:t>
            </w:r>
            <w:r w:rsidR="004B570A">
              <w:rPr>
                <w:b/>
                <w:bCs/>
                <w:i/>
                <w:iCs/>
                <w:sz w:val="13"/>
                <w:szCs w:val="13"/>
              </w:rPr>
              <w:t xml:space="preserve">        </w:t>
            </w:r>
            <w:r w:rsidRPr="00B173B5">
              <w:rPr>
                <w:b/>
                <w:bCs/>
                <w:i/>
                <w:iCs/>
                <w:sz w:val="13"/>
                <w:szCs w:val="13"/>
              </w:rPr>
              <w:t xml:space="preserve"> 11,679,218 </w:t>
            </w:r>
          </w:p>
        </w:tc>
        <w:tc>
          <w:tcPr>
            <w:tcW w:w="990" w:type="dxa"/>
            <w:tcBorders>
              <w:top w:val="single" w:sz="4" w:space="0" w:color="auto"/>
              <w:left w:val="nil"/>
              <w:bottom w:val="single" w:sz="4" w:space="0" w:color="auto"/>
              <w:right w:val="nil"/>
            </w:tcBorders>
            <w:shd w:val="clear" w:color="000000" w:fill="FFFFFF"/>
            <w:vAlign w:val="bottom"/>
            <w:hideMark/>
          </w:tcPr>
          <w:p w:rsidR="008E0F8E" w:rsidRPr="00B173B5" w:rsidP="00FC430B" w14:paraId="25CC0636" w14:textId="23B60121">
            <w:pPr>
              <w:jc w:val="right"/>
              <w:rPr>
                <w:b/>
                <w:bCs/>
                <w:i/>
                <w:iCs/>
                <w:sz w:val="13"/>
                <w:szCs w:val="13"/>
              </w:rPr>
            </w:pPr>
            <w:r w:rsidRPr="00B173B5">
              <w:rPr>
                <w:b/>
                <w:bCs/>
                <w:i/>
                <w:iCs/>
                <w:sz w:val="13"/>
                <w:szCs w:val="13"/>
              </w:rPr>
              <w:t>$</w:t>
            </w:r>
            <w:r w:rsidR="004B570A">
              <w:rPr>
                <w:b/>
                <w:bCs/>
                <w:i/>
                <w:iCs/>
                <w:sz w:val="13"/>
                <w:szCs w:val="13"/>
              </w:rPr>
              <w:t xml:space="preserve">  </w:t>
            </w:r>
            <w:r w:rsidRPr="00B173B5">
              <w:rPr>
                <w:b/>
                <w:bCs/>
                <w:i/>
                <w:iCs/>
                <w:sz w:val="13"/>
                <w:szCs w:val="13"/>
              </w:rPr>
              <w:t xml:space="preserve"> 10,192,060 </w:t>
            </w:r>
          </w:p>
        </w:tc>
        <w:tc>
          <w:tcPr>
            <w:tcW w:w="1350" w:type="dxa"/>
            <w:tcBorders>
              <w:top w:val="single" w:sz="4" w:space="0" w:color="auto"/>
              <w:left w:val="nil"/>
              <w:bottom w:val="single" w:sz="4" w:space="0" w:color="auto"/>
              <w:right w:val="nil"/>
            </w:tcBorders>
            <w:shd w:val="clear" w:color="000000" w:fill="FFFFFF"/>
            <w:vAlign w:val="bottom"/>
            <w:hideMark/>
          </w:tcPr>
          <w:p w:rsidR="008E0F8E" w:rsidRPr="00B173B5" w:rsidP="00FC430B" w14:paraId="1F170B27" w14:textId="77E34EDC">
            <w:pPr>
              <w:jc w:val="right"/>
              <w:rPr>
                <w:b/>
                <w:bCs/>
                <w:i/>
                <w:iCs/>
                <w:sz w:val="13"/>
                <w:szCs w:val="13"/>
              </w:rPr>
            </w:pPr>
            <w:r w:rsidRPr="00B173B5">
              <w:rPr>
                <w:b/>
                <w:bCs/>
                <w:i/>
                <w:iCs/>
                <w:sz w:val="13"/>
                <w:szCs w:val="13"/>
              </w:rPr>
              <w:t>$</w:t>
            </w:r>
            <w:r w:rsidR="004B570A">
              <w:rPr>
                <w:b/>
                <w:bCs/>
                <w:i/>
                <w:iCs/>
                <w:sz w:val="13"/>
                <w:szCs w:val="13"/>
              </w:rPr>
              <w:t xml:space="preserve">               </w:t>
            </w:r>
            <w:r w:rsidRPr="00B173B5">
              <w:rPr>
                <w:b/>
                <w:bCs/>
                <w:i/>
                <w:iCs/>
                <w:sz w:val="13"/>
                <w:szCs w:val="13"/>
              </w:rPr>
              <w:t xml:space="preserve"> 1,487,158 </w:t>
            </w:r>
          </w:p>
        </w:tc>
        <w:tc>
          <w:tcPr>
            <w:tcW w:w="1170" w:type="dxa"/>
            <w:tcBorders>
              <w:top w:val="single" w:sz="4" w:space="0" w:color="auto"/>
              <w:left w:val="nil"/>
              <w:bottom w:val="single" w:sz="4" w:space="0" w:color="auto"/>
              <w:right w:val="nil"/>
            </w:tcBorders>
            <w:shd w:val="clear" w:color="000000" w:fill="FFFFFF"/>
            <w:vAlign w:val="bottom"/>
            <w:hideMark/>
          </w:tcPr>
          <w:p w:rsidR="008E0F8E" w:rsidRPr="00B173B5" w:rsidP="00FC430B" w14:paraId="5213A039" w14:textId="4AED8A3A">
            <w:pPr>
              <w:jc w:val="right"/>
              <w:rPr>
                <w:b/>
                <w:bCs/>
                <w:i/>
                <w:iCs/>
                <w:sz w:val="13"/>
                <w:szCs w:val="13"/>
              </w:rPr>
            </w:pPr>
            <w:r w:rsidRPr="00B173B5">
              <w:rPr>
                <w:b/>
                <w:bCs/>
                <w:i/>
                <w:iCs/>
                <w:sz w:val="13"/>
                <w:szCs w:val="13"/>
              </w:rPr>
              <w:t>$</w:t>
            </w:r>
            <w:r w:rsidR="004B570A">
              <w:rPr>
                <w:b/>
                <w:bCs/>
                <w:i/>
                <w:iCs/>
                <w:sz w:val="13"/>
                <w:szCs w:val="13"/>
              </w:rPr>
              <w:t xml:space="preserve">        </w:t>
            </w:r>
            <w:r w:rsidRPr="00B173B5">
              <w:rPr>
                <w:b/>
                <w:bCs/>
                <w:i/>
                <w:iCs/>
                <w:sz w:val="13"/>
                <w:szCs w:val="13"/>
              </w:rPr>
              <w:t xml:space="preserve"> 11,679,218 </w:t>
            </w:r>
          </w:p>
        </w:tc>
        <w:tc>
          <w:tcPr>
            <w:tcW w:w="2510" w:type="dxa"/>
            <w:tcBorders>
              <w:top w:val="nil"/>
              <w:left w:val="nil"/>
              <w:bottom w:val="single" w:sz="4" w:space="0" w:color="auto"/>
              <w:right w:val="single" w:sz="8" w:space="0" w:color="auto"/>
            </w:tcBorders>
            <w:shd w:val="clear" w:color="000000" w:fill="FFFFFF"/>
            <w:vAlign w:val="bottom"/>
            <w:hideMark/>
          </w:tcPr>
          <w:p w:rsidR="008E0F8E" w:rsidRPr="00B173B5" w:rsidP="00DF39C2" w14:paraId="55F6885E" w14:textId="77777777">
            <w:pPr>
              <w:ind w:left="-72"/>
              <w:rPr>
                <w:b/>
                <w:bCs/>
                <w:i/>
                <w:iCs/>
                <w:sz w:val="13"/>
                <w:szCs w:val="13"/>
              </w:rPr>
            </w:pPr>
            <w:r w:rsidRPr="00B173B5">
              <w:rPr>
                <w:b/>
                <w:bCs/>
                <w:i/>
                <w:iCs/>
                <w:sz w:val="13"/>
                <w:szCs w:val="13"/>
              </w:rPr>
              <w:t>Total Reclassified Gross Costs</w:t>
            </w:r>
          </w:p>
        </w:tc>
      </w:tr>
      <w:tr w14:paraId="67B8DF87" w14:textId="77777777" w:rsidTr="00201A92">
        <w:tblPrEx>
          <w:tblW w:w="5000" w:type="pct"/>
          <w:tblLook w:val="04A0"/>
        </w:tblPrEx>
        <w:trPr>
          <w:trHeight w:val="20"/>
        </w:trPr>
        <w:tc>
          <w:tcPr>
            <w:tcW w:w="2150" w:type="dxa"/>
            <w:tcBorders>
              <w:top w:val="nil"/>
              <w:left w:val="single" w:sz="8" w:space="0" w:color="auto"/>
              <w:bottom w:val="nil"/>
              <w:right w:val="nil"/>
            </w:tcBorders>
            <w:shd w:val="clear" w:color="000000" w:fill="FFFFFF"/>
            <w:hideMark/>
          </w:tcPr>
          <w:p w:rsidR="008E0F8E" w:rsidRPr="00B173B5" w:rsidP="00180DA8" w14:paraId="6CB91338" w14:textId="5CA0D578">
            <w:pPr>
              <w:ind w:left="-72"/>
              <w:rPr>
                <w:b/>
                <w:bCs/>
                <w:sz w:val="13"/>
                <w:szCs w:val="13"/>
              </w:rPr>
            </w:pPr>
            <w:r w:rsidRPr="00B173B5">
              <w:rPr>
                <w:b/>
                <w:bCs/>
                <w:sz w:val="13"/>
                <w:szCs w:val="13"/>
              </w:rPr>
              <w:t>Earned Revenue</w:t>
            </w:r>
            <w:r>
              <w:rPr>
                <w:rStyle w:val="FootnoteReference"/>
                <w:b/>
                <w:bCs/>
                <w:sz w:val="13"/>
                <w:szCs w:val="13"/>
              </w:rPr>
              <w:footnoteReference w:customMarkFollows="1" w:id="19"/>
              <w:t xml:space="preserve">3</w:t>
            </w:r>
          </w:p>
        </w:tc>
        <w:tc>
          <w:tcPr>
            <w:tcW w:w="1170" w:type="dxa"/>
            <w:tcBorders>
              <w:top w:val="nil"/>
              <w:left w:val="nil"/>
              <w:bottom w:val="nil"/>
              <w:right w:val="single" w:sz="8" w:space="0" w:color="auto"/>
            </w:tcBorders>
            <w:shd w:val="clear" w:color="000000" w:fill="FFFFFF"/>
            <w:vAlign w:val="bottom"/>
            <w:hideMark/>
          </w:tcPr>
          <w:p w:rsidR="008E0F8E" w:rsidRPr="00B173B5" w:rsidP="00FC430B" w14:paraId="13232CAE" w14:textId="77777777">
            <w:pPr>
              <w:jc w:val="right"/>
              <w:rPr>
                <w:sz w:val="13"/>
                <w:szCs w:val="13"/>
              </w:rPr>
            </w:pPr>
            <w:r w:rsidRPr="00B173B5">
              <w:rPr>
                <w:sz w:val="13"/>
                <w:szCs w:val="13"/>
              </w:rPr>
              <w:t xml:space="preserve">  (536,365)</w:t>
            </w:r>
          </w:p>
        </w:tc>
        <w:tc>
          <w:tcPr>
            <w:tcW w:w="990" w:type="dxa"/>
            <w:tcBorders>
              <w:top w:val="nil"/>
              <w:left w:val="nil"/>
              <w:bottom w:val="nil"/>
              <w:right w:val="nil"/>
            </w:tcBorders>
            <w:shd w:val="clear" w:color="000000" w:fill="FFFFFF"/>
            <w:vAlign w:val="bottom"/>
            <w:hideMark/>
          </w:tcPr>
          <w:p w:rsidR="008E0F8E" w:rsidRPr="00B173B5" w:rsidP="00FC430B" w14:paraId="4775C0E3" w14:textId="77777777">
            <w:pPr>
              <w:jc w:val="right"/>
              <w:rPr>
                <w:sz w:val="13"/>
                <w:szCs w:val="13"/>
              </w:rPr>
            </w:pPr>
            <w:r w:rsidRPr="00B173B5">
              <w:rPr>
                <w:sz w:val="13"/>
                <w:szCs w:val="13"/>
              </w:rPr>
              <w:t xml:space="preserve">  - </w:t>
            </w:r>
          </w:p>
        </w:tc>
        <w:tc>
          <w:tcPr>
            <w:tcW w:w="1350" w:type="dxa"/>
            <w:tcBorders>
              <w:top w:val="nil"/>
              <w:left w:val="nil"/>
              <w:bottom w:val="nil"/>
              <w:right w:val="nil"/>
            </w:tcBorders>
            <w:shd w:val="clear" w:color="000000" w:fill="FFFFFF"/>
            <w:vAlign w:val="bottom"/>
            <w:hideMark/>
          </w:tcPr>
          <w:p w:rsidR="008E0F8E" w:rsidRPr="00B173B5" w:rsidP="00FC430B" w14:paraId="0B75AEB7" w14:textId="77777777">
            <w:pPr>
              <w:jc w:val="right"/>
              <w:rPr>
                <w:sz w:val="13"/>
                <w:szCs w:val="13"/>
              </w:rPr>
            </w:pPr>
            <w:r w:rsidRPr="00B173B5">
              <w:rPr>
                <w:sz w:val="13"/>
                <w:szCs w:val="13"/>
              </w:rPr>
              <w:t xml:space="preserve">  (401,048)</w:t>
            </w:r>
          </w:p>
        </w:tc>
        <w:tc>
          <w:tcPr>
            <w:tcW w:w="1170" w:type="dxa"/>
            <w:tcBorders>
              <w:top w:val="nil"/>
              <w:left w:val="nil"/>
              <w:bottom w:val="nil"/>
              <w:right w:val="nil"/>
            </w:tcBorders>
            <w:shd w:val="clear" w:color="000000" w:fill="FFFFFF"/>
            <w:vAlign w:val="bottom"/>
            <w:hideMark/>
          </w:tcPr>
          <w:p w:rsidR="008E0F8E" w:rsidRPr="00B173B5" w:rsidP="00FC430B" w14:paraId="3CBC6BB0" w14:textId="77777777">
            <w:pPr>
              <w:jc w:val="right"/>
              <w:rPr>
                <w:sz w:val="13"/>
                <w:szCs w:val="13"/>
              </w:rPr>
            </w:pPr>
            <w:r w:rsidRPr="00B173B5">
              <w:rPr>
                <w:sz w:val="13"/>
                <w:szCs w:val="13"/>
              </w:rPr>
              <w:t xml:space="preserve"> (401,048)</w:t>
            </w:r>
          </w:p>
        </w:tc>
        <w:tc>
          <w:tcPr>
            <w:tcW w:w="2510" w:type="dxa"/>
            <w:tcBorders>
              <w:top w:val="nil"/>
              <w:left w:val="nil"/>
              <w:bottom w:val="nil"/>
              <w:right w:val="single" w:sz="8" w:space="0" w:color="auto"/>
            </w:tcBorders>
            <w:shd w:val="clear" w:color="000000" w:fill="FFFFFF"/>
            <w:vAlign w:val="bottom"/>
            <w:hideMark/>
          </w:tcPr>
          <w:p w:rsidR="008E0F8E" w:rsidRPr="00B173B5" w:rsidP="00DF39C2" w14:paraId="237C042C" w14:textId="77777777">
            <w:pPr>
              <w:ind w:left="-72"/>
              <w:rPr>
                <w:sz w:val="13"/>
                <w:szCs w:val="13"/>
              </w:rPr>
            </w:pPr>
            <w:r w:rsidRPr="00B173B5">
              <w:rPr>
                <w:sz w:val="13"/>
                <w:szCs w:val="13"/>
              </w:rPr>
              <w:t>Non-Federal Earned Revenue</w:t>
            </w:r>
          </w:p>
        </w:tc>
      </w:tr>
      <w:tr w14:paraId="7E6826E9" w14:textId="77777777" w:rsidTr="00CF6294">
        <w:tblPrEx>
          <w:tblW w:w="5000" w:type="pct"/>
          <w:tblLook w:val="04A0"/>
        </w:tblPrEx>
        <w:trPr>
          <w:trHeight w:val="20"/>
        </w:trPr>
        <w:tc>
          <w:tcPr>
            <w:tcW w:w="2150" w:type="dxa"/>
            <w:tcBorders>
              <w:top w:val="nil"/>
              <w:left w:val="single" w:sz="8" w:space="0" w:color="auto"/>
              <w:bottom w:val="nil"/>
              <w:right w:val="nil"/>
            </w:tcBorders>
            <w:shd w:val="clear" w:color="000000" w:fill="FFFFFF"/>
            <w:vAlign w:val="bottom"/>
            <w:hideMark/>
          </w:tcPr>
          <w:p w:rsidR="008E0F8E" w:rsidRPr="00B173B5" w:rsidP="00180DA8" w14:paraId="3A642C30" w14:textId="77777777">
            <w:pPr>
              <w:ind w:left="-72"/>
              <w:rPr>
                <w:b/>
                <w:bCs/>
                <w:sz w:val="13"/>
                <w:szCs w:val="13"/>
              </w:rPr>
            </w:pPr>
          </w:p>
        </w:tc>
        <w:tc>
          <w:tcPr>
            <w:tcW w:w="1170" w:type="dxa"/>
            <w:tcBorders>
              <w:top w:val="nil"/>
              <w:left w:val="nil"/>
              <w:bottom w:val="nil"/>
              <w:right w:val="single" w:sz="8" w:space="0" w:color="auto"/>
            </w:tcBorders>
            <w:shd w:val="clear" w:color="000000" w:fill="FFFFFF"/>
            <w:vAlign w:val="bottom"/>
            <w:hideMark/>
          </w:tcPr>
          <w:p w:rsidR="008E0F8E" w:rsidRPr="00B173B5" w:rsidP="00FC430B" w14:paraId="300007BA" w14:textId="77777777">
            <w:pPr>
              <w:jc w:val="right"/>
              <w:rPr>
                <w:sz w:val="13"/>
                <w:szCs w:val="13"/>
              </w:rPr>
            </w:pPr>
            <w:r w:rsidRPr="00B173B5">
              <w:rPr>
                <w:sz w:val="13"/>
                <w:szCs w:val="13"/>
              </w:rPr>
              <w:t> </w:t>
            </w:r>
          </w:p>
        </w:tc>
        <w:tc>
          <w:tcPr>
            <w:tcW w:w="990" w:type="dxa"/>
            <w:tcBorders>
              <w:top w:val="nil"/>
              <w:left w:val="nil"/>
              <w:bottom w:val="nil"/>
              <w:right w:val="nil"/>
            </w:tcBorders>
            <w:shd w:val="clear" w:color="000000" w:fill="FFFFFF"/>
            <w:vAlign w:val="bottom"/>
            <w:hideMark/>
          </w:tcPr>
          <w:p w:rsidR="008E0F8E" w:rsidRPr="00B173B5" w:rsidP="00FC430B" w14:paraId="0C353FB1" w14:textId="77777777">
            <w:pPr>
              <w:jc w:val="right"/>
              <w:rPr>
                <w:sz w:val="13"/>
                <w:szCs w:val="13"/>
              </w:rPr>
            </w:pPr>
            <w:r w:rsidRPr="00B173B5">
              <w:rPr>
                <w:sz w:val="13"/>
                <w:szCs w:val="13"/>
              </w:rPr>
              <w:t> </w:t>
            </w:r>
          </w:p>
        </w:tc>
        <w:tc>
          <w:tcPr>
            <w:tcW w:w="1350" w:type="dxa"/>
            <w:tcBorders>
              <w:top w:val="nil"/>
              <w:left w:val="nil"/>
              <w:bottom w:val="nil"/>
              <w:right w:val="nil"/>
            </w:tcBorders>
            <w:shd w:val="clear" w:color="000000" w:fill="FFFFFF"/>
            <w:vAlign w:val="bottom"/>
            <w:hideMark/>
          </w:tcPr>
          <w:p w:rsidR="008E0F8E" w:rsidRPr="00B173B5" w:rsidP="00FC430B" w14:paraId="71D929F6" w14:textId="77777777">
            <w:pPr>
              <w:jc w:val="right"/>
              <w:rPr>
                <w:sz w:val="13"/>
                <w:szCs w:val="13"/>
              </w:rPr>
            </w:pPr>
            <w:r w:rsidRPr="00B173B5">
              <w:rPr>
                <w:sz w:val="13"/>
                <w:szCs w:val="13"/>
              </w:rPr>
              <w:t> </w:t>
            </w:r>
          </w:p>
        </w:tc>
        <w:tc>
          <w:tcPr>
            <w:tcW w:w="1170" w:type="dxa"/>
            <w:tcBorders>
              <w:top w:val="nil"/>
              <w:left w:val="nil"/>
              <w:bottom w:val="nil"/>
              <w:right w:val="nil"/>
            </w:tcBorders>
            <w:shd w:val="clear" w:color="000000" w:fill="FFFFFF"/>
            <w:vAlign w:val="bottom"/>
            <w:hideMark/>
          </w:tcPr>
          <w:p w:rsidR="008E0F8E" w:rsidRPr="00B173B5" w:rsidP="00FC430B" w14:paraId="332BB934" w14:textId="77777777">
            <w:pPr>
              <w:jc w:val="right"/>
              <w:rPr>
                <w:sz w:val="13"/>
                <w:szCs w:val="13"/>
              </w:rPr>
            </w:pPr>
            <w:r w:rsidRPr="00B173B5">
              <w:rPr>
                <w:sz w:val="13"/>
                <w:szCs w:val="13"/>
              </w:rPr>
              <w:t> </w:t>
            </w:r>
          </w:p>
        </w:tc>
        <w:tc>
          <w:tcPr>
            <w:tcW w:w="2510" w:type="dxa"/>
            <w:tcBorders>
              <w:top w:val="nil"/>
              <w:left w:val="nil"/>
              <w:bottom w:val="nil"/>
              <w:right w:val="single" w:sz="8" w:space="0" w:color="auto"/>
            </w:tcBorders>
            <w:shd w:val="clear" w:color="000000" w:fill="FFFFFF"/>
            <w:vAlign w:val="bottom"/>
            <w:hideMark/>
          </w:tcPr>
          <w:p w:rsidR="008E0F8E" w:rsidRPr="00B173B5" w:rsidP="00DF39C2" w14:paraId="2F6CDD07" w14:textId="77777777">
            <w:pPr>
              <w:ind w:left="-72"/>
              <w:rPr>
                <w:b/>
                <w:bCs/>
                <w:i/>
                <w:iCs/>
                <w:sz w:val="13"/>
                <w:szCs w:val="13"/>
              </w:rPr>
            </w:pPr>
            <w:r w:rsidRPr="00B173B5">
              <w:rPr>
                <w:b/>
                <w:bCs/>
                <w:i/>
                <w:iCs/>
                <w:sz w:val="13"/>
                <w:szCs w:val="13"/>
              </w:rPr>
              <w:t>Intragovernmental Revenue</w:t>
            </w:r>
          </w:p>
        </w:tc>
      </w:tr>
      <w:tr w14:paraId="6F37148F" w14:textId="77777777" w:rsidTr="00CF6294">
        <w:tblPrEx>
          <w:tblW w:w="5000" w:type="pct"/>
          <w:tblLook w:val="04A0"/>
        </w:tblPrEx>
        <w:trPr>
          <w:trHeight w:val="20"/>
        </w:trPr>
        <w:tc>
          <w:tcPr>
            <w:tcW w:w="2150" w:type="dxa"/>
            <w:tcBorders>
              <w:top w:val="nil"/>
              <w:left w:val="single" w:sz="8" w:space="0" w:color="auto"/>
              <w:bottom w:val="nil"/>
              <w:right w:val="nil"/>
            </w:tcBorders>
            <w:shd w:val="clear" w:color="000000" w:fill="FFFFFF"/>
            <w:vAlign w:val="bottom"/>
            <w:hideMark/>
          </w:tcPr>
          <w:p w:rsidR="008E0F8E" w:rsidRPr="00B173B5" w:rsidP="00180DA8" w14:paraId="7CA9C2E2" w14:textId="77777777">
            <w:pPr>
              <w:ind w:left="-72"/>
              <w:rPr>
                <w:b/>
                <w:bCs/>
                <w:sz w:val="13"/>
                <w:szCs w:val="13"/>
              </w:rPr>
            </w:pPr>
          </w:p>
        </w:tc>
        <w:tc>
          <w:tcPr>
            <w:tcW w:w="1170" w:type="dxa"/>
            <w:tcBorders>
              <w:top w:val="nil"/>
              <w:left w:val="nil"/>
              <w:bottom w:val="nil"/>
              <w:right w:val="single" w:sz="8" w:space="0" w:color="auto"/>
            </w:tcBorders>
            <w:shd w:val="clear" w:color="000000" w:fill="FFFFFF"/>
            <w:vAlign w:val="bottom"/>
            <w:hideMark/>
          </w:tcPr>
          <w:p w:rsidR="008E0F8E" w:rsidRPr="00B173B5" w:rsidP="00FC430B" w14:paraId="17A65D40" w14:textId="77777777">
            <w:pPr>
              <w:jc w:val="right"/>
              <w:rPr>
                <w:sz w:val="13"/>
                <w:szCs w:val="13"/>
              </w:rPr>
            </w:pPr>
            <w:r w:rsidRPr="00B173B5">
              <w:rPr>
                <w:sz w:val="13"/>
                <w:szCs w:val="13"/>
              </w:rPr>
              <w:t xml:space="preserve">  - </w:t>
            </w:r>
          </w:p>
        </w:tc>
        <w:tc>
          <w:tcPr>
            <w:tcW w:w="990" w:type="dxa"/>
            <w:tcBorders>
              <w:top w:val="nil"/>
              <w:left w:val="nil"/>
              <w:bottom w:val="nil"/>
              <w:right w:val="nil"/>
            </w:tcBorders>
            <w:shd w:val="clear" w:color="000000" w:fill="FFFFFF"/>
            <w:vAlign w:val="bottom"/>
            <w:hideMark/>
          </w:tcPr>
          <w:p w:rsidR="008E0F8E" w:rsidRPr="00B173B5" w:rsidP="00FC430B" w14:paraId="6454318C" w14:textId="77777777">
            <w:pPr>
              <w:jc w:val="right"/>
              <w:rPr>
                <w:sz w:val="13"/>
                <w:szCs w:val="13"/>
              </w:rPr>
            </w:pPr>
            <w:r w:rsidRPr="00B173B5">
              <w:rPr>
                <w:sz w:val="13"/>
                <w:szCs w:val="13"/>
              </w:rPr>
              <w:t xml:space="preserve">  - </w:t>
            </w:r>
          </w:p>
        </w:tc>
        <w:tc>
          <w:tcPr>
            <w:tcW w:w="1350" w:type="dxa"/>
            <w:tcBorders>
              <w:top w:val="nil"/>
              <w:left w:val="nil"/>
              <w:bottom w:val="nil"/>
              <w:right w:val="nil"/>
            </w:tcBorders>
            <w:shd w:val="clear" w:color="000000" w:fill="FFFFFF"/>
            <w:vAlign w:val="bottom"/>
            <w:hideMark/>
          </w:tcPr>
          <w:p w:rsidR="008E0F8E" w:rsidRPr="00B173B5" w:rsidP="00FC430B" w14:paraId="0CFDA4C6" w14:textId="77777777">
            <w:pPr>
              <w:jc w:val="right"/>
              <w:rPr>
                <w:sz w:val="13"/>
                <w:szCs w:val="13"/>
              </w:rPr>
            </w:pPr>
            <w:r w:rsidRPr="00B173B5">
              <w:rPr>
                <w:sz w:val="13"/>
                <w:szCs w:val="13"/>
              </w:rPr>
              <w:t xml:space="preserve">  (820)</w:t>
            </w:r>
          </w:p>
        </w:tc>
        <w:tc>
          <w:tcPr>
            <w:tcW w:w="1170" w:type="dxa"/>
            <w:tcBorders>
              <w:top w:val="nil"/>
              <w:left w:val="nil"/>
              <w:bottom w:val="nil"/>
              <w:right w:val="nil"/>
            </w:tcBorders>
            <w:shd w:val="clear" w:color="000000" w:fill="FFFFFF"/>
            <w:vAlign w:val="bottom"/>
            <w:hideMark/>
          </w:tcPr>
          <w:p w:rsidR="008E0F8E" w:rsidRPr="00B173B5" w:rsidP="00FC430B" w14:paraId="79A6FC65" w14:textId="77777777">
            <w:pPr>
              <w:jc w:val="right"/>
              <w:rPr>
                <w:sz w:val="13"/>
                <w:szCs w:val="13"/>
              </w:rPr>
            </w:pPr>
            <w:r w:rsidRPr="00B173B5">
              <w:rPr>
                <w:sz w:val="13"/>
                <w:szCs w:val="13"/>
              </w:rPr>
              <w:t xml:space="preserve">  (820)</w:t>
            </w:r>
          </w:p>
        </w:tc>
        <w:tc>
          <w:tcPr>
            <w:tcW w:w="2510" w:type="dxa"/>
            <w:tcBorders>
              <w:top w:val="nil"/>
              <w:left w:val="nil"/>
              <w:bottom w:val="nil"/>
              <w:right w:val="single" w:sz="8" w:space="0" w:color="auto"/>
            </w:tcBorders>
            <w:shd w:val="clear" w:color="000000" w:fill="FFFFFF"/>
            <w:vAlign w:val="bottom"/>
            <w:hideMark/>
          </w:tcPr>
          <w:p w:rsidR="008E0F8E" w:rsidRPr="00B173B5" w:rsidP="00DF39C2" w14:paraId="162D9EF0" w14:textId="77777777">
            <w:pPr>
              <w:ind w:left="-72"/>
              <w:rPr>
                <w:sz w:val="13"/>
                <w:szCs w:val="13"/>
              </w:rPr>
            </w:pPr>
            <w:r w:rsidRPr="00B173B5">
              <w:rPr>
                <w:sz w:val="13"/>
                <w:szCs w:val="13"/>
              </w:rPr>
              <w:t>Buy/Sell Revenue</w:t>
            </w:r>
          </w:p>
        </w:tc>
      </w:tr>
      <w:tr w14:paraId="5D2D47A5" w14:textId="77777777" w:rsidTr="00CF6294">
        <w:tblPrEx>
          <w:tblW w:w="5000" w:type="pct"/>
          <w:tblLook w:val="04A0"/>
        </w:tblPrEx>
        <w:trPr>
          <w:trHeight w:val="20"/>
        </w:trPr>
        <w:tc>
          <w:tcPr>
            <w:tcW w:w="2150" w:type="dxa"/>
            <w:tcBorders>
              <w:top w:val="nil"/>
              <w:left w:val="single" w:sz="8" w:space="0" w:color="auto"/>
              <w:bottom w:val="nil"/>
              <w:right w:val="nil"/>
            </w:tcBorders>
            <w:shd w:val="clear" w:color="000000" w:fill="FFFFFF"/>
            <w:vAlign w:val="bottom"/>
            <w:hideMark/>
          </w:tcPr>
          <w:p w:rsidR="008E0F8E" w:rsidRPr="00B173B5" w:rsidP="00180DA8" w14:paraId="2F1C94B5" w14:textId="77777777">
            <w:pPr>
              <w:ind w:left="-72"/>
              <w:rPr>
                <w:b/>
                <w:bCs/>
                <w:sz w:val="13"/>
                <w:szCs w:val="13"/>
              </w:rPr>
            </w:pPr>
          </w:p>
        </w:tc>
        <w:tc>
          <w:tcPr>
            <w:tcW w:w="1170" w:type="dxa"/>
            <w:tcBorders>
              <w:top w:val="nil"/>
              <w:left w:val="nil"/>
              <w:bottom w:val="nil"/>
              <w:right w:val="single" w:sz="8" w:space="0" w:color="auto"/>
            </w:tcBorders>
            <w:shd w:val="clear" w:color="000000" w:fill="FFFFFF"/>
            <w:vAlign w:val="bottom"/>
            <w:hideMark/>
          </w:tcPr>
          <w:p w:rsidR="008E0F8E" w:rsidRPr="00B173B5" w:rsidP="00FC430B" w14:paraId="7681A6D0" w14:textId="77777777">
            <w:pPr>
              <w:jc w:val="right"/>
              <w:rPr>
                <w:sz w:val="13"/>
                <w:szCs w:val="13"/>
              </w:rPr>
            </w:pPr>
            <w:r w:rsidRPr="00B173B5">
              <w:rPr>
                <w:sz w:val="13"/>
                <w:szCs w:val="13"/>
              </w:rPr>
              <w:t xml:space="preserve">  - </w:t>
            </w:r>
          </w:p>
        </w:tc>
        <w:tc>
          <w:tcPr>
            <w:tcW w:w="990" w:type="dxa"/>
            <w:tcBorders>
              <w:top w:val="nil"/>
              <w:left w:val="nil"/>
              <w:bottom w:val="nil"/>
              <w:right w:val="nil"/>
            </w:tcBorders>
            <w:shd w:val="clear" w:color="000000" w:fill="FFFFFF"/>
            <w:vAlign w:val="bottom"/>
            <w:hideMark/>
          </w:tcPr>
          <w:p w:rsidR="008E0F8E" w:rsidRPr="00B173B5" w:rsidP="00FC430B" w14:paraId="66E96934" w14:textId="77777777">
            <w:pPr>
              <w:jc w:val="right"/>
              <w:rPr>
                <w:sz w:val="13"/>
                <w:szCs w:val="13"/>
              </w:rPr>
            </w:pPr>
            <w:r w:rsidRPr="00B173B5">
              <w:rPr>
                <w:sz w:val="13"/>
                <w:szCs w:val="13"/>
              </w:rPr>
              <w:t xml:space="preserve">  - </w:t>
            </w:r>
          </w:p>
        </w:tc>
        <w:tc>
          <w:tcPr>
            <w:tcW w:w="1350" w:type="dxa"/>
            <w:tcBorders>
              <w:top w:val="nil"/>
              <w:left w:val="nil"/>
              <w:bottom w:val="nil"/>
              <w:right w:val="nil"/>
            </w:tcBorders>
            <w:shd w:val="clear" w:color="000000" w:fill="FFFFFF"/>
            <w:vAlign w:val="bottom"/>
            <w:hideMark/>
          </w:tcPr>
          <w:p w:rsidR="008E0F8E" w:rsidRPr="00B173B5" w:rsidP="00FC430B" w14:paraId="2375E29C" w14:textId="77777777">
            <w:pPr>
              <w:jc w:val="right"/>
              <w:rPr>
                <w:sz w:val="13"/>
                <w:szCs w:val="13"/>
              </w:rPr>
            </w:pPr>
            <w:r w:rsidRPr="00B173B5">
              <w:rPr>
                <w:sz w:val="13"/>
                <w:szCs w:val="13"/>
              </w:rPr>
              <w:t xml:space="preserve">  (2)</w:t>
            </w:r>
          </w:p>
        </w:tc>
        <w:tc>
          <w:tcPr>
            <w:tcW w:w="1170" w:type="dxa"/>
            <w:tcBorders>
              <w:top w:val="nil"/>
              <w:left w:val="nil"/>
              <w:bottom w:val="nil"/>
              <w:right w:val="nil"/>
            </w:tcBorders>
            <w:shd w:val="clear" w:color="000000" w:fill="FFFFFF"/>
            <w:vAlign w:val="bottom"/>
            <w:hideMark/>
          </w:tcPr>
          <w:p w:rsidR="008E0F8E" w:rsidRPr="00B173B5" w:rsidP="00FC430B" w14:paraId="7C8331AA" w14:textId="77777777">
            <w:pPr>
              <w:jc w:val="right"/>
              <w:rPr>
                <w:sz w:val="13"/>
                <w:szCs w:val="13"/>
              </w:rPr>
            </w:pPr>
            <w:r w:rsidRPr="00B173B5">
              <w:rPr>
                <w:sz w:val="13"/>
                <w:szCs w:val="13"/>
              </w:rPr>
              <w:t xml:space="preserve">  (2)</w:t>
            </w:r>
          </w:p>
        </w:tc>
        <w:tc>
          <w:tcPr>
            <w:tcW w:w="2510" w:type="dxa"/>
            <w:tcBorders>
              <w:top w:val="nil"/>
              <w:left w:val="nil"/>
              <w:bottom w:val="nil"/>
              <w:right w:val="single" w:sz="8" w:space="0" w:color="auto"/>
            </w:tcBorders>
            <w:shd w:val="clear" w:color="000000" w:fill="FFFFFF"/>
            <w:vAlign w:val="bottom"/>
            <w:hideMark/>
          </w:tcPr>
          <w:p w:rsidR="008E0F8E" w:rsidRPr="00B173B5" w:rsidP="00DF39C2" w14:paraId="50155366" w14:textId="77777777">
            <w:pPr>
              <w:ind w:left="-72"/>
              <w:rPr>
                <w:sz w:val="13"/>
                <w:szCs w:val="13"/>
              </w:rPr>
            </w:pPr>
            <w:r w:rsidRPr="00B173B5">
              <w:rPr>
                <w:sz w:val="13"/>
                <w:szCs w:val="13"/>
              </w:rPr>
              <w:t>Borrowing and Other Interest Revenue</w:t>
            </w:r>
          </w:p>
        </w:tc>
      </w:tr>
      <w:tr w14:paraId="4C1EA47F" w14:textId="77777777" w:rsidTr="00CF6294">
        <w:tblPrEx>
          <w:tblW w:w="5000" w:type="pct"/>
          <w:tblLook w:val="04A0"/>
        </w:tblPrEx>
        <w:trPr>
          <w:trHeight w:val="20"/>
        </w:trPr>
        <w:tc>
          <w:tcPr>
            <w:tcW w:w="2150" w:type="dxa"/>
            <w:tcBorders>
              <w:top w:val="nil"/>
              <w:left w:val="single" w:sz="8" w:space="0" w:color="auto"/>
              <w:bottom w:val="nil"/>
              <w:right w:val="nil"/>
            </w:tcBorders>
            <w:shd w:val="clear" w:color="000000" w:fill="FFFFFF"/>
            <w:vAlign w:val="bottom"/>
            <w:hideMark/>
          </w:tcPr>
          <w:p w:rsidR="008E0F8E" w:rsidRPr="00B173B5" w:rsidP="00180DA8" w14:paraId="2D226BBF" w14:textId="77777777">
            <w:pPr>
              <w:ind w:left="-72"/>
              <w:rPr>
                <w:b/>
                <w:bCs/>
                <w:sz w:val="13"/>
                <w:szCs w:val="13"/>
              </w:rPr>
            </w:pPr>
          </w:p>
        </w:tc>
        <w:tc>
          <w:tcPr>
            <w:tcW w:w="1170" w:type="dxa"/>
            <w:tcBorders>
              <w:top w:val="single" w:sz="4" w:space="0" w:color="auto"/>
              <w:left w:val="nil"/>
              <w:bottom w:val="single" w:sz="4" w:space="0" w:color="auto"/>
              <w:right w:val="single" w:sz="8" w:space="0" w:color="auto"/>
            </w:tcBorders>
            <w:shd w:val="clear" w:color="000000" w:fill="FFFFFF"/>
            <w:vAlign w:val="bottom"/>
            <w:hideMark/>
          </w:tcPr>
          <w:p w:rsidR="008E0F8E" w:rsidRPr="00B173B5" w:rsidP="00FC430B" w14:paraId="1C8C39F5" w14:textId="77777777">
            <w:pPr>
              <w:jc w:val="right"/>
              <w:rPr>
                <w:sz w:val="13"/>
                <w:szCs w:val="13"/>
              </w:rPr>
            </w:pPr>
            <w:r w:rsidRPr="00B173B5">
              <w:rPr>
                <w:sz w:val="13"/>
                <w:szCs w:val="13"/>
              </w:rPr>
              <w:t xml:space="preserve">  - </w:t>
            </w:r>
          </w:p>
        </w:tc>
        <w:tc>
          <w:tcPr>
            <w:tcW w:w="990" w:type="dxa"/>
            <w:tcBorders>
              <w:top w:val="single" w:sz="4" w:space="0" w:color="auto"/>
              <w:left w:val="nil"/>
              <w:bottom w:val="single" w:sz="4" w:space="0" w:color="auto"/>
              <w:right w:val="nil"/>
            </w:tcBorders>
            <w:shd w:val="clear" w:color="000000" w:fill="FFFFFF"/>
            <w:vAlign w:val="bottom"/>
            <w:hideMark/>
          </w:tcPr>
          <w:p w:rsidR="008E0F8E" w:rsidRPr="00B173B5" w:rsidP="00FC430B" w14:paraId="4A982EFD" w14:textId="77777777">
            <w:pPr>
              <w:jc w:val="right"/>
              <w:rPr>
                <w:b/>
                <w:bCs/>
                <w:sz w:val="13"/>
                <w:szCs w:val="13"/>
              </w:rPr>
            </w:pPr>
            <w:r w:rsidRPr="00B173B5">
              <w:rPr>
                <w:b/>
                <w:bCs/>
                <w:sz w:val="13"/>
                <w:szCs w:val="13"/>
              </w:rPr>
              <w:t xml:space="preserve">  - </w:t>
            </w:r>
          </w:p>
        </w:tc>
        <w:tc>
          <w:tcPr>
            <w:tcW w:w="1350" w:type="dxa"/>
            <w:tcBorders>
              <w:top w:val="single" w:sz="4" w:space="0" w:color="auto"/>
              <w:left w:val="nil"/>
              <w:bottom w:val="single" w:sz="4" w:space="0" w:color="auto"/>
              <w:right w:val="nil"/>
            </w:tcBorders>
            <w:shd w:val="clear" w:color="000000" w:fill="FFFFFF"/>
            <w:vAlign w:val="bottom"/>
            <w:hideMark/>
          </w:tcPr>
          <w:p w:rsidR="008E0F8E" w:rsidRPr="00B173B5" w:rsidP="00FC430B" w14:paraId="4B4F8896" w14:textId="77777777">
            <w:pPr>
              <w:jc w:val="right"/>
              <w:rPr>
                <w:b/>
                <w:bCs/>
                <w:i/>
                <w:iCs/>
                <w:sz w:val="13"/>
                <w:szCs w:val="13"/>
              </w:rPr>
            </w:pPr>
            <w:r w:rsidRPr="00B173B5">
              <w:rPr>
                <w:b/>
                <w:bCs/>
                <w:i/>
                <w:iCs/>
                <w:sz w:val="13"/>
                <w:szCs w:val="13"/>
              </w:rPr>
              <w:t xml:space="preserve">  (822)</w:t>
            </w:r>
          </w:p>
        </w:tc>
        <w:tc>
          <w:tcPr>
            <w:tcW w:w="1170" w:type="dxa"/>
            <w:tcBorders>
              <w:top w:val="single" w:sz="4" w:space="0" w:color="auto"/>
              <w:left w:val="nil"/>
              <w:bottom w:val="single" w:sz="4" w:space="0" w:color="auto"/>
              <w:right w:val="nil"/>
            </w:tcBorders>
            <w:shd w:val="clear" w:color="000000" w:fill="FFFFFF"/>
            <w:vAlign w:val="bottom"/>
            <w:hideMark/>
          </w:tcPr>
          <w:p w:rsidR="008E0F8E" w:rsidRPr="00B173B5" w:rsidP="00FC430B" w14:paraId="4537B2D1" w14:textId="77777777">
            <w:pPr>
              <w:jc w:val="right"/>
              <w:rPr>
                <w:b/>
                <w:bCs/>
                <w:i/>
                <w:iCs/>
                <w:sz w:val="13"/>
                <w:szCs w:val="13"/>
              </w:rPr>
            </w:pPr>
            <w:r w:rsidRPr="00B173B5">
              <w:rPr>
                <w:b/>
                <w:bCs/>
                <w:i/>
                <w:iCs/>
                <w:sz w:val="13"/>
                <w:szCs w:val="13"/>
              </w:rPr>
              <w:t xml:space="preserve">  (822)</w:t>
            </w:r>
          </w:p>
        </w:tc>
        <w:tc>
          <w:tcPr>
            <w:tcW w:w="2510" w:type="dxa"/>
            <w:tcBorders>
              <w:top w:val="nil"/>
              <w:left w:val="nil"/>
              <w:bottom w:val="nil"/>
              <w:right w:val="single" w:sz="8" w:space="0" w:color="auto"/>
            </w:tcBorders>
            <w:shd w:val="clear" w:color="000000" w:fill="FFFFFF"/>
            <w:vAlign w:val="bottom"/>
            <w:hideMark/>
          </w:tcPr>
          <w:p w:rsidR="008E0F8E" w:rsidRPr="00B173B5" w:rsidP="00DF39C2" w14:paraId="04D3CAFB" w14:textId="77777777">
            <w:pPr>
              <w:ind w:left="-72"/>
              <w:rPr>
                <w:b/>
                <w:bCs/>
                <w:i/>
                <w:iCs/>
                <w:sz w:val="13"/>
                <w:szCs w:val="13"/>
              </w:rPr>
            </w:pPr>
            <w:r w:rsidRPr="00B173B5">
              <w:rPr>
                <w:b/>
                <w:bCs/>
                <w:i/>
                <w:iCs/>
                <w:sz w:val="13"/>
                <w:szCs w:val="13"/>
              </w:rPr>
              <w:t>Total Intragovernmental Earned Revenue</w:t>
            </w:r>
          </w:p>
        </w:tc>
      </w:tr>
      <w:tr w14:paraId="0FD0A202" w14:textId="77777777" w:rsidTr="009436BA">
        <w:tblPrEx>
          <w:tblW w:w="5000" w:type="pct"/>
          <w:tblLook w:val="04A0"/>
        </w:tblPrEx>
        <w:trPr>
          <w:trHeight w:val="20"/>
        </w:trPr>
        <w:tc>
          <w:tcPr>
            <w:tcW w:w="2150" w:type="dxa"/>
            <w:tcBorders>
              <w:top w:val="nil"/>
              <w:left w:val="single" w:sz="8" w:space="0" w:color="auto"/>
              <w:bottom w:val="single" w:sz="4" w:space="0" w:color="auto"/>
              <w:right w:val="nil"/>
            </w:tcBorders>
            <w:shd w:val="clear" w:color="000000" w:fill="FFFFFF"/>
            <w:vAlign w:val="bottom"/>
            <w:hideMark/>
          </w:tcPr>
          <w:p w:rsidR="008E0F8E" w:rsidRPr="00B173B5" w:rsidP="00180DA8" w14:paraId="4E998782" w14:textId="77777777">
            <w:pPr>
              <w:ind w:left="-72"/>
              <w:rPr>
                <w:b/>
                <w:bCs/>
                <w:i/>
                <w:iCs/>
                <w:sz w:val="13"/>
                <w:szCs w:val="13"/>
              </w:rPr>
            </w:pPr>
            <w:r w:rsidRPr="00B173B5">
              <w:rPr>
                <w:b/>
                <w:bCs/>
                <w:i/>
                <w:iCs/>
                <w:sz w:val="13"/>
                <w:szCs w:val="13"/>
              </w:rPr>
              <w:t>Total Earned Revenue</w:t>
            </w:r>
          </w:p>
        </w:tc>
        <w:tc>
          <w:tcPr>
            <w:tcW w:w="1170" w:type="dxa"/>
            <w:tcBorders>
              <w:top w:val="nil"/>
              <w:left w:val="nil"/>
              <w:bottom w:val="single" w:sz="4" w:space="0" w:color="auto"/>
              <w:right w:val="single" w:sz="8" w:space="0" w:color="auto"/>
            </w:tcBorders>
            <w:shd w:val="clear" w:color="000000" w:fill="FFFFFF"/>
            <w:vAlign w:val="bottom"/>
            <w:hideMark/>
          </w:tcPr>
          <w:p w:rsidR="008E0F8E" w:rsidRPr="00B173B5" w:rsidP="00FC430B" w14:paraId="72F06B3A" w14:textId="61A9C5BD">
            <w:pPr>
              <w:jc w:val="right"/>
              <w:rPr>
                <w:b/>
                <w:bCs/>
                <w:i/>
                <w:iCs/>
                <w:sz w:val="13"/>
                <w:szCs w:val="13"/>
              </w:rPr>
            </w:pPr>
            <w:r w:rsidRPr="00B173B5">
              <w:rPr>
                <w:b/>
                <w:bCs/>
                <w:i/>
                <w:iCs/>
                <w:sz w:val="13"/>
                <w:szCs w:val="13"/>
              </w:rPr>
              <w:t>(536,365)</w:t>
            </w:r>
          </w:p>
        </w:tc>
        <w:tc>
          <w:tcPr>
            <w:tcW w:w="990" w:type="dxa"/>
            <w:tcBorders>
              <w:top w:val="nil"/>
              <w:left w:val="nil"/>
              <w:bottom w:val="single" w:sz="4" w:space="0" w:color="auto"/>
              <w:right w:val="nil"/>
            </w:tcBorders>
            <w:shd w:val="clear" w:color="000000" w:fill="FFFFFF"/>
            <w:vAlign w:val="bottom"/>
            <w:hideMark/>
          </w:tcPr>
          <w:p w:rsidR="008E0F8E" w:rsidRPr="00B173B5" w:rsidP="00FC430B" w14:paraId="0C4E8A95" w14:textId="77777777">
            <w:pPr>
              <w:jc w:val="right"/>
              <w:rPr>
                <w:b/>
                <w:bCs/>
                <w:sz w:val="13"/>
                <w:szCs w:val="13"/>
              </w:rPr>
            </w:pPr>
            <w:r w:rsidRPr="00B173B5">
              <w:rPr>
                <w:b/>
                <w:bCs/>
                <w:sz w:val="13"/>
                <w:szCs w:val="13"/>
              </w:rPr>
              <w:t xml:space="preserve">  - </w:t>
            </w:r>
          </w:p>
        </w:tc>
        <w:tc>
          <w:tcPr>
            <w:tcW w:w="1350" w:type="dxa"/>
            <w:tcBorders>
              <w:top w:val="nil"/>
              <w:left w:val="nil"/>
              <w:bottom w:val="single" w:sz="4" w:space="0" w:color="auto"/>
              <w:right w:val="nil"/>
            </w:tcBorders>
            <w:shd w:val="clear" w:color="000000" w:fill="FFFFFF"/>
            <w:vAlign w:val="bottom"/>
            <w:hideMark/>
          </w:tcPr>
          <w:p w:rsidR="008E0F8E" w:rsidRPr="00B173B5" w:rsidP="00FC430B" w14:paraId="3C272901" w14:textId="1581E75D">
            <w:pPr>
              <w:jc w:val="right"/>
              <w:rPr>
                <w:b/>
                <w:bCs/>
                <w:i/>
                <w:iCs/>
                <w:sz w:val="13"/>
                <w:szCs w:val="13"/>
              </w:rPr>
            </w:pPr>
            <w:r w:rsidRPr="00B173B5">
              <w:rPr>
                <w:b/>
                <w:bCs/>
                <w:i/>
                <w:iCs/>
                <w:sz w:val="13"/>
                <w:szCs w:val="13"/>
              </w:rPr>
              <w:t>(401,870)</w:t>
            </w:r>
          </w:p>
        </w:tc>
        <w:tc>
          <w:tcPr>
            <w:tcW w:w="1170" w:type="dxa"/>
            <w:tcBorders>
              <w:top w:val="nil"/>
              <w:left w:val="nil"/>
              <w:bottom w:val="single" w:sz="4" w:space="0" w:color="auto"/>
              <w:right w:val="nil"/>
            </w:tcBorders>
            <w:shd w:val="clear" w:color="000000" w:fill="FFFFFF"/>
            <w:vAlign w:val="bottom"/>
            <w:hideMark/>
          </w:tcPr>
          <w:p w:rsidR="008E0F8E" w:rsidRPr="00B173B5" w:rsidP="00FC430B" w14:paraId="455CF204" w14:textId="3395A0D8">
            <w:pPr>
              <w:jc w:val="right"/>
              <w:rPr>
                <w:b/>
                <w:bCs/>
                <w:i/>
                <w:iCs/>
                <w:sz w:val="13"/>
                <w:szCs w:val="13"/>
              </w:rPr>
            </w:pPr>
            <w:r w:rsidRPr="00B173B5">
              <w:rPr>
                <w:b/>
                <w:bCs/>
                <w:i/>
                <w:iCs/>
                <w:sz w:val="13"/>
                <w:szCs w:val="13"/>
              </w:rPr>
              <w:t>(401,870)</w:t>
            </w:r>
          </w:p>
        </w:tc>
        <w:tc>
          <w:tcPr>
            <w:tcW w:w="2510" w:type="dxa"/>
            <w:tcBorders>
              <w:top w:val="nil"/>
              <w:left w:val="nil"/>
              <w:bottom w:val="single" w:sz="4" w:space="0" w:color="auto"/>
              <w:right w:val="single" w:sz="8" w:space="0" w:color="auto"/>
            </w:tcBorders>
            <w:shd w:val="clear" w:color="000000" w:fill="FFFFFF"/>
            <w:vAlign w:val="bottom"/>
            <w:hideMark/>
          </w:tcPr>
          <w:p w:rsidR="008E0F8E" w:rsidRPr="00B173B5" w:rsidP="00DF39C2" w14:paraId="19BD5773" w14:textId="77777777">
            <w:pPr>
              <w:ind w:left="-72"/>
              <w:rPr>
                <w:b/>
                <w:bCs/>
                <w:i/>
                <w:iCs/>
                <w:sz w:val="13"/>
                <w:szCs w:val="13"/>
              </w:rPr>
            </w:pPr>
            <w:r w:rsidRPr="00B173B5">
              <w:rPr>
                <w:b/>
                <w:bCs/>
                <w:i/>
                <w:iCs/>
                <w:sz w:val="13"/>
                <w:szCs w:val="13"/>
              </w:rPr>
              <w:t>Total Reclassified Earned Revenue</w:t>
            </w:r>
          </w:p>
        </w:tc>
      </w:tr>
      <w:tr w14:paraId="7C9EB45C" w14:textId="77777777" w:rsidTr="002672E4">
        <w:tblPrEx>
          <w:tblW w:w="5000" w:type="pct"/>
          <w:tblLook w:val="04A0"/>
        </w:tblPrEx>
        <w:trPr>
          <w:trHeight w:val="20"/>
        </w:trPr>
        <w:tc>
          <w:tcPr>
            <w:tcW w:w="2150" w:type="dxa"/>
            <w:tcBorders>
              <w:top w:val="nil"/>
              <w:left w:val="single" w:sz="8" w:space="0" w:color="auto"/>
              <w:bottom w:val="nil"/>
              <w:right w:val="nil"/>
            </w:tcBorders>
            <w:shd w:val="clear" w:color="000000" w:fill="FFFFFF"/>
            <w:vAlign w:val="bottom"/>
            <w:hideMark/>
          </w:tcPr>
          <w:p w:rsidR="008E0F8E" w:rsidRPr="00B173B5" w:rsidP="00180DA8" w14:paraId="51E3E84A" w14:textId="77777777">
            <w:pPr>
              <w:ind w:left="-72"/>
              <w:rPr>
                <w:sz w:val="13"/>
                <w:szCs w:val="13"/>
              </w:rPr>
            </w:pPr>
            <w:r w:rsidRPr="00B173B5">
              <w:rPr>
                <w:sz w:val="13"/>
                <w:szCs w:val="13"/>
              </w:rPr>
              <w:t>Gain/Loss-Pension/ORB/OPEB Assumptions</w:t>
            </w:r>
          </w:p>
        </w:tc>
        <w:tc>
          <w:tcPr>
            <w:tcW w:w="1170" w:type="dxa"/>
            <w:tcBorders>
              <w:top w:val="nil"/>
              <w:left w:val="nil"/>
              <w:bottom w:val="single" w:sz="4" w:space="0" w:color="auto"/>
              <w:right w:val="single" w:sz="8" w:space="0" w:color="auto"/>
            </w:tcBorders>
            <w:shd w:val="clear" w:color="000000" w:fill="FFFFFF"/>
            <w:vAlign w:val="bottom"/>
          </w:tcPr>
          <w:p w:rsidR="008E0F8E" w:rsidRPr="00B173B5" w:rsidP="00FC430B" w14:paraId="2F533640" w14:textId="4DEEA86D">
            <w:pPr>
              <w:jc w:val="right"/>
              <w:rPr>
                <w:b/>
                <w:bCs/>
                <w:sz w:val="13"/>
                <w:szCs w:val="13"/>
              </w:rPr>
            </w:pPr>
          </w:p>
        </w:tc>
        <w:tc>
          <w:tcPr>
            <w:tcW w:w="990" w:type="dxa"/>
            <w:tcBorders>
              <w:top w:val="single" w:sz="4" w:space="0" w:color="auto"/>
              <w:left w:val="nil"/>
              <w:bottom w:val="single" w:sz="4" w:space="0" w:color="auto"/>
              <w:right w:val="nil"/>
            </w:tcBorders>
            <w:shd w:val="clear" w:color="000000" w:fill="FFFFFF"/>
            <w:vAlign w:val="bottom"/>
          </w:tcPr>
          <w:p w:rsidR="008E0F8E" w:rsidRPr="00B173B5" w:rsidP="00FC430B" w14:paraId="26550726" w14:textId="60378B7A">
            <w:pPr>
              <w:jc w:val="right"/>
              <w:rPr>
                <w:b/>
                <w:bCs/>
                <w:sz w:val="13"/>
                <w:szCs w:val="13"/>
              </w:rPr>
            </w:pPr>
          </w:p>
        </w:tc>
        <w:tc>
          <w:tcPr>
            <w:tcW w:w="1350" w:type="dxa"/>
            <w:tcBorders>
              <w:top w:val="nil"/>
              <w:left w:val="nil"/>
              <w:bottom w:val="single" w:sz="4" w:space="0" w:color="auto"/>
              <w:right w:val="nil"/>
            </w:tcBorders>
            <w:shd w:val="clear" w:color="000000" w:fill="FFFFFF"/>
            <w:vAlign w:val="bottom"/>
          </w:tcPr>
          <w:p w:rsidR="008E0F8E" w:rsidRPr="00B173B5" w:rsidP="00FC430B" w14:paraId="270004BD" w14:textId="5238984C">
            <w:pPr>
              <w:jc w:val="right"/>
              <w:rPr>
                <w:b/>
                <w:bCs/>
                <w:sz w:val="13"/>
                <w:szCs w:val="13"/>
              </w:rPr>
            </w:pPr>
          </w:p>
        </w:tc>
        <w:tc>
          <w:tcPr>
            <w:tcW w:w="1170" w:type="dxa"/>
            <w:tcBorders>
              <w:top w:val="nil"/>
              <w:left w:val="nil"/>
              <w:bottom w:val="single" w:sz="4" w:space="0" w:color="auto"/>
              <w:right w:val="nil"/>
            </w:tcBorders>
            <w:shd w:val="clear" w:color="000000" w:fill="FFFFFF"/>
            <w:vAlign w:val="bottom"/>
          </w:tcPr>
          <w:p w:rsidR="008E0F8E" w:rsidRPr="00B173B5" w:rsidP="00FC430B" w14:paraId="46C28886" w14:textId="3F238F2D">
            <w:pPr>
              <w:jc w:val="right"/>
              <w:rPr>
                <w:b/>
                <w:bCs/>
                <w:sz w:val="13"/>
                <w:szCs w:val="13"/>
              </w:rPr>
            </w:pPr>
          </w:p>
        </w:tc>
        <w:tc>
          <w:tcPr>
            <w:tcW w:w="2510" w:type="dxa"/>
            <w:tcBorders>
              <w:top w:val="nil"/>
              <w:left w:val="nil"/>
              <w:bottom w:val="nil"/>
              <w:right w:val="single" w:sz="8" w:space="0" w:color="auto"/>
            </w:tcBorders>
            <w:shd w:val="clear" w:color="000000" w:fill="FFFFFF"/>
            <w:vAlign w:val="bottom"/>
            <w:hideMark/>
          </w:tcPr>
          <w:p w:rsidR="008E0F8E" w:rsidRPr="00B173B5" w:rsidP="00DF39C2" w14:paraId="2FFC498F" w14:textId="77777777">
            <w:pPr>
              <w:ind w:left="-72"/>
              <w:rPr>
                <w:sz w:val="13"/>
                <w:szCs w:val="13"/>
              </w:rPr>
            </w:pPr>
            <w:r w:rsidRPr="00B173B5">
              <w:rPr>
                <w:sz w:val="13"/>
                <w:szCs w:val="13"/>
              </w:rPr>
              <w:t>Gain/Loss on Changes in Actuarial Assumptions (Non-Federal)</w:t>
            </w:r>
          </w:p>
        </w:tc>
      </w:tr>
      <w:tr w14:paraId="43D3F26A" w14:textId="77777777" w:rsidTr="009436BA">
        <w:tblPrEx>
          <w:tblW w:w="5000" w:type="pct"/>
          <w:tblLook w:val="04A0"/>
        </w:tblPrEx>
        <w:trPr>
          <w:trHeight w:val="20"/>
        </w:trPr>
        <w:tc>
          <w:tcPr>
            <w:tcW w:w="2150" w:type="dxa"/>
            <w:tcBorders>
              <w:top w:val="nil"/>
              <w:left w:val="single" w:sz="8" w:space="0" w:color="auto"/>
              <w:bottom w:val="single" w:sz="4" w:space="0" w:color="auto"/>
              <w:right w:val="nil"/>
            </w:tcBorders>
            <w:shd w:val="clear" w:color="000000" w:fill="FFFFFF"/>
            <w:vAlign w:val="bottom"/>
            <w:hideMark/>
          </w:tcPr>
          <w:p w:rsidR="008E0F8E" w:rsidRPr="00B173B5" w:rsidP="00180DA8" w14:paraId="6F7A1D36" w14:textId="77777777">
            <w:pPr>
              <w:ind w:left="-72"/>
              <w:rPr>
                <w:b/>
                <w:bCs/>
                <w:sz w:val="13"/>
                <w:szCs w:val="13"/>
              </w:rPr>
            </w:pPr>
            <w:r w:rsidRPr="00B173B5">
              <w:rPr>
                <w:b/>
                <w:bCs/>
                <w:sz w:val="13"/>
                <w:szCs w:val="13"/>
              </w:rPr>
              <w:t>Net Cost of Operations</w:t>
            </w:r>
          </w:p>
        </w:tc>
        <w:tc>
          <w:tcPr>
            <w:tcW w:w="1170" w:type="dxa"/>
            <w:tcBorders>
              <w:top w:val="nil"/>
              <w:left w:val="nil"/>
              <w:bottom w:val="single" w:sz="4" w:space="0" w:color="auto"/>
              <w:right w:val="single" w:sz="8" w:space="0" w:color="auto"/>
            </w:tcBorders>
            <w:shd w:val="clear" w:color="000000" w:fill="FFFFFF"/>
            <w:vAlign w:val="bottom"/>
            <w:hideMark/>
          </w:tcPr>
          <w:p w:rsidR="008E0F8E" w:rsidRPr="00B173B5" w:rsidP="00FC430B" w14:paraId="3ABFA11F" w14:textId="7281D38A">
            <w:pPr>
              <w:jc w:val="right"/>
              <w:rPr>
                <w:b/>
                <w:bCs/>
                <w:sz w:val="13"/>
                <w:szCs w:val="13"/>
              </w:rPr>
            </w:pPr>
            <w:r w:rsidRPr="00B173B5">
              <w:rPr>
                <w:b/>
                <w:bCs/>
                <w:sz w:val="13"/>
                <w:szCs w:val="13"/>
              </w:rPr>
              <w:t>$</w:t>
            </w:r>
            <w:r w:rsidR="003F43DB">
              <w:rPr>
                <w:b/>
                <w:bCs/>
                <w:sz w:val="13"/>
                <w:szCs w:val="13"/>
              </w:rPr>
              <w:t xml:space="preserve">        </w:t>
            </w:r>
            <w:r w:rsidRPr="00B173B5">
              <w:rPr>
                <w:b/>
                <w:bCs/>
                <w:sz w:val="13"/>
                <w:szCs w:val="13"/>
              </w:rPr>
              <w:t xml:space="preserve"> 11,142,853 </w:t>
            </w:r>
          </w:p>
        </w:tc>
        <w:tc>
          <w:tcPr>
            <w:tcW w:w="990" w:type="dxa"/>
            <w:tcBorders>
              <w:top w:val="single" w:sz="4" w:space="0" w:color="auto"/>
              <w:left w:val="nil"/>
              <w:bottom w:val="single" w:sz="4" w:space="0" w:color="auto"/>
              <w:right w:val="nil"/>
            </w:tcBorders>
            <w:shd w:val="clear" w:color="000000" w:fill="FFFFFF"/>
            <w:vAlign w:val="bottom"/>
            <w:hideMark/>
          </w:tcPr>
          <w:p w:rsidR="008E0F8E" w:rsidRPr="00B173B5" w:rsidP="00FC430B" w14:paraId="6494E984" w14:textId="4B40E206">
            <w:pPr>
              <w:jc w:val="right"/>
              <w:rPr>
                <w:b/>
                <w:bCs/>
                <w:sz w:val="13"/>
                <w:szCs w:val="13"/>
              </w:rPr>
            </w:pPr>
            <w:r w:rsidRPr="00B173B5">
              <w:rPr>
                <w:b/>
                <w:bCs/>
                <w:sz w:val="13"/>
                <w:szCs w:val="13"/>
              </w:rPr>
              <w:t>$</w:t>
            </w:r>
            <w:r w:rsidR="003F43DB">
              <w:rPr>
                <w:b/>
                <w:bCs/>
                <w:sz w:val="13"/>
                <w:szCs w:val="13"/>
              </w:rPr>
              <w:t xml:space="preserve">  </w:t>
            </w:r>
            <w:r w:rsidRPr="00B173B5">
              <w:rPr>
                <w:b/>
                <w:bCs/>
                <w:sz w:val="13"/>
                <w:szCs w:val="13"/>
              </w:rPr>
              <w:t xml:space="preserve"> 10,192,060 </w:t>
            </w:r>
          </w:p>
        </w:tc>
        <w:tc>
          <w:tcPr>
            <w:tcW w:w="1350" w:type="dxa"/>
            <w:tcBorders>
              <w:top w:val="nil"/>
              <w:left w:val="nil"/>
              <w:bottom w:val="single" w:sz="4" w:space="0" w:color="auto"/>
              <w:right w:val="nil"/>
            </w:tcBorders>
            <w:shd w:val="clear" w:color="000000" w:fill="FFFFFF"/>
            <w:vAlign w:val="bottom"/>
            <w:hideMark/>
          </w:tcPr>
          <w:p w:rsidR="008E0F8E" w:rsidRPr="00B173B5" w:rsidP="00FC430B" w14:paraId="3FCF6331" w14:textId="4DC8B877">
            <w:pPr>
              <w:jc w:val="right"/>
              <w:rPr>
                <w:b/>
                <w:bCs/>
                <w:sz w:val="13"/>
                <w:szCs w:val="13"/>
              </w:rPr>
            </w:pPr>
            <w:r w:rsidRPr="00B173B5">
              <w:rPr>
                <w:b/>
                <w:bCs/>
                <w:sz w:val="13"/>
                <w:szCs w:val="13"/>
              </w:rPr>
              <w:t>$</w:t>
            </w:r>
            <w:r w:rsidR="003F43DB">
              <w:rPr>
                <w:b/>
                <w:bCs/>
                <w:sz w:val="13"/>
                <w:szCs w:val="13"/>
              </w:rPr>
              <w:t xml:space="preserve">               </w:t>
            </w:r>
            <w:r w:rsidRPr="00B173B5">
              <w:rPr>
                <w:b/>
                <w:bCs/>
                <w:sz w:val="13"/>
                <w:szCs w:val="13"/>
              </w:rPr>
              <w:t xml:space="preserve"> 1,085,288 </w:t>
            </w:r>
          </w:p>
        </w:tc>
        <w:tc>
          <w:tcPr>
            <w:tcW w:w="1170" w:type="dxa"/>
            <w:tcBorders>
              <w:top w:val="nil"/>
              <w:left w:val="nil"/>
              <w:bottom w:val="single" w:sz="4" w:space="0" w:color="auto"/>
              <w:right w:val="nil"/>
            </w:tcBorders>
            <w:shd w:val="clear" w:color="000000" w:fill="FFFFFF"/>
            <w:vAlign w:val="bottom"/>
            <w:hideMark/>
          </w:tcPr>
          <w:p w:rsidR="008E0F8E" w:rsidRPr="00B173B5" w:rsidP="00FC430B" w14:paraId="121D1A68" w14:textId="535DFF83">
            <w:pPr>
              <w:jc w:val="right"/>
              <w:rPr>
                <w:b/>
                <w:bCs/>
                <w:sz w:val="13"/>
                <w:szCs w:val="13"/>
              </w:rPr>
            </w:pPr>
            <w:r w:rsidRPr="00B173B5">
              <w:rPr>
                <w:b/>
                <w:bCs/>
                <w:sz w:val="13"/>
                <w:szCs w:val="13"/>
              </w:rPr>
              <w:t>$</w:t>
            </w:r>
            <w:r w:rsidR="003F43DB">
              <w:rPr>
                <w:b/>
                <w:bCs/>
                <w:sz w:val="13"/>
                <w:szCs w:val="13"/>
              </w:rPr>
              <w:t xml:space="preserve">        </w:t>
            </w:r>
            <w:r w:rsidRPr="00B173B5">
              <w:rPr>
                <w:b/>
                <w:bCs/>
                <w:sz w:val="13"/>
                <w:szCs w:val="13"/>
              </w:rPr>
              <w:t xml:space="preserve"> 11,277,348 </w:t>
            </w:r>
          </w:p>
        </w:tc>
        <w:tc>
          <w:tcPr>
            <w:tcW w:w="2510" w:type="dxa"/>
            <w:tcBorders>
              <w:top w:val="nil"/>
              <w:left w:val="nil"/>
              <w:bottom w:val="single" w:sz="4" w:space="0" w:color="auto"/>
              <w:right w:val="single" w:sz="8" w:space="0" w:color="auto"/>
            </w:tcBorders>
            <w:shd w:val="clear" w:color="000000" w:fill="FFFFFF"/>
            <w:vAlign w:val="bottom"/>
            <w:hideMark/>
          </w:tcPr>
          <w:p w:rsidR="008E0F8E" w:rsidRPr="00B173B5" w:rsidP="00DF39C2" w14:paraId="018AC5D3" w14:textId="77777777">
            <w:pPr>
              <w:ind w:left="-72"/>
              <w:rPr>
                <w:b/>
                <w:bCs/>
                <w:sz w:val="13"/>
                <w:szCs w:val="13"/>
              </w:rPr>
            </w:pPr>
            <w:r w:rsidRPr="00B173B5">
              <w:rPr>
                <w:b/>
                <w:bCs/>
                <w:sz w:val="13"/>
                <w:szCs w:val="13"/>
              </w:rPr>
              <w:t>Net Cost of Operations</w:t>
            </w:r>
          </w:p>
        </w:tc>
      </w:tr>
      <w:tr w14:paraId="5BC19522" w14:textId="77777777" w:rsidTr="002672E4">
        <w:tblPrEx>
          <w:tblW w:w="5000" w:type="pct"/>
          <w:tblLook w:val="04A0"/>
        </w:tblPrEx>
        <w:trPr>
          <w:trHeight w:val="20"/>
        </w:trPr>
        <w:tc>
          <w:tcPr>
            <w:tcW w:w="2150" w:type="dxa"/>
            <w:tcBorders>
              <w:top w:val="nil"/>
              <w:left w:val="single" w:sz="8" w:space="0" w:color="auto"/>
              <w:bottom w:val="nil"/>
              <w:right w:val="nil"/>
            </w:tcBorders>
            <w:shd w:val="clear" w:color="000000" w:fill="FFFFFF"/>
            <w:vAlign w:val="bottom"/>
            <w:hideMark/>
          </w:tcPr>
          <w:p w:rsidR="008E0F8E" w:rsidRPr="00B173B5" w:rsidP="00180DA8" w14:paraId="3507A048" w14:textId="77777777">
            <w:pPr>
              <w:ind w:left="-72"/>
              <w:rPr>
                <w:b/>
                <w:bCs/>
                <w:sz w:val="13"/>
                <w:szCs w:val="13"/>
              </w:rPr>
            </w:pPr>
            <w:r w:rsidRPr="00B173B5">
              <w:rPr>
                <w:b/>
                <w:bCs/>
                <w:sz w:val="13"/>
                <w:szCs w:val="13"/>
              </w:rPr>
              <w:t>Exchange Statement of Custodial Activity</w:t>
            </w:r>
          </w:p>
        </w:tc>
        <w:tc>
          <w:tcPr>
            <w:tcW w:w="1170" w:type="dxa"/>
            <w:tcBorders>
              <w:top w:val="nil"/>
              <w:left w:val="nil"/>
              <w:bottom w:val="nil"/>
              <w:right w:val="single" w:sz="8" w:space="0" w:color="auto"/>
            </w:tcBorders>
            <w:shd w:val="clear" w:color="000000" w:fill="FFFFFF"/>
            <w:vAlign w:val="bottom"/>
          </w:tcPr>
          <w:p w:rsidR="008E0F8E" w:rsidRPr="00B173B5" w:rsidP="00FC430B" w14:paraId="009CABF3" w14:textId="6964126B">
            <w:pPr>
              <w:jc w:val="right"/>
              <w:rPr>
                <w:b/>
                <w:bCs/>
                <w:sz w:val="13"/>
                <w:szCs w:val="13"/>
              </w:rPr>
            </w:pPr>
          </w:p>
        </w:tc>
        <w:tc>
          <w:tcPr>
            <w:tcW w:w="990" w:type="dxa"/>
            <w:tcBorders>
              <w:top w:val="nil"/>
              <w:left w:val="nil"/>
              <w:bottom w:val="nil"/>
              <w:right w:val="nil"/>
            </w:tcBorders>
            <w:shd w:val="clear" w:color="000000" w:fill="FFFFFF"/>
            <w:vAlign w:val="bottom"/>
          </w:tcPr>
          <w:p w:rsidR="008E0F8E" w:rsidRPr="00B173B5" w:rsidP="00FC430B" w14:paraId="157D28D3" w14:textId="78517E38">
            <w:pPr>
              <w:jc w:val="right"/>
              <w:rPr>
                <w:b/>
                <w:bCs/>
                <w:sz w:val="13"/>
                <w:szCs w:val="13"/>
              </w:rPr>
            </w:pPr>
          </w:p>
        </w:tc>
        <w:tc>
          <w:tcPr>
            <w:tcW w:w="1350" w:type="dxa"/>
            <w:tcBorders>
              <w:top w:val="nil"/>
              <w:left w:val="nil"/>
              <w:bottom w:val="nil"/>
              <w:right w:val="nil"/>
            </w:tcBorders>
            <w:shd w:val="clear" w:color="000000" w:fill="FFFFFF"/>
            <w:vAlign w:val="bottom"/>
          </w:tcPr>
          <w:p w:rsidR="008E0F8E" w:rsidRPr="00B173B5" w:rsidP="00FC430B" w14:paraId="7D93EC2F" w14:textId="02D674F5">
            <w:pPr>
              <w:jc w:val="right"/>
              <w:rPr>
                <w:b/>
                <w:bCs/>
                <w:sz w:val="13"/>
                <w:szCs w:val="13"/>
              </w:rPr>
            </w:pPr>
          </w:p>
        </w:tc>
        <w:tc>
          <w:tcPr>
            <w:tcW w:w="1170" w:type="dxa"/>
            <w:tcBorders>
              <w:top w:val="nil"/>
              <w:left w:val="nil"/>
              <w:bottom w:val="nil"/>
              <w:right w:val="nil"/>
            </w:tcBorders>
            <w:shd w:val="clear" w:color="000000" w:fill="FFFFFF"/>
            <w:vAlign w:val="bottom"/>
          </w:tcPr>
          <w:p w:rsidR="008E0F8E" w:rsidRPr="00B173B5" w:rsidP="00FC430B" w14:paraId="2ED8C1FF" w14:textId="44A4D6EF">
            <w:pPr>
              <w:jc w:val="right"/>
              <w:rPr>
                <w:b/>
                <w:bCs/>
                <w:sz w:val="13"/>
                <w:szCs w:val="13"/>
              </w:rPr>
            </w:pPr>
          </w:p>
        </w:tc>
        <w:tc>
          <w:tcPr>
            <w:tcW w:w="2510" w:type="dxa"/>
            <w:tcBorders>
              <w:top w:val="nil"/>
              <w:left w:val="nil"/>
              <w:bottom w:val="nil"/>
              <w:right w:val="single" w:sz="8" w:space="0" w:color="auto"/>
            </w:tcBorders>
            <w:shd w:val="clear" w:color="000000" w:fill="FFFFFF"/>
            <w:vAlign w:val="bottom"/>
          </w:tcPr>
          <w:p w:rsidR="008E0F8E" w:rsidRPr="00B173B5" w:rsidP="00DF39C2" w14:paraId="4C9719B2" w14:textId="7770FCF2">
            <w:pPr>
              <w:ind w:left="-72"/>
              <w:rPr>
                <w:b/>
                <w:bCs/>
                <w:sz w:val="13"/>
                <w:szCs w:val="13"/>
              </w:rPr>
            </w:pPr>
          </w:p>
        </w:tc>
      </w:tr>
      <w:tr w14:paraId="1ED361B5" w14:textId="77777777" w:rsidTr="00381E5B">
        <w:tblPrEx>
          <w:tblW w:w="5000" w:type="pct"/>
          <w:tblLook w:val="04A0"/>
        </w:tblPrEx>
        <w:trPr>
          <w:trHeight w:val="20"/>
        </w:trPr>
        <w:tc>
          <w:tcPr>
            <w:tcW w:w="2150" w:type="dxa"/>
            <w:tcBorders>
              <w:top w:val="nil"/>
              <w:left w:val="single" w:sz="8" w:space="0" w:color="auto"/>
              <w:bottom w:val="nil"/>
              <w:right w:val="nil"/>
            </w:tcBorders>
            <w:shd w:val="clear" w:color="000000" w:fill="FFFFFF"/>
            <w:hideMark/>
          </w:tcPr>
          <w:p w:rsidR="008E0F8E" w:rsidRPr="00B173B5" w:rsidP="00180DA8" w14:paraId="2C832088" w14:textId="77777777">
            <w:pPr>
              <w:ind w:left="-72"/>
              <w:rPr>
                <w:i/>
                <w:iCs/>
                <w:sz w:val="13"/>
                <w:szCs w:val="13"/>
              </w:rPr>
            </w:pPr>
            <w:r w:rsidRPr="00B173B5">
              <w:rPr>
                <w:i/>
                <w:iCs/>
                <w:sz w:val="13"/>
                <w:szCs w:val="13"/>
              </w:rPr>
              <w:t>Refunds and Other Payments</w:t>
            </w:r>
            <w:r w:rsidRPr="00B173B5">
              <w:rPr>
                <w:i/>
                <w:iCs/>
                <w:sz w:val="13"/>
                <w:szCs w:val="13"/>
              </w:rPr>
              <w:br/>
              <w:t>Auctions Salaries &amp; Expenses</w:t>
            </w:r>
          </w:p>
        </w:tc>
        <w:tc>
          <w:tcPr>
            <w:tcW w:w="1170" w:type="dxa"/>
            <w:tcBorders>
              <w:top w:val="nil"/>
              <w:left w:val="nil"/>
              <w:bottom w:val="nil"/>
              <w:right w:val="single" w:sz="8" w:space="0" w:color="auto"/>
            </w:tcBorders>
            <w:shd w:val="clear" w:color="000000" w:fill="FFFFFF"/>
            <w:vAlign w:val="center"/>
            <w:hideMark/>
          </w:tcPr>
          <w:p w:rsidR="008E0F8E" w:rsidRPr="00B173B5" w:rsidP="00FC430B" w14:paraId="3D83B974" w14:textId="77777777">
            <w:pPr>
              <w:jc w:val="right"/>
              <w:rPr>
                <w:b/>
                <w:bCs/>
                <w:sz w:val="13"/>
                <w:szCs w:val="13"/>
              </w:rPr>
            </w:pPr>
            <w:r w:rsidRPr="00B173B5">
              <w:rPr>
                <w:b/>
                <w:bCs/>
                <w:sz w:val="13"/>
                <w:szCs w:val="13"/>
              </w:rPr>
              <w:t xml:space="preserve">  - </w:t>
            </w:r>
          </w:p>
        </w:tc>
        <w:tc>
          <w:tcPr>
            <w:tcW w:w="990" w:type="dxa"/>
            <w:tcBorders>
              <w:top w:val="nil"/>
              <w:left w:val="nil"/>
              <w:bottom w:val="nil"/>
              <w:right w:val="nil"/>
            </w:tcBorders>
            <w:shd w:val="clear" w:color="000000" w:fill="FFFFFF"/>
            <w:vAlign w:val="center"/>
            <w:hideMark/>
          </w:tcPr>
          <w:p w:rsidR="008E0F8E" w:rsidRPr="00B173B5" w:rsidP="00FC430B" w14:paraId="016E6BE3" w14:textId="77777777">
            <w:pPr>
              <w:jc w:val="right"/>
              <w:rPr>
                <w:b/>
                <w:bCs/>
                <w:sz w:val="13"/>
                <w:szCs w:val="13"/>
              </w:rPr>
            </w:pPr>
            <w:r w:rsidRPr="00B173B5">
              <w:rPr>
                <w:b/>
                <w:bCs/>
                <w:sz w:val="13"/>
                <w:szCs w:val="13"/>
              </w:rPr>
              <w:t xml:space="preserve">  - </w:t>
            </w:r>
          </w:p>
        </w:tc>
        <w:tc>
          <w:tcPr>
            <w:tcW w:w="1350" w:type="dxa"/>
            <w:tcBorders>
              <w:top w:val="nil"/>
              <w:left w:val="nil"/>
              <w:bottom w:val="nil"/>
              <w:right w:val="nil"/>
            </w:tcBorders>
            <w:shd w:val="clear" w:color="000000" w:fill="FFFFFF"/>
            <w:vAlign w:val="center"/>
            <w:hideMark/>
          </w:tcPr>
          <w:p w:rsidR="008E0F8E" w:rsidRPr="00B173B5" w:rsidP="00FC430B" w14:paraId="042DA7A7" w14:textId="77777777">
            <w:pPr>
              <w:jc w:val="right"/>
              <w:rPr>
                <w:b/>
                <w:bCs/>
                <w:sz w:val="13"/>
                <w:szCs w:val="13"/>
              </w:rPr>
            </w:pPr>
            <w:r w:rsidRPr="00B173B5">
              <w:rPr>
                <w:b/>
                <w:bCs/>
                <w:sz w:val="13"/>
                <w:szCs w:val="13"/>
              </w:rPr>
              <w:t xml:space="preserve">  (134,495)</w:t>
            </w:r>
          </w:p>
        </w:tc>
        <w:tc>
          <w:tcPr>
            <w:tcW w:w="1170" w:type="dxa"/>
            <w:tcBorders>
              <w:top w:val="nil"/>
              <w:left w:val="nil"/>
              <w:bottom w:val="nil"/>
              <w:right w:val="nil"/>
            </w:tcBorders>
            <w:shd w:val="clear" w:color="000000" w:fill="FFFFFF"/>
            <w:vAlign w:val="center"/>
            <w:hideMark/>
          </w:tcPr>
          <w:p w:rsidR="008E0F8E" w:rsidRPr="00B173B5" w:rsidP="00FC430B" w14:paraId="66857062" w14:textId="77777777">
            <w:pPr>
              <w:jc w:val="right"/>
              <w:rPr>
                <w:sz w:val="13"/>
                <w:szCs w:val="13"/>
              </w:rPr>
            </w:pPr>
            <w:r w:rsidRPr="00B173B5">
              <w:rPr>
                <w:sz w:val="13"/>
                <w:szCs w:val="13"/>
              </w:rPr>
              <w:t xml:space="preserve"> (134,495)</w:t>
            </w:r>
          </w:p>
        </w:tc>
        <w:tc>
          <w:tcPr>
            <w:tcW w:w="2510" w:type="dxa"/>
            <w:tcBorders>
              <w:top w:val="nil"/>
              <w:left w:val="nil"/>
              <w:bottom w:val="nil"/>
              <w:right w:val="single" w:sz="8" w:space="0" w:color="auto"/>
            </w:tcBorders>
            <w:shd w:val="clear" w:color="000000" w:fill="FFFFFF"/>
            <w:vAlign w:val="bottom"/>
            <w:hideMark/>
          </w:tcPr>
          <w:p w:rsidR="008E0F8E" w:rsidRPr="00B173B5" w:rsidP="00DF39C2" w14:paraId="28354637" w14:textId="01A2F882">
            <w:pPr>
              <w:ind w:left="-72"/>
              <w:rPr>
                <w:sz w:val="13"/>
                <w:szCs w:val="13"/>
              </w:rPr>
            </w:pPr>
            <w:r w:rsidRPr="00B173B5">
              <w:rPr>
                <w:sz w:val="13"/>
                <w:szCs w:val="13"/>
              </w:rPr>
              <w:t>Buy/Sell Revenue (Intradepartmental Eliminations for Auctions Salaries &amp; Expenses)</w:t>
            </w:r>
            <w:r w:rsidRPr="002C58B3" w:rsidR="002C58B3">
              <w:rPr>
                <w:sz w:val="13"/>
                <w:szCs w:val="13"/>
                <w:vertAlign w:val="superscript"/>
              </w:rPr>
              <w:t>3</w:t>
            </w:r>
          </w:p>
        </w:tc>
      </w:tr>
      <w:tr w14:paraId="5F1260B2" w14:textId="77777777" w:rsidTr="009436BA">
        <w:tblPrEx>
          <w:tblW w:w="5000" w:type="pct"/>
          <w:tblLook w:val="04A0"/>
        </w:tblPrEx>
        <w:trPr>
          <w:trHeight w:val="20"/>
        </w:trPr>
        <w:tc>
          <w:tcPr>
            <w:tcW w:w="2150" w:type="dxa"/>
            <w:tcBorders>
              <w:top w:val="nil"/>
              <w:left w:val="single" w:sz="8" w:space="0" w:color="auto"/>
              <w:bottom w:val="single" w:sz="8" w:space="0" w:color="auto"/>
              <w:right w:val="nil"/>
            </w:tcBorders>
            <w:shd w:val="clear" w:color="000000" w:fill="D9D9D9"/>
            <w:vAlign w:val="bottom"/>
            <w:hideMark/>
          </w:tcPr>
          <w:p w:rsidR="008E0F8E" w:rsidRPr="00B173B5" w:rsidP="00180DA8" w14:paraId="2E58194C" w14:textId="77777777">
            <w:pPr>
              <w:ind w:left="-72"/>
              <w:rPr>
                <w:b/>
                <w:bCs/>
                <w:sz w:val="13"/>
                <w:szCs w:val="13"/>
              </w:rPr>
            </w:pPr>
            <w:r w:rsidRPr="00B173B5">
              <w:rPr>
                <w:b/>
                <w:bCs/>
                <w:sz w:val="13"/>
                <w:szCs w:val="13"/>
              </w:rPr>
              <w:t>Net Cost of Operations</w:t>
            </w:r>
          </w:p>
        </w:tc>
        <w:tc>
          <w:tcPr>
            <w:tcW w:w="1170" w:type="dxa"/>
            <w:tcBorders>
              <w:top w:val="single" w:sz="8" w:space="0" w:color="auto"/>
              <w:left w:val="nil"/>
              <w:bottom w:val="single" w:sz="8" w:space="0" w:color="auto"/>
              <w:right w:val="single" w:sz="8" w:space="0" w:color="auto"/>
            </w:tcBorders>
            <w:shd w:val="clear" w:color="000000" w:fill="D9D9D9"/>
            <w:vAlign w:val="bottom"/>
            <w:hideMark/>
          </w:tcPr>
          <w:p w:rsidR="008E0F8E" w:rsidRPr="00B173B5" w:rsidP="00FC430B" w14:paraId="04CF4976" w14:textId="67A4FA05">
            <w:pPr>
              <w:jc w:val="right"/>
              <w:rPr>
                <w:b/>
                <w:bCs/>
                <w:sz w:val="13"/>
                <w:szCs w:val="13"/>
              </w:rPr>
            </w:pPr>
            <w:r w:rsidRPr="00B173B5">
              <w:rPr>
                <w:b/>
                <w:bCs/>
                <w:sz w:val="13"/>
                <w:szCs w:val="13"/>
              </w:rPr>
              <w:t>$</w:t>
            </w:r>
            <w:r w:rsidR="003F43DB">
              <w:rPr>
                <w:b/>
                <w:bCs/>
                <w:sz w:val="13"/>
                <w:szCs w:val="13"/>
              </w:rPr>
              <w:t xml:space="preserve">        </w:t>
            </w:r>
            <w:r w:rsidRPr="00B173B5">
              <w:rPr>
                <w:b/>
                <w:bCs/>
                <w:sz w:val="13"/>
                <w:szCs w:val="13"/>
              </w:rPr>
              <w:t xml:space="preserve"> 11,142,853 </w:t>
            </w:r>
          </w:p>
        </w:tc>
        <w:tc>
          <w:tcPr>
            <w:tcW w:w="990" w:type="dxa"/>
            <w:tcBorders>
              <w:top w:val="single" w:sz="8" w:space="0" w:color="auto"/>
              <w:left w:val="nil"/>
              <w:bottom w:val="single" w:sz="8" w:space="0" w:color="auto"/>
              <w:right w:val="nil"/>
            </w:tcBorders>
            <w:shd w:val="clear" w:color="000000" w:fill="D9D9D9"/>
            <w:vAlign w:val="bottom"/>
            <w:hideMark/>
          </w:tcPr>
          <w:p w:rsidR="008E0F8E" w:rsidRPr="00B173B5" w:rsidP="00FC430B" w14:paraId="1F41E6F8" w14:textId="6C8D8BC6">
            <w:pPr>
              <w:jc w:val="right"/>
              <w:rPr>
                <w:b/>
                <w:bCs/>
                <w:sz w:val="13"/>
                <w:szCs w:val="13"/>
              </w:rPr>
            </w:pPr>
            <w:r w:rsidRPr="00B173B5">
              <w:rPr>
                <w:b/>
                <w:bCs/>
                <w:sz w:val="13"/>
                <w:szCs w:val="13"/>
              </w:rPr>
              <w:t>$</w:t>
            </w:r>
            <w:r w:rsidR="003F43DB">
              <w:rPr>
                <w:b/>
                <w:bCs/>
                <w:sz w:val="13"/>
                <w:szCs w:val="13"/>
              </w:rPr>
              <w:t xml:space="preserve">  </w:t>
            </w:r>
            <w:r w:rsidRPr="00B173B5">
              <w:rPr>
                <w:b/>
                <w:bCs/>
                <w:sz w:val="13"/>
                <w:szCs w:val="13"/>
              </w:rPr>
              <w:t xml:space="preserve"> 10,192,060 </w:t>
            </w:r>
          </w:p>
        </w:tc>
        <w:tc>
          <w:tcPr>
            <w:tcW w:w="1350" w:type="dxa"/>
            <w:tcBorders>
              <w:top w:val="single" w:sz="8" w:space="0" w:color="auto"/>
              <w:left w:val="nil"/>
              <w:bottom w:val="single" w:sz="8" w:space="0" w:color="auto"/>
              <w:right w:val="nil"/>
            </w:tcBorders>
            <w:shd w:val="clear" w:color="000000" w:fill="D9D9D9"/>
            <w:vAlign w:val="bottom"/>
            <w:hideMark/>
          </w:tcPr>
          <w:p w:rsidR="008E0F8E" w:rsidRPr="00B173B5" w:rsidP="00FC430B" w14:paraId="3E468D4A" w14:textId="619FBCD2">
            <w:pPr>
              <w:jc w:val="right"/>
              <w:rPr>
                <w:b/>
                <w:bCs/>
                <w:sz w:val="13"/>
                <w:szCs w:val="13"/>
              </w:rPr>
            </w:pPr>
            <w:r w:rsidRPr="00B173B5">
              <w:rPr>
                <w:b/>
                <w:bCs/>
                <w:sz w:val="13"/>
                <w:szCs w:val="13"/>
              </w:rPr>
              <w:t>$</w:t>
            </w:r>
            <w:r w:rsidR="003F43DB">
              <w:rPr>
                <w:b/>
                <w:bCs/>
                <w:sz w:val="13"/>
                <w:szCs w:val="13"/>
              </w:rPr>
              <w:t xml:space="preserve">                 </w:t>
            </w:r>
            <w:r w:rsidRPr="00B173B5">
              <w:rPr>
                <w:b/>
                <w:bCs/>
                <w:sz w:val="13"/>
                <w:szCs w:val="13"/>
              </w:rPr>
              <w:t xml:space="preserve">  950,793 </w:t>
            </w:r>
          </w:p>
        </w:tc>
        <w:tc>
          <w:tcPr>
            <w:tcW w:w="1170" w:type="dxa"/>
            <w:tcBorders>
              <w:top w:val="single" w:sz="8" w:space="0" w:color="auto"/>
              <w:left w:val="nil"/>
              <w:bottom w:val="single" w:sz="8" w:space="0" w:color="auto"/>
              <w:right w:val="nil"/>
            </w:tcBorders>
            <w:shd w:val="clear" w:color="000000" w:fill="D9D9D9"/>
            <w:vAlign w:val="bottom"/>
            <w:hideMark/>
          </w:tcPr>
          <w:p w:rsidR="008E0F8E" w:rsidRPr="00B173B5" w:rsidP="00FC430B" w14:paraId="33A71784" w14:textId="47F8AD3C">
            <w:pPr>
              <w:jc w:val="right"/>
              <w:rPr>
                <w:b/>
                <w:bCs/>
                <w:sz w:val="13"/>
                <w:szCs w:val="13"/>
              </w:rPr>
            </w:pPr>
            <w:r w:rsidRPr="00B173B5">
              <w:rPr>
                <w:b/>
                <w:bCs/>
                <w:sz w:val="13"/>
                <w:szCs w:val="13"/>
              </w:rPr>
              <w:t>$</w:t>
            </w:r>
            <w:r w:rsidR="003F43DB">
              <w:rPr>
                <w:b/>
                <w:bCs/>
                <w:sz w:val="13"/>
                <w:szCs w:val="13"/>
              </w:rPr>
              <w:t xml:space="preserve">        </w:t>
            </w:r>
            <w:r w:rsidRPr="00B173B5">
              <w:rPr>
                <w:b/>
                <w:bCs/>
                <w:sz w:val="13"/>
                <w:szCs w:val="13"/>
              </w:rPr>
              <w:t xml:space="preserve"> 11,142,853 </w:t>
            </w:r>
          </w:p>
        </w:tc>
        <w:tc>
          <w:tcPr>
            <w:tcW w:w="2510" w:type="dxa"/>
            <w:tcBorders>
              <w:top w:val="nil"/>
              <w:left w:val="nil"/>
              <w:bottom w:val="single" w:sz="8" w:space="0" w:color="auto"/>
              <w:right w:val="single" w:sz="8" w:space="0" w:color="auto"/>
            </w:tcBorders>
            <w:shd w:val="clear" w:color="000000" w:fill="D9D9D9"/>
            <w:vAlign w:val="bottom"/>
            <w:hideMark/>
          </w:tcPr>
          <w:p w:rsidR="008E0F8E" w:rsidRPr="00B173B5" w:rsidP="00DF39C2" w14:paraId="2C3DEF4E" w14:textId="77777777">
            <w:pPr>
              <w:ind w:left="-72"/>
              <w:rPr>
                <w:b/>
                <w:bCs/>
                <w:sz w:val="13"/>
                <w:szCs w:val="13"/>
              </w:rPr>
            </w:pPr>
            <w:r w:rsidRPr="00B173B5">
              <w:rPr>
                <w:b/>
                <w:bCs/>
                <w:sz w:val="13"/>
                <w:szCs w:val="13"/>
              </w:rPr>
              <w:t>Net Cost of Operations</w:t>
            </w:r>
          </w:p>
        </w:tc>
      </w:tr>
    </w:tbl>
    <w:p w:rsidR="005B1602" w:rsidP="00285D06" w14:paraId="371C3591" w14:textId="68545D54">
      <w:pPr>
        <w:jc w:val="center"/>
        <w:rPr>
          <w:iCs/>
        </w:rPr>
        <w:sectPr w:rsidSect="00F054D8">
          <w:pgSz w:w="12240" w:h="15840"/>
          <w:pgMar w:top="1440" w:right="1440" w:bottom="1296" w:left="1440" w:header="720" w:footer="720" w:gutter="0"/>
          <w:cols w:space="720"/>
        </w:sectPr>
      </w:pPr>
    </w:p>
    <w:p w:rsidR="00285D06" w:rsidRPr="00BA1E56" w:rsidP="0064033A" w14:paraId="428FB749" w14:textId="01F2430E">
      <w:pPr>
        <w:spacing w:after="240"/>
        <w:jc w:val="both"/>
        <w:rPr>
          <w:b/>
          <w:bCs/>
          <w:sz w:val="22"/>
          <w:szCs w:val="22"/>
        </w:rPr>
      </w:pPr>
      <w:r w:rsidRPr="33B14630">
        <w:rPr>
          <w:b/>
          <w:bCs/>
          <w:sz w:val="22"/>
          <w:szCs w:val="22"/>
        </w:rPr>
        <w:t xml:space="preserve">Note </w:t>
      </w:r>
      <w:r w:rsidRPr="33B14630" w:rsidR="00096EFA">
        <w:rPr>
          <w:b/>
          <w:bCs/>
          <w:sz w:val="22"/>
          <w:szCs w:val="22"/>
        </w:rPr>
        <w:t>2</w:t>
      </w:r>
      <w:r w:rsidR="00096EFA">
        <w:rPr>
          <w:b/>
          <w:bCs/>
          <w:sz w:val="22"/>
          <w:szCs w:val="22"/>
        </w:rPr>
        <w:t>0</w:t>
      </w:r>
      <w:r w:rsidRPr="33B14630" w:rsidR="00096EFA">
        <w:rPr>
          <w:b/>
          <w:bCs/>
          <w:sz w:val="22"/>
          <w:szCs w:val="22"/>
        </w:rPr>
        <w:t xml:space="preserve"> </w:t>
      </w:r>
      <w:r w:rsidRPr="33B14630">
        <w:rPr>
          <w:b/>
          <w:bCs/>
          <w:sz w:val="22"/>
          <w:szCs w:val="22"/>
        </w:rPr>
        <w:t>– Reclassification of Financial Statement Line Items for Financial Report Compilation Process (continued)</w:t>
      </w:r>
    </w:p>
    <w:tbl>
      <w:tblPr>
        <w:tblW w:w="5000" w:type="pct"/>
        <w:tblLook w:val="04A0"/>
      </w:tblPr>
      <w:tblGrid>
        <w:gridCol w:w="2240"/>
        <w:gridCol w:w="1080"/>
        <w:gridCol w:w="1080"/>
        <w:gridCol w:w="1350"/>
        <w:gridCol w:w="1170"/>
        <w:gridCol w:w="2420"/>
      </w:tblGrid>
      <w:tr w14:paraId="501D6F7E" w14:textId="77777777" w:rsidTr="00083441">
        <w:tblPrEx>
          <w:tblW w:w="5000" w:type="pct"/>
          <w:tblLook w:val="04A0"/>
        </w:tblPrEx>
        <w:trPr>
          <w:trHeight w:val="20"/>
        </w:trPr>
        <w:tc>
          <w:tcPr>
            <w:tcW w:w="2240" w:type="dxa"/>
            <w:tcBorders>
              <w:top w:val="single" w:sz="8" w:space="0" w:color="auto"/>
              <w:left w:val="single" w:sz="8" w:space="0" w:color="auto"/>
              <w:bottom w:val="single" w:sz="8" w:space="0" w:color="auto"/>
              <w:right w:val="nil"/>
            </w:tcBorders>
            <w:shd w:val="clear" w:color="000000" w:fill="FFFFFF"/>
            <w:vAlign w:val="center"/>
            <w:hideMark/>
          </w:tcPr>
          <w:p w:rsidR="00F40941" w:rsidRPr="00B37E75" w:rsidP="000145B0" w14:paraId="44AA1292" w14:textId="77777777">
            <w:pPr>
              <w:jc w:val="center"/>
              <w:rPr>
                <w:b/>
                <w:bCs/>
                <w:sz w:val="13"/>
                <w:szCs w:val="13"/>
              </w:rPr>
            </w:pPr>
            <w:r w:rsidRPr="00B37E75">
              <w:rPr>
                <w:b/>
                <w:bCs/>
                <w:sz w:val="13"/>
                <w:szCs w:val="13"/>
              </w:rPr>
              <w:t>AFR Line</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F40941" w:rsidRPr="00B37E75" w:rsidP="000145B0" w14:paraId="4B9744BA" w14:textId="77777777">
            <w:pPr>
              <w:jc w:val="center"/>
              <w:rPr>
                <w:b/>
                <w:bCs/>
                <w:sz w:val="13"/>
                <w:szCs w:val="13"/>
              </w:rPr>
            </w:pPr>
            <w:r w:rsidRPr="00B37E75">
              <w:rPr>
                <w:b/>
                <w:bCs/>
                <w:sz w:val="13"/>
                <w:szCs w:val="13"/>
              </w:rPr>
              <w:t>2020 SONC</w:t>
            </w:r>
          </w:p>
        </w:tc>
        <w:tc>
          <w:tcPr>
            <w:tcW w:w="1080" w:type="dxa"/>
            <w:tcBorders>
              <w:top w:val="single" w:sz="8" w:space="0" w:color="auto"/>
              <w:left w:val="nil"/>
              <w:bottom w:val="single" w:sz="8" w:space="0" w:color="auto"/>
              <w:right w:val="nil"/>
            </w:tcBorders>
            <w:shd w:val="clear" w:color="auto" w:fill="auto"/>
            <w:vAlign w:val="center"/>
            <w:hideMark/>
          </w:tcPr>
          <w:p w:rsidR="00F40941" w:rsidRPr="00B37E75" w:rsidP="000145B0" w14:paraId="05347DAC" w14:textId="74CA8FC8">
            <w:pPr>
              <w:jc w:val="center"/>
              <w:rPr>
                <w:b/>
                <w:bCs/>
                <w:sz w:val="13"/>
                <w:szCs w:val="13"/>
              </w:rPr>
            </w:pPr>
            <w:r w:rsidRPr="00B37E75">
              <w:rPr>
                <w:b/>
                <w:bCs/>
                <w:sz w:val="13"/>
                <w:szCs w:val="13"/>
              </w:rPr>
              <w:t>Dedicated</w:t>
            </w:r>
            <w:r w:rsidR="0014315C">
              <w:rPr>
                <w:b/>
                <w:bCs/>
                <w:sz w:val="13"/>
                <w:szCs w:val="13"/>
              </w:rPr>
              <w:br/>
            </w:r>
            <w:r w:rsidRPr="00B37E75">
              <w:rPr>
                <w:b/>
                <w:bCs/>
                <w:sz w:val="13"/>
                <w:szCs w:val="13"/>
              </w:rPr>
              <w:t xml:space="preserve"> Collections Combined</w:t>
            </w:r>
          </w:p>
        </w:tc>
        <w:tc>
          <w:tcPr>
            <w:tcW w:w="1350" w:type="dxa"/>
            <w:tcBorders>
              <w:top w:val="single" w:sz="8" w:space="0" w:color="auto"/>
              <w:left w:val="nil"/>
              <w:bottom w:val="single" w:sz="8" w:space="0" w:color="auto"/>
              <w:right w:val="nil"/>
            </w:tcBorders>
            <w:shd w:val="clear" w:color="auto" w:fill="auto"/>
            <w:vAlign w:val="center"/>
            <w:hideMark/>
          </w:tcPr>
          <w:p w:rsidR="00F40941" w:rsidRPr="00B37E75" w:rsidP="000145B0" w14:paraId="49C5EAC1" w14:textId="77777777">
            <w:pPr>
              <w:jc w:val="center"/>
              <w:rPr>
                <w:b/>
                <w:bCs/>
                <w:sz w:val="13"/>
                <w:szCs w:val="13"/>
              </w:rPr>
            </w:pPr>
            <w:r w:rsidRPr="00B37E75">
              <w:rPr>
                <w:b/>
                <w:bCs/>
                <w:sz w:val="13"/>
                <w:szCs w:val="13"/>
              </w:rPr>
              <w:t>All Other Amounts (with Eliminations)</w:t>
            </w:r>
          </w:p>
        </w:tc>
        <w:tc>
          <w:tcPr>
            <w:tcW w:w="1170" w:type="dxa"/>
            <w:tcBorders>
              <w:top w:val="single" w:sz="8" w:space="0" w:color="auto"/>
              <w:left w:val="nil"/>
              <w:bottom w:val="single" w:sz="8" w:space="0" w:color="auto"/>
              <w:right w:val="nil"/>
            </w:tcBorders>
            <w:shd w:val="clear" w:color="auto" w:fill="auto"/>
            <w:vAlign w:val="center"/>
            <w:hideMark/>
          </w:tcPr>
          <w:p w:rsidR="00F40941" w:rsidRPr="00B37E75" w:rsidP="000145B0" w14:paraId="48CBBB97" w14:textId="77777777">
            <w:pPr>
              <w:jc w:val="center"/>
              <w:rPr>
                <w:b/>
                <w:bCs/>
                <w:sz w:val="13"/>
                <w:szCs w:val="13"/>
              </w:rPr>
            </w:pPr>
            <w:r w:rsidRPr="00B37E75">
              <w:rPr>
                <w:b/>
                <w:bCs/>
                <w:sz w:val="13"/>
                <w:szCs w:val="13"/>
              </w:rPr>
              <w:t>2020 Reclassified SONC Total</w:t>
            </w:r>
          </w:p>
        </w:tc>
        <w:tc>
          <w:tcPr>
            <w:tcW w:w="2420" w:type="dxa"/>
            <w:tcBorders>
              <w:top w:val="single" w:sz="8" w:space="0" w:color="auto"/>
              <w:left w:val="nil"/>
              <w:bottom w:val="single" w:sz="8" w:space="0" w:color="auto"/>
              <w:right w:val="single" w:sz="8" w:space="0" w:color="auto"/>
            </w:tcBorders>
            <w:shd w:val="clear" w:color="000000" w:fill="FFFFFF"/>
            <w:vAlign w:val="center"/>
            <w:hideMark/>
          </w:tcPr>
          <w:p w:rsidR="00F40941" w:rsidRPr="00B37E75" w:rsidP="000145B0" w14:paraId="4AE862A7" w14:textId="77777777">
            <w:pPr>
              <w:jc w:val="center"/>
              <w:rPr>
                <w:b/>
                <w:bCs/>
                <w:sz w:val="13"/>
                <w:szCs w:val="13"/>
              </w:rPr>
            </w:pPr>
            <w:r w:rsidRPr="00B37E75">
              <w:rPr>
                <w:b/>
                <w:bCs/>
                <w:sz w:val="13"/>
                <w:szCs w:val="13"/>
              </w:rPr>
              <w:t>Reclassified Line</w:t>
            </w:r>
          </w:p>
        </w:tc>
      </w:tr>
      <w:tr w14:paraId="7E290C5F" w14:textId="77777777" w:rsidTr="00E4149B">
        <w:tblPrEx>
          <w:tblW w:w="5000" w:type="pct"/>
          <w:tblLook w:val="04A0"/>
        </w:tblPrEx>
        <w:trPr>
          <w:trHeight w:val="20"/>
        </w:trPr>
        <w:tc>
          <w:tcPr>
            <w:tcW w:w="2240" w:type="dxa"/>
            <w:tcBorders>
              <w:top w:val="nil"/>
              <w:left w:val="single" w:sz="8" w:space="0" w:color="auto"/>
              <w:right w:val="nil"/>
            </w:tcBorders>
            <w:shd w:val="clear" w:color="000000" w:fill="FFFFFF"/>
            <w:hideMark/>
          </w:tcPr>
          <w:p w:rsidR="00483C68" w:rsidRPr="00B37E75" w:rsidP="00221CC9" w14:paraId="144B11EA" w14:textId="77777777">
            <w:pPr>
              <w:ind w:left="-72"/>
              <w:rPr>
                <w:sz w:val="13"/>
                <w:szCs w:val="13"/>
              </w:rPr>
            </w:pPr>
            <w:r w:rsidRPr="00B37E75">
              <w:rPr>
                <w:sz w:val="13"/>
                <w:szCs w:val="13"/>
              </w:rPr>
              <w:t>Gross Costs</w:t>
            </w:r>
          </w:p>
        </w:tc>
        <w:tc>
          <w:tcPr>
            <w:tcW w:w="1080" w:type="dxa"/>
            <w:tcBorders>
              <w:top w:val="nil"/>
              <w:left w:val="nil"/>
              <w:bottom w:val="nil"/>
              <w:right w:val="single" w:sz="8" w:space="0" w:color="auto"/>
            </w:tcBorders>
            <w:shd w:val="clear" w:color="000000" w:fill="FFFFFF"/>
            <w:vAlign w:val="bottom"/>
            <w:hideMark/>
          </w:tcPr>
          <w:p w:rsidR="00483C68" w:rsidRPr="00B37E75" w:rsidP="0014315C" w14:paraId="1EFAE905" w14:textId="5CBB16A7">
            <w:pPr>
              <w:jc w:val="right"/>
              <w:rPr>
                <w:sz w:val="13"/>
                <w:szCs w:val="13"/>
              </w:rPr>
            </w:pPr>
            <w:r w:rsidRPr="00B37E75">
              <w:rPr>
                <w:sz w:val="13"/>
                <w:szCs w:val="13"/>
              </w:rPr>
              <w:t>$</w:t>
            </w:r>
            <w:r>
              <w:rPr>
                <w:sz w:val="13"/>
                <w:szCs w:val="13"/>
              </w:rPr>
              <w:t xml:space="preserve">    </w:t>
            </w:r>
            <w:r w:rsidRPr="00B37E75">
              <w:rPr>
                <w:sz w:val="13"/>
                <w:szCs w:val="13"/>
              </w:rPr>
              <w:t xml:space="preserve">  10,873,465 </w:t>
            </w:r>
          </w:p>
        </w:tc>
        <w:tc>
          <w:tcPr>
            <w:tcW w:w="1080" w:type="dxa"/>
            <w:tcBorders>
              <w:top w:val="nil"/>
              <w:left w:val="nil"/>
              <w:bottom w:val="nil"/>
              <w:right w:val="nil"/>
            </w:tcBorders>
            <w:shd w:val="clear" w:color="000000" w:fill="FFFFFF"/>
            <w:vAlign w:val="bottom"/>
            <w:hideMark/>
          </w:tcPr>
          <w:p w:rsidR="00483C68" w:rsidRPr="00B37E75" w:rsidP="0014315C" w14:paraId="1ACA2256" w14:textId="478CB9DE">
            <w:pPr>
              <w:jc w:val="right"/>
              <w:rPr>
                <w:sz w:val="13"/>
                <w:szCs w:val="13"/>
              </w:rPr>
            </w:pPr>
            <w:r w:rsidRPr="00B37E75">
              <w:rPr>
                <w:sz w:val="13"/>
                <w:szCs w:val="13"/>
              </w:rPr>
              <w:t>$</w:t>
            </w:r>
            <w:r>
              <w:rPr>
                <w:sz w:val="13"/>
                <w:szCs w:val="13"/>
              </w:rPr>
              <w:t xml:space="preserve">    </w:t>
            </w:r>
            <w:r w:rsidRPr="00B37E75">
              <w:rPr>
                <w:sz w:val="13"/>
                <w:szCs w:val="13"/>
              </w:rPr>
              <w:t xml:space="preserve">  10,303,597 </w:t>
            </w:r>
          </w:p>
        </w:tc>
        <w:tc>
          <w:tcPr>
            <w:tcW w:w="1350" w:type="dxa"/>
            <w:tcBorders>
              <w:top w:val="nil"/>
              <w:left w:val="nil"/>
              <w:bottom w:val="nil"/>
              <w:right w:val="nil"/>
            </w:tcBorders>
            <w:shd w:val="clear" w:color="000000" w:fill="FFFFFF"/>
            <w:vAlign w:val="bottom"/>
            <w:hideMark/>
          </w:tcPr>
          <w:p w:rsidR="00483C68" w:rsidRPr="00B37E75" w:rsidP="0014315C" w14:paraId="5793F596" w14:textId="4C66ED28">
            <w:pPr>
              <w:jc w:val="right"/>
              <w:rPr>
                <w:sz w:val="13"/>
                <w:szCs w:val="13"/>
              </w:rPr>
            </w:pPr>
            <w:r w:rsidRPr="00B37E75">
              <w:rPr>
                <w:sz w:val="13"/>
                <w:szCs w:val="13"/>
              </w:rPr>
              <w:t>$</w:t>
            </w:r>
            <w:r>
              <w:rPr>
                <w:sz w:val="13"/>
                <w:szCs w:val="13"/>
              </w:rPr>
              <w:t xml:space="preserve">              </w:t>
            </w:r>
            <w:r w:rsidRPr="00B37E75">
              <w:rPr>
                <w:sz w:val="13"/>
                <w:szCs w:val="13"/>
              </w:rPr>
              <w:t xml:space="preserve">  3,530,720 </w:t>
            </w:r>
          </w:p>
        </w:tc>
        <w:tc>
          <w:tcPr>
            <w:tcW w:w="1170" w:type="dxa"/>
            <w:tcBorders>
              <w:top w:val="nil"/>
              <w:left w:val="nil"/>
              <w:bottom w:val="nil"/>
              <w:right w:val="nil"/>
            </w:tcBorders>
            <w:shd w:val="clear" w:color="000000" w:fill="FFFFFF"/>
            <w:vAlign w:val="bottom"/>
            <w:hideMark/>
          </w:tcPr>
          <w:p w:rsidR="00483C68" w:rsidRPr="00B37E75" w:rsidP="0014315C" w14:paraId="62416C1C" w14:textId="597BAF37">
            <w:pPr>
              <w:jc w:val="right"/>
              <w:rPr>
                <w:sz w:val="13"/>
                <w:szCs w:val="13"/>
              </w:rPr>
            </w:pPr>
            <w:r w:rsidRPr="00B37E75">
              <w:rPr>
                <w:sz w:val="13"/>
                <w:szCs w:val="13"/>
              </w:rPr>
              <w:t>$</w:t>
            </w:r>
            <w:r>
              <w:rPr>
                <w:sz w:val="13"/>
                <w:szCs w:val="13"/>
              </w:rPr>
              <w:t xml:space="preserve">       </w:t>
            </w:r>
            <w:r w:rsidRPr="00B37E75">
              <w:rPr>
                <w:sz w:val="13"/>
                <w:szCs w:val="13"/>
              </w:rPr>
              <w:t xml:space="preserve">  13,834,317 </w:t>
            </w:r>
          </w:p>
        </w:tc>
        <w:tc>
          <w:tcPr>
            <w:tcW w:w="2420" w:type="dxa"/>
            <w:tcBorders>
              <w:top w:val="nil"/>
              <w:left w:val="nil"/>
              <w:bottom w:val="nil"/>
              <w:right w:val="single" w:sz="8" w:space="0" w:color="auto"/>
            </w:tcBorders>
            <w:shd w:val="clear" w:color="000000" w:fill="FFFFFF"/>
            <w:vAlign w:val="bottom"/>
            <w:hideMark/>
          </w:tcPr>
          <w:p w:rsidR="00483C68" w:rsidRPr="00B37E75" w:rsidP="00BD11F2" w14:paraId="02DD483D" w14:textId="77777777">
            <w:pPr>
              <w:ind w:left="-72"/>
              <w:rPr>
                <w:sz w:val="13"/>
                <w:szCs w:val="13"/>
              </w:rPr>
            </w:pPr>
            <w:r w:rsidRPr="00B37E75">
              <w:rPr>
                <w:sz w:val="13"/>
                <w:szCs w:val="13"/>
              </w:rPr>
              <w:t>Non-Federal Gross Cost</w:t>
            </w:r>
          </w:p>
        </w:tc>
      </w:tr>
      <w:tr w14:paraId="3A21C6F7" w14:textId="77777777" w:rsidTr="00B665FD">
        <w:tblPrEx>
          <w:tblW w:w="5000" w:type="pct"/>
          <w:tblLook w:val="04A0"/>
        </w:tblPrEx>
        <w:trPr>
          <w:trHeight w:val="20"/>
        </w:trPr>
        <w:tc>
          <w:tcPr>
            <w:tcW w:w="2240" w:type="dxa"/>
            <w:tcBorders>
              <w:left w:val="single" w:sz="8" w:space="0" w:color="auto"/>
              <w:right w:val="nil"/>
            </w:tcBorders>
            <w:shd w:val="clear" w:color="000000" w:fill="FFFFFF"/>
            <w:vAlign w:val="bottom"/>
            <w:hideMark/>
          </w:tcPr>
          <w:p w:rsidR="00483C68" w:rsidRPr="00B37E75" w:rsidP="00221CC9" w14:paraId="07CC8BE8" w14:textId="77777777">
            <w:pPr>
              <w:ind w:left="-72"/>
              <w:rPr>
                <w:sz w:val="13"/>
                <w:szCs w:val="13"/>
              </w:rPr>
            </w:pPr>
          </w:p>
        </w:tc>
        <w:tc>
          <w:tcPr>
            <w:tcW w:w="1080" w:type="dxa"/>
            <w:tcBorders>
              <w:top w:val="nil"/>
              <w:left w:val="nil"/>
              <w:bottom w:val="nil"/>
              <w:right w:val="single" w:sz="8" w:space="0" w:color="auto"/>
            </w:tcBorders>
            <w:shd w:val="clear" w:color="000000" w:fill="FFFFFF"/>
            <w:vAlign w:val="bottom"/>
          </w:tcPr>
          <w:p w:rsidR="00483C68" w:rsidRPr="00B37E75" w:rsidP="0014315C" w14:paraId="4D200358" w14:textId="33B983CF">
            <w:pPr>
              <w:jc w:val="right"/>
              <w:rPr>
                <w:sz w:val="13"/>
                <w:szCs w:val="13"/>
              </w:rPr>
            </w:pPr>
          </w:p>
        </w:tc>
        <w:tc>
          <w:tcPr>
            <w:tcW w:w="1080" w:type="dxa"/>
            <w:tcBorders>
              <w:top w:val="nil"/>
              <w:left w:val="nil"/>
              <w:bottom w:val="nil"/>
              <w:right w:val="nil"/>
            </w:tcBorders>
            <w:shd w:val="clear" w:color="000000" w:fill="FFFFFF"/>
            <w:vAlign w:val="bottom"/>
          </w:tcPr>
          <w:p w:rsidR="00483C68" w:rsidRPr="00B37E75" w:rsidP="0014315C" w14:paraId="602D2C6C" w14:textId="56B804F6">
            <w:pPr>
              <w:jc w:val="right"/>
              <w:rPr>
                <w:sz w:val="13"/>
                <w:szCs w:val="13"/>
              </w:rPr>
            </w:pPr>
          </w:p>
        </w:tc>
        <w:tc>
          <w:tcPr>
            <w:tcW w:w="1350" w:type="dxa"/>
            <w:tcBorders>
              <w:top w:val="nil"/>
              <w:left w:val="nil"/>
              <w:bottom w:val="nil"/>
              <w:right w:val="nil"/>
            </w:tcBorders>
            <w:shd w:val="clear" w:color="000000" w:fill="FFFFFF"/>
            <w:vAlign w:val="bottom"/>
            <w:hideMark/>
          </w:tcPr>
          <w:p w:rsidR="00483C68" w:rsidRPr="00B37E75" w:rsidP="0014315C" w14:paraId="400E02D3" w14:textId="77777777">
            <w:pPr>
              <w:jc w:val="right"/>
              <w:rPr>
                <w:sz w:val="13"/>
                <w:szCs w:val="13"/>
              </w:rPr>
            </w:pPr>
            <w:r w:rsidRPr="00B37E75">
              <w:rPr>
                <w:sz w:val="13"/>
                <w:szCs w:val="13"/>
              </w:rPr>
              <w:t> </w:t>
            </w:r>
          </w:p>
        </w:tc>
        <w:tc>
          <w:tcPr>
            <w:tcW w:w="1170" w:type="dxa"/>
            <w:tcBorders>
              <w:top w:val="nil"/>
              <w:left w:val="nil"/>
              <w:bottom w:val="nil"/>
              <w:right w:val="nil"/>
            </w:tcBorders>
            <w:shd w:val="clear" w:color="000000" w:fill="FFFFFF"/>
            <w:vAlign w:val="bottom"/>
            <w:hideMark/>
          </w:tcPr>
          <w:p w:rsidR="00483C68" w:rsidRPr="00B37E75" w:rsidP="0014315C" w14:paraId="748F3F73" w14:textId="77777777">
            <w:pPr>
              <w:jc w:val="right"/>
              <w:rPr>
                <w:sz w:val="13"/>
                <w:szCs w:val="13"/>
              </w:rPr>
            </w:pPr>
            <w:r w:rsidRPr="00B37E75">
              <w:rPr>
                <w:sz w:val="13"/>
                <w:szCs w:val="13"/>
              </w:rPr>
              <w:t> </w:t>
            </w:r>
          </w:p>
        </w:tc>
        <w:tc>
          <w:tcPr>
            <w:tcW w:w="2420" w:type="dxa"/>
            <w:tcBorders>
              <w:top w:val="nil"/>
              <w:left w:val="nil"/>
              <w:bottom w:val="nil"/>
              <w:right w:val="single" w:sz="8" w:space="0" w:color="auto"/>
            </w:tcBorders>
            <w:shd w:val="clear" w:color="000000" w:fill="FFFFFF"/>
            <w:vAlign w:val="bottom"/>
            <w:hideMark/>
          </w:tcPr>
          <w:p w:rsidR="00483C68" w:rsidRPr="00B37E75" w:rsidP="00BD11F2" w14:paraId="36822713" w14:textId="77777777">
            <w:pPr>
              <w:ind w:left="-72"/>
              <w:rPr>
                <w:b/>
                <w:bCs/>
                <w:i/>
                <w:iCs/>
                <w:sz w:val="13"/>
                <w:szCs w:val="13"/>
              </w:rPr>
            </w:pPr>
            <w:r w:rsidRPr="00B37E75">
              <w:rPr>
                <w:b/>
                <w:bCs/>
                <w:i/>
                <w:iCs/>
                <w:sz w:val="13"/>
                <w:szCs w:val="13"/>
              </w:rPr>
              <w:t>Intragovernmental Costs</w:t>
            </w:r>
          </w:p>
        </w:tc>
      </w:tr>
      <w:tr w14:paraId="3C87A75E" w14:textId="77777777" w:rsidTr="00B665FD">
        <w:tblPrEx>
          <w:tblW w:w="5000" w:type="pct"/>
          <w:tblLook w:val="04A0"/>
        </w:tblPrEx>
        <w:trPr>
          <w:trHeight w:val="20"/>
        </w:trPr>
        <w:tc>
          <w:tcPr>
            <w:tcW w:w="2240" w:type="dxa"/>
            <w:tcBorders>
              <w:left w:val="single" w:sz="8" w:space="0" w:color="auto"/>
              <w:right w:val="nil"/>
            </w:tcBorders>
            <w:shd w:val="clear" w:color="000000" w:fill="FFFFFF"/>
            <w:vAlign w:val="bottom"/>
            <w:hideMark/>
          </w:tcPr>
          <w:p w:rsidR="00483C68" w:rsidRPr="00B37E75" w:rsidP="00221CC9" w14:paraId="3CDABB03" w14:textId="77777777">
            <w:pPr>
              <w:ind w:left="-72"/>
              <w:rPr>
                <w:sz w:val="13"/>
                <w:szCs w:val="13"/>
              </w:rPr>
            </w:pPr>
          </w:p>
        </w:tc>
        <w:tc>
          <w:tcPr>
            <w:tcW w:w="1080" w:type="dxa"/>
            <w:tcBorders>
              <w:top w:val="nil"/>
              <w:left w:val="nil"/>
              <w:bottom w:val="nil"/>
              <w:right w:val="single" w:sz="8" w:space="0" w:color="auto"/>
            </w:tcBorders>
            <w:shd w:val="clear" w:color="000000" w:fill="FFFFFF"/>
            <w:vAlign w:val="bottom"/>
          </w:tcPr>
          <w:p w:rsidR="00483C68" w:rsidRPr="00B37E75" w:rsidP="0014315C" w14:paraId="2E452E4B" w14:textId="6F026806">
            <w:pPr>
              <w:jc w:val="right"/>
              <w:rPr>
                <w:sz w:val="13"/>
                <w:szCs w:val="13"/>
              </w:rPr>
            </w:pPr>
          </w:p>
        </w:tc>
        <w:tc>
          <w:tcPr>
            <w:tcW w:w="1080" w:type="dxa"/>
            <w:tcBorders>
              <w:top w:val="nil"/>
              <w:left w:val="nil"/>
              <w:bottom w:val="nil"/>
              <w:right w:val="nil"/>
            </w:tcBorders>
            <w:shd w:val="clear" w:color="000000" w:fill="FFFFFF"/>
            <w:vAlign w:val="bottom"/>
          </w:tcPr>
          <w:p w:rsidR="00483C68" w:rsidRPr="00B37E75" w:rsidP="0014315C" w14:paraId="2F0DC2AC" w14:textId="6CA329B5">
            <w:pPr>
              <w:jc w:val="right"/>
              <w:rPr>
                <w:sz w:val="13"/>
                <w:szCs w:val="13"/>
              </w:rPr>
            </w:pPr>
          </w:p>
        </w:tc>
        <w:tc>
          <w:tcPr>
            <w:tcW w:w="1350" w:type="dxa"/>
            <w:tcBorders>
              <w:top w:val="nil"/>
              <w:left w:val="nil"/>
              <w:bottom w:val="nil"/>
              <w:right w:val="nil"/>
            </w:tcBorders>
            <w:shd w:val="clear" w:color="000000" w:fill="FFFFFF"/>
            <w:vAlign w:val="bottom"/>
            <w:hideMark/>
          </w:tcPr>
          <w:p w:rsidR="00483C68" w:rsidRPr="00B37E75" w:rsidP="0014315C" w14:paraId="3DF208A4" w14:textId="77777777">
            <w:pPr>
              <w:jc w:val="right"/>
              <w:rPr>
                <w:sz w:val="13"/>
                <w:szCs w:val="13"/>
              </w:rPr>
            </w:pPr>
            <w:r w:rsidRPr="00B37E75">
              <w:rPr>
                <w:sz w:val="13"/>
                <w:szCs w:val="13"/>
              </w:rPr>
              <w:t xml:space="preserve">   45,195 </w:t>
            </w:r>
          </w:p>
        </w:tc>
        <w:tc>
          <w:tcPr>
            <w:tcW w:w="1170" w:type="dxa"/>
            <w:tcBorders>
              <w:top w:val="nil"/>
              <w:left w:val="nil"/>
              <w:bottom w:val="nil"/>
              <w:right w:val="nil"/>
            </w:tcBorders>
            <w:shd w:val="clear" w:color="000000" w:fill="FFFFFF"/>
            <w:noWrap/>
            <w:vAlign w:val="bottom"/>
            <w:hideMark/>
          </w:tcPr>
          <w:p w:rsidR="00483C68" w:rsidRPr="00B37E75" w:rsidP="0014315C" w14:paraId="09425259" w14:textId="77777777">
            <w:pPr>
              <w:jc w:val="right"/>
              <w:rPr>
                <w:color w:val="000000"/>
                <w:sz w:val="13"/>
                <w:szCs w:val="13"/>
              </w:rPr>
            </w:pPr>
            <w:r w:rsidRPr="00B37E75">
              <w:rPr>
                <w:color w:val="000000"/>
                <w:sz w:val="13"/>
                <w:szCs w:val="13"/>
              </w:rPr>
              <w:t xml:space="preserve">   45,195 </w:t>
            </w:r>
          </w:p>
        </w:tc>
        <w:tc>
          <w:tcPr>
            <w:tcW w:w="2420" w:type="dxa"/>
            <w:tcBorders>
              <w:top w:val="nil"/>
              <w:left w:val="nil"/>
              <w:bottom w:val="nil"/>
              <w:right w:val="single" w:sz="8" w:space="0" w:color="auto"/>
            </w:tcBorders>
            <w:shd w:val="clear" w:color="000000" w:fill="FFFFFF"/>
            <w:vAlign w:val="bottom"/>
            <w:hideMark/>
          </w:tcPr>
          <w:p w:rsidR="00483C68" w:rsidRPr="00B37E75" w:rsidP="00BD11F2" w14:paraId="505DE0D8" w14:textId="77777777">
            <w:pPr>
              <w:ind w:left="-72"/>
              <w:rPr>
                <w:sz w:val="13"/>
                <w:szCs w:val="13"/>
              </w:rPr>
            </w:pPr>
            <w:r w:rsidRPr="00B37E75">
              <w:rPr>
                <w:sz w:val="13"/>
                <w:szCs w:val="13"/>
              </w:rPr>
              <w:t>Benefit Program Costs</w:t>
            </w:r>
          </w:p>
        </w:tc>
      </w:tr>
      <w:tr w14:paraId="66DED26E" w14:textId="77777777" w:rsidTr="00B665FD">
        <w:tblPrEx>
          <w:tblW w:w="5000" w:type="pct"/>
          <w:tblLook w:val="04A0"/>
        </w:tblPrEx>
        <w:trPr>
          <w:trHeight w:val="20"/>
        </w:trPr>
        <w:tc>
          <w:tcPr>
            <w:tcW w:w="2240" w:type="dxa"/>
            <w:tcBorders>
              <w:left w:val="single" w:sz="8" w:space="0" w:color="auto"/>
              <w:right w:val="nil"/>
            </w:tcBorders>
            <w:shd w:val="clear" w:color="000000" w:fill="FFFFFF"/>
            <w:vAlign w:val="bottom"/>
            <w:hideMark/>
          </w:tcPr>
          <w:p w:rsidR="00483C68" w:rsidRPr="00B37E75" w:rsidP="00221CC9" w14:paraId="3B2CA661" w14:textId="77777777">
            <w:pPr>
              <w:ind w:left="-72"/>
              <w:rPr>
                <w:sz w:val="13"/>
                <w:szCs w:val="13"/>
              </w:rPr>
            </w:pPr>
          </w:p>
        </w:tc>
        <w:tc>
          <w:tcPr>
            <w:tcW w:w="1080" w:type="dxa"/>
            <w:tcBorders>
              <w:top w:val="nil"/>
              <w:left w:val="nil"/>
              <w:bottom w:val="nil"/>
              <w:right w:val="single" w:sz="8" w:space="0" w:color="auto"/>
            </w:tcBorders>
            <w:shd w:val="clear" w:color="000000" w:fill="FFFFFF"/>
            <w:vAlign w:val="bottom"/>
          </w:tcPr>
          <w:p w:rsidR="00483C68" w:rsidRPr="00B37E75" w:rsidP="0014315C" w14:paraId="3AF799ED" w14:textId="4A5DA77D">
            <w:pPr>
              <w:jc w:val="right"/>
              <w:rPr>
                <w:sz w:val="13"/>
                <w:szCs w:val="13"/>
              </w:rPr>
            </w:pPr>
          </w:p>
        </w:tc>
        <w:tc>
          <w:tcPr>
            <w:tcW w:w="1080" w:type="dxa"/>
            <w:tcBorders>
              <w:top w:val="nil"/>
              <w:left w:val="nil"/>
              <w:bottom w:val="nil"/>
              <w:right w:val="nil"/>
            </w:tcBorders>
            <w:shd w:val="clear" w:color="000000" w:fill="FFFFFF"/>
            <w:vAlign w:val="bottom"/>
          </w:tcPr>
          <w:p w:rsidR="00483C68" w:rsidRPr="00B37E75" w:rsidP="0014315C" w14:paraId="47D8E5E6" w14:textId="4A83E483">
            <w:pPr>
              <w:jc w:val="right"/>
              <w:rPr>
                <w:sz w:val="13"/>
                <w:szCs w:val="13"/>
              </w:rPr>
            </w:pPr>
          </w:p>
        </w:tc>
        <w:tc>
          <w:tcPr>
            <w:tcW w:w="1350" w:type="dxa"/>
            <w:tcBorders>
              <w:top w:val="nil"/>
              <w:left w:val="nil"/>
              <w:bottom w:val="nil"/>
              <w:right w:val="nil"/>
            </w:tcBorders>
            <w:shd w:val="clear" w:color="000000" w:fill="FFFFFF"/>
            <w:vAlign w:val="bottom"/>
            <w:hideMark/>
          </w:tcPr>
          <w:p w:rsidR="00483C68" w:rsidRPr="00B37E75" w:rsidP="0014315C" w14:paraId="66F8895C" w14:textId="77777777">
            <w:pPr>
              <w:jc w:val="right"/>
              <w:rPr>
                <w:sz w:val="13"/>
                <w:szCs w:val="13"/>
              </w:rPr>
            </w:pPr>
            <w:r w:rsidRPr="00B37E75">
              <w:rPr>
                <w:sz w:val="13"/>
                <w:szCs w:val="13"/>
              </w:rPr>
              <w:t xml:space="preserve">   11,670 </w:t>
            </w:r>
          </w:p>
        </w:tc>
        <w:tc>
          <w:tcPr>
            <w:tcW w:w="1170" w:type="dxa"/>
            <w:tcBorders>
              <w:top w:val="nil"/>
              <w:left w:val="nil"/>
              <w:bottom w:val="nil"/>
              <w:right w:val="nil"/>
            </w:tcBorders>
            <w:shd w:val="clear" w:color="000000" w:fill="FFFFFF"/>
            <w:vAlign w:val="bottom"/>
            <w:hideMark/>
          </w:tcPr>
          <w:p w:rsidR="00483C68" w:rsidRPr="00B37E75" w:rsidP="0014315C" w14:paraId="67BA8255" w14:textId="77777777">
            <w:pPr>
              <w:jc w:val="right"/>
              <w:rPr>
                <w:sz w:val="13"/>
                <w:szCs w:val="13"/>
              </w:rPr>
            </w:pPr>
            <w:r w:rsidRPr="00B37E75">
              <w:rPr>
                <w:sz w:val="13"/>
                <w:szCs w:val="13"/>
              </w:rPr>
              <w:t xml:space="preserve">   11,670 </w:t>
            </w:r>
          </w:p>
        </w:tc>
        <w:tc>
          <w:tcPr>
            <w:tcW w:w="2420" w:type="dxa"/>
            <w:tcBorders>
              <w:top w:val="nil"/>
              <w:left w:val="nil"/>
              <w:bottom w:val="nil"/>
              <w:right w:val="single" w:sz="8" w:space="0" w:color="auto"/>
            </w:tcBorders>
            <w:shd w:val="clear" w:color="000000" w:fill="FFFFFF"/>
            <w:vAlign w:val="bottom"/>
            <w:hideMark/>
          </w:tcPr>
          <w:p w:rsidR="00483C68" w:rsidRPr="00B37E75" w:rsidP="00BD11F2" w14:paraId="7926F701" w14:textId="77777777">
            <w:pPr>
              <w:ind w:left="-72"/>
              <w:rPr>
                <w:sz w:val="13"/>
                <w:szCs w:val="13"/>
              </w:rPr>
            </w:pPr>
            <w:r w:rsidRPr="00B37E75">
              <w:rPr>
                <w:sz w:val="13"/>
                <w:szCs w:val="13"/>
              </w:rPr>
              <w:t>Imputed Costs</w:t>
            </w:r>
          </w:p>
        </w:tc>
      </w:tr>
      <w:tr w14:paraId="577D3349" w14:textId="77777777" w:rsidTr="00B665FD">
        <w:tblPrEx>
          <w:tblW w:w="5000" w:type="pct"/>
          <w:tblLook w:val="04A0"/>
        </w:tblPrEx>
        <w:trPr>
          <w:trHeight w:val="20"/>
        </w:trPr>
        <w:tc>
          <w:tcPr>
            <w:tcW w:w="2240" w:type="dxa"/>
            <w:tcBorders>
              <w:left w:val="single" w:sz="8" w:space="0" w:color="auto"/>
              <w:right w:val="nil"/>
            </w:tcBorders>
            <w:shd w:val="clear" w:color="000000" w:fill="FFFFFF"/>
            <w:vAlign w:val="bottom"/>
            <w:hideMark/>
          </w:tcPr>
          <w:p w:rsidR="00483C68" w:rsidRPr="00B37E75" w:rsidP="00221CC9" w14:paraId="0D3BA38D" w14:textId="77777777">
            <w:pPr>
              <w:ind w:left="-72"/>
              <w:rPr>
                <w:sz w:val="13"/>
                <w:szCs w:val="13"/>
              </w:rPr>
            </w:pPr>
          </w:p>
        </w:tc>
        <w:tc>
          <w:tcPr>
            <w:tcW w:w="1080" w:type="dxa"/>
            <w:tcBorders>
              <w:top w:val="nil"/>
              <w:left w:val="nil"/>
              <w:bottom w:val="nil"/>
              <w:right w:val="single" w:sz="8" w:space="0" w:color="auto"/>
            </w:tcBorders>
            <w:shd w:val="clear" w:color="000000" w:fill="FFFFFF"/>
            <w:vAlign w:val="bottom"/>
          </w:tcPr>
          <w:p w:rsidR="00483C68" w:rsidRPr="00B37E75" w:rsidP="0014315C" w14:paraId="43FE06AE" w14:textId="05EF4340">
            <w:pPr>
              <w:jc w:val="right"/>
              <w:rPr>
                <w:sz w:val="13"/>
                <w:szCs w:val="13"/>
              </w:rPr>
            </w:pPr>
          </w:p>
        </w:tc>
        <w:tc>
          <w:tcPr>
            <w:tcW w:w="1080" w:type="dxa"/>
            <w:tcBorders>
              <w:top w:val="nil"/>
              <w:left w:val="nil"/>
              <w:bottom w:val="nil"/>
              <w:right w:val="nil"/>
            </w:tcBorders>
            <w:shd w:val="clear" w:color="000000" w:fill="FFFFFF"/>
            <w:vAlign w:val="bottom"/>
          </w:tcPr>
          <w:p w:rsidR="00483C68" w:rsidRPr="00B37E75" w:rsidP="0014315C" w14:paraId="03530C5E" w14:textId="40E254D3">
            <w:pPr>
              <w:jc w:val="right"/>
              <w:rPr>
                <w:sz w:val="13"/>
                <w:szCs w:val="13"/>
              </w:rPr>
            </w:pPr>
          </w:p>
        </w:tc>
        <w:tc>
          <w:tcPr>
            <w:tcW w:w="1350" w:type="dxa"/>
            <w:tcBorders>
              <w:top w:val="nil"/>
              <w:left w:val="nil"/>
              <w:bottom w:val="nil"/>
              <w:right w:val="nil"/>
            </w:tcBorders>
            <w:shd w:val="clear" w:color="000000" w:fill="FFFFFF"/>
            <w:vAlign w:val="bottom"/>
            <w:hideMark/>
          </w:tcPr>
          <w:p w:rsidR="00483C68" w:rsidRPr="00B37E75" w:rsidP="0014315C" w14:paraId="240E2CBF" w14:textId="77777777">
            <w:pPr>
              <w:jc w:val="right"/>
              <w:rPr>
                <w:sz w:val="13"/>
                <w:szCs w:val="13"/>
              </w:rPr>
            </w:pPr>
            <w:r w:rsidRPr="00B37E75">
              <w:rPr>
                <w:sz w:val="13"/>
                <w:szCs w:val="13"/>
              </w:rPr>
              <w:t xml:space="preserve">   52,771 </w:t>
            </w:r>
          </w:p>
        </w:tc>
        <w:tc>
          <w:tcPr>
            <w:tcW w:w="1170" w:type="dxa"/>
            <w:tcBorders>
              <w:top w:val="nil"/>
              <w:left w:val="nil"/>
              <w:bottom w:val="nil"/>
              <w:right w:val="nil"/>
            </w:tcBorders>
            <w:shd w:val="clear" w:color="000000" w:fill="FFFFFF"/>
            <w:vAlign w:val="bottom"/>
            <w:hideMark/>
          </w:tcPr>
          <w:p w:rsidR="00483C68" w:rsidRPr="00B37E75" w:rsidP="0014315C" w14:paraId="4ED75083" w14:textId="77777777">
            <w:pPr>
              <w:jc w:val="right"/>
              <w:rPr>
                <w:sz w:val="13"/>
                <w:szCs w:val="13"/>
              </w:rPr>
            </w:pPr>
            <w:r w:rsidRPr="00B37E75">
              <w:rPr>
                <w:sz w:val="13"/>
                <w:szCs w:val="13"/>
              </w:rPr>
              <w:t xml:space="preserve">   52,771 </w:t>
            </w:r>
          </w:p>
        </w:tc>
        <w:tc>
          <w:tcPr>
            <w:tcW w:w="2420" w:type="dxa"/>
            <w:tcBorders>
              <w:top w:val="nil"/>
              <w:left w:val="nil"/>
              <w:bottom w:val="nil"/>
              <w:right w:val="single" w:sz="8" w:space="0" w:color="auto"/>
            </w:tcBorders>
            <w:shd w:val="clear" w:color="000000" w:fill="FFFFFF"/>
            <w:vAlign w:val="bottom"/>
            <w:hideMark/>
          </w:tcPr>
          <w:p w:rsidR="00483C68" w:rsidRPr="00B37E75" w:rsidP="00BD11F2" w14:paraId="35389A1E" w14:textId="77777777">
            <w:pPr>
              <w:ind w:left="-72"/>
              <w:rPr>
                <w:sz w:val="13"/>
                <w:szCs w:val="13"/>
              </w:rPr>
            </w:pPr>
            <w:r w:rsidRPr="00B37E75">
              <w:rPr>
                <w:sz w:val="13"/>
                <w:szCs w:val="13"/>
              </w:rPr>
              <w:t>Buy/Sell Costs</w:t>
            </w:r>
          </w:p>
        </w:tc>
      </w:tr>
      <w:tr w14:paraId="0E9D34FB" w14:textId="77777777" w:rsidTr="00B665FD">
        <w:tblPrEx>
          <w:tblW w:w="5000" w:type="pct"/>
          <w:tblLook w:val="04A0"/>
        </w:tblPrEx>
        <w:trPr>
          <w:trHeight w:val="20"/>
        </w:trPr>
        <w:tc>
          <w:tcPr>
            <w:tcW w:w="2240" w:type="dxa"/>
            <w:tcBorders>
              <w:left w:val="single" w:sz="8" w:space="0" w:color="auto"/>
              <w:right w:val="nil"/>
            </w:tcBorders>
            <w:shd w:val="clear" w:color="000000" w:fill="FFFFFF"/>
            <w:vAlign w:val="bottom"/>
            <w:hideMark/>
          </w:tcPr>
          <w:p w:rsidR="00483C68" w:rsidRPr="00B37E75" w:rsidP="00221CC9" w14:paraId="79254ECF" w14:textId="77777777">
            <w:pPr>
              <w:ind w:left="-72"/>
              <w:rPr>
                <w:sz w:val="13"/>
                <w:szCs w:val="13"/>
              </w:rPr>
            </w:pPr>
          </w:p>
        </w:tc>
        <w:tc>
          <w:tcPr>
            <w:tcW w:w="1080" w:type="dxa"/>
            <w:tcBorders>
              <w:top w:val="nil"/>
              <w:left w:val="nil"/>
              <w:bottom w:val="nil"/>
              <w:right w:val="single" w:sz="8" w:space="0" w:color="auto"/>
            </w:tcBorders>
            <w:shd w:val="clear" w:color="000000" w:fill="FFFFFF"/>
            <w:vAlign w:val="bottom"/>
          </w:tcPr>
          <w:p w:rsidR="00483C68" w:rsidRPr="00B37E75" w:rsidP="0014315C" w14:paraId="274D4C7E" w14:textId="46F3A3C0">
            <w:pPr>
              <w:jc w:val="right"/>
              <w:rPr>
                <w:sz w:val="13"/>
                <w:szCs w:val="13"/>
              </w:rPr>
            </w:pPr>
          </w:p>
        </w:tc>
        <w:tc>
          <w:tcPr>
            <w:tcW w:w="1080" w:type="dxa"/>
            <w:tcBorders>
              <w:top w:val="nil"/>
              <w:left w:val="nil"/>
              <w:bottom w:val="nil"/>
              <w:right w:val="nil"/>
            </w:tcBorders>
            <w:shd w:val="clear" w:color="000000" w:fill="FFFFFF"/>
            <w:vAlign w:val="bottom"/>
          </w:tcPr>
          <w:p w:rsidR="00483C68" w:rsidRPr="00B37E75" w:rsidP="0014315C" w14:paraId="5B7C49D3" w14:textId="45DCF752">
            <w:pPr>
              <w:jc w:val="right"/>
              <w:rPr>
                <w:sz w:val="13"/>
                <w:szCs w:val="13"/>
              </w:rPr>
            </w:pPr>
          </w:p>
        </w:tc>
        <w:tc>
          <w:tcPr>
            <w:tcW w:w="1350" w:type="dxa"/>
            <w:tcBorders>
              <w:top w:val="nil"/>
              <w:left w:val="nil"/>
              <w:bottom w:val="nil"/>
              <w:right w:val="nil"/>
            </w:tcBorders>
            <w:shd w:val="clear" w:color="000000" w:fill="FFFFFF"/>
            <w:vAlign w:val="bottom"/>
            <w:hideMark/>
          </w:tcPr>
          <w:p w:rsidR="00483C68" w:rsidRPr="00B37E75" w:rsidP="0014315C" w14:paraId="4A290B81" w14:textId="77777777">
            <w:pPr>
              <w:jc w:val="right"/>
              <w:rPr>
                <w:sz w:val="13"/>
                <w:szCs w:val="13"/>
              </w:rPr>
            </w:pPr>
            <w:r w:rsidRPr="00B37E75">
              <w:rPr>
                <w:sz w:val="13"/>
                <w:szCs w:val="13"/>
              </w:rPr>
              <w:t xml:space="preserve">   9,515 </w:t>
            </w:r>
          </w:p>
        </w:tc>
        <w:tc>
          <w:tcPr>
            <w:tcW w:w="1170" w:type="dxa"/>
            <w:tcBorders>
              <w:top w:val="nil"/>
              <w:left w:val="nil"/>
              <w:bottom w:val="nil"/>
              <w:right w:val="nil"/>
            </w:tcBorders>
            <w:shd w:val="clear" w:color="000000" w:fill="FFFFFF"/>
            <w:vAlign w:val="bottom"/>
            <w:hideMark/>
          </w:tcPr>
          <w:p w:rsidR="00483C68" w:rsidRPr="00B37E75" w:rsidP="0014315C" w14:paraId="23AB2443" w14:textId="77777777">
            <w:pPr>
              <w:jc w:val="right"/>
              <w:rPr>
                <w:sz w:val="13"/>
                <w:szCs w:val="13"/>
              </w:rPr>
            </w:pPr>
            <w:r w:rsidRPr="00B37E75">
              <w:rPr>
                <w:sz w:val="13"/>
                <w:szCs w:val="13"/>
              </w:rPr>
              <w:t xml:space="preserve">   9,515 </w:t>
            </w:r>
          </w:p>
        </w:tc>
        <w:tc>
          <w:tcPr>
            <w:tcW w:w="2420" w:type="dxa"/>
            <w:tcBorders>
              <w:top w:val="nil"/>
              <w:left w:val="nil"/>
              <w:bottom w:val="nil"/>
              <w:right w:val="single" w:sz="8" w:space="0" w:color="auto"/>
            </w:tcBorders>
            <w:shd w:val="clear" w:color="000000" w:fill="FFFFFF"/>
            <w:vAlign w:val="bottom"/>
            <w:hideMark/>
          </w:tcPr>
          <w:p w:rsidR="00483C68" w:rsidRPr="00B37E75" w:rsidP="00BD11F2" w14:paraId="779AF45B" w14:textId="77777777">
            <w:pPr>
              <w:ind w:left="-72"/>
              <w:rPr>
                <w:sz w:val="13"/>
                <w:szCs w:val="13"/>
              </w:rPr>
            </w:pPr>
            <w:r w:rsidRPr="00B37E75">
              <w:rPr>
                <w:sz w:val="13"/>
                <w:szCs w:val="13"/>
              </w:rPr>
              <w:t>Purchase of Assets</w:t>
            </w:r>
          </w:p>
        </w:tc>
      </w:tr>
      <w:tr w14:paraId="6278A1D1" w14:textId="77777777" w:rsidTr="00B665FD">
        <w:tblPrEx>
          <w:tblW w:w="5000" w:type="pct"/>
          <w:tblLook w:val="04A0"/>
        </w:tblPrEx>
        <w:trPr>
          <w:trHeight w:val="20"/>
        </w:trPr>
        <w:tc>
          <w:tcPr>
            <w:tcW w:w="2240" w:type="dxa"/>
            <w:tcBorders>
              <w:left w:val="single" w:sz="8" w:space="0" w:color="auto"/>
              <w:right w:val="nil"/>
            </w:tcBorders>
            <w:shd w:val="clear" w:color="000000" w:fill="FFFFFF"/>
            <w:vAlign w:val="bottom"/>
            <w:hideMark/>
          </w:tcPr>
          <w:p w:rsidR="00483C68" w:rsidRPr="00B37E75" w:rsidP="00221CC9" w14:paraId="400646A4" w14:textId="77777777">
            <w:pPr>
              <w:ind w:left="-72"/>
              <w:rPr>
                <w:sz w:val="13"/>
                <w:szCs w:val="13"/>
              </w:rPr>
            </w:pPr>
          </w:p>
        </w:tc>
        <w:tc>
          <w:tcPr>
            <w:tcW w:w="1080" w:type="dxa"/>
            <w:tcBorders>
              <w:top w:val="nil"/>
              <w:left w:val="nil"/>
              <w:bottom w:val="nil"/>
              <w:right w:val="single" w:sz="8" w:space="0" w:color="auto"/>
            </w:tcBorders>
            <w:shd w:val="clear" w:color="000000" w:fill="FFFFFF"/>
            <w:vAlign w:val="bottom"/>
          </w:tcPr>
          <w:p w:rsidR="00483C68" w:rsidRPr="00B37E75" w:rsidP="0014315C" w14:paraId="4BD0EA07" w14:textId="0BDDCAC1">
            <w:pPr>
              <w:jc w:val="right"/>
              <w:rPr>
                <w:sz w:val="13"/>
                <w:szCs w:val="13"/>
              </w:rPr>
            </w:pPr>
          </w:p>
        </w:tc>
        <w:tc>
          <w:tcPr>
            <w:tcW w:w="1080" w:type="dxa"/>
            <w:tcBorders>
              <w:top w:val="nil"/>
              <w:left w:val="nil"/>
              <w:bottom w:val="nil"/>
              <w:right w:val="nil"/>
            </w:tcBorders>
            <w:shd w:val="clear" w:color="000000" w:fill="FFFFFF"/>
            <w:vAlign w:val="bottom"/>
          </w:tcPr>
          <w:p w:rsidR="00483C68" w:rsidRPr="00B37E75" w:rsidP="0014315C" w14:paraId="28AEF053" w14:textId="4908E85E">
            <w:pPr>
              <w:jc w:val="right"/>
              <w:rPr>
                <w:sz w:val="13"/>
                <w:szCs w:val="13"/>
              </w:rPr>
            </w:pPr>
          </w:p>
        </w:tc>
        <w:tc>
          <w:tcPr>
            <w:tcW w:w="1350" w:type="dxa"/>
            <w:tcBorders>
              <w:top w:val="nil"/>
              <w:left w:val="nil"/>
              <w:bottom w:val="nil"/>
              <w:right w:val="nil"/>
            </w:tcBorders>
            <w:shd w:val="clear" w:color="000000" w:fill="FFFFFF"/>
            <w:vAlign w:val="bottom"/>
            <w:hideMark/>
          </w:tcPr>
          <w:p w:rsidR="00483C68" w:rsidRPr="00B37E75" w:rsidP="0014315C" w14:paraId="5A467B90" w14:textId="77777777">
            <w:pPr>
              <w:jc w:val="right"/>
              <w:rPr>
                <w:sz w:val="13"/>
                <w:szCs w:val="13"/>
              </w:rPr>
            </w:pPr>
            <w:r w:rsidRPr="00B37E75">
              <w:rPr>
                <w:sz w:val="13"/>
                <w:szCs w:val="13"/>
              </w:rPr>
              <w:t xml:space="preserve">   13,686 </w:t>
            </w:r>
          </w:p>
        </w:tc>
        <w:tc>
          <w:tcPr>
            <w:tcW w:w="1170" w:type="dxa"/>
            <w:tcBorders>
              <w:top w:val="nil"/>
              <w:left w:val="nil"/>
              <w:bottom w:val="nil"/>
              <w:right w:val="nil"/>
            </w:tcBorders>
            <w:shd w:val="clear" w:color="000000" w:fill="FFFFFF"/>
            <w:vAlign w:val="bottom"/>
            <w:hideMark/>
          </w:tcPr>
          <w:p w:rsidR="00483C68" w:rsidRPr="00B37E75" w:rsidP="0014315C" w14:paraId="5CFF343A" w14:textId="77777777">
            <w:pPr>
              <w:jc w:val="right"/>
              <w:rPr>
                <w:sz w:val="13"/>
                <w:szCs w:val="13"/>
              </w:rPr>
            </w:pPr>
            <w:r w:rsidRPr="00B37E75">
              <w:rPr>
                <w:sz w:val="13"/>
                <w:szCs w:val="13"/>
              </w:rPr>
              <w:t xml:space="preserve">   13,686 </w:t>
            </w:r>
          </w:p>
        </w:tc>
        <w:tc>
          <w:tcPr>
            <w:tcW w:w="2420" w:type="dxa"/>
            <w:tcBorders>
              <w:top w:val="nil"/>
              <w:left w:val="nil"/>
              <w:bottom w:val="nil"/>
              <w:right w:val="single" w:sz="8" w:space="0" w:color="auto"/>
            </w:tcBorders>
            <w:shd w:val="clear" w:color="000000" w:fill="FFFFFF"/>
            <w:vAlign w:val="bottom"/>
            <w:hideMark/>
          </w:tcPr>
          <w:p w:rsidR="00483C68" w:rsidRPr="00B37E75" w:rsidP="00BD11F2" w14:paraId="45838B02" w14:textId="77777777">
            <w:pPr>
              <w:ind w:left="-72"/>
              <w:rPr>
                <w:sz w:val="13"/>
                <w:szCs w:val="13"/>
              </w:rPr>
            </w:pPr>
            <w:r w:rsidRPr="00B37E75">
              <w:rPr>
                <w:sz w:val="13"/>
                <w:szCs w:val="13"/>
              </w:rPr>
              <w:t>Other Expenses (w/o Reciprocals)</w:t>
            </w:r>
          </w:p>
        </w:tc>
      </w:tr>
      <w:tr w14:paraId="015DBB26" w14:textId="77777777" w:rsidTr="00B665FD">
        <w:tblPrEx>
          <w:tblW w:w="5000" w:type="pct"/>
          <w:tblLook w:val="04A0"/>
        </w:tblPrEx>
        <w:trPr>
          <w:trHeight w:val="20"/>
        </w:trPr>
        <w:tc>
          <w:tcPr>
            <w:tcW w:w="2240" w:type="dxa"/>
            <w:tcBorders>
              <w:left w:val="single" w:sz="8" w:space="0" w:color="auto"/>
              <w:right w:val="nil"/>
            </w:tcBorders>
            <w:shd w:val="clear" w:color="000000" w:fill="FFFFFF"/>
            <w:vAlign w:val="bottom"/>
            <w:hideMark/>
          </w:tcPr>
          <w:p w:rsidR="00483C68" w:rsidRPr="00B37E75" w:rsidP="00221CC9" w14:paraId="48E4C3D0" w14:textId="77777777">
            <w:pPr>
              <w:ind w:left="-72"/>
              <w:rPr>
                <w:sz w:val="13"/>
                <w:szCs w:val="13"/>
              </w:rPr>
            </w:pPr>
          </w:p>
        </w:tc>
        <w:tc>
          <w:tcPr>
            <w:tcW w:w="1080" w:type="dxa"/>
            <w:tcBorders>
              <w:top w:val="nil"/>
              <w:left w:val="nil"/>
              <w:bottom w:val="nil"/>
              <w:right w:val="single" w:sz="8" w:space="0" w:color="auto"/>
            </w:tcBorders>
            <w:shd w:val="clear" w:color="000000" w:fill="FFFFFF"/>
            <w:vAlign w:val="bottom"/>
            <w:hideMark/>
          </w:tcPr>
          <w:p w:rsidR="00483C68" w:rsidRPr="00B37E75" w:rsidP="0014315C" w14:paraId="0B38EA31" w14:textId="7908FC11">
            <w:pPr>
              <w:jc w:val="right"/>
              <w:rPr>
                <w:sz w:val="13"/>
                <w:szCs w:val="13"/>
              </w:rPr>
            </w:pPr>
          </w:p>
        </w:tc>
        <w:tc>
          <w:tcPr>
            <w:tcW w:w="1080" w:type="dxa"/>
            <w:tcBorders>
              <w:top w:val="nil"/>
              <w:left w:val="nil"/>
              <w:bottom w:val="nil"/>
              <w:right w:val="nil"/>
            </w:tcBorders>
            <w:shd w:val="clear" w:color="000000" w:fill="FFFFFF"/>
            <w:vAlign w:val="bottom"/>
          </w:tcPr>
          <w:p w:rsidR="00483C68" w:rsidRPr="00B37E75" w:rsidP="0014315C" w14:paraId="217D154C" w14:textId="75C74758">
            <w:pPr>
              <w:jc w:val="right"/>
              <w:rPr>
                <w:sz w:val="13"/>
                <w:szCs w:val="13"/>
              </w:rPr>
            </w:pPr>
          </w:p>
        </w:tc>
        <w:tc>
          <w:tcPr>
            <w:tcW w:w="1350" w:type="dxa"/>
            <w:tcBorders>
              <w:top w:val="nil"/>
              <w:left w:val="nil"/>
              <w:bottom w:val="nil"/>
              <w:right w:val="nil"/>
            </w:tcBorders>
            <w:shd w:val="clear" w:color="000000" w:fill="FFFFFF"/>
            <w:vAlign w:val="bottom"/>
            <w:hideMark/>
          </w:tcPr>
          <w:p w:rsidR="00483C68" w:rsidRPr="00B37E75" w:rsidP="0014315C" w14:paraId="56A6C0A0" w14:textId="77777777">
            <w:pPr>
              <w:jc w:val="right"/>
              <w:rPr>
                <w:sz w:val="13"/>
                <w:szCs w:val="13"/>
              </w:rPr>
            </w:pPr>
            <w:r w:rsidRPr="00B37E75">
              <w:rPr>
                <w:sz w:val="13"/>
                <w:szCs w:val="13"/>
              </w:rPr>
              <w:t xml:space="preserve">   (9,515)</w:t>
            </w:r>
          </w:p>
        </w:tc>
        <w:tc>
          <w:tcPr>
            <w:tcW w:w="1170" w:type="dxa"/>
            <w:tcBorders>
              <w:top w:val="nil"/>
              <w:left w:val="nil"/>
              <w:bottom w:val="nil"/>
              <w:right w:val="nil"/>
            </w:tcBorders>
            <w:shd w:val="clear" w:color="000000" w:fill="FFFFFF"/>
            <w:vAlign w:val="bottom"/>
            <w:hideMark/>
          </w:tcPr>
          <w:p w:rsidR="00483C68" w:rsidRPr="00B37E75" w:rsidP="0014315C" w14:paraId="5638A6EB" w14:textId="77777777">
            <w:pPr>
              <w:jc w:val="right"/>
              <w:rPr>
                <w:sz w:val="13"/>
                <w:szCs w:val="13"/>
              </w:rPr>
            </w:pPr>
            <w:r w:rsidRPr="00B37E75">
              <w:rPr>
                <w:sz w:val="13"/>
                <w:szCs w:val="13"/>
              </w:rPr>
              <w:t xml:space="preserve">   (9,515)</w:t>
            </w:r>
          </w:p>
        </w:tc>
        <w:tc>
          <w:tcPr>
            <w:tcW w:w="2420" w:type="dxa"/>
            <w:tcBorders>
              <w:top w:val="nil"/>
              <w:left w:val="nil"/>
              <w:bottom w:val="nil"/>
              <w:right w:val="single" w:sz="8" w:space="0" w:color="auto"/>
            </w:tcBorders>
            <w:shd w:val="clear" w:color="000000" w:fill="FFFFFF"/>
            <w:vAlign w:val="bottom"/>
            <w:hideMark/>
          </w:tcPr>
          <w:p w:rsidR="00483C68" w:rsidRPr="00B37E75" w:rsidP="00BD11F2" w14:paraId="56687BAF" w14:textId="77777777">
            <w:pPr>
              <w:ind w:left="-72"/>
              <w:rPr>
                <w:sz w:val="13"/>
                <w:szCs w:val="13"/>
              </w:rPr>
            </w:pPr>
            <w:r w:rsidRPr="00B37E75">
              <w:rPr>
                <w:sz w:val="13"/>
                <w:szCs w:val="13"/>
              </w:rPr>
              <w:t>Purchase of Assets Offset</w:t>
            </w:r>
          </w:p>
        </w:tc>
      </w:tr>
      <w:tr w14:paraId="790A8F81" w14:textId="77777777" w:rsidTr="00E4149B">
        <w:tblPrEx>
          <w:tblW w:w="5000" w:type="pct"/>
          <w:tblLook w:val="04A0"/>
        </w:tblPrEx>
        <w:trPr>
          <w:trHeight w:val="20"/>
        </w:trPr>
        <w:tc>
          <w:tcPr>
            <w:tcW w:w="2240" w:type="dxa"/>
            <w:tcBorders>
              <w:left w:val="single" w:sz="8" w:space="0" w:color="auto"/>
              <w:bottom w:val="nil"/>
              <w:right w:val="nil"/>
            </w:tcBorders>
            <w:shd w:val="clear" w:color="000000" w:fill="FFFFFF"/>
            <w:vAlign w:val="bottom"/>
            <w:hideMark/>
          </w:tcPr>
          <w:p w:rsidR="00483C68" w:rsidRPr="00B37E75" w:rsidP="00221CC9" w14:paraId="03E15ABA" w14:textId="402A5988">
            <w:pPr>
              <w:ind w:left="-72"/>
              <w:rPr>
                <w:sz w:val="13"/>
                <w:szCs w:val="13"/>
              </w:rPr>
            </w:pPr>
          </w:p>
        </w:tc>
        <w:tc>
          <w:tcPr>
            <w:tcW w:w="1080" w:type="dxa"/>
            <w:tcBorders>
              <w:top w:val="nil"/>
              <w:left w:val="nil"/>
              <w:bottom w:val="nil"/>
              <w:right w:val="single" w:sz="8" w:space="0" w:color="auto"/>
            </w:tcBorders>
            <w:shd w:val="clear" w:color="000000" w:fill="FFFFFF"/>
            <w:vAlign w:val="bottom"/>
            <w:hideMark/>
          </w:tcPr>
          <w:p w:rsidR="00483C68" w:rsidRPr="00B37E75" w:rsidP="0014315C" w14:paraId="776254B4" w14:textId="77777777">
            <w:pPr>
              <w:jc w:val="right"/>
              <w:rPr>
                <w:sz w:val="13"/>
                <w:szCs w:val="13"/>
              </w:rPr>
            </w:pPr>
            <w:r w:rsidRPr="00B37E75">
              <w:rPr>
                <w:sz w:val="13"/>
                <w:szCs w:val="13"/>
              </w:rPr>
              <w:t> </w:t>
            </w:r>
          </w:p>
        </w:tc>
        <w:tc>
          <w:tcPr>
            <w:tcW w:w="1080" w:type="dxa"/>
            <w:tcBorders>
              <w:top w:val="single" w:sz="4" w:space="0" w:color="auto"/>
              <w:left w:val="nil"/>
              <w:bottom w:val="nil"/>
              <w:right w:val="nil"/>
            </w:tcBorders>
            <w:shd w:val="clear" w:color="000000" w:fill="FFFFFF"/>
            <w:vAlign w:val="bottom"/>
            <w:hideMark/>
          </w:tcPr>
          <w:p w:rsidR="00483C68" w:rsidRPr="00B37E75" w:rsidP="0014315C" w14:paraId="12587F81" w14:textId="77777777">
            <w:pPr>
              <w:jc w:val="right"/>
              <w:rPr>
                <w:b/>
                <w:bCs/>
                <w:i/>
                <w:iCs/>
                <w:sz w:val="13"/>
                <w:szCs w:val="13"/>
              </w:rPr>
            </w:pPr>
            <w:r w:rsidRPr="00B37E75">
              <w:rPr>
                <w:b/>
                <w:bCs/>
                <w:i/>
                <w:iCs/>
                <w:sz w:val="13"/>
                <w:szCs w:val="13"/>
              </w:rPr>
              <w:t xml:space="preserve">    - </w:t>
            </w:r>
          </w:p>
        </w:tc>
        <w:tc>
          <w:tcPr>
            <w:tcW w:w="1350" w:type="dxa"/>
            <w:tcBorders>
              <w:top w:val="single" w:sz="4" w:space="0" w:color="auto"/>
              <w:left w:val="nil"/>
              <w:bottom w:val="nil"/>
              <w:right w:val="nil"/>
            </w:tcBorders>
            <w:shd w:val="clear" w:color="000000" w:fill="FFFFFF"/>
            <w:vAlign w:val="bottom"/>
            <w:hideMark/>
          </w:tcPr>
          <w:p w:rsidR="00483C68" w:rsidRPr="00B37E75" w:rsidP="0014315C" w14:paraId="682020B2" w14:textId="77777777">
            <w:pPr>
              <w:jc w:val="right"/>
              <w:rPr>
                <w:b/>
                <w:bCs/>
                <w:i/>
                <w:iCs/>
                <w:sz w:val="13"/>
                <w:szCs w:val="13"/>
              </w:rPr>
            </w:pPr>
            <w:r w:rsidRPr="00B37E75">
              <w:rPr>
                <w:b/>
                <w:bCs/>
                <w:i/>
                <w:iCs/>
                <w:sz w:val="13"/>
                <w:szCs w:val="13"/>
              </w:rPr>
              <w:t xml:space="preserve">   123,322 </w:t>
            </w:r>
          </w:p>
        </w:tc>
        <w:tc>
          <w:tcPr>
            <w:tcW w:w="1170" w:type="dxa"/>
            <w:tcBorders>
              <w:top w:val="single" w:sz="4" w:space="0" w:color="auto"/>
              <w:left w:val="nil"/>
              <w:bottom w:val="nil"/>
              <w:right w:val="nil"/>
            </w:tcBorders>
            <w:shd w:val="clear" w:color="000000" w:fill="FFFFFF"/>
            <w:vAlign w:val="bottom"/>
            <w:hideMark/>
          </w:tcPr>
          <w:p w:rsidR="00483C68" w:rsidRPr="00B37E75" w:rsidP="0014315C" w14:paraId="33934CA5" w14:textId="77777777">
            <w:pPr>
              <w:jc w:val="right"/>
              <w:rPr>
                <w:b/>
                <w:bCs/>
                <w:i/>
                <w:iCs/>
                <w:sz w:val="13"/>
                <w:szCs w:val="13"/>
              </w:rPr>
            </w:pPr>
            <w:r w:rsidRPr="00B37E75">
              <w:rPr>
                <w:b/>
                <w:bCs/>
                <w:i/>
                <w:iCs/>
                <w:sz w:val="13"/>
                <w:szCs w:val="13"/>
              </w:rPr>
              <w:t xml:space="preserve">  123,322 </w:t>
            </w:r>
          </w:p>
        </w:tc>
        <w:tc>
          <w:tcPr>
            <w:tcW w:w="2420" w:type="dxa"/>
            <w:tcBorders>
              <w:top w:val="nil"/>
              <w:left w:val="nil"/>
              <w:bottom w:val="nil"/>
              <w:right w:val="single" w:sz="8" w:space="0" w:color="auto"/>
            </w:tcBorders>
            <w:shd w:val="clear" w:color="000000" w:fill="FFFFFF"/>
            <w:vAlign w:val="bottom"/>
            <w:hideMark/>
          </w:tcPr>
          <w:p w:rsidR="00483C68" w:rsidRPr="00B37E75" w:rsidP="00BD11F2" w14:paraId="34F012B6" w14:textId="77777777">
            <w:pPr>
              <w:ind w:left="-72"/>
              <w:rPr>
                <w:b/>
                <w:bCs/>
                <w:i/>
                <w:iCs/>
                <w:sz w:val="13"/>
                <w:szCs w:val="13"/>
              </w:rPr>
            </w:pPr>
            <w:r w:rsidRPr="00B37E75">
              <w:rPr>
                <w:b/>
                <w:bCs/>
                <w:i/>
                <w:iCs/>
                <w:sz w:val="13"/>
                <w:szCs w:val="13"/>
              </w:rPr>
              <w:t>Total Intragovernmental Costs</w:t>
            </w:r>
          </w:p>
        </w:tc>
      </w:tr>
      <w:tr w14:paraId="118B8A8F" w14:textId="77777777" w:rsidTr="00083441">
        <w:tblPrEx>
          <w:tblW w:w="5000" w:type="pct"/>
          <w:tblLook w:val="04A0"/>
        </w:tblPrEx>
        <w:trPr>
          <w:trHeight w:val="20"/>
        </w:trPr>
        <w:tc>
          <w:tcPr>
            <w:tcW w:w="2240" w:type="dxa"/>
            <w:tcBorders>
              <w:top w:val="nil"/>
              <w:left w:val="single" w:sz="8" w:space="0" w:color="auto"/>
              <w:bottom w:val="single" w:sz="4" w:space="0" w:color="auto"/>
              <w:right w:val="nil"/>
            </w:tcBorders>
            <w:shd w:val="clear" w:color="000000" w:fill="FFFFFF"/>
            <w:vAlign w:val="bottom"/>
            <w:hideMark/>
          </w:tcPr>
          <w:p w:rsidR="00F40941" w:rsidRPr="00B37E75" w:rsidP="00221CC9" w14:paraId="25303B54" w14:textId="77777777">
            <w:pPr>
              <w:ind w:left="-72"/>
              <w:rPr>
                <w:b/>
                <w:bCs/>
                <w:i/>
                <w:iCs/>
                <w:sz w:val="13"/>
                <w:szCs w:val="13"/>
              </w:rPr>
            </w:pPr>
            <w:r w:rsidRPr="00B37E75">
              <w:rPr>
                <w:b/>
                <w:bCs/>
                <w:i/>
                <w:iCs/>
                <w:sz w:val="13"/>
                <w:szCs w:val="13"/>
              </w:rPr>
              <w:t>Total Gross Costs</w:t>
            </w:r>
          </w:p>
        </w:tc>
        <w:tc>
          <w:tcPr>
            <w:tcW w:w="1080" w:type="dxa"/>
            <w:tcBorders>
              <w:top w:val="single" w:sz="4" w:space="0" w:color="auto"/>
              <w:left w:val="nil"/>
              <w:bottom w:val="single" w:sz="4" w:space="0" w:color="auto"/>
              <w:right w:val="single" w:sz="8" w:space="0" w:color="auto"/>
            </w:tcBorders>
            <w:shd w:val="clear" w:color="000000" w:fill="FFFFFF"/>
            <w:vAlign w:val="bottom"/>
            <w:hideMark/>
          </w:tcPr>
          <w:p w:rsidR="00F40941" w:rsidRPr="00B37E75" w:rsidP="0014315C" w14:paraId="4660DBE8" w14:textId="51F178CF">
            <w:pPr>
              <w:jc w:val="right"/>
              <w:rPr>
                <w:b/>
                <w:bCs/>
                <w:i/>
                <w:iCs/>
                <w:sz w:val="13"/>
                <w:szCs w:val="13"/>
              </w:rPr>
            </w:pPr>
            <w:r w:rsidRPr="00B37E75">
              <w:rPr>
                <w:b/>
                <w:bCs/>
                <w:i/>
                <w:iCs/>
                <w:sz w:val="13"/>
                <w:szCs w:val="13"/>
              </w:rPr>
              <w:t>$</w:t>
            </w:r>
            <w:r w:rsidR="00AA7761">
              <w:rPr>
                <w:b/>
                <w:bCs/>
                <w:i/>
                <w:iCs/>
                <w:sz w:val="13"/>
                <w:szCs w:val="13"/>
              </w:rPr>
              <w:t xml:space="preserve">    </w:t>
            </w:r>
            <w:r w:rsidRPr="00B37E75">
              <w:rPr>
                <w:b/>
                <w:bCs/>
                <w:i/>
                <w:iCs/>
                <w:sz w:val="13"/>
                <w:szCs w:val="13"/>
              </w:rPr>
              <w:t xml:space="preserve">  10,873,465 </w:t>
            </w:r>
          </w:p>
        </w:tc>
        <w:tc>
          <w:tcPr>
            <w:tcW w:w="1080" w:type="dxa"/>
            <w:tcBorders>
              <w:top w:val="single" w:sz="4" w:space="0" w:color="auto"/>
              <w:left w:val="nil"/>
              <w:bottom w:val="single" w:sz="4" w:space="0" w:color="auto"/>
              <w:right w:val="nil"/>
            </w:tcBorders>
            <w:shd w:val="clear" w:color="000000" w:fill="FFFFFF"/>
            <w:vAlign w:val="bottom"/>
            <w:hideMark/>
          </w:tcPr>
          <w:p w:rsidR="00F40941" w:rsidRPr="00B37E75" w:rsidP="0014315C" w14:paraId="0CE13DAF" w14:textId="3AC1F3FA">
            <w:pPr>
              <w:jc w:val="right"/>
              <w:rPr>
                <w:b/>
                <w:bCs/>
                <w:i/>
                <w:iCs/>
                <w:sz w:val="13"/>
                <w:szCs w:val="13"/>
              </w:rPr>
            </w:pPr>
            <w:r w:rsidRPr="00B37E75">
              <w:rPr>
                <w:b/>
                <w:bCs/>
                <w:i/>
                <w:iCs/>
                <w:sz w:val="13"/>
                <w:szCs w:val="13"/>
              </w:rPr>
              <w:t>$</w:t>
            </w:r>
            <w:r w:rsidR="00AA7761">
              <w:rPr>
                <w:b/>
                <w:bCs/>
                <w:i/>
                <w:iCs/>
                <w:sz w:val="13"/>
                <w:szCs w:val="13"/>
              </w:rPr>
              <w:t xml:space="preserve">    </w:t>
            </w:r>
            <w:r w:rsidRPr="00B37E75">
              <w:rPr>
                <w:b/>
                <w:bCs/>
                <w:i/>
                <w:iCs/>
                <w:sz w:val="13"/>
                <w:szCs w:val="13"/>
              </w:rPr>
              <w:t xml:space="preserve">  10,303,597 </w:t>
            </w:r>
          </w:p>
        </w:tc>
        <w:tc>
          <w:tcPr>
            <w:tcW w:w="1350" w:type="dxa"/>
            <w:tcBorders>
              <w:top w:val="single" w:sz="4" w:space="0" w:color="auto"/>
              <w:left w:val="nil"/>
              <w:bottom w:val="single" w:sz="4" w:space="0" w:color="auto"/>
              <w:right w:val="nil"/>
            </w:tcBorders>
            <w:shd w:val="clear" w:color="000000" w:fill="FFFFFF"/>
            <w:vAlign w:val="bottom"/>
            <w:hideMark/>
          </w:tcPr>
          <w:p w:rsidR="00F40941" w:rsidRPr="00B37E75" w:rsidP="0014315C" w14:paraId="3808135A" w14:textId="3DD6839F">
            <w:pPr>
              <w:jc w:val="right"/>
              <w:rPr>
                <w:b/>
                <w:bCs/>
                <w:i/>
                <w:iCs/>
                <w:sz w:val="13"/>
                <w:szCs w:val="13"/>
              </w:rPr>
            </w:pPr>
            <w:r w:rsidRPr="00B37E75">
              <w:rPr>
                <w:b/>
                <w:bCs/>
                <w:i/>
                <w:iCs/>
                <w:sz w:val="13"/>
                <w:szCs w:val="13"/>
              </w:rPr>
              <w:t>$</w:t>
            </w:r>
            <w:r w:rsidR="002F6483">
              <w:rPr>
                <w:b/>
                <w:bCs/>
                <w:i/>
                <w:iCs/>
                <w:sz w:val="13"/>
                <w:szCs w:val="13"/>
              </w:rPr>
              <w:t xml:space="preserve">              </w:t>
            </w:r>
            <w:r w:rsidRPr="00B37E75">
              <w:rPr>
                <w:b/>
                <w:bCs/>
                <w:i/>
                <w:iCs/>
                <w:sz w:val="13"/>
                <w:szCs w:val="13"/>
              </w:rPr>
              <w:t xml:space="preserve">  3,654,042 </w:t>
            </w:r>
          </w:p>
        </w:tc>
        <w:tc>
          <w:tcPr>
            <w:tcW w:w="1170" w:type="dxa"/>
            <w:tcBorders>
              <w:top w:val="single" w:sz="4" w:space="0" w:color="auto"/>
              <w:left w:val="nil"/>
              <w:bottom w:val="single" w:sz="4" w:space="0" w:color="auto"/>
              <w:right w:val="nil"/>
            </w:tcBorders>
            <w:shd w:val="clear" w:color="000000" w:fill="FFFFFF"/>
            <w:vAlign w:val="bottom"/>
            <w:hideMark/>
          </w:tcPr>
          <w:p w:rsidR="00F40941" w:rsidRPr="00B37E75" w:rsidP="0014315C" w14:paraId="28DB470D" w14:textId="634338E0">
            <w:pPr>
              <w:jc w:val="right"/>
              <w:rPr>
                <w:b/>
                <w:bCs/>
                <w:i/>
                <w:iCs/>
                <w:sz w:val="13"/>
                <w:szCs w:val="13"/>
              </w:rPr>
            </w:pPr>
            <w:r w:rsidRPr="00B37E75">
              <w:rPr>
                <w:b/>
                <w:bCs/>
                <w:i/>
                <w:iCs/>
                <w:sz w:val="13"/>
                <w:szCs w:val="13"/>
              </w:rPr>
              <w:t>$</w:t>
            </w:r>
            <w:r w:rsidR="002F6483">
              <w:rPr>
                <w:b/>
                <w:bCs/>
                <w:i/>
                <w:iCs/>
                <w:sz w:val="13"/>
                <w:szCs w:val="13"/>
              </w:rPr>
              <w:t xml:space="preserve">        </w:t>
            </w:r>
            <w:r w:rsidRPr="00B37E75">
              <w:rPr>
                <w:b/>
                <w:bCs/>
                <w:i/>
                <w:iCs/>
                <w:sz w:val="13"/>
                <w:szCs w:val="13"/>
              </w:rPr>
              <w:t xml:space="preserve"> 13,957,639 </w:t>
            </w:r>
          </w:p>
        </w:tc>
        <w:tc>
          <w:tcPr>
            <w:tcW w:w="2420" w:type="dxa"/>
            <w:tcBorders>
              <w:top w:val="nil"/>
              <w:left w:val="nil"/>
              <w:bottom w:val="single" w:sz="4" w:space="0" w:color="auto"/>
              <w:right w:val="single" w:sz="8" w:space="0" w:color="auto"/>
            </w:tcBorders>
            <w:shd w:val="clear" w:color="000000" w:fill="FFFFFF"/>
            <w:vAlign w:val="bottom"/>
            <w:hideMark/>
          </w:tcPr>
          <w:p w:rsidR="00F40941" w:rsidRPr="00B37E75" w:rsidP="00BD11F2" w14:paraId="7F419203" w14:textId="77777777">
            <w:pPr>
              <w:ind w:left="-72"/>
              <w:rPr>
                <w:b/>
                <w:bCs/>
                <w:i/>
                <w:iCs/>
                <w:sz w:val="13"/>
                <w:szCs w:val="13"/>
              </w:rPr>
            </w:pPr>
            <w:r w:rsidRPr="00B37E75">
              <w:rPr>
                <w:b/>
                <w:bCs/>
                <w:i/>
                <w:iCs/>
                <w:sz w:val="13"/>
                <w:szCs w:val="13"/>
              </w:rPr>
              <w:t>Total Reclassified Gross Costs</w:t>
            </w:r>
          </w:p>
        </w:tc>
      </w:tr>
      <w:tr w14:paraId="646508D1" w14:textId="77777777" w:rsidTr="001A2D52">
        <w:tblPrEx>
          <w:tblW w:w="5000" w:type="pct"/>
          <w:tblLook w:val="04A0"/>
        </w:tblPrEx>
        <w:trPr>
          <w:trHeight w:val="20"/>
        </w:trPr>
        <w:tc>
          <w:tcPr>
            <w:tcW w:w="2240" w:type="dxa"/>
            <w:tcBorders>
              <w:top w:val="nil"/>
              <w:left w:val="single" w:sz="8" w:space="0" w:color="auto"/>
              <w:bottom w:val="nil"/>
              <w:right w:val="nil"/>
            </w:tcBorders>
            <w:shd w:val="clear" w:color="000000" w:fill="FFFFFF"/>
            <w:hideMark/>
          </w:tcPr>
          <w:p w:rsidR="00F40941" w:rsidRPr="00B37E75" w:rsidP="00221CC9" w14:paraId="314F4107" w14:textId="77777777">
            <w:pPr>
              <w:ind w:left="-72"/>
              <w:rPr>
                <w:b/>
                <w:bCs/>
                <w:sz w:val="13"/>
                <w:szCs w:val="13"/>
              </w:rPr>
            </w:pPr>
            <w:r w:rsidRPr="00B37E75">
              <w:rPr>
                <w:b/>
                <w:bCs/>
                <w:sz w:val="13"/>
                <w:szCs w:val="13"/>
              </w:rPr>
              <w:t>Earned Revenue</w:t>
            </w:r>
            <w:r w:rsidRPr="00B37E75">
              <w:rPr>
                <w:b/>
                <w:bCs/>
                <w:sz w:val="13"/>
                <w:szCs w:val="13"/>
                <w:vertAlign w:val="superscript"/>
              </w:rPr>
              <w:t>3</w:t>
            </w:r>
          </w:p>
        </w:tc>
        <w:tc>
          <w:tcPr>
            <w:tcW w:w="1080" w:type="dxa"/>
            <w:tcBorders>
              <w:top w:val="nil"/>
              <w:left w:val="nil"/>
              <w:bottom w:val="nil"/>
              <w:right w:val="single" w:sz="8" w:space="0" w:color="auto"/>
            </w:tcBorders>
            <w:shd w:val="clear" w:color="000000" w:fill="FFFFFF"/>
            <w:vAlign w:val="bottom"/>
            <w:hideMark/>
          </w:tcPr>
          <w:p w:rsidR="00F40941" w:rsidRPr="00B37E75" w:rsidP="0014315C" w14:paraId="487E8268" w14:textId="77777777">
            <w:pPr>
              <w:jc w:val="right"/>
              <w:rPr>
                <w:sz w:val="13"/>
                <w:szCs w:val="13"/>
              </w:rPr>
            </w:pPr>
            <w:r w:rsidRPr="00B37E75">
              <w:rPr>
                <w:sz w:val="13"/>
                <w:szCs w:val="13"/>
              </w:rPr>
              <w:t xml:space="preserve">   (506,433)</w:t>
            </w:r>
          </w:p>
        </w:tc>
        <w:tc>
          <w:tcPr>
            <w:tcW w:w="1080" w:type="dxa"/>
            <w:tcBorders>
              <w:top w:val="nil"/>
              <w:left w:val="nil"/>
              <w:bottom w:val="nil"/>
              <w:right w:val="nil"/>
            </w:tcBorders>
            <w:shd w:val="clear" w:color="000000" w:fill="FFFFFF"/>
            <w:vAlign w:val="bottom"/>
            <w:hideMark/>
          </w:tcPr>
          <w:p w:rsidR="00F40941" w:rsidRPr="00B37E75" w:rsidP="0014315C" w14:paraId="385DB9F5" w14:textId="77777777">
            <w:pPr>
              <w:jc w:val="right"/>
              <w:rPr>
                <w:sz w:val="13"/>
                <w:szCs w:val="13"/>
              </w:rPr>
            </w:pPr>
            <w:r w:rsidRPr="00B37E75">
              <w:rPr>
                <w:sz w:val="13"/>
                <w:szCs w:val="13"/>
              </w:rPr>
              <w:t> </w:t>
            </w:r>
          </w:p>
        </w:tc>
        <w:tc>
          <w:tcPr>
            <w:tcW w:w="1350" w:type="dxa"/>
            <w:tcBorders>
              <w:top w:val="nil"/>
              <w:left w:val="nil"/>
              <w:bottom w:val="nil"/>
              <w:right w:val="nil"/>
            </w:tcBorders>
            <w:shd w:val="clear" w:color="000000" w:fill="FFFFFF"/>
            <w:vAlign w:val="bottom"/>
            <w:hideMark/>
          </w:tcPr>
          <w:p w:rsidR="00F40941" w:rsidRPr="00B37E75" w:rsidP="0014315C" w14:paraId="7EB3AE3D" w14:textId="77777777">
            <w:pPr>
              <w:jc w:val="right"/>
              <w:rPr>
                <w:sz w:val="13"/>
                <w:szCs w:val="13"/>
              </w:rPr>
            </w:pPr>
            <w:r w:rsidRPr="00B37E75">
              <w:rPr>
                <w:sz w:val="13"/>
                <w:szCs w:val="13"/>
              </w:rPr>
              <w:t xml:space="preserve">   (372,598)</w:t>
            </w:r>
          </w:p>
        </w:tc>
        <w:tc>
          <w:tcPr>
            <w:tcW w:w="1170" w:type="dxa"/>
            <w:tcBorders>
              <w:top w:val="nil"/>
              <w:left w:val="nil"/>
              <w:bottom w:val="nil"/>
              <w:right w:val="nil"/>
            </w:tcBorders>
            <w:shd w:val="clear" w:color="000000" w:fill="FFFFFF"/>
            <w:vAlign w:val="bottom"/>
            <w:hideMark/>
          </w:tcPr>
          <w:p w:rsidR="00F40941" w:rsidRPr="00B37E75" w:rsidP="0014315C" w14:paraId="4E3049E1" w14:textId="77777777">
            <w:pPr>
              <w:jc w:val="right"/>
              <w:rPr>
                <w:sz w:val="13"/>
                <w:szCs w:val="13"/>
              </w:rPr>
            </w:pPr>
            <w:r w:rsidRPr="00B37E75">
              <w:rPr>
                <w:sz w:val="13"/>
                <w:szCs w:val="13"/>
              </w:rPr>
              <w:t xml:space="preserve">  (372,598)</w:t>
            </w:r>
          </w:p>
        </w:tc>
        <w:tc>
          <w:tcPr>
            <w:tcW w:w="2420" w:type="dxa"/>
            <w:tcBorders>
              <w:top w:val="nil"/>
              <w:left w:val="nil"/>
              <w:bottom w:val="nil"/>
              <w:right w:val="single" w:sz="8" w:space="0" w:color="auto"/>
            </w:tcBorders>
            <w:shd w:val="clear" w:color="000000" w:fill="FFFFFF"/>
            <w:vAlign w:val="bottom"/>
            <w:hideMark/>
          </w:tcPr>
          <w:p w:rsidR="00F40941" w:rsidRPr="00B37E75" w:rsidP="00BD11F2" w14:paraId="2D8F0FFC" w14:textId="77777777">
            <w:pPr>
              <w:ind w:left="-72"/>
              <w:rPr>
                <w:sz w:val="13"/>
                <w:szCs w:val="13"/>
              </w:rPr>
            </w:pPr>
            <w:r w:rsidRPr="00B37E75">
              <w:rPr>
                <w:sz w:val="13"/>
                <w:szCs w:val="13"/>
              </w:rPr>
              <w:t>Non-Federal Earned Revenue</w:t>
            </w:r>
          </w:p>
        </w:tc>
      </w:tr>
      <w:tr w14:paraId="38E6297F" w14:textId="77777777" w:rsidTr="00B665FD">
        <w:tblPrEx>
          <w:tblW w:w="5000" w:type="pct"/>
          <w:tblLook w:val="04A0"/>
        </w:tblPrEx>
        <w:trPr>
          <w:trHeight w:val="20"/>
        </w:trPr>
        <w:tc>
          <w:tcPr>
            <w:tcW w:w="2240" w:type="dxa"/>
            <w:tcBorders>
              <w:top w:val="nil"/>
              <w:left w:val="single" w:sz="8" w:space="0" w:color="auto"/>
              <w:bottom w:val="nil"/>
              <w:right w:val="nil"/>
            </w:tcBorders>
            <w:shd w:val="clear" w:color="000000" w:fill="FFFFFF"/>
            <w:vAlign w:val="bottom"/>
            <w:hideMark/>
          </w:tcPr>
          <w:p w:rsidR="00F40941" w:rsidRPr="00B37E75" w:rsidP="00221CC9" w14:paraId="131024B4" w14:textId="77777777">
            <w:pPr>
              <w:ind w:left="-72"/>
              <w:rPr>
                <w:b/>
                <w:bCs/>
                <w:sz w:val="13"/>
                <w:szCs w:val="13"/>
              </w:rPr>
            </w:pPr>
          </w:p>
        </w:tc>
        <w:tc>
          <w:tcPr>
            <w:tcW w:w="1080" w:type="dxa"/>
            <w:tcBorders>
              <w:top w:val="nil"/>
              <w:left w:val="nil"/>
              <w:bottom w:val="nil"/>
              <w:right w:val="single" w:sz="8" w:space="0" w:color="auto"/>
            </w:tcBorders>
            <w:shd w:val="clear" w:color="000000" w:fill="FFFFFF"/>
            <w:vAlign w:val="bottom"/>
            <w:hideMark/>
          </w:tcPr>
          <w:p w:rsidR="00F40941" w:rsidRPr="00B37E75" w:rsidP="0014315C" w14:paraId="6D5CBAA5" w14:textId="77777777">
            <w:pPr>
              <w:jc w:val="right"/>
              <w:rPr>
                <w:sz w:val="13"/>
                <w:szCs w:val="13"/>
              </w:rPr>
            </w:pPr>
            <w:r w:rsidRPr="00B37E75">
              <w:rPr>
                <w:sz w:val="13"/>
                <w:szCs w:val="13"/>
              </w:rPr>
              <w:t> </w:t>
            </w:r>
          </w:p>
        </w:tc>
        <w:tc>
          <w:tcPr>
            <w:tcW w:w="1080" w:type="dxa"/>
            <w:tcBorders>
              <w:top w:val="nil"/>
              <w:left w:val="nil"/>
              <w:bottom w:val="nil"/>
              <w:right w:val="nil"/>
            </w:tcBorders>
            <w:shd w:val="clear" w:color="000000" w:fill="FFFFFF"/>
            <w:vAlign w:val="bottom"/>
            <w:hideMark/>
          </w:tcPr>
          <w:p w:rsidR="00F40941" w:rsidRPr="00B37E75" w:rsidP="0014315C" w14:paraId="1971410F" w14:textId="77777777">
            <w:pPr>
              <w:jc w:val="right"/>
              <w:rPr>
                <w:sz w:val="13"/>
                <w:szCs w:val="13"/>
              </w:rPr>
            </w:pPr>
            <w:r w:rsidRPr="00B37E75">
              <w:rPr>
                <w:sz w:val="13"/>
                <w:szCs w:val="13"/>
              </w:rPr>
              <w:t> </w:t>
            </w:r>
          </w:p>
        </w:tc>
        <w:tc>
          <w:tcPr>
            <w:tcW w:w="1350" w:type="dxa"/>
            <w:tcBorders>
              <w:top w:val="nil"/>
              <w:left w:val="nil"/>
              <w:bottom w:val="nil"/>
              <w:right w:val="nil"/>
            </w:tcBorders>
            <w:shd w:val="clear" w:color="000000" w:fill="FFFFFF"/>
            <w:vAlign w:val="bottom"/>
            <w:hideMark/>
          </w:tcPr>
          <w:p w:rsidR="00F40941" w:rsidRPr="00B37E75" w:rsidP="0014315C" w14:paraId="28D98C55" w14:textId="77777777">
            <w:pPr>
              <w:jc w:val="right"/>
              <w:rPr>
                <w:sz w:val="13"/>
                <w:szCs w:val="13"/>
              </w:rPr>
            </w:pPr>
            <w:r w:rsidRPr="00B37E75">
              <w:rPr>
                <w:sz w:val="13"/>
                <w:szCs w:val="13"/>
              </w:rPr>
              <w:t> </w:t>
            </w:r>
          </w:p>
        </w:tc>
        <w:tc>
          <w:tcPr>
            <w:tcW w:w="1170" w:type="dxa"/>
            <w:tcBorders>
              <w:top w:val="nil"/>
              <w:left w:val="nil"/>
              <w:bottom w:val="nil"/>
              <w:right w:val="nil"/>
            </w:tcBorders>
            <w:shd w:val="clear" w:color="000000" w:fill="FFFFFF"/>
            <w:vAlign w:val="bottom"/>
            <w:hideMark/>
          </w:tcPr>
          <w:p w:rsidR="00F40941" w:rsidRPr="00B37E75" w:rsidP="0014315C" w14:paraId="3CE94EFA" w14:textId="77777777">
            <w:pPr>
              <w:jc w:val="right"/>
              <w:rPr>
                <w:sz w:val="13"/>
                <w:szCs w:val="13"/>
              </w:rPr>
            </w:pPr>
            <w:r w:rsidRPr="00B37E75">
              <w:rPr>
                <w:sz w:val="13"/>
                <w:szCs w:val="13"/>
              </w:rPr>
              <w:t> </w:t>
            </w:r>
          </w:p>
        </w:tc>
        <w:tc>
          <w:tcPr>
            <w:tcW w:w="2420" w:type="dxa"/>
            <w:tcBorders>
              <w:top w:val="nil"/>
              <w:left w:val="nil"/>
              <w:bottom w:val="nil"/>
              <w:right w:val="single" w:sz="8" w:space="0" w:color="auto"/>
            </w:tcBorders>
            <w:shd w:val="clear" w:color="000000" w:fill="FFFFFF"/>
            <w:vAlign w:val="bottom"/>
            <w:hideMark/>
          </w:tcPr>
          <w:p w:rsidR="00F40941" w:rsidRPr="00B37E75" w:rsidP="00BD11F2" w14:paraId="5D87AC34" w14:textId="77777777">
            <w:pPr>
              <w:ind w:left="-72"/>
              <w:rPr>
                <w:b/>
                <w:bCs/>
                <w:i/>
                <w:iCs/>
                <w:sz w:val="13"/>
                <w:szCs w:val="13"/>
              </w:rPr>
            </w:pPr>
            <w:r w:rsidRPr="00B37E75">
              <w:rPr>
                <w:b/>
                <w:bCs/>
                <w:i/>
                <w:iCs/>
                <w:sz w:val="13"/>
                <w:szCs w:val="13"/>
              </w:rPr>
              <w:t>Intragovernmental Revenue</w:t>
            </w:r>
          </w:p>
        </w:tc>
      </w:tr>
      <w:tr w14:paraId="11631C45" w14:textId="77777777" w:rsidTr="00B665FD">
        <w:tblPrEx>
          <w:tblW w:w="5000" w:type="pct"/>
          <w:tblLook w:val="04A0"/>
        </w:tblPrEx>
        <w:trPr>
          <w:trHeight w:val="20"/>
        </w:trPr>
        <w:tc>
          <w:tcPr>
            <w:tcW w:w="2240" w:type="dxa"/>
            <w:tcBorders>
              <w:top w:val="nil"/>
              <w:left w:val="single" w:sz="8" w:space="0" w:color="auto"/>
              <w:bottom w:val="nil"/>
              <w:right w:val="nil"/>
            </w:tcBorders>
            <w:shd w:val="clear" w:color="000000" w:fill="FFFFFF"/>
            <w:vAlign w:val="bottom"/>
            <w:hideMark/>
          </w:tcPr>
          <w:p w:rsidR="00F40941" w:rsidRPr="00B37E75" w:rsidP="00221CC9" w14:paraId="70D2C879" w14:textId="77777777">
            <w:pPr>
              <w:ind w:left="-72"/>
              <w:rPr>
                <w:b/>
                <w:bCs/>
                <w:sz w:val="13"/>
                <w:szCs w:val="13"/>
              </w:rPr>
            </w:pPr>
          </w:p>
        </w:tc>
        <w:tc>
          <w:tcPr>
            <w:tcW w:w="1080" w:type="dxa"/>
            <w:tcBorders>
              <w:top w:val="nil"/>
              <w:left w:val="nil"/>
              <w:bottom w:val="nil"/>
              <w:right w:val="single" w:sz="8" w:space="0" w:color="auto"/>
            </w:tcBorders>
            <w:shd w:val="clear" w:color="000000" w:fill="FFFFFF"/>
            <w:vAlign w:val="bottom"/>
            <w:hideMark/>
          </w:tcPr>
          <w:p w:rsidR="00F40941" w:rsidRPr="00B37E75" w:rsidP="0014315C" w14:paraId="6161B3E7" w14:textId="77777777">
            <w:pPr>
              <w:jc w:val="right"/>
              <w:rPr>
                <w:sz w:val="13"/>
                <w:szCs w:val="13"/>
              </w:rPr>
            </w:pPr>
            <w:r w:rsidRPr="00B37E75">
              <w:rPr>
                <w:sz w:val="13"/>
                <w:szCs w:val="13"/>
              </w:rPr>
              <w:t> </w:t>
            </w:r>
          </w:p>
        </w:tc>
        <w:tc>
          <w:tcPr>
            <w:tcW w:w="1080" w:type="dxa"/>
            <w:tcBorders>
              <w:top w:val="nil"/>
              <w:left w:val="nil"/>
              <w:bottom w:val="nil"/>
              <w:right w:val="nil"/>
            </w:tcBorders>
            <w:shd w:val="clear" w:color="000000" w:fill="FFFFFF"/>
            <w:vAlign w:val="bottom"/>
            <w:hideMark/>
          </w:tcPr>
          <w:p w:rsidR="00F40941" w:rsidRPr="00B37E75" w:rsidP="0014315C" w14:paraId="7C3F9F1F" w14:textId="77777777">
            <w:pPr>
              <w:jc w:val="right"/>
              <w:rPr>
                <w:sz w:val="13"/>
                <w:szCs w:val="13"/>
              </w:rPr>
            </w:pPr>
            <w:r w:rsidRPr="00B37E75">
              <w:rPr>
                <w:sz w:val="13"/>
                <w:szCs w:val="13"/>
              </w:rPr>
              <w:t> </w:t>
            </w:r>
          </w:p>
        </w:tc>
        <w:tc>
          <w:tcPr>
            <w:tcW w:w="1350" w:type="dxa"/>
            <w:tcBorders>
              <w:top w:val="nil"/>
              <w:left w:val="nil"/>
              <w:bottom w:val="nil"/>
              <w:right w:val="nil"/>
            </w:tcBorders>
            <w:shd w:val="clear" w:color="000000" w:fill="FFFFFF"/>
            <w:vAlign w:val="bottom"/>
            <w:hideMark/>
          </w:tcPr>
          <w:p w:rsidR="00F40941" w:rsidRPr="00B37E75" w:rsidP="0014315C" w14:paraId="2FC87248" w14:textId="77777777">
            <w:pPr>
              <w:jc w:val="right"/>
              <w:rPr>
                <w:sz w:val="13"/>
                <w:szCs w:val="13"/>
              </w:rPr>
            </w:pPr>
            <w:r w:rsidRPr="00B37E75">
              <w:rPr>
                <w:sz w:val="13"/>
                <w:szCs w:val="13"/>
              </w:rPr>
              <w:t xml:space="preserve">   (1,295)</w:t>
            </w:r>
          </w:p>
        </w:tc>
        <w:tc>
          <w:tcPr>
            <w:tcW w:w="1170" w:type="dxa"/>
            <w:tcBorders>
              <w:top w:val="nil"/>
              <w:left w:val="nil"/>
              <w:bottom w:val="nil"/>
              <w:right w:val="nil"/>
            </w:tcBorders>
            <w:shd w:val="clear" w:color="000000" w:fill="FFFFFF"/>
            <w:vAlign w:val="bottom"/>
            <w:hideMark/>
          </w:tcPr>
          <w:p w:rsidR="00F40941" w:rsidRPr="00B37E75" w:rsidP="0014315C" w14:paraId="37D4FE1C" w14:textId="0EAF569A">
            <w:pPr>
              <w:jc w:val="right"/>
              <w:rPr>
                <w:sz w:val="13"/>
                <w:szCs w:val="13"/>
              </w:rPr>
            </w:pPr>
            <w:r w:rsidRPr="00B37E75">
              <w:rPr>
                <w:sz w:val="13"/>
                <w:szCs w:val="13"/>
              </w:rPr>
              <w:t>(1,295)</w:t>
            </w:r>
          </w:p>
        </w:tc>
        <w:tc>
          <w:tcPr>
            <w:tcW w:w="2420" w:type="dxa"/>
            <w:tcBorders>
              <w:top w:val="nil"/>
              <w:left w:val="nil"/>
              <w:bottom w:val="nil"/>
              <w:right w:val="single" w:sz="8" w:space="0" w:color="auto"/>
            </w:tcBorders>
            <w:shd w:val="clear" w:color="000000" w:fill="FFFFFF"/>
            <w:vAlign w:val="bottom"/>
            <w:hideMark/>
          </w:tcPr>
          <w:p w:rsidR="00F40941" w:rsidRPr="00B37E75" w:rsidP="00BD11F2" w14:paraId="01255CBB" w14:textId="77777777">
            <w:pPr>
              <w:ind w:left="-72"/>
              <w:rPr>
                <w:sz w:val="13"/>
                <w:szCs w:val="13"/>
              </w:rPr>
            </w:pPr>
            <w:r w:rsidRPr="00B37E75">
              <w:rPr>
                <w:sz w:val="13"/>
                <w:szCs w:val="13"/>
              </w:rPr>
              <w:t>Buy/Sell Revenue</w:t>
            </w:r>
          </w:p>
        </w:tc>
      </w:tr>
      <w:tr w14:paraId="4019907C" w14:textId="77777777" w:rsidTr="00B665FD">
        <w:tblPrEx>
          <w:tblW w:w="5000" w:type="pct"/>
          <w:tblLook w:val="04A0"/>
        </w:tblPrEx>
        <w:trPr>
          <w:trHeight w:val="20"/>
        </w:trPr>
        <w:tc>
          <w:tcPr>
            <w:tcW w:w="2240" w:type="dxa"/>
            <w:tcBorders>
              <w:top w:val="nil"/>
              <w:left w:val="single" w:sz="8" w:space="0" w:color="auto"/>
              <w:bottom w:val="nil"/>
              <w:right w:val="nil"/>
            </w:tcBorders>
            <w:shd w:val="clear" w:color="000000" w:fill="FFFFFF"/>
            <w:vAlign w:val="bottom"/>
            <w:hideMark/>
          </w:tcPr>
          <w:p w:rsidR="00F40941" w:rsidRPr="00B37E75" w:rsidP="00221CC9" w14:paraId="22404E99" w14:textId="77777777">
            <w:pPr>
              <w:ind w:left="-72"/>
              <w:rPr>
                <w:b/>
                <w:bCs/>
                <w:sz w:val="13"/>
                <w:szCs w:val="13"/>
              </w:rPr>
            </w:pPr>
          </w:p>
        </w:tc>
        <w:tc>
          <w:tcPr>
            <w:tcW w:w="1080" w:type="dxa"/>
            <w:tcBorders>
              <w:top w:val="nil"/>
              <w:left w:val="nil"/>
              <w:bottom w:val="nil"/>
              <w:right w:val="single" w:sz="8" w:space="0" w:color="auto"/>
            </w:tcBorders>
            <w:shd w:val="clear" w:color="000000" w:fill="FFFFFF"/>
            <w:vAlign w:val="bottom"/>
            <w:hideMark/>
          </w:tcPr>
          <w:p w:rsidR="00F40941" w:rsidRPr="00B37E75" w:rsidP="0014315C" w14:paraId="18140629" w14:textId="77777777">
            <w:pPr>
              <w:jc w:val="right"/>
              <w:rPr>
                <w:sz w:val="13"/>
                <w:szCs w:val="13"/>
              </w:rPr>
            </w:pPr>
            <w:r w:rsidRPr="00B37E75">
              <w:rPr>
                <w:sz w:val="13"/>
                <w:szCs w:val="13"/>
              </w:rPr>
              <w:t> </w:t>
            </w:r>
          </w:p>
        </w:tc>
        <w:tc>
          <w:tcPr>
            <w:tcW w:w="1080" w:type="dxa"/>
            <w:tcBorders>
              <w:top w:val="nil"/>
              <w:left w:val="nil"/>
              <w:bottom w:val="nil"/>
              <w:right w:val="nil"/>
            </w:tcBorders>
            <w:shd w:val="clear" w:color="000000" w:fill="FFFFFF"/>
            <w:vAlign w:val="bottom"/>
            <w:hideMark/>
          </w:tcPr>
          <w:p w:rsidR="00F40941" w:rsidRPr="00B37E75" w:rsidP="0014315C" w14:paraId="533D0210" w14:textId="77777777">
            <w:pPr>
              <w:jc w:val="right"/>
              <w:rPr>
                <w:sz w:val="13"/>
                <w:szCs w:val="13"/>
              </w:rPr>
            </w:pPr>
            <w:r w:rsidRPr="00B37E75">
              <w:rPr>
                <w:sz w:val="13"/>
                <w:szCs w:val="13"/>
              </w:rPr>
              <w:t> </w:t>
            </w:r>
          </w:p>
        </w:tc>
        <w:tc>
          <w:tcPr>
            <w:tcW w:w="1350" w:type="dxa"/>
            <w:tcBorders>
              <w:top w:val="nil"/>
              <w:left w:val="nil"/>
              <w:bottom w:val="nil"/>
              <w:right w:val="nil"/>
            </w:tcBorders>
            <w:shd w:val="clear" w:color="000000" w:fill="FFFFFF"/>
            <w:vAlign w:val="bottom"/>
            <w:hideMark/>
          </w:tcPr>
          <w:p w:rsidR="00F40941" w:rsidRPr="00B37E75" w:rsidP="0014315C" w14:paraId="6684F39E" w14:textId="77777777">
            <w:pPr>
              <w:jc w:val="right"/>
              <w:rPr>
                <w:sz w:val="13"/>
                <w:szCs w:val="13"/>
              </w:rPr>
            </w:pPr>
            <w:r w:rsidRPr="00B37E75">
              <w:rPr>
                <w:sz w:val="13"/>
                <w:szCs w:val="13"/>
              </w:rPr>
              <w:t xml:space="preserve">    (2)</w:t>
            </w:r>
          </w:p>
        </w:tc>
        <w:tc>
          <w:tcPr>
            <w:tcW w:w="1170" w:type="dxa"/>
            <w:tcBorders>
              <w:top w:val="nil"/>
              <w:left w:val="nil"/>
              <w:bottom w:val="nil"/>
              <w:right w:val="nil"/>
            </w:tcBorders>
            <w:shd w:val="clear" w:color="000000" w:fill="FFFFFF"/>
            <w:vAlign w:val="bottom"/>
            <w:hideMark/>
          </w:tcPr>
          <w:p w:rsidR="00F40941" w:rsidRPr="00B37E75" w:rsidP="0014315C" w14:paraId="1582E7CA" w14:textId="77777777">
            <w:pPr>
              <w:jc w:val="right"/>
              <w:rPr>
                <w:sz w:val="13"/>
                <w:szCs w:val="13"/>
              </w:rPr>
            </w:pPr>
            <w:r w:rsidRPr="00B37E75">
              <w:rPr>
                <w:sz w:val="13"/>
                <w:szCs w:val="13"/>
              </w:rPr>
              <w:t xml:space="preserve">    (2)</w:t>
            </w:r>
          </w:p>
        </w:tc>
        <w:tc>
          <w:tcPr>
            <w:tcW w:w="2420" w:type="dxa"/>
            <w:tcBorders>
              <w:top w:val="nil"/>
              <w:left w:val="nil"/>
              <w:bottom w:val="nil"/>
              <w:right w:val="single" w:sz="8" w:space="0" w:color="auto"/>
            </w:tcBorders>
            <w:shd w:val="clear" w:color="000000" w:fill="FFFFFF"/>
            <w:vAlign w:val="bottom"/>
            <w:hideMark/>
          </w:tcPr>
          <w:p w:rsidR="00F40941" w:rsidRPr="00B37E75" w:rsidP="00BD11F2" w14:paraId="5A02FFBB" w14:textId="77777777">
            <w:pPr>
              <w:ind w:left="-72"/>
              <w:rPr>
                <w:sz w:val="13"/>
                <w:szCs w:val="13"/>
              </w:rPr>
            </w:pPr>
            <w:r w:rsidRPr="00B37E75">
              <w:rPr>
                <w:sz w:val="13"/>
                <w:szCs w:val="13"/>
              </w:rPr>
              <w:t>Borrowing and Other Interest Revenue</w:t>
            </w:r>
          </w:p>
        </w:tc>
      </w:tr>
      <w:tr w14:paraId="1924725C" w14:textId="77777777" w:rsidTr="00B665FD">
        <w:tblPrEx>
          <w:tblW w:w="5000" w:type="pct"/>
          <w:tblLook w:val="04A0"/>
        </w:tblPrEx>
        <w:trPr>
          <w:trHeight w:val="20"/>
        </w:trPr>
        <w:tc>
          <w:tcPr>
            <w:tcW w:w="2240" w:type="dxa"/>
            <w:tcBorders>
              <w:top w:val="nil"/>
              <w:left w:val="single" w:sz="8" w:space="0" w:color="auto"/>
              <w:bottom w:val="nil"/>
              <w:right w:val="nil"/>
            </w:tcBorders>
            <w:shd w:val="clear" w:color="000000" w:fill="FFFFFF"/>
            <w:vAlign w:val="bottom"/>
            <w:hideMark/>
          </w:tcPr>
          <w:p w:rsidR="00F40941" w:rsidRPr="00B37E75" w:rsidP="00221CC9" w14:paraId="2FC8BFF0" w14:textId="77777777">
            <w:pPr>
              <w:ind w:left="-72"/>
              <w:rPr>
                <w:b/>
                <w:bCs/>
                <w:sz w:val="13"/>
                <w:szCs w:val="13"/>
              </w:rPr>
            </w:pPr>
          </w:p>
        </w:tc>
        <w:tc>
          <w:tcPr>
            <w:tcW w:w="1080" w:type="dxa"/>
            <w:tcBorders>
              <w:top w:val="nil"/>
              <w:left w:val="nil"/>
              <w:bottom w:val="nil"/>
              <w:right w:val="single" w:sz="8" w:space="0" w:color="auto"/>
            </w:tcBorders>
            <w:shd w:val="clear" w:color="000000" w:fill="FFFFFF"/>
            <w:vAlign w:val="bottom"/>
            <w:hideMark/>
          </w:tcPr>
          <w:p w:rsidR="00F40941" w:rsidRPr="00B37E75" w:rsidP="0014315C" w14:paraId="43781A54" w14:textId="77777777">
            <w:pPr>
              <w:jc w:val="right"/>
              <w:rPr>
                <w:sz w:val="13"/>
                <w:szCs w:val="13"/>
              </w:rPr>
            </w:pPr>
            <w:r w:rsidRPr="00B37E75">
              <w:rPr>
                <w:sz w:val="13"/>
                <w:szCs w:val="13"/>
              </w:rPr>
              <w:t> </w:t>
            </w:r>
          </w:p>
        </w:tc>
        <w:tc>
          <w:tcPr>
            <w:tcW w:w="1080" w:type="dxa"/>
            <w:tcBorders>
              <w:top w:val="single" w:sz="4" w:space="0" w:color="auto"/>
              <w:left w:val="nil"/>
              <w:bottom w:val="single" w:sz="4" w:space="0" w:color="auto"/>
              <w:right w:val="nil"/>
            </w:tcBorders>
            <w:shd w:val="clear" w:color="000000" w:fill="FFFFFF"/>
            <w:vAlign w:val="bottom"/>
            <w:hideMark/>
          </w:tcPr>
          <w:p w:rsidR="00F40941" w:rsidRPr="00B37E75" w:rsidP="0014315C" w14:paraId="7196CE92" w14:textId="40FBB584">
            <w:pPr>
              <w:jc w:val="right"/>
              <w:rPr>
                <w:b/>
                <w:bCs/>
                <w:i/>
                <w:iCs/>
                <w:sz w:val="13"/>
                <w:szCs w:val="13"/>
              </w:rPr>
            </w:pPr>
            <w:r w:rsidRPr="00B37E75">
              <w:rPr>
                <w:b/>
                <w:bCs/>
                <w:i/>
                <w:iCs/>
                <w:sz w:val="13"/>
                <w:szCs w:val="13"/>
              </w:rPr>
              <w:t xml:space="preserve"> - </w:t>
            </w:r>
          </w:p>
        </w:tc>
        <w:tc>
          <w:tcPr>
            <w:tcW w:w="1350" w:type="dxa"/>
            <w:tcBorders>
              <w:top w:val="single" w:sz="4" w:space="0" w:color="auto"/>
              <w:left w:val="nil"/>
              <w:bottom w:val="single" w:sz="4" w:space="0" w:color="auto"/>
              <w:right w:val="nil"/>
            </w:tcBorders>
            <w:shd w:val="clear" w:color="000000" w:fill="FFFFFF"/>
            <w:vAlign w:val="bottom"/>
            <w:hideMark/>
          </w:tcPr>
          <w:p w:rsidR="00F40941" w:rsidRPr="00B37E75" w:rsidP="0014315C" w14:paraId="417FB0DF" w14:textId="77777777">
            <w:pPr>
              <w:jc w:val="right"/>
              <w:rPr>
                <w:b/>
                <w:bCs/>
                <w:i/>
                <w:iCs/>
                <w:sz w:val="13"/>
                <w:szCs w:val="13"/>
              </w:rPr>
            </w:pPr>
            <w:r w:rsidRPr="00B37E75">
              <w:rPr>
                <w:b/>
                <w:bCs/>
                <w:i/>
                <w:iCs/>
                <w:sz w:val="13"/>
                <w:szCs w:val="13"/>
              </w:rPr>
              <w:t xml:space="preserve">   (1,297)</w:t>
            </w:r>
          </w:p>
        </w:tc>
        <w:tc>
          <w:tcPr>
            <w:tcW w:w="1170" w:type="dxa"/>
            <w:tcBorders>
              <w:top w:val="single" w:sz="4" w:space="0" w:color="auto"/>
              <w:left w:val="nil"/>
              <w:bottom w:val="single" w:sz="4" w:space="0" w:color="auto"/>
              <w:right w:val="nil"/>
            </w:tcBorders>
            <w:shd w:val="clear" w:color="000000" w:fill="FFFFFF"/>
            <w:vAlign w:val="bottom"/>
            <w:hideMark/>
          </w:tcPr>
          <w:p w:rsidR="00F40941" w:rsidRPr="00B37E75" w:rsidP="0014315C" w14:paraId="5AB14256" w14:textId="6D629FA8">
            <w:pPr>
              <w:jc w:val="right"/>
              <w:rPr>
                <w:b/>
                <w:bCs/>
                <w:i/>
                <w:iCs/>
                <w:sz w:val="13"/>
                <w:szCs w:val="13"/>
              </w:rPr>
            </w:pPr>
            <w:r w:rsidRPr="00B37E75">
              <w:rPr>
                <w:b/>
                <w:bCs/>
                <w:i/>
                <w:iCs/>
                <w:sz w:val="13"/>
                <w:szCs w:val="13"/>
              </w:rPr>
              <w:t>(1,297)</w:t>
            </w:r>
          </w:p>
        </w:tc>
        <w:tc>
          <w:tcPr>
            <w:tcW w:w="2420" w:type="dxa"/>
            <w:tcBorders>
              <w:top w:val="nil"/>
              <w:left w:val="nil"/>
              <w:bottom w:val="nil"/>
              <w:right w:val="single" w:sz="8" w:space="0" w:color="auto"/>
            </w:tcBorders>
            <w:shd w:val="clear" w:color="000000" w:fill="FFFFFF"/>
            <w:vAlign w:val="bottom"/>
            <w:hideMark/>
          </w:tcPr>
          <w:p w:rsidR="00F40941" w:rsidRPr="00B37E75" w:rsidP="00BD11F2" w14:paraId="5D4AC996" w14:textId="77777777">
            <w:pPr>
              <w:ind w:left="-72"/>
              <w:rPr>
                <w:b/>
                <w:bCs/>
                <w:i/>
                <w:iCs/>
                <w:sz w:val="13"/>
                <w:szCs w:val="13"/>
              </w:rPr>
            </w:pPr>
            <w:r w:rsidRPr="00B37E75">
              <w:rPr>
                <w:b/>
                <w:bCs/>
                <w:i/>
                <w:iCs/>
                <w:sz w:val="13"/>
                <w:szCs w:val="13"/>
              </w:rPr>
              <w:t>Total Intragovernmental Earned Revenue</w:t>
            </w:r>
          </w:p>
        </w:tc>
      </w:tr>
      <w:tr w14:paraId="577058B2" w14:textId="77777777" w:rsidTr="00083441">
        <w:tblPrEx>
          <w:tblW w:w="5000" w:type="pct"/>
          <w:tblLook w:val="04A0"/>
        </w:tblPrEx>
        <w:trPr>
          <w:trHeight w:val="20"/>
        </w:trPr>
        <w:tc>
          <w:tcPr>
            <w:tcW w:w="2240" w:type="dxa"/>
            <w:tcBorders>
              <w:top w:val="nil"/>
              <w:left w:val="single" w:sz="8" w:space="0" w:color="auto"/>
              <w:bottom w:val="single" w:sz="4" w:space="0" w:color="auto"/>
              <w:right w:val="nil"/>
            </w:tcBorders>
            <w:shd w:val="clear" w:color="000000" w:fill="FFFFFF"/>
            <w:vAlign w:val="bottom"/>
            <w:hideMark/>
          </w:tcPr>
          <w:p w:rsidR="00F40941" w:rsidRPr="00B37E75" w:rsidP="00221CC9" w14:paraId="2643F85C" w14:textId="77777777">
            <w:pPr>
              <w:ind w:left="-72"/>
              <w:rPr>
                <w:b/>
                <w:bCs/>
                <w:i/>
                <w:iCs/>
                <w:sz w:val="13"/>
                <w:szCs w:val="13"/>
              </w:rPr>
            </w:pPr>
            <w:r w:rsidRPr="00B37E75">
              <w:rPr>
                <w:b/>
                <w:bCs/>
                <w:i/>
                <w:iCs/>
                <w:sz w:val="13"/>
                <w:szCs w:val="13"/>
              </w:rPr>
              <w:t>Total Earned Revenue</w:t>
            </w:r>
          </w:p>
        </w:tc>
        <w:tc>
          <w:tcPr>
            <w:tcW w:w="1080" w:type="dxa"/>
            <w:tcBorders>
              <w:top w:val="single" w:sz="4" w:space="0" w:color="auto"/>
              <w:left w:val="nil"/>
              <w:bottom w:val="single" w:sz="4" w:space="0" w:color="auto"/>
              <w:right w:val="single" w:sz="8" w:space="0" w:color="auto"/>
            </w:tcBorders>
            <w:shd w:val="clear" w:color="000000" w:fill="FFFFFF"/>
            <w:vAlign w:val="bottom"/>
            <w:hideMark/>
          </w:tcPr>
          <w:p w:rsidR="00F40941" w:rsidRPr="00B37E75" w:rsidP="0014315C" w14:paraId="189B9919" w14:textId="77777777">
            <w:pPr>
              <w:jc w:val="right"/>
              <w:rPr>
                <w:b/>
                <w:bCs/>
                <w:i/>
                <w:iCs/>
                <w:sz w:val="13"/>
                <w:szCs w:val="13"/>
              </w:rPr>
            </w:pPr>
            <w:r w:rsidRPr="00B37E75">
              <w:rPr>
                <w:b/>
                <w:bCs/>
                <w:i/>
                <w:iCs/>
                <w:sz w:val="13"/>
                <w:szCs w:val="13"/>
              </w:rPr>
              <w:t xml:space="preserve">   (506,433)</w:t>
            </w:r>
          </w:p>
        </w:tc>
        <w:tc>
          <w:tcPr>
            <w:tcW w:w="1080" w:type="dxa"/>
            <w:tcBorders>
              <w:top w:val="nil"/>
              <w:left w:val="nil"/>
              <w:bottom w:val="single" w:sz="4" w:space="0" w:color="auto"/>
              <w:right w:val="nil"/>
            </w:tcBorders>
            <w:shd w:val="clear" w:color="000000" w:fill="FFFFFF"/>
            <w:vAlign w:val="bottom"/>
            <w:hideMark/>
          </w:tcPr>
          <w:p w:rsidR="00F40941" w:rsidRPr="00B37E75" w:rsidP="0014315C" w14:paraId="244D05FC" w14:textId="1C85993A">
            <w:pPr>
              <w:jc w:val="right"/>
              <w:rPr>
                <w:b/>
                <w:bCs/>
                <w:i/>
                <w:iCs/>
                <w:sz w:val="13"/>
                <w:szCs w:val="13"/>
              </w:rPr>
            </w:pPr>
            <w:r w:rsidRPr="00B37E75">
              <w:rPr>
                <w:b/>
                <w:bCs/>
                <w:i/>
                <w:iCs/>
                <w:sz w:val="13"/>
                <w:szCs w:val="13"/>
              </w:rPr>
              <w:t xml:space="preserve"> - </w:t>
            </w:r>
          </w:p>
        </w:tc>
        <w:tc>
          <w:tcPr>
            <w:tcW w:w="1350" w:type="dxa"/>
            <w:tcBorders>
              <w:top w:val="nil"/>
              <w:left w:val="nil"/>
              <w:bottom w:val="single" w:sz="4" w:space="0" w:color="auto"/>
              <w:right w:val="nil"/>
            </w:tcBorders>
            <w:shd w:val="clear" w:color="000000" w:fill="FFFFFF"/>
            <w:vAlign w:val="bottom"/>
            <w:hideMark/>
          </w:tcPr>
          <w:p w:rsidR="00F40941" w:rsidRPr="00B37E75" w:rsidP="0014315C" w14:paraId="39EB6D56" w14:textId="77777777">
            <w:pPr>
              <w:jc w:val="right"/>
              <w:rPr>
                <w:b/>
                <w:bCs/>
                <w:i/>
                <w:iCs/>
                <w:sz w:val="13"/>
                <w:szCs w:val="13"/>
              </w:rPr>
            </w:pPr>
            <w:r w:rsidRPr="00B37E75">
              <w:rPr>
                <w:b/>
                <w:bCs/>
                <w:i/>
                <w:iCs/>
                <w:sz w:val="13"/>
                <w:szCs w:val="13"/>
              </w:rPr>
              <w:t xml:space="preserve">   (373,895)</w:t>
            </w:r>
          </w:p>
        </w:tc>
        <w:tc>
          <w:tcPr>
            <w:tcW w:w="1170" w:type="dxa"/>
            <w:tcBorders>
              <w:top w:val="nil"/>
              <w:left w:val="nil"/>
              <w:bottom w:val="single" w:sz="4" w:space="0" w:color="auto"/>
              <w:right w:val="nil"/>
            </w:tcBorders>
            <w:shd w:val="clear" w:color="000000" w:fill="FFFFFF"/>
            <w:vAlign w:val="bottom"/>
            <w:hideMark/>
          </w:tcPr>
          <w:p w:rsidR="00F40941" w:rsidRPr="00B37E75" w:rsidP="0014315C" w14:paraId="17CE5F73" w14:textId="45234AFA">
            <w:pPr>
              <w:jc w:val="right"/>
              <w:rPr>
                <w:b/>
                <w:bCs/>
                <w:i/>
                <w:iCs/>
                <w:sz w:val="13"/>
                <w:szCs w:val="13"/>
              </w:rPr>
            </w:pPr>
            <w:r w:rsidRPr="00B37E75">
              <w:rPr>
                <w:b/>
                <w:bCs/>
                <w:i/>
                <w:iCs/>
                <w:sz w:val="13"/>
                <w:szCs w:val="13"/>
              </w:rPr>
              <w:t>(373,895)</w:t>
            </w:r>
          </w:p>
        </w:tc>
        <w:tc>
          <w:tcPr>
            <w:tcW w:w="2420" w:type="dxa"/>
            <w:tcBorders>
              <w:top w:val="nil"/>
              <w:left w:val="nil"/>
              <w:bottom w:val="single" w:sz="4" w:space="0" w:color="auto"/>
              <w:right w:val="single" w:sz="8" w:space="0" w:color="auto"/>
            </w:tcBorders>
            <w:shd w:val="clear" w:color="000000" w:fill="FFFFFF"/>
            <w:vAlign w:val="bottom"/>
            <w:hideMark/>
          </w:tcPr>
          <w:p w:rsidR="00F40941" w:rsidRPr="00B37E75" w:rsidP="00BD11F2" w14:paraId="63308522" w14:textId="77777777">
            <w:pPr>
              <w:ind w:left="-72"/>
              <w:rPr>
                <w:b/>
                <w:bCs/>
                <w:i/>
                <w:iCs/>
                <w:sz w:val="13"/>
                <w:szCs w:val="13"/>
              </w:rPr>
            </w:pPr>
            <w:r w:rsidRPr="00B37E75">
              <w:rPr>
                <w:b/>
                <w:bCs/>
                <w:i/>
                <w:iCs/>
                <w:sz w:val="13"/>
                <w:szCs w:val="13"/>
              </w:rPr>
              <w:t>Total Reclassified Earned Revenue</w:t>
            </w:r>
          </w:p>
        </w:tc>
      </w:tr>
      <w:tr w14:paraId="42F4AC5B" w14:textId="77777777" w:rsidTr="00083441">
        <w:tblPrEx>
          <w:tblW w:w="5000" w:type="pct"/>
          <w:tblLook w:val="04A0"/>
        </w:tblPrEx>
        <w:trPr>
          <w:trHeight w:val="20"/>
        </w:trPr>
        <w:tc>
          <w:tcPr>
            <w:tcW w:w="2240" w:type="dxa"/>
            <w:tcBorders>
              <w:top w:val="nil"/>
              <w:left w:val="single" w:sz="8" w:space="0" w:color="auto"/>
              <w:bottom w:val="single" w:sz="4" w:space="0" w:color="auto"/>
              <w:right w:val="nil"/>
            </w:tcBorders>
            <w:shd w:val="clear" w:color="000000" w:fill="FFFFFF"/>
            <w:vAlign w:val="bottom"/>
            <w:hideMark/>
          </w:tcPr>
          <w:p w:rsidR="00F40941" w:rsidRPr="00B37E75" w:rsidP="00221CC9" w14:paraId="0C077B5C" w14:textId="77777777">
            <w:pPr>
              <w:ind w:left="-72"/>
              <w:rPr>
                <w:b/>
                <w:bCs/>
                <w:sz w:val="13"/>
                <w:szCs w:val="13"/>
              </w:rPr>
            </w:pPr>
            <w:r w:rsidRPr="00B37E75">
              <w:rPr>
                <w:b/>
                <w:bCs/>
                <w:sz w:val="13"/>
                <w:szCs w:val="13"/>
              </w:rPr>
              <w:t>Net Cost of Operations</w:t>
            </w:r>
          </w:p>
        </w:tc>
        <w:tc>
          <w:tcPr>
            <w:tcW w:w="1080" w:type="dxa"/>
            <w:tcBorders>
              <w:top w:val="nil"/>
              <w:left w:val="nil"/>
              <w:bottom w:val="single" w:sz="4" w:space="0" w:color="auto"/>
              <w:right w:val="single" w:sz="8" w:space="0" w:color="auto"/>
            </w:tcBorders>
            <w:shd w:val="clear" w:color="000000" w:fill="FFFFFF"/>
            <w:vAlign w:val="bottom"/>
            <w:hideMark/>
          </w:tcPr>
          <w:p w:rsidR="00F40941" w:rsidRPr="00B37E75" w:rsidP="0014315C" w14:paraId="161431F8" w14:textId="102BBD17">
            <w:pPr>
              <w:jc w:val="right"/>
              <w:rPr>
                <w:b/>
                <w:bCs/>
                <w:sz w:val="13"/>
                <w:szCs w:val="13"/>
              </w:rPr>
            </w:pPr>
            <w:r w:rsidRPr="00B37E75">
              <w:rPr>
                <w:b/>
                <w:bCs/>
                <w:sz w:val="13"/>
                <w:szCs w:val="13"/>
              </w:rPr>
              <w:t>$</w:t>
            </w:r>
            <w:r w:rsidR="00AA7761">
              <w:rPr>
                <w:b/>
                <w:bCs/>
                <w:sz w:val="13"/>
                <w:szCs w:val="13"/>
              </w:rPr>
              <w:t xml:space="preserve">    </w:t>
            </w:r>
            <w:r w:rsidRPr="00B37E75">
              <w:rPr>
                <w:b/>
                <w:bCs/>
                <w:sz w:val="13"/>
                <w:szCs w:val="13"/>
              </w:rPr>
              <w:t xml:space="preserve">  10,367,032 </w:t>
            </w:r>
          </w:p>
        </w:tc>
        <w:tc>
          <w:tcPr>
            <w:tcW w:w="1080" w:type="dxa"/>
            <w:tcBorders>
              <w:top w:val="nil"/>
              <w:left w:val="nil"/>
              <w:bottom w:val="single" w:sz="4" w:space="0" w:color="auto"/>
              <w:right w:val="nil"/>
            </w:tcBorders>
            <w:shd w:val="clear" w:color="000000" w:fill="FFFFFF"/>
            <w:vAlign w:val="bottom"/>
            <w:hideMark/>
          </w:tcPr>
          <w:p w:rsidR="00F40941" w:rsidRPr="00B37E75" w:rsidP="0014315C" w14:paraId="1FCDBDC1" w14:textId="582EBBFD">
            <w:pPr>
              <w:jc w:val="right"/>
              <w:rPr>
                <w:b/>
                <w:bCs/>
                <w:sz w:val="13"/>
                <w:szCs w:val="13"/>
              </w:rPr>
            </w:pPr>
            <w:r w:rsidRPr="00B37E75">
              <w:rPr>
                <w:b/>
                <w:bCs/>
                <w:sz w:val="13"/>
                <w:szCs w:val="13"/>
              </w:rPr>
              <w:t>$</w:t>
            </w:r>
            <w:r w:rsidR="00AA7761">
              <w:rPr>
                <w:b/>
                <w:bCs/>
                <w:sz w:val="13"/>
                <w:szCs w:val="13"/>
              </w:rPr>
              <w:t xml:space="preserve">    </w:t>
            </w:r>
            <w:r w:rsidRPr="00B37E75">
              <w:rPr>
                <w:b/>
                <w:bCs/>
                <w:sz w:val="13"/>
                <w:szCs w:val="13"/>
              </w:rPr>
              <w:t xml:space="preserve">  10,303,597 </w:t>
            </w:r>
          </w:p>
        </w:tc>
        <w:tc>
          <w:tcPr>
            <w:tcW w:w="1350" w:type="dxa"/>
            <w:tcBorders>
              <w:top w:val="nil"/>
              <w:left w:val="nil"/>
              <w:bottom w:val="single" w:sz="4" w:space="0" w:color="auto"/>
              <w:right w:val="nil"/>
            </w:tcBorders>
            <w:shd w:val="clear" w:color="000000" w:fill="FFFFFF"/>
            <w:vAlign w:val="bottom"/>
            <w:hideMark/>
          </w:tcPr>
          <w:p w:rsidR="00F40941" w:rsidRPr="00B37E75" w:rsidP="0014315C" w14:paraId="32F5539B" w14:textId="75E0A5E3">
            <w:pPr>
              <w:jc w:val="right"/>
              <w:rPr>
                <w:b/>
                <w:bCs/>
                <w:sz w:val="13"/>
                <w:szCs w:val="13"/>
              </w:rPr>
            </w:pPr>
            <w:r w:rsidRPr="00B37E75">
              <w:rPr>
                <w:b/>
                <w:bCs/>
                <w:sz w:val="13"/>
                <w:szCs w:val="13"/>
              </w:rPr>
              <w:t>$</w:t>
            </w:r>
            <w:r w:rsidR="002F6483">
              <w:rPr>
                <w:b/>
                <w:bCs/>
                <w:sz w:val="13"/>
                <w:szCs w:val="13"/>
              </w:rPr>
              <w:t xml:space="preserve">              </w:t>
            </w:r>
            <w:r w:rsidRPr="00B37E75">
              <w:rPr>
                <w:b/>
                <w:bCs/>
                <w:sz w:val="13"/>
                <w:szCs w:val="13"/>
              </w:rPr>
              <w:t xml:space="preserve">  3,280,147 </w:t>
            </w:r>
          </w:p>
        </w:tc>
        <w:tc>
          <w:tcPr>
            <w:tcW w:w="1170" w:type="dxa"/>
            <w:tcBorders>
              <w:top w:val="nil"/>
              <w:left w:val="nil"/>
              <w:bottom w:val="single" w:sz="4" w:space="0" w:color="auto"/>
              <w:right w:val="nil"/>
            </w:tcBorders>
            <w:shd w:val="clear" w:color="000000" w:fill="FFFFFF"/>
            <w:vAlign w:val="bottom"/>
            <w:hideMark/>
          </w:tcPr>
          <w:p w:rsidR="00F40941" w:rsidRPr="00B37E75" w:rsidP="0014315C" w14:paraId="08952785" w14:textId="211C9A19">
            <w:pPr>
              <w:jc w:val="right"/>
              <w:rPr>
                <w:b/>
                <w:bCs/>
                <w:sz w:val="13"/>
                <w:szCs w:val="13"/>
              </w:rPr>
            </w:pPr>
            <w:r w:rsidRPr="00B37E75">
              <w:rPr>
                <w:b/>
                <w:bCs/>
                <w:sz w:val="13"/>
                <w:szCs w:val="13"/>
              </w:rPr>
              <w:t>$</w:t>
            </w:r>
            <w:r w:rsidR="002F6483">
              <w:rPr>
                <w:b/>
                <w:bCs/>
                <w:sz w:val="13"/>
                <w:szCs w:val="13"/>
              </w:rPr>
              <w:t xml:space="preserve">       </w:t>
            </w:r>
            <w:r w:rsidRPr="00B37E75">
              <w:rPr>
                <w:b/>
                <w:bCs/>
                <w:sz w:val="13"/>
                <w:szCs w:val="13"/>
              </w:rPr>
              <w:t xml:space="preserve">  13,583,744 </w:t>
            </w:r>
          </w:p>
        </w:tc>
        <w:tc>
          <w:tcPr>
            <w:tcW w:w="2420" w:type="dxa"/>
            <w:tcBorders>
              <w:top w:val="nil"/>
              <w:left w:val="nil"/>
              <w:bottom w:val="single" w:sz="4" w:space="0" w:color="auto"/>
              <w:right w:val="single" w:sz="8" w:space="0" w:color="auto"/>
            </w:tcBorders>
            <w:shd w:val="clear" w:color="000000" w:fill="FFFFFF"/>
            <w:vAlign w:val="bottom"/>
            <w:hideMark/>
          </w:tcPr>
          <w:p w:rsidR="00F40941" w:rsidRPr="00B37E75" w:rsidP="00BD11F2" w14:paraId="5D19D45C" w14:textId="77777777">
            <w:pPr>
              <w:ind w:left="-72"/>
              <w:rPr>
                <w:b/>
                <w:bCs/>
                <w:sz w:val="13"/>
                <w:szCs w:val="13"/>
              </w:rPr>
            </w:pPr>
            <w:r w:rsidRPr="00B37E75">
              <w:rPr>
                <w:b/>
                <w:bCs/>
                <w:sz w:val="13"/>
                <w:szCs w:val="13"/>
              </w:rPr>
              <w:t>Net Cost of Operations</w:t>
            </w:r>
          </w:p>
        </w:tc>
      </w:tr>
      <w:tr w14:paraId="244981C0" w14:textId="77777777" w:rsidTr="00083441">
        <w:tblPrEx>
          <w:tblW w:w="5000" w:type="pct"/>
          <w:tblLook w:val="04A0"/>
        </w:tblPrEx>
        <w:trPr>
          <w:trHeight w:val="20"/>
        </w:trPr>
        <w:tc>
          <w:tcPr>
            <w:tcW w:w="2240" w:type="dxa"/>
            <w:tcBorders>
              <w:top w:val="nil"/>
              <w:left w:val="single" w:sz="8" w:space="0" w:color="auto"/>
              <w:bottom w:val="nil"/>
              <w:right w:val="nil"/>
            </w:tcBorders>
            <w:shd w:val="clear" w:color="000000" w:fill="FFFFFF"/>
            <w:vAlign w:val="bottom"/>
            <w:hideMark/>
          </w:tcPr>
          <w:p w:rsidR="00F40941" w:rsidRPr="00B37E75" w:rsidP="00221CC9" w14:paraId="3F84FE38" w14:textId="77777777">
            <w:pPr>
              <w:ind w:left="-72"/>
              <w:rPr>
                <w:b/>
                <w:bCs/>
                <w:sz w:val="13"/>
                <w:szCs w:val="13"/>
              </w:rPr>
            </w:pPr>
            <w:r w:rsidRPr="00B37E75">
              <w:rPr>
                <w:b/>
                <w:bCs/>
                <w:sz w:val="13"/>
                <w:szCs w:val="13"/>
              </w:rPr>
              <w:t>Exchange Statement of Custodial Activity</w:t>
            </w:r>
          </w:p>
        </w:tc>
        <w:tc>
          <w:tcPr>
            <w:tcW w:w="1080" w:type="dxa"/>
            <w:tcBorders>
              <w:top w:val="nil"/>
              <w:left w:val="nil"/>
              <w:bottom w:val="nil"/>
              <w:right w:val="single" w:sz="8" w:space="0" w:color="auto"/>
            </w:tcBorders>
            <w:shd w:val="clear" w:color="000000" w:fill="FFFFFF"/>
            <w:vAlign w:val="bottom"/>
          </w:tcPr>
          <w:p w:rsidR="00F40941" w:rsidRPr="00B37E75" w:rsidP="0014315C" w14:paraId="6C19780B" w14:textId="7792A94D">
            <w:pPr>
              <w:jc w:val="right"/>
              <w:rPr>
                <w:b/>
                <w:bCs/>
                <w:sz w:val="13"/>
                <w:szCs w:val="13"/>
              </w:rPr>
            </w:pPr>
          </w:p>
        </w:tc>
        <w:tc>
          <w:tcPr>
            <w:tcW w:w="1080" w:type="dxa"/>
            <w:tcBorders>
              <w:top w:val="nil"/>
              <w:left w:val="nil"/>
              <w:bottom w:val="nil"/>
              <w:right w:val="nil"/>
            </w:tcBorders>
            <w:shd w:val="clear" w:color="000000" w:fill="FFFFFF"/>
            <w:vAlign w:val="bottom"/>
          </w:tcPr>
          <w:p w:rsidR="00F40941" w:rsidRPr="00B37E75" w:rsidP="0014315C" w14:paraId="281F25B3" w14:textId="09395586">
            <w:pPr>
              <w:jc w:val="right"/>
              <w:rPr>
                <w:b/>
                <w:bCs/>
                <w:sz w:val="13"/>
                <w:szCs w:val="13"/>
              </w:rPr>
            </w:pPr>
          </w:p>
        </w:tc>
        <w:tc>
          <w:tcPr>
            <w:tcW w:w="1350" w:type="dxa"/>
            <w:tcBorders>
              <w:top w:val="nil"/>
              <w:left w:val="nil"/>
              <w:bottom w:val="nil"/>
              <w:right w:val="nil"/>
            </w:tcBorders>
            <w:shd w:val="clear" w:color="000000" w:fill="FFFFFF"/>
            <w:vAlign w:val="bottom"/>
          </w:tcPr>
          <w:p w:rsidR="00F40941" w:rsidRPr="00B37E75" w:rsidP="0014315C" w14:paraId="4DF6067D" w14:textId="34750B25">
            <w:pPr>
              <w:jc w:val="right"/>
              <w:rPr>
                <w:b/>
                <w:bCs/>
                <w:sz w:val="13"/>
                <w:szCs w:val="13"/>
              </w:rPr>
            </w:pPr>
          </w:p>
        </w:tc>
        <w:tc>
          <w:tcPr>
            <w:tcW w:w="1170" w:type="dxa"/>
            <w:tcBorders>
              <w:top w:val="nil"/>
              <w:left w:val="nil"/>
              <w:bottom w:val="nil"/>
              <w:right w:val="nil"/>
            </w:tcBorders>
            <w:shd w:val="clear" w:color="000000" w:fill="FFFFFF"/>
            <w:vAlign w:val="bottom"/>
          </w:tcPr>
          <w:p w:rsidR="00F40941" w:rsidRPr="00B37E75" w:rsidP="0014315C" w14:paraId="7263C7AB" w14:textId="4C6AB380">
            <w:pPr>
              <w:jc w:val="right"/>
              <w:rPr>
                <w:b/>
                <w:bCs/>
                <w:sz w:val="13"/>
                <w:szCs w:val="13"/>
              </w:rPr>
            </w:pPr>
          </w:p>
        </w:tc>
        <w:tc>
          <w:tcPr>
            <w:tcW w:w="2420" w:type="dxa"/>
            <w:tcBorders>
              <w:top w:val="nil"/>
              <w:left w:val="nil"/>
              <w:bottom w:val="nil"/>
              <w:right w:val="single" w:sz="8" w:space="0" w:color="auto"/>
            </w:tcBorders>
            <w:shd w:val="clear" w:color="000000" w:fill="FFFFFF"/>
            <w:vAlign w:val="bottom"/>
          </w:tcPr>
          <w:p w:rsidR="00F40941" w:rsidRPr="00B37E75" w:rsidP="00BD11F2" w14:paraId="78EFD84A" w14:textId="23F01537">
            <w:pPr>
              <w:ind w:left="-72"/>
              <w:rPr>
                <w:b/>
                <w:bCs/>
                <w:sz w:val="13"/>
                <w:szCs w:val="13"/>
              </w:rPr>
            </w:pPr>
          </w:p>
        </w:tc>
      </w:tr>
      <w:tr w14:paraId="624F380D" w14:textId="77777777" w:rsidTr="00632D8B">
        <w:tblPrEx>
          <w:tblW w:w="5000" w:type="pct"/>
          <w:tblLook w:val="04A0"/>
        </w:tblPrEx>
        <w:trPr>
          <w:trHeight w:val="20"/>
        </w:trPr>
        <w:tc>
          <w:tcPr>
            <w:tcW w:w="2240" w:type="dxa"/>
            <w:tcBorders>
              <w:top w:val="nil"/>
              <w:left w:val="single" w:sz="8" w:space="0" w:color="auto"/>
              <w:bottom w:val="nil"/>
              <w:right w:val="nil"/>
            </w:tcBorders>
            <w:shd w:val="clear" w:color="000000" w:fill="FFFFFF"/>
            <w:hideMark/>
          </w:tcPr>
          <w:p w:rsidR="00F40941" w:rsidRPr="00B37E75" w:rsidP="00221CC9" w14:paraId="330367C3" w14:textId="77777777">
            <w:pPr>
              <w:ind w:left="-72"/>
              <w:rPr>
                <w:i/>
                <w:iCs/>
                <w:sz w:val="13"/>
                <w:szCs w:val="13"/>
              </w:rPr>
            </w:pPr>
            <w:r w:rsidRPr="00B37E75">
              <w:rPr>
                <w:i/>
                <w:iCs/>
                <w:sz w:val="13"/>
                <w:szCs w:val="13"/>
              </w:rPr>
              <w:t>Refunds and Other Payments</w:t>
            </w:r>
            <w:r w:rsidRPr="00B37E75">
              <w:rPr>
                <w:i/>
                <w:iCs/>
                <w:sz w:val="13"/>
                <w:szCs w:val="13"/>
              </w:rPr>
              <w:br/>
              <w:t>Auctions Salaries &amp; Expenses</w:t>
            </w:r>
          </w:p>
        </w:tc>
        <w:tc>
          <w:tcPr>
            <w:tcW w:w="1080" w:type="dxa"/>
            <w:tcBorders>
              <w:top w:val="nil"/>
              <w:left w:val="nil"/>
              <w:bottom w:val="nil"/>
              <w:right w:val="single" w:sz="8" w:space="0" w:color="auto"/>
            </w:tcBorders>
            <w:shd w:val="clear" w:color="000000" w:fill="FFFFFF"/>
            <w:vAlign w:val="bottom"/>
          </w:tcPr>
          <w:p w:rsidR="00F40941" w:rsidRPr="00B37E75" w:rsidP="0014315C" w14:paraId="24B0627B" w14:textId="282CA1D6">
            <w:pPr>
              <w:jc w:val="right"/>
              <w:rPr>
                <w:b/>
                <w:bCs/>
                <w:sz w:val="13"/>
                <w:szCs w:val="13"/>
              </w:rPr>
            </w:pPr>
          </w:p>
        </w:tc>
        <w:tc>
          <w:tcPr>
            <w:tcW w:w="1080" w:type="dxa"/>
            <w:tcBorders>
              <w:top w:val="nil"/>
              <w:left w:val="nil"/>
              <w:bottom w:val="nil"/>
              <w:right w:val="nil"/>
            </w:tcBorders>
            <w:shd w:val="clear" w:color="000000" w:fill="FFFFFF"/>
            <w:vAlign w:val="bottom"/>
          </w:tcPr>
          <w:p w:rsidR="00F40941" w:rsidRPr="00B37E75" w:rsidP="0014315C" w14:paraId="1DBEDCD5" w14:textId="779EF512">
            <w:pPr>
              <w:jc w:val="right"/>
              <w:rPr>
                <w:b/>
                <w:bCs/>
                <w:sz w:val="13"/>
                <w:szCs w:val="13"/>
              </w:rPr>
            </w:pPr>
          </w:p>
        </w:tc>
        <w:tc>
          <w:tcPr>
            <w:tcW w:w="1350" w:type="dxa"/>
            <w:tcBorders>
              <w:top w:val="nil"/>
              <w:left w:val="nil"/>
              <w:bottom w:val="nil"/>
              <w:right w:val="nil"/>
            </w:tcBorders>
            <w:shd w:val="clear" w:color="000000" w:fill="FFFFFF"/>
            <w:vAlign w:val="bottom"/>
            <w:hideMark/>
          </w:tcPr>
          <w:p w:rsidR="00F40941" w:rsidRPr="00B37E75" w:rsidP="0014315C" w14:paraId="3E2A8A2E" w14:textId="6960B367">
            <w:pPr>
              <w:jc w:val="right"/>
              <w:rPr>
                <w:b/>
                <w:bCs/>
                <w:sz w:val="13"/>
                <w:szCs w:val="13"/>
              </w:rPr>
            </w:pPr>
            <w:r w:rsidRPr="00B37E75">
              <w:rPr>
                <w:b/>
                <w:bCs/>
                <w:sz w:val="13"/>
                <w:szCs w:val="13"/>
              </w:rPr>
              <w:t>(132,539)</w:t>
            </w:r>
          </w:p>
        </w:tc>
        <w:tc>
          <w:tcPr>
            <w:tcW w:w="1170" w:type="dxa"/>
            <w:tcBorders>
              <w:top w:val="nil"/>
              <w:left w:val="nil"/>
              <w:bottom w:val="nil"/>
              <w:right w:val="nil"/>
            </w:tcBorders>
            <w:shd w:val="clear" w:color="000000" w:fill="FFFFFF"/>
            <w:vAlign w:val="bottom"/>
            <w:hideMark/>
          </w:tcPr>
          <w:p w:rsidR="00F40941" w:rsidRPr="00B37E75" w:rsidP="0014315C" w14:paraId="0103E666" w14:textId="77777777">
            <w:pPr>
              <w:jc w:val="right"/>
              <w:rPr>
                <w:sz w:val="13"/>
                <w:szCs w:val="13"/>
              </w:rPr>
            </w:pPr>
            <w:r w:rsidRPr="00B37E75">
              <w:rPr>
                <w:sz w:val="13"/>
                <w:szCs w:val="13"/>
              </w:rPr>
              <w:t xml:space="preserve">  (132,539)</w:t>
            </w:r>
          </w:p>
        </w:tc>
        <w:tc>
          <w:tcPr>
            <w:tcW w:w="2420" w:type="dxa"/>
            <w:tcBorders>
              <w:top w:val="nil"/>
              <w:left w:val="nil"/>
              <w:bottom w:val="nil"/>
              <w:right w:val="single" w:sz="8" w:space="0" w:color="auto"/>
            </w:tcBorders>
            <w:shd w:val="clear" w:color="000000" w:fill="FFFFFF"/>
            <w:vAlign w:val="bottom"/>
            <w:hideMark/>
          </w:tcPr>
          <w:p w:rsidR="00F40941" w:rsidRPr="00B37E75" w:rsidP="00BD11F2" w14:paraId="0DAA88CF" w14:textId="77777777">
            <w:pPr>
              <w:ind w:left="-72"/>
              <w:rPr>
                <w:sz w:val="13"/>
                <w:szCs w:val="13"/>
              </w:rPr>
            </w:pPr>
            <w:r w:rsidRPr="00B37E75">
              <w:rPr>
                <w:sz w:val="13"/>
                <w:szCs w:val="13"/>
              </w:rPr>
              <w:t>Buy/Sell Revenue (Intradepartmental Eliminations for Auctions Salaries &amp; Expenses)</w:t>
            </w:r>
            <w:r w:rsidRPr="00B37E75">
              <w:rPr>
                <w:sz w:val="13"/>
                <w:szCs w:val="13"/>
                <w:vertAlign w:val="superscript"/>
              </w:rPr>
              <w:t xml:space="preserve">3 </w:t>
            </w:r>
          </w:p>
        </w:tc>
      </w:tr>
      <w:tr w14:paraId="04DEF4BC" w14:textId="77777777" w:rsidTr="00632D8B">
        <w:tblPrEx>
          <w:tblW w:w="5000" w:type="pct"/>
          <w:tblLook w:val="04A0"/>
        </w:tblPrEx>
        <w:trPr>
          <w:trHeight w:val="20"/>
        </w:trPr>
        <w:tc>
          <w:tcPr>
            <w:tcW w:w="2240" w:type="dxa"/>
            <w:tcBorders>
              <w:top w:val="nil"/>
              <w:left w:val="single" w:sz="8" w:space="0" w:color="auto"/>
              <w:bottom w:val="nil"/>
              <w:right w:val="nil"/>
            </w:tcBorders>
            <w:shd w:val="clear" w:color="000000" w:fill="FFFFFF"/>
            <w:vAlign w:val="bottom"/>
            <w:hideMark/>
          </w:tcPr>
          <w:p w:rsidR="00F40941" w:rsidRPr="00B37E75" w:rsidP="00221CC9" w14:paraId="142641AD" w14:textId="779A0784">
            <w:pPr>
              <w:ind w:left="-72"/>
              <w:rPr>
                <w:i/>
                <w:iCs/>
                <w:sz w:val="13"/>
                <w:szCs w:val="13"/>
              </w:rPr>
            </w:pPr>
          </w:p>
        </w:tc>
        <w:tc>
          <w:tcPr>
            <w:tcW w:w="1080" w:type="dxa"/>
            <w:tcBorders>
              <w:top w:val="nil"/>
              <w:left w:val="nil"/>
              <w:bottom w:val="nil"/>
              <w:right w:val="single" w:sz="8" w:space="0" w:color="auto"/>
            </w:tcBorders>
            <w:shd w:val="clear" w:color="000000" w:fill="FFFFFF"/>
            <w:vAlign w:val="bottom"/>
          </w:tcPr>
          <w:p w:rsidR="00F40941" w:rsidRPr="00B37E75" w:rsidP="0014315C" w14:paraId="1AB237B5" w14:textId="3EA6172F">
            <w:pPr>
              <w:jc w:val="right"/>
              <w:rPr>
                <w:b/>
                <w:bCs/>
                <w:sz w:val="13"/>
                <w:szCs w:val="13"/>
              </w:rPr>
            </w:pPr>
          </w:p>
        </w:tc>
        <w:tc>
          <w:tcPr>
            <w:tcW w:w="1080" w:type="dxa"/>
            <w:tcBorders>
              <w:top w:val="nil"/>
              <w:left w:val="nil"/>
              <w:bottom w:val="nil"/>
              <w:right w:val="nil"/>
            </w:tcBorders>
            <w:shd w:val="clear" w:color="000000" w:fill="FFFFFF"/>
            <w:vAlign w:val="bottom"/>
          </w:tcPr>
          <w:p w:rsidR="00F40941" w:rsidRPr="00B37E75" w:rsidP="0014315C" w14:paraId="420FD486" w14:textId="5349509A">
            <w:pPr>
              <w:jc w:val="right"/>
              <w:rPr>
                <w:b/>
                <w:bCs/>
                <w:sz w:val="13"/>
                <w:szCs w:val="13"/>
              </w:rPr>
            </w:pPr>
          </w:p>
        </w:tc>
        <w:tc>
          <w:tcPr>
            <w:tcW w:w="1350" w:type="dxa"/>
            <w:tcBorders>
              <w:top w:val="nil"/>
              <w:left w:val="nil"/>
              <w:bottom w:val="nil"/>
              <w:right w:val="nil"/>
            </w:tcBorders>
            <w:shd w:val="clear" w:color="000000" w:fill="FFFFFF"/>
            <w:vAlign w:val="bottom"/>
            <w:hideMark/>
          </w:tcPr>
          <w:p w:rsidR="00F40941" w:rsidRPr="00B37E75" w:rsidP="0014315C" w14:paraId="7458F43D" w14:textId="7DBACCC1">
            <w:pPr>
              <w:jc w:val="right"/>
              <w:rPr>
                <w:b/>
                <w:bCs/>
                <w:sz w:val="13"/>
                <w:szCs w:val="13"/>
              </w:rPr>
            </w:pPr>
            <w:r w:rsidRPr="00B37E75">
              <w:rPr>
                <w:b/>
                <w:bCs/>
                <w:sz w:val="13"/>
                <w:szCs w:val="13"/>
              </w:rPr>
              <w:t>(3,084,173)</w:t>
            </w:r>
          </w:p>
        </w:tc>
        <w:tc>
          <w:tcPr>
            <w:tcW w:w="1170" w:type="dxa"/>
            <w:tcBorders>
              <w:top w:val="nil"/>
              <w:left w:val="nil"/>
              <w:bottom w:val="nil"/>
              <w:right w:val="nil"/>
            </w:tcBorders>
            <w:shd w:val="clear" w:color="000000" w:fill="FFFFFF"/>
            <w:vAlign w:val="bottom"/>
            <w:hideMark/>
          </w:tcPr>
          <w:p w:rsidR="00F40941" w:rsidRPr="00B37E75" w:rsidP="0014315C" w14:paraId="139EC704" w14:textId="77777777">
            <w:pPr>
              <w:jc w:val="right"/>
              <w:rPr>
                <w:sz w:val="13"/>
                <w:szCs w:val="13"/>
              </w:rPr>
            </w:pPr>
            <w:r w:rsidRPr="00B37E75">
              <w:rPr>
                <w:sz w:val="13"/>
                <w:szCs w:val="13"/>
              </w:rPr>
              <w:t xml:space="preserve">  (3,084,173)</w:t>
            </w:r>
          </w:p>
        </w:tc>
        <w:tc>
          <w:tcPr>
            <w:tcW w:w="2420" w:type="dxa"/>
            <w:tcBorders>
              <w:top w:val="nil"/>
              <w:left w:val="nil"/>
              <w:bottom w:val="nil"/>
              <w:right w:val="single" w:sz="8" w:space="0" w:color="auto"/>
            </w:tcBorders>
            <w:shd w:val="clear" w:color="000000" w:fill="FFFFFF"/>
            <w:vAlign w:val="bottom"/>
            <w:hideMark/>
          </w:tcPr>
          <w:p w:rsidR="00F40941" w:rsidRPr="00B37E75" w:rsidP="00BD11F2" w14:paraId="4D45ABDC" w14:textId="44DD03A3">
            <w:pPr>
              <w:ind w:left="-72"/>
              <w:rPr>
                <w:sz w:val="13"/>
                <w:szCs w:val="13"/>
              </w:rPr>
            </w:pPr>
            <w:r w:rsidRPr="00B37E75">
              <w:rPr>
                <w:sz w:val="13"/>
                <w:szCs w:val="13"/>
              </w:rPr>
              <w:t>Reverse Incentive Auction winning bidders</w:t>
            </w:r>
            <w:r>
              <w:rPr>
                <w:rStyle w:val="FootnoteReference"/>
                <w:sz w:val="13"/>
                <w:szCs w:val="13"/>
              </w:rPr>
              <w:footnoteReference w:customMarkFollows="1" w:id="20"/>
              <w:t xml:space="preserve">4</w:t>
            </w:r>
          </w:p>
        </w:tc>
      </w:tr>
      <w:tr w14:paraId="408975EF" w14:textId="77777777" w:rsidTr="00083441">
        <w:tblPrEx>
          <w:tblW w:w="5000" w:type="pct"/>
          <w:tblLook w:val="04A0"/>
        </w:tblPrEx>
        <w:trPr>
          <w:trHeight w:val="20"/>
        </w:trPr>
        <w:tc>
          <w:tcPr>
            <w:tcW w:w="2240" w:type="dxa"/>
            <w:tcBorders>
              <w:top w:val="nil"/>
              <w:left w:val="single" w:sz="8" w:space="0" w:color="auto"/>
              <w:bottom w:val="single" w:sz="8" w:space="0" w:color="auto"/>
              <w:right w:val="nil"/>
            </w:tcBorders>
            <w:shd w:val="clear" w:color="000000" w:fill="D9D9D9"/>
            <w:vAlign w:val="bottom"/>
            <w:hideMark/>
          </w:tcPr>
          <w:p w:rsidR="00F40941" w:rsidRPr="00B37E75" w:rsidP="00221CC9" w14:paraId="785F93A8" w14:textId="77777777">
            <w:pPr>
              <w:ind w:left="-72"/>
              <w:rPr>
                <w:b/>
                <w:bCs/>
                <w:sz w:val="13"/>
                <w:szCs w:val="13"/>
              </w:rPr>
            </w:pPr>
            <w:r w:rsidRPr="00B37E75">
              <w:rPr>
                <w:b/>
                <w:bCs/>
                <w:sz w:val="13"/>
                <w:szCs w:val="13"/>
              </w:rPr>
              <w:t>Net Cost of Operations</w:t>
            </w:r>
          </w:p>
        </w:tc>
        <w:tc>
          <w:tcPr>
            <w:tcW w:w="1080" w:type="dxa"/>
            <w:tcBorders>
              <w:top w:val="single" w:sz="8" w:space="0" w:color="auto"/>
              <w:left w:val="nil"/>
              <w:bottom w:val="single" w:sz="8" w:space="0" w:color="auto"/>
              <w:right w:val="single" w:sz="8" w:space="0" w:color="auto"/>
            </w:tcBorders>
            <w:shd w:val="clear" w:color="000000" w:fill="D9D9D9"/>
            <w:vAlign w:val="bottom"/>
            <w:hideMark/>
          </w:tcPr>
          <w:p w:rsidR="00F40941" w:rsidRPr="00B37E75" w:rsidP="0014315C" w14:paraId="05B07930" w14:textId="3C1AE12F">
            <w:pPr>
              <w:jc w:val="right"/>
              <w:rPr>
                <w:b/>
                <w:bCs/>
                <w:sz w:val="13"/>
                <w:szCs w:val="13"/>
              </w:rPr>
            </w:pPr>
            <w:r w:rsidRPr="00B37E75">
              <w:rPr>
                <w:b/>
                <w:bCs/>
                <w:sz w:val="13"/>
                <w:szCs w:val="13"/>
              </w:rPr>
              <w:t>$</w:t>
            </w:r>
            <w:r w:rsidR="00AA7761">
              <w:rPr>
                <w:b/>
                <w:bCs/>
                <w:sz w:val="13"/>
                <w:szCs w:val="13"/>
              </w:rPr>
              <w:t xml:space="preserve">    </w:t>
            </w:r>
            <w:r w:rsidRPr="00B37E75">
              <w:rPr>
                <w:b/>
                <w:bCs/>
                <w:sz w:val="13"/>
                <w:szCs w:val="13"/>
              </w:rPr>
              <w:t xml:space="preserve">  10,367,032 </w:t>
            </w:r>
          </w:p>
        </w:tc>
        <w:tc>
          <w:tcPr>
            <w:tcW w:w="1080" w:type="dxa"/>
            <w:tcBorders>
              <w:top w:val="single" w:sz="8" w:space="0" w:color="auto"/>
              <w:left w:val="nil"/>
              <w:bottom w:val="single" w:sz="8" w:space="0" w:color="auto"/>
              <w:right w:val="nil"/>
            </w:tcBorders>
            <w:shd w:val="clear" w:color="000000" w:fill="D9D9D9"/>
            <w:vAlign w:val="bottom"/>
            <w:hideMark/>
          </w:tcPr>
          <w:p w:rsidR="00F40941" w:rsidRPr="00B37E75" w:rsidP="0014315C" w14:paraId="5E25E24E" w14:textId="1DE79B3B">
            <w:pPr>
              <w:jc w:val="right"/>
              <w:rPr>
                <w:b/>
                <w:bCs/>
                <w:sz w:val="13"/>
                <w:szCs w:val="13"/>
              </w:rPr>
            </w:pPr>
            <w:r w:rsidRPr="00B37E75">
              <w:rPr>
                <w:b/>
                <w:bCs/>
                <w:sz w:val="13"/>
                <w:szCs w:val="13"/>
              </w:rPr>
              <w:t>$</w:t>
            </w:r>
            <w:r w:rsidR="00083441">
              <w:rPr>
                <w:b/>
                <w:bCs/>
                <w:sz w:val="13"/>
                <w:szCs w:val="13"/>
              </w:rPr>
              <w:t xml:space="preserve">    </w:t>
            </w:r>
            <w:r w:rsidRPr="00B37E75">
              <w:rPr>
                <w:b/>
                <w:bCs/>
                <w:sz w:val="13"/>
                <w:szCs w:val="13"/>
              </w:rPr>
              <w:t xml:space="preserve">  10,303,597 </w:t>
            </w:r>
          </w:p>
        </w:tc>
        <w:tc>
          <w:tcPr>
            <w:tcW w:w="1350" w:type="dxa"/>
            <w:tcBorders>
              <w:top w:val="single" w:sz="8" w:space="0" w:color="auto"/>
              <w:left w:val="nil"/>
              <w:bottom w:val="single" w:sz="8" w:space="0" w:color="auto"/>
              <w:right w:val="nil"/>
            </w:tcBorders>
            <w:shd w:val="clear" w:color="000000" w:fill="D9D9D9"/>
            <w:vAlign w:val="bottom"/>
            <w:hideMark/>
          </w:tcPr>
          <w:p w:rsidR="00F40941" w:rsidRPr="00B37E75" w:rsidP="0014315C" w14:paraId="6E67A931" w14:textId="439E27D4">
            <w:pPr>
              <w:jc w:val="right"/>
              <w:rPr>
                <w:b/>
                <w:bCs/>
                <w:sz w:val="13"/>
                <w:szCs w:val="13"/>
              </w:rPr>
            </w:pPr>
            <w:r w:rsidRPr="00B37E75">
              <w:rPr>
                <w:b/>
                <w:bCs/>
                <w:sz w:val="13"/>
                <w:szCs w:val="13"/>
              </w:rPr>
              <w:t>$</w:t>
            </w:r>
            <w:r w:rsidR="00083441">
              <w:rPr>
                <w:b/>
                <w:bCs/>
                <w:sz w:val="13"/>
                <w:szCs w:val="13"/>
              </w:rPr>
              <w:t xml:space="preserve">                  </w:t>
            </w:r>
            <w:r w:rsidRPr="00B37E75">
              <w:rPr>
                <w:b/>
                <w:bCs/>
                <w:sz w:val="13"/>
                <w:szCs w:val="13"/>
              </w:rPr>
              <w:t xml:space="preserve">   63,435 </w:t>
            </w:r>
          </w:p>
        </w:tc>
        <w:tc>
          <w:tcPr>
            <w:tcW w:w="1170" w:type="dxa"/>
            <w:tcBorders>
              <w:top w:val="single" w:sz="8" w:space="0" w:color="auto"/>
              <w:left w:val="nil"/>
              <w:bottom w:val="single" w:sz="8" w:space="0" w:color="auto"/>
              <w:right w:val="nil"/>
            </w:tcBorders>
            <w:shd w:val="clear" w:color="000000" w:fill="D9D9D9"/>
            <w:vAlign w:val="bottom"/>
            <w:hideMark/>
          </w:tcPr>
          <w:p w:rsidR="00F40941" w:rsidRPr="00B37E75" w:rsidP="0014315C" w14:paraId="19D2BB5B" w14:textId="586BE46E">
            <w:pPr>
              <w:jc w:val="right"/>
              <w:rPr>
                <w:b/>
                <w:bCs/>
                <w:sz w:val="13"/>
                <w:szCs w:val="13"/>
              </w:rPr>
            </w:pPr>
            <w:r w:rsidRPr="00B37E75">
              <w:rPr>
                <w:b/>
                <w:bCs/>
                <w:sz w:val="13"/>
                <w:szCs w:val="13"/>
              </w:rPr>
              <w:t>$</w:t>
            </w:r>
            <w:r w:rsidR="002F6483">
              <w:rPr>
                <w:b/>
                <w:bCs/>
                <w:sz w:val="13"/>
                <w:szCs w:val="13"/>
              </w:rPr>
              <w:t xml:space="preserve">       </w:t>
            </w:r>
            <w:r w:rsidRPr="00B37E75">
              <w:rPr>
                <w:b/>
                <w:bCs/>
                <w:sz w:val="13"/>
                <w:szCs w:val="13"/>
              </w:rPr>
              <w:t xml:space="preserve">  10,367,032 </w:t>
            </w:r>
          </w:p>
        </w:tc>
        <w:tc>
          <w:tcPr>
            <w:tcW w:w="2420" w:type="dxa"/>
            <w:tcBorders>
              <w:top w:val="nil"/>
              <w:left w:val="nil"/>
              <w:bottom w:val="single" w:sz="8" w:space="0" w:color="auto"/>
              <w:right w:val="single" w:sz="8" w:space="0" w:color="auto"/>
            </w:tcBorders>
            <w:shd w:val="clear" w:color="000000" w:fill="D9D9D9"/>
            <w:vAlign w:val="bottom"/>
            <w:hideMark/>
          </w:tcPr>
          <w:p w:rsidR="00F40941" w:rsidRPr="00B37E75" w:rsidP="00BD11F2" w14:paraId="446A63F5" w14:textId="77777777">
            <w:pPr>
              <w:ind w:left="-72"/>
              <w:rPr>
                <w:b/>
                <w:bCs/>
                <w:sz w:val="13"/>
                <w:szCs w:val="13"/>
              </w:rPr>
            </w:pPr>
            <w:r w:rsidRPr="00B37E75">
              <w:rPr>
                <w:b/>
                <w:bCs/>
                <w:sz w:val="13"/>
                <w:szCs w:val="13"/>
              </w:rPr>
              <w:t>Net Cost of Operations</w:t>
            </w:r>
          </w:p>
        </w:tc>
      </w:tr>
    </w:tbl>
    <w:p w:rsidR="003A2DAA" w:rsidP="00F40941" w14:paraId="3FBFD4CC" w14:textId="3D536DDA">
      <w:pPr>
        <w:rPr>
          <w:iCs/>
        </w:rPr>
      </w:pPr>
    </w:p>
    <w:p w:rsidR="00F40941" w:rsidP="00285D06" w14:paraId="56BA4820" w14:textId="7C360737">
      <w:pPr>
        <w:jc w:val="center"/>
        <w:rPr>
          <w:iCs/>
        </w:rPr>
        <w:sectPr w:rsidSect="00F054D8">
          <w:pgSz w:w="12240" w:h="15840"/>
          <w:pgMar w:top="1440" w:right="1440" w:bottom="1296" w:left="1440" w:header="720" w:footer="720" w:gutter="0"/>
          <w:cols w:space="720"/>
        </w:sectPr>
      </w:pPr>
    </w:p>
    <w:p w:rsidR="00285D06" w:rsidRPr="00BA1E56" w:rsidP="00EA5C58" w14:paraId="2C13CF74" w14:textId="72866DF5">
      <w:pPr>
        <w:spacing w:after="240"/>
        <w:jc w:val="both"/>
        <w:rPr>
          <w:b/>
          <w:bCs/>
          <w:sz w:val="22"/>
          <w:szCs w:val="22"/>
        </w:rPr>
      </w:pPr>
      <w:bookmarkStart w:id="272" w:name="_Hlk86657753"/>
      <w:r w:rsidRPr="33B14630">
        <w:rPr>
          <w:b/>
          <w:bCs/>
          <w:sz w:val="22"/>
          <w:szCs w:val="22"/>
        </w:rPr>
        <w:t xml:space="preserve">Note </w:t>
      </w:r>
      <w:r w:rsidRPr="33B14630" w:rsidR="00096EFA">
        <w:rPr>
          <w:b/>
          <w:bCs/>
          <w:sz w:val="22"/>
          <w:szCs w:val="22"/>
        </w:rPr>
        <w:t>2</w:t>
      </w:r>
      <w:r w:rsidR="00096EFA">
        <w:rPr>
          <w:b/>
          <w:bCs/>
          <w:sz w:val="22"/>
          <w:szCs w:val="22"/>
        </w:rPr>
        <w:t>0</w:t>
      </w:r>
      <w:r w:rsidRPr="33B14630" w:rsidR="00096EFA">
        <w:rPr>
          <w:b/>
          <w:bCs/>
          <w:sz w:val="22"/>
          <w:szCs w:val="22"/>
        </w:rPr>
        <w:t xml:space="preserve"> </w:t>
      </w:r>
      <w:r w:rsidRPr="33B14630">
        <w:rPr>
          <w:b/>
          <w:bCs/>
          <w:sz w:val="22"/>
          <w:szCs w:val="22"/>
        </w:rPr>
        <w:t>– Reclassification of Financial Statement Line Items for Financial Report Compilation Process (continued)</w:t>
      </w:r>
    </w:p>
    <w:p w:rsidR="00285D06" w:rsidRPr="00F94B15" w:rsidP="00005DCC" w14:paraId="545E9199" w14:textId="277CE0F2">
      <w:pPr>
        <w:pStyle w:val="Heading5"/>
        <w:rPr>
          <w:sz w:val="22"/>
          <w:szCs w:val="22"/>
        </w:rPr>
      </w:pPr>
      <w:bookmarkStart w:id="273" w:name="_Toc88780717"/>
      <w:r w:rsidRPr="00462AC0">
        <w:rPr>
          <w:sz w:val="22"/>
          <w:szCs w:val="22"/>
        </w:rPr>
        <w:t>Reclassification of Statement of Changes in Net Position to Line Items Used for Government-wide Statement of Operations and Changes in Net Position for the Year Ended September 30, 2021 and September 30, 2020</w:t>
      </w:r>
      <w:bookmarkEnd w:id="273"/>
    </w:p>
    <w:tbl>
      <w:tblPr>
        <w:tblW w:w="5000" w:type="pct"/>
        <w:tblLook w:val="04A0"/>
      </w:tblPr>
      <w:tblGrid>
        <w:gridCol w:w="2870"/>
        <w:gridCol w:w="900"/>
        <w:gridCol w:w="900"/>
        <w:gridCol w:w="1098"/>
        <w:gridCol w:w="972"/>
        <w:gridCol w:w="2600"/>
      </w:tblGrid>
      <w:tr w14:paraId="5E05E529" w14:textId="77777777" w:rsidTr="001B03FF">
        <w:tblPrEx>
          <w:tblW w:w="5000" w:type="pct"/>
          <w:tblLook w:val="04A0"/>
        </w:tblPrEx>
        <w:trPr>
          <w:trHeight w:val="673"/>
        </w:trPr>
        <w:tc>
          <w:tcPr>
            <w:tcW w:w="2870" w:type="dxa"/>
            <w:tcBorders>
              <w:top w:val="single" w:sz="8" w:space="0" w:color="auto"/>
              <w:left w:val="single" w:sz="8" w:space="0" w:color="auto"/>
              <w:bottom w:val="single" w:sz="8" w:space="0" w:color="auto"/>
              <w:right w:val="nil"/>
            </w:tcBorders>
            <w:shd w:val="clear" w:color="000000" w:fill="FFFFFF"/>
            <w:vAlign w:val="center"/>
            <w:hideMark/>
          </w:tcPr>
          <w:p w:rsidR="00F40941" w:rsidRPr="00146E7A" w:rsidP="00A43CBB" w14:paraId="51283EA2" w14:textId="77777777">
            <w:pPr>
              <w:jc w:val="center"/>
              <w:rPr>
                <w:b/>
                <w:bCs/>
                <w:sz w:val="13"/>
                <w:szCs w:val="13"/>
              </w:rPr>
            </w:pPr>
            <w:r w:rsidRPr="00146E7A">
              <w:rPr>
                <w:b/>
                <w:bCs/>
                <w:sz w:val="13"/>
                <w:szCs w:val="13"/>
              </w:rPr>
              <w:t>AFR Line</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F40941" w:rsidRPr="00146E7A" w:rsidP="00A43CBB" w14:paraId="0FF7B814" w14:textId="77777777">
            <w:pPr>
              <w:jc w:val="center"/>
              <w:rPr>
                <w:b/>
                <w:bCs/>
                <w:sz w:val="13"/>
                <w:szCs w:val="13"/>
              </w:rPr>
            </w:pPr>
            <w:r w:rsidRPr="00146E7A">
              <w:rPr>
                <w:b/>
                <w:bCs/>
                <w:sz w:val="13"/>
                <w:szCs w:val="13"/>
              </w:rPr>
              <w:t>2021 FCC SCNP</w:t>
            </w:r>
          </w:p>
        </w:tc>
        <w:tc>
          <w:tcPr>
            <w:tcW w:w="900" w:type="dxa"/>
            <w:tcBorders>
              <w:top w:val="single" w:sz="8" w:space="0" w:color="auto"/>
              <w:left w:val="nil"/>
              <w:bottom w:val="single" w:sz="8" w:space="0" w:color="auto"/>
              <w:right w:val="nil"/>
            </w:tcBorders>
            <w:shd w:val="clear" w:color="auto" w:fill="auto"/>
            <w:vAlign w:val="center"/>
            <w:hideMark/>
          </w:tcPr>
          <w:p w:rsidR="00F40941" w:rsidRPr="00146E7A" w:rsidP="00A43CBB" w14:paraId="2D5D87F8" w14:textId="77777777">
            <w:pPr>
              <w:jc w:val="center"/>
              <w:rPr>
                <w:b/>
                <w:bCs/>
                <w:sz w:val="13"/>
                <w:szCs w:val="13"/>
              </w:rPr>
            </w:pPr>
            <w:r w:rsidRPr="00146E7A">
              <w:rPr>
                <w:b/>
                <w:bCs/>
                <w:sz w:val="13"/>
                <w:szCs w:val="13"/>
              </w:rPr>
              <w:t>Dedicated Collections Combined</w:t>
            </w:r>
          </w:p>
        </w:tc>
        <w:tc>
          <w:tcPr>
            <w:tcW w:w="1098" w:type="dxa"/>
            <w:tcBorders>
              <w:top w:val="single" w:sz="8" w:space="0" w:color="auto"/>
              <w:left w:val="nil"/>
              <w:bottom w:val="single" w:sz="8" w:space="0" w:color="auto"/>
              <w:right w:val="nil"/>
            </w:tcBorders>
            <w:shd w:val="clear" w:color="auto" w:fill="auto"/>
            <w:vAlign w:val="center"/>
            <w:hideMark/>
          </w:tcPr>
          <w:p w:rsidR="00F40941" w:rsidRPr="00146E7A" w:rsidP="00A43CBB" w14:paraId="7836117A" w14:textId="77777777">
            <w:pPr>
              <w:jc w:val="center"/>
              <w:rPr>
                <w:b/>
                <w:bCs/>
                <w:sz w:val="13"/>
                <w:szCs w:val="13"/>
              </w:rPr>
            </w:pPr>
            <w:r w:rsidRPr="00146E7A">
              <w:rPr>
                <w:b/>
                <w:bCs/>
                <w:sz w:val="13"/>
                <w:szCs w:val="13"/>
              </w:rPr>
              <w:t>All Other Amounts (with Eliminations)</w:t>
            </w:r>
          </w:p>
        </w:tc>
        <w:tc>
          <w:tcPr>
            <w:tcW w:w="972" w:type="dxa"/>
            <w:tcBorders>
              <w:top w:val="single" w:sz="8" w:space="0" w:color="auto"/>
              <w:left w:val="nil"/>
              <w:bottom w:val="single" w:sz="8" w:space="0" w:color="auto"/>
              <w:right w:val="nil"/>
            </w:tcBorders>
            <w:shd w:val="clear" w:color="auto" w:fill="auto"/>
            <w:vAlign w:val="center"/>
            <w:hideMark/>
          </w:tcPr>
          <w:p w:rsidR="00F40941" w:rsidRPr="00146E7A" w:rsidP="00A43CBB" w14:paraId="4D497419" w14:textId="77777777">
            <w:pPr>
              <w:jc w:val="center"/>
              <w:rPr>
                <w:b/>
                <w:bCs/>
                <w:sz w:val="13"/>
                <w:szCs w:val="13"/>
              </w:rPr>
            </w:pPr>
            <w:r w:rsidRPr="00146E7A">
              <w:rPr>
                <w:b/>
                <w:bCs/>
                <w:sz w:val="13"/>
                <w:szCs w:val="13"/>
              </w:rPr>
              <w:t>2021 Reclassified SCNP Total</w:t>
            </w:r>
          </w:p>
        </w:tc>
        <w:tc>
          <w:tcPr>
            <w:tcW w:w="2600" w:type="dxa"/>
            <w:tcBorders>
              <w:top w:val="single" w:sz="8" w:space="0" w:color="auto"/>
              <w:left w:val="nil"/>
              <w:bottom w:val="single" w:sz="8" w:space="0" w:color="auto"/>
              <w:right w:val="single" w:sz="8" w:space="0" w:color="auto"/>
            </w:tcBorders>
            <w:shd w:val="clear" w:color="000000" w:fill="FFFFFF"/>
            <w:vAlign w:val="center"/>
            <w:hideMark/>
          </w:tcPr>
          <w:p w:rsidR="00F40941" w:rsidRPr="00146E7A" w:rsidP="00146E7A" w14:paraId="15F7C9D0" w14:textId="77777777">
            <w:pPr>
              <w:jc w:val="center"/>
              <w:rPr>
                <w:b/>
                <w:bCs/>
                <w:sz w:val="13"/>
                <w:szCs w:val="13"/>
              </w:rPr>
            </w:pPr>
            <w:r w:rsidRPr="00146E7A">
              <w:rPr>
                <w:b/>
                <w:bCs/>
                <w:sz w:val="13"/>
                <w:szCs w:val="13"/>
              </w:rPr>
              <w:t>Reclassified Line</w:t>
            </w:r>
          </w:p>
        </w:tc>
      </w:tr>
      <w:tr w14:paraId="66B61A13"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23036C" w:rsidP="00146E7A" w14:paraId="2335435E" w14:textId="77777777">
            <w:pPr>
              <w:ind w:left="-72"/>
              <w:rPr>
                <w:b/>
                <w:bCs/>
                <w:sz w:val="13"/>
                <w:szCs w:val="13"/>
              </w:rPr>
            </w:pPr>
            <w:r w:rsidRPr="0023036C">
              <w:rPr>
                <w:b/>
                <w:bCs/>
                <w:sz w:val="13"/>
                <w:szCs w:val="13"/>
              </w:rPr>
              <w:t>UNEXPENDED APPRORPATIONS</w:t>
            </w:r>
          </w:p>
        </w:tc>
        <w:tc>
          <w:tcPr>
            <w:tcW w:w="900" w:type="dxa"/>
            <w:tcBorders>
              <w:top w:val="nil"/>
              <w:left w:val="nil"/>
              <w:bottom w:val="nil"/>
              <w:right w:val="single" w:sz="8" w:space="0" w:color="auto"/>
            </w:tcBorders>
            <w:shd w:val="clear" w:color="000000" w:fill="FFFFFF"/>
            <w:vAlign w:val="bottom"/>
          </w:tcPr>
          <w:p w:rsidR="00F40941" w:rsidRPr="00A43CBB" w:rsidP="00A43CBB" w14:paraId="4D662F16" w14:textId="4AE99963">
            <w:pPr>
              <w:jc w:val="right"/>
              <w:rPr>
                <w:sz w:val="13"/>
                <w:szCs w:val="13"/>
              </w:rPr>
            </w:pPr>
          </w:p>
        </w:tc>
        <w:tc>
          <w:tcPr>
            <w:tcW w:w="900" w:type="dxa"/>
            <w:tcBorders>
              <w:top w:val="nil"/>
              <w:left w:val="nil"/>
              <w:bottom w:val="nil"/>
              <w:right w:val="nil"/>
            </w:tcBorders>
            <w:shd w:val="clear" w:color="000000" w:fill="FFFFFF"/>
            <w:vAlign w:val="bottom"/>
          </w:tcPr>
          <w:p w:rsidR="00F40941" w:rsidRPr="00A43CBB" w:rsidP="00A43CBB" w14:paraId="642932D6" w14:textId="3F62C342">
            <w:pPr>
              <w:jc w:val="right"/>
              <w:rPr>
                <w:sz w:val="13"/>
                <w:szCs w:val="13"/>
              </w:rPr>
            </w:pPr>
          </w:p>
        </w:tc>
        <w:tc>
          <w:tcPr>
            <w:tcW w:w="1098" w:type="dxa"/>
            <w:tcBorders>
              <w:top w:val="nil"/>
              <w:left w:val="nil"/>
              <w:bottom w:val="nil"/>
              <w:right w:val="nil"/>
            </w:tcBorders>
            <w:shd w:val="clear" w:color="000000" w:fill="FFFFFF"/>
            <w:vAlign w:val="bottom"/>
          </w:tcPr>
          <w:p w:rsidR="00F40941" w:rsidRPr="00A43CBB" w:rsidP="00A43CBB" w14:paraId="1B901F66" w14:textId="229EC11A">
            <w:pPr>
              <w:jc w:val="right"/>
              <w:rPr>
                <w:sz w:val="13"/>
                <w:szCs w:val="13"/>
              </w:rPr>
            </w:pPr>
          </w:p>
        </w:tc>
        <w:tc>
          <w:tcPr>
            <w:tcW w:w="972" w:type="dxa"/>
            <w:tcBorders>
              <w:top w:val="nil"/>
              <w:left w:val="nil"/>
              <w:bottom w:val="nil"/>
              <w:right w:val="nil"/>
            </w:tcBorders>
            <w:shd w:val="clear" w:color="auto" w:fill="auto"/>
            <w:vAlign w:val="bottom"/>
          </w:tcPr>
          <w:p w:rsidR="00F40941" w:rsidRPr="00A43CBB" w:rsidP="00A43CBB" w14:paraId="031155DD" w14:textId="464D6815">
            <w:pPr>
              <w:jc w:val="right"/>
              <w:rPr>
                <w:sz w:val="13"/>
                <w:szCs w:val="13"/>
              </w:rPr>
            </w:pPr>
          </w:p>
        </w:tc>
        <w:tc>
          <w:tcPr>
            <w:tcW w:w="2600" w:type="dxa"/>
            <w:tcBorders>
              <w:top w:val="nil"/>
              <w:left w:val="nil"/>
              <w:bottom w:val="nil"/>
              <w:right w:val="single" w:sz="8" w:space="0" w:color="auto"/>
            </w:tcBorders>
            <w:shd w:val="clear" w:color="000000" w:fill="FFFFFF"/>
            <w:vAlign w:val="bottom"/>
          </w:tcPr>
          <w:p w:rsidR="00F40941" w:rsidRPr="00A43CBB" w:rsidP="00ED6955" w14:paraId="4B17AF8A" w14:textId="0A003DBE">
            <w:pPr>
              <w:rPr>
                <w:sz w:val="13"/>
                <w:szCs w:val="13"/>
              </w:rPr>
            </w:pPr>
          </w:p>
        </w:tc>
      </w:tr>
      <w:tr w14:paraId="6BD98F2C"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73132CAE" w14:textId="77777777">
            <w:pPr>
              <w:ind w:left="-72"/>
              <w:rPr>
                <w:sz w:val="13"/>
                <w:szCs w:val="13"/>
              </w:rPr>
            </w:pPr>
            <w:r w:rsidRPr="00A43CBB">
              <w:rPr>
                <w:sz w:val="13"/>
                <w:szCs w:val="13"/>
              </w:rPr>
              <w:t>Unexpended Appropriations, Beginning Balance</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41A610FD" w14:textId="7DE39B89">
            <w:pPr>
              <w:jc w:val="right"/>
              <w:rPr>
                <w:sz w:val="13"/>
                <w:szCs w:val="13"/>
              </w:rPr>
            </w:pPr>
            <w:r w:rsidRPr="00A43CBB">
              <w:rPr>
                <w:sz w:val="13"/>
                <w:szCs w:val="13"/>
              </w:rPr>
              <w:t>$</w:t>
            </w:r>
            <w:r w:rsidR="002F399C">
              <w:rPr>
                <w:sz w:val="13"/>
                <w:szCs w:val="13"/>
              </w:rPr>
              <w:t xml:space="preserve">  </w:t>
            </w:r>
            <w:r w:rsidRPr="00A43CBB">
              <w:rPr>
                <w:sz w:val="13"/>
                <w:szCs w:val="13"/>
              </w:rPr>
              <w:t xml:space="preserve"> 1,008,586 </w:t>
            </w:r>
          </w:p>
        </w:tc>
        <w:tc>
          <w:tcPr>
            <w:tcW w:w="900" w:type="dxa"/>
            <w:tcBorders>
              <w:top w:val="nil"/>
              <w:left w:val="nil"/>
              <w:bottom w:val="nil"/>
              <w:right w:val="nil"/>
            </w:tcBorders>
            <w:shd w:val="clear" w:color="auto" w:fill="auto"/>
            <w:vAlign w:val="bottom"/>
            <w:hideMark/>
          </w:tcPr>
          <w:p w:rsidR="00F40941" w:rsidRPr="00A43CBB" w:rsidP="00E64F70" w14:paraId="1AE68477" w14:textId="2AB70122">
            <w:pPr>
              <w:jc w:val="right"/>
              <w:rPr>
                <w:sz w:val="13"/>
                <w:szCs w:val="13"/>
              </w:rPr>
            </w:pPr>
            <w:r w:rsidRPr="00A43CBB">
              <w:rPr>
                <w:sz w:val="13"/>
                <w:szCs w:val="13"/>
              </w:rPr>
              <w:t>$</w:t>
            </w:r>
            <w:r w:rsidR="002F399C">
              <w:rPr>
                <w:sz w:val="13"/>
                <w:szCs w:val="13"/>
              </w:rPr>
              <w:t xml:space="preserve">  </w:t>
            </w:r>
            <w:r w:rsidRPr="00A43CBB">
              <w:rPr>
                <w:sz w:val="13"/>
                <w:szCs w:val="13"/>
              </w:rPr>
              <w:t xml:space="preserve"> 7,109,629 </w:t>
            </w:r>
          </w:p>
        </w:tc>
        <w:tc>
          <w:tcPr>
            <w:tcW w:w="1098" w:type="dxa"/>
            <w:tcBorders>
              <w:top w:val="nil"/>
              <w:left w:val="nil"/>
              <w:bottom w:val="nil"/>
              <w:right w:val="nil"/>
            </w:tcBorders>
            <w:shd w:val="clear" w:color="auto" w:fill="auto"/>
            <w:vAlign w:val="bottom"/>
            <w:hideMark/>
          </w:tcPr>
          <w:p w:rsidR="00F40941" w:rsidRPr="00A43CBB" w:rsidP="00E64F70" w14:paraId="187498CF" w14:textId="51B2E8A9">
            <w:pPr>
              <w:jc w:val="right"/>
              <w:rPr>
                <w:sz w:val="13"/>
                <w:szCs w:val="13"/>
              </w:rPr>
            </w:pPr>
            <w:r w:rsidRPr="00A43CBB">
              <w:rPr>
                <w:sz w:val="13"/>
                <w:szCs w:val="13"/>
              </w:rPr>
              <w:t>$</w:t>
            </w:r>
            <w:r w:rsidR="00132826">
              <w:rPr>
                <w:sz w:val="13"/>
                <w:szCs w:val="13"/>
              </w:rPr>
              <w:t xml:space="preserve">          </w:t>
            </w:r>
            <w:r w:rsidRPr="00A43CBB">
              <w:rPr>
                <w:sz w:val="13"/>
                <w:szCs w:val="13"/>
              </w:rPr>
              <w:t xml:space="preserve">  342,692 </w:t>
            </w:r>
          </w:p>
        </w:tc>
        <w:tc>
          <w:tcPr>
            <w:tcW w:w="972" w:type="dxa"/>
            <w:tcBorders>
              <w:top w:val="nil"/>
              <w:left w:val="nil"/>
              <w:bottom w:val="nil"/>
              <w:right w:val="nil"/>
            </w:tcBorders>
            <w:shd w:val="clear" w:color="000000" w:fill="FFFFFF"/>
            <w:vAlign w:val="bottom"/>
            <w:hideMark/>
          </w:tcPr>
          <w:p w:rsidR="00F40941" w:rsidRPr="00A43CBB" w:rsidP="00E64F70" w14:paraId="4C16ECEE" w14:textId="716F10E7">
            <w:pPr>
              <w:jc w:val="right"/>
              <w:rPr>
                <w:sz w:val="13"/>
                <w:szCs w:val="13"/>
              </w:rPr>
            </w:pPr>
            <w:r w:rsidRPr="00A43CBB">
              <w:rPr>
                <w:sz w:val="13"/>
                <w:szCs w:val="13"/>
              </w:rPr>
              <w:t>$</w:t>
            </w:r>
            <w:r w:rsidR="00132826">
              <w:rPr>
                <w:sz w:val="13"/>
                <w:szCs w:val="13"/>
              </w:rPr>
              <w:t xml:space="preserve">    </w:t>
            </w:r>
            <w:r w:rsidRPr="00A43CBB">
              <w:rPr>
                <w:sz w:val="13"/>
                <w:szCs w:val="13"/>
              </w:rPr>
              <w:t xml:space="preserve"> 7,452,321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268C34FD" w14:textId="77777777">
            <w:pPr>
              <w:ind w:left="-72"/>
              <w:rPr>
                <w:sz w:val="13"/>
                <w:szCs w:val="13"/>
              </w:rPr>
            </w:pPr>
            <w:r w:rsidRPr="00A43CBB">
              <w:rPr>
                <w:sz w:val="13"/>
                <w:szCs w:val="13"/>
              </w:rPr>
              <w:t>Net Position, Beginning of Period</w:t>
            </w:r>
          </w:p>
        </w:tc>
      </w:tr>
      <w:tr w14:paraId="62462730"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14566CD8" w14:textId="77777777">
            <w:pPr>
              <w:ind w:left="-72"/>
              <w:rPr>
                <w:sz w:val="13"/>
                <w:szCs w:val="13"/>
              </w:rPr>
            </w:pPr>
            <w:r w:rsidRPr="00A43CBB">
              <w:rPr>
                <w:sz w:val="13"/>
                <w:szCs w:val="13"/>
              </w:rPr>
              <w:t>Appropriations Received, General Funds</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529A56A3" w14:textId="77777777">
            <w:pPr>
              <w:jc w:val="right"/>
              <w:rPr>
                <w:sz w:val="13"/>
                <w:szCs w:val="13"/>
              </w:rPr>
            </w:pPr>
            <w:r w:rsidRPr="00A43CBB">
              <w:rPr>
                <w:sz w:val="13"/>
                <w:szCs w:val="13"/>
              </w:rPr>
              <w:t xml:space="preserve"> 12,586,950 </w:t>
            </w:r>
          </w:p>
        </w:tc>
        <w:tc>
          <w:tcPr>
            <w:tcW w:w="900" w:type="dxa"/>
            <w:tcBorders>
              <w:top w:val="nil"/>
              <w:left w:val="nil"/>
              <w:bottom w:val="nil"/>
              <w:right w:val="nil"/>
            </w:tcBorders>
            <w:shd w:val="clear" w:color="000000" w:fill="FFFFFF"/>
            <w:vAlign w:val="bottom"/>
            <w:hideMark/>
          </w:tcPr>
          <w:p w:rsidR="00F40941" w:rsidRPr="00A43CBB" w:rsidP="00E64F70" w14:paraId="05FA7F97" w14:textId="77777777">
            <w:pPr>
              <w:jc w:val="right"/>
              <w:rPr>
                <w:sz w:val="13"/>
                <w:szCs w:val="13"/>
              </w:rPr>
            </w:pPr>
            <w:r w:rsidRPr="00A43CBB">
              <w:rPr>
                <w:sz w:val="13"/>
                <w:szCs w:val="13"/>
              </w:rPr>
              <w:t xml:space="preserve">   - </w:t>
            </w:r>
          </w:p>
        </w:tc>
        <w:tc>
          <w:tcPr>
            <w:tcW w:w="1098" w:type="dxa"/>
            <w:tcBorders>
              <w:top w:val="nil"/>
              <w:left w:val="nil"/>
              <w:bottom w:val="nil"/>
              <w:right w:val="nil"/>
            </w:tcBorders>
            <w:shd w:val="clear" w:color="000000" w:fill="FFFFFF"/>
            <w:vAlign w:val="bottom"/>
            <w:hideMark/>
          </w:tcPr>
          <w:p w:rsidR="00F40941" w:rsidRPr="00A43CBB" w:rsidP="00E64F70" w14:paraId="75FD6532" w14:textId="77777777">
            <w:pPr>
              <w:jc w:val="right"/>
              <w:rPr>
                <w:sz w:val="13"/>
                <w:szCs w:val="13"/>
              </w:rPr>
            </w:pPr>
            <w:r w:rsidRPr="00A43CBB">
              <w:rPr>
                <w:sz w:val="13"/>
                <w:szCs w:val="13"/>
              </w:rPr>
              <w:t xml:space="preserve"> 12,586,950 </w:t>
            </w:r>
          </w:p>
        </w:tc>
        <w:tc>
          <w:tcPr>
            <w:tcW w:w="972" w:type="dxa"/>
            <w:tcBorders>
              <w:top w:val="nil"/>
              <w:left w:val="nil"/>
              <w:bottom w:val="nil"/>
              <w:right w:val="nil"/>
            </w:tcBorders>
            <w:shd w:val="clear" w:color="000000" w:fill="FFFFFF"/>
            <w:vAlign w:val="bottom"/>
            <w:hideMark/>
          </w:tcPr>
          <w:p w:rsidR="00F40941" w:rsidRPr="00A43CBB" w:rsidP="00E64F70" w14:paraId="152028DA" w14:textId="77777777">
            <w:pPr>
              <w:jc w:val="right"/>
              <w:rPr>
                <w:sz w:val="13"/>
                <w:szCs w:val="13"/>
              </w:rPr>
            </w:pPr>
            <w:r w:rsidRPr="00A43CBB">
              <w:rPr>
                <w:sz w:val="13"/>
                <w:szCs w:val="13"/>
              </w:rPr>
              <w:t xml:space="preserve"> 12,586,950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0DCBE613" w14:textId="77777777">
            <w:pPr>
              <w:ind w:left="-72"/>
              <w:rPr>
                <w:sz w:val="13"/>
                <w:szCs w:val="13"/>
              </w:rPr>
            </w:pPr>
            <w:r w:rsidRPr="00A43CBB">
              <w:rPr>
                <w:sz w:val="13"/>
                <w:szCs w:val="13"/>
              </w:rPr>
              <w:t>Appropriations Received as Adjusted</w:t>
            </w:r>
          </w:p>
        </w:tc>
      </w:tr>
      <w:tr w14:paraId="6C19186A"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385A56CC" w14:textId="77777777">
            <w:pPr>
              <w:ind w:left="-72"/>
              <w:rPr>
                <w:sz w:val="13"/>
                <w:szCs w:val="13"/>
              </w:rPr>
            </w:pPr>
            <w:r w:rsidRPr="00A43CBB">
              <w:rPr>
                <w:sz w:val="13"/>
                <w:szCs w:val="13"/>
              </w:rPr>
              <w:t>Appropriations Used</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7CC09B56" w14:textId="77777777">
            <w:pPr>
              <w:jc w:val="right"/>
              <w:rPr>
                <w:sz w:val="13"/>
                <w:szCs w:val="13"/>
              </w:rPr>
            </w:pPr>
            <w:r w:rsidRPr="00A43CBB">
              <w:rPr>
                <w:sz w:val="13"/>
                <w:szCs w:val="13"/>
              </w:rPr>
              <w:t xml:space="preserve"> (1,047,827)</w:t>
            </w:r>
          </w:p>
        </w:tc>
        <w:tc>
          <w:tcPr>
            <w:tcW w:w="900" w:type="dxa"/>
            <w:tcBorders>
              <w:top w:val="nil"/>
              <w:left w:val="nil"/>
              <w:bottom w:val="nil"/>
              <w:right w:val="nil"/>
            </w:tcBorders>
            <w:shd w:val="clear" w:color="000000" w:fill="FFFFFF"/>
            <w:vAlign w:val="bottom"/>
            <w:hideMark/>
          </w:tcPr>
          <w:p w:rsidR="00F40941" w:rsidRPr="00A43CBB" w:rsidP="00E64F70" w14:paraId="04141A2C" w14:textId="77777777">
            <w:pPr>
              <w:jc w:val="right"/>
              <w:rPr>
                <w:sz w:val="13"/>
                <w:szCs w:val="13"/>
              </w:rPr>
            </w:pPr>
            <w:r w:rsidRPr="00A43CBB">
              <w:rPr>
                <w:sz w:val="13"/>
                <w:szCs w:val="13"/>
              </w:rPr>
              <w:t xml:space="preserve">  (38,828)</w:t>
            </w:r>
          </w:p>
        </w:tc>
        <w:tc>
          <w:tcPr>
            <w:tcW w:w="1098" w:type="dxa"/>
            <w:tcBorders>
              <w:top w:val="nil"/>
              <w:left w:val="nil"/>
              <w:bottom w:val="nil"/>
              <w:right w:val="nil"/>
            </w:tcBorders>
            <w:shd w:val="clear" w:color="000000" w:fill="FFFFFF"/>
            <w:vAlign w:val="bottom"/>
            <w:hideMark/>
          </w:tcPr>
          <w:p w:rsidR="00F40941" w:rsidRPr="00A43CBB" w:rsidP="00E64F70" w14:paraId="123CBB11" w14:textId="77777777">
            <w:pPr>
              <w:jc w:val="right"/>
              <w:rPr>
                <w:sz w:val="13"/>
                <w:szCs w:val="13"/>
              </w:rPr>
            </w:pPr>
            <w:r w:rsidRPr="00A43CBB">
              <w:rPr>
                <w:sz w:val="13"/>
                <w:szCs w:val="13"/>
              </w:rPr>
              <w:t xml:space="preserve"> (1,008,999)</w:t>
            </w:r>
          </w:p>
        </w:tc>
        <w:tc>
          <w:tcPr>
            <w:tcW w:w="972" w:type="dxa"/>
            <w:tcBorders>
              <w:top w:val="nil"/>
              <w:left w:val="nil"/>
              <w:bottom w:val="nil"/>
              <w:right w:val="nil"/>
            </w:tcBorders>
            <w:shd w:val="clear" w:color="000000" w:fill="FFFFFF"/>
            <w:vAlign w:val="bottom"/>
            <w:hideMark/>
          </w:tcPr>
          <w:p w:rsidR="00F40941" w:rsidRPr="00A43CBB" w:rsidP="00E64F70" w14:paraId="3EE12DAE" w14:textId="77777777">
            <w:pPr>
              <w:jc w:val="right"/>
              <w:rPr>
                <w:sz w:val="13"/>
                <w:szCs w:val="13"/>
              </w:rPr>
            </w:pPr>
            <w:r w:rsidRPr="00A43CBB">
              <w:rPr>
                <w:sz w:val="13"/>
                <w:szCs w:val="13"/>
              </w:rPr>
              <w:t xml:space="preserve"> (1,047,827)</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5FA23005" w14:textId="77777777">
            <w:pPr>
              <w:ind w:left="-72"/>
              <w:rPr>
                <w:sz w:val="13"/>
                <w:szCs w:val="13"/>
              </w:rPr>
            </w:pPr>
            <w:r w:rsidRPr="00A43CBB">
              <w:rPr>
                <w:sz w:val="13"/>
                <w:szCs w:val="13"/>
              </w:rPr>
              <w:t xml:space="preserve">Appropriations Used </w:t>
            </w:r>
          </w:p>
        </w:tc>
      </w:tr>
      <w:tr w14:paraId="396F24F2" w14:textId="77777777" w:rsidTr="005C30AA">
        <w:tblPrEx>
          <w:tblW w:w="5000" w:type="pct"/>
          <w:tblLook w:val="04A0"/>
        </w:tblPrEx>
        <w:trPr>
          <w:trHeight w:val="20"/>
        </w:trPr>
        <w:tc>
          <w:tcPr>
            <w:tcW w:w="2870" w:type="dxa"/>
            <w:tcBorders>
              <w:top w:val="nil"/>
              <w:left w:val="single" w:sz="8" w:space="0" w:color="auto"/>
              <w:bottom w:val="single" w:sz="8" w:space="0" w:color="auto"/>
              <w:right w:val="nil"/>
            </w:tcBorders>
            <w:shd w:val="clear" w:color="000000" w:fill="FFFFFF"/>
            <w:vAlign w:val="bottom"/>
            <w:hideMark/>
          </w:tcPr>
          <w:p w:rsidR="00F40941" w:rsidRPr="0023036C" w:rsidP="00146E7A" w14:paraId="19CA8A3B" w14:textId="77777777">
            <w:pPr>
              <w:ind w:left="-72"/>
              <w:rPr>
                <w:b/>
                <w:bCs/>
                <w:sz w:val="13"/>
                <w:szCs w:val="13"/>
              </w:rPr>
            </w:pPr>
            <w:r w:rsidRPr="0023036C">
              <w:rPr>
                <w:b/>
                <w:bCs/>
                <w:sz w:val="13"/>
                <w:szCs w:val="13"/>
              </w:rPr>
              <w:t>Total Unexpended Appropriations</w:t>
            </w:r>
          </w:p>
        </w:tc>
        <w:tc>
          <w:tcPr>
            <w:tcW w:w="900" w:type="dxa"/>
            <w:tcBorders>
              <w:top w:val="single" w:sz="4" w:space="0" w:color="auto"/>
              <w:left w:val="nil"/>
              <w:bottom w:val="single" w:sz="8" w:space="0" w:color="auto"/>
              <w:right w:val="single" w:sz="8" w:space="0" w:color="auto"/>
            </w:tcBorders>
            <w:shd w:val="clear" w:color="000000" w:fill="FFFFFF"/>
            <w:vAlign w:val="bottom"/>
            <w:hideMark/>
          </w:tcPr>
          <w:p w:rsidR="00F40941" w:rsidRPr="0023036C" w:rsidP="00E64F70" w14:paraId="0A25A652" w14:textId="08A727B4">
            <w:pPr>
              <w:jc w:val="right"/>
              <w:rPr>
                <w:b/>
                <w:bCs/>
                <w:sz w:val="13"/>
                <w:szCs w:val="13"/>
              </w:rPr>
            </w:pPr>
            <w:r w:rsidRPr="0023036C">
              <w:rPr>
                <w:b/>
                <w:bCs/>
                <w:sz w:val="13"/>
                <w:szCs w:val="13"/>
              </w:rPr>
              <w:t xml:space="preserve">$ 12,547,709 </w:t>
            </w:r>
          </w:p>
        </w:tc>
        <w:tc>
          <w:tcPr>
            <w:tcW w:w="900" w:type="dxa"/>
            <w:tcBorders>
              <w:top w:val="single" w:sz="4" w:space="0" w:color="auto"/>
              <w:left w:val="nil"/>
              <w:bottom w:val="single" w:sz="8" w:space="0" w:color="auto"/>
              <w:right w:val="nil"/>
            </w:tcBorders>
            <w:shd w:val="clear" w:color="000000" w:fill="FFFFFF"/>
            <w:vAlign w:val="bottom"/>
            <w:hideMark/>
          </w:tcPr>
          <w:p w:rsidR="00F40941" w:rsidRPr="0023036C" w:rsidP="00E64F70" w14:paraId="616A43B2" w14:textId="0335172B">
            <w:pPr>
              <w:jc w:val="right"/>
              <w:rPr>
                <w:b/>
                <w:bCs/>
                <w:sz w:val="13"/>
                <w:szCs w:val="13"/>
              </w:rPr>
            </w:pPr>
            <w:r w:rsidRPr="0023036C">
              <w:rPr>
                <w:b/>
                <w:bCs/>
                <w:sz w:val="13"/>
                <w:szCs w:val="13"/>
              </w:rPr>
              <w:t>$</w:t>
            </w:r>
            <w:r w:rsidRPr="0023036C" w:rsidR="00D9759D">
              <w:rPr>
                <w:b/>
                <w:bCs/>
                <w:sz w:val="13"/>
                <w:szCs w:val="13"/>
              </w:rPr>
              <w:t xml:space="preserve">  </w:t>
            </w:r>
            <w:r w:rsidRPr="0023036C">
              <w:rPr>
                <w:b/>
                <w:bCs/>
                <w:sz w:val="13"/>
                <w:szCs w:val="13"/>
              </w:rPr>
              <w:t xml:space="preserve"> 7,070,801 </w:t>
            </w:r>
          </w:p>
        </w:tc>
        <w:tc>
          <w:tcPr>
            <w:tcW w:w="1098" w:type="dxa"/>
            <w:tcBorders>
              <w:top w:val="single" w:sz="4" w:space="0" w:color="auto"/>
              <w:left w:val="nil"/>
              <w:bottom w:val="single" w:sz="8" w:space="0" w:color="auto"/>
              <w:right w:val="nil"/>
            </w:tcBorders>
            <w:shd w:val="clear" w:color="000000" w:fill="FFFFFF"/>
            <w:vAlign w:val="bottom"/>
            <w:hideMark/>
          </w:tcPr>
          <w:p w:rsidR="00F40941" w:rsidRPr="0023036C" w:rsidP="00E64F70" w14:paraId="44B3EE70" w14:textId="39B92ABE">
            <w:pPr>
              <w:jc w:val="right"/>
              <w:rPr>
                <w:b/>
                <w:bCs/>
                <w:sz w:val="13"/>
                <w:szCs w:val="13"/>
              </w:rPr>
            </w:pPr>
            <w:r w:rsidRPr="0023036C">
              <w:rPr>
                <w:b/>
                <w:bCs/>
                <w:sz w:val="13"/>
                <w:szCs w:val="13"/>
              </w:rPr>
              <w:t>$</w:t>
            </w:r>
            <w:r w:rsidR="00132826">
              <w:rPr>
                <w:b/>
                <w:bCs/>
                <w:sz w:val="13"/>
                <w:szCs w:val="13"/>
              </w:rPr>
              <w:t xml:space="preserve"> </w:t>
            </w:r>
            <w:r w:rsidRPr="0023036C" w:rsidR="00A81EA1">
              <w:rPr>
                <w:b/>
                <w:bCs/>
                <w:sz w:val="13"/>
                <w:szCs w:val="13"/>
              </w:rPr>
              <w:t xml:space="preserve">     </w:t>
            </w:r>
            <w:r w:rsidRPr="0023036C">
              <w:rPr>
                <w:b/>
                <w:bCs/>
                <w:sz w:val="13"/>
                <w:szCs w:val="13"/>
              </w:rPr>
              <w:t xml:space="preserve"> 11,920,643 </w:t>
            </w:r>
          </w:p>
        </w:tc>
        <w:tc>
          <w:tcPr>
            <w:tcW w:w="972" w:type="dxa"/>
            <w:tcBorders>
              <w:top w:val="single" w:sz="4" w:space="0" w:color="auto"/>
              <w:left w:val="nil"/>
              <w:bottom w:val="single" w:sz="8" w:space="0" w:color="auto"/>
              <w:right w:val="nil"/>
            </w:tcBorders>
            <w:shd w:val="clear" w:color="000000" w:fill="FFFFFF"/>
            <w:vAlign w:val="bottom"/>
            <w:hideMark/>
          </w:tcPr>
          <w:p w:rsidR="00F40941" w:rsidRPr="0023036C" w:rsidP="00E64F70" w14:paraId="45CF124F" w14:textId="427CA7FD">
            <w:pPr>
              <w:jc w:val="right"/>
              <w:rPr>
                <w:b/>
                <w:bCs/>
                <w:sz w:val="13"/>
                <w:szCs w:val="13"/>
              </w:rPr>
            </w:pPr>
            <w:r w:rsidRPr="0023036C">
              <w:rPr>
                <w:b/>
                <w:bCs/>
                <w:sz w:val="13"/>
                <w:szCs w:val="13"/>
              </w:rPr>
              <w:t>$</w:t>
            </w:r>
            <w:r w:rsidR="00132826">
              <w:rPr>
                <w:b/>
                <w:bCs/>
                <w:sz w:val="13"/>
                <w:szCs w:val="13"/>
              </w:rPr>
              <w:t xml:space="preserve">  </w:t>
            </w:r>
            <w:r w:rsidRPr="0023036C">
              <w:rPr>
                <w:b/>
                <w:bCs/>
                <w:sz w:val="13"/>
                <w:szCs w:val="13"/>
              </w:rPr>
              <w:t xml:space="preserve"> 18,991,444 </w:t>
            </w:r>
          </w:p>
        </w:tc>
        <w:tc>
          <w:tcPr>
            <w:tcW w:w="2600" w:type="dxa"/>
            <w:tcBorders>
              <w:top w:val="nil"/>
              <w:left w:val="nil"/>
              <w:bottom w:val="single" w:sz="8" w:space="0" w:color="auto"/>
              <w:right w:val="single" w:sz="8" w:space="0" w:color="auto"/>
            </w:tcBorders>
            <w:shd w:val="clear" w:color="000000" w:fill="FFFFFF"/>
            <w:vAlign w:val="bottom"/>
            <w:hideMark/>
          </w:tcPr>
          <w:p w:rsidR="00F40941" w:rsidRPr="0023036C" w:rsidP="00D8700F" w14:paraId="33FE2F73" w14:textId="06728834">
            <w:pPr>
              <w:ind w:left="-72"/>
              <w:rPr>
                <w:b/>
                <w:bCs/>
                <w:sz w:val="13"/>
                <w:szCs w:val="13"/>
              </w:rPr>
            </w:pPr>
          </w:p>
        </w:tc>
      </w:tr>
      <w:tr w14:paraId="1C972B23"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23036C" w:rsidP="00146E7A" w14:paraId="77E92D67" w14:textId="77777777">
            <w:pPr>
              <w:ind w:left="-72"/>
              <w:rPr>
                <w:b/>
                <w:bCs/>
                <w:sz w:val="13"/>
                <w:szCs w:val="13"/>
              </w:rPr>
            </w:pPr>
            <w:r w:rsidRPr="0023036C">
              <w:rPr>
                <w:b/>
                <w:bCs/>
                <w:sz w:val="13"/>
                <w:szCs w:val="13"/>
              </w:rPr>
              <w:t>CUMULATIVE RESULTS OF OPERATIONS</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477FD249" w14:textId="77777777">
            <w:pPr>
              <w:jc w:val="right"/>
              <w:rPr>
                <w:sz w:val="13"/>
                <w:szCs w:val="13"/>
              </w:rPr>
            </w:pPr>
            <w:r w:rsidRPr="00A43CBB">
              <w:rPr>
                <w:sz w:val="13"/>
                <w:szCs w:val="13"/>
              </w:rPr>
              <w:t> </w:t>
            </w:r>
          </w:p>
        </w:tc>
        <w:tc>
          <w:tcPr>
            <w:tcW w:w="900" w:type="dxa"/>
            <w:tcBorders>
              <w:top w:val="nil"/>
              <w:left w:val="nil"/>
              <w:bottom w:val="nil"/>
              <w:right w:val="nil"/>
            </w:tcBorders>
            <w:shd w:val="clear" w:color="000000" w:fill="FFFFFF"/>
            <w:vAlign w:val="bottom"/>
            <w:hideMark/>
          </w:tcPr>
          <w:p w:rsidR="00F40941" w:rsidRPr="00A43CBB" w:rsidP="00E64F70" w14:paraId="0DB31CC1" w14:textId="77777777">
            <w:pPr>
              <w:jc w:val="right"/>
              <w:rPr>
                <w:sz w:val="13"/>
                <w:szCs w:val="13"/>
              </w:rPr>
            </w:pPr>
            <w:r w:rsidRPr="00A43CBB">
              <w:rPr>
                <w:sz w:val="13"/>
                <w:szCs w:val="13"/>
              </w:rPr>
              <w:t> </w:t>
            </w:r>
          </w:p>
        </w:tc>
        <w:tc>
          <w:tcPr>
            <w:tcW w:w="1098" w:type="dxa"/>
            <w:tcBorders>
              <w:top w:val="nil"/>
              <w:left w:val="nil"/>
              <w:bottom w:val="nil"/>
              <w:right w:val="nil"/>
            </w:tcBorders>
            <w:shd w:val="clear" w:color="000000" w:fill="FFFFFF"/>
            <w:vAlign w:val="bottom"/>
            <w:hideMark/>
          </w:tcPr>
          <w:p w:rsidR="00F40941" w:rsidRPr="00A43CBB" w:rsidP="00E64F70" w14:paraId="2B62D09C" w14:textId="77777777">
            <w:pPr>
              <w:jc w:val="right"/>
              <w:rPr>
                <w:sz w:val="13"/>
                <w:szCs w:val="13"/>
              </w:rPr>
            </w:pPr>
            <w:r w:rsidRPr="00A43CBB">
              <w:rPr>
                <w:sz w:val="13"/>
                <w:szCs w:val="13"/>
              </w:rPr>
              <w:t> </w:t>
            </w:r>
          </w:p>
        </w:tc>
        <w:tc>
          <w:tcPr>
            <w:tcW w:w="972" w:type="dxa"/>
            <w:tcBorders>
              <w:top w:val="nil"/>
              <w:left w:val="nil"/>
              <w:bottom w:val="nil"/>
              <w:right w:val="nil"/>
            </w:tcBorders>
            <w:shd w:val="clear" w:color="auto" w:fill="auto"/>
            <w:vAlign w:val="bottom"/>
            <w:hideMark/>
          </w:tcPr>
          <w:p w:rsidR="00F40941" w:rsidRPr="00A43CBB" w:rsidP="00E64F70" w14:paraId="08E9C8DE" w14:textId="77777777">
            <w:pPr>
              <w:jc w:val="right"/>
              <w:rPr>
                <w:sz w:val="13"/>
                <w:szCs w:val="13"/>
              </w:rPr>
            </w:pPr>
          </w:p>
        </w:tc>
        <w:tc>
          <w:tcPr>
            <w:tcW w:w="2600" w:type="dxa"/>
            <w:tcBorders>
              <w:top w:val="nil"/>
              <w:left w:val="nil"/>
              <w:bottom w:val="nil"/>
              <w:right w:val="single" w:sz="8" w:space="0" w:color="auto"/>
            </w:tcBorders>
            <w:shd w:val="clear" w:color="000000" w:fill="FFFFFF"/>
            <w:vAlign w:val="bottom"/>
          </w:tcPr>
          <w:p w:rsidR="00F40941" w:rsidRPr="00A43CBB" w:rsidP="00D8700F" w14:paraId="0BCB981C" w14:textId="7EAE3FB5">
            <w:pPr>
              <w:ind w:left="-72"/>
              <w:rPr>
                <w:sz w:val="13"/>
                <w:szCs w:val="13"/>
              </w:rPr>
            </w:pPr>
          </w:p>
        </w:tc>
      </w:tr>
      <w:tr w14:paraId="0B2243B4"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6E5EA3B2" w14:textId="77777777">
            <w:pPr>
              <w:ind w:left="-72"/>
              <w:rPr>
                <w:sz w:val="13"/>
                <w:szCs w:val="13"/>
              </w:rPr>
            </w:pPr>
            <w:r w:rsidRPr="00A43CBB">
              <w:rPr>
                <w:sz w:val="13"/>
                <w:szCs w:val="13"/>
              </w:rPr>
              <w:t>Cumulative Results, Beginning Balance</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3FBAD688" w14:textId="77777777">
            <w:pPr>
              <w:jc w:val="right"/>
              <w:rPr>
                <w:sz w:val="13"/>
                <w:szCs w:val="13"/>
              </w:rPr>
            </w:pPr>
            <w:r w:rsidRPr="00A43CBB">
              <w:rPr>
                <w:sz w:val="13"/>
                <w:szCs w:val="13"/>
              </w:rPr>
              <w:t xml:space="preserve"> $ 6,443,735 </w:t>
            </w:r>
          </w:p>
        </w:tc>
        <w:tc>
          <w:tcPr>
            <w:tcW w:w="900" w:type="dxa"/>
            <w:tcBorders>
              <w:top w:val="nil"/>
              <w:left w:val="nil"/>
              <w:bottom w:val="nil"/>
              <w:right w:val="nil"/>
            </w:tcBorders>
            <w:shd w:val="clear" w:color="000000" w:fill="FFFFFF"/>
            <w:vAlign w:val="bottom"/>
            <w:hideMark/>
          </w:tcPr>
          <w:p w:rsidR="00F40941" w:rsidRPr="00A43CBB" w:rsidP="00E64F70" w14:paraId="7DC4E469" w14:textId="77777777">
            <w:pPr>
              <w:jc w:val="right"/>
              <w:rPr>
                <w:sz w:val="13"/>
                <w:szCs w:val="13"/>
              </w:rPr>
            </w:pPr>
            <w:r w:rsidRPr="00A43CBB">
              <w:rPr>
                <w:sz w:val="13"/>
                <w:szCs w:val="13"/>
              </w:rPr>
              <w:t> </w:t>
            </w:r>
          </w:p>
        </w:tc>
        <w:tc>
          <w:tcPr>
            <w:tcW w:w="1098" w:type="dxa"/>
            <w:tcBorders>
              <w:top w:val="nil"/>
              <w:left w:val="nil"/>
              <w:bottom w:val="nil"/>
              <w:right w:val="nil"/>
            </w:tcBorders>
            <w:shd w:val="clear" w:color="000000" w:fill="FFFFFF"/>
            <w:vAlign w:val="bottom"/>
            <w:hideMark/>
          </w:tcPr>
          <w:p w:rsidR="00F40941" w:rsidRPr="00A43CBB" w:rsidP="00E64F70" w14:paraId="057B9B84" w14:textId="77777777">
            <w:pPr>
              <w:jc w:val="right"/>
              <w:rPr>
                <w:sz w:val="13"/>
                <w:szCs w:val="13"/>
              </w:rPr>
            </w:pPr>
            <w:r w:rsidRPr="00A43CBB">
              <w:rPr>
                <w:sz w:val="13"/>
                <w:szCs w:val="13"/>
              </w:rPr>
              <w:t> </w:t>
            </w:r>
          </w:p>
        </w:tc>
        <w:tc>
          <w:tcPr>
            <w:tcW w:w="972" w:type="dxa"/>
            <w:tcBorders>
              <w:top w:val="nil"/>
              <w:left w:val="nil"/>
              <w:bottom w:val="nil"/>
              <w:right w:val="nil"/>
            </w:tcBorders>
            <w:shd w:val="clear" w:color="000000" w:fill="FFFFFF"/>
            <w:vAlign w:val="bottom"/>
            <w:hideMark/>
          </w:tcPr>
          <w:p w:rsidR="00F40941" w:rsidRPr="00A43CBB" w:rsidP="00E64F70" w14:paraId="7209C4BB" w14:textId="77777777">
            <w:pPr>
              <w:jc w:val="right"/>
              <w:rPr>
                <w:sz w:val="13"/>
                <w:szCs w:val="13"/>
              </w:rPr>
            </w:pPr>
            <w:r w:rsidRPr="00A43CBB">
              <w:rPr>
                <w:sz w:val="13"/>
                <w:szCs w:val="13"/>
              </w:rPr>
              <w:t> </w:t>
            </w:r>
          </w:p>
        </w:tc>
        <w:tc>
          <w:tcPr>
            <w:tcW w:w="2600" w:type="dxa"/>
            <w:tcBorders>
              <w:top w:val="nil"/>
              <w:left w:val="nil"/>
              <w:bottom w:val="nil"/>
              <w:right w:val="single" w:sz="8" w:space="0" w:color="auto"/>
            </w:tcBorders>
            <w:shd w:val="clear" w:color="000000" w:fill="FFFFFF"/>
            <w:vAlign w:val="bottom"/>
          </w:tcPr>
          <w:p w:rsidR="00F40941" w:rsidRPr="00A43CBB" w:rsidP="00D8700F" w14:paraId="7BCD3975" w14:textId="7DCEED4C">
            <w:pPr>
              <w:ind w:left="-72"/>
              <w:rPr>
                <w:sz w:val="13"/>
                <w:szCs w:val="13"/>
              </w:rPr>
            </w:pPr>
          </w:p>
        </w:tc>
      </w:tr>
      <w:tr w14:paraId="1C44E242"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3C8C1028" w14:textId="77777777">
            <w:pPr>
              <w:ind w:left="-72"/>
              <w:rPr>
                <w:sz w:val="13"/>
                <w:szCs w:val="13"/>
              </w:rPr>
            </w:pPr>
            <w:r w:rsidRPr="00A43CBB">
              <w:rPr>
                <w:sz w:val="13"/>
                <w:szCs w:val="13"/>
              </w:rPr>
              <w:t>Appropriations Used</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6454981C" w14:textId="77777777">
            <w:pPr>
              <w:jc w:val="right"/>
              <w:rPr>
                <w:sz w:val="13"/>
                <w:szCs w:val="13"/>
              </w:rPr>
            </w:pPr>
            <w:r w:rsidRPr="00A43CBB">
              <w:rPr>
                <w:sz w:val="13"/>
                <w:szCs w:val="13"/>
              </w:rPr>
              <w:t xml:space="preserve"> 1,047,827 </w:t>
            </w:r>
          </w:p>
        </w:tc>
        <w:tc>
          <w:tcPr>
            <w:tcW w:w="900" w:type="dxa"/>
            <w:tcBorders>
              <w:top w:val="nil"/>
              <w:left w:val="nil"/>
              <w:bottom w:val="nil"/>
              <w:right w:val="nil"/>
            </w:tcBorders>
            <w:shd w:val="clear" w:color="000000" w:fill="FFFFFF"/>
            <w:vAlign w:val="bottom"/>
            <w:hideMark/>
          </w:tcPr>
          <w:p w:rsidR="00F40941" w:rsidRPr="00A43CBB" w:rsidP="00E64F70" w14:paraId="1C5C5240" w14:textId="77777777">
            <w:pPr>
              <w:jc w:val="right"/>
              <w:rPr>
                <w:sz w:val="13"/>
                <w:szCs w:val="13"/>
              </w:rPr>
            </w:pPr>
            <w:r w:rsidRPr="00A43CBB">
              <w:rPr>
                <w:sz w:val="13"/>
                <w:szCs w:val="13"/>
              </w:rPr>
              <w:t xml:space="preserve">  38,828 </w:t>
            </w:r>
          </w:p>
        </w:tc>
        <w:tc>
          <w:tcPr>
            <w:tcW w:w="1098" w:type="dxa"/>
            <w:tcBorders>
              <w:top w:val="nil"/>
              <w:left w:val="nil"/>
              <w:bottom w:val="nil"/>
              <w:right w:val="nil"/>
            </w:tcBorders>
            <w:shd w:val="clear" w:color="000000" w:fill="FFFFFF"/>
            <w:vAlign w:val="bottom"/>
            <w:hideMark/>
          </w:tcPr>
          <w:p w:rsidR="00F40941" w:rsidRPr="00A43CBB" w:rsidP="00E64F70" w14:paraId="1CCC2031" w14:textId="77777777">
            <w:pPr>
              <w:jc w:val="right"/>
              <w:rPr>
                <w:sz w:val="13"/>
                <w:szCs w:val="13"/>
              </w:rPr>
            </w:pPr>
            <w:r w:rsidRPr="00A43CBB">
              <w:rPr>
                <w:sz w:val="13"/>
                <w:szCs w:val="13"/>
              </w:rPr>
              <w:t xml:space="preserve">  1,008,999 </w:t>
            </w:r>
          </w:p>
        </w:tc>
        <w:tc>
          <w:tcPr>
            <w:tcW w:w="972" w:type="dxa"/>
            <w:tcBorders>
              <w:top w:val="nil"/>
              <w:left w:val="nil"/>
              <w:bottom w:val="nil"/>
              <w:right w:val="nil"/>
            </w:tcBorders>
            <w:shd w:val="clear" w:color="000000" w:fill="FFFFFF"/>
            <w:vAlign w:val="bottom"/>
            <w:hideMark/>
          </w:tcPr>
          <w:p w:rsidR="00F40941" w:rsidRPr="00A43CBB" w:rsidP="00E64F70" w14:paraId="5DFBC174" w14:textId="77777777">
            <w:pPr>
              <w:jc w:val="right"/>
              <w:rPr>
                <w:sz w:val="13"/>
                <w:szCs w:val="13"/>
              </w:rPr>
            </w:pPr>
            <w:r w:rsidRPr="00A43CBB">
              <w:rPr>
                <w:sz w:val="13"/>
                <w:szCs w:val="13"/>
              </w:rPr>
              <w:t xml:space="preserve"> 1,047,827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1E396E30" w14:textId="77777777">
            <w:pPr>
              <w:ind w:left="-72"/>
              <w:rPr>
                <w:sz w:val="13"/>
                <w:szCs w:val="13"/>
              </w:rPr>
            </w:pPr>
            <w:r w:rsidRPr="00A43CBB">
              <w:rPr>
                <w:sz w:val="13"/>
                <w:szCs w:val="13"/>
              </w:rPr>
              <w:t>Appropriations Expended</w:t>
            </w:r>
          </w:p>
        </w:tc>
      </w:tr>
      <w:tr w14:paraId="1CBD2B79"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19A8C802" w14:textId="77777777">
            <w:pPr>
              <w:ind w:left="-72"/>
              <w:rPr>
                <w:sz w:val="13"/>
                <w:szCs w:val="13"/>
              </w:rPr>
            </w:pPr>
            <w:r w:rsidRPr="00A43CBB">
              <w:rPr>
                <w:sz w:val="13"/>
                <w:szCs w:val="13"/>
              </w:rPr>
              <w:t>Non-Exchange Revenue</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7B0DB9E2" w14:textId="77777777">
            <w:pPr>
              <w:jc w:val="right"/>
              <w:rPr>
                <w:sz w:val="13"/>
                <w:szCs w:val="13"/>
              </w:rPr>
            </w:pPr>
            <w:r w:rsidRPr="00A43CBB">
              <w:rPr>
                <w:sz w:val="13"/>
                <w:szCs w:val="13"/>
              </w:rPr>
              <w:t xml:space="preserve"> 10,849,973 </w:t>
            </w:r>
          </w:p>
        </w:tc>
        <w:tc>
          <w:tcPr>
            <w:tcW w:w="900" w:type="dxa"/>
            <w:tcBorders>
              <w:top w:val="nil"/>
              <w:left w:val="nil"/>
              <w:bottom w:val="nil"/>
              <w:right w:val="nil"/>
            </w:tcBorders>
            <w:shd w:val="clear" w:color="000000" w:fill="FFFFFF"/>
            <w:vAlign w:val="bottom"/>
            <w:hideMark/>
          </w:tcPr>
          <w:p w:rsidR="00F40941" w:rsidRPr="00A43CBB" w:rsidP="00E64F70" w14:paraId="58A1060A" w14:textId="77777777">
            <w:pPr>
              <w:jc w:val="right"/>
              <w:rPr>
                <w:sz w:val="13"/>
                <w:szCs w:val="13"/>
              </w:rPr>
            </w:pPr>
            <w:r w:rsidRPr="00A43CBB">
              <w:rPr>
                <w:sz w:val="13"/>
                <w:szCs w:val="13"/>
              </w:rPr>
              <w:t> </w:t>
            </w:r>
          </w:p>
        </w:tc>
        <w:tc>
          <w:tcPr>
            <w:tcW w:w="1098" w:type="dxa"/>
            <w:tcBorders>
              <w:top w:val="nil"/>
              <w:left w:val="nil"/>
              <w:bottom w:val="nil"/>
              <w:right w:val="nil"/>
            </w:tcBorders>
            <w:shd w:val="clear" w:color="000000" w:fill="FFFFFF"/>
            <w:vAlign w:val="bottom"/>
            <w:hideMark/>
          </w:tcPr>
          <w:p w:rsidR="00F40941" w:rsidRPr="00A43CBB" w:rsidP="00E64F70" w14:paraId="3471A00D" w14:textId="77777777">
            <w:pPr>
              <w:jc w:val="right"/>
              <w:rPr>
                <w:sz w:val="13"/>
                <w:szCs w:val="13"/>
              </w:rPr>
            </w:pPr>
            <w:r w:rsidRPr="00A43CBB">
              <w:rPr>
                <w:sz w:val="13"/>
                <w:szCs w:val="13"/>
              </w:rPr>
              <w:t> </w:t>
            </w:r>
          </w:p>
        </w:tc>
        <w:tc>
          <w:tcPr>
            <w:tcW w:w="972" w:type="dxa"/>
            <w:tcBorders>
              <w:top w:val="nil"/>
              <w:left w:val="nil"/>
              <w:bottom w:val="nil"/>
              <w:right w:val="nil"/>
            </w:tcBorders>
            <w:shd w:val="clear" w:color="000000" w:fill="FFFFFF"/>
            <w:vAlign w:val="bottom"/>
            <w:hideMark/>
          </w:tcPr>
          <w:p w:rsidR="00F40941" w:rsidRPr="00A43CBB" w:rsidP="00E64F70" w14:paraId="0615D437" w14:textId="77777777">
            <w:pPr>
              <w:jc w:val="right"/>
              <w:rPr>
                <w:sz w:val="13"/>
                <w:szCs w:val="13"/>
              </w:rPr>
            </w:pPr>
            <w:r w:rsidRPr="00A43CBB">
              <w:rPr>
                <w:sz w:val="13"/>
                <w:szCs w:val="13"/>
              </w:rPr>
              <w:t>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0E7AEC05" w14:textId="77777777">
            <w:pPr>
              <w:ind w:left="-72"/>
              <w:rPr>
                <w:i/>
                <w:iCs/>
                <w:sz w:val="13"/>
                <w:szCs w:val="13"/>
              </w:rPr>
            </w:pPr>
            <w:r w:rsidRPr="00A43CBB">
              <w:rPr>
                <w:i/>
                <w:iCs/>
                <w:sz w:val="13"/>
                <w:szCs w:val="13"/>
              </w:rPr>
              <w:t>Non-Federal Non-Exchange Revenue</w:t>
            </w:r>
          </w:p>
        </w:tc>
      </w:tr>
      <w:tr w14:paraId="4B70A05A"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20398884" w14:textId="77777777">
            <w:pPr>
              <w:ind w:left="-72"/>
              <w:rPr>
                <w:sz w:val="13"/>
                <w:szCs w:val="13"/>
              </w:rPr>
            </w:pPr>
            <w:r w:rsidRPr="00A43CBB">
              <w:rPr>
                <w:sz w:val="13"/>
                <w:szCs w:val="13"/>
              </w:rPr>
              <w:t>SCA: Sources of Cash Collections: Fines and Penalties</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5A36F556" w14:textId="77777777">
            <w:pPr>
              <w:jc w:val="right"/>
              <w:rPr>
                <w:sz w:val="13"/>
                <w:szCs w:val="13"/>
              </w:rPr>
            </w:pPr>
            <w:r w:rsidRPr="00A43CBB">
              <w:rPr>
                <w:sz w:val="13"/>
                <w:szCs w:val="13"/>
              </w:rPr>
              <w:t xml:space="preserve">  207,301 </w:t>
            </w:r>
          </w:p>
        </w:tc>
        <w:tc>
          <w:tcPr>
            <w:tcW w:w="900" w:type="dxa"/>
            <w:tcBorders>
              <w:top w:val="nil"/>
              <w:left w:val="nil"/>
              <w:bottom w:val="nil"/>
              <w:right w:val="nil"/>
            </w:tcBorders>
            <w:shd w:val="clear" w:color="000000" w:fill="FFFFFF"/>
            <w:vAlign w:val="bottom"/>
            <w:hideMark/>
          </w:tcPr>
          <w:p w:rsidR="00F40941" w:rsidRPr="00A43CBB" w:rsidP="00E64F70" w14:paraId="096EC5BA" w14:textId="77777777">
            <w:pPr>
              <w:jc w:val="right"/>
              <w:rPr>
                <w:sz w:val="13"/>
                <w:szCs w:val="13"/>
              </w:rPr>
            </w:pPr>
            <w:r w:rsidRPr="00A43CBB">
              <w:rPr>
                <w:sz w:val="13"/>
                <w:szCs w:val="13"/>
              </w:rPr>
              <w:t xml:space="preserve"> 10,849,923 </w:t>
            </w:r>
          </w:p>
        </w:tc>
        <w:tc>
          <w:tcPr>
            <w:tcW w:w="1098" w:type="dxa"/>
            <w:tcBorders>
              <w:top w:val="nil"/>
              <w:left w:val="nil"/>
              <w:bottom w:val="nil"/>
              <w:right w:val="nil"/>
            </w:tcBorders>
            <w:shd w:val="clear" w:color="000000" w:fill="FFFFFF"/>
            <w:vAlign w:val="bottom"/>
            <w:hideMark/>
          </w:tcPr>
          <w:p w:rsidR="00F40941" w:rsidRPr="00A43CBB" w:rsidP="00E64F70" w14:paraId="79A4301B" w14:textId="77777777">
            <w:pPr>
              <w:jc w:val="right"/>
              <w:rPr>
                <w:sz w:val="13"/>
                <w:szCs w:val="13"/>
              </w:rPr>
            </w:pPr>
            <w:r w:rsidRPr="00A43CBB">
              <w:rPr>
                <w:sz w:val="13"/>
                <w:szCs w:val="13"/>
              </w:rPr>
              <w:t xml:space="preserve">  212,165 </w:t>
            </w:r>
          </w:p>
        </w:tc>
        <w:tc>
          <w:tcPr>
            <w:tcW w:w="972" w:type="dxa"/>
            <w:tcBorders>
              <w:top w:val="nil"/>
              <w:left w:val="nil"/>
              <w:bottom w:val="nil"/>
              <w:right w:val="nil"/>
            </w:tcBorders>
            <w:shd w:val="clear" w:color="000000" w:fill="FFFFFF"/>
            <w:vAlign w:val="bottom"/>
            <w:hideMark/>
          </w:tcPr>
          <w:p w:rsidR="00F40941" w:rsidRPr="00A43CBB" w:rsidP="00E64F70" w14:paraId="2AD67D36" w14:textId="77777777">
            <w:pPr>
              <w:jc w:val="right"/>
              <w:rPr>
                <w:sz w:val="13"/>
                <w:szCs w:val="13"/>
              </w:rPr>
            </w:pPr>
            <w:r w:rsidRPr="00A43CBB">
              <w:rPr>
                <w:sz w:val="13"/>
                <w:szCs w:val="13"/>
              </w:rPr>
              <w:t xml:space="preserve"> 11,062,088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018E4EC6" w14:textId="77777777">
            <w:pPr>
              <w:ind w:left="-72"/>
              <w:rPr>
                <w:sz w:val="13"/>
                <w:szCs w:val="13"/>
              </w:rPr>
            </w:pPr>
            <w:r w:rsidRPr="00A43CBB">
              <w:rPr>
                <w:sz w:val="13"/>
                <w:szCs w:val="13"/>
              </w:rPr>
              <w:t>Other Taxes and Receipts</w:t>
            </w:r>
          </w:p>
        </w:tc>
      </w:tr>
      <w:tr w14:paraId="0F13543C"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3AC46CCC" w14:textId="77777777">
            <w:pPr>
              <w:ind w:left="-72"/>
              <w:rPr>
                <w:sz w:val="13"/>
                <w:szCs w:val="13"/>
              </w:rPr>
            </w:pPr>
            <w:r w:rsidRPr="00A43CBB">
              <w:rPr>
                <w:sz w:val="13"/>
                <w:szCs w:val="13"/>
              </w:rPr>
              <w:t>SCA: Sources of Cash Collections: Spectrum Auctions</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1C8E93B8" w14:textId="77777777">
            <w:pPr>
              <w:jc w:val="right"/>
              <w:rPr>
                <w:sz w:val="13"/>
                <w:szCs w:val="13"/>
              </w:rPr>
            </w:pPr>
            <w:r w:rsidRPr="00A43CBB">
              <w:rPr>
                <w:sz w:val="13"/>
                <w:szCs w:val="13"/>
              </w:rPr>
              <w:t xml:space="preserve"> 85,564,050 </w:t>
            </w:r>
          </w:p>
        </w:tc>
        <w:tc>
          <w:tcPr>
            <w:tcW w:w="900" w:type="dxa"/>
            <w:tcBorders>
              <w:top w:val="nil"/>
              <w:left w:val="nil"/>
              <w:bottom w:val="nil"/>
              <w:right w:val="nil"/>
            </w:tcBorders>
            <w:shd w:val="clear" w:color="000000" w:fill="FFFFFF"/>
            <w:vAlign w:val="bottom"/>
            <w:hideMark/>
          </w:tcPr>
          <w:p w:rsidR="00F40941" w:rsidRPr="00A43CBB" w:rsidP="00E64F70" w14:paraId="24C5C9DF" w14:textId="77777777">
            <w:pPr>
              <w:jc w:val="right"/>
              <w:rPr>
                <w:sz w:val="13"/>
                <w:szCs w:val="13"/>
              </w:rPr>
            </w:pPr>
            <w:r w:rsidRPr="00A43CBB">
              <w:rPr>
                <w:sz w:val="13"/>
                <w:szCs w:val="13"/>
              </w:rPr>
              <w:t xml:space="preserve">   - </w:t>
            </w:r>
          </w:p>
        </w:tc>
        <w:tc>
          <w:tcPr>
            <w:tcW w:w="1098" w:type="dxa"/>
            <w:tcBorders>
              <w:top w:val="nil"/>
              <w:left w:val="nil"/>
              <w:bottom w:val="nil"/>
              <w:right w:val="nil"/>
            </w:tcBorders>
            <w:shd w:val="clear" w:color="000000" w:fill="FFFFFF"/>
            <w:vAlign w:val="bottom"/>
            <w:hideMark/>
          </w:tcPr>
          <w:p w:rsidR="00F40941" w:rsidRPr="00A43CBB" w:rsidP="00E64F70" w14:paraId="52DE2330" w14:textId="77777777">
            <w:pPr>
              <w:jc w:val="right"/>
              <w:rPr>
                <w:sz w:val="13"/>
                <w:szCs w:val="13"/>
              </w:rPr>
            </w:pPr>
            <w:r w:rsidRPr="00A43CBB">
              <w:rPr>
                <w:sz w:val="13"/>
                <w:szCs w:val="13"/>
              </w:rPr>
              <w:t xml:space="preserve"> 85,564,050 </w:t>
            </w:r>
          </w:p>
        </w:tc>
        <w:tc>
          <w:tcPr>
            <w:tcW w:w="972" w:type="dxa"/>
            <w:tcBorders>
              <w:top w:val="nil"/>
              <w:left w:val="nil"/>
              <w:bottom w:val="nil"/>
              <w:right w:val="nil"/>
            </w:tcBorders>
            <w:shd w:val="clear" w:color="000000" w:fill="FFFFFF"/>
            <w:vAlign w:val="bottom"/>
            <w:hideMark/>
          </w:tcPr>
          <w:p w:rsidR="00F40941" w:rsidRPr="00A43CBB" w:rsidP="00E64F70" w14:paraId="2EF8C49A" w14:textId="77777777">
            <w:pPr>
              <w:jc w:val="right"/>
              <w:rPr>
                <w:sz w:val="13"/>
                <w:szCs w:val="13"/>
              </w:rPr>
            </w:pPr>
            <w:r w:rsidRPr="00A43CBB">
              <w:rPr>
                <w:sz w:val="13"/>
                <w:szCs w:val="13"/>
              </w:rPr>
              <w:t xml:space="preserve"> 85,564,050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189B0B75" w14:textId="77777777">
            <w:pPr>
              <w:ind w:left="-72"/>
              <w:rPr>
                <w:sz w:val="13"/>
                <w:szCs w:val="13"/>
              </w:rPr>
            </w:pPr>
            <w:r w:rsidRPr="00A43CBB">
              <w:rPr>
                <w:sz w:val="13"/>
                <w:szCs w:val="13"/>
              </w:rPr>
              <w:t>Miscellaneous Earned Revenues</w:t>
            </w:r>
          </w:p>
        </w:tc>
      </w:tr>
      <w:tr w14:paraId="16681B1A"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73933545" w14:textId="77777777">
            <w:pPr>
              <w:ind w:left="-72"/>
              <w:rPr>
                <w:sz w:val="13"/>
                <w:szCs w:val="13"/>
              </w:rPr>
            </w:pPr>
            <w:r w:rsidRPr="00A43CBB">
              <w:rPr>
                <w:sz w:val="13"/>
                <w:szCs w:val="13"/>
              </w:rPr>
              <w:t>SCA: Accrual Adjustments: Fines and Penalties</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716F9019" w14:textId="77777777">
            <w:pPr>
              <w:jc w:val="right"/>
              <w:rPr>
                <w:sz w:val="13"/>
                <w:szCs w:val="13"/>
              </w:rPr>
            </w:pPr>
            <w:r w:rsidRPr="00A43CBB">
              <w:rPr>
                <w:sz w:val="13"/>
                <w:szCs w:val="13"/>
              </w:rPr>
              <w:t xml:space="preserve">  8,718 </w:t>
            </w:r>
          </w:p>
        </w:tc>
        <w:tc>
          <w:tcPr>
            <w:tcW w:w="900" w:type="dxa"/>
            <w:tcBorders>
              <w:top w:val="nil"/>
              <w:left w:val="nil"/>
              <w:bottom w:val="nil"/>
              <w:right w:val="nil"/>
            </w:tcBorders>
            <w:shd w:val="clear" w:color="000000" w:fill="FFFFFF"/>
            <w:vAlign w:val="bottom"/>
            <w:hideMark/>
          </w:tcPr>
          <w:p w:rsidR="00F40941" w:rsidRPr="00A43CBB" w:rsidP="00E64F70" w14:paraId="5FF80EFC" w14:textId="77777777">
            <w:pPr>
              <w:jc w:val="right"/>
              <w:rPr>
                <w:sz w:val="13"/>
                <w:szCs w:val="13"/>
              </w:rPr>
            </w:pPr>
            <w:r w:rsidRPr="00A43CBB">
              <w:rPr>
                <w:sz w:val="13"/>
                <w:szCs w:val="13"/>
              </w:rPr>
              <w:t xml:space="preserve">   - </w:t>
            </w:r>
          </w:p>
        </w:tc>
        <w:tc>
          <w:tcPr>
            <w:tcW w:w="1098" w:type="dxa"/>
            <w:tcBorders>
              <w:top w:val="nil"/>
              <w:left w:val="nil"/>
              <w:bottom w:val="nil"/>
              <w:right w:val="nil"/>
            </w:tcBorders>
            <w:shd w:val="clear" w:color="000000" w:fill="FFFFFF"/>
            <w:vAlign w:val="bottom"/>
            <w:hideMark/>
          </w:tcPr>
          <w:p w:rsidR="00F40941" w:rsidRPr="00A43CBB" w:rsidP="00E64F70" w14:paraId="4A63B5C9" w14:textId="77777777">
            <w:pPr>
              <w:jc w:val="right"/>
              <w:rPr>
                <w:sz w:val="13"/>
                <w:szCs w:val="13"/>
              </w:rPr>
            </w:pPr>
            <w:r w:rsidRPr="00A43CBB">
              <w:rPr>
                <w:sz w:val="13"/>
                <w:szCs w:val="13"/>
              </w:rPr>
              <w:t xml:space="preserve">   - </w:t>
            </w:r>
          </w:p>
        </w:tc>
        <w:tc>
          <w:tcPr>
            <w:tcW w:w="972" w:type="dxa"/>
            <w:tcBorders>
              <w:top w:val="nil"/>
              <w:left w:val="nil"/>
              <w:bottom w:val="nil"/>
              <w:right w:val="nil"/>
            </w:tcBorders>
            <w:shd w:val="clear" w:color="000000" w:fill="FFFFFF"/>
            <w:vAlign w:val="bottom"/>
            <w:hideMark/>
          </w:tcPr>
          <w:p w:rsidR="00F40941" w:rsidRPr="00A43CBB" w:rsidP="00E64F70" w14:paraId="6E41AA7F" w14:textId="77777777">
            <w:pPr>
              <w:jc w:val="right"/>
              <w:rPr>
                <w:sz w:val="13"/>
                <w:szCs w:val="13"/>
              </w:rPr>
            </w:pPr>
            <w:r w:rsidRPr="00A43CBB">
              <w:rPr>
                <w:sz w:val="13"/>
                <w:szCs w:val="13"/>
              </w:rPr>
              <w:t xml:space="preserve">   -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6836B91A" w14:textId="77777777">
            <w:pPr>
              <w:ind w:left="-72"/>
              <w:rPr>
                <w:sz w:val="13"/>
                <w:szCs w:val="13"/>
              </w:rPr>
            </w:pPr>
            <w:r w:rsidRPr="00A43CBB">
              <w:rPr>
                <w:sz w:val="13"/>
                <w:szCs w:val="13"/>
              </w:rPr>
              <w:t> </w:t>
            </w:r>
          </w:p>
        </w:tc>
      </w:tr>
      <w:tr w14:paraId="70F0AEDB"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tcPr>
          <w:p w:rsidR="00F40941" w:rsidRPr="00A43CBB" w:rsidP="00146E7A" w14:paraId="32E46334" w14:textId="49A1A717">
            <w:pPr>
              <w:ind w:left="-72"/>
              <w:rPr>
                <w:sz w:val="13"/>
                <w:szCs w:val="13"/>
              </w:rPr>
            </w:pPr>
          </w:p>
        </w:tc>
        <w:tc>
          <w:tcPr>
            <w:tcW w:w="900" w:type="dxa"/>
            <w:tcBorders>
              <w:top w:val="nil"/>
              <w:left w:val="nil"/>
              <w:bottom w:val="nil"/>
              <w:right w:val="single" w:sz="8" w:space="0" w:color="auto"/>
            </w:tcBorders>
            <w:shd w:val="clear" w:color="000000" w:fill="FFFFFF"/>
            <w:vAlign w:val="bottom"/>
          </w:tcPr>
          <w:p w:rsidR="00F40941" w:rsidRPr="00A43CBB" w:rsidP="00E64F70" w14:paraId="7EBE828D" w14:textId="72DFF5A6">
            <w:pPr>
              <w:jc w:val="right"/>
              <w:rPr>
                <w:sz w:val="13"/>
                <w:szCs w:val="13"/>
              </w:rPr>
            </w:pPr>
          </w:p>
        </w:tc>
        <w:tc>
          <w:tcPr>
            <w:tcW w:w="900" w:type="dxa"/>
            <w:tcBorders>
              <w:top w:val="single" w:sz="4" w:space="0" w:color="auto"/>
              <w:left w:val="nil"/>
              <w:bottom w:val="single" w:sz="4" w:space="0" w:color="auto"/>
              <w:right w:val="nil"/>
            </w:tcBorders>
            <w:shd w:val="clear" w:color="000000" w:fill="FFFFFF"/>
            <w:vAlign w:val="bottom"/>
            <w:hideMark/>
          </w:tcPr>
          <w:p w:rsidR="00F40941" w:rsidRPr="00A43CBB" w:rsidP="00E64F70" w14:paraId="6DA3520E" w14:textId="77777777">
            <w:pPr>
              <w:jc w:val="right"/>
              <w:rPr>
                <w:sz w:val="13"/>
                <w:szCs w:val="13"/>
              </w:rPr>
            </w:pPr>
            <w:r w:rsidRPr="00A43CBB">
              <w:rPr>
                <w:sz w:val="13"/>
                <w:szCs w:val="13"/>
              </w:rPr>
              <w:t xml:space="preserve"> 10,849,923 </w:t>
            </w:r>
          </w:p>
        </w:tc>
        <w:tc>
          <w:tcPr>
            <w:tcW w:w="1098" w:type="dxa"/>
            <w:tcBorders>
              <w:top w:val="single" w:sz="4" w:space="0" w:color="auto"/>
              <w:left w:val="nil"/>
              <w:bottom w:val="single" w:sz="4" w:space="0" w:color="auto"/>
              <w:right w:val="nil"/>
            </w:tcBorders>
            <w:shd w:val="clear" w:color="000000" w:fill="FFFFFF"/>
            <w:vAlign w:val="bottom"/>
            <w:hideMark/>
          </w:tcPr>
          <w:p w:rsidR="00F40941" w:rsidRPr="00A43CBB" w:rsidP="00E64F70" w14:paraId="2D8FE696" w14:textId="77777777">
            <w:pPr>
              <w:jc w:val="right"/>
              <w:rPr>
                <w:sz w:val="13"/>
                <w:szCs w:val="13"/>
              </w:rPr>
            </w:pPr>
            <w:r w:rsidRPr="00A43CBB">
              <w:rPr>
                <w:sz w:val="13"/>
                <w:szCs w:val="13"/>
              </w:rPr>
              <w:t xml:space="preserve"> 85,776,215 </w:t>
            </w:r>
          </w:p>
        </w:tc>
        <w:tc>
          <w:tcPr>
            <w:tcW w:w="972" w:type="dxa"/>
            <w:tcBorders>
              <w:top w:val="single" w:sz="4" w:space="0" w:color="auto"/>
              <w:left w:val="nil"/>
              <w:bottom w:val="single" w:sz="4" w:space="0" w:color="auto"/>
              <w:right w:val="nil"/>
            </w:tcBorders>
            <w:shd w:val="clear" w:color="000000" w:fill="FFFFFF"/>
            <w:vAlign w:val="bottom"/>
            <w:hideMark/>
          </w:tcPr>
          <w:p w:rsidR="00F40941" w:rsidRPr="00A43CBB" w:rsidP="00E64F70" w14:paraId="048DD9F1" w14:textId="77777777">
            <w:pPr>
              <w:jc w:val="right"/>
              <w:rPr>
                <w:sz w:val="13"/>
                <w:szCs w:val="13"/>
              </w:rPr>
            </w:pPr>
            <w:r w:rsidRPr="00A43CBB">
              <w:rPr>
                <w:sz w:val="13"/>
                <w:szCs w:val="13"/>
              </w:rPr>
              <w:t xml:space="preserve"> 96,626,138 </w:t>
            </w:r>
          </w:p>
        </w:tc>
        <w:tc>
          <w:tcPr>
            <w:tcW w:w="2600" w:type="dxa"/>
            <w:tcBorders>
              <w:top w:val="nil"/>
              <w:left w:val="nil"/>
              <w:bottom w:val="single" w:sz="4" w:space="0" w:color="auto"/>
              <w:right w:val="single" w:sz="8" w:space="0" w:color="auto"/>
            </w:tcBorders>
            <w:shd w:val="clear" w:color="000000" w:fill="FFFFFF"/>
            <w:vAlign w:val="bottom"/>
            <w:hideMark/>
          </w:tcPr>
          <w:p w:rsidR="00F40941" w:rsidRPr="00A43CBB" w:rsidP="00D8700F" w14:paraId="50EEB709" w14:textId="77777777">
            <w:pPr>
              <w:ind w:left="-72"/>
              <w:rPr>
                <w:i/>
                <w:iCs/>
                <w:sz w:val="13"/>
                <w:szCs w:val="13"/>
              </w:rPr>
            </w:pPr>
            <w:r w:rsidRPr="00A43CBB">
              <w:rPr>
                <w:i/>
                <w:iCs/>
                <w:sz w:val="13"/>
                <w:szCs w:val="13"/>
              </w:rPr>
              <w:t>Total Non-Federal Non-Exchange Revenues</w:t>
            </w:r>
          </w:p>
        </w:tc>
      </w:tr>
      <w:tr w14:paraId="629E7B6A"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tcPr>
          <w:p w:rsidR="00F40941" w:rsidRPr="00A43CBB" w:rsidP="00146E7A" w14:paraId="5C70F88D" w14:textId="5994086D">
            <w:pPr>
              <w:ind w:left="-72"/>
              <w:rPr>
                <w:sz w:val="13"/>
                <w:szCs w:val="13"/>
              </w:rPr>
            </w:pPr>
          </w:p>
        </w:tc>
        <w:tc>
          <w:tcPr>
            <w:tcW w:w="900" w:type="dxa"/>
            <w:tcBorders>
              <w:top w:val="nil"/>
              <w:left w:val="nil"/>
              <w:bottom w:val="nil"/>
              <w:right w:val="single" w:sz="8" w:space="0" w:color="auto"/>
            </w:tcBorders>
            <w:shd w:val="clear" w:color="000000" w:fill="FFFFFF"/>
            <w:vAlign w:val="bottom"/>
          </w:tcPr>
          <w:p w:rsidR="00F40941" w:rsidRPr="00A43CBB" w:rsidP="00E64F70" w14:paraId="74FC0FC3" w14:textId="14DFDB71">
            <w:pPr>
              <w:jc w:val="right"/>
              <w:rPr>
                <w:sz w:val="13"/>
                <w:szCs w:val="13"/>
              </w:rPr>
            </w:pPr>
          </w:p>
        </w:tc>
        <w:tc>
          <w:tcPr>
            <w:tcW w:w="900" w:type="dxa"/>
            <w:tcBorders>
              <w:top w:val="nil"/>
              <w:left w:val="nil"/>
              <w:bottom w:val="nil"/>
              <w:right w:val="nil"/>
            </w:tcBorders>
            <w:shd w:val="clear" w:color="000000" w:fill="FFFFFF"/>
            <w:vAlign w:val="bottom"/>
          </w:tcPr>
          <w:p w:rsidR="00F40941" w:rsidRPr="00A43CBB" w:rsidP="00E64F70" w14:paraId="04F5A42E" w14:textId="034DC765">
            <w:pPr>
              <w:jc w:val="right"/>
              <w:rPr>
                <w:sz w:val="13"/>
                <w:szCs w:val="13"/>
              </w:rPr>
            </w:pPr>
          </w:p>
        </w:tc>
        <w:tc>
          <w:tcPr>
            <w:tcW w:w="1098" w:type="dxa"/>
            <w:tcBorders>
              <w:top w:val="nil"/>
              <w:left w:val="nil"/>
              <w:bottom w:val="nil"/>
              <w:right w:val="nil"/>
            </w:tcBorders>
            <w:shd w:val="clear" w:color="000000" w:fill="FFFFFF"/>
            <w:vAlign w:val="bottom"/>
          </w:tcPr>
          <w:p w:rsidR="00F40941" w:rsidRPr="00A43CBB" w:rsidP="00E64F70" w14:paraId="5EA82165" w14:textId="640A899A">
            <w:pPr>
              <w:jc w:val="right"/>
              <w:rPr>
                <w:sz w:val="13"/>
                <w:szCs w:val="13"/>
              </w:rPr>
            </w:pPr>
          </w:p>
        </w:tc>
        <w:tc>
          <w:tcPr>
            <w:tcW w:w="972" w:type="dxa"/>
            <w:tcBorders>
              <w:top w:val="nil"/>
              <w:left w:val="nil"/>
              <w:bottom w:val="nil"/>
              <w:right w:val="nil"/>
            </w:tcBorders>
            <w:shd w:val="clear" w:color="000000" w:fill="FFFFFF"/>
            <w:vAlign w:val="bottom"/>
          </w:tcPr>
          <w:p w:rsidR="00F40941" w:rsidRPr="00A43CBB" w:rsidP="00E64F70" w14:paraId="731611BB" w14:textId="4DD0F317">
            <w:pPr>
              <w:jc w:val="right"/>
              <w:rPr>
                <w:sz w:val="13"/>
                <w:szCs w:val="13"/>
              </w:rPr>
            </w:pP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30B31E4F" w14:textId="77777777">
            <w:pPr>
              <w:ind w:left="-72"/>
              <w:rPr>
                <w:i/>
                <w:iCs/>
                <w:sz w:val="13"/>
                <w:szCs w:val="13"/>
              </w:rPr>
            </w:pPr>
            <w:r w:rsidRPr="00A43CBB">
              <w:rPr>
                <w:i/>
                <w:iCs/>
                <w:sz w:val="13"/>
                <w:szCs w:val="13"/>
              </w:rPr>
              <w:t>Intragovernmental Non-Exchange Revenue</w:t>
            </w:r>
          </w:p>
        </w:tc>
      </w:tr>
      <w:tr w14:paraId="2629BE23"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tcPr>
          <w:p w:rsidR="00F40941" w:rsidRPr="00A43CBB" w:rsidP="00146E7A" w14:paraId="74F16C9E" w14:textId="1F142D18">
            <w:pPr>
              <w:ind w:left="-72"/>
              <w:rPr>
                <w:sz w:val="13"/>
                <w:szCs w:val="13"/>
              </w:rPr>
            </w:pPr>
          </w:p>
        </w:tc>
        <w:tc>
          <w:tcPr>
            <w:tcW w:w="900" w:type="dxa"/>
            <w:tcBorders>
              <w:top w:val="nil"/>
              <w:left w:val="nil"/>
              <w:bottom w:val="nil"/>
              <w:right w:val="single" w:sz="8" w:space="0" w:color="auto"/>
            </w:tcBorders>
            <w:shd w:val="clear" w:color="000000" w:fill="FFFFFF"/>
            <w:vAlign w:val="bottom"/>
          </w:tcPr>
          <w:p w:rsidR="00F40941" w:rsidRPr="00A43CBB" w:rsidP="00E64F70" w14:paraId="6CE0E4CE" w14:textId="6AF23485">
            <w:pPr>
              <w:jc w:val="right"/>
              <w:rPr>
                <w:sz w:val="13"/>
                <w:szCs w:val="13"/>
              </w:rPr>
            </w:pPr>
          </w:p>
        </w:tc>
        <w:tc>
          <w:tcPr>
            <w:tcW w:w="900" w:type="dxa"/>
            <w:tcBorders>
              <w:top w:val="nil"/>
              <w:left w:val="nil"/>
              <w:bottom w:val="nil"/>
              <w:right w:val="nil"/>
            </w:tcBorders>
            <w:shd w:val="clear" w:color="000000" w:fill="FFFFFF"/>
            <w:vAlign w:val="bottom"/>
            <w:hideMark/>
          </w:tcPr>
          <w:p w:rsidR="00F40941" w:rsidRPr="00A43CBB" w:rsidP="00E64F70" w14:paraId="0AB692F9" w14:textId="77777777">
            <w:pPr>
              <w:jc w:val="right"/>
              <w:rPr>
                <w:sz w:val="13"/>
                <w:szCs w:val="13"/>
              </w:rPr>
            </w:pPr>
            <w:r w:rsidRPr="00A43CBB">
              <w:rPr>
                <w:sz w:val="13"/>
                <w:szCs w:val="13"/>
              </w:rPr>
              <w:t xml:space="preserve">   - </w:t>
            </w:r>
          </w:p>
        </w:tc>
        <w:tc>
          <w:tcPr>
            <w:tcW w:w="1098" w:type="dxa"/>
            <w:tcBorders>
              <w:top w:val="nil"/>
              <w:left w:val="nil"/>
              <w:bottom w:val="nil"/>
              <w:right w:val="nil"/>
            </w:tcBorders>
            <w:shd w:val="clear" w:color="000000" w:fill="FFFFFF"/>
            <w:vAlign w:val="bottom"/>
            <w:hideMark/>
          </w:tcPr>
          <w:p w:rsidR="00F40941" w:rsidRPr="00A43CBB" w:rsidP="00E64F70" w14:paraId="19310FBC" w14:textId="77777777">
            <w:pPr>
              <w:jc w:val="right"/>
              <w:rPr>
                <w:sz w:val="13"/>
                <w:szCs w:val="13"/>
              </w:rPr>
            </w:pPr>
            <w:r w:rsidRPr="00A43CBB">
              <w:rPr>
                <w:sz w:val="13"/>
                <w:szCs w:val="13"/>
              </w:rPr>
              <w:t xml:space="preserve"> (8,942,172)</w:t>
            </w:r>
          </w:p>
        </w:tc>
        <w:tc>
          <w:tcPr>
            <w:tcW w:w="972" w:type="dxa"/>
            <w:tcBorders>
              <w:top w:val="nil"/>
              <w:left w:val="nil"/>
              <w:bottom w:val="nil"/>
              <w:right w:val="nil"/>
            </w:tcBorders>
            <w:shd w:val="clear" w:color="000000" w:fill="FFFFFF"/>
            <w:vAlign w:val="bottom"/>
            <w:hideMark/>
          </w:tcPr>
          <w:p w:rsidR="00F40941" w:rsidRPr="00A43CBB" w:rsidP="00E64F70" w14:paraId="0A355865" w14:textId="77777777">
            <w:pPr>
              <w:jc w:val="right"/>
              <w:rPr>
                <w:sz w:val="13"/>
                <w:szCs w:val="13"/>
              </w:rPr>
            </w:pPr>
            <w:r w:rsidRPr="00A43CBB">
              <w:rPr>
                <w:sz w:val="13"/>
                <w:szCs w:val="13"/>
              </w:rPr>
              <w:t xml:space="preserve"> (8,942,172)</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3B8CDDE7" w14:textId="77777777">
            <w:pPr>
              <w:ind w:left="-72"/>
              <w:rPr>
                <w:sz w:val="13"/>
                <w:szCs w:val="13"/>
              </w:rPr>
            </w:pPr>
            <w:r w:rsidRPr="00A43CBB">
              <w:rPr>
                <w:sz w:val="13"/>
                <w:szCs w:val="13"/>
              </w:rPr>
              <w:t>Collections Transferred to a TAS Other Than the General Fund of the U.S. Government</w:t>
            </w:r>
          </w:p>
        </w:tc>
      </w:tr>
      <w:tr w14:paraId="0DB43704"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tcPr>
          <w:p w:rsidR="00F40941" w:rsidRPr="00A43CBB" w:rsidP="00146E7A" w14:paraId="2A7008AD" w14:textId="6412AFFB">
            <w:pPr>
              <w:ind w:left="-72"/>
              <w:rPr>
                <w:sz w:val="13"/>
                <w:szCs w:val="13"/>
              </w:rPr>
            </w:pPr>
          </w:p>
        </w:tc>
        <w:tc>
          <w:tcPr>
            <w:tcW w:w="900" w:type="dxa"/>
            <w:tcBorders>
              <w:top w:val="nil"/>
              <w:left w:val="nil"/>
              <w:bottom w:val="nil"/>
              <w:right w:val="single" w:sz="8" w:space="0" w:color="auto"/>
            </w:tcBorders>
            <w:shd w:val="clear" w:color="000000" w:fill="FFFFFF"/>
            <w:vAlign w:val="bottom"/>
          </w:tcPr>
          <w:p w:rsidR="00F40941" w:rsidRPr="00A43CBB" w:rsidP="00E64F70" w14:paraId="2709A506" w14:textId="68D5D48A">
            <w:pPr>
              <w:jc w:val="right"/>
              <w:rPr>
                <w:sz w:val="13"/>
                <w:szCs w:val="13"/>
              </w:rPr>
            </w:pPr>
          </w:p>
        </w:tc>
        <w:tc>
          <w:tcPr>
            <w:tcW w:w="900" w:type="dxa"/>
            <w:tcBorders>
              <w:top w:val="nil"/>
              <w:left w:val="nil"/>
              <w:bottom w:val="nil"/>
              <w:right w:val="nil"/>
            </w:tcBorders>
            <w:shd w:val="clear" w:color="000000" w:fill="FFFFFF"/>
            <w:vAlign w:val="bottom"/>
            <w:hideMark/>
          </w:tcPr>
          <w:p w:rsidR="00F40941" w:rsidRPr="00A43CBB" w:rsidP="00E64F70" w14:paraId="380C984B" w14:textId="77777777">
            <w:pPr>
              <w:jc w:val="right"/>
              <w:rPr>
                <w:sz w:val="13"/>
                <w:szCs w:val="13"/>
              </w:rPr>
            </w:pPr>
            <w:r w:rsidRPr="00A43CBB">
              <w:rPr>
                <w:sz w:val="13"/>
                <w:szCs w:val="13"/>
              </w:rPr>
              <w:t xml:space="preserve">   - </w:t>
            </w:r>
          </w:p>
        </w:tc>
        <w:tc>
          <w:tcPr>
            <w:tcW w:w="1098" w:type="dxa"/>
            <w:tcBorders>
              <w:top w:val="nil"/>
              <w:left w:val="nil"/>
              <w:bottom w:val="nil"/>
              <w:right w:val="nil"/>
            </w:tcBorders>
            <w:shd w:val="clear" w:color="000000" w:fill="FFFFFF"/>
            <w:vAlign w:val="bottom"/>
            <w:hideMark/>
          </w:tcPr>
          <w:p w:rsidR="00F40941" w:rsidRPr="00A43CBB" w:rsidP="00E64F70" w14:paraId="563B492A" w14:textId="77777777">
            <w:pPr>
              <w:jc w:val="right"/>
              <w:rPr>
                <w:sz w:val="13"/>
                <w:szCs w:val="13"/>
              </w:rPr>
            </w:pPr>
            <w:r w:rsidRPr="00A43CBB">
              <w:rPr>
                <w:sz w:val="13"/>
                <w:szCs w:val="13"/>
              </w:rPr>
              <w:t xml:space="preserve">  3,904 </w:t>
            </w:r>
          </w:p>
        </w:tc>
        <w:tc>
          <w:tcPr>
            <w:tcW w:w="972" w:type="dxa"/>
            <w:tcBorders>
              <w:top w:val="nil"/>
              <w:left w:val="nil"/>
              <w:bottom w:val="nil"/>
              <w:right w:val="nil"/>
            </w:tcBorders>
            <w:shd w:val="clear" w:color="000000" w:fill="FFFFFF"/>
            <w:vAlign w:val="bottom"/>
            <w:hideMark/>
          </w:tcPr>
          <w:p w:rsidR="00F40941" w:rsidRPr="00A43CBB" w:rsidP="00E64F70" w14:paraId="3B72BAE2" w14:textId="77777777">
            <w:pPr>
              <w:jc w:val="right"/>
              <w:rPr>
                <w:sz w:val="13"/>
                <w:szCs w:val="13"/>
              </w:rPr>
            </w:pPr>
            <w:r w:rsidRPr="00A43CBB">
              <w:rPr>
                <w:sz w:val="13"/>
                <w:szCs w:val="13"/>
              </w:rPr>
              <w:t xml:space="preserve">  3,904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3B7835C9" w14:textId="77777777">
            <w:pPr>
              <w:ind w:left="-72"/>
              <w:rPr>
                <w:sz w:val="13"/>
                <w:szCs w:val="13"/>
              </w:rPr>
            </w:pPr>
            <w:r w:rsidRPr="00A43CBB">
              <w:rPr>
                <w:sz w:val="13"/>
                <w:szCs w:val="13"/>
              </w:rPr>
              <w:t>Collections transferred into a TAS Other Than the General Fund of the U.S. Government - Nonexchange (RC 15)</w:t>
            </w:r>
          </w:p>
        </w:tc>
      </w:tr>
      <w:tr w14:paraId="0B868F45"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tcPr>
          <w:p w:rsidR="00F40941" w:rsidRPr="00A43CBB" w:rsidP="00146E7A" w14:paraId="55AF4382" w14:textId="3BF62E37">
            <w:pPr>
              <w:ind w:left="-72"/>
              <w:rPr>
                <w:sz w:val="13"/>
                <w:szCs w:val="13"/>
              </w:rPr>
            </w:pPr>
          </w:p>
        </w:tc>
        <w:tc>
          <w:tcPr>
            <w:tcW w:w="900" w:type="dxa"/>
            <w:tcBorders>
              <w:top w:val="nil"/>
              <w:left w:val="nil"/>
              <w:bottom w:val="nil"/>
              <w:right w:val="single" w:sz="8" w:space="0" w:color="auto"/>
            </w:tcBorders>
            <w:shd w:val="clear" w:color="000000" w:fill="FFFFFF"/>
            <w:vAlign w:val="bottom"/>
          </w:tcPr>
          <w:p w:rsidR="00F40941" w:rsidRPr="00A43CBB" w:rsidP="00E64F70" w14:paraId="3FBDAEC3" w14:textId="6E47A6A5">
            <w:pPr>
              <w:jc w:val="right"/>
              <w:rPr>
                <w:sz w:val="13"/>
                <w:szCs w:val="13"/>
              </w:rPr>
            </w:pPr>
          </w:p>
        </w:tc>
        <w:tc>
          <w:tcPr>
            <w:tcW w:w="900" w:type="dxa"/>
            <w:tcBorders>
              <w:top w:val="single" w:sz="4" w:space="0" w:color="auto"/>
              <w:left w:val="nil"/>
              <w:bottom w:val="single" w:sz="4" w:space="0" w:color="auto"/>
              <w:right w:val="nil"/>
            </w:tcBorders>
            <w:shd w:val="clear" w:color="000000" w:fill="FFFFFF"/>
            <w:vAlign w:val="bottom"/>
            <w:hideMark/>
          </w:tcPr>
          <w:p w:rsidR="00F40941" w:rsidRPr="00A43CBB" w:rsidP="00E64F70" w14:paraId="6AE65531" w14:textId="77777777">
            <w:pPr>
              <w:jc w:val="right"/>
              <w:rPr>
                <w:sz w:val="13"/>
                <w:szCs w:val="13"/>
              </w:rPr>
            </w:pPr>
            <w:r w:rsidRPr="00A43CBB">
              <w:rPr>
                <w:sz w:val="13"/>
                <w:szCs w:val="13"/>
              </w:rPr>
              <w:t xml:space="preserve">   - </w:t>
            </w:r>
          </w:p>
        </w:tc>
        <w:tc>
          <w:tcPr>
            <w:tcW w:w="1098" w:type="dxa"/>
            <w:tcBorders>
              <w:top w:val="single" w:sz="4" w:space="0" w:color="auto"/>
              <w:left w:val="nil"/>
              <w:bottom w:val="single" w:sz="4" w:space="0" w:color="auto"/>
              <w:right w:val="nil"/>
            </w:tcBorders>
            <w:shd w:val="clear" w:color="000000" w:fill="FFFFFF"/>
            <w:vAlign w:val="bottom"/>
            <w:hideMark/>
          </w:tcPr>
          <w:p w:rsidR="00F40941" w:rsidRPr="00A43CBB" w:rsidP="00E64F70" w14:paraId="215F174A" w14:textId="77777777">
            <w:pPr>
              <w:jc w:val="right"/>
              <w:rPr>
                <w:sz w:val="13"/>
                <w:szCs w:val="13"/>
              </w:rPr>
            </w:pPr>
            <w:r w:rsidRPr="00A43CBB">
              <w:rPr>
                <w:sz w:val="13"/>
                <w:szCs w:val="13"/>
              </w:rPr>
              <w:t xml:space="preserve"> (8,938,268)</w:t>
            </w:r>
          </w:p>
        </w:tc>
        <w:tc>
          <w:tcPr>
            <w:tcW w:w="972" w:type="dxa"/>
            <w:tcBorders>
              <w:top w:val="single" w:sz="4" w:space="0" w:color="auto"/>
              <w:left w:val="nil"/>
              <w:bottom w:val="single" w:sz="4" w:space="0" w:color="auto"/>
              <w:right w:val="nil"/>
            </w:tcBorders>
            <w:shd w:val="clear" w:color="000000" w:fill="FFFFFF"/>
            <w:vAlign w:val="bottom"/>
            <w:hideMark/>
          </w:tcPr>
          <w:p w:rsidR="00F40941" w:rsidRPr="00A43CBB" w:rsidP="00E64F70" w14:paraId="580D274E" w14:textId="77777777">
            <w:pPr>
              <w:jc w:val="right"/>
              <w:rPr>
                <w:sz w:val="13"/>
                <w:szCs w:val="13"/>
              </w:rPr>
            </w:pPr>
            <w:r w:rsidRPr="00A43CBB">
              <w:rPr>
                <w:sz w:val="13"/>
                <w:szCs w:val="13"/>
              </w:rPr>
              <w:t xml:space="preserve"> (8,938,268)</w:t>
            </w:r>
          </w:p>
        </w:tc>
        <w:tc>
          <w:tcPr>
            <w:tcW w:w="2600" w:type="dxa"/>
            <w:tcBorders>
              <w:top w:val="nil"/>
              <w:left w:val="nil"/>
              <w:bottom w:val="single" w:sz="4" w:space="0" w:color="auto"/>
              <w:right w:val="single" w:sz="8" w:space="0" w:color="auto"/>
            </w:tcBorders>
            <w:shd w:val="clear" w:color="000000" w:fill="FFFFFF"/>
            <w:vAlign w:val="bottom"/>
            <w:hideMark/>
          </w:tcPr>
          <w:p w:rsidR="00F40941" w:rsidRPr="00A43CBB" w:rsidP="00D8700F" w14:paraId="0BA9C8BC" w14:textId="77777777">
            <w:pPr>
              <w:ind w:left="-72"/>
              <w:rPr>
                <w:i/>
                <w:iCs/>
                <w:sz w:val="13"/>
                <w:szCs w:val="13"/>
              </w:rPr>
            </w:pPr>
            <w:r w:rsidRPr="00A43CBB">
              <w:rPr>
                <w:i/>
                <w:iCs/>
                <w:sz w:val="13"/>
                <w:szCs w:val="13"/>
              </w:rPr>
              <w:t>Total Intragovernmental Non-Exchange Revenue</w:t>
            </w:r>
          </w:p>
        </w:tc>
      </w:tr>
      <w:tr w14:paraId="3AFEF6F6" w14:textId="77777777" w:rsidTr="005C30AA">
        <w:tblPrEx>
          <w:tblW w:w="5000" w:type="pct"/>
          <w:tblLook w:val="04A0"/>
        </w:tblPrEx>
        <w:trPr>
          <w:trHeight w:val="20"/>
        </w:trPr>
        <w:tc>
          <w:tcPr>
            <w:tcW w:w="2870" w:type="dxa"/>
            <w:tcBorders>
              <w:top w:val="nil"/>
              <w:left w:val="single" w:sz="8" w:space="0" w:color="auto"/>
              <w:bottom w:val="single" w:sz="4" w:space="0" w:color="auto"/>
              <w:right w:val="nil"/>
            </w:tcBorders>
            <w:shd w:val="clear" w:color="000000" w:fill="FFFFFF"/>
            <w:vAlign w:val="bottom"/>
            <w:hideMark/>
          </w:tcPr>
          <w:p w:rsidR="00F40941" w:rsidRPr="00A43CBB" w:rsidP="00146E7A" w14:paraId="4432FBAB" w14:textId="77777777">
            <w:pPr>
              <w:ind w:left="-72"/>
              <w:rPr>
                <w:i/>
                <w:iCs/>
                <w:sz w:val="13"/>
                <w:szCs w:val="13"/>
              </w:rPr>
            </w:pPr>
            <w:r w:rsidRPr="00A43CBB">
              <w:rPr>
                <w:i/>
                <w:iCs/>
                <w:sz w:val="13"/>
                <w:szCs w:val="13"/>
              </w:rPr>
              <w:t>Total Non-Exchange Revenues</w:t>
            </w:r>
          </w:p>
        </w:tc>
        <w:tc>
          <w:tcPr>
            <w:tcW w:w="900" w:type="dxa"/>
            <w:tcBorders>
              <w:top w:val="single" w:sz="4" w:space="0" w:color="auto"/>
              <w:left w:val="nil"/>
              <w:bottom w:val="single" w:sz="4" w:space="0" w:color="auto"/>
              <w:right w:val="single" w:sz="8" w:space="0" w:color="auto"/>
            </w:tcBorders>
            <w:shd w:val="clear" w:color="000000" w:fill="FFFFFF"/>
            <w:vAlign w:val="bottom"/>
            <w:hideMark/>
          </w:tcPr>
          <w:p w:rsidR="00F40941" w:rsidRPr="00A43CBB" w:rsidP="00E64F70" w14:paraId="72EDB266" w14:textId="77777777">
            <w:pPr>
              <w:jc w:val="right"/>
              <w:rPr>
                <w:sz w:val="13"/>
                <w:szCs w:val="13"/>
              </w:rPr>
            </w:pPr>
            <w:r w:rsidRPr="00A43CBB">
              <w:rPr>
                <w:sz w:val="13"/>
                <w:szCs w:val="13"/>
              </w:rPr>
              <w:t xml:space="preserve"> 96,630,042 </w:t>
            </w:r>
          </w:p>
        </w:tc>
        <w:tc>
          <w:tcPr>
            <w:tcW w:w="900" w:type="dxa"/>
            <w:tcBorders>
              <w:top w:val="nil"/>
              <w:left w:val="nil"/>
              <w:bottom w:val="single" w:sz="4" w:space="0" w:color="auto"/>
              <w:right w:val="nil"/>
            </w:tcBorders>
            <w:shd w:val="clear" w:color="000000" w:fill="FFFFFF"/>
            <w:vAlign w:val="bottom"/>
            <w:hideMark/>
          </w:tcPr>
          <w:p w:rsidR="00F40941" w:rsidRPr="00A43CBB" w:rsidP="00E64F70" w14:paraId="23E1E6BF" w14:textId="77777777">
            <w:pPr>
              <w:jc w:val="right"/>
              <w:rPr>
                <w:sz w:val="13"/>
                <w:szCs w:val="13"/>
              </w:rPr>
            </w:pPr>
            <w:r w:rsidRPr="00A43CBB">
              <w:rPr>
                <w:sz w:val="13"/>
                <w:szCs w:val="13"/>
              </w:rPr>
              <w:t xml:space="preserve"> 10,849,923 </w:t>
            </w:r>
          </w:p>
        </w:tc>
        <w:tc>
          <w:tcPr>
            <w:tcW w:w="1098" w:type="dxa"/>
            <w:tcBorders>
              <w:top w:val="nil"/>
              <w:left w:val="nil"/>
              <w:bottom w:val="single" w:sz="4" w:space="0" w:color="auto"/>
              <w:right w:val="nil"/>
            </w:tcBorders>
            <w:shd w:val="clear" w:color="000000" w:fill="FFFFFF"/>
            <w:vAlign w:val="bottom"/>
            <w:hideMark/>
          </w:tcPr>
          <w:p w:rsidR="00F40941" w:rsidRPr="00A43CBB" w:rsidP="00E64F70" w14:paraId="2C5DF23F" w14:textId="77777777">
            <w:pPr>
              <w:jc w:val="right"/>
              <w:rPr>
                <w:sz w:val="13"/>
                <w:szCs w:val="13"/>
              </w:rPr>
            </w:pPr>
            <w:r w:rsidRPr="00A43CBB">
              <w:rPr>
                <w:sz w:val="13"/>
                <w:szCs w:val="13"/>
              </w:rPr>
              <w:t xml:space="preserve"> 76,837,947 </w:t>
            </w:r>
          </w:p>
        </w:tc>
        <w:tc>
          <w:tcPr>
            <w:tcW w:w="972" w:type="dxa"/>
            <w:tcBorders>
              <w:top w:val="nil"/>
              <w:left w:val="nil"/>
              <w:bottom w:val="single" w:sz="4" w:space="0" w:color="auto"/>
              <w:right w:val="nil"/>
            </w:tcBorders>
            <w:shd w:val="clear" w:color="000000" w:fill="FFFFFF"/>
            <w:vAlign w:val="bottom"/>
            <w:hideMark/>
          </w:tcPr>
          <w:p w:rsidR="00F40941" w:rsidRPr="00A43CBB" w:rsidP="00E64F70" w14:paraId="2B2331F4" w14:textId="77777777">
            <w:pPr>
              <w:jc w:val="right"/>
              <w:rPr>
                <w:sz w:val="13"/>
                <w:szCs w:val="13"/>
              </w:rPr>
            </w:pPr>
            <w:r w:rsidRPr="00A43CBB">
              <w:rPr>
                <w:sz w:val="13"/>
                <w:szCs w:val="13"/>
              </w:rPr>
              <w:t xml:space="preserve"> 87,687,870 </w:t>
            </w:r>
          </w:p>
        </w:tc>
        <w:tc>
          <w:tcPr>
            <w:tcW w:w="2600" w:type="dxa"/>
            <w:tcBorders>
              <w:top w:val="nil"/>
              <w:left w:val="nil"/>
              <w:bottom w:val="single" w:sz="4" w:space="0" w:color="auto"/>
              <w:right w:val="single" w:sz="8" w:space="0" w:color="auto"/>
            </w:tcBorders>
            <w:shd w:val="clear" w:color="000000" w:fill="FFFFFF"/>
            <w:vAlign w:val="bottom"/>
            <w:hideMark/>
          </w:tcPr>
          <w:p w:rsidR="00F40941" w:rsidRPr="00A43CBB" w:rsidP="00D8700F" w14:paraId="00403A08" w14:textId="77777777">
            <w:pPr>
              <w:ind w:left="-72"/>
              <w:rPr>
                <w:i/>
                <w:iCs/>
                <w:sz w:val="13"/>
                <w:szCs w:val="13"/>
              </w:rPr>
            </w:pPr>
            <w:r w:rsidRPr="00A43CBB">
              <w:rPr>
                <w:i/>
                <w:iCs/>
                <w:sz w:val="13"/>
                <w:szCs w:val="13"/>
              </w:rPr>
              <w:t>Total Reclassified Non-Exchange Revenue</w:t>
            </w:r>
          </w:p>
        </w:tc>
      </w:tr>
      <w:tr w14:paraId="00557426"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6254FBBB" w14:textId="77777777">
            <w:pPr>
              <w:ind w:left="-72"/>
              <w:rPr>
                <w:sz w:val="13"/>
                <w:szCs w:val="13"/>
              </w:rPr>
            </w:pPr>
            <w:r w:rsidRPr="00A43CBB">
              <w:rPr>
                <w:sz w:val="13"/>
                <w:szCs w:val="13"/>
              </w:rPr>
              <w:t>Imputed Financing</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714A1E48" w14:textId="77777777">
            <w:pPr>
              <w:jc w:val="right"/>
              <w:rPr>
                <w:sz w:val="13"/>
                <w:szCs w:val="13"/>
              </w:rPr>
            </w:pPr>
            <w:r w:rsidRPr="00A43CBB">
              <w:rPr>
                <w:sz w:val="13"/>
                <w:szCs w:val="13"/>
              </w:rPr>
              <w:t xml:space="preserve">  13,240 </w:t>
            </w:r>
          </w:p>
        </w:tc>
        <w:tc>
          <w:tcPr>
            <w:tcW w:w="900" w:type="dxa"/>
            <w:tcBorders>
              <w:top w:val="nil"/>
              <w:left w:val="nil"/>
              <w:bottom w:val="nil"/>
              <w:right w:val="nil"/>
            </w:tcBorders>
            <w:shd w:val="clear" w:color="000000" w:fill="FFFFFF"/>
            <w:vAlign w:val="bottom"/>
            <w:hideMark/>
          </w:tcPr>
          <w:p w:rsidR="00F40941" w:rsidRPr="00A43CBB" w:rsidP="00E64F70" w14:paraId="437898D5" w14:textId="77777777">
            <w:pPr>
              <w:jc w:val="right"/>
              <w:rPr>
                <w:sz w:val="13"/>
                <w:szCs w:val="13"/>
              </w:rPr>
            </w:pPr>
            <w:r w:rsidRPr="00A43CBB">
              <w:rPr>
                <w:sz w:val="13"/>
                <w:szCs w:val="13"/>
              </w:rPr>
              <w:t xml:space="preserve">   - </w:t>
            </w:r>
          </w:p>
        </w:tc>
        <w:tc>
          <w:tcPr>
            <w:tcW w:w="1098" w:type="dxa"/>
            <w:tcBorders>
              <w:top w:val="nil"/>
              <w:left w:val="nil"/>
              <w:bottom w:val="nil"/>
              <w:right w:val="nil"/>
            </w:tcBorders>
            <w:shd w:val="clear" w:color="000000" w:fill="FFFFFF"/>
            <w:vAlign w:val="bottom"/>
            <w:hideMark/>
          </w:tcPr>
          <w:p w:rsidR="00F40941" w:rsidRPr="00A43CBB" w:rsidP="00E64F70" w14:paraId="048BF3C8" w14:textId="77777777">
            <w:pPr>
              <w:jc w:val="right"/>
              <w:rPr>
                <w:sz w:val="13"/>
                <w:szCs w:val="13"/>
              </w:rPr>
            </w:pPr>
            <w:r w:rsidRPr="00A43CBB">
              <w:rPr>
                <w:sz w:val="13"/>
                <w:szCs w:val="13"/>
              </w:rPr>
              <w:t xml:space="preserve">  13,240 </w:t>
            </w:r>
          </w:p>
        </w:tc>
        <w:tc>
          <w:tcPr>
            <w:tcW w:w="972" w:type="dxa"/>
            <w:tcBorders>
              <w:top w:val="nil"/>
              <w:left w:val="nil"/>
              <w:bottom w:val="nil"/>
              <w:right w:val="nil"/>
            </w:tcBorders>
            <w:shd w:val="clear" w:color="000000" w:fill="FFFFFF"/>
            <w:vAlign w:val="bottom"/>
            <w:hideMark/>
          </w:tcPr>
          <w:p w:rsidR="00F40941" w:rsidRPr="00A43CBB" w:rsidP="00E64F70" w14:paraId="0813EF50" w14:textId="77777777">
            <w:pPr>
              <w:jc w:val="right"/>
              <w:rPr>
                <w:sz w:val="13"/>
                <w:szCs w:val="13"/>
              </w:rPr>
            </w:pPr>
            <w:r w:rsidRPr="00A43CBB">
              <w:rPr>
                <w:sz w:val="13"/>
                <w:szCs w:val="13"/>
              </w:rPr>
              <w:t xml:space="preserve">  13,240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7FD0979E" w14:textId="77777777">
            <w:pPr>
              <w:ind w:left="-72"/>
              <w:rPr>
                <w:sz w:val="13"/>
                <w:szCs w:val="13"/>
              </w:rPr>
            </w:pPr>
            <w:r w:rsidRPr="00A43CBB">
              <w:rPr>
                <w:sz w:val="13"/>
                <w:szCs w:val="13"/>
              </w:rPr>
              <w:t>Imputed Financing Sources (Federal)</w:t>
            </w:r>
          </w:p>
        </w:tc>
      </w:tr>
      <w:tr w14:paraId="202F8757"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69559112" w14:textId="77777777">
            <w:pPr>
              <w:ind w:left="-72"/>
              <w:rPr>
                <w:sz w:val="13"/>
                <w:szCs w:val="13"/>
              </w:rPr>
            </w:pPr>
            <w:r w:rsidRPr="00A43CBB">
              <w:rPr>
                <w:sz w:val="13"/>
                <w:szCs w:val="13"/>
              </w:rPr>
              <w:t xml:space="preserve">Other </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12AB5362" w14:textId="77777777">
            <w:pPr>
              <w:jc w:val="right"/>
              <w:rPr>
                <w:sz w:val="13"/>
                <w:szCs w:val="13"/>
              </w:rPr>
            </w:pPr>
            <w:r w:rsidRPr="00A43CBB">
              <w:rPr>
                <w:sz w:val="13"/>
                <w:szCs w:val="13"/>
              </w:rPr>
              <w:t xml:space="preserve">  (34,384)</w:t>
            </w:r>
          </w:p>
        </w:tc>
        <w:tc>
          <w:tcPr>
            <w:tcW w:w="900" w:type="dxa"/>
            <w:tcBorders>
              <w:top w:val="nil"/>
              <w:left w:val="nil"/>
              <w:bottom w:val="nil"/>
              <w:right w:val="nil"/>
            </w:tcBorders>
            <w:shd w:val="clear" w:color="000000" w:fill="FFFFFF"/>
            <w:vAlign w:val="bottom"/>
            <w:hideMark/>
          </w:tcPr>
          <w:p w:rsidR="00F40941" w:rsidRPr="00A43CBB" w:rsidP="00E64F70" w14:paraId="51AA916B" w14:textId="77777777">
            <w:pPr>
              <w:jc w:val="right"/>
              <w:rPr>
                <w:sz w:val="13"/>
                <w:szCs w:val="13"/>
              </w:rPr>
            </w:pPr>
            <w:r w:rsidRPr="00A43CBB">
              <w:rPr>
                <w:sz w:val="13"/>
                <w:szCs w:val="13"/>
              </w:rPr>
              <w:t> </w:t>
            </w:r>
          </w:p>
        </w:tc>
        <w:tc>
          <w:tcPr>
            <w:tcW w:w="1098" w:type="dxa"/>
            <w:tcBorders>
              <w:top w:val="nil"/>
              <w:left w:val="nil"/>
              <w:bottom w:val="nil"/>
              <w:right w:val="nil"/>
            </w:tcBorders>
            <w:shd w:val="clear" w:color="000000" w:fill="FFFFFF"/>
            <w:vAlign w:val="bottom"/>
            <w:hideMark/>
          </w:tcPr>
          <w:p w:rsidR="00F40941" w:rsidRPr="00A43CBB" w:rsidP="00E64F70" w14:paraId="1799A644" w14:textId="77777777">
            <w:pPr>
              <w:jc w:val="right"/>
              <w:rPr>
                <w:sz w:val="13"/>
                <w:szCs w:val="13"/>
              </w:rPr>
            </w:pPr>
            <w:r w:rsidRPr="00A43CBB">
              <w:rPr>
                <w:sz w:val="13"/>
                <w:szCs w:val="13"/>
              </w:rPr>
              <w:t> </w:t>
            </w:r>
          </w:p>
        </w:tc>
        <w:tc>
          <w:tcPr>
            <w:tcW w:w="972" w:type="dxa"/>
            <w:tcBorders>
              <w:top w:val="nil"/>
              <w:left w:val="nil"/>
              <w:bottom w:val="nil"/>
              <w:right w:val="nil"/>
            </w:tcBorders>
            <w:shd w:val="clear" w:color="000000" w:fill="FFFFFF"/>
            <w:vAlign w:val="bottom"/>
            <w:hideMark/>
          </w:tcPr>
          <w:p w:rsidR="00F40941" w:rsidRPr="00A43CBB" w:rsidP="00E64F70" w14:paraId="7C8C43DC" w14:textId="77777777">
            <w:pPr>
              <w:jc w:val="right"/>
              <w:rPr>
                <w:sz w:val="13"/>
                <w:szCs w:val="13"/>
              </w:rPr>
            </w:pPr>
            <w:r w:rsidRPr="00A43CBB">
              <w:rPr>
                <w:sz w:val="13"/>
                <w:szCs w:val="13"/>
              </w:rPr>
              <w:t>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2C1441DD" w14:textId="77777777">
            <w:pPr>
              <w:ind w:left="-72"/>
              <w:rPr>
                <w:sz w:val="13"/>
                <w:szCs w:val="13"/>
              </w:rPr>
            </w:pPr>
            <w:r w:rsidRPr="00A43CBB">
              <w:rPr>
                <w:sz w:val="13"/>
                <w:szCs w:val="13"/>
              </w:rPr>
              <w:t> </w:t>
            </w:r>
          </w:p>
        </w:tc>
      </w:tr>
      <w:tr w14:paraId="699DBEEB"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5A67D617" w14:textId="77777777">
            <w:pPr>
              <w:ind w:left="-72"/>
              <w:rPr>
                <w:sz w:val="13"/>
                <w:szCs w:val="13"/>
              </w:rPr>
            </w:pPr>
            <w:r w:rsidRPr="00A43CBB">
              <w:rPr>
                <w:sz w:val="13"/>
                <w:szCs w:val="13"/>
              </w:rPr>
              <w:t xml:space="preserve">SCA: Disposition of Collections: </w:t>
            </w:r>
            <w:r w:rsidRPr="00A43CBB">
              <w:rPr>
                <w:sz w:val="13"/>
                <w:szCs w:val="13"/>
              </w:rPr>
              <w:br/>
              <w:t>(Increase)/Decrease in Amounts Yet to be Transferred (+/-)</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5C8D271E" w14:textId="77777777">
            <w:pPr>
              <w:jc w:val="right"/>
              <w:rPr>
                <w:sz w:val="13"/>
                <w:szCs w:val="13"/>
              </w:rPr>
            </w:pPr>
            <w:r w:rsidRPr="00A43CBB">
              <w:rPr>
                <w:sz w:val="13"/>
                <w:szCs w:val="13"/>
              </w:rPr>
              <w:t xml:space="preserve"> (76,496,101)</w:t>
            </w:r>
          </w:p>
        </w:tc>
        <w:tc>
          <w:tcPr>
            <w:tcW w:w="900" w:type="dxa"/>
            <w:tcBorders>
              <w:top w:val="nil"/>
              <w:left w:val="nil"/>
              <w:bottom w:val="nil"/>
              <w:right w:val="nil"/>
            </w:tcBorders>
            <w:shd w:val="clear" w:color="000000" w:fill="FFFFFF"/>
            <w:vAlign w:val="bottom"/>
            <w:hideMark/>
          </w:tcPr>
          <w:p w:rsidR="00F40941" w:rsidRPr="00A43CBB" w:rsidP="00E64F70" w14:paraId="2E227FEB" w14:textId="77777777">
            <w:pPr>
              <w:jc w:val="right"/>
              <w:rPr>
                <w:sz w:val="13"/>
                <w:szCs w:val="13"/>
              </w:rPr>
            </w:pPr>
            <w:r w:rsidRPr="00A43CBB">
              <w:rPr>
                <w:sz w:val="13"/>
                <w:szCs w:val="13"/>
              </w:rPr>
              <w:t> </w:t>
            </w:r>
          </w:p>
        </w:tc>
        <w:tc>
          <w:tcPr>
            <w:tcW w:w="1098" w:type="dxa"/>
            <w:tcBorders>
              <w:top w:val="nil"/>
              <w:left w:val="nil"/>
              <w:bottom w:val="nil"/>
              <w:right w:val="nil"/>
            </w:tcBorders>
            <w:shd w:val="clear" w:color="000000" w:fill="FFFFFF"/>
            <w:vAlign w:val="bottom"/>
            <w:hideMark/>
          </w:tcPr>
          <w:p w:rsidR="00F40941" w:rsidRPr="00A43CBB" w:rsidP="00E64F70" w14:paraId="7C9221ED" w14:textId="77777777">
            <w:pPr>
              <w:jc w:val="right"/>
              <w:rPr>
                <w:sz w:val="13"/>
                <w:szCs w:val="13"/>
              </w:rPr>
            </w:pPr>
            <w:r w:rsidRPr="00A43CBB">
              <w:rPr>
                <w:sz w:val="13"/>
                <w:szCs w:val="13"/>
              </w:rPr>
              <w:t xml:space="preserve"> (76,496,101)</w:t>
            </w:r>
          </w:p>
        </w:tc>
        <w:tc>
          <w:tcPr>
            <w:tcW w:w="972" w:type="dxa"/>
            <w:tcBorders>
              <w:top w:val="nil"/>
              <w:left w:val="nil"/>
              <w:bottom w:val="nil"/>
              <w:right w:val="nil"/>
            </w:tcBorders>
            <w:shd w:val="clear" w:color="000000" w:fill="FFFFFF"/>
            <w:vAlign w:val="bottom"/>
            <w:hideMark/>
          </w:tcPr>
          <w:p w:rsidR="00F40941" w:rsidRPr="00A43CBB" w:rsidP="00E64F70" w14:paraId="0D2C6CD9" w14:textId="77777777">
            <w:pPr>
              <w:jc w:val="right"/>
              <w:rPr>
                <w:sz w:val="13"/>
                <w:szCs w:val="13"/>
              </w:rPr>
            </w:pPr>
            <w:r w:rsidRPr="00A43CBB">
              <w:rPr>
                <w:sz w:val="13"/>
                <w:szCs w:val="13"/>
              </w:rPr>
              <w:t xml:space="preserve"> (76,496,101)</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7C587C19" w14:textId="77777777">
            <w:pPr>
              <w:ind w:left="-72"/>
              <w:rPr>
                <w:sz w:val="13"/>
                <w:szCs w:val="13"/>
              </w:rPr>
            </w:pPr>
            <w:r w:rsidRPr="00A43CBB">
              <w:rPr>
                <w:sz w:val="13"/>
                <w:szCs w:val="13"/>
              </w:rPr>
              <w:t>Accrual for Non-Entity Amounts to be Collected and Transferred to the General Fund</w:t>
            </w:r>
          </w:p>
        </w:tc>
      </w:tr>
      <w:tr w14:paraId="202F4D44"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63B236AE" w14:textId="77777777">
            <w:pPr>
              <w:ind w:left="-72"/>
              <w:rPr>
                <w:sz w:val="13"/>
                <w:szCs w:val="13"/>
              </w:rPr>
            </w:pPr>
            <w:r w:rsidRPr="00A43CBB">
              <w:rPr>
                <w:sz w:val="13"/>
                <w:szCs w:val="13"/>
              </w:rPr>
              <w:t>SCA: Disposition of Collections: Transferred to Others:</w:t>
            </w:r>
            <w:r w:rsidRPr="00A43CBB">
              <w:rPr>
                <w:sz w:val="13"/>
                <w:szCs w:val="13"/>
              </w:rPr>
              <w:br/>
              <w:t>U.S. Treasury</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46E88DF9" w14:textId="77777777">
            <w:pPr>
              <w:jc w:val="right"/>
              <w:rPr>
                <w:sz w:val="13"/>
                <w:szCs w:val="13"/>
              </w:rPr>
            </w:pPr>
            <w:r w:rsidRPr="00A43CBB">
              <w:rPr>
                <w:sz w:val="13"/>
                <w:szCs w:val="13"/>
              </w:rPr>
              <w:t xml:space="preserve">  (207,301)</w:t>
            </w:r>
          </w:p>
        </w:tc>
        <w:tc>
          <w:tcPr>
            <w:tcW w:w="900" w:type="dxa"/>
            <w:tcBorders>
              <w:top w:val="nil"/>
              <w:left w:val="nil"/>
              <w:bottom w:val="nil"/>
              <w:right w:val="nil"/>
            </w:tcBorders>
            <w:shd w:val="clear" w:color="000000" w:fill="FFFFFF"/>
            <w:vAlign w:val="bottom"/>
            <w:hideMark/>
          </w:tcPr>
          <w:p w:rsidR="00F40941" w:rsidRPr="00A43CBB" w:rsidP="00E64F70" w14:paraId="629B5E59" w14:textId="77777777">
            <w:pPr>
              <w:jc w:val="right"/>
              <w:rPr>
                <w:sz w:val="13"/>
                <w:szCs w:val="13"/>
              </w:rPr>
            </w:pPr>
            <w:r w:rsidRPr="00A43CBB">
              <w:rPr>
                <w:sz w:val="13"/>
                <w:szCs w:val="13"/>
              </w:rPr>
              <w:t xml:space="preserve">   - </w:t>
            </w:r>
          </w:p>
        </w:tc>
        <w:tc>
          <w:tcPr>
            <w:tcW w:w="1098" w:type="dxa"/>
            <w:tcBorders>
              <w:top w:val="nil"/>
              <w:left w:val="nil"/>
              <w:bottom w:val="nil"/>
              <w:right w:val="nil"/>
            </w:tcBorders>
            <w:shd w:val="clear" w:color="000000" w:fill="FFFFFF"/>
            <w:vAlign w:val="bottom"/>
            <w:hideMark/>
          </w:tcPr>
          <w:p w:rsidR="00F40941" w:rsidRPr="00A43CBB" w:rsidP="00E64F70" w14:paraId="7D7F74D0" w14:textId="77777777">
            <w:pPr>
              <w:jc w:val="right"/>
              <w:rPr>
                <w:sz w:val="13"/>
                <w:szCs w:val="13"/>
              </w:rPr>
            </w:pPr>
            <w:r w:rsidRPr="00A43CBB">
              <w:rPr>
                <w:sz w:val="13"/>
                <w:szCs w:val="13"/>
              </w:rPr>
              <w:t xml:space="preserve">  (241,686)</w:t>
            </w:r>
          </w:p>
        </w:tc>
        <w:tc>
          <w:tcPr>
            <w:tcW w:w="972" w:type="dxa"/>
            <w:tcBorders>
              <w:top w:val="nil"/>
              <w:left w:val="nil"/>
              <w:bottom w:val="nil"/>
              <w:right w:val="nil"/>
            </w:tcBorders>
            <w:shd w:val="clear" w:color="000000" w:fill="FFFFFF"/>
            <w:vAlign w:val="bottom"/>
            <w:hideMark/>
          </w:tcPr>
          <w:p w:rsidR="00F40941" w:rsidRPr="00A43CBB" w:rsidP="00E64F70" w14:paraId="1DB152C4" w14:textId="77777777">
            <w:pPr>
              <w:jc w:val="right"/>
              <w:rPr>
                <w:sz w:val="13"/>
                <w:szCs w:val="13"/>
              </w:rPr>
            </w:pPr>
            <w:r w:rsidRPr="00A43CBB">
              <w:rPr>
                <w:sz w:val="13"/>
                <w:szCs w:val="13"/>
              </w:rPr>
              <w:t xml:space="preserve">  (241,686)</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36C0DEC7" w14:textId="77777777">
            <w:pPr>
              <w:ind w:left="-72"/>
              <w:rPr>
                <w:sz w:val="13"/>
                <w:szCs w:val="13"/>
              </w:rPr>
            </w:pPr>
            <w:r w:rsidRPr="00A43CBB">
              <w:rPr>
                <w:sz w:val="13"/>
                <w:szCs w:val="13"/>
              </w:rPr>
              <w:t>Non-Entity Collections Transferred to the General Fund</w:t>
            </w:r>
          </w:p>
        </w:tc>
      </w:tr>
      <w:tr w14:paraId="0F7BD079" w14:textId="77777777" w:rsidTr="00BF6716">
        <w:tblPrEx>
          <w:tblW w:w="5000" w:type="pct"/>
          <w:tblLook w:val="04A0"/>
        </w:tblPrEx>
        <w:trPr>
          <w:trHeight w:val="369"/>
        </w:trPr>
        <w:tc>
          <w:tcPr>
            <w:tcW w:w="2870" w:type="dxa"/>
            <w:tcBorders>
              <w:top w:val="nil"/>
              <w:left w:val="single" w:sz="8" w:space="0" w:color="auto"/>
              <w:bottom w:val="nil"/>
              <w:right w:val="nil"/>
            </w:tcBorders>
            <w:shd w:val="clear" w:color="000000" w:fill="FFFFFF"/>
            <w:vAlign w:val="bottom"/>
            <w:hideMark/>
          </w:tcPr>
          <w:p w:rsidR="00F40941" w:rsidRPr="00A43CBB" w:rsidP="00146E7A" w14:paraId="51B3DC6E" w14:textId="77777777">
            <w:pPr>
              <w:ind w:left="-72"/>
              <w:rPr>
                <w:sz w:val="13"/>
                <w:szCs w:val="13"/>
              </w:rPr>
            </w:pPr>
            <w:r w:rsidRPr="00A43CBB">
              <w:rPr>
                <w:sz w:val="13"/>
                <w:szCs w:val="13"/>
              </w:rPr>
              <w:t>Spectrum Relocation Fund (OMB)</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7C1C40AC" w14:textId="77777777">
            <w:pPr>
              <w:jc w:val="right"/>
              <w:rPr>
                <w:sz w:val="13"/>
                <w:szCs w:val="13"/>
              </w:rPr>
            </w:pPr>
            <w:r w:rsidRPr="00A43CBB">
              <w:rPr>
                <w:sz w:val="13"/>
                <w:szCs w:val="13"/>
              </w:rPr>
              <w:t xml:space="preserve"> (4,466,079)</w:t>
            </w:r>
          </w:p>
        </w:tc>
        <w:tc>
          <w:tcPr>
            <w:tcW w:w="900" w:type="dxa"/>
            <w:tcBorders>
              <w:top w:val="nil"/>
              <w:left w:val="nil"/>
              <w:bottom w:val="nil"/>
              <w:right w:val="nil"/>
            </w:tcBorders>
            <w:shd w:val="clear" w:color="000000" w:fill="FFFFFF"/>
            <w:vAlign w:val="bottom"/>
            <w:hideMark/>
          </w:tcPr>
          <w:p w:rsidR="00F40941" w:rsidRPr="00A43CBB" w:rsidP="00E64F70" w14:paraId="62EA0915" w14:textId="77777777">
            <w:pPr>
              <w:jc w:val="right"/>
              <w:rPr>
                <w:sz w:val="13"/>
                <w:szCs w:val="13"/>
              </w:rPr>
            </w:pPr>
            <w:r w:rsidRPr="00A43CBB">
              <w:rPr>
                <w:sz w:val="13"/>
                <w:szCs w:val="13"/>
              </w:rPr>
              <w:t> </w:t>
            </w:r>
          </w:p>
        </w:tc>
        <w:tc>
          <w:tcPr>
            <w:tcW w:w="1098" w:type="dxa"/>
            <w:tcBorders>
              <w:top w:val="nil"/>
              <w:left w:val="nil"/>
              <w:bottom w:val="nil"/>
              <w:right w:val="nil"/>
            </w:tcBorders>
            <w:shd w:val="clear" w:color="000000" w:fill="FFFFFF"/>
            <w:vAlign w:val="bottom"/>
            <w:hideMark/>
          </w:tcPr>
          <w:p w:rsidR="00F40941" w:rsidRPr="00A43CBB" w:rsidP="00E64F70" w14:paraId="476B5B8C" w14:textId="77777777">
            <w:pPr>
              <w:jc w:val="right"/>
              <w:rPr>
                <w:sz w:val="13"/>
                <w:szCs w:val="13"/>
              </w:rPr>
            </w:pPr>
            <w:r w:rsidRPr="00A43CBB">
              <w:rPr>
                <w:sz w:val="13"/>
                <w:szCs w:val="13"/>
              </w:rPr>
              <w:t> </w:t>
            </w:r>
          </w:p>
        </w:tc>
        <w:tc>
          <w:tcPr>
            <w:tcW w:w="972" w:type="dxa"/>
            <w:tcBorders>
              <w:top w:val="nil"/>
              <w:left w:val="nil"/>
              <w:bottom w:val="nil"/>
              <w:right w:val="nil"/>
            </w:tcBorders>
            <w:shd w:val="clear" w:color="000000" w:fill="FFFFFF"/>
            <w:vAlign w:val="bottom"/>
            <w:hideMark/>
          </w:tcPr>
          <w:p w:rsidR="00F40941" w:rsidRPr="00A43CBB" w:rsidP="00E64F70" w14:paraId="7CA3D96E" w14:textId="77777777">
            <w:pPr>
              <w:jc w:val="right"/>
              <w:rPr>
                <w:sz w:val="13"/>
                <w:szCs w:val="13"/>
              </w:rPr>
            </w:pPr>
            <w:r w:rsidRPr="00A43CBB">
              <w:rPr>
                <w:sz w:val="13"/>
                <w:szCs w:val="13"/>
              </w:rPr>
              <w:t>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34D94D6B" w14:textId="77777777">
            <w:pPr>
              <w:ind w:left="-72"/>
              <w:rPr>
                <w:sz w:val="13"/>
                <w:szCs w:val="13"/>
              </w:rPr>
            </w:pPr>
            <w:r w:rsidRPr="00A43CBB">
              <w:rPr>
                <w:sz w:val="13"/>
                <w:szCs w:val="13"/>
              </w:rPr>
              <w:t> </w:t>
            </w:r>
          </w:p>
        </w:tc>
      </w:tr>
      <w:tr w14:paraId="5DB70ADE" w14:textId="77777777" w:rsidTr="00BF6716">
        <w:tblPrEx>
          <w:tblW w:w="5000" w:type="pct"/>
          <w:tblLook w:val="04A0"/>
        </w:tblPrEx>
        <w:trPr>
          <w:trHeight w:val="315"/>
        </w:trPr>
        <w:tc>
          <w:tcPr>
            <w:tcW w:w="2870" w:type="dxa"/>
            <w:tcBorders>
              <w:top w:val="nil"/>
              <w:left w:val="single" w:sz="8" w:space="0" w:color="auto"/>
              <w:bottom w:val="nil"/>
              <w:right w:val="nil"/>
            </w:tcBorders>
            <w:shd w:val="clear" w:color="000000" w:fill="FFFFFF"/>
            <w:vAlign w:val="bottom"/>
            <w:hideMark/>
          </w:tcPr>
          <w:p w:rsidR="00F40941" w:rsidRPr="00A43CBB" w:rsidP="00146E7A" w14:paraId="1BF97A31" w14:textId="77777777">
            <w:pPr>
              <w:ind w:left="-72"/>
              <w:rPr>
                <w:sz w:val="13"/>
                <w:szCs w:val="13"/>
              </w:rPr>
            </w:pPr>
            <w:r w:rsidRPr="00A43CBB">
              <w:rPr>
                <w:sz w:val="13"/>
                <w:szCs w:val="13"/>
              </w:rPr>
              <w:t>Public Safety Trust Fund (NTIA)</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4CD1612C" w14:textId="77777777">
            <w:pPr>
              <w:jc w:val="right"/>
              <w:rPr>
                <w:sz w:val="13"/>
                <w:szCs w:val="13"/>
              </w:rPr>
            </w:pPr>
            <w:r w:rsidRPr="00A43CBB">
              <w:rPr>
                <w:sz w:val="13"/>
                <w:szCs w:val="13"/>
              </w:rPr>
              <w:t xml:space="preserve"> (4,476,093)</w:t>
            </w:r>
          </w:p>
        </w:tc>
        <w:tc>
          <w:tcPr>
            <w:tcW w:w="900" w:type="dxa"/>
            <w:tcBorders>
              <w:top w:val="nil"/>
              <w:left w:val="nil"/>
              <w:bottom w:val="nil"/>
              <w:right w:val="nil"/>
            </w:tcBorders>
            <w:shd w:val="clear" w:color="000000" w:fill="FFFFFF"/>
            <w:vAlign w:val="bottom"/>
            <w:hideMark/>
          </w:tcPr>
          <w:p w:rsidR="00F40941" w:rsidRPr="00A43CBB" w:rsidP="00E64F70" w14:paraId="1789B7BE" w14:textId="77777777">
            <w:pPr>
              <w:jc w:val="right"/>
              <w:rPr>
                <w:sz w:val="13"/>
                <w:szCs w:val="13"/>
              </w:rPr>
            </w:pPr>
            <w:r w:rsidRPr="00A43CBB">
              <w:rPr>
                <w:sz w:val="13"/>
                <w:szCs w:val="13"/>
              </w:rPr>
              <w:t> </w:t>
            </w:r>
          </w:p>
        </w:tc>
        <w:tc>
          <w:tcPr>
            <w:tcW w:w="1098" w:type="dxa"/>
            <w:tcBorders>
              <w:top w:val="nil"/>
              <w:left w:val="nil"/>
              <w:bottom w:val="nil"/>
              <w:right w:val="nil"/>
            </w:tcBorders>
            <w:shd w:val="clear" w:color="000000" w:fill="FFFFFF"/>
            <w:vAlign w:val="bottom"/>
            <w:hideMark/>
          </w:tcPr>
          <w:p w:rsidR="00F40941" w:rsidRPr="00A43CBB" w:rsidP="00E64F70" w14:paraId="195AB6F0" w14:textId="77777777">
            <w:pPr>
              <w:jc w:val="right"/>
              <w:rPr>
                <w:sz w:val="13"/>
                <w:szCs w:val="13"/>
              </w:rPr>
            </w:pPr>
            <w:r w:rsidRPr="00A43CBB">
              <w:rPr>
                <w:sz w:val="13"/>
                <w:szCs w:val="13"/>
              </w:rPr>
              <w:t> </w:t>
            </w:r>
          </w:p>
        </w:tc>
        <w:tc>
          <w:tcPr>
            <w:tcW w:w="972" w:type="dxa"/>
            <w:tcBorders>
              <w:top w:val="nil"/>
              <w:left w:val="nil"/>
              <w:bottom w:val="nil"/>
              <w:right w:val="nil"/>
            </w:tcBorders>
            <w:shd w:val="clear" w:color="000000" w:fill="FFFFFF"/>
            <w:vAlign w:val="bottom"/>
            <w:hideMark/>
          </w:tcPr>
          <w:p w:rsidR="00F40941" w:rsidRPr="00A43CBB" w:rsidP="00E64F70" w14:paraId="4828D088" w14:textId="77777777">
            <w:pPr>
              <w:jc w:val="right"/>
              <w:rPr>
                <w:sz w:val="13"/>
                <w:szCs w:val="13"/>
              </w:rPr>
            </w:pPr>
            <w:r w:rsidRPr="00A43CBB">
              <w:rPr>
                <w:sz w:val="13"/>
                <w:szCs w:val="13"/>
              </w:rPr>
              <w:t>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60D4C5D9" w14:textId="77777777">
            <w:pPr>
              <w:ind w:left="-72"/>
              <w:rPr>
                <w:sz w:val="13"/>
                <w:szCs w:val="13"/>
              </w:rPr>
            </w:pPr>
            <w:r w:rsidRPr="00A43CBB">
              <w:rPr>
                <w:sz w:val="13"/>
                <w:szCs w:val="13"/>
              </w:rPr>
              <w:t> </w:t>
            </w:r>
          </w:p>
        </w:tc>
      </w:tr>
      <w:tr w14:paraId="4F221D9A" w14:textId="77777777" w:rsidTr="007D259C">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5228DC36" w14:textId="77777777">
            <w:pPr>
              <w:ind w:left="-72"/>
              <w:rPr>
                <w:sz w:val="13"/>
                <w:szCs w:val="13"/>
              </w:rPr>
            </w:pPr>
            <w:r w:rsidRPr="00A43CBB">
              <w:rPr>
                <w:sz w:val="13"/>
                <w:szCs w:val="13"/>
              </w:rPr>
              <w:t> </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0494DD3C" w14:textId="77777777">
            <w:pPr>
              <w:jc w:val="right"/>
              <w:rPr>
                <w:sz w:val="13"/>
                <w:szCs w:val="13"/>
              </w:rPr>
            </w:pPr>
            <w:r w:rsidRPr="00A43CBB">
              <w:rPr>
                <w:sz w:val="13"/>
                <w:szCs w:val="13"/>
              </w:rPr>
              <w:t> </w:t>
            </w:r>
          </w:p>
        </w:tc>
        <w:tc>
          <w:tcPr>
            <w:tcW w:w="900" w:type="dxa"/>
            <w:tcBorders>
              <w:top w:val="single" w:sz="4" w:space="0" w:color="auto"/>
              <w:left w:val="nil"/>
              <w:bottom w:val="single" w:sz="4" w:space="0" w:color="auto"/>
              <w:right w:val="nil"/>
            </w:tcBorders>
            <w:shd w:val="clear" w:color="000000" w:fill="FFFFFF"/>
            <w:vAlign w:val="bottom"/>
            <w:hideMark/>
          </w:tcPr>
          <w:p w:rsidR="00F40941" w:rsidRPr="00A43CBB" w:rsidP="00E64F70" w14:paraId="5DF80390" w14:textId="77777777">
            <w:pPr>
              <w:jc w:val="right"/>
              <w:rPr>
                <w:sz w:val="13"/>
                <w:szCs w:val="13"/>
              </w:rPr>
            </w:pPr>
            <w:r w:rsidRPr="00A43CBB">
              <w:rPr>
                <w:sz w:val="13"/>
                <w:szCs w:val="13"/>
              </w:rPr>
              <w:t xml:space="preserve">   - </w:t>
            </w:r>
          </w:p>
        </w:tc>
        <w:tc>
          <w:tcPr>
            <w:tcW w:w="1098" w:type="dxa"/>
            <w:tcBorders>
              <w:top w:val="single" w:sz="4" w:space="0" w:color="auto"/>
              <w:left w:val="nil"/>
              <w:bottom w:val="single" w:sz="4" w:space="0" w:color="auto"/>
              <w:right w:val="nil"/>
            </w:tcBorders>
            <w:shd w:val="clear" w:color="000000" w:fill="FFFFFF"/>
            <w:vAlign w:val="bottom"/>
            <w:hideMark/>
          </w:tcPr>
          <w:p w:rsidR="00F40941" w:rsidRPr="00A43CBB" w:rsidP="00E64F70" w14:paraId="0EAD9112" w14:textId="77777777">
            <w:pPr>
              <w:jc w:val="right"/>
              <w:rPr>
                <w:sz w:val="13"/>
                <w:szCs w:val="13"/>
              </w:rPr>
            </w:pPr>
            <w:r w:rsidRPr="00A43CBB">
              <w:rPr>
                <w:sz w:val="13"/>
                <w:szCs w:val="13"/>
              </w:rPr>
              <w:t xml:space="preserve"> (76,724,547)</w:t>
            </w:r>
          </w:p>
        </w:tc>
        <w:tc>
          <w:tcPr>
            <w:tcW w:w="972" w:type="dxa"/>
            <w:tcBorders>
              <w:top w:val="single" w:sz="4" w:space="0" w:color="auto"/>
              <w:left w:val="nil"/>
              <w:bottom w:val="single" w:sz="4" w:space="0" w:color="auto"/>
              <w:right w:val="nil"/>
            </w:tcBorders>
            <w:shd w:val="clear" w:color="000000" w:fill="FFFFFF"/>
            <w:vAlign w:val="bottom"/>
            <w:hideMark/>
          </w:tcPr>
          <w:p w:rsidR="00F40941" w:rsidRPr="00A43CBB" w:rsidP="00E64F70" w14:paraId="33A30647" w14:textId="77777777">
            <w:pPr>
              <w:jc w:val="right"/>
              <w:rPr>
                <w:sz w:val="13"/>
                <w:szCs w:val="13"/>
              </w:rPr>
            </w:pPr>
            <w:r w:rsidRPr="00A43CBB">
              <w:rPr>
                <w:sz w:val="13"/>
                <w:szCs w:val="13"/>
              </w:rPr>
              <w:t xml:space="preserve"> (76,724,547)</w:t>
            </w:r>
          </w:p>
        </w:tc>
        <w:tc>
          <w:tcPr>
            <w:tcW w:w="2600" w:type="dxa"/>
            <w:tcBorders>
              <w:top w:val="nil"/>
              <w:left w:val="nil"/>
              <w:bottom w:val="single" w:sz="4" w:space="0" w:color="auto"/>
              <w:right w:val="single" w:sz="8" w:space="0" w:color="auto"/>
            </w:tcBorders>
            <w:shd w:val="clear" w:color="000000" w:fill="FFFFFF"/>
            <w:vAlign w:val="bottom"/>
            <w:hideMark/>
          </w:tcPr>
          <w:p w:rsidR="00F40941" w:rsidRPr="00A43CBB" w:rsidP="00D8700F" w14:paraId="1034A81D" w14:textId="77777777">
            <w:pPr>
              <w:ind w:left="-72"/>
              <w:rPr>
                <w:i/>
                <w:iCs/>
                <w:sz w:val="13"/>
                <w:szCs w:val="13"/>
              </w:rPr>
            </w:pPr>
            <w:r w:rsidRPr="00A43CBB">
              <w:rPr>
                <w:i/>
                <w:iCs/>
                <w:sz w:val="13"/>
                <w:szCs w:val="13"/>
              </w:rPr>
              <w:t>Total Intragovernmental Other</w:t>
            </w:r>
          </w:p>
        </w:tc>
      </w:tr>
      <w:tr w14:paraId="66E00C2D" w14:textId="77777777" w:rsidTr="007D259C">
        <w:tblPrEx>
          <w:tblW w:w="5000" w:type="pct"/>
          <w:tblLook w:val="04A0"/>
        </w:tblPrEx>
        <w:trPr>
          <w:trHeight w:val="20"/>
        </w:trPr>
        <w:tc>
          <w:tcPr>
            <w:tcW w:w="2870" w:type="dxa"/>
            <w:tcBorders>
              <w:top w:val="nil"/>
              <w:left w:val="single" w:sz="8" w:space="0" w:color="auto"/>
              <w:bottom w:val="single" w:sz="4" w:space="0" w:color="auto"/>
              <w:right w:val="nil"/>
            </w:tcBorders>
            <w:shd w:val="clear" w:color="000000" w:fill="FFFFFF"/>
            <w:vAlign w:val="bottom"/>
            <w:hideMark/>
          </w:tcPr>
          <w:p w:rsidR="00F40941" w:rsidRPr="00A43CBB" w:rsidP="00146E7A" w14:paraId="6AD67835" w14:textId="77777777">
            <w:pPr>
              <w:ind w:left="-72"/>
              <w:rPr>
                <w:i/>
                <w:iCs/>
                <w:sz w:val="13"/>
                <w:szCs w:val="13"/>
              </w:rPr>
            </w:pPr>
            <w:r w:rsidRPr="00A43CBB">
              <w:rPr>
                <w:i/>
                <w:iCs/>
                <w:sz w:val="13"/>
                <w:szCs w:val="13"/>
              </w:rPr>
              <w:t>Total Other</w:t>
            </w:r>
          </w:p>
        </w:tc>
        <w:tc>
          <w:tcPr>
            <w:tcW w:w="900" w:type="dxa"/>
            <w:tcBorders>
              <w:top w:val="single" w:sz="4" w:space="0" w:color="auto"/>
              <w:left w:val="nil"/>
              <w:bottom w:val="single" w:sz="4" w:space="0" w:color="auto"/>
              <w:right w:val="single" w:sz="8" w:space="0" w:color="auto"/>
            </w:tcBorders>
            <w:shd w:val="clear" w:color="000000" w:fill="FFFFFF"/>
            <w:vAlign w:val="bottom"/>
            <w:hideMark/>
          </w:tcPr>
          <w:p w:rsidR="00F40941" w:rsidRPr="00A43CBB" w:rsidP="00E64F70" w14:paraId="40CE6C3C" w14:textId="7A186461">
            <w:pPr>
              <w:jc w:val="right"/>
              <w:rPr>
                <w:sz w:val="13"/>
                <w:szCs w:val="13"/>
              </w:rPr>
            </w:pPr>
            <w:r w:rsidRPr="00A43CBB">
              <w:rPr>
                <w:sz w:val="13"/>
                <w:szCs w:val="13"/>
              </w:rPr>
              <w:t>(85,666,718)</w:t>
            </w:r>
          </w:p>
        </w:tc>
        <w:tc>
          <w:tcPr>
            <w:tcW w:w="900" w:type="dxa"/>
            <w:tcBorders>
              <w:top w:val="nil"/>
              <w:left w:val="nil"/>
              <w:bottom w:val="single" w:sz="4" w:space="0" w:color="auto"/>
              <w:right w:val="nil"/>
            </w:tcBorders>
            <w:shd w:val="clear" w:color="000000" w:fill="FFFFFF"/>
            <w:vAlign w:val="bottom"/>
            <w:hideMark/>
          </w:tcPr>
          <w:p w:rsidR="00F40941" w:rsidRPr="00A43CBB" w:rsidP="00E64F70" w14:paraId="4A1B11B0" w14:textId="77777777">
            <w:pPr>
              <w:jc w:val="right"/>
              <w:rPr>
                <w:sz w:val="13"/>
                <w:szCs w:val="13"/>
              </w:rPr>
            </w:pPr>
            <w:r w:rsidRPr="00A43CBB">
              <w:rPr>
                <w:sz w:val="13"/>
                <w:szCs w:val="13"/>
              </w:rPr>
              <w:t xml:space="preserve">   - </w:t>
            </w:r>
          </w:p>
        </w:tc>
        <w:tc>
          <w:tcPr>
            <w:tcW w:w="1098" w:type="dxa"/>
            <w:tcBorders>
              <w:top w:val="nil"/>
              <w:left w:val="nil"/>
              <w:bottom w:val="single" w:sz="4" w:space="0" w:color="auto"/>
              <w:right w:val="nil"/>
            </w:tcBorders>
            <w:shd w:val="clear" w:color="000000" w:fill="FFFFFF"/>
            <w:vAlign w:val="bottom"/>
            <w:hideMark/>
          </w:tcPr>
          <w:p w:rsidR="00F40941" w:rsidRPr="00A43CBB" w:rsidP="00E64F70" w14:paraId="0B826941" w14:textId="77777777">
            <w:pPr>
              <w:jc w:val="right"/>
              <w:rPr>
                <w:sz w:val="13"/>
                <w:szCs w:val="13"/>
              </w:rPr>
            </w:pPr>
            <w:r w:rsidRPr="00A43CBB">
              <w:rPr>
                <w:sz w:val="13"/>
                <w:szCs w:val="13"/>
              </w:rPr>
              <w:t xml:space="preserve"> (76,724,547)</w:t>
            </w:r>
          </w:p>
        </w:tc>
        <w:tc>
          <w:tcPr>
            <w:tcW w:w="972" w:type="dxa"/>
            <w:tcBorders>
              <w:top w:val="nil"/>
              <w:left w:val="nil"/>
              <w:bottom w:val="single" w:sz="4" w:space="0" w:color="auto"/>
              <w:right w:val="nil"/>
            </w:tcBorders>
            <w:shd w:val="clear" w:color="000000" w:fill="FFFFFF"/>
            <w:vAlign w:val="bottom"/>
            <w:hideMark/>
          </w:tcPr>
          <w:p w:rsidR="00F40941" w:rsidRPr="00A43CBB" w:rsidP="00E64F70" w14:paraId="250C8DB3" w14:textId="5F01F9CB">
            <w:pPr>
              <w:jc w:val="right"/>
              <w:rPr>
                <w:sz w:val="13"/>
                <w:szCs w:val="13"/>
              </w:rPr>
            </w:pPr>
            <w:r w:rsidRPr="00A43CBB">
              <w:rPr>
                <w:sz w:val="13"/>
                <w:szCs w:val="13"/>
              </w:rPr>
              <w:t>(76,724,547)</w:t>
            </w:r>
          </w:p>
        </w:tc>
        <w:tc>
          <w:tcPr>
            <w:tcW w:w="2600" w:type="dxa"/>
            <w:tcBorders>
              <w:top w:val="nil"/>
              <w:left w:val="nil"/>
              <w:bottom w:val="single" w:sz="4" w:space="0" w:color="auto"/>
              <w:right w:val="single" w:sz="8" w:space="0" w:color="auto"/>
            </w:tcBorders>
            <w:shd w:val="clear" w:color="000000" w:fill="FFFFFF"/>
            <w:vAlign w:val="bottom"/>
            <w:hideMark/>
          </w:tcPr>
          <w:p w:rsidR="00F40941" w:rsidRPr="00A43CBB" w:rsidP="007D259C" w14:paraId="6DA4D082" w14:textId="77777777">
            <w:pPr>
              <w:rPr>
                <w:i/>
                <w:iCs/>
                <w:sz w:val="13"/>
                <w:szCs w:val="13"/>
              </w:rPr>
            </w:pPr>
            <w:r w:rsidRPr="00A43CBB">
              <w:rPr>
                <w:i/>
                <w:iCs/>
                <w:sz w:val="13"/>
                <w:szCs w:val="13"/>
              </w:rPr>
              <w:t>Total Reclassified Other</w:t>
            </w:r>
          </w:p>
        </w:tc>
      </w:tr>
      <w:tr w14:paraId="341432C4"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3C400B6A" w14:textId="77777777">
            <w:pPr>
              <w:ind w:left="-72"/>
              <w:rPr>
                <w:sz w:val="13"/>
                <w:szCs w:val="13"/>
              </w:rPr>
            </w:pPr>
            <w:r w:rsidRPr="00A43CBB">
              <w:rPr>
                <w:sz w:val="13"/>
                <w:szCs w:val="13"/>
              </w:rPr>
              <w:t>SCA: Disposition of Collections: Refunds and Other Payments Auctions, Salaries &amp; Expenses (FCC)</w:t>
            </w:r>
            <w:r w:rsidRPr="009B647E">
              <w:rPr>
                <w:sz w:val="13"/>
                <w:szCs w:val="13"/>
                <w:vertAlign w:val="superscript"/>
              </w:rPr>
              <w:t>3</w:t>
            </w:r>
            <w:r w:rsidRPr="00A43CBB">
              <w:rPr>
                <w:sz w:val="13"/>
                <w:szCs w:val="13"/>
              </w:rPr>
              <w:t xml:space="preserve"> </w:t>
            </w:r>
          </w:p>
        </w:tc>
        <w:tc>
          <w:tcPr>
            <w:tcW w:w="900" w:type="dxa"/>
            <w:tcBorders>
              <w:top w:val="nil"/>
              <w:left w:val="nil"/>
              <w:bottom w:val="nil"/>
              <w:right w:val="single" w:sz="8" w:space="0" w:color="auto"/>
            </w:tcBorders>
            <w:shd w:val="clear" w:color="000000" w:fill="FFFFFF"/>
            <w:vAlign w:val="bottom"/>
            <w:hideMark/>
          </w:tcPr>
          <w:p w:rsidR="00F40941" w:rsidRPr="00A43CBB" w:rsidP="00E64F70" w14:paraId="0002BF06" w14:textId="77777777">
            <w:pPr>
              <w:jc w:val="right"/>
              <w:rPr>
                <w:sz w:val="13"/>
                <w:szCs w:val="13"/>
              </w:rPr>
            </w:pPr>
            <w:r w:rsidRPr="00A43CBB">
              <w:rPr>
                <w:sz w:val="13"/>
                <w:szCs w:val="13"/>
              </w:rPr>
              <w:t xml:space="preserve">  (134,495)</w:t>
            </w:r>
          </w:p>
        </w:tc>
        <w:tc>
          <w:tcPr>
            <w:tcW w:w="900" w:type="dxa"/>
            <w:tcBorders>
              <w:top w:val="nil"/>
              <w:left w:val="nil"/>
              <w:bottom w:val="nil"/>
              <w:right w:val="nil"/>
            </w:tcBorders>
            <w:shd w:val="clear" w:color="000000" w:fill="FFFFFF"/>
            <w:vAlign w:val="bottom"/>
            <w:hideMark/>
          </w:tcPr>
          <w:p w:rsidR="00F40941" w:rsidRPr="00A43CBB" w:rsidP="00E64F70" w14:paraId="0466F0AC" w14:textId="77777777">
            <w:pPr>
              <w:jc w:val="right"/>
              <w:rPr>
                <w:sz w:val="13"/>
                <w:szCs w:val="13"/>
              </w:rPr>
            </w:pPr>
            <w:r w:rsidRPr="00A43CBB">
              <w:rPr>
                <w:sz w:val="13"/>
                <w:szCs w:val="13"/>
              </w:rPr>
              <w:t> </w:t>
            </w:r>
          </w:p>
        </w:tc>
        <w:tc>
          <w:tcPr>
            <w:tcW w:w="1098" w:type="dxa"/>
            <w:tcBorders>
              <w:top w:val="nil"/>
              <w:left w:val="nil"/>
              <w:bottom w:val="nil"/>
              <w:right w:val="nil"/>
            </w:tcBorders>
            <w:shd w:val="clear" w:color="000000" w:fill="FFFFFF"/>
            <w:vAlign w:val="bottom"/>
            <w:hideMark/>
          </w:tcPr>
          <w:p w:rsidR="00F40941" w:rsidRPr="00A43CBB" w:rsidP="00E64F70" w14:paraId="7C2B9F65" w14:textId="77777777">
            <w:pPr>
              <w:jc w:val="right"/>
              <w:rPr>
                <w:sz w:val="13"/>
                <w:szCs w:val="13"/>
              </w:rPr>
            </w:pPr>
            <w:r w:rsidRPr="00A43CBB">
              <w:rPr>
                <w:sz w:val="13"/>
                <w:szCs w:val="13"/>
              </w:rPr>
              <w:t> </w:t>
            </w:r>
          </w:p>
        </w:tc>
        <w:tc>
          <w:tcPr>
            <w:tcW w:w="972" w:type="dxa"/>
            <w:tcBorders>
              <w:top w:val="nil"/>
              <w:left w:val="nil"/>
              <w:bottom w:val="nil"/>
              <w:right w:val="nil"/>
            </w:tcBorders>
            <w:shd w:val="clear" w:color="000000" w:fill="FFFFFF"/>
            <w:vAlign w:val="bottom"/>
            <w:hideMark/>
          </w:tcPr>
          <w:p w:rsidR="00F40941" w:rsidRPr="00A43CBB" w:rsidP="00E64F70" w14:paraId="308ED41C" w14:textId="77777777">
            <w:pPr>
              <w:jc w:val="right"/>
              <w:rPr>
                <w:sz w:val="13"/>
                <w:szCs w:val="13"/>
              </w:rPr>
            </w:pPr>
            <w:r w:rsidRPr="00A43CBB">
              <w:rPr>
                <w:sz w:val="13"/>
                <w:szCs w:val="13"/>
              </w:rPr>
              <w:t>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726BFEA0" w14:textId="77777777">
            <w:pPr>
              <w:ind w:left="-72"/>
              <w:rPr>
                <w:sz w:val="13"/>
                <w:szCs w:val="13"/>
              </w:rPr>
            </w:pPr>
            <w:r w:rsidRPr="00A43CBB">
              <w:rPr>
                <w:sz w:val="13"/>
                <w:szCs w:val="13"/>
              </w:rPr>
              <w:t> </w:t>
            </w:r>
          </w:p>
        </w:tc>
      </w:tr>
      <w:tr w14:paraId="61879D86"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05EC5FC0" w14:textId="77777777">
            <w:pPr>
              <w:ind w:left="-72"/>
              <w:rPr>
                <w:b/>
                <w:bCs/>
                <w:sz w:val="13"/>
                <w:szCs w:val="13"/>
              </w:rPr>
            </w:pPr>
            <w:r w:rsidRPr="00A43CBB">
              <w:rPr>
                <w:b/>
                <w:bCs/>
                <w:sz w:val="13"/>
                <w:szCs w:val="13"/>
              </w:rPr>
              <w:t>Net Cost of Operations</w:t>
            </w:r>
          </w:p>
        </w:tc>
        <w:tc>
          <w:tcPr>
            <w:tcW w:w="900" w:type="dxa"/>
            <w:tcBorders>
              <w:top w:val="single" w:sz="4" w:space="0" w:color="auto"/>
              <w:left w:val="nil"/>
              <w:bottom w:val="nil"/>
              <w:right w:val="single" w:sz="8" w:space="0" w:color="auto"/>
            </w:tcBorders>
            <w:shd w:val="clear" w:color="000000" w:fill="FFFFFF"/>
            <w:vAlign w:val="bottom"/>
            <w:hideMark/>
          </w:tcPr>
          <w:p w:rsidR="00F40941" w:rsidRPr="00A43CBB" w:rsidP="00E64F70" w14:paraId="5821F45B" w14:textId="77777777">
            <w:pPr>
              <w:jc w:val="right"/>
              <w:rPr>
                <w:sz w:val="13"/>
                <w:szCs w:val="13"/>
              </w:rPr>
            </w:pPr>
            <w:r w:rsidRPr="00A43CBB">
              <w:rPr>
                <w:sz w:val="13"/>
                <w:szCs w:val="13"/>
              </w:rPr>
              <w:t xml:space="preserve"> 11,142,853 </w:t>
            </w:r>
          </w:p>
        </w:tc>
        <w:tc>
          <w:tcPr>
            <w:tcW w:w="900" w:type="dxa"/>
            <w:tcBorders>
              <w:top w:val="single" w:sz="4" w:space="0" w:color="auto"/>
              <w:left w:val="nil"/>
              <w:bottom w:val="nil"/>
              <w:right w:val="nil"/>
            </w:tcBorders>
            <w:shd w:val="clear" w:color="000000" w:fill="FFFFFF"/>
            <w:vAlign w:val="bottom"/>
            <w:hideMark/>
          </w:tcPr>
          <w:p w:rsidR="00F40941" w:rsidRPr="00A43CBB" w:rsidP="00E64F70" w14:paraId="29A83C53" w14:textId="77777777">
            <w:pPr>
              <w:jc w:val="right"/>
              <w:rPr>
                <w:sz w:val="13"/>
                <w:szCs w:val="13"/>
              </w:rPr>
            </w:pPr>
            <w:r w:rsidRPr="00A43CBB">
              <w:rPr>
                <w:sz w:val="13"/>
                <w:szCs w:val="13"/>
              </w:rPr>
              <w:t xml:space="preserve"> 10,192,060 </w:t>
            </w:r>
          </w:p>
        </w:tc>
        <w:tc>
          <w:tcPr>
            <w:tcW w:w="1098" w:type="dxa"/>
            <w:tcBorders>
              <w:top w:val="single" w:sz="4" w:space="0" w:color="auto"/>
              <w:left w:val="nil"/>
              <w:bottom w:val="nil"/>
              <w:right w:val="nil"/>
            </w:tcBorders>
            <w:shd w:val="clear" w:color="000000" w:fill="FFFFFF"/>
            <w:vAlign w:val="bottom"/>
            <w:hideMark/>
          </w:tcPr>
          <w:p w:rsidR="00F40941" w:rsidRPr="00A43CBB" w:rsidP="00E64F70" w14:paraId="361EF9E5" w14:textId="77777777">
            <w:pPr>
              <w:jc w:val="right"/>
              <w:rPr>
                <w:sz w:val="13"/>
                <w:szCs w:val="13"/>
              </w:rPr>
            </w:pPr>
            <w:r w:rsidRPr="00A43CBB">
              <w:rPr>
                <w:sz w:val="13"/>
                <w:szCs w:val="13"/>
              </w:rPr>
              <w:t xml:space="preserve">  1,085,287 </w:t>
            </w:r>
          </w:p>
        </w:tc>
        <w:tc>
          <w:tcPr>
            <w:tcW w:w="972" w:type="dxa"/>
            <w:tcBorders>
              <w:top w:val="single" w:sz="4" w:space="0" w:color="auto"/>
              <w:left w:val="nil"/>
              <w:bottom w:val="nil"/>
              <w:right w:val="nil"/>
            </w:tcBorders>
            <w:shd w:val="clear" w:color="000000" w:fill="FFFFFF"/>
            <w:vAlign w:val="bottom"/>
            <w:hideMark/>
          </w:tcPr>
          <w:p w:rsidR="00F40941" w:rsidRPr="00A43CBB" w:rsidP="00E64F70" w14:paraId="5D659371" w14:textId="77777777">
            <w:pPr>
              <w:jc w:val="right"/>
              <w:rPr>
                <w:sz w:val="13"/>
                <w:szCs w:val="13"/>
              </w:rPr>
            </w:pPr>
            <w:r w:rsidRPr="00A43CBB">
              <w:rPr>
                <w:sz w:val="13"/>
                <w:szCs w:val="13"/>
              </w:rPr>
              <w:t xml:space="preserve"> 11,277,347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1CD63A4F" w14:textId="77777777">
            <w:pPr>
              <w:ind w:left="-72"/>
              <w:rPr>
                <w:b/>
                <w:bCs/>
                <w:sz w:val="13"/>
                <w:szCs w:val="13"/>
              </w:rPr>
            </w:pPr>
            <w:r w:rsidRPr="00A43CBB">
              <w:rPr>
                <w:b/>
                <w:bCs/>
                <w:sz w:val="13"/>
                <w:szCs w:val="13"/>
              </w:rPr>
              <w:t>Net Cost of Operations</w:t>
            </w:r>
          </w:p>
        </w:tc>
      </w:tr>
      <w:tr w14:paraId="45DC08B7" w14:textId="77777777" w:rsidTr="005C30AA">
        <w:tblPrEx>
          <w:tblW w:w="5000" w:type="pct"/>
          <w:tblLook w:val="04A0"/>
        </w:tblPrEx>
        <w:trPr>
          <w:trHeight w:val="20"/>
        </w:trPr>
        <w:tc>
          <w:tcPr>
            <w:tcW w:w="2870" w:type="dxa"/>
            <w:tcBorders>
              <w:top w:val="nil"/>
              <w:left w:val="single" w:sz="8" w:space="0" w:color="auto"/>
              <w:bottom w:val="nil"/>
              <w:right w:val="nil"/>
            </w:tcBorders>
            <w:shd w:val="clear" w:color="000000" w:fill="FFFFFF"/>
            <w:vAlign w:val="bottom"/>
            <w:hideMark/>
          </w:tcPr>
          <w:p w:rsidR="00F40941" w:rsidRPr="00A43CBB" w:rsidP="00146E7A" w14:paraId="2AB2F9B1" w14:textId="77777777">
            <w:pPr>
              <w:ind w:left="-72"/>
              <w:rPr>
                <w:b/>
                <w:bCs/>
                <w:sz w:val="13"/>
                <w:szCs w:val="13"/>
              </w:rPr>
            </w:pPr>
            <w:r w:rsidRPr="00A43CBB">
              <w:rPr>
                <w:b/>
                <w:bCs/>
                <w:sz w:val="13"/>
                <w:szCs w:val="13"/>
              </w:rPr>
              <w:t>Ending Balance – Cumulative Results of Operations</w:t>
            </w:r>
          </w:p>
        </w:tc>
        <w:tc>
          <w:tcPr>
            <w:tcW w:w="900" w:type="dxa"/>
            <w:tcBorders>
              <w:top w:val="nil"/>
              <w:left w:val="nil"/>
              <w:bottom w:val="single" w:sz="8" w:space="0" w:color="auto"/>
              <w:right w:val="single" w:sz="8" w:space="0" w:color="auto"/>
            </w:tcBorders>
            <w:shd w:val="clear" w:color="000000" w:fill="FFFFFF"/>
            <w:vAlign w:val="bottom"/>
            <w:hideMark/>
          </w:tcPr>
          <w:p w:rsidR="00F40941" w:rsidRPr="00A43CBB" w:rsidP="00E64F70" w14:paraId="2F21D73D" w14:textId="77777777">
            <w:pPr>
              <w:jc w:val="right"/>
              <w:rPr>
                <w:sz w:val="13"/>
                <w:szCs w:val="13"/>
              </w:rPr>
            </w:pPr>
            <w:r w:rsidRPr="00A43CBB">
              <w:rPr>
                <w:sz w:val="13"/>
                <w:szCs w:val="13"/>
              </w:rPr>
              <w:t xml:space="preserve"> 7,177,538 </w:t>
            </w:r>
          </w:p>
        </w:tc>
        <w:tc>
          <w:tcPr>
            <w:tcW w:w="900" w:type="dxa"/>
            <w:tcBorders>
              <w:top w:val="nil"/>
              <w:left w:val="nil"/>
              <w:bottom w:val="nil"/>
              <w:right w:val="nil"/>
            </w:tcBorders>
            <w:shd w:val="clear" w:color="000000" w:fill="FFFFFF"/>
            <w:vAlign w:val="bottom"/>
            <w:hideMark/>
          </w:tcPr>
          <w:p w:rsidR="00F40941" w:rsidRPr="00A43CBB" w:rsidP="00E64F70" w14:paraId="404B1421" w14:textId="77777777">
            <w:pPr>
              <w:jc w:val="right"/>
              <w:rPr>
                <w:sz w:val="13"/>
                <w:szCs w:val="13"/>
              </w:rPr>
            </w:pPr>
            <w:r w:rsidRPr="00A43CBB">
              <w:rPr>
                <w:sz w:val="13"/>
                <w:szCs w:val="13"/>
              </w:rPr>
              <w:t xml:space="preserve">   - </w:t>
            </w:r>
          </w:p>
        </w:tc>
        <w:tc>
          <w:tcPr>
            <w:tcW w:w="1098" w:type="dxa"/>
            <w:tcBorders>
              <w:top w:val="nil"/>
              <w:left w:val="nil"/>
              <w:bottom w:val="nil"/>
              <w:right w:val="nil"/>
            </w:tcBorders>
            <w:shd w:val="clear" w:color="000000" w:fill="FFFFFF"/>
            <w:vAlign w:val="bottom"/>
            <w:hideMark/>
          </w:tcPr>
          <w:p w:rsidR="00F40941" w:rsidRPr="00A43CBB" w:rsidP="00E64F70" w14:paraId="1B500F15" w14:textId="77777777">
            <w:pPr>
              <w:jc w:val="right"/>
              <w:rPr>
                <w:sz w:val="13"/>
                <w:szCs w:val="13"/>
              </w:rPr>
            </w:pPr>
            <w:r w:rsidRPr="00A43CBB">
              <w:rPr>
                <w:sz w:val="13"/>
                <w:szCs w:val="13"/>
              </w:rPr>
              <w:t xml:space="preserve">   - </w:t>
            </w:r>
          </w:p>
        </w:tc>
        <w:tc>
          <w:tcPr>
            <w:tcW w:w="972" w:type="dxa"/>
            <w:tcBorders>
              <w:top w:val="nil"/>
              <w:left w:val="nil"/>
              <w:bottom w:val="nil"/>
              <w:right w:val="nil"/>
            </w:tcBorders>
            <w:shd w:val="clear" w:color="000000" w:fill="FFFFFF"/>
            <w:vAlign w:val="bottom"/>
            <w:hideMark/>
          </w:tcPr>
          <w:p w:rsidR="00F40941" w:rsidRPr="00A43CBB" w:rsidP="00E64F70" w14:paraId="695F4AFB" w14:textId="77777777">
            <w:pPr>
              <w:jc w:val="right"/>
              <w:rPr>
                <w:sz w:val="13"/>
                <w:szCs w:val="13"/>
              </w:rPr>
            </w:pPr>
            <w:r w:rsidRPr="00A43CBB">
              <w:rPr>
                <w:sz w:val="13"/>
                <w:szCs w:val="13"/>
              </w:rPr>
              <w:t xml:space="preserve">   - </w:t>
            </w:r>
          </w:p>
        </w:tc>
        <w:tc>
          <w:tcPr>
            <w:tcW w:w="2600" w:type="dxa"/>
            <w:tcBorders>
              <w:top w:val="nil"/>
              <w:left w:val="nil"/>
              <w:bottom w:val="nil"/>
              <w:right w:val="single" w:sz="8" w:space="0" w:color="auto"/>
            </w:tcBorders>
            <w:shd w:val="clear" w:color="000000" w:fill="FFFFFF"/>
            <w:vAlign w:val="bottom"/>
            <w:hideMark/>
          </w:tcPr>
          <w:p w:rsidR="00F40941" w:rsidRPr="00A43CBB" w:rsidP="00D8700F" w14:paraId="07CC5B6D" w14:textId="77777777">
            <w:pPr>
              <w:ind w:left="-72"/>
              <w:rPr>
                <w:b/>
                <w:bCs/>
                <w:sz w:val="13"/>
                <w:szCs w:val="13"/>
              </w:rPr>
            </w:pPr>
            <w:r w:rsidRPr="00A43CBB">
              <w:rPr>
                <w:b/>
                <w:bCs/>
                <w:sz w:val="13"/>
                <w:szCs w:val="13"/>
              </w:rPr>
              <w:t> </w:t>
            </w:r>
          </w:p>
        </w:tc>
      </w:tr>
      <w:tr w14:paraId="795E8ABA" w14:textId="77777777" w:rsidTr="00844C3B">
        <w:tblPrEx>
          <w:tblW w:w="5000" w:type="pct"/>
          <w:tblLook w:val="04A0"/>
        </w:tblPrEx>
        <w:trPr>
          <w:trHeight w:val="20"/>
        </w:trPr>
        <w:tc>
          <w:tcPr>
            <w:tcW w:w="2870" w:type="dxa"/>
            <w:tcBorders>
              <w:top w:val="nil"/>
              <w:left w:val="single" w:sz="8" w:space="0" w:color="auto"/>
              <w:bottom w:val="single" w:sz="8" w:space="0" w:color="auto"/>
              <w:right w:val="nil"/>
            </w:tcBorders>
            <w:shd w:val="clear" w:color="auto" w:fill="auto"/>
            <w:vAlign w:val="bottom"/>
            <w:hideMark/>
          </w:tcPr>
          <w:p w:rsidR="00F40941" w:rsidRPr="00844C3B" w:rsidP="00146E7A" w14:paraId="25471D17" w14:textId="77777777">
            <w:pPr>
              <w:ind w:left="-72"/>
              <w:rPr>
                <w:b/>
                <w:bCs/>
                <w:sz w:val="13"/>
                <w:szCs w:val="13"/>
              </w:rPr>
            </w:pPr>
            <w:r w:rsidRPr="00844C3B">
              <w:rPr>
                <w:b/>
                <w:bCs/>
                <w:sz w:val="13"/>
                <w:szCs w:val="13"/>
              </w:rPr>
              <w:t>Total Net Position</w:t>
            </w:r>
          </w:p>
        </w:tc>
        <w:tc>
          <w:tcPr>
            <w:tcW w:w="900" w:type="dxa"/>
            <w:tcBorders>
              <w:top w:val="nil"/>
              <w:left w:val="nil"/>
              <w:bottom w:val="single" w:sz="8" w:space="0" w:color="auto"/>
              <w:right w:val="single" w:sz="8" w:space="0" w:color="auto"/>
            </w:tcBorders>
            <w:shd w:val="clear" w:color="auto" w:fill="auto"/>
            <w:vAlign w:val="bottom"/>
            <w:hideMark/>
          </w:tcPr>
          <w:p w:rsidR="00F40941" w:rsidRPr="00844C3B" w:rsidP="00E64F70" w14:paraId="3433AF35" w14:textId="6F7E84EB">
            <w:pPr>
              <w:jc w:val="right"/>
              <w:rPr>
                <w:sz w:val="13"/>
                <w:szCs w:val="13"/>
              </w:rPr>
            </w:pPr>
            <w:r w:rsidRPr="00844C3B">
              <w:rPr>
                <w:sz w:val="13"/>
                <w:szCs w:val="13"/>
              </w:rPr>
              <w:t>$</w:t>
            </w:r>
            <w:r w:rsidRPr="00844C3B" w:rsidR="00673E1E">
              <w:rPr>
                <w:sz w:val="13"/>
                <w:szCs w:val="13"/>
              </w:rPr>
              <w:t xml:space="preserve"> </w:t>
            </w:r>
            <w:r w:rsidRPr="00844C3B">
              <w:rPr>
                <w:sz w:val="13"/>
                <w:szCs w:val="13"/>
              </w:rPr>
              <w:t xml:space="preserve">19,725,247 </w:t>
            </w:r>
          </w:p>
        </w:tc>
        <w:tc>
          <w:tcPr>
            <w:tcW w:w="900" w:type="dxa"/>
            <w:tcBorders>
              <w:top w:val="single" w:sz="8" w:space="0" w:color="auto"/>
              <w:left w:val="nil"/>
              <w:bottom w:val="single" w:sz="8" w:space="0" w:color="auto"/>
              <w:right w:val="nil"/>
            </w:tcBorders>
            <w:shd w:val="clear" w:color="auto" w:fill="auto"/>
            <w:vAlign w:val="bottom"/>
            <w:hideMark/>
          </w:tcPr>
          <w:p w:rsidR="00F40941" w:rsidRPr="00844C3B" w:rsidP="00E64F70" w14:paraId="3DD55268" w14:textId="549D4674">
            <w:pPr>
              <w:jc w:val="right"/>
              <w:rPr>
                <w:sz w:val="13"/>
                <w:szCs w:val="13"/>
              </w:rPr>
            </w:pPr>
            <w:r w:rsidRPr="00844C3B">
              <w:rPr>
                <w:sz w:val="13"/>
                <w:szCs w:val="13"/>
              </w:rPr>
              <w:t>$</w:t>
            </w:r>
            <w:r w:rsidRPr="00844C3B" w:rsidR="00A462D3">
              <w:rPr>
                <w:sz w:val="13"/>
                <w:szCs w:val="13"/>
              </w:rPr>
              <w:t xml:space="preserve"> </w:t>
            </w:r>
            <w:r w:rsidRPr="00844C3B">
              <w:rPr>
                <w:sz w:val="13"/>
                <w:szCs w:val="13"/>
              </w:rPr>
              <w:t xml:space="preserve"> </w:t>
            </w:r>
            <w:r w:rsidRPr="00844C3B" w:rsidR="00C822D1">
              <w:rPr>
                <w:sz w:val="13"/>
                <w:szCs w:val="13"/>
              </w:rPr>
              <w:t xml:space="preserve"> </w:t>
            </w:r>
            <w:r w:rsidRPr="00844C3B">
              <w:rPr>
                <w:sz w:val="13"/>
                <w:szCs w:val="13"/>
              </w:rPr>
              <w:t xml:space="preserve">7,767,492 </w:t>
            </w:r>
          </w:p>
        </w:tc>
        <w:tc>
          <w:tcPr>
            <w:tcW w:w="1098" w:type="dxa"/>
            <w:tcBorders>
              <w:top w:val="single" w:sz="8" w:space="0" w:color="auto"/>
              <w:left w:val="nil"/>
              <w:bottom w:val="single" w:sz="8" w:space="0" w:color="auto"/>
              <w:right w:val="nil"/>
            </w:tcBorders>
            <w:shd w:val="clear" w:color="auto" w:fill="auto"/>
            <w:vAlign w:val="bottom"/>
            <w:hideMark/>
          </w:tcPr>
          <w:p w:rsidR="00F40941" w:rsidRPr="00844C3B" w:rsidP="00E64F70" w14:paraId="3BC72491" w14:textId="643422CC">
            <w:pPr>
              <w:jc w:val="right"/>
              <w:rPr>
                <w:sz w:val="13"/>
                <w:szCs w:val="13"/>
              </w:rPr>
            </w:pPr>
            <w:r w:rsidRPr="00844C3B">
              <w:rPr>
                <w:sz w:val="13"/>
                <w:szCs w:val="13"/>
              </w:rPr>
              <w:t xml:space="preserve"> $</w:t>
            </w:r>
            <w:r w:rsidRPr="00844C3B" w:rsidR="00C822D1">
              <w:rPr>
                <w:sz w:val="13"/>
                <w:szCs w:val="13"/>
              </w:rPr>
              <w:t xml:space="preserve">     </w:t>
            </w:r>
            <w:r w:rsidRPr="00844C3B">
              <w:rPr>
                <w:sz w:val="13"/>
                <w:szCs w:val="13"/>
              </w:rPr>
              <w:t xml:space="preserve"> 11,957,755 </w:t>
            </w:r>
          </w:p>
        </w:tc>
        <w:tc>
          <w:tcPr>
            <w:tcW w:w="972" w:type="dxa"/>
            <w:tcBorders>
              <w:top w:val="single" w:sz="8" w:space="0" w:color="auto"/>
              <w:left w:val="nil"/>
              <w:bottom w:val="single" w:sz="8" w:space="0" w:color="auto"/>
              <w:right w:val="nil"/>
            </w:tcBorders>
            <w:shd w:val="clear" w:color="auto" w:fill="auto"/>
            <w:vAlign w:val="bottom"/>
            <w:hideMark/>
          </w:tcPr>
          <w:p w:rsidR="00F40941" w:rsidRPr="00844C3B" w:rsidP="00E64F70" w14:paraId="61D29EC6" w14:textId="357C89D5">
            <w:pPr>
              <w:jc w:val="right"/>
              <w:rPr>
                <w:sz w:val="13"/>
                <w:szCs w:val="13"/>
              </w:rPr>
            </w:pPr>
            <w:r w:rsidRPr="00844C3B">
              <w:rPr>
                <w:sz w:val="13"/>
                <w:szCs w:val="13"/>
              </w:rPr>
              <w:t>$</w:t>
            </w:r>
            <w:r w:rsidRPr="00844C3B" w:rsidR="00F77D12">
              <w:rPr>
                <w:sz w:val="13"/>
                <w:szCs w:val="13"/>
              </w:rPr>
              <w:t xml:space="preserve">  </w:t>
            </w:r>
            <w:r w:rsidRPr="00844C3B">
              <w:rPr>
                <w:sz w:val="13"/>
                <w:szCs w:val="13"/>
              </w:rPr>
              <w:t xml:space="preserve"> 19,725,247 </w:t>
            </w:r>
          </w:p>
        </w:tc>
        <w:tc>
          <w:tcPr>
            <w:tcW w:w="2600" w:type="dxa"/>
            <w:tcBorders>
              <w:top w:val="nil"/>
              <w:left w:val="nil"/>
              <w:bottom w:val="single" w:sz="8" w:space="0" w:color="auto"/>
              <w:right w:val="single" w:sz="8" w:space="0" w:color="auto"/>
            </w:tcBorders>
            <w:shd w:val="clear" w:color="auto" w:fill="auto"/>
            <w:vAlign w:val="bottom"/>
            <w:hideMark/>
          </w:tcPr>
          <w:p w:rsidR="00F40941" w:rsidRPr="00A43CBB" w:rsidP="00D8700F" w14:paraId="6821F26F" w14:textId="77777777">
            <w:pPr>
              <w:ind w:left="-72"/>
              <w:rPr>
                <w:b/>
                <w:bCs/>
                <w:sz w:val="13"/>
                <w:szCs w:val="13"/>
              </w:rPr>
            </w:pPr>
            <w:r w:rsidRPr="00844C3B">
              <w:rPr>
                <w:b/>
                <w:bCs/>
                <w:sz w:val="13"/>
                <w:szCs w:val="13"/>
              </w:rPr>
              <w:t>Net Position - Ending Balance</w:t>
            </w:r>
          </w:p>
        </w:tc>
      </w:tr>
    </w:tbl>
    <w:p w:rsidR="00FA1A5F" w:rsidP="00F40941" w14:paraId="2CA0B670" w14:textId="2C83A39B">
      <w:pPr>
        <w:rPr>
          <w:sz w:val="22"/>
          <w:szCs w:val="22"/>
        </w:rPr>
      </w:pPr>
    </w:p>
    <w:p w:rsidR="00F40941" w:rsidP="00285D06" w14:paraId="6B531647" w14:textId="690980D7">
      <w:pPr>
        <w:jc w:val="center"/>
        <w:rPr>
          <w:sz w:val="22"/>
          <w:szCs w:val="22"/>
        </w:rPr>
        <w:sectPr w:rsidSect="00F054D8">
          <w:pgSz w:w="12240" w:h="15840"/>
          <w:pgMar w:top="1440" w:right="1440" w:bottom="1296" w:left="1440" w:header="720" w:footer="720" w:gutter="0"/>
          <w:cols w:space="720"/>
        </w:sectPr>
      </w:pPr>
    </w:p>
    <w:p w:rsidR="00285D06" w:rsidRPr="00BA1E56" w:rsidP="00285D06" w14:paraId="2903BF5B" w14:textId="3A434F7C">
      <w:pPr>
        <w:jc w:val="both"/>
        <w:rPr>
          <w:b/>
          <w:bCs/>
          <w:sz w:val="22"/>
          <w:szCs w:val="22"/>
        </w:rPr>
      </w:pPr>
      <w:r w:rsidRPr="33B14630">
        <w:rPr>
          <w:b/>
          <w:bCs/>
          <w:sz w:val="22"/>
          <w:szCs w:val="22"/>
        </w:rPr>
        <w:t xml:space="preserve">Note </w:t>
      </w:r>
      <w:r w:rsidRPr="33B14630" w:rsidR="00096EFA">
        <w:rPr>
          <w:b/>
          <w:bCs/>
          <w:sz w:val="22"/>
          <w:szCs w:val="22"/>
        </w:rPr>
        <w:t>2</w:t>
      </w:r>
      <w:r w:rsidR="00096EFA">
        <w:rPr>
          <w:b/>
          <w:bCs/>
          <w:sz w:val="22"/>
          <w:szCs w:val="22"/>
        </w:rPr>
        <w:t>0</w:t>
      </w:r>
      <w:r w:rsidRPr="33B14630" w:rsidR="00096EFA">
        <w:rPr>
          <w:b/>
          <w:bCs/>
          <w:sz w:val="22"/>
          <w:szCs w:val="22"/>
        </w:rPr>
        <w:t xml:space="preserve"> </w:t>
      </w:r>
      <w:r w:rsidRPr="33B14630">
        <w:rPr>
          <w:b/>
          <w:bCs/>
          <w:sz w:val="22"/>
          <w:szCs w:val="22"/>
        </w:rPr>
        <w:t>– Reclassification of Financial Statement Line Items for Financial Report Compilation Process (continued)</w:t>
      </w:r>
    </w:p>
    <w:tbl>
      <w:tblPr>
        <w:tblW w:w="5000" w:type="pct"/>
        <w:tblLook w:val="04A0"/>
      </w:tblPr>
      <w:tblGrid>
        <w:gridCol w:w="2690"/>
        <w:gridCol w:w="900"/>
        <w:gridCol w:w="887"/>
        <w:gridCol w:w="1071"/>
        <w:gridCol w:w="898"/>
        <w:gridCol w:w="2894"/>
      </w:tblGrid>
      <w:tr w14:paraId="6961D838" w14:textId="77777777" w:rsidTr="00826647">
        <w:tblPrEx>
          <w:tblW w:w="5000" w:type="pct"/>
          <w:tblLook w:val="04A0"/>
        </w:tblPrEx>
        <w:trPr>
          <w:trHeight w:val="637"/>
        </w:trPr>
        <w:tc>
          <w:tcPr>
            <w:tcW w:w="2690" w:type="dxa"/>
            <w:tcBorders>
              <w:top w:val="single" w:sz="8" w:space="0" w:color="auto"/>
              <w:left w:val="single" w:sz="8" w:space="0" w:color="auto"/>
              <w:bottom w:val="single" w:sz="8" w:space="0" w:color="auto"/>
              <w:right w:val="nil"/>
            </w:tcBorders>
            <w:shd w:val="clear" w:color="000000" w:fill="FFFFFF"/>
            <w:vAlign w:val="center"/>
            <w:hideMark/>
          </w:tcPr>
          <w:p w:rsidR="00F40941" w:rsidRPr="00B77B04" w:rsidP="00E90AC7" w14:paraId="1B81C837" w14:textId="77777777">
            <w:pPr>
              <w:ind w:right="-114"/>
              <w:jc w:val="center"/>
              <w:rPr>
                <w:b/>
                <w:bCs/>
                <w:sz w:val="13"/>
                <w:szCs w:val="13"/>
              </w:rPr>
            </w:pPr>
            <w:bookmarkStart w:id="274" w:name="_Hlk88827505"/>
            <w:r w:rsidRPr="00B77B04">
              <w:rPr>
                <w:b/>
                <w:bCs/>
                <w:sz w:val="13"/>
                <w:szCs w:val="13"/>
              </w:rPr>
              <w:t>AFR Line</w:t>
            </w:r>
          </w:p>
        </w:tc>
        <w:tc>
          <w:tcPr>
            <w:tcW w:w="900" w:type="dxa"/>
            <w:tcBorders>
              <w:top w:val="single" w:sz="8" w:space="0" w:color="auto"/>
              <w:left w:val="nil"/>
              <w:bottom w:val="single" w:sz="8" w:space="0" w:color="auto"/>
              <w:right w:val="single" w:sz="8" w:space="0" w:color="auto"/>
            </w:tcBorders>
            <w:shd w:val="clear" w:color="auto" w:fill="auto"/>
            <w:vAlign w:val="center"/>
            <w:hideMark/>
          </w:tcPr>
          <w:p w:rsidR="00F40941" w:rsidRPr="00B77B04" w:rsidP="00E90AC7" w14:paraId="5CEA9722" w14:textId="77777777">
            <w:pPr>
              <w:jc w:val="center"/>
              <w:rPr>
                <w:b/>
                <w:bCs/>
                <w:sz w:val="13"/>
                <w:szCs w:val="13"/>
              </w:rPr>
            </w:pPr>
            <w:r w:rsidRPr="00B77B04">
              <w:rPr>
                <w:b/>
                <w:bCs/>
                <w:sz w:val="13"/>
                <w:szCs w:val="13"/>
              </w:rPr>
              <w:t>2020 SCNP</w:t>
            </w:r>
          </w:p>
        </w:tc>
        <w:tc>
          <w:tcPr>
            <w:tcW w:w="887" w:type="dxa"/>
            <w:tcBorders>
              <w:top w:val="single" w:sz="8" w:space="0" w:color="auto"/>
              <w:left w:val="nil"/>
              <w:bottom w:val="single" w:sz="8" w:space="0" w:color="auto"/>
              <w:right w:val="nil"/>
            </w:tcBorders>
            <w:shd w:val="clear" w:color="auto" w:fill="auto"/>
            <w:vAlign w:val="center"/>
            <w:hideMark/>
          </w:tcPr>
          <w:p w:rsidR="00F40941" w:rsidRPr="00B77B04" w:rsidP="00E90AC7" w14:paraId="2EB4D330" w14:textId="77777777">
            <w:pPr>
              <w:jc w:val="center"/>
              <w:rPr>
                <w:b/>
                <w:bCs/>
                <w:sz w:val="13"/>
                <w:szCs w:val="13"/>
              </w:rPr>
            </w:pPr>
            <w:r w:rsidRPr="00B77B04">
              <w:rPr>
                <w:b/>
                <w:bCs/>
                <w:sz w:val="13"/>
                <w:szCs w:val="13"/>
              </w:rPr>
              <w:t>Dedicated Collections Combined</w:t>
            </w:r>
          </w:p>
        </w:tc>
        <w:tc>
          <w:tcPr>
            <w:tcW w:w="1071" w:type="dxa"/>
            <w:tcBorders>
              <w:top w:val="single" w:sz="8" w:space="0" w:color="auto"/>
              <w:left w:val="nil"/>
              <w:bottom w:val="single" w:sz="8" w:space="0" w:color="auto"/>
              <w:right w:val="nil"/>
            </w:tcBorders>
            <w:shd w:val="clear" w:color="auto" w:fill="auto"/>
            <w:vAlign w:val="center"/>
            <w:hideMark/>
          </w:tcPr>
          <w:p w:rsidR="00F40941" w:rsidRPr="00B77B04" w:rsidP="00E90AC7" w14:paraId="6A169820" w14:textId="77777777">
            <w:pPr>
              <w:jc w:val="center"/>
              <w:rPr>
                <w:b/>
                <w:bCs/>
                <w:sz w:val="13"/>
                <w:szCs w:val="13"/>
              </w:rPr>
            </w:pPr>
            <w:r w:rsidRPr="00B77B04">
              <w:rPr>
                <w:b/>
                <w:bCs/>
                <w:sz w:val="13"/>
                <w:szCs w:val="13"/>
              </w:rPr>
              <w:t>All Other Amounts (with Eliminations)</w:t>
            </w:r>
          </w:p>
        </w:tc>
        <w:tc>
          <w:tcPr>
            <w:tcW w:w="898" w:type="dxa"/>
            <w:tcBorders>
              <w:top w:val="single" w:sz="8" w:space="0" w:color="auto"/>
              <w:left w:val="nil"/>
              <w:bottom w:val="single" w:sz="8" w:space="0" w:color="auto"/>
              <w:right w:val="nil"/>
            </w:tcBorders>
            <w:shd w:val="clear" w:color="auto" w:fill="auto"/>
            <w:vAlign w:val="center"/>
            <w:hideMark/>
          </w:tcPr>
          <w:p w:rsidR="00F40941" w:rsidRPr="00B77B04" w:rsidP="00E90AC7" w14:paraId="7FD6EC99" w14:textId="77777777">
            <w:pPr>
              <w:jc w:val="center"/>
              <w:rPr>
                <w:b/>
                <w:bCs/>
                <w:sz w:val="13"/>
                <w:szCs w:val="13"/>
              </w:rPr>
            </w:pPr>
            <w:r w:rsidRPr="00B77B04">
              <w:rPr>
                <w:b/>
                <w:bCs/>
                <w:sz w:val="13"/>
                <w:szCs w:val="13"/>
              </w:rPr>
              <w:t>2020 Reclassified SCNP Total</w:t>
            </w:r>
          </w:p>
        </w:tc>
        <w:tc>
          <w:tcPr>
            <w:tcW w:w="2894" w:type="dxa"/>
            <w:tcBorders>
              <w:top w:val="single" w:sz="8" w:space="0" w:color="auto"/>
              <w:left w:val="nil"/>
              <w:bottom w:val="single" w:sz="8" w:space="0" w:color="auto"/>
              <w:right w:val="single" w:sz="8" w:space="0" w:color="auto"/>
            </w:tcBorders>
            <w:shd w:val="clear" w:color="000000" w:fill="FFFFFF"/>
            <w:vAlign w:val="center"/>
            <w:hideMark/>
          </w:tcPr>
          <w:p w:rsidR="00F40941" w:rsidRPr="00B77B04" w:rsidP="00E90AC7" w14:paraId="733F95C7" w14:textId="77777777">
            <w:pPr>
              <w:jc w:val="center"/>
              <w:rPr>
                <w:b/>
                <w:bCs/>
                <w:sz w:val="13"/>
                <w:szCs w:val="13"/>
              </w:rPr>
            </w:pPr>
            <w:r w:rsidRPr="00B77B04">
              <w:rPr>
                <w:b/>
                <w:bCs/>
                <w:sz w:val="13"/>
                <w:szCs w:val="13"/>
              </w:rPr>
              <w:t>Reclassified Line</w:t>
            </w:r>
          </w:p>
        </w:tc>
      </w:tr>
      <w:tr w14:paraId="106837F9"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69B0CFF5" w14:textId="77777777">
            <w:pPr>
              <w:rPr>
                <w:b/>
                <w:bCs/>
                <w:sz w:val="13"/>
                <w:szCs w:val="13"/>
              </w:rPr>
            </w:pPr>
            <w:r w:rsidRPr="00B77B04">
              <w:rPr>
                <w:b/>
                <w:bCs/>
                <w:sz w:val="13"/>
                <w:szCs w:val="13"/>
              </w:rPr>
              <w:t>UNEXPENDED APPRORPATIONS</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3F26CE42" w14:textId="77777777">
            <w:pPr>
              <w:jc w:val="right"/>
              <w:rPr>
                <w:sz w:val="13"/>
                <w:szCs w:val="13"/>
              </w:rPr>
            </w:pPr>
            <w:r w:rsidRPr="00B77B04">
              <w:rPr>
                <w:sz w:val="13"/>
                <w:szCs w:val="13"/>
              </w:rPr>
              <w:t> </w:t>
            </w:r>
          </w:p>
        </w:tc>
        <w:tc>
          <w:tcPr>
            <w:tcW w:w="887" w:type="dxa"/>
            <w:tcBorders>
              <w:top w:val="nil"/>
              <w:left w:val="nil"/>
              <w:bottom w:val="nil"/>
              <w:right w:val="nil"/>
            </w:tcBorders>
            <w:shd w:val="clear" w:color="000000" w:fill="FFFFFF"/>
            <w:vAlign w:val="bottom"/>
            <w:hideMark/>
          </w:tcPr>
          <w:p w:rsidR="00F40941" w:rsidRPr="00B77B04" w:rsidP="000E69EF" w14:paraId="4EC3952A"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bottom"/>
            <w:hideMark/>
          </w:tcPr>
          <w:p w:rsidR="00F40941" w:rsidRPr="00B77B04" w:rsidP="000E69EF" w14:paraId="403E4845" w14:textId="77777777">
            <w:pPr>
              <w:jc w:val="right"/>
              <w:rPr>
                <w:sz w:val="13"/>
                <w:szCs w:val="13"/>
              </w:rPr>
            </w:pPr>
            <w:r w:rsidRPr="00B77B04">
              <w:rPr>
                <w:sz w:val="13"/>
                <w:szCs w:val="13"/>
              </w:rPr>
              <w:t> </w:t>
            </w:r>
          </w:p>
        </w:tc>
        <w:tc>
          <w:tcPr>
            <w:tcW w:w="898" w:type="dxa"/>
            <w:tcBorders>
              <w:top w:val="nil"/>
              <w:left w:val="nil"/>
              <w:bottom w:val="nil"/>
              <w:right w:val="nil"/>
            </w:tcBorders>
            <w:shd w:val="clear" w:color="000000" w:fill="FFFFFF"/>
            <w:vAlign w:val="bottom"/>
            <w:hideMark/>
          </w:tcPr>
          <w:p w:rsidR="00F40941" w:rsidRPr="00B77B04" w:rsidP="000E69EF" w14:paraId="30675B01" w14:textId="77777777">
            <w:pPr>
              <w:jc w:val="right"/>
              <w:rPr>
                <w:sz w:val="13"/>
                <w:szCs w:val="13"/>
              </w:rPr>
            </w:pPr>
            <w:r w:rsidRPr="00B77B04">
              <w:rPr>
                <w:sz w:val="13"/>
                <w:szCs w:val="13"/>
              </w:rPr>
              <w:t>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081B0A56" w14:textId="77777777">
            <w:pPr>
              <w:rPr>
                <w:sz w:val="13"/>
                <w:szCs w:val="13"/>
              </w:rPr>
            </w:pPr>
            <w:r w:rsidRPr="00B77B04">
              <w:rPr>
                <w:sz w:val="13"/>
                <w:szCs w:val="13"/>
              </w:rPr>
              <w:t> </w:t>
            </w:r>
          </w:p>
        </w:tc>
      </w:tr>
      <w:tr w14:paraId="4160DB45"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0937FDD0" w14:textId="77777777">
            <w:pPr>
              <w:rPr>
                <w:sz w:val="13"/>
                <w:szCs w:val="13"/>
              </w:rPr>
            </w:pPr>
            <w:r w:rsidRPr="00B77B04">
              <w:rPr>
                <w:sz w:val="13"/>
                <w:szCs w:val="13"/>
              </w:rPr>
              <w:t>Unexpended Appropriations, Beginning Balance</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4410CA70" w14:textId="6D1EC6B4">
            <w:pPr>
              <w:jc w:val="right"/>
              <w:rPr>
                <w:sz w:val="13"/>
                <w:szCs w:val="13"/>
              </w:rPr>
            </w:pPr>
            <w:r w:rsidRPr="00B77B04">
              <w:rPr>
                <w:sz w:val="13"/>
                <w:szCs w:val="13"/>
              </w:rPr>
              <w:t xml:space="preserve"> $ </w:t>
            </w:r>
            <w:r w:rsidR="002A226E">
              <w:rPr>
                <w:sz w:val="13"/>
                <w:szCs w:val="13"/>
              </w:rPr>
              <w:t xml:space="preserve">   </w:t>
            </w:r>
            <w:r w:rsidRPr="00B77B04">
              <w:rPr>
                <w:sz w:val="13"/>
                <w:szCs w:val="13"/>
              </w:rPr>
              <w:t xml:space="preserve">985,768 </w:t>
            </w:r>
          </w:p>
        </w:tc>
        <w:tc>
          <w:tcPr>
            <w:tcW w:w="887" w:type="dxa"/>
            <w:tcBorders>
              <w:top w:val="nil"/>
              <w:left w:val="nil"/>
              <w:bottom w:val="nil"/>
              <w:right w:val="nil"/>
            </w:tcBorders>
            <w:shd w:val="clear" w:color="auto" w:fill="auto"/>
            <w:vAlign w:val="bottom"/>
            <w:hideMark/>
          </w:tcPr>
          <w:p w:rsidR="00F40941" w:rsidRPr="00B77B04" w:rsidP="000E69EF" w14:paraId="5332F52A" w14:textId="77777777">
            <w:pPr>
              <w:jc w:val="right"/>
              <w:rPr>
                <w:sz w:val="13"/>
                <w:szCs w:val="13"/>
              </w:rPr>
            </w:pPr>
            <w:r w:rsidRPr="00B77B04">
              <w:rPr>
                <w:sz w:val="13"/>
                <w:szCs w:val="13"/>
              </w:rPr>
              <w:t xml:space="preserve"> $ 8,141,565 </w:t>
            </w:r>
          </w:p>
        </w:tc>
        <w:tc>
          <w:tcPr>
            <w:tcW w:w="1071" w:type="dxa"/>
            <w:tcBorders>
              <w:top w:val="nil"/>
              <w:left w:val="nil"/>
              <w:bottom w:val="nil"/>
              <w:right w:val="nil"/>
            </w:tcBorders>
            <w:shd w:val="clear" w:color="000000" w:fill="FFFFFF"/>
            <w:vAlign w:val="bottom"/>
            <w:hideMark/>
          </w:tcPr>
          <w:p w:rsidR="00F40941" w:rsidRPr="00B77B04" w:rsidP="000E69EF" w14:paraId="64F43B3A" w14:textId="3C45F998">
            <w:pPr>
              <w:jc w:val="right"/>
              <w:rPr>
                <w:sz w:val="13"/>
                <w:szCs w:val="13"/>
              </w:rPr>
            </w:pPr>
            <w:r w:rsidRPr="00B77B04">
              <w:rPr>
                <w:sz w:val="13"/>
                <w:szCs w:val="13"/>
              </w:rPr>
              <w:t xml:space="preserve"> $ </w:t>
            </w:r>
            <w:r w:rsidR="001F5D09">
              <w:rPr>
                <w:sz w:val="13"/>
                <w:szCs w:val="13"/>
              </w:rPr>
              <w:t xml:space="preserve">         </w:t>
            </w:r>
            <w:r w:rsidRPr="00B77B04">
              <w:rPr>
                <w:sz w:val="13"/>
                <w:szCs w:val="13"/>
              </w:rPr>
              <w:t xml:space="preserve">225,713 </w:t>
            </w:r>
          </w:p>
        </w:tc>
        <w:tc>
          <w:tcPr>
            <w:tcW w:w="898" w:type="dxa"/>
            <w:tcBorders>
              <w:top w:val="nil"/>
              <w:left w:val="nil"/>
              <w:bottom w:val="nil"/>
              <w:right w:val="nil"/>
            </w:tcBorders>
            <w:shd w:val="clear" w:color="000000" w:fill="FFFFFF"/>
            <w:vAlign w:val="bottom"/>
            <w:hideMark/>
          </w:tcPr>
          <w:p w:rsidR="00F40941" w:rsidRPr="00B77B04" w:rsidP="000E69EF" w14:paraId="0890FA4A" w14:textId="77777777">
            <w:pPr>
              <w:jc w:val="right"/>
              <w:rPr>
                <w:sz w:val="13"/>
                <w:szCs w:val="13"/>
              </w:rPr>
            </w:pPr>
            <w:r w:rsidRPr="00B77B04">
              <w:rPr>
                <w:sz w:val="13"/>
                <w:szCs w:val="13"/>
              </w:rPr>
              <w:t xml:space="preserve"> $ 8,367,279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3CDE90AC" w14:textId="77777777">
            <w:pPr>
              <w:rPr>
                <w:sz w:val="13"/>
                <w:szCs w:val="13"/>
              </w:rPr>
            </w:pPr>
            <w:r w:rsidRPr="00B77B04">
              <w:rPr>
                <w:sz w:val="13"/>
                <w:szCs w:val="13"/>
              </w:rPr>
              <w:t>Net Position, Beginning of Period</w:t>
            </w:r>
          </w:p>
        </w:tc>
      </w:tr>
      <w:tr w14:paraId="3158B1D3"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3BC8B62A" w14:textId="77777777">
            <w:pPr>
              <w:ind w:right="-114"/>
              <w:rPr>
                <w:sz w:val="13"/>
                <w:szCs w:val="13"/>
              </w:rPr>
            </w:pPr>
            <w:r w:rsidRPr="00B77B04">
              <w:rPr>
                <w:sz w:val="13"/>
                <w:szCs w:val="13"/>
              </w:rPr>
              <w:t>Appropriations Received, General Funds</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1E0149C5" w14:textId="77777777">
            <w:pPr>
              <w:jc w:val="right"/>
              <w:rPr>
                <w:sz w:val="13"/>
                <w:szCs w:val="13"/>
              </w:rPr>
            </w:pPr>
            <w:r w:rsidRPr="00B77B04">
              <w:rPr>
                <w:sz w:val="13"/>
                <w:szCs w:val="13"/>
              </w:rPr>
              <w:t xml:space="preserve">  200,000 </w:t>
            </w:r>
          </w:p>
        </w:tc>
        <w:tc>
          <w:tcPr>
            <w:tcW w:w="887" w:type="dxa"/>
            <w:tcBorders>
              <w:top w:val="nil"/>
              <w:left w:val="nil"/>
              <w:bottom w:val="nil"/>
              <w:right w:val="nil"/>
            </w:tcBorders>
            <w:shd w:val="clear" w:color="000000" w:fill="FFFFFF"/>
            <w:vAlign w:val="bottom"/>
            <w:hideMark/>
          </w:tcPr>
          <w:p w:rsidR="00F40941" w:rsidRPr="00B77B04" w:rsidP="000E69EF" w14:paraId="3277BC3F" w14:textId="77777777">
            <w:pPr>
              <w:jc w:val="right"/>
              <w:rPr>
                <w:sz w:val="13"/>
                <w:szCs w:val="13"/>
              </w:rPr>
            </w:pPr>
            <w:r w:rsidRPr="00B77B04">
              <w:rPr>
                <w:sz w:val="13"/>
                <w:szCs w:val="13"/>
              </w:rPr>
              <w:t xml:space="preserve">   - </w:t>
            </w:r>
          </w:p>
        </w:tc>
        <w:tc>
          <w:tcPr>
            <w:tcW w:w="1071" w:type="dxa"/>
            <w:tcBorders>
              <w:top w:val="nil"/>
              <w:left w:val="nil"/>
              <w:bottom w:val="nil"/>
              <w:right w:val="nil"/>
            </w:tcBorders>
            <w:shd w:val="clear" w:color="000000" w:fill="FFFFFF"/>
            <w:vAlign w:val="bottom"/>
            <w:hideMark/>
          </w:tcPr>
          <w:p w:rsidR="00F40941" w:rsidRPr="00B77B04" w:rsidP="000E69EF" w14:paraId="367D80C6" w14:textId="77777777">
            <w:pPr>
              <w:jc w:val="right"/>
              <w:rPr>
                <w:sz w:val="13"/>
                <w:szCs w:val="13"/>
              </w:rPr>
            </w:pPr>
            <w:r w:rsidRPr="00B77B04">
              <w:rPr>
                <w:sz w:val="13"/>
                <w:szCs w:val="13"/>
              </w:rPr>
              <w:t xml:space="preserve">  200,000 </w:t>
            </w:r>
          </w:p>
        </w:tc>
        <w:tc>
          <w:tcPr>
            <w:tcW w:w="898" w:type="dxa"/>
            <w:tcBorders>
              <w:top w:val="nil"/>
              <w:left w:val="nil"/>
              <w:bottom w:val="nil"/>
              <w:right w:val="nil"/>
            </w:tcBorders>
            <w:shd w:val="clear" w:color="000000" w:fill="FFFFFF"/>
            <w:vAlign w:val="bottom"/>
            <w:hideMark/>
          </w:tcPr>
          <w:p w:rsidR="00F40941" w:rsidRPr="00B77B04" w:rsidP="000E69EF" w14:paraId="07C1F523" w14:textId="77777777">
            <w:pPr>
              <w:jc w:val="right"/>
              <w:rPr>
                <w:sz w:val="13"/>
                <w:szCs w:val="13"/>
              </w:rPr>
            </w:pPr>
            <w:r w:rsidRPr="00B77B04">
              <w:rPr>
                <w:sz w:val="13"/>
                <w:szCs w:val="13"/>
              </w:rPr>
              <w:t xml:space="preserve">  200,000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36E604F3" w14:textId="77777777">
            <w:pPr>
              <w:rPr>
                <w:sz w:val="13"/>
                <w:szCs w:val="13"/>
              </w:rPr>
            </w:pPr>
            <w:r w:rsidRPr="00B77B04">
              <w:rPr>
                <w:sz w:val="13"/>
                <w:szCs w:val="13"/>
              </w:rPr>
              <w:t>Appropriations Received as Adjusted</w:t>
            </w:r>
          </w:p>
        </w:tc>
      </w:tr>
      <w:tr w14:paraId="02E3CC55"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32AAB36F" w14:textId="77777777">
            <w:pPr>
              <w:rPr>
                <w:sz w:val="13"/>
                <w:szCs w:val="13"/>
              </w:rPr>
            </w:pPr>
            <w:r w:rsidRPr="00B77B04">
              <w:rPr>
                <w:sz w:val="13"/>
                <w:szCs w:val="13"/>
              </w:rPr>
              <w:t>Appropriations Used</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59B2839D" w14:textId="77777777">
            <w:pPr>
              <w:jc w:val="right"/>
              <w:rPr>
                <w:sz w:val="13"/>
                <w:szCs w:val="13"/>
              </w:rPr>
            </w:pPr>
            <w:r w:rsidRPr="00B77B04">
              <w:rPr>
                <w:sz w:val="13"/>
                <w:szCs w:val="13"/>
              </w:rPr>
              <w:t xml:space="preserve">  (177,182)</w:t>
            </w:r>
          </w:p>
        </w:tc>
        <w:tc>
          <w:tcPr>
            <w:tcW w:w="887" w:type="dxa"/>
            <w:tcBorders>
              <w:top w:val="nil"/>
              <w:left w:val="nil"/>
              <w:bottom w:val="nil"/>
              <w:right w:val="nil"/>
            </w:tcBorders>
            <w:shd w:val="clear" w:color="000000" w:fill="FFFFFF"/>
            <w:vAlign w:val="bottom"/>
            <w:hideMark/>
          </w:tcPr>
          <w:p w:rsidR="00F40941" w:rsidRPr="00B77B04" w:rsidP="000E69EF" w14:paraId="306FF328" w14:textId="77777777">
            <w:pPr>
              <w:jc w:val="right"/>
              <w:rPr>
                <w:sz w:val="13"/>
                <w:szCs w:val="13"/>
              </w:rPr>
            </w:pPr>
            <w:r w:rsidRPr="00B77B04">
              <w:rPr>
                <w:sz w:val="13"/>
                <w:szCs w:val="13"/>
              </w:rPr>
              <w:t xml:space="preserve">  (125,104)</w:t>
            </w:r>
          </w:p>
        </w:tc>
        <w:tc>
          <w:tcPr>
            <w:tcW w:w="1071" w:type="dxa"/>
            <w:tcBorders>
              <w:top w:val="nil"/>
              <w:left w:val="nil"/>
              <w:bottom w:val="nil"/>
              <w:right w:val="nil"/>
            </w:tcBorders>
            <w:shd w:val="clear" w:color="000000" w:fill="FFFFFF"/>
            <w:vAlign w:val="bottom"/>
            <w:hideMark/>
          </w:tcPr>
          <w:p w:rsidR="00F40941" w:rsidRPr="00B77B04" w:rsidP="000E69EF" w14:paraId="51D00632" w14:textId="77777777">
            <w:pPr>
              <w:jc w:val="right"/>
              <w:rPr>
                <w:sz w:val="13"/>
                <w:szCs w:val="13"/>
              </w:rPr>
            </w:pPr>
            <w:r w:rsidRPr="00B77B04">
              <w:rPr>
                <w:sz w:val="13"/>
                <w:szCs w:val="13"/>
              </w:rPr>
              <w:t xml:space="preserve">  (52,078)</w:t>
            </w:r>
          </w:p>
        </w:tc>
        <w:tc>
          <w:tcPr>
            <w:tcW w:w="898" w:type="dxa"/>
            <w:tcBorders>
              <w:top w:val="nil"/>
              <w:left w:val="nil"/>
              <w:bottom w:val="nil"/>
              <w:right w:val="nil"/>
            </w:tcBorders>
            <w:shd w:val="clear" w:color="000000" w:fill="FFFFFF"/>
            <w:vAlign w:val="bottom"/>
            <w:hideMark/>
          </w:tcPr>
          <w:p w:rsidR="00F40941" w:rsidRPr="00B77B04" w:rsidP="000E69EF" w14:paraId="348A7CA3" w14:textId="77777777">
            <w:pPr>
              <w:jc w:val="right"/>
              <w:rPr>
                <w:sz w:val="13"/>
                <w:szCs w:val="13"/>
              </w:rPr>
            </w:pPr>
            <w:r w:rsidRPr="00B77B04">
              <w:rPr>
                <w:sz w:val="13"/>
                <w:szCs w:val="13"/>
              </w:rPr>
              <w:t xml:space="preserve">  (177,182)</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3FDC5634" w14:textId="77777777">
            <w:pPr>
              <w:rPr>
                <w:sz w:val="13"/>
                <w:szCs w:val="13"/>
              </w:rPr>
            </w:pPr>
            <w:r w:rsidRPr="00B77B04">
              <w:rPr>
                <w:sz w:val="13"/>
                <w:szCs w:val="13"/>
              </w:rPr>
              <w:t>Appropriations Used (Federal)</w:t>
            </w:r>
          </w:p>
        </w:tc>
      </w:tr>
      <w:tr w14:paraId="084DA164" w14:textId="77777777" w:rsidTr="00E90AC7">
        <w:tblPrEx>
          <w:tblW w:w="5000" w:type="pct"/>
          <w:tblLook w:val="04A0"/>
        </w:tblPrEx>
        <w:trPr>
          <w:trHeight w:val="20"/>
        </w:trPr>
        <w:tc>
          <w:tcPr>
            <w:tcW w:w="2690" w:type="dxa"/>
            <w:tcBorders>
              <w:top w:val="nil"/>
              <w:left w:val="single" w:sz="8" w:space="0" w:color="auto"/>
              <w:bottom w:val="single" w:sz="8" w:space="0" w:color="auto"/>
              <w:right w:val="nil"/>
            </w:tcBorders>
            <w:shd w:val="clear" w:color="000000" w:fill="FFFFFF"/>
            <w:vAlign w:val="bottom"/>
            <w:hideMark/>
          </w:tcPr>
          <w:p w:rsidR="00F40941" w:rsidRPr="00B77B04" w:rsidP="004957F6" w14:paraId="78227845" w14:textId="77777777">
            <w:pPr>
              <w:rPr>
                <w:b/>
                <w:bCs/>
                <w:sz w:val="13"/>
                <w:szCs w:val="13"/>
              </w:rPr>
            </w:pPr>
            <w:r w:rsidRPr="00B77B04">
              <w:rPr>
                <w:b/>
                <w:bCs/>
                <w:sz w:val="13"/>
                <w:szCs w:val="13"/>
              </w:rPr>
              <w:t>Total Unexpended Appropriations</w:t>
            </w:r>
          </w:p>
        </w:tc>
        <w:tc>
          <w:tcPr>
            <w:tcW w:w="900" w:type="dxa"/>
            <w:tcBorders>
              <w:top w:val="single" w:sz="4" w:space="0" w:color="auto"/>
              <w:left w:val="nil"/>
              <w:bottom w:val="single" w:sz="8" w:space="0" w:color="auto"/>
              <w:right w:val="single" w:sz="8" w:space="0" w:color="auto"/>
            </w:tcBorders>
            <w:shd w:val="clear" w:color="000000" w:fill="FFFFFF"/>
            <w:vAlign w:val="bottom"/>
            <w:hideMark/>
          </w:tcPr>
          <w:p w:rsidR="00F40941" w:rsidRPr="00B77B04" w:rsidP="00E90AC7" w14:paraId="5D6CF364" w14:textId="114C41DC">
            <w:pPr>
              <w:jc w:val="right"/>
              <w:rPr>
                <w:b/>
                <w:bCs/>
                <w:sz w:val="13"/>
                <w:szCs w:val="13"/>
              </w:rPr>
            </w:pPr>
            <w:r w:rsidRPr="00B77B04">
              <w:rPr>
                <w:b/>
                <w:bCs/>
                <w:sz w:val="13"/>
                <w:szCs w:val="13"/>
              </w:rPr>
              <w:t xml:space="preserve">$ 1,008,586 </w:t>
            </w:r>
          </w:p>
        </w:tc>
        <w:tc>
          <w:tcPr>
            <w:tcW w:w="887" w:type="dxa"/>
            <w:tcBorders>
              <w:top w:val="single" w:sz="4" w:space="0" w:color="auto"/>
              <w:left w:val="nil"/>
              <w:bottom w:val="single" w:sz="8" w:space="0" w:color="auto"/>
              <w:right w:val="nil"/>
            </w:tcBorders>
            <w:shd w:val="clear" w:color="000000" w:fill="FFFFFF"/>
            <w:vAlign w:val="bottom"/>
            <w:hideMark/>
          </w:tcPr>
          <w:p w:rsidR="00F40941" w:rsidRPr="00B77B04" w:rsidP="00E90AC7" w14:paraId="37C22BB4" w14:textId="70473DB9">
            <w:pPr>
              <w:jc w:val="right"/>
              <w:rPr>
                <w:b/>
                <w:bCs/>
                <w:sz w:val="13"/>
                <w:szCs w:val="13"/>
              </w:rPr>
            </w:pPr>
            <w:r w:rsidRPr="00B77B04">
              <w:rPr>
                <w:b/>
                <w:bCs/>
                <w:sz w:val="13"/>
                <w:szCs w:val="13"/>
              </w:rPr>
              <w:t xml:space="preserve"> $ 8,016,461 </w:t>
            </w:r>
          </w:p>
        </w:tc>
        <w:tc>
          <w:tcPr>
            <w:tcW w:w="1071" w:type="dxa"/>
            <w:tcBorders>
              <w:top w:val="single" w:sz="4" w:space="0" w:color="auto"/>
              <w:left w:val="nil"/>
              <w:bottom w:val="single" w:sz="8" w:space="0" w:color="auto"/>
              <w:right w:val="nil"/>
            </w:tcBorders>
            <w:shd w:val="clear" w:color="000000" w:fill="FFFFFF"/>
            <w:vAlign w:val="bottom"/>
            <w:hideMark/>
          </w:tcPr>
          <w:p w:rsidR="00F40941" w:rsidRPr="00B77B04" w:rsidP="000E69EF" w14:paraId="2F137334" w14:textId="64E89169">
            <w:pPr>
              <w:jc w:val="right"/>
              <w:rPr>
                <w:b/>
                <w:bCs/>
                <w:sz w:val="13"/>
                <w:szCs w:val="13"/>
              </w:rPr>
            </w:pPr>
            <w:r w:rsidRPr="00B77B04">
              <w:rPr>
                <w:b/>
                <w:bCs/>
                <w:sz w:val="13"/>
                <w:szCs w:val="13"/>
              </w:rPr>
              <w:t xml:space="preserve"> $</w:t>
            </w:r>
            <w:r w:rsidR="001F5D09">
              <w:rPr>
                <w:b/>
                <w:bCs/>
                <w:sz w:val="13"/>
                <w:szCs w:val="13"/>
              </w:rPr>
              <w:t xml:space="preserve">         </w:t>
            </w:r>
            <w:r w:rsidRPr="00B77B04">
              <w:rPr>
                <w:b/>
                <w:bCs/>
                <w:sz w:val="13"/>
                <w:szCs w:val="13"/>
              </w:rPr>
              <w:t xml:space="preserve"> 373,635 </w:t>
            </w:r>
          </w:p>
        </w:tc>
        <w:tc>
          <w:tcPr>
            <w:tcW w:w="898" w:type="dxa"/>
            <w:tcBorders>
              <w:top w:val="single" w:sz="4" w:space="0" w:color="auto"/>
              <w:left w:val="nil"/>
              <w:bottom w:val="single" w:sz="8" w:space="0" w:color="auto"/>
              <w:right w:val="nil"/>
            </w:tcBorders>
            <w:shd w:val="clear" w:color="000000" w:fill="FFFFFF"/>
            <w:vAlign w:val="bottom"/>
            <w:hideMark/>
          </w:tcPr>
          <w:p w:rsidR="00F40941" w:rsidRPr="00B77B04" w:rsidP="000E69EF" w14:paraId="1837716D" w14:textId="13F685E5">
            <w:pPr>
              <w:jc w:val="right"/>
              <w:rPr>
                <w:b/>
                <w:bCs/>
                <w:sz w:val="13"/>
                <w:szCs w:val="13"/>
              </w:rPr>
            </w:pPr>
            <w:r w:rsidRPr="00B77B04">
              <w:rPr>
                <w:b/>
                <w:bCs/>
                <w:sz w:val="13"/>
                <w:szCs w:val="13"/>
              </w:rPr>
              <w:t xml:space="preserve"> $ 8,390,097 </w:t>
            </w:r>
          </w:p>
        </w:tc>
        <w:tc>
          <w:tcPr>
            <w:tcW w:w="2894" w:type="dxa"/>
            <w:tcBorders>
              <w:top w:val="nil"/>
              <w:left w:val="nil"/>
              <w:bottom w:val="single" w:sz="8" w:space="0" w:color="auto"/>
              <w:right w:val="single" w:sz="8" w:space="0" w:color="auto"/>
            </w:tcBorders>
            <w:shd w:val="clear" w:color="000000" w:fill="FFFFFF"/>
            <w:vAlign w:val="bottom"/>
            <w:hideMark/>
          </w:tcPr>
          <w:p w:rsidR="00F40941" w:rsidRPr="00B77B04" w:rsidP="007738F3" w14:paraId="22072CC7" w14:textId="77777777">
            <w:pPr>
              <w:rPr>
                <w:b/>
                <w:bCs/>
                <w:sz w:val="13"/>
                <w:szCs w:val="13"/>
              </w:rPr>
            </w:pPr>
            <w:r w:rsidRPr="00B77B04">
              <w:rPr>
                <w:b/>
                <w:bCs/>
                <w:sz w:val="13"/>
                <w:szCs w:val="13"/>
              </w:rPr>
              <w:t> </w:t>
            </w:r>
          </w:p>
        </w:tc>
      </w:tr>
      <w:tr w14:paraId="1EAEAB1E"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25353DAA" w14:textId="77777777">
            <w:pPr>
              <w:rPr>
                <w:b/>
                <w:bCs/>
                <w:sz w:val="13"/>
                <w:szCs w:val="13"/>
              </w:rPr>
            </w:pPr>
            <w:r w:rsidRPr="00B77B04">
              <w:rPr>
                <w:b/>
                <w:bCs/>
                <w:sz w:val="13"/>
                <w:szCs w:val="13"/>
              </w:rPr>
              <w:t>CUMULATIVE RESULTS OF OPERATIONS</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068B6F6A" w14:textId="77777777">
            <w:pPr>
              <w:jc w:val="right"/>
              <w:rPr>
                <w:sz w:val="13"/>
                <w:szCs w:val="13"/>
              </w:rPr>
            </w:pPr>
            <w:r w:rsidRPr="00B77B04">
              <w:rPr>
                <w:sz w:val="13"/>
                <w:szCs w:val="13"/>
              </w:rPr>
              <w:t> </w:t>
            </w:r>
          </w:p>
        </w:tc>
        <w:tc>
          <w:tcPr>
            <w:tcW w:w="887" w:type="dxa"/>
            <w:tcBorders>
              <w:top w:val="nil"/>
              <w:left w:val="nil"/>
              <w:bottom w:val="nil"/>
              <w:right w:val="nil"/>
            </w:tcBorders>
            <w:shd w:val="clear" w:color="000000" w:fill="FFFFFF"/>
            <w:vAlign w:val="bottom"/>
            <w:hideMark/>
          </w:tcPr>
          <w:p w:rsidR="00F40941" w:rsidRPr="00B77B04" w:rsidP="000E69EF" w14:paraId="2E3DE204"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bottom"/>
            <w:hideMark/>
          </w:tcPr>
          <w:p w:rsidR="00F40941" w:rsidRPr="00B77B04" w:rsidP="000E69EF" w14:paraId="17148940" w14:textId="77777777">
            <w:pPr>
              <w:jc w:val="right"/>
              <w:rPr>
                <w:sz w:val="13"/>
                <w:szCs w:val="13"/>
              </w:rPr>
            </w:pPr>
            <w:r w:rsidRPr="00B77B04">
              <w:rPr>
                <w:sz w:val="13"/>
                <w:szCs w:val="13"/>
              </w:rPr>
              <w:t> </w:t>
            </w:r>
          </w:p>
        </w:tc>
        <w:tc>
          <w:tcPr>
            <w:tcW w:w="898" w:type="dxa"/>
            <w:tcBorders>
              <w:top w:val="nil"/>
              <w:left w:val="nil"/>
              <w:bottom w:val="nil"/>
              <w:right w:val="nil"/>
            </w:tcBorders>
            <w:shd w:val="clear" w:color="000000" w:fill="FFFFFF"/>
            <w:vAlign w:val="bottom"/>
            <w:hideMark/>
          </w:tcPr>
          <w:p w:rsidR="00F40941" w:rsidRPr="00B77B04" w:rsidP="000E69EF" w14:paraId="09E20EE8" w14:textId="77777777">
            <w:pPr>
              <w:jc w:val="right"/>
              <w:rPr>
                <w:sz w:val="13"/>
                <w:szCs w:val="13"/>
              </w:rPr>
            </w:pPr>
            <w:r w:rsidRPr="00B77B04">
              <w:rPr>
                <w:sz w:val="13"/>
                <w:szCs w:val="13"/>
              </w:rPr>
              <w:t>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406285AA" w14:textId="77777777">
            <w:pPr>
              <w:rPr>
                <w:sz w:val="13"/>
                <w:szCs w:val="13"/>
              </w:rPr>
            </w:pPr>
            <w:r w:rsidRPr="00B77B04">
              <w:rPr>
                <w:sz w:val="13"/>
                <w:szCs w:val="13"/>
              </w:rPr>
              <w:t> </w:t>
            </w:r>
          </w:p>
        </w:tc>
      </w:tr>
      <w:tr w14:paraId="12E2A945"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2DE76801" w14:textId="77777777">
            <w:pPr>
              <w:rPr>
                <w:sz w:val="13"/>
                <w:szCs w:val="13"/>
              </w:rPr>
            </w:pPr>
            <w:r w:rsidRPr="00B77B04">
              <w:rPr>
                <w:sz w:val="13"/>
                <w:szCs w:val="13"/>
              </w:rPr>
              <w:t>Cumulative Results, Beginning Balance</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218DBA7E" w14:textId="50B9D6A9">
            <w:pPr>
              <w:jc w:val="right"/>
              <w:rPr>
                <w:sz w:val="13"/>
                <w:szCs w:val="13"/>
              </w:rPr>
            </w:pPr>
            <w:r w:rsidRPr="00B77B04">
              <w:rPr>
                <w:sz w:val="13"/>
                <w:szCs w:val="13"/>
              </w:rPr>
              <w:t>$</w:t>
            </w:r>
            <w:r w:rsidR="002A226E">
              <w:rPr>
                <w:sz w:val="13"/>
                <w:szCs w:val="13"/>
              </w:rPr>
              <w:t xml:space="preserve"> </w:t>
            </w:r>
            <w:r w:rsidRPr="00B77B04">
              <w:rPr>
                <w:sz w:val="13"/>
                <w:szCs w:val="13"/>
              </w:rPr>
              <w:t xml:space="preserve">7,381,511 </w:t>
            </w:r>
          </w:p>
        </w:tc>
        <w:tc>
          <w:tcPr>
            <w:tcW w:w="887" w:type="dxa"/>
            <w:tcBorders>
              <w:top w:val="nil"/>
              <w:left w:val="nil"/>
              <w:bottom w:val="nil"/>
              <w:right w:val="nil"/>
            </w:tcBorders>
            <w:shd w:val="clear" w:color="000000" w:fill="FFFFFF"/>
            <w:vAlign w:val="bottom"/>
            <w:hideMark/>
          </w:tcPr>
          <w:p w:rsidR="00F40941" w:rsidRPr="00B77B04" w:rsidP="000E69EF" w14:paraId="55383C3A"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bottom"/>
            <w:hideMark/>
          </w:tcPr>
          <w:p w:rsidR="00F40941" w:rsidRPr="00B77B04" w:rsidP="000E69EF" w14:paraId="696B6FB5" w14:textId="77777777">
            <w:pPr>
              <w:jc w:val="right"/>
              <w:rPr>
                <w:sz w:val="13"/>
                <w:szCs w:val="13"/>
              </w:rPr>
            </w:pPr>
            <w:r w:rsidRPr="00B77B04">
              <w:rPr>
                <w:sz w:val="13"/>
                <w:szCs w:val="13"/>
              </w:rPr>
              <w:t> </w:t>
            </w:r>
          </w:p>
        </w:tc>
        <w:tc>
          <w:tcPr>
            <w:tcW w:w="898" w:type="dxa"/>
            <w:tcBorders>
              <w:top w:val="nil"/>
              <w:left w:val="nil"/>
              <w:bottom w:val="nil"/>
              <w:right w:val="nil"/>
            </w:tcBorders>
            <w:shd w:val="clear" w:color="000000" w:fill="FFFFFF"/>
            <w:vAlign w:val="bottom"/>
            <w:hideMark/>
          </w:tcPr>
          <w:p w:rsidR="00F40941" w:rsidRPr="00B77B04" w:rsidP="000E69EF" w14:paraId="59A96F82" w14:textId="77777777">
            <w:pPr>
              <w:jc w:val="right"/>
              <w:rPr>
                <w:sz w:val="13"/>
                <w:szCs w:val="13"/>
              </w:rPr>
            </w:pPr>
            <w:r w:rsidRPr="00B77B04">
              <w:rPr>
                <w:sz w:val="13"/>
                <w:szCs w:val="13"/>
              </w:rPr>
              <w:t>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5427B8A0" w14:textId="77777777">
            <w:pPr>
              <w:rPr>
                <w:sz w:val="13"/>
                <w:szCs w:val="13"/>
              </w:rPr>
            </w:pPr>
            <w:r w:rsidRPr="00B77B04">
              <w:rPr>
                <w:sz w:val="13"/>
                <w:szCs w:val="13"/>
              </w:rPr>
              <w:t> </w:t>
            </w:r>
          </w:p>
        </w:tc>
      </w:tr>
      <w:tr w14:paraId="55EAF02D"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1C84790F" w14:textId="77777777">
            <w:pPr>
              <w:rPr>
                <w:sz w:val="13"/>
                <w:szCs w:val="13"/>
              </w:rPr>
            </w:pPr>
            <w:r w:rsidRPr="00B77B04">
              <w:rPr>
                <w:sz w:val="13"/>
                <w:szCs w:val="13"/>
              </w:rPr>
              <w:t>Appropriations Used</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212508BF" w14:textId="77777777">
            <w:pPr>
              <w:jc w:val="right"/>
              <w:rPr>
                <w:sz w:val="13"/>
                <w:szCs w:val="13"/>
              </w:rPr>
            </w:pPr>
            <w:r w:rsidRPr="00B77B04">
              <w:rPr>
                <w:sz w:val="13"/>
                <w:szCs w:val="13"/>
              </w:rPr>
              <w:t xml:space="preserve">  177,182 </w:t>
            </w:r>
          </w:p>
        </w:tc>
        <w:tc>
          <w:tcPr>
            <w:tcW w:w="887" w:type="dxa"/>
            <w:tcBorders>
              <w:top w:val="nil"/>
              <w:left w:val="nil"/>
              <w:bottom w:val="nil"/>
              <w:right w:val="nil"/>
            </w:tcBorders>
            <w:shd w:val="clear" w:color="000000" w:fill="FFFFFF"/>
            <w:vAlign w:val="bottom"/>
            <w:hideMark/>
          </w:tcPr>
          <w:p w:rsidR="00F40941" w:rsidRPr="00B77B04" w:rsidP="000E69EF" w14:paraId="24CD4820" w14:textId="77777777">
            <w:pPr>
              <w:jc w:val="right"/>
              <w:rPr>
                <w:sz w:val="13"/>
                <w:szCs w:val="13"/>
              </w:rPr>
            </w:pPr>
            <w:r w:rsidRPr="00B77B04">
              <w:rPr>
                <w:sz w:val="13"/>
                <w:szCs w:val="13"/>
              </w:rPr>
              <w:t xml:space="preserve">  125,104 </w:t>
            </w:r>
          </w:p>
        </w:tc>
        <w:tc>
          <w:tcPr>
            <w:tcW w:w="1071" w:type="dxa"/>
            <w:tcBorders>
              <w:top w:val="nil"/>
              <w:left w:val="nil"/>
              <w:bottom w:val="nil"/>
              <w:right w:val="nil"/>
            </w:tcBorders>
            <w:shd w:val="clear" w:color="000000" w:fill="FFFFFF"/>
            <w:vAlign w:val="bottom"/>
            <w:hideMark/>
          </w:tcPr>
          <w:p w:rsidR="00F40941" w:rsidRPr="00B77B04" w:rsidP="000E69EF" w14:paraId="7254CB10" w14:textId="77777777">
            <w:pPr>
              <w:jc w:val="right"/>
              <w:rPr>
                <w:sz w:val="13"/>
                <w:szCs w:val="13"/>
              </w:rPr>
            </w:pPr>
            <w:r w:rsidRPr="00B77B04">
              <w:rPr>
                <w:sz w:val="13"/>
                <w:szCs w:val="13"/>
              </w:rPr>
              <w:t xml:space="preserve">  52,078 </w:t>
            </w:r>
          </w:p>
        </w:tc>
        <w:tc>
          <w:tcPr>
            <w:tcW w:w="898" w:type="dxa"/>
            <w:tcBorders>
              <w:top w:val="nil"/>
              <w:left w:val="nil"/>
              <w:bottom w:val="nil"/>
              <w:right w:val="nil"/>
            </w:tcBorders>
            <w:shd w:val="clear" w:color="000000" w:fill="FFFFFF"/>
            <w:vAlign w:val="bottom"/>
            <w:hideMark/>
          </w:tcPr>
          <w:p w:rsidR="00F40941" w:rsidRPr="00B77B04" w:rsidP="000E69EF" w14:paraId="39FF240B" w14:textId="77777777">
            <w:pPr>
              <w:jc w:val="right"/>
              <w:rPr>
                <w:sz w:val="13"/>
                <w:szCs w:val="13"/>
              </w:rPr>
            </w:pPr>
            <w:r w:rsidRPr="00B77B04">
              <w:rPr>
                <w:sz w:val="13"/>
                <w:szCs w:val="13"/>
              </w:rPr>
              <w:t xml:space="preserve">  177,182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0C167DF6" w14:textId="77777777">
            <w:pPr>
              <w:rPr>
                <w:sz w:val="13"/>
                <w:szCs w:val="13"/>
              </w:rPr>
            </w:pPr>
            <w:r w:rsidRPr="00B77B04">
              <w:rPr>
                <w:sz w:val="13"/>
                <w:szCs w:val="13"/>
              </w:rPr>
              <w:t>Appropriations Expended</w:t>
            </w:r>
          </w:p>
        </w:tc>
      </w:tr>
      <w:tr w14:paraId="76F704D3"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310CD5D3" w14:textId="77777777">
            <w:pPr>
              <w:rPr>
                <w:sz w:val="13"/>
                <w:szCs w:val="13"/>
              </w:rPr>
            </w:pPr>
            <w:r w:rsidRPr="00B77B04">
              <w:rPr>
                <w:sz w:val="13"/>
                <w:szCs w:val="13"/>
              </w:rPr>
              <w:t>Non-Exchange Revenue</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5473D392" w14:textId="77777777">
            <w:pPr>
              <w:jc w:val="right"/>
              <w:rPr>
                <w:sz w:val="13"/>
                <w:szCs w:val="13"/>
              </w:rPr>
            </w:pPr>
            <w:r w:rsidRPr="00B77B04">
              <w:rPr>
                <w:sz w:val="13"/>
                <w:szCs w:val="13"/>
              </w:rPr>
              <w:t xml:space="preserve"> 9,274,981 </w:t>
            </w:r>
          </w:p>
        </w:tc>
        <w:tc>
          <w:tcPr>
            <w:tcW w:w="887" w:type="dxa"/>
            <w:tcBorders>
              <w:top w:val="nil"/>
              <w:left w:val="nil"/>
              <w:bottom w:val="nil"/>
              <w:right w:val="nil"/>
            </w:tcBorders>
            <w:shd w:val="clear" w:color="000000" w:fill="FFFFFF"/>
            <w:vAlign w:val="bottom"/>
            <w:hideMark/>
          </w:tcPr>
          <w:p w:rsidR="00F40941" w:rsidRPr="00B77B04" w:rsidP="000E69EF" w14:paraId="7A8872A9"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bottom"/>
            <w:hideMark/>
          </w:tcPr>
          <w:p w:rsidR="00F40941" w:rsidRPr="00B77B04" w:rsidP="000E69EF" w14:paraId="5FA3A971" w14:textId="77777777">
            <w:pPr>
              <w:jc w:val="right"/>
              <w:rPr>
                <w:sz w:val="13"/>
                <w:szCs w:val="13"/>
              </w:rPr>
            </w:pPr>
            <w:r w:rsidRPr="00B77B04">
              <w:rPr>
                <w:sz w:val="13"/>
                <w:szCs w:val="13"/>
              </w:rPr>
              <w:t> </w:t>
            </w:r>
          </w:p>
        </w:tc>
        <w:tc>
          <w:tcPr>
            <w:tcW w:w="898" w:type="dxa"/>
            <w:tcBorders>
              <w:top w:val="nil"/>
              <w:left w:val="nil"/>
              <w:bottom w:val="nil"/>
              <w:right w:val="nil"/>
            </w:tcBorders>
            <w:shd w:val="clear" w:color="000000" w:fill="FFFFFF"/>
            <w:vAlign w:val="bottom"/>
            <w:hideMark/>
          </w:tcPr>
          <w:p w:rsidR="00F40941" w:rsidRPr="00B77B04" w:rsidP="000E69EF" w14:paraId="24A82B32" w14:textId="77777777">
            <w:pPr>
              <w:jc w:val="right"/>
              <w:rPr>
                <w:sz w:val="13"/>
                <w:szCs w:val="13"/>
              </w:rPr>
            </w:pPr>
            <w:r w:rsidRPr="00B77B04">
              <w:rPr>
                <w:sz w:val="13"/>
                <w:szCs w:val="13"/>
              </w:rPr>
              <w:t>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628DDA27" w14:textId="77777777">
            <w:pPr>
              <w:rPr>
                <w:sz w:val="13"/>
                <w:szCs w:val="13"/>
              </w:rPr>
            </w:pPr>
            <w:r w:rsidRPr="00B77B04">
              <w:rPr>
                <w:sz w:val="13"/>
                <w:szCs w:val="13"/>
              </w:rPr>
              <w:t>Non-Federal Non-Exchange Revenue</w:t>
            </w:r>
          </w:p>
        </w:tc>
      </w:tr>
      <w:tr w14:paraId="13003343"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7D80F9C0" w14:textId="77777777">
            <w:pPr>
              <w:rPr>
                <w:sz w:val="13"/>
                <w:szCs w:val="13"/>
              </w:rPr>
            </w:pPr>
            <w:r w:rsidRPr="00B77B04">
              <w:rPr>
                <w:sz w:val="13"/>
                <w:szCs w:val="13"/>
              </w:rPr>
              <w:t>SCA: Sources of Cash Collections: Fines and Penalties</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57FA388E" w14:textId="77777777">
            <w:pPr>
              <w:jc w:val="right"/>
              <w:rPr>
                <w:sz w:val="13"/>
                <w:szCs w:val="13"/>
              </w:rPr>
            </w:pPr>
            <w:r w:rsidRPr="00B77B04">
              <w:rPr>
                <w:sz w:val="13"/>
                <w:szCs w:val="13"/>
              </w:rPr>
              <w:t xml:space="preserve">  63,343 </w:t>
            </w:r>
          </w:p>
        </w:tc>
        <w:tc>
          <w:tcPr>
            <w:tcW w:w="887" w:type="dxa"/>
            <w:tcBorders>
              <w:top w:val="nil"/>
              <w:left w:val="nil"/>
              <w:bottom w:val="nil"/>
              <w:right w:val="nil"/>
            </w:tcBorders>
            <w:shd w:val="clear" w:color="000000" w:fill="FFFFFF"/>
            <w:vAlign w:val="bottom"/>
            <w:hideMark/>
          </w:tcPr>
          <w:p w:rsidR="00F40941" w:rsidRPr="00B77B04" w:rsidP="000E69EF" w14:paraId="35587887" w14:textId="77777777">
            <w:pPr>
              <w:jc w:val="right"/>
              <w:rPr>
                <w:sz w:val="13"/>
                <w:szCs w:val="13"/>
              </w:rPr>
            </w:pPr>
            <w:r w:rsidRPr="00B77B04">
              <w:rPr>
                <w:sz w:val="13"/>
                <w:szCs w:val="13"/>
              </w:rPr>
              <w:t xml:space="preserve"> 9,271,661 </w:t>
            </w:r>
          </w:p>
        </w:tc>
        <w:tc>
          <w:tcPr>
            <w:tcW w:w="1071" w:type="dxa"/>
            <w:tcBorders>
              <w:top w:val="nil"/>
              <w:left w:val="nil"/>
              <w:bottom w:val="nil"/>
              <w:right w:val="nil"/>
            </w:tcBorders>
            <w:shd w:val="clear" w:color="000000" w:fill="FFFFFF"/>
            <w:vAlign w:val="bottom"/>
            <w:hideMark/>
          </w:tcPr>
          <w:p w:rsidR="00F40941" w:rsidRPr="00B77B04" w:rsidP="000E69EF" w14:paraId="1E149DD3" w14:textId="77777777">
            <w:pPr>
              <w:jc w:val="right"/>
              <w:rPr>
                <w:sz w:val="13"/>
                <w:szCs w:val="13"/>
              </w:rPr>
            </w:pPr>
            <w:r w:rsidRPr="00B77B04">
              <w:rPr>
                <w:sz w:val="13"/>
                <w:szCs w:val="13"/>
              </w:rPr>
              <w:t xml:space="preserve">  66,152 </w:t>
            </w:r>
          </w:p>
        </w:tc>
        <w:tc>
          <w:tcPr>
            <w:tcW w:w="898" w:type="dxa"/>
            <w:tcBorders>
              <w:top w:val="nil"/>
              <w:left w:val="nil"/>
              <w:bottom w:val="nil"/>
              <w:right w:val="nil"/>
            </w:tcBorders>
            <w:shd w:val="clear" w:color="000000" w:fill="FFFFFF"/>
            <w:vAlign w:val="bottom"/>
            <w:hideMark/>
          </w:tcPr>
          <w:p w:rsidR="00F40941" w:rsidRPr="00B77B04" w:rsidP="000E69EF" w14:paraId="17F765C5" w14:textId="77777777">
            <w:pPr>
              <w:jc w:val="right"/>
              <w:rPr>
                <w:sz w:val="13"/>
                <w:szCs w:val="13"/>
              </w:rPr>
            </w:pPr>
            <w:r w:rsidRPr="00B77B04">
              <w:rPr>
                <w:sz w:val="13"/>
                <w:szCs w:val="13"/>
              </w:rPr>
              <w:t xml:space="preserve"> 9,337,813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0908004D" w14:textId="77777777">
            <w:pPr>
              <w:rPr>
                <w:sz w:val="13"/>
                <w:szCs w:val="13"/>
              </w:rPr>
            </w:pPr>
            <w:r w:rsidRPr="00B77B04">
              <w:rPr>
                <w:sz w:val="13"/>
                <w:szCs w:val="13"/>
              </w:rPr>
              <w:t>Other Taxes and Receipts</w:t>
            </w:r>
          </w:p>
        </w:tc>
      </w:tr>
      <w:tr w14:paraId="4017D74C"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09BB480B" w14:textId="77777777">
            <w:pPr>
              <w:rPr>
                <w:sz w:val="13"/>
                <w:szCs w:val="13"/>
              </w:rPr>
            </w:pPr>
            <w:r w:rsidRPr="00B77B04">
              <w:rPr>
                <w:sz w:val="13"/>
                <w:szCs w:val="13"/>
              </w:rPr>
              <w:t>SCA: Sources of Cash Collections: Spectrum Auctions</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70C77209" w14:textId="77777777">
            <w:pPr>
              <w:jc w:val="right"/>
              <w:rPr>
                <w:sz w:val="13"/>
                <w:szCs w:val="13"/>
              </w:rPr>
            </w:pPr>
            <w:r w:rsidRPr="00B77B04">
              <w:rPr>
                <w:sz w:val="13"/>
                <w:szCs w:val="13"/>
              </w:rPr>
              <w:t xml:space="preserve"> 10,291,811 </w:t>
            </w:r>
          </w:p>
        </w:tc>
        <w:tc>
          <w:tcPr>
            <w:tcW w:w="887" w:type="dxa"/>
            <w:tcBorders>
              <w:top w:val="nil"/>
              <w:left w:val="nil"/>
              <w:bottom w:val="nil"/>
              <w:right w:val="nil"/>
            </w:tcBorders>
            <w:shd w:val="clear" w:color="000000" w:fill="FFFFFF"/>
            <w:vAlign w:val="bottom"/>
            <w:hideMark/>
          </w:tcPr>
          <w:p w:rsidR="00F40941" w:rsidRPr="00B77B04" w:rsidP="000E69EF" w14:paraId="2E6EAB45"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bottom"/>
            <w:hideMark/>
          </w:tcPr>
          <w:p w:rsidR="00F40941" w:rsidRPr="00B77B04" w:rsidP="000E69EF" w14:paraId="66AD5466" w14:textId="77777777">
            <w:pPr>
              <w:jc w:val="right"/>
              <w:rPr>
                <w:sz w:val="13"/>
                <w:szCs w:val="13"/>
              </w:rPr>
            </w:pPr>
            <w:r w:rsidRPr="00B77B04">
              <w:rPr>
                <w:sz w:val="13"/>
                <w:szCs w:val="13"/>
              </w:rPr>
              <w:t xml:space="preserve"> 10,291,811 </w:t>
            </w:r>
          </w:p>
        </w:tc>
        <w:tc>
          <w:tcPr>
            <w:tcW w:w="898" w:type="dxa"/>
            <w:tcBorders>
              <w:top w:val="nil"/>
              <w:left w:val="nil"/>
              <w:bottom w:val="nil"/>
              <w:right w:val="nil"/>
            </w:tcBorders>
            <w:shd w:val="clear" w:color="000000" w:fill="FFFFFF"/>
            <w:vAlign w:val="bottom"/>
            <w:hideMark/>
          </w:tcPr>
          <w:p w:rsidR="00F40941" w:rsidRPr="00B77B04" w:rsidP="000E69EF" w14:paraId="228BC132" w14:textId="77777777">
            <w:pPr>
              <w:jc w:val="right"/>
              <w:rPr>
                <w:sz w:val="13"/>
                <w:szCs w:val="13"/>
              </w:rPr>
            </w:pPr>
            <w:r w:rsidRPr="00B77B04">
              <w:rPr>
                <w:sz w:val="13"/>
                <w:szCs w:val="13"/>
              </w:rPr>
              <w:t xml:space="preserve"> 10,291,811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667F6378" w14:textId="77777777">
            <w:pPr>
              <w:rPr>
                <w:sz w:val="13"/>
                <w:szCs w:val="13"/>
              </w:rPr>
            </w:pPr>
            <w:r w:rsidRPr="00B77B04">
              <w:rPr>
                <w:sz w:val="13"/>
                <w:szCs w:val="13"/>
              </w:rPr>
              <w:t>Miscellaneous Earned Revenues</w:t>
            </w:r>
          </w:p>
        </w:tc>
      </w:tr>
      <w:tr w14:paraId="039FB3F9"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6DAB5D3E" w14:textId="77777777">
            <w:pPr>
              <w:ind w:left="-18" w:right="-108"/>
              <w:rPr>
                <w:sz w:val="13"/>
                <w:szCs w:val="13"/>
              </w:rPr>
            </w:pPr>
            <w:r w:rsidRPr="00B77B04">
              <w:rPr>
                <w:sz w:val="13"/>
                <w:szCs w:val="13"/>
              </w:rPr>
              <w:t>SCA: Accrual Adjustments: Fines and Penalties</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6224FD2C" w14:textId="77777777">
            <w:pPr>
              <w:jc w:val="right"/>
              <w:rPr>
                <w:sz w:val="13"/>
                <w:szCs w:val="13"/>
              </w:rPr>
            </w:pPr>
            <w:r w:rsidRPr="00B77B04">
              <w:rPr>
                <w:sz w:val="13"/>
                <w:szCs w:val="13"/>
              </w:rPr>
              <w:t xml:space="preserve">  4,504 </w:t>
            </w:r>
          </w:p>
        </w:tc>
        <w:tc>
          <w:tcPr>
            <w:tcW w:w="887" w:type="dxa"/>
            <w:tcBorders>
              <w:top w:val="nil"/>
              <w:left w:val="nil"/>
              <w:bottom w:val="nil"/>
              <w:right w:val="nil"/>
            </w:tcBorders>
            <w:shd w:val="clear" w:color="000000" w:fill="FFFFFF"/>
            <w:vAlign w:val="bottom"/>
            <w:hideMark/>
          </w:tcPr>
          <w:p w:rsidR="00F40941" w:rsidRPr="00B77B04" w:rsidP="000E69EF" w14:paraId="40115F52" w14:textId="53BED502">
            <w:pPr>
              <w:jc w:val="right"/>
              <w:rPr>
                <w:sz w:val="13"/>
                <w:szCs w:val="13"/>
              </w:rPr>
            </w:pPr>
            <w:r>
              <w:rPr>
                <w:sz w:val="13"/>
                <w:szCs w:val="13"/>
              </w:rPr>
              <w:t>-</w:t>
            </w:r>
          </w:p>
        </w:tc>
        <w:tc>
          <w:tcPr>
            <w:tcW w:w="1071" w:type="dxa"/>
            <w:tcBorders>
              <w:top w:val="nil"/>
              <w:left w:val="nil"/>
              <w:bottom w:val="nil"/>
              <w:right w:val="nil"/>
            </w:tcBorders>
            <w:shd w:val="clear" w:color="000000" w:fill="FFFFFF"/>
            <w:vAlign w:val="bottom"/>
            <w:hideMark/>
          </w:tcPr>
          <w:p w:rsidR="00F40941" w:rsidRPr="00B77B04" w:rsidP="000E69EF" w14:paraId="75829A90" w14:textId="724D2FB7">
            <w:pPr>
              <w:jc w:val="right"/>
              <w:rPr>
                <w:sz w:val="13"/>
                <w:szCs w:val="13"/>
              </w:rPr>
            </w:pPr>
            <w:r>
              <w:rPr>
                <w:sz w:val="13"/>
                <w:szCs w:val="13"/>
              </w:rPr>
              <w:t>-</w:t>
            </w:r>
          </w:p>
        </w:tc>
        <w:tc>
          <w:tcPr>
            <w:tcW w:w="898" w:type="dxa"/>
            <w:tcBorders>
              <w:top w:val="nil"/>
              <w:left w:val="nil"/>
              <w:bottom w:val="nil"/>
              <w:right w:val="nil"/>
            </w:tcBorders>
            <w:shd w:val="clear" w:color="000000" w:fill="FFFFFF"/>
            <w:vAlign w:val="bottom"/>
            <w:hideMark/>
          </w:tcPr>
          <w:p w:rsidR="00F40941" w:rsidRPr="00B77B04" w:rsidP="000E69EF" w14:paraId="2E7074FC" w14:textId="4228A565">
            <w:pPr>
              <w:jc w:val="right"/>
              <w:rPr>
                <w:sz w:val="13"/>
                <w:szCs w:val="13"/>
              </w:rPr>
            </w:pPr>
            <w:r>
              <w:rPr>
                <w:sz w:val="13"/>
                <w:szCs w:val="13"/>
              </w:rPr>
              <w:t>-</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2B44A5F7" w14:textId="77777777">
            <w:pPr>
              <w:rPr>
                <w:sz w:val="13"/>
                <w:szCs w:val="13"/>
              </w:rPr>
            </w:pPr>
            <w:r w:rsidRPr="00B77B04">
              <w:rPr>
                <w:sz w:val="13"/>
                <w:szCs w:val="13"/>
              </w:rPr>
              <w:t> </w:t>
            </w:r>
          </w:p>
        </w:tc>
      </w:tr>
      <w:tr w14:paraId="0B11418E"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20C816A0" w14:textId="77777777">
            <w:pPr>
              <w:rPr>
                <w:sz w:val="13"/>
                <w:szCs w:val="13"/>
              </w:rPr>
            </w:pPr>
            <w:r w:rsidRPr="00B77B04">
              <w:rPr>
                <w:sz w:val="13"/>
                <w:szCs w:val="13"/>
              </w:rPr>
              <w:t> </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3718B052" w14:textId="77777777">
            <w:pPr>
              <w:jc w:val="right"/>
              <w:rPr>
                <w:sz w:val="13"/>
                <w:szCs w:val="13"/>
              </w:rPr>
            </w:pPr>
            <w:r w:rsidRPr="00B77B04">
              <w:rPr>
                <w:sz w:val="13"/>
                <w:szCs w:val="13"/>
              </w:rPr>
              <w:t> </w:t>
            </w:r>
          </w:p>
        </w:tc>
        <w:tc>
          <w:tcPr>
            <w:tcW w:w="887" w:type="dxa"/>
            <w:tcBorders>
              <w:top w:val="single" w:sz="4" w:space="0" w:color="auto"/>
              <w:left w:val="nil"/>
              <w:bottom w:val="single" w:sz="4" w:space="0" w:color="auto"/>
              <w:right w:val="nil"/>
            </w:tcBorders>
            <w:shd w:val="clear" w:color="000000" w:fill="FFFFFF"/>
            <w:vAlign w:val="bottom"/>
            <w:hideMark/>
          </w:tcPr>
          <w:p w:rsidR="00F40941" w:rsidRPr="00B77B04" w:rsidP="000E69EF" w14:paraId="49311C78" w14:textId="77777777">
            <w:pPr>
              <w:jc w:val="right"/>
              <w:rPr>
                <w:sz w:val="13"/>
                <w:szCs w:val="13"/>
              </w:rPr>
            </w:pPr>
            <w:r w:rsidRPr="00B77B04">
              <w:rPr>
                <w:sz w:val="13"/>
                <w:szCs w:val="13"/>
              </w:rPr>
              <w:t xml:space="preserve"> 9,271,661 </w:t>
            </w:r>
          </w:p>
        </w:tc>
        <w:tc>
          <w:tcPr>
            <w:tcW w:w="1071" w:type="dxa"/>
            <w:tcBorders>
              <w:top w:val="single" w:sz="4" w:space="0" w:color="auto"/>
              <w:left w:val="nil"/>
              <w:bottom w:val="single" w:sz="4" w:space="0" w:color="auto"/>
              <w:right w:val="nil"/>
            </w:tcBorders>
            <w:shd w:val="clear" w:color="000000" w:fill="FFFFFF"/>
            <w:vAlign w:val="bottom"/>
            <w:hideMark/>
          </w:tcPr>
          <w:p w:rsidR="00F40941" w:rsidRPr="00B77B04" w:rsidP="000E69EF" w14:paraId="7C1E09E5" w14:textId="77777777">
            <w:pPr>
              <w:jc w:val="right"/>
              <w:rPr>
                <w:sz w:val="13"/>
                <w:szCs w:val="13"/>
              </w:rPr>
            </w:pPr>
            <w:r w:rsidRPr="00B77B04">
              <w:rPr>
                <w:sz w:val="13"/>
                <w:szCs w:val="13"/>
              </w:rPr>
              <w:t xml:space="preserve"> 10,357,963 </w:t>
            </w:r>
          </w:p>
        </w:tc>
        <w:tc>
          <w:tcPr>
            <w:tcW w:w="898" w:type="dxa"/>
            <w:tcBorders>
              <w:top w:val="single" w:sz="4" w:space="0" w:color="auto"/>
              <w:left w:val="nil"/>
              <w:bottom w:val="single" w:sz="4" w:space="0" w:color="auto"/>
              <w:right w:val="nil"/>
            </w:tcBorders>
            <w:shd w:val="clear" w:color="000000" w:fill="FFFFFF"/>
            <w:vAlign w:val="bottom"/>
            <w:hideMark/>
          </w:tcPr>
          <w:p w:rsidR="00F40941" w:rsidRPr="00B77B04" w:rsidP="000E69EF" w14:paraId="276EA262" w14:textId="77777777">
            <w:pPr>
              <w:jc w:val="right"/>
              <w:rPr>
                <w:sz w:val="13"/>
                <w:szCs w:val="13"/>
              </w:rPr>
            </w:pPr>
            <w:r w:rsidRPr="00B77B04">
              <w:rPr>
                <w:sz w:val="13"/>
                <w:szCs w:val="13"/>
              </w:rPr>
              <w:t xml:space="preserve"> 19,629,624 </w:t>
            </w:r>
          </w:p>
        </w:tc>
        <w:tc>
          <w:tcPr>
            <w:tcW w:w="2894" w:type="dxa"/>
            <w:tcBorders>
              <w:top w:val="nil"/>
              <w:left w:val="nil"/>
              <w:bottom w:val="single" w:sz="4" w:space="0" w:color="auto"/>
              <w:right w:val="single" w:sz="8" w:space="0" w:color="auto"/>
            </w:tcBorders>
            <w:shd w:val="clear" w:color="000000" w:fill="FFFFFF"/>
            <w:vAlign w:val="bottom"/>
            <w:hideMark/>
          </w:tcPr>
          <w:p w:rsidR="00F40941" w:rsidRPr="00B77B04" w:rsidP="007738F3" w14:paraId="5A585DBF" w14:textId="77777777">
            <w:pPr>
              <w:rPr>
                <w:i/>
                <w:iCs/>
                <w:sz w:val="13"/>
                <w:szCs w:val="13"/>
              </w:rPr>
            </w:pPr>
            <w:r w:rsidRPr="00B77B04">
              <w:rPr>
                <w:i/>
                <w:iCs/>
                <w:sz w:val="13"/>
                <w:szCs w:val="13"/>
              </w:rPr>
              <w:t>Total Non-Federal Non-Exchange Revenues</w:t>
            </w:r>
          </w:p>
        </w:tc>
      </w:tr>
      <w:tr w14:paraId="5C89BE22"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300C9DE8" w14:textId="77777777">
            <w:pPr>
              <w:rPr>
                <w:sz w:val="13"/>
                <w:szCs w:val="13"/>
              </w:rPr>
            </w:pPr>
            <w:r w:rsidRPr="00B77B04">
              <w:rPr>
                <w:sz w:val="13"/>
                <w:szCs w:val="13"/>
              </w:rPr>
              <w:t> </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6F12A565" w14:textId="77777777">
            <w:pPr>
              <w:jc w:val="right"/>
              <w:rPr>
                <w:sz w:val="13"/>
                <w:szCs w:val="13"/>
              </w:rPr>
            </w:pPr>
            <w:r w:rsidRPr="00B77B04">
              <w:rPr>
                <w:sz w:val="13"/>
                <w:szCs w:val="13"/>
              </w:rPr>
              <w:t> </w:t>
            </w:r>
          </w:p>
        </w:tc>
        <w:tc>
          <w:tcPr>
            <w:tcW w:w="887" w:type="dxa"/>
            <w:tcBorders>
              <w:top w:val="nil"/>
              <w:left w:val="nil"/>
              <w:bottom w:val="nil"/>
              <w:right w:val="nil"/>
            </w:tcBorders>
            <w:shd w:val="clear" w:color="000000" w:fill="FFFFFF"/>
            <w:vAlign w:val="bottom"/>
            <w:hideMark/>
          </w:tcPr>
          <w:p w:rsidR="00F40941" w:rsidRPr="00B77B04" w:rsidP="000E69EF" w14:paraId="396004E9"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bottom"/>
            <w:hideMark/>
          </w:tcPr>
          <w:p w:rsidR="00F40941" w:rsidRPr="00B77B04" w:rsidP="000E69EF" w14:paraId="33A923CE" w14:textId="77777777">
            <w:pPr>
              <w:jc w:val="right"/>
              <w:rPr>
                <w:sz w:val="13"/>
                <w:szCs w:val="13"/>
              </w:rPr>
            </w:pPr>
            <w:r w:rsidRPr="00B77B04">
              <w:rPr>
                <w:sz w:val="13"/>
                <w:szCs w:val="13"/>
              </w:rPr>
              <w:t> </w:t>
            </w:r>
          </w:p>
        </w:tc>
        <w:tc>
          <w:tcPr>
            <w:tcW w:w="898" w:type="dxa"/>
            <w:tcBorders>
              <w:top w:val="nil"/>
              <w:left w:val="nil"/>
              <w:bottom w:val="nil"/>
              <w:right w:val="nil"/>
            </w:tcBorders>
            <w:shd w:val="clear" w:color="000000" w:fill="FFFFFF"/>
            <w:vAlign w:val="bottom"/>
            <w:hideMark/>
          </w:tcPr>
          <w:p w:rsidR="00F40941" w:rsidRPr="00B77B04" w:rsidP="000E69EF" w14:paraId="7ACF6269" w14:textId="77777777">
            <w:pPr>
              <w:jc w:val="right"/>
              <w:rPr>
                <w:sz w:val="13"/>
                <w:szCs w:val="13"/>
              </w:rPr>
            </w:pPr>
            <w:r w:rsidRPr="00B77B04">
              <w:rPr>
                <w:sz w:val="13"/>
                <w:szCs w:val="13"/>
              </w:rPr>
              <w:t>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00FF486A" w14:textId="77777777">
            <w:pPr>
              <w:rPr>
                <w:i/>
                <w:iCs/>
                <w:sz w:val="13"/>
                <w:szCs w:val="13"/>
              </w:rPr>
            </w:pPr>
            <w:r w:rsidRPr="00B77B04">
              <w:rPr>
                <w:i/>
                <w:iCs/>
                <w:sz w:val="13"/>
                <w:szCs w:val="13"/>
              </w:rPr>
              <w:t>Intragovernmental Non-Exchange Revenue</w:t>
            </w:r>
          </w:p>
        </w:tc>
      </w:tr>
      <w:tr w14:paraId="281DBD7B"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2B4FFDF6" w14:textId="77777777">
            <w:pPr>
              <w:rPr>
                <w:sz w:val="13"/>
                <w:szCs w:val="13"/>
              </w:rPr>
            </w:pPr>
            <w:r w:rsidRPr="00B77B04">
              <w:rPr>
                <w:sz w:val="13"/>
                <w:szCs w:val="13"/>
              </w:rPr>
              <w:t> </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36CEA2FB" w14:textId="77777777">
            <w:pPr>
              <w:jc w:val="right"/>
              <w:rPr>
                <w:sz w:val="13"/>
                <w:szCs w:val="13"/>
              </w:rPr>
            </w:pPr>
            <w:r w:rsidRPr="00B77B04">
              <w:rPr>
                <w:sz w:val="13"/>
                <w:szCs w:val="13"/>
              </w:rPr>
              <w:t> </w:t>
            </w:r>
          </w:p>
        </w:tc>
        <w:tc>
          <w:tcPr>
            <w:tcW w:w="887" w:type="dxa"/>
            <w:tcBorders>
              <w:top w:val="nil"/>
              <w:left w:val="nil"/>
              <w:bottom w:val="nil"/>
              <w:right w:val="nil"/>
            </w:tcBorders>
            <w:shd w:val="clear" w:color="000000" w:fill="FFFFFF"/>
            <w:vAlign w:val="bottom"/>
            <w:hideMark/>
          </w:tcPr>
          <w:p w:rsidR="00F40941" w:rsidRPr="00B77B04" w:rsidP="000E69EF" w14:paraId="304F3E24"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bottom"/>
            <w:hideMark/>
          </w:tcPr>
          <w:p w:rsidR="00F40941" w:rsidRPr="00B77B04" w:rsidP="000E69EF" w14:paraId="6B0FC570" w14:textId="77777777">
            <w:pPr>
              <w:jc w:val="right"/>
              <w:rPr>
                <w:sz w:val="13"/>
                <w:szCs w:val="13"/>
              </w:rPr>
            </w:pPr>
            <w:r w:rsidRPr="00B77B04">
              <w:rPr>
                <w:sz w:val="13"/>
                <w:szCs w:val="13"/>
              </w:rPr>
              <w:t xml:space="preserve">  688 </w:t>
            </w:r>
          </w:p>
        </w:tc>
        <w:tc>
          <w:tcPr>
            <w:tcW w:w="898" w:type="dxa"/>
            <w:tcBorders>
              <w:top w:val="nil"/>
              <w:left w:val="nil"/>
              <w:bottom w:val="nil"/>
              <w:right w:val="nil"/>
            </w:tcBorders>
            <w:shd w:val="clear" w:color="000000" w:fill="FFFFFF"/>
            <w:vAlign w:val="bottom"/>
            <w:hideMark/>
          </w:tcPr>
          <w:p w:rsidR="00F40941" w:rsidRPr="00B77B04" w:rsidP="000E69EF" w14:paraId="57165C23" w14:textId="77777777">
            <w:pPr>
              <w:jc w:val="right"/>
              <w:rPr>
                <w:sz w:val="13"/>
                <w:szCs w:val="13"/>
              </w:rPr>
            </w:pPr>
            <w:r w:rsidRPr="00B77B04">
              <w:rPr>
                <w:sz w:val="13"/>
                <w:szCs w:val="13"/>
              </w:rPr>
              <w:t xml:space="preserve">  688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0FD98DB3" w14:textId="77777777">
            <w:pPr>
              <w:rPr>
                <w:sz w:val="13"/>
                <w:szCs w:val="13"/>
              </w:rPr>
            </w:pPr>
            <w:r w:rsidRPr="00B77B04">
              <w:rPr>
                <w:sz w:val="13"/>
                <w:szCs w:val="13"/>
              </w:rPr>
              <w:t>Federal Securities Interest Revenue, including Associated Gains/Losses (Non-Exchange</w:t>
            </w:r>
          </w:p>
        </w:tc>
      </w:tr>
      <w:tr w14:paraId="515554EF"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17FAED08" w14:textId="77777777">
            <w:pPr>
              <w:rPr>
                <w:sz w:val="13"/>
                <w:szCs w:val="13"/>
              </w:rPr>
            </w:pPr>
            <w:r w:rsidRPr="00B77B04">
              <w:rPr>
                <w:sz w:val="13"/>
                <w:szCs w:val="13"/>
              </w:rPr>
              <w:t xml:space="preserve">SCA: Disposition of Collections: Transferred to Others: </w:t>
            </w:r>
            <w:r w:rsidRPr="00B77B04">
              <w:rPr>
                <w:sz w:val="13"/>
                <w:szCs w:val="13"/>
              </w:rPr>
              <w:br/>
              <w:t>Public Safety Trust Fund (NTIA)</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1063FB1D" w14:textId="77777777">
            <w:pPr>
              <w:jc w:val="right"/>
              <w:rPr>
                <w:sz w:val="13"/>
                <w:szCs w:val="13"/>
              </w:rPr>
            </w:pPr>
            <w:r w:rsidRPr="00B77B04">
              <w:rPr>
                <w:sz w:val="13"/>
                <w:szCs w:val="13"/>
              </w:rPr>
              <w:t> </w:t>
            </w:r>
          </w:p>
        </w:tc>
        <w:tc>
          <w:tcPr>
            <w:tcW w:w="887" w:type="dxa"/>
            <w:tcBorders>
              <w:top w:val="nil"/>
              <w:left w:val="nil"/>
              <w:bottom w:val="nil"/>
              <w:right w:val="nil"/>
            </w:tcBorders>
            <w:shd w:val="clear" w:color="000000" w:fill="FFFFFF"/>
            <w:vAlign w:val="bottom"/>
            <w:hideMark/>
          </w:tcPr>
          <w:p w:rsidR="00F40941" w:rsidRPr="00B77B04" w:rsidP="000E69EF" w14:paraId="66A54BA5"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bottom"/>
            <w:hideMark/>
          </w:tcPr>
          <w:p w:rsidR="00F40941" w:rsidRPr="00B77B04" w:rsidP="000E69EF" w14:paraId="6E53D70D" w14:textId="77777777">
            <w:pPr>
              <w:jc w:val="right"/>
              <w:rPr>
                <w:sz w:val="13"/>
                <w:szCs w:val="13"/>
              </w:rPr>
            </w:pPr>
            <w:r w:rsidRPr="00B77B04">
              <w:rPr>
                <w:sz w:val="13"/>
                <w:szCs w:val="13"/>
              </w:rPr>
              <w:t xml:space="preserve">  4,327 </w:t>
            </w:r>
          </w:p>
        </w:tc>
        <w:tc>
          <w:tcPr>
            <w:tcW w:w="898" w:type="dxa"/>
            <w:tcBorders>
              <w:top w:val="nil"/>
              <w:left w:val="nil"/>
              <w:bottom w:val="nil"/>
              <w:right w:val="nil"/>
            </w:tcBorders>
            <w:shd w:val="clear" w:color="000000" w:fill="FFFFFF"/>
            <w:vAlign w:val="bottom"/>
            <w:hideMark/>
          </w:tcPr>
          <w:p w:rsidR="00F40941" w:rsidRPr="00B77B04" w:rsidP="000E69EF" w14:paraId="216DECF5" w14:textId="77777777">
            <w:pPr>
              <w:jc w:val="right"/>
              <w:rPr>
                <w:sz w:val="13"/>
                <w:szCs w:val="13"/>
              </w:rPr>
            </w:pPr>
            <w:r w:rsidRPr="00B77B04">
              <w:rPr>
                <w:sz w:val="13"/>
                <w:szCs w:val="13"/>
              </w:rPr>
              <w:t xml:space="preserve">  4,327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112847C0" w14:textId="77777777">
            <w:pPr>
              <w:rPr>
                <w:sz w:val="13"/>
                <w:szCs w:val="13"/>
              </w:rPr>
            </w:pPr>
            <w:r w:rsidRPr="00B77B04">
              <w:rPr>
                <w:sz w:val="13"/>
                <w:szCs w:val="13"/>
              </w:rPr>
              <w:t>Collections Transferred to a TAS Other Than the General Fund of the U.S. Government</w:t>
            </w:r>
          </w:p>
        </w:tc>
      </w:tr>
      <w:tr w14:paraId="1FA44E05"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51A839E7" w14:textId="77777777">
            <w:pPr>
              <w:rPr>
                <w:sz w:val="13"/>
                <w:szCs w:val="13"/>
              </w:rPr>
            </w:pPr>
            <w:r w:rsidRPr="00B77B04">
              <w:rPr>
                <w:sz w:val="13"/>
                <w:szCs w:val="13"/>
              </w:rPr>
              <w:t> </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3DC22E08" w14:textId="77777777">
            <w:pPr>
              <w:jc w:val="right"/>
              <w:rPr>
                <w:sz w:val="13"/>
                <w:szCs w:val="13"/>
              </w:rPr>
            </w:pPr>
            <w:r w:rsidRPr="00B77B04">
              <w:rPr>
                <w:sz w:val="13"/>
                <w:szCs w:val="13"/>
              </w:rPr>
              <w:t> </w:t>
            </w:r>
          </w:p>
        </w:tc>
        <w:tc>
          <w:tcPr>
            <w:tcW w:w="887" w:type="dxa"/>
            <w:tcBorders>
              <w:top w:val="nil"/>
              <w:left w:val="nil"/>
              <w:bottom w:val="nil"/>
              <w:right w:val="nil"/>
            </w:tcBorders>
            <w:shd w:val="clear" w:color="000000" w:fill="FFFFFF"/>
            <w:vAlign w:val="bottom"/>
            <w:hideMark/>
          </w:tcPr>
          <w:p w:rsidR="00F40941" w:rsidRPr="00B77B04" w:rsidP="000E69EF" w14:paraId="5D6CBDF3"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bottom"/>
            <w:hideMark/>
          </w:tcPr>
          <w:p w:rsidR="00F40941" w:rsidRPr="00B77B04" w:rsidP="000E69EF" w14:paraId="2FBFF356" w14:textId="77777777">
            <w:pPr>
              <w:jc w:val="right"/>
              <w:rPr>
                <w:sz w:val="13"/>
                <w:szCs w:val="13"/>
              </w:rPr>
            </w:pPr>
            <w:r w:rsidRPr="00B77B04">
              <w:rPr>
                <w:sz w:val="13"/>
                <w:szCs w:val="13"/>
              </w:rPr>
              <w:t> </w:t>
            </w:r>
          </w:p>
        </w:tc>
        <w:tc>
          <w:tcPr>
            <w:tcW w:w="898" w:type="dxa"/>
            <w:tcBorders>
              <w:top w:val="nil"/>
              <w:left w:val="nil"/>
              <w:bottom w:val="nil"/>
              <w:right w:val="nil"/>
            </w:tcBorders>
            <w:shd w:val="clear" w:color="000000" w:fill="FFFFFF"/>
            <w:vAlign w:val="bottom"/>
            <w:hideMark/>
          </w:tcPr>
          <w:p w:rsidR="00F40941" w:rsidRPr="00B77B04" w:rsidP="000E69EF" w14:paraId="71E6FED5" w14:textId="77777777">
            <w:pPr>
              <w:jc w:val="right"/>
              <w:rPr>
                <w:sz w:val="13"/>
                <w:szCs w:val="13"/>
              </w:rPr>
            </w:pPr>
            <w:r w:rsidRPr="00B77B04">
              <w:rPr>
                <w:sz w:val="13"/>
                <w:szCs w:val="13"/>
              </w:rPr>
              <w:t>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45CB345B" w14:textId="77777777">
            <w:pPr>
              <w:rPr>
                <w:sz w:val="13"/>
                <w:szCs w:val="13"/>
              </w:rPr>
            </w:pPr>
            <w:r w:rsidRPr="00B77B04">
              <w:rPr>
                <w:sz w:val="13"/>
                <w:szCs w:val="13"/>
              </w:rPr>
              <w:t>Other Taxes and Receipts</w:t>
            </w:r>
          </w:p>
        </w:tc>
      </w:tr>
      <w:tr w14:paraId="1885B906"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7D51C9D0" w14:textId="77777777">
            <w:pPr>
              <w:rPr>
                <w:sz w:val="13"/>
                <w:szCs w:val="13"/>
              </w:rPr>
            </w:pPr>
            <w:r w:rsidRPr="00B77B04">
              <w:rPr>
                <w:sz w:val="13"/>
                <w:szCs w:val="13"/>
              </w:rPr>
              <w:t> </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45B83303" w14:textId="77777777">
            <w:pPr>
              <w:jc w:val="right"/>
              <w:rPr>
                <w:sz w:val="13"/>
                <w:szCs w:val="13"/>
              </w:rPr>
            </w:pPr>
            <w:r w:rsidRPr="00B77B04">
              <w:rPr>
                <w:sz w:val="13"/>
                <w:szCs w:val="13"/>
              </w:rPr>
              <w:t> </w:t>
            </w:r>
          </w:p>
        </w:tc>
        <w:tc>
          <w:tcPr>
            <w:tcW w:w="887" w:type="dxa"/>
            <w:tcBorders>
              <w:top w:val="single" w:sz="4" w:space="0" w:color="auto"/>
              <w:left w:val="nil"/>
              <w:bottom w:val="single" w:sz="4" w:space="0" w:color="auto"/>
              <w:right w:val="nil"/>
            </w:tcBorders>
            <w:shd w:val="clear" w:color="000000" w:fill="FFFFFF"/>
            <w:vAlign w:val="bottom"/>
            <w:hideMark/>
          </w:tcPr>
          <w:p w:rsidR="00F40941" w:rsidRPr="00B77B04" w:rsidP="000E69EF" w14:paraId="4689DD12" w14:textId="77777777">
            <w:pPr>
              <w:jc w:val="right"/>
              <w:rPr>
                <w:sz w:val="13"/>
                <w:szCs w:val="13"/>
              </w:rPr>
            </w:pPr>
            <w:r w:rsidRPr="00B77B04">
              <w:rPr>
                <w:sz w:val="13"/>
                <w:szCs w:val="13"/>
              </w:rPr>
              <w:t xml:space="preserve">   - </w:t>
            </w:r>
          </w:p>
        </w:tc>
        <w:tc>
          <w:tcPr>
            <w:tcW w:w="1071" w:type="dxa"/>
            <w:tcBorders>
              <w:top w:val="single" w:sz="4" w:space="0" w:color="auto"/>
              <w:left w:val="nil"/>
              <w:bottom w:val="single" w:sz="4" w:space="0" w:color="auto"/>
              <w:right w:val="nil"/>
            </w:tcBorders>
            <w:shd w:val="clear" w:color="000000" w:fill="FFFFFF"/>
            <w:vAlign w:val="bottom"/>
            <w:hideMark/>
          </w:tcPr>
          <w:p w:rsidR="00F40941" w:rsidRPr="00B77B04" w:rsidP="000E69EF" w14:paraId="31F2D35B" w14:textId="77777777">
            <w:pPr>
              <w:jc w:val="right"/>
              <w:rPr>
                <w:sz w:val="13"/>
                <w:szCs w:val="13"/>
              </w:rPr>
            </w:pPr>
            <w:r w:rsidRPr="00B77B04">
              <w:rPr>
                <w:sz w:val="13"/>
                <w:szCs w:val="13"/>
              </w:rPr>
              <w:t xml:space="preserve">  5,015 </w:t>
            </w:r>
          </w:p>
        </w:tc>
        <w:tc>
          <w:tcPr>
            <w:tcW w:w="898" w:type="dxa"/>
            <w:tcBorders>
              <w:top w:val="single" w:sz="4" w:space="0" w:color="auto"/>
              <w:left w:val="nil"/>
              <w:bottom w:val="single" w:sz="4" w:space="0" w:color="auto"/>
              <w:right w:val="nil"/>
            </w:tcBorders>
            <w:shd w:val="clear" w:color="000000" w:fill="FFFFFF"/>
            <w:vAlign w:val="bottom"/>
            <w:hideMark/>
          </w:tcPr>
          <w:p w:rsidR="00F40941" w:rsidRPr="00B77B04" w:rsidP="000E69EF" w14:paraId="4BA31F67" w14:textId="77777777">
            <w:pPr>
              <w:jc w:val="right"/>
              <w:rPr>
                <w:sz w:val="13"/>
                <w:szCs w:val="13"/>
              </w:rPr>
            </w:pPr>
            <w:r w:rsidRPr="00B77B04">
              <w:rPr>
                <w:sz w:val="13"/>
                <w:szCs w:val="13"/>
              </w:rPr>
              <w:t xml:space="preserve">  5,015 </w:t>
            </w:r>
          </w:p>
        </w:tc>
        <w:tc>
          <w:tcPr>
            <w:tcW w:w="2894" w:type="dxa"/>
            <w:tcBorders>
              <w:top w:val="nil"/>
              <w:left w:val="nil"/>
              <w:bottom w:val="single" w:sz="4" w:space="0" w:color="auto"/>
              <w:right w:val="single" w:sz="8" w:space="0" w:color="auto"/>
            </w:tcBorders>
            <w:shd w:val="clear" w:color="000000" w:fill="FFFFFF"/>
            <w:vAlign w:val="bottom"/>
            <w:hideMark/>
          </w:tcPr>
          <w:p w:rsidR="00F40941" w:rsidRPr="00B77B04" w:rsidP="007738F3" w14:paraId="4BF887FC" w14:textId="77777777">
            <w:pPr>
              <w:rPr>
                <w:i/>
                <w:iCs/>
                <w:sz w:val="13"/>
                <w:szCs w:val="13"/>
              </w:rPr>
            </w:pPr>
            <w:r w:rsidRPr="00B77B04">
              <w:rPr>
                <w:i/>
                <w:iCs/>
                <w:sz w:val="13"/>
                <w:szCs w:val="13"/>
              </w:rPr>
              <w:t>Total Intragovernmental Non-Exchange Revenue</w:t>
            </w:r>
          </w:p>
        </w:tc>
      </w:tr>
      <w:tr w14:paraId="468E1FDC" w14:textId="77777777" w:rsidTr="00E90AC7">
        <w:tblPrEx>
          <w:tblW w:w="5000" w:type="pct"/>
          <w:tblLook w:val="04A0"/>
        </w:tblPrEx>
        <w:trPr>
          <w:trHeight w:val="20"/>
        </w:trPr>
        <w:tc>
          <w:tcPr>
            <w:tcW w:w="2690" w:type="dxa"/>
            <w:tcBorders>
              <w:top w:val="nil"/>
              <w:left w:val="single" w:sz="8" w:space="0" w:color="auto"/>
              <w:bottom w:val="single" w:sz="4" w:space="0" w:color="auto"/>
              <w:right w:val="nil"/>
            </w:tcBorders>
            <w:shd w:val="clear" w:color="000000" w:fill="FFFFFF"/>
            <w:vAlign w:val="bottom"/>
            <w:hideMark/>
          </w:tcPr>
          <w:p w:rsidR="00F40941" w:rsidRPr="00B77B04" w:rsidP="004957F6" w14:paraId="5D17D2ED" w14:textId="77777777">
            <w:pPr>
              <w:rPr>
                <w:i/>
                <w:iCs/>
                <w:sz w:val="13"/>
                <w:szCs w:val="13"/>
              </w:rPr>
            </w:pPr>
            <w:r w:rsidRPr="00B77B04">
              <w:rPr>
                <w:i/>
                <w:iCs/>
                <w:sz w:val="13"/>
                <w:szCs w:val="13"/>
              </w:rPr>
              <w:t>Total Non-Exchange Revenues</w:t>
            </w:r>
          </w:p>
        </w:tc>
        <w:tc>
          <w:tcPr>
            <w:tcW w:w="900" w:type="dxa"/>
            <w:tcBorders>
              <w:top w:val="single" w:sz="4" w:space="0" w:color="auto"/>
              <w:left w:val="nil"/>
              <w:bottom w:val="single" w:sz="4" w:space="0" w:color="auto"/>
              <w:right w:val="single" w:sz="8" w:space="0" w:color="auto"/>
            </w:tcBorders>
            <w:shd w:val="clear" w:color="000000" w:fill="FFFFFF"/>
            <w:vAlign w:val="bottom"/>
            <w:hideMark/>
          </w:tcPr>
          <w:p w:rsidR="00F40941" w:rsidRPr="00B77B04" w:rsidP="000E69EF" w14:paraId="7603AD54" w14:textId="77777777">
            <w:pPr>
              <w:jc w:val="right"/>
              <w:rPr>
                <w:sz w:val="13"/>
                <w:szCs w:val="13"/>
              </w:rPr>
            </w:pPr>
            <w:r w:rsidRPr="00B77B04">
              <w:rPr>
                <w:sz w:val="13"/>
                <w:szCs w:val="13"/>
              </w:rPr>
              <w:t xml:space="preserve"> 19,634,639 </w:t>
            </w:r>
          </w:p>
        </w:tc>
        <w:tc>
          <w:tcPr>
            <w:tcW w:w="887" w:type="dxa"/>
            <w:tcBorders>
              <w:top w:val="nil"/>
              <w:left w:val="nil"/>
              <w:bottom w:val="single" w:sz="4" w:space="0" w:color="auto"/>
              <w:right w:val="nil"/>
            </w:tcBorders>
            <w:shd w:val="clear" w:color="000000" w:fill="FFFFFF"/>
            <w:vAlign w:val="bottom"/>
            <w:hideMark/>
          </w:tcPr>
          <w:p w:rsidR="00F40941" w:rsidRPr="00B77B04" w:rsidP="000E69EF" w14:paraId="061D6A8D" w14:textId="77777777">
            <w:pPr>
              <w:jc w:val="right"/>
              <w:rPr>
                <w:sz w:val="13"/>
                <w:szCs w:val="13"/>
              </w:rPr>
            </w:pPr>
            <w:r w:rsidRPr="00B77B04">
              <w:rPr>
                <w:sz w:val="13"/>
                <w:szCs w:val="13"/>
              </w:rPr>
              <w:t xml:space="preserve"> 9,271,661 </w:t>
            </w:r>
          </w:p>
        </w:tc>
        <w:tc>
          <w:tcPr>
            <w:tcW w:w="1071" w:type="dxa"/>
            <w:tcBorders>
              <w:top w:val="nil"/>
              <w:left w:val="nil"/>
              <w:bottom w:val="single" w:sz="4" w:space="0" w:color="auto"/>
              <w:right w:val="nil"/>
            </w:tcBorders>
            <w:shd w:val="clear" w:color="000000" w:fill="FFFFFF"/>
            <w:vAlign w:val="bottom"/>
            <w:hideMark/>
          </w:tcPr>
          <w:p w:rsidR="00F40941" w:rsidRPr="00B77B04" w:rsidP="000E69EF" w14:paraId="318D6097" w14:textId="77777777">
            <w:pPr>
              <w:jc w:val="right"/>
              <w:rPr>
                <w:sz w:val="13"/>
                <w:szCs w:val="13"/>
              </w:rPr>
            </w:pPr>
            <w:r w:rsidRPr="00B77B04">
              <w:rPr>
                <w:sz w:val="13"/>
                <w:szCs w:val="13"/>
              </w:rPr>
              <w:t xml:space="preserve"> 10,362,978 </w:t>
            </w:r>
          </w:p>
        </w:tc>
        <w:tc>
          <w:tcPr>
            <w:tcW w:w="898" w:type="dxa"/>
            <w:tcBorders>
              <w:top w:val="nil"/>
              <w:left w:val="nil"/>
              <w:bottom w:val="single" w:sz="4" w:space="0" w:color="auto"/>
              <w:right w:val="nil"/>
            </w:tcBorders>
            <w:shd w:val="clear" w:color="000000" w:fill="FFFFFF"/>
            <w:vAlign w:val="bottom"/>
            <w:hideMark/>
          </w:tcPr>
          <w:p w:rsidR="00F40941" w:rsidRPr="00B77B04" w:rsidP="000E69EF" w14:paraId="17BF51A2" w14:textId="77777777">
            <w:pPr>
              <w:jc w:val="right"/>
              <w:rPr>
                <w:sz w:val="13"/>
                <w:szCs w:val="13"/>
              </w:rPr>
            </w:pPr>
            <w:r w:rsidRPr="00B77B04">
              <w:rPr>
                <w:sz w:val="13"/>
                <w:szCs w:val="13"/>
              </w:rPr>
              <w:t xml:space="preserve"> 19,634,639 </w:t>
            </w:r>
          </w:p>
        </w:tc>
        <w:tc>
          <w:tcPr>
            <w:tcW w:w="2894" w:type="dxa"/>
            <w:tcBorders>
              <w:top w:val="nil"/>
              <w:left w:val="nil"/>
              <w:bottom w:val="single" w:sz="4" w:space="0" w:color="auto"/>
              <w:right w:val="single" w:sz="8" w:space="0" w:color="auto"/>
            </w:tcBorders>
            <w:shd w:val="clear" w:color="000000" w:fill="FFFFFF"/>
            <w:vAlign w:val="bottom"/>
            <w:hideMark/>
          </w:tcPr>
          <w:p w:rsidR="00F40941" w:rsidRPr="00B77B04" w:rsidP="007738F3" w14:paraId="21AB5FFD" w14:textId="77777777">
            <w:pPr>
              <w:rPr>
                <w:i/>
                <w:iCs/>
                <w:sz w:val="13"/>
                <w:szCs w:val="13"/>
              </w:rPr>
            </w:pPr>
            <w:r w:rsidRPr="00B77B04">
              <w:rPr>
                <w:i/>
                <w:iCs/>
                <w:sz w:val="13"/>
                <w:szCs w:val="13"/>
              </w:rPr>
              <w:t>Total Reclassified Non-Exchange Revenue</w:t>
            </w:r>
          </w:p>
        </w:tc>
      </w:tr>
      <w:tr w14:paraId="502AAE27"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4DA1621A" w14:textId="77777777">
            <w:pPr>
              <w:rPr>
                <w:sz w:val="13"/>
                <w:szCs w:val="13"/>
              </w:rPr>
            </w:pPr>
            <w:r w:rsidRPr="00B77B04">
              <w:rPr>
                <w:sz w:val="13"/>
                <w:szCs w:val="13"/>
              </w:rPr>
              <w:t>Imputed Financing</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433D55B0" w14:textId="77777777">
            <w:pPr>
              <w:jc w:val="right"/>
              <w:rPr>
                <w:sz w:val="13"/>
                <w:szCs w:val="13"/>
              </w:rPr>
            </w:pPr>
            <w:r w:rsidRPr="00B77B04">
              <w:rPr>
                <w:sz w:val="13"/>
                <w:szCs w:val="13"/>
              </w:rPr>
              <w:t xml:space="preserve">  11,670 </w:t>
            </w:r>
          </w:p>
        </w:tc>
        <w:tc>
          <w:tcPr>
            <w:tcW w:w="887" w:type="dxa"/>
            <w:tcBorders>
              <w:top w:val="nil"/>
              <w:left w:val="nil"/>
              <w:bottom w:val="nil"/>
              <w:right w:val="nil"/>
            </w:tcBorders>
            <w:shd w:val="clear" w:color="000000" w:fill="FFFFFF"/>
            <w:vAlign w:val="bottom"/>
            <w:hideMark/>
          </w:tcPr>
          <w:p w:rsidR="00F40941" w:rsidRPr="00B77B04" w:rsidP="000E69EF" w14:paraId="230D1D67" w14:textId="77777777">
            <w:pPr>
              <w:jc w:val="right"/>
              <w:rPr>
                <w:sz w:val="13"/>
                <w:szCs w:val="13"/>
              </w:rPr>
            </w:pPr>
            <w:r w:rsidRPr="00B77B04">
              <w:rPr>
                <w:sz w:val="13"/>
                <w:szCs w:val="13"/>
              </w:rPr>
              <w:t xml:space="preserve">   - </w:t>
            </w:r>
          </w:p>
        </w:tc>
        <w:tc>
          <w:tcPr>
            <w:tcW w:w="1071" w:type="dxa"/>
            <w:tcBorders>
              <w:top w:val="nil"/>
              <w:left w:val="nil"/>
              <w:bottom w:val="nil"/>
              <w:right w:val="nil"/>
            </w:tcBorders>
            <w:shd w:val="clear" w:color="000000" w:fill="FFFFFF"/>
            <w:vAlign w:val="bottom"/>
            <w:hideMark/>
          </w:tcPr>
          <w:p w:rsidR="00F40941" w:rsidRPr="00B77B04" w:rsidP="000E69EF" w14:paraId="492DB170" w14:textId="77777777">
            <w:pPr>
              <w:jc w:val="right"/>
              <w:rPr>
                <w:sz w:val="13"/>
                <w:szCs w:val="13"/>
              </w:rPr>
            </w:pPr>
            <w:r w:rsidRPr="00B77B04">
              <w:rPr>
                <w:sz w:val="13"/>
                <w:szCs w:val="13"/>
              </w:rPr>
              <w:t xml:space="preserve">  11,670 </w:t>
            </w:r>
          </w:p>
        </w:tc>
        <w:tc>
          <w:tcPr>
            <w:tcW w:w="898" w:type="dxa"/>
            <w:tcBorders>
              <w:top w:val="nil"/>
              <w:left w:val="nil"/>
              <w:bottom w:val="nil"/>
              <w:right w:val="nil"/>
            </w:tcBorders>
            <w:shd w:val="clear" w:color="000000" w:fill="FFFFFF"/>
            <w:vAlign w:val="bottom"/>
            <w:hideMark/>
          </w:tcPr>
          <w:p w:rsidR="00F40941" w:rsidRPr="00B77B04" w:rsidP="000E69EF" w14:paraId="78FCF84A" w14:textId="77777777">
            <w:pPr>
              <w:jc w:val="right"/>
              <w:rPr>
                <w:sz w:val="13"/>
                <w:szCs w:val="13"/>
              </w:rPr>
            </w:pPr>
            <w:r w:rsidRPr="00B77B04">
              <w:rPr>
                <w:sz w:val="13"/>
                <w:szCs w:val="13"/>
              </w:rPr>
              <w:t xml:space="preserve">  11,670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1BCE3096" w14:textId="77777777">
            <w:pPr>
              <w:rPr>
                <w:sz w:val="13"/>
                <w:szCs w:val="13"/>
              </w:rPr>
            </w:pPr>
            <w:r w:rsidRPr="00B77B04">
              <w:rPr>
                <w:sz w:val="13"/>
                <w:szCs w:val="13"/>
              </w:rPr>
              <w:t>Imputed Financing Sources (Federal)</w:t>
            </w:r>
          </w:p>
        </w:tc>
      </w:tr>
      <w:tr w14:paraId="1D689224"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1067E8D6" w14:textId="77777777">
            <w:pPr>
              <w:rPr>
                <w:sz w:val="13"/>
                <w:szCs w:val="13"/>
              </w:rPr>
            </w:pPr>
            <w:r w:rsidRPr="00B77B04">
              <w:rPr>
                <w:sz w:val="13"/>
                <w:szCs w:val="13"/>
              </w:rPr>
              <w:t xml:space="preserve">Other </w:t>
            </w:r>
          </w:p>
        </w:tc>
        <w:tc>
          <w:tcPr>
            <w:tcW w:w="900" w:type="dxa"/>
            <w:tcBorders>
              <w:top w:val="nil"/>
              <w:left w:val="nil"/>
              <w:bottom w:val="nil"/>
              <w:right w:val="single" w:sz="8" w:space="0" w:color="auto"/>
            </w:tcBorders>
            <w:shd w:val="clear" w:color="000000" w:fill="FFFFFF"/>
            <w:vAlign w:val="bottom"/>
            <w:hideMark/>
          </w:tcPr>
          <w:p w:rsidR="00F40941" w:rsidRPr="00B77B04" w:rsidP="000E69EF" w14:paraId="7D5C04F9" w14:textId="77777777">
            <w:pPr>
              <w:jc w:val="right"/>
              <w:rPr>
                <w:sz w:val="13"/>
                <w:szCs w:val="13"/>
              </w:rPr>
            </w:pPr>
            <w:r w:rsidRPr="00B77B04">
              <w:rPr>
                <w:sz w:val="13"/>
                <w:szCs w:val="13"/>
              </w:rPr>
              <w:t xml:space="preserve">  (34,577)</w:t>
            </w:r>
          </w:p>
        </w:tc>
        <w:tc>
          <w:tcPr>
            <w:tcW w:w="887" w:type="dxa"/>
            <w:tcBorders>
              <w:top w:val="nil"/>
              <w:left w:val="nil"/>
              <w:bottom w:val="nil"/>
              <w:right w:val="nil"/>
            </w:tcBorders>
            <w:shd w:val="clear" w:color="000000" w:fill="FFFFFF"/>
            <w:vAlign w:val="bottom"/>
            <w:hideMark/>
          </w:tcPr>
          <w:p w:rsidR="00F40941" w:rsidRPr="00B77B04" w:rsidP="000E69EF" w14:paraId="4E37BD3E"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bottom"/>
            <w:hideMark/>
          </w:tcPr>
          <w:p w:rsidR="00F40941" w:rsidRPr="00B77B04" w:rsidP="000E69EF" w14:paraId="4B63C5DF" w14:textId="77777777">
            <w:pPr>
              <w:jc w:val="right"/>
              <w:rPr>
                <w:sz w:val="13"/>
                <w:szCs w:val="13"/>
              </w:rPr>
            </w:pPr>
            <w:r w:rsidRPr="00B77B04">
              <w:rPr>
                <w:sz w:val="13"/>
                <w:szCs w:val="13"/>
              </w:rPr>
              <w:t> </w:t>
            </w:r>
          </w:p>
        </w:tc>
        <w:tc>
          <w:tcPr>
            <w:tcW w:w="898" w:type="dxa"/>
            <w:tcBorders>
              <w:top w:val="nil"/>
              <w:left w:val="nil"/>
              <w:bottom w:val="nil"/>
              <w:right w:val="nil"/>
            </w:tcBorders>
            <w:shd w:val="clear" w:color="000000" w:fill="FFFFFF"/>
            <w:vAlign w:val="bottom"/>
            <w:hideMark/>
          </w:tcPr>
          <w:p w:rsidR="00F40941" w:rsidRPr="00B77B04" w:rsidP="000E69EF" w14:paraId="4DAAC764" w14:textId="77777777">
            <w:pPr>
              <w:jc w:val="right"/>
              <w:rPr>
                <w:sz w:val="13"/>
                <w:szCs w:val="13"/>
              </w:rPr>
            </w:pPr>
            <w:r w:rsidRPr="00B77B04">
              <w:rPr>
                <w:sz w:val="13"/>
                <w:szCs w:val="13"/>
              </w:rPr>
              <w:t> </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2BB016D4" w14:textId="77777777">
            <w:pPr>
              <w:rPr>
                <w:sz w:val="13"/>
                <w:szCs w:val="13"/>
              </w:rPr>
            </w:pPr>
            <w:r w:rsidRPr="00B77B04">
              <w:rPr>
                <w:sz w:val="13"/>
                <w:szCs w:val="13"/>
              </w:rPr>
              <w:t> </w:t>
            </w:r>
          </w:p>
        </w:tc>
      </w:tr>
      <w:tr w14:paraId="1EAB085F" w14:textId="77777777" w:rsidTr="00F152E4">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4FBB41B9" w14:textId="77777777">
            <w:pPr>
              <w:rPr>
                <w:sz w:val="13"/>
                <w:szCs w:val="13"/>
              </w:rPr>
            </w:pPr>
            <w:r w:rsidRPr="00B77B04">
              <w:rPr>
                <w:sz w:val="13"/>
                <w:szCs w:val="13"/>
              </w:rPr>
              <w:t xml:space="preserve">SCA: Disposition of Collections: </w:t>
            </w:r>
            <w:r w:rsidRPr="00B77B04">
              <w:rPr>
                <w:sz w:val="13"/>
                <w:szCs w:val="13"/>
              </w:rPr>
              <w:br/>
              <w:t>(Increase)/Decrease in Amounts Yet to be Transferred (+/-)</w:t>
            </w:r>
          </w:p>
        </w:tc>
        <w:tc>
          <w:tcPr>
            <w:tcW w:w="900" w:type="dxa"/>
            <w:tcBorders>
              <w:top w:val="nil"/>
              <w:left w:val="nil"/>
              <w:right w:val="single" w:sz="8" w:space="0" w:color="auto"/>
            </w:tcBorders>
            <w:shd w:val="clear" w:color="000000" w:fill="FFFFFF"/>
            <w:vAlign w:val="bottom"/>
            <w:hideMark/>
          </w:tcPr>
          <w:p w:rsidR="00F40941" w:rsidRPr="00B77B04" w:rsidP="000E69EF" w14:paraId="5DD53D75" w14:textId="77777777">
            <w:pPr>
              <w:jc w:val="right"/>
              <w:rPr>
                <w:sz w:val="13"/>
                <w:szCs w:val="13"/>
              </w:rPr>
            </w:pPr>
            <w:r w:rsidRPr="00B77B04">
              <w:rPr>
                <w:sz w:val="13"/>
                <w:szCs w:val="13"/>
              </w:rPr>
              <w:t xml:space="preserve"> (4,356,742)</w:t>
            </w:r>
          </w:p>
        </w:tc>
        <w:tc>
          <w:tcPr>
            <w:tcW w:w="887" w:type="dxa"/>
            <w:tcBorders>
              <w:top w:val="nil"/>
              <w:left w:val="nil"/>
              <w:bottom w:val="nil"/>
              <w:right w:val="nil"/>
            </w:tcBorders>
            <w:shd w:val="clear" w:color="000000" w:fill="FFFFFF"/>
            <w:vAlign w:val="bottom"/>
            <w:hideMark/>
          </w:tcPr>
          <w:p w:rsidR="00F40941" w:rsidRPr="00B77B04" w:rsidP="000E69EF" w14:paraId="58A396E1" w14:textId="77777777">
            <w:pPr>
              <w:jc w:val="right"/>
              <w:rPr>
                <w:sz w:val="13"/>
                <w:szCs w:val="13"/>
              </w:rPr>
            </w:pPr>
            <w:r w:rsidRPr="00B77B04">
              <w:rPr>
                <w:sz w:val="13"/>
                <w:szCs w:val="13"/>
              </w:rPr>
              <w:t xml:space="preserve">   - </w:t>
            </w:r>
          </w:p>
        </w:tc>
        <w:tc>
          <w:tcPr>
            <w:tcW w:w="1071" w:type="dxa"/>
            <w:tcBorders>
              <w:top w:val="nil"/>
              <w:left w:val="nil"/>
              <w:bottom w:val="nil"/>
              <w:right w:val="nil"/>
            </w:tcBorders>
            <w:shd w:val="clear" w:color="000000" w:fill="FFFFFF"/>
            <w:vAlign w:val="bottom"/>
            <w:hideMark/>
          </w:tcPr>
          <w:p w:rsidR="00F40941" w:rsidRPr="00B77B04" w:rsidP="000E69EF" w14:paraId="16E02CBA" w14:textId="77777777">
            <w:pPr>
              <w:jc w:val="right"/>
              <w:rPr>
                <w:sz w:val="13"/>
                <w:szCs w:val="13"/>
              </w:rPr>
            </w:pPr>
            <w:r w:rsidRPr="00B77B04">
              <w:rPr>
                <w:sz w:val="13"/>
                <w:szCs w:val="13"/>
              </w:rPr>
              <w:t xml:space="preserve"> (4,356,742)</w:t>
            </w:r>
          </w:p>
        </w:tc>
        <w:tc>
          <w:tcPr>
            <w:tcW w:w="898" w:type="dxa"/>
            <w:tcBorders>
              <w:top w:val="nil"/>
              <w:left w:val="nil"/>
              <w:bottom w:val="nil"/>
              <w:right w:val="nil"/>
            </w:tcBorders>
            <w:shd w:val="clear" w:color="000000" w:fill="FFFFFF"/>
            <w:vAlign w:val="bottom"/>
            <w:hideMark/>
          </w:tcPr>
          <w:p w:rsidR="00F40941" w:rsidRPr="00B77B04" w:rsidP="000E69EF" w14:paraId="3120A022" w14:textId="77777777">
            <w:pPr>
              <w:jc w:val="right"/>
              <w:rPr>
                <w:sz w:val="13"/>
                <w:szCs w:val="13"/>
              </w:rPr>
            </w:pPr>
            <w:r w:rsidRPr="00B77B04">
              <w:rPr>
                <w:sz w:val="13"/>
                <w:szCs w:val="13"/>
              </w:rPr>
              <w:t xml:space="preserve"> (4,356,742)</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4BABF38B" w14:textId="77777777">
            <w:pPr>
              <w:rPr>
                <w:sz w:val="13"/>
                <w:szCs w:val="13"/>
              </w:rPr>
            </w:pPr>
            <w:r w:rsidRPr="00B77B04">
              <w:rPr>
                <w:sz w:val="13"/>
                <w:szCs w:val="13"/>
              </w:rPr>
              <w:t>Accrual for Non-Entity Amounts to be Collected and Transferred to the General Fund</w:t>
            </w:r>
          </w:p>
        </w:tc>
      </w:tr>
      <w:tr w14:paraId="0DAEC21A" w14:textId="77777777" w:rsidTr="00F152E4">
        <w:tblPrEx>
          <w:tblW w:w="5000" w:type="pct"/>
          <w:tblLook w:val="04A0"/>
        </w:tblPrEx>
        <w:trPr>
          <w:trHeight w:val="20"/>
        </w:trPr>
        <w:tc>
          <w:tcPr>
            <w:tcW w:w="2690" w:type="dxa"/>
            <w:tcBorders>
              <w:top w:val="nil"/>
              <w:left w:val="single" w:sz="8" w:space="0" w:color="auto"/>
              <w:right w:val="nil"/>
            </w:tcBorders>
            <w:shd w:val="clear" w:color="000000" w:fill="FFFFFF"/>
            <w:vAlign w:val="bottom"/>
            <w:hideMark/>
          </w:tcPr>
          <w:p w:rsidR="00F40941" w:rsidRPr="00B77B04" w:rsidP="004957F6" w14:paraId="226CD511" w14:textId="77777777">
            <w:pPr>
              <w:rPr>
                <w:sz w:val="13"/>
                <w:szCs w:val="13"/>
              </w:rPr>
            </w:pPr>
            <w:r w:rsidRPr="00B77B04">
              <w:rPr>
                <w:sz w:val="13"/>
                <w:szCs w:val="13"/>
              </w:rPr>
              <w:t>SCA: Disposition of Collections: Transferred to Others:</w:t>
            </w:r>
            <w:r w:rsidRPr="00B77B04">
              <w:rPr>
                <w:sz w:val="13"/>
                <w:szCs w:val="13"/>
              </w:rPr>
              <w:br/>
              <w:t>U.S. Treasury</w:t>
            </w:r>
          </w:p>
        </w:tc>
        <w:tc>
          <w:tcPr>
            <w:tcW w:w="900" w:type="dxa"/>
            <w:tcBorders>
              <w:top w:val="nil"/>
              <w:left w:val="nil"/>
              <w:right w:val="single" w:sz="8" w:space="0" w:color="auto"/>
            </w:tcBorders>
            <w:shd w:val="clear" w:color="000000" w:fill="FFFFFF"/>
            <w:vAlign w:val="bottom"/>
            <w:hideMark/>
          </w:tcPr>
          <w:p w:rsidR="00F40941" w:rsidRPr="00B77B04" w:rsidP="000E69EF" w14:paraId="4436BBA0" w14:textId="77777777">
            <w:pPr>
              <w:jc w:val="right"/>
              <w:rPr>
                <w:sz w:val="13"/>
                <w:szCs w:val="13"/>
              </w:rPr>
            </w:pPr>
            <w:r w:rsidRPr="00B77B04">
              <w:rPr>
                <w:sz w:val="13"/>
                <w:szCs w:val="13"/>
              </w:rPr>
              <w:t xml:space="preserve"> (2,786,204)</w:t>
            </w:r>
          </w:p>
        </w:tc>
        <w:tc>
          <w:tcPr>
            <w:tcW w:w="887" w:type="dxa"/>
            <w:tcBorders>
              <w:top w:val="nil"/>
              <w:left w:val="nil"/>
              <w:bottom w:val="nil"/>
              <w:right w:val="nil"/>
            </w:tcBorders>
            <w:shd w:val="clear" w:color="000000" w:fill="FFFFFF"/>
            <w:vAlign w:val="bottom"/>
            <w:hideMark/>
          </w:tcPr>
          <w:p w:rsidR="00F40941" w:rsidRPr="00B77B04" w:rsidP="000E69EF" w14:paraId="02C8C9C9"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bottom"/>
            <w:hideMark/>
          </w:tcPr>
          <w:p w:rsidR="00F40941" w:rsidRPr="00B77B04" w:rsidP="000E69EF" w14:paraId="6BF1E3A2" w14:textId="77777777">
            <w:pPr>
              <w:jc w:val="right"/>
              <w:rPr>
                <w:sz w:val="13"/>
                <w:szCs w:val="13"/>
              </w:rPr>
            </w:pPr>
            <w:r w:rsidRPr="00B77B04">
              <w:rPr>
                <w:sz w:val="13"/>
                <w:szCs w:val="13"/>
              </w:rPr>
              <w:t xml:space="preserve"> (2,820,781)</w:t>
            </w:r>
          </w:p>
        </w:tc>
        <w:tc>
          <w:tcPr>
            <w:tcW w:w="898" w:type="dxa"/>
            <w:tcBorders>
              <w:top w:val="nil"/>
              <w:left w:val="nil"/>
              <w:bottom w:val="nil"/>
              <w:right w:val="nil"/>
            </w:tcBorders>
            <w:shd w:val="clear" w:color="000000" w:fill="FFFFFF"/>
            <w:vAlign w:val="bottom"/>
            <w:hideMark/>
          </w:tcPr>
          <w:p w:rsidR="00F40941" w:rsidRPr="00B77B04" w:rsidP="000E69EF" w14:paraId="39B69FDC" w14:textId="77777777">
            <w:pPr>
              <w:jc w:val="right"/>
              <w:rPr>
                <w:sz w:val="13"/>
                <w:szCs w:val="13"/>
              </w:rPr>
            </w:pPr>
            <w:r w:rsidRPr="00B77B04">
              <w:rPr>
                <w:sz w:val="13"/>
                <w:szCs w:val="13"/>
              </w:rPr>
              <w:t xml:space="preserve"> (2,820,781)</w:t>
            </w:r>
          </w:p>
        </w:tc>
        <w:tc>
          <w:tcPr>
            <w:tcW w:w="2894" w:type="dxa"/>
            <w:tcBorders>
              <w:top w:val="nil"/>
              <w:left w:val="nil"/>
              <w:bottom w:val="nil"/>
              <w:right w:val="single" w:sz="8" w:space="0" w:color="auto"/>
            </w:tcBorders>
            <w:shd w:val="clear" w:color="000000" w:fill="FFFFFF"/>
            <w:vAlign w:val="bottom"/>
            <w:hideMark/>
          </w:tcPr>
          <w:p w:rsidR="00F40941" w:rsidRPr="00B77B04" w:rsidP="007738F3" w14:paraId="2E1F9BF5" w14:textId="77777777">
            <w:pPr>
              <w:rPr>
                <w:sz w:val="13"/>
                <w:szCs w:val="13"/>
              </w:rPr>
            </w:pPr>
            <w:r w:rsidRPr="00B77B04">
              <w:rPr>
                <w:sz w:val="13"/>
                <w:szCs w:val="13"/>
              </w:rPr>
              <w:t>Non-Entity Custodial Collections Transferred to the General Fund</w:t>
            </w:r>
          </w:p>
        </w:tc>
      </w:tr>
      <w:tr w14:paraId="1EDAD2D8" w14:textId="77777777" w:rsidTr="00F152E4">
        <w:tblPrEx>
          <w:tblW w:w="5000" w:type="pct"/>
          <w:tblLook w:val="04A0"/>
        </w:tblPrEx>
        <w:trPr>
          <w:trHeight w:val="20"/>
        </w:trPr>
        <w:tc>
          <w:tcPr>
            <w:tcW w:w="2690" w:type="dxa"/>
            <w:tcBorders>
              <w:top w:val="nil"/>
              <w:left w:val="single" w:sz="8" w:space="0" w:color="auto"/>
              <w:right w:val="nil"/>
            </w:tcBorders>
            <w:shd w:val="clear" w:color="000000" w:fill="FFFFFF"/>
            <w:vAlign w:val="bottom"/>
          </w:tcPr>
          <w:p w:rsidR="00905D49" w:rsidRPr="00B77B04" w:rsidP="004957F6" w14:paraId="78F2438E" w14:textId="77777777">
            <w:pPr>
              <w:rPr>
                <w:i/>
                <w:iCs/>
                <w:sz w:val="13"/>
                <w:szCs w:val="13"/>
              </w:rPr>
            </w:pPr>
          </w:p>
        </w:tc>
        <w:tc>
          <w:tcPr>
            <w:tcW w:w="900" w:type="dxa"/>
            <w:tcBorders>
              <w:left w:val="nil"/>
              <w:right w:val="single" w:sz="8" w:space="0" w:color="auto"/>
            </w:tcBorders>
            <w:shd w:val="clear" w:color="000000" w:fill="FFFFFF"/>
            <w:vAlign w:val="bottom"/>
          </w:tcPr>
          <w:p w:rsidR="00905D49" w:rsidRPr="00B77B04" w:rsidP="000E69EF" w14:paraId="01169B15" w14:textId="77777777">
            <w:pPr>
              <w:jc w:val="right"/>
              <w:rPr>
                <w:sz w:val="13"/>
                <w:szCs w:val="13"/>
              </w:rPr>
            </w:pPr>
          </w:p>
        </w:tc>
        <w:tc>
          <w:tcPr>
            <w:tcW w:w="887" w:type="dxa"/>
            <w:tcBorders>
              <w:top w:val="single" w:sz="4" w:space="0" w:color="auto"/>
              <w:left w:val="nil"/>
              <w:bottom w:val="single" w:sz="4" w:space="0" w:color="auto"/>
              <w:right w:val="nil"/>
            </w:tcBorders>
            <w:shd w:val="clear" w:color="000000" w:fill="FFFFFF"/>
            <w:vAlign w:val="bottom"/>
          </w:tcPr>
          <w:p w:rsidR="00905D49" w:rsidRPr="00B77B04" w:rsidP="000E69EF" w14:paraId="5B48337E" w14:textId="059C33AB">
            <w:pPr>
              <w:jc w:val="right"/>
              <w:rPr>
                <w:sz w:val="13"/>
                <w:szCs w:val="13"/>
              </w:rPr>
            </w:pPr>
            <w:r w:rsidRPr="00B77B04">
              <w:rPr>
                <w:sz w:val="13"/>
                <w:szCs w:val="13"/>
              </w:rPr>
              <w:t>-</w:t>
            </w:r>
          </w:p>
        </w:tc>
        <w:tc>
          <w:tcPr>
            <w:tcW w:w="1071" w:type="dxa"/>
            <w:tcBorders>
              <w:top w:val="single" w:sz="4" w:space="0" w:color="auto"/>
              <w:left w:val="nil"/>
              <w:bottom w:val="single" w:sz="4" w:space="0" w:color="auto"/>
              <w:right w:val="nil"/>
            </w:tcBorders>
            <w:shd w:val="clear" w:color="000000" w:fill="FFFFFF"/>
            <w:vAlign w:val="bottom"/>
          </w:tcPr>
          <w:p w:rsidR="00905D49" w:rsidRPr="00B77B04" w:rsidP="000E69EF" w14:paraId="7BEC51D2" w14:textId="670025E0">
            <w:pPr>
              <w:jc w:val="right"/>
              <w:rPr>
                <w:sz w:val="13"/>
                <w:szCs w:val="13"/>
              </w:rPr>
            </w:pPr>
            <w:r w:rsidRPr="00B77B04">
              <w:rPr>
                <w:sz w:val="13"/>
                <w:szCs w:val="13"/>
              </w:rPr>
              <w:t>(7,165,853)</w:t>
            </w:r>
          </w:p>
        </w:tc>
        <w:tc>
          <w:tcPr>
            <w:tcW w:w="898" w:type="dxa"/>
            <w:tcBorders>
              <w:top w:val="single" w:sz="4" w:space="0" w:color="auto"/>
              <w:left w:val="nil"/>
              <w:bottom w:val="single" w:sz="4" w:space="0" w:color="auto"/>
              <w:right w:val="nil"/>
            </w:tcBorders>
            <w:shd w:val="clear" w:color="000000" w:fill="FFFFFF"/>
            <w:vAlign w:val="bottom"/>
          </w:tcPr>
          <w:p w:rsidR="00905D49" w:rsidRPr="00B77B04" w:rsidP="000E69EF" w14:paraId="340BE3EB" w14:textId="784E7027">
            <w:pPr>
              <w:jc w:val="right"/>
              <w:rPr>
                <w:sz w:val="13"/>
                <w:szCs w:val="13"/>
              </w:rPr>
            </w:pPr>
            <w:r w:rsidRPr="00B77B04">
              <w:rPr>
                <w:sz w:val="13"/>
                <w:szCs w:val="13"/>
              </w:rPr>
              <w:t>(7,165,853)</w:t>
            </w:r>
          </w:p>
        </w:tc>
        <w:tc>
          <w:tcPr>
            <w:tcW w:w="2894" w:type="dxa"/>
            <w:tcBorders>
              <w:top w:val="nil"/>
              <w:left w:val="nil"/>
              <w:bottom w:val="single" w:sz="4" w:space="0" w:color="auto"/>
              <w:right w:val="single" w:sz="8" w:space="0" w:color="auto"/>
            </w:tcBorders>
            <w:shd w:val="clear" w:color="000000" w:fill="FFFFFF"/>
            <w:vAlign w:val="bottom"/>
          </w:tcPr>
          <w:p w:rsidR="00905D49" w:rsidRPr="00B77B04" w:rsidP="007738F3" w14:paraId="47338750" w14:textId="77F118A7">
            <w:pPr>
              <w:rPr>
                <w:i/>
                <w:iCs/>
                <w:sz w:val="13"/>
                <w:szCs w:val="13"/>
              </w:rPr>
            </w:pPr>
            <w:r w:rsidRPr="00B77B04">
              <w:rPr>
                <w:i/>
                <w:iCs/>
                <w:sz w:val="13"/>
                <w:szCs w:val="13"/>
              </w:rPr>
              <w:t xml:space="preserve">Total </w:t>
            </w:r>
            <w:r w:rsidR="00E5701E">
              <w:rPr>
                <w:i/>
                <w:iCs/>
                <w:sz w:val="13"/>
                <w:szCs w:val="13"/>
              </w:rPr>
              <w:t>Intragovernmental</w:t>
            </w:r>
            <w:r w:rsidRPr="00B77B04">
              <w:rPr>
                <w:i/>
                <w:iCs/>
                <w:sz w:val="13"/>
                <w:szCs w:val="13"/>
              </w:rPr>
              <w:t xml:space="preserve"> Other</w:t>
            </w:r>
          </w:p>
        </w:tc>
      </w:tr>
      <w:tr w14:paraId="0D0D07A8" w14:textId="77777777" w:rsidTr="00F152E4">
        <w:tblPrEx>
          <w:tblW w:w="5000" w:type="pct"/>
          <w:tblLook w:val="04A0"/>
        </w:tblPrEx>
        <w:trPr>
          <w:trHeight w:val="20"/>
        </w:trPr>
        <w:tc>
          <w:tcPr>
            <w:tcW w:w="2690" w:type="dxa"/>
            <w:tcBorders>
              <w:left w:val="single" w:sz="8" w:space="0" w:color="auto"/>
              <w:bottom w:val="single" w:sz="4" w:space="0" w:color="auto"/>
              <w:right w:val="nil"/>
            </w:tcBorders>
            <w:shd w:val="clear" w:color="000000" w:fill="FFFFFF"/>
            <w:vAlign w:val="bottom"/>
            <w:hideMark/>
          </w:tcPr>
          <w:p w:rsidR="00F40941" w:rsidRPr="00B77B04" w:rsidP="004957F6" w14:paraId="0459067D" w14:textId="77777777">
            <w:pPr>
              <w:rPr>
                <w:i/>
                <w:iCs/>
                <w:sz w:val="13"/>
                <w:szCs w:val="13"/>
              </w:rPr>
            </w:pPr>
            <w:r w:rsidRPr="00B77B04">
              <w:rPr>
                <w:i/>
                <w:iCs/>
                <w:sz w:val="13"/>
                <w:szCs w:val="13"/>
              </w:rPr>
              <w:t>Total Other</w:t>
            </w:r>
          </w:p>
        </w:tc>
        <w:tc>
          <w:tcPr>
            <w:tcW w:w="900" w:type="dxa"/>
            <w:tcBorders>
              <w:left w:val="nil"/>
              <w:bottom w:val="single" w:sz="4" w:space="0" w:color="auto"/>
              <w:right w:val="single" w:sz="8" w:space="0" w:color="auto"/>
            </w:tcBorders>
            <w:shd w:val="clear" w:color="000000" w:fill="FFFFFF"/>
            <w:vAlign w:val="bottom"/>
            <w:hideMark/>
          </w:tcPr>
          <w:p w:rsidR="00F40941" w:rsidRPr="00B77B04" w:rsidP="000E69EF" w14:paraId="665A8EDF" w14:textId="77777777">
            <w:pPr>
              <w:jc w:val="right"/>
              <w:rPr>
                <w:sz w:val="13"/>
                <w:szCs w:val="13"/>
              </w:rPr>
            </w:pPr>
            <w:r w:rsidRPr="00B77B04">
              <w:rPr>
                <w:sz w:val="13"/>
                <w:szCs w:val="13"/>
              </w:rPr>
              <w:t xml:space="preserve"> (7,165,853)</w:t>
            </w:r>
          </w:p>
        </w:tc>
        <w:tc>
          <w:tcPr>
            <w:tcW w:w="887" w:type="dxa"/>
            <w:tcBorders>
              <w:top w:val="single" w:sz="4" w:space="0" w:color="auto"/>
              <w:left w:val="nil"/>
              <w:bottom w:val="single" w:sz="4" w:space="0" w:color="auto"/>
              <w:right w:val="nil"/>
            </w:tcBorders>
            <w:shd w:val="clear" w:color="000000" w:fill="FFFFFF"/>
            <w:vAlign w:val="bottom"/>
            <w:hideMark/>
          </w:tcPr>
          <w:p w:rsidR="00F40941" w:rsidRPr="00B77B04" w:rsidP="000E69EF" w14:paraId="3B27FA52" w14:textId="77777777">
            <w:pPr>
              <w:jc w:val="right"/>
              <w:rPr>
                <w:sz w:val="13"/>
                <w:szCs w:val="13"/>
              </w:rPr>
            </w:pPr>
            <w:r w:rsidRPr="00B77B04">
              <w:rPr>
                <w:sz w:val="13"/>
                <w:szCs w:val="13"/>
              </w:rPr>
              <w:t xml:space="preserve">   - </w:t>
            </w:r>
          </w:p>
        </w:tc>
        <w:tc>
          <w:tcPr>
            <w:tcW w:w="1071" w:type="dxa"/>
            <w:tcBorders>
              <w:top w:val="single" w:sz="4" w:space="0" w:color="auto"/>
              <w:left w:val="nil"/>
              <w:bottom w:val="single" w:sz="4" w:space="0" w:color="auto"/>
              <w:right w:val="nil"/>
            </w:tcBorders>
            <w:shd w:val="clear" w:color="000000" w:fill="FFFFFF"/>
            <w:vAlign w:val="bottom"/>
            <w:hideMark/>
          </w:tcPr>
          <w:p w:rsidR="00F40941" w:rsidRPr="00B77B04" w:rsidP="000E69EF" w14:paraId="07BAF88E" w14:textId="77777777">
            <w:pPr>
              <w:jc w:val="right"/>
              <w:rPr>
                <w:sz w:val="13"/>
                <w:szCs w:val="13"/>
              </w:rPr>
            </w:pPr>
            <w:r w:rsidRPr="00B77B04">
              <w:rPr>
                <w:sz w:val="13"/>
                <w:szCs w:val="13"/>
              </w:rPr>
              <w:t xml:space="preserve"> (7,165,853)</w:t>
            </w:r>
          </w:p>
        </w:tc>
        <w:tc>
          <w:tcPr>
            <w:tcW w:w="898" w:type="dxa"/>
            <w:tcBorders>
              <w:top w:val="single" w:sz="4" w:space="0" w:color="auto"/>
              <w:left w:val="nil"/>
              <w:bottom w:val="single" w:sz="4" w:space="0" w:color="auto"/>
              <w:right w:val="nil"/>
            </w:tcBorders>
            <w:shd w:val="clear" w:color="000000" w:fill="FFFFFF"/>
            <w:vAlign w:val="bottom"/>
            <w:hideMark/>
          </w:tcPr>
          <w:p w:rsidR="00F40941" w:rsidRPr="00B77B04" w:rsidP="000E69EF" w14:paraId="2ADE0E1E" w14:textId="77777777">
            <w:pPr>
              <w:jc w:val="right"/>
              <w:rPr>
                <w:sz w:val="13"/>
                <w:szCs w:val="13"/>
              </w:rPr>
            </w:pPr>
            <w:r w:rsidRPr="00B77B04">
              <w:rPr>
                <w:sz w:val="13"/>
                <w:szCs w:val="13"/>
              </w:rPr>
              <w:t xml:space="preserve"> (7,165,853)</w:t>
            </w:r>
          </w:p>
        </w:tc>
        <w:tc>
          <w:tcPr>
            <w:tcW w:w="2894" w:type="dxa"/>
            <w:tcBorders>
              <w:top w:val="nil"/>
              <w:left w:val="nil"/>
              <w:bottom w:val="single" w:sz="4" w:space="0" w:color="auto"/>
              <w:right w:val="single" w:sz="8" w:space="0" w:color="auto"/>
            </w:tcBorders>
            <w:shd w:val="clear" w:color="000000" w:fill="FFFFFF"/>
            <w:vAlign w:val="bottom"/>
            <w:hideMark/>
          </w:tcPr>
          <w:p w:rsidR="00F40941" w:rsidRPr="00B77B04" w:rsidP="007738F3" w14:paraId="23D06706" w14:textId="77777777">
            <w:pPr>
              <w:rPr>
                <w:i/>
                <w:iCs/>
                <w:sz w:val="13"/>
                <w:szCs w:val="13"/>
              </w:rPr>
            </w:pPr>
            <w:r w:rsidRPr="00B77B04">
              <w:rPr>
                <w:i/>
                <w:iCs/>
                <w:sz w:val="13"/>
                <w:szCs w:val="13"/>
              </w:rPr>
              <w:t>Total Reclassified Other</w:t>
            </w:r>
          </w:p>
        </w:tc>
      </w:tr>
      <w:tr w14:paraId="552AD600"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47EB6D88" w14:textId="77777777">
            <w:pPr>
              <w:rPr>
                <w:sz w:val="13"/>
                <w:szCs w:val="13"/>
              </w:rPr>
            </w:pPr>
            <w:r w:rsidRPr="00B77B04">
              <w:rPr>
                <w:sz w:val="13"/>
                <w:szCs w:val="13"/>
              </w:rPr>
              <w:t>SCA: Reverse Incentive Auction winning bidders</w:t>
            </w:r>
            <w:r w:rsidRPr="00B77B04">
              <w:rPr>
                <w:sz w:val="13"/>
                <w:szCs w:val="13"/>
                <w:vertAlign w:val="superscript"/>
              </w:rPr>
              <w:t>5</w:t>
            </w:r>
          </w:p>
        </w:tc>
        <w:tc>
          <w:tcPr>
            <w:tcW w:w="900" w:type="dxa"/>
            <w:tcBorders>
              <w:top w:val="nil"/>
              <w:left w:val="nil"/>
              <w:bottom w:val="nil"/>
              <w:right w:val="single" w:sz="4" w:space="0" w:color="auto"/>
            </w:tcBorders>
            <w:shd w:val="clear" w:color="000000" w:fill="FFFFFF"/>
            <w:vAlign w:val="center"/>
            <w:hideMark/>
          </w:tcPr>
          <w:p w:rsidR="00F40941" w:rsidRPr="00B77B04" w:rsidP="000E69EF" w14:paraId="2DD5C868" w14:textId="77777777">
            <w:pPr>
              <w:jc w:val="right"/>
              <w:rPr>
                <w:sz w:val="13"/>
                <w:szCs w:val="13"/>
              </w:rPr>
            </w:pPr>
            <w:r w:rsidRPr="00B77B04">
              <w:rPr>
                <w:sz w:val="13"/>
                <w:szCs w:val="13"/>
              </w:rPr>
              <w:t xml:space="preserve"> (3,084,173)</w:t>
            </w:r>
          </w:p>
        </w:tc>
        <w:tc>
          <w:tcPr>
            <w:tcW w:w="887" w:type="dxa"/>
            <w:tcBorders>
              <w:top w:val="nil"/>
              <w:left w:val="nil"/>
              <w:bottom w:val="nil"/>
              <w:right w:val="nil"/>
            </w:tcBorders>
            <w:shd w:val="clear" w:color="000000" w:fill="FFFFFF"/>
            <w:vAlign w:val="center"/>
            <w:hideMark/>
          </w:tcPr>
          <w:p w:rsidR="00F40941" w:rsidRPr="00B77B04" w:rsidP="000E69EF" w14:paraId="7D761AFD"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center"/>
            <w:hideMark/>
          </w:tcPr>
          <w:p w:rsidR="00F40941" w:rsidRPr="00B77B04" w:rsidP="000E69EF" w14:paraId="36F65A9D" w14:textId="77777777">
            <w:pPr>
              <w:jc w:val="right"/>
              <w:rPr>
                <w:sz w:val="13"/>
                <w:szCs w:val="13"/>
              </w:rPr>
            </w:pPr>
            <w:r w:rsidRPr="00B77B04">
              <w:rPr>
                <w:sz w:val="13"/>
                <w:szCs w:val="13"/>
              </w:rPr>
              <w:t> </w:t>
            </w:r>
          </w:p>
        </w:tc>
        <w:tc>
          <w:tcPr>
            <w:tcW w:w="898" w:type="dxa"/>
            <w:tcBorders>
              <w:top w:val="nil"/>
              <w:left w:val="nil"/>
              <w:bottom w:val="nil"/>
              <w:right w:val="nil"/>
            </w:tcBorders>
            <w:shd w:val="clear" w:color="000000" w:fill="FFFFFF"/>
            <w:vAlign w:val="center"/>
            <w:hideMark/>
          </w:tcPr>
          <w:p w:rsidR="00F40941" w:rsidRPr="00B77B04" w:rsidP="000E69EF" w14:paraId="23FF18DF" w14:textId="77777777">
            <w:pPr>
              <w:jc w:val="right"/>
              <w:rPr>
                <w:sz w:val="13"/>
                <w:szCs w:val="13"/>
              </w:rPr>
            </w:pPr>
            <w:r w:rsidRPr="00B77B04">
              <w:rPr>
                <w:sz w:val="13"/>
                <w:szCs w:val="13"/>
              </w:rPr>
              <w:t> </w:t>
            </w:r>
          </w:p>
        </w:tc>
        <w:tc>
          <w:tcPr>
            <w:tcW w:w="2894" w:type="dxa"/>
            <w:tcBorders>
              <w:top w:val="nil"/>
              <w:left w:val="nil"/>
              <w:bottom w:val="nil"/>
              <w:right w:val="single" w:sz="8" w:space="0" w:color="auto"/>
            </w:tcBorders>
            <w:shd w:val="clear" w:color="000000" w:fill="FFFFFF"/>
            <w:vAlign w:val="center"/>
            <w:hideMark/>
          </w:tcPr>
          <w:p w:rsidR="00F40941" w:rsidRPr="00B77B04" w:rsidP="007738F3" w14:paraId="0C69E2B4" w14:textId="77777777">
            <w:pPr>
              <w:rPr>
                <w:sz w:val="13"/>
                <w:szCs w:val="13"/>
              </w:rPr>
            </w:pPr>
            <w:r w:rsidRPr="00B77B04">
              <w:rPr>
                <w:sz w:val="13"/>
                <w:szCs w:val="13"/>
              </w:rPr>
              <w:t> </w:t>
            </w:r>
          </w:p>
        </w:tc>
      </w:tr>
      <w:tr w14:paraId="7FA06E83"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6760AA32" w14:textId="77777777">
            <w:pPr>
              <w:rPr>
                <w:sz w:val="13"/>
                <w:szCs w:val="13"/>
              </w:rPr>
            </w:pPr>
            <w:r w:rsidRPr="00B77B04">
              <w:rPr>
                <w:sz w:val="13"/>
                <w:szCs w:val="13"/>
              </w:rPr>
              <w:t>SCA: Disposition of Collections: Refunds and Other Payments Auctions, Salaries &amp; Expenses (FCC)</w:t>
            </w:r>
            <w:r w:rsidRPr="00B77B04">
              <w:rPr>
                <w:sz w:val="13"/>
                <w:szCs w:val="13"/>
                <w:vertAlign w:val="superscript"/>
              </w:rPr>
              <w:t xml:space="preserve">4 </w:t>
            </w:r>
          </w:p>
        </w:tc>
        <w:tc>
          <w:tcPr>
            <w:tcW w:w="900" w:type="dxa"/>
            <w:tcBorders>
              <w:top w:val="nil"/>
              <w:left w:val="nil"/>
              <w:bottom w:val="nil"/>
              <w:right w:val="single" w:sz="4" w:space="0" w:color="auto"/>
            </w:tcBorders>
            <w:shd w:val="clear" w:color="000000" w:fill="FFFFFF"/>
            <w:vAlign w:val="center"/>
            <w:hideMark/>
          </w:tcPr>
          <w:p w:rsidR="00F40941" w:rsidRPr="00B77B04" w:rsidP="000E69EF" w14:paraId="026E2519" w14:textId="77777777">
            <w:pPr>
              <w:jc w:val="right"/>
              <w:rPr>
                <w:sz w:val="13"/>
                <w:szCs w:val="13"/>
              </w:rPr>
            </w:pPr>
            <w:r w:rsidRPr="00B77B04">
              <w:rPr>
                <w:sz w:val="13"/>
                <w:szCs w:val="13"/>
              </w:rPr>
              <w:t xml:space="preserve">  (132,539)</w:t>
            </w:r>
          </w:p>
        </w:tc>
        <w:tc>
          <w:tcPr>
            <w:tcW w:w="887" w:type="dxa"/>
            <w:tcBorders>
              <w:top w:val="nil"/>
              <w:left w:val="nil"/>
              <w:bottom w:val="nil"/>
              <w:right w:val="nil"/>
            </w:tcBorders>
            <w:shd w:val="clear" w:color="000000" w:fill="FFFFFF"/>
            <w:vAlign w:val="center"/>
            <w:hideMark/>
          </w:tcPr>
          <w:p w:rsidR="00F40941" w:rsidRPr="00B77B04" w:rsidP="000E69EF" w14:paraId="5691D6E5"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center"/>
            <w:hideMark/>
          </w:tcPr>
          <w:p w:rsidR="00F40941" w:rsidRPr="00B77B04" w:rsidP="000E69EF" w14:paraId="33EDEC7B" w14:textId="77777777">
            <w:pPr>
              <w:jc w:val="right"/>
              <w:rPr>
                <w:sz w:val="13"/>
                <w:szCs w:val="13"/>
              </w:rPr>
            </w:pPr>
            <w:r w:rsidRPr="00B77B04">
              <w:rPr>
                <w:sz w:val="13"/>
                <w:szCs w:val="13"/>
              </w:rPr>
              <w:t> </w:t>
            </w:r>
          </w:p>
        </w:tc>
        <w:tc>
          <w:tcPr>
            <w:tcW w:w="898" w:type="dxa"/>
            <w:tcBorders>
              <w:top w:val="nil"/>
              <w:left w:val="nil"/>
              <w:bottom w:val="nil"/>
              <w:right w:val="nil"/>
            </w:tcBorders>
            <w:shd w:val="clear" w:color="000000" w:fill="FFFFFF"/>
            <w:vAlign w:val="center"/>
            <w:hideMark/>
          </w:tcPr>
          <w:p w:rsidR="00F40941" w:rsidRPr="00B77B04" w:rsidP="000E69EF" w14:paraId="4995FAA2" w14:textId="77777777">
            <w:pPr>
              <w:jc w:val="right"/>
              <w:rPr>
                <w:sz w:val="13"/>
                <w:szCs w:val="13"/>
              </w:rPr>
            </w:pPr>
            <w:r w:rsidRPr="00B77B04">
              <w:rPr>
                <w:sz w:val="13"/>
                <w:szCs w:val="13"/>
              </w:rPr>
              <w:t> </w:t>
            </w:r>
          </w:p>
        </w:tc>
        <w:tc>
          <w:tcPr>
            <w:tcW w:w="2894" w:type="dxa"/>
            <w:tcBorders>
              <w:top w:val="nil"/>
              <w:left w:val="nil"/>
              <w:bottom w:val="nil"/>
              <w:right w:val="single" w:sz="8" w:space="0" w:color="auto"/>
            </w:tcBorders>
            <w:shd w:val="clear" w:color="000000" w:fill="FFFFFF"/>
            <w:vAlign w:val="center"/>
            <w:hideMark/>
          </w:tcPr>
          <w:p w:rsidR="00F40941" w:rsidRPr="00B77B04" w:rsidP="007738F3" w14:paraId="19BCEB6D" w14:textId="77777777">
            <w:pPr>
              <w:rPr>
                <w:sz w:val="13"/>
                <w:szCs w:val="13"/>
              </w:rPr>
            </w:pPr>
            <w:r w:rsidRPr="00B77B04">
              <w:rPr>
                <w:sz w:val="13"/>
                <w:szCs w:val="13"/>
              </w:rPr>
              <w:t> </w:t>
            </w:r>
          </w:p>
        </w:tc>
      </w:tr>
      <w:tr w14:paraId="0C41153F" w14:textId="77777777" w:rsidTr="00E90AC7">
        <w:tblPrEx>
          <w:tblW w:w="5000" w:type="pct"/>
          <w:tblLook w:val="04A0"/>
        </w:tblPrEx>
        <w:trPr>
          <w:trHeight w:val="20"/>
        </w:trPr>
        <w:tc>
          <w:tcPr>
            <w:tcW w:w="2690" w:type="dxa"/>
            <w:tcBorders>
              <w:top w:val="nil"/>
              <w:left w:val="single" w:sz="8" w:space="0" w:color="auto"/>
              <w:bottom w:val="single" w:sz="4" w:space="0" w:color="auto"/>
              <w:right w:val="nil"/>
            </w:tcBorders>
            <w:shd w:val="clear" w:color="000000" w:fill="FFFFFF"/>
            <w:vAlign w:val="bottom"/>
            <w:hideMark/>
          </w:tcPr>
          <w:p w:rsidR="00F40941" w:rsidRPr="00B77B04" w:rsidP="004957F6" w14:paraId="48BCA774" w14:textId="77777777">
            <w:pPr>
              <w:rPr>
                <w:b/>
                <w:bCs/>
                <w:sz w:val="13"/>
                <w:szCs w:val="13"/>
              </w:rPr>
            </w:pPr>
            <w:r w:rsidRPr="00B77B04">
              <w:rPr>
                <w:b/>
                <w:bCs/>
                <w:sz w:val="13"/>
                <w:szCs w:val="13"/>
              </w:rPr>
              <w:t>Total Financing Sources</w:t>
            </w:r>
          </w:p>
        </w:tc>
        <w:tc>
          <w:tcPr>
            <w:tcW w:w="900" w:type="dxa"/>
            <w:tcBorders>
              <w:top w:val="single" w:sz="4" w:space="0" w:color="auto"/>
              <w:left w:val="nil"/>
              <w:bottom w:val="single" w:sz="8" w:space="0" w:color="auto"/>
              <w:right w:val="single" w:sz="4" w:space="0" w:color="auto"/>
            </w:tcBorders>
            <w:shd w:val="clear" w:color="000000" w:fill="FFFFFF"/>
            <w:vAlign w:val="center"/>
            <w:hideMark/>
          </w:tcPr>
          <w:p w:rsidR="00F40941" w:rsidRPr="00B77B04" w:rsidP="000E69EF" w14:paraId="0870DD64" w14:textId="77777777">
            <w:pPr>
              <w:jc w:val="right"/>
              <w:rPr>
                <w:sz w:val="13"/>
                <w:szCs w:val="13"/>
              </w:rPr>
            </w:pPr>
            <w:r w:rsidRPr="00B77B04">
              <w:rPr>
                <w:sz w:val="13"/>
                <w:szCs w:val="13"/>
              </w:rPr>
              <w:t xml:space="preserve"> 9,429,256 </w:t>
            </w:r>
          </w:p>
        </w:tc>
        <w:tc>
          <w:tcPr>
            <w:tcW w:w="887" w:type="dxa"/>
            <w:tcBorders>
              <w:top w:val="nil"/>
              <w:left w:val="nil"/>
              <w:bottom w:val="nil"/>
              <w:right w:val="nil"/>
            </w:tcBorders>
            <w:shd w:val="clear" w:color="000000" w:fill="FFFFFF"/>
            <w:vAlign w:val="center"/>
            <w:hideMark/>
          </w:tcPr>
          <w:p w:rsidR="00F40941" w:rsidRPr="00B77B04" w:rsidP="000E69EF" w14:paraId="6CEA0D68"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center"/>
            <w:hideMark/>
          </w:tcPr>
          <w:p w:rsidR="00F40941" w:rsidRPr="00B77B04" w:rsidP="000E69EF" w14:paraId="6A1144F1" w14:textId="77777777">
            <w:pPr>
              <w:jc w:val="right"/>
              <w:rPr>
                <w:sz w:val="13"/>
                <w:szCs w:val="13"/>
              </w:rPr>
            </w:pPr>
            <w:r w:rsidRPr="00B77B04">
              <w:rPr>
                <w:sz w:val="13"/>
                <w:szCs w:val="13"/>
              </w:rPr>
              <w:t> </w:t>
            </w:r>
          </w:p>
        </w:tc>
        <w:tc>
          <w:tcPr>
            <w:tcW w:w="898" w:type="dxa"/>
            <w:tcBorders>
              <w:top w:val="nil"/>
              <w:left w:val="nil"/>
              <w:bottom w:val="nil"/>
              <w:right w:val="nil"/>
            </w:tcBorders>
            <w:shd w:val="clear" w:color="000000" w:fill="FFFFFF"/>
            <w:vAlign w:val="center"/>
            <w:hideMark/>
          </w:tcPr>
          <w:p w:rsidR="00F40941" w:rsidRPr="00B77B04" w:rsidP="000E69EF" w14:paraId="338EBCA0" w14:textId="77777777">
            <w:pPr>
              <w:jc w:val="right"/>
              <w:rPr>
                <w:sz w:val="13"/>
                <w:szCs w:val="13"/>
              </w:rPr>
            </w:pPr>
            <w:r w:rsidRPr="00B77B04">
              <w:rPr>
                <w:sz w:val="13"/>
                <w:szCs w:val="13"/>
              </w:rPr>
              <w:t> </w:t>
            </w:r>
          </w:p>
        </w:tc>
        <w:tc>
          <w:tcPr>
            <w:tcW w:w="2894" w:type="dxa"/>
            <w:tcBorders>
              <w:top w:val="nil"/>
              <w:left w:val="nil"/>
              <w:bottom w:val="nil"/>
              <w:right w:val="single" w:sz="8" w:space="0" w:color="auto"/>
            </w:tcBorders>
            <w:shd w:val="clear" w:color="000000" w:fill="FFFFFF"/>
            <w:vAlign w:val="center"/>
            <w:hideMark/>
          </w:tcPr>
          <w:p w:rsidR="00F40941" w:rsidRPr="00B77B04" w:rsidP="007738F3" w14:paraId="05E70F42" w14:textId="77777777">
            <w:pPr>
              <w:rPr>
                <w:b/>
                <w:bCs/>
                <w:sz w:val="13"/>
                <w:szCs w:val="13"/>
              </w:rPr>
            </w:pPr>
            <w:r w:rsidRPr="00B77B04">
              <w:rPr>
                <w:b/>
                <w:bCs/>
                <w:sz w:val="13"/>
                <w:szCs w:val="13"/>
              </w:rPr>
              <w:t> </w:t>
            </w:r>
          </w:p>
        </w:tc>
      </w:tr>
      <w:tr w14:paraId="7456D996"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37D8C331" w14:textId="77777777">
            <w:pPr>
              <w:rPr>
                <w:b/>
                <w:bCs/>
                <w:sz w:val="13"/>
                <w:szCs w:val="13"/>
              </w:rPr>
            </w:pPr>
            <w:r w:rsidRPr="00B77B04">
              <w:rPr>
                <w:b/>
                <w:bCs/>
                <w:sz w:val="13"/>
                <w:szCs w:val="13"/>
              </w:rPr>
              <w:t>Net Cost of Operations</w:t>
            </w:r>
          </w:p>
        </w:tc>
        <w:tc>
          <w:tcPr>
            <w:tcW w:w="900" w:type="dxa"/>
            <w:tcBorders>
              <w:top w:val="single" w:sz="8" w:space="0" w:color="auto"/>
              <w:left w:val="nil"/>
              <w:bottom w:val="nil"/>
              <w:right w:val="single" w:sz="8" w:space="0" w:color="auto"/>
            </w:tcBorders>
            <w:shd w:val="clear" w:color="000000" w:fill="FFFFFF"/>
            <w:vAlign w:val="center"/>
            <w:hideMark/>
          </w:tcPr>
          <w:p w:rsidR="00F40941" w:rsidRPr="00B77B04" w:rsidP="000E69EF" w14:paraId="11C4F636" w14:textId="77777777">
            <w:pPr>
              <w:jc w:val="right"/>
              <w:rPr>
                <w:sz w:val="13"/>
                <w:szCs w:val="13"/>
              </w:rPr>
            </w:pPr>
            <w:r w:rsidRPr="00B77B04">
              <w:rPr>
                <w:sz w:val="13"/>
                <w:szCs w:val="13"/>
              </w:rPr>
              <w:t xml:space="preserve"> 10,367,032 </w:t>
            </w:r>
          </w:p>
        </w:tc>
        <w:tc>
          <w:tcPr>
            <w:tcW w:w="887" w:type="dxa"/>
            <w:tcBorders>
              <w:top w:val="nil"/>
              <w:left w:val="nil"/>
              <w:bottom w:val="nil"/>
              <w:right w:val="nil"/>
            </w:tcBorders>
            <w:shd w:val="clear" w:color="000000" w:fill="FFFFFF"/>
            <w:vAlign w:val="center"/>
            <w:hideMark/>
          </w:tcPr>
          <w:p w:rsidR="00F40941" w:rsidRPr="00B77B04" w:rsidP="000E69EF" w14:paraId="4C262D10" w14:textId="77777777">
            <w:pPr>
              <w:jc w:val="right"/>
              <w:rPr>
                <w:sz w:val="13"/>
                <w:szCs w:val="13"/>
              </w:rPr>
            </w:pPr>
            <w:r w:rsidRPr="00B77B04">
              <w:rPr>
                <w:sz w:val="13"/>
                <w:szCs w:val="13"/>
              </w:rPr>
              <w:t xml:space="preserve"> 10,303,597 </w:t>
            </w:r>
          </w:p>
        </w:tc>
        <w:tc>
          <w:tcPr>
            <w:tcW w:w="1071" w:type="dxa"/>
            <w:tcBorders>
              <w:top w:val="nil"/>
              <w:left w:val="nil"/>
              <w:bottom w:val="nil"/>
              <w:right w:val="nil"/>
            </w:tcBorders>
            <w:shd w:val="clear" w:color="000000" w:fill="FFFFFF"/>
            <w:vAlign w:val="center"/>
            <w:hideMark/>
          </w:tcPr>
          <w:p w:rsidR="00F40941" w:rsidRPr="00B77B04" w:rsidP="000E69EF" w14:paraId="6F9BA889" w14:textId="77777777">
            <w:pPr>
              <w:jc w:val="right"/>
              <w:rPr>
                <w:sz w:val="13"/>
                <w:szCs w:val="13"/>
              </w:rPr>
            </w:pPr>
            <w:r w:rsidRPr="00B77B04">
              <w:rPr>
                <w:sz w:val="13"/>
                <w:szCs w:val="13"/>
              </w:rPr>
              <w:t xml:space="preserve"> 3,280,147 </w:t>
            </w:r>
          </w:p>
        </w:tc>
        <w:tc>
          <w:tcPr>
            <w:tcW w:w="898" w:type="dxa"/>
            <w:tcBorders>
              <w:top w:val="nil"/>
              <w:left w:val="nil"/>
              <w:bottom w:val="nil"/>
              <w:right w:val="nil"/>
            </w:tcBorders>
            <w:shd w:val="clear" w:color="000000" w:fill="FFFFFF"/>
            <w:vAlign w:val="center"/>
            <w:hideMark/>
          </w:tcPr>
          <w:p w:rsidR="00F40941" w:rsidRPr="00B77B04" w:rsidP="000E69EF" w14:paraId="419D74EC" w14:textId="77777777">
            <w:pPr>
              <w:jc w:val="right"/>
              <w:rPr>
                <w:sz w:val="13"/>
                <w:szCs w:val="13"/>
              </w:rPr>
            </w:pPr>
            <w:r w:rsidRPr="00B77B04">
              <w:rPr>
                <w:sz w:val="13"/>
                <w:szCs w:val="13"/>
              </w:rPr>
              <w:t xml:space="preserve"> 13,583,744 </w:t>
            </w:r>
          </w:p>
        </w:tc>
        <w:tc>
          <w:tcPr>
            <w:tcW w:w="2894" w:type="dxa"/>
            <w:tcBorders>
              <w:top w:val="nil"/>
              <w:left w:val="nil"/>
              <w:bottom w:val="nil"/>
              <w:right w:val="single" w:sz="8" w:space="0" w:color="auto"/>
            </w:tcBorders>
            <w:shd w:val="clear" w:color="000000" w:fill="FFFFFF"/>
            <w:vAlign w:val="center"/>
            <w:hideMark/>
          </w:tcPr>
          <w:p w:rsidR="00F40941" w:rsidRPr="00B77B04" w:rsidP="007738F3" w14:paraId="509B63F7" w14:textId="77777777">
            <w:pPr>
              <w:rPr>
                <w:b/>
                <w:bCs/>
                <w:sz w:val="13"/>
                <w:szCs w:val="13"/>
              </w:rPr>
            </w:pPr>
            <w:r w:rsidRPr="00B77B04">
              <w:rPr>
                <w:b/>
                <w:bCs/>
                <w:sz w:val="13"/>
                <w:szCs w:val="13"/>
              </w:rPr>
              <w:t>Net Cost of Operations</w:t>
            </w:r>
          </w:p>
        </w:tc>
      </w:tr>
      <w:tr w14:paraId="49293023" w14:textId="77777777" w:rsidTr="00E90AC7">
        <w:tblPrEx>
          <w:tblW w:w="5000" w:type="pct"/>
          <w:tblLook w:val="04A0"/>
        </w:tblPrEx>
        <w:trPr>
          <w:trHeight w:val="20"/>
        </w:trPr>
        <w:tc>
          <w:tcPr>
            <w:tcW w:w="2690" w:type="dxa"/>
            <w:tcBorders>
              <w:top w:val="nil"/>
              <w:left w:val="single" w:sz="8" w:space="0" w:color="auto"/>
              <w:bottom w:val="nil"/>
              <w:right w:val="nil"/>
            </w:tcBorders>
            <w:shd w:val="clear" w:color="000000" w:fill="FFFFFF"/>
            <w:vAlign w:val="bottom"/>
            <w:hideMark/>
          </w:tcPr>
          <w:p w:rsidR="00F40941" w:rsidRPr="00B77B04" w:rsidP="004957F6" w14:paraId="42E64E0C" w14:textId="77777777">
            <w:pPr>
              <w:rPr>
                <w:b/>
                <w:bCs/>
                <w:sz w:val="13"/>
                <w:szCs w:val="13"/>
              </w:rPr>
            </w:pPr>
            <w:r w:rsidRPr="00B77B04">
              <w:rPr>
                <w:b/>
                <w:bCs/>
                <w:sz w:val="13"/>
                <w:szCs w:val="13"/>
              </w:rPr>
              <w:t>Ending Balance – Cumulative Results of Operations</w:t>
            </w:r>
          </w:p>
        </w:tc>
        <w:tc>
          <w:tcPr>
            <w:tcW w:w="900" w:type="dxa"/>
            <w:tcBorders>
              <w:top w:val="nil"/>
              <w:left w:val="nil"/>
              <w:bottom w:val="single" w:sz="8" w:space="0" w:color="auto"/>
              <w:right w:val="single" w:sz="8" w:space="0" w:color="auto"/>
            </w:tcBorders>
            <w:shd w:val="clear" w:color="000000" w:fill="FFFFFF"/>
            <w:vAlign w:val="center"/>
            <w:hideMark/>
          </w:tcPr>
          <w:p w:rsidR="00F40941" w:rsidRPr="00B77B04" w:rsidP="000E69EF" w14:paraId="184CF442" w14:textId="77777777">
            <w:pPr>
              <w:jc w:val="right"/>
              <w:rPr>
                <w:sz w:val="13"/>
                <w:szCs w:val="13"/>
              </w:rPr>
            </w:pPr>
            <w:r w:rsidRPr="00B77B04">
              <w:rPr>
                <w:sz w:val="13"/>
                <w:szCs w:val="13"/>
              </w:rPr>
              <w:t xml:space="preserve"> 6,443,735 </w:t>
            </w:r>
          </w:p>
        </w:tc>
        <w:tc>
          <w:tcPr>
            <w:tcW w:w="887" w:type="dxa"/>
            <w:tcBorders>
              <w:top w:val="nil"/>
              <w:left w:val="nil"/>
              <w:bottom w:val="nil"/>
              <w:right w:val="nil"/>
            </w:tcBorders>
            <w:shd w:val="clear" w:color="000000" w:fill="FFFFFF"/>
            <w:vAlign w:val="center"/>
            <w:hideMark/>
          </w:tcPr>
          <w:p w:rsidR="00F40941" w:rsidRPr="00B77B04" w:rsidP="000E69EF" w14:paraId="5B434FE8" w14:textId="77777777">
            <w:pPr>
              <w:jc w:val="right"/>
              <w:rPr>
                <w:sz w:val="13"/>
                <w:szCs w:val="13"/>
              </w:rPr>
            </w:pPr>
            <w:r w:rsidRPr="00B77B04">
              <w:rPr>
                <w:sz w:val="13"/>
                <w:szCs w:val="13"/>
              </w:rPr>
              <w:t> </w:t>
            </w:r>
          </w:p>
        </w:tc>
        <w:tc>
          <w:tcPr>
            <w:tcW w:w="1071" w:type="dxa"/>
            <w:tcBorders>
              <w:top w:val="nil"/>
              <w:left w:val="nil"/>
              <w:bottom w:val="nil"/>
              <w:right w:val="nil"/>
            </w:tcBorders>
            <w:shd w:val="clear" w:color="000000" w:fill="FFFFFF"/>
            <w:vAlign w:val="center"/>
            <w:hideMark/>
          </w:tcPr>
          <w:p w:rsidR="00F40941" w:rsidRPr="00B77B04" w:rsidP="000E69EF" w14:paraId="405D5F82" w14:textId="77777777">
            <w:pPr>
              <w:jc w:val="right"/>
              <w:rPr>
                <w:sz w:val="13"/>
                <w:szCs w:val="13"/>
              </w:rPr>
            </w:pPr>
            <w:r w:rsidRPr="00B77B04">
              <w:rPr>
                <w:sz w:val="13"/>
                <w:szCs w:val="13"/>
              </w:rPr>
              <w:t> </w:t>
            </w:r>
          </w:p>
        </w:tc>
        <w:tc>
          <w:tcPr>
            <w:tcW w:w="898" w:type="dxa"/>
            <w:tcBorders>
              <w:top w:val="nil"/>
              <w:left w:val="nil"/>
              <w:bottom w:val="nil"/>
              <w:right w:val="nil"/>
            </w:tcBorders>
            <w:shd w:val="clear" w:color="000000" w:fill="FFFFFF"/>
            <w:vAlign w:val="center"/>
            <w:hideMark/>
          </w:tcPr>
          <w:p w:rsidR="00F40941" w:rsidRPr="00B77B04" w:rsidP="000E69EF" w14:paraId="5925CB1A" w14:textId="77777777">
            <w:pPr>
              <w:jc w:val="right"/>
              <w:rPr>
                <w:sz w:val="13"/>
                <w:szCs w:val="13"/>
              </w:rPr>
            </w:pPr>
            <w:r w:rsidRPr="00B77B04">
              <w:rPr>
                <w:sz w:val="13"/>
                <w:szCs w:val="13"/>
              </w:rPr>
              <w:t> </w:t>
            </w:r>
          </w:p>
        </w:tc>
        <w:tc>
          <w:tcPr>
            <w:tcW w:w="2894" w:type="dxa"/>
            <w:tcBorders>
              <w:top w:val="nil"/>
              <w:left w:val="nil"/>
              <w:bottom w:val="nil"/>
              <w:right w:val="single" w:sz="8" w:space="0" w:color="auto"/>
            </w:tcBorders>
            <w:shd w:val="clear" w:color="000000" w:fill="FFFFFF"/>
            <w:vAlign w:val="center"/>
            <w:hideMark/>
          </w:tcPr>
          <w:p w:rsidR="00F40941" w:rsidRPr="00B77B04" w:rsidP="007738F3" w14:paraId="19ED8C39" w14:textId="77777777">
            <w:pPr>
              <w:rPr>
                <w:b/>
                <w:bCs/>
                <w:sz w:val="13"/>
                <w:szCs w:val="13"/>
              </w:rPr>
            </w:pPr>
            <w:r w:rsidRPr="00B77B04">
              <w:rPr>
                <w:b/>
                <w:bCs/>
                <w:sz w:val="13"/>
                <w:szCs w:val="13"/>
              </w:rPr>
              <w:t> </w:t>
            </w:r>
          </w:p>
        </w:tc>
      </w:tr>
      <w:tr w14:paraId="10D4BEBC" w14:textId="77777777" w:rsidTr="00E90AC7">
        <w:tblPrEx>
          <w:tblW w:w="5000" w:type="pct"/>
          <w:tblLook w:val="04A0"/>
        </w:tblPrEx>
        <w:trPr>
          <w:trHeight w:val="20"/>
        </w:trPr>
        <w:tc>
          <w:tcPr>
            <w:tcW w:w="2690" w:type="dxa"/>
            <w:tcBorders>
              <w:top w:val="nil"/>
              <w:left w:val="single" w:sz="8" w:space="0" w:color="auto"/>
              <w:bottom w:val="single" w:sz="8" w:space="0" w:color="auto"/>
              <w:right w:val="nil"/>
            </w:tcBorders>
            <w:shd w:val="clear" w:color="000000" w:fill="FFFFFF"/>
            <w:vAlign w:val="bottom"/>
            <w:hideMark/>
          </w:tcPr>
          <w:p w:rsidR="00F40941" w:rsidRPr="00B77B04" w:rsidP="004957F6" w14:paraId="4C2888DA" w14:textId="77777777">
            <w:pPr>
              <w:rPr>
                <w:b/>
                <w:bCs/>
                <w:sz w:val="13"/>
                <w:szCs w:val="13"/>
              </w:rPr>
            </w:pPr>
            <w:r w:rsidRPr="00B77B04">
              <w:rPr>
                <w:b/>
                <w:bCs/>
                <w:sz w:val="13"/>
                <w:szCs w:val="13"/>
              </w:rPr>
              <w:t>Total Net Position</w:t>
            </w:r>
          </w:p>
        </w:tc>
        <w:tc>
          <w:tcPr>
            <w:tcW w:w="900" w:type="dxa"/>
            <w:tcBorders>
              <w:top w:val="nil"/>
              <w:left w:val="nil"/>
              <w:bottom w:val="single" w:sz="8" w:space="0" w:color="auto"/>
              <w:right w:val="single" w:sz="8" w:space="0" w:color="auto"/>
            </w:tcBorders>
            <w:shd w:val="clear" w:color="000000" w:fill="FFFFFF"/>
            <w:vAlign w:val="center"/>
            <w:hideMark/>
          </w:tcPr>
          <w:p w:rsidR="00F40941" w:rsidRPr="00B77B04" w:rsidP="0042753B" w14:paraId="4A1700BD" w14:textId="7C96B899">
            <w:pPr>
              <w:jc w:val="right"/>
              <w:rPr>
                <w:sz w:val="13"/>
                <w:szCs w:val="13"/>
              </w:rPr>
            </w:pPr>
            <w:r w:rsidRPr="00B77B04">
              <w:rPr>
                <w:sz w:val="13"/>
                <w:szCs w:val="13"/>
              </w:rPr>
              <w:t>$</w:t>
            </w:r>
            <w:r w:rsidR="002A226E">
              <w:rPr>
                <w:sz w:val="13"/>
                <w:szCs w:val="13"/>
              </w:rPr>
              <w:t xml:space="preserve">  </w:t>
            </w:r>
            <w:r w:rsidR="00D52294">
              <w:rPr>
                <w:sz w:val="13"/>
                <w:szCs w:val="13"/>
              </w:rPr>
              <w:t xml:space="preserve"> </w:t>
            </w:r>
            <w:r w:rsidRPr="00B77B04">
              <w:rPr>
                <w:sz w:val="13"/>
                <w:szCs w:val="13"/>
              </w:rPr>
              <w:t xml:space="preserve">7,452,321 </w:t>
            </w:r>
          </w:p>
        </w:tc>
        <w:tc>
          <w:tcPr>
            <w:tcW w:w="887" w:type="dxa"/>
            <w:tcBorders>
              <w:top w:val="single" w:sz="8" w:space="0" w:color="auto"/>
              <w:left w:val="nil"/>
              <w:bottom w:val="single" w:sz="8" w:space="0" w:color="auto"/>
              <w:right w:val="nil"/>
            </w:tcBorders>
            <w:shd w:val="clear" w:color="000000" w:fill="FFFFFF"/>
            <w:vAlign w:val="center"/>
            <w:hideMark/>
          </w:tcPr>
          <w:p w:rsidR="00F40941" w:rsidRPr="00B77B04" w:rsidP="00E90AC7" w14:paraId="6F8441ED" w14:textId="78F26A88">
            <w:pPr>
              <w:jc w:val="right"/>
              <w:rPr>
                <w:sz w:val="13"/>
                <w:szCs w:val="13"/>
              </w:rPr>
            </w:pPr>
            <w:r w:rsidRPr="00B77B04">
              <w:rPr>
                <w:sz w:val="13"/>
                <w:szCs w:val="13"/>
              </w:rPr>
              <w:t>$</w:t>
            </w:r>
            <w:r w:rsidR="001F5D09">
              <w:rPr>
                <w:sz w:val="13"/>
                <w:szCs w:val="13"/>
              </w:rPr>
              <w:t xml:space="preserve"> </w:t>
            </w:r>
            <w:r w:rsidRPr="00B77B04">
              <w:rPr>
                <w:sz w:val="13"/>
                <w:szCs w:val="13"/>
              </w:rPr>
              <w:t xml:space="preserve"> 7,109,629 </w:t>
            </w:r>
          </w:p>
        </w:tc>
        <w:tc>
          <w:tcPr>
            <w:tcW w:w="1071" w:type="dxa"/>
            <w:tcBorders>
              <w:top w:val="single" w:sz="8" w:space="0" w:color="auto"/>
              <w:left w:val="nil"/>
              <w:bottom w:val="single" w:sz="8" w:space="0" w:color="auto"/>
              <w:right w:val="nil"/>
            </w:tcBorders>
            <w:shd w:val="clear" w:color="000000" w:fill="FFFFFF"/>
            <w:vAlign w:val="center"/>
            <w:hideMark/>
          </w:tcPr>
          <w:p w:rsidR="00F40941" w:rsidRPr="00B77B04" w:rsidP="000E69EF" w14:paraId="3FE2172F" w14:textId="5C113011">
            <w:pPr>
              <w:jc w:val="right"/>
              <w:rPr>
                <w:sz w:val="13"/>
                <w:szCs w:val="13"/>
              </w:rPr>
            </w:pPr>
            <w:r w:rsidRPr="00B77B04">
              <w:rPr>
                <w:sz w:val="13"/>
                <w:szCs w:val="13"/>
              </w:rPr>
              <w:t xml:space="preserve"> $</w:t>
            </w:r>
            <w:r w:rsidR="001F5D09">
              <w:rPr>
                <w:sz w:val="13"/>
                <w:szCs w:val="13"/>
              </w:rPr>
              <w:t xml:space="preserve">         </w:t>
            </w:r>
            <w:r w:rsidRPr="00B77B04">
              <w:rPr>
                <w:sz w:val="13"/>
                <w:szCs w:val="13"/>
              </w:rPr>
              <w:t xml:space="preserve"> 342,691 </w:t>
            </w:r>
          </w:p>
        </w:tc>
        <w:tc>
          <w:tcPr>
            <w:tcW w:w="898" w:type="dxa"/>
            <w:tcBorders>
              <w:top w:val="single" w:sz="8" w:space="0" w:color="auto"/>
              <w:left w:val="nil"/>
              <w:bottom w:val="single" w:sz="8" w:space="0" w:color="auto"/>
              <w:right w:val="nil"/>
            </w:tcBorders>
            <w:shd w:val="clear" w:color="000000" w:fill="FFFFFF"/>
            <w:vAlign w:val="center"/>
            <w:hideMark/>
          </w:tcPr>
          <w:p w:rsidR="00F40941" w:rsidRPr="00B77B04" w:rsidP="000E69EF" w14:paraId="5FA04A1A" w14:textId="36A20822">
            <w:pPr>
              <w:jc w:val="right"/>
              <w:rPr>
                <w:sz w:val="13"/>
                <w:szCs w:val="13"/>
              </w:rPr>
            </w:pPr>
            <w:r w:rsidRPr="00B77B04">
              <w:rPr>
                <w:sz w:val="13"/>
                <w:szCs w:val="13"/>
              </w:rPr>
              <w:t xml:space="preserve"> $ 7,452,321 </w:t>
            </w:r>
          </w:p>
        </w:tc>
        <w:tc>
          <w:tcPr>
            <w:tcW w:w="2894" w:type="dxa"/>
            <w:tcBorders>
              <w:top w:val="nil"/>
              <w:left w:val="nil"/>
              <w:bottom w:val="single" w:sz="8" w:space="0" w:color="auto"/>
              <w:right w:val="single" w:sz="8" w:space="0" w:color="auto"/>
            </w:tcBorders>
            <w:shd w:val="clear" w:color="000000" w:fill="FFFFFF"/>
            <w:vAlign w:val="center"/>
            <w:hideMark/>
          </w:tcPr>
          <w:p w:rsidR="00F40941" w:rsidRPr="00B77B04" w:rsidP="007738F3" w14:paraId="2347B418" w14:textId="77777777">
            <w:pPr>
              <w:rPr>
                <w:b/>
                <w:bCs/>
                <w:sz w:val="13"/>
                <w:szCs w:val="13"/>
              </w:rPr>
            </w:pPr>
            <w:r w:rsidRPr="00B77B04">
              <w:rPr>
                <w:b/>
                <w:bCs/>
                <w:sz w:val="13"/>
                <w:szCs w:val="13"/>
              </w:rPr>
              <w:t>Net Position - Ending Balance</w:t>
            </w:r>
          </w:p>
        </w:tc>
      </w:tr>
      <w:bookmarkEnd w:id="274"/>
    </w:tbl>
    <w:p w:rsidR="00285D06" w:rsidP="00F40941" w14:paraId="5B584A28" w14:textId="447C12BD">
      <w:pPr>
        <w:rPr>
          <w:sz w:val="22"/>
          <w:szCs w:val="22"/>
        </w:rPr>
      </w:pPr>
    </w:p>
    <w:bookmarkEnd w:id="272"/>
    <w:p w:rsidR="00285D06" w:rsidRPr="003F5AE1" w:rsidP="00285D06" w14:paraId="7DBE195F" w14:textId="77777777">
      <w:pPr>
        <w:jc w:val="center"/>
        <w:rPr>
          <w:bCs/>
          <w:kern w:val="16"/>
        </w:rPr>
        <w:sectPr w:rsidSect="00F054D8">
          <w:pgSz w:w="12240" w:h="15840"/>
          <w:pgMar w:top="1440" w:right="1440" w:bottom="1296" w:left="1440" w:header="720" w:footer="720" w:gutter="0"/>
          <w:cols w:space="720"/>
        </w:sectPr>
      </w:pPr>
    </w:p>
    <w:p w:rsidR="00285D06" w:rsidRPr="00687E91" w:rsidP="00CF7FD2" w14:paraId="00E05371" w14:textId="77777777">
      <w:pPr>
        <w:pStyle w:val="Heading3"/>
        <w:rPr>
          <w:i/>
        </w:rPr>
      </w:pPr>
      <w:bookmarkStart w:id="275" w:name="_Toc54589767"/>
      <w:bookmarkStart w:id="276" w:name="_Toc88780540"/>
      <w:bookmarkStart w:id="277" w:name="_Toc88780718"/>
      <w:r w:rsidRPr="00687E91">
        <w:t>R</w:t>
      </w:r>
      <w:r>
        <w:t xml:space="preserve">equired Supplementary </w:t>
      </w:r>
      <w:r w:rsidRPr="00687E91">
        <w:t>I</w:t>
      </w:r>
      <w:r>
        <w:t>nformation</w:t>
      </w:r>
      <w:bookmarkStart w:id="278" w:name="_Toc73190409"/>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75"/>
      <w:bookmarkEnd w:id="276"/>
      <w:bookmarkEnd w:id="277"/>
      <w:r w:rsidRPr="00687E91">
        <w:t xml:space="preserve"> </w:t>
      </w:r>
    </w:p>
    <w:p w:rsidR="00285D06" w:rsidRPr="009D63E8" w:rsidP="00794C56" w14:paraId="152B13CA" w14:textId="77777777">
      <w:pPr>
        <w:jc w:val="both"/>
        <w:rPr>
          <w:b/>
          <w:bCs/>
          <w:sz w:val="22"/>
          <w:szCs w:val="22"/>
        </w:rPr>
      </w:pPr>
      <w:r w:rsidRPr="009D63E8">
        <w:rPr>
          <w:b/>
          <w:bCs/>
          <w:sz w:val="22"/>
          <w:szCs w:val="22"/>
        </w:rPr>
        <w:t xml:space="preserve">Required Supplementary Information – Schedule of Budgetary Resources by Major Account </w:t>
      </w:r>
      <w:bookmarkEnd w:id="278"/>
    </w:p>
    <w:p w:rsidR="00285D06" w:rsidP="00794C56" w14:paraId="30A2E016" w14:textId="77777777">
      <w:pPr>
        <w:jc w:val="both"/>
        <w:rPr>
          <w:sz w:val="22"/>
          <w:szCs w:val="22"/>
        </w:rPr>
      </w:pPr>
      <w:r w:rsidRPr="003F5AE1">
        <w:t xml:space="preserve">For the </w:t>
      </w:r>
      <w:r>
        <w:t>Years Ended September 30, 2021</w:t>
      </w:r>
      <w:r w:rsidRPr="003F5AE1">
        <w:t xml:space="preserve"> and </w:t>
      </w:r>
      <w:r>
        <w:t>September 30, 2020</w:t>
      </w:r>
      <w:r w:rsidRPr="00784A27">
        <w:rPr>
          <w:sz w:val="22"/>
          <w:szCs w:val="22"/>
        </w:rPr>
        <w:t xml:space="preserve"> </w:t>
      </w:r>
    </w:p>
    <w:p w:rsidR="00285D06" w:rsidRPr="00784A27" w:rsidP="00AE7296" w14:paraId="737B6C34" w14:textId="77777777">
      <w:pPr>
        <w:spacing w:after="240"/>
        <w:jc w:val="both"/>
        <w:rPr>
          <w:sz w:val="22"/>
          <w:szCs w:val="22"/>
        </w:rPr>
      </w:pPr>
      <w:r w:rsidRPr="00784A27">
        <w:rPr>
          <w:sz w:val="22"/>
          <w:szCs w:val="22"/>
        </w:rPr>
        <w:t>(Dollars in thousands)</w:t>
      </w:r>
    </w:p>
    <w:p w:rsidR="00285D06" w:rsidRPr="00BA1E56" w:rsidP="00AE7296" w14:paraId="64786B81" w14:textId="75DE4DB1">
      <w:pPr>
        <w:spacing w:after="240"/>
        <w:jc w:val="both"/>
        <w:rPr>
          <w:sz w:val="22"/>
          <w:szCs w:val="22"/>
        </w:rPr>
      </w:pPr>
      <w:r w:rsidRPr="00BA1E56">
        <w:rPr>
          <w:sz w:val="22"/>
          <w:szCs w:val="22"/>
        </w:rPr>
        <w:t>OMB Circular No. A</w:t>
      </w:r>
      <w:r w:rsidRPr="00BA1E56">
        <w:rPr>
          <w:b/>
          <w:sz w:val="22"/>
          <w:szCs w:val="22"/>
        </w:rPr>
        <w:t>-</w:t>
      </w:r>
      <w:r w:rsidRPr="00BA1E56">
        <w:rPr>
          <w:sz w:val="22"/>
          <w:szCs w:val="22"/>
        </w:rPr>
        <w:t xml:space="preserve">136, </w:t>
      </w:r>
      <w:r w:rsidRPr="00BA1E56">
        <w:rPr>
          <w:i/>
          <w:sz w:val="22"/>
          <w:szCs w:val="22"/>
        </w:rPr>
        <w:t>Financial Reporting Requirements</w:t>
      </w:r>
      <w:r w:rsidRPr="00767906">
        <w:rPr>
          <w:bCs/>
          <w:sz w:val="22"/>
          <w:szCs w:val="22"/>
        </w:rPr>
        <w:t>—</w:t>
      </w:r>
      <w:r w:rsidRPr="00FA7DA0">
        <w:rPr>
          <w:bCs/>
          <w:i/>
          <w:iCs/>
          <w:sz w:val="22"/>
          <w:szCs w:val="22"/>
        </w:rPr>
        <w:t>Revised</w:t>
      </w:r>
      <w:r w:rsidRPr="00BA1E56">
        <w:rPr>
          <w:sz w:val="22"/>
          <w:szCs w:val="22"/>
        </w:rPr>
        <w:t>, requires additional disclosure of an entity's budgetary information by major budgetary accounts if the information was aggregated for presentation purposes on the Statement of Budgetary Resources.</w:t>
      </w:r>
      <w:r w:rsidR="00C933B2">
        <w:rPr>
          <w:sz w:val="22"/>
          <w:szCs w:val="22"/>
        </w:rPr>
        <w:t xml:space="preserve"> </w:t>
      </w:r>
      <w:r w:rsidRPr="00BA1E56">
        <w:rPr>
          <w:sz w:val="22"/>
          <w:szCs w:val="22"/>
        </w:rPr>
        <w:t>Major budgetary accounts of the Commission include Salaries and Expenses (S&amp;E), Auctions,</w:t>
      </w:r>
      <w:r>
        <w:rPr>
          <w:sz w:val="22"/>
          <w:szCs w:val="22"/>
        </w:rPr>
        <w:t xml:space="preserve"> COVID-19 Telehealth,</w:t>
      </w:r>
      <w:r w:rsidRPr="00BA1E56">
        <w:rPr>
          <w:sz w:val="22"/>
          <w:szCs w:val="22"/>
        </w:rPr>
        <w:t xml:space="preserve"> </w:t>
      </w:r>
      <w:r>
        <w:rPr>
          <w:sz w:val="22"/>
          <w:szCs w:val="22"/>
        </w:rPr>
        <w:t xml:space="preserve">EBCF-EBBP, S&amp;T Networks, ECF, </w:t>
      </w:r>
      <w:r w:rsidRPr="00BA1E56">
        <w:rPr>
          <w:sz w:val="22"/>
          <w:szCs w:val="22"/>
        </w:rPr>
        <w:t>TVBRF,</w:t>
      </w:r>
      <w:r>
        <w:rPr>
          <w:sz w:val="22"/>
          <w:szCs w:val="22"/>
        </w:rPr>
        <w:t xml:space="preserve"> </w:t>
      </w:r>
      <w:r w:rsidRPr="00BA1E56">
        <w:rPr>
          <w:sz w:val="22"/>
          <w:szCs w:val="22"/>
        </w:rPr>
        <w:t>USF and TRS.</w:t>
      </w:r>
      <w:r w:rsidR="00C933B2">
        <w:rPr>
          <w:sz w:val="22"/>
          <w:szCs w:val="22"/>
        </w:rPr>
        <w:t xml:space="preserve"> </w:t>
      </w:r>
      <w:r w:rsidRPr="00BA1E56">
        <w:rPr>
          <w:sz w:val="22"/>
          <w:szCs w:val="22"/>
        </w:rPr>
        <w:t>S&amp;E represents general salaries and expenses of the Commission</w:t>
      </w:r>
      <w:r>
        <w:rPr>
          <w:sz w:val="22"/>
          <w:szCs w:val="22"/>
        </w:rPr>
        <w:t>.</w:t>
      </w:r>
      <w:r w:rsidR="00C933B2">
        <w:rPr>
          <w:sz w:val="22"/>
          <w:szCs w:val="22"/>
        </w:rPr>
        <w:t xml:space="preserve"> </w:t>
      </w:r>
      <w:r w:rsidRPr="00BA1E56">
        <w:rPr>
          <w:sz w:val="22"/>
          <w:szCs w:val="22"/>
        </w:rPr>
        <w:t>Auctions include salaries and expenses of the spectrum auctions program.</w:t>
      </w:r>
      <w:r w:rsidR="00C933B2">
        <w:rPr>
          <w:sz w:val="22"/>
          <w:szCs w:val="22"/>
        </w:rPr>
        <w:t xml:space="preserve"> </w:t>
      </w:r>
      <w:r>
        <w:rPr>
          <w:sz w:val="22"/>
          <w:szCs w:val="22"/>
        </w:rPr>
        <w:t>T</w:t>
      </w:r>
      <w:r w:rsidRPr="00BA1E56">
        <w:rPr>
          <w:sz w:val="22"/>
          <w:szCs w:val="22"/>
        </w:rPr>
        <w:t>he COVID-19 Telehealth Program</w:t>
      </w:r>
      <w:r>
        <w:rPr>
          <w:sz w:val="22"/>
          <w:szCs w:val="22"/>
        </w:rPr>
        <w:t xml:space="preserve"> represents </w:t>
      </w:r>
      <w:r w:rsidRPr="006B1DAC">
        <w:rPr>
          <w:sz w:val="22"/>
          <w:szCs w:val="22"/>
        </w:rPr>
        <w:t>support</w:t>
      </w:r>
      <w:r>
        <w:rPr>
          <w:sz w:val="22"/>
          <w:szCs w:val="22"/>
        </w:rPr>
        <w:t xml:space="preserve"> for</w:t>
      </w:r>
      <w:r w:rsidRPr="006B1DAC">
        <w:rPr>
          <w:sz w:val="22"/>
          <w:szCs w:val="22"/>
        </w:rPr>
        <w:t xml:space="preserve"> eligible health care providers responding to the pandemic by providing funding for telecommunications services, information services, and connected devices necessary to provide critical connected care services whether for treatment of the COVID-19 disease or other health conditions during the COVID-19 pandemic.</w:t>
      </w:r>
      <w:r w:rsidR="00C933B2">
        <w:rPr>
          <w:sz w:val="22"/>
          <w:szCs w:val="22"/>
        </w:rPr>
        <w:t xml:space="preserve"> </w:t>
      </w:r>
      <w:r>
        <w:rPr>
          <w:sz w:val="22"/>
          <w:szCs w:val="22"/>
        </w:rPr>
        <w:t>The EBCF-EBBP under which eligible low-income households may receive a discount off the cost of broadband service and certain connected devices during an emergency period relating to the COVID-19 pandemic.</w:t>
      </w:r>
      <w:r w:rsidR="00C933B2">
        <w:rPr>
          <w:sz w:val="22"/>
          <w:szCs w:val="22"/>
        </w:rPr>
        <w:t xml:space="preserve"> </w:t>
      </w:r>
      <w:r>
        <w:rPr>
          <w:sz w:val="22"/>
          <w:szCs w:val="22"/>
        </w:rPr>
        <w:t xml:space="preserve">The S&amp;T Networks represents the S&amp;T Networks Program under which reimbursements for </w:t>
      </w:r>
      <w:r w:rsidRPr="00045658">
        <w:rPr>
          <w:sz w:val="22"/>
          <w:szCs w:val="22"/>
        </w:rPr>
        <w:t>the removal, replacement, and disposal of covered communications equipment or services that pose an unacceptable risk to the national security of the United States or the security and safety of U.S. persons from the networks of providers of advanced communications service.</w:t>
      </w:r>
      <w:r w:rsidR="00C933B2">
        <w:rPr>
          <w:sz w:val="22"/>
          <w:szCs w:val="22"/>
        </w:rPr>
        <w:t xml:space="preserve"> </w:t>
      </w:r>
      <w:r>
        <w:rPr>
          <w:sz w:val="22"/>
          <w:szCs w:val="22"/>
        </w:rPr>
        <w:t>The ECF</w:t>
      </w:r>
      <w:r w:rsidRPr="006D5ED5">
        <w:rPr>
          <w:rFonts w:eastAsiaTheme="minorEastAsia"/>
          <w:sz w:val="22"/>
          <w:szCs w:val="22"/>
        </w:rPr>
        <w:t xml:space="preserve"> assists schools and libraries by providing connected devices such as laptops, tablets, or similar end-user devices, and connectivity, to students, school staff, and library patrons during the COVID-19 Pandemic.</w:t>
      </w:r>
      <w:r w:rsidR="00C933B2">
        <w:rPr>
          <w:rFonts w:eastAsiaTheme="minorEastAsia"/>
          <w:sz w:val="22"/>
          <w:szCs w:val="22"/>
        </w:rPr>
        <w:t xml:space="preserve"> </w:t>
      </w:r>
      <w:r w:rsidRPr="00BA1E56">
        <w:rPr>
          <w:sz w:val="22"/>
          <w:szCs w:val="22"/>
        </w:rPr>
        <w:t>The TVBRF represents reimbursements of relocation costs for eligible entities and for consumer education relating to the reorganization of broadcast television.</w:t>
      </w:r>
      <w:r w:rsidR="00C933B2">
        <w:rPr>
          <w:sz w:val="22"/>
          <w:szCs w:val="22"/>
        </w:rPr>
        <w:t xml:space="preserve"> </w:t>
      </w:r>
      <w:r w:rsidRPr="00BA1E56">
        <w:rPr>
          <w:sz w:val="22"/>
          <w:szCs w:val="22"/>
        </w:rPr>
        <w:t xml:space="preserve">USF includes the High Cost, Lifeline, Rural Health Care, </w:t>
      </w:r>
      <w:r>
        <w:rPr>
          <w:sz w:val="22"/>
          <w:szCs w:val="22"/>
        </w:rPr>
        <w:t>E-Rate and the CCPP</w:t>
      </w:r>
      <w:r w:rsidRPr="00BA1E56">
        <w:rPr>
          <w:sz w:val="22"/>
          <w:szCs w:val="22"/>
        </w:rPr>
        <w:t xml:space="preserve"> programs.</w:t>
      </w:r>
      <w:r w:rsidR="00C933B2">
        <w:rPr>
          <w:sz w:val="22"/>
          <w:szCs w:val="22"/>
        </w:rPr>
        <w:t xml:space="preserve"> </w:t>
      </w:r>
      <w:r w:rsidRPr="00BA1E56">
        <w:rPr>
          <w:sz w:val="22"/>
          <w:szCs w:val="22"/>
        </w:rPr>
        <w:t>The TRS Fund represents a program established to support relay services necessary for telecommunications access by speech or hearing-impaired individuals.</w:t>
      </w:r>
      <w:r w:rsidR="00C933B2">
        <w:rPr>
          <w:sz w:val="22"/>
          <w:szCs w:val="22"/>
        </w:rPr>
        <w:t xml:space="preserve"> </w:t>
      </w:r>
      <w:r w:rsidRPr="00BA1E56">
        <w:rPr>
          <w:sz w:val="22"/>
          <w:szCs w:val="22"/>
        </w:rPr>
        <w:t>Non-major budgetary accounts are aggregated under the Other column.</w:t>
      </w:r>
    </w:p>
    <w:p w:rsidR="00285D06" w:rsidRPr="00BA1E56" w:rsidP="00285D06" w14:paraId="5027E544" w14:textId="27BBA82B">
      <w:pPr>
        <w:jc w:val="both"/>
        <w:rPr>
          <w:sz w:val="22"/>
          <w:szCs w:val="22"/>
        </w:rPr>
      </w:pPr>
      <w:r w:rsidRPr="00BA1E56">
        <w:rPr>
          <w:sz w:val="22"/>
          <w:szCs w:val="22"/>
        </w:rPr>
        <w:t>Reflected in the following chart are the major budgetary accounts of the Commission that are aggregated and presented in the Combined Statement of Budgetary Resources.</w:t>
      </w:r>
    </w:p>
    <w:p w:rsidR="00285D06" w:rsidP="00285D06" w14:paraId="25935518" w14:textId="77777777">
      <w:pPr>
        <w:rPr>
          <w:b/>
          <w:bCs/>
          <w:sz w:val="22"/>
          <w:szCs w:val="22"/>
        </w:rPr>
        <w:sectPr w:rsidSect="00EF0680">
          <w:headerReference w:type="even" r:id="rId79"/>
          <w:headerReference w:type="default" r:id="rId80"/>
          <w:footerReference w:type="default" r:id="rId81"/>
          <w:headerReference w:type="first" r:id="rId82"/>
          <w:footnotePr>
            <w:numRestart w:val="eachSect"/>
          </w:footnotePr>
          <w:pgSz w:w="12240" w:h="15840" w:code="1"/>
          <w:pgMar w:top="1152" w:right="1440" w:bottom="1152" w:left="1440" w:header="720" w:footer="990" w:gutter="0"/>
          <w:cols w:space="720"/>
          <w:docGrid w:linePitch="360"/>
        </w:sectPr>
      </w:pPr>
    </w:p>
    <w:p w:rsidR="00285D06" w:rsidRPr="009D63E8" w:rsidP="00CE2CCD" w14:paraId="20344912" w14:textId="77777777">
      <w:pPr>
        <w:spacing w:after="480"/>
        <w:rPr>
          <w:b/>
          <w:bCs/>
          <w:sz w:val="22"/>
          <w:szCs w:val="22"/>
        </w:rPr>
      </w:pPr>
      <w:r w:rsidRPr="009D63E8">
        <w:rPr>
          <w:b/>
          <w:bCs/>
          <w:sz w:val="22"/>
          <w:szCs w:val="22"/>
        </w:rPr>
        <w:t>Schedule of Budgetary Resources by Major Account</w:t>
      </w:r>
    </w:p>
    <w:tbl>
      <w:tblPr>
        <w:tblW w:w="4998" w:type="pct"/>
        <w:tblLayout w:type="fixed"/>
        <w:tblLook w:val="04A0"/>
      </w:tblPr>
      <w:tblGrid>
        <w:gridCol w:w="3914"/>
        <w:gridCol w:w="874"/>
        <w:gridCol w:w="874"/>
        <w:gridCol w:w="818"/>
        <w:gridCol w:w="1080"/>
        <w:gridCol w:w="853"/>
        <w:gridCol w:w="853"/>
        <w:gridCol w:w="853"/>
        <w:gridCol w:w="951"/>
        <w:gridCol w:w="810"/>
        <w:gridCol w:w="720"/>
        <w:gridCol w:w="931"/>
      </w:tblGrid>
      <w:tr w14:paraId="52CC35BD" w14:textId="77777777" w:rsidTr="00D67677">
        <w:tblPrEx>
          <w:tblW w:w="4998" w:type="pct"/>
          <w:tblLayout w:type="fixed"/>
          <w:tblLook w:val="04A0"/>
        </w:tblPrEx>
        <w:trPr>
          <w:trHeight w:val="216"/>
        </w:trPr>
        <w:tc>
          <w:tcPr>
            <w:tcW w:w="3914" w:type="dxa"/>
            <w:tcBorders>
              <w:top w:val="nil"/>
              <w:left w:val="nil"/>
              <w:bottom w:val="nil"/>
              <w:right w:val="nil"/>
            </w:tcBorders>
            <w:shd w:val="clear" w:color="000000" w:fill="FFFFFF"/>
            <w:noWrap/>
            <w:vAlign w:val="bottom"/>
            <w:hideMark/>
          </w:tcPr>
          <w:p w:rsidR="00895BD6" w:rsidRPr="00065913" w:rsidP="004957F6" w14:paraId="0806FCAE" w14:textId="41AF1B9B">
            <w:pPr>
              <w:rPr>
                <w:sz w:val="13"/>
                <w:szCs w:val="13"/>
              </w:rPr>
            </w:pPr>
            <w:bookmarkStart w:id="279" w:name="_Hlk88827947"/>
            <w:r w:rsidRPr="00065913">
              <w:rPr>
                <w:b/>
                <w:bCs/>
                <w:sz w:val="13"/>
                <w:szCs w:val="13"/>
                <w:u w:val="single"/>
              </w:rPr>
              <w:t>FY 2021</w:t>
            </w:r>
          </w:p>
        </w:tc>
        <w:tc>
          <w:tcPr>
            <w:tcW w:w="874" w:type="dxa"/>
            <w:tcBorders>
              <w:top w:val="nil"/>
              <w:left w:val="nil"/>
              <w:bottom w:val="single" w:sz="4" w:space="0" w:color="auto"/>
              <w:right w:val="nil"/>
            </w:tcBorders>
            <w:shd w:val="clear" w:color="000000" w:fill="FFFFFF"/>
            <w:noWrap/>
            <w:vAlign w:val="bottom"/>
            <w:hideMark/>
          </w:tcPr>
          <w:p w:rsidR="00895BD6" w:rsidRPr="00065913" w:rsidP="004957F6" w14:paraId="0F184833" w14:textId="77777777">
            <w:pPr>
              <w:jc w:val="center"/>
              <w:rPr>
                <w:sz w:val="13"/>
                <w:szCs w:val="13"/>
              </w:rPr>
            </w:pPr>
            <w:r w:rsidRPr="00065913">
              <w:rPr>
                <w:sz w:val="13"/>
                <w:szCs w:val="13"/>
              </w:rPr>
              <w:t>S&amp;E</w:t>
            </w:r>
          </w:p>
        </w:tc>
        <w:tc>
          <w:tcPr>
            <w:tcW w:w="874" w:type="dxa"/>
            <w:tcBorders>
              <w:top w:val="nil"/>
              <w:left w:val="nil"/>
              <w:bottom w:val="single" w:sz="4" w:space="0" w:color="auto"/>
              <w:right w:val="nil"/>
            </w:tcBorders>
            <w:shd w:val="clear" w:color="000000" w:fill="FFFFFF"/>
            <w:noWrap/>
            <w:vAlign w:val="bottom"/>
            <w:hideMark/>
          </w:tcPr>
          <w:p w:rsidR="00895BD6" w:rsidRPr="00065913" w:rsidP="004957F6" w14:paraId="31968DB7" w14:textId="77777777">
            <w:pPr>
              <w:jc w:val="center"/>
              <w:rPr>
                <w:sz w:val="13"/>
                <w:szCs w:val="13"/>
              </w:rPr>
            </w:pPr>
            <w:r w:rsidRPr="00065913">
              <w:rPr>
                <w:sz w:val="13"/>
                <w:szCs w:val="13"/>
              </w:rPr>
              <w:t>Auctions</w:t>
            </w:r>
          </w:p>
        </w:tc>
        <w:tc>
          <w:tcPr>
            <w:tcW w:w="818" w:type="dxa"/>
            <w:tcBorders>
              <w:top w:val="nil"/>
              <w:left w:val="nil"/>
              <w:bottom w:val="single" w:sz="4" w:space="0" w:color="auto"/>
              <w:right w:val="nil"/>
            </w:tcBorders>
            <w:shd w:val="clear" w:color="000000" w:fill="FFFFFF"/>
            <w:vAlign w:val="bottom"/>
            <w:hideMark/>
          </w:tcPr>
          <w:p w:rsidR="00895BD6" w:rsidRPr="00065913" w:rsidP="004957F6" w14:paraId="77C7805E" w14:textId="77777777">
            <w:pPr>
              <w:jc w:val="center"/>
              <w:rPr>
                <w:sz w:val="13"/>
                <w:szCs w:val="13"/>
              </w:rPr>
            </w:pPr>
            <w:r w:rsidRPr="00065913">
              <w:rPr>
                <w:sz w:val="13"/>
                <w:szCs w:val="13"/>
              </w:rPr>
              <w:t>COVID-19 Telehealth</w:t>
            </w:r>
          </w:p>
        </w:tc>
        <w:tc>
          <w:tcPr>
            <w:tcW w:w="1080" w:type="dxa"/>
            <w:tcBorders>
              <w:top w:val="nil"/>
              <w:left w:val="nil"/>
              <w:bottom w:val="single" w:sz="4" w:space="0" w:color="auto"/>
              <w:right w:val="nil"/>
            </w:tcBorders>
            <w:shd w:val="clear" w:color="000000" w:fill="FFFFFF"/>
            <w:vAlign w:val="bottom"/>
            <w:hideMark/>
          </w:tcPr>
          <w:p w:rsidR="00895BD6" w:rsidRPr="00065913" w:rsidP="004957F6" w14:paraId="3B947CA7" w14:textId="77777777">
            <w:pPr>
              <w:jc w:val="center"/>
              <w:rPr>
                <w:sz w:val="13"/>
                <w:szCs w:val="13"/>
              </w:rPr>
            </w:pPr>
            <w:r w:rsidRPr="00065913">
              <w:rPr>
                <w:sz w:val="13"/>
                <w:szCs w:val="13"/>
              </w:rPr>
              <w:t>EBCF</w:t>
            </w:r>
            <w:r w:rsidRPr="00065913">
              <w:rPr>
                <w:sz w:val="13"/>
                <w:szCs w:val="13"/>
              </w:rPr>
              <w:br/>
              <w:t>(EBB Program)</w:t>
            </w:r>
          </w:p>
        </w:tc>
        <w:tc>
          <w:tcPr>
            <w:tcW w:w="853" w:type="dxa"/>
            <w:tcBorders>
              <w:top w:val="nil"/>
              <w:left w:val="nil"/>
              <w:bottom w:val="single" w:sz="4" w:space="0" w:color="auto"/>
              <w:right w:val="nil"/>
            </w:tcBorders>
            <w:shd w:val="clear" w:color="000000" w:fill="FFFFFF"/>
            <w:vAlign w:val="bottom"/>
            <w:hideMark/>
          </w:tcPr>
          <w:p w:rsidR="00895BD6" w:rsidRPr="00065913" w:rsidP="004957F6" w14:paraId="4A7ED8BA" w14:textId="77777777">
            <w:pPr>
              <w:jc w:val="center"/>
              <w:rPr>
                <w:sz w:val="13"/>
                <w:szCs w:val="13"/>
              </w:rPr>
            </w:pPr>
            <w:r w:rsidRPr="00065913">
              <w:rPr>
                <w:sz w:val="13"/>
                <w:szCs w:val="13"/>
              </w:rPr>
              <w:t>S&amp;T Networks</w:t>
            </w:r>
          </w:p>
        </w:tc>
        <w:tc>
          <w:tcPr>
            <w:tcW w:w="853" w:type="dxa"/>
            <w:tcBorders>
              <w:top w:val="nil"/>
              <w:left w:val="nil"/>
              <w:bottom w:val="single" w:sz="4" w:space="0" w:color="auto"/>
              <w:right w:val="nil"/>
            </w:tcBorders>
            <w:shd w:val="clear" w:color="000000" w:fill="FFFFFF"/>
            <w:noWrap/>
            <w:vAlign w:val="bottom"/>
            <w:hideMark/>
          </w:tcPr>
          <w:p w:rsidR="00895BD6" w:rsidRPr="00065913" w:rsidP="004957F6" w14:paraId="7F4D2B09" w14:textId="77777777">
            <w:pPr>
              <w:jc w:val="center"/>
              <w:rPr>
                <w:sz w:val="13"/>
                <w:szCs w:val="13"/>
              </w:rPr>
            </w:pPr>
            <w:r w:rsidRPr="00065913">
              <w:rPr>
                <w:sz w:val="13"/>
                <w:szCs w:val="13"/>
              </w:rPr>
              <w:t>ECF</w:t>
            </w:r>
          </w:p>
        </w:tc>
        <w:tc>
          <w:tcPr>
            <w:tcW w:w="853" w:type="dxa"/>
            <w:tcBorders>
              <w:top w:val="nil"/>
              <w:left w:val="nil"/>
              <w:bottom w:val="single" w:sz="4" w:space="0" w:color="auto"/>
              <w:right w:val="nil"/>
            </w:tcBorders>
            <w:shd w:val="clear" w:color="000000" w:fill="FFFFFF"/>
            <w:vAlign w:val="bottom"/>
            <w:hideMark/>
          </w:tcPr>
          <w:p w:rsidR="00895BD6" w:rsidRPr="00065913" w:rsidP="004957F6" w14:paraId="4E7905CF" w14:textId="77777777">
            <w:pPr>
              <w:jc w:val="center"/>
              <w:rPr>
                <w:sz w:val="13"/>
                <w:szCs w:val="13"/>
              </w:rPr>
            </w:pPr>
            <w:r w:rsidRPr="00065913">
              <w:rPr>
                <w:sz w:val="13"/>
                <w:szCs w:val="13"/>
              </w:rPr>
              <w:t>TVBRF</w:t>
            </w:r>
          </w:p>
        </w:tc>
        <w:tc>
          <w:tcPr>
            <w:tcW w:w="951" w:type="dxa"/>
            <w:tcBorders>
              <w:top w:val="nil"/>
              <w:left w:val="nil"/>
              <w:bottom w:val="single" w:sz="4" w:space="0" w:color="auto"/>
              <w:right w:val="nil"/>
            </w:tcBorders>
            <w:shd w:val="clear" w:color="000000" w:fill="FFFFFF"/>
            <w:noWrap/>
            <w:vAlign w:val="bottom"/>
            <w:hideMark/>
          </w:tcPr>
          <w:p w:rsidR="00895BD6" w:rsidRPr="00065913" w:rsidP="004957F6" w14:paraId="13E0B4B0" w14:textId="77777777">
            <w:pPr>
              <w:jc w:val="center"/>
              <w:rPr>
                <w:sz w:val="13"/>
                <w:szCs w:val="13"/>
              </w:rPr>
            </w:pPr>
            <w:r w:rsidRPr="00065913">
              <w:rPr>
                <w:sz w:val="13"/>
                <w:szCs w:val="13"/>
              </w:rPr>
              <w:t>USF</w:t>
            </w:r>
          </w:p>
        </w:tc>
        <w:tc>
          <w:tcPr>
            <w:tcW w:w="810" w:type="dxa"/>
            <w:tcBorders>
              <w:top w:val="nil"/>
              <w:left w:val="nil"/>
              <w:bottom w:val="single" w:sz="4" w:space="0" w:color="auto"/>
              <w:right w:val="nil"/>
            </w:tcBorders>
            <w:shd w:val="clear" w:color="000000" w:fill="FFFFFF"/>
            <w:noWrap/>
            <w:vAlign w:val="bottom"/>
            <w:hideMark/>
          </w:tcPr>
          <w:p w:rsidR="00895BD6" w:rsidRPr="00065913" w:rsidP="004957F6" w14:paraId="2E80794A" w14:textId="77777777">
            <w:pPr>
              <w:jc w:val="center"/>
              <w:rPr>
                <w:sz w:val="13"/>
                <w:szCs w:val="13"/>
              </w:rPr>
            </w:pPr>
            <w:r w:rsidRPr="00065913">
              <w:rPr>
                <w:sz w:val="13"/>
                <w:szCs w:val="13"/>
              </w:rPr>
              <w:t>TRS</w:t>
            </w:r>
          </w:p>
        </w:tc>
        <w:tc>
          <w:tcPr>
            <w:tcW w:w="720" w:type="dxa"/>
            <w:tcBorders>
              <w:top w:val="nil"/>
              <w:left w:val="nil"/>
              <w:bottom w:val="single" w:sz="4" w:space="0" w:color="auto"/>
              <w:right w:val="nil"/>
            </w:tcBorders>
            <w:shd w:val="clear" w:color="000000" w:fill="FFFFFF"/>
            <w:noWrap/>
            <w:vAlign w:val="bottom"/>
            <w:hideMark/>
          </w:tcPr>
          <w:p w:rsidR="00895BD6" w:rsidRPr="00065913" w:rsidP="004957F6" w14:paraId="11B9CBF3" w14:textId="77777777">
            <w:pPr>
              <w:jc w:val="center"/>
              <w:rPr>
                <w:sz w:val="13"/>
                <w:szCs w:val="13"/>
              </w:rPr>
            </w:pPr>
            <w:r w:rsidRPr="00065913">
              <w:rPr>
                <w:sz w:val="13"/>
                <w:szCs w:val="13"/>
              </w:rPr>
              <w:t>Other</w:t>
            </w:r>
          </w:p>
        </w:tc>
        <w:tc>
          <w:tcPr>
            <w:tcW w:w="931" w:type="dxa"/>
            <w:tcBorders>
              <w:top w:val="nil"/>
              <w:left w:val="nil"/>
              <w:bottom w:val="single" w:sz="4" w:space="0" w:color="auto"/>
              <w:right w:val="nil"/>
            </w:tcBorders>
            <w:shd w:val="clear" w:color="000000" w:fill="FFFFFF"/>
            <w:noWrap/>
            <w:vAlign w:val="bottom"/>
            <w:hideMark/>
          </w:tcPr>
          <w:p w:rsidR="00895BD6" w:rsidRPr="00065913" w:rsidP="004957F6" w14:paraId="1FD1E85F" w14:textId="77777777">
            <w:pPr>
              <w:jc w:val="center"/>
              <w:rPr>
                <w:sz w:val="13"/>
                <w:szCs w:val="13"/>
              </w:rPr>
            </w:pPr>
            <w:r w:rsidRPr="00065913">
              <w:rPr>
                <w:sz w:val="13"/>
                <w:szCs w:val="13"/>
              </w:rPr>
              <w:t>Total</w:t>
            </w:r>
          </w:p>
        </w:tc>
      </w:tr>
      <w:tr w14:paraId="47118F71" w14:textId="77777777" w:rsidTr="00D67677">
        <w:tblPrEx>
          <w:tblW w:w="4998" w:type="pct"/>
          <w:tblLayout w:type="fixed"/>
          <w:tblLook w:val="04A0"/>
        </w:tblPrEx>
        <w:trPr>
          <w:trHeight w:val="216"/>
        </w:trPr>
        <w:tc>
          <w:tcPr>
            <w:tcW w:w="3914" w:type="dxa"/>
            <w:tcBorders>
              <w:top w:val="nil"/>
              <w:left w:val="nil"/>
              <w:bottom w:val="nil"/>
              <w:right w:val="nil"/>
            </w:tcBorders>
            <w:shd w:val="clear" w:color="000000" w:fill="FFFFFF"/>
            <w:noWrap/>
            <w:vAlign w:val="bottom"/>
          </w:tcPr>
          <w:p w:rsidR="00895BD6" w:rsidRPr="00065913" w:rsidP="004957F6" w14:paraId="7F67B082" w14:textId="4A84760E">
            <w:pPr>
              <w:rPr>
                <w:sz w:val="13"/>
                <w:szCs w:val="13"/>
              </w:rPr>
            </w:pPr>
            <w:r w:rsidRPr="00065913">
              <w:rPr>
                <w:b/>
                <w:bCs/>
                <w:sz w:val="13"/>
                <w:szCs w:val="13"/>
              </w:rPr>
              <w:t>Budgetary Resources:</w:t>
            </w:r>
          </w:p>
        </w:tc>
        <w:tc>
          <w:tcPr>
            <w:tcW w:w="874" w:type="dxa"/>
            <w:tcBorders>
              <w:top w:val="nil"/>
              <w:left w:val="nil"/>
              <w:bottom w:val="nil"/>
              <w:right w:val="nil"/>
            </w:tcBorders>
            <w:shd w:val="clear" w:color="000000" w:fill="FFFFFF"/>
            <w:noWrap/>
            <w:vAlign w:val="bottom"/>
          </w:tcPr>
          <w:p w:rsidR="00895BD6" w:rsidRPr="00065913" w:rsidP="00D85D5E" w14:paraId="47EB54CD" w14:textId="77777777">
            <w:pPr>
              <w:jc w:val="right"/>
              <w:rPr>
                <w:sz w:val="13"/>
                <w:szCs w:val="13"/>
              </w:rPr>
            </w:pPr>
          </w:p>
        </w:tc>
        <w:tc>
          <w:tcPr>
            <w:tcW w:w="874" w:type="dxa"/>
            <w:tcBorders>
              <w:top w:val="nil"/>
              <w:left w:val="nil"/>
              <w:bottom w:val="nil"/>
              <w:right w:val="nil"/>
            </w:tcBorders>
            <w:shd w:val="clear" w:color="000000" w:fill="FFFFFF"/>
            <w:noWrap/>
            <w:vAlign w:val="bottom"/>
          </w:tcPr>
          <w:p w:rsidR="00895BD6" w:rsidRPr="00065913" w:rsidP="00D85D5E" w14:paraId="2A2113C4" w14:textId="77777777">
            <w:pPr>
              <w:jc w:val="right"/>
              <w:rPr>
                <w:sz w:val="13"/>
                <w:szCs w:val="13"/>
              </w:rPr>
            </w:pPr>
          </w:p>
        </w:tc>
        <w:tc>
          <w:tcPr>
            <w:tcW w:w="818" w:type="dxa"/>
            <w:tcBorders>
              <w:top w:val="nil"/>
              <w:left w:val="nil"/>
              <w:bottom w:val="nil"/>
              <w:right w:val="nil"/>
            </w:tcBorders>
            <w:shd w:val="clear" w:color="000000" w:fill="FFFFFF"/>
            <w:noWrap/>
            <w:vAlign w:val="bottom"/>
          </w:tcPr>
          <w:p w:rsidR="00895BD6" w:rsidRPr="00065913" w:rsidP="00D85D5E" w14:paraId="52001121" w14:textId="77777777">
            <w:pPr>
              <w:jc w:val="right"/>
              <w:rPr>
                <w:sz w:val="13"/>
                <w:szCs w:val="13"/>
              </w:rPr>
            </w:pPr>
          </w:p>
        </w:tc>
        <w:tc>
          <w:tcPr>
            <w:tcW w:w="1080" w:type="dxa"/>
            <w:tcBorders>
              <w:top w:val="nil"/>
              <w:left w:val="nil"/>
              <w:bottom w:val="nil"/>
              <w:right w:val="nil"/>
            </w:tcBorders>
            <w:shd w:val="clear" w:color="000000" w:fill="FFFFFF"/>
            <w:noWrap/>
            <w:vAlign w:val="bottom"/>
          </w:tcPr>
          <w:p w:rsidR="00895BD6" w:rsidRPr="00065913" w:rsidP="00D85D5E" w14:paraId="679E1167" w14:textId="77777777">
            <w:pPr>
              <w:jc w:val="right"/>
              <w:rPr>
                <w:sz w:val="13"/>
                <w:szCs w:val="13"/>
              </w:rPr>
            </w:pPr>
          </w:p>
        </w:tc>
        <w:tc>
          <w:tcPr>
            <w:tcW w:w="853" w:type="dxa"/>
            <w:tcBorders>
              <w:top w:val="nil"/>
              <w:left w:val="nil"/>
              <w:bottom w:val="nil"/>
              <w:right w:val="nil"/>
            </w:tcBorders>
            <w:shd w:val="clear" w:color="000000" w:fill="FFFFFF"/>
            <w:noWrap/>
            <w:vAlign w:val="bottom"/>
          </w:tcPr>
          <w:p w:rsidR="00895BD6" w:rsidRPr="00065913" w:rsidP="00D85D5E" w14:paraId="360E8445" w14:textId="77777777">
            <w:pPr>
              <w:jc w:val="right"/>
              <w:rPr>
                <w:sz w:val="13"/>
                <w:szCs w:val="13"/>
              </w:rPr>
            </w:pPr>
          </w:p>
        </w:tc>
        <w:tc>
          <w:tcPr>
            <w:tcW w:w="853" w:type="dxa"/>
            <w:tcBorders>
              <w:top w:val="nil"/>
              <w:left w:val="nil"/>
              <w:bottom w:val="nil"/>
              <w:right w:val="nil"/>
            </w:tcBorders>
            <w:shd w:val="clear" w:color="000000" w:fill="FFFFFF"/>
            <w:noWrap/>
            <w:vAlign w:val="bottom"/>
          </w:tcPr>
          <w:p w:rsidR="00895BD6" w:rsidRPr="00065913" w:rsidP="00D85D5E" w14:paraId="65F51B76" w14:textId="77777777">
            <w:pPr>
              <w:jc w:val="right"/>
              <w:rPr>
                <w:sz w:val="13"/>
                <w:szCs w:val="13"/>
              </w:rPr>
            </w:pPr>
          </w:p>
        </w:tc>
        <w:tc>
          <w:tcPr>
            <w:tcW w:w="853" w:type="dxa"/>
            <w:tcBorders>
              <w:top w:val="nil"/>
              <w:left w:val="nil"/>
              <w:bottom w:val="nil"/>
              <w:right w:val="nil"/>
            </w:tcBorders>
            <w:shd w:val="clear" w:color="000000" w:fill="FFFFFF"/>
            <w:noWrap/>
            <w:vAlign w:val="bottom"/>
          </w:tcPr>
          <w:p w:rsidR="00895BD6" w:rsidRPr="00065913" w:rsidP="00D85D5E" w14:paraId="072B7A40" w14:textId="77777777">
            <w:pPr>
              <w:jc w:val="right"/>
              <w:rPr>
                <w:sz w:val="13"/>
                <w:szCs w:val="13"/>
              </w:rPr>
            </w:pPr>
          </w:p>
        </w:tc>
        <w:tc>
          <w:tcPr>
            <w:tcW w:w="951" w:type="dxa"/>
            <w:tcBorders>
              <w:top w:val="nil"/>
              <w:left w:val="nil"/>
              <w:bottom w:val="nil"/>
              <w:right w:val="nil"/>
            </w:tcBorders>
            <w:shd w:val="clear" w:color="000000" w:fill="FFFFFF"/>
            <w:noWrap/>
            <w:vAlign w:val="bottom"/>
          </w:tcPr>
          <w:p w:rsidR="00895BD6" w:rsidRPr="00065913" w:rsidP="00D85D5E" w14:paraId="29FDB0CF" w14:textId="77777777">
            <w:pPr>
              <w:jc w:val="right"/>
              <w:rPr>
                <w:sz w:val="13"/>
                <w:szCs w:val="13"/>
              </w:rPr>
            </w:pPr>
          </w:p>
        </w:tc>
        <w:tc>
          <w:tcPr>
            <w:tcW w:w="810" w:type="dxa"/>
            <w:tcBorders>
              <w:top w:val="nil"/>
              <w:left w:val="nil"/>
              <w:bottom w:val="nil"/>
              <w:right w:val="nil"/>
            </w:tcBorders>
            <w:shd w:val="clear" w:color="000000" w:fill="FFFFFF"/>
            <w:noWrap/>
            <w:vAlign w:val="bottom"/>
          </w:tcPr>
          <w:p w:rsidR="00895BD6" w:rsidRPr="00065913" w:rsidP="00D85D5E" w14:paraId="0474BA96" w14:textId="77777777">
            <w:pPr>
              <w:jc w:val="right"/>
              <w:rPr>
                <w:sz w:val="13"/>
                <w:szCs w:val="13"/>
              </w:rPr>
            </w:pPr>
          </w:p>
        </w:tc>
        <w:tc>
          <w:tcPr>
            <w:tcW w:w="720" w:type="dxa"/>
            <w:tcBorders>
              <w:top w:val="nil"/>
              <w:left w:val="nil"/>
              <w:bottom w:val="nil"/>
              <w:right w:val="nil"/>
            </w:tcBorders>
            <w:shd w:val="clear" w:color="000000" w:fill="FFFFFF"/>
            <w:noWrap/>
            <w:vAlign w:val="bottom"/>
          </w:tcPr>
          <w:p w:rsidR="00895BD6" w:rsidRPr="00065913" w:rsidP="00D85D5E" w14:paraId="0D26C79D" w14:textId="77777777">
            <w:pPr>
              <w:jc w:val="right"/>
              <w:rPr>
                <w:sz w:val="13"/>
                <w:szCs w:val="13"/>
              </w:rPr>
            </w:pPr>
          </w:p>
        </w:tc>
        <w:tc>
          <w:tcPr>
            <w:tcW w:w="931" w:type="dxa"/>
            <w:tcBorders>
              <w:top w:val="nil"/>
              <w:left w:val="nil"/>
              <w:bottom w:val="nil"/>
              <w:right w:val="nil"/>
            </w:tcBorders>
            <w:shd w:val="clear" w:color="000000" w:fill="FFFFFF"/>
            <w:noWrap/>
            <w:vAlign w:val="bottom"/>
          </w:tcPr>
          <w:p w:rsidR="00895BD6" w:rsidRPr="00065913" w:rsidP="00D85D5E" w14:paraId="23C49194" w14:textId="77777777">
            <w:pPr>
              <w:jc w:val="right"/>
              <w:rPr>
                <w:sz w:val="13"/>
                <w:szCs w:val="13"/>
              </w:rPr>
            </w:pPr>
          </w:p>
        </w:tc>
      </w:tr>
      <w:tr w14:paraId="505A0FA4" w14:textId="77777777" w:rsidTr="00D67677">
        <w:tblPrEx>
          <w:tblW w:w="4998" w:type="pct"/>
          <w:tblLayout w:type="fixed"/>
          <w:tblLook w:val="04A0"/>
        </w:tblPrEx>
        <w:tc>
          <w:tcPr>
            <w:tcW w:w="3914" w:type="dxa"/>
            <w:tcBorders>
              <w:top w:val="nil"/>
              <w:left w:val="nil"/>
              <w:bottom w:val="nil"/>
              <w:right w:val="nil"/>
            </w:tcBorders>
            <w:shd w:val="clear" w:color="000000" w:fill="FFFFFF"/>
            <w:noWrap/>
            <w:vAlign w:val="bottom"/>
            <w:hideMark/>
          </w:tcPr>
          <w:p w:rsidR="00895BD6" w:rsidRPr="00065913" w:rsidP="000A5BF8" w14:paraId="2D6CC1B5" w14:textId="77777777">
            <w:pPr>
              <w:ind w:left="432"/>
              <w:rPr>
                <w:sz w:val="13"/>
                <w:szCs w:val="13"/>
              </w:rPr>
            </w:pPr>
            <w:r w:rsidRPr="00065913">
              <w:rPr>
                <w:sz w:val="13"/>
                <w:szCs w:val="13"/>
              </w:rPr>
              <w:t>Unobligated balance from prior year budget authority, net</w:t>
            </w:r>
          </w:p>
        </w:tc>
        <w:tc>
          <w:tcPr>
            <w:tcW w:w="874" w:type="dxa"/>
            <w:tcBorders>
              <w:top w:val="nil"/>
              <w:left w:val="nil"/>
              <w:bottom w:val="nil"/>
              <w:right w:val="nil"/>
            </w:tcBorders>
            <w:shd w:val="clear" w:color="000000" w:fill="FFFFFF"/>
            <w:noWrap/>
            <w:vAlign w:val="bottom"/>
            <w:hideMark/>
          </w:tcPr>
          <w:p w:rsidR="00895BD6" w:rsidRPr="00065913" w:rsidP="00D85D5E" w14:paraId="404FFC38" w14:textId="3DA121F0">
            <w:pPr>
              <w:jc w:val="right"/>
              <w:rPr>
                <w:sz w:val="13"/>
                <w:szCs w:val="13"/>
              </w:rPr>
            </w:pPr>
            <w:r w:rsidRPr="00065913">
              <w:rPr>
                <w:sz w:val="13"/>
                <w:szCs w:val="13"/>
              </w:rPr>
              <w:t>$</w:t>
            </w:r>
            <w:r w:rsidR="0022428F">
              <w:rPr>
                <w:sz w:val="13"/>
                <w:szCs w:val="13"/>
              </w:rPr>
              <w:t xml:space="preserve">     </w:t>
            </w:r>
            <w:r w:rsidRPr="00065913">
              <w:rPr>
                <w:sz w:val="13"/>
                <w:szCs w:val="13"/>
              </w:rPr>
              <w:t xml:space="preserve">  39,074 </w:t>
            </w:r>
          </w:p>
        </w:tc>
        <w:tc>
          <w:tcPr>
            <w:tcW w:w="874" w:type="dxa"/>
            <w:tcBorders>
              <w:top w:val="nil"/>
              <w:left w:val="nil"/>
              <w:bottom w:val="nil"/>
              <w:right w:val="nil"/>
            </w:tcBorders>
            <w:shd w:val="clear" w:color="000000" w:fill="FFFFFF"/>
            <w:noWrap/>
            <w:vAlign w:val="bottom"/>
            <w:hideMark/>
          </w:tcPr>
          <w:p w:rsidR="00895BD6" w:rsidRPr="00065913" w:rsidP="00D85D5E" w14:paraId="578BC46A" w14:textId="6C0DA9CD">
            <w:pPr>
              <w:jc w:val="right"/>
              <w:rPr>
                <w:sz w:val="13"/>
                <w:szCs w:val="13"/>
              </w:rPr>
            </w:pPr>
            <w:r w:rsidRPr="00065913">
              <w:rPr>
                <w:sz w:val="13"/>
                <w:szCs w:val="13"/>
              </w:rPr>
              <w:t>$</w:t>
            </w:r>
            <w:r w:rsidR="00F15846">
              <w:rPr>
                <w:sz w:val="13"/>
                <w:szCs w:val="13"/>
              </w:rPr>
              <w:t xml:space="preserve">     </w:t>
            </w:r>
            <w:r w:rsidRPr="00065913">
              <w:rPr>
                <w:sz w:val="13"/>
                <w:szCs w:val="13"/>
              </w:rPr>
              <w:t xml:space="preserve">  50,034 </w:t>
            </w:r>
          </w:p>
        </w:tc>
        <w:tc>
          <w:tcPr>
            <w:tcW w:w="818" w:type="dxa"/>
            <w:tcBorders>
              <w:top w:val="nil"/>
              <w:left w:val="nil"/>
              <w:bottom w:val="nil"/>
              <w:right w:val="nil"/>
            </w:tcBorders>
            <w:shd w:val="clear" w:color="000000" w:fill="FFFFFF"/>
            <w:noWrap/>
            <w:vAlign w:val="bottom"/>
            <w:hideMark/>
          </w:tcPr>
          <w:p w:rsidR="00895BD6" w:rsidRPr="00065913" w:rsidP="00D85D5E" w14:paraId="27FAE8B5" w14:textId="78CC1C0D">
            <w:pPr>
              <w:jc w:val="right"/>
              <w:rPr>
                <w:sz w:val="13"/>
                <w:szCs w:val="13"/>
              </w:rPr>
            </w:pPr>
            <w:r w:rsidRPr="00065913">
              <w:rPr>
                <w:sz w:val="13"/>
                <w:szCs w:val="13"/>
              </w:rPr>
              <w:t>$</w:t>
            </w:r>
            <w:r w:rsidR="00DB0D24">
              <w:rPr>
                <w:sz w:val="13"/>
                <w:szCs w:val="13"/>
              </w:rPr>
              <w:t xml:space="preserve">   </w:t>
            </w:r>
            <w:r w:rsidRPr="00065913">
              <w:rPr>
                <w:sz w:val="13"/>
                <w:szCs w:val="13"/>
              </w:rPr>
              <w:t xml:space="preserve">    6,103 </w:t>
            </w:r>
          </w:p>
        </w:tc>
        <w:tc>
          <w:tcPr>
            <w:tcW w:w="1080" w:type="dxa"/>
            <w:tcBorders>
              <w:top w:val="nil"/>
              <w:left w:val="nil"/>
              <w:bottom w:val="nil"/>
              <w:right w:val="nil"/>
            </w:tcBorders>
            <w:shd w:val="clear" w:color="000000" w:fill="FFFFFF"/>
            <w:noWrap/>
            <w:vAlign w:val="bottom"/>
            <w:hideMark/>
          </w:tcPr>
          <w:p w:rsidR="00895BD6" w:rsidRPr="00065913" w:rsidP="00D85D5E" w14:paraId="5FBE2532" w14:textId="0E48F598">
            <w:pPr>
              <w:jc w:val="right"/>
              <w:rPr>
                <w:sz w:val="13"/>
                <w:szCs w:val="13"/>
              </w:rPr>
            </w:pPr>
            <w:r w:rsidRPr="00065913">
              <w:rPr>
                <w:sz w:val="13"/>
                <w:szCs w:val="13"/>
              </w:rPr>
              <w:t>$</w:t>
            </w:r>
            <w:r w:rsidR="00DB0D24">
              <w:rPr>
                <w:sz w:val="13"/>
                <w:szCs w:val="13"/>
              </w:rPr>
              <w:t xml:space="preserve">          </w:t>
            </w: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1CA5C6E8" w14:textId="59838D1F">
            <w:pPr>
              <w:jc w:val="right"/>
              <w:rPr>
                <w:sz w:val="13"/>
                <w:szCs w:val="13"/>
              </w:rPr>
            </w:pPr>
            <w:r w:rsidRPr="00065913">
              <w:rPr>
                <w:sz w:val="13"/>
                <w:szCs w:val="13"/>
              </w:rPr>
              <w:t>$</w:t>
            </w:r>
            <w:r w:rsidR="007136B6">
              <w:rPr>
                <w:sz w:val="13"/>
                <w:szCs w:val="13"/>
              </w:rPr>
              <w:t xml:space="preserve">  </w:t>
            </w: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1ECC80A9" w14:textId="48BAA8EE">
            <w:pPr>
              <w:jc w:val="right"/>
              <w:rPr>
                <w:sz w:val="13"/>
                <w:szCs w:val="13"/>
              </w:rPr>
            </w:pPr>
            <w:r w:rsidRPr="00065913">
              <w:rPr>
                <w:sz w:val="13"/>
                <w:szCs w:val="13"/>
              </w:rPr>
              <w:t>$</w:t>
            </w:r>
            <w:r w:rsidR="00D0350C">
              <w:rPr>
                <w:sz w:val="13"/>
                <w:szCs w:val="13"/>
              </w:rPr>
              <w:t xml:space="preserve">  </w:t>
            </w: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267086B9" w14:textId="0CDC855A">
            <w:pPr>
              <w:jc w:val="right"/>
              <w:rPr>
                <w:sz w:val="13"/>
                <w:szCs w:val="13"/>
              </w:rPr>
            </w:pPr>
            <w:r w:rsidRPr="00065913">
              <w:rPr>
                <w:sz w:val="13"/>
                <w:szCs w:val="13"/>
              </w:rPr>
              <w:t>$</w:t>
            </w:r>
            <w:r w:rsidR="00D0350C">
              <w:rPr>
                <w:sz w:val="13"/>
                <w:szCs w:val="13"/>
              </w:rPr>
              <w:t xml:space="preserve">    </w:t>
            </w:r>
            <w:r w:rsidRPr="00065913">
              <w:rPr>
                <w:sz w:val="13"/>
                <w:szCs w:val="13"/>
              </w:rPr>
              <w:t xml:space="preserve">798,097 </w:t>
            </w:r>
          </w:p>
        </w:tc>
        <w:tc>
          <w:tcPr>
            <w:tcW w:w="951" w:type="dxa"/>
            <w:tcBorders>
              <w:top w:val="nil"/>
              <w:left w:val="nil"/>
              <w:bottom w:val="nil"/>
              <w:right w:val="nil"/>
            </w:tcBorders>
            <w:shd w:val="clear" w:color="000000" w:fill="FFFFFF"/>
            <w:noWrap/>
            <w:vAlign w:val="bottom"/>
            <w:hideMark/>
          </w:tcPr>
          <w:p w:rsidR="00895BD6" w:rsidRPr="00065913" w:rsidP="00D85D5E" w14:paraId="45ED2AF1" w14:textId="1A2DA686">
            <w:pPr>
              <w:jc w:val="right"/>
              <w:rPr>
                <w:sz w:val="13"/>
                <w:szCs w:val="13"/>
              </w:rPr>
            </w:pPr>
            <w:r w:rsidRPr="00065913">
              <w:rPr>
                <w:sz w:val="13"/>
                <w:szCs w:val="13"/>
              </w:rPr>
              <w:t>$</w:t>
            </w:r>
            <w:r w:rsidR="000E6016">
              <w:rPr>
                <w:sz w:val="13"/>
                <w:szCs w:val="13"/>
              </w:rPr>
              <w:t xml:space="preserve"> </w:t>
            </w:r>
            <w:r w:rsidRPr="00065913">
              <w:rPr>
                <w:sz w:val="13"/>
                <w:szCs w:val="13"/>
              </w:rPr>
              <w:t>(9,267,724)</w:t>
            </w:r>
          </w:p>
        </w:tc>
        <w:tc>
          <w:tcPr>
            <w:tcW w:w="810" w:type="dxa"/>
            <w:tcBorders>
              <w:top w:val="nil"/>
              <w:left w:val="nil"/>
              <w:bottom w:val="nil"/>
              <w:right w:val="nil"/>
            </w:tcBorders>
            <w:shd w:val="clear" w:color="000000" w:fill="FFFFFF"/>
            <w:noWrap/>
            <w:vAlign w:val="bottom"/>
            <w:hideMark/>
          </w:tcPr>
          <w:p w:rsidR="00895BD6" w:rsidRPr="00065913" w:rsidP="00D85D5E" w14:paraId="3695412F" w14:textId="0B30E2FB">
            <w:pPr>
              <w:jc w:val="right"/>
              <w:rPr>
                <w:sz w:val="13"/>
                <w:szCs w:val="13"/>
              </w:rPr>
            </w:pPr>
            <w:r w:rsidRPr="00065913">
              <w:rPr>
                <w:sz w:val="13"/>
                <w:szCs w:val="13"/>
              </w:rPr>
              <w:t xml:space="preserve">$   348,245 </w:t>
            </w:r>
          </w:p>
        </w:tc>
        <w:tc>
          <w:tcPr>
            <w:tcW w:w="720" w:type="dxa"/>
            <w:tcBorders>
              <w:top w:val="nil"/>
              <w:left w:val="nil"/>
              <w:bottom w:val="nil"/>
              <w:right w:val="nil"/>
            </w:tcBorders>
            <w:shd w:val="clear" w:color="000000" w:fill="FFFFFF"/>
            <w:noWrap/>
            <w:vAlign w:val="bottom"/>
            <w:hideMark/>
          </w:tcPr>
          <w:p w:rsidR="00895BD6" w:rsidRPr="00065913" w:rsidP="00D85D5E" w14:paraId="16F2758E" w14:textId="77952F9B">
            <w:pPr>
              <w:jc w:val="right"/>
              <w:rPr>
                <w:sz w:val="13"/>
                <w:szCs w:val="13"/>
              </w:rPr>
            </w:pPr>
            <w:r w:rsidRPr="00065913">
              <w:rPr>
                <w:sz w:val="13"/>
                <w:szCs w:val="13"/>
              </w:rPr>
              <w:t>$</w:t>
            </w:r>
            <w:r w:rsidR="00F8445B">
              <w:rPr>
                <w:sz w:val="13"/>
                <w:szCs w:val="13"/>
              </w:rPr>
              <w:t xml:space="preserve">    </w:t>
            </w:r>
            <w:r w:rsidRPr="00065913">
              <w:rPr>
                <w:sz w:val="13"/>
                <w:szCs w:val="13"/>
              </w:rPr>
              <w:t xml:space="preserve">2,841 </w:t>
            </w:r>
          </w:p>
        </w:tc>
        <w:tc>
          <w:tcPr>
            <w:tcW w:w="931" w:type="dxa"/>
            <w:tcBorders>
              <w:top w:val="nil"/>
              <w:left w:val="nil"/>
              <w:bottom w:val="nil"/>
              <w:right w:val="nil"/>
            </w:tcBorders>
            <w:shd w:val="clear" w:color="000000" w:fill="FFFFFF"/>
            <w:noWrap/>
            <w:vAlign w:val="bottom"/>
            <w:hideMark/>
          </w:tcPr>
          <w:p w:rsidR="00895BD6" w:rsidRPr="00065913" w:rsidP="00D85D5E" w14:paraId="6E947504" w14:textId="5A296DAD">
            <w:pPr>
              <w:jc w:val="right"/>
              <w:rPr>
                <w:sz w:val="13"/>
                <w:szCs w:val="13"/>
              </w:rPr>
            </w:pPr>
            <w:r w:rsidRPr="00065913">
              <w:rPr>
                <w:sz w:val="13"/>
                <w:szCs w:val="13"/>
              </w:rPr>
              <w:t>$ (8,023,330)</w:t>
            </w:r>
          </w:p>
        </w:tc>
      </w:tr>
      <w:tr w14:paraId="439BAD3E" w14:textId="77777777" w:rsidTr="00D67677">
        <w:tblPrEx>
          <w:tblW w:w="4998" w:type="pct"/>
          <w:tblLayout w:type="fixed"/>
          <w:tblLook w:val="04A0"/>
        </w:tblPrEx>
        <w:tc>
          <w:tcPr>
            <w:tcW w:w="3914" w:type="dxa"/>
            <w:tcBorders>
              <w:top w:val="nil"/>
              <w:left w:val="nil"/>
              <w:bottom w:val="nil"/>
              <w:right w:val="nil"/>
            </w:tcBorders>
            <w:shd w:val="clear" w:color="000000" w:fill="FFFFFF"/>
            <w:noWrap/>
            <w:vAlign w:val="bottom"/>
            <w:hideMark/>
          </w:tcPr>
          <w:p w:rsidR="00895BD6" w:rsidRPr="00065913" w:rsidP="000A5BF8" w14:paraId="4B2AB4DA" w14:textId="77777777">
            <w:pPr>
              <w:ind w:left="432"/>
              <w:rPr>
                <w:sz w:val="13"/>
                <w:szCs w:val="13"/>
              </w:rPr>
            </w:pPr>
            <w:r w:rsidRPr="00065913">
              <w:rPr>
                <w:sz w:val="13"/>
                <w:szCs w:val="13"/>
              </w:rPr>
              <w:t>Appropriations (discretionary and mandatory)</w:t>
            </w:r>
          </w:p>
        </w:tc>
        <w:tc>
          <w:tcPr>
            <w:tcW w:w="874" w:type="dxa"/>
            <w:tcBorders>
              <w:top w:val="nil"/>
              <w:left w:val="nil"/>
              <w:bottom w:val="nil"/>
              <w:right w:val="nil"/>
            </w:tcBorders>
            <w:shd w:val="clear" w:color="000000" w:fill="FFFFFF"/>
            <w:noWrap/>
            <w:vAlign w:val="bottom"/>
            <w:hideMark/>
          </w:tcPr>
          <w:p w:rsidR="00895BD6" w:rsidRPr="00065913" w:rsidP="00D85D5E" w14:paraId="4068F313" w14:textId="77777777">
            <w:pPr>
              <w:jc w:val="right"/>
              <w:rPr>
                <w:sz w:val="13"/>
                <w:szCs w:val="13"/>
              </w:rPr>
            </w:pPr>
            <w:r w:rsidRPr="00065913">
              <w:rPr>
                <w:sz w:val="13"/>
                <w:szCs w:val="13"/>
              </w:rPr>
              <w:t xml:space="preserve">     65,000 </w:t>
            </w:r>
          </w:p>
        </w:tc>
        <w:tc>
          <w:tcPr>
            <w:tcW w:w="874" w:type="dxa"/>
            <w:tcBorders>
              <w:top w:val="nil"/>
              <w:left w:val="nil"/>
              <w:bottom w:val="nil"/>
              <w:right w:val="nil"/>
            </w:tcBorders>
            <w:shd w:val="clear" w:color="000000" w:fill="FFFFFF"/>
            <w:noWrap/>
            <w:vAlign w:val="bottom"/>
            <w:hideMark/>
          </w:tcPr>
          <w:p w:rsidR="00895BD6" w:rsidRPr="00065913" w:rsidP="00D85D5E" w14:paraId="1541FE9D" w14:textId="77777777">
            <w:pPr>
              <w:jc w:val="right"/>
              <w:rPr>
                <w:sz w:val="13"/>
                <w:szCs w:val="13"/>
              </w:rPr>
            </w:pPr>
            <w:r w:rsidRPr="00065913">
              <w:rPr>
                <w:sz w:val="13"/>
                <w:szCs w:val="13"/>
              </w:rPr>
              <w:t xml:space="preserve">              - </w:t>
            </w:r>
          </w:p>
        </w:tc>
        <w:tc>
          <w:tcPr>
            <w:tcW w:w="818" w:type="dxa"/>
            <w:tcBorders>
              <w:top w:val="nil"/>
              <w:left w:val="nil"/>
              <w:bottom w:val="nil"/>
              <w:right w:val="nil"/>
            </w:tcBorders>
            <w:shd w:val="clear" w:color="000000" w:fill="FFFFFF"/>
            <w:noWrap/>
            <w:vAlign w:val="bottom"/>
            <w:hideMark/>
          </w:tcPr>
          <w:p w:rsidR="00895BD6" w:rsidRPr="00065913" w:rsidP="00D85D5E" w14:paraId="1FD1974B" w14:textId="77777777">
            <w:pPr>
              <w:jc w:val="right"/>
              <w:rPr>
                <w:sz w:val="13"/>
                <w:szCs w:val="13"/>
              </w:rPr>
            </w:pPr>
            <w:r w:rsidRPr="00065913">
              <w:rPr>
                <w:sz w:val="13"/>
                <w:szCs w:val="13"/>
              </w:rPr>
              <w:t xml:space="preserve">   249,950 </w:t>
            </w:r>
          </w:p>
        </w:tc>
        <w:tc>
          <w:tcPr>
            <w:tcW w:w="1080" w:type="dxa"/>
            <w:tcBorders>
              <w:top w:val="nil"/>
              <w:left w:val="nil"/>
              <w:bottom w:val="nil"/>
              <w:right w:val="nil"/>
            </w:tcBorders>
            <w:shd w:val="clear" w:color="000000" w:fill="FFFFFF"/>
            <w:noWrap/>
            <w:vAlign w:val="bottom"/>
            <w:hideMark/>
          </w:tcPr>
          <w:p w:rsidR="00895BD6" w:rsidRPr="00065913" w:rsidP="00D85D5E" w14:paraId="46A5CBF2" w14:textId="77777777">
            <w:pPr>
              <w:jc w:val="right"/>
              <w:rPr>
                <w:sz w:val="13"/>
                <w:szCs w:val="13"/>
              </w:rPr>
            </w:pPr>
            <w:r w:rsidRPr="00065913">
              <w:rPr>
                <w:sz w:val="13"/>
                <w:szCs w:val="13"/>
              </w:rPr>
              <w:t xml:space="preserve">   3,200,000 </w:t>
            </w:r>
          </w:p>
        </w:tc>
        <w:tc>
          <w:tcPr>
            <w:tcW w:w="853" w:type="dxa"/>
            <w:tcBorders>
              <w:top w:val="nil"/>
              <w:left w:val="nil"/>
              <w:bottom w:val="nil"/>
              <w:right w:val="nil"/>
            </w:tcBorders>
            <w:shd w:val="clear" w:color="000000" w:fill="FFFFFF"/>
            <w:noWrap/>
            <w:vAlign w:val="bottom"/>
            <w:hideMark/>
          </w:tcPr>
          <w:p w:rsidR="00895BD6" w:rsidRPr="00065913" w:rsidP="00D85D5E" w14:paraId="618DE97D" w14:textId="77777777">
            <w:pPr>
              <w:jc w:val="right"/>
              <w:rPr>
                <w:sz w:val="13"/>
                <w:szCs w:val="13"/>
              </w:rPr>
            </w:pPr>
            <w:r w:rsidRPr="00065913">
              <w:rPr>
                <w:sz w:val="13"/>
                <w:szCs w:val="13"/>
              </w:rPr>
              <w:t xml:space="preserve">   1,900,000 </w:t>
            </w:r>
          </w:p>
        </w:tc>
        <w:tc>
          <w:tcPr>
            <w:tcW w:w="853" w:type="dxa"/>
            <w:tcBorders>
              <w:top w:val="nil"/>
              <w:left w:val="nil"/>
              <w:bottom w:val="nil"/>
              <w:right w:val="nil"/>
            </w:tcBorders>
            <w:shd w:val="clear" w:color="000000" w:fill="FFFFFF"/>
            <w:noWrap/>
            <w:vAlign w:val="bottom"/>
            <w:hideMark/>
          </w:tcPr>
          <w:p w:rsidR="00895BD6" w:rsidRPr="00065913" w:rsidP="00D85D5E" w14:paraId="1C4353CD" w14:textId="77777777">
            <w:pPr>
              <w:jc w:val="right"/>
              <w:rPr>
                <w:sz w:val="13"/>
                <w:szCs w:val="13"/>
              </w:rPr>
            </w:pPr>
            <w:r w:rsidRPr="00065913">
              <w:rPr>
                <w:sz w:val="13"/>
                <w:szCs w:val="13"/>
              </w:rPr>
              <w:t xml:space="preserve">   7,172,000 </w:t>
            </w:r>
          </w:p>
        </w:tc>
        <w:tc>
          <w:tcPr>
            <w:tcW w:w="853" w:type="dxa"/>
            <w:tcBorders>
              <w:top w:val="nil"/>
              <w:left w:val="nil"/>
              <w:bottom w:val="nil"/>
              <w:right w:val="nil"/>
            </w:tcBorders>
            <w:shd w:val="clear" w:color="000000" w:fill="FFFFFF"/>
            <w:noWrap/>
            <w:vAlign w:val="bottom"/>
            <w:hideMark/>
          </w:tcPr>
          <w:p w:rsidR="00895BD6" w:rsidRPr="00065913" w:rsidP="00D85D5E" w14:paraId="5DF2AED2" w14:textId="77777777">
            <w:pPr>
              <w:jc w:val="right"/>
              <w:rPr>
                <w:sz w:val="13"/>
                <w:szCs w:val="13"/>
              </w:rPr>
            </w:pPr>
            <w:r w:rsidRPr="00065913">
              <w:rPr>
                <w:sz w:val="13"/>
                <w:szCs w:val="13"/>
              </w:rPr>
              <w:t xml:space="preserve">              - </w:t>
            </w:r>
          </w:p>
        </w:tc>
        <w:tc>
          <w:tcPr>
            <w:tcW w:w="951" w:type="dxa"/>
            <w:tcBorders>
              <w:top w:val="nil"/>
              <w:left w:val="nil"/>
              <w:bottom w:val="nil"/>
              <w:right w:val="nil"/>
            </w:tcBorders>
            <w:shd w:val="clear" w:color="000000" w:fill="FFFFFF"/>
            <w:noWrap/>
            <w:vAlign w:val="bottom"/>
            <w:hideMark/>
          </w:tcPr>
          <w:p w:rsidR="00895BD6" w:rsidRPr="00065913" w:rsidP="00D85D5E" w14:paraId="422995D7" w14:textId="77777777">
            <w:pPr>
              <w:jc w:val="right"/>
              <w:rPr>
                <w:sz w:val="13"/>
                <w:szCs w:val="13"/>
              </w:rPr>
            </w:pPr>
            <w:r w:rsidRPr="00065913">
              <w:rPr>
                <w:sz w:val="13"/>
                <w:szCs w:val="13"/>
              </w:rPr>
              <w:t xml:space="preserve">    9,189,627 </w:t>
            </w:r>
          </w:p>
        </w:tc>
        <w:tc>
          <w:tcPr>
            <w:tcW w:w="810" w:type="dxa"/>
            <w:tcBorders>
              <w:top w:val="nil"/>
              <w:left w:val="nil"/>
              <w:bottom w:val="nil"/>
              <w:right w:val="nil"/>
            </w:tcBorders>
            <w:shd w:val="clear" w:color="000000" w:fill="FFFFFF"/>
            <w:noWrap/>
            <w:vAlign w:val="bottom"/>
            <w:hideMark/>
          </w:tcPr>
          <w:p w:rsidR="00895BD6" w:rsidRPr="00065913" w:rsidP="00B0697E" w14:paraId="506633FE" w14:textId="2E869E4F">
            <w:pPr>
              <w:jc w:val="right"/>
              <w:rPr>
                <w:sz w:val="13"/>
                <w:szCs w:val="13"/>
              </w:rPr>
            </w:pPr>
            <w:r w:rsidRPr="00065913">
              <w:rPr>
                <w:sz w:val="13"/>
                <w:szCs w:val="13"/>
              </w:rPr>
              <w:t xml:space="preserve">1,562,174 </w:t>
            </w:r>
          </w:p>
        </w:tc>
        <w:tc>
          <w:tcPr>
            <w:tcW w:w="720" w:type="dxa"/>
            <w:tcBorders>
              <w:top w:val="nil"/>
              <w:left w:val="nil"/>
              <w:bottom w:val="nil"/>
              <w:right w:val="nil"/>
            </w:tcBorders>
            <w:shd w:val="clear" w:color="000000" w:fill="FFFFFF"/>
            <w:noWrap/>
            <w:vAlign w:val="bottom"/>
            <w:hideMark/>
          </w:tcPr>
          <w:p w:rsidR="00895BD6" w:rsidRPr="00065913" w:rsidP="00D85D5E" w14:paraId="7BE57DC6" w14:textId="77777777">
            <w:pPr>
              <w:jc w:val="right"/>
              <w:rPr>
                <w:sz w:val="13"/>
                <w:szCs w:val="13"/>
              </w:rPr>
            </w:pPr>
            <w:r w:rsidRPr="00065913">
              <w:rPr>
                <w:sz w:val="13"/>
                <w:szCs w:val="13"/>
              </w:rPr>
              <w:t xml:space="preserve">          - </w:t>
            </w:r>
          </w:p>
        </w:tc>
        <w:tc>
          <w:tcPr>
            <w:tcW w:w="931" w:type="dxa"/>
            <w:tcBorders>
              <w:top w:val="nil"/>
              <w:left w:val="nil"/>
              <w:bottom w:val="nil"/>
              <w:right w:val="nil"/>
            </w:tcBorders>
            <w:shd w:val="clear" w:color="000000" w:fill="FFFFFF"/>
            <w:noWrap/>
            <w:vAlign w:val="bottom"/>
            <w:hideMark/>
          </w:tcPr>
          <w:p w:rsidR="00895BD6" w:rsidRPr="00065913" w:rsidP="00D85D5E" w14:paraId="2E17015A" w14:textId="77777777">
            <w:pPr>
              <w:jc w:val="right"/>
              <w:rPr>
                <w:sz w:val="13"/>
                <w:szCs w:val="13"/>
              </w:rPr>
            </w:pPr>
            <w:r w:rsidRPr="00065913">
              <w:rPr>
                <w:sz w:val="13"/>
                <w:szCs w:val="13"/>
              </w:rPr>
              <w:t xml:space="preserve">   23,338,751 </w:t>
            </w:r>
          </w:p>
        </w:tc>
      </w:tr>
      <w:tr w14:paraId="7B557135" w14:textId="77777777" w:rsidTr="00D67677">
        <w:tblPrEx>
          <w:tblW w:w="4998" w:type="pct"/>
          <w:tblLayout w:type="fixed"/>
          <w:tblLook w:val="04A0"/>
        </w:tblPrEx>
        <w:tc>
          <w:tcPr>
            <w:tcW w:w="3914" w:type="dxa"/>
            <w:tcBorders>
              <w:top w:val="nil"/>
              <w:left w:val="nil"/>
              <w:bottom w:val="nil"/>
              <w:right w:val="nil"/>
            </w:tcBorders>
            <w:shd w:val="clear" w:color="000000" w:fill="FFFFFF"/>
            <w:noWrap/>
            <w:vAlign w:val="bottom"/>
            <w:hideMark/>
          </w:tcPr>
          <w:p w:rsidR="00895BD6" w:rsidRPr="00065913" w:rsidP="000A5BF8" w14:paraId="4FBCE9A0" w14:textId="77777777">
            <w:pPr>
              <w:ind w:left="432"/>
              <w:rPr>
                <w:sz w:val="13"/>
                <w:szCs w:val="13"/>
              </w:rPr>
            </w:pPr>
            <w:r w:rsidRPr="00065913">
              <w:rPr>
                <w:sz w:val="13"/>
                <w:szCs w:val="13"/>
              </w:rPr>
              <w:t>Spending authority from offsetting collections (discretionary and mandatory)</w:t>
            </w:r>
          </w:p>
        </w:tc>
        <w:tc>
          <w:tcPr>
            <w:tcW w:w="874" w:type="dxa"/>
            <w:tcBorders>
              <w:top w:val="nil"/>
              <w:left w:val="nil"/>
              <w:bottom w:val="nil"/>
              <w:right w:val="nil"/>
            </w:tcBorders>
            <w:shd w:val="clear" w:color="auto" w:fill="auto"/>
            <w:noWrap/>
            <w:vAlign w:val="bottom"/>
            <w:hideMark/>
          </w:tcPr>
          <w:p w:rsidR="00895BD6" w:rsidRPr="00065913" w:rsidP="00D85D5E" w14:paraId="1D5B743F" w14:textId="77777777">
            <w:pPr>
              <w:jc w:val="right"/>
              <w:rPr>
                <w:sz w:val="13"/>
                <w:szCs w:val="13"/>
              </w:rPr>
            </w:pPr>
            <w:r w:rsidRPr="00065913">
              <w:rPr>
                <w:sz w:val="13"/>
                <w:szCs w:val="13"/>
              </w:rPr>
              <w:t xml:space="preserve">   374,988 </w:t>
            </w:r>
          </w:p>
        </w:tc>
        <w:tc>
          <w:tcPr>
            <w:tcW w:w="874" w:type="dxa"/>
            <w:tcBorders>
              <w:top w:val="nil"/>
              <w:left w:val="nil"/>
              <w:bottom w:val="nil"/>
              <w:right w:val="nil"/>
            </w:tcBorders>
            <w:shd w:val="clear" w:color="000000" w:fill="FFFFFF"/>
            <w:noWrap/>
            <w:vAlign w:val="bottom"/>
            <w:hideMark/>
          </w:tcPr>
          <w:p w:rsidR="00895BD6" w:rsidRPr="00065913" w:rsidP="00D85D5E" w14:paraId="5887558C" w14:textId="77777777">
            <w:pPr>
              <w:jc w:val="right"/>
              <w:rPr>
                <w:sz w:val="13"/>
                <w:szCs w:val="13"/>
              </w:rPr>
            </w:pPr>
            <w:r w:rsidRPr="00065913">
              <w:rPr>
                <w:sz w:val="13"/>
                <w:szCs w:val="13"/>
              </w:rPr>
              <w:t xml:space="preserve">   134,495 </w:t>
            </w:r>
          </w:p>
        </w:tc>
        <w:tc>
          <w:tcPr>
            <w:tcW w:w="818" w:type="dxa"/>
            <w:tcBorders>
              <w:top w:val="nil"/>
              <w:left w:val="nil"/>
              <w:bottom w:val="nil"/>
              <w:right w:val="nil"/>
            </w:tcBorders>
            <w:shd w:val="clear" w:color="auto" w:fill="auto"/>
            <w:noWrap/>
            <w:vAlign w:val="bottom"/>
            <w:hideMark/>
          </w:tcPr>
          <w:p w:rsidR="00895BD6" w:rsidRPr="00065913" w:rsidP="00D85D5E" w14:paraId="5AE9D2B2" w14:textId="77777777">
            <w:pPr>
              <w:jc w:val="right"/>
              <w:rPr>
                <w:sz w:val="13"/>
                <w:szCs w:val="13"/>
              </w:rPr>
            </w:pPr>
            <w:r w:rsidRPr="00065913">
              <w:rPr>
                <w:sz w:val="13"/>
                <w:szCs w:val="13"/>
              </w:rPr>
              <w:t xml:space="preserve">              - </w:t>
            </w:r>
          </w:p>
        </w:tc>
        <w:tc>
          <w:tcPr>
            <w:tcW w:w="1080" w:type="dxa"/>
            <w:tcBorders>
              <w:top w:val="nil"/>
              <w:left w:val="nil"/>
              <w:bottom w:val="nil"/>
              <w:right w:val="nil"/>
            </w:tcBorders>
            <w:shd w:val="clear" w:color="000000" w:fill="FFFFFF"/>
            <w:noWrap/>
            <w:vAlign w:val="bottom"/>
            <w:hideMark/>
          </w:tcPr>
          <w:p w:rsidR="00895BD6" w:rsidRPr="00065913" w:rsidP="00D85D5E" w14:paraId="5744D3A6"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0678711B"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5597DE91"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3E423EA3" w14:textId="77777777">
            <w:pPr>
              <w:jc w:val="right"/>
              <w:rPr>
                <w:sz w:val="13"/>
                <w:szCs w:val="13"/>
              </w:rPr>
            </w:pPr>
            <w:r w:rsidRPr="00065913">
              <w:rPr>
                <w:sz w:val="13"/>
                <w:szCs w:val="13"/>
              </w:rPr>
              <w:t xml:space="preserve">              - </w:t>
            </w:r>
          </w:p>
        </w:tc>
        <w:tc>
          <w:tcPr>
            <w:tcW w:w="951" w:type="dxa"/>
            <w:tcBorders>
              <w:top w:val="nil"/>
              <w:left w:val="nil"/>
              <w:bottom w:val="nil"/>
              <w:right w:val="nil"/>
            </w:tcBorders>
            <w:shd w:val="clear" w:color="000000" w:fill="FFFFFF"/>
            <w:noWrap/>
            <w:vAlign w:val="bottom"/>
            <w:hideMark/>
          </w:tcPr>
          <w:p w:rsidR="00895BD6" w:rsidRPr="00065913" w:rsidP="00D85D5E" w14:paraId="0E69C484" w14:textId="77777777">
            <w:pPr>
              <w:jc w:val="right"/>
              <w:rPr>
                <w:sz w:val="13"/>
                <w:szCs w:val="13"/>
              </w:rPr>
            </w:pPr>
            <w:r w:rsidRPr="00065913">
              <w:rPr>
                <w:sz w:val="13"/>
                <w:szCs w:val="13"/>
              </w:rPr>
              <w:t xml:space="preserve">                  - </w:t>
            </w:r>
          </w:p>
        </w:tc>
        <w:tc>
          <w:tcPr>
            <w:tcW w:w="810" w:type="dxa"/>
            <w:tcBorders>
              <w:top w:val="nil"/>
              <w:left w:val="nil"/>
              <w:bottom w:val="nil"/>
              <w:right w:val="nil"/>
            </w:tcBorders>
            <w:shd w:val="clear" w:color="000000" w:fill="FFFFFF"/>
            <w:noWrap/>
            <w:vAlign w:val="bottom"/>
            <w:hideMark/>
          </w:tcPr>
          <w:p w:rsidR="00895BD6" w:rsidRPr="00065913" w:rsidP="00D85D5E" w14:paraId="0AA4B281" w14:textId="77777777">
            <w:pPr>
              <w:jc w:val="right"/>
              <w:rPr>
                <w:sz w:val="13"/>
                <w:szCs w:val="13"/>
              </w:rPr>
            </w:pPr>
            <w:r w:rsidRPr="00065913">
              <w:rPr>
                <w:sz w:val="13"/>
                <w:szCs w:val="13"/>
              </w:rPr>
              <w:t xml:space="preserve">                - </w:t>
            </w:r>
          </w:p>
        </w:tc>
        <w:tc>
          <w:tcPr>
            <w:tcW w:w="720" w:type="dxa"/>
            <w:tcBorders>
              <w:top w:val="nil"/>
              <w:left w:val="nil"/>
              <w:bottom w:val="nil"/>
              <w:right w:val="nil"/>
            </w:tcBorders>
            <w:shd w:val="clear" w:color="000000" w:fill="FFFFFF"/>
            <w:noWrap/>
            <w:vAlign w:val="bottom"/>
            <w:hideMark/>
          </w:tcPr>
          <w:p w:rsidR="00895BD6" w:rsidRPr="00065913" w:rsidP="00D85D5E" w14:paraId="6B60BB54" w14:textId="77777777">
            <w:pPr>
              <w:jc w:val="right"/>
              <w:rPr>
                <w:sz w:val="13"/>
                <w:szCs w:val="13"/>
              </w:rPr>
            </w:pPr>
            <w:r w:rsidRPr="00065913">
              <w:rPr>
                <w:sz w:val="13"/>
                <w:szCs w:val="13"/>
              </w:rPr>
              <w:t xml:space="preserve">          4 </w:t>
            </w:r>
          </w:p>
        </w:tc>
        <w:tc>
          <w:tcPr>
            <w:tcW w:w="931" w:type="dxa"/>
            <w:tcBorders>
              <w:top w:val="nil"/>
              <w:left w:val="nil"/>
              <w:bottom w:val="nil"/>
              <w:right w:val="nil"/>
            </w:tcBorders>
            <w:shd w:val="clear" w:color="000000" w:fill="FFFFFF"/>
            <w:noWrap/>
            <w:vAlign w:val="bottom"/>
            <w:hideMark/>
          </w:tcPr>
          <w:p w:rsidR="00895BD6" w:rsidRPr="00065913" w:rsidP="00D85D5E" w14:paraId="78FF75C1" w14:textId="77777777">
            <w:pPr>
              <w:jc w:val="right"/>
              <w:rPr>
                <w:sz w:val="13"/>
                <w:szCs w:val="13"/>
              </w:rPr>
            </w:pPr>
            <w:r w:rsidRPr="00065913">
              <w:rPr>
                <w:sz w:val="13"/>
                <w:szCs w:val="13"/>
              </w:rPr>
              <w:t xml:space="preserve">        509,487 </w:t>
            </w:r>
          </w:p>
        </w:tc>
      </w:tr>
      <w:tr w14:paraId="67D905D0" w14:textId="77777777" w:rsidTr="00D67677">
        <w:tblPrEx>
          <w:tblW w:w="4998" w:type="pct"/>
          <w:tblLayout w:type="fixed"/>
          <w:tblLook w:val="04A0"/>
        </w:tblPrEx>
        <w:tc>
          <w:tcPr>
            <w:tcW w:w="3914" w:type="dxa"/>
            <w:tcBorders>
              <w:top w:val="nil"/>
              <w:left w:val="nil"/>
              <w:bottom w:val="nil"/>
              <w:right w:val="nil"/>
            </w:tcBorders>
            <w:shd w:val="clear" w:color="000000" w:fill="FFFFFF"/>
            <w:noWrap/>
            <w:vAlign w:val="bottom"/>
            <w:hideMark/>
          </w:tcPr>
          <w:p w:rsidR="00895BD6" w:rsidRPr="00065913" w:rsidP="000A5BF8" w14:paraId="485B90BB" w14:textId="77777777">
            <w:pPr>
              <w:ind w:left="432"/>
              <w:rPr>
                <w:sz w:val="13"/>
                <w:szCs w:val="13"/>
              </w:rPr>
            </w:pPr>
            <w:r w:rsidRPr="00065913">
              <w:rPr>
                <w:sz w:val="13"/>
                <w:szCs w:val="13"/>
              </w:rPr>
              <w:t>Total budgetary resources</w:t>
            </w:r>
          </w:p>
        </w:tc>
        <w:tc>
          <w:tcPr>
            <w:tcW w:w="874" w:type="dxa"/>
            <w:tcBorders>
              <w:top w:val="single" w:sz="4" w:space="0" w:color="auto"/>
              <w:left w:val="nil"/>
              <w:bottom w:val="double" w:sz="6" w:space="0" w:color="auto"/>
              <w:right w:val="nil"/>
            </w:tcBorders>
            <w:shd w:val="clear" w:color="000000" w:fill="FFFFFF"/>
            <w:noWrap/>
            <w:vAlign w:val="bottom"/>
            <w:hideMark/>
          </w:tcPr>
          <w:p w:rsidR="00895BD6" w:rsidRPr="00065913" w:rsidP="000A5BF8" w14:paraId="7BCC3A7C" w14:textId="22756D7B">
            <w:pPr>
              <w:jc w:val="right"/>
              <w:rPr>
                <w:sz w:val="13"/>
                <w:szCs w:val="13"/>
              </w:rPr>
            </w:pPr>
            <w:r w:rsidRPr="00065913">
              <w:rPr>
                <w:sz w:val="13"/>
                <w:szCs w:val="13"/>
              </w:rPr>
              <w:t>$</w:t>
            </w:r>
            <w:r w:rsidR="00F15846">
              <w:rPr>
                <w:sz w:val="13"/>
                <w:szCs w:val="13"/>
              </w:rPr>
              <w:t xml:space="preserve">     </w:t>
            </w:r>
            <w:r w:rsidRPr="00065913">
              <w:rPr>
                <w:sz w:val="13"/>
                <w:szCs w:val="13"/>
              </w:rPr>
              <w:t xml:space="preserve">479,062 </w:t>
            </w:r>
          </w:p>
        </w:tc>
        <w:tc>
          <w:tcPr>
            <w:tcW w:w="874" w:type="dxa"/>
            <w:tcBorders>
              <w:top w:val="single" w:sz="4" w:space="0" w:color="auto"/>
              <w:left w:val="nil"/>
              <w:bottom w:val="double" w:sz="6" w:space="0" w:color="auto"/>
              <w:right w:val="nil"/>
            </w:tcBorders>
            <w:shd w:val="clear" w:color="000000" w:fill="FFFFFF"/>
            <w:noWrap/>
            <w:vAlign w:val="bottom"/>
            <w:hideMark/>
          </w:tcPr>
          <w:p w:rsidR="00895BD6" w:rsidRPr="00065913" w:rsidP="000A5BF8" w14:paraId="64EC9E1B" w14:textId="4497FBE3">
            <w:pPr>
              <w:jc w:val="right"/>
              <w:rPr>
                <w:sz w:val="13"/>
                <w:szCs w:val="13"/>
              </w:rPr>
            </w:pPr>
            <w:r w:rsidRPr="00065913">
              <w:rPr>
                <w:sz w:val="13"/>
                <w:szCs w:val="13"/>
              </w:rPr>
              <w:t>$</w:t>
            </w:r>
            <w:r w:rsidR="00F15846">
              <w:rPr>
                <w:sz w:val="13"/>
                <w:szCs w:val="13"/>
              </w:rPr>
              <w:t xml:space="preserve">     </w:t>
            </w:r>
            <w:r w:rsidRPr="00065913">
              <w:rPr>
                <w:sz w:val="13"/>
                <w:szCs w:val="13"/>
              </w:rPr>
              <w:t xml:space="preserve">184,529 </w:t>
            </w:r>
          </w:p>
        </w:tc>
        <w:tc>
          <w:tcPr>
            <w:tcW w:w="818" w:type="dxa"/>
            <w:tcBorders>
              <w:top w:val="single" w:sz="4" w:space="0" w:color="auto"/>
              <w:left w:val="nil"/>
              <w:bottom w:val="double" w:sz="6" w:space="0" w:color="auto"/>
              <w:right w:val="nil"/>
            </w:tcBorders>
            <w:shd w:val="clear" w:color="000000" w:fill="FFFFFF"/>
            <w:noWrap/>
            <w:vAlign w:val="bottom"/>
            <w:hideMark/>
          </w:tcPr>
          <w:p w:rsidR="00895BD6" w:rsidRPr="00065913" w:rsidP="000A5BF8" w14:paraId="647A63C6" w14:textId="5245F5A5">
            <w:pPr>
              <w:jc w:val="right"/>
              <w:rPr>
                <w:sz w:val="13"/>
                <w:szCs w:val="13"/>
              </w:rPr>
            </w:pPr>
            <w:r w:rsidRPr="00065913">
              <w:rPr>
                <w:sz w:val="13"/>
                <w:szCs w:val="13"/>
              </w:rPr>
              <w:t>$</w:t>
            </w:r>
            <w:r w:rsidR="00DB0D24">
              <w:rPr>
                <w:sz w:val="13"/>
                <w:szCs w:val="13"/>
              </w:rPr>
              <w:t xml:space="preserve">   </w:t>
            </w:r>
            <w:r w:rsidRPr="00065913">
              <w:rPr>
                <w:sz w:val="13"/>
                <w:szCs w:val="13"/>
              </w:rPr>
              <w:t xml:space="preserve">256,053 </w:t>
            </w:r>
          </w:p>
        </w:tc>
        <w:tc>
          <w:tcPr>
            <w:tcW w:w="1080" w:type="dxa"/>
            <w:tcBorders>
              <w:top w:val="single" w:sz="4" w:space="0" w:color="auto"/>
              <w:left w:val="nil"/>
              <w:bottom w:val="double" w:sz="6" w:space="0" w:color="auto"/>
              <w:right w:val="nil"/>
            </w:tcBorders>
            <w:shd w:val="clear" w:color="000000" w:fill="FFFFFF"/>
            <w:noWrap/>
            <w:vAlign w:val="bottom"/>
            <w:hideMark/>
          </w:tcPr>
          <w:p w:rsidR="00895BD6" w:rsidRPr="00065913" w:rsidP="000A5BF8" w14:paraId="46528755" w14:textId="080FCD2B">
            <w:pPr>
              <w:jc w:val="right"/>
              <w:rPr>
                <w:sz w:val="13"/>
                <w:szCs w:val="13"/>
              </w:rPr>
            </w:pPr>
            <w:r w:rsidRPr="00065913">
              <w:rPr>
                <w:sz w:val="13"/>
                <w:szCs w:val="13"/>
              </w:rPr>
              <w:t>$</w:t>
            </w:r>
            <w:r w:rsidR="00DB0D24">
              <w:rPr>
                <w:sz w:val="13"/>
                <w:szCs w:val="13"/>
              </w:rPr>
              <w:t xml:space="preserve">        </w:t>
            </w:r>
            <w:r w:rsidRPr="00065913">
              <w:rPr>
                <w:sz w:val="13"/>
                <w:szCs w:val="13"/>
              </w:rPr>
              <w:t xml:space="preserve">3,200,000 </w:t>
            </w:r>
          </w:p>
        </w:tc>
        <w:tc>
          <w:tcPr>
            <w:tcW w:w="853" w:type="dxa"/>
            <w:tcBorders>
              <w:top w:val="single" w:sz="4" w:space="0" w:color="auto"/>
              <w:left w:val="nil"/>
              <w:bottom w:val="double" w:sz="6" w:space="0" w:color="auto"/>
              <w:right w:val="nil"/>
            </w:tcBorders>
            <w:shd w:val="clear" w:color="000000" w:fill="FFFFFF"/>
            <w:noWrap/>
            <w:vAlign w:val="bottom"/>
            <w:hideMark/>
          </w:tcPr>
          <w:p w:rsidR="00895BD6" w:rsidRPr="00065913" w:rsidP="000A5BF8" w14:paraId="671EB100" w14:textId="328FBBCE">
            <w:pPr>
              <w:jc w:val="right"/>
              <w:rPr>
                <w:sz w:val="13"/>
                <w:szCs w:val="13"/>
              </w:rPr>
            </w:pPr>
            <w:r w:rsidRPr="00065913">
              <w:rPr>
                <w:sz w:val="13"/>
                <w:szCs w:val="13"/>
              </w:rPr>
              <w:t>$</w:t>
            </w:r>
            <w:r w:rsidR="007136B6">
              <w:rPr>
                <w:sz w:val="13"/>
                <w:szCs w:val="13"/>
              </w:rPr>
              <w:t xml:space="preserve"> </w:t>
            </w:r>
            <w:r w:rsidRPr="00065913">
              <w:rPr>
                <w:sz w:val="13"/>
                <w:szCs w:val="13"/>
              </w:rPr>
              <w:t xml:space="preserve">1,900,000 </w:t>
            </w:r>
          </w:p>
        </w:tc>
        <w:tc>
          <w:tcPr>
            <w:tcW w:w="853" w:type="dxa"/>
            <w:tcBorders>
              <w:top w:val="single" w:sz="4" w:space="0" w:color="auto"/>
              <w:left w:val="nil"/>
              <w:bottom w:val="double" w:sz="6" w:space="0" w:color="auto"/>
              <w:right w:val="nil"/>
            </w:tcBorders>
            <w:shd w:val="clear" w:color="000000" w:fill="FFFFFF"/>
            <w:noWrap/>
            <w:vAlign w:val="bottom"/>
            <w:hideMark/>
          </w:tcPr>
          <w:p w:rsidR="00895BD6" w:rsidRPr="00065913" w:rsidP="000A5BF8" w14:paraId="1F794723" w14:textId="28F219F6">
            <w:pPr>
              <w:jc w:val="right"/>
              <w:rPr>
                <w:sz w:val="13"/>
                <w:szCs w:val="13"/>
              </w:rPr>
            </w:pPr>
            <w:r w:rsidRPr="00065913">
              <w:rPr>
                <w:sz w:val="13"/>
                <w:szCs w:val="13"/>
              </w:rPr>
              <w:t>$</w:t>
            </w:r>
            <w:r w:rsidR="00D0350C">
              <w:rPr>
                <w:sz w:val="13"/>
                <w:szCs w:val="13"/>
              </w:rPr>
              <w:t xml:space="preserve"> </w:t>
            </w:r>
            <w:r w:rsidRPr="00065913">
              <w:rPr>
                <w:sz w:val="13"/>
                <w:szCs w:val="13"/>
              </w:rPr>
              <w:t xml:space="preserve">7,172,000 </w:t>
            </w:r>
          </w:p>
        </w:tc>
        <w:tc>
          <w:tcPr>
            <w:tcW w:w="853" w:type="dxa"/>
            <w:tcBorders>
              <w:top w:val="single" w:sz="4" w:space="0" w:color="auto"/>
              <w:left w:val="nil"/>
              <w:bottom w:val="double" w:sz="6" w:space="0" w:color="auto"/>
              <w:right w:val="nil"/>
            </w:tcBorders>
            <w:shd w:val="clear" w:color="000000" w:fill="FFFFFF"/>
            <w:noWrap/>
            <w:vAlign w:val="bottom"/>
            <w:hideMark/>
          </w:tcPr>
          <w:p w:rsidR="00895BD6" w:rsidRPr="00065913" w:rsidP="000A5BF8" w14:paraId="0AAAC00B" w14:textId="31F7BA27">
            <w:pPr>
              <w:jc w:val="right"/>
              <w:rPr>
                <w:sz w:val="13"/>
                <w:szCs w:val="13"/>
              </w:rPr>
            </w:pPr>
            <w:r w:rsidRPr="00065913">
              <w:rPr>
                <w:sz w:val="13"/>
                <w:szCs w:val="13"/>
              </w:rPr>
              <w:t>$</w:t>
            </w:r>
            <w:r w:rsidR="00D0350C">
              <w:rPr>
                <w:sz w:val="13"/>
                <w:szCs w:val="13"/>
              </w:rPr>
              <w:t xml:space="preserve">    </w:t>
            </w:r>
            <w:r w:rsidRPr="00065913">
              <w:rPr>
                <w:sz w:val="13"/>
                <w:szCs w:val="13"/>
              </w:rPr>
              <w:t xml:space="preserve">798,097 </w:t>
            </w:r>
          </w:p>
        </w:tc>
        <w:tc>
          <w:tcPr>
            <w:tcW w:w="951" w:type="dxa"/>
            <w:tcBorders>
              <w:top w:val="single" w:sz="4" w:space="0" w:color="auto"/>
              <w:left w:val="nil"/>
              <w:bottom w:val="double" w:sz="6" w:space="0" w:color="auto"/>
              <w:right w:val="nil"/>
            </w:tcBorders>
            <w:shd w:val="clear" w:color="auto" w:fill="auto"/>
            <w:noWrap/>
            <w:vAlign w:val="bottom"/>
            <w:hideMark/>
          </w:tcPr>
          <w:p w:rsidR="00895BD6" w:rsidRPr="00065913" w:rsidP="000A5BF8" w14:paraId="53960D8F" w14:textId="417BA9CE">
            <w:pPr>
              <w:jc w:val="right"/>
              <w:rPr>
                <w:sz w:val="13"/>
                <w:szCs w:val="13"/>
              </w:rPr>
            </w:pPr>
            <w:r w:rsidRPr="00065913">
              <w:rPr>
                <w:sz w:val="13"/>
                <w:szCs w:val="13"/>
              </w:rPr>
              <w:t>$</w:t>
            </w:r>
            <w:r w:rsidR="000E6016">
              <w:rPr>
                <w:sz w:val="13"/>
                <w:szCs w:val="13"/>
              </w:rPr>
              <w:t xml:space="preserve"> </w:t>
            </w:r>
            <w:r w:rsidRPr="00065913">
              <w:rPr>
                <w:sz w:val="13"/>
                <w:szCs w:val="13"/>
              </w:rPr>
              <w:t xml:space="preserve">     (78,097)</w:t>
            </w:r>
          </w:p>
        </w:tc>
        <w:tc>
          <w:tcPr>
            <w:tcW w:w="810" w:type="dxa"/>
            <w:tcBorders>
              <w:top w:val="single" w:sz="4" w:space="0" w:color="auto"/>
              <w:left w:val="nil"/>
              <w:bottom w:val="double" w:sz="6" w:space="0" w:color="auto"/>
              <w:right w:val="nil"/>
            </w:tcBorders>
            <w:shd w:val="clear" w:color="auto" w:fill="auto"/>
            <w:noWrap/>
            <w:vAlign w:val="bottom"/>
            <w:hideMark/>
          </w:tcPr>
          <w:p w:rsidR="00895BD6" w:rsidRPr="00065913" w:rsidP="000A5BF8" w14:paraId="3E92FD31" w14:textId="17563CFA">
            <w:pPr>
              <w:rPr>
                <w:sz w:val="13"/>
                <w:szCs w:val="13"/>
              </w:rPr>
            </w:pPr>
            <w:r w:rsidRPr="00065913">
              <w:rPr>
                <w:sz w:val="13"/>
                <w:szCs w:val="13"/>
              </w:rPr>
              <w:t xml:space="preserve">$1,910,419 </w:t>
            </w:r>
          </w:p>
        </w:tc>
        <w:tc>
          <w:tcPr>
            <w:tcW w:w="720"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28081D44" w14:textId="5D914008">
            <w:pPr>
              <w:jc w:val="right"/>
              <w:rPr>
                <w:sz w:val="13"/>
                <w:szCs w:val="13"/>
              </w:rPr>
            </w:pPr>
            <w:r w:rsidRPr="00065913">
              <w:rPr>
                <w:sz w:val="13"/>
                <w:szCs w:val="13"/>
              </w:rPr>
              <w:t>$</w:t>
            </w:r>
            <w:r w:rsidR="003C30DC">
              <w:rPr>
                <w:sz w:val="13"/>
                <w:szCs w:val="13"/>
              </w:rPr>
              <w:t xml:space="preserve"> </w:t>
            </w:r>
            <w:r w:rsidR="00D67677">
              <w:rPr>
                <w:sz w:val="13"/>
                <w:szCs w:val="13"/>
              </w:rPr>
              <w:t xml:space="preserve">   </w:t>
            </w:r>
            <w:r w:rsidRPr="00065913">
              <w:rPr>
                <w:sz w:val="13"/>
                <w:szCs w:val="13"/>
              </w:rPr>
              <w:t xml:space="preserve">2,845 </w:t>
            </w:r>
          </w:p>
        </w:tc>
        <w:tc>
          <w:tcPr>
            <w:tcW w:w="931"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5A5772B9" w14:textId="6F3E76B7">
            <w:pPr>
              <w:jc w:val="right"/>
              <w:rPr>
                <w:sz w:val="13"/>
                <w:szCs w:val="13"/>
              </w:rPr>
            </w:pPr>
            <w:r w:rsidRPr="00065913">
              <w:rPr>
                <w:sz w:val="13"/>
                <w:szCs w:val="13"/>
              </w:rPr>
              <w:t>$</w:t>
            </w:r>
            <w:r w:rsidR="000A4570">
              <w:rPr>
                <w:sz w:val="13"/>
                <w:szCs w:val="13"/>
              </w:rPr>
              <w:t xml:space="preserve">  </w:t>
            </w:r>
            <w:r w:rsidRPr="00065913">
              <w:rPr>
                <w:sz w:val="13"/>
                <w:szCs w:val="13"/>
              </w:rPr>
              <w:t xml:space="preserve">15,824,908 </w:t>
            </w:r>
          </w:p>
        </w:tc>
      </w:tr>
      <w:tr w14:paraId="05EF4EB6" w14:textId="77777777" w:rsidTr="00D67677">
        <w:tblPrEx>
          <w:tblW w:w="4998" w:type="pct"/>
          <w:tblLayout w:type="fixed"/>
          <w:tblLook w:val="04A0"/>
        </w:tblPrEx>
        <w:trPr>
          <w:trHeight w:val="216"/>
        </w:trPr>
        <w:tc>
          <w:tcPr>
            <w:tcW w:w="3914" w:type="dxa"/>
            <w:tcBorders>
              <w:top w:val="nil"/>
              <w:left w:val="nil"/>
              <w:bottom w:val="nil"/>
              <w:right w:val="nil"/>
            </w:tcBorders>
            <w:shd w:val="clear" w:color="000000" w:fill="FFFFFF"/>
            <w:noWrap/>
            <w:vAlign w:val="bottom"/>
            <w:hideMark/>
          </w:tcPr>
          <w:p w:rsidR="00895BD6" w:rsidRPr="00065913" w:rsidP="004957F6" w14:paraId="7624B5FF" w14:textId="77777777">
            <w:pPr>
              <w:rPr>
                <w:sz w:val="13"/>
                <w:szCs w:val="13"/>
              </w:rPr>
            </w:pPr>
            <w:r w:rsidRPr="00065913">
              <w:rPr>
                <w:sz w:val="13"/>
                <w:szCs w:val="13"/>
              </w:rPr>
              <w:t xml:space="preserve">Adjustment to unobligated balance brought forward, October 1 </w:t>
            </w:r>
          </w:p>
        </w:tc>
        <w:tc>
          <w:tcPr>
            <w:tcW w:w="874" w:type="dxa"/>
            <w:tcBorders>
              <w:top w:val="nil"/>
              <w:left w:val="nil"/>
              <w:bottom w:val="nil"/>
              <w:right w:val="nil"/>
            </w:tcBorders>
            <w:shd w:val="clear" w:color="000000" w:fill="FFFFFF"/>
            <w:noWrap/>
            <w:vAlign w:val="bottom"/>
          </w:tcPr>
          <w:p w:rsidR="00895BD6" w:rsidRPr="00065913" w:rsidP="00D85D5E" w14:paraId="7966F07E" w14:textId="79C50D9C">
            <w:pPr>
              <w:jc w:val="right"/>
              <w:rPr>
                <w:sz w:val="13"/>
                <w:szCs w:val="13"/>
              </w:rPr>
            </w:pPr>
          </w:p>
        </w:tc>
        <w:tc>
          <w:tcPr>
            <w:tcW w:w="874" w:type="dxa"/>
            <w:tcBorders>
              <w:top w:val="nil"/>
              <w:left w:val="nil"/>
              <w:bottom w:val="nil"/>
              <w:right w:val="nil"/>
            </w:tcBorders>
            <w:shd w:val="clear" w:color="000000" w:fill="FFFFFF"/>
            <w:noWrap/>
            <w:vAlign w:val="bottom"/>
          </w:tcPr>
          <w:p w:rsidR="00895BD6" w:rsidRPr="00065913" w:rsidP="00D85D5E" w14:paraId="7D251186" w14:textId="6EE8F327">
            <w:pPr>
              <w:jc w:val="right"/>
              <w:rPr>
                <w:sz w:val="13"/>
                <w:szCs w:val="13"/>
              </w:rPr>
            </w:pPr>
          </w:p>
        </w:tc>
        <w:tc>
          <w:tcPr>
            <w:tcW w:w="818" w:type="dxa"/>
            <w:tcBorders>
              <w:top w:val="nil"/>
              <w:left w:val="nil"/>
              <w:bottom w:val="nil"/>
              <w:right w:val="nil"/>
            </w:tcBorders>
            <w:shd w:val="clear" w:color="000000" w:fill="FFFFFF"/>
            <w:noWrap/>
            <w:vAlign w:val="bottom"/>
          </w:tcPr>
          <w:p w:rsidR="00895BD6" w:rsidRPr="00065913" w:rsidP="00D85D5E" w14:paraId="121E3659" w14:textId="31B7B008">
            <w:pPr>
              <w:jc w:val="right"/>
              <w:rPr>
                <w:sz w:val="13"/>
                <w:szCs w:val="13"/>
              </w:rPr>
            </w:pPr>
          </w:p>
        </w:tc>
        <w:tc>
          <w:tcPr>
            <w:tcW w:w="1080" w:type="dxa"/>
            <w:tcBorders>
              <w:top w:val="nil"/>
              <w:left w:val="nil"/>
              <w:bottom w:val="nil"/>
              <w:right w:val="nil"/>
            </w:tcBorders>
            <w:shd w:val="clear" w:color="000000" w:fill="FFFFFF"/>
            <w:noWrap/>
            <w:vAlign w:val="bottom"/>
          </w:tcPr>
          <w:p w:rsidR="00895BD6" w:rsidRPr="00065913" w:rsidP="00D85D5E" w14:paraId="2C17A0C4" w14:textId="6E07864A">
            <w:pPr>
              <w:jc w:val="right"/>
              <w:rPr>
                <w:sz w:val="13"/>
                <w:szCs w:val="13"/>
              </w:rPr>
            </w:pPr>
          </w:p>
        </w:tc>
        <w:tc>
          <w:tcPr>
            <w:tcW w:w="853" w:type="dxa"/>
            <w:tcBorders>
              <w:top w:val="nil"/>
              <w:left w:val="nil"/>
              <w:bottom w:val="nil"/>
              <w:right w:val="nil"/>
            </w:tcBorders>
            <w:shd w:val="clear" w:color="000000" w:fill="FFFFFF"/>
            <w:noWrap/>
            <w:vAlign w:val="bottom"/>
          </w:tcPr>
          <w:p w:rsidR="00895BD6" w:rsidRPr="00065913" w:rsidP="00D85D5E" w14:paraId="217F4E08" w14:textId="5E8D4E73">
            <w:pPr>
              <w:jc w:val="right"/>
              <w:rPr>
                <w:sz w:val="13"/>
                <w:szCs w:val="13"/>
              </w:rPr>
            </w:pPr>
          </w:p>
        </w:tc>
        <w:tc>
          <w:tcPr>
            <w:tcW w:w="853" w:type="dxa"/>
            <w:tcBorders>
              <w:top w:val="nil"/>
              <w:left w:val="nil"/>
              <w:bottom w:val="nil"/>
              <w:right w:val="nil"/>
            </w:tcBorders>
            <w:shd w:val="clear" w:color="000000" w:fill="FFFFFF"/>
            <w:noWrap/>
            <w:vAlign w:val="bottom"/>
          </w:tcPr>
          <w:p w:rsidR="00895BD6" w:rsidRPr="00065913" w:rsidP="00D85D5E" w14:paraId="2BE13FAE" w14:textId="6EE4E760">
            <w:pPr>
              <w:jc w:val="right"/>
              <w:rPr>
                <w:sz w:val="13"/>
                <w:szCs w:val="13"/>
              </w:rPr>
            </w:pPr>
          </w:p>
        </w:tc>
        <w:tc>
          <w:tcPr>
            <w:tcW w:w="853" w:type="dxa"/>
            <w:tcBorders>
              <w:top w:val="nil"/>
              <w:left w:val="nil"/>
              <w:bottom w:val="nil"/>
              <w:right w:val="nil"/>
            </w:tcBorders>
            <w:shd w:val="clear" w:color="000000" w:fill="FFFFFF"/>
            <w:noWrap/>
            <w:vAlign w:val="bottom"/>
          </w:tcPr>
          <w:p w:rsidR="00895BD6" w:rsidRPr="00065913" w:rsidP="00D85D5E" w14:paraId="7B54C794" w14:textId="0E6C617E">
            <w:pPr>
              <w:jc w:val="right"/>
              <w:rPr>
                <w:sz w:val="13"/>
                <w:szCs w:val="13"/>
              </w:rPr>
            </w:pPr>
          </w:p>
        </w:tc>
        <w:tc>
          <w:tcPr>
            <w:tcW w:w="951" w:type="dxa"/>
            <w:tcBorders>
              <w:top w:val="nil"/>
              <w:left w:val="nil"/>
              <w:bottom w:val="nil"/>
              <w:right w:val="nil"/>
            </w:tcBorders>
            <w:shd w:val="clear" w:color="000000" w:fill="FFFFFF"/>
            <w:noWrap/>
            <w:vAlign w:val="bottom"/>
          </w:tcPr>
          <w:p w:rsidR="00895BD6" w:rsidRPr="00065913" w:rsidP="00D85D5E" w14:paraId="7E798301" w14:textId="7F522BEF">
            <w:pPr>
              <w:jc w:val="right"/>
              <w:rPr>
                <w:sz w:val="13"/>
                <w:szCs w:val="13"/>
              </w:rPr>
            </w:pPr>
          </w:p>
        </w:tc>
        <w:tc>
          <w:tcPr>
            <w:tcW w:w="810" w:type="dxa"/>
            <w:tcBorders>
              <w:top w:val="nil"/>
              <w:left w:val="nil"/>
              <w:bottom w:val="nil"/>
              <w:right w:val="nil"/>
            </w:tcBorders>
            <w:shd w:val="clear" w:color="000000" w:fill="FFFFFF"/>
            <w:noWrap/>
            <w:vAlign w:val="bottom"/>
          </w:tcPr>
          <w:p w:rsidR="00895BD6" w:rsidRPr="00065913" w:rsidP="00D85D5E" w14:paraId="16A3C284" w14:textId="64432793">
            <w:pPr>
              <w:jc w:val="right"/>
              <w:rPr>
                <w:sz w:val="13"/>
                <w:szCs w:val="13"/>
              </w:rPr>
            </w:pPr>
          </w:p>
        </w:tc>
        <w:tc>
          <w:tcPr>
            <w:tcW w:w="720" w:type="dxa"/>
            <w:tcBorders>
              <w:top w:val="nil"/>
              <w:left w:val="nil"/>
              <w:bottom w:val="nil"/>
              <w:right w:val="nil"/>
            </w:tcBorders>
            <w:shd w:val="clear" w:color="000000" w:fill="FFFFFF"/>
            <w:noWrap/>
            <w:vAlign w:val="bottom"/>
          </w:tcPr>
          <w:p w:rsidR="00895BD6" w:rsidRPr="00065913" w:rsidP="00D85D5E" w14:paraId="2369ECE4" w14:textId="4B78618C">
            <w:pPr>
              <w:jc w:val="right"/>
              <w:rPr>
                <w:sz w:val="13"/>
                <w:szCs w:val="13"/>
              </w:rPr>
            </w:pPr>
          </w:p>
        </w:tc>
        <w:tc>
          <w:tcPr>
            <w:tcW w:w="931" w:type="dxa"/>
            <w:tcBorders>
              <w:top w:val="nil"/>
              <w:left w:val="nil"/>
              <w:bottom w:val="nil"/>
              <w:right w:val="nil"/>
            </w:tcBorders>
            <w:shd w:val="clear" w:color="000000" w:fill="FFFFFF"/>
            <w:noWrap/>
            <w:vAlign w:val="bottom"/>
          </w:tcPr>
          <w:p w:rsidR="00895BD6" w:rsidRPr="00065913" w:rsidP="00D85D5E" w14:paraId="31B19D61" w14:textId="6E83A5B1">
            <w:pPr>
              <w:jc w:val="right"/>
              <w:rPr>
                <w:sz w:val="13"/>
                <w:szCs w:val="13"/>
              </w:rPr>
            </w:pPr>
          </w:p>
        </w:tc>
      </w:tr>
      <w:tr w14:paraId="10E9DF06" w14:textId="77777777" w:rsidTr="00D67677">
        <w:tblPrEx>
          <w:tblW w:w="4998" w:type="pct"/>
          <w:tblLayout w:type="fixed"/>
          <w:tblLook w:val="04A0"/>
        </w:tblPrEx>
        <w:trPr>
          <w:trHeight w:val="324"/>
        </w:trPr>
        <w:tc>
          <w:tcPr>
            <w:tcW w:w="3914" w:type="dxa"/>
            <w:tcBorders>
              <w:top w:val="nil"/>
              <w:left w:val="nil"/>
              <w:bottom w:val="nil"/>
              <w:right w:val="nil"/>
            </w:tcBorders>
            <w:shd w:val="clear" w:color="000000" w:fill="FFFFFF"/>
            <w:noWrap/>
            <w:vAlign w:val="bottom"/>
          </w:tcPr>
          <w:p w:rsidR="00895BD6" w:rsidRPr="00065913" w:rsidP="004957F6" w14:paraId="06DB2794" w14:textId="5E666C19">
            <w:pPr>
              <w:rPr>
                <w:sz w:val="13"/>
                <w:szCs w:val="13"/>
              </w:rPr>
            </w:pPr>
            <w:r w:rsidRPr="00065913">
              <w:rPr>
                <w:b/>
                <w:bCs/>
                <w:sz w:val="13"/>
                <w:szCs w:val="13"/>
              </w:rPr>
              <w:t>Status of Budgetary Resources:</w:t>
            </w:r>
          </w:p>
        </w:tc>
        <w:tc>
          <w:tcPr>
            <w:tcW w:w="874" w:type="dxa"/>
            <w:tcBorders>
              <w:top w:val="nil"/>
              <w:left w:val="nil"/>
              <w:bottom w:val="nil"/>
              <w:right w:val="nil"/>
            </w:tcBorders>
            <w:shd w:val="clear" w:color="auto" w:fill="auto"/>
            <w:noWrap/>
            <w:vAlign w:val="bottom"/>
          </w:tcPr>
          <w:p w:rsidR="00895BD6" w:rsidRPr="00065913" w:rsidP="00D85D5E" w14:paraId="208A01AE" w14:textId="77777777">
            <w:pPr>
              <w:jc w:val="right"/>
              <w:rPr>
                <w:sz w:val="13"/>
                <w:szCs w:val="13"/>
              </w:rPr>
            </w:pPr>
          </w:p>
        </w:tc>
        <w:tc>
          <w:tcPr>
            <w:tcW w:w="874" w:type="dxa"/>
            <w:tcBorders>
              <w:top w:val="nil"/>
              <w:left w:val="nil"/>
              <w:bottom w:val="nil"/>
              <w:right w:val="nil"/>
            </w:tcBorders>
            <w:shd w:val="clear" w:color="000000" w:fill="FFFFFF"/>
            <w:noWrap/>
            <w:vAlign w:val="bottom"/>
          </w:tcPr>
          <w:p w:rsidR="00895BD6" w:rsidRPr="00065913" w:rsidP="00D85D5E" w14:paraId="696F2A6E" w14:textId="77777777">
            <w:pPr>
              <w:jc w:val="right"/>
              <w:rPr>
                <w:sz w:val="13"/>
                <w:szCs w:val="13"/>
              </w:rPr>
            </w:pPr>
          </w:p>
        </w:tc>
        <w:tc>
          <w:tcPr>
            <w:tcW w:w="818" w:type="dxa"/>
            <w:tcBorders>
              <w:top w:val="nil"/>
              <w:left w:val="nil"/>
              <w:bottom w:val="nil"/>
              <w:right w:val="nil"/>
            </w:tcBorders>
            <w:shd w:val="clear" w:color="auto" w:fill="auto"/>
            <w:noWrap/>
            <w:vAlign w:val="bottom"/>
          </w:tcPr>
          <w:p w:rsidR="00895BD6" w:rsidRPr="00065913" w:rsidP="00D85D5E" w14:paraId="68BB9CF8" w14:textId="77777777">
            <w:pPr>
              <w:jc w:val="right"/>
              <w:rPr>
                <w:sz w:val="13"/>
                <w:szCs w:val="13"/>
              </w:rPr>
            </w:pPr>
          </w:p>
        </w:tc>
        <w:tc>
          <w:tcPr>
            <w:tcW w:w="1080" w:type="dxa"/>
            <w:tcBorders>
              <w:top w:val="nil"/>
              <w:left w:val="nil"/>
              <w:bottom w:val="nil"/>
              <w:right w:val="nil"/>
            </w:tcBorders>
            <w:shd w:val="clear" w:color="000000" w:fill="FFFFFF"/>
            <w:noWrap/>
            <w:vAlign w:val="bottom"/>
          </w:tcPr>
          <w:p w:rsidR="00895BD6" w:rsidRPr="00065913" w:rsidP="00D85D5E" w14:paraId="0081BC3A" w14:textId="77777777">
            <w:pPr>
              <w:jc w:val="right"/>
              <w:rPr>
                <w:sz w:val="13"/>
                <w:szCs w:val="13"/>
              </w:rPr>
            </w:pPr>
          </w:p>
        </w:tc>
        <w:tc>
          <w:tcPr>
            <w:tcW w:w="853" w:type="dxa"/>
            <w:tcBorders>
              <w:top w:val="nil"/>
              <w:left w:val="nil"/>
              <w:bottom w:val="nil"/>
              <w:right w:val="nil"/>
            </w:tcBorders>
            <w:shd w:val="clear" w:color="000000" w:fill="FFFFFF"/>
            <w:noWrap/>
            <w:vAlign w:val="bottom"/>
          </w:tcPr>
          <w:p w:rsidR="00895BD6" w:rsidRPr="00065913" w:rsidP="00D85D5E" w14:paraId="0C1EA04A" w14:textId="77777777">
            <w:pPr>
              <w:jc w:val="right"/>
              <w:rPr>
                <w:sz w:val="13"/>
                <w:szCs w:val="13"/>
              </w:rPr>
            </w:pPr>
          </w:p>
        </w:tc>
        <w:tc>
          <w:tcPr>
            <w:tcW w:w="853" w:type="dxa"/>
            <w:tcBorders>
              <w:top w:val="nil"/>
              <w:left w:val="nil"/>
              <w:bottom w:val="nil"/>
              <w:right w:val="nil"/>
            </w:tcBorders>
            <w:shd w:val="clear" w:color="000000" w:fill="FFFFFF"/>
            <w:noWrap/>
            <w:vAlign w:val="bottom"/>
          </w:tcPr>
          <w:p w:rsidR="00895BD6" w:rsidRPr="00065913" w:rsidP="00D85D5E" w14:paraId="0DF7F899" w14:textId="77777777">
            <w:pPr>
              <w:jc w:val="right"/>
              <w:rPr>
                <w:sz w:val="13"/>
                <w:szCs w:val="13"/>
              </w:rPr>
            </w:pPr>
          </w:p>
        </w:tc>
        <w:tc>
          <w:tcPr>
            <w:tcW w:w="853" w:type="dxa"/>
            <w:tcBorders>
              <w:top w:val="nil"/>
              <w:left w:val="nil"/>
              <w:bottom w:val="nil"/>
              <w:right w:val="nil"/>
            </w:tcBorders>
            <w:shd w:val="clear" w:color="000000" w:fill="FFFFFF"/>
            <w:noWrap/>
            <w:vAlign w:val="bottom"/>
          </w:tcPr>
          <w:p w:rsidR="00895BD6" w:rsidRPr="00065913" w:rsidP="00D85D5E" w14:paraId="7D08D005" w14:textId="77777777">
            <w:pPr>
              <w:jc w:val="right"/>
              <w:rPr>
                <w:sz w:val="13"/>
                <w:szCs w:val="13"/>
              </w:rPr>
            </w:pPr>
          </w:p>
        </w:tc>
        <w:tc>
          <w:tcPr>
            <w:tcW w:w="951" w:type="dxa"/>
            <w:tcBorders>
              <w:top w:val="nil"/>
              <w:left w:val="nil"/>
              <w:bottom w:val="nil"/>
              <w:right w:val="nil"/>
            </w:tcBorders>
            <w:shd w:val="clear" w:color="000000" w:fill="FFFFFF"/>
            <w:noWrap/>
            <w:vAlign w:val="bottom"/>
          </w:tcPr>
          <w:p w:rsidR="00895BD6" w:rsidRPr="00065913" w:rsidP="00D85D5E" w14:paraId="56214E7B" w14:textId="77777777">
            <w:pPr>
              <w:jc w:val="right"/>
              <w:rPr>
                <w:sz w:val="13"/>
                <w:szCs w:val="13"/>
              </w:rPr>
            </w:pPr>
          </w:p>
        </w:tc>
        <w:tc>
          <w:tcPr>
            <w:tcW w:w="810" w:type="dxa"/>
            <w:tcBorders>
              <w:top w:val="nil"/>
              <w:left w:val="nil"/>
              <w:bottom w:val="nil"/>
              <w:right w:val="nil"/>
            </w:tcBorders>
            <w:shd w:val="clear" w:color="auto" w:fill="auto"/>
            <w:noWrap/>
            <w:vAlign w:val="bottom"/>
          </w:tcPr>
          <w:p w:rsidR="00895BD6" w:rsidRPr="00065913" w:rsidP="00D85D5E" w14:paraId="56CCB440" w14:textId="77777777">
            <w:pPr>
              <w:jc w:val="right"/>
              <w:rPr>
                <w:sz w:val="13"/>
                <w:szCs w:val="13"/>
              </w:rPr>
            </w:pPr>
          </w:p>
        </w:tc>
        <w:tc>
          <w:tcPr>
            <w:tcW w:w="720" w:type="dxa"/>
            <w:tcBorders>
              <w:top w:val="nil"/>
              <w:left w:val="nil"/>
              <w:bottom w:val="nil"/>
              <w:right w:val="nil"/>
            </w:tcBorders>
            <w:shd w:val="clear" w:color="000000" w:fill="FFFFFF"/>
            <w:noWrap/>
            <w:vAlign w:val="bottom"/>
          </w:tcPr>
          <w:p w:rsidR="00895BD6" w:rsidRPr="00065913" w:rsidP="00D85D5E" w14:paraId="062BE6DA" w14:textId="77777777">
            <w:pPr>
              <w:jc w:val="right"/>
              <w:rPr>
                <w:sz w:val="13"/>
                <w:szCs w:val="13"/>
              </w:rPr>
            </w:pPr>
          </w:p>
        </w:tc>
        <w:tc>
          <w:tcPr>
            <w:tcW w:w="931" w:type="dxa"/>
            <w:tcBorders>
              <w:top w:val="nil"/>
              <w:left w:val="nil"/>
              <w:bottom w:val="nil"/>
              <w:right w:val="nil"/>
            </w:tcBorders>
            <w:shd w:val="clear" w:color="000000" w:fill="FFFFFF"/>
            <w:noWrap/>
            <w:vAlign w:val="bottom"/>
          </w:tcPr>
          <w:p w:rsidR="00895BD6" w:rsidRPr="00065913" w:rsidP="00D85D5E" w14:paraId="5D43E660" w14:textId="77777777">
            <w:pPr>
              <w:jc w:val="right"/>
              <w:rPr>
                <w:sz w:val="13"/>
                <w:szCs w:val="13"/>
              </w:rPr>
            </w:pPr>
          </w:p>
        </w:tc>
      </w:tr>
      <w:tr w14:paraId="4D2256F2" w14:textId="77777777" w:rsidTr="00D67677">
        <w:tblPrEx>
          <w:tblW w:w="4998" w:type="pct"/>
          <w:tblLayout w:type="fixed"/>
          <w:tblLook w:val="04A0"/>
        </w:tblPrEx>
        <w:trPr>
          <w:trHeight w:val="144"/>
        </w:trPr>
        <w:tc>
          <w:tcPr>
            <w:tcW w:w="3914" w:type="dxa"/>
            <w:tcBorders>
              <w:top w:val="nil"/>
              <w:left w:val="nil"/>
              <w:bottom w:val="nil"/>
              <w:right w:val="nil"/>
            </w:tcBorders>
            <w:shd w:val="clear" w:color="000000" w:fill="FFFFFF"/>
            <w:noWrap/>
            <w:vAlign w:val="bottom"/>
            <w:hideMark/>
          </w:tcPr>
          <w:p w:rsidR="00895BD6" w:rsidRPr="00065913" w:rsidP="000C77BA" w14:paraId="2E06511D" w14:textId="77777777">
            <w:pPr>
              <w:ind w:left="432"/>
              <w:rPr>
                <w:sz w:val="13"/>
                <w:szCs w:val="13"/>
              </w:rPr>
            </w:pPr>
            <w:r w:rsidRPr="00065913">
              <w:rPr>
                <w:sz w:val="13"/>
                <w:szCs w:val="13"/>
              </w:rPr>
              <w:t>New obligations and upward adjustments (total)</w:t>
            </w:r>
          </w:p>
        </w:tc>
        <w:tc>
          <w:tcPr>
            <w:tcW w:w="874" w:type="dxa"/>
            <w:tcBorders>
              <w:top w:val="nil"/>
              <w:left w:val="nil"/>
              <w:bottom w:val="nil"/>
              <w:right w:val="nil"/>
            </w:tcBorders>
            <w:shd w:val="clear" w:color="auto" w:fill="auto"/>
            <w:noWrap/>
            <w:vAlign w:val="bottom"/>
            <w:hideMark/>
          </w:tcPr>
          <w:p w:rsidR="00895BD6" w:rsidRPr="00065913" w:rsidP="00D85D5E" w14:paraId="43628A78" w14:textId="384C85F4">
            <w:pPr>
              <w:jc w:val="right"/>
              <w:rPr>
                <w:sz w:val="13"/>
                <w:szCs w:val="13"/>
              </w:rPr>
            </w:pPr>
            <w:r w:rsidRPr="00065913">
              <w:rPr>
                <w:sz w:val="13"/>
                <w:szCs w:val="13"/>
              </w:rPr>
              <w:t>$</w:t>
            </w:r>
            <w:r w:rsidR="00F15846">
              <w:rPr>
                <w:sz w:val="13"/>
                <w:szCs w:val="13"/>
              </w:rPr>
              <w:t xml:space="preserve">     </w:t>
            </w:r>
            <w:r w:rsidRPr="00065913">
              <w:rPr>
                <w:sz w:val="13"/>
                <w:szCs w:val="13"/>
              </w:rPr>
              <w:t xml:space="preserve">356,311 </w:t>
            </w:r>
          </w:p>
        </w:tc>
        <w:tc>
          <w:tcPr>
            <w:tcW w:w="874" w:type="dxa"/>
            <w:tcBorders>
              <w:top w:val="nil"/>
              <w:left w:val="nil"/>
              <w:bottom w:val="nil"/>
              <w:right w:val="nil"/>
            </w:tcBorders>
            <w:shd w:val="clear" w:color="000000" w:fill="FFFFFF"/>
            <w:noWrap/>
            <w:vAlign w:val="bottom"/>
            <w:hideMark/>
          </w:tcPr>
          <w:p w:rsidR="00895BD6" w:rsidRPr="00065913" w:rsidP="00D85D5E" w14:paraId="3666FBA1" w14:textId="693E9C2A">
            <w:pPr>
              <w:jc w:val="right"/>
              <w:rPr>
                <w:sz w:val="13"/>
                <w:szCs w:val="13"/>
              </w:rPr>
            </w:pPr>
            <w:r w:rsidRPr="00065913">
              <w:rPr>
                <w:sz w:val="13"/>
                <w:szCs w:val="13"/>
              </w:rPr>
              <w:t>$</w:t>
            </w:r>
            <w:r w:rsidR="002F22F2">
              <w:rPr>
                <w:sz w:val="13"/>
                <w:szCs w:val="13"/>
              </w:rPr>
              <w:t xml:space="preserve">     </w:t>
            </w:r>
            <w:r w:rsidRPr="00065913">
              <w:rPr>
                <w:sz w:val="13"/>
                <w:szCs w:val="13"/>
              </w:rPr>
              <w:t xml:space="preserve">155,741 </w:t>
            </w:r>
          </w:p>
        </w:tc>
        <w:tc>
          <w:tcPr>
            <w:tcW w:w="818" w:type="dxa"/>
            <w:tcBorders>
              <w:top w:val="nil"/>
              <w:left w:val="nil"/>
              <w:bottom w:val="nil"/>
              <w:right w:val="nil"/>
            </w:tcBorders>
            <w:shd w:val="clear" w:color="auto" w:fill="auto"/>
            <w:noWrap/>
            <w:vAlign w:val="bottom"/>
            <w:hideMark/>
          </w:tcPr>
          <w:p w:rsidR="00895BD6" w:rsidRPr="00065913" w:rsidP="00D85D5E" w14:paraId="27D027C1" w14:textId="23A134C0">
            <w:pPr>
              <w:jc w:val="right"/>
              <w:rPr>
                <w:sz w:val="13"/>
                <w:szCs w:val="13"/>
              </w:rPr>
            </w:pPr>
            <w:r w:rsidRPr="00065913">
              <w:rPr>
                <w:sz w:val="13"/>
                <w:szCs w:val="13"/>
              </w:rPr>
              <w:t>$</w:t>
            </w:r>
            <w:r w:rsidR="00DB0D24">
              <w:rPr>
                <w:sz w:val="13"/>
                <w:szCs w:val="13"/>
              </w:rPr>
              <w:t xml:space="preserve">   </w:t>
            </w:r>
            <w:r w:rsidRPr="00065913">
              <w:rPr>
                <w:sz w:val="13"/>
                <w:szCs w:val="13"/>
              </w:rPr>
              <w:t xml:space="preserve">  89,894 </w:t>
            </w:r>
          </w:p>
        </w:tc>
        <w:tc>
          <w:tcPr>
            <w:tcW w:w="1080" w:type="dxa"/>
            <w:tcBorders>
              <w:top w:val="nil"/>
              <w:left w:val="nil"/>
              <w:bottom w:val="nil"/>
              <w:right w:val="nil"/>
            </w:tcBorders>
            <w:shd w:val="clear" w:color="000000" w:fill="FFFFFF"/>
            <w:noWrap/>
            <w:vAlign w:val="bottom"/>
            <w:hideMark/>
          </w:tcPr>
          <w:p w:rsidR="00895BD6" w:rsidRPr="00065913" w:rsidP="00D85D5E" w14:paraId="7791EFE6" w14:textId="347462CF">
            <w:pPr>
              <w:jc w:val="right"/>
              <w:rPr>
                <w:sz w:val="13"/>
                <w:szCs w:val="13"/>
              </w:rPr>
            </w:pPr>
            <w:r w:rsidRPr="00065913">
              <w:rPr>
                <w:sz w:val="13"/>
                <w:szCs w:val="13"/>
              </w:rPr>
              <w:t>$</w:t>
            </w:r>
            <w:r w:rsidR="00DB0D24">
              <w:rPr>
                <w:sz w:val="13"/>
                <w:szCs w:val="13"/>
              </w:rPr>
              <w:t xml:space="preserve">        </w:t>
            </w:r>
            <w:r w:rsidRPr="00065913">
              <w:rPr>
                <w:sz w:val="13"/>
                <w:szCs w:val="13"/>
              </w:rPr>
              <w:t xml:space="preserve">   907,557 </w:t>
            </w:r>
          </w:p>
        </w:tc>
        <w:tc>
          <w:tcPr>
            <w:tcW w:w="853" w:type="dxa"/>
            <w:tcBorders>
              <w:top w:val="nil"/>
              <w:left w:val="nil"/>
              <w:bottom w:val="nil"/>
              <w:right w:val="nil"/>
            </w:tcBorders>
            <w:shd w:val="clear" w:color="000000" w:fill="FFFFFF"/>
            <w:noWrap/>
            <w:vAlign w:val="bottom"/>
            <w:hideMark/>
          </w:tcPr>
          <w:p w:rsidR="00895BD6" w:rsidRPr="00065913" w:rsidP="00D85D5E" w14:paraId="34AD5420" w14:textId="60A5DB7D">
            <w:pPr>
              <w:jc w:val="right"/>
              <w:rPr>
                <w:sz w:val="13"/>
                <w:szCs w:val="13"/>
              </w:rPr>
            </w:pPr>
            <w:r w:rsidRPr="00065913">
              <w:rPr>
                <w:sz w:val="13"/>
                <w:szCs w:val="13"/>
              </w:rPr>
              <w:t>$</w:t>
            </w:r>
            <w:r w:rsidR="007136B6">
              <w:rPr>
                <w:sz w:val="13"/>
                <w:szCs w:val="13"/>
              </w:rPr>
              <w:t xml:space="preserve"> </w:t>
            </w:r>
            <w:r w:rsidRPr="00065913">
              <w:rPr>
                <w:sz w:val="13"/>
                <w:szCs w:val="13"/>
              </w:rPr>
              <w:t xml:space="preserve">       6,818 </w:t>
            </w:r>
          </w:p>
        </w:tc>
        <w:tc>
          <w:tcPr>
            <w:tcW w:w="853" w:type="dxa"/>
            <w:tcBorders>
              <w:top w:val="nil"/>
              <w:left w:val="nil"/>
              <w:bottom w:val="nil"/>
              <w:right w:val="nil"/>
            </w:tcBorders>
            <w:shd w:val="clear" w:color="000000" w:fill="FFFFFF"/>
            <w:noWrap/>
            <w:vAlign w:val="bottom"/>
            <w:hideMark/>
          </w:tcPr>
          <w:p w:rsidR="00895BD6" w:rsidRPr="00065913" w:rsidP="00D85D5E" w14:paraId="788115FB" w14:textId="0CB9F2ED">
            <w:pPr>
              <w:jc w:val="right"/>
              <w:rPr>
                <w:sz w:val="13"/>
                <w:szCs w:val="13"/>
              </w:rPr>
            </w:pPr>
            <w:r w:rsidRPr="00065913">
              <w:rPr>
                <w:sz w:val="13"/>
                <w:szCs w:val="13"/>
              </w:rPr>
              <w:t>$</w:t>
            </w:r>
            <w:r w:rsidR="00461BAF">
              <w:rPr>
                <w:sz w:val="13"/>
                <w:szCs w:val="13"/>
              </w:rPr>
              <w:t xml:space="preserve"> </w:t>
            </w:r>
            <w:r w:rsidRPr="00065913">
              <w:rPr>
                <w:sz w:val="13"/>
                <w:szCs w:val="13"/>
              </w:rPr>
              <w:t xml:space="preserve">1,311,091 </w:t>
            </w:r>
          </w:p>
        </w:tc>
        <w:tc>
          <w:tcPr>
            <w:tcW w:w="853" w:type="dxa"/>
            <w:tcBorders>
              <w:top w:val="nil"/>
              <w:left w:val="nil"/>
              <w:bottom w:val="nil"/>
              <w:right w:val="nil"/>
            </w:tcBorders>
            <w:shd w:val="clear" w:color="000000" w:fill="FFFFFF"/>
            <w:noWrap/>
            <w:vAlign w:val="bottom"/>
            <w:hideMark/>
          </w:tcPr>
          <w:p w:rsidR="00895BD6" w:rsidRPr="00065913" w:rsidP="00D85D5E" w14:paraId="0B352D88" w14:textId="7D190AF9">
            <w:pPr>
              <w:jc w:val="right"/>
              <w:rPr>
                <w:sz w:val="13"/>
                <w:szCs w:val="13"/>
              </w:rPr>
            </w:pPr>
            <w:r w:rsidRPr="00065913">
              <w:rPr>
                <w:sz w:val="13"/>
                <w:szCs w:val="13"/>
              </w:rPr>
              <w:t>$</w:t>
            </w:r>
            <w:r w:rsidR="00D0350C">
              <w:rPr>
                <w:sz w:val="13"/>
                <w:szCs w:val="13"/>
              </w:rPr>
              <w:t xml:space="preserve">    </w:t>
            </w:r>
            <w:r w:rsidRPr="00065913">
              <w:rPr>
                <w:sz w:val="13"/>
                <w:szCs w:val="13"/>
              </w:rPr>
              <w:t xml:space="preserve">143,307 </w:t>
            </w:r>
          </w:p>
        </w:tc>
        <w:tc>
          <w:tcPr>
            <w:tcW w:w="951" w:type="dxa"/>
            <w:tcBorders>
              <w:top w:val="nil"/>
              <w:left w:val="nil"/>
              <w:bottom w:val="nil"/>
              <w:right w:val="nil"/>
            </w:tcBorders>
            <w:shd w:val="clear" w:color="000000" w:fill="FFFFFF"/>
            <w:noWrap/>
            <w:vAlign w:val="bottom"/>
            <w:hideMark/>
          </w:tcPr>
          <w:p w:rsidR="00895BD6" w:rsidRPr="00065913" w:rsidP="00D85D5E" w14:paraId="12206AE3" w14:textId="512D663C">
            <w:pPr>
              <w:jc w:val="right"/>
              <w:rPr>
                <w:sz w:val="13"/>
                <w:szCs w:val="13"/>
              </w:rPr>
            </w:pPr>
            <w:r w:rsidRPr="00065913">
              <w:rPr>
                <w:sz w:val="13"/>
                <w:szCs w:val="13"/>
              </w:rPr>
              <w:t>$</w:t>
            </w:r>
            <w:r w:rsidR="000E6016">
              <w:rPr>
                <w:sz w:val="13"/>
                <w:szCs w:val="13"/>
              </w:rPr>
              <w:t xml:space="preserve">   </w:t>
            </w:r>
            <w:r w:rsidRPr="00065913">
              <w:rPr>
                <w:sz w:val="13"/>
                <w:szCs w:val="13"/>
              </w:rPr>
              <w:t xml:space="preserve"> 8,792,251 </w:t>
            </w:r>
          </w:p>
        </w:tc>
        <w:tc>
          <w:tcPr>
            <w:tcW w:w="810" w:type="dxa"/>
            <w:tcBorders>
              <w:top w:val="nil"/>
              <w:left w:val="nil"/>
              <w:bottom w:val="nil"/>
              <w:right w:val="nil"/>
            </w:tcBorders>
            <w:shd w:val="clear" w:color="auto" w:fill="auto"/>
            <w:noWrap/>
            <w:vAlign w:val="bottom"/>
            <w:hideMark/>
          </w:tcPr>
          <w:p w:rsidR="00895BD6" w:rsidRPr="00065913" w:rsidP="00F34F7F" w14:paraId="00B14DF3" w14:textId="281F9A65">
            <w:pPr>
              <w:jc w:val="right"/>
              <w:rPr>
                <w:sz w:val="13"/>
                <w:szCs w:val="13"/>
              </w:rPr>
            </w:pPr>
            <w:r w:rsidRPr="00065913">
              <w:rPr>
                <w:sz w:val="13"/>
                <w:szCs w:val="13"/>
              </w:rPr>
              <w:t xml:space="preserve">$1,446,854 </w:t>
            </w:r>
          </w:p>
        </w:tc>
        <w:tc>
          <w:tcPr>
            <w:tcW w:w="720" w:type="dxa"/>
            <w:tcBorders>
              <w:top w:val="nil"/>
              <w:left w:val="nil"/>
              <w:bottom w:val="nil"/>
              <w:right w:val="nil"/>
            </w:tcBorders>
            <w:shd w:val="clear" w:color="000000" w:fill="FFFFFF"/>
            <w:noWrap/>
            <w:vAlign w:val="bottom"/>
            <w:hideMark/>
          </w:tcPr>
          <w:p w:rsidR="00895BD6" w:rsidRPr="00065913" w:rsidP="00D85D5E" w14:paraId="2D0821B2" w14:textId="02B60418">
            <w:pPr>
              <w:jc w:val="right"/>
              <w:rPr>
                <w:sz w:val="13"/>
                <w:szCs w:val="13"/>
              </w:rPr>
            </w:pPr>
            <w:r w:rsidRPr="00065913">
              <w:rPr>
                <w:sz w:val="13"/>
                <w:szCs w:val="13"/>
              </w:rPr>
              <w:t>$</w:t>
            </w:r>
            <w:r w:rsidR="00F8445B">
              <w:rPr>
                <w:sz w:val="13"/>
                <w:szCs w:val="13"/>
              </w:rPr>
              <w:t xml:space="preserve">     </w:t>
            </w:r>
            <w:r w:rsidRPr="00065913">
              <w:rPr>
                <w:sz w:val="13"/>
                <w:szCs w:val="13"/>
              </w:rPr>
              <w:t xml:space="preserve">       - </w:t>
            </w:r>
          </w:p>
        </w:tc>
        <w:tc>
          <w:tcPr>
            <w:tcW w:w="931" w:type="dxa"/>
            <w:tcBorders>
              <w:top w:val="nil"/>
              <w:left w:val="nil"/>
              <w:bottom w:val="nil"/>
              <w:right w:val="nil"/>
            </w:tcBorders>
            <w:shd w:val="clear" w:color="000000" w:fill="FFFFFF"/>
            <w:noWrap/>
            <w:vAlign w:val="bottom"/>
            <w:hideMark/>
          </w:tcPr>
          <w:p w:rsidR="00895BD6" w:rsidRPr="00065913" w:rsidP="00D85D5E" w14:paraId="2C0168E8" w14:textId="30F2B80B">
            <w:pPr>
              <w:jc w:val="right"/>
              <w:rPr>
                <w:sz w:val="13"/>
                <w:szCs w:val="13"/>
              </w:rPr>
            </w:pPr>
            <w:r w:rsidRPr="00065913">
              <w:rPr>
                <w:sz w:val="13"/>
                <w:szCs w:val="13"/>
              </w:rPr>
              <w:t>$</w:t>
            </w:r>
            <w:r w:rsidR="000A4570">
              <w:rPr>
                <w:sz w:val="13"/>
                <w:szCs w:val="13"/>
              </w:rPr>
              <w:t xml:space="preserve">  </w:t>
            </w:r>
            <w:r w:rsidRPr="00065913">
              <w:rPr>
                <w:sz w:val="13"/>
                <w:szCs w:val="13"/>
              </w:rPr>
              <w:t xml:space="preserve">13,209,824 </w:t>
            </w:r>
          </w:p>
        </w:tc>
      </w:tr>
      <w:tr w14:paraId="51065C1E" w14:textId="77777777" w:rsidTr="00D67677">
        <w:tblPrEx>
          <w:tblW w:w="4998" w:type="pct"/>
          <w:tblLayout w:type="fixed"/>
          <w:tblLook w:val="04A0"/>
        </w:tblPrEx>
        <w:trPr>
          <w:trHeight w:val="144"/>
        </w:trPr>
        <w:tc>
          <w:tcPr>
            <w:tcW w:w="3914" w:type="dxa"/>
            <w:tcBorders>
              <w:top w:val="nil"/>
              <w:left w:val="nil"/>
              <w:bottom w:val="nil"/>
              <w:right w:val="nil"/>
            </w:tcBorders>
            <w:shd w:val="clear" w:color="000000" w:fill="FFFFFF"/>
            <w:noWrap/>
            <w:vAlign w:val="bottom"/>
            <w:hideMark/>
          </w:tcPr>
          <w:p w:rsidR="00895BD6" w:rsidRPr="00065913" w:rsidP="000C77BA" w14:paraId="5CA9DB51" w14:textId="77777777">
            <w:pPr>
              <w:ind w:left="432"/>
              <w:rPr>
                <w:sz w:val="13"/>
                <w:szCs w:val="13"/>
              </w:rPr>
            </w:pPr>
            <w:r w:rsidRPr="00065913">
              <w:rPr>
                <w:sz w:val="13"/>
                <w:szCs w:val="13"/>
              </w:rPr>
              <w:t>Unobligated balance, end of year:</w:t>
            </w:r>
          </w:p>
        </w:tc>
        <w:tc>
          <w:tcPr>
            <w:tcW w:w="874" w:type="dxa"/>
            <w:tcBorders>
              <w:top w:val="nil"/>
              <w:left w:val="nil"/>
              <w:bottom w:val="nil"/>
              <w:right w:val="nil"/>
            </w:tcBorders>
            <w:shd w:val="clear" w:color="000000" w:fill="FFFFFF"/>
            <w:noWrap/>
            <w:vAlign w:val="bottom"/>
            <w:hideMark/>
          </w:tcPr>
          <w:p w:rsidR="00895BD6" w:rsidRPr="00065913" w:rsidP="00D85D5E" w14:paraId="7B4F9135" w14:textId="77777777">
            <w:pPr>
              <w:jc w:val="right"/>
              <w:rPr>
                <w:sz w:val="13"/>
                <w:szCs w:val="13"/>
              </w:rPr>
            </w:pPr>
            <w:r w:rsidRPr="00065913">
              <w:rPr>
                <w:sz w:val="13"/>
                <w:szCs w:val="13"/>
              </w:rPr>
              <w:t> </w:t>
            </w:r>
          </w:p>
        </w:tc>
        <w:tc>
          <w:tcPr>
            <w:tcW w:w="874" w:type="dxa"/>
            <w:tcBorders>
              <w:top w:val="nil"/>
              <w:left w:val="nil"/>
              <w:bottom w:val="nil"/>
              <w:right w:val="nil"/>
            </w:tcBorders>
            <w:shd w:val="clear" w:color="000000" w:fill="FFFFFF"/>
            <w:noWrap/>
            <w:vAlign w:val="bottom"/>
            <w:hideMark/>
          </w:tcPr>
          <w:p w:rsidR="00895BD6" w:rsidRPr="00065913" w:rsidP="00D85D5E" w14:paraId="368295D7" w14:textId="77777777">
            <w:pPr>
              <w:jc w:val="right"/>
              <w:rPr>
                <w:sz w:val="13"/>
                <w:szCs w:val="13"/>
              </w:rPr>
            </w:pPr>
            <w:r w:rsidRPr="00065913">
              <w:rPr>
                <w:sz w:val="13"/>
                <w:szCs w:val="13"/>
              </w:rPr>
              <w:t> </w:t>
            </w:r>
          </w:p>
        </w:tc>
        <w:tc>
          <w:tcPr>
            <w:tcW w:w="818" w:type="dxa"/>
            <w:tcBorders>
              <w:top w:val="nil"/>
              <w:left w:val="nil"/>
              <w:bottom w:val="nil"/>
              <w:right w:val="nil"/>
            </w:tcBorders>
            <w:shd w:val="clear" w:color="000000" w:fill="FFFFFF"/>
            <w:noWrap/>
            <w:vAlign w:val="bottom"/>
            <w:hideMark/>
          </w:tcPr>
          <w:p w:rsidR="00895BD6" w:rsidRPr="00065913" w:rsidP="00D85D5E" w14:paraId="4ABB2F0C" w14:textId="77777777">
            <w:pPr>
              <w:jc w:val="right"/>
              <w:rPr>
                <w:sz w:val="13"/>
                <w:szCs w:val="13"/>
              </w:rPr>
            </w:pPr>
            <w:r w:rsidRPr="00065913">
              <w:rPr>
                <w:sz w:val="13"/>
                <w:szCs w:val="13"/>
              </w:rPr>
              <w:t> </w:t>
            </w:r>
          </w:p>
        </w:tc>
        <w:tc>
          <w:tcPr>
            <w:tcW w:w="1080" w:type="dxa"/>
            <w:tcBorders>
              <w:top w:val="nil"/>
              <w:left w:val="nil"/>
              <w:bottom w:val="nil"/>
              <w:right w:val="nil"/>
            </w:tcBorders>
            <w:shd w:val="clear" w:color="000000" w:fill="FFFFFF"/>
            <w:noWrap/>
            <w:vAlign w:val="bottom"/>
            <w:hideMark/>
          </w:tcPr>
          <w:p w:rsidR="00895BD6" w:rsidRPr="00065913" w:rsidP="00D85D5E" w14:paraId="0A08C651" w14:textId="77777777">
            <w:pPr>
              <w:jc w:val="right"/>
              <w:rPr>
                <w:sz w:val="13"/>
                <w:szCs w:val="13"/>
              </w:rPr>
            </w:pPr>
            <w:r w:rsidRPr="00065913">
              <w:rPr>
                <w:sz w:val="13"/>
                <w:szCs w:val="13"/>
              </w:rPr>
              <w:t> </w:t>
            </w:r>
          </w:p>
        </w:tc>
        <w:tc>
          <w:tcPr>
            <w:tcW w:w="853" w:type="dxa"/>
            <w:tcBorders>
              <w:top w:val="nil"/>
              <w:left w:val="nil"/>
              <w:bottom w:val="nil"/>
              <w:right w:val="nil"/>
            </w:tcBorders>
            <w:shd w:val="clear" w:color="000000" w:fill="FFFFFF"/>
            <w:noWrap/>
            <w:vAlign w:val="bottom"/>
            <w:hideMark/>
          </w:tcPr>
          <w:p w:rsidR="00895BD6" w:rsidRPr="00065913" w:rsidP="00D85D5E" w14:paraId="0DACB492" w14:textId="77777777">
            <w:pPr>
              <w:jc w:val="right"/>
              <w:rPr>
                <w:sz w:val="13"/>
                <w:szCs w:val="13"/>
              </w:rPr>
            </w:pPr>
            <w:r w:rsidRPr="00065913">
              <w:rPr>
                <w:sz w:val="13"/>
                <w:szCs w:val="13"/>
              </w:rPr>
              <w:t> </w:t>
            </w:r>
          </w:p>
        </w:tc>
        <w:tc>
          <w:tcPr>
            <w:tcW w:w="853" w:type="dxa"/>
            <w:tcBorders>
              <w:top w:val="nil"/>
              <w:left w:val="nil"/>
              <w:bottom w:val="nil"/>
              <w:right w:val="nil"/>
            </w:tcBorders>
            <w:shd w:val="clear" w:color="000000" w:fill="FFFFFF"/>
            <w:noWrap/>
            <w:vAlign w:val="bottom"/>
            <w:hideMark/>
          </w:tcPr>
          <w:p w:rsidR="00895BD6" w:rsidRPr="00065913" w:rsidP="00D85D5E" w14:paraId="3597FFC9" w14:textId="77777777">
            <w:pPr>
              <w:jc w:val="right"/>
              <w:rPr>
                <w:sz w:val="13"/>
                <w:szCs w:val="13"/>
              </w:rPr>
            </w:pPr>
            <w:r w:rsidRPr="00065913">
              <w:rPr>
                <w:sz w:val="13"/>
                <w:szCs w:val="13"/>
              </w:rPr>
              <w:t> </w:t>
            </w:r>
          </w:p>
        </w:tc>
        <w:tc>
          <w:tcPr>
            <w:tcW w:w="853" w:type="dxa"/>
            <w:tcBorders>
              <w:top w:val="nil"/>
              <w:left w:val="nil"/>
              <w:bottom w:val="nil"/>
              <w:right w:val="nil"/>
            </w:tcBorders>
            <w:shd w:val="clear" w:color="000000" w:fill="FFFFFF"/>
            <w:noWrap/>
            <w:vAlign w:val="bottom"/>
            <w:hideMark/>
          </w:tcPr>
          <w:p w:rsidR="00895BD6" w:rsidRPr="00065913" w:rsidP="00D85D5E" w14:paraId="233C8515" w14:textId="77777777">
            <w:pPr>
              <w:jc w:val="right"/>
              <w:rPr>
                <w:sz w:val="13"/>
                <w:szCs w:val="13"/>
              </w:rPr>
            </w:pPr>
            <w:r w:rsidRPr="00065913">
              <w:rPr>
                <w:sz w:val="13"/>
                <w:szCs w:val="13"/>
              </w:rPr>
              <w:t> </w:t>
            </w:r>
          </w:p>
        </w:tc>
        <w:tc>
          <w:tcPr>
            <w:tcW w:w="951" w:type="dxa"/>
            <w:tcBorders>
              <w:top w:val="nil"/>
              <w:left w:val="nil"/>
              <w:bottom w:val="nil"/>
              <w:right w:val="nil"/>
            </w:tcBorders>
            <w:shd w:val="clear" w:color="000000" w:fill="FFFFFF"/>
            <w:noWrap/>
            <w:vAlign w:val="bottom"/>
            <w:hideMark/>
          </w:tcPr>
          <w:p w:rsidR="00895BD6" w:rsidRPr="00065913" w:rsidP="00D85D5E" w14:paraId="63CA3FE8" w14:textId="77777777">
            <w:pPr>
              <w:jc w:val="right"/>
              <w:rPr>
                <w:sz w:val="13"/>
                <w:szCs w:val="13"/>
              </w:rPr>
            </w:pPr>
            <w:r w:rsidRPr="00065913">
              <w:rPr>
                <w:sz w:val="13"/>
                <w:szCs w:val="13"/>
              </w:rPr>
              <w:t> </w:t>
            </w:r>
          </w:p>
        </w:tc>
        <w:tc>
          <w:tcPr>
            <w:tcW w:w="810" w:type="dxa"/>
            <w:tcBorders>
              <w:top w:val="nil"/>
              <w:left w:val="nil"/>
              <w:bottom w:val="nil"/>
              <w:right w:val="nil"/>
            </w:tcBorders>
            <w:shd w:val="clear" w:color="000000" w:fill="FFFFFF"/>
            <w:noWrap/>
            <w:vAlign w:val="bottom"/>
            <w:hideMark/>
          </w:tcPr>
          <w:p w:rsidR="00895BD6" w:rsidRPr="00065913" w:rsidP="00D85D5E" w14:paraId="610299D8" w14:textId="77777777">
            <w:pPr>
              <w:jc w:val="right"/>
              <w:rPr>
                <w:sz w:val="13"/>
                <w:szCs w:val="13"/>
              </w:rPr>
            </w:pPr>
            <w:r w:rsidRPr="00065913">
              <w:rPr>
                <w:sz w:val="13"/>
                <w:szCs w:val="13"/>
              </w:rPr>
              <w:t> </w:t>
            </w:r>
          </w:p>
        </w:tc>
        <w:tc>
          <w:tcPr>
            <w:tcW w:w="720" w:type="dxa"/>
            <w:tcBorders>
              <w:top w:val="nil"/>
              <w:left w:val="nil"/>
              <w:bottom w:val="nil"/>
              <w:right w:val="nil"/>
            </w:tcBorders>
            <w:shd w:val="clear" w:color="000000" w:fill="FFFFFF"/>
            <w:noWrap/>
            <w:vAlign w:val="bottom"/>
            <w:hideMark/>
          </w:tcPr>
          <w:p w:rsidR="00895BD6" w:rsidRPr="00065913" w:rsidP="00D85D5E" w14:paraId="3BD4E942" w14:textId="77777777">
            <w:pPr>
              <w:jc w:val="right"/>
              <w:rPr>
                <w:sz w:val="13"/>
                <w:szCs w:val="13"/>
              </w:rPr>
            </w:pPr>
            <w:r w:rsidRPr="00065913">
              <w:rPr>
                <w:sz w:val="13"/>
                <w:szCs w:val="13"/>
              </w:rPr>
              <w:t> </w:t>
            </w:r>
          </w:p>
        </w:tc>
        <w:tc>
          <w:tcPr>
            <w:tcW w:w="931" w:type="dxa"/>
            <w:tcBorders>
              <w:top w:val="nil"/>
              <w:left w:val="nil"/>
              <w:bottom w:val="nil"/>
              <w:right w:val="nil"/>
            </w:tcBorders>
            <w:shd w:val="clear" w:color="000000" w:fill="FFFFFF"/>
            <w:noWrap/>
            <w:vAlign w:val="bottom"/>
            <w:hideMark/>
          </w:tcPr>
          <w:p w:rsidR="00895BD6" w:rsidRPr="00065913" w:rsidP="00D85D5E" w14:paraId="72055121" w14:textId="77777777">
            <w:pPr>
              <w:jc w:val="right"/>
              <w:rPr>
                <w:sz w:val="13"/>
                <w:szCs w:val="13"/>
              </w:rPr>
            </w:pPr>
            <w:r w:rsidRPr="00065913">
              <w:rPr>
                <w:sz w:val="13"/>
                <w:szCs w:val="13"/>
              </w:rPr>
              <w:t> </w:t>
            </w:r>
          </w:p>
        </w:tc>
      </w:tr>
      <w:tr w14:paraId="224F4950" w14:textId="77777777" w:rsidTr="00D67677">
        <w:tblPrEx>
          <w:tblW w:w="4998" w:type="pct"/>
          <w:tblLayout w:type="fixed"/>
          <w:tblLook w:val="04A0"/>
        </w:tblPrEx>
        <w:trPr>
          <w:trHeight w:val="144"/>
        </w:trPr>
        <w:tc>
          <w:tcPr>
            <w:tcW w:w="3914" w:type="dxa"/>
            <w:tcBorders>
              <w:top w:val="nil"/>
              <w:left w:val="nil"/>
              <w:bottom w:val="nil"/>
              <w:right w:val="nil"/>
            </w:tcBorders>
            <w:shd w:val="clear" w:color="000000" w:fill="FFFFFF"/>
            <w:noWrap/>
            <w:vAlign w:val="bottom"/>
            <w:hideMark/>
          </w:tcPr>
          <w:p w:rsidR="00895BD6" w:rsidRPr="00065913" w:rsidP="000C77BA" w14:paraId="796A4191" w14:textId="77777777">
            <w:pPr>
              <w:ind w:left="432" w:firstLine="260" w:firstLineChars="200"/>
              <w:rPr>
                <w:sz w:val="13"/>
                <w:szCs w:val="13"/>
              </w:rPr>
            </w:pPr>
            <w:r w:rsidRPr="00065913">
              <w:rPr>
                <w:sz w:val="13"/>
                <w:szCs w:val="13"/>
              </w:rPr>
              <w:t>Apportioned, unexpired accounts</w:t>
            </w:r>
          </w:p>
        </w:tc>
        <w:tc>
          <w:tcPr>
            <w:tcW w:w="874" w:type="dxa"/>
            <w:tcBorders>
              <w:top w:val="nil"/>
              <w:left w:val="nil"/>
              <w:bottom w:val="nil"/>
              <w:right w:val="nil"/>
            </w:tcBorders>
            <w:shd w:val="clear" w:color="000000" w:fill="FFFFFF"/>
            <w:noWrap/>
            <w:vAlign w:val="bottom"/>
            <w:hideMark/>
          </w:tcPr>
          <w:p w:rsidR="00895BD6" w:rsidRPr="00065913" w:rsidP="00D85D5E" w14:paraId="7C625B2C" w14:textId="77777777">
            <w:pPr>
              <w:jc w:val="right"/>
              <w:rPr>
                <w:sz w:val="13"/>
                <w:szCs w:val="13"/>
              </w:rPr>
            </w:pPr>
            <w:r w:rsidRPr="00065913">
              <w:rPr>
                <w:sz w:val="13"/>
                <w:szCs w:val="13"/>
              </w:rPr>
              <w:t xml:space="preserve">   122,509 </w:t>
            </w:r>
          </w:p>
        </w:tc>
        <w:tc>
          <w:tcPr>
            <w:tcW w:w="874" w:type="dxa"/>
            <w:tcBorders>
              <w:top w:val="nil"/>
              <w:left w:val="nil"/>
              <w:bottom w:val="nil"/>
              <w:right w:val="nil"/>
            </w:tcBorders>
            <w:shd w:val="clear" w:color="000000" w:fill="FFFFFF"/>
            <w:noWrap/>
            <w:vAlign w:val="bottom"/>
            <w:hideMark/>
          </w:tcPr>
          <w:p w:rsidR="00895BD6" w:rsidRPr="00065913" w:rsidP="00D85D5E" w14:paraId="64509ECB" w14:textId="77777777">
            <w:pPr>
              <w:jc w:val="right"/>
              <w:rPr>
                <w:sz w:val="13"/>
                <w:szCs w:val="13"/>
              </w:rPr>
            </w:pPr>
            <w:r w:rsidRPr="00065913">
              <w:rPr>
                <w:sz w:val="13"/>
                <w:szCs w:val="13"/>
              </w:rPr>
              <w:t xml:space="preserve">     28,788 </w:t>
            </w:r>
          </w:p>
        </w:tc>
        <w:tc>
          <w:tcPr>
            <w:tcW w:w="818" w:type="dxa"/>
            <w:tcBorders>
              <w:top w:val="nil"/>
              <w:left w:val="nil"/>
              <w:bottom w:val="nil"/>
              <w:right w:val="nil"/>
            </w:tcBorders>
            <w:shd w:val="clear" w:color="000000" w:fill="FFFFFF"/>
            <w:noWrap/>
            <w:vAlign w:val="bottom"/>
            <w:hideMark/>
          </w:tcPr>
          <w:p w:rsidR="00895BD6" w:rsidRPr="00065913" w:rsidP="00D85D5E" w14:paraId="03E8BCAC" w14:textId="77777777">
            <w:pPr>
              <w:jc w:val="right"/>
              <w:rPr>
                <w:sz w:val="13"/>
                <w:szCs w:val="13"/>
              </w:rPr>
            </w:pPr>
            <w:r w:rsidRPr="00065913">
              <w:rPr>
                <w:sz w:val="13"/>
                <w:szCs w:val="13"/>
              </w:rPr>
              <w:t xml:space="preserve">   166,159 </w:t>
            </w:r>
          </w:p>
        </w:tc>
        <w:tc>
          <w:tcPr>
            <w:tcW w:w="1080" w:type="dxa"/>
            <w:tcBorders>
              <w:top w:val="nil"/>
              <w:left w:val="nil"/>
              <w:bottom w:val="nil"/>
              <w:right w:val="nil"/>
            </w:tcBorders>
            <w:shd w:val="clear" w:color="000000" w:fill="FFFFFF"/>
            <w:noWrap/>
            <w:vAlign w:val="bottom"/>
            <w:hideMark/>
          </w:tcPr>
          <w:p w:rsidR="00895BD6" w:rsidRPr="00065913" w:rsidP="00D85D5E" w14:paraId="129ACDAE" w14:textId="77777777">
            <w:pPr>
              <w:jc w:val="right"/>
              <w:rPr>
                <w:sz w:val="13"/>
                <w:szCs w:val="13"/>
              </w:rPr>
            </w:pPr>
            <w:r w:rsidRPr="00065913">
              <w:rPr>
                <w:sz w:val="13"/>
                <w:szCs w:val="13"/>
              </w:rPr>
              <w:t xml:space="preserve">   2,292,443 </w:t>
            </w:r>
          </w:p>
        </w:tc>
        <w:tc>
          <w:tcPr>
            <w:tcW w:w="853" w:type="dxa"/>
            <w:tcBorders>
              <w:top w:val="nil"/>
              <w:left w:val="nil"/>
              <w:bottom w:val="nil"/>
              <w:right w:val="nil"/>
            </w:tcBorders>
            <w:shd w:val="clear" w:color="000000" w:fill="FFFFFF"/>
            <w:noWrap/>
            <w:vAlign w:val="bottom"/>
            <w:hideMark/>
          </w:tcPr>
          <w:p w:rsidR="00895BD6" w:rsidRPr="00065913" w:rsidP="00D85D5E" w14:paraId="57D152B8" w14:textId="77777777">
            <w:pPr>
              <w:jc w:val="right"/>
              <w:rPr>
                <w:sz w:val="13"/>
                <w:szCs w:val="13"/>
              </w:rPr>
            </w:pPr>
            <w:r w:rsidRPr="00065913">
              <w:rPr>
                <w:sz w:val="13"/>
                <w:szCs w:val="13"/>
              </w:rPr>
              <w:t xml:space="preserve">   1,893,182 </w:t>
            </w:r>
          </w:p>
        </w:tc>
        <w:tc>
          <w:tcPr>
            <w:tcW w:w="853" w:type="dxa"/>
            <w:tcBorders>
              <w:top w:val="nil"/>
              <w:left w:val="nil"/>
              <w:bottom w:val="nil"/>
              <w:right w:val="nil"/>
            </w:tcBorders>
            <w:shd w:val="clear" w:color="000000" w:fill="FFFFFF"/>
            <w:noWrap/>
            <w:vAlign w:val="bottom"/>
            <w:hideMark/>
          </w:tcPr>
          <w:p w:rsidR="00895BD6" w:rsidRPr="00065913" w:rsidP="00D85D5E" w14:paraId="145F33C3" w14:textId="77777777">
            <w:pPr>
              <w:jc w:val="right"/>
              <w:rPr>
                <w:sz w:val="13"/>
                <w:szCs w:val="13"/>
              </w:rPr>
            </w:pPr>
            <w:r w:rsidRPr="00065913">
              <w:rPr>
                <w:sz w:val="13"/>
                <w:szCs w:val="13"/>
              </w:rPr>
              <w:t xml:space="preserve">   5,860,909 </w:t>
            </w:r>
          </w:p>
        </w:tc>
        <w:tc>
          <w:tcPr>
            <w:tcW w:w="853" w:type="dxa"/>
            <w:tcBorders>
              <w:top w:val="nil"/>
              <w:left w:val="nil"/>
              <w:bottom w:val="nil"/>
              <w:right w:val="nil"/>
            </w:tcBorders>
            <w:shd w:val="clear" w:color="000000" w:fill="FFFFFF"/>
            <w:noWrap/>
            <w:vAlign w:val="bottom"/>
            <w:hideMark/>
          </w:tcPr>
          <w:p w:rsidR="00895BD6" w:rsidRPr="00065913" w:rsidP="00D85D5E" w14:paraId="23518E4B" w14:textId="77777777">
            <w:pPr>
              <w:jc w:val="right"/>
              <w:rPr>
                <w:sz w:val="13"/>
                <w:szCs w:val="13"/>
              </w:rPr>
            </w:pPr>
            <w:r w:rsidRPr="00065913">
              <w:rPr>
                <w:sz w:val="13"/>
                <w:szCs w:val="13"/>
              </w:rPr>
              <w:t xml:space="preserve">   654,790 </w:t>
            </w:r>
          </w:p>
        </w:tc>
        <w:tc>
          <w:tcPr>
            <w:tcW w:w="951" w:type="dxa"/>
            <w:tcBorders>
              <w:top w:val="nil"/>
              <w:left w:val="nil"/>
              <w:bottom w:val="nil"/>
              <w:right w:val="nil"/>
            </w:tcBorders>
            <w:shd w:val="clear" w:color="000000" w:fill="FFFFFF"/>
            <w:noWrap/>
            <w:vAlign w:val="bottom"/>
            <w:hideMark/>
          </w:tcPr>
          <w:p w:rsidR="00895BD6" w:rsidRPr="00065913" w:rsidP="00D85D5E" w14:paraId="0ACC8D8B" w14:textId="77777777">
            <w:pPr>
              <w:jc w:val="right"/>
              <w:rPr>
                <w:sz w:val="13"/>
                <w:szCs w:val="13"/>
              </w:rPr>
            </w:pPr>
            <w:r w:rsidRPr="00065913">
              <w:rPr>
                <w:sz w:val="13"/>
                <w:szCs w:val="13"/>
              </w:rPr>
              <w:t xml:space="preserve">                  - </w:t>
            </w:r>
          </w:p>
        </w:tc>
        <w:tc>
          <w:tcPr>
            <w:tcW w:w="810" w:type="dxa"/>
            <w:tcBorders>
              <w:top w:val="nil"/>
              <w:left w:val="nil"/>
              <w:bottom w:val="nil"/>
              <w:right w:val="nil"/>
            </w:tcBorders>
            <w:shd w:val="clear" w:color="000000" w:fill="FFFFFF"/>
            <w:noWrap/>
            <w:vAlign w:val="bottom"/>
            <w:hideMark/>
          </w:tcPr>
          <w:p w:rsidR="00895BD6" w:rsidRPr="00065913" w:rsidP="00927F9A" w14:paraId="645ECD1C" w14:textId="32EC9D2D">
            <w:pPr>
              <w:jc w:val="right"/>
              <w:rPr>
                <w:sz w:val="13"/>
                <w:szCs w:val="13"/>
              </w:rPr>
            </w:pPr>
            <w:r w:rsidRPr="00065913">
              <w:rPr>
                <w:sz w:val="13"/>
                <w:szCs w:val="13"/>
              </w:rPr>
              <w:t xml:space="preserve">463,565 </w:t>
            </w:r>
          </w:p>
        </w:tc>
        <w:tc>
          <w:tcPr>
            <w:tcW w:w="720" w:type="dxa"/>
            <w:tcBorders>
              <w:top w:val="nil"/>
              <w:left w:val="nil"/>
              <w:bottom w:val="nil"/>
              <w:right w:val="nil"/>
            </w:tcBorders>
            <w:shd w:val="clear" w:color="000000" w:fill="FFFFFF"/>
            <w:noWrap/>
            <w:vAlign w:val="bottom"/>
            <w:hideMark/>
          </w:tcPr>
          <w:p w:rsidR="00895BD6" w:rsidRPr="00065913" w:rsidP="00D85D5E" w14:paraId="23EF8D2E" w14:textId="77777777">
            <w:pPr>
              <w:jc w:val="right"/>
              <w:rPr>
                <w:sz w:val="13"/>
                <w:szCs w:val="13"/>
              </w:rPr>
            </w:pPr>
            <w:r w:rsidRPr="00065913">
              <w:rPr>
                <w:sz w:val="13"/>
                <w:szCs w:val="13"/>
              </w:rPr>
              <w:t xml:space="preserve">   2,816 </w:t>
            </w:r>
          </w:p>
        </w:tc>
        <w:tc>
          <w:tcPr>
            <w:tcW w:w="931" w:type="dxa"/>
            <w:tcBorders>
              <w:top w:val="nil"/>
              <w:left w:val="nil"/>
              <w:bottom w:val="nil"/>
              <w:right w:val="nil"/>
            </w:tcBorders>
            <w:shd w:val="clear" w:color="000000" w:fill="FFFFFF"/>
            <w:noWrap/>
            <w:vAlign w:val="bottom"/>
            <w:hideMark/>
          </w:tcPr>
          <w:p w:rsidR="00895BD6" w:rsidRPr="00065913" w:rsidP="00D85D5E" w14:paraId="3807E7AA" w14:textId="77777777">
            <w:pPr>
              <w:jc w:val="right"/>
              <w:rPr>
                <w:sz w:val="13"/>
                <w:szCs w:val="13"/>
              </w:rPr>
            </w:pPr>
            <w:r w:rsidRPr="00065913">
              <w:rPr>
                <w:sz w:val="13"/>
                <w:szCs w:val="13"/>
              </w:rPr>
              <w:t xml:space="preserve">   11,485,161 </w:t>
            </w:r>
          </w:p>
        </w:tc>
      </w:tr>
      <w:tr w14:paraId="62AAA738" w14:textId="77777777" w:rsidTr="00D67677">
        <w:tblPrEx>
          <w:tblW w:w="4998" w:type="pct"/>
          <w:tblLayout w:type="fixed"/>
          <w:tblLook w:val="04A0"/>
        </w:tblPrEx>
        <w:trPr>
          <w:trHeight w:val="144"/>
        </w:trPr>
        <w:tc>
          <w:tcPr>
            <w:tcW w:w="3914" w:type="dxa"/>
            <w:tcBorders>
              <w:top w:val="nil"/>
              <w:left w:val="nil"/>
              <w:bottom w:val="nil"/>
              <w:right w:val="nil"/>
            </w:tcBorders>
            <w:shd w:val="clear" w:color="000000" w:fill="FFFFFF"/>
            <w:noWrap/>
            <w:vAlign w:val="bottom"/>
            <w:hideMark/>
          </w:tcPr>
          <w:p w:rsidR="00895BD6" w:rsidRPr="00065913" w:rsidP="000C77BA" w14:paraId="11BFCE5F" w14:textId="77777777">
            <w:pPr>
              <w:ind w:left="432" w:firstLine="260" w:firstLineChars="200"/>
              <w:rPr>
                <w:sz w:val="13"/>
                <w:szCs w:val="13"/>
              </w:rPr>
            </w:pPr>
            <w:r w:rsidRPr="00065913">
              <w:rPr>
                <w:sz w:val="13"/>
                <w:szCs w:val="13"/>
              </w:rPr>
              <w:t>Exempt from apportionment, unexpired accounts</w:t>
            </w:r>
          </w:p>
        </w:tc>
        <w:tc>
          <w:tcPr>
            <w:tcW w:w="874" w:type="dxa"/>
            <w:tcBorders>
              <w:top w:val="nil"/>
              <w:left w:val="nil"/>
              <w:bottom w:val="nil"/>
              <w:right w:val="nil"/>
            </w:tcBorders>
            <w:shd w:val="clear" w:color="000000" w:fill="FFFFFF"/>
            <w:noWrap/>
            <w:vAlign w:val="bottom"/>
            <w:hideMark/>
          </w:tcPr>
          <w:p w:rsidR="00895BD6" w:rsidRPr="00065913" w:rsidP="00D85D5E" w14:paraId="065CC996" w14:textId="77777777">
            <w:pPr>
              <w:jc w:val="right"/>
              <w:rPr>
                <w:sz w:val="13"/>
                <w:szCs w:val="13"/>
              </w:rPr>
            </w:pPr>
            <w:r w:rsidRPr="00065913">
              <w:rPr>
                <w:sz w:val="13"/>
                <w:szCs w:val="13"/>
              </w:rPr>
              <w:t xml:space="preserve">              - </w:t>
            </w:r>
          </w:p>
        </w:tc>
        <w:tc>
          <w:tcPr>
            <w:tcW w:w="874" w:type="dxa"/>
            <w:tcBorders>
              <w:top w:val="nil"/>
              <w:left w:val="nil"/>
              <w:bottom w:val="nil"/>
              <w:right w:val="nil"/>
            </w:tcBorders>
            <w:shd w:val="clear" w:color="000000" w:fill="FFFFFF"/>
            <w:noWrap/>
            <w:vAlign w:val="bottom"/>
            <w:hideMark/>
          </w:tcPr>
          <w:p w:rsidR="00895BD6" w:rsidRPr="00065913" w:rsidP="00D85D5E" w14:paraId="30AE4660" w14:textId="77777777">
            <w:pPr>
              <w:jc w:val="right"/>
              <w:rPr>
                <w:sz w:val="13"/>
                <w:szCs w:val="13"/>
              </w:rPr>
            </w:pPr>
            <w:r w:rsidRPr="00065913">
              <w:rPr>
                <w:sz w:val="13"/>
                <w:szCs w:val="13"/>
              </w:rPr>
              <w:t xml:space="preserve">              - </w:t>
            </w:r>
          </w:p>
        </w:tc>
        <w:tc>
          <w:tcPr>
            <w:tcW w:w="818" w:type="dxa"/>
            <w:tcBorders>
              <w:top w:val="nil"/>
              <w:left w:val="nil"/>
              <w:bottom w:val="nil"/>
              <w:right w:val="nil"/>
            </w:tcBorders>
            <w:shd w:val="clear" w:color="000000" w:fill="FFFFFF"/>
            <w:noWrap/>
            <w:vAlign w:val="bottom"/>
            <w:hideMark/>
          </w:tcPr>
          <w:p w:rsidR="00895BD6" w:rsidRPr="00065913" w:rsidP="00D85D5E" w14:paraId="28CEA446" w14:textId="77777777">
            <w:pPr>
              <w:jc w:val="right"/>
              <w:rPr>
                <w:sz w:val="13"/>
                <w:szCs w:val="13"/>
              </w:rPr>
            </w:pPr>
            <w:r w:rsidRPr="00065913">
              <w:rPr>
                <w:sz w:val="13"/>
                <w:szCs w:val="13"/>
              </w:rPr>
              <w:t xml:space="preserve">              - </w:t>
            </w:r>
          </w:p>
        </w:tc>
        <w:tc>
          <w:tcPr>
            <w:tcW w:w="1080" w:type="dxa"/>
            <w:tcBorders>
              <w:top w:val="nil"/>
              <w:left w:val="nil"/>
              <w:bottom w:val="nil"/>
              <w:right w:val="nil"/>
            </w:tcBorders>
            <w:shd w:val="clear" w:color="000000" w:fill="FFFFFF"/>
            <w:noWrap/>
            <w:vAlign w:val="bottom"/>
            <w:hideMark/>
          </w:tcPr>
          <w:p w:rsidR="00895BD6" w:rsidRPr="00065913" w:rsidP="00D85D5E" w14:paraId="1A80CB47"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5A031EF6"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44C797BD"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3814F55E" w14:textId="77777777">
            <w:pPr>
              <w:jc w:val="right"/>
              <w:rPr>
                <w:sz w:val="13"/>
                <w:szCs w:val="13"/>
              </w:rPr>
            </w:pPr>
            <w:r w:rsidRPr="00065913">
              <w:rPr>
                <w:sz w:val="13"/>
                <w:szCs w:val="13"/>
              </w:rPr>
              <w:t xml:space="preserve">              - </w:t>
            </w:r>
          </w:p>
        </w:tc>
        <w:tc>
          <w:tcPr>
            <w:tcW w:w="951" w:type="dxa"/>
            <w:tcBorders>
              <w:top w:val="nil"/>
              <w:left w:val="nil"/>
              <w:bottom w:val="nil"/>
              <w:right w:val="nil"/>
            </w:tcBorders>
            <w:shd w:val="clear" w:color="000000" w:fill="FFFFFF"/>
            <w:noWrap/>
            <w:vAlign w:val="bottom"/>
            <w:hideMark/>
          </w:tcPr>
          <w:p w:rsidR="00895BD6" w:rsidRPr="00065913" w:rsidP="00D85D5E" w14:paraId="1715EA79" w14:textId="77777777">
            <w:pPr>
              <w:jc w:val="right"/>
              <w:rPr>
                <w:sz w:val="13"/>
                <w:szCs w:val="13"/>
              </w:rPr>
            </w:pPr>
            <w:r w:rsidRPr="00065913">
              <w:rPr>
                <w:sz w:val="13"/>
                <w:szCs w:val="13"/>
              </w:rPr>
              <w:t xml:space="preserve">   (8,870,348)</w:t>
            </w:r>
          </w:p>
        </w:tc>
        <w:tc>
          <w:tcPr>
            <w:tcW w:w="810" w:type="dxa"/>
            <w:tcBorders>
              <w:top w:val="nil"/>
              <w:left w:val="nil"/>
              <w:bottom w:val="nil"/>
              <w:right w:val="nil"/>
            </w:tcBorders>
            <w:shd w:val="clear" w:color="000000" w:fill="FFFFFF"/>
            <w:noWrap/>
            <w:vAlign w:val="bottom"/>
            <w:hideMark/>
          </w:tcPr>
          <w:p w:rsidR="00895BD6" w:rsidRPr="00065913" w:rsidP="00D85D5E" w14:paraId="3ED0D6D5" w14:textId="77777777">
            <w:pPr>
              <w:jc w:val="right"/>
              <w:rPr>
                <w:sz w:val="13"/>
                <w:szCs w:val="13"/>
              </w:rPr>
            </w:pPr>
            <w:r w:rsidRPr="00065913">
              <w:rPr>
                <w:sz w:val="13"/>
                <w:szCs w:val="13"/>
              </w:rPr>
              <w:t xml:space="preserve">                - </w:t>
            </w:r>
          </w:p>
        </w:tc>
        <w:tc>
          <w:tcPr>
            <w:tcW w:w="720" w:type="dxa"/>
            <w:tcBorders>
              <w:top w:val="nil"/>
              <w:left w:val="nil"/>
              <w:bottom w:val="nil"/>
              <w:right w:val="nil"/>
            </w:tcBorders>
            <w:shd w:val="clear" w:color="000000" w:fill="FFFFFF"/>
            <w:noWrap/>
            <w:vAlign w:val="bottom"/>
            <w:hideMark/>
          </w:tcPr>
          <w:p w:rsidR="00895BD6" w:rsidRPr="00065913" w:rsidP="00D85D5E" w14:paraId="6CCE9007" w14:textId="77777777">
            <w:pPr>
              <w:jc w:val="right"/>
              <w:rPr>
                <w:sz w:val="13"/>
                <w:szCs w:val="13"/>
              </w:rPr>
            </w:pPr>
            <w:r w:rsidRPr="00065913">
              <w:rPr>
                <w:sz w:val="13"/>
                <w:szCs w:val="13"/>
              </w:rPr>
              <w:t xml:space="preserve">          - </w:t>
            </w:r>
          </w:p>
        </w:tc>
        <w:tc>
          <w:tcPr>
            <w:tcW w:w="931" w:type="dxa"/>
            <w:tcBorders>
              <w:top w:val="nil"/>
              <w:left w:val="nil"/>
              <w:bottom w:val="nil"/>
              <w:right w:val="nil"/>
            </w:tcBorders>
            <w:shd w:val="clear" w:color="000000" w:fill="FFFFFF"/>
            <w:noWrap/>
            <w:vAlign w:val="bottom"/>
            <w:hideMark/>
          </w:tcPr>
          <w:p w:rsidR="00895BD6" w:rsidRPr="00065913" w:rsidP="00D85D5E" w14:paraId="4B7856E7" w14:textId="77777777">
            <w:pPr>
              <w:jc w:val="right"/>
              <w:rPr>
                <w:sz w:val="13"/>
                <w:szCs w:val="13"/>
              </w:rPr>
            </w:pPr>
            <w:r w:rsidRPr="00065913">
              <w:rPr>
                <w:sz w:val="13"/>
                <w:szCs w:val="13"/>
              </w:rPr>
              <w:t xml:space="preserve">   (8,870,348)</w:t>
            </w:r>
          </w:p>
        </w:tc>
      </w:tr>
      <w:tr w14:paraId="5C2441EB" w14:textId="77777777" w:rsidTr="00D67677">
        <w:tblPrEx>
          <w:tblW w:w="4998" w:type="pct"/>
          <w:tblLayout w:type="fixed"/>
          <w:tblLook w:val="04A0"/>
        </w:tblPrEx>
        <w:trPr>
          <w:trHeight w:val="144"/>
        </w:trPr>
        <w:tc>
          <w:tcPr>
            <w:tcW w:w="3914" w:type="dxa"/>
            <w:tcBorders>
              <w:top w:val="nil"/>
              <w:left w:val="nil"/>
              <w:bottom w:val="nil"/>
              <w:right w:val="nil"/>
            </w:tcBorders>
            <w:shd w:val="clear" w:color="000000" w:fill="FFFFFF"/>
            <w:noWrap/>
            <w:vAlign w:val="bottom"/>
            <w:hideMark/>
          </w:tcPr>
          <w:p w:rsidR="00895BD6" w:rsidRPr="00065913" w:rsidP="000C77BA" w14:paraId="2A6F3D68" w14:textId="77777777">
            <w:pPr>
              <w:ind w:left="432" w:firstLine="260" w:firstLineChars="200"/>
              <w:rPr>
                <w:sz w:val="13"/>
                <w:szCs w:val="13"/>
              </w:rPr>
            </w:pPr>
            <w:r w:rsidRPr="00065913">
              <w:rPr>
                <w:sz w:val="13"/>
                <w:szCs w:val="13"/>
              </w:rPr>
              <w:t>Unapportioned</w:t>
            </w:r>
            <w:r w:rsidRPr="00065913">
              <w:rPr>
                <w:sz w:val="13"/>
                <w:szCs w:val="13"/>
              </w:rPr>
              <w:t>, unexpired accounts</w:t>
            </w:r>
          </w:p>
        </w:tc>
        <w:tc>
          <w:tcPr>
            <w:tcW w:w="874" w:type="dxa"/>
            <w:tcBorders>
              <w:top w:val="nil"/>
              <w:left w:val="nil"/>
              <w:bottom w:val="nil"/>
              <w:right w:val="nil"/>
            </w:tcBorders>
            <w:shd w:val="clear" w:color="auto" w:fill="auto"/>
            <w:noWrap/>
            <w:vAlign w:val="bottom"/>
            <w:hideMark/>
          </w:tcPr>
          <w:p w:rsidR="00895BD6" w:rsidRPr="00065913" w:rsidP="00D85D5E" w14:paraId="0893910E" w14:textId="77777777">
            <w:pPr>
              <w:jc w:val="right"/>
              <w:rPr>
                <w:sz w:val="13"/>
                <w:szCs w:val="13"/>
              </w:rPr>
            </w:pPr>
            <w:r w:rsidRPr="00065913">
              <w:rPr>
                <w:sz w:val="13"/>
                <w:szCs w:val="13"/>
              </w:rPr>
              <w:t xml:space="preserve">             5 </w:t>
            </w:r>
          </w:p>
        </w:tc>
        <w:tc>
          <w:tcPr>
            <w:tcW w:w="874" w:type="dxa"/>
            <w:tcBorders>
              <w:top w:val="nil"/>
              <w:left w:val="nil"/>
              <w:bottom w:val="nil"/>
              <w:right w:val="nil"/>
            </w:tcBorders>
            <w:shd w:val="clear" w:color="000000" w:fill="FFFFFF"/>
            <w:noWrap/>
            <w:vAlign w:val="bottom"/>
            <w:hideMark/>
          </w:tcPr>
          <w:p w:rsidR="00895BD6" w:rsidRPr="00065913" w:rsidP="00D85D5E" w14:paraId="20308A7F" w14:textId="77777777">
            <w:pPr>
              <w:jc w:val="right"/>
              <w:rPr>
                <w:sz w:val="13"/>
                <w:szCs w:val="13"/>
              </w:rPr>
            </w:pPr>
            <w:r w:rsidRPr="00065913">
              <w:rPr>
                <w:sz w:val="13"/>
                <w:szCs w:val="13"/>
              </w:rPr>
              <w:t xml:space="preserve">              - </w:t>
            </w:r>
          </w:p>
        </w:tc>
        <w:tc>
          <w:tcPr>
            <w:tcW w:w="818" w:type="dxa"/>
            <w:tcBorders>
              <w:top w:val="nil"/>
              <w:left w:val="nil"/>
              <w:bottom w:val="nil"/>
              <w:right w:val="nil"/>
            </w:tcBorders>
            <w:shd w:val="clear" w:color="auto" w:fill="auto"/>
            <w:noWrap/>
            <w:vAlign w:val="bottom"/>
            <w:hideMark/>
          </w:tcPr>
          <w:p w:rsidR="00895BD6" w:rsidRPr="00065913" w:rsidP="00D85D5E" w14:paraId="013DFDC3" w14:textId="77777777">
            <w:pPr>
              <w:jc w:val="right"/>
              <w:rPr>
                <w:sz w:val="13"/>
                <w:szCs w:val="13"/>
              </w:rPr>
            </w:pPr>
            <w:r w:rsidRPr="00065913">
              <w:rPr>
                <w:sz w:val="13"/>
                <w:szCs w:val="13"/>
              </w:rPr>
              <w:t xml:space="preserve">              - </w:t>
            </w:r>
          </w:p>
        </w:tc>
        <w:tc>
          <w:tcPr>
            <w:tcW w:w="1080" w:type="dxa"/>
            <w:tcBorders>
              <w:top w:val="nil"/>
              <w:left w:val="nil"/>
              <w:bottom w:val="nil"/>
              <w:right w:val="nil"/>
            </w:tcBorders>
            <w:shd w:val="clear" w:color="000000" w:fill="FFFFFF"/>
            <w:noWrap/>
            <w:vAlign w:val="bottom"/>
            <w:hideMark/>
          </w:tcPr>
          <w:p w:rsidR="00895BD6" w:rsidRPr="00065913" w:rsidP="00D85D5E" w14:paraId="423CCA3A"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3126E93E"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3CCEAA1E"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5F611C62" w14:textId="77777777">
            <w:pPr>
              <w:jc w:val="right"/>
              <w:rPr>
                <w:sz w:val="13"/>
                <w:szCs w:val="13"/>
              </w:rPr>
            </w:pPr>
            <w:r w:rsidRPr="00065913">
              <w:rPr>
                <w:sz w:val="13"/>
                <w:szCs w:val="13"/>
              </w:rPr>
              <w:t xml:space="preserve">              - </w:t>
            </w:r>
          </w:p>
        </w:tc>
        <w:tc>
          <w:tcPr>
            <w:tcW w:w="951" w:type="dxa"/>
            <w:tcBorders>
              <w:top w:val="nil"/>
              <w:left w:val="nil"/>
              <w:bottom w:val="nil"/>
              <w:right w:val="nil"/>
            </w:tcBorders>
            <w:shd w:val="clear" w:color="000000" w:fill="FFFFFF"/>
            <w:noWrap/>
            <w:vAlign w:val="bottom"/>
            <w:hideMark/>
          </w:tcPr>
          <w:p w:rsidR="00895BD6" w:rsidRPr="00065913" w:rsidP="00D85D5E" w14:paraId="2B8AD37D" w14:textId="77777777">
            <w:pPr>
              <w:jc w:val="right"/>
              <w:rPr>
                <w:sz w:val="13"/>
                <w:szCs w:val="13"/>
              </w:rPr>
            </w:pPr>
            <w:r w:rsidRPr="00065913">
              <w:rPr>
                <w:sz w:val="13"/>
                <w:szCs w:val="13"/>
              </w:rPr>
              <w:t xml:space="preserve">                  - </w:t>
            </w:r>
          </w:p>
        </w:tc>
        <w:tc>
          <w:tcPr>
            <w:tcW w:w="810" w:type="dxa"/>
            <w:tcBorders>
              <w:top w:val="nil"/>
              <w:left w:val="nil"/>
              <w:bottom w:val="nil"/>
              <w:right w:val="nil"/>
            </w:tcBorders>
            <w:shd w:val="clear" w:color="000000" w:fill="FFFFFF"/>
            <w:noWrap/>
            <w:vAlign w:val="bottom"/>
            <w:hideMark/>
          </w:tcPr>
          <w:p w:rsidR="00895BD6" w:rsidRPr="00065913" w:rsidP="00D85D5E" w14:paraId="07E02DDE" w14:textId="77777777">
            <w:pPr>
              <w:jc w:val="right"/>
              <w:rPr>
                <w:sz w:val="13"/>
                <w:szCs w:val="13"/>
              </w:rPr>
            </w:pPr>
            <w:r w:rsidRPr="00065913">
              <w:rPr>
                <w:sz w:val="13"/>
                <w:szCs w:val="13"/>
              </w:rPr>
              <w:t xml:space="preserve">                - </w:t>
            </w:r>
          </w:p>
        </w:tc>
        <w:tc>
          <w:tcPr>
            <w:tcW w:w="720" w:type="dxa"/>
            <w:tcBorders>
              <w:top w:val="nil"/>
              <w:left w:val="nil"/>
              <w:bottom w:val="nil"/>
              <w:right w:val="nil"/>
            </w:tcBorders>
            <w:shd w:val="clear" w:color="auto" w:fill="auto"/>
            <w:noWrap/>
            <w:vAlign w:val="bottom"/>
            <w:hideMark/>
          </w:tcPr>
          <w:p w:rsidR="00895BD6" w:rsidRPr="00065913" w:rsidP="00D85D5E" w14:paraId="3E4C4DC1" w14:textId="77777777">
            <w:pPr>
              <w:jc w:val="right"/>
              <w:rPr>
                <w:sz w:val="13"/>
                <w:szCs w:val="13"/>
              </w:rPr>
            </w:pPr>
            <w:r w:rsidRPr="00065913">
              <w:rPr>
                <w:sz w:val="13"/>
                <w:szCs w:val="13"/>
              </w:rPr>
              <w:t xml:space="preserve">        29 </w:t>
            </w:r>
          </w:p>
        </w:tc>
        <w:tc>
          <w:tcPr>
            <w:tcW w:w="931" w:type="dxa"/>
            <w:tcBorders>
              <w:top w:val="nil"/>
              <w:left w:val="nil"/>
              <w:bottom w:val="nil"/>
              <w:right w:val="nil"/>
            </w:tcBorders>
            <w:shd w:val="clear" w:color="000000" w:fill="FFFFFF"/>
            <w:noWrap/>
            <w:vAlign w:val="bottom"/>
            <w:hideMark/>
          </w:tcPr>
          <w:p w:rsidR="00895BD6" w:rsidRPr="00065913" w:rsidP="00D85D5E" w14:paraId="104FB01F" w14:textId="77777777">
            <w:pPr>
              <w:jc w:val="right"/>
              <w:rPr>
                <w:sz w:val="13"/>
                <w:szCs w:val="13"/>
              </w:rPr>
            </w:pPr>
            <w:r w:rsidRPr="00065913">
              <w:rPr>
                <w:sz w:val="13"/>
                <w:szCs w:val="13"/>
              </w:rPr>
              <w:t xml:space="preserve">                34 </w:t>
            </w:r>
          </w:p>
        </w:tc>
      </w:tr>
      <w:tr w14:paraId="0DF98CB0" w14:textId="77777777" w:rsidTr="00D67677">
        <w:tblPrEx>
          <w:tblW w:w="4998" w:type="pct"/>
          <w:tblLayout w:type="fixed"/>
          <w:tblLook w:val="04A0"/>
        </w:tblPrEx>
        <w:trPr>
          <w:trHeight w:val="144"/>
        </w:trPr>
        <w:tc>
          <w:tcPr>
            <w:tcW w:w="3914" w:type="dxa"/>
            <w:tcBorders>
              <w:top w:val="nil"/>
              <w:left w:val="nil"/>
              <w:bottom w:val="nil"/>
              <w:right w:val="nil"/>
            </w:tcBorders>
            <w:shd w:val="clear" w:color="000000" w:fill="FFFFFF"/>
            <w:noWrap/>
            <w:vAlign w:val="bottom"/>
            <w:hideMark/>
          </w:tcPr>
          <w:p w:rsidR="00895BD6" w:rsidRPr="00065913" w:rsidP="000C77BA" w14:paraId="3B008E38" w14:textId="77777777">
            <w:pPr>
              <w:ind w:left="432" w:firstLine="260" w:firstLineChars="200"/>
              <w:rPr>
                <w:sz w:val="13"/>
                <w:szCs w:val="13"/>
              </w:rPr>
            </w:pPr>
            <w:r w:rsidRPr="00065913">
              <w:rPr>
                <w:sz w:val="13"/>
                <w:szCs w:val="13"/>
              </w:rPr>
              <w:t>Unexpired unobligated balance, end of year</w:t>
            </w:r>
          </w:p>
        </w:tc>
        <w:tc>
          <w:tcPr>
            <w:tcW w:w="874" w:type="dxa"/>
            <w:tcBorders>
              <w:top w:val="single" w:sz="4" w:space="0" w:color="auto"/>
              <w:left w:val="nil"/>
              <w:bottom w:val="nil"/>
              <w:right w:val="nil"/>
            </w:tcBorders>
            <w:shd w:val="clear" w:color="000000" w:fill="FFFFFF"/>
            <w:noWrap/>
            <w:vAlign w:val="bottom"/>
            <w:hideMark/>
          </w:tcPr>
          <w:p w:rsidR="00895BD6" w:rsidRPr="00065913" w:rsidP="00C23ECA" w14:paraId="1F5CCCFE" w14:textId="77777777">
            <w:pPr>
              <w:jc w:val="right"/>
              <w:rPr>
                <w:sz w:val="13"/>
                <w:szCs w:val="13"/>
              </w:rPr>
            </w:pPr>
            <w:r w:rsidRPr="00065913">
              <w:rPr>
                <w:sz w:val="13"/>
                <w:szCs w:val="13"/>
              </w:rPr>
              <w:t xml:space="preserve">   122,514 </w:t>
            </w:r>
          </w:p>
        </w:tc>
        <w:tc>
          <w:tcPr>
            <w:tcW w:w="874" w:type="dxa"/>
            <w:tcBorders>
              <w:top w:val="single" w:sz="4" w:space="0" w:color="auto"/>
              <w:left w:val="nil"/>
              <w:bottom w:val="nil"/>
              <w:right w:val="nil"/>
            </w:tcBorders>
            <w:shd w:val="clear" w:color="000000" w:fill="FFFFFF"/>
            <w:noWrap/>
            <w:vAlign w:val="bottom"/>
            <w:hideMark/>
          </w:tcPr>
          <w:p w:rsidR="00895BD6" w:rsidRPr="00065913" w:rsidP="00C23ECA" w14:paraId="4630ED29" w14:textId="77777777">
            <w:pPr>
              <w:jc w:val="right"/>
              <w:rPr>
                <w:sz w:val="13"/>
                <w:szCs w:val="13"/>
              </w:rPr>
            </w:pPr>
            <w:r w:rsidRPr="00065913">
              <w:rPr>
                <w:sz w:val="13"/>
                <w:szCs w:val="13"/>
              </w:rPr>
              <w:t xml:space="preserve">     28,788 </w:t>
            </w:r>
          </w:p>
        </w:tc>
        <w:tc>
          <w:tcPr>
            <w:tcW w:w="818" w:type="dxa"/>
            <w:tcBorders>
              <w:top w:val="single" w:sz="4" w:space="0" w:color="auto"/>
              <w:left w:val="nil"/>
              <w:bottom w:val="nil"/>
              <w:right w:val="nil"/>
            </w:tcBorders>
            <w:shd w:val="clear" w:color="000000" w:fill="FFFFFF"/>
            <w:noWrap/>
            <w:vAlign w:val="bottom"/>
            <w:hideMark/>
          </w:tcPr>
          <w:p w:rsidR="00895BD6" w:rsidRPr="00065913" w:rsidP="00C23ECA" w14:paraId="5E072345" w14:textId="77777777">
            <w:pPr>
              <w:jc w:val="right"/>
              <w:rPr>
                <w:sz w:val="13"/>
                <w:szCs w:val="13"/>
              </w:rPr>
            </w:pPr>
            <w:r w:rsidRPr="00065913">
              <w:rPr>
                <w:sz w:val="13"/>
                <w:szCs w:val="13"/>
              </w:rPr>
              <w:t xml:space="preserve">   166,159 </w:t>
            </w:r>
          </w:p>
        </w:tc>
        <w:tc>
          <w:tcPr>
            <w:tcW w:w="1080" w:type="dxa"/>
            <w:tcBorders>
              <w:top w:val="single" w:sz="4" w:space="0" w:color="auto"/>
              <w:left w:val="nil"/>
              <w:bottom w:val="nil"/>
              <w:right w:val="nil"/>
            </w:tcBorders>
            <w:shd w:val="clear" w:color="000000" w:fill="FFFFFF"/>
            <w:noWrap/>
            <w:vAlign w:val="bottom"/>
            <w:hideMark/>
          </w:tcPr>
          <w:p w:rsidR="00895BD6" w:rsidRPr="00065913" w:rsidP="00C23ECA" w14:paraId="52E1050D" w14:textId="77777777">
            <w:pPr>
              <w:jc w:val="right"/>
              <w:rPr>
                <w:sz w:val="13"/>
                <w:szCs w:val="13"/>
              </w:rPr>
            </w:pPr>
            <w:r w:rsidRPr="00065913">
              <w:rPr>
                <w:sz w:val="13"/>
                <w:szCs w:val="13"/>
              </w:rPr>
              <w:t xml:space="preserve">   2,292,443 </w:t>
            </w:r>
          </w:p>
        </w:tc>
        <w:tc>
          <w:tcPr>
            <w:tcW w:w="853" w:type="dxa"/>
            <w:tcBorders>
              <w:top w:val="single" w:sz="4" w:space="0" w:color="auto"/>
              <w:left w:val="nil"/>
              <w:bottom w:val="nil"/>
              <w:right w:val="nil"/>
            </w:tcBorders>
            <w:shd w:val="clear" w:color="000000" w:fill="FFFFFF"/>
            <w:noWrap/>
            <w:vAlign w:val="bottom"/>
            <w:hideMark/>
          </w:tcPr>
          <w:p w:rsidR="00895BD6" w:rsidRPr="00065913" w:rsidP="00C23ECA" w14:paraId="1D8BAEA6" w14:textId="77777777">
            <w:pPr>
              <w:jc w:val="right"/>
              <w:rPr>
                <w:sz w:val="13"/>
                <w:szCs w:val="13"/>
              </w:rPr>
            </w:pPr>
            <w:r w:rsidRPr="00065913">
              <w:rPr>
                <w:sz w:val="13"/>
                <w:szCs w:val="13"/>
              </w:rPr>
              <w:t xml:space="preserve">   1,893,182 </w:t>
            </w:r>
          </w:p>
        </w:tc>
        <w:tc>
          <w:tcPr>
            <w:tcW w:w="853" w:type="dxa"/>
            <w:tcBorders>
              <w:top w:val="single" w:sz="4" w:space="0" w:color="auto"/>
              <w:left w:val="nil"/>
              <w:bottom w:val="nil"/>
              <w:right w:val="nil"/>
            </w:tcBorders>
            <w:shd w:val="clear" w:color="000000" w:fill="FFFFFF"/>
            <w:noWrap/>
            <w:vAlign w:val="bottom"/>
            <w:hideMark/>
          </w:tcPr>
          <w:p w:rsidR="00895BD6" w:rsidRPr="00065913" w:rsidP="00C23ECA" w14:paraId="12B7D180" w14:textId="77777777">
            <w:pPr>
              <w:jc w:val="right"/>
              <w:rPr>
                <w:sz w:val="13"/>
                <w:szCs w:val="13"/>
              </w:rPr>
            </w:pPr>
            <w:r w:rsidRPr="00065913">
              <w:rPr>
                <w:sz w:val="13"/>
                <w:szCs w:val="13"/>
              </w:rPr>
              <w:t xml:space="preserve">   5,860,909 </w:t>
            </w:r>
          </w:p>
        </w:tc>
        <w:tc>
          <w:tcPr>
            <w:tcW w:w="853" w:type="dxa"/>
            <w:tcBorders>
              <w:top w:val="single" w:sz="4" w:space="0" w:color="auto"/>
              <w:left w:val="nil"/>
              <w:bottom w:val="nil"/>
              <w:right w:val="nil"/>
            </w:tcBorders>
            <w:shd w:val="clear" w:color="000000" w:fill="FFFFFF"/>
            <w:noWrap/>
            <w:vAlign w:val="bottom"/>
            <w:hideMark/>
          </w:tcPr>
          <w:p w:rsidR="00895BD6" w:rsidRPr="00065913" w:rsidP="00C23ECA" w14:paraId="30ECE202" w14:textId="77777777">
            <w:pPr>
              <w:jc w:val="right"/>
              <w:rPr>
                <w:sz w:val="13"/>
                <w:szCs w:val="13"/>
              </w:rPr>
            </w:pPr>
            <w:r w:rsidRPr="00065913">
              <w:rPr>
                <w:sz w:val="13"/>
                <w:szCs w:val="13"/>
              </w:rPr>
              <w:t xml:space="preserve">   654,790 </w:t>
            </w:r>
          </w:p>
        </w:tc>
        <w:tc>
          <w:tcPr>
            <w:tcW w:w="951" w:type="dxa"/>
            <w:tcBorders>
              <w:top w:val="single" w:sz="4" w:space="0" w:color="auto"/>
              <w:left w:val="nil"/>
              <w:bottom w:val="nil"/>
              <w:right w:val="nil"/>
            </w:tcBorders>
            <w:shd w:val="clear" w:color="auto" w:fill="auto"/>
            <w:noWrap/>
            <w:vAlign w:val="bottom"/>
            <w:hideMark/>
          </w:tcPr>
          <w:p w:rsidR="00895BD6" w:rsidRPr="00065913" w:rsidP="00C23ECA" w14:paraId="0AA73DA6" w14:textId="77777777">
            <w:pPr>
              <w:jc w:val="right"/>
              <w:rPr>
                <w:sz w:val="13"/>
                <w:szCs w:val="13"/>
              </w:rPr>
            </w:pPr>
            <w:r w:rsidRPr="00065913">
              <w:rPr>
                <w:sz w:val="13"/>
                <w:szCs w:val="13"/>
              </w:rPr>
              <w:t xml:space="preserve">   (8,870,348)</w:t>
            </w:r>
          </w:p>
        </w:tc>
        <w:tc>
          <w:tcPr>
            <w:tcW w:w="810" w:type="dxa"/>
            <w:tcBorders>
              <w:top w:val="single" w:sz="4" w:space="0" w:color="auto"/>
              <w:left w:val="nil"/>
              <w:bottom w:val="nil"/>
              <w:right w:val="nil"/>
            </w:tcBorders>
            <w:shd w:val="clear" w:color="auto" w:fill="auto"/>
            <w:noWrap/>
            <w:vAlign w:val="bottom"/>
            <w:hideMark/>
          </w:tcPr>
          <w:p w:rsidR="00895BD6" w:rsidRPr="00065913" w:rsidP="00B910D2" w14:paraId="4CF4B164" w14:textId="008B738D">
            <w:pPr>
              <w:jc w:val="right"/>
              <w:rPr>
                <w:sz w:val="13"/>
                <w:szCs w:val="13"/>
              </w:rPr>
            </w:pPr>
            <w:r w:rsidRPr="00065913">
              <w:rPr>
                <w:sz w:val="13"/>
                <w:szCs w:val="13"/>
              </w:rPr>
              <w:t xml:space="preserve">463,565 </w:t>
            </w:r>
          </w:p>
        </w:tc>
        <w:tc>
          <w:tcPr>
            <w:tcW w:w="720" w:type="dxa"/>
            <w:tcBorders>
              <w:top w:val="single" w:sz="4" w:space="0" w:color="auto"/>
              <w:left w:val="nil"/>
              <w:bottom w:val="nil"/>
              <w:right w:val="nil"/>
            </w:tcBorders>
            <w:shd w:val="clear" w:color="000000" w:fill="FFFFFF"/>
            <w:noWrap/>
            <w:vAlign w:val="bottom"/>
            <w:hideMark/>
          </w:tcPr>
          <w:p w:rsidR="00895BD6" w:rsidRPr="00065913" w:rsidP="00C23ECA" w14:paraId="624629FC" w14:textId="77777777">
            <w:pPr>
              <w:jc w:val="right"/>
              <w:rPr>
                <w:sz w:val="13"/>
                <w:szCs w:val="13"/>
              </w:rPr>
            </w:pPr>
            <w:r w:rsidRPr="00065913">
              <w:rPr>
                <w:sz w:val="13"/>
                <w:szCs w:val="13"/>
              </w:rPr>
              <w:t xml:space="preserve">   2,845 </w:t>
            </w:r>
          </w:p>
        </w:tc>
        <w:tc>
          <w:tcPr>
            <w:tcW w:w="931" w:type="dxa"/>
            <w:tcBorders>
              <w:top w:val="single" w:sz="4" w:space="0" w:color="auto"/>
              <w:left w:val="nil"/>
              <w:bottom w:val="nil"/>
              <w:right w:val="nil"/>
            </w:tcBorders>
            <w:shd w:val="clear" w:color="000000" w:fill="FFFFFF"/>
            <w:noWrap/>
            <w:vAlign w:val="bottom"/>
            <w:hideMark/>
          </w:tcPr>
          <w:p w:rsidR="00895BD6" w:rsidRPr="00065913" w:rsidP="00C23ECA" w14:paraId="38C58E86" w14:textId="77777777">
            <w:pPr>
              <w:jc w:val="right"/>
              <w:rPr>
                <w:sz w:val="13"/>
                <w:szCs w:val="13"/>
              </w:rPr>
            </w:pPr>
            <w:r w:rsidRPr="00065913">
              <w:rPr>
                <w:sz w:val="13"/>
                <w:szCs w:val="13"/>
              </w:rPr>
              <w:t xml:space="preserve">     2,614,847 </w:t>
            </w:r>
          </w:p>
        </w:tc>
      </w:tr>
      <w:tr w14:paraId="69485C29" w14:textId="77777777" w:rsidTr="00D67677">
        <w:tblPrEx>
          <w:tblW w:w="4998" w:type="pct"/>
          <w:tblLayout w:type="fixed"/>
          <w:tblLook w:val="04A0"/>
        </w:tblPrEx>
        <w:trPr>
          <w:trHeight w:val="144"/>
        </w:trPr>
        <w:tc>
          <w:tcPr>
            <w:tcW w:w="3914" w:type="dxa"/>
            <w:tcBorders>
              <w:top w:val="nil"/>
              <w:left w:val="nil"/>
              <w:bottom w:val="nil"/>
              <w:right w:val="nil"/>
            </w:tcBorders>
            <w:shd w:val="clear" w:color="000000" w:fill="FFFFFF"/>
            <w:noWrap/>
            <w:vAlign w:val="bottom"/>
            <w:hideMark/>
          </w:tcPr>
          <w:p w:rsidR="00895BD6" w:rsidRPr="00065913" w:rsidP="000C77BA" w14:paraId="71C9E061" w14:textId="77777777">
            <w:pPr>
              <w:ind w:left="432" w:firstLine="260" w:firstLineChars="200"/>
              <w:rPr>
                <w:sz w:val="13"/>
                <w:szCs w:val="13"/>
              </w:rPr>
            </w:pPr>
            <w:r w:rsidRPr="00065913">
              <w:rPr>
                <w:sz w:val="13"/>
                <w:szCs w:val="13"/>
              </w:rPr>
              <w:t>Expired unobligated balance, end of year</w:t>
            </w:r>
          </w:p>
        </w:tc>
        <w:tc>
          <w:tcPr>
            <w:tcW w:w="874" w:type="dxa"/>
            <w:tcBorders>
              <w:top w:val="nil"/>
              <w:left w:val="nil"/>
              <w:bottom w:val="nil"/>
              <w:right w:val="nil"/>
            </w:tcBorders>
            <w:shd w:val="clear" w:color="000000" w:fill="FFFFFF"/>
            <w:noWrap/>
            <w:vAlign w:val="bottom"/>
            <w:hideMark/>
          </w:tcPr>
          <w:p w:rsidR="00895BD6" w:rsidRPr="00065913" w:rsidP="00D85D5E" w14:paraId="68B1E04C" w14:textId="77777777">
            <w:pPr>
              <w:jc w:val="right"/>
              <w:rPr>
                <w:sz w:val="13"/>
                <w:szCs w:val="13"/>
              </w:rPr>
            </w:pPr>
            <w:r w:rsidRPr="00065913">
              <w:rPr>
                <w:sz w:val="13"/>
                <w:szCs w:val="13"/>
              </w:rPr>
              <w:t xml:space="preserve">          237 </w:t>
            </w:r>
          </w:p>
        </w:tc>
        <w:tc>
          <w:tcPr>
            <w:tcW w:w="874" w:type="dxa"/>
            <w:tcBorders>
              <w:top w:val="nil"/>
              <w:left w:val="nil"/>
              <w:bottom w:val="nil"/>
              <w:right w:val="nil"/>
            </w:tcBorders>
            <w:shd w:val="clear" w:color="000000" w:fill="FFFFFF"/>
            <w:noWrap/>
            <w:vAlign w:val="bottom"/>
            <w:hideMark/>
          </w:tcPr>
          <w:p w:rsidR="00895BD6" w:rsidRPr="00065913" w:rsidP="00D85D5E" w14:paraId="0AF6B594" w14:textId="77777777">
            <w:pPr>
              <w:jc w:val="right"/>
              <w:rPr>
                <w:sz w:val="13"/>
                <w:szCs w:val="13"/>
              </w:rPr>
            </w:pPr>
            <w:r w:rsidRPr="00065913">
              <w:rPr>
                <w:sz w:val="13"/>
                <w:szCs w:val="13"/>
              </w:rPr>
              <w:t xml:space="preserve">              - </w:t>
            </w:r>
          </w:p>
        </w:tc>
        <w:tc>
          <w:tcPr>
            <w:tcW w:w="818" w:type="dxa"/>
            <w:tcBorders>
              <w:top w:val="nil"/>
              <w:left w:val="nil"/>
              <w:bottom w:val="nil"/>
              <w:right w:val="nil"/>
            </w:tcBorders>
            <w:shd w:val="clear" w:color="000000" w:fill="FFFFFF"/>
            <w:noWrap/>
            <w:vAlign w:val="bottom"/>
            <w:hideMark/>
          </w:tcPr>
          <w:p w:rsidR="00895BD6" w:rsidRPr="00065913" w:rsidP="00D85D5E" w14:paraId="35A0ACCF" w14:textId="77777777">
            <w:pPr>
              <w:jc w:val="right"/>
              <w:rPr>
                <w:sz w:val="13"/>
                <w:szCs w:val="13"/>
              </w:rPr>
            </w:pPr>
            <w:r w:rsidRPr="00065913">
              <w:rPr>
                <w:sz w:val="13"/>
                <w:szCs w:val="13"/>
              </w:rPr>
              <w:t xml:space="preserve">              - </w:t>
            </w:r>
          </w:p>
        </w:tc>
        <w:tc>
          <w:tcPr>
            <w:tcW w:w="1080" w:type="dxa"/>
            <w:tcBorders>
              <w:top w:val="nil"/>
              <w:left w:val="nil"/>
              <w:bottom w:val="nil"/>
              <w:right w:val="nil"/>
            </w:tcBorders>
            <w:shd w:val="clear" w:color="000000" w:fill="FFFFFF"/>
            <w:noWrap/>
            <w:vAlign w:val="bottom"/>
            <w:hideMark/>
          </w:tcPr>
          <w:p w:rsidR="00895BD6" w:rsidRPr="00065913" w:rsidP="00D85D5E" w14:paraId="701243F5"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07C60824"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5333038D"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671C1415" w14:textId="77777777">
            <w:pPr>
              <w:jc w:val="right"/>
              <w:rPr>
                <w:sz w:val="13"/>
                <w:szCs w:val="13"/>
              </w:rPr>
            </w:pPr>
            <w:r w:rsidRPr="00065913">
              <w:rPr>
                <w:sz w:val="13"/>
                <w:szCs w:val="13"/>
              </w:rPr>
              <w:t xml:space="preserve">              - </w:t>
            </w:r>
          </w:p>
        </w:tc>
        <w:tc>
          <w:tcPr>
            <w:tcW w:w="951" w:type="dxa"/>
            <w:tcBorders>
              <w:top w:val="nil"/>
              <w:left w:val="nil"/>
              <w:bottom w:val="nil"/>
              <w:right w:val="nil"/>
            </w:tcBorders>
            <w:shd w:val="clear" w:color="000000" w:fill="FFFFFF"/>
            <w:noWrap/>
            <w:vAlign w:val="bottom"/>
            <w:hideMark/>
          </w:tcPr>
          <w:p w:rsidR="00895BD6" w:rsidRPr="00065913" w:rsidP="00D85D5E" w14:paraId="3B3B5DFE" w14:textId="77777777">
            <w:pPr>
              <w:jc w:val="right"/>
              <w:rPr>
                <w:sz w:val="13"/>
                <w:szCs w:val="13"/>
              </w:rPr>
            </w:pPr>
            <w:r w:rsidRPr="00065913">
              <w:rPr>
                <w:sz w:val="13"/>
                <w:szCs w:val="13"/>
              </w:rPr>
              <w:t xml:space="preserve">                  - </w:t>
            </w:r>
          </w:p>
        </w:tc>
        <w:tc>
          <w:tcPr>
            <w:tcW w:w="810" w:type="dxa"/>
            <w:tcBorders>
              <w:top w:val="nil"/>
              <w:left w:val="nil"/>
              <w:bottom w:val="nil"/>
              <w:right w:val="nil"/>
            </w:tcBorders>
            <w:shd w:val="clear" w:color="000000" w:fill="FFFFFF"/>
            <w:noWrap/>
            <w:vAlign w:val="bottom"/>
            <w:hideMark/>
          </w:tcPr>
          <w:p w:rsidR="00895BD6" w:rsidRPr="00065913" w:rsidP="00D85D5E" w14:paraId="6F91B67B" w14:textId="77777777">
            <w:pPr>
              <w:jc w:val="right"/>
              <w:rPr>
                <w:sz w:val="13"/>
                <w:szCs w:val="13"/>
              </w:rPr>
            </w:pPr>
            <w:r w:rsidRPr="00065913">
              <w:rPr>
                <w:sz w:val="13"/>
                <w:szCs w:val="13"/>
              </w:rPr>
              <w:t xml:space="preserve">                - </w:t>
            </w:r>
          </w:p>
        </w:tc>
        <w:tc>
          <w:tcPr>
            <w:tcW w:w="720" w:type="dxa"/>
            <w:tcBorders>
              <w:top w:val="nil"/>
              <w:left w:val="nil"/>
              <w:bottom w:val="nil"/>
              <w:right w:val="nil"/>
            </w:tcBorders>
            <w:shd w:val="clear" w:color="000000" w:fill="FFFFFF"/>
            <w:noWrap/>
            <w:vAlign w:val="bottom"/>
            <w:hideMark/>
          </w:tcPr>
          <w:p w:rsidR="00895BD6" w:rsidRPr="00065913" w:rsidP="00D85D5E" w14:paraId="44128B63" w14:textId="77777777">
            <w:pPr>
              <w:jc w:val="right"/>
              <w:rPr>
                <w:sz w:val="13"/>
                <w:szCs w:val="13"/>
              </w:rPr>
            </w:pPr>
            <w:r w:rsidRPr="00065913">
              <w:rPr>
                <w:sz w:val="13"/>
                <w:szCs w:val="13"/>
              </w:rPr>
              <w:t xml:space="preserve">          - </w:t>
            </w:r>
          </w:p>
        </w:tc>
        <w:tc>
          <w:tcPr>
            <w:tcW w:w="931" w:type="dxa"/>
            <w:tcBorders>
              <w:top w:val="nil"/>
              <w:left w:val="nil"/>
              <w:bottom w:val="single" w:sz="4" w:space="0" w:color="auto"/>
              <w:right w:val="nil"/>
            </w:tcBorders>
            <w:shd w:val="clear" w:color="000000" w:fill="FFFFFF"/>
            <w:noWrap/>
            <w:vAlign w:val="bottom"/>
            <w:hideMark/>
          </w:tcPr>
          <w:p w:rsidR="00895BD6" w:rsidRPr="00065913" w:rsidP="00D85D5E" w14:paraId="167A34CD" w14:textId="77777777">
            <w:pPr>
              <w:jc w:val="right"/>
              <w:rPr>
                <w:sz w:val="13"/>
                <w:szCs w:val="13"/>
              </w:rPr>
            </w:pPr>
            <w:r w:rsidRPr="00065913">
              <w:rPr>
                <w:sz w:val="13"/>
                <w:szCs w:val="13"/>
              </w:rPr>
              <w:t xml:space="preserve">              237 </w:t>
            </w:r>
          </w:p>
        </w:tc>
      </w:tr>
      <w:tr w14:paraId="63861B93" w14:textId="77777777" w:rsidTr="00D67677">
        <w:tblPrEx>
          <w:tblW w:w="4998" w:type="pct"/>
          <w:tblLayout w:type="fixed"/>
          <w:tblLook w:val="04A0"/>
        </w:tblPrEx>
        <w:trPr>
          <w:trHeight w:val="144"/>
        </w:trPr>
        <w:tc>
          <w:tcPr>
            <w:tcW w:w="3914" w:type="dxa"/>
            <w:tcBorders>
              <w:top w:val="nil"/>
              <w:left w:val="nil"/>
              <w:bottom w:val="nil"/>
              <w:right w:val="nil"/>
            </w:tcBorders>
            <w:shd w:val="clear" w:color="000000" w:fill="FFFFFF"/>
            <w:noWrap/>
            <w:vAlign w:val="bottom"/>
            <w:hideMark/>
          </w:tcPr>
          <w:p w:rsidR="00895BD6" w:rsidRPr="00065913" w:rsidP="000C77BA" w14:paraId="7EC425D7" w14:textId="77777777">
            <w:pPr>
              <w:ind w:left="432"/>
              <w:rPr>
                <w:sz w:val="13"/>
                <w:szCs w:val="13"/>
              </w:rPr>
            </w:pPr>
            <w:r w:rsidRPr="00065913">
              <w:rPr>
                <w:sz w:val="13"/>
                <w:szCs w:val="13"/>
              </w:rPr>
              <w:t>Unobligated balance, end of year (total)</w:t>
            </w:r>
          </w:p>
        </w:tc>
        <w:tc>
          <w:tcPr>
            <w:tcW w:w="874" w:type="dxa"/>
            <w:tcBorders>
              <w:top w:val="single" w:sz="4" w:space="0" w:color="auto"/>
              <w:left w:val="nil"/>
              <w:bottom w:val="single" w:sz="4" w:space="0" w:color="auto"/>
              <w:right w:val="nil"/>
            </w:tcBorders>
            <w:shd w:val="clear" w:color="000000" w:fill="FFFFFF"/>
            <w:noWrap/>
            <w:vAlign w:val="bottom"/>
            <w:hideMark/>
          </w:tcPr>
          <w:p w:rsidR="00895BD6" w:rsidRPr="00065913" w:rsidP="00D85D5E" w14:paraId="45ECB466" w14:textId="77777777">
            <w:pPr>
              <w:jc w:val="right"/>
              <w:rPr>
                <w:sz w:val="13"/>
                <w:szCs w:val="13"/>
              </w:rPr>
            </w:pPr>
            <w:r w:rsidRPr="00065913">
              <w:rPr>
                <w:sz w:val="13"/>
                <w:szCs w:val="13"/>
              </w:rPr>
              <w:t xml:space="preserve">   122,751 </w:t>
            </w:r>
          </w:p>
        </w:tc>
        <w:tc>
          <w:tcPr>
            <w:tcW w:w="874" w:type="dxa"/>
            <w:tcBorders>
              <w:top w:val="single" w:sz="4" w:space="0" w:color="auto"/>
              <w:left w:val="nil"/>
              <w:bottom w:val="single" w:sz="4" w:space="0" w:color="auto"/>
              <w:right w:val="nil"/>
            </w:tcBorders>
            <w:shd w:val="clear" w:color="000000" w:fill="FFFFFF"/>
            <w:noWrap/>
            <w:vAlign w:val="bottom"/>
            <w:hideMark/>
          </w:tcPr>
          <w:p w:rsidR="00895BD6" w:rsidRPr="00065913" w:rsidP="00D85D5E" w14:paraId="24D17A4F" w14:textId="77777777">
            <w:pPr>
              <w:jc w:val="right"/>
              <w:rPr>
                <w:sz w:val="13"/>
                <w:szCs w:val="13"/>
              </w:rPr>
            </w:pPr>
            <w:r w:rsidRPr="00065913">
              <w:rPr>
                <w:sz w:val="13"/>
                <w:szCs w:val="13"/>
              </w:rPr>
              <w:t xml:space="preserve">     28,788 </w:t>
            </w:r>
          </w:p>
        </w:tc>
        <w:tc>
          <w:tcPr>
            <w:tcW w:w="818" w:type="dxa"/>
            <w:tcBorders>
              <w:top w:val="single" w:sz="4" w:space="0" w:color="auto"/>
              <w:left w:val="nil"/>
              <w:bottom w:val="single" w:sz="4" w:space="0" w:color="auto"/>
              <w:right w:val="nil"/>
            </w:tcBorders>
            <w:shd w:val="clear" w:color="000000" w:fill="FFFFFF"/>
            <w:noWrap/>
            <w:vAlign w:val="bottom"/>
            <w:hideMark/>
          </w:tcPr>
          <w:p w:rsidR="00895BD6" w:rsidRPr="00065913" w:rsidP="00D85D5E" w14:paraId="134DE698" w14:textId="77777777">
            <w:pPr>
              <w:jc w:val="right"/>
              <w:rPr>
                <w:sz w:val="13"/>
                <w:szCs w:val="13"/>
              </w:rPr>
            </w:pPr>
            <w:r w:rsidRPr="00065913">
              <w:rPr>
                <w:sz w:val="13"/>
                <w:szCs w:val="13"/>
              </w:rPr>
              <w:t xml:space="preserve">   166,159 </w:t>
            </w:r>
          </w:p>
        </w:tc>
        <w:tc>
          <w:tcPr>
            <w:tcW w:w="1080" w:type="dxa"/>
            <w:tcBorders>
              <w:top w:val="single" w:sz="4" w:space="0" w:color="auto"/>
              <w:left w:val="nil"/>
              <w:bottom w:val="single" w:sz="4" w:space="0" w:color="auto"/>
              <w:right w:val="nil"/>
            </w:tcBorders>
            <w:shd w:val="clear" w:color="000000" w:fill="FFFFFF"/>
            <w:noWrap/>
            <w:vAlign w:val="bottom"/>
            <w:hideMark/>
          </w:tcPr>
          <w:p w:rsidR="00895BD6" w:rsidRPr="00065913" w:rsidP="00D85D5E" w14:paraId="2E940A0B" w14:textId="77777777">
            <w:pPr>
              <w:jc w:val="right"/>
              <w:rPr>
                <w:sz w:val="13"/>
                <w:szCs w:val="13"/>
              </w:rPr>
            </w:pPr>
            <w:r w:rsidRPr="00065913">
              <w:rPr>
                <w:sz w:val="13"/>
                <w:szCs w:val="13"/>
              </w:rPr>
              <w:t xml:space="preserve">   2,292,443 </w:t>
            </w:r>
          </w:p>
        </w:tc>
        <w:tc>
          <w:tcPr>
            <w:tcW w:w="853" w:type="dxa"/>
            <w:tcBorders>
              <w:top w:val="single" w:sz="4" w:space="0" w:color="auto"/>
              <w:left w:val="nil"/>
              <w:bottom w:val="single" w:sz="4" w:space="0" w:color="auto"/>
              <w:right w:val="nil"/>
            </w:tcBorders>
            <w:shd w:val="clear" w:color="000000" w:fill="FFFFFF"/>
            <w:noWrap/>
            <w:vAlign w:val="bottom"/>
            <w:hideMark/>
          </w:tcPr>
          <w:p w:rsidR="00895BD6" w:rsidRPr="00065913" w:rsidP="00D85D5E" w14:paraId="00522403" w14:textId="77777777">
            <w:pPr>
              <w:jc w:val="right"/>
              <w:rPr>
                <w:sz w:val="13"/>
                <w:szCs w:val="13"/>
              </w:rPr>
            </w:pPr>
            <w:r w:rsidRPr="00065913">
              <w:rPr>
                <w:sz w:val="13"/>
                <w:szCs w:val="13"/>
              </w:rPr>
              <w:t xml:space="preserve">   1,893,182 </w:t>
            </w:r>
          </w:p>
        </w:tc>
        <w:tc>
          <w:tcPr>
            <w:tcW w:w="853" w:type="dxa"/>
            <w:tcBorders>
              <w:top w:val="single" w:sz="4" w:space="0" w:color="auto"/>
              <w:left w:val="nil"/>
              <w:bottom w:val="single" w:sz="4" w:space="0" w:color="auto"/>
              <w:right w:val="nil"/>
            </w:tcBorders>
            <w:shd w:val="clear" w:color="000000" w:fill="FFFFFF"/>
            <w:noWrap/>
            <w:vAlign w:val="bottom"/>
            <w:hideMark/>
          </w:tcPr>
          <w:p w:rsidR="00895BD6" w:rsidRPr="00065913" w:rsidP="00D85D5E" w14:paraId="6A3C3CA9" w14:textId="77777777">
            <w:pPr>
              <w:jc w:val="right"/>
              <w:rPr>
                <w:sz w:val="13"/>
                <w:szCs w:val="13"/>
              </w:rPr>
            </w:pPr>
            <w:r w:rsidRPr="00065913">
              <w:rPr>
                <w:sz w:val="13"/>
                <w:szCs w:val="13"/>
              </w:rPr>
              <w:t xml:space="preserve">   5,860,909 </w:t>
            </w:r>
          </w:p>
        </w:tc>
        <w:tc>
          <w:tcPr>
            <w:tcW w:w="853" w:type="dxa"/>
            <w:tcBorders>
              <w:top w:val="single" w:sz="4" w:space="0" w:color="auto"/>
              <w:left w:val="nil"/>
              <w:bottom w:val="single" w:sz="4" w:space="0" w:color="auto"/>
              <w:right w:val="nil"/>
            </w:tcBorders>
            <w:shd w:val="clear" w:color="000000" w:fill="FFFFFF"/>
            <w:noWrap/>
            <w:vAlign w:val="bottom"/>
            <w:hideMark/>
          </w:tcPr>
          <w:p w:rsidR="00895BD6" w:rsidRPr="00065913" w:rsidP="00D85D5E" w14:paraId="23F01ABB" w14:textId="77777777">
            <w:pPr>
              <w:jc w:val="right"/>
              <w:rPr>
                <w:sz w:val="13"/>
                <w:szCs w:val="13"/>
              </w:rPr>
            </w:pPr>
            <w:r w:rsidRPr="00065913">
              <w:rPr>
                <w:sz w:val="13"/>
                <w:szCs w:val="13"/>
              </w:rPr>
              <w:t xml:space="preserve">   654,790 </w:t>
            </w:r>
          </w:p>
        </w:tc>
        <w:tc>
          <w:tcPr>
            <w:tcW w:w="951" w:type="dxa"/>
            <w:tcBorders>
              <w:top w:val="single" w:sz="4" w:space="0" w:color="auto"/>
              <w:left w:val="nil"/>
              <w:bottom w:val="single" w:sz="4" w:space="0" w:color="auto"/>
              <w:right w:val="nil"/>
            </w:tcBorders>
            <w:shd w:val="clear" w:color="auto" w:fill="auto"/>
            <w:noWrap/>
            <w:vAlign w:val="bottom"/>
            <w:hideMark/>
          </w:tcPr>
          <w:p w:rsidR="00895BD6" w:rsidRPr="00065913" w:rsidP="00D85D5E" w14:paraId="4D3E390C" w14:textId="77777777">
            <w:pPr>
              <w:jc w:val="right"/>
              <w:rPr>
                <w:sz w:val="13"/>
                <w:szCs w:val="13"/>
              </w:rPr>
            </w:pPr>
            <w:r w:rsidRPr="00065913">
              <w:rPr>
                <w:sz w:val="13"/>
                <w:szCs w:val="13"/>
              </w:rPr>
              <w:t xml:space="preserve">   (8,870,348)</w:t>
            </w:r>
          </w:p>
        </w:tc>
        <w:tc>
          <w:tcPr>
            <w:tcW w:w="810" w:type="dxa"/>
            <w:tcBorders>
              <w:top w:val="single" w:sz="4" w:space="0" w:color="auto"/>
              <w:left w:val="nil"/>
              <w:bottom w:val="single" w:sz="4" w:space="0" w:color="auto"/>
              <w:right w:val="nil"/>
            </w:tcBorders>
            <w:shd w:val="clear" w:color="auto" w:fill="auto"/>
            <w:noWrap/>
            <w:vAlign w:val="bottom"/>
            <w:hideMark/>
          </w:tcPr>
          <w:p w:rsidR="00895BD6" w:rsidRPr="00065913" w:rsidP="00AE22C1" w14:paraId="671F5547" w14:textId="2DF64C9C">
            <w:pPr>
              <w:jc w:val="right"/>
              <w:rPr>
                <w:sz w:val="13"/>
                <w:szCs w:val="13"/>
              </w:rPr>
            </w:pPr>
            <w:r w:rsidRPr="00065913">
              <w:rPr>
                <w:sz w:val="13"/>
                <w:szCs w:val="13"/>
              </w:rPr>
              <w:t xml:space="preserve">463,565 </w:t>
            </w:r>
          </w:p>
        </w:tc>
        <w:tc>
          <w:tcPr>
            <w:tcW w:w="720" w:type="dxa"/>
            <w:tcBorders>
              <w:top w:val="single" w:sz="4" w:space="0" w:color="auto"/>
              <w:left w:val="nil"/>
              <w:bottom w:val="single" w:sz="4" w:space="0" w:color="auto"/>
              <w:right w:val="nil"/>
            </w:tcBorders>
            <w:shd w:val="clear" w:color="000000" w:fill="FFFFFF"/>
            <w:noWrap/>
            <w:vAlign w:val="bottom"/>
            <w:hideMark/>
          </w:tcPr>
          <w:p w:rsidR="00895BD6" w:rsidRPr="00065913" w:rsidP="00D85D5E" w14:paraId="38176F6B" w14:textId="77777777">
            <w:pPr>
              <w:jc w:val="right"/>
              <w:rPr>
                <w:sz w:val="13"/>
                <w:szCs w:val="13"/>
              </w:rPr>
            </w:pPr>
            <w:r w:rsidRPr="00065913">
              <w:rPr>
                <w:sz w:val="13"/>
                <w:szCs w:val="13"/>
              </w:rPr>
              <w:t xml:space="preserve">   2,845 </w:t>
            </w:r>
          </w:p>
        </w:tc>
        <w:tc>
          <w:tcPr>
            <w:tcW w:w="931" w:type="dxa"/>
            <w:tcBorders>
              <w:top w:val="single" w:sz="4" w:space="0" w:color="auto"/>
              <w:left w:val="nil"/>
              <w:bottom w:val="single" w:sz="4" w:space="0" w:color="auto"/>
              <w:right w:val="nil"/>
            </w:tcBorders>
            <w:shd w:val="clear" w:color="000000" w:fill="FFFFFF"/>
            <w:noWrap/>
            <w:vAlign w:val="bottom"/>
            <w:hideMark/>
          </w:tcPr>
          <w:p w:rsidR="00895BD6" w:rsidRPr="00065913" w:rsidP="00D85D5E" w14:paraId="761A218D" w14:textId="77777777">
            <w:pPr>
              <w:jc w:val="right"/>
              <w:rPr>
                <w:sz w:val="13"/>
                <w:szCs w:val="13"/>
              </w:rPr>
            </w:pPr>
            <w:r w:rsidRPr="00065913">
              <w:rPr>
                <w:sz w:val="13"/>
                <w:szCs w:val="13"/>
              </w:rPr>
              <w:t xml:space="preserve">     2,615,084 </w:t>
            </w:r>
          </w:p>
        </w:tc>
      </w:tr>
      <w:tr w14:paraId="37A3912A" w14:textId="77777777" w:rsidTr="00D67677">
        <w:tblPrEx>
          <w:tblW w:w="4998" w:type="pct"/>
          <w:tblLayout w:type="fixed"/>
          <w:tblLook w:val="04A0"/>
        </w:tblPrEx>
        <w:trPr>
          <w:trHeight w:val="144"/>
        </w:trPr>
        <w:tc>
          <w:tcPr>
            <w:tcW w:w="3914" w:type="dxa"/>
            <w:tcBorders>
              <w:top w:val="nil"/>
              <w:left w:val="nil"/>
              <w:bottom w:val="nil"/>
              <w:right w:val="nil"/>
            </w:tcBorders>
            <w:shd w:val="clear" w:color="000000" w:fill="FFFFFF"/>
            <w:noWrap/>
            <w:vAlign w:val="bottom"/>
            <w:hideMark/>
          </w:tcPr>
          <w:p w:rsidR="00895BD6" w:rsidRPr="00065913" w:rsidP="000C77BA" w14:paraId="747B117A" w14:textId="77777777">
            <w:pPr>
              <w:ind w:left="432"/>
              <w:rPr>
                <w:sz w:val="13"/>
                <w:szCs w:val="13"/>
              </w:rPr>
            </w:pPr>
            <w:r w:rsidRPr="00065913">
              <w:rPr>
                <w:sz w:val="13"/>
                <w:szCs w:val="13"/>
              </w:rPr>
              <w:t>Total status of budgetary resources</w:t>
            </w:r>
          </w:p>
        </w:tc>
        <w:tc>
          <w:tcPr>
            <w:tcW w:w="874"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305A7DEA" w14:textId="39E0F67C">
            <w:pPr>
              <w:jc w:val="right"/>
              <w:rPr>
                <w:sz w:val="13"/>
                <w:szCs w:val="13"/>
              </w:rPr>
            </w:pPr>
            <w:r w:rsidRPr="00065913">
              <w:rPr>
                <w:sz w:val="13"/>
                <w:szCs w:val="13"/>
              </w:rPr>
              <w:t>$</w:t>
            </w:r>
            <w:r w:rsidR="00F15846">
              <w:rPr>
                <w:sz w:val="13"/>
                <w:szCs w:val="13"/>
              </w:rPr>
              <w:t xml:space="preserve">     </w:t>
            </w:r>
            <w:r w:rsidRPr="00065913">
              <w:rPr>
                <w:sz w:val="13"/>
                <w:szCs w:val="13"/>
              </w:rPr>
              <w:t xml:space="preserve">479,062 </w:t>
            </w:r>
          </w:p>
        </w:tc>
        <w:tc>
          <w:tcPr>
            <w:tcW w:w="874"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1A9D58F2" w14:textId="7B89BD59">
            <w:pPr>
              <w:jc w:val="right"/>
              <w:rPr>
                <w:sz w:val="13"/>
                <w:szCs w:val="13"/>
              </w:rPr>
            </w:pPr>
            <w:r w:rsidRPr="00065913">
              <w:rPr>
                <w:sz w:val="13"/>
                <w:szCs w:val="13"/>
              </w:rPr>
              <w:t>$</w:t>
            </w:r>
            <w:r w:rsidR="002F22F2">
              <w:rPr>
                <w:sz w:val="13"/>
                <w:szCs w:val="13"/>
              </w:rPr>
              <w:t xml:space="preserve">     </w:t>
            </w:r>
            <w:r w:rsidRPr="00065913">
              <w:rPr>
                <w:sz w:val="13"/>
                <w:szCs w:val="13"/>
              </w:rPr>
              <w:t xml:space="preserve">184,529 </w:t>
            </w:r>
          </w:p>
        </w:tc>
        <w:tc>
          <w:tcPr>
            <w:tcW w:w="818"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2169F4B6" w14:textId="50A97F58">
            <w:pPr>
              <w:jc w:val="right"/>
              <w:rPr>
                <w:sz w:val="13"/>
                <w:szCs w:val="13"/>
              </w:rPr>
            </w:pPr>
            <w:r w:rsidRPr="00065913">
              <w:rPr>
                <w:sz w:val="13"/>
                <w:szCs w:val="13"/>
              </w:rPr>
              <w:t>$</w:t>
            </w:r>
            <w:r w:rsidR="00DB0D24">
              <w:rPr>
                <w:sz w:val="13"/>
                <w:szCs w:val="13"/>
              </w:rPr>
              <w:t xml:space="preserve">   </w:t>
            </w:r>
            <w:r w:rsidRPr="00065913">
              <w:rPr>
                <w:sz w:val="13"/>
                <w:szCs w:val="13"/>
              </w:rPr>
              <w:t xml:space="preserve">256,053 </w:t>
            </w:r>
          </w:p>
        </w:tc>
        <w:tc>
          <w:tcPr>
            <w:tcW w:w="1080"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78DDB7D1" w14:textId="77390686">
            <w:pPr>
              <w:jc w:val="right"/>
              <w:rPr>
                <w:sz w:val="13"/>
                <w:szCs w:val="13"/>
              </w:rPr>
            </w:pPr>
            <w:r w:rsidRPr="00065913">
              <w:rPr>
                <w:sz w:val="13"/>
                <w:szCs w:val="13"/>
              </w:rPr>
              <w:t>$</w:t>
            </w:r>
            <w:r w:rsidR="00DB0D24">
              <w:rPr>
                <w:sz w:val="13"/>
                <w:szCs w:val="13"/>
              </w:rPr>
              <w:t xml:space="preserve">        </w:t>
            </w:r>
            <w:r w:rsidRPr="00065913">
              <w:rPr>
                <w:sz w:val="13"/>
                <w:szCs w:val="13"/>
              </w:rPr>
              <w:t xml:space="preserve">3,200,000 </w:t>
            </w:r>
          </w:p>
        </w:tc>
        <w:tc>
          <w:tcPr>
            <w:tcW w:w="853"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6CE1B4A0" w14:textId="61084C3D">
            <w:pPr>
              <w:jc w:val="right"/>
              <w:rPr>
                <w:sz w:val="13"/>
                <w:szCs w:val="13"/>
              </w:rPr>
            </w:pPr>
            <w:r w:rsidRPr="00065913">
              <w:rPr>
                <w:sz w:val="13"/>
                <w:szCs w:val="13"/>
              </w:rPr>
              <w:t>$</w:t>
            </w:r>
            <w:r w:rsidR="0022428F">
              <w:rPr>
                <w:sz w:val="13"/>
                <w:szCs w:val="13"/>
              </w:rPr>
              <w:t xml:space="preserve"> </w:t>
            </w:r>
            <w:r w:rsidRPr="00065913">
              <w:rPr>
                <w:sz w:val="13"/>
                <w:szCs w:val="13"/>
              </w:rPr>
              <w:t xml:space="preserve">1,900,000 </w:t>
            </w:r>
          </w:p>
        </w:tc>
        <w:tc>
          <w:tcPr>
            <w:tcW w:w="853"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29DB46F4" w14:textId="202D4C0A">
            <w:pPr>
              <w:jc w:val="right"/>
              <w:rPr>
                <w:sz w:val="13"/>
                <w:szCs w:val="13"/>
              </w:rPr>
            </w:pPr>
            <w:r w:rsidRPr="00065913">
              <w:rPr>
                <w:sz w:val="13"/>
                <w:szCs w:val="13"/>
              </w:rPr>
              <w:t>$</w:t>
            </w:r>
            <w:r w:rsidR="006A0CF0">
              <w:rPr>
                <w:sz w:val="13"/>
                <w:szCs w:val="13"/>
              </w:rPr>
              <w:t xml:space="preserve"> </w:t>
            </w:r>
            <w:r w:rsidRPr="00065913">
              <w:rPr>
                <w:sz w:val="13"/>
                <w:szCs w:val="13"/>
              </w:rPr>
              <w:t xml:space="preserve">7,172,000 </w:t>
            </w:r>
          </w:p>
        </w:tc>
        <w:tc>
          <w:tcPr>
            <w:tcW w:w="853"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5C3DB69C" w14:textId="1F14556F">
            <w:pPr>
              <w:jc w:val="right"/>
              <w:rPr>
                <w:sz w:val="13"/>
                <w:szCs w:val="13"/>
              </w:rPr>
            </w:pPr>
            <w:r w:rsidRPr="00065913">
              <w:rPr>
                <w:sz w:val="13"/>
                <w:szCs w:val="13"/>
              </w:rPr>
              <w:t>$</w:t>
            </w:r>
            <w:r w:rsidR="0022428F">
              <w:rPr>
                <w:sz w:val="13"/>
                <w:szCs w:val="13"/>
              </w:rPr>
              <w:t xml:space="preserve">    </w:t>
            </w:r>
            <w:r w:rsidRPr="00065913">
              <w:rPr>
                <w:sz w:val="13"/>
                <w:szCs w:val="13"/>
              </w:rPr>
              <w:t xml:space="preserve">798,097 </w:t>
            </w:r>
          </w:p>
        </w:tc>
        <w:tc>
          <w:tcPr>
            <w:tcW w:w="951" w:type="dxa"/>
            <w:tcBorders>
              <w:top w:val="single" w:sz="4" w:space="0" w:color="auto"/>
              <w:left w:val="nil"/>
              <w:bottom w:val="double" w:sz="6" w:space="0" w:color="auto"/>
              <w:right w:val="nil"/>
            </w:tcBorders>
            <w:shd w:val="clear" w:color="auto" w:fill="auto"/>
            <w:noWrap/>
            <w:vAlign w:val="bottom"/>
            <w:hideMark/>
          </w:tcPr>
          <w:p w:rsidR="00895BD6" w:rsidRPr="00065913" w:rsidP="00D85D5E" w14:paraId="469372D0" w14:textId="77777777">
            <w:pPr>
              <w:jc w:val="right"/>
              <w:rPr>
                <w:sz w:val="13"/>
                <w:szCs w:val="13"/>
              </w:rPr>
            </w:pPr>
            <w:r w:rsidRPr="00065913">
              <w:rPr>
                <w:sz w:val="13"/>
                <w:szCs w:val="13"/>
              </w:rPr>
              <w:t xml:space="preserve"> $     (78,097)</w:t>
            </w:r>
          </w:p>
        </w:tc>
        <w:tc>
          <w:tcPr>
            <w:tcW w:w="810" w:type="dxa"/>
            <w:tcBorders>
              <w:top w:val="single" w:sz="4" w:space="0" w:color="auto"/>
              <w:left w:val="nil"/>
              <w:bottom w:val="double" w:sz="6" w:space="0" w:color="auto"/>
              <w:right w:val="nil"/>
            </w:tcBorders>
            <w:shd w:val="clear" w:color="auto" w:fill="auto"/>
            <w:noWrap/>
            <w:vAlign w:val="bottom"/>
            <w:hideMark/>
          </w:tcPr>
          <w:p w:rsidR="00895BD6" w:rsidRPr="00065913" w:rsidP="0011749D" w14:paraId="21A85DDF" w14:textId="769EBB51">
            <w:pPr>
              <w:jc w:val="right"/>
              <w:rPr>
                <w:sz w:val="13"/>
                <w:szCs w:val="13"/>
              </w:rPr>
            </w:pPr>
            <w:r w:rsidRPr="00065913">
              <w:rPr>
                <w:sz w:val="13"/>
                <w:szCs w:val="13"/>
              </w:rPr>
              <w:t xml:space="preserve">$1,910,419 </w:t>
            </w:r>
          </w:p>
        </w:tc>
        <w:tc>
          <w:tcPr>
            <w:tcW w:w="720"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5325F25A" w14:textId="28525A16">
            <w:pPr>
              <w:jc w:val="right"/>
              <w:rPr>
                <w:sz w:val="13"/>
                <w:szCs w:val="13"/>
              </w:rPr>
            </w:pPr>
            <w:r w:rsidRPr="00065913">
              <w:rPr>
                <w:sz w:val="13"/>
                <w:szCs w:val="13"/>
              </w:rPr>
              <w:t>$</w:t>
            </w:r>
            <w:r w:rsidR="003C30DC">
              <w:rPr>
                <w:sz w:val="13"/>
                <w:szCs w:val="13"/>
              </w:rPr>
              <w:t xml:space="preserve"> </w:t>
            </w:r>
            <w:r w:rsidR="00566656">
              <w:rPr>
                <w:sz w:val="13"/>
                <w:szCs w:val="13"/>
              </w:rPr>
              <w:t xml:space="preserve">   </w:t>
            </w:r>
            <w:r w:rsidRPr="00065913">
              <w:rPr>
                <w:sz w:val="13"/>
                <w:szCs w:val="13"/>
              </w:rPr>
              <w:t xml:space="preserve">2,845 </w:t>
            </w:r>
          </w:p>
        </w:tc>
        <w:tc>
          <w:tcPr>
            <w:tcW w:w="931"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71CF4554" w14:textId="6D942C87">
            <w:pPr>
              <w:jc w:val="right"/>
              <w:rPr>
                <w:sz w:val="13"/>
                <w:szCs w:val="13"/>
              </w:rPr>
            </w:pPr>
            <w:r w:rsidRPr="00065913">
              <w:rPr>
                <w:sz w:val="13"/>
                <w:szCs w:val="13"/>
              </w:rPr>
              <w:t>$</w:t>
            </w:r>
            <w:r w:rsidR="000A4570">
              <w:rPr>
                <w:sz w:val="13"/>
                <w:szCs w:val="13"/>
              </w:rPr>
              <w:t xml:space="preserve">  </w:t>
            </w:r>
            <w:r w:rsidRPr="00065913">
              <w:rPr>
                <w:sz w:val="13"/>
                <w:szCs w:val="13"/>
              </w:rPr>
              <w:t xml:space="preserve">15,824,908 </w:t>
            </w:r>
          </w:p>
        </w:tc>
      </w:tr>
      <w:tr w14:paraId="4A2C5F6F" w14:textId="77777777" w:rsidTr="00D67677">
        <w:tblPrEx>
          <w:tblW w:w="4998" w:type="pct"/>
          <w:tblLayout w:type="fixed"/>
          <w:tblLook w:val="04A0"/>
        </w:tblPrEx>
        <w:trPr>
          <w:trHeight w:val="216"/>
        </w:trPr>
        <w:tc>
          <w:tcPr>
            <w:tcW w:w="3914" w:type="dxa"/>
            <w:tcBorders>
              <w:top w:val="nil"/>
              <w:left w:val="nil"/>
              <w:bottom w:val="nil"/>
              <w:right w:val="nil"/>
            </w:tcBorders>
            <w:shd w:val="clear" w:color="000000" w:fill="FFFFFF"/>
            <w:noWrap/>
            <w:vAlign w:val="bottom"/>
          </w:tcPr>
          <w:p w:rsidR="00895BD6" w:rsidRPr="00065913" w:rsidP="004957F6" w14:paraId="1224D1A3" w14:textId="025EC771">
            <w:pPr>
              <w:rPr>
                <w:sz w:val="13"/>
                <w:szCs w:val="13"/>
              </w:rPr>
            </w:pPr>
            <w:r w:rsidRPr="00065913">
              <w:rPr>
                <w:b/>
                <w:bCs/>
                <w:sz w:val="13"/>
                <w:szCs w:val="13"/>
              </w:rPr>
              <w:t>Outlays, Net:</w:t>
            </w:r>
          </w:p>
        </w:tc>
        <w:tc>
          <w:tcPr>
            <w:tcW w:w="874" w:type="dxa"/>
            <w:tcBorders>
              <w:top w:val="nil"/>
              <w:left w:val="nil"/>
              <w:bottom w:val="nil"/>
              <w:right w:val="nil"/>
            </w:tcBorders>
            <w:shd w:val="clear" w:color="000000" w:fill="FFFFFF"/>
            <w:noWrap/>
            <w:vAlign w:val="bottom"/>
          </w:tcPr>
          <w:p w:rsidR="00895BD6" w:rsidRPr="00065913" w:rsidP="00D85D5E" w14:paraId="298B11BD" w14:textId="77777777">
            <w:pPr>
              <w:jc w:val="right"/>
              <w:rPr>
                <w:sz w:val="13"/>
                <w:szCs w:val="13"/>
              </w:rPr>
            </w:pPr>
          </w:p>
        </w:tc>
        <w:tc>
          <w:tcPr>
            <w:tcW w:w="874" w:type="dxa"/>
            <w:tcBorders>
              <w:top w:val="nil"/>
              <w:left w:val="nil"/>
              <w:bottom w:val="nil"/>
              <w:right w:val="nil"/>
            </w:tcBorders>
            <w:shd w:val="clear" w:color="000000" w:fill="FFFFFF"/>
            <w:noWrap/>
            <w:vAlign w:val="bottom"/>
          </w:tcPr>
          <w:p w:rsidR="00895BD6" w:rsidRPr="00065913" w:rsidP="00D85D5E" w14:paraId="573449FD" w14:textId="77777777">
            <w:pPr>
              <w:jc w:val="right"/>
              <w:rPr>
                <w:sz w:val="13"/>
                <w:szCs w:val="13"/>
              </w:rPr>
            </w:pPr>
          </w:p>
        </w:tc>
        <w:tc>
          <w:tcPr>
            <w:tcW w:w="818" w:type="dxa"/>
            <w:tcBorders>
              <w:top w:val="nil"/>
              <w:left w:val="nil"/>
              <w:bottom w:val="nil"/>
              <w:right w:val="nil"/>
            </w:tcBorders>
            <w:shd w:val="clear" w:color="000000" w:fill="FFFFFF"/>
            <w:noWrap/>
            <w:vAlign w:val="bottom"/>
          </w:tcPr>
          <w:p w:rsidR="00895BD6" w:rsidRPr="00065913" w:rsidP="00D85D5E" w14:paraId="0C074FF2" w14:textId="77777777">
            <w:pPr>
              <w:jc w:val="right"/>
              <w:rPr>
                <w:sz w:val="13"/>
                <w:szCs w:val="13"/>
              </w:rPr>
            </w:pPr>
          </w:p>
        </w:tc>
        <w:tc>
          <w:tcPr>
            <w:tcW w:w="1080" w:type="dxa"/>
            <w:tcBorders>
              <w:top w:val="nil"/>
              <w:left w:val="nil"/>
              <w:bottom w:val="nil"/>
              <w:right w:val="nil"/>
            </w:tcBorders>
            <w:shd w:val="clear" w:color="000000" w:fill="FFFFFF"/>
            <w:noWrap/>
            <w:vAlign w:val="bottom"/>
          </w:tcPr>
          <w:p w:rsidR="00895BD6" w:rsidRPr="00065913" w:rsidP="00D85D5E" w14:paraId="0F92B303" w14:textId="77777777">
            <w:pPr>
              <w:jc w:val="right"/>
              <w:rPr>
                <w:sz w:val="13"/>
                <w:szCs w:val="13"/>
              </w:rPr>
            </w:pPr>
          </w:p>
        </w:tc>
        <w:tc>
          <w:tcPr>
            <w:tcW w:w="853" w:type="dxa"/>
            <w:tcBorders>
              <w:top w:val="nil"/>
              <w:left w:val="nil"/>
              <w:bottom w:val="nil"/>
              <w:right w:val="nil"/>
            </w:tcBorders>
            <w:shd w:val="clear" w:color="000000" w:fill="FFFFFF"/>
            <w:noWrap/>
            <w:vAlign w:val="bottom"/>
          </w:tcPr>
          <w:p w:rsidR="00895BD6" w:rsidRPr="00065913" w:rsidP="00D85D5E" w14:paraId="09EA2122" w14:textId="77777777">
            <w:pPr>
              <w:jc w:val="right"/>
              <w:rPr>
                <w:sz w:val="13"/>
                <w:szCs w:val="13"/>
              </w:rPr>
            </w:pPr>
          </w:p>
        </w:tc>
        <w:tc>
          <w:tcPr>
            <w:tcW w:w="853" w:type="dxa"/>
            <w:tcBorders>
              <w:top w:val="nil"/>
              <w:left w:val="nil"/>
              <w:bottom w:val="nil"/>
              <w:right w:val="nil"/>
            </w:tcBorders>
            <w:shd w:val="clear" w:color="000000" w:fill="FFFFFF"/>
            <w:noWrap/>
            <w:vAlign w:val="bottom"/>
          </w:tcPr>
          <w:p w:rsidR="00895BD6" w:rsidRPr="00065913" w:rsidP="00D85D5E" w14:paraId="7605BAD0" w14:textId="77777777">
            <w:pPr>
              <w:jc w:val="right"/>
              <w:rPr>
                <w:sz w:val="13"/>
                <w:szCs w:val="13"/>
              </w:rPr>
            </w:pPr>
          </w:p>
        </w:tc>
        <w:tc>
          <w:tcPr>
            <w:tcW w:w="853" w:type="dxa"/>
            <w:tcBorders>
              <w:top w:val="nil"/>
              <w:left w:val="nil"/>
              <w:bottom w:val="nil"/>
              <w:right w:val="nil"/>
            </w:tcBorders>
            <w:shd w:val="clear" w:color="000000" w:fill="FFFFFF"/>
            <w:noWrap/>
            <w:vAlign w:val="bottom"/>
          </w:tcPr>
          <w:p w:rsidR="00895BD6" w:rsidRPr="00065913" w:rsidP="00D85D5E" w14:paraId="54DCB6DF" w14:textId="77777777">
            <w:pPr>
              <w:jc w:val="right"/>
              <w:rPr>
                <w:sz w:val="13"/>
                <w:szCs w:val="13"/>
              </w:rPr>
            </w:pPr>
          </w:p>
        </w:tc>
        <w:tc>
          <w:tcPr>
            <w:tcW w:w="951" w:type="dxa"/>
            <w:tcBorders>
              <w:top w:val="nil"/>
              <w:left w:val="nil"/>
              <w:bottom w:val="nil"/>
              <w:right w:val="nil"/>
            </w:tcBorders>
            <w:shd w:val="clear" w:color="000000" w:fill="FFFFFF"/>
            <w:noWrap/>
            <w:vAlign w:val="bottom"/>
          </w:tcPr>
          <w:p w:rsidR="00895BD6" w:rsidRPr="00065913" w:rsidP="00D85D5E" w14:paraId="326065D9" w14:textId="77777777">
            <w:pPr>
              <w:jc w:val="right"/>
              <w:rPr>
                <w:sz w:val="13"/>
                <w:szCs w:val="13"/>
              </w:rPr>
            </w:pPr>
          </w:p>
        </w:tc>
        <w:tc>
          <w:tcPr>
            <w:tcW w:w="810" w:type="dxa"/>
            <w:tcBorders>
              <w:top w:val="nil"/>
              <w:left w:val="nil"/>
              <w:bottom w:val="nil"/>
              <w:right w:val="nil"/>
            </w:tcBorders>
            <w:shd w:val="clear" w:color="000000" w:fill="FFFFFF"/>
            <w:noWrap/>
            <w:vAlign w:val="bottom"/>
          </w:tcPr>
          <w:p w:rsidR="00895BD6" w:rsidRPr="00065913" w:rsidP="00D85D5E" w14:paraId="373011B2" w14:textId="77777777">
            <w:pPr>
              <w:jc w:val="right"/>
              <w:rPr>
                <w:sz w:val="13"/>
                <w:szCs w:val="13"/>
              </w:rPr>
            </w:pPr>
          </w:p>
        </w:tc>
        <w:tc>
          <w:tcPr>
            <w:tcW w:w="720" w:type="dxa"/>
            <w:tcBorders>
              <w:top w:val="nil"/>
              <w:left w:val="nil"/>
              <w:bottom w:val="nil"/>
              <w:right w:val="nil"/>
            </w:tcBorders>
            <w:shd w:val="clear" w:color="000000" w:fill="FFFFFF"/>
            <w:noWrap/>
            <w:vAlign w:val="bottom"/>
          </w:tcPr>
          <w:p w:rsidR="00895BD6" w:rsidRPr="00065913" w:rsidP="00D85D5E" w14:paraId="4A23A7AA" w14:textId="77777777">
            <w:pPr>
              <w:jc w:val="right"/>
              <w:rPr>
                <w:sz w:val="13"/>
                <w:szCs w:val="13"/>
              </w:rPr>
            </w:pPr>
          </w:p>
        </w:tc>
        <w:tc>
          <w:tcPr>
            <w:tcW w:w="931" w:type="dxa"/>
            <w:tcBorders>
              <w:top w:val="nil"/>
              <w:left w:val="nil"/>
              <w:bottom w:val="nil"/>
              <w:right w:val="nil"/>
            </w:tcBorders>
            <w:shd w:val="clear" w:color="000000" w:fill="FFFFFF"/>
            <w:noWrap/>
            <w:vAlign w:val="bottom"/>
          </w:tcPr>
          <w:p w:rsidR="00895BD6" w:rsidRPr="00065913" w:rsidP="00D85D5E" w14:paraId="54E401F8" w14:textId="77777777">
            <w:pPr>
              <w:jc w:val="right"/>
              <w:rPr>
                <w:sz w:val="13"/>
                <w:szCs w:val="13"/>
              </w:rPr>
            </w:pPr>
          </w:p>
        </w:tc>
      </w:tr>
      <w:tr w14:paraId="019C646A" w14:textId="77777777" w:rsidTr="00D67677">
        <w:tblPrEx>
          <w:tblW w:w="4998" w:type="pct"/>
          <w:tblLayout w:type="fixed"/>
          <w:tblLook w:val="04A0"/>
        </w:tblPrEx>
        <w:tc>
          <w:tcPr>
            <w:tcW w:w="3914" w:type="dxa"/>
            <w:tcBorders>
              <w:top w:val="nil"/>
              <w:left w:val="nil"/>
              <w:bottom w:val="nil"/>
              <w:right w:val="nil"/>
            </w:tcBorders>
            <w:shd w:val="clear" w:color="000000" w:fill="FFFFFF"/>
            <w:noWrap/>
            <w:vAlign w:val="bottom"/>
            <w:hideMark/>
          </w:tcPr>
          <w:p w:rsidR="00895BD6" w:rsidRPr="00065913" w:rsidP="000C77BA" w14:paraId="56539871" w14:textId="77777777">
            <w:pPr>
              <w:ind w:left="432"/>
              <w:rPr>
                <w:sz w:val="13"/>
                <w:szCs w:val="13"/>
              </w:rPr>
            </w:pPr>
            <w:r w:rsidRPr="00065913">
              <w:rPr>
                <w:sz w:val="13"/>
                <w:szCs w:val="13"/>
              </w:rPr>
              <w:t>Outlays, net (discretionary and mandatory)</w:t>
            </w:r>
          </w:p>
        </w:tc>
        <w:tc>
          <w:tcPr>
            <w:tcW w:w="874" w:type="dxa"/>
            <w:tcBorders>
              <w:top w:val="nil"/>
              <w:left w:val="nil"/>
              <w:bottom w:val="nil"/>
              <w:right w:val="nil"/>
            </w:tcBorders>
            <w:shd w:val="clear" w:color="000000" w:fill="FFFFFF"/>
            <w:noWrap/>
            <w:vAlign w:val="bottom"/>
            <w:hideMark/>
          </w:tcPr>
          <w:p w:rsidR="00895BD6" w:rsidRPr="00065913" w:rsidP="00D85D5E" w14:paraId="600C1BDD" w14:textId="12374403">
            <w:pPr>
              <w:jc w:val="right"/>
              <w:rPr>
                <w:sz w:val="13"/>
                <w:szCs w:val="13"/>
              </w:rPr>
            </w:pPr>
            <w:r w:rsidRPr="00065913">
              <w:rPr>
                <w:sz w:val="13"/>
                <w:szCs w:val="13"/>
              </w:rPr>
              <w:t>$</w:t>
            </w:r>
            <w:r w:rsidR="00F15846">
              <w:rPr>
                <w:sz w:val="13"/>
                <w:szCs w:val="13"/>
              </w:rPr>
              <w:t xml:space="preserve">   </w:t>
            </w:r>
            <w:r w:rsidRPr="00065913">
              <w:rPr>
                <w:sz w:val="13"/>
                <w:szCs w:val="13"/>
              </w:rPr>
              <w:t xml:space="preserve"> (26,465)</w:t>
            </w:r>
          </w:p>
        </w:tc>
        <w:tc>
          <w:tcPr>
            <w:tcW w:w="874" w:type="dxa"/>
            <w:tcBorders>
              <w:top w:val="nil"/>
              <w:left w:val="nil"/>
              <w:bottom w:val="nil"/>
              <w:right w:val="nil"/>
            </w:tcBorders>
            <w:shd w:val="clear" w:color="000000" w:fill="FFFFFF"/>
            <w:noWrap/>
            <w:vAlign w:val="bottom"/>
            <w:hideMark/>
          </w:tcPr>
          <w:p w:rsidR="00895BD6" w:rsidRPr="00065913" w:rsidP="00D85D5E" w14:paraId="4B95CDF1" w14:textId="4D19C648">
            <w:pPr>
              <w:jc w:val="right"/>
              <w:rPr>
                <w:sz w:val="13"/>
                <w:szCs w:val="13"/>
              </w:rPr>
            </w:pPr>
            <w:r w:rsidRPr="00065913">
              <w:rPr>
                <w:sz w:val="13"/>
                <w:szCs w:val="13"/>
              </w:rPr>
              <w:t>$</w:t>
            </w:r>
            <w:r w:rsidR="002F22F2">
              <w:rPr>
                <w:sz w:val="13"/>
                <w:szCs w:val="13"/>
              </w:rPr>
              <w:t xml:space="preserve">     </w:t>
            </w:r>
            <w:r w:rsidRPr="00065913">
              <w:rPr>
                <w:sz w:val="13"/>
                <w:szCs w:val="13"/>
              </w:rPr>
              <w:t xml:space="preserve">       797 </w:t>
            </w:r>
          </w:p>
        </w:tc>
        <w:tc>
          <w:tcPr>
            <w:tcW w:w="818" w:type="dxa"/>
            <w:tcBorders>
              <w:top w:val="nil"/>
              <w:left w:val="nil"/>
              <w:bottom w:val="nil"/>
              <w:right w:val="nil"/>
            </w:tcBorders>
            <w:shd w:val="clear" w:color="000000" w:fill="FFFFFF"/>
            <w:noWrap/>
            <w:vAlign w:val="bottom"/>
            <w:hideMark/>
          </w:tcPr>
          <w:p w:rsidR="00895BD6" w:rsidRPr="00065913" w:rsidP="00D85D5E" w14:paraId="4D0A7C87" w14:textId="270742C6">
            <w:pPr>
              <w:jc w:val="right"/>
              <w:rPr>
                <w:sz w:val="13"/>
                <w:szCs w:val="13"/>
              </w:rPr>
            </w:pPr>
            <w:r w:rsidRPr="00065913">
              <w:rPr>
                <w:sz w:val="13"/>
                <w:szCs w:val="13"/>
              </w:rPr>
              <w:t>$</w:t>
            </w:r>
            <w:r w:rsidR="00DB0D24">
              <w:rPr>
                <w:sz w:val="13"/>
                <w:szCs w:val="13"/>
              </w:rPr>
              <w:t xml:space="preserve">   </w:t>
            </w:r>
            <w:r w:rsidRPr="00065913">
              <w:rPr>
                <w:sz w:val="13"/>
                <w:szCs w:val="13"/>
              </w:rPr>
              <w:t xml:space="preserve">149,057 </w:t>
            </w:r>
          </w:p>
        </w:tc>
        <w:tc>
          <w:tcPr>
            <w:tcW w:w="1080" w:type="dxa"/>
            <w:tcBorders>
              <w:top w:val="nil"/>
              <w:left w:val="nil"/>
              <w:bottom w:val="nil"/>
              <w:right w:val="nil"/>
            </w:tcBorders>
            <w:shd w:val="clear" w:color="000000" w:fill="FFFFFF"/>
            <w:noWrap/>
            <w:vAlign w:val="bottom"/>
            <w:hideMark/>
          </w:tcPr>
          <w:p w:rsidR="00895BD6" w:rsidRPr="00065913" w:rsidP="00D85D5E" w14:paraId="2658290D" w14:textId="70316C0D">
            <w:pPr>
              <w:jc w:val="right"/>
              <w:rPr>
                <w:sz w:val="13"/>
                <w:szCs w:val="13"/>
              </w:rPr>
            </w:pPr>
            <w:r w:rsidRPr="00065913">
              <w:rPr>
                <w:sz w:val="13"/>
                <w:szCs w:val="13"/>
              </w:rPr>
              <w:t>$</w:t>
            </w:r>
            <w:r w:rsidR="00DB0D24">
              <w:rPr>
                <w:sz w:val="13"/>
                <w:szCs w:val="13"/>
              </w:rPr>
              <w:t xml:space="preserve">        </w:t>
            </w:r>
            <w:r w:rsidRPr="00065913">
              <w:rPr>
                <w:sz w:val="13"/>
                <w:szCs w:val="13"/>
              </w:rPr>
              <w:t xml:space="preserve">   572,662 </w:t>
            </w:r>
          </w:p>
        </w:tc>
        <w:tc>
          <w:tcPr>
            <w:tcW w:w="853" w:type="dxa"/>
            <w:tcBorders>
              <w:top w:val="nil"/>
              <w:left w:val="nil"/>
              <w:bottom w:val="nil"/>
              <w:right w:val="nil"/>
            </w:tcBorders>
            <w:shd w:val="clear" w:color="000000" w:fill="FFFFFF"/>
            <w:noWrap/>
            <w:vAlign w:val="bottom"/>
            <w:hideMark/>
          </w:tcPr>
          <w:p w:rsidR="00895BD6" w:rsidRPr="00065913" w:rsidP="00D85D5E" w14:paraId="1F2BA1AE" w14:textId="30EDCECA">
            <w:pPr>
              <w:jc w:val="right"/>
              <w:rPr>
                <w:sz w:val="13"/>
                <w:szCs w:val="13"/>
              </w:rPr>
            </w:pPr>
            <w:r w:rsidRPr="00065913">
              <w:rPr>
                <w:sz w:val="13"/>
                <w:szCs w:val="13"/>
              </w:rPr>
              <w:t>$</w:t>
            </w:r>
            <w:r w:rsidR="0022428F">
              <w:rPr>
                <w:sz w:val="13"/>
                <w:szCs w:val="13"/>
              </w:rPr>
              <w:t xml:space="preserve"> </w:t>
            </w:r>
            <w:r w:rsidRPr="00065913">
              <w:rPr>
                <w:sz w:val="13"/>
                <w:szCs w:val="13"/>
              </w:rPr>
              <w:t xml:space="preserve">       2,370 </w:t>
            </w:r>
          </w:p>
        </w:tc>
        <w:tc>
          <w:tcPr>
            <w:tcW w:w="853" w:type="dxa"/>
            <w:tcBorders>
              <w:top w:val="nil"/>
              <w:left w:val="nil"/>
              <w:bottom w:val="nil"/>
              <w:right w:val="nil"/>
            </w:tcBorders>
            <w:shd w:val="clear" w:color="000000" w:fill="FFFFFF"/>
            <w:noWrap/>
            <w:vAlign w:val="bottom"/>
            <w:hideMark/>
          </w:tcPr>
          <w:p w:rsidR="00895BD6" w:rsidRPr="00065913" w:rsidP="00D85D5E" w14:paraId="67E64E66" w14:textId="10D525B9">
            <w:pPr>
              <w:jc w:val="right"/>
              <w:rPr>
                <w:sz w:val="13"/>
                <w:szCs w:val="13"/>
              </w:rPr>
            </w:pPr>
            <w:r w:rsidRPr="00065913">
              <w:rPr>
                <w:sz w:val="13"/>
                <w:szCs w:val="13"/>
              </w:rPr>
              <w:t>$</w:t>
            </w:r>
            <w:r w:rsidR="0022428F">
              <w:rPr>
                <w:sz w:val="13"/>
                <w:szCs w:val="13"/>
              </w:rPr>
              <w:t xml:space="preserve"> </w:t>
            </w:r>
            <w:r w:rsidRPr="00065913">
              <w:rPr>
                <w:sz w:val="13"/>
                <w:szCs w:val="13"/>
              </w:rPr>
              <w:t xml:space="preserve">       4,212 </w:t>
            </w:r>
          </w:p>
        </w:tc>
        <w:tc>
          <w:tcPr>
            <w:tcW w:w="853" w:type="dxa"/>
            <w:tcBorders>
              <w:top w:val="nil"/>
              <w:left w:val="nil"/>
              <w:bottom w:val="nil"/>
              <w:right w:val="nil"/>
            </w:tcBorders>
            <w:shd w:val="clear" w:color="000000" w:fill="FFFFFF"/>
            <w:noWrap/>
            <w:vAlign w:val="bottom"/>
            <w:hideMark/>
          </w:tcPr>
          <w:p w:rsidR="00895BD6" w:rsidRPr="00065913" w:rsidP="00D85D5E" w14:paraId="095A961F" w14:textId="6ABCC360">
            <w:pPr>
              <w:jc w:val="right"/>
              <w:rPr>
                <w:sz w:val="13"/>
                <w:szCs w:val="13"/>
              </w:rPr>
            </w:pPr>
            <w:r w:rsidRPr="00065913">
              <w:rPr>
                <w:sz w:val="13"/>
                <w:szCs w:val="13"/>
              </w:rPr>
              <w:t>$</w:t>
            </w:r>
            <w:r w:rsidR="0022428F">
              <w:rPr>
                <w:sz w:val="13"/>
                <w:szCs w:val="13"/>
              </w:rPr>
              <w:t xml:space="preserve">    </w:t>
            </w:r>
            <w:r w:rsidRPr="00065913">
              <w:rPr>
                <w:sz w:val="13"/>
                <w:szCs w:val="13"/>
              </w:rPr>
              <w:t xml:space="preserve">308,951 </w:t>
            </w:r>
          </w:p>
        </w:tc>
        <w:tc>
          <w:tcPr>
            <w:tcW w:w="951" w:type="dxa"/>
            <w:tcBorders>
              <w:top w:val="nil"/>
              <w:left w:val="nil"/>
              <w:bottom w:val="nil"/>
              <w:right w:val="nil"/>
            </w:tcBorders>
            <w:shd w:val="clear" w:color="000000" w:fill="FFFFFF"/>
            <w:noWrap/>
            <w:vAlign w:val="bottom"/>
            <w:hideMark/>
          </w:tcPr>
          <w:p w:rsidR="00895BD6" w:rsidRPr="00065913" w:rsidP="00D85D5E" w14:paraId="733DC86C" w14:textId="77777777">
            <w:pPr>
              <w:jc w:val="right"/>
              <w:rPr>
                <w:sz w:val="13"/>
                <w:szCs w:val="13"/>
              </w:rPr>
            </w:pPr>
            <w:r w:rsidRPr="00065913">
              <w:rPr>
                <w:sz w:val="13"/>
                <w:szCs w:val="13"/>
              </w:rPr>
              <w:t xml:space="preserve"> $ 8,696,537 </w:t>
            </w:r>
          </w:p>
        </w:tc>
        <w:tc>
          <w:tcPr>
            <w:tcW w:w="810" w:type="dxa"/>
            <w:tcBorders>
              <w:top w:val="nil"/>
              <w:left w:val="nil"/>
              <w:bottom w:val="nil"/>
              <w:right w:val="nil"/>
            </w:tcBorders>
            <w:shd w:val="clear" w:color="000000" w:fill="FFFFFF"/>
            <w:noWrap/>
            <w:vAlign w:val="bottom"/>
            <w:hideMark/>
          </w:tcPr>
          <w:p w:rsidR="00895BD6" w:rsidRPr="00065913" w:rsidP="006E73D4" w14:paraId="243EDB09" w14:textId="063F7204">
            <w:pPr>
              <w:jc w:val="right"/>
              <w:rPr>
                <w:sz w:val="13"/>
                <w:szCs w:val="13"/>
              </w:rPr>
            </w:pPr>
            <w:r w:rsidRPr="00065913">
              <w:rPr>
                <w:sz w:val="13"/>
                <w:szCs w:val="13"/>
              </w:rPr>
              <w:t xml:space="preserve">$1,444,397 </w:t>
            </w:r>
          </w:p>
        </w:tc>
        <w:tc>
          <w:tcPr>
            <w:tcW w:w="720" w:type="dxa"/>
            <w:tcBorders>
              <w:top w:val="nil"/>
              <w:left w:val="nil"/>
              <w:bottom w:val="nil"/>
              <w:right w:val="nil"/>
            </w:tcBorders>
            <w:shd w:val="clear" w:color="000000" w:fill="FFFFFF"/>
            <w:noWrap/>
            <w:vAlign w:val="bottom"/>
            <w:hideMark/>
          </w:tcPr>
          <w:p w:rsidR="00895BD6" w:rsidRPr="00065913" w:rsidP="00D85D5E" w14:paraId="1A65AF3B" w14:textId="781F928B">
            <w:pPr>
              <w:jc w:val="right"/>
              <w:rPr>
                <w:sz w:val="13"/>
                <w:szCs w:val="13"/>
              </w:rPr>
            </w:pPr>
            <w:r w:rsidRPr="00065913">
              <w:rPr>
                <w:sz w:val="13"/>
                <w:szCs w:val="13"/>
              </w:rPr>
              <w:t>$</w:t>
            </w:r>
            <w:r w:rsidR="00F8445B">
              <w:rPr>
                <w:sz w:val="13"/>
                <w:szCs w:val="13"/>
              </w:rPr>
              <w:t xml:space="preserve">   </w:t>
            </w:r>
            <w:r w:rsidRPr="00065913">
              <w:rPr>
                <w:sz w:val="13"/>
                <w:szCs w:val="13"/>
              </w:rPr>
              <w:t xml:space="preserve">     (4)</w:t>
            </w:r>
          </w:p>
        </w:tc>
        <w:tc>
          <w:tcPr>
            <w:tcW w:w="931" w:type="dxa"/>
            <w:tcBorders>
              <w:top w:val="nil"/>
              <w:left w:val="nil"/>
              <w:bottom w:val="nil"/>
              <w:right w:val="nil"/>
            </w:tcBorders>
            <w:shd w:val="clear" w:color="000000" w:fill="FFFFFF"/>
            <w:noWrap/>
            <w:vAlign w:val="bottom"/>
            <w:hideMark/>
          </w:tcPr>
          <w:p w:rsidR="00895BD6" w:rsidRPr="00065913" w:rsidP="00D85D5E" w14:paraId="4A001E6F" w14:textId="4E15F666">
            <w:pPr>
              <w:jc w:val="right"/>
              <w:rPr>
                <w:sz w:val="13"/>
                <w:szCs w:val="13"/>
              </w:rPr>
            </w:pPr>
            <w:r w:rsidRPr="00065913">
              <w:rPr>
                <w:sz w:val="13"/>
                <w:szCs w:val="13"/>
              </w:rPr>
              <w:t>$</w:t>
            </w:r>
            <w:r w:rsidR="000A4570">
              <w:rPr>
                <w:sz w:val="13"/>
                <w:szCs w:val="13"/>
              </w:rPr>
              <w:t xml:space="preserve">  </w:t>
            </w:r>
            <w:r w:rsidRPr="00065913">
              <w:rPr>
                <w:sz w:val="13"/>
                <w:szCs w:val="13"/>
              </w:rPr>
              <w:t xml:space="preserve">11,152,514 </w:t>
            </w:r>
          </w:p>
        </w:tc>
      </w:tr>
      <w:tr w14:paraId="175C78A0" w14:textId="77777777" w:rsidTr="00D67677">
        <w:tblPrEx>
          <w:tblW w:w="4998" w:type="pct"/>
          <w:tblLayout w:type="fixed"/>
          <w:tblLook w:val="04A0"/>
        </w:tblPrEx>
        <w:tc>
          <w:tcPr>
            <w:tcW w:w="3914" w:type="dxa"/>
            <w:tcBorders>
              <w:top w:val="nil"/>
              <w:left w:val="nil"/>
              <w:bottom w:val="nil"/>
              <w:right w:val="nil"/>
            </w:tcBorders>
            <w:shd w:val="clear" w:color="000000" w:fill="FFFFFF"/>
            <w:noWrap/>
            <w:vAlign w:val="bottom"/>
            <w:hideMark/>
          </w:tcPr>
          <w:p w:rsidR="00895BD6" w:rsidRPr="00065913" w:rsidP="000C77BA" w14:paraId="09AD0A93" w14:textId="77777777">
            <w:pPr>
              <w:ind w:left="432"/>
              <w:rPr>
                <w:sz w:val="13"/>
                <w:szCs w:val="13"/>
              </w:rPr>
            </w:pPr>
            <w:r w:rsidRPr="00065913">
              <w:rPr>
                <w:sz w:val="13"/>
                <w:szCs w:val="13"/>
              </w:rPr>
              <w:t>Distributed offsetting receipts (-)</w:t>
            </w:r>
          </w:p>
        </w:tc>
        <w:tc>
          <w:tcPr>
            <w:tcW w:w="874" w:type="dxa"/>
            <w:tcBorders>
              <w:top w:val="nil"/>
              <w:left w:val="nil"/>
              <w:bottom w:val="nil"/>
              <w:right w:val="nil"/>
            </w:tcBorders>
            <w:shd w:val="clear" w:color="000000" w:fill="FFFFFF"/>
            <w:noWrap/>
            <w:vAlign w:val="bottom"/>
            <w:hideMark/>
          </w:tcPr>
          <w:p w:rsidR="00895BD6" w:rsidRPr="00065913" w:rsidP="00D85D5E" w14:paraId="4E7B67F8" w14:textId="77777777">
            <w:pPr>
              <w:jc w:val="right"/>
              <w:rPr>
                <w:sz w:val="13"/>
                <w:szCs w:val="13"/>
              </w:rPr>
            </w:pPr>
            <w:r w:rsidRPr="00065913">
              <w:rPr>
                <w:sz w:val="13"/>
                <w:szCs w:val="13"/>
              </w:rPr>
              <w:t xml:space="preserve">    (34,679)</w:t>
            </w:r>
          </w:p>
        </w:tc>
        <w:tc>
          <w:tcPr>
            <w:tcW w:w="874" w:type="dxa"/>
            <w:tcBorders>
              <w:top w:val="nil"/>
              <w:left w:val="nil"/>
              <w:bottom w:val="nil"/>
              <w:right w:val="nil"/>
            </w:tcBorders>
            <w:shd w:val="clear" w:color="000000" w:fill="FFFFFF"/>
            <w:noWrap/>
            <w:vAlign w:val="bottom"/>
            <w:hideMark/>
          </w:tcPr>
          <w:p w:rsidR="00895BD6" w:rsidRPr="00065913" w:rsidP="00D85D5E" w14:paraId="6F506244" w14:textId="77777777">
            <w:pPr>
              <w:jc w:val="right"/>
              <w:rPr>
                <w:sz w:val="13"/>
                <w:szCs w:val="13"/>
              </w:rPr>
            </w:pPr>
            <w:r w:rsidRPr="00065913">
              <w:rPr>
                <w:sz w:val="13"/>
                <w:szCs w:val="13"/>
              </w:rPr>
              <w:t xml:space="preserve">              - </w:t>
            </w:r>
          </w:p>
        </w:tc>
        <w:tc>
          <w:tcPr>
            <w:tcW w:w="818" w:type="dxa"/>
            <w:tcBorders>
              <w:top w:val="nil"/>
              <w:left w:val="nil"/>
              <w:bottom w:val="nil"/>
              <w:right w:val="nil"/>
            </w:tcBorders>
            <w:shd w:val="clear" w:color="000000" w:fill="FFFFFF"/>
            <w:noWrap/>
            <w:vAlign w:val="bottom"/>
            <w:hideMark/>
          </w:tcPr>
          <w:p w:rsidR="00895BD6" w:rsidRPr="00065913" w:rsidP="00D85D5E" w14:paraId="79D6CE59" w14:textId="77777777">
            <w:pPr>
              <w:jc w:val="right"/>
              <w:rPr>
                <w:sz w:val="13"/>
                <w:szCs w:val="13"/>
              </w:rPr>
            </w:pPr>
            <w:r w:rsidRPr="00065913">
              <w:rPr>
                <w:sz w:val="13"/>
                <w:szCs w:val="13"/>
              </w:rPr>
              <w:t xml:space="preserve">              - </w:t>
            </w:r>
          </w:p>
        </w:tc>
        <w:tc>
          <w:tcPr>
            <w:tcW w:w="1080" w:type="dxa"/>
            <w:tcBorders>
              <w:top w:val="nil"/>
              <w:left w:val="nil"/>
              <w:bottom w:val="nil"/>
              <w:right w:val="nil"/>
            </w:tcBorders>
            <w:shd w:val="clear" w:color="000000" w:fill="FFFFFF"/>
            <w:noWrap/>
            <w:vAlign w:val="bottom"/>
            <w:hideMark/>
          </w:tcPr>
          <w:p w:rsidR="00895BD6" w:rsidRPr="00065913" w:rsidP="00D85D5E" w14:paraId="40B73214"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4F090BF2"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291C2539" w14:textId="77777777">
            <w:pPr>
              <w:jc w:val="right"/>
              <w:rPr>
                <w:sz w:val="13"/>
                <w:szCs w:val="13"/>
              </w:rPr>
            </w:pPr>
            <w:r w:rsidRPr="00065913">
              <w:rPr>
                <w:sz w:val="13"/>
                <w:szCs w:val="13"/>
              </w:rPr>
              <w:t xml:space="preserve">                - </w:t>
            </w:r>
          </w:p>
        </w:tc>
        <w:tc>
          <w:tcPr>
            <w:tcW w:w="853" w:type="dxa"/>
            <w:tcBorders>
              <w:top w:val="nil"/>
              <w:left w:val="nil"/>
              <w:bottom w:val="nil"/>
              <w:right w:val="nil"/>
            </w:tcBorders>
            <w:shd w:val="clear" w:color="000000" w:fill="FFFFFF"/>
            <w:noWrap/>
            <w:vAlign w:val="bottom"/>
            <w:hideMark/>
          </w:tcPr>
          <w:p w:rsidR="00895BD6" w:rsidRPr="00065913" w:rsidP="00D85D5E" w14:paraId="37CCBB2C" w14:textId="77777777">
            <w:pPr>
              <w:jc w:val="right"/>
              <w:rPr>
                <w:sz w:val="13"/>
                <w:szCs w:val="13"/>
              </w:rPr>
            </w:pPr>
            <w:r w:rsidRPr="00065913">
              <w:rPr>
                <w:sz w:val="13"/>
                <w:szCs w:val="13"/>
              </w:rPr>
              <w:t xml:space="preserve">              - </w:t>
            </w:r>
          </w:p>
        </w:tc>
        <w:tc>
          <w:tcPr>
            <w:tcW w:w="951" w:type="dxa"/>
            <w:tcBorders>
              <w:top w:val="nil"/>
              <w:left w:val="nil"/>
              <w:bottom w:val="nil"/>
              <w:right w:val="nil"/>
            </w:tcBorders>
            <w:shd w:val="clear" w:color="000000" w:fill="FFFFFF"/>
            <w:noWrap/>
            <w:vAlign w:val="bottom"/>
            <w:hideMark/>
          </w:tcPr>
          <w:p w:rsidR="00895BD6" w:rsidRPr="00065913" w:rsidP="00D85D5E" w14:paraId="44355B0E" w14:textId="77777777">
            <w:pPr>
              <w:jc w:val="right"/>
              <w:rPr>
                <w:sz w:val="13"/>
                <w:szCs w:val="13"/>
              </w:rPr>
            </w:pPr>
            <w:r w:rsidRPr="00065913">
              <w:rPr>
                <w:sz w:val="13"/>
                <w:szCs w:val="13"/>
              </w:rPr>
              <w:t xml:space="preserve">                  - </w:t>
            </w:r>
          </w:p>
        </w:tc>
        <w:tc>
          <w:tcPr>
            <w:tcW w:w="810" w:type="dxa"/>
            <w:tcBorders>
              <w:top w:val="nil"/>
              <w:left w:val="nil"/>
              <w:bottom w:val="nil"/>
              <w:right w:val="nil"/>
            </w:tcBorders>
            <w:shd w:val="clear" w:color="000000" w:fill="FFFFFF"/>
            <w:noWrap/>
            <w:vAlign w:val="bottom"/>
            <w:hideMark/>
          </w:tcPr>
          <w:p w:rsidR="00895BD6" w:rsidRPr="00065913" w:rsidP="00D85D5E" w14:paraId="4DF2FA48" w14:textId="77777777">
            <w:pPr>
              <w:jc w:val="right"/>
              <w:rPr>
                <w:sz w:val="13"/>
                <w:szCs w:val="13"/>
              </w:rPr>
            </w:pPr>
            <w:r w:rsidRPr="00065913">
              <w:rPr>
                <w:sz w:val="13"/>
                <w:szCs w:val="13"/>
              </w:rPr>
              <w:t xml:space="preserve">                - </w:t>
            </w:r>
          </w:p>
        </w:tc>
        <w:tc>
          <w:tcPr>
            <w:tcW w:w="720" w:type="dxa"/>
            <w:tcBorders>
              <w:top w:val="nil"/>
              <w:left w:val="nil"/>
              <w:bottom w:val="nil"/>
              <w:right w:val="nil"/>
            </w:tcBorders>
            <w:shd w:val="clear" w:color="000000" w:fill="FFFFFF"/>
            <w:noWrap/>
            <w:vAlign w:val="bottom"/>
            <w:hideMark/>
          </w:tcPr>
          <w:p w:rsidR="00895BD6" w:rsidRPr="00065913" w:rsidP="00D85D5E" w14:paraId="7D787FF5" w14:textId="77777777">
            <w:pPr>
              <w:jc w:val="right"/>
              <w:rPr>
                <w:sz w:val="13"/>
                <w:szCs w:val="13"/>
              </w:rPr>
            </w:pPr>
            <w:r w:rsidRPr="00065913">
              <w:rPr>
                <w:sz w:val="13"/>
                <w:szCs w:val="13"/>
              </w:rPr>
              <w:t xml:space="preserve">          - </w:t>
            </w:r>
          </w:p>
        </w:tc>
        <w:tc>
          <w:tcPr>
            <w:tcW w:w="931" w:type="dxa"/>
            <w:tcBorders>
              <w:top w:val="nil"/>
              <w:left w:val="nil"/>
              <w:bottom w:val="nil"/>
              <w:right w:val="nil"/>
            </w:tcBorders>
            <w:shd w:val="clear" w:color="000000" w:fill="FFFFFF"/>
            <w:noWrap/>
            <w:vAlign w:val="bottom"/>
            <w:hideMark/>
          </w:tcPr>
          <w:p w:rsidR="00895BD6" w:rsidRPr="00065913" w:rsidP="00D85D5E" w14:paraId="12D1D81C" w14:textId="77777777">
            <w:pPr>
              <w:jc w:val="right"/>
              <w:rPr>
                <w:sz w:val="13"/>
                <w:szCs w:val="13"/>
              </w:rPr>
            </w:pPr>
            <w:r w:rsidRPr="00065913">
              <w:rPr>
                <w:sz w:val="13"/>
                <w:szCs w:val="13"/>
              </w:rPr>
              <w:t xml:space="preserve">        (34,679)</w:t>
            </w:r>
          </w:p>
        </w:tc>
      </w:tr>
      <w:tr w14:paraId="1798EF55" w14:textId="77777777" w:rsidTr="00D67677">
        <w:tblPrEx>
          <w:tblW w:w="4998" w:type="pct"/>
          <w:tblLayout w:type="fixed"/>
          <w:tblLook w:val="04A0"/>
        </w:tblPrEx>
        <w:tc>
          <w:tcPr>
            <w:tcW w:w="3914" w:type="dxa"/>
            <w:tcBorders>
              <w:top w:val="nil"/>
              <w:left w:val="nil"/>
              <w:bottom w:val="nil"/>
              <w:right w:val="nil"/>
            </w:tcBorders>
            <w:shd w:val="clear" w:color="000000" w:fill="FFFFFF"/>
            <w:noWrap/>
            <w:vAlign w:val="bottom"/>
            <w:hideMark/>
          </w:tcPr>
          <w:p w:rsidR="00895BD6" w:rsidRPr="00065913" w:rsidP="000C77BA" w14:paraId="0E5C8ADA" w14:textId="77777777">
            <w:pPr>
              <w:ind w:left="432"/>
              <w:rPr>
                <w:sz w:val="13"/>
                <w:szCs w:val="13"/>
              </w:rPr>
            </w:pPr>
            <w:r w:rsidRPr="00065913">
              <w:rPr>
                <w:sz w:val="13"/>
                <w:szCs w:val="13"/>
              </w:rPr>
              <w:t>Agency outlays, net (discretionary and mandatory)</w:t>
            </w:r>
          </w:p>
        </w:tc>
        <w:tc>
          <w:tcPr>
            <w:tcW w:w="874"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0F4788D7" w14:textId="2AE34B2D">
            <w:pPr>
              <w:jc w:val="right"/>
              <w:rPr>
                <w:sz w:val="13"/>
                <w:szCs w:val="13"/>
              </w:rPr>
            </w:pPr>
            <w:r w:rsidRPr="00065913">
              <w:rPr>
                <w:sz w:val="13"/>
                <w:szCs w:val="13"/>
              </w:rPr>
              <w:t>$</w:t>
            </w:r>
            <w:r w:rsidR="00F15846">
              <w:rPr>
                <w:sz w:val="13"/>
                <w:szCs w:val="13"/>
              </w:rPr>
              <w:t xml:space="preserve">   </w:t>
            </w:r>
            <w:r w:rsidRPr="00065913">
              <w:rPr>
                <w:sz w:val="13"/>
                <w:szCs w:val="13"/>
              </w:rPr>
              <w:t xml:space="preserve"> (61,144)</w:t>
            </w:r>
          </w:p>
        </w:tc>
        <w:tc>
          <w:tcPr>
            <w:tcW w:w="874"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46596A0F" w14:textId="129C7BDC">
            <w:pPr>
              <w:jc w:val="right"/>
              <w:rPr>
                <w:sz w:val="13"/>
                <w:szCs w:val="13"/>
              </w:rPr>
            </w:pPr>
            <w:r w:rsidRPr="00065913">
              <w:rPr>
                <w:sz w:val="13"/>
                <w:szCs w:val="13"/>
              </w:rPr>
              <w:t>$</w:t>
            </w:r>
            <w:r w:rsidR="002F22F2">
              <w:rPr>
                <w:sz w:val="13"/>
                <w:szCs w:val="13"/>
              </w:rPr>
              <w:t xml:space="preserve">     </w:t>
            </w:r>
            <w:r w:rsidRPr="00065913">
              <w:rPr>
                <w:sz w:val="13"/>
                <w:szCs w:val="13"/>
              </w:rPr>
              <w:t xml:space="preserve">       797 </w:t>
            </w:r>
          </w:p>
        </w:tc>
        <w:tc>
          <w:tcPr>
            <w:tcW w:w="818"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6F46A600" w14:textId="1CA981FD">
            <w:pPr>
              <w:jc w:val="right"/>
              <w:rPr>
                <w:sz w:val="13"/>
                <w:szCs w:val="13"/>
              </w:rPr>
            </w:pPr>
            <w:r w:rsidRPr="00065913">
              <w:rPr>
                <w:sz w:val="13"/>
                <w:szCs w:val="13"/>
              </w:rPr>
              <w:t>$</w:t>
            </w:r>
            <w:r w:rsidR="00DB0D24">
              <w:rPr>
                <w:sz w:val="13"/>
                <w:szCs w:val="13"/>
              </w:rPr>
              <w:t xml:space="preserve">   </w:t>
            </w:r>
            <w:r w:rsidRPr="00065913">
              <w:rPr>
                <w:sz w:val="13"/>
                <w:szCs w:val="13"/>
              </w:rPr>
              <w:t xml:space="preserve">149,057 </w:t>
            </w:r>
          </w:p>
        </w:tc>
        <w:tc>
          <w:tcPr>
            <w:tcW w:w="1080"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045B4511" w14:textId="56F8D896">
            <w:pPr>
              <w:jc w:val="right"/>
              <w:rPr>
                <w:sz w:val="13"/>
                <w:szCs w:val="13"/>
              </w:rPr>
            </w:pPr>
            <w:r w:rsidRPr="00065913">
              <w:rPr>
                <w:sz w:val="13"/>
                <w:szCs w:val="13"/>
              </w:rPr>
              <w:t>$</w:t>
            </w:r>
            <w:r w:rsidR="00DB0D24">
              <w:rPr>
                <w:sz w:val="13"/>
                <w:szCs w:val="13"/>
              </w:rPr>
              <w:t xml:space="preserve">        </w:t>
            </w:r>
            <w:r w:rsidRPr="00065913">
              <w:rPr>
                <w:sz w:val="13"/>
                <w:szCs w:val="13"/>
              </w:rPr>
              <w:t xml:space="preserve">   572,662 </w:t>
            </w:r>
          </w:p>
        </w:tc>
        <w:tc>
          <w:tcPr>
            <w:tcW w:w="853"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3C75426A" w14:textId="45EE2BC8">
            <w:pPr>
              <w:jc w:val="right"/>
              <w:rPr>
                <w:sz w:val="13"/>
                <w:szCs w:val="13"/>
              </w:rPr>
            </w:pPr>
            <w:r w:rsidRPr="00065913">
              <w:rPr>
                <w:sz w:val="13"/>
                <w:szCs w:val="13"/>
              </w:rPr>
              <w:t>$</w:t>
            </w:r>
            <w:r w:rsidR="0022428F">
              <w:rPr>
                <w:sz w:val="13"/>
                <w:szCs w:val="13"/>
              </w:rPr>
              <w:t xml:space="preserve"> </w:t>
            </w:r>
            <w:r w:rsidRPr="00065913">
              <w:rPr>
                <w:sz w:val="13"/>
                <w:szCs w:val="13"/>
              </w:rPr>
              <w:t xml:space="preserve">       2,370 </w:t>
            </w:r>
          </w:p>
        </w:tc>
        <w:tc>
          <w:tcPr>
            <w:tcW w:w="853"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7981C0E9" w14:textId="77DEBD35">
            <w:pPr>
              <w:jc w:val="right"/>
              <w:rPr>
                <w:sz w:val="13"/>
                <w:szCs w:val="13"/>
              </w:rPr>
            </w:pPr>
            <w:r w:rsidRPr="00065913">
              <w:rPr>
                <w:sz w:val="13"/>
                <w:szCs w:val="13"/>
              </w:rPr>
              <w:t>$</w:t>
            </w:r>
            <w:r w:rsidR="0022428F">
              <w:rPr>
                <w:sz w:val="13"/>
                <w:szCs w:val="13"/>
              </w:rPr>
              <w:t xml:space="preserve"> </w:t>
            </w:r>
            <w:r w:rsidRPr="00065913">
              <w:rPr>
                <w:sz w:val="13"/>
                <w:szCs w:val="13"/>
              </w:rPr>
              <w:t xml:space="preserve">       4,212 </w:t>
            </w:r>
          </w:p>
        </w:tc>
        <w:tc>
          <w:tcPr>
            <w:tcW w:w="853"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01D293C6" w14:textId="6FACBB85">
            <w:pPr>
              <w:jc w:val="right"/>
              <w:rPr>
                <w:sz w:val="13"/>
                <w:szCs w:val="13"/>
              </w:rPr>
            </w:pPr>
            <w:r w:rsidRPr="00065913">
              <w:rPr>
                <w:sz w:val="13"/>
                <w:szCs w:val="13"/>
              </w:rPr>
              <w:t>$</w:t>
            </w:r>
            <w:r w:rsidR="0022428F">
              <w:rPr>
                <w:sz w:val="13"/>
                <w:szCs w:val="13"/>
              </w:rPr>
              <w:t xml:space="preserve">    </w:t>
            </w:r>
            <w:r w:rsidRPr="00065913">
              <w:rPr>
                <w:sz w:val="13"/>
                <w:szCs w:val="13"/>
              </w:rPr>
              <w:t xml:space="preserve">308,951 </w:t>
            </w:r>
          </w:p>
        </w:tc>
        <w:tc>
          <w:tcPr>
            <w:tcW w:w="951" w:type="dxa"/>
            <w:tcBorders>
              <w:top w:val="single" w:sz="4" w:space="0" w:color="auto"/>
              <w:left w:val="nil"/>
              <w:bottom w:val="double" w:sz="6" w:space="0" w:color="auto"/>
              <w:right w:val="nil"/>
            </w:tcBorders>
            <w:shd w:val="clear" w:color="auto" w:fill="auto"/>
            <w:noWrap/>
            <w:vAlign w:val="bottom"/>
            <w:hideMark/>
          </w:tcPr>
          <w:p w:rsidR="00895BD6" w:rsidRPr="00065913" w:rsidP="00D85D5E" w14:paraId="067BC06A" w14:textId="77777777">
            <w:pPr>
              <w:jc w:val="right"/>
              <w:rPr>
                <w:sz w:val="13"/>
                <w:szCs w:val="13"/>
              </w:rPr>
            </w:pPr>
            <w:r w:rsidRPr="00065913">
              <w:rPr>
                <w:sz w:val="13"/>
                <w:szCs w:val="13"/>
              </w:rPr>
              <w:t xml:space="preserve"> $ 8,696,537 </w:t>
            </w:r>
          </w:p>
        </w:tc>
        <w:tc>
          <w:tcPr>
            <w:tcW w:w="810" w:type="dxa"/>
            <w:tcBorders>
              <w:top w:val="single" w:sz="4" w:space="0" w:color="auto"/>
              <w:left w:val="nil"/>
              <w:bottom w:val="double" w:sz="6" w:space="0" w:color="auto"/>
              <w:right w:val="nil"/>
            </w:tcBorders>
            <w:shd w:val="clear" w:color="auto" w:fill="auto"/>
            <w:noWrap/>
            <w:vAlign w:val="bottom"/>
            <w:hideMark/>
          </w:tcPr>
          <w:p w:rsidR="00895BD6" w:rsidRPr="00065913" w:rsidP="005435A3" w14:paraId="54915FCD" w14:textId="69C3E1CA">
            <w:pPr>
              <w:jc w:val="right"/>
              <w:rPr>
                <w:sz w:val="13"/>
                <w:szCs w:val="13"/>
              </w:rPr>
            </w:pPr>
            <w:r w:rsidRPr="00065913">
              <w:rPr>
                <w:sz w:val="13"/>
                <w:szCs w:val="13"/>
              </w:rPr>
              <w:t xml:space="preserve">$1,444,397 </w:t>
            </w:r>
          </w:p>
        </w:tc>
        <w:tc>
          <w:tcPr>
            <w:tcW w:w="720"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68151C45" w14:textId="317B4DE4">
            <w:pPr>
              <w:jc w:val="right"/>
              <w:rPr>
                <w:sz w:val="13"/>
                <w:szCs w:val="13"/>
              </w:rPr>
            </w:pPr>
            <w:r w:rsidRPr="00065913">
              <w:rPr>
                <w:sz w:val="13"/>
                <w:szCs w:val="13"/>
              </w:rPr>
              <w:t>$</w:t>
            </w:r>
            <w:r w:rsidR="00F8445B">
              <w:rPr>
                <w:sz w:val="13"/>
                <w:szCs w:val="13"/>
              </w:rPr>
              <w:t xml:space="preserve">   </w:t>
            </w:r>
            <w:r w:rsidRPr="00065913">
              <w:rPr>
                <w:sz w:val="13"/>
                <w:szCs w:val="13"/>
              </w:rPr>
              <w:t xml:space="preserve">     (4)</w:t>
            </w:r>
          </w:p>
        </w:tc>
        <w:tc>
          <w:tcPr>
            <w:tcW w:w="931" w:type="dxa"/>
            <w:tcBorders>
              <w:top w:val="single" w:sz="4" w:space="0" w:color="auto"/>
              <w:left w:val="nil"/>
              <w:bottom w:val="double" w:sz="6" w:space="0" w:color="auto"/>
              <w:right w:val="nil"/>
            </w:tcBorders>
            <w:shd w:val="clear" w:color="000000" w:fill="FFFFFF"/>
            <w:noWrap/>
            <w:vAlign w:val="bottom"/>
            <w:hideMark/>
          </w:tcPr>
          <w:p w:rsidR="00895BD6" w:rsidRPr="00065913" w:rsidP="00D85D5E" w14:paraId="0CEA67B3" w14:textId="024CF2F4">
            <w:pPr>
              <w:jc w:val="right"/>
              <w:rPr>
                <w:sz w:val="13"/>
                <w:szCs w:val="13"/>
              </w:rPr>
            </w:pPr>
            <w:r w:rsidRPr="00065913">
              <w:rPr>
                <w:sz w:val="13"/>
                <w:szCs w:val="13"/>
              </w:rPr>
              <w:t>$</w:t>
            </w:r>
            <w:r w:rsidR="000A4570">
              <w:rPr>
                <w:sz w:val="13"/>
                <w:szCs w:val="13"/>
              </w:rPr>
              <w:t xml:space="preserve">  </w:t>
            </w:r>
            <w:r w:rsidRPr="00065913">
              <w:rPr>
                <w:sz w:val="13"/>
                <w:szCs w:val="13"/>
              </w:rPr>
              <w:t xml:space="preserve">11,117,835 </w:t>
            </w:r>
          </w:p>
        </w:tc>
      </w:tr>
      <w:bookmarkEnd w:id="279"/>
    </w:tbl>
    <w:p w:rsidR="00034686" w:rsidP="00285D06" w14:paraId="768161BA" w14:textId="5C8F1DD2">
      <w:pPr>
        <w:rPr>
          <w:b/>
          <w:bCs/>
          <w:sz w:val="22"/>
          <w:szCs w:val="22"/>
        </w:rPr>
      </w:pPr>
    </w:p>
    <w:p w:rsidR="00F87011" w:rsidP="00285D06" w14:paraId="5A04E90A" w14:textId="6060A406">
      <w:pPr>
        <w:rPr>
          <w:b/>
          <w:bCs/>
          <w:sz w:val="22"/>
          <w:szCs w:val="22"/>
        </w:rPr>
        <w:sectPr w:rsidSect="00DB401A">
          <w:footnotePr>
            <w:numRestart w:val="eachSect"/>
          </w:footnotePr>
          <w:pgSz w:w="15840" w:h="12240" w:orient="landscape" w:code="1"/>
          <w:pgMar w:top="1440" w:right="1152" w:bottom="1440" w:left="1152" w:header="720" w:footer="990" w:gutter="0"/>
          <w:cols w:space="720"/>
          <w:docGrid w:linePitch="360"/>
        </w:sectPr>
      </w:pPr>
    </w:p>
    <w:p w:rsidR="00285D06" w:rsidRPr="009D63E8" w:rsidP="00034686" w14:paraId="738CC047" w14:textId="77777777">
      <w:pPr>
        <w:spacing w:after="240"/>
        <w:rPr>
          <w:b/>
          <w:bCs/>
          <w:sz w:val="22"/>
          <w:szCs w:val="22"/>
        </w:rPr>
      </w:pPr>
      <w:r w:rsidRPr="009D63E8">
        <w:rPr>
          <w:b/>
          <w:bCs/>
          <w:sz w:val="22"/>
          <w:szCs w:val="22"/>
        </w:rPr>
        <w:t xml:space="preserve">Required Supplementary Information – Schedule of Budgetary Resources by Major Account </w:t>
      </w:r>
      <w:r>
        <w:rPr>
          <w:b/>
          <w:bCs/>
          <w:sz w:val="22"/>
          <w:szCs w:val="22"/>
        </w:rPr>
        <w:t>(continued)</w:t>
      </w:r>
    </w:p>
    <w:tbl>
      <w:tblPr>
        <w:tblW w:w="5000" w:type="pct"/>
        <w:tblLook w:val="04A0"/>
      </w:tblPr>
      <w:tblGrid>
        <w:gridCol w:w="5459"/>
        <w:gridCol w:w="997"/>
        <w:gridCol w:w="998"/>
        <w:gridCol w:w="998"/>
        <w:gridCol w:w="998"/>
        <w:gridCol w:w="1085"/>
        <w:gridCol w:w="998"/>
        <w:gridCol w:w="998"/>
        <w:gridCol w:w="1005"/>
      </w:tblGrid>
      <w:tr w14:paraId="3F49F4BB"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bookmarkEnd w:id="126"/>
          <w:bookmarkEnd w:id="127"/>
          <w:bookmarkEnd w:id="128"/>
          <w:bookmarkEnd w:id="129"/>
          <w:bookmarkEnd w:id="130"/>
          <w:bookmarkEnd w:id="131"/>
          <w:bookmarkEnd w:id="132"/>
          <w:bookmarkEnd w:id="133"/>
          <w:bookmarkEnd w:id="134"/>
          <w:p w:rsidR="00CD6D17" w:rsidRPr="00CD6D17" w:rsidP="004957F6" w14:paraId="2943E880" w14:textId="45CE31A8">
            <w:pPr>
              <w:rPr>
                <w:sz w:val="14"/>
                <w:szCs w:val="14"/>
              </w:rPr>
            </w:pPr>
            <w:r w:rsidRPr="00CD6D17">
              <w:rPr>
                <w:b/>
                <w:bCs/>
                <w:sz w:val="14"/>
                <w:szCs w:val="14"/>
                <w:u w:val="single"/>
              </w:rPr>
              <w:t>FY 2020</w:t>
            </w:r>
          </w:p>
        </w:tc>
        <w:tc>
          <w:tcPr>
            <w:tcW w:w="864" w:type="dxa"/>
            <w:tcBorders>
              <w:top w:val="nil"/>
              <w:left w:val="nil"/>
              <w:bottom w:val="single" w:sz="4" w:space="0" w:color="auto"/>
              <w:right w:val="nil"/>
            </w:tcBorders>
            <w:shd w:val="clear" w:color="000000" w:fill="FFFFFF"/>
            <w:noWrap/>
            <w:vAlign w:val="bottom"/>
            <w:hideMark/>
          </w:tcPr>
          <w:p w:rsidR="00CD6D17" w:rsidRPr="00CD6D17" w:rsidP="004761EF" w14:paraId="2D3B3511" w14:textId="77777777">
            <w:pPr>
              <w:jc w:val="center"/>
              <w:rPr>
                <w:sz w:val="14"/>
                <w:szCs w:val="14"/>
              </w:rPr>
            </w:pPr>
            <w:r w:rsidRPr="00CD6D17">
              <w:rPr>
                <w:sz w:val="14"/>
                <w:szCs w:val="14"/>
              </w:rPr>
              <w:t>S&amp;E</w:t>
            </w:r>
          </w:p>
        </w:tc>
        <w:tc>
          <w:tcPr>
            <w:tcW w:w="864" w:type="dxa"/>
            <w:tcBorders>
              <w:top w:val="nil"/>
              <w:left w:val="nil"/>
              <w:bottom w:val="single" w:sz="4" w:space="0" w:color="auto"/>
              <w:right w:val="nil"/>
            </w:tcBorders>
            <w:shd w:val="clear" w:color="000000" w:fill="FFFFFF"/>
            <w:noWrap/>
            <w:vAlign w:val="bottom"/>
            <w:hideMark/>
          </w:tcPr>
          <w:p w:rsidR="00CD6D17" w:rsidRPr="00CD6D17" w:rsidP="004761EF" w14:paraId="536F9A5A" w14:textId="77777777">
            <w:pPr>
              <w:jc w:val="center"/>
              <w:rPr>
                <w:sz w:val="14"/>
                <w:szCs w:val="14"/>
              </w:rPr>
            </w:pPr>
            <w:r w:rsidRPr="00CD6D17">
              <w:rPr>
                <w:sz w:val="14"/>
                <w:szCs w:val="14"/>
              </w:rPr>
              <w:t>Auctions</w:t>
            </w:r>
          </w:p>
        </w:tc>
        <w:tc>
          <w:tcPr>
            <w:tcW w:w="864" w:type="dxa"/>
            <w:tcBorders>
              <w:top w:val="nil"/>
              <w:left w:val="nil"/>
              <w:bottom w:val="single" w:sz="4" w:space="0" w:color="auto"/>
              <w:right w:val="nil"/>
            </w:tcBorders>
            <w:shd w:val="clear" w:color="000000" w:fill="FFFFFF"/>
            <w:vAlign w:val="bottom"/>
            <w:hideMark/>
          </w:tcPr>
          <w:p w:rsidR="00CD6D17" w:rsidRPr="00CD6D17" w:rsidP="004761EF" w14:paraId="7B814BFA" w14:textId="77777777">
            <w:pPr>
              <w:jc w:val="center"/>
              <w:rPr>
                <w:sz w:val="14"/>
                <w:szCs w:val="14"/>
              </w:rPr>
            </w:pPr>
            <w:r w:rsidRPr="00CD6D17">
              <w:rPr>
                <w:sz w:val="14"/>
                <w:szCs w:val="14"/>
              </w:rPr>
              <w:t>COVID-19 Telehealth</w:t>
            </w:r>
          </w:p>
        </w:tc>
        <w:tc>
          <w:tcPr>
            <w:tcW w:w="864" w:type="dxa"/>
            <w:tcBorders>
              <w:top w:val="nil"/>
              <w:left w:val="nil"/>
              <w:bottom w:val="single" w:sz="4" w:space="0" w:color="auto"/>
              <w:right w:val="nil"/>
            </w:tcBorders>
            <w:shd w:val="clear" w:color="000000" w:fill="FFFFFF"/>
            <w:noWrap/>
            <w:vAlign w:val="bottom"/>
            <w:hideMark/>
          </w:tcPr>
          <w:p w:rsidR="00CD6D17" w:rsidRPr="00CD6D17" w:rsidP="004761EF" w14:paraId="2A4CBB7E" w14:textId="77777777">
            <w:pPr>
              <w:jc w:val="center"/>
              <w:rPr>
                <w:sz w:val="14"/>
                <w:szCs w:val="14"/>
              </w:rPr>
            </w:pPr>
            <w:r w:rsidRPr="00CD6D17">
              <w:rPr>
                <w:sz w:val="14"/>
                <w:szCs w:val="14"/>
              </w:rPr>
              <w:t>TVBRF</w:t>
            </w:r>
          </w:p>
        </w:tc>
        <w:tc>
          <w:tcPr>
            <w:tcW w:w="864" w:type="dxa"/>
            <w:tcBorders>
              <w:top w:val="nil"/>
              <w:left w:val="nil"/>
              <w:bottom w:val="single" w:sz="4" w:space="0" w:color="auto"/>
              <w:right w:val="nil"/>
            </w:tcBorders>
            <w:shd w:val="clear" w:color="000000" w:fill="FFFFFF"/>
            <w:noWrap/>
            <w:vAlign w:val="bottom"/>
            <w:hideMark/>
          </w:tcPr>
          <w:p w:rsidR="00CD6D17" w:rsidRPr="00CD6D17" w:rsidP="006657AF" w14:paraId="5CC1AC69" w14:textId="77777777">
            <w:pPr>
              <w:jc w:val="center"/>
              <w:rPr>
                <w:sz w:val="14"/>
                <w:szCs w:val="14"/>
              </w:rPr>
            </w:pPr>
            <w:r w:rsidRPr="00CD6D17">
              <w:rPr>
                <w:sz w:val="14"/>
                <w:szCs w:val="14"/>
              </w:rPr>
              <w:t>USF</w:t>
            </w:r>
          </w:p>
        </w:tc>
        <w:tc>
          <w:tcPr>
            <w:tcW w:w="864" w:type="dxa"/>
            <w:tcBorders>
              <w:top w:val="nil"/>
              <w:left w:val="nil"/>
              <w:bottom w:val="single" w:sz="4" w:space="0" w:color="auto"/>
              <w:right w:val="nil"/>
            </w:tcBorders>
            <w:shd w:val="clear" w:color="000000" w:fill="FFFFFF"/>
            <w:noWrap/>
            <w:vAlign w:val="bottom"/>
            <w:hideMark/>
          </w:tcPr>
          <w:p w:rsidR="00CD6D17" w:rsidRPr="00CD6D17" w:rsidP="004761EF" w14:paraId="0D00179B" w14:textId="77777777">
            <w:pPr>
              <w:jc w:val="center"/>
              <w:rPr>
                <w:sz w:val="14"/>
                <w:szCs w:val="14"/>
              </w:rPr>
            </w:pPr>
            <w:r w:rsidRPr="00CD6D17">
              <w:rPr>
                <w:sz w:val="14"/>
                <w:szCs w:val="14"/>
              </w:rPr>
              <w:t>TRS</w:t>
            </w:r>
          </w:p>
        </w:tc>
        <w:tc>
          <w:tcPr>
            <w:tcW w:w="864" w:type="dxa"/>
            <w:tcBorders>
              <w:top w:val="nil"/>
              <w:left w:val="nil"/>
              <w:bottom w:val="single" w:sz="4" w:space="0" w:color="auto"/>
              <w:right w:val="nil"/>
            </w:tcBorders>
            <w:shd w:val="clear" w:color="000000" w:fill="FFFFFF"/>
            <w:noWrap/>
            <w:vAlign w:val="bottom"/>
            <w:hideMark/>
          </w:tcPr>
          <w:p w:rsidR="00CD6D17" w:rsidRPr="00CD6D17" w:rsidP="004761EF" w14:paraId="57965885" w14:textId="77777777">
            <w:pPr>
              <w:jc w:val="center"/>
              <w:rPr>
                <w:sz w:val="14"/>
                <w:szCs w:val="14"/>
              </w:rPr>
            </w:pPr>
            <w:r w:rsidRPr="00CD6D17">
              <w:rPr>
                <w:sz w:val="14"/>
                <w:szCs w:val="14"/>
              </w:rPr>
              <w:t>Other</w:t>
            </w:r>
          </w:p>
        </w:tc>
        <w:tc>
          <w:tcPr>
            <w:tcW w:w="864" w:type="dxa"/>
            <w:tcBorders>
              <w:top w:val="nil"/>
              <w:left w:val="nil"/>
              <w:bottom w:val="single" w:sz="4" w:space="0" w:color="auto"/>
              <w:right w:val="nil"/>
            </w:tcBorders>
            <w:shd w:val="clear" w:color="000000" w:fill="FFFFFF"/>
            <w:noWrap/>
            <w:vAlign w:val="bottom"/>
            <w:hideMark/>
          </w:tcPr>
          <w:p w:rsidR="00CD6D17" w:rsidRPr="00CD6D17" w:rsidP="004761EF" w14:paraId="3DCEBD89" w14:textId="77777777">
            <w:pPr>
              <w:jc w:val="center"/>
              <w:rPr>
                <w:sz w:val="14"/>
                <w:szCs w:val="14"/>
              </w:rPr>
            </w:pPr>
            <w:r w:rsidRPr="00CD6D17">
              <w:rPr>
                <w:sz w:val="14"/>
                <w:szCs w:val="14"/>
              </w:rPr>
              <w:t>Total</w:t>
            </w:r>
          </w:p>
        </w:tc>
      </w:tr>
      <w:tr w14:paraId="23B70362" w14:textId="77777777" w:rsidTr="00F03546">
        <w:tblPrEx>
          <w:tblW w:w="5000" w:type="pct"/>
          <w:tblLook w:val="04A0"/>
        </w:tblPrEx>
        <w:trPr>
          <w:trHeight w:val="350"/>
        </w:trPr>
        <w:tc>
          <w:tcPr>
            <w:tcW w:w="4729" w:type="dxa"/>
            <w:tcBorders>
              <w:top w:val="nil"/>
              <w:left w:val="nil"/>
              <w:bottom w:val="nil"/>
              <w:right w:val="nil"/>
            </w:tcBorders>
            <w:shd w:val="clear" w:color="000000" w:fill="FFFFFF"/>
            <w:noWrap/>
            <w:vAlign w:val="bottom"/>
          </w:tcPr>
          <w:p w:rsidR="00CD6D17" w:rsidRPr="00CD6D17" w:rsidP="004957F6" w14:paraId="426B1188" w14:textId="7316AA7E">
            <w:pPr>
              <w:rPr>
                <w:sz w:val="14"/>
                <w:szCs w:val="14"/>
              </w:rPr>
            </w:pPr>
            <w:r w:rsidRPr="00CD6D17">
              <w:rPr>
                <w:b/>
                <w:bCs/>
                <w:sz w:val="14"/>
                <w:szCs w:val="14"/>
              </w:rPr>
              <w:t>Budgetary Resources:</w:t>
            </w:r>
          </w:p>
        </w:tc>
        <w:tc>
          <w:tcPr>
            <w:tcW w:w="864" w:type="dxa"/>
            <w:tcBorders>
              <w:top w:val="nil"/>
              <w:left w:val="nil"/>
              <w:bottom w:val="nil"/>
              <w:right w:val="nil"/>
            </w:tcBorders>
            <w:shd w:val="clear" w:color="000000" w:fill="FFFFFF"/>
            <w:noWrap/>
            <w:vAlign w:val="bottom"/>
          </w:tcPr>
          <w:p w:rsidR="00CD6D17" w:rsidRPr="00CD6D17" w:rsidP="004761EF" w14:paraId="208C6CE5"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463A428A"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44178E8F"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56C4E967"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BB5C47" w14:paraId="5B3AEC02"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7E7CEF86"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19FDEFFA"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3DEC0CE2" w14:textId="77777777">
            <w:pPr>
              <w:jc w:val="right"/>
              <w:rPr>
                <w:sz w:val="14"/>
                <w:szCs w:val="14"/>
              </w:rPr>
            </w:pPr>
          </w:p>
        </w:tc>
      </w:tr>
      <w:tr w14:paraId="727F01E4"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17A1CAD3" w14:textId="77777777">
            <w:pPr>
              <w:ind w:left="360"/>
              <w:rPr>
                <w:sz w:val="14"/>
                <w:szCs w:val="14"/>
              </w:rPr>
            </w:pPr>
            <w:r w:rsidRPr="00CD6D17">
              <w:rPr>
                <w:sz w:val="14"/>
                <w:szCs w:val="14"/>
              </w:rPr>
              <w:t>Unobligated balance from prior year budget authority, net</w:t>
            </w:r>
          </w:p>
        </w:tc>
        <w:tc>
          <w:tcPr>
            <w:tcW w:w="864" w:type="dxa"/>
            <w:tcBorders>
              <w:top w:val="nil"/>
              <w:left w:val="nil"/>
              <w:bottom w:val="nil"/>
              <w:right w:val="nil"/>
            </w:tcBorders>
            <w:shd w:val="clear" w:color="000000" w:fill="FFFFFF"/>
            <w:noWrap/>
            <w:vAlign w:val="bottom"/>
            <w:hideMark/>
          </w:tcPr>
          <w:p w:rsidR="00CD6D17" w:rsidRPr="00CD6D17" w:rsidP="00950F85" w14:paraId="34EEC07E" w14:textId="25795FE5">
            <w:pPr>
              <w:jc w:val="right"/>
              <w:rPr>
                <w:sz w:val="14"/>
                <w:szCs w:val="14"/>
              </w:rPr>
            </w:pPr>
            <w:r w:rsidRPr="00CD6D17">
              <w:rPr>
                <w:sz w:val="14"/>
                <w:szCs w:val="14"/>
              </w:rPr>
              <w:t xml:space="preserve"> $ </w:t>
            </w:r>
            <w:r w:rsidR="00E1385B">
              <w:rPr>
                <w:sz w:val="14"/>
                <w:szCs w:val="14"/>
              </w:rPr>
              <w:t xml:space="preserve">      </w:t>
            </w:r>
            <w:r w:rsidRPr="00CD6D17">
              <w:rPr>
                <w:sz w:val="14"/>
                <w:szCs w:val="14"/>
              </w:rPr>
              <w:t xml:space="preserve"> 81,898 </w:t>
            </w:r>
          </w:p>
        </w:tc>
        <w:tc>
          <w:tcPr>
            <w:tcW w:w="864" w:type="dxa"/>
            <w:tcBorders>
              <w:top w:val="nil"/>
              <w:left w:val="nil"/>
              <w:bottom w:val="nil"/>
              <w:right w:val="nil"/>
            </w:tcBorders>
            <w:shd w:val="clear" w:color="000000" w:fill="FFFFFF"/>
            <w:noWrap/>
            <w:vAlign w:val="bottom"/>
            <w:hideMark/>
          </w:tcPr>
          <w:p w:rsidR="00CD6D17" w:rsidRPr="00CD6D17" w:rsidP="00950F85" w14:paraId="465B7252" w14:textId="7AB396D3">
            <w:pPr>
              <w:jc w:val="right"/>
              <w:rPr>
                <w:sz w:val="14"/>
                <w:szCs w:val="14"/>
              </w:rPr>
            </w:pPr>
            <w:r w:rsidRPr="00CD6D17">
              <w:rPr>
                <w:sz w:val="14"/>
                <w:szCs w:val="14"/>
              </w:rPr>
              <w:t>$</w:t>
            </w:r>
            <w:r w:rsidR="00427CEE">
              <w:rPr>
                <w:sz w:val="14"/>
                <w:szCs w:val="14"/>
              </w:rPr>
              <w:t xml:space="preserve">       </w:t>
            </w:r>
            <w:r w:rsidRPr="00CD6D17">
              <w:rPr>
                <w:sz w:val="14"/>
                <w:szCs w:val="14"/>
              </w:rPr>
              <w:t xml:space="preserve">  41,860 </w:t>
            </w:r>
          </w:p>
        </w:tc>
        <w:tc>
          <w:tcPr>
            <w:tcW w:w="864" w:type="dxa"/>
            <w:tcBorders>
              <w:top w:val="nil"/>
              <w:left w:val="nil"/>
              <w:bottom w:val="nil"/>
              <w:right w:val="nil"/>
            </w:tcBorders>
            <w:shd w:val="clear" w:color="000000" w:fill="FFFFFF"/>
            <w:noWrap/>
            <w:vAlign w:val="bottom"/>
            <w:hideMark/>
          </w:tcPr>
          <w:p w:rsidR="00CD6D17" w:rsidRPr="00CD6D17" w:rsidP="00950F85" w14:paraId="3D3D97BE" w14:textId="391FCCA3">
            <w:pPr>
              <w:jc w:val="right"/>
              <w:rPr>
                <w:sz w:val="14"/>
                <w:szCs w:val="14"/>
              </w:rPr>
            </w:pPr>
            <w:r w:rsidRPr="00CD6D17">
              <w:rPr>
                <w:sz w:val="14"/>
                <w:szCs w:val="14"/>
              </w:rPr>
              <w:t>$</w:t>
            </w:r>
            <w:r w:rsidR="00427CEE">
              <w:rPr>
                <w:sz w:val="14"/>
                <w:szCs w:val="14"/>
              </w:rPr>
              <w:t xml:space="preserve">       </w:t>
            </w: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950F85" w14:paraId="7EF339B3" w14:textId="4C01B2B8">
            <w:pPr>
              <w:jc w:val="right"/>
              <w:rPr>
                <w:sz w:val="14"/>
                <w:szCs w:val="14"/>
              </w:rPr>
            </w:pPr>
            <w:r w:rsidRPr="00CD6D17">
              <w:rPr>
                <w:sz w:val="14"/>
                <w:szCs w:val="14"/>
              </w:rPr>
              <w:t>$</w:t>
            </w:r>
            <w:r w:rsidR="00427CEE">
              <w:rPr>
                <w:sz w:val="14"/>
                <w:szCs w:val="14"/>
              </w:rPr>
              <w:t xml:space="preserve">       </w:t>
            </w:r>
            <w:r w:rsidRPr="00CD6D17">
              <w:rPr>
                <w:sz w:val="14"/>
                <w:szCs w:val="14"/>
              </w:rPr>
              <w:t>950,723</w:t>
            </w:r>
          </w:p>
        </w:tc>
        <w:tc>
          <w:tcPr>
            <w:tcW w:w="864" w:type="dxa"/>
            <w:tcBorders>
              <w:top w:val="nil"/>
              <w:left w:val="nil"/>
              <w:bottom w:val="nil"/>
              <w:right w:val="nil"/>
            </w:tcBorders>
            <w:shd w:val="clear" w:color="000000" w:fill="FFFFFF"/>
            <w:noWrap/>
            <w:vAlign w:val="bottom"/>
            <w:hideMark/>
          </w:tcPr>
          <w:p w:rsidR="00CD6D17" w:rsidRPr="00CD6D17" w:rsidP="00950F85" w14:paraId="53F97486" w14:textId="0F1EAADD">
            <w:pPr>
              <w:jc w:val="right"/>
              <w:rPr>
                <w:sz w:val="14"/>
                <w:szCs w:val="14"/>
              </w:rPr>
            </w:pPr>
            <w:r w:rsidRPr="00CD6D17">
              <w:rPr>
                <w:sz w:val="14"/>
                <w:szCs w:val="14"/>
              </w:rPr>
              <w:t>$</w:t>
            </w:r>
            <w:r w:rsidR="00427CEE">
              <w:rPr>
                <w:sz w:val="14"/>
                <w:szCs w:val="14"/>
              </w:rPr>
              <w:t xml:space="preserve">  </w:t>
            </w:r>
            <w:r w:rsidRPr="00CD6D17">
              <w:rPr>
                <w:sz w:val="14"/>
                <w:szCs w:val="14"/>
              </w:rPr>
              <w:t>(10,763,629)</w:t>
            </w:r>
          </w:p>
        </w:tc>
        <w:tc>
          <w:tcPr>
            <w:tcW w:w="864" w:type="dxa"/>
            <w:tcBorders>
              <w:top w:val="nil"/>
              <w:left w:val="nil"/>
              <w:bottom w:val="nil"/>
              <w:right w:val="nil"/>
            </w:tcBorders>
            <w:shd w:val="clear" w:color="000000" w:fill="FFFFFF"/>
            <w:noWrap/>
            <w:vAlign w:val="bottom"/>
            <w:hideMark/>
          </w:tcPr>
          <w:p w:rsidR="00CD6D17" w:rsidRPr="00CD6D17" w:rsidP="00950F85" w14:paraId="23F8131F" w14:textId="7AF4F43C">
            <w:pPr>
              <w:jc w:val="right"/>
              <w:rPr>
                <w:sz w:val="14"/>
                <w:szCs w:val="14"/>
              </w:rPr>
            </w:pPr>
            <w:r w:rsidRPr="00CD6D17">
              <w:rPr>
                <w:sz w:val="14"/>
                <w:szCs w:val="14"/>
              </w:rPr>
              <w:t xml:space="preserve"> $</w:t>
            </w:r>
            <w:r w:rsidR="0048479A">
              <w:rPr>
                <w:sz w:val="14"/>
                <w:szCs w:val="14"/>
              </w:rPr>
              <w:t xml:space="preserve">    </w:t>
            </w:r>
            <w:r w:rsidRPr="00CD6D17">
              <w:rPr>
                <w:sz w:val="14"/>
                <w:szCs w:val="14"/>
              </w:rPr>
              <w:t xml:space="preserve">  298,766 </w:t>
            </w:r>
          </w:p>
        </w:tc>
        <w:tc>
          <w:tcPr>
            <w:tcW w:w="864" w:type="dxa"/>
            <w:tcBorders>
              <w:top w:val="nil"/>
              <w:left w:val="nil"/>
              <w:bottom w:val="nil"/>
              <w:right w:val="nil"/>
            </w:tcBorders>
            <w:shd w:val="clear" w:color="000000" w:fill="FFFFFF"/>
            <w:noWrap/>
            <w:vAlign w:val="bottom"/>
            <w:hideMark/>
          </w:tcPr>
          <w:p w:rsidR="00CD6D17" w:rsidRPr="00CD6D17" w:rsidP="00950F85" w14:paraId="7F0248F3" w14:textId="5211D51C">
            <w:pPr>
              <w:jc w:val="right"/>
              <w:rPr>
                <w:sz w:val="14"/>
                <w:szCs w:val="14"/>
              </w:rPr>
            </w:pPr>
            <w:r w:rsidRPr="00CD6D17">
              <w:rPr>
                <w:sz w:val="14"/>
                <w:szCs w:val="14"/>
              </w:rPr>
              <w:t>$</w:t>
            </w:r>
            <w:r w:rsidR="009737E1">
              <w:rPr>
                <w:sz w:val="14"/>
                <w:szCs w:val="14"/>
              </w:rPr>
              <w:t xml:space="preserve">           </w:t>
            </w:r>
            <w:r w:rsidRPr="00CD6D17">
              <w:rPr>
                <w:sz w:val="14"/>
                <w:szCs w:val="14"/>
              </w:rPr>
              <w:t xml:space="preserve">2,840 </w:t>
            </w:r>
          </w:p>
        </w:tc>
        <w:tc>
          <w:tcPr>
            <w:tcW w:w="864" w:type="dxa"/>
            <w:tcBorders>
              <w:top w:val="nil"/>
              <w:left w:val="nil"/>
              <w:bottom w:val="nil"/>
              <w:right w:val="nil"/>
            </w:tcBorders>
            <w:shd w:val="clear" w:color="000000" w:fill="FFFFFF"/>
            <w:noWrap/>
            <w:vAlign w:val="bottom"/>
            <w:hideMark/>
          </w:tcPr>
          <w:p w:rsidR="00CD6D17" w:rsidRPr="00CD6D17" w:rsidP="00950F85" w14:paraId="15B5976E" w14:textId="55CA5755">
            <w:pPr>
              <w:jc w:val="right"/>
              <w:rPr>
                <w:sz w:val="14"/>
                <w:szCs w:val="14"/>
              </w:rPr>
            </w:pPr>
            <w:r w:rsidRPr="00CD6D17">
              <w:rPr>
                <w:sz w:val="14"/>
                <w:szCs w:val="14"/>
              </w:rPr>
              <w:t>$ (9,387,542)</w:t>
            </w:r>
          </w:p>
        </w:tc>
      </w:tr>
      <w:tr w14:paraId="1A1ED6AF"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647D4746" w14:textId="77777777">
            <w:pPr>
              <w:ind w:left="360"/>
              <w:rPr>
                <w:sz w:val="14"/>
                <w:szCs w:val="14"/>
              </w:rPr>
            </w:pPr>
            <w:r w:rsidRPr="00CD6D17">
              <w:rPr>
                <w:sz w:val="14"/>
                <w:szCs w:val="14"/>
              </w:rPr>
              <w:t>Appropriations (discretionary and mandatory)</w:t>
            </w:r>
          </w:p>
        </w:tc>
        <w:tc>
          <w:tcPr>
            <w:tcW w:w="864" w:type="dxa"/>
            <w:tcBorders>
              <w:top w:val="nil"/>
              <w:left w:val="nil"/>
              <w:bottom w:val="nil"/>
              <w:right w:val="nil"/>
            </w:tcBorders>
            <w:shd w:val="clear" w:color="000000" w:fill="FFFFFF"/>
            <w:noWrap/>
            <w:vAlign w:val="bottom"/>
            <w:hideMark/>
          </w:tcPr>
          <w:p w:rsidR="00CD6D17" w:rsidRPr="00CD6D17" w:rsidP="004761EF" w14:paraId="352438AC"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499EFC12"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7339135B" w14:textId="77777777">
            <w:pPr>
              <w:jc w:val="right"/>
              <w:rPr>
                <w:sz w:val="14"/>
                <w:szCs w:val="14"/>
              </w:rPr>
            </w:pPr>
            <w:r w:rsidRPr="00CD6D17">
              <w:rPr>
                <w:sz w:val="14"/>
                <w:szCs w:val="14"/>
              </w:rPr>
              <w:t xml:space="preserve">   200,000 </w:t>
            </w:r>
          </w:p>
        </w:tc>
        <w:tc>
          <w:tcPr>
            <w:tcW w:w="864" w:type="dxa"/>
            <w:tcBorders>
              <w:top w:val="nil"/>
              <w:left w:val="nil"/>
              <w:bottom w:val="nil"/>
              <w:right w:val="nil"/>
            </w:tcBorders>
            <w:shd w:val="clear" w:color="000000" w:fill="FFFFFF"/>
            <w:noWrap/>
            <w:vAlign w:val="bottom"/>
            <w:hideMark/>
          </w:tcPr>
          <w:p w:rsidR="00CD6D17" w:rsidRPr="00CD6D17" w:rsidP="004761EF" w14:paraId="6FA87B93"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BB5C47" w14:paraId="2D999770" w14:textId="77777777">
            <w:pPr>
              <w:jc w:val="right"/>
              <w:rPr>
                <w:sz w:val="14"/>
                <w:szCs w:val="14"/>
              </w:rPr>
            </w:pPr>
            <w:r w:rsidRPr="00CD6D17">
              <w:rPr>
                <w:sz w:val="14"/>
                <w:szCs w:val="14"/>
              </w:rPr>
              <w:t xml:space="preserve">      7,960,080 </w:t>
            </w:r>
          </w:p>
        </w:tc>
        <w:tc>
          <w:tcPr>
            <w:tcW w:w="864" w:type="dxa"/>
            <w:tcBorders>
              <w:top w:val="nil"/>
              <w:left w:val="nil"/>
              <w:bottom w:val="nil"/>
              <w:right w:val="nil"/>
            </w:tcBorders>
            <w:shd w:val="clear" w:color="000000" w:fill="FFFFFF"/>
            <w:noWrap/>
            <w:vAlign w:val="bottom"/>
            <w:hideMark/>
          </w:tcPr>
          <w:p w:rsidR="00CD6D17" w:rsidRPr="00CD6D17" w:rsidP="004761EF" w14:paraId="78535FDA" w14:textId="77777777">
            <w:pPr>
              <w:jc w:val="right"/>
              <w:rPr>
                <w:sz w:val="14"/>
                <w:szCs w:val="14"/>
              </w:rPr>
            </w:pPr>
            <w:r w:rsidRPr="00CD6D17">
              <w:rPr>
                <w:sz w:val="14"/>
                <w:szCs w:val="14"/>
              </w:rPr>
              <w:t xml:space="preserve">   1,488,713 </w:t>
            </w:r>
          </w:p>
        </w:tc>
        <w:tc>
          <w:tcPr>
            <w:tcW w:w="864" w:type="dxa"/>
            <w:tcBorders>
              <w:top w:val="nil"/>
              <w:left w:val="nil"/>
              <w:bottom w:val="nil"/>
              <w:right w:val="nil"/>
            </w:tcBorders>
            <w:shd w:val="clear" w:color="000000" w:fill="FFFFFF"/>
            <w:noWrap/>
            <w:vAlign w:val="bottom"/>
            <w:hideMark/>
          </w:tcPr>
          <w:p w:rsidR="00CD6D17" w:rsidRPr="00CD6D17" w:rsidP="004761EF" w14:paraId="319128EE"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28DBFA52" w14:textId="77777777">
            <w:pPr>
              <w:jc w:val="right"/>
              <w:rPr>
                <w:sz w:val="14"/>
                <w:szCs w:val="14"/>
              </w:rPr>
            </w:pPr>
            <w:r w:rsidRPr="00CD6D17">
              <w:rPr>
                <w:sz w:val="14"/>
                <w:szCs w:val="14"/>
              </w:rPr>
              <w:t xml:space="preserve">     9,648,793 </w:t>
            </w:r>
          </w:p>
        </w:tc>
      </w:tr>
      <w:tr w14:paraId="4153C697"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34017071" w14:textId="77777777">
            <w:pPr>
              <w:ind w:left="360"/>
              <w:rPr>
                <w:sz w:val="14"/>
                <w:szCs w:val="14"/>
              </w:rPr>
            </w:pPr>
            <w:r w:rsidRPr="00CD6D17">
              <w:rPr>
                <w:sz w:val="14"/>
                <w:szCs w:val="14"/>
              </w:rPr>
              <w:t>Spending authority from offsetting collections (discretionary and mandatory)</w:t>
            </w:r>
          </w:p>
        </w:tc>
        <w:tc>
          <w:tcPr>
            <w:tcW w:w="864" w:type="dxa"/>
            <w:tcBorders>
              <w:top w:val="nil"/>
              <w:left w:val="nil"/>
              <w:bottom w:val="nil"/>
              <w:right w:val="nil"/>
            </w:tcBorders>
            <w:shd w:val="clear" w:color="000000" w:fill="FFFFFF"/>
            <w:noWrap/>
            <w:vAlign w:val="bottom"/>
            <w:hideMark/>
          </w:tcPr>
          <w:p w:rsidR="00CD6D17" w:rsidRPr="00CD6D17" w:rsidP="004761EF" w14:paraId="36436C01" w14:textId="77777777">
            <w:pPr>
              <w:jc w:val="right"/>
              <w:rPr>
                <w:sz w:val="14"/>
                <w:szCs w:val="14"/>
              </w:rPr>
            </w:pPr>
            <w:r w:rsidRPr="00CD6D17">
              <w:rPr>
                <w:sz w:val="14"/>
                <w:szCs w:val="14"/>
              </w:rPr>
              <w:t xml:space="preserve">   339,880 </w:t>
            </w:r>
          </w:p>
        </w:tc>
        <w:tc>
          <w:tcPr>
            <w:tcW w:w="864" w:type="dxa"/>
            <w:tcBorders>
              <w:top w:val="nil"/>
              <w:left w:val="nil"/>
              <w:bottom w:val="nil"/>
              <w:right w:val="nil"/>
            </w:tcBorders>
            <w:shd w:val="clear" w:color="000000" w:fill="FFFFFF"/>
            <w:noWrap/>
            <w:vAlign w:val="bottom"/>
            <w:hideMark/>
          </w:tcPr>
          <w:p w:rsidR="00CD6D17" w:rsidRPr="00CD6D17" w:rsidP="004761EF" w14:paraId="53932ABE" w14:textId="77777777">
            <w:pPr>
              <w:jc w:val="right"/>
              <w:rPr>
                <w:sz w:val="14"/>
                <w:szCs w:val="14"/>
              </w:rPr>
            </w:pPr>
            <w:r w:rsidRPr="00CD6D17">
              <w:rPr>
                <w:sz w:val="14"/>
                <w:szCs w:val="14"/>
              </w:rPr>
              <w:t xml:space="preserve">   132,539 </w:t>
            </w:r>
          </w:p>
        </w:tc>
        <w:tc>
          <w:tcPr>
            <w:tcW w:w="864" w:type="dxa"/>
            <w:tcBorders>
              <w:top w:val="nil"/>
              <w:left w:val="nil"/>
              <w:bottom w:val="nil"/>
              <w:right w:val="nil"/>
            </w:tcBorders>
            <w:shd w:val="clear" w:color="000000" w:fill="FFFFFF"/>
            <w:noWrap/>
            <w:vAlign w:val="bottom"/>
            <w:hideMark/>
          </w:tcPr>
          <w:p w:rsidR="00CD6D17" w:rsidRPr="00CD6D17" w:rsidP="004761EF" w14:paraId="4FDBA6B2"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3896D52E"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BB5C47" w14:paraId="0D7D0960"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10DD5C2E"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1725FBF3" w14:textId="77777777">
            <w:pPr>
              <w:jc w:val="right"/>
              <w:rPr>
                <w:sz w:val="14"/>
                <w:szCs w:val="14"/>
              </w:rPr>
            </w:pPr>
            <w:r w:rsidRPr="00CD6D17">
              <w:rPr>
                <w:sz w:val="14"/>
                <w:szCs w:val="14"/>
              </w:rPr>
              <w:t xml:space="preserve">          2 </w:t>
            </w:r>
          </w:p>
        </w:tc>
        <w:tc>
          <w:tcPr>
            <w:tcW w:w="864" w:type="dxa"/>
            <w:tcBorders>
              <w:top w:val="nil"/>
              <w:left w:val="nil"/>
              <w:bottom w:val="nil"/>
              <w:right w:val="nil"/>
            </w:tcBorders>
            <w:shd w:val="clear" w:color="000000" w:fill="FFFFFF"/>
            <w:noWrap/>
            <w:vAlign w:val="bottom"/>
            <w:hideMark/>
          </w:tcPr>
          <w:p w:rsidR="00CD6D17" w:rsidRPr="00CD6D17" w:rsidP="004761EF" w14:paraId="273F4556" w14:textId="77777777">
            <w:pPr>
              <w:jc w:val="right"/>
              <w:rPr>
                <w:sz w:val="14"/>
                <w:szCs w:val="14"/>
              </w:rPr>
            </w:pPr>
            <w:r w:rsidRPr="00CD6D17">
              <w:rPr>
                <w:sz w:val="14"/>
                <w:szCs w:val="14"/>
              </w:rPr>
              <w:t xml:space="preserve">        472,421 </w:t>
            </w:r>
          </w:p>
        </w:tc>
      </w:tr>
      <w:tr w14:paraId="429345E9"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16F07F4C" w14:textId="77777777">
            <w:pPr>
              <w:ind w:left="360"/>
              <w:rPr>
                <w:sz w:val="14"/>
                <w:szCs w:val="14"/>
              </w:rPr>
            </w:pPr>
            <w:r w:rsidRPr="00CD6D17">
              <w:rPr>
                <w:sz w:val="14"/>
                <w:szCs w:val="14"/>
              </w:rPr>
              <w:t>Total budgetary resources</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235055BC" w14:textId="2B94CAD3">
            <w:pPr>
              <w:jc w:val="right"/>
              <w:rPr>
                <w:sz w:val="14"/>
                <w:szCs w:val="14"/>
              </w:rPr>
            </w:pPr>
            <w:r w:rsidRPr="00CD6D17">
              <w:rPr>
                <w:sz w:val="14"/>
                <w:szCs w:val="14"/>
              </w:rPr>
              <w:t>$</w:t>
            </w:r>
            <w:r w:rsidR="00427CEE">
              <w:rPr>
                <w:sz w:val="14"/>
                <w:szCs w:val="14"/>
              </w:rPr>
              <w:t xml:space="preserve">       </w:t>
            </w:r>
            <w:r w:rsidRPr="00CD6D17">
              <w:rPr>
                <w:sz w:val="14"/>
                <w:szCs w:val="14"/>
              </w:rPr>
              <w:t xml:space="preserve">421,778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5BF5DFF1" w14:textId="5DF465C8">
            <w:pPr>
              <w:jc w:val="right"/>
              <w:rPr>
                <w:sz w:val="14"/>
                <w:szCs w:val="14"/>
              </w:rPr>
            </w:pPr>
            <w:r w:rsidRPr="00CD6D17">
              <w:rPr>
                <w:sz w:val="14"/>
                <w:szCs w:val="14"/>
              </w:rPr>
              <w:t>$</w:t>
            </w:r>
            <w:r w:rsidR="00427CEE">
              <w:rPr>
                <w:sz w:val="14"/>
                <w:szCs w:val="14"/>
              </w:rPr>
              <w:t xml:space="preserve">       </w:t>
            </w:r>
            <w:r w:rsidRPr="00CD6D17">
              <w:rPr>
                <w:sz w:val="14"/>
                <w:szCs w:val="14"/>
              </w:rPr>
              <w:t xml:space="preserve">174,399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029D07CE" w14:textId="64143EA6">
            <w:pPr>
              <w:jc w:val="right"/>
              <w:rPr>
                <w:sz w:val="14"/>
                <w:szCs w:val="14"/>
              </w:rPr>
            </w:pPr>
            <w:r w:rsidRPr="00CD6D17">
              <w:rPr>
                <w:sz w:val="14"/>
                <w:szCs w:val="14"/>
              </w:rPr>
              <w:t>$</w:t>
            </w:r>
            <w:r w:rsidR="00427CEE">
              <w:rPr>
                <w:sz w:val="14"/>
                <w:szCs w:val="14"/>
              </w:rPr>
              <w:t xml:space="preserve">       </w:t>
            </w:r>
            <w:r w:rsidRPr="00CD6D17">
              <w:rPr>
                <w:sz w:val="14"/>
                <w:szCs w:val="14"/>
              </w:rPr>
              <w:t xml:space="preserve">200,000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5D4128D9" w14:textId="24304165">
            <w:pPr>
              <w:jc w:val="right"/>
              <w:rPr>
                <w:sz w:val="14"/>
                <w:szCs w:val="14"/>
              </w:rPr>
            </w:pPr>
            <w:r w:rsidRPr="00CD6D17">
              <w:rPr>
                <w:sz w:val="14"/>
                <w:szCs w:val="14"/>
              </w:rPr>
              <w:t>$</w:t>
            </w:r>
            <w:r w:rsidR="00427CEE">
              <w:rPr>
                <w:sz w:val="14"/>
                <w:szCs w:val="14"/>
              </w:rPr>
              <w:t xml:space="preserve">       </w:t>
            </w:r>
            <w:r w:rsidRPr="00CD6D17">
              <w:rPr>
                <w:sz w:val="14"/>
                <w:szCs w:val="14"/>
              </w:rPr>
              <w:t xml:space="preserve">950,723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BB5C47" w14:paraId="27C903D3" w14:textId="4B925630">
            <w:pPr>
              <w:jc w:val="right"/>
              <w:rPr>
                <w:sz w:val="14"/>
                <w:szCs w:val="14"/>
              </w:rPr>
            </w:pPr>
            <w:r w:rsidRPr="00CD6D17">
              <w:rPr>
                <w:sz w:val="14"/>
                <w:szCs w:val="14"/>
              </w:rPr>
              <w:t>$</w:t>
            </w:r>
            <w:r w:rsidR="00427CEE">
              <w:rPr>
                <w:sz w:val="14"/>
                <w:szCs w:val="14"/>
              </w:rPr>
              <w:t xml:space="preserve">  </w:t>
            </w:r>
            <w:r w:rsidRPr="00CD6D17">
              <w:rPr>
                <w:sz w:val="14"/>
                <w:szCs w:val="14"/>
              </w:rPr>
              <w:t xml:space="preserve">  (2,803,549)</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65A46AD9" w14:textId="6EBE7FAE">
            <w:pPr>
              <w:jc w:val="right"/>
              <w:rPr>
                <w:sz w:val="14"/>
                <w:szCs w:val="14"/>
              </w:rPr>
            </w:pPr>
            <w:r w:rsidRPr="00CD6D17">
              <w:rPr>
                <w:sz w:val="14"/>
                <w:szCs w:val="14"/>
              </w:rPr>
              <w:t xml:space="preserve"> $</w:t>
            </w:r>
            <w:r w:rsidR="0048479A">
              <w:rPr>
                <w:sz w:val="14"/>
                <w:szCs w:val="14"/>
              </w:rPr>
              <w:t xml:space="preserve">   </w:t>
            </w:r>
            <w:r w:rsidRPr="00CD6D17">
              <w:rPr>
                <w:sz w:val="14"/>
                <w:szCs w:val="14"/>
              </w:rPr>
              <w:t xml:space="preserve">1,787,479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6FA405AF" w14:textId="6700BFFD">
            <w:pPr>
              <w:jc w:val="right"/>
              <w:rPr>
                <w:sz w:val="14"/>
                <w:szCs w:val="14"/>
              </w:rPr>
            </w:pPr>
            <w:r w:rsidRPr="00CD6D17">
              <w:rPr>
                <w:sz w:val="14"/>
                <w:szCs w:val="14"/>
              </w:rPr>
              <w:t>$</w:t>
            </w:r>
            <w:r w:rsidR="009737E1">
              <w:rPr>
                <w:sz w:val="14"/>
                <w:szCs w:val="14"/>
              </w:rPr>
              <w:t xml:space="preserve">           </w:t>
            </w:r>
            <w:r w:rsidRPr="00CD6D17">
              <w:rPr>
                <w:sz w:val="14"/>
                <w:szCs w:val="14"/>
              </w:rPr>
              <w:t xml:space="preserve">2,842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027AF846" w14:textId="77777777">
            <w:pPr>
              <w:jc w:val="right"/>
              <w:rPr>
                <w:sz w:val="14"/>
                <w:szCs w:val="14"/>
              </w:rPr>
            </w:pPr>
            <w:r w:rsidRPr="00CD6D17">
              <w:rPr>
                <w:sz w:val="14"/>
                <w:szCs w:val="14"/>
              </w:rPr>
              <w:t xml:space="preserve"> $     733,672 </w:t>
            </w:r>
          </w:p>
        </w:tc>
      </w:tr>
      <w:tr w14:paraId="547369EC"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4957F6" w14:paraId="0A639E69" w14:textId="77777777">
            <w:pPr>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2AC0D852"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433781C7"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437A8DC7"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4F9DE701"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BB5C47" w14:paraId="77B3F7CA"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4E35E5D6"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04BF1A7D"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3267D56C" w14:textId="77777777">
            <w:pPr>
              <w:jc w:val="right"/>
              <w:rPr>
                <w:sz w:val="14"/>
                <w:szCs w:val="14"/>
              </w:rPr>
            </w:pPr>
            <w:r w:rsidRPr="00CD6D17">
              <w:rPr>
                <w:sz w:val="14"/>
                <w:szCs w:val="14"/>
              </w:rPr>
              <w:t> </w:t>
            </w:r>
          </w:p>
        </w:tc>
      </w:tr>
      <w:tr w14:paraId="75D36C79"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00630904" w14:textId="77777777">
            <w:pPr>
              <w:ind w:left="360"/>
              <w:rPr>
                <w:sz w:val="14"/>
                <w:szCs w:val="14"/>
              </w:rPr>
            </w:pPr>
            <w:r w:rsidRPr="00CD6D17">
              <w:rPr>
                <w:sz w:val="14"/>
                <w:szCs w:val="14"/>
              </w:rPr>
              <w:t xml:space="preserve">Adjustment to unobligated balance brought forward, October 1 </w:t>
            </w:r>
          </w:p>
        </w:tc>
        <w:tc>
          <w:tcPr>
            <w:tcW w:w="864" w:type="dxa"/>
            <w:tcBorders>
              <w:top w:val="nil"/>
              <w:left w:val="nil"/>
              <w:bottom w:val="nil"/>
              <w:right w:val="nil"/>
            </w:tcBorders>
            <w:shd w:val="clear" w:color="000000" w:fill="FFFFFF"/>
            <w:noWrap/>
            <w:vAlign w:val="bottom"/>
            <w:hideMark/>
          </w:tcPr>
          <w:p w:rsidR="00CD6D17" w:rsidRPr="00CD6D17" w:rsidP="004761EF" w14:paraId="725D8590"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08D9DE7A"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2938A53F"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7D281AD4"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BB5C47" w14:paraId="069A3905"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658A2DFC"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01130D18"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52E9FE73" w14:textId="77777777">
            <w:pPr>
              <w:jc w:val="right"/>
              <w:rPr>
                <w:sz w:val="14"/>
                <w:szCs w:val="14"/>
              </w:rPr>
            </w:pPr>
            <w:r w:rsidRPr="00CD6D17">
              <w:rPr>
                <w:sz w:val="14"/>
                <w:szCs w:val="14"/>
              </w:rPr>
              <w:t> </w:t>
            </w:r>
          </w:p>
        </w:tc>
      </w:tr>
      <w:tr w14:paraId="307795AB"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4957F6" w14:paraId="41E7FF8B" w14:textId="77777777">
            <w:pPr>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7C433C94"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3A77E5BD"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24B553C3"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5B5B19FC"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BB5C47" w14:paraId="5100B096"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228354BE"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2356C63B"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52FF8AAB" w14:textId="77777777">
            <w:pPr>
              <w:jc w:val="right"/>
              <w:rPr>
                <w:sz w:val="14"/>
                <w:szCs w:val="14"/>
              </w:rPr>
            </w:pPr>
            <w:r w:rsidRPr="00CD6D17">
              <w:rPr>
                <w:sz w:val="14"/>
                <w:szCs w:val="14"/>
              </w:rPr>
              <w:t> </w:t>
            </w:r>
          </w:p>
        </w:tc>
      </w:tr>
      <w:tr w14:paraId="4882878D"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tcPr>
          <w:p w:rsidR="00CD6D17" w:rsidRPr="00CD6D17" w:rsidP="004957F6" w14:paraId="7244C8C8" w14:textId="77C6F709">
            <w:pPr>
              <w:rPr>
                <w:sz w:val="14"/>
                <w:szCs w:val="14"/>
              </w:rPr>
            </w:pPr>
            <w:r w:rsidRPr="00CD6D17">
              <w:rPr>
                <w:b/>
                <w:bCs/>
                <w:sz w:val="14"/>
                <w:szCs w:val="14"/>
              </w:rPr>
              <w:t>Status of Budgetary Resources:</w:t>
            </w:r>
          </w:p>
        </w:tc>
        <w:tc>
          <w:tcPr>
            <w:tcW w:w="864" w:type="dxa"/>
            <w:tcBorders>
              <w:top w:val="nil"/>
              <w:left w:val="nil"/>
              <w:bottom w:val="nil"/>
              <w:right w:val="nil"/>
            </w:tcBorders>
            <w:shd w:val="clear" w:color="000000" w:fill="FFFFFF"/>
            <w:noWrap/>
            <w:vAlign w:val="bottom"/>
          </w:tcPr>
          <w:p w:rsidR="00CD6D17" w:rsidRPr="00CD6D17" w:rsidP="004761EF" w14:paraId="53D78AAE"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0EF00FF4"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2AA0B5D8"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726CEDC4"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BB5C47" w14:paraId="57EA7149"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5808EBBD"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694892EA"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2039125F" w14:textId="77777777">
            <w:pPr>
              <w:jc w:val="right"/>
              <w:rPr>
                <w:sz w:val="14"/>
                <w:szCs w:val="14"/>
              </w:rPr>
            </w:pPr>
          </w:p>
        </w:tc>
      </w:tr>
      <w:tr w14:paraId="6A96541D"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E1385B" w14:paraId="42DD19EB" w14:textId="77777777">
            <w:pPr>
              <w:ind w:left="360"/>
              <w:rPr>
                <w:sz w:val="14"/>
                <w:szCs w:val="14"/>
              </w:rPr>
            </w:pPr>
            <w:r w:rsidRPr="00CD6D17">
              <w:rPr>
                <w:sz w:val="14"/>
                <w:szCs w:val="14"/>
              </w:rPr>
              <w:t>New obligations and upward adjustments (total)</w:t>
            </w:r>
          </w:p>
        </w:tc>
        <w:tc>
          <w:tcPr>
            <w:tcW w:w="864" w:type="dxa"/>
            <w:tcBorders>
              <w:top w:val="nil"/>
              <w:left w:val="nil"/>
              <w:bottom w:val="nil"/>
              <w:right w:val="nil"/>
            </w:tcBorders>
            <w:shd w:val="clear" w:color="000000" w:fill="FFFFFF"/>
            <w:noWrap/>
            <w:vAlign w:val="bottom"/>
            <w:hideMark/>
          </w:tcPr>
          <w:p w:rsidR="00CD6D17" w:rsidRPr="00CD6D17" w:rsidP="004761EF" w14:paraId="3738314D" w14:textId="14D8F06D">
            <w:pPr>
              <w:jc w:val="right"/>
              <w:rPr>
                <w:sz w:val="14"/>
                <w:szCs w:val="14"/>
              </w:rPr>
            </w:pPr>
            <w:r w:rsidRPr="00CD6D17">
              <w:rPr>
                <w:sz w:val="14"/>
                <w:szCs w:val="14"/>
              </w:rPr>
              <w:t>$</w:t>
            </w:r>
            <w:r w:rsidR="004B17FB">
              <w:rPr>
                <w:sz w:val="14"/>
                <w:szCs w:val="14"/>
              </w:rPr>
              <w:t xml:space="preserve">       </w:t>
            </w:r>
            <w:r w:rsidRPr="00CD6D17">
              <w:rPr>
                <w:sz w:val="14"/>
                <w:szCs w:val="14"/>
              </w:rPr>
              <w:t xml:space="preserve">388,460 </w:t>
            </w:r>
          </w:p>
        </w:tc>
        <w:tc>
          <w:tcPr>
            <w:tcW w:w="864" w:type="dxa"/>
            <w:tcBorders>
              <w:top w:val="nil"/>
              <w:left w:val="nil"/>
              <w:bottom w:val="nil"/>
              <w:right w:val="nil"/>
            </w:tcBorders>
            <w:shd w:val="clear" w:color="000000" w:fill="FFFFFF"/>
            <w:noWrap/>
            <w:vAlign w:val="bottom"/>
            <w:hideMark/>
          </w:tcPr>
          <w:p w:rsidR="00CD6D17" w:rsidRPr="00CD6D17" w:rsidP="004761EF" w14:paraId="01C82427" w14:textId="40097A02">
            <w:pPr>
              <w:jc w:val="right"/>
              <w:rPr>
                <w:sz w:val="14"/>
                <w:szCs w:val="14"/>
              </w:rPr>
            </w:pPr>
            <w:r w:rsidRPr="00CD6D17">
              <w:rPr>
                <w:sz w:val="14"/>
                <w:szCs w:val="14"/>
              </w:rPr>
              <w:t>$</w:t>
            </w:r>
            <w:r w:rsidR="004B17FB">
              <w:rPr>
                <w:sz w:val="14"/>
                <w:szCs w:val="14"/>
              </w:rPr>
              <w:t xml:space="preserve">       </w:t>
            </w:r>
            <w:r w:rsidRPr="00CD6D17">
              <w:rPr>
                <w:sz w:val="14"/>
                <w:szCs w:val="14"/>
              </w:rPr>
              <w:t xml:space="preserve">131,676 </w:t>
            </w:r>
          </w:p>
        </w:tc>
        <w:tc>
          <w:tcPr>
            <w:tcW w:w="864" w:type="dxa"/>
            <w:tcBorders>
              <w:top w:val="nil"/>
              <w:left w:val="nil"/>
              <w:bottom w:val="nil"/>
              <w:right w:val="nil"/>
            </w:tcBorders>
            <w:shd w:val="clear" w:color="000000" w:fill="FFFFFF"/>
            <w:noWrap/>
            <w:vAlign w:val="bottom"/>
            <w:hideMark/>
          </w:tcPr>
          <w:p w:rsidR="00CD6D17" w:rsidRPr="00CD6D17" w:rsidP="004761EF" w14:paraId="761FA316" w14:textId="6EFECBD1">
            <w:pPr>
              <w:jc w:val="right"/>
              <w:rPr>
                <w:sz w:val="14"/>
                <w:szCs w:val="14"/>
              </w:rPr>
            </w:pPr>
            <w:r w:rsidRPr="00CD6D17">
              <w:rPr>
                <w:sz w:val="14"/>
                <w:szCs w:val="14"/>
              </w:rPr>
              <w:t>$</w:t>
            </w:r>
            <w:r w:rsidR="004B17FB">
              <w:rPr>
                <w:sz w:val="14"/>
                <w:szCs w:val="14"/>
              </w:rPr>
              <w:t xml:space="preserve">       </w:t>
            </w:r>
            <w:r w:rsidRPr="00CD6D17">
              <w:rPr>
                <w:sz w:val="14"/>
                <w:szCs w:val="14"/>
              </w:rPr>
              <w:t xml:space="preserve">200,000 </w:t>
            </w:r>
          </w:p>
        </w:tc>
        <w:tc>
          <w:tcPr>
            <w:tcW w:w="864" w:type="dxa"/>
            <w:tcBorders>
              <w:top w:val="nil"/>
              <w:left w:val="nil"/>
              <w:bottom w:val="nil"/>
              <w:right w:val="nil"/>
            </w:tcBorders>
            <w:shd w:val="clear" w:color="000000" w:fill="FFFFFF"/>
            <w:noWrap/>
            <w:vAlign w:val="bottom"/>
            <w:hideMark/>
          </w:tcPr>
          <w:p w:rsidR="00CD6D17" w:rsidRPr="00CD6D17" w:rsidP="004761EF" w14:paraId="36C088AB" w14:textId="253C725B">
            <w:pPr>
              <w:jc w:val="right"/>
              <w:rPr>
                <w:sz w:val="14"/>
                <w:szCs w:val="14"/>
              </w:rPr>
            </w:pPr>
            <w:r w:rsidRPr="00CD6D17">
              <w:rPr>
                <w:sz w:val="14"/>
                <w:szCs w:val="14"/>
              </w:rPr>
              <w:t>$</w:t>
            </w:r>
            <w:r w:rsidR="004B17FB">
              <w:rPr>
                <w:sz w:val="14"/>
                <w:szCs w:val="14"/>
              </w:rPr>
              <w:t xml:space="preserve">       </w:t>
            </w:r>
            <w:r w:rsidRPr="00CD6D17">
              <w:rPr>
                <w:sz w:val="14"/>
                <w:szCs w:val="14"/>
              </w:rPr>
              <w:t xml:space="preserve">243,229 </w:t>
            </w:r>
          </w:p>
        </w:tc>
        <w:tc>
          <w:tcPr>
            <w:tcW w:w="864" w:type="dxa"/>
            <w:tcBorders>
              <w:top w:val="nil"/>
              <w:left w:val="nil"/>
              <w:bottom w:val="nil"/>
              <w:right w:val="nil"/>
            </w:tcBorders>
            <w:shd w:val="clear" w:color="000000" w:fill="FFFFFF"/>
            <w:noWrap/>
            <w:vAlign w:val="bottom"/>
            <w:hideMark/>
          </w:tcPr>
          <w:p w:rsidR="00CD6D17" w:rsidRPr="00CD6D17" w:rsidP="00BB5C47" w14:paraId="1347D47A" w14:textId="190D07BF">
            <w:pPr>
              <w:jc w:val="right"/>
              <w:rPr>
                <w:sz w:val="14"/>
                <w:szCs w:val="14"/>
              </w:rPr>
            </w:pPr>
            <w:r w:rsidRPr="00CD6D17">
              <w:rPr>
                <w:sz w:val="14"/>
                <w:szCs w:val="14"/>
              </w:rPr>
              <w:t>$</w:t>
            </w:r>
            <w:r w:rsidR="00427CEE">
              <w:rPr>
                <w:sz w:val="14"/>
                <w:szCs w:val="14"/>
              </w:rPr>
              <w:t xml:space="preserve">   </w:t>
            </w:r>
            <w:r w:rsidRPr="00CD6D17">
              <w:rPr>
                <w:sz w:val="14"/>
                <w:szCs w:val="14"/>
              </w:rPr>
              <w:t xml:space="preserve">   6,911,471 </w:t>
            </w:r>
          </w:p>
        </w:tc>
        <w:tc>
          <w:tcPr>
            <w:tcW w:w="864" w:type="dxa"/>
            <w:tcBorders>
              <w:top w:val="nil"/>
              <w:left w:val="nil"/>
              <w:bottom w:val="nil"/>
              <w:right w:val="nil"/>
            </w:tcBorders>
            <w:shd w:val="clear" w:color="000000" w:fill="FFFFFF"/>
            <w:noWrap/>
            <w:vAlign w:val="bottom"/>
            <w:hideMark/>
          </w:tcPr>
          <w:p w:rsidR="00CD6D17" w:rsidRPr="00CD6D17" w:rsidP="004761EF" w14:paraId="45AF0351" w14:textId="2806912A">
            <w:pPr>
              <w:jc w:val="right"/>
              <w:rPr>
                <w:sz w:val="14"/>
                <w:szCs w:val="14"/>
              </w:rPr>
            </w:pPr>
            <w:r w:rsidRPr="00CD6D17">
              <w:rPr>
                <w:sz w:val="14"/>
                <w:szCs w:val="14"/>
              </w:rPr>
              <w:t>$</w:t>
            </w:r>
            <w:r w:rsidR="004B17FB">
              <w:rPr>
                <w:sz w:val="14"/>
                <w:szCs w:val="14"/>
              </w:rPr>
              <w:t xml:space="preserve">    </w:t>
            </w:r>
            <w:r w:rsidRPr="00CD6D17">
              <w:rPr>
                <w:sz w:val="14"/>
                <w:szCs w:val="14"/>
              </w:rPr>
              <w:t xml:space="preserve">1,441,307 </w:t>
            </w:r>
          </w:p>
        </w:tc>
        <w:tc>
          <w:tcPr>
            <w:tcW w:w="864" w:type="dxa"/>
            <w:tcBorders>
              <w:top w:val="nil"/>
              <w:left w:val="nil"/>
              <w:bottom w:val="nil"/>
              <w:right w:val="nil"/>
            </w:tcBorders>
            <w:shd w:val="clear" w:color="000000" w:fill="FFFFFF"/>
            <w:noWrap/>
            <w:vAlign w:val="bottom"/>
            <w:hideMark/>
          </w:tcPr>
          <w:p w:rsidR="00CD6D17" w:rsidRPr="00CD6D17" w:rsidP="004761EF" w14:paraId="661F20B3" w14:textId="2294709E">
            <w:pPr>
              <w:jc w:val="right"/>
              <w:rPr>
                <w:sz w:val="14"/>
                <w:szCs w:val="14"/>
              </w:rPr>
            </w:pPr>
            <w:r w:rsidRPr="00CD6D17">
              <w:rPr>
                <w:sz w:val="14"/>
                <w:szCs w:val="14"/>
              </w:rPr>
              <w:t>$</w:t>
            </w:r>
            <w:r w:rsidR="00667418">
              <w:rPr>
                <w:sz w:val="14"/>
                <w:szCs w:val="14"/>
              </w:rPr>
              <w:t xml:space="preserve">           </w:t>
            </w: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533670E8" w14:textId="0E0EAC78">
            <w:pPr>
              <w:jc w:val="right"/>
              <w:rPr>
                <w:sz w:val="14"/>
                <w:szCs w:val="14"/>
              </w:rPr>
            </w:pPr>
            <w:r w:rsidRPr="00CD6D17">
              <w:rPr>
                <w:sz w:val="14"/>
                <w:szCs w:val="14"/>
              </w:rPr>
              <w:t>$</w:t>
            </w:r>
            <w:r w:rsidR="00667418">
              <w:rPr>
                <w:sz w:val="14"/>
                <w:szCs w:val="14"/>
              </w:rPr>
              <w:t xml:space="preserve">   </w:t>
            </w:r>
            <w:r w:rsidRPr="00CD6D17">
              <w:rPr>
                <w:sz w:val="14"/>
                <w:szCs w:val="14"/>
              </w:rPr>
              <w:t xml:space="preserve"> 9,316,143 </w:t>
            </w:r>
          </w:p>
        </w:tc>
      </w:tr>
      <w:tr w14:paraId="60957452"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E1385B" w14:paraId="57A6DD77" w14:textId="77777777">
            <w:pPr>
              <w:ind w:left="360"/>
              <w:rPr>
                <w:sz w:val="14"/>
                <w:szCs w:val="14"/>
              </w:rPr>
            </w:pPr>
            <w:r w:rsidRPr="00CD6D17">
              <w:rPr>
                <w:sz w:val="14"/>
                <w:szCs w:val="14"/>
              </w:rPr>
              <w:t>Unobligated balance, end of year:</w:t>
            </w:r>
          </w:p>
        </w:tc>
        <w:tc>
          <w:tcPr>
            <w:tcW w:w="864" w:type="dxa"/>
            <w:tcBorders>
              <w:top w:val="nil"/>
              <w:left w:val="nil"/>
              <w:bottom w:val="nil"/>
              <w:right w:val="nil"/>
            </w:tcBorders>
            <w:shd w:val="clear" w:color="000000" w:fill="FFFFFF"/>
            <w:noWrap/>
            <w:vAlign w:val="bottom"/>
            <w:hideMark/>
          </w:tcPr>
          <w:p w:rsidR="00CD6D17" w:rsidRPr="00CD6D17" w:rsidP="004761EF" w14:paraId="378B0A6E"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6C1BDC86"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03E7F439"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7490E5C7"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BB5C47" w14:paraId="75CBF089"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2BD7B1AE"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0CC82812" w14:textId="77777777">
            <w:pPr>
              <w:jc w:val="right"/>
              <w:rPr>
                <w:sz w:val="14"/>
                <w:szCs w:val="14"/>
              </w:rPr>
            </w:pPr>
            <w:r w:rsidRPr="00CD6D17">
              <w:rPr>
                <w:sz w:val="14"/>
                <w:szCs w:val="14"/>
              </w:rPr>
              <w:t> </w:t>
            </w:r>
          </w:p>
        </w:tc>
        <w:tc>
          <w:tcPr>
            <w:tcW w:w="864" w:type="dxa"/>
            <w:tcBorders>
              <w:top w:val="nil"/>
              <w:left w:val="nil"/>
              <w:bottom w:val="nil"/>
              <w:right w:val="nil"/>
            </w:tcBorders>
            <w:shd w:val="clear" w:color="000000" w:fill="FFFFFF"/>
            <w:noWrap/>
            <w:vAlign w:val="bottom"/>
            <w:hideMark/>
          </w:tcPr>
          <w:p w:rsidR="00CD6D17" w:rsidRPr="00CD6D17" w:rsidP="004761EF" w14:paraId="75B5F56E" w14:textId="77777777">
            <w:pPr>
              <w:jc w:val="right"/>
              <w:rPr>
                <w:sz w:val="14"/>
                <w:szCs w:val="14"/>
              </w:rPr>
            </w:pPr>
            <w:r w:rsidRPr="00CD6D17">
              <w:rPr>
                <w:sz w:val="14"/>
                <w:szCs w:val="14"/>
              </w:rPr>
              <w:t> </w:t>
            </w:r>
          </w:p>
        </w:tc>
      </w:tr>
      <w:tr w14:paraId="51D6A5DC"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687FE59F" w14:textId="77777777">
            <w:pPr>
              <w:ind w:left="288" w:firstLine="280" w:firstLineChars="200"/>
              <w:rPr>
                <w:sz w:val="14"/>
                <w:szCs w:val="14"/>
              </w:rPr>
            </w:pPr>
            <w:r w:rsidRPr="00CD6D17">
              <w:rPr>
                <w:sz w:val="14"/>
                <w:szCs w:val="14"/>
              </w:rPr>
              <w:t>Apportioned, unexpired accounts</w:t>
            </w:r>
          </w:p>
        </w:tc>
        <w:tc>
          <w:tcPr>
            <w:tcW w:w="864" w:type="dxa"/>
            <w:tcBorders>
              <w:top w:val="nil"/>
              <w:left w:val="nil"/>
              <w:bottom w:val="nil"/>
              <w:right w:val="nil"/>
            </w:tcBorders>
            <w:shd w:val="clear" w:color="000000" w:fill="FFFFFF"/>
            <w:noWrap/>
            <w:vAlign w:val="bottom"/>
            <w:hideMark/>
          </w:tcPr>
          <w:p w:rsidR="00CD6D17" w:rsidRPr="00CD6D17" w:rsidP="004761EF" w14:paraId="0D98EF63" w14:textId="77777777">
            <w:pPr>
              <w:jc w:val="right"/>
              <w:rPr>
                <w:sz w:val="14"/>
                <w:szCs w:val="14"/>
              </w:rPr>
            </w:pPr>
            <w:r w:rsidRPr="00CD6D17">
              <w:rPr>
                <w:sz w:val="14"/>
                <w:szCs w:val="14"/>
              </w:rPr>
              <w:t xml:space="preserve">     26,776 </w:t>
            </w:r>
          </w:p>
        </w:tc>
        <w:tc>
          <w:tcPr>
            <w:tcW w:w="864" w:type="dxa"/>
            <w:tcBorders>
              <w:top w:val="nil"/>
              <w:left w:val="nil"/>
              <w:bottom w:val="nil"/>
              <w:right w:val="nil"/>
            </w:tcBorders>
            <w:shd w:val="clear" w:color="000000" w:fill="FFFFFF"/>
            <w:noWrap/>
            <w:vAlign w:val="bottom"/>
            <w:hideMark/>
          </w:tcPr>
          <w:p w:rsidR="00CD6D17" w:rsidRPr="00CD6D17" w:rsidP="004761EF" w14:paraId="3F246EA6" w14:textId="77777777">
            <w:pPr>
              <w:jc w:val="right"/>
              <w:rPr>
                <w:sz w:val="14"/>
                <w:szCs w:val="14"/>
              </w:rPr>
            </w:pPr>
            <w:r w:rsidRPr="00CD6D17">
              <w:rPr>
                <w:sz w:val="14"/>
                <w:szCs w:val="14"/>
              </w:rPr>
              <w:t xml:space="preserve">     30,982 </w:t>
            </w:r>
          </w:p>
        </w:tc>
        <w:tc>
          <w:tcPr>
            <w:tcW w:w="864" w:type="dxa"/>
            <w:tcBorders>
              <w:top w:val="nil"/>
              <w:left w:val="nil"/>
              <w:bottom w:val="nil"/>
              <w:right w:val="nil"/>
            </w:tcBorders>
            <w:shd w:val="clear" w:color="000000" w:fill="FFFFFF"/>
            <w:noWrap/>
            <w:vAlign w:val="bottom"/>
            <w:hideMark/>
          </w:tcPr>
          <w:p w:rsidR="00CD6D17" w:rsidRPr="00CD6D17" w:rsidP="004761EF" w14:paraId="73B5AD4B"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1BC61208" w14:textId="77777777">
            <w:pPr>
              <w:jc w:val="right"/>
              <w:rPr>
                <w:sz w:val="14"/>
                <w:szCs w:val="14"/>
              </w:rPr>
            </w:pPr>
            <w:r w:rsidRPr="00CD6D17">
              <w:rPr>
                <w:sz w:val="14"/>
                <w:szCs w:val="14"/>
              </w:rPr>
              <w:t xml:space="preserve">   707,494 </w:t>
            </w:r>
          </w:p>
        </w:tc>
        <w:tc>
          <w:tcPr>
            <w:tcW w:w="864" w:type="dxa"/>
            <w:tcBorders>
              <w:top w:val="nil"/>
              <w:left w:val="nil"/>
              <w:bottom w:val="nil"/>
              <w:right w:val="nil"/>
            </w:tcBorders>
            <w:shd w:val="clear" w:color="000000" w:fill="FFFFFF"/>
            <w:noWrap/>
            <w:vAlign w:val="bottom"/>
            <w:hideMark/>
          </w:tcPr>
          <w:p w:rsidR="00CD6D17" w:rsidRPr="00CD6D17" w:rsidP="00BB5C47" w14:paraId="18AE7315"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7781AC9D" w14:textId="77777777">
            <w:pPr>
              <w:jc w:val="right"/>
              <w:rPr>
                <w:sz w:val="14"/>
                <w:szCs w:val="14"/>
              </w:rPr>
            </w:pPr>
            <w:r w:rsidRPr="00CD6D17">
              <w:rPr>
                <w:sz w:val="14"/>
                <w:szCs w:val="14"/>
              </w:rPr>
              <w:t xml:space="preserve">      346,172 </w:t>
            </w:r>
          </w:p>
        </w:tc>
        <w:tc>
          <w:tcPr>
            <w:tcW w:w="864" w:type="dxa"/>
            <w:tcBorders>
              <w:top w:val="nil"/>
              <w:left w:val="nil"/>
              <w:bottom w:val="nil"/>
              <w:right w:val="nil"/>
            </w:tcBorders>
            <w:shd w:val="clear" w:color="000000" w:fill="FFFFFF"/>
            <w:noWrap/>
            <w:vAlign w:val="bottom"/>
            <w:hideMark/>
          </w:tcPr>
          <w:p w:rsidR="00CD6D17" w:rsidRPr="00CD6D17" w:rsidP="004761EF" w14:paraId="44C807E2" w14:textId="77777777">
            <w:pPr>
              <w:jc w:val="right"/>
              <w:rPr>
                <w:sz w:val="14"/>
                <w:szCs w:val="14"/>
              </w:rPr>
            </w:pPr>
            <w:r w:rsidRPr="00CD6D17">
              <w:rPr>
                <w:sz w:val="14"/>
                <w:szCs w:val="14"/>
              </w:rPr>
              <w:t xml:space="preserve">   2,816 </w:t>
            </w:r>
          </w:p>
        </w:tc>
        <w:tc>
          <w:tcPr>
            <w:tcW w:w="864" w:type="dxa"/>
            <w:tcBorders>
              <w:top w:val="nil"/>
              <w:left w:val="nil"/>
              <w:bottom w:val="nil"/>
              <w:right w:val="nil"/>
            </w:tcBorders>
            <w:shd w:val="clear" w:color="000000" w:fill="FFFFFF"/>
            <w:noWrap/>
            <w:vAlign w:val="bottom"/>
            <w:hideMark/>
          </w:tcPr>
          <w:p w:rsidR="00CD6D17" w:rsidRPr="00CD6D17" w:rsidP="004761EF" w14:paraId="48E344E3" w14:textId="77777777">
            <w:pPr>
              <w:jc w:val="right"/>
              <w:rPr>
                <w:sz w:val="14"/>
                <w:szCs w:val="14"/>
              </w:rPr>
            </w:pPr>
            <w:r w:rsidRPr="00CD6D17">
              <w:rPr>
                <w:sz w:val="14"/>
                <w:szCs w:val="14"/>
              </w:rPr>
              <w:t xml:space="preserve">     1,114,240 </w:t>
            </w:r>
          </w:p>
        </w:tc>
      </w:tr>
      <w:tr w14:paraId="53560A95"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1D4CF795" w14:textId="77777777">
            <w:pPr>
              <w:ind w:left="288" w:firstLine="280" w:firstLineChars="200"/>
              <w:rPr>
                <w:sz w:val="14"/>
                <w:szCs w:val="14"/>
              </w:rPr>
            </w:pPr>
            <w:r w:rsidRPr="00CD6D17">
              <w:rPr>
                <w:sz w:val="14"/>
                <w:szCs w:val="14"/>
              </w:rPr>
              <w:t>Exempt from apportionment, unexpired accounts</w:t>
            </w:r>
          </w:p>
        </w:tc>
        <w:tc>
          <w:tcPr>
            <w:tcW w:w="864" w:type="dxa"/>
            <w:tcBorders>
              <w:top w:val="nil"/>
              <w:left w:val="nil"/>
              <w:bottom w:val="nil"/>
              <w:right w:val="nil"/>
            </w:tcBorders>
            <w:shd w:val="clear" w:color="000000" w:fill="FFFFFF"/>
            <w:noWrap/>
            <w:vAlign w:val="bottom"/>
            <w:hideMark/>
          </w:tcPr>
          <w:p w:rsidR="00CD6D17" w:rsidRPr="00CD6D17" w:rsidP="004761EF" w14:paraId="2CC2CC0C"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481AB5AF"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43B8E5CC"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27549A2E"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BB5C47" w14:paraId="73AB8CBB" w14:textId="77777777">
            <w:pPr>
              <w:jc w:val="right"/>
              <w:rPr>
                <w:sz w:val="14"/>
                <w:szCs w:val="14"/>
              </w:rPr>
            </w:pPr>
            <w:r w:rsidRPr="00CD6D17">
              <w:rPr>
                <w:sz w:val="14"/>
                <w:szCs w:val="14"/>
              </w:rPr>
              <w:t xml:space="preserve">     (9,715,020)</w:t>
            </w:r>
          </w:p>
        </w:tc>
        <w:tc>
          <w:tcPr>
            <w:tcW w:w="864" w:type="dxa"/>
            <w:tcBorders>
              <w:top w:val="nil"/>
              <w:left w:val="nil"/>
              <w:bottom w:val="nil"/>
              <w:right w:val="nil"/>
            </w:tcBorders>
            <w:shd w:val="clear" w:color="000000" w:fill="FFFFFF"/>
            <w:noWrap/>
            <w:vAlign w:val="bottom"/>
            <w:hideMark/>
          </w:tcPr>
          <w:p w:rsidR="00CD6D17" w:rsidRPr="00CD6D17" w:rsidP="004761EF" w14:paraId="1742E0B7"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7BB38CD7"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322F156F" w14:textId="77777777">
            <w:pPr>
              <w:jc w:val="right"/>
              <w:rPr>
                <w:sz w:val="14"/>
                <w:szCs w:val="14"/>
              </w:rPr>
            </w:pPr>
            <w:r w:rsidRPr="00CD6D17">
              <w:rPr>
                <w:sz w:val="14"/>
                <w:szCs w:val="14"/>
              </w:rPr>
              <w:t xml:space="preserve">   (9,715,020)</w:t>
            </w:r>
          </w:p>
        </w:tc>
      </w:tr>
      <w:tr w14:paraId="19D3C1BE"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1818DFF8" w14:textId="77777777">
            <w:pPr>
              <w:ind w:left="288" w:firstLine="280" w:firstLineChars="200"/>
              <w:rPr>
                <w:sz w:val="14"/>
                <w:szCs w:val="14"/>
              </w:rPr>
            </w:pPr>
            <w:r w:rsidRPr="00CD6D17">
              <w:rPr>
                <w:sz w:val="14"/>
                <w:szCs w:val="14"/>
              </w:rPr>
              <w:t>Unapportioned</w:t>
            </w:r>
            <w:r w:rsidRPr="00CD6D17">
              <w:rPr>
                <w:sz w:val="14"/>
                <w:szCs w:val="14"/>
              </w:rPr>
              <w:t>, unexpired accounts</w:t>
            </w:r>
          </w:p>
        </w:tc>
        <w:tc>
          <w:tcPr>
            <w:tcW w:w="864" w:type="dxa"/>
            <w:tcBorders>
              <w:top w:val="nil"/>
              <w:left w:val="nil"/>
              <w:bottom w:val="nil"/>
              <w:right w:val="nil"/>
            </w:tcBorders>
            <w:shd w:val="clear" w:color="000000" w:fill="FFFFFF"/>
            <w:noWrap/>
            <w:vAlign w:val="bottom"/>
            <w:hideMark/>
          </w:tcPr>
          <w:p w:rsidR="00CD6D17" w:rsidRPr="00CD6D17" w:rsidP="004761EF" w14:paraId="0D54EB23" w14:textId="77777777">
            <w:pPr>
              <w:jc w:val="right"/>
              <w:rPr>
                <w:sz w:val="14"/>
                <w:szCs w:val="14"/>
              </w:rPr>
            </w:pPr>
            <w:r w:rsidRPr="00CD6D17">
              <w:rPr>
                <w:sz w:val="14"/>
                <w:szCs w:val="14"/>
              </w:rPr>
              <w:t xml:space="preserve">       6,338 </w:t>
            </w:r>
          </w:p>
        </w:tc>
        <w:tc>
          <w:tcPr>
            <w:tcW w:w="864" w:type="dxa"/>
            <w:tcBorders>
              <w:top w:val="nil"/>
              <w:left w:val="nil"/>
              <w:bottom w:val="nil"/>
              <w:right w:val="nil"/>
            </w:tcBorders>
            <w:shd w:val="clear" w:color="000000" w:fill="FFFFFF"/>
            <w:noWrap/>
            <w:vAlign w:val="bottom"/>
            <w:hideMark/>
          </w:tcPr>
          <w:p w:rsidR="00CD6D17" w:rsidRPr="00CD6D17" w:rsidP="004761EF" w14:paraId="0DCD607B" w14:textId="77777777">
            <w:pPr>
              <w:jc w:val="right"/>
              <w:rPr>
                <w:sz w:val="14"/>
                <w:szCs w:val="14"/>
              </w:rPr>
            </w:pPr>
            <w:r w:rsidRPr="00CD6D17">
              <w:rPr>
                <w:sz w:val="14"/>
                <w:szCs w:val="14"/>
              </w:rPr>
              <w:t xml:space="preserve">     11,741 </w:t>
            </w:r>
          </w:p>
        </w:tc>
        <w:tc>
          <w:tcPr>
            <w:tcW w:w="864" w:type="dxa"/>
            <w:tcBorders>
              <w:top w:val="nil"/>
              <w:left w:val="nil"/>
              <w:bottom w:val="nil"/>
              <w:right w:val="nil"/>
            </w:tcBorders>
            <w:shd w:val="clear" w:color="000000" w:fill="FFFFFF"/>
            <w:noWrap/>
            <w:vAlign w:val="bottom"/>
            <w:hideMark/>
          </w:tcPr>
          <w:p w:rsidR="00CD6D17" w:rsidRPr="00CD6D17" w:rsidP="004761EF" w14:paraId="1AFAFC18"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29A5DB0B"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BB5C47" w14:paraId="5AD102EC"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1F69EDFB"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3DDB6C48" w14:textId="77777777">
            <w:pPr>
              <w:jc w:val="right"/>
              <w:rPr>
                <w:sz w:val="14"/>
                <w:szCs w:val="14"/>
              </w:rPr>
            </w:pPr>
            <w:r w:rsidRPr="00CD6D17">
              <w:rPr>
                <w:sz w:val="14"/>
                <w:szCs w:val="14"/>
              </w:rPr>
              <w:t xml:space="preserve">        26 </w:t>
            </w:r>
          </w:p>
        </w:tc>
        <w:tc>
          <w:tcPr>
            <w:tcW w:w="864" w:type="dxa"/>
            <w:tcBorders>
              <w:top w:val="nil"/>
              <w:left w:val="nil"/>
              <w:bottom w:val="nil"/>
              <w:right w:val="nil"/>
            </w:tcBorders>
            <w:shd w:val="clear" w:color="000000" w:fill="FFFFFF"/>
            <w:noWrap/>
            <w:vAlign w:val="bottom"/>
            <w:hideMark/>
          </w:tcPr>
          <w:p w:rsidR="00CD6D17" w:rsidRPr="00CD6D17" w:rsidP="004761EF" w14:paraId="25D5E58B" w14:textId="77777777">
            <w:pPr>
              <w:jc w:val="right"/>
              <w:rPr>
                <w:sz w:val="14"/>
                <w:szCs w:val="14"/>
              </w:rPr>
            </w:pPr>
            <w:r w:rsidRPr="00CD6D17">
              <w:rPr>
                <w:sz w:val="14"/>
                <w:szCs w:val="14"/>
              </w:rPr>
              <w:t xml:space="preserve">         18,105 </w:t>
            </w:r>
          </w:p>
        </w:tc>
      </w:tr>
      <w:tr w14:paraId="2B619001"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31960296" w14:textId="77777777">
            <w:pPr>
              <w:ind w:left="288" w:firstLine="280" w:firstLineChars="200"/>
              <w:rPr>
                <w:sz w:val="14"/>
                <w:szCs w:val="14"/>
              </w:rPr>
            </w:pPr>
            <w:r w:rsidRPr="00CD6D17">
              <w:rPr>
                <w:sz w:val="14"/>
                <w:szCs w:val="14"/>
              </w:rPr>
              <w:t>Unexpired unobligated balance, end of year</w:t>
            </w:r>
          </w:p>
        </w:tc>
        <w:tc>
          <w:tcPr>
            <w:tcW w:w="864" w:type="dxa"/>
            <w:tcBorders>
              <w:top w:val="single" w:sz="4" w:space="0" w:color="auto"/>
              <w:left w:val="nil"/>
              <w:bottom w:val="nil"/>
              <w:right w:val="nil"/>
            </w:tcBorders>
            <w:shd w:val="clear" w:color="000000" w:fill="FFFFFF"/>
            <w:noWrap/>
            <w:vAlign w:val="bottom"/>
            <w:hideMark/>
          </w:tcPr>
          <w:p w:rsidR="00CD6D17" w:rsidRPr="00CD6D17" w:rsidP="004761EF" w14:paraId="62EE0856" w14:textId="77777777">
            <w:pPr>
              <w:jc w:val="right"/>
              <w:rPr>
                <w:sz w:val="14"/>
                <w:szCs w:val="14"/>
              </w:rPr>
            </w:pPr>
            <w:r w:rsidRPr="00CD6D17">
              <w:rPr>
                <w:sz w:val="14"/>
                <w:szCs w:val="14"/>
              </w:rPr>
              <w:t xml:space="preserve">     33,114 </w:t>
            </w:r>
          </w:p>
        </w:tc>
        <w:tc>
          <w:tcPr>
            <w:tcW w:w="864" w:type="dxa"/>
            <w:tcBorders>
              <w:top w:val="single" w:sz="4" w:space="0" w:color="auto"/>
              <w:left w:val="nil"/>
              <w:bottom w:val="nil"/>
              <w:right w:val="nil"/>
            </w:tcBorders>
            <w:shd w:val="clear" w:color="000000" w:fill="FFFFFF"/>
            <w:noWrap/>
            <w:vAlign w:val="bottom"/>
            <w:hideMark/>
          </w:tcPr>
          <w:p w:rsidR="00CD6D17" w:rsidRPr="00CD6D17" w:rsidP="004761EF" w14:paraId="60C2AEE5" w14:textId="77777777">
            <w:pPr>
              <w:jc w:val="right"/>
              <w:rPr>
                <w:sz w:val="14"/>
                <w:szCs w:val="14"/>
              </w:rPr>
            </w:pPr>
            <w:r w:rsidRPr="00CD6D17">
              <w:rPr>
                <w:sz w:val="14"/>
                <w:szCs w:val="14"/>
              </w:rPr>
              <w:t xml:space="preserve">     42,723 </w:t>
            </w:r>
          </w:p>
        </w:tc>
        <w:tc>
          <w:tcPr>
            <w:tcW w:w="864" w:type="dxa"/>
            <w:tcBorders>
              <w:top w:val="single" w:sz="4" w:space="0" w:color="auto"/>
              <w:left w:val="nil"/>
              <w:bottom w:val="nil"/>
              <w:right w:val="nil"/>
            </w:tcBorders>
            <w:shd w:val="clear" w:color="000000" w:fill="FFFFFF"/>
            <w:noWrap/>
            <w:vAlign w:val="bottom"/>
            <w:hideMark/>
          </w:tcPr>
          <w:p w:rsidR="00CD6D17" w:rsidRPr="00CD6D17" w:rsidP="004761EF" w14:paraId="27BC775C" w14:textId="77777777">
            <w:pPr>
              <w:jc w:val="right"/>
              <w:rPr>
                <w:sz w:val="14"/>
                <w:szCs w:val="14"/>
              </w:rPr>
            </w:pPr>
            <w:r w:rsidRPr="00CD6D17">
              <w:rPr>
                <w:sz w:val="14"/>
                <w:szCs w:val="14"/>
              </w:rPr>
              <w:t xml:space="preserve">              - </w:t>
            </w:r>
          </w:p>
        </w:tc>
        <w:tc>
          <w:tcPr>
            <w:tcW w:w="864" w:type="dxa"/>
            <w:tcBorders>
              <w:top w:val="single" w:sz="4" w:space="0" w:color="auto"/>
              <w:left w:val="nil"/>
              <w:bottom w:val="nil"/>
              <w:right w:val="nil"/>
            </w:tcBorders>
            <w:shd w:val="clear" w:color="000000" w:fill="FFFFFF"/>
            <w:noWrap/>
            <w:vAlign w:val="bottom"/>
            <w:hideMark/>
          </w:tcPr>
          <w:p w:rsidR="00CD6D17" w:rsidRPr="00CD6D17" w:rsidP="004761EF" w14:paraId="043BDB0B" w14:textId="77777777">
            <w:pPr>
              <w:jc w:val="right"/>
              <w:rPr>
                <w:sz w:val="14"/>
                <w:szCs w:val="14"/>
              </w:rPr>
            </w:pPr>
            <w:r w:rsidRPr="00CD6D17">
              <w:rPr>
                <w:sz w:val="14"/>
                <w:szCs w:val="14"/>
              </w:rPr>
              <w:t xml:space="preserve">   707,494 </w:t>
            </w:r>
          </w:p>
        </w:tc>
        <w:tc>
          <w:tcPr>
            <w:tcW w:w="864" w:type="dxa"/>
            <w:tcBorders>
              <w:top w:val="single" w:sz="4" w:space="0" w:color="auto"/>
              <w:left w:val="nil"/>
              <w:bottom w:val="nil"/>
              <w:right w:val="nil"/>
            </w:tcBorders>
            <w:shd w:val="clear" w:color="000000" w:fill="FFFFFF"/>
            <w:noWrap/>
            <w:vAlign w:val="bottom"/>
            <w:hideMark/>
          </w:tcPr>
          <w:p w:rsidR="00CD6D17" w:rsidRPr="00CD6D17" w:rsidP="00BB5C47" w14:paraId="074EE794" w14:textId="77777777">
            <w:pPr>
              <w:jc w:val="right"/>
              <w:rPr>
                <w:sz w:val="14"/>
                <w:szCs w:val="14"/>
              </w:rPr>
            </w:pPr>
            <w:r w:rsidRPr="00CD6D17">
              <w:rPr>
                <w:sz w:val="14"/>
                <w:szCs w:val="14"/>
              </w:rPr>
              <w:t xml:space="preserve">     (9,715,020)</w:t>
            </w:r>
          </w:p>
        </w:tc>
        <w:tc>
          <w:tcPr>
            <w:tcW w:w="864" w:type="dxa"/>
            <w:tcBorders>
              <w:top w:val="single" w:sz="4" w:space="0" w:color="auto"/>
              <w:left w:val="nil"/>
              <w:bottom w:val="nil"/>
              <w:right w:val="nil"/>
            </w:tcBorders>
            <w:shd w:val="clear" w:color="000000" w:fill="FFFFFF"/>
            <w:noWrap/>
            <w:vAlign w:val="bottom"/>
            <w:hideMark/>
          </w:tcPr>
          <w:p w:rsidR="00CD6D17" w:rsidRPr="00CD6D17" w:rsidP="004761EF" w14:paraId="7916BD2D" w14:textId="77777777">
            <w:pPr>
              <w:jc w:val="right"/>
              <w:rPr>
                <w:sz w:val="14"/>
                <w:szCs w:val="14"/>
              </w:rPr>
            </w:pPr>
            <w:r w:rsidRPr="00CD6D17">
              <w:rPr>
                <w:sz w:val="14"/>
                <w:szCs w:val="14"/>
              </w:rPr>
              <w:t xml:space="preserve">      346,172 </w:t>
            </w:r>
          </w:p>
        </w:tc>
        <w:tc>
          <w:tcPr>
            <w:tcW w:w="864" w:type="dxa"/>
            <w:tcBorders>
              <w:top w:val="single" w:sz="4" w:space="0" w:color="auto"/>
              <w:left w:val="nil"/>
              <w:bottom w:val="nil"/>
              <w:right w:val="nil"/>
            </w:tcBorders>
            <w:shd w:val="clear" w:color="000000" w:fill="FFFFFF"/>
            <w:noWrap/>
            <w:vAlign w:val="bottom"/>
            <w:hideMark/>
          </w:tcPr>
          <w:p w:rsidR="00CD6D17" w:rsidRPr="00CD6D17" w:rsidP="004761EF" w14:paraId="78647230" w14:textId="77777777">
            <w:pPr>
              <w:jc w:val="right"/>
              <w:rPr>
                <w:sz w:val="14"/>
                <w:szCs w:val="14"/>
              </w:rPr>
            </w:pPr>
            <w:r w:rsidRPr="00CD6D17">
              <w:rPr>
                <w:sz w:val="14"/>
                <w:szCs w:val="14"/>
              </w:rPr>
              <w:t xml:space="preserve">   2,842 </w:t>
            </w:r>
          </w:p>
        </w:tc>
        <w:tc>
          <w:tcPr>
            <w:tcW w:w="864" w:type="dxa"/>
            <w:tcBorders>
              <w:top w:val="single" w:sz="4" w:space="0" w:color="auto"/>
              <w:left w:val="nil"/>
              <w:bottom w:val="nil"/>
              <w:right w:val="nil"/>
            </w:tcBorders>
            <w:shd w:val="clear" w:color="000000" w:fill="FFFFFF"/>
            <w:noWrap/>
            <w:vAlign w:val="bottom"/>
            <w:hideMark/>
          </w:tcPr>
          <w:p w:rsidR="00CD6D17" w:rsidRPr="00CD6D17" w:rsidP="004761EF" w14:paraId="407D8B9B" w14:textId="77777777">
            <w:pPr>
              <w:jc w:val="right"/>
              <w:rPr>
                <w:sz w:val="14"/>
                <w:szCs w:val="14"/>
              </w:rPr>
            </w:pPr>
            <w:r w:rsidRPr="00CD6D17">
              <w:rPr>
                <w:sz w:val="14"/>
                <w:szCs w:val="14"/>
              </w:rPr>
              <w:t xml:space="preserve">   (8,582,675)</w:t>
            </w:r>
          </w:p>
        </w:tc>
      </w:tr>
      <w:tr w14:paraId="1C7572AD"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5EE0C44D" w14:textId="77777777">
            <w:pPr>
              <w:ind w:left="288" w:firstLine="280" w:firstLineChars="200"/>
              <w:rPr>
                <w:sz w:val="14"/>
                <w:szCs w:val="14"/>
              </w:rPr>
            </w:pPr>
            <w:r w:rsidRPr="00CD6D17">
              <w:rPr>
                <w:sz w:val="14"/>
                <w:szCs w:val="14"/>
              </w:rPr>
              <w:t>Expired unobligated balance, end of year</w:t>
            </w:r>
          </w:p>
        </w:tc>
        <w:tc>
          <w:tcPr>
            <w:tcW w:w="864" w:type="dxa"/>
            <w:tcBorders>
              <w:top w:val="nil"/>
              <w:left w:val="nil"/>
              <w:bottom w:val="nil"/>
              <w:right w:val="nil"/>
            </w:tcBorders>
            <w:shd w:val="clear" w:color="000000" w:fill="FFFFFF"/>
            <w:noWrap/>
            <w:vAlign w:val="bottom"/>
            <w:hideMark/>
          </w:tcPr>
          <w:p w:rsidR="00CD6D17" w:rsidRPr="00CD6D17" w:rsidP="004761EF" w14:paraId="6FD7A2D3" w14:textId="77777777">
            <w:pPr>
              <w:jc w:val="right"/>
              <w:rPr>
                <w:sz w:val="14"/>
                <w:szCs w:val="14"/>
              </w:rPr>
            </w:pPr>
            <w:r w:rsidRPr="00CD6D17">
              <w:rPr>
                <w:sz w:val="14"/>
                <w:szCs w:val="14"/>
              </w:rPr>
              <w:t xml:space="preserve">          204 </w:t>
            </w:r>
          </w:p>
        </w:tc>
        <w:tc>
          <w:tcPr>
            <w:tcW w:w="864" w:type="dxa"/>
            <w:tcBorders>
              <w:top w:val="nil"/>
              <w:left w:val="nil"/>
              <w:bottom w:val="nil"/>
              <w:right w:val="nil"/>
            </w:tcBorders>
            <w:shd w:val="clear" w:color="000000" w:fill="FFFFFF"/>
            <w:noWrap/>
            <w:vAlign w:val="bottom"/>
            <w:hideMark/>
          </w:tcPr>
          <w:p w:rsidR="00CD6D17" w:rsidRPr="00CD6D17" w:rsidP="004761EF" w14:paraId="3E8E6539"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77CE1D30"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3942A057"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BB5C47" w14:paraId="4C0E04A5"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50D4FC04"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15D509A3" w14:textId="77777777">
            <w:pPr>
              <w:jc w:val="right"/>
              <w:rPr>
                <w:sz w:val="14"/>
                <w:szCs w:val="14"/>
              </w:rPr>
            </w:pPr>
            <w:r w:rsidRPr="00CD6D17">
              <w:rPr>
                <w:sz w:val="14"/>
                <w:szCs w:val="14"/>
              </w:rPr>
              <w:t xml:space="preserve">          - </w:t>
            </w:r>
          </w:p>
        </w:tc>
        <w:tc>
          <w:tcPr>
            <w:tcW w:w="864" w:type="dxa"/>
            <w:tcBorders>
              <w:top w:val="nil"/>
              <w:left w:val="nil"/>
              <w:bottom w:val="single" w:sz="4" w:space="0" w:color="auto"/>
              <w:right w:val="nil"/>
            </w:tcBorders>
            <w:shd w:val="clear" w:color="000000" w:fill="FFFFFF"/>
            <w:noWrap/>
            <w:vAlign w:val="bottom"/>
            <w:hideMark/>
          </w:tcPr>
          <w:p w:rsidR="00CD6D17" w:rsidRPr="00CD6D17" w:rsidP="004761EF" w14:paraId="28DF6013" w14:textId="77777777">
            <w:pPr>
              <w:jc w:val="right"/>
              <w:rPr>
                <w:sz w:val="14"/>
                <w:szCs w:val="14"/>
              </w:rPr>
            </w:pPr>
            <w:r w:rsidRPr="00CD6D17">
              <w:rPr>
                <w:sz w:val="14"/>
                <w:szCs w:val="14"/>
              </w:rPr>
              <w:t xml:space="preserve">              204 </w:t>
            </w:r>
          </w:p>
        </w:tc>
      </w:tr>
      <w:tr w14:paraId="7D7F2663"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4F8400D9" w14:textId="77777777">
            <w:pPr>
              <w:ind w:left="360"/>
              <w:rPr>
                <w:sz w:val="14"/>
                <w:szCs w:val="14"/>
              </w:rPr>
            </w:pPr>
            <w:r w:rsidRPr="00CD6D17">
              <w:rPr>
                <w:sz w:val="14"/>
                <w:szCs w:val="14"/>
              </w:rPr>
              <w:t>Unobligated balance, end of year (total)</w:t>
            </w:r>
          </w:p>
        </w:tc>
        <w:tc>
          <w:tcPr>
            <w:tcW w:w="864" w:type="dxa"/>
            <w:tcBorders>
              <w:top w:val="single" w:sz="4" w:space="0" w:color="auto"/>
              <w:left w:val="nil"/>
              <w:bottom w:val="single" w:sz="4" w:space="0" w:color="auto"/>
              <w:right w:val="nil"/>
            </w:tcBorders>
            <w:shd w:val="clear" w:color="000000" w:fill="FFFFFF"/>
            <w:noWrap/>
            <w:vAlign w:val="bottom"/>
            <w:hideMark/>
          </w:tcPr>
          <w:p w:rsidR="00CD6D17" w:rsidRPr="00CD6D17" w:rsidP="004761EF" w14:paraId="16217288" w14:textId="77777777">
            <w:pPr>
              <w:jc w:val="right"/>
              <w:rPr>
                <w:sz w:val="14"/>
                <w:szCs w:val="14"/>
              </w:rPr>
            </w:pPr>
            <w:r w:rsidRPr="00CD6D17">
              <w:rPr>
                <w:sz w:val="14"/>
                <w:szCs w:val="14"/>
              </w:rPr>
              <w:t xml:space="preserve">     33,318 </w:t>
            </w:r>
          </w:p>
        </w:tc>
        <w:tc>
          <w:tcPr>
            <w:tcW w:w="864" w:type="dxa"/>
            <w:tcBorders>
              <w:top w:val="single" w:sz="4" w:space="0" w:color="auto"/>
              <w:left w:val="nil"/>
              <w:bottom w:val="single" w:sz="4" w:space="0" w:color="auto"/>
              <w:right w:val="nil"/>
            </w:tcBorders>
            <w:shd w:val="clear" w:color="000000" w:fill="FFFFFF"/>
            <w:noWrap/>
            <w:vAlign w:val="bottom"/>
            <w:hideMark/>
          </w:tcPr>
          <w:p w:rsidR="00CD6D17" w:rsidRPr="00CD6D17" w:rsidP="004761EF" w14:paraId="1C337BE3" w14:textId="77777777">
            <w:pPr>
              <w:jc w:val="right"/>
              <w:rPr>
                <w:sz w:val="14"/>
                <w:szCs w:val="14"/>
              </w:rPr>
            </w:pPr>
            <w:r w:rsidRPr="00CD6D17">
              <w:rPr>
                <w:sz w:val="14"/>
                <w:szCs w:val="14"/>
              </w:rPr>
              <w:t xml:space="preserve">     42,723 </w:t>
            </w:r>
          </w:p>
        </w:tc>
        <w:tc>
          <w:tcPr>
            <w:tcW w:w="864" w:type="dxa"/>
            <w:tcBorders>
              <w:top w:val="single" w:sz="4" w:space="0" w:color="auto"/>
              <w:left w:val="nil"/>
              <w:bottom w:val="single" w:sz="4" w:space="0" w:color="auto"/>
              <w:right w:val="nil"/>
            </w:tcBorders>
            <w:shd w:val="clear" w:color="000000" w:fill="FFFFFF"/>
            <w:noWrap/>
            <w:vAlign w:val="bottom"/>
            <w:hideMark/>
          </w:tcPr>
          <w:p w:rsidR="00CD6D17" w:rsidRPr="00CD6D17" w:rsidP="004761EF" w14:paraId="7E247AF1" w14:textId="77777777">
            <w:pPr>
              <w:jc w:val="right"/>
              <w:rPr>
                <w:sz w:val="14"/>
                <w:szCs w:val="14"/>
              </w:rPr>
            </w:pPr>
            <w:r w:rsidRPr="00CD6D17">
              <w:rPr>
                <w:sz w:val="14"/>
                <w:szCs w:val="14"/>
              </w:rPr>
              <w:t xml:space="preserve">              - </w:t>
            </w:r>
          </w:p>
        </w:tc>
        <w:tc>
          <w:tcPr>
            <w:tcW w:w="864" w:type="dxa"/>
            <w:tcBorders>
              <w:top w:val="single" w:sz="4" w:space="0" w:color="auto"/>
              <w:left w:val="nil"/>
              <w:bottom w:val="single" w:sz="4" w:space="0" w:color="auto"/>
              <w:right w:val="nil"/>
            </w:tcBorders>
            <w:shd w:val="clear" w:color="000000" w:fill="FFFFFF"/>
            <w:noWrap/>
            <w:vAlign w:val="bottom"/>
            <w:hideMark/>
          </w:tcPr>
          <w:p w:rsidR="00CD6D17" w:rsidRPr="00CD6D17" w:rsidP="004761EF" w14:paraId="588D7AB1" w14:textId="77777777">
            <w:pPr>
              <w:jc w:val="right"/>
              <w:rPr>
                <w:sz w:val="14"/>
                <w:szCs w:val="14"/>
              </w:rPr>
            </w:pPr>
            <w:r w:rsidRPr="00CD6D17">
              <w:rPr>
                <w:sz w:val="14"/>
                <w:szCs w:val="14"/>
              </w:rPr>
              <w:t xml:space="preserve">   707,494 </w:t>
            </w:r>
          </w:p>
        </w:tc>
        <w:tc>
          <w:tcPr>
            <w:tcW w:w="864" w:type="dxa"/>
            <w:tcBorders>
              <w:top w:val="single" w:sz="4" w:space="0" w:color="auto"/>
              <w:left w:val="nil"/>
              <w:bottom w:val="single" w:sz="4" w:space="0" w:color="auto"/>
              <w:right w:val="nil"/>
            </w:tcBorders>
            <w:shd w:val="clear" w:color="000000" w:fill="FFFFFF"/>
            <w:noWrap/>
            <w:vAlign w:val="bottom"/>
            <w:hideMark/>
          </w:tcPr>
          <w:p w:rsidR="00CD6D17" w:rsidRPr="00CD6D17" w:rsidP="00BB5C47" w14:paraId="46A8BDFA" w14:textId="77777777">
            <w:pPr>
              <w:jc w:val="right"/>
              <w:rPr>
                <w:sz w:val="14"/>
                <w:szCs w:val="14"/>
              </w:rPr>
            </w:pPr>
            <w:r w:rsidRPr="00CD6D17">
              <w:rPr>
                <w:sz w:val="14"/>
                <w:szCs w:val="14"/>
              </w:rPr>
              <w:t xml:space="preserve">     (9,715,020)</w:t>
            </w:r>
          </w:p>
        </w:tc>
        <w:tc>
          <w:tcPr>
            <w:tcW w:w="864" w:type="dxa"/>
            <w:tcBorders>
              <w:top w:val="single" w:sz="4" w:space="0" w:color="auto"/>
              <w:left w:val="nil"/>
              <w:bottom w:val="single" w:sz="4" w:space="0" w:color="auto"/>
              <w:right w:val="nil"/>
            </w:tcBorders>
            <w:shd w:val="clear" w:color="000000" w:fill="FFFFFF"/>
            <w:noWrap/>
            <w:vAlign w:val="bottom"/>
            <w:hideMark/>
          </w:tcPr>
          <w:p w:rsidR="00CD6D17" w:rsidRPr="00CD6D17" w:rsidP="004761EF" w14:paraId="528D0C51" w14:textId="77777777">
            <w:pPr>
              <w:jc w:val="right"/>
              <w:rPr>
                <w:sz w:val="14"/>
                <w:szCs w:val="14"/>
              </w:rPr>
            </w:pPr>
            <w:r w:rsidRPr="00CD6D17">
              <w:rPr>
                <w:sz w:val="14"/>
                <w:szCs w:val="14"/>
              </w:rPr>
              <w:t xml:space="preserve">      346,172 </w:t>
            </w:r>
          </w:p>
        </w:tc>
        <w:tc>
          <w:tcPr>
            <w:tcW w:w="864" w:type="dxa"/>
            <w:tcBorders>
              <w:top w:val="single" w:sz="4" w:space="0" w:color="auto"/>
              <w:left w:val="nil"/>
              <w:bottom w:val="single" w:sz="4" w:space="0" w:color="auto"/>
              <w:right w:val="nil"/>
            </w:tcBorders>
            <w:shd w:val="clear" w:color="000000" w:fill="FFFFFF"/>
            <w:noWrap/>
            <w:vAlign w:val="bottom"/>
            <w:hideMark/>
          </w:tcPr>
          <w:p w:rsidR="00CD6D17" w:rsidRPr="00CD6D17" w:rsidP="004761EF" w14:paraId="081E59DE" w14:textId="77777777">
            <w:pPr>
              <w:jc w:val="right"/>
              <w:rPr>
                <w:sz w:val="14"/>
                <w:szCs w:val="14"/>
              </w:rPr>
            </w:pPr>
            <w:r w:rsidRPr="00CD6D17">
              <w:rPr>
                <w:sz w:val="14"/>
                <w:szCs w:val="14"/>
              </w:rPr>
              <w:t xml:space="preserve">   2,842 </w:t>
            </w:r>
          </w:p>
        </w:tc>
        <w:tc>
          <w:tcPr>
            <w:tcW w:w="864" w:type="dxa"/>
            <w:tcBorders>
              <w:top w:val="single" w:sz="4" w:space="0" w:color="auto"/>
              <w:left w:val="nil"/>
              <w:bottom w:val="single" w:sz="4" w:space="0" w:color="auto"/>
              <w:right w:val="nil"/>
            </w:tcBorders>
            <w:shd w:val="clear" w:color="000000" w:fill="FFFFFF"/>
            <w:noWrap/>
            <w:vAlign w:val="bottom"/>
            <w:hideMark/>
          </w:tcPr>
          <w:p w:rsidR="00CD6D17" w:rsidRPr="00CD6D17" w:rsidP="004761EF" w14:paraId="0F6A5658" w14:textId="77777777">
            <w:pPr>
              <w:jc w:val="right"/>
              <w:rPr>
                <w:sz w:val="14"/>
                <w:szCs w:val="14"/>
              </w:rPr>
            </w:pPr>
            <w:r w:rsidRPr="00CD6D17">
              <w:rPr>
                <w:sz w:val="14"/>
                <w:szCs w:val="14"/>
              </w:rPr>
              <w:t xml:space="preserve">   (8,582,471)</w:t>
            </w:r>
          </w:p>
        </w:tc>
      </w:tr>
      <w:tr w14:paraId="3EA275C4"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568C462A" w14:textId="77777777">
            <w:pPr>
              <w:ind w:left="360"/>
              <w:rPr>
                <w:sz w:val="14"/>
                <w:szCs w:val="14"/>
              </w:rPr>
            </w:pPr>
            <w:r w:rsidRPr="00CD6D17">
              <w:rPr>
                <w:sz w:val="14"/>
                <w:szCs w:val="14"/>
              </w:rPr>
              <w:t>Total status of budgetary resources</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5E6CA035" w14:textId="6CDCAAE0">
            <w:pPr>
              <w:jc w:val="right"/>
              <w:rPr>
                <w:sz w:val="14"/>
                <w:szCs w:val="14"/>
              </w:rPr>
            </w:pPr>
            <w:r w:rsidRPr="00CD6D17">
              <w:rPr>
                <w:sz w:val="14"/>
                <w:szCs w:val="14"/>
              </w:rPr>
              <w:t>$</w:t>
            </w:r>
            <w:r w:rsidR="004B17FB">
              <w:rPr>
                <w:sz w:val="14"/>
                <w:szCs w:val="14"/>
              </w:rPr>
              <w:t xml:space="preserve">       </w:t>
            </w:r>
            <w:r w:rsidRPr="00CD6D17">
              <w:rPr>
                <w:sz w:val="14"/>
                <w:szCs w:val="14"/>
              </w:rPr>
              <w:t xml:space="preserve">421,778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084B0120" w14:textId="477C74B2">
            <w:pPr>
              <w:jc w:val="right"/>
              <w:rPr>
                <w:sz w:val="14"/>
                <w:szCs w:val="14"/>
              </w:rPr>
            </w:pPr>
            <w:r w:rsidRPr="00CD6D17">
              <w:rPr>
                <w:sz w:val="14"/>
                <w:szCs w:val="14"/>
              </w:rPr>
              <w:t>$</w:t>
            </w:r>
            <w:r w:rsidR="004B17FB">
              <w:rPr>
                <w:sz w:val="14"/>
                <w:szCs w:val="14"/>
              </w:rPr>
              <w:t xml:space="preserve">       </w:t>
            </w:r>
            <w:r w:rsidRPr="00CD6D17">
              <w:rPr>
                <w:sz w:val="14"/>
                <w:szCs w:val="14"/>
              </w:rPr>
              <w:t xml:space="preserve">174,399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4076E35E" w14:textId="4EB18D20">
            <w:pPr>
              <w:jc w:val="right"/>
              <w:rPr>
                <w:sz w:val="14"/>
                <w:szCs w:val="14"/>
              </w:rPr>
            </w:pPr>
            <w:r w:rsidRPr="00CD6D17">
              <w:rPr>
                <w:sz w:val="14"/>
                <w:szCs w:val="14"/>
              </w:rPr>
              <w:t>$</w:t>
            </w:r>
            <w:r w:rsidR="004B17FB">
              <w:rPr>
                <w:sz w:val="14"/>
                <w:szCs w:val="14"/>
              </w:rPr>
              <w:t xml:space="preserve">       </w:t>
            </w:r>
            <w:r w:rsidRPr="00CD6D17">
              <w:rPr>
                <w:sz w:val="14"/>
                <w:szCs w:val="14"/>
              </w:rPr>
              <w:t xml:space="preserve">200,000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2BFD7693" w14:textId="5C7251A8">
            <w:pPr>
              <w:jc w:val="right"/>
              <w:rPr>
                <w:sz w:val="14"/>
                <w:szCs w:val="14"/>
              </w:rPr>
            </w:pPr>
            <w:r w:rsidRPr="00CD6D17">
              <w:rPr>
                <w:sz w:val="14"/>
                <w:szCs w:val="14"/>
              </w:rPr>
              <w:t>$</w:t>
            </w:r>
            <w:r w:rsidR="004B17FB">
              <w:rPr>
                <w:sz w:val="14"/>
                <w:szCs w:val="14"/>
              </w:rPr>
              <w:t xml:space="preserve">       </w:t>
            </w:r>
            <w:r w:rsidRPr="00CD6D17">
              <w:rPr>
                <w:sz w:val="14"/>
                <w:szCs w:val="14"/>
              </w:rPr>
              <w:t xml:space="preserve">950,723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BB5C47" w14:paraId="35BAAEAF" w14:textId="4BD4126D">
            <w:pPr>
              <w:jc w:val="right"/>
              <w:rPr>
                <w:sz w:val="14"/>
                <w:szCs w:val="14"/>
              </w:rPr>
            </w:pPr>
            <w:r w:rsidRPr="00CD6D17">
              <w:rPr>
                <w:sz w:val="14"/>
                <w:szCs w:val="14"/>
              </w:rPr>
              <w:t>$</w:t>
            </w:r>
            <w:r w:rsidR="004B17FB">
              <w:rPr>
                <w:sz w:val="14"/>
                <w:szCs w:val="14"/>
              </w:rPr>
              <w:t xml:space="preserve">  </w:t>
            </w:r>
            <w:r w:rsidRPr="00CD6D17">
              <w:rPr>
                <w:sz w:val="14"/>
                <w:szCs w:val="14"/>
              </w:rPr>
              <w:t xml:space="preserve">  (2,803,549)</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55CC3BC6" w14:textId="75942E98">
            <w:pPr>
              <w:jc w:val="right"/>
              <w:rPr>
                <w:sz w:val="14"/>
                <w:szCs w:val="14"/>
              </w:rPr>
            </w:pPr>
            <w:r w:rsidRPr="00CD6D17">
              <w:rPr>
                <w:sz w:val="14"/>
                <w:szCs w:val="14"/>
              </w:rPr>
              <w:t>$</w:t>
            </w:r>
            <w:r w:rsidR="004B17FB">
              <w:rPr>
                <w:sz w:val="14"/>
                <w:szCs w:val="14"/>
              </w:rPr>
              <w:t xml:space="preserve">    </w:t>
            </w:r>
            <w:r w:rsidRPr="00CD6D17">
              <w:rPr>
                <w:sz w:val="14"/>
                <w:szCs w:val="14"/>
              </w:rPr>
              <w:t xml:space="preserve">1,787,479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171E10B8" w14:textId="679A4E74">
            <w:pPr>
              <w:jc w:val="right"/>
              <w:rPr>
                <w:sz w:val="14"/>
                <w:szCs w:val="14"/>
              </w:rPr>
            </w:pPr>
            <w:r w:rsidRPr="00CD6D17">
              <w:rPr>
                <w:sz w:val="14"/>
                <w:szCs w:val="14"/>
              </w:rPr>
              <w:t>$</w:t>
            </w:r>
            <w:r w:rsidR="00A12372">
              <w:rPr>
                <w:sz w:val="14"/>
                <w:szCs w:val="14"/>
              </w:rPr>
              <w:t xml:space="preserve">           </w:t>
            </w:r>
            <w:r w:rsidRPr="00CD6D17">
              <w:rPr>
                <w:sz w:val="14"/>
                <w:szCs w:val="14"/>
              </w:rPr>
              <w:t xml:space="preserve">2,842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77742AFF" w14:textId="1AA3F343">
            <w:pPr>
              <w:jc w:val="right"/>
              <w:rPr>
                <w:sz w:val="14"/>
                <w:szCs w:val="14"/>
              </w:rPr>
            </w:pPr>
            <w:r w:rsidRPr="00CD6D17">
              <w:rPr>
                <w:sz w:val="14"/>
                <w:szCs w:val="14"/>
              </w:rPr>
              <w:t>$</w:t>
            </w:r>
            <w:r w:rsidR="001D1133">
              <w:rPr>
                <w:sz w:val="14"/>
                <w:szCs w:val="14"/>
              </w:rPr>
              <w:t xml:space="preserve">  </w:t>
            </w:r>
            <w:r w:rsidRPr="00CD6D17">
              <w:rPr>
                <w:sz w:val="14"/>
                <w:szCs w:val="14"/>
              </w:rPr>
              <w:t xml:space="preserve">     733,672 </w:t>
            </w:r>
          </w:p>
        </w:tc>
      </w:tr>
      <w:tr w14:paraId="1084D4BC" w14:textId="77777777" w:rsidTr="00F03546">
        <w:tblPrEx>
          <w:tblW w:w="5000" w:type="pct"/>
          <w:tblLook w:val="04A0"/>
        </w:tblPrEx>
        <w:trPr>
          <w:trHeight w:val="387"/>
        </w:trPr>
        <w:tc>
          <w:tcPr>
            <w:tcW w:w="4729" w:type="dxa"/>
            <w:tcBorders>
              <w:top w:val="nil"/>
              <w:left w:val="nil"/>
              <w:bottom w:val="nil"/>
              <w:right w:val="nil"/>
            </w:tcBorders>
            <w:shd w:val="clear" w:color="000000" w:fill="FFFFFF"/>
            <w:noWrap/>
            <w:vAlign w:val="bottom"/>
          </w:tcPr>
          <w:p w:rsidR="00CD6D17" w:rsidRPr="00CD6D17" w:rsidP="004957F6" w14:paraId="2AE7A136" w14:textId="7C00172A">
            <w:pPr>
              <w:rPr>
                <w:sz w:val="14"/>
                <w:szCs w:val="14"/>
              </w:rPr>
            </w:pPr>
            <w:r w:rsidRPr="00CD6D17">
              <w:rPr>
                <w:b/>
                <w:bCs/>
                <w:sz w:val="14"/>
                <w:szCs w:val="14"/>
              </w:rPr>
              <w:t>Outlays, Net:</w:t>
            </w:r>
          </w:p>
        </w:tc>
        <w:tc>
          <w:tcPr>
            <w:tcW w:w="864" w:type="dxa"/>
            <w:tcBorders>
              <w:top w:val="nil"/>
              <w:left w:val="nil"/>
              <w:bottom w:val="nil"/>
              <w:right w:val="nil"/>
            </w:tcBorders>
            <w:shd w:val="clear" w:color="000000" w:fill="FFFFFF"/>
            <w:noWrap/>
            <w:vAlign w:val="bottom"/>
          </w:tcPr>
          <w:p w:rsidR="00CD6D17" w:rsidRPr="00CD6D17" w:rsidP="004761EF" w14:paraId="13205C7A"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5B886F36"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1C1F61FB"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7AFE9B38"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BB5C47" w14:paraId="1495A6A9"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4C2769DA"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1F149C7A" w14:textId="77777777">
            <w:pPr>
              <w:jc w:val="right"/>
              <w:rPr>
                <w:sz w:val="14"/>
                <w:szCs w:val="14"/>
              </w:rPr>
            </w:pPr>
          </w:p>
        </w:tc>
        <w:tc>
          <w:tcPr>
            <w:tcW w:w="864" w:type="dxa"/>
            <w:tcBorders>
              <w:top w:val="nil"/>
              <w:left w:val="nil"/>
              <w:bottom w:val="nil"/>
              <w:right w:val="nil"/>
            </w:tcBorders>
            <w:shd w:val="clear" w:color="000000" w:fill="FFFFFF"/>
            <w:noWrap/>
            <w:vAlign w:val="bottom"/>
          </w:tcPr>
          <w:p w:rsidR="00CD6D17" w:rsidRPr="00CD6D17" w:rsidP="004761EF" w14:paraId="74C3A459" w14:textId="77777777">
            <w:pPr>
              <w:jc w:val="right"/>
              <w:rPr>
                <w:sz w:val="14"/>
                <w:szCs w:val="14"/>
              </w:rPr>
            </w:pPr>
          </w:p>
        </w:tc>
      </w:tr>
      <w:tr w14:paraId="0C13704A"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024120F4" w14:textId="77777777">
            <w:pPr>
              <w:ind w:left="360"/>
              <w:rPr>
                <w:sz w:val="14"/>
                <w:szCs w:val="14"/>
              </w:rPr>
            </w:pPr>
            <w:r w:rsidRPr="00CD6D17">
              <w:rPr>
                <w:sz w:val="14"/>
                <w:szCs w:val="14"/>
              </w:rPr>
              <w:t>Outlays, net (discretionary and mandatory)</w:t>
            </w:r>
          </w:p>
        </w:tc>
        <w:tc>
          <w:tcPr>
            <w:tcW w:w="864" w:type="dxa"/>
            <w:tcBorders>
              <w:top w:val="nil"/>
              <w:left w:val="nil"/>
              <w:bottom w:val="nil"/>
              <w:right w:val="nil"/>
            </w:tcBorders>
            <w:shd w:val="clear" w:color="000000" w:fill="FFFFFF"/>
            <w:noWrap/>
            <w:vAlign w:val="bottom"/>
            <w:hideMark/>
          </w:tcPr>
          <w:p w:rsidR="00CD6D17" w:rsidRPr="00CD6D17" w:rsidP="004761EF" w14:paraId="1799F55A" w14:textId="02983BD5">
            <w:pPr>
              <w:jc w:val="right"/>
              <w:rPr>
                <w:sz w:val="14"/>
                <w:szCs w:val="14"/>
              </w:rPr>
            </w:pPr>
            <w:r w:rsidRPr="00CD6D17">
              <w:rPr>
                <w:sz w:val="14"/>
                <w:szCs w:val="14"/>
              </w:rPr>
              <w:t>$</w:t>
            </w:r>
            <w:r w:rsidR="00667418">
              <w:rPr>
                <w:sz w:val="14"/>
                <w:szCs w:val="14"/>
              </w:rPr>
              <w:t xml:space="preserve">       </w:t>
            </w:r>
            <w:r w:rsidRPr="00CD6D17">
              <w:rPr>
                <w:sz w:val="14"/>
                <w:szCs w:val="14"/>
              </w:rPr>
              <w:t xml:space="preserve">  23,881 </w:t>
            </w:r>
          </w:p>
        </w:tc>
        <w:tc>
          <w:tcPr>
            <w:tcW w:w="864" w:type="dxa"/>
            <w:tcBorders>
              <w:top w:val="nil"/>
              <w:left w:val="nil"/>
              <w:bottom w:val="nil"/>
              <w:right w:val="nil"/>
            </w:tcBorders>
            <w:shd w:val="clear" w:color="000000" w:fill="FFFFFF"/>
            <w:noWrap/>
            <w:vAlign w:val="bottom"/>
            <w:hideMark/>
          </w:tcPr>
          <w:p w:rsidR="00CD6D17" w:rsidRPr="00CD6D17" w:rsidP="004761EF" w14:paraId="086646D5" w14:textId="72E52979">
            <w:pPr>
              <w:jc w:val="right"/>
              <w:rPr>
                <w:sz w:val="14"/>
                <w:szCs w:val="14"/>
              </w:rPr>
            </w:pPr>
            <w:r w:rsidRPr="00CD6D17">
              <w:rPr>
                <w:sz w:val="14"/>
                <w:szCs w:val="14"/>
              </w:rPr>
              <w:t xml:space="preserve">$ </w:t>
            </w:r>
            <w:r w:rsidR="00667418">
              <w:rPr>
                <w:sz w:val="14"/>
                <w:szCs w:val="14"/>
              </w:rPr>
              <w:t xml:space="preserve">     </w:t>
            </w:r>
            <w:r w:rsidRPr="00CD6D17">
              <w:rPr>
                <w:sz w:val="14"/>
                <w:szCs w:val="14"/>
              </w:rPr>
              <w:t xml:space="preserve">  (7,835)</w:t>
            </w:r>
          </w:p>
        </w:tc>
        <w:tc>
          <w:tcPr>
            <w:tcW w:w="864" w:type="dxa"/>
            <w:tcBorders>
              <w:top w:val="nil"/>
              <w:left w:val="nil"/>
              <w:bottom w:val="nil"/>
              <w:right w:val="nil"/>
            </w:tcBorders>
            <w:shd w:val="clear" w:color="000000" w:fill="FFFFFF"/>
            <w:noWrap/>
            <w:vAlign w:val="bottom"/>
            <w:hideMark/>
          </w:tcPr>
          <w:p w:rsidR="00CD6D17" w:rsidRPr="00CD6D17" w:rsidP="004761EF" w14:paraId="56B80848" w14:textId="1EB5AFBA">
            <w:pPr>
              <w:jc w:val="right"/>
              <w:rPr>
                <w:sz w:val="14"/>
                <w:szCs w:val="14"/>
              </w:rPr>
            </w:pPr>
            <w:r w:rsidRPr="00CD6D17">
              <w:rPr>
                <w:sz w:val="14"/>
                <w:szCs w:val="14"/>
              </w:rPr>
              <w:t>$</w:t>
            </w:r>
            <w:r w:rsidR="00667418">
              <w:rPr>
                <w:sz w:val="14"/>
                <w:szCs w:val="14"/>
              </w:rPr>
              <w:t xml:space="preserve">       </w:t>
            </w:r>
            <w:r w:rsidRPr="00CD6D17">
              <w:rPr>
                <w:sz w:val="14"/>
                <w:szCs w:val="14"/>
              </w:rPr>
              <w:t xml:space="preserve">  36,982 </w:t>
            </w:r>
          </w:p>
        </w:tc>
        <w:tc>
          <w:tcPr>
            <w:tcW w:w="864" w:type="dxa"/>
            <w:tcBorders>
              <w:top w:val="nil"/>
              <w:left w:val="nil"/>
              <w:bottom w:val="nil"/>
              <w:right w:val="nil"/>
            </w:tcBorders>
            <w:shd w:val="clear" w:color="000000" w:fill="FFFFFF"/>
            <w:noWrap/>
            <w:vAlign w:val="bottom"/>
            <w:hideMark/>
          </w:tcPr>
          <w:p w:rsidR="00CD6D17" w:rsidRPr="00CD6D17" w:rsidP="004761EF" w14:paraId="6D22A71E" w14:textId="7A1915F5">
            <w:pPr>
              <w:jc w:val="right"/>
              <w:rPr>
                <w:sz w:val="14"/>
                <w:szCs w:val="14"/>
              </w:rPr>
            </w:pPr>
            <w:r w:rsidRPr="00CD6D17">
              <w:rPr>
                <w:sz w:val="14"/>
                <w:szCs w:val="14"/>
              </w:rPr>
              <w:t>$</w:t>
            </w:r>
            <w:r w:rsidR="00667418">
              <w:rPr>
                <w:sz w:val="14"/>
                <w:szCs w:val="14"/>
              </w:rPr>
              <w:t xml:space="preserve">       </w:t>
            </w:r>
            <w:r w:rsidRPr="00CD6D17">
              <w:rPr>
                <w:sz w:val="14"/>
                <w:szCs w:val="14"/>
              </w:rPr>
              <w:t xml:space="preserve">546,036 </w:t>
            </w:r>
          </w:p>
        </w:tc>
        <w:tc>
          <w:tcPr>
            <w:tcW w:w="864" w:type="dxa"/>
            <w:tcBorders>
              <w:top w:val="nil"/>
              <w:left w:val="nil"/>
              <w:bottom w:val="nil"/>
              <w:right w:val="nil"/>
            </w:tcBorders>
            <w:shd w:val="clear" w:color="000000" w:fill="FFFFFF"/>
            <w:noWrap/>
            <w:vAlign w:val="bottom"/>
            <w:hideMark/>
          </w:tcPr>
          <w:p w:rsidR="00CD6D17" w:rsidRPr="00CD6D17" w:rsidP="00BB5C47" w14:paraId="6572187E" w14:textId="6B72F066">
            <w:pPr>
              <w:jc w:val="right"/>
              <w:rPr>
                <w:sz w:val="14"/>
                <w:szCs w:val="14"/>
              </w:rPr>
            </w:pPr>
            <w:r w:rsidRPr="00CD6D17">
              <w:rPr>
                <w:sz w:val="14"/>
                <w:szCs w:val="14"/>
              </w:rPr>
              <w:t>$</w:t>
            </w:r>
            <w:r w:rsidR="00667418">
              <w:rPr>
                <w:sz w:val="14"/>
                <w:szCs w:val="14"/>
              </w:rPr>
              <w:t xml:space="preserve">   </w:t>
            </w:r>
            <w:r w:rsidRPr="00CD6D17">
              <w:rPr>
                <w:sz w:val="14"/>
                <w:szCs w:val="14"/>
              </w:rPr>
              <w:t xml:space="preserve">   8,249,044 </w:t>
            </w:r>
          </w:p>
        </w:tc>
        <w:tc>
          <w:tcPr>
            <w:tcW w:w="864" w:type="dxa"/>
            <w:tcBorders>
              <w:top w:val="nil"/>
              <w:left w:val="nil"/>
              <w:bottom w:val="nil"/>
              <w:right w:val="nil"/>
            </w:tcBorders>
            <w:shd w:val="clear" w:color="000000" w:fill="FFFFFF"/>
            <w:noWrap/>
            <w:vAlign w:val="bottom"/>
            <w:hideMark/>
          </w:tcPr>
          <w:p w:rsidR="00CD6D17" w:rsidRPr="00CD6D17" w:rsidP="004761EF" w14:paraId="65227782" w14:textId="541B2076">
            <w:pPr>
              <w:jc w:val="right"/>
              <w:rPr>
                <w:sz w:val="14"/>
                <w:szCs w:val="14"/>
              </w:rPr>
            </w:pPr>
            <w:r w:rsidRPr="00CD6D17">
              <w:rPr>
                <w:sz w:val="14"/>
                <w:szCs w:val="14"/>
              </w:rPr>
              <w:t>$</w:t>
            </w:r>
            <w:r w:rsidR="00667418">
              <w:rPr>
                <w:sz w:val="14"/>
                <w:szCs w:val="14"/>
              </w:rPr>
              <w:t xml:space="preserve">    </w:t>
            </w:r>
            <w:r w:rsidRPr="00CD6D17">
              <w:rPr>
                <w:sz w:val="14"/>
                <w:szCs w:val="14"/>
              </w:rPr>
              <w:t xml:space="preserve">1,423,802 </w:t>
            </w:r>
          </w:p>
        </w:tc>
        <w:tc>
          <w:tcPr>
            <w:tcW w:w="864" w:type="dxa"/>
            <w:tcBorders>
              <w:top w:val="nil"/>
              <w:left w:val="nil"/>
              <w:bottom w:val="nil"/>
              <w:right w:val="nil"/>
            </w:tcBorders>
            <w:shd w:val="clear" w:color="000000" w:fill="FFFFFF"/>
            <w:noWrap/>
            <w:vAlign w:val="bottom"/>
            <w:hideMark/>
          </w:tcPr>
          <w:p w:rsidR="00CD6D17" w:rsidRPr="00CD6D17" w:rsidP="004761EF" w14:paraId="764F98FB" w14:textId="3CE7DBDE">
            <w:pPr>
              <w:jc w:val="right"/>
              <w:rPr>
                <w:sz w:val="14"/>
                <w:szCs w:val="14"/>
              </w:rPr>
            </w:pPr>
            <w:r w:rsidRPr="00CD6D17">
              <w:rPr>
                <w:sz w:val="14"/>
                <w:szCs w:val="14"/>
              </w:rPr>
              <w:t>$</w:t>
            </w:r>
            <w:r w:rsidR="00667418">
              <w:rPr>
                <w:sz w:val="14"/>
                <w:szCs w:val="14"/>
              </w:rPr>
              <w:t xml:space="preserve">          </w:t>
            </w:r>
            <w:r w:rsidRPr="00CD6D17">
              <w:rPr>
                <w:sz w:val="14"/>
                <w:szCs w:val="14"/>
              </w:rPr>
              <w:t xml:space="preserve">     (2)</w:t>
            </w:r>
          </w:p>
        </w:tc>
        <w:tc>
          <w:tcPr>
            <w:tcW w:w="864" w:type="dxa"/>
            <w:tcBorders>
              <w:top w:val="nil"/>
              <w:left w:val="nil"/>
              <w:bottom w:val="nil"/>
              <w:right w:val="nil"/>
            </w:tcBorders>
            <w:shd w:val="clear" w:color="000000" w:fill="FFFFFF"/>
            <w:noWrap/>
            <w:vAlign w:val="bottom"/>
            <w:hideMark/>
          </w:tcPr>
          <w:p w:rsidR="00CD6D17" w:rsidRPr="00CD6D17" w:rsidP="004761EF" w14:paraId="66ACBE75" w14:textId="391153FA">
            <w:pPr>
              <w:jc w:val="right"/>
              <w:rPr>
                <w:sz w:val="14"/>
                <w:szCs w:val="14"/>
              </w:rPr>
            </w:pPr>
            <w:r w:rsidRPr="00CD6D17">
              <w:rPr>
                <w:sz w:val="14"/>
                <w:szCs w:val="14"/>
              </w:rPr>
              <w:t>$</w:t>
            </w:r>
            <w:r w:rsidR="00667418">
              <w:rPr>
                <w:sz w:val="14"/>
                <w:szCs w:val="14"/>
              </w:rPr>
              <w:t xml:space="preserve">  </w:t>
            </w:r>
            <w:r w:rsidRPr="00CD6D17">
              <w:rPr>
                <w:sz w:val="14"/>
                <w:szCs w:val="14"/>
              </w:rPr>
              <w:t xml:space="preserve">10,271,908 </w:t>
            </w:r>
          </w:p>
        </w:tc>
      </w:tr>
      <w:tr w14:paraId="448766F1"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5FEA4A60" w14:textId="77777777">
            <w:pPr>
              <w:ind w:left="360"/>
              <w:rPr>
                <w:sz w:val="14"/>
                <w:szCs w:val="14"/>
              </w:rPr>
            </w:pPr>
            <w:r w:rsidRPr="00CD6D17">
              <w:rPr>
                <w:sz w:val="14"/>
                <w:szCs w:val="14"/>
              </w:rPr>
              <w:t>Distributed offsetting receipts (-)</w:t>
            </w:r>
          </w:p>
        </w:tc>
        <w:tc>
          <w:tcPr>
            <w:tcW w:w="864" w:type="dxa"/>
            <w:tcBorders>
              <w:top w:val="nil"/>
              <w:left w:val="nil"/>
              <w:bottom w:val="nil"/>
              <w:right w:val="nil"/>
            </w:tcBorders>
            <w:shd w:val="clear" w:color="000000" w:fill="FFFFFF"/>
            <w:noWrap/>
            <w:vAlign w:val="bottom"/>
            <w:hideMark/>
          </w:tcPr>
          <w:p w:rsidR="00CD6D17" w:rsidRPr="00CD6D17" w:rsidP="004761EF" w14:paraId="3A343AD0" w14:textId="77777777">
            <w:pPr>
              <w:jc w:val="right"/>
              <w:rPr>
                <w:sz w:val="14"/>
                <w:szCs w:val="14"/>
              </w:rPr>
            </w:pPr>
            <w:r w:rsidRPr="00CD6D17">
              <w:rPr>
                <w:sz w:val="14"/>
                <w:szCs w:val="14"/>
              </w:rPr>
              <w:t xml:space="preserve">    (28,406)</w:t>
            </w:r>
          </w:p>
        </w:tc>
        <w:tc>
          <w:tcPr>
            <w:tcW w:w="864" w:type="dxa"/>
            <w:tcBorders>
              <w:top w:val="nil"/>
              <w:left w:val="nil"/>
              <w:bottom w:val="nil"/>
              <w:right w:val="nil"/>
            </w:tcBorders>
            <w:shd w:val="clear" w:color="000000" w:fill="FFFFFF"/>
            <w:noWrap/>
            <w:vAlign w:val="bottom"/>
            <w:hideMark/>
          </w:tcPr>
          <w:p w:rsidR="00CD6D17" w:rsidRPr="00CD6D17" w:rsidP="004761EF" w14:paraId="00C113A9"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0A1BE28F"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6ACF4936"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BB5C47" w14:paraId="2D3889FA"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6D120685" w14:textId="77777777">
            <w:pPr>
              <w:jc w:val="right"/>
              <w:rPr>
                <w:sz w:val="14"/>
                <w:szCs w:val="14"/>
              </w:rPr>
            </w:pPr>
            <w:r w:rsidRPr="00CD6D17">
              <w:rPr>
                <w:sz w:val="14"/>
                <w:szCs w:val="14"/>
              </w:rPr>
              <w:t xml:space="preserve">        (1,363)</w:t>
            </w:r>
          </w:p>
        </w:tc>
        <w:tc>
          <w:tcPr>
            <w:tcW w:w="864" w:type="dxa"/>
            <w:tcBorders>
              <w:top w:val="nil"/>
              <w:left w:val="nil"/>
              <w:bottom w:val="nil"/>
              <w:right w:val="nil"/>
            </w:tcBorders>
            <w:shd w:val="clear" w:color="000000" w:fill="FFFFFF"/>
            <w:noWrap/>
            <w:vAlign w:val="bottom"/>
            <w:hideMark/>
          </w:tcPr>
          <w:p w:rsidR="00CD6D17" w:rsidRPr="00CD6D17" w:rsidP="004761EF" w14:paraId="67912030" w14:textId="77777777">
            <w:pPr>
              <w:jc w:val="right"/>
              <w:rPr>
                <w:sz w:val="14"/>
                <w:szCs w:val="14"/>
              </w:rPr>
            </w:pPr>
            <w:r w:rsidRPr="00CD6D17">
              <w:rPr>
                <w:sz w:val="14"/>
                <w:szCs w:val="14"/>
              </w:rPr>
              <w:t xml:space="preserve">          - </w:t>
            </w:r>
          </w:p>
        </w:tc>
        <w:tc>
          <w:tcPr>
            <w:tcW w:w="864" w:type="dxa"/>
            <w:tcBorders>
              <w:top w:val="nil"/>
              <w:left w:val="nil"/>
              <w:bottom w:val="nil"/>
              <w:right w:val="nil"/>
            </w:tcBorders>
            <w:shd w:val="clear" w:color="000000" w:fill="FFFFFF"/>
            <w:noWrap/>
            <w:vAlign w:val="bottom"/>
            <w:hideMark/>
          </w:tcPr>
          <w:p w:rsidR="00CD6D17" w:rsidRPr="00CD6D17" w:rsidP="004761EF" w14:paraId="458CC5A7" w14:textId="77777777">
            <w:pPr>
              <w:jc w:val="right"/>
              <w:rPr>
                <w:sz w:val="14"/>
                <w:szCs w:val="14"/>
              </w:rPr>
            </w:pPr>
            <w:r w:rsidRPr="00CD6D17">
              <w:rPr>
                <w:sz w:val="14"/>
                <w:szCs w:val="14"/>
              </w:rPr>
              <w:t xml:space="preserve">        (29,769)</w:t>
            </w:r>
          </w:p>
        </w:tc>
      </w:tr>
      <w:tr w14:paraId="1176F385" w14:textId="77777777" w:rsidTr="00CB3214">
        <w:tblPrEx>
          <w:tblW w:w="5000" w:type="pct"/>
          <w:tblLook w:val="04A0"/>
        </w:tblPrEx>
        <w:trPr>
          <w:trHeight w:val="20"/>
        </w:trPr>
        <w:tc>
          <w:tcPr>
            <w:tcW w:w="4729" w:type="dxa"/>
            <w:tcBorders>
              <w:top w:val="nil"/>
              <w:left w:val="nil"/>
              <w:bottom w:val="nil"/>
              <w:right w:val="nil"/>
            </w:tcBorders>
            <w:shd w:val="clear" w:color="000000" w:fill="FFFFFF"/>
            <w:noWrap/>
            <w:vAlign w:val="bottom"/>
            <w:hideMark/>
          </w:tcPr>
          <w:p w:rsidR="00CD6D17" w:rsidRPr="00CD6D17" w:rsidP="00D57224" w14:paraId="202F535D" w14:textId="77777777">
            <w:pPr>
              <w:ind w:left="360"/>
              <w:rPr>
                <w:sz w:val="14"/>
                <w:szCs w:val="14"/>
              </w:rPr>
            </w:pPr>
            <w:r w:rsidRPr="00CD6D17">
              <w:rPr>
                <w:sz w:val="14"/>
                <w:szCs w:val="14"/>
              </w:rPr>
              <w:t>Agency outlays, net (discretionary and mandatory)</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529DD68C" w14:textId="4ABB0B25">
            <w:pPr>
              <w:jc w:val="right"/>
              <w:rPr>
                <w:sz w:val="14"/>
                <w:szCs w:val="14"/>
              </w:rPr>
            </w:pPr>
            <w:r w:rsidRPr="00CD6D17">
              <w:rPr>
                <w:sz w:val="14"/>
                <w:szCs w:val="14"/>
              </w:rPr>
              <w:t>$</w:t>
            </w:r>
            <w:r w:rsidR="00CF7D6D">
              <w:rPr>
                <w:sz w:val="14"/>
                <w:szCs w:val="14"/>
              </w:rPr>
              <w:t xml:space="preserve">     </w:t>
            </w:r>
            <w:r w:rsidRPr="00CD6D17">
              <w:rPr>
                <w:sz w:val="14"/>
                <w:szCs w:val="14"/>
              </w:rPr>
              <w:t xml:space="preserve">   (4,525)</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0C3CA8CE" w14:textId="0F9D9F51">
            <w:pPr>
              <w:jc w:val="right"/>
              <w:rPr>
                <w:sz w:val="14"/>
                <w:szCs w:val="14"/>
              </w:rPr>
            </w:pPr>
            <w:r w:rsidRPr="00CD6D17">
              <w:rPr>
                <w:sz w:val="14"/>
                <w:szCs w:val="14"/>
              </w:rPr>
              <w:t>$</w:t>
            </w:r>
            <w:r w:rsidR="00CF7D6D">
              <w:rPr>
                <w:sz w:val="14"/>
                <w:szCs w:val="14"/>
              </w:rPr>
              <w:t xml:space="preserve">     </w:t>
            </w:r>
            <w:r w:rsidRPr="00CD6D17">
              <w:rPr>
                <w:sz w:val="14"/>
                <w:szCs w:val="14"/>
              </w:rPr>
              <w:t xml:space="preserve">   (7,835)</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0E24A88D" w14:textId="1683E7D9">
            <w:pPr>
              <w:jc w:val="right"/>
              <w:rPr>
                <w:sz w:val="14"/>
                <w:szCs w:val="14"/>
              </w:rPr>
            </w:pPr>
            <w:r w:rsidRPr="00CD6D17">
              <w:rPr>
                <w:sz w:val="14"/>
                <w:szCs w:val="14"/>
              </w:rPr>
              <w:t>$</w:t>
            </w:r>
            <w:r w:rsidR="00CF7D6D">
              <w:rPr>
                <w:sz w:val="14"/>
                <w:szCs w:val="14"/>
              </w:rPr>
              <w:t xml:space="preserve">        </w:t>
            </w:r>
            <w:r w:rsidRPr="00CD6D17">
              <w:rPr>
                <w:sz w:val="14"/>
                <w:szCs w:val="14"/>
              </w:rPr>
              <w:t xml:space="preserve"> 36,982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2F62E82A" w14:textId="2A3AD92A">
            <w:pPr>
              <w:jc w:val="right"/>
              <w:rPr>
                <w:sz w:val="14"/>
                <w:szCs w:val="14"/>
              </w:rPr>
            </w:pPr>
            <w:r w:rsidRPr="00CD6D17">
              <w:rPr>
                <w:sz w:val="14"/>
                <w:szCs w:val="14"/>
              </w:rPr>
              <w:t>$</w:t>
            </w:r>
            <w:r w:rsidR="00CF7D6D">
              <w:rPr>
                <w:sz w:val="14"/>
                <w:szCs w:val="14"/>
              </w:rPr>
              <w:t xml:space="preserve">       </w:t>
            </w:r>
            <w:r w:rsidRPr="00CD6D17">
              <w:rPr>
                <w:sz w:val="14"/>
                <w:szCs w:val="14"/>
              </w:rPr>
              <w:t xml:space="preserve">546,036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BB5C47" w14:paraId="00715CEB" w14:textId="6D8133F5">
            <w:pPr>
              <w:jc w:val="right"/>
              <w:rPr>
                <w:sz w:val="14"/>
                <w:szCs w:val="14"/>
              </w:rPr>
            </w:pPr>
            <w:r w:rsidRPr="00CD6D17">
              <w:rPr>
                <w:sz w:val="14"/>
                <w:szCs w:val="14"/>
              </w:rPr>
              <w:t>$</w:t>
            </w:r>
            <w:r w:rsidR="00CF7D6D">
              <w:rPr>
                <w:sz w:val="14"/>
                <w:szCs w:val="14"/>
              </w:rPr>
              <w:t xml:space="preserve">   </w:t>
            </w:r>
            <w:r w:rsidRPr="00CD6D17">
              <w:rPr>
                <w:sz w:val="14"/>
                <w:szCs w:val="14"/>
              </w:rPr>
              <w:t xml:space="preserve">   8,249,044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180645B1" w14:textId="3881388B">
            <w:pPr>
              <w:jc w:val="right"/>
              <w:rPr>
                <w:sz w:val="14"/>
                <w:szCs w:val="14"/>
              </w:rPr>
            </w:pPr>
            <w:r w:rsidRPr="00CD6D17">
              <w:rPr>
                <w:sz w:val="14"/>
                <w:szCs w:val="14"/>
              </w:rPr>
              <w:t>$</w:t>
            </w:r>
            <w:r w:rsidR="00CF7D6D">
              <w:rPr>
                <w:sz w:val="14"/>
                <w:szCs w:val="14"/>
              </w:rPr>
              <w:t xml:space="preserve">    </w:t>
            </w:r>
            <w:r w:rsidRPr="00CD6D17">
              <w:rPr>
                <w:sz w:val="14"/>
                <w:szCs w:val="14"/>
              </w:rPr>
              <w:t xml:space="preserve">1,422,439 </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43AC521F" w14:textId="088D485A">
            <w:pPr>
              <w:jc w:val="right"/>
              <w:rPr>
                <w:sz w:val="14"/>
                <w:szCs w:val="14"/>
              </w:rPr>
            </w:pPr>
            <w:r w:rsidRPr="00CD6D17">
              <w:rPr>
                <w:sz w:val="14"/>
                <w:szCs w:val="14"/>
              </w:rPr>
              <w:t>$</w:t>
            </w:r>
            <w:r w:rsidR="00CF7D6D">
              <w:rPr>
                <w:sz w:val="14"/>
                <w:szCs w:val="14"/>
              </w:rPr>
              <w:t xml:space="preserve">          </w:t>
            </w:r>
            <w:r w:rsidRPr="00CD6D17">
              <w:rPr>
                <w:sz w:val="14"/>
                <w:szCs w:val="14"/>
              </w:rPr>
              <w:t xml:space="preserve">     (2)</w:t>
            </w:r>
          </w:p>
        </w:tc>
        <w:tc>
          <w:tcPr>
            <w:tcW w:w="864" w:type="dxa"/>
            <w:tcBorders>
              <w:top w:val="single" w:sz="4" w:space="0" w:color="auto"/>
              <w:left w:val="nil"/>
              <w:bottom w:val="double" w:sz="6" w:space="0" w:color="auto"/>
              <w:right w:val="nil"/>
            </w:tcBorders>
            <w:shd w:val="clear" w:color="000000" w:fill="FFFFFF"/>
            <w:noWrap/>
            <w:vAlign w:val="bottom"/>
            <w:hideMark/>
          </w:tcPr>
          <w:p w:rsidR="00CD6D17" w:rsidRPr="00CD6D17" w:rsidP="004761EF" w14:paraId="44D744CB" w14:textId="7AE61178">
            <w:pPr>
              <w:jc w:val="right"/>
              <w:rPr>
                <w:sz w:val="14"/>
                <w:szCs w:val="14"/>
              </w:rPr>
            </w:pPr>
            <w:r w:rsidRPr="00CD6D17">
              <w:rPr>
                <w:sz w:val="14"/>
                <w:szCs w:val="14"/>
              </w:rPr>
              <w:t>$</w:t>
            </w:r>
            <w:r w:rsidR="00CF7D6D">
              <w:rPr>
                <w:sz w:val="14"/>
                <w:szCs w:val="14"/>
              </w:rPr>
              <w:t xml:space="preserve">  </w:t>
            </w:r>
            <w:r w:rsidRPr="00CD6D17">
              <w:rPr>
                <w:sz w:val="14"/>
                <w:szCs w:val="14"/>
              </w:rPr>
              <w:t xml:space="preserve">10,242,139 </w:t>
            </w:r>
          </w:p>
        </w:tc>
      </w:tr>
    </w:tbl>
    <w:p w:rsidR="00285D06" w:rsidP="009749D1" w14:paraId="4D487913" w14:textId="5D135118"/>
    <w:p w:rsidR="00380D2F" w:rsidP="00285D06" w14:paraId="7A71512E" w14:textId="77777777">
      <w:pPr>
        <w:jc w:val="center"/>
        <w:sectPr w:rsidSect="00DB401A">
          <w:footnotePr>
            <w:numRestart w:val="eachSect"/>
          </w:footnotePr>
          <w:pgSz w:w="15840" w:h="12240" w:orient="landscape" w:code="1"/>
          <w:pgMar w:top="1440" w:right="1152" w:bottom="1440" w:left="1152" w:header="720" w:footer="990" w:gutter="0"/>
          <w:cols w:space="720"/>
          <w:docGrid w:linePitch="360"/>
        </w:sectPr>
      </w:pPr>
    </w:p>
    <w:p w:rsidR="00380D2F" w:rsidP="005B0104" w14:paraId="14F850CF" w14:textId="13AE3511">
      <w:pPr>
        <w:spacing w:before="6400"/>
        <w:jc w:val="center"/>
        <w:rPr>
          <w:b/>
          <w:sz w:val="30"/>
          <w:szCs w:val="30"/>
        </w:rPr>
      </w:pPr>
      <w:r w:rsidRPr="00B87D45">
        <w:rPr>
          <w:sz w:val="22"/>
          <w:szCs w:val="22"/>
        </w:rPr>
        <w:t>This page is intentionally left blank</w:t>
      </w:r>
      <w:r>
        <w:rPr>
          <w:sz w:val="22"/>
          <w:szCs w:val="22"/>
        </w:rPr>
        <w:t>.</w:t>
      </w:r>
    </w:p>
    <w:p w:rsidR="00285D06" w:rsidP="00285D06" w14:paraId="7A9FB751" w14:textId="77777777">
      <w:pPr>
        <w:jc w:val="both"/>
        <w:rPr>
          <w:sz w:val="22"/>
          <w:szCs w:val="22"/>
        </w:rPr>
        <w:sectPr w:rsidSect="00380D2F">
          <w:footnotePr>
            <w:numRestart w:val="eachSect"/>
          </w:footnotePr>
          <w:pgSz w:w="12240" w:h="15840" w:code="1"/>
          <w:pgMar w:top="1152" w:right="1440" w:bottom="1152" w:left="1440" w:header="720" w:footer="990" w:gutter="0"/>
          <w:cols w:space="720"/>
          <w:docGrid w:linePitch="360"/>
        </w:sectPr>
      </w:pPr>
    </w:p>
    <w:p w:rsidR="00841596" w:rsidRPr="00B03B80" w:rsidP="00AB1AAB" w14:paraId="4A42CD46" w14:textId="2835991D">
      <w:pPr>
        <w:pStyle w:val="Heading2"/>
        <w:numPr>
          <w:ilvl w:val="0"/>
          <w:numId w:val="23"/>
        </w:numPr>
        <w:ind w:left="360"/>
        <w:rPr>
          <w:sz w:val="32"/>
          <w:szCs w:val="32"/>
        </w:rPr>
      </w:pPr>
      <w:bookmarkStart w:id="280" w:name="_Toc85811539"/>
      <w:bookmarkStart w:id="281" w:name="_Toc88780541"/>
      <w:bookmarkStart w:id="282" w:name="_Toc88780719"/>
      <w:bookmarkStart w:id="283" w:name="_Toc467000250"/>
      <w:r w:rsidRPr="00401BA7">
        <w:t>OTHER INFORMATION (UNAUDITED</w:t>
      </w:r>
      <w:r>
        <w:rPr>
          <w:sz w:val="32"/>
          <w:szCs w:val="32"/>
        </w:rPr>
        <w:t>)</w:t>
      </w:r>
      <w:bookmarkEnd w:id="280"/>
      <w:bookmarkEnd w:id="281"/>
      <w:bookmarkEnd w:id="282"/>
    </w:p>
    <w:p w:rsidR="00841596" w:rsidP="00441B62" w14:paraId="7C2AFA07" w14:textId="77777777">
      <w:pPr>
        <w:pStyle w:val="Heading3"/>
        <w:spacing w:after="0"/>
      </w:pPr>
      <w:bookmarkStart w:id="284" w:name="_Toc85811540"/>
      <w:bookmarkStart w:id="285" w:name="_Toc88780542"/>
      <w:bookmarkStart w:id="286" w:name="_Toc88780720"/>
      <w:r w:rsidRPr="0093566F">
        <w:t>Summary of Financial Statement Audit</w:t>
      </w:r>
      <w:bookmarkEnd w:id="284"/>
      <w:bookmarkEnd w:id="285"/>
      <w:bookmarkEnd w:id="286"/>
    </w:p>
    <w:tbl>
      <w:tblPr>
        <w:tblW w:w="9885" w:type="dxa"/>
        <w:jc w:val="center"/>
        <w:tblLayout w:type="fixed"/>
        <w:tblLook w:val="0000"/>
      </w:tblPr>
      <w:tblGrid>
        <w:gridCol w:w="3325"/>
        <w:gridCol w:w="1430"/>
        <w:gridCol w:w="1260"/>
        <w:gridCol w:w="1180"/>
        <w:gridCol w:w="1440"/>
        <w:gridCol w:w="1250"/>
      </w:tblGrid>
      <w:tr w14:paraId="60C7402F" w14:textId="77777777" w:rsidTr="00CD3580">
        <w:tblPrEx>
          <w:tblW w:w="9885" w:type="dxa"/>
          <w:jc w:val="center"/>
          <w:tblLayout w:type="fixed"/>
          <w:tblLook w:val="0000"/>
        </w:tblPrEx>
        <w:trPr>
          <w:trHeight w:val="283"/>
          <w:jc w:val="center"/>
        </w:trPr>
        <w:tc>
          <w:tcPr>
            <w:tcW w:w="3325" w:type="dxa"/>
            <w:tcBorders>
              <w:top w:val="double" w:sz="4" w:space="0" w:color="auto"/>
              <w:left w:val="double" w:sz="4" w:space="0" w:color="auto"/>
              <w:bottom w:val="single" w:sz="4" w:space="0" w:color="auto"/>
              <w:right w:val="single" w:sz="4" w:space="0" w:color="auto"/>
            </w:tcBorders>
            <w:noWrap/>
            <w:vAlign w:val="bottom"/>
          </w:tcPr>
          <w:p w:rsidR="00100749" w:rsidRPr="00106E67" w:rsidP="00100749" w14:paraId="4DA57053" w14:textId="05112792">
            <w:pPr>
              <w:rPr>
                <w:sz w:val="22"/>
                <w:szCs w:val="22"/>
              </w:rPr>
            </w:pPr>
            <w:r w:rsidRPr="00106E67">
              <w:rPr>
                <w:sz w:val="22"/>
                <w:szCs w:val="22"/>
              </w:rPr>
              <w:t>Financial Statement Audit Opinion</w:t>
            </w:r>
          </w:p>
        </w:tc>
        <w:tc>
          <w:tcPr>
            <w:tcW w:w="6560" w:type="dxa"/>
            <w:gridSpan w:val="5"/>
            <w:tcBorders>
              <w:top w:val="double" w:sz="4" w:space="0" w:color="auto"/>
              <w:left w:val="nil"/>
              <w:bottom w:val="single" w:sz="4" w:space="0" w:color="auto"/>
              <w:right w:val="double" w:sz="4" w:space="0" w:color="auto"/>
            </w:tcBorders>
            <w:noWrap/>
            <w:vAlign w:val="bottom"/>
          </w:tcPr>
          <w:p w:rsidR="00100749" w:rsidRPr="00106E67" w:rsidP="00977E6D" w14:paraId="5ED3072D" w14:textId="63D7BBED">
            <w:pPr>
              <w:jc w:val="center"/>
              <w:rPr>
                <w:sz w:val="22"/>
                <w:szCs w:val="22"/>
              </w:rPr>
            </w:pPr>
            <w:r w:rsidRPr="00106E67">
              <w:rPr>
                <w:sz w:val="22"/>
                <w:szCs w:val="22"/>
              </w:rPr>
              <w:t>Unmodified</w:t>
            </w:r>
          </w:p>
        </w:tc>
      </w:tr>
      <w:tr w14:paraId="63AD4619" w14:textId="77777777" w:rsidTr="00CD3580">
        <w:tblPrEx>
          <w:tblW w:w="9885" w:type="dxa"/>
          <w:jc w:val="center"/>
          <w:tblLayout w:type="fixed"/>
          <w:tblLook w:val="0000"/>
        </w:tblPrEx>
        <w:trPr>
          <w:trHeight w:val="282"/>
          <w:jc w:val="center"/>
        </w:trPr>
        <w:tc>
          <w:tcPr>
            <w:tcW w:w="3325" w:type="dxa"/>
            <w:tcBorders>
              <w:top w:val="single" w:sz="4" w:space="0" w:color="auto"/>
              <w:left w:val="double" w:sz="4" w:space="0" w:color="auto"/>
              <w:bottom w:val="single" w:sz="4" w:space="0" w:color="auto"/>
              <w:right w:val="single" w:sz="4" w:space="0" w:color="auto"/>
            </w:tcBorders>
            <w:noWrap/>
            <w:vAlign w:val="bottom"/>
          </w:tcPr>
          <w:p w:rsidR="00100749" w:rsidRPr="00106E67" w:rsidP="00977E6D" w14:paraId="726A8BED" w14:textId="4B477783">
            <w:pPr>
              <w:rPr>
                <w:sz w:val="22"/>
                <w:szCs w:val="22"/>
              </w:rPr>
            </w:pPr>
            <w:r w:rsidRPr="00106E67">
              <w:rPr>
                <w:sz w:val="22"/>
                <w:szCs w:val="22"/>
              </w:rPr>
              <w:t>Restatement</w:t>
            </w:r>
          </w:p>
        </w:tc>
        <w:tc>
          <w:tcPr>
            <w:tcW w:w="6560" w:type="dxa"/>
            <w:gridSpan w:val="5"/>
            <w:tcBorders>
              <w:top w:val="single" w:sz="4" w:space="0" w:color="auto"/>
              <w:left w:val="nil"/>
              <w:bottom w:val="single" w:sz="4" w:space="0" w:color="auto"/>
              <w:right w:val="double" w:sz="4" w:space="0" w:color="auto"/>
            </w:tcBorders>
            <w:noWrap/>
            <w:vAlign w:val="bottom"/>
          </w:tcPr>
          <w:p w:rsidR="00100749" w:rsidRPr="00106E67" w:rsidP="00977E6D" w14:paraId="7C870A91" w14:textId="15511D24">
            <w:pPr>
              <w:jc w:val="center"/>
              <w:rPr>
                <w:sz w:val="22"/>
                <w:szCs w:val="22"/>
              </w:rPr>
            </w:pPr>
            <w:r w:rsidRPr="00106E67">
              <w:rPr>
                <w:sz w:val="22"/>
                <w:szCs w:val="22"/>
              </w:rPr>
              <w:t>No</w:t>
            </w:r>
          </w:p>
        </w:tc>
      </w:tr>
      <w:tr w14:paraId="7ED44995" w14:textId="77777777" w:rsidTr="00977E6D">
        <w:tblPrEx>
          <w:tblW w:w="9885" w:type="dxa"/>
          <w:jc w:val="center"/>
          <w:tblLayout w:type="fixed"/>
          <w:tblLook w:val="0000"/>
        </w:tblPrEx>
        <w:trPr>
          <w:trHeight w:val="278"/>
          <w:jc w:val="center"/>
        </w:trPr>
        <w:tc>
          <w:tcPr>
            <w:tcW w:w="3325" w:type="dxa"/>
            <w:tcBorders>
              <w:top w:val="single" w:sz="4" w:space="0" w:color="auto"/>
              <w:left w:val="double" w:sz="4" w:space="0" w:color="auto"/>
              <w:bottom w:val="single" w:sz="4" w:space="0" w:color="auto"/>
              <w:right w:val="single" w:sz="4" w:space="0" w:color="auto"/>
            </w:tcBorders>
            <w:shd w:val="clear" w:color="auto" w:fill="BFBFBF"/>
            <w:noWrap/>
            <w:vAlign w:val="center"/>
          </w:tcPr>
          <w:p w:rsidR="009A2C37" w:rsidRPr="00106E67" w:rsidP="00977E6D" w14:paraId="56F6280F" w14:textId="77777777">
            <w:pPr>
              <w:rPr>
                <w:sz w:val="22"/>
                <w:szCs w:val="22"/>
              </w:rPr>
            </w:pPr>
            <w:r w:rsidRPr="00106E67">
              <w:rPr>
                <w:sz w:val="22"/>
                <w:szCs w:val="22"/>
              </w:rPr>
              <w:t>Material Weaknesses</w:t>
            </w:r>
          </w:p>
        </w:tc>
        <w:tc>
          <w:tcPr>
            <w:tcW w:w="1430" w:type="dxa"/>
            <w:tcBorders>
              <w:top w:val="single" w:sz="4" w:space="0" w:color="auto"/>
              <w:left w:val="nil"/>
              <w:bottom w:val="single" w:sz="4" w:space="0" w:color="auto"/>
              <w:right w:val="single" w:sz="4" w:space="0" w:color="auto"/>
            </w:tcBorders>
            <w:shd w:val="clear" w:color="auto" w:fill="BFBFBF"/>
            <w:vAlign w:val="center"/>
          </w:tcPr>
          <w:p w:rsidR="009A2C37" w:rsidRPr="00106E67" w:rsidP="00977E6D" w14:paraId="3C6BB140" w14:textId="77777777">
            <w:pPr>
              <w:jc w:val="center"/>
              <w:rPr>
                <w:sz w:val="22"/>
                <w:szCs w:val="22"/>
              </w:rPr>
            </w:pPr>
            <w:r w:rsidRPr="00106E67">
              <w:rPr>
                <w:sz w:val="22"/>
                <w:szCs w:val="22"/>
              </w:rPr>
              <w:t>Beginning Balance</w:t>
            </w:r>
          </w:p>
        </w:tc>
        <w:tc>
          <w:tcPr>
            <w:tcW w:w="1260" w:type="dxa"/>
            <w:tcBorders>
              <w:top w:val="single" w:sz="4" w:space="0" w:color="auto"/>
              <w:left w:val="nil"/>
              <w:bottom w:val="single" w:sz="4" w:space="0" w:color="auto"/>
              <w:right w:val="single" w:sz="4" w:space="0" w:color="auto"/>
            </w:tcBorders>
            <w:shd w:val="clear" w:color="auto" w:fill="BFBFBF"/>
            <w:vAlign w:val="center"/>
          </w:tcPr>
          <w:p w:rsidR="009A2C37" w:rsidRPr="00106E67" w:rsidP="00977E6D" w14:paraId="0A7BAA03" w14:textId="77777777">
            <w:pPr>
              <w:jc w:val="center"/>
              <w:rPr>
                <w:sz w:val="22"/>
                <w:szCs w:val="22"/>
              </w:rPr>
            </w:pPr>
            <w:r w:rsidRPr="00106E67">
              <w:rPr>
                <w:sz w:val="22"/>
                <w:szCs w:val="22"/>
              </w:rPr>
              <w:t>New</w:t>
            </w:r>
          </w:p>
        </w:tc>
        <w:tc>
          <w:tcPr>
            <w:tcW w:w="1180" w:type="dxa"/>
            <w:tcBorders>
              <w:top w:val="single" w:sz="4" w:space="0" w:color="auto"/>
              <w:left w:val="nil"/>
              <w:bottom w:val="single" w:sz="4" w:space="0" w:color="auto"/>
              <w:right w:val="single" w:sz="4" w:space="0" w:color="auto"/>
            </w:tcBorders>
            <w:shd w:val="clear" w:color="auto" w:fill="BFBFBF"/>
            <w:vAlign w:val="center"/>
          </w:tcPr>
          <w:p w:rsidR="009A2C37" w:rsidRPr="00106E67" w:rsidP="00977E6D" w14:paraId="4535ECB0" w14:textId="77777777">
            <w:pPr>
              <w:jc w:val="center"/>
              <w:rPr>
                <w:sz w:val="22"/>
                <w:szCs w:val="22"/>
              </w:rPr>
            </w:pPr>
            <w:r w:rsidRPr="00106E67">
              <w:rPr>
                <w:sz w:val="22"/>
                <w:szCs w:val="22"/>
              </w:rPr>
              <w:t>Resolved</w:t>
            </w:r>
          </w:p>
        </w:tc>
        <w:tc>
          <w:tcPr>
            <w:tcW w:w="1440" w:type="dxa"/>
            <w:tcBorders>
              <w:top w:val="single" w:sz="4" w:space="0" w:color="auto"/>
              <w:left w:val="nil"/>
              <w:bottom w:val="single" w:sz="4" w:space="0" w:color="auto"/>
              <w:right w:val="single" w:sz="4" w:space="0" w:color="auto"/>
            </w:tcBorders>
            <w:shd w:val="clear" w:color="auto" w:fill="BFBFBF"/>
            <w:vAlign w:val="center"/>
          </w:tcPr>
          <w:p w:rsidR="009A2C37" w:rsidRPr="00106E67" w:rsidP="00977E6D" w14:paraId="40C5ED3C" w14:textId="77777777">
            <w:pPr>
              <w:jc w:val="center"/>
              <w:rPr>
                <w:sz w:val="22"/>
                <w:szCs w:val="22"/>
              </w:rPr>
            </w:pPr>
            <w:r w:rsidRPr="00106E67">
              <w:rPr>
                <w:sz w:val="22"/>
                <w:szCs w:val="22"/>
              </w:rPr>
              <w:t>Consolidated</w:t>
            </w:r>
          </w:p>
        </w:tc>
        <w:tc>
          <w:tcPr>
            <w:tcW w:w="1250" w:type="dxa"/>
            <w:tcBorders>
              <w:top w:val="single" w:sz="4" w:space="0" w:color="auto"/>
              <w:left w:val="nil"/>
              <w:bottom w:val="single" w:sz="4" w:space="0" w:color="auto"/>
              <w:right w:val="double" w:sz="4" w:space="0" w:color="auto"/>
            </w:tcBorders>
            <w:shd w:val="clear" w:color="auto" w:fill="BFBFBF"/>
            <w:vAlign w:val="center"/>
          </w:tcPr>
          <w:p w:rsidR="009A2C37" w:rsidRPr="00106E67" w:rsidP="00977E6D" w14:paraId="042AF3B6" w14:textId="77777777">
            <w:pPr>
              <w:jc w:val="center"/>
              <w:rPr>
                <w:sz w:val="22"/>
                <w:szCs w:val="22"/>
              </w:rPr>
            </w:pPr>
            <w:r w:rsidRPr="00106E67">
              <w:rPr>
                <w:sz w:val="22"/>
                <w:szCs w:val="22"/>
              </w:rPr>
              <w:t>Ending Balance</w:t>
            </w:r>
          </w:p>
        </w:tc>
      </w:tr>
      <w:tr w14:paraId="2C0696DE" w14:textId="77777777" w:rsidTr="00977E6D">
        <w:tblPrEx>
          <w:tblW w:w="9885" w:type="dxa"/>
          <w:jc w:val="center"/>
          <w:tblLayout w:type="fixed"/>
          <w:tblLook w:val="0000"/>
        </w:tblPrEx>
        <w:trPr>
          <w:trHeight w:val="297"/>
          <w:jc w:val="center"/>
        </w:trPr>
        <w:tc>
          <w:tcPr>
            <w:tcW w:w="3325" w:type="dxa"/>
            <w:tcBorders>
              <w:top w:val="nil"/>
              <w:left w:val="double" w:sz="4" w:space="0" w:color="auto"/>
              <w:bottom w:val="single" w:sz="4" w:space="0" w:color="auto"/>
              <w:right w:val="single" w:sz="4" w:space="0" w:color="auto"/>
            </w:tcBorders>
            <w:noWrap/>
            <w:vAlign w:val="bottom"/>
          </w:tcPr>
          <w:p w:rsidR="009A2C37" w:rsidRPr="00106E67" w:rsidP="00977E6D" w14:paraId="3117C95F" w14:textId="77777777">
            <w:pPr>
              <w:rPr>
                <w:sz w:val="22"/>
                <w:szCs w:val="22"/>
              </w:rPr>
            </w:pPr>
          </w:p>
        </w:tc>
        <w:tc>
          <w:tcPr>
            <w:tcW w:w="1430" w:type="dxa"/>
            <w:tcBorders>
              <w:top w:val="nil"/>
              <w:left w:val="nil"/>
              <w:bottom w:val="single" w:sz="4" w:space="0" w:color="auto"/>
              <w:right w:val="single" w:sz="4" w:space="0" w:color="auto"/>
            </w:tcBorders>
            <w:noWrap/>
            <w:vAlign w:val="center"/>
          </w:tcPr>
          <w:p w:rsidR="009A2C37" w:rsidRPr="00165095" w:rsidP="00977E6D" w14:paraId="78951F3E" w14:textId="77777777">
            <w:pPr>
              <w:jc w:val="center"/>
              <w:rPr>
                <w:sz w:val="22"/>
                <w:szCs w:val="22"/>
              </w:rPr>
            </w:pPr>
            <w:r w:rsidRPr="00165095">
              <w:rPr>
                <w:sz w:val="22"/>
                <w:szCs w:val="22"/>
              </w:rPr>
              <w:t>0</w:t>
            </w:r>
          </w:p>
        </w:tc>
        <w:tc>
          <w:tcPr>
            <w:tcW w:w="1260" w:type="dxa"/>
            <w:tcBorders>
              <w:top w:val="nil"/>
              <w:left w:val="nil"/>
              <w:bottom w:val="single" w:sz="4" w:space="0" w:color="auto"/>
              <w:right w:val="single" w:sz="4" w:space="0" w:color="auto"/>
            </w:tcBorders>
            <w:noWrap/>
            <w:vAlign w:val="center"/>
          </w:tcPr>
          <w:p w:rsidR="009A2C37" w:rsidRPr="00165095" w:rsidP="00977E6D" w14:paraId="0BDC96A5" w14:textId="77777777">
            <w:pPr>
              <w:jc w:val="center"/>
              <w:rPr>
                <w:sz w:val="22"/>
                <w:szCs w:val="22"/>
              </w:rPr>
            </w:pPr>
            <w:r w:rsidRPr="00165095">
              <w:rPr>
                <w:sz w:val="22"/>
                <w:szCs w:val="22"/>
              </w:rPr>
              <w:t>0</w:t>
            </w:r>
          </w:p>
        </w:tc>
        <w:tc>
          <w:tcPr>
            <w:tcW w:w="1180" w:type="dxa"/>
            <w:tcBorders>
              <w:top w:val="nil"/>
              <w:left w:val="nil"/>
              <w:bottom w:val="single" w:sz="4" w:space="0" w:color="auto"/>
              <w:right w:val="single" w:sz="4" w:space="0" w:color="auto"/>
            </w:tcBorders>
            <w:noWrap/>
            <w:vAlign w:val="center"/>
          </w:tcPr>
          <w:p w:rsidR="009A2C37" w:rsidRPr="00165095" w:rsidP="00977E6D" w14:paraId="288BFB01" w14:textId="77777777">
            <w:pPr>
              <w:jc w:val="center"/>
              <w:rPr>
                <w:sz w:val="22"/>
                <w:szCs w:val="22"/>
              </w:rPr>
            </w:pPr>
            <w:r w:rsidRPr="00165095">
              <w:rPr>
                <w:sz w:val="22"/>
                <w:szCs w:val="22"/>
              </w:rPr>
              <w:t>0</w:t>
            </w:r>
          </w:p>
        </w:tc>
        <w:tc>
          <w:tcPr>
            <w:tcW w:w="1440" w:type="dxa"/>
            <w:tcBorders>
              <w:top w:val="nil"/>
              <w:left w:val="nil"/>
              <w:bottom w:val="single" w:sz="4" w:space="0" w:color="auto"/>
              <w:right w:val="single" w:sz="4" w:space="0" w:color="auto"/>
            </w:tcBorders>
            <w:noWrap/>
            <w:vAlign w:val="center"/>
          </w:tcPr>
          <w:p w:rsidR="009A2C37" w:rsidRPr="00165095" w:rsidP="00977E6D" w14:paraId="1D291EA5" w14:textId="77777777">
            <w:pPr>
              <w:jc w:val="center"/>
              <w:rPr>
                <w:sz w:val="22"/>
                <w:szCs w:val="22"/>
              </w:rPr>
            </w:pPr>
            <w:r w:rsidRPr="00165095">
              <w:rPr>
                <w:sz w:val="22"/>
                <w:szCs w:val="22"/>
              </w:rPr>
              <w:t>0</w:t>
            </w:r>
          </w:p>
        </w:tc>
        <w:tc>
          <w:tcPr>
            <w:tcW w:w="1250" w:type="dxa"/>
            <w:tcBorders>
              <w:top w:val="nil"/>
              <w:left w:val="nil"/>
              <w:bottom w:val="single" w:sz="4" w:space="0" w:color="auto"/>
              <w:right w:val="double" w:sz="4" w:space="0" w:color="auto"/>
            </w:tcBorders>
            <w:noWrap/>
            <w:vAlign w:val="center"/>
          </w:tcPr>
          <w:p w:rsidR="009A2C37" w:rsidRPr="00165095" w:rsidP="00977E6D" w14:paraId="4D896C25" w14:textId="77777777">
            <w:pPr>
              <w:jc w:val="center"/>
              <w:rPr>
                <w:sz w:val="22"/>
                <w:szCs w:val="22"/>
              </w:rPr>
            </w:pPr>
            <w:r w:rsidRPr="00165095">
              <w:rPr>
                <w:sz w:val="22"/>
                <w:szCs w:val="22"/>
              </w:rPr>
              <w:t>0</w:t>
            </w:r>
          </w:p>
        </w:tc>
      </w:tr>
      <w:tr w14:paraId="6CBDBC00" w14:textId="77777777" w:rsidTr="00977E6D">
        <w:tblPrEx>
          <w:tblW w:w="9885" w:type="dxa"/>
          <w:jc w:val="center"/>
          <w:tblLayout w:type="fixed"/>
          <w:tblLook w:val="0000"/>
        </w:tblPrEx>
        <w:trPr>
          <w:trHeight w:val="375"/>
          <w:jc w:val="center"/>
        </w:trPr>
        <w:tc>
          <w:tcPr>
            <w:tcW w:w="3325" w:type="dxa"/>
            <w:tcBorders>
              <w:top w:val="double" w:sz="4" w:space="0" w:color="auto"/>
              <w:left w:val="double" w:sz="4" w:space="0" w:color="auto"/>
              <w:bottom w:val="double" w:sz="4" w:space="0" w:color="auto"/>
              <w:right w:val="single" w:sz="4" w:space="0" w:color="auto"/>
            </w:tcBorders>
            <w:shd w:val="clear" w:color="auto" w:fill="BFBFBF"/>
            <w:noWrap/>
            <w:vAlign w:val="center"/>
          </w:tcPr>
          <w:p w:rsidR="009A2C37" w:rsidRPr="00106E67" w:rsidP="00977E6D" w14:paraId="13D68ACF" w14:textId="77777777">
            <w:pPr>
              <w:rPr>
                <w:b/>
                <w:iCs/>
                <w:sz w:val="22"/>
                <w:szCs w:val="22"/>
              </w:rPr>
            </w:pPr>
            <w:r w:rsidRPr="00106E67">
              <w:rPr>
                <w:b/>
                <w:iCs/>
                <w:sz w:val="22"/>
                <w:szCs w:val="22"/>
              </w:rPr>
              <w:t>Total Material Weaknesses</w:t>
            </w:r>
          </w:p>
        </w:tc>
        <w:tc>
          <w:tcPr>
            <w:tcW w:w="143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2897D79B" w14:textId="77777777">
            <w:pPr>
              <w:jc w:val="center"/>
              <w:rPr>
                <w:b/>
                <w:sz w:val="22"/>
                <w:szCs w:val="22"/>
              </w:rPr>
            </w:pPr>
            <w:r>
              <w:rPr>
                <w:b/>
                <w:sz w:val="22"/>
                <w:szCs w:val="22"/>
              </w:rPr>
              <w:t>0</w:t>
            </w:r>
          </w:p>
        </w:tc>
        <w:tc>
          <w:tcPr>
            <w:tcW w:w="126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643715D2" w14:textId="77777777">
            <w:pPr>
              <w:jc w:val="center"/>
              <w:rPr>
                <w:b/>
                <w:sz w:val="22"/>
                <w:szCs w:val="22"/>
              </w:rPr>
            </w:pPr>
            <w:r w:rsidRPr="00106E67">
              <w:rPr>
                <w:b/>
                <w:sz w:val="22"/>
                <w:szCs w:val="22"/>
              </w:rPr>
              <w:t>0</w:t>
            </w:r>
          </w:p>
        </w:tc>
        <w:tc>
          <w:tcPr>
            <w:tcW w:w="118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304D0231" w14:textId="77777777">
            <w:pPr>
              <w:jc w:val="center"/>
              <w:rPr>
                <w:b/>
                <w:sz w:val="22"/>
                <w:szCs w:val="22"/>
              </w:rPr>
            </w:pPr>
            <w:r>
              <w:rPr>
                <w:b/>
                <w:sz w:val="22"/>
                <w:szCs w:val="22"/>
              </w:rPr>
              <w:t>0</w:t>
            </w:r>
            <w:r w:rsidRPr="00106E67">
              <w:rPr>
                <w:b/>
                <w:sz w:val="22"/>
                <w:szCs w:val="22"/>
              </w:rPr>
              <w:t> </w:t>
            </w:r>
          </w:p>
        </w:tc>
        <w:tc>
          <w:tcPr>
            <w:tcW w:w="144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1559D0AB" w14:textId="77777777">
            <w:pPr>
              <w:jc w:val="center"/>
              <w:rPr>
                <w:b/>
                <w:sz w:val="22"/>
                <w:szCs w:val="22"/>
              </w:rPr>
            </w:pPr>
            <w:r w:rsidRPr="00106E67">
              <w:rPr>
                <w:b/>
                <w:sz w:val="22"/>
                <w:szCs w:val="22"/>
              </w:rPr>
              <w:t>0</w:t>
            </w:r>
          </w:p>
        </w:tc>
        <w:tc>
          <w:tcPr>
            <w:tcW w:w="1250" w:type="dxa"/>
            <w:tcBorders>
              <w:top w:val="double" w:sz="4" w:space="0" w:color="auto"/>
              <w:left w:val="nil"/>
              <w:bottom w:val="double" w:sz="4" w:space="0" w:color="auto"/>
              <w:right w:val="double" w:sz="4" w:space="0" w:color="auto"/>
            </w:tcBorders>
            <w:shd w:val="clear" w:color="auto" w:fill="BFBFBF"/>
            <w:noWrap/>
            <w:vAlign w:val="center"/>
          </w:tcPr>
          <w:p w:rsidR="009A2C37" w:rsidRPr="00106E67" w:rsidP="00977E6D" w14:paraId="31A6F2CF" w14:textId="77777777">
            <w:pPr>
              <w:jc w:val="center"/>
              <w:rPr>
                <w:b/>
                <w:sz w:val="22"/>
                <w:szCs w:val="22"/>
              </w:rPr>
            </w:pPr>
            <w:r w:rsidRPr="00106E67">
              <w:rPr>
                <w:b/>
                <w:sz w:val="22"/>
                <w:szCs w:val="22"/>
              </w:rPr>
              <w:t>0</w:t>
            </w:r>
          </w:p>
        </w:tc>
      </w:tr>
    </w:tbl>
    <w:p w:rsidR="009A2C37" w:rsidRPr="00476AD6" w:rsidP="00B45048" w14:paraId="45E22CCF" w14:textId="77777777">
      <w:pPr>
        <w:spacing w:after="520"/>
        <w:rPr>
          <w:sz w:val="22"/>
          <w:szCs w:val="22"/>
        </w:rPr>
      </w:pPr>
      <w:r w:rsidRPr="00476AD6">
        <w:rPr>
          <w:sz w:val="22"/>
          <w:szCs w:val="22"/>
        </w:rPr>
        <w:t>See accompanying auditor’s report</w:t>
      </w:r>
      <w:r>
        <w:rPr>
          <w:sz w:val="22"/>
          <w:szCs w:val="22"/>
        </w:rPr>
        <w:t>.</w:t>
      </w:r>
    </w:p>
    <w:p w:rsidR="009A2C37" w:rsidP="00E43EFE" w14:paraId="581613A8" w14:textId="77777777">
      <w:pPr>
        <w:pStyle w:val="Heading3"/>
      </w:pPr>
      <w:bookmarkStart w:id="287" w:name="_Toc85811541"/>
      <w:bookmarkStart w:id="288" w:name="_Toc88780543"/>
      <w:bookmarkStart w:id="289" w:name="_Toc88780721"/>
      <w:r w:rsidRPr="0093566F">
        <w:t>Summary of Management Assurances</w:t>
      </w:r>
      <w:bookmarkEnd w:id="287"/>
      <w:bookmarkEnd w:id="288"/>
      <w:bookmarkEnd w:id="289"/>
    </w:p>
    <w:p w:rsidR="00AD511D" w:rsidP="00AD511D" w14:paraId="17E589C0" w14:textId="1FD665A1">
      <w:pPr>
        <w:pBdr>
          <w:top w:val="double" w:sz="4" w:space="1" w:color="auto"/>
          <w:left w:val="double" w:sz="4" w:space="4" w:color="auto"/>
          <w:bottom w:val="double" w:sz="4" w:space="1" w:color="auto"/>
          <w:right w:val="double" w:sz="4" w:space="4" w:color="auto"/>
        </w:pBdr>
        <w:shd w:val="clear" w:color="auto" w:fill="B4C6E7"/>
        <w:ind w:left="-144" w:right="-144"/>
        <w:jc w:val="center"/>
      </w:pPr>
      <w:r w:rsidRPr="00106E67">
        <w:rPr>
          <w:b/>
          <w:bCs/>
          <w:sz w:val="22"/>
          <w:szCs w:val="22"/>
        </w:rPr>
        <w:t>Effectiveness of Internal Control over Financial Reporting (FMFIA § 2)</w:t>
      </w:r>
    </w:p>
    <w:tbl>
      <w:tblPr>
        <w:tblW w:w="9885" w:type="dxa"/>
        <w:jc w:val="center"/>
        <w:tblLayout w:type="fixed"/>
        <w:tblLook w:val="0000"/>
      </w:tblPr>
      <w:tblGrid>
        <w:gridCol w:w="2865"/>
        <w:gridCol w:w="1170"/>
        <w:gridCol w:w="900"/>
        <w:gridCol w:w="1170"/>
        <w:gridCol w:w="1440"/>
        <w:gridCol w:w="1260"/>
        <w:gridCol w:w="1080"/>
      </w:tblGrid>
      <w:tr w14:paraId="7B5B9ED0" w14:textId="77777777" w:rsidTr="00977E6D">
        <w:tblPrEx>
          <w:tblW w:w="9885" w:type="dxa"/>
          <w:jc w:val="center"/>
          <w:tblLayout w:type="fixed"/>
          <w:tblLook w:val="0000"/>
        </w:tblPrEx>
        <w:trPr>
          <w:trHeight w:val="300"/>
          <w:jc w:val="center"/>
        </w:trPr>
        <w:tc>
          <w:tcPr>
            <w:tcW w:w="2865" w:type="dxa"/>
            <w:tcBorders>
              <w:top w:val="double" w:sz="4" w:space="0" w:color="auto"/>
              <w:left w:val="double" w:sz="4" w:space="0" w:color="auto"/>
              <w:bottom w:val="single" w:sz="4" w:space="0" w:color="auto"/>
              <w:right w:val="single" w:sz="4" w:space="0" w:color="auto"/>
            </w:tcBorders>
            <w:noWrap/>
            <w:vAlign w:val="bottom"/>
          </w:tcPr>
          <w:p w:rsidR="009A2C37" w:rsidRPr="00106E67" w:rsidP="00977E6D" w14:paraId="7E5C72E3" w14:textId="77777777">
            <w:pPr>
              <w:rPr>
                <w:sz w:val="22"/>
                <w:szCs w:val="22"/>
              </w:rPr>
            </w:pPr>
            <w:r w:rsidRPr="00106E67">
              <w:rPr>
                <w:sz w:val="22"/>
                <w:szCs w:val="22"/>
              </w:rPr>
              <w:t>Statement of Assurance</w:t>
            </w:r>
          </w:p>
        </w:tc>
        <w:tc>
          <w:tcPr>
            <w:tcW w:w="7020" w:type="dxa"/>
            <w:gridSpan w:val="6"/>
            <w:tcBorders>
              <w:top w:val="double" w:sz="4" w:space="0" w:color="auto"/>
              <w:left w:val="nil"/>
              <w:bottom w:val="single" w:sz="4" w:space="0" w:color="auto"/>
              <w:right w:val="double" w:sz="4" w:space="0" w:color="auto"/>
            </w:tcBorders>
            <w:noWrap/>
            <w:vAlign w:val="bottom"/>
          </w:tcPr>
          <w:p w:rsidR="009A2C37" w:rsidRPr="00106E67" w:rsidP="00977E6D" w14:paraId="3BB073EA" w14:textId="77777777">
            <w:pPr>
              <w:jc w:val="center"/>
              <w:rPr>
                <w:sz w:val="22"/>
                <w:szCs w:val="22"/>
              </w:rPr>
            </w:pPr>
            <w:r w:rsidRPr="00106E67">
              <w:rPr>
                <w:sz w:val="22"/>
                <w:szCs w:val="22"/>
              </w:rPr>
              <w:t>Unmodified</w:t>
            </w:r>
          </w:p>
        </w:tc>
      </w:tr>
      <w:tr w14:paraId="2E859BEF" w14:textId="77777777" w:rsidTr="00977E6D">
        <w:tblPrEx>
          <w:tblW w:w="9885" w:type="dxa"/>
          <w:jc w:val="center"/>
          <w:tblLayout w:type="fixed"/>
          <w:tblLook w:val="0000"/>
        </w:tblPrEx>
        <w:trPr>
          <w:trHeight w:val="600"/>
          <w:jc w:val="center"/>
        </w:trPr>
        <w:tc>
          <w:tcPr>
            <w:tcW w:w="2865" w:type="dxa"/>
            <w:tcBorders>
              <w:top w:val="single" w:sz="4" w:space="0" w:color="auto"/>
              <w:left w:val="double" w:sz="4" w:space="0" w:color="auto"/>
              <w:bottom w:val="single" w:sz="4" w:space="0" w:color="auto"/>
              <w:right w:val="single" w:sz="4" w:space="0" w:color="auto"/>
            </w:tcBorders>
            <w:shd w:val="clear" w:color="auto" w:fill="D9D9D9"/>
            <w:noWrap/>
            <w:vAlign w:val="center"/>
          </w:tcPr>
          <w:p w:rsidR="009A2C37" w:rsidRPr="00106E67" w:rsidP="00977E6D" w14:paraId="5E0CA956" w14:textId="77777777">
            <w:pPr>
              <w:rPr>
                <w:sz w:val="22"/>
                <w:szCs w:val="22"/>
              </w:rPr>
            </w:pPr>
            <w:r w:rsidRPr="00106E67">
              <w:rPr>
                <w:sz w:val="22"/>
                <w:szCs w:val="22"/>
              </w:rPr>
              <w:t>Material Weaknesses</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26C92023" w14:textId="77777777">
            <w:pPr>
              <w:jc w:val="center"/>
              <w:rPr>
                <w:sz w:val="22"/>
                <w:szCs w:val="22"/>
              </w:rPr>
            </w:pPr>
            <w:r w:rsidRPr="00106E67">
              <w:rPr>
                <w:sz w:val="22"/>
                <w:szCs w:val="22"/>
              </w:rPr>
              <w:t>Beginning Balance</w:t>
            </w:r>
          </w:p>
        </w:tc>
        <w:tc>
          <w:tcPr>
            <w:tcW w:w="90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0CE294AB" w14:textId="77777777">
            <w:pPr>
              <w:jc w:val="center"/>
              <w:rPr>
                <w:sz w:val="22"/>
                <w:szCs w:val="22"/>
              </w:rPr>
            </w:pPr>
            <w:r w:rsidRPr="00106E67">
              <w:rPr>
                <w:sz w:val="22"/>
                <w:szCs w:val="22"/>
              </w:rPr>
              <w:t>New</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6B6E0F34" w14:textId="77777777">
            <w:pPr>
              <w:jc w:val="center"/>
              <w:rPr>
                <w:sz w:val="22"/>
                <w:szCs w:val="22"/>
              </w:rPr>
            </w:pPr>
            <w:r w:rsidRPr="00106E67">
              <w:rPr>
                <w:sz w:val="22"/>
                <w:szCs w:val="22"/>
              </w:rPr>
              <w:t>Resolved</w:t>
            </w:r>
          </w:p>
        </w:tc>
        <w:tc>
          <w:tcPr>
            <w:tcW w:w="144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784A28BC" w14:textId="77777777">
            <w:pPr>
              <w:jc w:val="center"/>
              <w:rPr>
                <w:sz w:val="22"/>
                <w:szCs w:val="22"/>
              </w:rPr>
            </w:pPr>
            <w:r w:rsidRPr="00106E67">
              <w:rPr>
                <w:sz w:val="22"/>
                <w:szCs w:val="22"/>
              </w:rPr>
              <w:t>Consolidated</w:t>
            </w:r>
          </w:p>
        </w:tc>
        <w:tc>
          <w:tcPr>
            <w:tcW w:w="126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5009B566" w14:textId="77777777">
            <w:pPr>
              <w:jc w:val="center"/>
              <w:rPr>
                <w:sz w:val="22"/>
                <w:szCs w:val="22"/>
              </w:rPr>
            </w:pPr>
            <w:r w:rsidRPr="00106E67">
              <w:rPr>
                <w:sz w:val="22"/>
                <w:szCs w:val="22"/>
              </w:rPr>
              <w:t>Reassessed</w:t>
            </w:r>
          </w:p>
        </w:tc>
        <w:tc>
          <w:tcPr>
            <w:tcW w:w="1080" w:type="dxa"/>
            <w:tcBorders>
              <w:top w:val="single" w:sz="4" w:space="0" w:color="auto"/>
              <w:left w:val="nil"/>
              <w:bottom w:val="single" w:sz="4" w:space="0" w:color="auto"/>
              <w:right w:val="double" w:sz="4" w:space="0" w:color="auto"/>
            </w:tcBorders>
            <w:shd w:val="clear" w:color="auto" w:fill="D9D9D9"/>
            <w:vAlign w:val="center"/>
          </w:tcPr>
          <w:p w:rsidR="009A2C37" w:rsidRPr="00106E67" w:rsidP="00977E6D" w14:paraId="1F80E2B2" w14:textId="77777777">
            <w:pPr>
              <w:jc w:val="center"/>
              <w:rPr>
                <w:sz w:val="22"/>
                <w:szCs w:val="22"/>
              </w:rPr>
            </w:pPr>
            <w:r w:rsidRPr="00106E67">
              <w:rPr>
                <w:sz w:val="22"/>
                <w:szCs w:val="22"/>
              </w:rPr>
              <w:t>Ending Balance</w:t>
            </w:r>
          </w:p>
        </w:tc>
      </w:tr>
      <w:tr w14:paraId="01BBFA24" w14:textId="77777777" w:rsidTr="00977E6D">
        <w:tblPrEx>
          <w:tblW w:w="9885" w:type="dxa"/>
          <w:jc w:val="center"/>
          <w:tblLayout w:type="fixed"/>
          <w:tblLook w:val="0000"/>
        </w:tblPrEx>
        <w:trPr>
          <w:trHeight w:val="300"/>
          <w:jc w:val="center"/>
        </w:trPr>
        <w:tc>
          <w:tcPr>
            <w:tcW w:w="2865" w:type="dxa"/>
            <w:tcBorders>
              <w:top w:val="nil"/>
              <w:left w:val="double" w:sz="4" w:space="0" w:color="auto"/>
              <w:bottom w:val="single" w:sz="4" w:space="0" w:color="auto"/>
              <w:right w:val="single" w:sz="4" w:space="0" w:color="auto"/>
            </w:tcBorders>
            <w:noWrap/>
            <w:vAlign w:val="bottom"/>
          </w:tcPr>
          <w:p w:rsidR="009A2C37" w:rsidRPr="00106E67" w:rsidP="00977E6D" w14:paraId="56BBEE6C" w14:textId="77777777">
            <w:pPr>
              <w:rPr>
                <w:sz w:val="22"/>
                <w:szCs w:val="22"/>
              </w:rPr>
            </w:pPr>
          </w:p>
        </w:tc>
        <w:tc>
          <w:tcPr>
            <w:tcW w:w="1170" w:type="dxa"/>
            <w:tcBorders>
              <w:top w:val="nil"/>
              <w:left w:val="nil"/>
              <w:bottom w:val="single" w:sz="4" w:space="0" w:color="auto"/>
              <w:right w:val="single" w:sz="4" w:space="0" w:color="auto"/>
            </w:tcBorders>
            <w:noWrap/>
            <w:vAlign w:val="center"/>
          </w:tcPr>
          <w:p w:rsidR="009A2C37" w:rsidRPr="00106E67" w:rsidP="00977E6D" w14:paraId="02B693D5" w14:textId="77777777">
            <w:pPr>
              <w:jc w:val="center"/>
              <w:rPr>
                <w:sz w:val="22"/>
                <w:szCs w:val="22"/>
              </w:rPr>
            </w:pPr>
            <w:r>
              <w:rPr>
                <w:sz w:val="22"/>
                <w:szCs w:val="22"/>
              </w:rPr>
              <w:t>0</w:t>
            </w:r>
          </w:p>
        </w:tc>
        <w:tc>
          <w:tcPr>
            <w:tcW w:w="900" w:type="dxa"/>
            <w:tcBorders>
              <w:top w:val="nil"/>
              <w:left w:val="nil"/>
              <w:bottom w:val="single" w:sz="4" w:space="0" w:color="auto"/>
              <w:right w:val="single" w:sz="4" w:space="0" w:color="auto"/>
            </w:tcBorders>
            <w:noWrap/>
            <w:vAlign w:val="center"/>
          </w:tcPr>
          <w:p w:rsidR="009A2C37" w:rsidRPr="00106E67" w:rsidP="00977E6D" w14:paraId="315209C1" w14:textId="77777777">
            <w:pPr>
              <w:jc w:val="center"/>
              <w:rPr>
                <w:sz w:val="22"/>
                <w:szCs w:val="22"/>
              </w:rPr>
            </w:pPr>
            <w:r w:rsidRPr="00106E67">
              <w:rPr>
                <w:sz w:val="22"/>
                <w:szCs w:val="22"/>
              </w:rPr>
              <w:t>0</w:t>
            </w:r>
          </w:p>
        </w:tc>
        <w:tc>
          <w:tcPr>
            <w:tcW w:w="1170" w:type="dxa"/>
            <w:tcBorders>
              <w:top w:val="nil"/>
              <w:left w:val="nil"/>
              <w:bottom w:val="single" w:sz="4" w:space="0" w:color="auto"/>
              <w:right w:val="single" w:sz="4" w:space="0" w:color="auto"/>
            </w:tcBorders>
            <w:noWrap/>
            <w:vAlign w:val="center"/>
          </w:tcPr>
          <w:p w:rsidR="009A2C37" w:rsidRPr="00106E67" w:rsidP="00977E6D" w14:paraId="334CED82" w14:textId="77777777">
            <w:pPr>
              <w:jc w:val="center"/>
              <w:rPr>
                <w:sz w:val="22"/>
                <w:szCs w:val="22"/>
              </w:rPr>
            </w:pPr>
            <w:r>
              <w:rPr>
                <w:sz w:val="22"/>
                <w:szCs w:val="22"/>
              </w:rPr>
              <w:t>0</w:t>
            </w:r>
          </w:p>
        </w:tc>
        <w:tc>
          <w:tcPr>
            <w:tcW w:w="1440" w:type="dxa"/>
            <w:tcBorders>
              <w:top w:val="nil"/>
              <w:left w:val="nil"/>
              <w:bottom w:val="single" w:sz="4" w:space="0" w:color="auto"/>
              <w:right w:val="single" w:sz="4" w:space="0" w:color="auto"/>
            </w:tcBorders>
            <w:noWrap/>
            <w:vAlign w:val="center"/>
          </w:tcPr>
          <w:p w:rsidR="009A2C37" w:rsidRPr="00106E67" w:rsidP="00977E6D" w14:paraId="29406E24" w14:textId="77777777">
            <w:pPr>
              <w:jc w:val="center"/>
              <w:rPr>
                <w:sz w:val="22"/>
                <w:szCs w:val="22"/>
              </w:rPr>
            </w:pPr>
            <w:r w:rsidRPr="00106E67">
              <w:rPr>
                <w:sz w:val="22"/>
                <w:szCs w:val="22"/>
              </w:rPr>
              <w:t>0</w:t>
            </w:r>
          </w:p>
        </w:tc>
        <w:tc>
          <w:tcPr>
            <w:tcW w:w="1260" w:type="dxa"/>
            <w:tcBorders>
              <w:top w:val="nil"/>
              <w:left w:val="nil"/>
              <w:bottom w:val="single" w:sz="4" w:space="0" w:color="auto"/>
              <w:right w:val="single" w:sz="4" w:space="0" w:color="auto"/>
            </w:tcBorders>
            <w:noWrap/>
            <w:vAlign w:val="center"/>
          </w:tcPr>
          <w:p w:rsidR="009A2C37" w:rsidRPr="00106E67" w:rsidP="00977E6D" w14:paraId="27CE33B8" w14:textId="77777777">
            <w:pPr>
              <w:jc w:val="center"/>
              <w:rPr>
                <w:sz w:val="22"/>
                <w:szCs w:val="22"/>
              </w:rPr>
            </w:pPr>
            <w:r w:rsidRPr="00106E67">
              <w:rPr>
                <w:sz w:val="22"/>
                <w:szCs w:val="22"/>
              </w:rPr>
              <w:t>0</w:t>
            </w:r>
          </w:p>
        </w:tc>
        <w:tc>
          <w:tcPr>
            <w:tcW w:w="1080" w:type="dxa"/>
            <w:tcBorders>
              <w:top w:val="nil"/>
              <w:left w:val="nil"/>
              <w:bottom w:val="single" w:sz="4" w:space="0" w:color="auto"/>
              <w:right w:val="double" w:sz="4" w:space="0" w:color="auto"/>
            </w:tcBorders>
            <w:noWrap/>
            <w:vAlign w:val="center"/>
          </w:tcPr>
          <w:p w:rsidR="009A2C37" w:rsidRPr="00106E67" w:rsidP="00977E6D" w14:paraId="2CA2EF1D" w14:textId="77777777">
            <w:pPr>
              <w:jc w:val="center"/>
              <w:rPr>
                <w:sz w:val="22"/>
                <w:szCs w:val="22"/>
              </w:rPr>
            </w:pPr>
            <w:r w:rsidRPr="00106E67">
              <w:rPr>
                <w:sz w:val="22"/>
                <w:szCs w:val="22"/>
              </w:rPr>
              <w:t>0</w:t>
            </w:r>
          </w:p>
        </w:tc>
      </w:tr>
      <w:tr w14:paraId="3466BC67" w14:textId="77777777" w:rsidTr="00977E6D">
        <w:tblPrEx>
          <w:tblW w:w="9885" w:type="dxa"/>
          <w:jc w:val="center"/>
          <w:tblLayout w:type="fixed"/>
          <w:tblLook w:val="0000"/>
        </w:tblPrEx>
        <w:trPr>
          <w:trHeight w:val="330"/>
          <w:jc w:val="center"/>
        </w:trPr>
        <w:tc>
          <w:tcPr>
            <w:tcW w:w="2865" w:type="dxa"/>
            <w:tcBorders>
              <w:top w:val="double" w:sz="4" w:space="0" w:color="auto"/>
              <w:left w:val="double" w:sz="4" w:space="0" w:color="auto"/>
              <w:bottom w:val="double" w:sz="4" w:space="0" w:color="auto"/>
              <w:right w:val="single" w:sz="4" w:space="0" w:color="auto"/>
            </w:tcBorders>
            <w:shd w:val="clear" w:color="auto" w:fill="BFBFBF"/>
            <w:noWrap/>
            <w:vAlign w:val="center"/>
          </w:tcPr>
          <w:p w:rsidR="009A2C37" w:rsidRPr="00106E67" w:rsidP="00977E6D" w14:paraId="2377D8F3" w14:textId="77777777">
            <w:pPr>
              <w:rPr>
                <w:b/>
                <w:iCs/>
                <w:sz w:val="22"/>
                <w:szCs w:val="22"/>
              </w:rPr>
            </w:pPr>
            <w:r w:rsidRPr="00106E67">
              <w:rPr>
                <w:b/>
                <w:iCs/>
                <w:sz w:val="22"/>
                <w:szCs w:val="22"/>
              </w:rPr>
              <w:t>Total Material Weaknesses</w:t>
            </w:r>
          </w:p>
        </w:tc>
        <w:tc>
          <w:tcPr>
            <w:tcW w:w="117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47CA99A7" w14:textId="77777777">
            <w:pPr>
              <w:jc w:val="center"/>
              <w:rPr>
                <w:b/>
                <w:sz w:val="22"/>
                <w:szCs w:val="22"/>
              </w:rPr>
            </w:pPr>
            <w:r>
              <w:rPr>
                <w:b/>
                <w:sz w:val="22"/>
                <w:szCs w:val="22"/>
              </w:rPr>
              <w:t>0</w:t>
            </w:r>
          </w:p>
        </w:tc>
        <w:tc>
          <w:tcPr>
            <w:tcW w:w="90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42756F10" w14:textId="77777777">
            <w:pPr>
              <w:jc w:val="center"/>
              <w:rPr>
                <w:b/>
                <w:sz w:val="22"/>
                <w:szCs w:val="22"/>
              </w:rPr>
            </w:pPr>
            <w:r w:rsidRPr="00106E67">
              <w:rPr>
                <w:b/>
                <w:sz w:val="22"/>
                <w:szCs w:val="22"/>
              </w:rPr>
              <w:t>0</w:t>
            </w:r>
          </w:p>
        </w:tc>
        <w:tc>
          <w:tcPr>
            <w:tcW w:w="117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2E329906" w14:textId="77777777">
            <w:pPr>
              <w:jc w:val="center"/>
              <w:rPr>
                <w:b/>
                <w:sz w:val="22"/>
                <w:szCs w:val="22"/>
              </w:rPr>
            </w:pPr>
            <w:r>
              <w:rPr>
                <w:b/>
                <w:sz w:val="22"/>
                <w:szCs w:val="22"/>
              </w:rPr>
              <w:t>0</w:t>
            </w:r>
          </w:p>
        </w:tc>
        <w:tc>
          <w:tcPr>
            <w:tcW w:w="144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66253758" w14:textId="77777777">
            <w:pPr>
              <w:jc w:val="center"/>
              <w:rPr>
                <w:b/>
                <w:sz w:val="22"/>
                <w:szCs w:val="22"/>
              </w:rPr>
            </w:pPr>
            <w:r w:rsidRPr="00106E67">
              <w:rPr>
                <w:b/>
                <w:sz w:val="22"/>
                <w:szCs w:val="22"/>
              </w:rPr>
              <w:t>0</w:t>
            </w:r>
          </w:p>
        </w:tc>
        <w:tc>
          <w:tcPr>
            <w:tcW w:w="126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3CC925B4" w14:textId="77777777">
            <w:pPr>
              <w:jc w:val="center"/>
              <w:rPr>
                <w:b/>
                <w:sz w:val="22"/>
                <w:szCs w:val="22"/>
              </w:rPr>
            </w:pPr>
            <w:r w:rsidRPr="00106E67">
              <w:rPr>
                <w:b/>
                <w:sz w:val="22"/>
                <w:szCs w:val="22"/>
              </w:rPr>
              <w:t>0</w:t>
            </w:r>
          </w:p>
        </w:tc>
        <w:tc>
          <w:tcPr>
            <w:tcW w:w="1080" w:type="dxa"/>
            <w:tcBorders>
              <w:top w:val="double" w:sz="4" w:space="0" w:color="auto"/>
              <w:left w:val="nil"/>
              <w:bottom w:val="double" w:sz="4" w:space="0" w:color="auto"/>
              <w:right w:val="double" w:sz="4" w:space="0" w:color="auto"/>
            </w:tcBorders>
            <w:shd w:val="clear" w:color="auto" w:fill="BFBFBF"/>
            <w:noWrap/>
            <w:vAlign w:val="center"/>
          </w:tcPr>
          <w:p w:rsidR="009A2C37" w:rsidRPr="00106E67" w:rsidP="00977E6D" w14:paraId="0BB8321A" w14:textId="77777777">
            <w:pPr>
              <w:jc w:val="center"/>
              <w:rPr>
                <w:b/>
                <w:sz w:val="22"/>
                <w:szCs w:val="22"/>
              </w:rPr>
            </w:pPr>
            <w:r w:rsidRPr="00106E67">
              <w:rPr>
                <w:b/>
                <w:sz w:val="22"/>
                <w:szCs w:val="22"/>
              </w:rPr>
              <w:t>0</w:t>
            </w:r>
          </w:p>
        </w:tc>
      </w:tr>
    </w:tbl>
    <w:p w:rsidR="00E23E53" w14:paraId="14B6F1B9" w14:textId="77777777"/>
    <w:p w:rsidR="00BE2F68" w:rsidRPr="00BF405C" w:rsidP="00BF405C" w14:paraId="52BBA5AF" w14:textId="636AFB8C">
      <w:pPr>
        <w:pBdr>
          <w:top w:val="double" w:sz="4" w:space="1" w:color="auto"/>
          <w:left w:val="double" w:sz="4" w:space="4" w:color="auto"/>
          <w:bottom w:val="double" w:sz="4" w:space="1" w:color="auto"/>
          <w:right w:val="double" w:sz="4" w:space="4" w:color="auto"/>
        </w:pBdr>
        <w:shd w:val="clear" w:color="auto" w:fill="B4C6E7"/>
        <w:ind w:left="-144" w:right="-144"/>
        <w:jc w:val="center"/>
        <w:rPr>
          <w:b/>
          <w:bCs/>
          <w:sz w:val="22"/>
          <w:szCs w:val="22"/>
        </w:rPr>
      </w:pPr>
      <w:r w:rsidRPr="00106E67">
        <w:rPr>
          <w:b/>
          <w:bCs/>
          <w:sz w:val="22"/>
          <w:szCs w:val="22"/>
        </w:rPr>
        <w:t>Effectiveness of Internal Control over Operations (FMFIA § 2)</w:t>
      </w:r>
    </w:p>
    <w:tbl>
      <w:tblPr>
        <w:tblW w:w="9885" w:type="dxa"/>
        <w:jc w:val="center"/>
        <w:tblLayout w:type="fixed"/>
        <w:tblLook w:val="0000"/>
      </w:tblPr>
      <w:tblGrid>
        <w:gridCol w:w="2865"/>
        <w:gridCol w:w="1170"/>
        <w:gridCol w:w="900"/>
        <w:gridCol w:w="1170"/>
        <w:gridCol w:w="1440"/>
        <w:gridCol w:w="1260"/>
        <w:gridCol w:w="1080"/>
      </w:tblGrid>
      <w:tr w14:paraId="1C341A54" w14:textId="77777777" w:rsidTr="00977E6D">
        <w:tblPrEx>
          <w:tblW w:w="9885" w:type="dxa"/>
          <w:jc w:val="center"/>
          <w:tblLayout w:type="fixed"/>
          <w:tblLook w:val="0000"/>
        </w:tblPrEx>
        <w:trPr>
          <w:trHeight w:val="300"/>
          <w:jc w:val="center"/>
        </w:trPr>
        <w:tc>
          <w:tcPr>
            <w:tcW w:w="2865" w:type="dxa"/>
            <w:tcBorders>
              <w:top w:val="double" w:sz="4" w:space="0" w:color="auto"/>
              <w:left w:val="double" w:sz="4" w:space="0" w:color="auto"/>
              <w:bottom w:val="single" w:sz="4" w:space="0" w:color="auto"/>
              <w:right w:val="single" w:sz="4" w:space="0" w:color="auto"/>
            </w:tcBorders>
            <w:noWrap/>
            <w:vAlign w:val="bottom"/>
          </w:tcPr>
          <w:p w:rsidR="009A2C37" w:rsidRPr="00106E67" w:rsidP="00977E6D" w14:paraId="254AFCA1" w14:textId="77777777">
            <w:pPr>
              <w:rPr>
                <w:sz w:val="22"/>
                <w:szCs w:val="22"/>
              </w:rPr>
            </w:pPr>
            <w:r w:rsidRPr="00106E67">
              <w:rPr>
                <w:sz w:val="22"/>
                <w:szCs w:val="22"/>
              </w:rPr>
              <w:t>Statement of Assurance</w:t>
            </w:r>
          </w:p>
        </w:tc>
        <w:tc>
          <w:tcPr>
            <w:tcW w:w="7020" w:type="dxa"/>
            <w:gridSpan w:val="6"/>
            <w:tcBorders>
              <w:top w:val="double" w:sz="4" w:space="0" w:color="auto"/>
              <w:left w:val="nil"/>
              <w:bottom w:val="single" w:sz="4" w:space="0" w:color="auto"/>
              <w:right w:val="double" w:sz="4" w:space="0" w:color="auto"/>
            </w:tcBorders>
            <w:noWrap/>
            <w:vAlign w:val="bottom"/>
          </w:tcPr>
          <w:p w:rsidR="009A2C37" w:rsidRPr="00106E67" w:rsidP="00977E6D" w14:paraId="48CA83EE" w14:textId="77777777">
            <w:pPr>
              <w:jc w:val="center"/>
              <w:rPr>
                <w:sz w:val="22"/>
                <w:szCs w:val="22"/>
              </w:rPr>
            </w:pPr>
            <w:bookmarkStart w:id="290" w:name="_Hlk22629654"/>
            <w:r w:rsidRPr="00106E67">
              <w:rPr>
                <w:sz w:val="22"/>
                <w:szCs w:val="22"/>
              </w:rPr>
              <w:t>Unmodified</w:t>
            </w:r>
            <w:bookmarkEnd w:id="290"/>
          </w:p>
        </w:tc>
      </w:tr>
      <w:tr w14:paraId="27090F57" w14:textId="77777777" w:rsidTr="00977E6D">
        <w:tblPrEx>
          <w:tblW w:w="9885" w:type="dxa"/>
          <w:jc w:val="center"/>
          <w:tblLayout w:type="fixed"/>
          <w:tblLook w:val="0000"/>
        </w:tblPrEx>
        <w:trPr>
          <w:trHeight w:val="600"/>
          <w:jc w:val="center"/>
        </w:trPr>
        <w:tc>
          <w:tcPr>
            <w:tcW w:w="2865" w:type="dxa"/>
            <w:tcBorders>
              <w:top w:val="single" w:sz="4" w:space="0" w:color="auto"/>
              <w:left w:val="double" w:sz="4" w:space="0" w:color="auto"/>
              <w:bottom w:val="single" w:sz="4" w:space="0" w:color="auto"/>
              <w:right w:val="single" w:sz="4" w:space="0" w:color="auto"/>
            </w:tcBorders>
            <w:shd w:val="clear" w:color="auto" w:fill="D9D9D9"/>
            <w:noWrap/>
            <w:vAlign w:val="center"/>
          </w:tcPr>
          <w:p w:rsidR="009A2C37" w:rsidRPr="00106E67" w:rsidP="00977E6D" w14:paraId="0A1CD979" w14:textId="77777777">
            <w:pPr>
              <w:rPr>
                <w:sz w:val="22"/>
                <w:szCs w:val="22"/>
              </w:rPr>
            </w:pPr>
            <w:r w:rsidRPr="00106E67">
              <w:rPr>
                <w:sz w:val="22"/>
                <w:szCs w:val="22"/>
              </w:rPr>
              <w:t>Material Weaknesses</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0FCFA3C4" w14:textId="77777777">
            <w:pPr>
              <w:jc w:val="center"/>
              <w:rPr>
                <w:sz w:val="22"/>
                <w:szCs w:val="22"/>
              </w:rPr>
            </w:pPr>
            <w:r w:rsidRPr="00106E67">
              <w:rPr>
                <w:sz w:val="22"/>
                <w:szCs w:val="22"/>
              </w:rPr>
              <w:t>Beginning Balance</w:t>
            </w:r>
          </w:p>
        </w:tc>
        <w:tc>
          <w:tcPr>
            <w:tcW w:w="90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2BCA6182" w14:textId="77777777">
            <w:pPr>
              <w:jc w:val="center"/>
              <w:rPr>
                <w:sz w:val="22"/>
                <w:szCs w:val="22"/>
              </w:rPr>
            </w:pPr>
            <w:r w:rsidRPr="00106E67">
              <w:rPr>
                <w:sz w:val="22"/>
                <w:szCs w:val="22"/>
              </w:rPr>
              <w:t>New</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0E0B80C3" w14:textId="77777777">
            <w:pPr>
              <w:jc w:val="center"/>
              <w:rPr>
                <w:sz w:val="22"/>
                <w:szCs w:val="22"/>
              </w:rPr>
            </w:pPr>
            <w:r w:rsidRPr="00106E67">
              <w:rPr>
                <w:sz w:val="22"/>
                <w:szCs w:val="22"/>
              </w:rPr>
              <w:t>Resolved</w:t>
            </w:r>
          </w:p>
        </w:tc>
        <w:tc>
          <w:tcPr>
            <w:tcW w:w="144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6A5765B8" w14:textId="77777777">
            <w:pPr>
              <w:jc w:val="center"/>
              <w:rPr>
                <w:sz w:val="22"/>
                <w:szCs w:val="22"/>
              </w:rPr>
            </w:pPr>
            <w:r w:rsidRPr="00106E67">
              <w:rPr>
                <w:sz w:val="22"/>
                <w:szCs w:val="22"/>
              </w:rPr>
              <w:t>Consolidated</w:t>
            </w:r>
          </w:p>
        </w:tc>
        <w:tc>
          <w:tcPr>
            <w:tcW w:w="126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35E63C7B" w14:textId="77777777">
            <w:pPr>
              <w:jc w:val="center"/>
              <w:rPr>
                <w:sz w:val="22"/>
                <w:szCs w:val="22"/>
              </w:rPr>
            </w:pPr>
            <w:r w:rsidRPr="00106E67">
              <w:rPr>
                <w:sz w:val="22"/>
                <w:szCs w:val="22"/>
              </w:rPr>
              <w:t>Reassessed</w:t>
            </w:r>
          </w:p>
        </w:tc>
        <w:tc>
          <w:tcPr>
            <w:tcW w:w="1080" w:type="dxa"/>
            <w:tcBorders>
              <w:top w:val="single" w:sz="4" w:space="0" w:color="auto"/>
              <w:left w:val="nil"/>
              <w:bottom w:val="single" w:sz="4" w:space="0" w:color="auto"/>
              <w:right w:val="double" w:sz="4" w:space="0" w:color="auto"/>
            </w:tcBorders>
            <w:shd w:val="clear" w:color="auto" w:fill="D9D9D9"/>
            <w:vAlign w:val="center"/>
          </w:tcPr>
          <w:p w:rsidR="009A2C37" w:rsidRPr="00106E67" w:rsidP="00977E6D" w14:paraId="5CAAFF17" w14:textId="77777777">
            <w:pPr>
              <w:jc w:val="center"/>
              <w:rPr>
                <w:sz w:val="22"/>
                <w:szCs w:val="22"/>
              </w:rPr>
            </w:pPr>
            <w:r w:rsidRPr="00106E67">
              <w:rPr>
                <w:sz w:val="22"/>
                <w:szCs w:val="22"/>
              </w:rPr>
              <w:t>Ending Balance</w:t>
            </w:r>
          </w:p>
        </w:tc>
      </w:tr>
      <w:tr w14:paraId="0E8A7A24" w14:textId="77777777" w:rsidTr="00977E6D">
        <w:tblPrEx>
          <w:tblW w:w="9885" w:type="dxa"/>
          <w:jc w:val="center"/>
          <w:tblLayout w:type="fixed"/>
          <w:tblLook w:val="0000"/>
        </w:tblPrEx>
        <w:trPr>
          <w:trHeight w:val="300"/>
          <w:jc w:val="center"/>
        </w:trPr>
        <w:tc>
          <w:tcPr>
            <w:tcW w:w="2865" w:type="dxa"/>
            <w:tcBorders>
              <w:top w:val="nil"/>
              <w:left w:val="double" w:sz="4" w:space="0" w:color="auto"/>
              <w:bottom w:val="double" w:sz="4" w:space="0" w:color="auto"/>
              <w:right w:val="single" w:sz="4" w:space="0" w:color="auto"/>
            </w:tcBorders>
            <w:noWrap/>
            <w:vAlign w:val="bottom"/>
          </w:tcPr>
          <w:p w:rsidR="009A2C37" w:rsidRPr="00106E67" w:rsidP="00977E6D" w14:paraId="219E4B5B" w14:textId="77777777">
            <w:pPr>
              <w:rPr>
                <w:sz w:val="22"/>
                <w:szCs w:val="22"/>
              </w:rPr>
            </w:pPr>
          </w:p>
        </w:tc>
        <w:tc>
          <w:tcPr>
            <w:tcW w:w="1170" w:type="dxa"/>
            <w:tcBorders>
              <w:top w:val="nil"/>
              <w:left w:val="nil"/>
              <w:bottom w:val="double" w:sz="4" w:space="0" w:color="auto"/>
              <w:right w:val="single" w:sz="4" w:space="0" w:color="auto"/>
            </w:tcBorders>
            <w:noWrap/>
            <w:vAlign w:val="center"/>
          </w:tcPr>
          <w:p w:rsidR="009A2C37" w:rsidRPr="00106E67" w:rsidP="00977E6D" w14:paraId="50BDB83A" w14:textId="77777777">
            <w:pPr>
              <w:jc w:val="center"/>
              <w:rPr>
                <w:sz w:val="22"/>
                <w:szCs w:val="22"/>
              </w:rPr>
            </w:pPr>
            <w:r w:rsidRPr="00106E67">
              <w:rPr>
                <w:sz w:val="22"/>
                <w:szCs w:val="22"/>
              </w:rPr>
              <w:t>0</w:t>
            </w:r>
          </w:p>
        </w:tc>
        <w:tc>
          <w:tcPr>
            <w:tcW w:w="900" w:type="dxa"/>
            <w:tcBorders>
              <w:top w:val="nil"/>
              <w:left w:val="nil"/>
              <w:bottom w:val="double" w:sz="4" w:space="0" w:color="auto"/>
              <w:right w:val="single" w:sz="4" w:space="0" w:color="auto"/>
            </w:tcBorders>
            <w:noWrap/>
            <w:vAlign w:val="center"/>
          </w:tcPr>
          <w:p w:rsidR="009A2C37" w:rsidRPr="00106E67" w:rsidP="00977E6D" w14:paraId="19515E91" w14:textId="77777777">
            <w:pPr>
              <w:jc w:val="center"/>
              <w:rPr>
                <w:sz w:val="22"/>
                <w:szCs w:val="22"/>
              </w:rPr>
            </w:pPr>
            <w:r w:rsidRPr="00106E67">
              <w:rPr>
                <w:sz w:val="22"/>
                <w:szCs w:val="22"/>
              </w:rPr>
              <w:t>0</w:t>
            </w:r>
          </w:p>
        </w:tc>
        <w:tc>
          <w:tcPr>
            <w:tcW w:w="1170" w:type="dxa"/>
            <w:tcBorders>
              <w:top w:val="nil"/>
              <w:left w:val="nil"/>
              <w:bottom w:val="double" w:sz="4" w:space="0" w:color="auto"/>
              <w:right w:val="single" w:sz="4" w:space="0" w:color="auto"/>
            </w:tcBorders>
            <w:noWrap/>
            <w:vAlign w:val="center"/>
          </w:tcPr>
          <w:p w:rsidR="009A2C37" w:rsidRPr="00106E67" w:rsidP="00977E6D" w14:paraId="61A59DD1" w14:textId="77777777">
            <w:pPr>
              <w:jc w:val="center"/>
              <w:rPr>
                <w:sz w:val="22"/>
                <w:szCs w:val="22"/>
              </w:rPr>
            </w:pPr>
            <w:r w:rsidRPr="00106E67">
              <w:rPr>
                <w:sz w:val="22"/>
                <w:szCs w:val="22"/>
              </w:rPr>
              <w:t>0</w:t>
            </w:r>
          </w:p>
        </w:tc>
        <w:tc>
          <w:tcPr>
            <w:tcW w:w="1440" w:type="dxa"/>
            <w:tcBorders>
              <w:top w:val="nil"/>
              <w:left w:val="nil"/>
              <w:bottom w:val="double" w:sz="4" w:space="0" w:color="auto"/>
              <w:right w:val="single" w:sz="4" w:space="0" w:color="auto"/>
            </w:tcBorders>
            <w:noWrap/>
            <w:vAlign w:val="center"/>
          </w:tcPr>
          <w:p w:rsidR="009A2C37" w:rsidRPr="00106E67" w:rsidP="00977E6D" w14:paraId="29A43D29" w14:textId="77777777">
            <w:pPr>
              <w:jc w:val="center"/>
              <w:rPr>
                <w:sz w:val="22"/>
                <w:szCs w:val="22"/>
              </w:rPr>
            </w:pPr>
            <w:r w:rsidRPr="00106E67">
              <w:rPr>
                <w:sz w:val="22"/>
                <w:szCs w:val="22"/>
              </w:rPr>
              <w:t>0</w:t>
            </w:r>
          </w:p>
        </w:tc>
        <w:tc>
          <w:tcPr>
            <w:tcW w:w="1260" w:type="dxa"/>
            <w:tcBorders>
              <w:top w:val="nil"/>
              <w:left w:val="nil"/>
              <w:bottom w:val="double" w:sz="4" w:space="0" w:color="auto"/>
              <w:right w:val="single" w:sz="4" w:space="0" w:color="auto"/>
            </w:tcBorders>
            <w:noWrap/>
            <w:vAlign w:val="center"/>
          </w:tcPr>
          <w:p w:rsidR="009A2C37" w:rsidRPr="00106E67" w:rsidP="00977E6D" w14:paraId="1CCB0665" w14:textId="77777777">
            <w:pPr>
              <w:jc w:val="center"/>
              <w:rPr>
                <w:sz w:val="22"/>
                <w:szCs w:val="22"/>
              </w:rPr>
            </w:pPr>
            <w:r w:rsidRPr="00106E67">
              <w:rPr>
                <w:sz w:val="22"/>
                <w:szCs w:val="22"/>
              </w:rPr>
              <w:t>0</w:t>
            </w:r>
          </w:p>
        </w:tc>
        <w:tc>
          <w:tcPr>
            <w:tcW w:w="1080" w:type="dxa"/>
            <w:tcBorders>
              <w:top w:val="nil"/>
              <w:left w:val="nil"/>
              <w:bottom w:val="double" w:sz="4" w:space="0" w:color="auto"/>
              <w:right w:val="double" w:sz="4" w:space="0" w:color="auto"/>
            </w:tcBorders>
            <w:noWrap/>
            <w:vAlign w:val="center"/>
          </w:tcPr>
          <w:p w:rsidR="009A2C37" w:rsidRPr="00106E67" w:rsidP="00977E6D" w14:paraId="33C10285" w14:textId="77777777">
            <w:pPr>
              <w:jc w:val="center"/>
              <w:rPr>
                <w:sz w:val="22"/>
                <w:szCs w:val="22"/>
              </w:rPr>
            </w:pPr>
            <w:r w:rsidRPr="00106E67">
              <w:rPr>
                <w:sz w:val="22"/>
                <w:szCs w:val="22"/>
              </w:rPr>
              <w:t>0</w:t>
            </w:r>
          </w:p>
        </w:tc>
      </w:tr>
      <w:tr w14:paraId="6AD8D906" w14:textId="77777777" w:rsidTr="00977E6D">
        <w:tblPrEx>
          <w:tblW w:w="9885" w:type="dxa"/>
          <w:jc w:val="center"/>
          <w:tblLayout w:type="fixed"/>
          <w:tblLook w:val="0000"/>
        </w:tblPrEx>
        <w:trPr>
          <w:trHeight w:val="294"/>
          <w:jc w:val="center"/>
        </w:trPr>
        <w:tc>
          <w:tcPr>
            <w:tcW w:w="2865" w:type="dxa"/>
            <w:tcBorders>
              <w:top w:val="double" w:sz="4" w:space="0" w:color="auto"/>
              <w:left w:val="double" w:sz="4" w:space="0" w:color="auto"/>
              <w:bottom w:val="double" w:sz="4" w:space="0" w:color="auto"/>
              <w:right w:val="single" w:sz="4" w:space="0" w:color="auto"/>
            </w:tcBorders>
            <w:shd w:val="clear" w:color="auto" w:fill="BFBFBF"/>
            <w:noWrap/>
            <w:vAlign w:val="center"/>
          </w:tcPr>
          <w:p w:rsidR="009A2C37" w:rsidRPr="00106E67" w:rsidP="00977E6D" w14:paraId="717C780A" w14:textId="77777777">
            <w:pPr>
              <w:rPr>
                <w:b/>
                <w:iCs/>
                <w:sz w:val="22"/>
                <w:szCs w:val="22"/>
              </w:rPr>
            </w:pPr>
            <w:r w:rsidRPr="00106E67">
              <w:rPr>
                <w:b/>
                <w:iCs/>
                <w:sz w:val="22"/>
                <w:szCs w:val="22"/>
              </w:rPr>
              <w:t>Total Material Weaknesses</w:t>
            </w:r>
          </w:p>
        </w:tc>
        <w:tc>
          <w:tcPr>
            <w:tcW w:w="117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4F1603FB" w14:textId="77777777">
            <w:pPr>
              <w:jc w:val="center"/>
              <w:rPr>
                <w:b/>
                <w:sz w:val="22"/>
                <w:szCs w:val="22"/>
              </w:rPr>
            </w:pPr>
            <w:r w:rsidRPr="00106E67">
              <w:rPr>
                <w:b/>
                <w:sz w:val="22"/>
                <w:szCs w:val="22"/>
              </w:rPr>
              <w:t>0</w:t>
            </w:r>
          </w:p>
        </w:tc>
        <w:tc>
          <w:tcPr>
            <w:tcW w:w="90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1AA380D6" w14:textId="77777777">
            <w:pPr>
              <w:jc w:val="center"/>
              <w:rPr>
                <w:b/>
                <w:sz w:val="22"/>
                <w:szCs w:val="22"/>
              </w:rPr>
            </w:pPr>
            <w:r w:rsidRPr="00106E67">
              <w:rPr>
                <w:b/>
                <w:sz w:val="22"/>
                <w:szCs w:val="22"/>
              </w:rPr>
              <w:t>0</w:t>
            </w:r>
          </w:p>
        </w:tc>
        <w:tc>
          <w:tcPr>
            <w:tcW w:w="117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0D92649E" w14:textId="77777777">
            <w:pPr>
              <w:jc w:val="center"/>
              <w:rPr>
                <w:b/>
                <w:sz w:val="22"/>
                <w:szCs w:val="22"/>
              </w:rPr>
            </w:pPr>
            <w:r w:rsidRPr="00106E67">
              <w:rPr>
                <w:b/>
                <w:sz w:val="22"/>
                <w:szCs w:val="22"/>
              </w:rPr>
              <w:t>0</w:t>
            </w:r>
          </w:p>
        </w:tc>
        <w:tc>
          <w:tcPr>
            <w:tcW w:w="144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442AB0D4" w14:textId="77777777">
            <w:pPr>
              <w:jc w:val="center"/>
              <w:rPr>
                <w:b/>
                <w:sz w:val="22"/>
                <w:szCs w:val="22"/>
              </w:rPr>
            </w:pPr>
            <w:r w:rsidRPr="00106E67">
              <w:rPr>
                <w:b/>
                <w:sz w:val="22"/>
                <w:szCs w:val="22"/>
              </w:rPr>
              <w:t>0</w:t>
            </w:r>
          </w:p>
        </w:tc>
        <w:tc>
          <w:tcPr>
            <w:tcW w:w="126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34CE8E08" w14:textId="77777777">
            <w:pPr>
              <w:jc w:val="center"/>
              <w:rPr>
                <w:b/>
                <w:sz w:val="22"/>
                <w:szCs w:val="22"/>
              </w:rPr>
            </w:pPr>
            <w:r w:rsidRPr="00106E67">
              <w:rPr>
                <w:b/>
                <w:sz w:val="22"/>
                <w:szCs w:val="22"/>
              </w:rPr>
              <w:t>0</w:t>
            </w:r>
          </w:p>
        </w:tc>
        <w:tc>
          <w:tcPr>
            <w:tcW w:w="1080" w:type="dxa"/>
            <w:tcBorders>
              <w:top w:val="double" w:sz="4" w:space="0" w:color="auto"/>
              <w:left w:val="nil"/>
              <w:bottom w:val="double" w:sz="4" w:space="0" w:color="auto"/>
              <w:right w:val="double" w:sz="4" w:space="0" w:color="auto"/>
            </w:tcBorders>
            <w:shd w:val="clear" w:color="auto" w:fill="BFBFBF"/>
            <w:noWrap/>
            <w:vAlign w:val="center"/>
          </w:tcPr>
          <w:p w:rsidR="009A2C37" w:rsidRPr="00106E67" w:rsidP="00977E6D" w14:paraId="732B9AA6" w14:textId="77777777">
            <w:pPr>
              <w:jc w:val="center"/>
              <w:rPr>
                <w:b/>
                <w:sz w:val="22"/>
                <w:szCs w:val="22"/>
              </w:rPr>
            </w:pPr>
            <w:r w:rsidRPr="00106E67">
              <w:rPr>
                <w:b/>
                <w:sz w:val="22"/>
                <w:szCs w:val="22"/>
              </w:rPr>
              <w:t>0</w:t>
            </w:r>
          </w:p>
        </w:tc>
      </w:tr>
    </w:tbl>
    <w:p w:rsidR="009A2C37" w:rsidRPr="00476AD6" w:rsidP="009A2C37" w14:paraId="1C0AABCD" w14:textId="77777777">
      <w:pPr>
        <w:jc w:val="both"/>
        <w:rPr>
          <w:sz w:val="22"/>
          <w:szCs w:val="22"/>
          <w:highlight w:val="yellow"/>
        </w:rPr>
      </w:pPr>
    </w:p>
    <w:p w:rsidR="009A33B0" w:rsidP="00BE2F68" w14:paraId="19CE23D9" w14:textId="54A692D4">
      <w:pPr>
        <w:pBdr>
          <w:top w:val="double" w:sz="4" w:space="1" w:color="auto"/>
          <w:left w:val="double" w:sz="4" w:space="4" w:color="auto"/>
          <w:bottom w:val="double" w:sz="4" w:space="1" w:color="auto"/>
          <w:right w:val="double" w:sz="4" w:space="4" w:color="auto"/>
        </w:pBdr>
        <w:shd w:val="clear" w:color="auto" w:fill="B4C6E7"/>
        <w:ind w:left="-144" w:right="-144"/>
        <w:jc w:val="center"/>
      </w:pPr>
      <w:r w:rsidRPr="00106E67">
        <w:rPr>
          <w:b/>
          <w:bCs/>
          <w:sz w:val="22"/>
          <w:szCs w:val="22"/>
        </w:rPr>
        <w:t>Conformance with financial management system requirements (FMFIA § 4)</w:t>
      </w:r>
    </w:p>
    <w:tbl>
      <w:tblPr>
        <w:tblW w:w="9885" w:type="dxa"/>
        <w:jc w:val="center"/>
        <w:tblLayout w:type="fixed"/>
        <w:tblLook w:val="0000"/>
      </w:tblPr>
      <w:tblGrid>
        <w:gridCol w:w="2865"/>
        <w:gridCol w:w="1170"/>
        <w:gridCol w:w="990"/>
        <w:gridCol w:w="1080"/>
        <w:gridCol w:w="1440"/>
        <w:gridCol w:w="1260"/>
        <w:gridCol w:w="1080"/>
      </w:tblGrid>
      <w:tr w14:paraId="270DE190" w14:textId="77777777" w:rsidTr="00977E6D">
        <w:tblPrEx>
          <w:tblW w:w="9885" w:type="dxa"/>
          <w:jc w:val="center"/>
          <w:tblLayout w:type="fixed"/>
          <w:tblLook w:val="0000"/>
        </w:tblPrEx>
        <w:trPr>
          <w:trHeight w:val="300"/>
          <w:jc w:val="center"/>
        </w:trPr>
        <w:tc>
          <w:tcPr>
            <w:tcW w:w="2865" w:type="dxa"/>
            <w:tcBorders>
              <w:top w:val="nil"/>
              <w:left w:val="double" w:sz="4" w:space="0" w:color="auto"/>
              <w:bottom w:val="single" w:sz="4" w:space="0" w:color="auto"/>
              <w:right w:val="single" w:sz="4" w:space="0" w:color="auto"/>
            </w:tcBorders>
            <w:noWrap/>
            <w:vAlign w:val="bottom"/>
          </w:tcPr>
          <w:p w:rsidR="009A2C37" w:rsidRPr="00106E67" w:rsidP="00977E6D" w14:paraId="0ED2B43C" w14:textId="77777777">
            <w:pPr>
              <w:rPr>
                <w:sz w:val="22"/>
                <w:szCs w:val="22"/>
              </w:rPr>
            </w:pPr>
            <w:r w:rsidRPr="00106E67">
              <w:rPr>
                <w:sz w:val="22"/>
                <w:szCs w:val="22"/>
              </w:rPr>
              <w:t>Statement of Assurance</w:t>
            </w:r>
          </w:p>
        </w:tc>
        <w:tc>
          <w:tcPr>
            <w:tcW w:w="7020" w:type="dxa"/>
            <w:gridSpan w:val="6"/>
            <w:tcBorders>
              <w:top w:val="single" w:sz="4" w:space="0" w:color="auto"/>
              <w:left w:val="nil"/>
              <w:bottom w:val="single" w:sz="4" w:space="0" w:color="auto"/>
              <w:right w:val="double" w:sz="4" w:space="0" w:color="auto"/>
            </w:tcBorders>
            <w:noWrap/>
            <w:vAlign w:val="bottom"/>
          </w:tcPr>
          <w:p w:rsidR="009A2C37" w:rsidRPr="00106E67" w:rsidP="00977E6D" w14:paraId="44590B28" w14:textId="77777777">
            <w:pPr>
              <w:jc w:val="center"/>
              <w:rPr>
                <w:sz w:val="22"/>
                <w:szCs w:val="22"/>
              </w:rPr>
            </w:pPr>
            <w:r w:rsidRPr="00106E67">
              <w:rPr>
                <w:sz w:val="22"/>
                <w:szCs w:val="22"/>
              </w:rPr>
              <w:t>Federal Systems conform to financial management system requirements</w:t>
            </w:r>
          </w:p>
        </w:tc>
      </w:tr>
      <w:tr w14:paraId="216F16CA" w14:textId="77777777" w:rsidTr="00977E6D">
        <w:tblPrEx>
          <w:tblW w:w="9885" w:type="dxa"/>
          <w:jc w:val="center"/>
          <w:tblLayout w:type="fixed"/>
          <w:tblLook w:val="0000"/>
        </w:tblPrEx>
        <w:trPr>
          <w:trHeight w:val="600"/>
          <w:jc w:val="center"/>
        </w:trPr>
        <w:tc>
          <w:tcPr>
            <w:tcW w:w="2865" w:type="dxa"/>
            <w:tcBorders>
              <w:top w:val="single" w:sz="4" w:space="0" w:color="auto"/>
              <w:left w:val="double" w:sz="4" w:space="0" w:color="auto"/>
              <w:bottom w:val="single" w:sz="4" w:space="0" w:color="auto"/>
              <w:right w:val="single" w:sz="4" w:space="0" w:color="auto"/>
            </w:tcBorders>
            <w:shd w:val="clear" w:color="auto" w:fill="D9D9D9"/>
            <w:noWrap/>
            <w:vAlign w:val="center"/>
          </w:tcPr>
          <w:p w:rsidR="009A2C37" w:rsidRPr="00106E67" w:rsidP="00977E6D" w14:paraId="218C4409" w14:textId="77777777">
            <w:pPr>
              <w:rPr>
                <w:sz w:val="22"/>
                <w:szCs w:val="22"/>
              </w:rPr>
            </w:pPr>
            <w:r w:rsidRPr="00106E67">
              <w:rPr>
                <w:sz w:val="22"/>
                <w:szCs w:val="22"/>
              </w:rPr>
              <w:t>Non-Conformances</w:t>
            </w:r>
          </w:p>
        </w:tc>
        <w:tc>
          <w:tcPr>
            <w:tcW w:w="117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1D1AC671" w14:textId="77777777">
            <w:pPr>
              <w:jc w:val="center"/>
              <w:rPr>
                <w:sz w:val="22"/>
                <w:szCs w:val="22"/>
              </w:rPr>
            </w:pPr>
            <w:r w:rsidRPr="00106E67">
              <w:rPr>
                <w:sz w:val="22"/>
                <w:szCs w:val="22"/>
              </w:rPr>
              <w:t>Beginning Balance</w:t>
            </w:r>
          </w:p>
        </w:tc>
        <w:tc>
          <w:tcPr>
            <w:tcW w:w="99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273BA73B" w14:textId="77777777">
            <w:pPr>
              <w:jc w:val="center"/>
              <w:rPr>
                <w:sz w:val="22"/>
                <w:szCs w:val="22"/>
              </w:rPr>
            </w:pPr>
            <w:r w:rsidRPr="00106E67">
              <w:rPr>
                <w:sz w:val="22"/>
                <w:szCs w:val="22"/>
              </w:rPr>
              <w:t>New</w:t>
            </w:r>
          </w:p>
        </w:tc>
        <w:tc>
          <w:tcPr>
            <w:tcW w:w="108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368B5588" w14:textId="77777777">
            <w:pPr>
              <w:jc w:val="center"/>
              <w:rPr>
                <w:sz w:val="22"/>
                <w:szCs w:val="22"/>
              </w:rPr>
            </w:pPr>
            <w:r w:rsidRPr="00106E67">
              <w:rPr>
                <w:sz w:val="22"/>
                <w:szCs w:val="22"/>
              </w:rPr>
              <w:t>Resolved</w:t>
            </w:r>
          </w:p>
        </w:tc>
        <w:tc>
          <w:tcPr>
            <w:tcW w:w="144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1A5D06BE" w14:textId="77777777">
            <w:pPr>
              <w:jc w:val="center"/>
              <w:rPr>
                <w:sz w:val="22"/>
                <w:szCs w:val="22"/>
              </w:rPr>
            </w:pPr>
            <w:r w:rsidRPr="00106E67">
              <w:rPr>
                <w:sz w:val="22"/>
                <w:szCs w:val="22"/>
              </w:rPr>
              <w:t>Consolidated</w:t>
            </w:r>
          </w:p>
        </w:tc>
        <w:tc>
          <w:tcPr>
            <w:tcW w:w="1260" w:type="dxa"/>
            <w:tcBorders>
              <w:top w:val="single" w:sz="4" w:space="0" w:color="auto"/>
              <w:left w:val="nil"/>
              <w:bottom w:val="single" w:sz="4" w:space="0" w:color="auto"/>
              <w:right w:val="single" w:sz="4" w:space="0" w:color="auto"/>
            </w:tcBorders>
            <w:shd w:val="clear" w:color="auto" w:fill="D9D9D9"/>
            <w:vAlign w:val="center"/>
          </w:tcPr>
          <w:p w:rsidR="009A2C37" w:rsidRPr="00106E67" w:rsidP="00977E6D" w14:paraId="7DD873AC" w14:textId="77777777">
            <w:pPr>
              <w:jc w:val="center"/>
              <w:rPr>
                <w:sz w:val="22"/>
                <w:szCs w:val="22"/>
              </w:rPr>
            </w:pPr>
            <w:r w:rsidRPr="00106E67">
              <w:rPr>
                <w:sz w:val="22"/>
                <w:szCs w:val="22"/>
              </w:rPr>
              <w:t>Reassessed</w:t>
            </w:r>
          </w:p>
        </w:tc>
        <w:tc>
          <w:tcPr>
            <w:tcW w:w="1080" w:type="dxa"/>
            <w:tcBorders>
              <w:top w:val="single" w:sz="4" w:space="0" w:color="auto"/>
              <w:left w:val="nil"/>
              <w:bottom w:val="single" w:sz="4" w:space="0" w:color="auto"/>
              <w:right w:val="double" w:sz="4" w:space="0" w:color="auto"/>
            </w:tcBorders>
            <w:shd w:val="clear" w:color="auto" w:fill="D9D9D9"/>
            <w:vAlign w:val="center"/>
          </w:tcPr>
          <w:p w:rsidR="009A2C37" w:rsidRPr="00106E67" w:rsidP="00977E6D" w14:paraId="73DA86B7" w14:textId="77777777">
            <w:pPr>
              <w:jc w:val="center"/>
              <w:rPr>
                <w:sz w:val="22"/>
                <w:szCs w:val="22"/>
              </w:rPr>
            </w:pPr>
            <w:r w:rsidRPr="00106E67">
              <w:rPr>
                <w:sz w:val="22"/>
                <w:szCs w:val="22"/>
              </w:rPr>
              <w:t>Ending Balance</w:t>
            </w:r>
          </w:p>
        </w:tc>
      </w:tr>
      <w:tr w14:paraId="037633EC" w14:textId="77777777" w:rsidTr="00977E6D">
        <w:tblPrEx>
          <w:tblW w:w="9885" w:type="dxa"/>
          <w:jc w:val="center"/>
          <w:tblLayout w:type="fixed"/>
          <w:tblLook w:val="0000"/>
        </w:tblPrEx>
        <w:trPr>
          <w:trHeight w:val="287"/>
          <w:jc w:val="center"/>
        </w:trPr>
        <w:tc>
          <w:tcPr>
            <w:tcW w:w="2865" w:type="dxa"/>
            <w:tcBorders>
              <w:top w:val="nil"/>
              <w:left w:val="double" w:sz="4" w:space="0" w:color="auto"/>
              <w:bottom w:val="double" w:sz="4" w:space="0" w:color="auto"/>
              <w:right w:val="single" w:sz="4" w:space="0" w:color="auto"/>
            </w:tcBorders>
            <w:vAlign w:val="center"/>
          </w:tcPr>
          <w:p w:rsidR="009A2C37" w:rsidRPr="00106E67" w:rsidP="00977E6D" w14:paraId="3DCA040C" w14:textId="77777777">
            <w:pPr>
              <w:rPr>
                <w:sz w:val="22"/>
                <w:szCs w:val="22"/>
              </w:rPr>
            </w:pPr>
          </w:p>
        </w:tc>
        <w:tc>
          <w:tcPr>
            <w:tcW w:w="1170" w:type="dxa"/>
            <w:tcBorders>
              <w:top w:val="nil"/>
              <w:left w:val="nil"/>
              <w:bottom w:val="double" w:sz="4" w:space="0" w:color="auto"/>
              <w:right w:val="single" w:sz="4" w:space="0" w:color="auto"/>
            </w:tcBorders>
            <w:noWrap/>
            <w:vAlign w:val="center"/>
          </w:tcPr>
          <w:p w:rsidR="009A2C37" w:rsidRPr="00106E67" w:rsidP="00977E6D" w14:paraId="0A0A10D6" w14:textId="77777777">
            <w:pPr>
              <w:jc w:val="center"/>
              <w:rPr>
                <w:sz w:val="22"/>
                <w:szCs w:val="22"/>
              </w:rPr>
            </w:pPr>
            <w:r w:rsidRPr="00106E67">
              <w:rPr>
                <w:sz w:val="22"/>
                <w:szCs w:val="22"/>
              </w:rPr>
              <w:t>0</w:t>
            </w:r>
          </w:p>
        </w:tc>
        <w:tc>
          <w:tcPr>
            <w:tcW w:w="990" w:type="dxa"/>
            <w:tcBorders>
              <w:top w:val="nil"/>
              <w:left w:val="nil"/>
              <w:bottom w:val="double" w:sz="4" w:space="0" w:color="auto"/>
              <w:right w:val="single" w:sz="4" w:space="0" w:color="auto"/>
            </w:tcBorders>
            <w:noWrap/>
            <w:vAlign w:val="center"/>
          </w:tcPr>
          <w:p w:rsidR="009A2C37" w:rsidRPr="00106E67" w:rsidP="00977E6D" w14:paraId="3F34985E" w14:textId="77777777">
            <w:pPr>
              <w:jc w:val="center"/>
              <w:rPr>
                <w:sz w:val="22"/>
                <w:szCs w:val="22"/>
              </w:rPr>
            </w:pPr>
            <w:r w:rsidRPr="00106E67">
              <w:rPr>
                <w:sz w:val="22"/>
                <w:szCs w:val="22"/>
              </w:rPr>
              <w:t>0</w:t>
            </w:r>
          </w:p>
        </w:tc>
        <w:tc>
          <w:tcPr>
            <w:tcW w:w="1080" w:type="dxa"/>
            <w:tcBorders>
              <w:top w:val="nil"/>
              <w:left w:val="nil"/>
              <w:bottom w:val="double" w:sz="4" w:space="0" w:color="auto"/>
              <w:right w:val="single" w:sz="4" w:space="0" w:color="auto"/>
            </w:tcBorders>
            <w:noWrap/>
            <w:vAlign w:val="center"/>
          </w:tcPr>
          <w:p w:rsidR="009A2C37" w:rsidRPr="00106E67" w:rsidP="00977E6D" w14:paraId="5FC61195" w14:textId="77777777">
            <w:pPr>
              <w:jc w:val="center"/>
              <w:rPr>
                <w:sz w:val="22"/>
                <w:szCs w:val="22"/>
              </w:rPr>
            </w:pPr>
            <w:r w:rsidRPr="00106E67">
              <w:rPr>
                <w:sz w:val="22"/>
                <w:szCs w:val="22"/>
              </w:rPr>
              <w:t>0</w:t>
            </w:r>
          </w:p>
        </w:tc>
        <w:tc>
          <w:tcPr>
            <w:tcW w:w="1440" w:type="dxa"/>
            <w:tcBorders>
              <w:top w:val="nil"/>
              <w:left w:val="nil"/>
              <w:bottom w:val="double" w:sz="4" w:space="0" w:color="auto"/>
              <w:right w:val="single" w:sz="4" w:space="0" w:color="auto"/>
            </w:tcBorders>
            <w:noWrap/>
            <w:vAlign w:val="center"/>
          </w:tcPr>
          <w:p w:rsidR="009A2C37" w:rsidRPr="00106E67" w:rsidP="00977E6D" w14:paraId="4C9D6D40" w14:textId="77777777">
            <w:pPr>
              <w:jc w:val="center"/>
              <w:rPr>
                <w:sz w:val="22"/>
                <w:szCs w:val="22"/>
              </w:rPr>
            </w:pPr>
            <w:r w:rsidRPr="00106E67">
              <w:rPr>
                <w:sz w:val="22"/>
                <w:szCs w:val="22"/>
              </w:rPr>
              <w:t>0</w:t>
            </w:r>
          </w:p>
        </w:tc>
        <w:tc>
          <w:tcPr>
            <w:tcW w:w="1260" w:type="dxa"/>
            <w:tcBorders>
              <w:top w:val="nil"/>
              <w:left w:val="nil"/>
              <w:bottom w:val="double" w:sz="4" w:space="0" w:color="auto"/>
              <w:right w:val="single" w:sz="4" w:space="0" w:color="auto"/>
            </w:tcBorders>
            <w:noWrap/>
            <w:vAlign w:val="center"/>
          </w:tcPr>
          <w:p w:rsidR="009A2C37" w:rsidRPr="00106E67" w:rsidP="00977E6D" w14:paraId="4E750E36" w14:textId="77777777">
            <w:pPr>
              <w:jc w:val="center"/>
              <w:rPr>
                <w:sz w:val="22"/>
                <w:szCs w:val="22"/>
              </w:rPr>
            </w:pPr>
            <w:r w:rsidRPr="00106E67">
              <w:rPr>
                <w:sz w:val="22"/>
                <w:szCs w:val="22"/>
              </w:rPr>
              <w:t>0</w:t>
            </w:r>
          </w:p>
        </w:tc>
        <w:tc>
          <w:tcPr>
            <w:tcW w:w="1080" w:type="dxa"/>
            <w:tcBorders>
              <w:top w:val="nil"/>
              <w:left w:val="nil"/>
              <w:bottom w:val="double" w:sz="4" w:space="0" w:color="auto"/>
              <w:right w:val="double" w:sz="4" w:space="0" w:color="auto"/>
            </w:tcBorders>
            <w:noWrap/>
            <w:vAlign w:val="center"/>
          </w:tcPr>
          <w:p w:rsidR="009A2C37" w:rsidRPr="00106E67" w:rsidP="00977E6D" w14:paraId="7BAEFEE9" w14:textId="77777777">
            <w:pPr>
              <w:jc w:val="center"/>
              <w:rPr>
                <w:sz w:val="22"/>
                <w:szCs w:val="22"/>
              </w:rPr>
            </w:pPr>
            <w:r w:rsidRPr="00106E67">
              <w:rPr>
                <w:sz w:val="22"/>
                <w:szCs w:val="22"/>
              </w:rPr>
              <w:t>0</w:t>
            </w:r>
          </w:p>
        </w:tc>
      </w:tr>
      <w:tr w14:paraId="6C2ECC7F" w14:textId="77777777" w:rsidTr="00977E6D">
        <w:tblPrEx>
          <w:tblW w:w="9885" w:type="dxa"/>
          <w:jc w:val="center"/>
          <w:tblLayout w:type="fixed"/>
          <w:tblLook w:val="0000"/>
        </w:tblPrEx>
        <w:trPr>
          <w:trHeight w:val="258"/>
          <w:jc w:val="center"/>
        </w:trPr>
        <w:tc>
          <w:tcPr>
            <w:tcW w:w="2865" w:type="dxa"/>
            <w:tcBorders>
              <w:top w:val="double" w:sz="4" w:space="0" w:color="auto"/>
              <w:left w:val="double" w:sz="4" w:space="0" w:color="auto"/>
              <w:bottom w:val="double" w:sz="4" w:space="0" w:color="auto"/>
              <w:right w:val="single" w:sz="4" w:space="0" w:color="auto"/>
            </w:tcBorders>
            <w:shd w:val="clear" w:color="auto" w:fill="BFBFBF"/>
            <w:noWrap/>
            <w:vAlign w:val="center"/>
          </w:tcPr>
          <w:p w:rsidR="009A2C37" w:rsidRPr="00106E67" w:rsidP="00977E6D" w14:paraId="68B2A133" w14:textId="77777777">
            <w:pPr>
              <w:rPr>
                <w:b/>
                <w:iCs/>
                <w:sz w:val="22"/>
                <w:szCs w:val="22"/>
              </w:rPr>
            </w:pPr>
            <w:r w:rsidRPr="00106E67">
              <w:rPr>
                <w:b/>
                <w:iCs/>
                <w:sz w:val="22"/>
                <w:szCs w:val="22"/>
              </w:rPr>
              <w:t>Total Non-Conformances</w:t>
            </w:r>
          </w:p>
        </w:tc>
        <w:tc>
          <w:tcPr>
            <w:tcW w:w="117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27DF11C6" w14:textId="77777777">
            <w:pPr>
              <w:jc w:val="center"/>
              <w:rPr>
                <w:b/>
                <w:sz w:val="22"/>
                <w:szCs w:val="22"/>
              </w:rPr>
            </w:pPr>
            <w:r w:rsidRPr="00106E67">
              <w:rPr>
                <w:b/>
                <w:sz w:val="22"/>
                <w:szCs w:val="22"/>
              </w:rPr>
              <w:t>0</w:t>
            </w:r>
          </w:p>
        </w:tc>
        <w:tc>
          <w:tcPr>
            <w:tcW w:w="99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33B99027" w14:textId="77777777">
            <w:pPr>
              <w:jc w:val="center"/>
              <w:rPr>
                <w:b/>
                <w:sz w:val="22"/>
                <w:szCs w:val="22"/>
              </w:rPr>
            </w:pPr>
            <w:r w:rsidRPr="00106E67">
              <w:rPr>
                <w:b/>
                <w:sz w:val="22"/>
                <w:szCs w:val="22"/>
              </w:rPr>
              <w:t>0</w:t>
            </w:r>
          </w:p>
        </w:tc>
        <w:tc>
          <w:tcPr>
            <w:tcW w:w="108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70DBFCFC" w14:textId="77777777">
            <w:pPr>
              <w:jc w:val="center"/>
              <w:rPr>
                <w:b/>
                <w:sz w:val="22"/>
                <w:szCs w:val="22"/>
              </w:rPr>
            </w:pPr>
            <w:r w:rsidRPr="00106E67">
              <w:rPr>
                <w:b/>
                <w:sz w:val="22"/>
                <w:szCs w:val="22"/>
              </w:rPr>
              <w:t>0</w:t>
            </w:r>
          </w:p>
        </w:tc>
        <w:tc>
          <w:tcPr>
            <w:tcW w:w="144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42854110" w14:textId="77777777">
            <w:pPr>
              <w:jc w:val="center"/>
              <w:rPr>
                <w:b/>
                <w:sz w:val="22"/>
                <w:szCs w:val="22"/>
              </w:rPr>
            </w:pPr>
            <w:r w:rsidRPr="00106E67">
              <w:rPr>
                <w:b/>
                <w:sz w:val="22"/>
                <w:szCs w:val="22"/>
              </w:rPr>
              <w:t>0</w:t>
            </w:r>
          </w:p>
        </w:tc>
        <w:tc>
          <w:tcPr>
            <w:tcW w:w="1260" w:type="dxa"/>
            <w:tcBorders>
              <w:top w:val="double" w:sz="4" w:space="0" w:color="auto"/>
              <w:left w:val="nil"/>
              <w:bottom w:val="double" w:sz="4" w:space="0" w:color="auto"/>
              <w:right w:val="single" w:sz="4" w:space="0" w:color="auto"/>
            </w:tcBorders>
            <w:shd w:val="clear" w:color="auto" w:fill="BFBFBF"/>
            <w:noWrap/>
            <w:vAlign w:val="center"/>
          </w:tcPr>
          <w:p w:rsidR="009A2C37" w:rsidRPr="00106E67" w:rsidP="00977E6D" w14:paraId="0D1DE3D9" w14:textId="77777777">
            <w:pPr>
              <w:jc w:val="center"/>
              <w:rPr>
                <w:b/>
                <w:sz w:val="22"/>
                <w:szCs w:val="22"/>
              </w:rPr>
            </w:pPr>
            <w:r w:rsidRPr="00106E67">
              <w:rPr>
                <w:b/>
                <w:sz w:val="22"/>
                <w:szCs w:val="22"/>
              </w:rPr>
              <w:t>0</w:t>
            </w:r>
          </w:p>
        </w:tc>
        <w:tc>
          <w:tcPr>
            <w:tcW w:w="1080" w:type="dxa"/>
            <w:tcBorders>
              <w:top w:val="double" w:sz="4" w:space="0" w:color="auto"/>
              <w:left w:val="nil"/>
              <w:bottom w:val="double" w:sz="4" w:space="0" w:color="auto"/>
              <w:right w:val="double" w:sz="4" w:space="0" w:color="auto"/>
            </w:tcBorders>
            <w:shd w:val="clear" w:color="auto" w:fill="BFBFBF"/>
            <w:noWrap/>
            <w:vAlign w:val="center"/>
          </w:tcPr>
          <w:p w:rsidR="009A2C37" w:rsidRPr="00106E67" w:rsidP="00977E6D" w14:paraId="4EBAB7ED" w14:textId="77777777">
            <w:pPr>
              <w:jc w:val="center"/>
              <w:rPr>
                <w:b/>
                <w:sz w:val="22"/>
                <w:szCs w:val="22"/>
              </w:rPr>
            </w:pPr>
            <w:r w:rsidRPr="00106E67">
              <w:rPr>
                <w:b/>
                <w:sz w:val="22"/>
                <w:szCs w:val="22"/>
              </w:rPr>
              <w:t>0</w:t>
            </w:r>
          </w:p>
        </w:tc>
      </w:tr>
    </w:tbl>
    <w:p w:rsidR="009A2C37" w:rsidP="009A2C37" w14:paraId="76E6F6A0" w14:textId="77777777">
      <w:pPr>
        <w:sectPr w:rsidSect="002C02F6">
          <w:headerReference w:type="even" r:id="rId83"/>
          <w:headerReference w:type="default" r:id="rId84"/>
          <w:footerReference w:type="default" r:id="rId85"/>
          <w:headerReference w:type="first" r:id="rId86"/>
          <w:footnotePr>
            <w:numRestart w:val="eachSect"/>
          </w:footnotePr>
          <w:pgSz w:w="12240" w:h="15840" w:code="1"/>
          <w:pgMar w:top="1152" w:right="1440" w:bottom="1152" w:left="1440" w:header="720" w:footer="990" w:gutter="0"/>
          <w:cols w:space="720"/>
          <w:docGrid w:linePitch="360"/>
        </w:sectPr>
      </w:pPr>
      <w:bookmarkStart w:id="291" w:name="_Toc467000253"/>
    </w:p>
    <w:p w:rsidR="009A2C37" w:rsidP="00E43EFE" w14:paraId="15905363" w14:textId="77777777">
      <w:pPr>
        <w:pStyle w:val="Heading3"/>
      </w:pPr>
      <w:bookmarkStart w:id="292" w:name="Payment_Integrity"/>
      <w:bookmarkStart w:id="293" w:name="_bookmark47"/>
      <w:bookmarkStart w:id="294" w:name="_Toc85811542"/>
      <w:bookmarkStart w:id="295" w:name="_Toc88780544"/>
      <w:bookmarkStart w:id="296" w:name="_Toc88780722"/>
      <w:bookmarkEnd w:id="291"/>
      <w:bookmarkEnd w:id="292"/>
      <w:bookmarkEnd w:id="293"/>
      <w:r w:rsidRPr="00561772">
        <w:t>Payment Integrity</w:t>
      </w:r>
      <w:bookmarkEnd w:id="294"/>
      <w:bookmarkEnd w:id="295"/>
      <w:bookmarkEnd w:id="296"/>
      <w:r>
        <w:t xml:space="preserve"> </w:t>
      </w:r>
    </w:p>
    <w:p w:rsidR="009A2C37" w:rsidRPr="00561772" w:rsidP="006C7912" w14:paraId="71E77DE9" w14:textId="77777777">
      <w:pPr>
        <w:widowControl w:val="0"/>
        <w:autoSpaceDE w:val="0"/>
        <w:autoSpaceDN w:val="0"/>
        <w:spacing w:after="240"/>
        <w:ind w:right="115"/>
        <w:jc w:val="both"/>
        <w:rPr>
          <w:sz w:val="22"/>
          <w:szCs w:val="22"/>
        </w:rPr>
      </w:pPr>
      <w:r w:rsidRPr="00561772">
        <w:rPr>
          <w:sz w:val="22"/>
          <w:szCs w:val="22"/>
        </w:rPr>
        <w:t>The</w:t>
      </w:r>
      <w:r w:rsidRPr="00561772">
        <w:rPr>
          <w:spacing w:val="-9"/>
          <w:sz w:val="22"/>
          <w:szCs w:val="22"/>
        </w:rPr>
        <w:t xml:space="preserve"> </w:t>
      </w:r>
      <w:r w:rsidRPr="00561772">
        <w:rPr>
          <w:sz w:val="22"/>
          <w:szCs w:val="22"/>
        </w:rPr>
        <w:t>Federal</w:t>
      </w:r>
      <w:r w:rsidRPr="00561772">
        <w:rPr>
          <w:spacing w:val="-6"/>
          <w:sz w:val="22"/>
          <w:szCs w:val="22"/>
        </w:rPr>
        <w:t xml:space="preserve"> </w:t>
      </w:r>
      <w:r w:rsidRPr="00561772">
        <w:rPr>
          <w:sz w:val="22"/>
          <w:szCs w:val="22"/>
        </w:rPr>
        <w:t>Communications</w:t>
      </w:r>
      <w:r w:rsidRPr="00561772">
        <w:rPr>
          <w:spacing w:val="-7"/>
          <w:sz w:val="22"/>
          <w:szCs w:val="22"/>
        </w:rPr>
        <w:t xml:space="preserve"> </w:t>
      </w:r>
      <w:r w:rsidRPr="00561772">
        <w:rPr>
          <w:sz w:val="22"/>
          <w:szCs w:val="22"/>
        </w:rPr>
        <w:t>Commission</w:t>
      </w:r>
      <w:r w:rsidRPr="00561772">
        <w:rPr>
          <w:spacing w:val="-9"/>
          <w:sz w:val="22"/>
          <w:szCs w:val="22"/>
        </w:rPr>
        <w:t xml:space="preserve"> </w:t>
      </w:r>
      <w:r w:rsidRPr="00561772">
        <w:rPr>
          <w:sz w:val="22"/>
          <w:szCs w:val="22"/>
        </w:rPr>
        <w:t>(FCC</w:t>
      </w:r>
      <w:r w:rsidRPr="00561772">
        <w:rPr>
          <w:spacing w:val="-8"/>
          <w:sz w:val="22"/>
          <w:szCs w:val="22"/>
        </w:rPr>
        <w:t xml:space="preserve"> </w:t>
      </w:r>
      <w:r w:rsidRPr="00561772">
        <w:rPr>
          <w:sz w:val="22"/>
          <w:szCs w:val="22"/>
        </w:rPr>
        <w:t>or</w:t>
      </w:r>
      <w:r w:rsidRPr="00561772">
        <w:rPr>
          <w:spacing w:val="-6"/>
          <w:sz w:val="22"/>
          <w:szCs w:val="22"/>
        </w:rPr>
        <w:t xml:space="preserve"> </w:t>
      </w:r>
      <w:r w:rsidRPr="00561772">
        <w:rPr>
          <w:sz w:val="22"/>
          <w:szCs w:val="22"/>
        </w:rPr>
        <w:t>Commission)</w:t>
      </w:r>
      <w:r w:rsidRPr="00561772">
        <w:rPr>
          <w:spacing w:val="-9"/>
          <w:sz w:val="22"/>
          <w:szCs w:val="22"/>
        </w:rPr>
        <w:t xml:space="preserve"> </w:t>
      </w:r>
      <w:r w:rsidRPr="00561772">
        <w:rPr>
          <w:sz w:val="22"/>
          <w:szCs w:val="22"/>
        </w:rPr>
        <w:t>incorporated</w:t>
      </w:r>
      <w:r w:rsidRPr="00561772">
        <w:rPr>
          <w:spacing w:val="-9"/>
          <w:sz w:val="22"/>
          <w:szCs w:val="22"/>
        </w:rPr>
        <w:t xml:space="preserve"> </w:t>
      </w:r>
      <w:r w:rsidRPr="00561772">
        <w:rPr>
          <w:sz w:val="22"/>
          <w:szCs w:val="22"/>
        </w:rPr>
        <w:t>improper</w:t>
      </w:r>
      <w:r w:rsidRPr="00561772">
        <w:rPr>
          <w:spacing w:val="-6"/>
          <w:sz w:val="22"/>
          <w:szCs w:val="22"/>
        </w:rPr>
        <w:t xml:space="preserve"> </w:t>
      </w:r>
      <w:r w:rsidRPr="00561772">
        <w:rPr>
          <w:sz w:val="22"/>
          <w:szCs w:val="22"/>
        </w:rPr>
        <w:t>payment</w:t>
      </w:r>
      <w:r w:rsidRPr="00561772">
        <w:rPr>
          <w:spacing w:val="-6"/>
          <w:sz w:val="22"/>
          <w:szCs w:val="22"/>
        </w:rPr>
        <w:t xml:space="preserve"> </w:t>
      </w:r>
      <w:r w:rsidRPr="00561772">
        <w:rPr>
          <w:sz w:val="22"/>
          <w:szCs w:val="22"/>
        </w:rPr>
        <w:t>analysis and testing into its processes in Fiscal Year (FY) 2021 in compliance with Federal statutes</w:t>
      </w:r>
      <w:r>
        <w:rPr>
          <w:sz w:val="22"/>
          <w:szCs w:val="22"/>
          <w:vertAlign w:val="superscript"/>
        </w:rPr>
        <w:footnoteReference w:id="21"/>
      </w:r>
      <w:r w:rsidRPr="00561772">
        <w:rPr>
          <w:position w:val="8"/>
          <w:sz w:val="22"/>
          <w:szCs w:val="22"/>
        </w:rPr>
        <w:t xml:space="preserve"> </w:t>
      </w:r>
      <w:r w:rsidRPr="00561772">
        <w:rPr>
          <w:sz w:val="22"/>
          <w:szCs w:val="22"/>
        </w:rPr>
        <w:t xml:space="preserve">and guidance detailed in the Office of Management and Budget (OMB) Circular A-123, Appendix C, </w:t>
      </w:r>
      <w:r w:rsidRPr="00561772">
        <w:rPr>
          <w:i/>
          <w:sz w:val="22"/>
          <w:szCs w:val="22"/>
        </w:rPr>
        <w:t xml:space="preserve">Requirements for Payment Integrity Improvement </w:t>
      </w:r>
      <w:r w:rsidRPr="00561772">
        <w:rPr>
          <w:sz w:val="22"/>
          <w:szCs w:val="22"/>
        </w:rPr>
        <w:t>(Appendix C). Appendix C defines “significant improper payments” as gross annual improper payments (</w:t>
      </w:r>
      <w:r w:rsidRPr="00561772">
        <w:rPr>
          <w:i/>
          <w:sz w:val="22"/>
          <w:szCs w:val="22"/>
        </w:rPr>
        <w:t>i.e.,</w:t>
      </w:r>
      <w:r w:rsidRPr="00561772">
        <w:rPr>
          <w:sz w:val="22"/>
          <w:szCs w:val="22"/>
        </w:rPr>
        <w:t xml:space="preserve"> the total amount of overpayments and underpayments) in the program exceeding (1) both 1.5% of program outlays and $10 million of all program or activity payments made during the fiscal year reported or (2) $100 million (regardless of the improper payment percentage of total program</w:t>
      </w:r>
      <w:r w:rsidRPr="00561772">
        <w:rPr>
          <w:spacing w:val="-21"/>
          <w:sz w:val="22"/>
          <w:szCs w:val="22"/>
        </w:rPr>
        <w:t xml:space="preserve"> </w:t>
      </w:r>
      <w:r w:rsidRPr="00561772">
        <w:rPr>
          <w:sz w:val="22"/>
          <w:szCs w:val="22"/>
        </w:rPr>
        <w:t>outlays).</w:t>
      </w:r>
    </w:p>
    <w:p w:rsidR="009A2C37" w:rsidP="006C7912" w14:paraId="310B0133" w14:textId="4558A801">
      <w:pPr>
        <w:pStyle w:val="BodyText"/>
        <w:spacing w:after="240"/>
        <w:jc w:val="both"/>
        <w:rPr>
          <w:smallCaps w:val="0"/>
          <w:sz w:val="22"/>
          <w:szCs w:val="22"/>
        </w:rPr>
      </w:pPr>
      <w:r w:rsidRPr="00561772">
        <w:rPr>
          <w:smallCaps w:val="0"/>
          <w:sz w:val="22"/>
          <w:szCs w:val="22"/>
        </w:rPr>
        <w:t>The following link contains additional information on improper payments reported across the Federal government,</w:t>
      </w:r>
      <w:r w:rsidRPr="00561772">
        <w:rPr>
          <w:smallCaps w:val="0"/>
          <w:spacing w:val="-13"/>
          <w:sz w:val="22"/>
          <w:szCs w:val="22"/>
        </w:rPr>
        <w:t xml:space="preserve"> </w:t>
      </w:r>
      <w:r w:rsidRPr="00561772">
        <w:rPr>
          <w:smallCaps w:val="0"/>
          <w:sz w:val="22"/>
          <w:szCs w:val="22"/>
        </w:rPr>
        <w:t>including</w:t>
      </w:r>
      <w:r w:rsidRPr="00561772">
        <w:rPr>
          <w:smallCaps w:val="0"/>
          <w:spacing w:val="-15"/>
          <w:sz w:val="22"/>
          <w:szCs w:val="22"/>
        </w:rPr>
        <w:t xml:space="preserve"> </w:t>
      </w:r>
      <w:r w:rsidRPr="00561772">
        <w:rPr>
          <w:smallCaps w:val="0"/>
          <w:sz w:val="22"/>
          <w:szCs w:val="22"/>
        </w:rPr>
        <w:t>information</w:t>
      </w:r>
      <w:r w:rsidRPr="00561772">
        <w:rPr>
          <w:smallCaps w:val="0"/>
          <w:spacing w:val="-13"/>
          <w:sz w:val="22"/>
          <w:szCs w:val="22"/>
        </w:rPr>
        <w:t xml:space="preserve"> </w:t>
      </w:r>
      <w:r w:rsidRPr="00561772">
        <w:rPr>
          <w:smallCaps w:val="0"/>
          <w:sz w:val="22"/>
          <w:szCs w:val="22"/>
        </w:rPr>
        <w:t>reported</w:t>
      </w:r>
      <w:r w:rsidRPr="00561772">
        <w:rPr>
          <w:smallCaps w:val="0"/>
          <w:spacing w:val="-15"/>
          <w:sz w:val="22"/>
          <w:szCs w:val="22"/>
        </w:rPr>
        <w:t xml:space="preserve"> </w:t>
      </w:r>
      <w:r w:rsidRPr="00561772">
        <w:rPr>
          <w:smallCaps w:val="0"/>
          <w:sz w:val="22"/>
          <w:szCs w:val="22"/>
        </w:rPr>
        <w:t>by</w:t>
      </w:r>
      <w:r w:rsidRPr="00561772">
        <w:rPr>
          <w:smallCaps w:val="0"/>
          <w:spacing w:val="-15"/>
          <w:sz w:val="22"/>
          <w:szCs w:val="22"/>
        </w:rPr>
        <w:t xml:space="preserve"> </w:t>
      </w:r>
      <w:r w:rsidRPr="00561772">
        <w:rPr>
          <w:smallCaps w:val="0"/>
          <w:sz w:val="22"/>
          <w:szCs w:val="22"/>
        </w:rPr>
        <w:t>the</w:t>
      </w:r>
      <w:r w:rsidRPr="00561772">
        <w:rPr>
          <w:smallCaps w:val="0"/>
          <w:spacing w:val="-12"/>
          <w:sz w:val="22"/>
          <w:szCs w:val="22"/>
        </w:rPr>
        <w:t xml:space="preserve"> </w:t>
      </w:r>
      <w:r w:rsidRPr="00561772">
        <w:rPr>
          <w:smallCaps w:val="0"/>
          <w:sz w:val="22"/>
          <w:szCs w:val="22"/>
        </w:rPr>
        <w:t>FCC</w:t>
      </w:r>
      <w:r w:rsidRPr="00561772">
        <w:rPr>
          <w:smallCaps w:val="0"/>
          <w:spacing w:val="-16"/>
          <w:sz w:val="22"/>
          <w:szCs w:val="22"/>
        </w:rPr>
        <w:t xml:space="preserve"> </w:t>
      </w:r>
      <w:r w:rsidRPr="00561772">
        <w:rPr>
          <w:smallCaps w:val="0"/>
          <w:sz w:val="22"/>
          <w:szCs w:val="22"/>
        </w:rPr>
        <w:t>in</w:t>
      </w:r>
      <w:r w:rsidRPr="00561772">
        <w:rPr>
          <w:smallCaps w:val="0"/>
          <w:spacing w:val="-13"/>
          <w:sz w:val="22"/>
          <w:szCs w:val="22"/>
        </w:rPr>
        <w:t xml:space="preserve"> </w:t>
      </w:r>
      <w:r w:rsidRPr="00561772">
        <w:rPr>
          <w:smallCaps w:val="0"/>
          <w:sz w:val="22"/>
          <w:szCs w:val="22"/>
        </w:rPr>
        <w:t>prior</w:t>
      </w:r>
      <w:r w:rsidRPr="00561772">
        <w:rPr>
          <w:smallCaps w:val="0"/>
          <w:spacing w:val="-14"/>
          <w:sz w:val="22"/>
          <w:szCs w:val="22"/>
        </w:rPr>
        <w:t xml:space="preserve"> </w:t>
      </w:r>
      <w:r w:rsidRPr="00561772">
        <w:rPr>
          <w:smallCaps w:val="0"/>
          <w:sz w:val="22"/>
          <w:szCs w:val="22"/>
        </w:rPr>
        <w:t>fiscal</w:t>
      </w:r>
      <w:r w:rsidRPr="00561772">
        <w:rPr>
          <w:smallCaps w:val="0"/>
          <w:spacing w:val="-12"/>
          <w:sz w:val="22"/>
          <w:szCs w:val="22"/>
        </w:rPr>
        <w:t xml:space="preserve"> </w:t>
      </w:r>
      <w:r w:rsidRPr="00561772">
        <w:rPr>
          <w:smallCaps w:val="0"/>
          <w:sz w:val="22"/>
          <w:szCs w:val="22"/>
        </w:rPr>
        <w:t>years:</w:t>
      </w:r>
      <w:r w:rsidR="00C933B2">
        <w:rPr>
          <w:smallCaps w:val="0"/>
          <w:spacing w:val="-12"/>
          <w:sz w:val="22"/>
          <w:szCs w:val="22"/>
        </w:rPr>
        <w:t xml:space="preserve"> </w:t>
      </w:r>
      <w:hyperlink r:id="rId87" w:history="1">
        <w:r w:rsidRPr="00D6001D" w:rsidR="00ED7F2A">
          <w:rPr>
            <w:rStyle w:val="Hyperlink"/>
            <w:smallCaps w:val="0"/>
            <w:sz w:val="22"/>
            <w:szCs w:val="22"/>
          </w:rPr>
          <w:t>https://paymentaccuracy.gov/.</w:t>
        </w:r>
      </w:hyperlink>
    </w:p>
    <w:p w:rsidR="009A2C37" w:rsidP="00990674" w14:paraId="5DA70B0D" w14:textId="1BA8221C">
      <w:pPr>
        <w:pStyle w:val="BodyText"/>
        <w:spacing w:after="260"/>
        <w:jc w:val="both"/>
        <w:rPr>
          <w:smallCaps w:val="0"/>
          <w:sz w:val="22"/>
          <w:szCs w:val="22"/>
        </w:rPr>
      </w:pPr>
      <w:r w:rsidRPr="00561772">
        <w:rPr>
          <w:smallCaps w:val="0"/>
          <w:sz w:val="22"/>
          <w:szCs w:val="22"/>
        </w:rPr>
        <w:t>The Commission has ten components with funding disbursements that are under the direction of the Commission and its Administrators.</w:t>
      </w:r>
      <w:r w:rsidR="00C933B2">
        <w:rPr>
          <w:smallCaps w:val="0"/>
          <w:sz w:val="22"/>
          <w:szCs w:val="22"/>
        </w:rPr>
        <w:t xml:space="preserve"> </w:t>
      </w:r>
      <w:r w:rsidRPr="00561772">
        <w:rPr>
          <w:smallCaps w:val="0"/>
          <w:sz w:val="22"/>
          <w:szCs w:val="22"/>
        </w:rPr>
        <w:t>The Commission categorizes the components as listed below.</w:t>
      </w:r>
    </w:p>
    <w:p w:rsidR="009A2C37" w:rsidRPr="00561772" w:rsidP="009A2C37" w14:paraId="334A76E4" w14:textId="77777777">
      <w:pPr>
        <w:pStyle w:val="ListParagraph"/>
        <w:widowControl w:val="0"/>
        <w:numPr>
          <w:ilvl w:val="1"/>
          <w:numId w:val="10"/>
        </w:numPr>
        <w:tabs>
          <w:tab w:val="left" w:pos="1080"/>
        </w:tabs>
        <w:autoSpaceDE w:val="0"/>
        <w:autoSpaceDN w:val="0"/>
        <w:ind w:left="1080" w:hanging="360"/>
        <w:rPr>
          <w:sz w:val="22"/>
          <w:szCs w:val="22"/>
        </w:rPr>
      </w:pPr>
      <w:r w:rsidRPr="00561772">
        <w:rPr>
          <w:sz w:val="22"/>
          <w:szCs w:val="22"/>
        </w:rPr>
        <w:t xml:space="preserve">Universal Service Fund </w:t>
      </w:r>
      <w:r w:rsidRPr="00561772">
        <w:rPr>
          <w:spacing w:val="-3"/>
          <w:sz w:val="22"/>
          <w:szCs w:val="22"/>
        </w:rPr>
        <w:t xml:space="preserve">High </w:t>
      </w:r>
      <w:r w:rsidRPr="00561772">
        <w:rPr>
          <w:sz w:val="22"/>
          <w:szCs w:val="22"/>
        </w:rPr>
        <w:t>Cost Program</w:t>
      </w:r>
      <w:r w:rsidRPr="00561772">
        <w:rPr>
          <w:spacing w:val="-2"/>
          <w:sz w:val="22"/>
          <w:szCs w:val="22"/>
        </w:rPr>
        <w:t xml:space="preserve"> </w:t>
      </w:r>
      <w:r w:rsidRPr="00561772">
        <w:rPr>
          <w:sz w:val="22"/>
          <w:szCs w:val="22"/>
        </w:rPr>
        <w:t>(USF-HC)</w:t>
      </w:r>
    </w:p>
    <w:p w:rsidR="009A2C37" w:rsidRPr="00561772" w:rsidP="009A2C37" w14:paraId="4ABFC718" w14:textId="77777777">
      <w:pPr>
        <w:pStyle w:val="ListParagraph"/>
        <w:widowControl w:val="0"/>
        <w:numPr>
          <w:ilvl w:val="1"/>
          <w:numId w:val="10"/>
        </w:numPr>
        <w:tabs>
          <w:tab w:val="left" w:pos="1080"/>
        </w:tabs>
        <w:autoSpaceDE w:val="0"/>
        <w:autoSpaceDN w:val="0"/>
        <w:ind w:left="1080" w:hanging="360"/>
        <w:rPr>
          <w:sz w:val="22"/>
          <w:szCs w:val="22"/>
        </w:rPr>
      </w:pPr>
      <w:r w:rsidRPr="00561772">
        <w:rPr>
          <w:sz w:val="22"/>
          <w:szCs w:val="22"/>
        </w:rPr>
        <w:t>Universal Service Fund Schools and Libraries Program (USF-S&amp;L) or</w:t>
      </w:r>
      <w:r w:rsidRPr="00561772">
        <w:rPr>
          <w:spacing w:val="-19"/>
          <w:sz w:val="22"/>
          <w:szCs w:val="22"/>
        </w:rPr>
        <w:t xml:space="preserve"> </w:t>
      </w:r>
      <w:r w:rsidRPr="00561772">
        <w:rPr>
          <w:sz w:val="22"/>
          <w:szCs w:val="22"/>
        </w:rPr>
        <w:t>(E-Rate)</w:t>
      </w:r>
    </w:p>
    <w:p w:rsidR="009A2C37" w:rsidRPr="00561772" w:rsidP="009A2C37" w14:paraId="3A45BB63" w14:textId="77777777">
      <w:pPr>
        <w:pStyle w:val="ListParagraph"/>
        <w:widowControl w:val="0"/>
        <w:numPr>
          <w:ilvl w:val="1"/>
          <w:numId w:val="10"/>
        </w:numPr>
        <w:tabs>
          <w:tab w:val="left" w:pos="1080"/>
        </w:tabs>
        <w:autoSpaceDE w:val="0"/>
        <w:autoSpaceDN w:val="0"/>
        <w:ind w:left="1080" w:hanging="360"/>
        <w:rPr>
          <w:sz w:val="22"/>
          <w:szCs w:val="22"/>
        </w:rPr>
      </w:pPr>
      <w:r w:rsidRPr="00561772">
        <w:rPr>
          <w:sz w:val="22"/>
          <w:szCs w:val="22"/>
        </w:rPr>
        <w:t>Universal Service Fund Lifeline Program (USF-Lifeline) or</w:t>
      </w:r>
      <w:r w:rsidRPr="00561772">
        <w:rPr>
          <w:spacing w:val="-25"/>
          <w:sz w:val="22"/>
          <w:szCs w:val="22"/>
        </w:rPr>
        <w:t xml:space="preserve"> </w:t>
      </w:r>
      <w:r w:rsidRPr="00561772">
        <w:rPr>
          <w:sz w:val="22"/>
          <w:szCs w:val="22"/>
        </w:rPr>
        <w:t>(USF-LL)</w:t>
      </w:r>
    </w:p>
    <w:p w:rsidR="009A2C37" w:rsidRPr="00561772" w:rsidP="009A2C37" w14:paraId="20328C60" w14:textId="77777777">
      <w:pPr>
        <w:pStyle w:val="ListParagraph"/>
        <w:widowControl w:val="0"/>
        <w:numPr>
          <w:ilvl w:val="1"/>
          <w:numId w:val="10"/>
        </w:numPr>
        <w:tabs>
          <w:tab w:val="left" w:pos="1080"/>
        </w:tabs>
        <w:autoSpaceDE w:val="0"/>
        <w:autoSpaceDN w:val="0"/>
        <w:ind w:left="1080" w:hanging="360"/>
        <w:rPr>
          <w:sz w:val="22"/>
          <w:szCs w:val="22"/>
        </w:rPr>
      </w:pPr>
      <w:r w:rsidRPr="00561772">
        <w:rPr>
          <w:sz w:val="22"/>
          <w:szCs w:val="22"/>
        </w:rPr>
        <w:t>Universal Service Fund Rural Health Care Program</w:t>
      </w:r>
      <w:r w:rsidRPr="00561772">
        <w:rPr>
          <w:spacing w:val="-22"/>
          <w:sz w:val="22"/>
          <w:szCs w:val="22"/>
        </w:rPr>
        <w:t xml:space="preserve"> </w:t>
      </w:r>
      <w:r w:rsidRPr="00561772">
        <w:rPr>
          <w:sz w:val="22"/>
          <w:szCs w:val="22"/>
        </w:rPr>
        <w:t>(USF-RHC)</w:t>
      </w:r>
    </w:p>
    <w:p w:rsidR="009A2C37" w:rsidRPr="00561772" w:rsidP="009A2C37" w14:paraId="4E3FF652" w14:textId="77777777">
      <w:pPr>
        <w:pStyle w:val="ListParagraph"/>
        <w:widowControl w:val="0"/>
        <w:numPr>
          <w:ilvl w:val="1"/>
          <w:numId w:val="10"/>
        </w:numPr>
        <w:tabs>
          <w:tab w:val="left" w:pos="1080"/>
        </w:tabs>
        <w:autoSpaceDE w:val="0"/>
        <w:autoSpaceDN w:val="0"/>
        <w:ind w:left="1080" w:hanging="360"/>
        <w:rPr>
          <w:sz w:val="22"/>
          <w:szCs w:val="22"/>
        </w:rPr>
      </w:pPr>
      <w:r w:rsidRPr="00561772">
        <w:rPr>
          <w:sz w:val="22"/>
          <w:szCs w:val="22"/>
        </w:rPr>
        <w:t>Universal Service Fund Administrative Costs (USF-Admin)</w:t>
      </w:r>
    </w:p>
    <w:p w:rsidR="009A2C37" w:rsidRPr="00561772" w:rsidP="009A2C37" w14:paraId="06D99184" w14:textId="77777777">
      <w:pPr>
        <w:pStyle w:val="ListParagraph"/>
        <w:widowControl w:val="0"/>
        <w:numPr>
          <w:ilvl w:val="1"/>
          <w:numId w:val="10"/>
        </w:numPr>
        <w:tabs>
          <w:tab w:val="left" w:pos="1080"/>
        </w:tabs>
        <w:autoSpaceDE w:val="0"/>
        <w:autoSpaceDN w:val="0"/>
        <w:ind w:left="1080" w:hanging="360"/>
        <w:rPr>
          <w:sz w:val="22"/>
          <w:szCs w:val="22"/>
        </w:rPr>
      </w:pPr>
      <w:r w:rsidRPr="00561772">
        <w:rPr>
          <w:sz w:val="22"/>
          <w:szCs w:val="22"/>
        </w:rPr>
        <w:t>Interstate Telecommunications Relay Services Fund</w:t>
      </w:r>
      <w:r w:rsidRPr="00561772">
        <w:rPr>
          <w:spacing w:val="-20"/>
          <w:sz w:val="22"/>
          <w:szCs w:val="22"/>
        </w:rPr>
        <w:t xml:space="preserve"> </w:t>
      </w:r>
      <w:r w:rsidRPr="00561772">
        <w:rPr>
          <w:sz w:val="22"/>
          <w:szCs w:val="22"/>
        </w:rPr>
        <w:t>(TRS)</w:t>
      </w:r>
    </w:p>
    <w:p w:rsidR="009A2C37" w:rsidRPr="00561772" w:rsidP="009A2C37" w14:paraId="63B033BE" w14:textId="77777777">
      <w:pPr>
        <w:pStyle w:val="ListParagraph"/>
        <w:widowControl w:val="0"/>
        <w:numPr>
          <w:ilvl w:val="1"/>
          <w:numId w:val="10"/>
        </w:numPr>
        <w:tabs>
          <w:tab w:val="left" w:pos="1080"/>
        </w:tabs>
        <w:autoSpaceDE w:val="0"/>
        <w:autoSpaceDN w:val="0"/>
        <w:ind w:left="1080" w:hanging="360"/>
        <w:rPr>
          <w:sz w:val="22"/>
          <w:szCs w:val="22"/>
        </w:rPr>
      </w:pPr>
      <w:r w:rsidRPr="00561772">
        <w:rPr>
          <w:sz w:val="22"/>
          <w:szCs w:val="22"/>
        </w:rPr>
        <w:t>North American Numbering Plan</w:t>
      </w:r>
      <w:r w:rsidRPr="00561772">
        <w:rPr>
          <w:spacing w:val="-14"/>
          <w:sz w:val="22"/>
          <w:szCs w:val="22"/>
        </w:rPr>
        <w:t xml:space="preserve"> </w:t>
      </w:r>
      <w:r w:rsidRPr="00561772">
        <w:rPr>
          <w:sz w:val="22"/>
          <w:szCs w:val="22"/>
        </w:rPr>
        <w:t>(NANP)</w:t>
      </w:r>
    </w:p>
    <w:p w:rsidR="009A2C37" w:rsidRPr="00561772" w:rsidP="009A2C37" w14:paraId="79BDE21A" w14:textId="77777777">
      <w:pPr>
        <w:pStyle w:val="ListParagraph"/>
        <w:widowControl w:val="0"/>
        <w:numPr>
          <w:ilvl w:val="1"/>
          <w:numId w:val="10"/>
        </w:numPr>
        <w:tabs>
          <w:tab w:val="left" w:pos="1080"/>
        </w:tabs>
        <w:autoSpaceDE w:val="0"/>
        <w:autoSpaceDN w:val="0"/>
        <w:ind w:left="1080" w:hanging="360"/>
        <w:rPr>
          <w:sz w:val="22"/>
          <w:szCs w:val="22"/>
        </w:rPr>
      </w:pPr>
      <w:r w:rsidRPr="00561772">
        <w:rPr>
          <w:sz w:val="22"/>
          <w:szCs w:val="22"/>
        </w:rPr>
        <w:t>FCC Operating Expenses</w:t>
      </w:r>
      <w:r w:rsidRPr="00561772">
        <w:rPr>
          <w:spacing w:val="-9"/>
          <w:sz w:val="22"/>
          <w:szCs w:val="22"/>
        </w:rPr>
        <w:t xml:space="preserve"> </w:t>
      </w:r>
      <w:r w:rsidRPr="00561772">
        <w:rPr>
          <w:sz w:val="22"/>
          <w:szCs w:val="22"/>
        </w:rPr>
        <w:t>(FCC)</w:t>
      </w:r>
    </w:p>
    <w:p w:rsidR="009A2C37" w:rsidRPr="00561772" w:rsidP="009A2C37" w14:paraId="0497F6BC" w14:textId="77777777">
      <w:pPr>
        <w:pStyle w:val="ListParagraph"/>
        <w:widowControl w:val="0"/>
        <w:numPr>
          <w:ilvl w:val="1"/>
          <w:numId w:val="10"/>
        </w:numPr>
        <w:tabs>
          <w:tab w:val="left" w:pos="1080"/>
        </w:tabs>
        <w:autoSpaceDE w:val="0"/>
        <w:autoSpaceDN w:val="0"/>
        <w:ind w:left="1080" w:hanging="360"/>
        <w:rPr>
          <w:sz w:val="22"/>
          <w:szCs w:val="22"/>
        </w:rPr>
      </w:pPr>
      <w:r w:rsidRPr="00561772">
        <w:rPr>
          <w:sz w:val="22"/>
          <w:szCs w:val="22"/>
        </w:rPr>
        <w:t>TV Broadcaster Relocation Fund (TVBRF)</w:t>
      </w:r>
    </w:p>
    <w:p w:rsidR="009A2C37" w:rsidRPr="00561772" w:rsidP="00E6709B" w14:paraId="54E1445E" w14:textId="77777777">
      <w:pPr>
        <w:pStyle w:val="ListParagraph"/>
        <w:widowControl w:val="0"/>
        <w:numPr>
          <w:ilvl w:val="1"/>
          <w:numId w:val="10"/>
        </w:numPr>
        <w:tabs>
          <w:tab w:val="left" w:pos="1080"/>
        </w:tabs>
        <w:autoSpaceDE w:val="0"/>
        <w:autoSpaceDN w:val="0"/>
        <w:spacing w:after="520"/>
        <w:ind w:left="1080" w:hanging="360"/>
        <w:rPr>
          <w:sz w:val="22"/>
          <w:szCs w:val="22"/>
        </w:rPr>
      </w:pPr>
      <w:r w:rsidRPr="00561772">
        <w:rPr>
          <w:rFonts w:eastAsiaTheme="minorHAnsi"/>
          <w:color w:val="000000"/>
          <w:sz w:val="22"/>
          <w:szCs w:val="22"/>
        </w:rPr>
        <w:t xml:space="preserve">Coronavirus Disease 2019 (COVID-19) </w:t>
      </w:r>
      <w:r w:rsidRPr="00561772">
        <w:rPr>
          <w:sz w:val="22"/>
          <w:szCs w:val="22"/>
        </w:rPr>
        <w:t>Telehealth Program (CV19)</w:t>
      </w:r>
    </w:p>
    <w:p w:rsidR="009A2C37" w:rsidRPr="006C781A" w:rsidP="00782751" w14:paraId="4B43B24F" w14:textId="77777777">
      <w:pPr>
        <w:pStyle w:val="Heading4"/>
        <w:numPr>
          <w:ilvl w:val="0"/>
          <w:numId w:val="24"/>
        </w:numPr>
        <w:tabs>
          <w:tab w:val="left" w:pos="720"/>
        </w:tabs>
        <w:spacing w:after="320"/>
        <w:ind w:left="540" w:hanging="540"/>
        <w:rPr>
          <w:sz w:val="22"/>
          <w:szCs w:val="22"/>
        </w:rPr>
      </w:pPr>
      <w:bookmarkStart w:id="297" w:name="_Toc88780723"/>
      <w:r w:rsidRPr="006C781A">
        <w:rPr>
          <w:sz w:val="22"/>
          <w:szCs w:val="22"/>
        </w:rPr>
        <w:t>Actions Taken to Address Auditor Recovery Recommendations</w:t>
      </w:r>
      <w:bookmarkEnd w:id="297"/>
    </w:p>
    <w:p w:rsidR="009A2C37" w:rsidRPr="003D7821" w:rsidP="00782751" w14:paraId="00FA8D15" w14:textId="77777777">
      <w:pPr>
        <w:pStyle w:val="Heading5"/>
        <w:spacing w:after="0"/>
        <w:rPr>
          <w:sz w:val="22"/>
          <w:szCs w:val="22"/>
          <w:u w:val="single"/>
        </w:rPr>
      </w:pPr>
      <w:bookmarkStart w:id="298" w:name="_Toc88780724"/>
      <w:r w:rsidRPr="003D7821">
        <w:rPr>
          <w:sz w:val="22"/>
          <w:szCs w:val="22"/>
          <w:u w:val="single"/>
        </w:rPr>
        <w:t>USF-LL</w:t>
      </w:r>
      <w:bookmarkEnd w:id="298"/>
    </w:p>
    <w:p w:rsidR="009A2C37" w:rsidRPr="00561772" w:rsidP="003F79C6" w14:paraId="2702FE53" w14:textId="2818D857">
      <w:pPr>
        <w:widowControl w:val="0"/>
        <w:autoSpaceDE w:val="0"/>
        <w:autoSpaceDN w:val="0"/>
        <w:spacing w:after="240"/>
        <w:jc w:val="both"/>
        <w:rPr>
          <w:sz w:val="22"/>
          <w:szCs w:val="22"/>
        </w:rPr>
      </w:pPr>
      <w:r w:rsidRPr="00561772">
        <w:rPr>
          <w:sz w:val="22"/>
          <w:szCs w:val="22"/>
        </w:rPr>
        <w:t>The following are brief descriptions of the FCC and Universal Service Administrative Company’s (USAC) key efforts to prevent and reduce improper payments in the USF Lifeline Program:</w:t>
      </w:r>
      <w:r w:rsidR="00C933B2">
        <w:rPr>
          <w:sz w:val="22"/>
          <w:szCs w:val="22"/>
        </w:rPr>
        <w:t xml:space="preserve"> </w:t>
      </w:r>
    </w:p>
    <w:p w:rsidR="009A2C37" w:rsidRPr="00133915" w:rsidP="00DD2AFC" w14:paraId="0C238B71" w14:textId="610B0C10">
      <w:pPr>
        <w:autoSpaceDE w:val="0"/>
        <w:autoSpaceDN w:val="0"/>
        <w:adjustRightInd w:val="0"/>
        <w:spacing w:after="360"/>
        <w:jc w:val="both"/>
        <w:rPr>
          <w:rFonts w:eastAsia="Calibri"/>
          <w:sz w:val="22"/>
          <w:szCs w:val="22"/>
        </w:rPr>
      </w:pPr>
      <w:r w:rsidRPr="00133915">
        <w:rPr>
          <w:rFonts w:eastAsia="Calibri"/>
          <w:sz w:val="22"/>
          <w:szCs w:val="22"/>
        </w:rPr>
        <w:t>N</w:t>
      </w:r>
      <w:r w:rsidRPr="00133915">
        <w:rPr>
          <w:rFonts w:eastAsia="Calibri"/>
          <w:bCs/>
          <w:sz w:val="22"/>
          <w:szCs w:val="22"/>
        </w:rPr>
        <w:t>ational Verifier:</w:t>
      </w:r>
      <w:r w:rsidRPr="00133915" w:rsidR="00C933B2">
        <w:rPr>
          <w:rFonts w:eastAsia="Calibri"/>
          <w:bCs/>
          <w:sz w:val="22"/>
          <w:szCs w:val="22"/>
        </w:rPr>
        <w:t xml:space="preserve"> </w:t>
      </w:r>
      <w:r w:rsidRPr="00133915">
        <w:rPr>
          <w:rFonts w:eastAsia="Calibri"/>
          <w:sz w:val="22"/>
          <w:szCs w:val="22"/>
        </w:rPr>
        <w:t>The FCC and USAC launched the National Verifier in all states and territories by the end of 2019.</w:t>
      </w:r>
      <w:r w:rsidRPr="00133915" w:rsidR="00C933B2">
        <w:rPr>
          <w:rFonts w:eastAsia="Calibri"/>
          <w:sz w:val="22"/>
          <w:szCs w:val="22"/>
        </w:rPr>
        <w:t xml:space="preserve"> </w:t>
      </w:r>
      <w:r w:rsidRPr="00133915">
        <w:rPr>
          <w:rFonts w:eastAsia="Calibri"/>
          <w:sz w:val="22"/>
          <w:szCs w:val="22"/>
        </w:rPr>
        <w:t>The National Verifier increases program integrity by applying a consistent eligibility standard for Lifeline Program participants. California, Texas, and Oregon will continue to manage their own eligibility process for most Lifeline participants living in those states, in which eligibility determinations are processed by a state agency or its administrator, and USAC will monitor these states’ eligibility determination processes to ensure compliance with the Commission’s rules.</w:t>
      </w:r>
      <w:r w:rsidRPr="00133915" w:rsidR="00C933B2">
        <w:rPr>
          <w:rFonts w:eastAsia="Calibri"/>
          <w:sz w:val="22"/>
          <w:szCs w:val="22"/>
        </w:rPr>
        <w:t xml:space="preserve"> </w:t>
      </w:r>
      <w:r w:rsidRPr="00133915">
        <w:rPr>
          <w:rFonts w:eastAsia="Calibri"/>
          <w:sz w:val="22"/>
          <w:szCs w:val="22"/>
        </w:rPr>
        <w:t>The National Verifier will significantly reduce improper payments related to prior program integrity issues, such as ineligible subscribers, deceased subscribers, duplicate subscribers, and oversubscribed addresses.</w:t>
      </w:r>
      <w:r w:rsidRPr="00133915" w:rsidR="00C933B2">
        <w:rPr>
          <w:rFonts w:eastAsia="Calibri"/>
          <w:sz w:val="22"/>
          <w:szCs w:val="22"/>
        </w:rPr>
        <w:t xml:space="preserve"> </w:t>
      </w:r>
      <w:r w:rsidRPr="00133915">
        <w:rPr>
          <w:rFonts w:eastAsia="Calibri"/>
          <w:sz w:val="22"/>
          <w:szCs w:val="22"/>
        </w:rPr>
        <w:t>The National Verifier utilizes a combination of automated and manual processes to verify eligibility and confirm whether a consumer is qualified for the Lifeline program.</w:t>
      </w:r>
      <w:r w:rsidRPr="00133915" w:rsidR="00C933B2">
        <w:rPr>
          <w:rFonts w:eastAsia="Calibri"/>
          <w:sz w:val="22"/>
          <w:szCs w:val="22"/>
        </w:rPr>
        <w:t xml:space="preserve"> </w:t>
      </w:r>
      <w:r w:rsidRPr="00133915">
        <w:rPr>
          <w:rFonts w:eastAsia="Calibri"/>
          <w:sz w:val="22"/>
          <w:szCs w:val="22"/>
        </w:rPr>
        <w:t xml:space="preserve">To confirm participation in a qualifying program, the National Verifier connects to multiple eligibility databases, including connections with the U.S. Department of Housing and Urban Development database to verify federal public housing assistance, and with the Centers for Medicare </w:t>
      </w:r>
      <w:r w:rsidRPr="00133915">
        <w:rPr>
          <w:rFonts w:eastAsia="Calibri"/>
          <w:sz w:val="22"/>
          <w:szCs w:val="22"/>
        </w:rPr>
        <w:t>and Medicaid Services (CMS) database to verify Medicaid participation.</w:t>
      </w:r>
      <w:r w:rsidRPr="00133915" w:rsidR="00C933B2">
        <w:rPr>
          <w:rFonts w:eastAsia="Calibri"/>
          <w:sz w:val="22"/>
          <w:szCs w:val="22"/>
        </w:rPr>
        <w:t xml:space="preserve"> </w:t>
      </w:r>
      <w:r w:rsidRPr="00133915">
        <w:rPr>
          <w:rFonts w:eastAsia="Calibri"/>
          <w:sz w:val="22"/>
          <w:szCs w:val="22"/>
        </w:rPr>
        <w:t>The National Verifier also connects to state Supplemental Nutrition Assistance Program, Medicaid, Supplemental Security Income, and/or income databases in 23 of the launched states and territories.</w:t>
      </w:r>
      <w:r w:rsidRPr="00133915" w:rsidR="00C933B2">
        <w:rPr>
          <w:rFonts w:eastAsia="Calibri"/>
          <w:sz w:val="22"/>
          <w:szCs w:val="22"/>
        </w:rPr>
        <w:t xml:space="preserve"> </w:t>
      </w:r>
      <w:r w:rsidRPr="00133915">
        <w:rPr>
          <w:rFonts w:eastAsia="Calibri"/>
          <w:sz w:val="22"/>
          <w:szCs w:val="22"/>
        </w:rPr>
        <w:t>With its existing connections, the National Verifier is automatically verifying the eligibility of up to 84% of consumers seeking to enroll in the Lifeline program.</w:t>
      </w:r>
      <w:r w:rsidRPr="00133915" w:rsidR="00C933B2">
        <w:rPr>
          <w:rFonts w:eastAsia="Calibri"/>
          <w:sz w:val="22"/>
          <w:szCs w:val="22"/>
        </w:rPr>
        <w:t xml:space="preserve"> </w:t>
      </w:r>
      <w:r w:rsidRPr="00133915">
        <w:rPr>
          <w:rFonts w:eastAsia="Calibri"/>
          <w:sz w:val="22"/>
          <w:szCs w:val="22"/>
        </w:rPr>
        <w:t>To further refine the verification process, USAC continues to work with states and territories to implement additional automated connections to eligibility databases.</w:t>
      </w:r>
      <w:r w:rsidRPr="00133915" w:rsidR="00C933B2">
        <w:rPr>
          <w:rFonts w:eastAsia="Calibri"/>
          <w:sz w:val="22"/>
          <w:szCs w:val="22"/>
        </w:rPr>
        <w:t xml:space="preserve"> </w:t>
      </w:r>
      <w:r w:rsidRPr="00133915">
        <w:rPr>
          <w:rFonts w:eastAsia="Calibri"/>
          <w:sz w:val="22"/>
          <w:szCs w:val="22"/>
        </w:rPr>
        <w:t>USAC has updated its programmatic review and audit procedures to properly address risks in the program, which are changing as a result of the National Verifier.</w:t>
      </w:r>
      <w:r w:rsidRPr="00133915" w:rsidR="00C933B2">
        <w:rPr>
          <w:rFonts w:eastAsia="Calibri"/>
          <w:sz w:val="22"/>
          <w:szCs w:val="22"/>
        </w:rPr>
        <w:t xml:space="preserve"> </w:t>
      </w:r>
      <w:r w:rsidRPr="00133915">
        <w:rPr>
          <w:rFonts w:eastAsia="Calibri"/>
          <w:sz w:val="22"/>
          <w:szCs w:val="22"/>
        </w:rPr>
        <w:t xml:space="preserve">USAC’s Office of General Counsel has also stood up the Fraud Risk Group which will continue to refer potential cases of waste, fraud, and abuse to OIG and conduct internal investigations to better provide OIG with critical information at the outset. </w:t>
      </w:r>
    </w:p>
    <w:p w:rsidR="009A2C37" w:rsidRPr="00561772" w:rsidP="00DD2AFC" w14:paraId="585AC87A" w14:textId="790414E5">
      <w:pPr>
        <w:autoSpaceDE w:val="0"/>
        <w:autoSpaceDN w:val="0"/>
        <w:adjustRightInd w:val="0"/>
        <w:spacing w:after="360"/>
        <w:jc w:val="both"/>
        <w:rPr>
          <w:rFonts w:eastAsia="Calibri"/>
          <w:sz w:val="22"/>
          <w:szCs w:val="22"/>
        </w:rPr>
      </w:pPr>
      <w:r w:rsidRPr="00561772">
        <w:rPr>
          <w:rFonts w:eastAsia="Calibri"/>
          <w:bCs/>
          <w:sz w:val="22"/>
          <w:szCs w:val="22"/>
        </w:rPr>
        <w:t>Sales Agent Compliance:</w:t>
      </w:r>
      <w:r w:rsidR="00C933B2">
        <w:rPr>
          <w:rFonts w:eastAsia="Calibri"/>
          <w:bCs/>
          <w:sz w:val="22"/>
          <w:szCs w:val="22"/>
        </w:rPr>
        <w:t xml:space="preserve"> </w:t>
      </w:r>
      <w:r w:rsidRPr="00561772">
        <w:rPr>
          <w:rFonts w:eastAsia="Calibri"/>
          <w:sz w:val="22"/>
          <w:szCs w:val="22"/>
        </w:rPr>
        <w:t>In October 2019, the Commission adopted a rule prohibiting Lifeline service providers from paying commissions to enrollment representatives based on the number of applications or enrollments processed by those representatives.</w:t>
      </w:r>
      <w:r w:rsidR="00C933B2">
        <w:rPr>
          <w:rFonts w:eastAsia="Calibri"/>
          <w:sz w:val="22"/>
          <w:szCs w:val="22"/>
        </w:rPr>
        <w:t xml:space="preserve"> </w:t>
      </w:r>
      <w:r w:rsidRPr="00561772">
        <w:rPr>
          <w:rFonts w:eastAsia="Calibri"/>
          <w:sz w:val="22"/>
          <w:szCs w:val="22"/>
        </w:rPr>
        <w:t>In addition, the Commission established the Representative Accountability Database to identify and register sales agents who assist consumers in applying for Lifeline. The Representative Accountability Database, which became mandatory for all Lifeline service providers on May 25, 2020, issues unique identifiers to enrollment representatives that allow USAC to monitor those representatives’ activities in USAC’s Lifeline systems, such as the National Lifeline Accountability Database (NLAD) and the National Verifier.</w:t>
      </w:r>
      <w:r w:rsidR="00C933B2">
        <w:rPr>
          <w:rFonts w:eastAsia="Calibri"/>
          <w:sz w:val="22"/>
          <w:szCs w:val="22"/>
        </w:rPr>
        <w:t xml:space="preserve"> </w:t>
      </w:r>
      <w:r w:rsidRPr="00561772">
        <w:rPr>
          <w:rFonts w:eastAsia="Calibri"/>
          <w:sz w:val="22"/>
          <w:szCs w:val="22"/>
        </w:rPr>
        <w:t>As part of this monitoring effort, USAC is able to better detect suspicious activity in its systems and restrict the access of enrollment representatives engaged in potentially fraudulent activity (e.g., enrolling fictitious subscribers).</w:t>
      </w:r>
      <w:r w:rsidR="00C933B2">
        <w:rPr>
          <w:rFonts w:eastAsia="Calibri"/>
          <w:sz w:val="22"/>
          <w:szCs w:val="22"/>
        </w:rPr>
        <w:t xml:space="preserve"> </w:t>
      </w:r>
      <w:r w:rsidRPr="00561772">
        <w:rPr>
          <w:rFonts w:eastAsia="Calibri"/>
          <w:sz w:val="22"/>
          <w:szCs w:val="22"/>
        </w:rPr>
        <w:t xml:space="preserve">These restrictions may include a permanent lock-out of an enrollment representative from USAC’s systems, and referral of individual enrollment representatives to the FCC’s enforcement authorities where appropriate. </w:t>
      </w:r>
    </w:p>
    <w:p w:rsidR="009A2C37" w:rsidRPr="00561772" w:rsidP="00DD2AFC" w14:paraId="338DDF59" w14:textId="1BD9350D">
      <w:pPr>
        <w:autoSpaceDE w:val="0"/>
        <w:autoSpaceDN w:val="0"/>
        <w:adjustRightInd w:val="0"/>
        <w:spacing w:after="360"/>
        <w:jc w:val="both"/>
        <w:rPr>
          <w:rFonts w:eastAsia="Calibri"/>
          <w:sz w:val="22"/>
          <w:szCs w:val="22"/>
        </w:rPr>
      </w:pPr>
      <w:r w:rsidRPr="00561772">
        <w:rPr>
          <w:rFonts w:eastAsia="Calibri"/>
          <w:bCs/>
          <w:sz w:val="22"/>
          <w:szCs w:val="22"/>
        </w:rPr>
        <w:t xml:space="preserve">Prevention of Duplicate Support: </w:t>
      </w:r>
      <w:r w:rsidRPr="00561772">
        <w:rPr>
          <w:rFonts w:eastAsia="Calibri"/>
          <w:sz w:val="22"/>
          <w:szCs w:val="22"/>
        </w:rPr>
        <w:t>With the launch of the National Verifier, USAC has enhanced the NLAD to ensure that no enrollment is permitted in a fully launched state until the NLAD confirms that the National Verifier has found the consumer to be eligible.</w:t>
      </w:r>
      <w:r w:rsidR="00C933B2">
        <w:rPr>
          <w:rFonts w:eastAsia="Calibri"/>
          <w:sz w:val="22"/>
          <w:szCs w:val="22"/>
        </w:rPr>
        <w:t xml:space="preserve"> </w:t>
      </w:r>
      <w:r w:rsidRPr="00561772">
        <w:rPr>
          <w:rFonts w:eastAsia="Calibri"/>
          <w:sz w:val="22"/>
          <w:szCs w:val="22"/>
        </w:rPr>
        <w:t>Further, the National Verifier itself will not deem a consumer eligible until it confirms that the consumer is not already enrolled in the program as recorded in the NLAD.</w:t>
      </w:r>
      <w:r w:rsidR="00C933B2">
        <w:rPr>
          <w:rFonts w:eastAsia="Calibri"/>
          <w:sz w:val="22"/>
          <w:szCs w:val="22"/>
        </w:rPr>
        <w:t xml:space="preserve"> </w:t>
      </w:r>
      <w:r w:rsidRPr="00561772">
        <w:rPr>
          <w:rFonts w:eastAsia="Calibri"/>
          <w:sz w:val="22"/>
          <w:szCs w:val="22"/>
        </w:rPr>
        <w:t>These cross-checks should prevent service providers from attempting to enroll a duplicate subscriber.</w:t>
      </w:r>
      <w:r w:rsidR="00C933B2">
        <w:rPr>
          <w:rFonts w:eastAsia="Calibri"/>
          <w:sz w:val="22"/>
          <w:szCs w:val="22"/>
        </w:rPr>
        <w:t xml:space="preserve"> </w:t>
      </w:r>
      <w:r w:rsidRPr="00561772">
        <w:rPr>
          <w:rFonts w:eastAsia="Calibri"/>
          <w:sz w:val="22"/>
          <w:szCs w:val="22"/>
        </w:rPr>
        <w:t>USAC is coordinating with the state commissions in California, Texas and Oregon to identify and address any instances of duplicate enrollments.</w:t>
      </w:r>
    </w:p>
    <w:p w:rsidR="009A2C37" w:rsidRPr="00561772" w:rsidP="00DD2AFC" w14:paraId="6FFA4DF0" w14:textId="64179A45">
      <w:pPr>
        <w:autoSpaceDE w:val="0"/>
        <w:autoSpaceDN w:val="0"/>
        <w:adjustRightInd w:val="0"/>
        <w:spacing w:after="360"/>
        <w:jc w:val="both"/>
        <w:rPr>
          <w:rFonts w:eastAsia="Calibri"/>
          <w:sz w:val="22"/>
          <w:szCs w:val="22"/>
        </w:rPr>
      </w:pPr>
      <w:r w:rsidRPr="00561772">
        <w:rPr>
          <w:rFonts w:eastAsia="Calibri"/>
          <w:bCs/>
          <w:sz w:val="22"/>
          <w:szCs w:val="22"/>
        </w:rPr>
        <w:t xml:space="preserve">Preventing Support for Deceased Subscribers: </w:t>
      </w:r>
      <w:r w:rsidRPr="00561772">
        <w:rPr>
          <w:rFonts w:eastAsia="Calibri"/>
          <w:sz w:val="22"/>
          <w:szCs w:val="22"/>
        </w:rPr>
        <w:t>USAC automatically prevents the enrollment of a deceased subscriber through its connection to TransUnion, which leverages the Social Security Administration’s Death Master File, among other source data.</w:t>
      </w:r>
      <w:r w:rsidR="00C933B2">
        <w:rPr>
          <w:rFonts w:eastAsia="Calibri"/>
          <w:sz w:val="22"/>
          <w:szCs w:val="22"/>
        </w:rPr>
        <w:t xml:space="preserve"> </w:t>
      </w:r>
      <w:r w:rsidRPr="00561772">
        <w:rPr>
          <w:rFonts w:eastAsia="Calibri"/>
          <w:sz w:val="22"/>
          <w:szCs w:val="22"/>
        </w:rPr>
        <w:t xml:space="preserve">Beginning in June 2021, USAC checks to see whether any subscribers appear to have died after enrollment, and does not pay Lifeline support for any such subscribers who do not respond to requests to confirm eligibility. </w:t>
      </w:r>
    </w:p>
    <w:p w:rsidR="009A2C37" w:rsidRPr="00561772" w:rsidP="00DD2AFC" w14:paraId="68652FDE" w14:textId="75782E00">
      <w:pPr>
        <w:autoSpaceDE w:val="0"/>
        <w:autoSpaceDN w:val="0"/>
        <w:adjustRightInd w:val="0"/>
        <w:spacing w:after="360"/>
        <w:jc w:val="both"/>
        <w:rPr>
          <w:rFonts w:eastAsia="Calibri"/>
          <w:sz w:val="22"/>
          <w:szCs w:val="22"/>
        </w:rPr>
      </w:pPr>
      <w:r w:rsidRPr="00561772">
        <w:rPr>
          <w:rFonts w:eastAsia="Calibri"/>
          <w:bCs/>
          <w:sz w:val="22"/>
          <w:szCs w:val="22"/>
        </w:rPr>
        <w:t xml:space="preserve">Program Integrity Reviews: </w:t>
      </w:r>
      <w:r w:rsidRPr="00561772">
        <w:rPr>
          <w:rFonts w:eastAsia="Calibri"/>
          <w:sz w:val="22"/>
          <w:szCs w:val="22"/>
        </w:rPr>
        <w:t>USAC’s Lifeline Program Integrity team will conduct detailed analysis of Lifeline subscribership data to identify potential instances of non-compliance.</w:t>
      </w:r>
      <w:r w:rsidR="00C933B2">
        <w:rPr>
          <w:rFonts w:eastAsia="Calibri"/>
          <w:sz w:val="22"/>
          <w:szCs w:val="22"/>
        </w:rPr>
        <w:t xml:space="preserve"> </w:t>
      </w:r>
      <w:r w:rsidRPr="00561772">
        <w:rPr>
          <w:rFonts w:eastAsia="Calibri"/>
          <w:sz w:val="22"/>
          <w:szCs w:val="22"/>
        </w:rPr>
        <w:t>Based on the analysis, the Lifeline Program integrity team will perform targeted program integrity reviews of high-risk areas.</w:t>
      </w:r>
      <w:r w:rsidR="00C933B2">
        <w:rPr>
          <w:rFonts w:eastAsia="Calibri"/>
          <w:sz w:val="22"/>
          <w:szCs w:val="22"/>
        </w:rPr>
        <w:t xml:space="preserve"> </w:t>
      </w:r>
      <w:r w:rsidRPr="00561772">
        <w:rPr>
          <w:rFonts w:eastAsia="Calibri"/>
          <w:sz w:val="22"/>
          <w:szCs w:val="22"/>
        </w:rPr>
        <w:t xml:space="preserve">The results of these reviews will be used to address compliance gaps and enhance preventative controls with the goal of reducing improper payments. </w:t>
      </w:r>
    </w:p>
    <w:p w:rsidR="009A2C37" w:rsidRPr="00561772" w:rsidP="00DD2AFC" w14:paraId="0FE0D56E" w14:textId="415C884E">
      <w:pPr>
        <w:widowControl w:val="0"/>
        <w:autoSpaceDE w:val="0"/>
        <w:autoSpaceDN w:val="0"/>
        <w:adjustRightInd w:val="0"/>
        <w:spacing w:after="360"/>
        <w:jc w:val="both"/>
        <w:rPr>
          <w:iCs/>
          <w:sz w:val="22"/>
          <w:szCs w:val="22"/>
        </w:rPr>
      </w:pPr>
      <w:r w:rsidRPr="00561772">
        <w:rPr>
          <w:iCs/>
          <w:sz w:val="22"/>
          <w:szCs w:val="22"/>
        </w:rPr>
        <w:t>Non-Usage Compliance:</w:t>
      </w:r>
      <w:r w:rsidR="00C933B2">
        <w:rPr>
          <w:iCs/>
          <w:sz w:val="22"/>
          <w:szCs w:val="22"/>
        </w:rPr>
        <w:t xml:space="preserve"> </w:t>
      </w:r>
      <w:r w:rsidRPr="00561772">
        <w:rPr>
          <w:iCs/>
          <w:sz w:val="22"/>
          <w:szCs w:val="22"/>
        </w:rPr>
        <w:t>USAC will implement programmatic reviews to determine whether ETCs are in compliance with non-usage rules that prohibit ETCs from claiming subscribers who did not use their Lifeline service for 45 days.</w:t>
      </w:r>
      <w:r w:rsidR="00C933B2">
        <w:rPr>
          <w:iCs/>
          <w:sz w:val="22"/>
          <w:szCs w:val="22"/>
        </w:rPr>
        <w:t xml:space="preserve"> </w:t>
      </w:r>
      <w:r w:rsidRPr="00561772">
        <w:rPr>
          <w:iCs/>
          <w:sz w:val="22"/>
          <w:szCs w:val="22"/>
        </w:rPr>
        <w:t>In addition, USAC will also review the possibility of adding system enhancements that will assist USAC in detecting whether ETCs are potentially violating non-usage rules.</w:t>
      </w:r>
    </w:p>
    <w:p w:rsidR="009A2C37" w:rsidRPr="00561772" w:rsidP="00DD2AFC" w14:paraId="2A2C2258" w14:textId="5831AA97">
      <w:pPr>
        <w:autoSpaceDE w:val="0"/>
        <w:autoSpaceDN w:val="0"/>
        <w:adjustRightInd w:val="0"/>
        <w:spacing w:after="360"/>
        <w:jc w:val="both"/>
        <w:rPr>
          <w:rFonts w:eastAsia="Calibri"/>
          <w:sz w:val="22"/>
          <w:szCs w:val="22"/>
        </w:rPr>
      </w:pPr>
      <w:r w:rsidRPr="00561772">
        <w:rPr>
          <w:rFonts w:eastAsia="Calibri"/>
          <w:bCs/>
          <w:sz w:val="22"/>
          <w:szCs w:val="22"/>
        </w:rPr>
        <w:t>Improper Payment Analysis:</w:t>
      </w:r>
      <w:r w:rsidR="00C933B2">
        <w:rPr>
          <w:rFonts w:eastAsia="Calibri"/>
          <w:bCs/>
          <w:sz w:val="22"/>
          <w:szCs w:val="22"/>
        </w:rPr>
        <w:t xml:space="preserve"> </w:t>
      </w:r>
      <w:r w:rsidRPr="00561772">
        <w:rPr>
          <w:rFonts w:eastAsia="Calibri"/>
          <w:sz w:val="22"/>
          <w:szCs w:val="22"/>
        </w:rPr>
        <w:t>USAC management is performing a deep-dive analysis of its improper payments to more thoroughly understand their root causes and to identify corrective actions that will address the root causes.</w:t>
      </w:r>
      <w:r w:rsidR="00C933B2">
        <w:rPr>
          <w:rFonts w:eastAsia="Calibri"/>
          <w:sz w:val="22"/>
          <w:szCs w:val="22"/>
        </w:rPr>
        <w:t xml:space="preserve"> </w:t>
      </w:r>
      <w:r w:rsidRPr="00561772">
        <w:rPr>
          <w:rFonts w:eastAsia="Calibri"/>
          <w:sz w:val="22"/>
          <w:szCs w:val="22"/>
        </w:rPr>
        <w:t xml:space="preserve">Through this analysis, USAC management is institutionalizing corrective actions as part of its program integrity efforts that will reduce future instances of improper payments. </w:t>
      </w:r>
    </w:p>
    <w:p w:rsidR="009A2C37" w:rsidRPr="00561772" w:rsidP="003F79C6" w14:paraId="5CDAFA5C" w14:textId="01325EB6">
      <w:pPr>
        <w:autoSpaceDE w:val="0"/>
        <w:autoSpaceDN w:val="0"/>
        <w:adjustRightInd w:val="0"/>
        <w:spacing w:after="240"/>
        <w:jc w:val="both"/>
        <w:rPr>
          <w:rFonts w:eastAsia="Calibri"/>
          <w:sz w:val="22"/>
          <w:szCs w:val="22"/>
        </w:rPr>
      </w:pPr>
      <w:r w:rsidRPr="00561772">
        <w:rPr>
          <w:rFonts w:eastAsia="Calibri"/>
          <w:bCs/>
          <w:sz w:val="22"/>
          <w:szCs w:val="22"/>
        </w:rPr>
        <w:t xml:space="preserve">Improper Payment Testing Procedures, including Non-Usage Testing: </w:t>
      </w:r>
      <w:r w:rsidRPr="00561772">
        <w:rPr>
          <w:rFonts w:eastAsia="Calibri"/>
          <w:sz w:val="22"/>
          <w:szCs w:val="22"/>
        </w:rPr>
        <w:t>The FCC and USAC will work together to determine what procedures can be added or enhanced to better ensure that improper payment testing procedures adequately assess the risk associated with the USF Lifeline Program.</w:t>
      </w:r>
      <w:r w:rsidR="00C933B2">
        <w:rPr>
          <w:rFonts w:eastAsia="Calibri"/>
          <w:sz w:val="22"/>
          <w:szCs w:val="22"/>
        </w:rPr>
        <w:t xml:space="preserve"> </w:t>
      </w:r>
      <w:r w:rsidRPr="00561772">
        <w:rPr>
          <w:rFonts w:eastAsia="Calibri"/>
          <w:sz w:val="22"/>
          <w:szCs w:val="22"/>
        </w:rPr>
        <w:t>To assist with this initiative, USAC has engaged external auditors who are testing the compliance of multiple service providers with the Lifeline Program non-usage rules.</w:t>
      </w:r>
      <w:r w:rsidR="00C933B2">
        <w:rPr>
          <w:rFonts w:eastAsia="Calibri"/>
          <w:sz w:val="22"/>
          <w:szCs w:val="22"/>
        </w:rPr>
        <w:t xml:space="preserve"> </w:t>
      </w:r>
      <w:r w:rsidRPr="00561772">
        <w:rPr>
          <w:rFonts w:eastAsia="Calibri"/>
          <w:sz w:val="22"/>
          <w:szCs w:val="22"/>
        </w:rPr>
        <w:t xml:space="preserve">The methodology used in such targeted audit will be used by USAC’s audit department to test other service providers in the future. </w:t>
      </w:r>
    </w:p>
    <w:p w:rsidR="009A2C37" w:rsidRPr="00DD2AFC" w:rsidP="0092554C" w14:paraId="0025E0A3" w14:textId="77777777">
      <w:pPr>
        <w:pStyle w:val="Heading5"/>
        <w:spacing w:after="0"/>
        <w:rPr>
          <w:sz w:val="22"/>
          <w:szCs w:val="22"/>
        </w:rPr>
      </w:pPr>
      <w:bookmarkStart w:id="299" w:name="_Toc88780725"/>
      <w:r w:rsidRPr="0092554C">
        <w:rPr>
          <w:sz w:val="22"/>
          <w:szCs w:val="22"/>
          <w:u w:val="single"/>
        </w:rPr>
        <w:t>USF</w:t>
      </w:r>
      <w:r w:rsidRPr="00DD2AFC">
        <w:rPr>
          <w:bCs/>
          <w:sz w:val="22"/>
          <w:szCs w:val="22"/>
          <w:u w:val="single"/>
        </w:rPr>
        <w:t>-RHC</w:t>
      </w:r>
      <w:bookmarkEnd w:id="299"/>
    </w:p>
    <w:p w:rsidR="009A2C37" w:rsidRPr="00C72128" w:rsidP="003F79C6" w14:paraId="4827808A" w14:textId="2AE6EC81">
      <w:pPr>
        <w:pStyle w:val="xxmsonormal"/>
        <w:autoSpaceDE w:val="0"/>
        <w:autoSpaceDN w:val="0"/>
        <w:spacing w:before="0" w:beforeAutospacing="0" w:after="240" w:afterAutospacing="0"/>
        <w:jc w:val="both"/>
      </w:pPr>
      <w:r w:rsidRPr="00C72128">
        <w:rPr>
          <w:rFonts w:ascii="Times New Roman" w:hAnsi="Times New Roman" w:cs="Times New Roman"/>
        </w:rPr>
        <w:t>The following are brief descriptions of the FCC and USAC’s key efforts to prevent and reduce improper payments in the USF Rural Health Care Program:</w:t>
      </w:r>
      <w:r w:rsidR="00C933B2">
        <w:rPr>
          <w:rFonts w:ascii="Times New Roman" w:hAnsi="Times New Roman" w:cs="Times New Roman"/>
        </w:rPr>
        <w:t xml:space="preserve"> </w:t>
      </w:r>
    </w:p>
    <w:p w:rsidR="009A2C37" w:rsidRPr="00C72128" w:rsidP="003F79C6" w14:paraId="435D7F74" w14:textId="5F325CBA">
      <w:pPr>
        <w:pStyle w:val="xxmsonormal"/>
        <w:autoSpaceDE w:val="0"/>
        <w:autoSpaceDN w:val="0"/>
        <w:spacing w:before="0" w:beforeAutospacing="0" w:after="240" w:afterAutospacing="0"/>
        <w:jc w:val="both"/>
      </w:pPr>
      <w:r w:rsidRPr="00C72128">
        <w:rPr>
          <w:rFonts w:ascii="Times New Roman" w:hAnsi="Times New Roman" w:cs="Times New Roman"/>
        </w:rPr>
        <w:t>Competitive Bidding:</w:t>
      </w:r>
      <w:r w:rsidR="00C933B2">
        <w:rPr>
          <w:rFonts w:ascii="Times New Roman" w:hAnsi="Times New Roman" w:cs="Times New Roman"/>
        </w:rPr>
        <w:t xml:space="preserve"> </w:t>
      </w:r>
      <w:r w:rsidRPr="00C72128">
        <w:rPr>
          <w:rFonts w:ascii="Times New Roman" w:hAnsi="Times New Roman" w:cs="Times New Roman"/>
        </w:rPr>
        <w:t>The Rural Health Care Program has a competitive bidding checklist that is used to help ensure compliance with competitive bidding requirements during application review.</w:t>
      </w:r>
      <w:r w:rsidR="00C933B2">
        <w:rPr>
          <w:rFonts w:ascii="Times New Roman" w:hAnsi="Times New Roman" w:cs="Times New Roman"/>
        </w:rPr>
        <w:t xml:space="preserve"> </w:t>
      </w:r>
      <w:r w:rsidRPr="00C72128">
        <w:rPr>
          <w:rFonts w:ascii="Times New Roman" w:hAnsi="Times New Roman" w:cs="Times New Roman"/>
        </w:rPr>
        <w:t xml:space="preserve">The Rural Health Care Program will review its competitive bidding checklist with USAC’s Office of General Counsel Fraud Risk Group and USAC’s Audit &amp; Assurance Division to enhance the checklist to help prevent future improper payments related to competitive bidding violations. </w:t>
      </w:r>
    </w:p>
    <w:p w:rsidR="009A2C37" w:rsidRPr="00C72128" w:rsidP="003F79C6" w14:paraId="1B895279" w14:textId="7F997401">
      <w:pPr>
        <w:pStyle w:val="xxmsonormal"/>
        <w:autoSpaceDE w:val="0"/>
        <w:autoSpaceDN w:val="0"/>
        <w:spacing w:before="0" w:beforeAutospacing="0" w:after="240" w:afterAutospacing="0"/>
        <w:jc w:val="both"/>
      </w:pPr>
      <w:r w:rsidRPr="00C72128">
        <w:rPr>
          <w:rFonts w:ascii="Times New Roman" w:hAnsi="Times New Roman" w:cs="Times New Roman"/>
        </w:rPr>
        <w:t>Program Integrity Efforts:</w:t>
      </w:r>
      <w:r w:rsidR="00C933B2">
        <w:rPr>
          <w:rFonts w:ascii="Times New Roman" w:hAnsi="Times New Roman" w:cs="Times New Roman"/>
        </w:rPr>
        <w:t xml:space="preserve"> </w:t>
      </w:r>
      <w:r w:rsidRPr="00C72128">
        <w:rPr>
          <w:rFonts w:ascii="Times New Roman" w:hAnsi="Times New Roman" w:cs="Times New Roman"/>
        </w:rPr>
        <w:t>USAC’s Rural Health Care Program has enhanced its application review procedures to ensure compliance with the Commission’s urban and rural rate rules.</w:t>
      </w:r>
      <w:r w:rsidR="00C933B2">
        <w:rPr>
          <w:rFonts w:ascii="Times New Roman" w:hAnsi="Times New Roman" w:cs="Times New Roman"/>
        </w:rPr>
        <w:t xml:space="preserve"> </w:t>
      </w:r>
      <w:r w:rsidRPr="00C72128">
        <w:rPr>
          <w:rFonts w:ascii="Times New Roman" w:hAnsi="Times New Roman" w:cs="Times New Roman"/>
        </w:rPr>
        <w:t>In addition, USAC will continue to test Rural Health Care participants’ compliance with competitive bidding requirements as part of its application review procedures.</w:t>
      </w:r>
      <w:r w:rsidR="00C933B2">
        <w:rPr>
          <w:rFonts w:ascii="Times New Roman" w:hAnsi="Times New Roman" w:cs="Times New Roman"/>
        </w:rPr>
        <w:t xml:space="preserve"> </w:t>
      </w:r>
      <w:r w:rsidRPr="00C72128">
        <w:rPr>
          <w:rFonts w:ascii="Times New Roman" w:hAnsi="Times New Roman" w:cs="Times New Roman"/>
        </w:rPr>
        <w:t>Through USAC’s strengthened application review procedures, USAC will verify Rural Health Care participants’ compliance with the Rural Health Care Program rules.</w:t>
      </w:r>
      <w:r w:rsidR="00C933B2">
        <w:rPr>
          <w:rFonts w:ascii="Times New Roman" w:hAnsi="Times New Roman" w:cs="Times New Roman"/>
        </w:rPr>
        <w:t xml:space="preserve"> </w:t>
      </w:r>
      <w:r w:rsidRPr="00C72128">
        <w:rPr>
          <w:rFonts w:ascii="Times New Roman" w:hAnsi="Times New Roman" w:cs="Times New Roman"/>
        </w:rPr>
        <w:t>As such, competitive bidding, urban rate, and rural rate issues will be identified and addressed prior to disbursement, thereby reducing future instances of improper payments.</w:t>
      </w:r>
      <w:r w:rsidR="00C933B2">
        <w:rPr>
          <w:rFonts w:ascii="Times New Roman" w:hAnsi="Times New Roman" w:cs="Times New Roman"/>
        </w:rPr>
        <w:t xml:space="preserve"> </w:t>
      </w:r>
      <w:r w:rsidRPr="00C72128">
        <w:rPr>
          <w:rFonts w:ascii="Times New Roman" w:hAnsi="Times New Roman" w:cs="Times New Roman"/>
        </w:rPr>
        <w:t>USAC has also increased its outreach to Rural Health Care participants regarding urban and rural rate issues and the FCC’s competitive bidding rules to assist participants with achieving and maintaining compliance.</w:t>
      </w:r>
      <w:r w:rsidR="00C933B2">
        <w:rPr>
          <w:rFonts w:ascii="Times New Roman" w:hAnsi="Times New Roman" w:cs="Times New Roman"/>
        </w:rPr>
        <w:t xml:space="preserve"> </w:t>
      </w:r>
      <w:r w:rsidRPr="00C72128">
        <w:rPr>
          <w:rFonts w:ascii="Times New Roman" w:hAnsi="Times New Roman" w:cs="Times New Roman"/>
        </w:rPr>
        <w:t>The outreach will communicate to applicants via webinars, newsletters, and one-on-one sessions the standards by which the rural and urban rates must be calculated/documented when submitting the FCC Form 466 each year.</w:t>
      </w:r>
    </w:p>
    <w:p w:rsidR="00C72128" w:rsidRPr="003F79C6" w:rsidP="003F79C6" w14:paraId="3778066A" w14:textId="05F59F8A">
      <w:pPr>
        <w:pStyle w:val="xxmsonormal"/>
        <w:autoSpaceDE w:val="0"/>
        <w:autoSpaceDN w:val="0"/>
        <w:spacing w:before="0" w:beforeAutospacing="0" w:after="240" w:afterAutospacing="0"/>
        <w:jc w:val="both"/>
        <w:rPr>
          <w:rFonts w:ascii="Times New Roman" w:hAnsi="Times New Roman" w:cs="Times New Roman"/>
        </w:rPr>
      </w:pPr>
      <w:r w:rsidRPr="00C72128">
        <w:rPr>
          <w:rFonts w:ascii="Times New Roman" w:hAnsi="Times New Roman" w:cs="Times New Roman"/>
        </w:rPr>
        <w:t>Invoicing Error and Goods/Services Not Fully Utilized:</w:t>
      </w:r>
      <w:r w:rsidR="00C933B2">
        <w:rPr>
          <w:rFonts w:ascii="Times New Roman" w:hAnsi="Times New Roman" w:cs="Times New Roman"/>
        </w:rPr>
        <w:t xml:space="preserve"> </w:t>
      </w:r>
      <w:r w:rsidRPr="00C72128">
        <w:rPr>
          <w:rFonts w:ascii="Times New Roman" w:hAnsi="Times New Roman" w:cs="Times New Roman"/>
        </w:rPr>
        <w:t>The Rural Health Care Program has implemented an enhanced review of FCC Forms 463, where applicants must provide proof of services and costs.</w:t>
      </w:r>
      <w:r w:rsidR="00C933B2">
        <w:rPr>
          <w:rFonts w:ascii="Times New Roman" w:hAnsi="Times New Roman" w:cs="Times New Roman"/>
        </w:rPr>
        <w:t xml:space="preserve"> </w:t>
      </w:r>
      <w:r w:rsidRPr="00C72128">
        <w:rPr>
          <w:rFonts w:ascii="Times New Roman" w:hAnsi="Times New Roman" w:cs="Times New Roman"/>
        </w:rPr>
        <w:t>For Telecom, the beneficiary must submit invoice(s) based on the HCP Support Schedules (HSS).</w:t>
      </w:r>
      <w:r w:rsidR="00C933B2">
        <w:rPr>
          <w:rFonts w:ascii="Times New Roman" w:hAnsi="Times New Roman" w:cs="Times New Roman"/>
        </w:rPr>
        <w:t xml:space="preserve"> </w:t>
      </w:r>
      <w:r w:rsidRPr="00C72128">
        <w:rPr>
          <w:rFonts w:ascii="Times New Roman" w:hAnsi="Times New Roman" w:cs="Times New Roman"/>
        </w:rPr>
        <w:t>If the service provider bill is less than the HSS, the invoice(s) will be modified to match the actual bill. In addition, USAC continues to perform additional outreach to remind the applicants and service providers that USAC may only be invoiced for services actually delivered and the amounts on the customer bills must match the dates of service that were submitted and approved on the FCC Form 467 and the amounts that were approved in the Funding Commitment Letter (FCL).</w:t>
      </w:r>
      <w:r w:rsidR="00C933B2">
        <w:rPr>
          <w:rFonts w:ascii="Times New Roman" w:hAnsi="Times New Roman" w:cs="Times New Roman"/>
        </w:rPr>
        <w:t xml:space="preserve"> </w:t>
      </w:r>
      <w:r w:rsidRPr="00C72128">
        <w:rPr>
          <w:rFonts w:ascii="Times New Roman" w:hAnsi="Times New Roman" w:cs="Times New Roman"/>
        </w:rPr>
        <w:t xml:space="preserve">USAC currently reminds applicants and service providers that they must notify USAC of any changes to the recurring costs and/or dates of service over the course of the commitment so that the commitment amount may be properly adjusted. </w:t>
      </w:r>
    </w:p>
    <w:p w:rsidR="009A2C37" w:rsidRPr="00C72128" w:rsidP="003F79C6" w14:paraId="7223AE00" w14:textId="3454BFFF">
      <w:pPr>
        <w:pStyle w:val="xxmsonormal"/>
        <w:autoSpaceDE w:val="0"/>
        <w:autoSpaceDN w:val="0"/>
        <w:spacing w:before="0" w:beforeAutospacing="0" w:after="240" w:afterAutospacing="0"/>
        <w:jc w:val="both"/>
      </w:pPr>
      <w:r w:rsidRPr="00C72128">
        <w:rPr>
          <w:rFonts w:ascii="Times New Roman" w:hAnsi="Times New Roman" w:cs="Times New Roman"/>
        </w:rPr>
        <w:t>Ineligible Service and Entity:</w:t>
      </w:r>
      <w:r w:rsidR="00C933B2">
        <w:rPr>
          <w:rFonts w:ascii="Times New Roman" w:hAnsi="Times New Roman" w:cs="Times New Roman"/>
        </w:rPr>
        <w:t xml:space="preserve"> </w:t>
      </w:r>
      <w:r w:rsidRPr="00C72128">
        <w:rPr>
          <w:rFonts w:ascii="Times New Roman" w:hAnsi="Times New Roman" w:cs="Times New Roman"/>
        </w:rPr>
        <w:t>The Rural Health Care Program will continue to remind applicants that they must submit a service substitution if there is a change in service.</w:t>
      </w:r>
      <w:r w:rsidR="00C933B2">
        <w:rPr>
          <w:rFonts w:ascii="Times New Roman" w:hAnsi="Times New Roman" w:cs="Times New Roman"/>
        </w:rPr>
        <w:t xml:space="preserve"> </w:t>
      </w:r>
      <w:r w:rsidRPr="00C72128">
        <w:rPr>
          <w:rFonts w:ascii="Times New Roman" w:hAnsi="Times New Roman" w:cs="Times New Roman"/>
        </w:rPr>
        <w:t>In addition, there will be increased training to ensure the reviewers are better trained in eligibility review and use of the systems.</w:t>
      </w:r>
      <w:r w:rsidR="00C933B2">
        <w:rPr>
          <w:rFonts w:ascii="Times New Roman" w:hAnsi="Times New Roman" w:cs="Times New Roman"/>
        </w:rPr>
        <w:t xml:space="preserve"> </w:t>
      </w:r>
      <w:r w:rsidRPr="00C72128">
        <w:rPr>
          <w:rFonts w:ascii="Times New Roman" w:hAnsi="Times New Roman" w:cs="Times New Roman"/>
        </w:rPr>
        <w:t>The Rural Health Care Program will implement system validations to check for 50% majority rural exceptions for Consortia during the lifecycle and lifespan of a funding commitment prior to invoices being approved.</w:t>
      </w:r>
      <w:r w:rsidR="00C933B2">
        <w:rPr>
          <w:rFonts w:ascii="Times New Roman" w:hAnsi="Times New Roman" w:cs="Times New Roman"/>
        </w:rPr>
        <w:t xml:space="preserve"> </w:t>
      </w:r>
      <w:r w:rsidRPr="00C72128">
        <w:rPr>
          <w:rFonts w:ascii="Times New Roman" w:hAnsi="Times New Roman" w:cs="Times New Roman"/>
        </w:rPr>
        <w:t>The system validation is on the IT roadmap.</w:t>
      </w:r>
      <w:r w:rsidR="00C933B2">
        <w:rPr>
          <w:rFonts w:ascii="Times New Roman" w:hAnsi="Times New Roman" w:cs="Times New Roman"/>
        </w:rPr>
        <w:t xml:space="preserve"> </w:t>
      </w:r>
      <w:r w:rsidRPr="00C72128">
        <w:rPr>
          <w:rFonts w:ascii="Times New Roman" w:hAnsi="Times New Roman" w:cs="Times New Roman"/>
        </w:rPr>
        <w:t>However, RHC has implemented a manual validation process to identify non-</w:t>
      </w:r>
      <w:r w:rsidRPr="00C72128">
        <w:rPr>
          <w:rFonts w:ascii="Times New Roman" w:hAnsi="Times New Roman" w:cs="Times New Roman"/>
        </w:rPr>
        <w:t>compliant HCPs on a more frequent basis (monthly) and has included a validation during commitment issuance to ensure that ineligible sites do not receive funding.</w:t>
      </w:r>
    </w:p>
    <w:p w:rsidR="009A2C37" w:rsidRPr="00C72128" w:rsidP="003F79C6" w14:paraId="23C30097" w14:textId="35A50E84">
      <w:pPr>
        <w:pStyle w:val="xxmsonormal"/>
        <w:autoSpaceDE w:val="0"/>
        <w:autoSpaceDN w:val="0"/>
        <w:spacing w:before="0" w:beforeAutospacing="0" w:after="240" w:afterAutospacing="0"/>
        <w:jc w:val="both"/>
      </w:pPr>
      <w:r w:rsidRPr="00C72128">
        <w:rPr>
          <w:rFonts w:ascii="Times New Roman" w:hAnsi="Times New Roman" w:cs="Times New Roman"/>
        </w:rPr>
        <w:t>Outreach:</w:t>
      </w:r>
      <w:r w:rsidR="00C933B2">
        <w:rPr>
          <w:rFonts w:ascii="Times New Roman" w:hAnsi="Times New Roman" w:cs="Times New Roman"/>
        </w:rPr>
        <w:t xml:space="preserve"> </w:t>
      </w:r>
      <w:r w:rsidRPr="00C72128">
        <w:rPr>
          <w:rFonts w:ascii="Times New Roman" w:hAnsi="Times New Roman" w:cs="Times New Roman"/>
        </w:rPr>
        <w:t xml:space="preserve">USAC has enhanced its outreach approach regarding the common findings, including enhancing website training materials, webinars, and communicating best practices based on the observations made from the PQA findings. </w:t>
      </w:r>
    </w:p>
    <w:p w:rsidR="009A2C37" w:rsidRPr="00C72128" w:rsidP="003F79C6" w14:paraId="4125EB2E" w14:textId="5E8275E2">
      <w:pPr>
        <w:pStyle w:val="xxmsonormal"/>
        <w:autoSpaceDE w:val="0"/>
        <w:autoSpaceDN w:val="0"/>
        <w:spacing w:before="0" w:beforeAutospacing="0" w:after="240" w:afterAutospacing="0"/>
        <w:jc w:val="both"/>
      </w:pPr>
      <w:r w:rsidRPr="00C72128">
        <w:rPr>
          <w:rFonts w:ascii="Times New Roman" w:hAnsi="Times New Roman" w:cs="Times New Roman"/>
        </w:rPr>
        <w:t>Improper Payment Analysis:</w:t>
      </w:r>
      <w:r w:rsidR="00C933B2">
        <w:rPr>
          <w:rFonts w:ascii="Times New Roman" w:hAnsi="Times New Roman" w:cs="Times New Roman"/>
        </w:rPr>
        <w:t xml:space="preserve"> </w:t>
      </w:r>
      <w:r w:rsidRPr="00C72128">
        <w:rPr>
          <w:rFonts w:ascii="Times New Roman" w:hAnsi="Times New Roman" w:cs="Times New Roman"/>
        </w:rPr>
        <w:t>USAC management is performing a deep-dive analysis of its improper payments to more thoroughly understand their root causes and to identify corrective actions that will address the root causes.</w:t>
      </w:r>
      <w:r w:rsidR="00C933B2">
        <w:rPr>
          <w:rFonts w:ascii="Times New Roman" w:hAnsi="Times New Roman" w:cs="Times New Roman"/>
        </w:rPr>
        <w:t xml:space="preserve"> </w:t>
      </w:r>
      <w:r w:rsidRPr="00C72128">
        <w:rPr>
          <w:rFonts w:ascii="Times New Roman" w:hAnsi="Times New Roman" w:cs="Times New Roman"/>
        </w:rPr>
        <w:t>Through this analysis, USAC management is institutionalizing corrective actions as part of its program integrity efforts that will reduce future instances of improper payments.</w:t>
      </w:r>
    </w:p>
    <w:p w:rsidR="009A2C37" w:rsidRPr="00864B68" w:rsidP="00864B68" w14:paraId="590024D1" w14:textId="77777777">
      <w:pPr>
        <w:pStyle w:val="Heading5"/>
        <w:spacing w:after="0"/>
        <w:rPr>
          <w:sz w:val="22"/>
          <w:szCs w:val="22"/>
          <w:u w:val="single"/>
        </w:rPr>
      </w:pPr>
      <w:bookmarkStart w:id="300" w:name="_Toc88780726"/>
      <w:r w:rsidRPr="00864B68">
        <w:rPr>
          <w:sz w:val="22"/>
          <w:szCs w:val="22"/>
          <w:u w:val="single"/>
        </w:rPr>
        <w:t>USF-S&amp;L</w:t>
      </w:r>
      <w:bookmarkEnd w:id="300"/>
    </w:p>
    <w:p w:rsidR="009A2C37" w:rsidRPr="00561772" w:rsidP="003F79C6" w14:paraId="75914F1F" w14:textId="3A1C92F2">
      <w:pPr>
        <w:widowControl w:val="0"/>
        <w:autoSpaceDE w:val="0"/>
        <w:autoSpaceDN w:val="0"/>
        <w:spacing w:after="240"/>
        <w:jc w:val="both"/>
        <w:rPr>
          <w:sz w:val="22"/>
          <w:szCs w:val="22"/>
        </w:rPr>
      </w:pPr>
      <w:r w:rsidRPr="00561772">
        <w:rPr>
          <w:sz w:val="22"/>
          <w:szCs w:val="22"/>
        </w:rPr>
        <w:t>The following are brief descriptions of the FCC and USAC’s key efforts to prevent and reduce improper payments in the USF Schools and Libraries Program:</w:t>
      </w:r>
      <w:r w:rsidR="00C933B2">
        <w:rPr>
          <w:sz w:val="22"/>
          <w:szCs w:val="22"/>
        </w:rPr>
        <w:t xml:space="preserve"> </w:t>
      </w:r>
    </w:p>
    <w:p w:rsidR="009A2C37" w:rsidRPr="00561772" w:rsidP="003F79C6" w14:paraId="7E7FB3DD" w14:textId="3BF00C4E">
      <w:pPr>
        <w:widowControl w:val="0"/>
        <w:autoSpaceDE w:val="0"/>
        <w:autoSpaceDN w:val="0"/>
        <w:spacing w:after="240"/>
        <w:jc w:val="both"/>
        <w:rPr>
          <w:sz w:val="22"/>
          <w:szCs w:val="22"/>
        </w:rPr>
      </w:pPr>
      <w:r w:rsidRPr="00561772">
        <w:rPr>
          <w:sz w:val="22"/>
          <w:szCs w:val="22"/>
        </w:rPr>
        <w:t>Invoicing Error:</w:t>
      </w:r>
      <w:r w:rsidR="00C933B2">
        <w:rPr>
          <w:sz w:val="22"/>
          <w:szCs w:val="22"/>
        </w:rPr>
        <w:t xml:space="preserve"> </w:t>
      </w:r>
      <w:r w:rsidRPr="00561772">
        <w:rPr>
          <w:sz w:val="22"/>
          <w:szCs w:val="22"/>
        </w:rPr>
        <w:t>The Schools and Libraries Program has taken a strategic, multi-pronged approach to reducing the risk around invoicing errors through realizing enhancements, applying risk-based strategies to procedure reviews and processes improvements.</w:t>
      </w:r>
      <w:r w:rsidR="00C933B2">
        <w:rPr>
          <w:sz w:val="22"/>
          <w:szCs w:val="22"/>
        </w:rPr>
        <w:t xml:space="preserve"> </w:t>
      </w:r>
      <w:r w:rsidRPr="00561772">
        <w:rPr>
          <w:sz w:val="22"/>
          <w:szCs w:val="22"/>
        </w:rPr>
        <w:t xml:space="preserve">USAC’s </w:t>
      </w:r>
      <w:r w:rsidRPr="00561772">
        <w:rPr>
          <w:sz w:val="22"/>
          <w:szCs w:val="22"/>
        </w:rPr>
        <w:t>Schools and Libraries Invoicing team leveraged open data sets and coding capabilities to improve the efficiency of eligibility validations.</w:t>
      </w:r>
      <w:r w:rsidR="00C933B2">
        <w:rPr>
          <w:sz w:val="22"/>
          <w:szCs w:val="22"/>
        </w:rPr>
        <w:t xml:space="preserve"> </w:t>
      </w:r>
      <w:r w:rsidRPr="00561772">
        <w:rPr>
          <w:sz w:val="22"/>
          <w:szCs w:val="22"/>
        </w:rPr>
        <w:t>Additionally, the School and Libraries Program has improved customer awareness and knowledge through targeted internal and external training, emphasizing guidance on common audit findings, and high-risk areas.</w:t>
      </w:r>
      <w:r w:rsidR="00C933B2">
        <w:rPr>
          <w:sz w:val="22"/>
          <w:szCs w:val="22"/>
        </w:rPr>
        <w:t xml:space="preserve"> </w:t>
      </w:r>
      <w:r w:rsidRPr="00561772">
        <w:rPr>
          <w:sz w:val="22"/>
          <w:szCs w:val="22"/>
        </w:rPr>
        <w:t>Training includes many case studies educating applicants how to avoid frequent mistakes, which reduces the need for modification and rejection.</w:t>
      </w:r>
      <w:r w:rsidR="00C933B2">
        <w:rPr>
          <w:sz w:val="22"/>
          <w:szCs w:val="22"/>
        </w:rPr>
        <w:t xml:space="preserve"> </w:t>
      </w:r>
    </w:p>
    <w:p w:rsidR="009A2C37" w:rsidRPr="00561772" w:rsidP="00142399" w14:paraId="780FD18D" w14:textId="5F1F0737">
      <w:pPr>
        <w:widowControl w:val="0"/>
        <w:autoSpaceDE w:val="0"/>
        <w:autoSpaceDN w:val="0"/>
        <w:jc w:val="both"/>
        <w:rPr>
          <w:sz w:val="22"/>
          <w:szCs w:val="22"/>
        </w:rPr>
      </w:pPr>
      <w:r w:rsidRPr="00561772">
        <w:rPr>
          <w:sz w:val="22"/>
          <w:szCs w:val="22"/>
        </w:rPr>
        <w:t>Lack of or Incomplete Documentation (Service Provider Lowest Corresponding Price):</w:t>
      </w:r>
      <w:r w:rsidR="00C933B2">
        <w:rPr>
          <w:sz w:val="22"/>
          <w:szCs w:val="22"/>
        </w:rPr>
        <w:t xml:space="preserve"> </w:t>
      </w:r>
      <w:r w:rsidRPr="00561772">
        <w:rPr>
          <w:sz w:val="22"/>
          <w:szCs w:val="22"/>
        </w:rPr>
        <w:t>The Schools and Libraries Program is taking steps to remind the Service Providers about their obligations to comply with Lowest Corresponding Price (LCP) requirements on an annual basis.</w:t>
      </w:r>
      <w:r w:rsidR="00C933B2">
        <w:rPr>
          <w:sz w:val="22"/>
          <w:szCs w:val="22"/>
        </w:rPr>
        <w:t xml:space="preserve"> </w:t>
      </w:r>
      <w:r w:rsidRPr="00561772">
        <w:rPr>
          <w:sz w:val="22"/>
          <w:szCs w:val="22"/>
        </w:rPr>
        <w:t>The Schools and Libraries Program will continue to enhance its existing LCP service provider training materials to include, but not limited, to the following:</w:t>
      </w:r>
    </w:p>
    <w:p w:rsidR="009A2C37" w:rsidRPr="00142399" w:rsidP="00142399" w14:paraId="11E7194B" w14:textId="77777777">
      <w:pPr>
        <w:pStyle w:val="ListParagraph"/>
        <w:widowControl w:val="0"/>
        <w:numPr>
          <w:ilvl w:val="0"/>
          <w:numId w:val="14"/>
        </w:numPr>
        <w:autoSpaceDE w:val="0"/>
        <w:autoSpaceDN w:val="0"/>
        <w:jc w:val="both"/>
        <w:rPr>
          <w:sz w:val="22"/>
          <w:szCs w:val="22"/>
        </w:rPr>
      </w:pPr>
      <w:r w:rsidRPr="00142399">
        <w:rPr>
          <w:sz w:val="22"/>
          <w:szCs w:val="22"/>
        </w:rPr>
        <w:t>Need for document retention including when acquisitions and mergers occur.</w:t>
      </w:r>
    </w:p>
    <w:p w:rsidR="009A2C37" w:rsidRPr="00142399" w:rsidP="00142399" w14:paraId="69C20A84" w14:textId="77777777">
      <w:pPr>
        <w:pStyle w:val="ListParagraph"/>
        <w:widowControl w:val="0"/>
        <w:numPr>
          <w:ilvl w:val="0"/>
          <w:numId w:val="14"/>
        </w:numPr>
        <w:autoSpaceDE w:val="0"/>
        <w:autoSpaceDN w:val="0"/>
        <w:spacing w:after="240"/>
        <w:jc w:val="both"/>
        <w:rPr>
          <w:sz w:val="22"/>
          <w:szCs w:val="22"/>
        </w:rPr>
      </w:pPr>
      <w:r w:rsidRPr="00142399">
        <w:rPr>
          <w:sz w:val="22"/>
          <w:szCs w:val="22"/>
        </w:rPr>
        <w:t>Certification of LCP requirements.</w:t>
      </w:r>
    </w:p>
    <w:p w:rsidR="009A2C37" w:rsidRPr="00561772" w:rsidP="003F79C6" w14:paraId="11061922" w14:textId="2141698A">
      <w:pPr>
        <w:widowControl w:val="0"/>
        <w:autoSpaceDE w:val="0"/>
        <w:autoSpaceDN w:val="0"/>
        <w:spacing w:after="240"/>
        <w:jc w:val="both"/>
        <w:rPr>
          <w:sz w:val="22"/>
          <w:szCs w:val="22"/>
        </w:rPr>
      </w:pPr>
      <w:r w:rsidRPr="00561772">
        <w:rPr>
          <w:sz w:val="22"/>
          <w:szCs w:val="22"/>
        </w:rPr>
        <w:t>Program Integrity:</w:t>
      </w:r>
      <w:r w:rsidR="00C933B2">
        <w:rPr>
          <w:sz w:val="22"/>
          <w:szCs w:val="22"/>
        </w:rPr>
        <w:t xml:space="preserve"> </w:t>
      </w:r>
      <w:r w:rsidRPr="00561772">
        <w:rPr>
          <w:sz w:val="22"/>
          <w:szCs w:val="22"/>
        </w:rPr>
        <w:t>The Schools and Libraries Program employs a heightened scrutiny review (HSR) to identify and perform additional review over applications that may be at risk for areas of non-compliance. The Schools and Libraries Program has made enhancements to its heightened scrutiny review procedures to further reduce the risk of improper payments.</w:t>
      </w:r>
      <w:r w:rsidR="00C933B2">
        <w:rPr>
          <w:sz w:val="22"/>
          <w:szCs w:val="22"/>
        </w:rPr>
        <w:t xml:space="preserve"> </w:t>
      </w:r>
      <w:r w:rsidRPr="00561772">
        <w:rPr>
          <w:sz w:val="22"/>
          <w:szCs w:val="22"/>
        </w:rPr>
        <w:t>These enhancements were implemented with Fund Year 2020 applications.</w:t>
      </w:r>
      <w:r w:rsidR="00C933B2">
        <w:rPr>
          <w:sz w:val="22"/>
          <w:szCs w:val="22"/>
        </w:rPr>
        <w:t xml:space="preserve"> </w:t>
      </w:r>
      <w:r w:rsidRPr="00561772">
        <w:rPr>
          <w:sz w:val="22"/>
          <w:szCs w:val="22"/>
        </w:rPr>
        <w:t>Annually, the HSR team leverages data analytics on the current population and considers revisions to the selection criteria for the next year based, in part, on audit findings and program risk factors.</w:t>
      </w:r>
    </w:p>
    <w:p w:rsidR="009A2C37" w:rsidRPr="00561772" w:rsidP="003F79C6" w14:paraId="1BDE415A" w14:textId="0DA184E6">
      <w:pPr>
        <w:widowControl w:val="0"/>
        <w:autoSpaceDE w:val="0"/>
        <w:autoSpaceDN w:val="0"/>
        <w:spacing w:after="240"/>
        <w:jc w:val="both"/>
        <w:rPr>
          <w:sz w:val="22"/>
          <w:szCs w:val="22"/>
        </w:rPr>
      </w:pPr>
      <w:r w:rsidRPr="00561772">
        <w:rPr>
          <w:sz w:val="22"/>
          <w:szCs w:val="22"/>
        </w:rPr>
        <w:t>Outreach:</w:t>
      </w:r>
      <w:r w:rsidR="00C933B2">
        <w:rPr>
          <w:sz w:val="22"/>
          <w:szCs w:val="22"/>
        </w:rPr>
        <w:t xml:space="preserve"> </w:t>
      </w:r>
      <w:r w:rsidRPr="00561772">
        <w:rPr>
          <w:sz w:val="22"/>
          <w:szCs w:val="22"/>
        </w:rPr>
        <w:t>USAC enhanced its outreach approach, customizing specific directions to program participants based on their Payment Quality Assurance (PQA) exceptions.</w:t>
      </w:r>
      <w:r w:rsidR="00C933B2">
        <w:rPr>
          <w:sz w:val="22"/>
          <w:szCs w:val="22"/>
        </w:rPr>
        <w:t xml:space="preserve"> </w:t>
      </w:r>
      <w:r w:rsidRPr="00561772">
        <w:rPr>
          <w:sz w:val="22"/>
          <w:szCs w:val="22"/>
        </w:rPr>
        <w:t>Outreach includes updates to the website training materials, conducting webinar(s) focused on and communicating best practices based on the observations made during the prior year’s PQA reviews.</w:t>
      </w:r>
      <w:r w:rsidR="00C933B2">
        <w:rPr>
          <w:sz w:val="22"/>
          <w:szCs w:val="22"/>
        </w:rPr>
        <w:t xml:space="preserve"> </w:t>
      </w:r>
      <w:r w:rsidRPr="00561772">
        <w:rPr>
          <w:sz w:val="22"/>
          <w:szCs w:val="22"/>
        </w:rPr>
        <w:t>USAC provides annual training and implemented an Online Training Library to provide program participants with tools that they can access at their convenience.</w:t>
      </w:r>
      <w:r w:rsidR="00C933B2">
        <w:rPr>
          <w:sz w:val="22"/>
          <w:szCs w:val="22"/>
        </w:rPr>
        <w:t xml:space="preserve"> </w:t>
      </w:r>
    </w:p>
    <w:p w:rsidR="009A2C37" w:rsidRPr="00561772" w:rsidP="003F79C6" w14:paraId="4EB8F132" w14:textId="68712AFA">
      <w:pPr>
        <w:widowControl w:val="0"/>
        <w:autoSpaceDE w:val="0"/>
        <w:autoSpaceDN w:val="0"/>
        <w:spacing w:after="240"/>
        <w:jc w:val="both"/>
        <w:rPr>
          <w:sz w:val="22"/>
          <w:szCs w:val="22"/>
        </w:rPr>
      </w:pPr>
      <w:r w:rsidRPr="00561772">
        <w:rPr>
          <w:sz w:val="22"/>
          <w:szCs w:val="22"/>
        </w:rPr>
        <w:t>Improper Payment Analysis:</w:t>
      </w:r>
      <w:r w:rsidR="00C933B2">
        <w:rPr>
          <w:sz w:val="22"/>
          <w:szCs w:val="22"/>
        </w:rPr>
        <w:t xml:space="preserve"> </w:t>
      </w:r>
      <w:r w:rsidRPr="00561772">
        <w:rPr>
          <w:sz w:val="22"/>
          <w:szCs w:val="22"/>
        </w:rPr>
        <w:t>USAC management is performing a deep-dive analysis of its improper payments to more thoroughly understand their root causes and to identify corrective actions that will address the root causes.</w:t>
      </w:r>
      <w:r w:rsidR="00C933B2">
        <w:rPr>
          <w:sz w:val="22"/>
          <w:szCs w:val="22"/>
        </w:rPr>
        <w:t xml:space="preserve"> </w:t>
      </w:r>
      <w:r w:rsidRPr="00561772">
        <w:rPr>
          <w:sz w:val="22"/>
          <w:szCs w:val="22"/>
        </w:rPr>
        <w:t>Through this analysis, USAC management is institutionalizing corrective actions as part of its program integrity efforts that will reduce future instances of improper payments.</w:t>
      </w:r>
    </w:p>
    <w:p w:rsidR="009A2C37" w:rsidRPr="00687E91" w:rsidP="003F79C6" w14:paraId="36E7166F" w14:textId="77777777">
      <w:pPr>
        <w:pStyle w:val="Heading3"/>
      </w:pPr>
      <w:bookmarkStart w:id="301" w:name="_Toc54422197"/>
      <w:bookmarkStart w:id="302" w:name="_Toc85811543"/>
      <w:bookmarkStart w:id="303" w:name="_Toc88780545"/>
      <w:bookmarkStart w:id="304" w:name="_Toc88780727"/>
      <w:r w:rsidRPr="0093566F">
        <w:t>Schedule of Civil Monetary Penalties</w:t>
      </w:r>
      <w:bookmarkEnd w:id="301"/>
      <w:bookmarkEnd w:id="302"/>
      <w:bookmarkEnd w:id="303"/>
      <w:bookmarkEnd w:id="304"/>
    </w:p>
    <w:p w:rsidR="009A2C37" w:rsidRPr="00CB2358" w:rsidP="003F79C6" w14:paraId="769D2664" w14:textId="585FA119">
      <w:pPr>
        <w:autoSpaceDE w:val="0"/>
        <w:autoSpaceDN w:val="0"/>
        <w:adjustRightInd w:val="0"/>
        <w:spacing w:after="240"/>
        <w:jc w:val="both"/>
        <w:rPr>
          <w:sz w:val="22"/>
          <w:szCs w:val="22"/>
        </w:rPr>
      </w:pPr>
      <w:r w:rsidRPr="00CB2358">
        <w:rPr>
          <w:sz w:val="22"/>
          <w:szCs w:val="22"/>
        </w:rPr>
        <w:t>On November 2, 2015, the Federal Civil Penalties Inflation Adjustment Act Improvements Act of 2015 (“the 2015 Act”), which was included as Section 701 of the Bipartisan Budget Act of 2015, was signed into law.</w:t>
      </w:r>
      <w:r w:rsidR="00C933B2">
        <w:rPr>
          <w:sz w:val="22"/>
          <w:szCs w:val="22"/>
        </w:rPr>
        <w:t xml:space="preserve"> </w:t>
      </w:r>
      <w:r w:rsidRPr="00CB2358">
        <w:rPr>
          <w:sz w:val="22"/>
          <w:szCs w:val="22"/>
        </w:rPr>
        <w:t>The 2015 Act amended the Federal Civil Penalties Inflation Adjustment Act of 1990 to improve the effectiveness of civil monetary penalties and to maintain their deterrent effect.</w:t>
      </w:r>
    </w:p>
    <w:p w:rsidR="009A2C37" w:rsidRPr="00CB2358" w:rsidP="003F79C6" w14:paraId="1B8F1BE1" w14:textId="796C3614">
      <w:pPr>
        <w:autoSpaceDE w:val="0"/>
        <w:autoSpaceDN w:val="0"/>
        <w:adjustRightInd w:val="0"/>
        <w:spacing w:after="240"/>
        <w:jc w:val="both"/>
        <w:rPr>
          <w:sz w:val="22"/>
          <w:szCs w:val="22"/>
        </w:rPr>
      </w:pPr>
      <w:r w:rsidRPr="00CB2358">
        <w:rPr>
          <w:sz w:val="22"/>
          <w:szCs w:val="22"/>
        </w:rPr>
        <w:t>The 2015 Act required agencies use an interim final rulemaking (IFR) to adjust the level of civil monetary penalties in 2016 with an initial “catch-up” adjustment.</w:t>
      </w:r>
      <w:r w:rsidR="00C933B2">
        <w:rPr>
          <w:sz w:val="22"/>
          <w:szCs w:val="22"/>
        </w:rPr>
        <w:t xml:space="preserve"> </w:t>
      </w:r>
      <w:r w:rsidRPr="00CB2358">
        <w:rPr>
          <w:sz w:val="22"/>
          <w:szCs w:val="22"/>
        </w:rPr>
        <w:t>The 2015 Act also requires agencies to continue to make annual inflation adjustments in future years and to report on these adjustments annually.</w:t>
      </w:r>
      <w:r w:rsidR="00C933B2">
        <w:rPr>
          <w:sz w:val="22"/>
          <w:szCs w:val="22"/>
        </w:rPr>
        <w:t xml:space="preserve"> </w:t>
      </w:r>
    </w:p>
    <w:p w:rsidR="009A2C37" w:rsidRPr="00CB2358" w:rsidP="003F79C6" w14:paraId="52778F9A" w14:textId="45322D05">
      <w:pPr>
        <w:autoSpaceDE w:val="0"/>
        <w:autoSpaceDN w:val="0"/>
        <w:adjustRightInd w:val="0"/>
        <w:spacing w:after="240"/>
        <w:jc w:val="both"/>
        <w:rPr>
          <w:color w:val="000000"/>
          <w:sz w:val="22"/>
          <w:szCs w:val="22"/>
        </w:rPr>
      </w:pPr>
      <w:r w:rsidRPr="00CB2358">
        <w:rPr>
          <w:sz w:val="22"/>
          <w:szCs w:val="22"/>
        </w:rPr>
        <w:t xml:space="preserve">On December </w:t>
      </w:r>
      <w:r>
        <w:rPr>
          <w:sz w:val="22"/>
          <w:szCs w:val="22"/>
        </w:rPr>
        <w:t>23</w:t>
      </w:r>
      <w:r w:rsidRPr="00CB2358">
        <w:rPr>
          <w:sz w:val="22"/>
          <w:szCs w:val="22"/>
        </w:rPr>
        <w:t xml:space="preserve">, </w:t>
      </w:r>
      <w:r>
        <w:rPr>
          <w:sz w:val="22"/>
          <w:szCs w:val="22"/>
        </w:rPr>
        <w:t>2020</w:t>
      </w:r>
      <w:r w:rsidRPr="00CB2358">
        <w:rPr>
          <w:sz w:val="22"/>
          <w:szCs w:val="22"/>
        </w:rPr>
        <w:t xml:space="preserve">, OMB provided its annual inflation adjustment update to agencies through OMB Memorandum </w:t>
      </w:r>
      <w:r>
        <w:rPr>
          <w:sz w:val="22"/>
          <w:szCs w:val="22"/>
        </w:rPr>
        <w:t>M-21-10</w:t>
      </w:r>
      <w:r w:rsidRPr="00CB2358">
        <w:rPr>
          <w:sz w:val="22"/>
          <w:szCs w:val="22"/>
        </w:rPr>
        <w:t xml:space="preserve">, </w:t>
      </w:r>
      <w:r w:rsidRPr="00CB2358">
        <w:rPr>
          <w:i/>
          <w:sz w:val="22"/>
          <w:szCs w:val="22"/>
        </w:rPr>
        <w:t xml:space="preserve">Implementation of Penalty Inflation Adjustments for </w:t>
      </w:r>
      <w:r>
        <w:rPr>
          <w:i/>
          <w:sz w:val="22"/>
          <w:szCs w:val="22"/>
        </w:rPr>
        <w:t>2021</w:t>
      </w:r>
      <w:r w:rsidRPr="00CB2358">
        <w:rPr>
          <w:sz w:val="22"/>
          <w:szCs w:val="22"/>
        </w:rPr>
        <w:t>.</w:t>
      </w:r>
      <w:r w:rsidR="00C933B2">
        <w:rPr>
          <w:sz w:val="22"/>
          <w:szCs w:val="22"/>
        </w:rPr>
        <w:t xml:space="preserve"> </w:t>
      </w:r>
      <w:r w:rsidRPr="00CB2358">
        <w:rPr>
          <w:color w:val="000000"/>
          <w:sz w:val="22"/>
          <w:szCs w:val="22"/>
        </w:rPr>
        <w:t xml:space="preserve">On </w:t>
      </w:r>
      <w:r>
        <w:rPr>
          <w:color w:val="000000"/>
          <w:sz w:val="22"/>
          <w:szCs w:val="22"/>
        </w:rPr>
        <w:t>December 29, 2020</w:t>
      </w:r>
      <w:r w:rsidRPr="00CB2358">
        <w:rPr>
          <w:color w:val="000000"/>
          <w:sz w:val="22"/>
          <w:szCs w:val="22"/>
        </w:rPr>
        <w:t xml:space="preserve">, the FCC’s Enforcement Bureau adopted and released an order, </w:t>
      </w:r>
      <w:r>
        <w:rPr>
          <w:color w:val="000000"/>
          <w:sz w:val="22"/>
          <w:szCs w:val="22"/>
        </w:rPr>
        <w:t>DA 20-1540</w:t>
      </w:r>
      <w:r w:rsidRPr="00CB2358">
        <w:rPr>
          <w:color w:val="000000"/>
          <w:sz w:val="22"/>
          <w:szCs w:val="22"/>
        </w:rPr>
        <w:t xml:space="preserve">, which adjusted the Commission’s forfeiture penalties for inflation for </w:t>
      </w:r>
      <w:r>
        <w:rPr>
          <w:color w:val="000000"/>
          <w:sz w:val="22"/>
          <w:szCs w:val="22"/>
        </w:rPr>
        <w:t>2021</w:t>
      </w:r>
      <w:r w:rsidRPr="00CB2358">
        <w:rPr>
          <w:color w:val="000000"/>
          <w:sz w:val="22"/>
          <w:szCs w:val="22"/>
        </w:rPr>
        <w:t>.</w:t>
      </w:r>
      <w:r w:rsidR="00C933B2">
        <w:rPr>
          <w:color w:val="000000"/>
          <w:sz w:val="22"/>
          <w:szCs w:val="22"/>
        </w:rPr>
        <w:t xml:space="preserve"> </w:t>
      </w:r>
    </w:p>
    <w:p w:rsidR="009A2C37" w:rsidRPr="00CB2358" w:rsidP="003F79C6" w14:paraId="043C9526" w14:textId="77777777">
      <w:pPr>
        <w:autoSpaceDE w:val="0"/>
        <w:autoSpaceDN w:val="0"/>
        <w:adjustRightInd w:val="0"/>
        <w:spacing w:after="240"/>
        <w:jc w:val="both"/>
        <w:rPr>
          <w:sz w:val="22"/>
          <w:szCs w:val="22"/>
        </w:rPr>
      </w:pPr>
      <w:r w:rsidRPr="00CB2358">
        <w:rPr>
          <w:sz w:val="22"/>
          <w:szCs w:val="22"/>
        </w:rPr>
        <w:t>The following table shows various civil monetary penalties that may be used by the Commission in carrying out its mission as well as additional information about the FCC’s statutory authority for these penalties and the location of the FCC’s most recent action to adjust these penalties for inflation.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1193"/>
        <w:gridCol w:w="810"/>
        <w:gridCol w:w="1170"/>
        <w:gridCol w:w="1530"/>
        <w:gridCol w:w="1080"/>
        <w:gridCol w:w="2582"/>
      </w:tblGrid>
      <w:tr w14:paraId="3B34AA02" w14:textId="77777777" w:rsidTr="00977E6D">
        <w:tblPrEx>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blHeader/>
          <w:jc w:val="center"/>
        </w:trPr>
        <w:tc>
          <w:tcPr>
            <w:tcW w:w="1440" w:type="dxa"/>
            <w:tcBorders>
              <w:bottom w:val="single" w:sz="4" w:space="0" w:color="auto"/>
            </w:tcBorders>
            <w:shd w:val="clear" w:color="auto" w:fill="BFBFBF" w:themeFill="background1" w:themeFillShade="BF"/>
            <w:vAlign w:val="center"/>
          </w:tcPr>
          <w:p w:rsidR="009A2C37" w:rsidRPr="00CB2358" w:rsidP="00977E6D" w14:paraId="64F462B7" w14:textId="77777777">
            <w:pPr>
              <w:autoSpaceDE w:val="0"/>
              <w:autoSpaceDN w:val="0"/>
              <w:adjustRightInd w:val="0"/>
              <w:jc w:val="center"/>
              <w:rPr>
                <w:b/>
                <w:bCs/>
                <w:sz w:val="16"/>
                <w:szCs w:val="16"/>
              </w:rPr>
            </w:pPr>
            <w:r w:rsidRPr="00CB2358">
              <w:rPr>
                <w:b/>
                <w:bCs/>
                <w:sz w:val="16"/>
                <w:szCs w:val="16"/>
              </w:rPr>
              <w:t>Statutory</w:t>
            </w:r>
          </w:p>
          <w:p w:rsidR="009A2C37" w:rsidRPr="00CB2358" w:rsidP="00977E6D" w14:paraId="0E7BE365" w14:textId="77777777">
            <w:pPr>
              <w:autoSpaceDE w:val="0"/>
              <w:autoSpaceDN w:val="0"/>
              <w:adjustRightInd w:val="0"/>
              <w:jc w:val="center"/>
              <w:rPr>
                <w:sz w:val="16"/>
                <w:szCs w:val="16"/>
              </w:rPr>
            </w:pPr>
            <w:r w:rsidRPr="00CB2358">
              <w:rPr>
                <w:b/>
                <w:bCs/>
                <w:sz w:val="16"/>
                <w:szCs w:val="16"/>
              </w:rPr>
              <w:t>Authority</w:t>
            </w:r>
          </w:p>
        </w:tc>
        <w:tc>
          <w:tcPr>
            <w:tcW w:w="1193" w:type="dxa"/>
            <w:shd w:val="clear" w:color="auto" w:fill="BFBFBF" w:themeFill="background1" w:themeFillShade="BF"/>
            <w:vAlign w:val="center"/>
          </w:tcPr>
          <w:p w:rsidR="009A2C37" w:rsidRPr="00CB2358" w:rsidP="00977E6D" w14:paraId="41CF5629" w14:textId="77777777">
            <w:pPr>
              <w:autoSpaceDE w:val="0"/>
              <w:autoSpaceDN w:val="0"/>
              <w:adjustRightInd w:val="0"/>
              <w:jc w:val="center"/>
              <w:rPr>
                <w:b/>
                <w:bCs/>
                <w:sz w:val="16"/>
                <w:szCs w:val="16"/>
              </w:rPr>
            </w:pPr>
            <w:r w:rsidRPr="00CB2358">
              <w:rPr>
                <w:b/>
                <w:bCs/>
                <w:sz w:val="16"/>
                <w:szCs w:val="16"/>
              </w:rPr>
              <w:t>Penalty</w:t>
            </w:r>
          </w:p>
          <w:p w:rsidR="009A2C37" w:rsidRPr="00CB2358" w:rsidP="00977E6D" w14:paraId="4A292CC6" w14:textId="77777777">
            <w:pPr>
              <w:autoSpaceDE w:val="0"/>
              <w:autoSpaceDN w:val="0"/>
              <w:adjustRightInd w:val="0"/>
              <w:jc w:val="center"/>
              <w:rPr>
                <w:b/>
                <w:bCs/>
                <w:sz w:val="16"/>
                <w:szCs w:val="16"/>
              </w:rPr>
            </w:pPr>
            <w:r w:rsidRPr="00CB2358">
              <w:rPr>
                <w:b/>
                <w:bCs/>
                <w:sz w:val="16"/>
                <w:szCs w:val="16"/>
              </w:rPr>
              <w:t>(Name or</w:t>
            </w:r>
          </w:p>
          <w:p w:rsidR="009A2C37" w:rsidRPr="00CB2358" w:rsidP="00977E6D" w14:paraId="28A78584" w14:textId="77777777">
            <w:pPr>
              <w:autoSpaceDE w:val="0"/>
              <w:autoSpaceDN w:val="0"/>
              <w:adjustRightInd w:val="0"/>
              <w:jc w:val="center"/>
              <w:rPr>
                <w:sz w:val="16"/>
                <w:szCs w:val="16"/>
              </w:rPr>
            </w:pPr>
            <w:r w:rsidRPr="00CB2358">
              <w:rPr>
                <w:b/>
                <w:bCs/>
                <w:sz w:val="16"/>
                <w:szCs w:val="16"/>
              </w:rPr>
              <w:t>Description)</w:t>
            </w:r>
          </w:p>
        </w:tc>
        <w:tc>
          <w:tcPr>
            <w:tcW w:w="810" w:type="dxa"/>
            <w:shd w:val="clear" w:color="auto" w:fill="BFBFBF" w:themeFill="background1" w:themeFillShade="BF"/>
            <w:vAlign w:val="center"/>
          </w:tcPr>
          <w:p w:rsidR="009A2C37" w:rsidRPr="00CB2358" w:rsidP="00977E6D" w14:paraId="3DB9EDC6" w14:textId="77777777">
            <w:pPr>
              <w:autoSpaceDE w:val="0"/>
              <w:autoSpaceDN w:val="0"/>
              <w:adjustRightInd w:val="0"/>
              <w:jc w:val="center"/>
              <w:rPr>
                <w:b/>
                <w:bCs/>
                <w:sz w:val="16"/>
                <w:szCs w:val="16"/>
              </w:rPr>
            </w:pPr>
            <w:r w:rsidRPr="00CB2358">
              <w:rPr>
                <w:b/>
                <w:bCs/>
                <w:sz w:val="16"/>
                <w:szCs w:val="16"/>
              </w:rPr>
              <w:t>Year</w:t>
            </w:r>
          </w:p>
          <w:p w:rsidR="009A2C37" w:rsidRPr="00CB2358" w:rsidP="00977E6D" w14:paraId="20E39016" w14:textId="77777777">
            <w:pPr>
              <w:autoSpaceDE w:val="0"/>
              <w:autoSpaceDN w:val="0"/>
              <w:adjustRightInd w:val="0"/>
              <w:jc w:val="center"/>
              <w:rPr>
                <w:sz w:val="16"/>
                <w:szCs w:val="16"/>
              </w:rPr>
            </w:pPr>
            <w:r w:rsidRPr="00CB2358">
              <w:rPr>
                <w:b/>
                <w:bCs/>
                <w:sz w:val="16"/>
                <w:szCs w:val="16"/>
              </w:rPr>
              <w:t>Enacted</w:t>
            </w:r>
          </w:p>
        </w:tc>
        <w:tc>
          <w:tcPr>
            <w:tcW w:w="1170" w:type="dxa"/>
            <w:shd w:val="clear" w:color="auto" w:fill="BFBFBF" w:themeFill="background1" w:themeFillShade="BF"/>
            <w:vAlign w:val="center"/>
          </w:tcPr>
          <w:p w:rsidR="009A2C37" w:rsidRPr="00CB2358" w:rsidP="00977E6D" w14:paraId="551B5696" w14:textId="77777777">
            <w:pPr>
              <w:autoSpaceDE w:val="0"/>
              <w:autoSpaceDN w:val="0"/>
              <w:adjustRightInd w:val="0"/>
              <w:jc w:val="center"/>
              <w:rPr>
                <w:b/>
                <w:bCs/>
                <w:sz w:val="16"/>
                <w:szCs w:val="16"/>
              </w:rPr>
            </w:pPr>
            <w:r w:rsidRPr="00CB2358">
              <w:rPr>
                <w:b/>
                <w:bCs/>
                <w:sz w:val="16"/>
                <w:szCs w:val="16"/>
              </w:rPr>
              <w:t>Latest year of</w:t>
            </w:r>
          </w:p>
          <w:p w:rsidR="009A2C37" w:rsidRPr="00CB2358" w:rsidP="00977E6D" w14:paraId="14D593FC" w14:textId="77777777">
            <w:pPr>
              <w:autoSpaceDE w:val="0"/>
              <w:autoSpaceDN w:val="0"/>
              <w:adjustRightInd w:val="0"/>
              <w:jc w:val="center"/>
              <w:rPr>
                <w:b/>
                <w:bCs/>
                <w:sz w:val="16"/>
                <w:szCs w:val="16"/>
              </w:rPr>
            </w:pPr>
            <w:r w:rsidRPr="00CB2358">
              <w:rPr>
                <w:b/>
                <w:bCs/>
                <w:sz w:val="16"/>
                <w:szCs w:val="16"/>
              </w:rPr>
              <w:t>adjustment</w:t>
            </w:r>
          </w:p>
          <w:p w:rsidR="009A2C37" w:rsidRPr="00CB2358" w:rsidP="00977E6D" w14:paraId="609AD5B4" w14:textId="77777777">
            <w:pPr>
              <w:autoSpaceDE w:val="0"/>
              <w:autoSpaceDN w:val="0"/>
              <w:adjustRightInd w:val="0"/>
              <w:jc w:val="center"/>
              <w:rPr>
                <w:b/>
                <w:bCs/>
                <w:sz w:val="16"/>
                <w:szCs w:val="16"/>
              </w:rPr>
            </w:pPr>
            <w:r w:rsidRPr="00CB2358">
              <w:rPr>
                <w:b/>
                <w:bCs/>
                <w:sz w:val="16"/>
                <w:szCs w:val="16"/>
              </w:rPr>
              <w:t>(via statute or</w:t>
            </w:r>
          </w:p>
          <w:p w:rsidR="009A2C37" w:rsidRPr="00CB2358" w:rsidP="00977E6D" w14:paraId="2F054C35" w14:textId="77777777">
            <w:pPr>
              <w:autoSpaceDE w:val="0"/>
              <w:autoSpaceDN w:val="0"/>
              <w:adjustRightInd w:val="0"/>
              <w:jc w:val="center"/>
              <w:rPr>
                <w:sz w:val="16"/>
                <w:szCs w:val="16"/>
              </w:rPr>
            </w:pPr>
            <w:r w:rsidRPr="00CB2358">
              <w:rPr>
                <w:b/>
                <w:bCs/>
                <w:sz w:val="16"/>
                <w:szCs w:val="16"/>
              </w:rPr>
              <w:t>regulation)</w:t>
            </w:r>
          </w:p>
        </w:tc>
        <w:tc>
          <w:tcPr>
            <w:tcW w:w="1530" w:type="dxa"/>
            <w:shd w:val="clear" w:color="auto" w:fill="BFBFBF" w:themeFill="background1" w:themeFillShade="BF"/>
            <w:vAlign w:val="center"/>
          </w:tcPr>
          <w:p w:rsidR="009A2C37" w:rsidRPr="00CB2358" w:rsidP="00977E6D" w14:paraId="794963B8" w14:textId="77777777">
            <w:pPr>
              <w:autoSpaceDE w:val="0"/>
              <w:autoSpaceDN w:val="0"/>
              <w:adjustRightInd w:val="0"/>
              <w:jc w:val="center"/>
              <w:rPr>
                <w:b/>
                <w:bCs/>
                <w:sz w:val="16"/>
                <w:szCs w:val="16"/>
              </w:rPr>
            </w:pPr>
            <w:r w:rsidRPr="00CB2358">
              <w:rPr>
                <w:b/>
                <w:bCs/>
                <w:sz w:val="16"/>
                <w:szCs w:val="16"/>
              </w:rPr>
              <w:t>Current Penalty</w:t>
            </w:r>
          </w:p>
          <w:p w:rsidR="009A2C37" w:rsidRPr="00CB2358" w:rsidP="00977E6D" w14:paraId="0F837B37" w14:textId="77777777">
            <w:pPr>
              <w:autoSpaceDE w:val="0"/>
              <w:autoSpaceDN w:val="0"/>
              <w:adjustRightInd w:val="0"/>
              <w:jc w:val="center"/>
              <w:rPr>
                <w:sz w:val="16"/>
                <w:szCs w:val="16"/>
              </w:rPr>
            </w:pPr>
            <w:r w:rsidRPr="00CB2358">
              <w:rPr>
                <w:b/>
                <w:bCs/>
                <w:sz w:val="16"/>
                <w:szCs w:val="16"/>
              </w:rPr>
              <w:t>Level ($ Amount or Range)</w:t>
            </w:r>
          </w:p>
        </w:tc>
        <w:tc>
          <w:tcPr>
            <w:tcW w:w="1080" w:type="dxa"/>
            <w:shd w:val="clear" w:color="auto" w:fill="BFBFBF" w:themeFill="background1" w:themeFillShade="BF"/>
            <w:vAlign w:val="center"/>
          </w:tcPr>
          <w:p w:rsidR="009A2C37" w:rsidRPr="00CB2358" w:rsidP="00977E6D" w14:paraId="421A99B6" w14:textId="77777777">
            <w:pPr>
              <w:autoSpaceDE w:val="0"/>
              <w:autoSpaceDN w:val="0"/>
              <w:adjustRightInd w:val="0"/>
              <w:jc w:val="center"/>
              <w:rPr>
                <w:b/>
                <w:bCs/>
                <w:sz w:val="16"/>
                <w:szCs w:val="16"/>
              </w:rPr>
            </w:pPr>
            <w:r w:rsidRPr="00CB2358">
              <w:rPr>
                <w:b/>
                <w:bCs/>
                <w:sz w:val="16"/>
                <w:szCs w:val="16"/>
              </w:rPr>
              <w:t>Sub-Agency/</w:t>
            </w:r>
          </w:p>
          <w:p w:rsidR="009A2C37" w:rsidRPr="00CB2358" w:rsidP="00977E6D" w14:paraId="1187C5D1" w14:textId="77777777">
            <w:pPr>
              <w:autoSpaceDE w:val="0"/>
              <w:autoSpaceDN w:val="0"/>
              <w:adjustRightInd w:val="0"/>
              <w:jc w:val="center"/>
              <w:rPr>
                <w:sz w:val="16"/>
                <w:szCs w:val="16"/>
              </w:rPr>
            </w:pPr>
            <w:r w:rsidRPr="00CB2358">
              <w:rPr>
                <w:b/>
                <w:bCs/>
                <w:sz w:val="16"/>
                <w:szCs w:val="16"/>
              </w:rPr>
              <w:t>Bureau/Unit</w:t>
            </w:r>
          </w:p>
        </w:tc>
        <w:tc>
          <w:tcPr>
            <w:tcW w:w="2582" w:type="dxa"/>
            <w:shd w:val="clear" w:color="auto" w:fill="BFBFBF" w:themeFill="background1" w:themeFillShade="BF"/>
            <w:vAlign w:val="center"/>
          </w:tcPr>
          <w:p w:rsidR="009A2C37" w:rsidRPr="00CB2358" w:rsidP="00977E6D" w14:paraId="20BCAF94" w14:textId="77777777">
            <w:pPr>
              <w:autoSpaceDE w:val="0"/>
              <w:autoSpaceDN w:val="0"/>
              <w:adjustRightInd w:val="0"/>
              <w:jc w:val="center"/>
              <w:rPr>
                <w:b/>
                <w:bCs/>
                <w:sz w:val="16"/>
                <w:szCs w:val="16"/>
              </w:rPr>
            </w:pPr>
            <w:r w:rsidRPr="00CB2358">
              <w:rPr>
                <w:b/>
                <w:bCs/>
                <w:sz w:val="16"/>
                <w:szCs w:val="16"/>
              </w:rPr>
              <w:t>Location for Penalty</w:t>
            </w:r>
          </w:p>
          <w:p w:rsidR="009A2C37" w:rsidRPr="00CB2358" w:rsidP="00977E6D" w14:paraId="01A893A4" w14:textId="77777777">
            <w:pPr>
              <w:autoSpaceDE w:val="0"/>
              <w:autoSpaceDN w:val="0"/>
              <w:adjustRightInd w:val="0"/>
              <w:jc w:val="center"/>
              <w:rPr>
                <w:sz w:val="16"/>
                <w:szCs w:val="16"/>
              </w:rPr>
            </w:pPr>
            <w:r w:rsidRPr="00CB2358">
              <w:rPr>
                <w:b/>
                <w:bCs/>
                <w:sz w:val="16"/>
                <w:szCs w:val="16"/>
              </w:rPr>
              <w:t>Update Details</w:t>
            </w:r>
          </w:p>
        </w:tc>
      </w:tr>
      <w:tr w14:paraId="1EA83D91"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6E6AE7BD" w14:textId="77777777">
            <w:pPr>
              <w:autoSpaceDE w:val="0"/>
              <w:autoSpaceDN w:val="0"/>
              <w:adjustRightInd w:val="0"/>
              <w:jc w:val="center"/>
              <w:rPr>
                <w:sz w:val="16"/>
                <w:szCs w:val="16"/>
              </w:rPr>
            </w:pPr>
            <w:r w:rsidRPr="00CB2358">
              <w:rPr>
                <w:sz w:val="16"/>
                <w:szCs w:val="16"/>
              </w:rPr>
              <w:t>Communications Act of 1934, as amended</w:t>
            </w:r>
          </w:p>
        </w:tc>
        <w:tc>
          <w:tcPr>
            <w:tcW w:w="1193" w:type="dxa"/>
            <w:shd w:val="clear" w:color="auto" w:fill="auto"/>
            <w:vAlign w:val="center"/>
          </w:tcPr>
          <w:p w:rsidR="009A2C37" w:rsidRPr="00CB2358" w:rsidP="00977E6D" w14:paraId="1649413D" w14:textId="77777777">
            <w:pPr>
              <w:autoSpaceDE w:val="0"/>
              <w:autoSpaceDN w:val="0"/>
              <w:adjustRightInd w:val="0"/>
              <w:jc w:val="center"/>
              <w:rPr>
                <w:sz w:val="16"/>
                <w:szCs w:val="16"/>
              </w:rPr>
            </w:pPr>
            <w:r w:rsidRPr="00CB2358">
              <w:rPr>
                <w:sz w:val="16"/>
                <w:szCs w:val="16"/>
              </w:rPr>
              <w:t>Willful or Repeated Violation</w:t>
            </w:r>
          </w:p>
        </w:tc>
        <w:tc>
          <w:tcPr>
            <w:tcW w:w="810" w:type="dxa"/>
            <w:shd w:val="clear" w:color="auto" w:fill="auto"/>
            <w:vAlign w:val="center"/>
          </w:tcPr>
          <w:p w:rsidR="009A2C37" w:rsidRPr="00CB2358" w:rsidP="00977E6D" w14:paraId="13587324" w14:textId="77777777">
            <w:pPr>
              <w:autoSpaceDE w:val="0"/>
              <w:autoSpaceDN w:val="0"/>
              <w:adjustRightInd w:val="0"/>
              <w:jc w:val="center"/>
              <w:rPr>
                <w:sz w:val="16"/>
                <w:szCs w:val="16"/>
              </w:rPr>
            </w:pPr>
            <w:r w:rsidRPr="00CB2358">
              <w:rPr>
                <w:sz w:val="16"/>
                <w:szCs w:val="16"/>
              </w:rPr>
              <w:t xml:space="preserve">1954 </w:t>
            </w:r>
          </w:p>
          <w:p w:rsidR="009A2C37" w:rsidRPr="00CB2358" w:rsidP="00977E6D" w14:paraId="4345E579" w14:textId="77777777">
            <w:pPr>
              <w:autoSpaceDE w:val="0"/>
              <w:autoSpaceDN w:val="0"/>
              <w:adjustRightInd w:val="0"/>
              <w:jc w:val="center"/>
              <w:rPr>
                <w:sz w:val="16"/>
                <w:szCs w:val="16"/>
              </w:rPr>
            </w:pPr>
            <w:r w:rsidRPr="00CB2358">
              <w:rPr>
                <w:sz w:val="16"/>
                <w:szCs w:val="16"/>
              </w:rPr>
              <w:t>-</w:t>
            </w:r>
          </w:p>
          <w:p w:rsidR="009A2C37" w:rsidRPr="00CB2358" w:rsidP="00977E6D" w14:paraId="6B81320A" w14:textId="77777777">
            <w:pPr>
              <w:autoSpaceDE w:val="0"/>
              <w:autoSpaceDN w:val="0"/>
              <w:adjustRightInd w:val="0"/>
              <w:jc w:val="center"/>
              <w:rPr>
                <w:sz w:val="16"/>
                <w:szCs w:val="16"/>
              </w:rPr>
            </w:pPr>
            <w:r w:rsidRPr="00CB2358">
              <w:rPr>
                <w:sz w:val="16"/>
                <w:szCs w:val="16"/>
              </w:rPr>
              <w:t>2010</w:t>
            </w:r>
          </w:p>
        </w:tc>
        <w:tc>
          <w:tcPr>
            <w:tcW w:w="1170" w:type="dxa"/>
            <w:shd w:val="clear" w:color="auto" w:fill="auto"/>
            <w:vAlign w:val="center"/>
          </w:tcPr>
          <w:p w:rsidR="009A2C37" w:rsidRPr="00CB2358" w:rsidP="00977E6D" w14:paraId="566996BA"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2BC84965" w14:textId="77777777">
            <w:pPr>
              <w:autoSpaceDE w:val="0"/>
              <w:autoSpaceDN w:val="0"/>
              <w:adjustRightInd w:val="0"/>
              <w:jc w:val="center"/>
              <w:rPr>
                <w:sz w:val="16"/>
                <w:szCs w:val="16"/>
              </w:rPr>
            </w:pPr>
            <w:r w:rsidRPr="00CB2358">
              <w:rPr>
                <w:sz w:val="16"/>
                <w:szCs w:val="16"/>
              </w:rPr>
              <w:t xml:space="preserve">Up to </w:t>
            </w:r>
            <w:r>
              <w:rPr>
                <w:sz w:val="16"/>
                <w:szCs w:val="16"/>
              </w:rPr>
              <w:t>$3,870,946</w:t>
            </w:r>
          </w:p>
        </w:tc>
        <w:tc>
          <w:tcPr>
            <w:tcW w:w="1080" w:type="dxa"/>
            <w:shd w:val="clear" w:color="auto" w:fill="auto"/>
            <w:vAlign w:val="center"/>
          </w:tcPr>
          <w:p w:rsidR="009A2C37" w:rsidRPr="00CB2358" w:rsidP="00977E6D" w14:paraId="3DB469C7" w14:textId="77777777">
            <w:pPr>
              <w:autoSpaceDE w:val="0"/>
              <w:autoSpaceDN w:val="0"/>
              <w:adjustRightInd w:val="0"/>
              <w:jc w:val="center"/>
              <w:rPr>
                <w:sz w:val="16"/>
                <w:szCs w:val="16"/>
              </w:rPr>
            </w:pPr>
            <w:r w:rsidRPr="00CB2358">
              <w:rPr>
                <w:sz w:val="16"/>
                <w:szCs w:val="16"/>
              </w:rPr>
              <w:t>Enforcement Bureau (EB)</w:t>
            </w:r>
          </w:p>
        </w:tc>
        <w:tc>
          <w:tcPr>
            <w:tcW w:w="2582" w:type="dxa"/>
            <w:shd w:val="clear" w:color="auto" w:fill="auto"/>
            <w:vAlign w:val="center"/>
          </w:tcPr>
          <w:p w:rsidR="009A2C37" w:rsidP="00977E6D" w14:paraId="4D4AD913" w14:textId="6C9D3076">
            <w:pPr>
              <w:autoSpaceDE w:val="0"/>
              <w:autoSpaceDN w:val="0"/>
              <w:adjustRightInd w:val="0"/>
              <w:jc w:val="center"/>
              <w:rPr>
                <w:sz w:val="16"/>
                <w:szCs w:val="16"/>
              </w:rPr>
            </w:pPr>
            <w:r w:rsidRPr="00CB2358">
              <w:rPr>
                <w:sz w:val="16"/>
                <w:szCs w:val="16"/>
              </w:rPr>
              <w:t xml:space="preserve">Federal Register </w:t>
            </w:r>
            <w:r>
              <w:rPr>
                <w:sz w:val="16"/>
                <w:szCs w:val="16"/>
              </w:rPr>
              <w:t>86</w:t>
            </w:r>
            <w:r w:rsidRPr="00CB2358">
              <w:rPr>
                <w:sz w:val="16"/>
                <w:szCs w:val="16"/>
              </w:rPr>
              <w:t xml:space="preserve"> No. </w:t>
            </w:r>
            <w:r>
              <w:rPr>
                <w:sz w:val="16"/>
                <w:szCs w:val="16"/>
              </w:rPr>
              <w:t>10</w:t>
            </w:r>
            <w:r w:rsidR="00C933B2">
              <w:rPr>
                <w:sz w:val="16"/>
                <w:szCs w:val="16"/>
              </w:rPr>
              <w:t xml:space="preserve"> </w:t>
            </w:r>
            <w:r w:rsidRPr="00CB2358">
              <w:rPr>
                <w:sz w:val="16"/>
                <w:szCs w:val="16"/>
              </w:rPr>
              <w:t>(</w:t>
            </w:r>
            <w:r>
              <w:rPr>
                <w:sz w:val="16"/>
                <w:szCs w:val="16"/>
              </w:rPr>
              <w:t>January 15, 2021</w:t>
            </w:r>
            <w:r w:rsidRPr="00CB2358">
              <w:rPr>
                <w:sz w:val="16"/>
                <w:szCs w:val="16"/>
              </w:rPr>
              <w:t xml:space="preserve">): </w:t>
            </w:r>
            <w:r>
              <w:rPr>
                <w:sz w:val="16"/>
                <w:szCs w:val="16"/>
              </w:rPr>
              <w:t>86</w:t>
            </w:r>
            <w:r w:rsidRPr="00CB2358">
              <w:rPr>
                <w:sz w:val="16"/>
                <w:szCs w:val="16"/>
              </w:rPr>
              <w:t xml:space="preserve"> FR </w:t>
            </w:r>
            <w:r>
              <w:rPr>
                <w:sz w:val="16"/>
                <w:szCs w:val="16"/>
              </w:rPr>
              <w:t>3830</w:t>
            </w:r>
            <w:r w:rsidRPr="00CB2358">
              <w:rPr>
                <w:sz w:val="16"/>
                <w:szCs w:val="16"/>
              </w:rPr>
              <w:t>.</w:t>
            </w:r>
          </w:p>
          <w:p w:rsidR="009A2C37" w:rsidP="00977E6D" w14:paraId="4B768951" w14:textId="77777777">
            <w:pPr>
              <w:autoSpaceDE w:val="0"/>
              <w:autoSpaceDN w:val="0"/>
              <w:adjustRightInd w:val="0"/>
              <w:jc w:val="center"/>
              <w:rPr>
                <w:rStyle w:val="Hyperlink"/>
                <w:sz w:val="16"/>
                <w:szCs w:val="16"/>
              </w:rPr>
            </w:pPr>
          </w:p>
          <w:p w:rsidR="009A2C37" w:rsidP="00977E6D" w14:paraId="1D7EB2FB" w14:textId="77777777">
            <w:pPr>
              <w:autoSpaceDE w:val="0"/>
              <w:autoSpaceDN w:val="0"/>
              <w:adjustRightInd w:val="0"/>
              <w:jc w:val="center"/>
              <w:rPr>
                <w:sz w:val="16"/>
                <w:szCs w:val="16"/>
              </w:rPr>
            </w:pPr>
            <w:hyperlink r:id="rId88" w:history="1">
              <w:r w:rsidRPr="00A067CF">
                <w:rPr>
                  <w:rStyle w:val="Hyperlink"/>
                  <w:sz w:val="16"/>
                  <w:szCs w:val="16"/>
                </w:rPr>
                <w:t>https://www.govinfo.gov/app/details/FR-2021-01-15/2021-00432</w:t>
              </w:r>
            </w:hyperlink>
          </w:p>
          <w:p w:rsidR="009A2C37" w:rsidRPr="00A67600" w:rsidP="00977E6D" w14:paraId="20A516C2" w14:textId="77777777">
            <w:pPr>
              <w:autoSpaceDE w:val="0"/>
              <w:autoSpaceDN w:val="0"/>
              <w:adjustRightInd w:val="0"/>
              <w:jc w:val="center"/>
              <w:rPr>
                <w:sz w:val="16"/>
                <w:szCs w:val="16"/>
              </w:rPr>
            </w:pPr>
            <w:hyperlink r:id="rId89" w:history="1">
              <w:r w:rsidRPr="00746401">
                <w:rPr>
                  <w:rStyle w:val="Hyperlink"/>
                  <w:sz w:val="16"/>
                  <w:szCs w:val="16"/>
                </w:rPr>
                <w:t>https://www.fcc.gov/document/2021-annual-adjustment-civil-monetary-penalties-reflect-inflation</w:t>
              </w:r>
            </w:hyperlink>
            <w:r>
              <w:rPr>
                <w:sz w:val="16"/>
                <w:szCs w:val="16"/>
              </w:rPr>
              <w:t xml:space="preserve"> </w:t>
            </w:r>
          </w:p>
          <w:p w:rsidR="009A2C37" w:rsidRPr="00CB2358" w:rsidP="00977E6D" w14:paraId="7866E691" w14:textId="77777777">
            <w:pPr>
              <w:autoSpaceDE w:val="0"/>
              <w:autoSpaceDN w:val="0"/>
              <w:adjustRightInd w:val="0"/>
              <w:jc w:val="center"/>
              <w:rPr>
                <w:sz w:val="16"/>
                <w:szCs w:val="16"/>
              </w:rPr>
            </w:pPr>
            <w:hyperlink w:history="1"/>
          </w:p>
        </w:tc>
      </w:tr>
      <w:tr w14:paraId="4E57C6B2"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374EA4F0" w14:textId="77777777">
            <w:pPr>
              <w:jc w:val="center"/>
              <w:rPr>
                <w:sz w:val="16"/>
                <w:szCs w:val="16"/>
              </w:rPr>
            </w:pPr>
            <w:r w:rsidRPr="00CB2358">
              <w:rPr>
                <w:color w:val="000000"/>
                <w:sz w:val="16"/>
                <w:szCs w:val="16"/>
              </w:rPr>
              <w:t>47 U.S.C. 202 (c)</w:t>
            </w:r>
          </w:p>
        </w:tc>
        <w:tc>
          <w:tcPr>
            <w:tcW w:w="1193" w:type="dxa"/>
            <w:shd w:val="clear" w:color="auto" w:fill="auto"/>
            <w:vAlign w:val="center"/>
          </w:tcPr>
          <w:p w:rsidR="009A2C37" w:rsidRPr="00CB2358" w:rsidP="00977E6D" w14:paraId="5F1A6D0B" w14:textId="77777777">
            <w:pPr>
              <w:jc w:val="center"/>
              <w:rPr>
                <w:sz w:val="16"/>
                <w:szCs w:val="16"/>
              </w:rPr>
            </w:pPr>
            <w:r w:rsidRPr="00CB2358">
              <w:rPr>
                <w:sz w:val="16"/>
                <w:szCs w:val="16"/>
              </w:rPr>
              <w:t>Discrimination</w:t>
            </w:r>
          </w:p>
        </w:tc>
        <w:tc>
          <w:tcPr>
            <w:tcW w:w="810" w:type="dxa"/>
            <w:shd w:val="clear" w:color="auto" w:fill="auto"/>
            <w:vAlign w:val="center"/>
          </w:tcPr>
          <w:p w:rsidR="009A2C37" w:rsidRPr="00CB2358" w:rsidP="00977E6D" w14:paraId="13D62161" w14:textId="77777777">
            <w:pPr>
              <w:autoSpaceDE w:val="0"/>
              <w:autoSpaceDN w:val="0"/>
              <w:adjustRightInd w:val="0"/>
              <w:jc w:val="center"/>
              <w:rPr>
                <w:sz w:val="16"/>
                <w:szCs w:val="16"/>
              </w:rPr>
            </w:pPr>
            <w:r w:rsidRPr="00CB2358">
              <w:rPr>
                <w:sz w:val="16"/>
                <w:szCs w:val="16"/>
              </w:rPr>
              <w:t>1989</w:t>
            </w:r>
          </w:p>
        </w:tc>
        <w:tc>
          <w:tcPr>
            <w:tcW w:w="1170" w:type="dxa"/>
            <w:shd w:val="clear" w:color="auto" w:fill="auto"/>
            <w:vAlign w:val="center"/>
          </w:tcPr>
          <w:p w:rsidR="009A2C37" w:rsidRPr="00CB2358" w:rsidP="00977E6D" w14:paraId="18CB4CAC"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4A49326F" w14:textId="77777777">
            <w:pPr>
              <w:autoSpaceDE w:val="0"/>
              <w:autoSpaceDN w:val="0"/>
              <w:adjustRightInd w:val="0"/>
              <w:jc w:val="center"/>
              <w:rPr>
                <w:sz w:val="16"/>
                <w:szCs w:val="16"/>
              </w:rPr>
            </w:pPr>
            <w:r w:rsidRPr="00CB2358">
              <w:rPr>
                <w:sz w:val="16"/>
                <w:szCs w:val="16"/>
              </w:rPr>
              <w:t>$</w:t>
            </w:r>
            <w:r>
              <w:rPr>
                <w:sz w:val="16"/>
                <w:szCs w:val="16"/>
              </w:rPr>
              <w:t>12,439</w:t>
            </w:r>
          </w:p>
          <w:p w:rsidR="009A2C37" w:rsidRPr="00CB2358" w:rsidP="00977E6D" w14:paraId="75209EE4" w14:textId="77777777">
            <w:pPr>
              <w:autoSpaceDE w:val="0"/>
              <w:autoSpaceDN w:val="0"/>
              <w:adjustRightInd w:val="0"/>
              <w:jc w:val="center"/>
              <w:rPr>
                <w:sz w:val="16"/>
                <w:szCs w:val="16"/>
              </w:rPr>
            </w:pPr>
            <w:r w:rsidRPr="00CB2358">
              <w:rPr>
                <w:sz w:val="16"/>
                <w:szCs w:val="16"/>
              </w:rPr>
              <w:t>$</w:t>
            </w:r>
            <w:r>
              <w:rPr>
                <w:sz w:val="16"/>
                <w:szCs w:val="16"/>
              </w:rPr>
              <w:t>622</w:t>
            </w:r>
            <w:r w:rsidRPr="00CB2358">
              <w:rPr>
                <w:sz w:val="16"/>
                <w:szCs w:val="16"/>
              </w:rPr>
              <w:t>/day</w:t>
            </w:r>
          </w:p>
        </w:tc>
        <w:tc>
          <w:tcPr>
            <w:tcW w:w="1080" w:type="dxa"/>
            <w:shd w:val="clear" w:color="auto" w:fill="auto"/>
            <w:vAlign w:val="center"/>
          </w:tcPr>
          <w:p w:rsidR="009A2C37" w:rsidRPr="00CB2358" w:rsidP="00977E6D" w14:paraId="7F7C9779"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69CBE687" w14:textId="77777777">
            <w:pPr>
              <w:autoSpaceDE w:val="0"/>
              <w:autoSpaceDN w:val="0"/>
              <w:adjustRightInd w:val="0"/>
              <w:jc w:val="center"/>
              <w:rPr>
                <w:sz w:val="16"/>
                <w:szCs w:val="16"/>
              </w:rPr>
            </w:pPr>
            <w:r w:rsidRPr="00CB2358">
              <w:rPr>
                <w:sz w:val="16"/>
                <w:szCs w:val="16"/>
              </w:rPr>
              <w:t>Same as above</w:t>
            </w:r>
          </w:p>
        </w:tc>
      </w:tr>
      <w:tr w14:paraId="673CD846"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186E8BF5" w14:textId="77777777">
            <w:pPr>
              <w:jc w:val="center"/>
              <w:rPr>
                <w:sz w:val="16"/>
                <w:szCs w:val="16"/>
              </w:rPr>
            </w:pPr>
            <w:r w:rsidRPr="00CB2358">
              <w:rPr>
                <w:sz w:val="16"/>
                <w:szCs w:val="16"/>
              </w:rPr>
              <w:t>47 U.S.C. 203 (e)</w:t>
            </w:r>
          </w:p>
        </w:tc>
        <w:tc>
          <w:tcPr>
            <w:tcW w:w="1193" w:type="dxa"/>
            <w:shd w:val="clear" w:color="auto" w:fill="auto"/>
            <w:vAlign w:val="center"/>
          </w:tcPr>
          <w:p w:rsidR="009A2C37" w:rsidRPr="00CB2358" w:rsidP="00977E6D" w14:paraId="63FC020E" w14:textId="77777777">
            <w:pPr>
              <w:jc w:val="center"/>
              <w:rPr>
                <w:sz w:val="16"/>
                <w:szCs w:val="16"/>
              </w:rPr>
            </w:pPr>
            <w:r w:rsidRPr="00CB2358">
              <w:rPr>
                <w:sz w:val="16"/>
                <w:szCs w:val="16"/>
              </w:rPr>
              <w:t>Schedules of Charges</w:t>
            </w:r>
          </w:p>
        </w:tc>
        <w:tc>
          <w:tcPr>
            <w:tcW w:w="810" w:type="dxa"/>
            <w:shd w:val="clear" w:color="auto" w:fill="auto"/>
            <w:vAlign w:val="center"/>
          </w:tcPr>
          <w:p w:rsidR="009A2C37" w:rsidRPr="00CB2358" w:rsidP="00977E6D" w14:paraId="55E7BAEF" w14:textId="77777777">
            <w:pPr>
              <w:autoSpaceDE w:val="0"/>
              <w:autoSpaceDN w:val="0"/>
              <w:adjustRightInd w:val="0"/>
              <w:jc w:val="center"/>
              <w:rPr>
                <w:sz w:val="16"/>
                <w:szCs w:val="16"/>
              </w:rPr>
            </w:pPr>
            <w:r w:rsidRPr="00CB2358">
              <w:rPr>
                <w:sz w:val="16"/>
                <w:szCs w:val="16"/>
              </w:rPr>
              <w:t>1989</w:t>
            </w:r>
          </w:p>
        </w:tc>
        <w:tc>
          <w:tcPr>
            <w:tcW w:w="1170" w:type="dxa"/>
            <w:shd w:val="clear" w:color="auto" w:fill="auto"/>
            <w:vAlign w:val="center"/>
          </w:tcPr>
          <w:p w:rsidR="009A2C37" w:rsidRPr="00CB2358" w:rsidP="00977E6D" w14:paraId="35FB5996"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06A8A584" w14:textId="77777777">
            <w:pPr>
              <w:autoSpaceDE w:val="0"/>
              <w:autoSpaceDN w:val="0"/>
              <w:adjustRightInd w:val="0"/>
              <w:jc w:val="center"/>
              <w:rPr>
                <w:sz w:val="16"/>
                <w:szCs w:val="16"/>
              </w:rPr>
            </w:pPr>
            <w:r w:rsidRPr="00CB2358">
              <w:rPr>
                <w:sz w:val="16"/>
                <w:szCs w:val="16"/>
              </w:rPr>
              <w:t>$</w:t>
            </w:r>
            <w:r>
              <w:rPr>
                <w:sz w:val="16"/>
                <w:szCs w:val="16"/>
              </w:rPr>
              <w:t>12,439</w:t>
            </w:r>
          </w:p>
          <w:p w:rsidR="009A2C37" w:rsidRPr="00CB2358" w:rsidP="00977E6D" w14:paraId="0EE25A26" w14:textId="77777777">
            <w:pPr>
              <w:autoSpaceDE w:val="0"/>
              <w:autoSpaceDN w:val="0"/>
              <w:adjustRightInd w:val="0"/>
              <w:jc w:val="center"/>
              <w:rPr>
                <w:sz w:val="16"/>
                <w:szCs w:val="16"/>
              </w:rPr>
            </w:pPr>
            <w:r w:rsidRPr="00CB2358">
              <w:rPr>
                <w:sz w:val="16"/>
                <w:szCs w:val="16"/>
              </w:rPr>
              <w:t>$</w:t>
            </w:r>
            <w:r>
              <w:rPr>
                <w:sz w:val="16"/>
                <w:szCs w:val="16"/>
              </w:rPr>
              <w:t>622</w:t>
            </w:r>
            <w:r w:rsidRPr="00CB2358">
              <w:rPr>
                <w:sz w:val="16"/>
                <w:szCs w:val="16"/>
              </w:rPr>
              <w:t>/day</w:t>
            </w:r>
          </w:p>
        </w:tc>
        <w:tc>
          <w:tcPr>
            <w:tcW w:w="1080" w:type="dxa"/>
            <w:shd w:val="clear" w:color="auto" w:fill="auto"/>
            <w:vAlign w:val="center"/>
          </w:tcPr>
          <w:p w:rsidR="009A2C37" w:rsidRPr="00CB2358" w:rsidP="00977E6D" w14:paraId="1CA92931"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209DF7EC" w14:textId="77777777">
            <w:pPr>
              <w:autoSpaceDE w:val="0"/>
              <w:autoSpaceDN w:val="0"/>
              <w:adjustRightInd w:val="0"/>
              <w:jc w:val="center"/>
              <w:rPr>
                <w:sz w:val="16"/>
                <w:szCs w:val="16"/>
              </w:rPr>
            </w:pPr>
            <w:r w:rsidRPr="00CB2358">
              <w:rPr>
                <w:sz w:val="16"/>
                <w:szCs w:val="16"/>
              </w:rPr>
              <w:t>Same as above</w:t>
            </w:r>
          </w:p>
        </w:tc>
      </w:tr>
      <w:tr w14:paraId="02C747D7"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2441D078" w14:textId="77777777">
            <w:pPr>
              <w:jc w:val="center"/>
              <w:rPr>
                <w:sz w:val="16"/>
                <w:szCs w:val="16"/>
              </w:rPr>
            </w:pPr>
            <w:r w:rsidRPr="00CB2358">
              <w:rPr>
                <w:sz w:val="16"/>
                <w:szCs w:val="16"/>
              </w:rPr>
              <w:t>47 U.S.C. 205 (b)</w:t>
            </w:r>
          </w:p>
        </w:tc>
        <w:tc>
          <w:tcPr>
            <w:tcW w:w="1193" w:type="dxa"/>
            <w:shd w:val="clear" w:color="auto" w:fill="auto"/>
            <w:vAlign w:val="center"/>
          </w:tcPr>
          <w:p w:rsidR="009A2C37" w:rsidRPr="00CB2358" w:rsidP="00977E6D" w14:paraId="0BE759AC" w14:textId="77777777">
            <w:pPr>
              <w:jc w:val="center"/>
              <w:rPr>
                <w:sz w:val="16"/>
                <w:szCs w:val="16"/>
              </w:rPr>
            </w:pPr>
            <w:r w:rsidRPr="00CB2358">
              <w:rPr>
                <w:sz w:val="16"/>
                <w:szCs w:val="16"/>
              </w:rPr>
              <w:t>Commission Charges</w:t>
            </w:r>
          </w:p>
        </w:tc>
        <w:tc>
          <w:tcPr>
            <w:tcW w:w="810" w:type="dxa"/>
            <w:shd w:val="clear" w:color="auto" w:fill="auto"/>
            <w:vAlign w:val="center"/>
          </w:tcPr>
          <w:p w:rsidR="009A2C37" w:rsidRPr="00CB2358" w:rsidP="00977E6D" w14:paraId="4567D94D" w14:textId="77777777">
            <w:pPr>
              <w:autoSpaceDE w:val="0"/>
              <w:autoSpaceDN w:val="0"/>
              <w:adjustRightInd w:val="0"/>
              <w:jc w:val="center"/>
              <w:rPr>
                <w:sz w:val="16"/>
                <w:szCs w:val="16"/>
              </w:rPr>
            </w:pPr>
            <w:r w:rsidRPr="00CB2358">
              <w:rPr>
                <w:sz w:val="16"/>
                <w:szCs w:val="16"/>
              </w:rPr>
              <w:t>1989</w:t>
            </w:r>
          </w:p>
        </w:tc>
        <w:tc>
          <w:tcPr>
            <w:tcW w:w="1170" w:type="dxa"/>
            <w:shd w:val="clear" w:color="auto" w:fill="auto"/>
            <w:vAlign w:val="center"/>
          </w:tcPr>
          <w:p w:rsidR="009A2C37" w:rsidRPr="00CB2358" w:rsidP="00977E6D" w14:paraId="3C083331"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21A0BEF0" w14:textId="77777777">
            <w:pPr>
              <w:autoSpaceDE w:val="0"/>
              <w:autoSpaceDN w:val="0"/>
              <w:adjustRightInd w:val="0"/>
              <w:jc w:val="center"/>
              <w:rPr>
                <w:sz w:val="16"/>
                <w:szCs w:val="16"/>
              </w:rPr>
            </w:pPr>
            <w:r w:rsidRPr="00CB2358">
              <w:rPr>
                <w:sz w:val="16"/>
                <w:szCs w:val="16"/>
              </w:rPr>
              <w:t>$</w:t>
            </w:r>
            <w:r>
              <w:rPr>
                <w:sz w:val="16"/>
                <w:szCs w:val="16"/>
              </w:rPr>
              <w:t>24,877</w:t>
            </w:r>
          </w:p>
        </w:tc>
        <w:tc>
          <w:tcPr>
            <w:tcW w:w="1080" w:type="dxa"/>
            <w:shd w:val="clear" w:color="auto" w:fill="auto"/>
            <w:vAlign w:val="center"/>
          </w:tcPr>
          <w:p w:rsidR="009A2C37" w:rsidRPr="00CB2358" w:rsidP="00977E6D" w14:paraId="2EC9B263"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0ACD5875" w14:textId="77777777">
            <w:pPr>
              <w:autoSpaceDE w:val="0"/>
              <w:autoSpaceDN w:val="0"/>
              <w:adjustRightInd w:val="0"/>
              <w:jc w:val="center"/>
              <w:rPr>
                <w:sz w:val="16"/>
                <w:szCs w:val="16"/>
              </w:rPr>
            </w:pPr>
            <w:r w:rsidRPr="00CB2358">
              <w:rPr>
                <w:sz w:val="16"/>
                <w:szCs w:val="16"/>
              </w:rPr>
              <w:t>Same as above</w:t>
            </w:r>
          </w:p>
        </w:tc>
      </w:tr>
      <w:tr w14:paraId="1FCD0DA3"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321BB396" w14:textId="77777777">
            <w:pPr>
              <w:jc w:val="center"/>
              <w:rPr>
                <w:sz w:val="16"/>
                <w:szCs w:val="16"/>
              </w:rPr>
            </w:pPr>
            <w:r w:rsidRPr="00CB2358">
              <w:rPr>
                <w:sz w:val="16"/>
                <w:szCs w:val="16"/>
              </w:rPr>
              <w:t>47 U.S.C. 214 (d)</w:t>
            </w:r>
          </w:p>
        </w:tc>
        <w:tc>
          <w:tcPr>
            <w:tcW w:w="1193" w:type="dxa"/>
            <w:shd w:val="clear" w:color="auto" w:fill="auto"/>
            <w:vAlign w:val="center"/>
          </w:tcPr>
          <w:p w:rsidR="009A2C37" w:rsidRPr="00CB2358" w:rsidP="00977E6D" w14:paraId="6BC548F9" w14:textId="77777777">
            <w:pPr>
              <w:jc w:val="center"/>
              <w:rPr>
                <w:sz w:val="16"/>
                <w:szCs w:val="16"/>
              </w:rPr>
            </w:pPr>
            <w:r w:rsidRPr="00CB2358">
              <w:rPr>
                <w:sz w:val="16"/>
                <w:szCs w:val="16"/>
              </w:rPr>
              <w:t>Extension of lines</w:t>
            </w:r>
          </w:p>
        </w:tc>
        <w:tc>
          <w:tcPr>
            <w:tcW w:w="810" w:type="dxa"/>
            <w:shd w:val="clear" w:color="auto" w:fill="auto"/>
            <w:vAlign w:val="center"/>
          </w:tcPr>
          <w:p w:rsidR="009A2C37" w:rsidRPr="00CB2358" w:rsidP="00977E6D" w14:paraId="0A8D743E" w14:textId="77777777">
            <w:pPr>
              <w:autoSpaceDE w:val="0"/>
              <w:autoSpaceDN w:val="0"/>
              <w:adjustRightInd w:val="0"/>
              <w:jc w:val="center"/>
              <w:rPr>
                <w:sz w:val="16"/>
                <w:szCs w:val="16"/>
              </w:rPr>
            </w:pPr>
            <w:r w:rsidRPr="00CB2358">
              <w:rPr>
                <w:sz w:val="16"/>
                <w:szCs w:val="16"/>
              </w:rPr>
              <w:t>1989</w:t>
            </w:r>
          </w:p>
        </w:tc>
        <w:tc>
          <w:tcPr>
            <w:tcW w:w="1170" w:type="dxa"/>
            <w:shd w:val="clear" w:color="auto" w:fill="auto"/>
            <w:vAlign w:val="center"/>
          </w:tcPr>
          <w:p w:rsidR="009A2C37" w:rsidRPr="00CB2358" w:rsidP="00977E6D" w14:paraId="6FB124B2"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79D9A703" w14:textId="77777777">
            <w:pPr>
              <w:autoSpaceDE w:val="0"/>
              <w:autoSpaceDN w:val="0"/>
              <w:adjustRightInd w:val="0"/>
              <w:jc w:val="center"/>
              <w:rPr>
                <w:sz w:val="16"/>
                <w:szCs w:val="16"/>
              </w:rPr>
            </w:pPr>
            <w:r w:rsidRPr="00CB2358">
              <w:rPr>
                <w:sz w:val="16"/>
                <w:szCs w:val="16"/>
              </w:rPr>
              <w:t>$</w:t>
            </w:r>
            <w:r>
              <w:rPr>
                <w:sz w:val="16"/>
                <w:szCs w:val="16"/>
              </w:rPr>
              <w:t>2,487</w:t>
            </w:r>
          </w:p>
        </w:tc>
        <w:tc>
          <w:tcPr>
            <w:tcW w:w="1080" w:type="dxa"/>
            <w:shd w:val="clear" w:color="auto" w:fill="auto"/>
            <w:vAlign w:val="center"/>
          </w:tcPr>
          <w:p w:rsidR="009A2C37" w:rsidRPr="00CB2358" w:rsidP="00977E6D" w14:paraId="2DE92317"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63F3ECB7" w14:textId="77777777">
            <w:pPr>
              <w:autoSpaceDE w:val="0"/>
              <w:autoSpaceDN w:val="0"/>
              <w:adjustRightInd w:val="0"/>
              <w:jc w:val="center"/>
              <w:rPr>
                <w:sz w:val="16"/>
                <w:szCs w:val="16"/>
              </w:rPr>
            </w:pPr>
            <w:r w:rsidRPr="00CB2358">
              <w:rPr>
                <w:sz w:val="16"/>
                <w:szCs w:val="16"/>
              </w:rPr>
              <w:t>Same as above</w:t>
            </w:r>
          </w:p>
        </w:tc>
      </w:tr>
      <w:tr w14:paraId="033BF58C" w14:textId="77777777" w:rsidTr="00977E6D">
        <w:tblPrEx>
          <w:tblW w:w="9805" w:type="dxa"/>
          <w:jc w:val="center"/>
          <w:tblLayout w:type="fixed"/>
          <w:tblLook w:val="04A0"/>
        </w:tblPrEx>
        <w:trPr>
          <w:trHeight w:val="305"/>
          <w:jc w:val="center"/>
        </w:trPr>
        <w:tc>
          <w:tcPr>
            <w:tcW w:w="1440" w:type="dxa"/>
            <w:shd w:val="clear" w:color="auto" w:fill="BFBFBF" w:themeFill="background1" w:themeFillShade="BF"/>
            <w:vAlign w:val="center"/>
          </w:tcPr>
          <w:p w:rsidR="009A2C37" w:rsidRPr="00CB2358" w:rsidP="00977E6D" w14:paraId="1890E1EF" w14:textId="77777777">
            <w:pPr>
              <w:jc w:val="center"/>
              <w:rPr>
                <w:sz w:val="16"/>
                <w:szCs w:val="16"/>
              </w:rPr>
            </w:pPr>
            <w:r w:rsidRPr="00CB2358">
              <w:rPr>
                <w:sz w:val="16"/>
                <w:szCs w:val="16"/>
              </w:rPr>
              <w:t>47 U.S.C. 219 (b)</w:t>
            </w:r>
          </w:p>
        </w:tc>
        <w:tc>
          <w:tcPr>
            <w:tcW w:w="1193" w:type="dxa"/>
            <w:shd w:val="clear" w:color="auto" w:fill="auto"/>
            <w:vAlign w:val="center"/>
          </w:tcPr>
          <w:p w:rsidR="009A2C37" w:rsidRPr="00CB2358" w:rsidP="00977E6D" w14:paraId="09385EC0" w14:textId="77777777">
            <w:pPr>
              <w:jc w:val="center"/>
              <w:rPr>
                <w:sz w:val="16"/>
                <w:szCs w:val="16"/>
              </w:rPr>
            </w:pPr>
            <w:r w:rsidRPr="00CB2358">
              <w:rPr>
                <w:sz w:val="16"/>
                <w:szCs w:val="16"/>
              </w:rPr>
              <w:t>Annual Report</w:t>
            </w:r>
          </w:p>
        </w:tc>
        <w:tc>
          <w:tcPr>
            <w:tcW w:w="810" w:type="dxa"/>
            <w:shd w:val="clear" w:color="auto" w:fill="auto"/>
            <w:vAlign w:val="center"/>
          </w:tcPr>
          <w:p w:rsidR="009A2C37" w:rsidRPr="00CB2358" w:rsidP="00977E6D" w14:paraId="5297A5D2" w14:textId="77777777">
            <w:pPr>
              <w:autoSpaceDE w:val="0"/>
              <w:autoSpaceDN w:val="0"/>
              <w:adjustRightInd w:val="0"/>
              <w:jc w:val="center"/>
              <w:rPr>
                <w:sz w:val="16"/>
                <w:szCs w:val="16"/>
              </w:rPr>
            </w:pPr>
            <w:r w:rsidRPr="00CB2358">
              <w:rPr>
                <w:sz w:val="16"/>
                <w:szCs w:val="16"/>
              </w:rPr>
              <w:t>1989</w:t>
            </w:r>
          </w:p>
        </w:tc>
        <w:tc>
          <w:tcPr>
            <w:tcW w:w="1170" w:type="dxa"/>
            <w:shd w:val="clear" w:color="auto" w:fill="auto"/>
            <w:vAlign w:val="center"/>
          </w:tcPr>
          <w:p w:rsidR="009A2C37" w:rsidRPr="00CB2358" w:rsidP="00977E6D" w14:paraId="1EC13A5D"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75E8C9CA" w14:textId="77777777">
            <w:pPr>
              <w:autoSpaceDE w:val="0"/>
              <w:autoSpaceDN w:val="0"/>
              <w:adjustRightInd w:val="0"/>
              <w:jc w:val="center"/>
              <w:rPr>
                <w:sz w:val="16"/>
                <w:szCs w:val="16"/>
              </w:rPr>
            </w:pPr>
            <w:r w:rsidRPr="00CB2358">
              <w:rPr>
                <w:sz w:val="16"/>
                <w:szCs w:val="16"/>
              </w:rPr>
              <w:t>$</w:t>
            </w:r>
            <w:r>
              <w:rPr>
                <w:sz w:val="16"/>
                <w:szCs w:val="16"/>
              </w:rPr>
              <w:t>2,487</w:t>
            </w:r>
          </w:p>
        </w:tc>
        <w:tc>
          <w:tcPr>
            <w:tcW w:w="1080" w:type="dxa"/>
            <w:shd w:val="clear" w:color="auto" w:fill="auto"/>
            <w:vAlign w:val="center"/>
          </w:tcPr>
          <w:p w:rsidR="009A2C37" w:rsidRPr="00CB2358" w:rsidP="00977E6D" w14:paraId="7E923993"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4AB7AB85" w14:textId="77777777">
            <w:pPr>
              <w:autoSpaceDE w:val="0"/>
              <w:autoSpaceDN w:val="0"/>
              <w:adjustRightInd w:val="0"/>
              <w:jc w:val="center"/>
              <w:rPr>
                <w:sz w:val="16"/>
                <w:szCs w:val="16"/>
              </w:rPr>
            </w:pPr>
            <w:r w:rsidRPr="00CB2358">
              <w:rPr>
                <w:sz w:val="16"/>
                <w:szCs w:val="16"/>
              </w:rPr>
              <w:t>Same as above</w:t>
            </w:r>
          </w:p>
        </w:tc>
      </w:tr>
      <w:tr w14:paraId="4EF77A0A"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2E47A260" w14:textId="77777777">
            <w:pPr>
              <w:jc w:val="center"/>
              <w:rPr>
                <w:sz w:val="16"/>
                <w:szCs w:val="16"/>
              </w:rPr>
            </w:pPr>
            <w:r w:rsidRPr="00CB2358">
              <w:rPr>
                <w:sz w:val="16"/>
                <w:szCs w:val="16"/>
              </w:rPr>
              <w:t>47 U.S.C. 220 (d)</w:t>
            </w:r>
          </w:p>
        </w:tc>
        <w:tc>
          <w:tcPr>
            <w:tcW w:w="1193" w:type="dxa"/>
            <w:shd w:val="clear" w:color="auto" w:fill="auto"/>
            <w:vAlign w:val="center"/>
          </w:tcPr>
          <w:p w:rsidR="009A2C37" w:rsidRPr="00CB2358" w:rsidP="00977E6D" w14:paraId="0D2CFE4B" w14:textId="77777777">
            <w:pPr>
              <w:jc w:val="center"/>
              <w:rPr>
                <w:sz w:val="16"/>
                <w:szCs w:val="16"/>
              </w:rPr>
            </w:pPr>
            <w:r w:rsidRPr="00CB2358">
              <w:rPr>
                <w:sz w:val="16"/>
                <w:szCs w:val="16"/>
              </w:rPr>
              <w:t>Failure to maintain records</w:t>
            </w:r>
          </w:p>
        </w:tc>
        <w:tc>
          <w:tcPr>
            <w:tcW w:w="810" w:type="dxa"/>
            <w:shd w:val="clear" w:color="auto" w:fill="auto"/>
            <w:vAlign w:val="center"/>
          </w:tcPr>
          <w:p w:rsidR="009A2C37" w:rsidRPr="00CB2358" w:rsidP="00977E6D" w14:paraId="12243D52" w14:textId="77777777">
            <w:pPr>
              <w:autoSpaceDE w:val="0"/>
              <w:autoSpaceDN w:val="0"/>
              <w:adjustRightInd w:val="0"/>
              <w:jc w:val="center"/>
              <w:rPr>
                <w:sz w:val="16"/>
                <w:szCs w:val="16"/>
              </w:rPr>
            </w:pPr>
            <w:r w:rsidRPr="00CB2358">
              <w:rPr>
                <w:sz w:val="16"/>
                <w:szCs w:val="16"/>
              </w:rPr>
              <w:t>1989</w:t>
            </w:r>
          </w:p>
        </w:tc>
        <w:tc>
          <w:tcPr>
            <w:tcW w:w="1170" w:type="dxa"/>
            <w:shd w:val="clear" w:color="auto" w:fill="auto"/>
            <w:vAlign w:val="center"/>
          </w:tcPr>
          <w:p w:rsidR="009A2C37" w:rsidRPr="00CB2358" w:rsidP="00977E6D" w14:paraId="13511D80"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29E57F82" w14:textId="77777777">
            <w:pPr>
              <w:autoSpaceDE w:val="0"/>
              <w:autoSpaceDN w:val="0"/>
              <w:adjustRightInd w:val="0"/>
              <w:jc w:val="center"/>
              <w:rPr>
                <w:sz w:val="16"/>
                <w:szCs w:val="16"/>
              </w:rPr>
            </w:pPr>
            <w:r w:rsidRPr="00CB2358">
              <w:rPr>
                <w:sz w:val="16"/>
                <w:szCs w:val="16"/>
              </w:rPr>
              <w:t>$</w:t>
            </w:r>
            <w:r>
              <w:rPr>
                <w:sz w:val="16"/>
                <w:szCs w:val="16"/>
              </w:rPr>
              <w:t>12,439</w:t>
            </w:r>
          </w:p>
        </w:tc>
        <w:tc>
          <w:tcPr>
            <w:tcW w:w="1080" w:type="dxa"/>
            <w:shd w:val="clear" w:color="auto" w:fill="auto"/>
            <w:vAlign w:val="center"/>
          </w:tcPr>
          <w:p w:rsidR="009A2C37" w:rsidRPr="00CB2358" w:rsidP="00977E6D" w14:paraId="6459670E"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54D37334" w14:textId="77777777">
            <w:pPr>
              <w:autoSpaceDE w:val="0"/>
              <w:autoSpaceDN w:val="0"/>
              <w:adjustRightInd w:val="0"/>
              <w:jc w:val="center"/>
              <w:rPr>
                <w:sz w:val="16"/>
                <w:szCs w:val="16"/>
              </w:rPr>
            </w:pPr>
            <w:r w:rsidRPr="00CB2358">
              <w:rPr>
                <w:sz w:val="16"/>
                <w:szCs w:val="16"/>
              </w:rPr>
              <w:t>Same as above</w:t>
            </w:r>
          </w:p>
        </w:tc>
      </w:tr>
      <w:tr w14:paraId="0F242A4F"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0711BDE8" w14:textId="77777777">
            <w:pPr>
              <w:jc w:val="center"/>
              <w:rPr>
                <w:sz w:val="16"/>
                <w:szCs w:val="16"/>
              </w:rPr>
            </w:pPr>
            <w:r w:rsidRPr="00CB2358">
              <w:rPr>
                <w:sz w:val="16"/>
                <w:szCs w:val="16"/>
              </w:rPr>
              <w:t>47 U.S.C. 223 (b)</w:t>
            </w:r>
          </w:p>
        </w:tc>
        <w:tc>
          <w:tcPr>
            <w:tcW w:w="1193" w:type="dxa"/>
            <w:shd w:val="clear" w:color="auto" w:fill="auto"/>
            <w:vAlign w:val="center"/>
          </w:tcPr>
          <w:p w:rsidR="009A2C37" w:rsidRPr="00CB2358" w:rsidP="00977E6D" w14:paraId="4EAF32D0" w14:textId="77777777">
            <w:pPr>
              <w:jc w:val="center"/>
              <w:rPr>
                <w:sz w:val="16"/>
                <w:szCs w:val="16"/>
              </w:rPr>
            </w:pPr>
            <w:r w:rsidRPr="00CB2358">
              <w:rPr>
                <w:sz w:val="16"/>
                <w:szCs w:val="16"/>
              </w:rPr>
              <w:t>Obscene/ harassing telephone calls</w:t>
            </w:r>
          </w:p>
        </w:tc>
        <w:tc>
          <w:tcPr>
            <w:tcW w:w="810" w:type="dxa"/>
            <w:shd w:val="clear" w:color="auto" w:fill="auto"/>
            <w:vAlign w:val="center"/>
          </w:tcPr>
          <w:p w:rsidR="009A2C37" w:rsidRPr="00CB2358" w:rsidP="00977E6D" w14:paraId="323D44FB" w14:textId="77777777">
            <w:pPr>
              <w:autoSpaceDE w:val="0"/>
              <w:autoSpaceDN w:val="0"/>
              <w:adjustRightInd w:val="0"/>
              <w:jc w:val="center"/>
              <w:rPr>
                <w:sz w:val="16"/>
                <w:szCs w:val="16"/>
              </w:rPr>
            </w:pPr>
            <w:r w:rsidRPr="00CB2358">
              <w:rPr>
                <w:sz w:val="16"/>
                <w:szCs w:val="16"/>
              </w:rPr>
              <w:t>1983</w:t>
            </w:r>
          </w:p>
        </w:tc>
        <w:tc>
          <w:tcPr>
            <w:tcW w:w="1170" w:type="dxa"/>
            <w:shd w:val="clear" w:color="auto" w:fill="auto"/>
            <w:vAlign w:val="center"/>
          </w:tcPr>
          <w:p w:rsidR="009A2C37" w:rsidRPr="00CB2358" w:rsidP="00977E6D" w14:paraId="738C2ED7"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63EDF041" w14:textId="77777777">
            <w:pPr>
              <w:autoSpaceDE w:val="0"/>
              <w:autoSpaceDN w:val="0"/>
              <w:adjustRightInd w:val="0"/>
              <w:jc w:val="center"/>
              <w:rPr>
                <w:sz w:val="16"/>
                <w:szCs w:val="16"/>
              </w:rPr>
            </w:pPr>
            <w:r w:rsidRPr="00CB2358">
              <w:rPr>
                <w:sz w:val="16"/>
                <w:szCs w:val="16"/>
              </w:rPr>
              <w:t>$</w:t>
            </w:r>
            <w:r>
              <w:rPr>
                <w:sz w:val="16"/>
                <w:szCs w:val="16"/>
              </w:rPr>
              <w:t>128,904</w:t>
            </w:r>
          </w:p>
        </w:tc>
        <w:tc>
          <w:tcPr>
            <w:tcW w:w="1080" w:type="dxa"/>
            <w:shd w:val="clear" w:color="auto" w:fill="auto"/>
            <w:vAlign w:val="center"/>
          </w:tcPr>
          <w:p w:rsidR="009A2C37" w:rsidRPr="00CB2358" w:rsidP="00977E6D" w14:paraId="3A26DB16"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7FAF9CED" w14:textId="77777777">
            <w:pPr>
              <w:autoSpaceDE w:val="0"/>
              <w:autoSpaceDN w:val="0"/>
              <w:adjustRightInd w:val="0"/>
              <w:jc w:val="center"/>
              <w:rPr>
                <w:sz w:val="16"/>
                <w:szCs w:val="16"/>
              </w:rPr>
            </w:pPr>
            <w:r w:rsidRPr="00CB2358">
              <w:rPr>
                <w:sz w:val="16"/>
                <w:szCs w:val="16"/>
              </w:rPr>
              <w:t>Same as above</w:t>
            </w:r>
          </w:p>
        </w:tc>
      </w:tr>
      <w:tr w14:paraId="59277FC2" w14:textId="77777777" w:rsidTr="00977E6D">
        <w:tblPrEx>
          <w:tblW w:w="9805" w:type="dxa"/>
          <w:jc w:val="center"/>
          <w:tblLayout w:type="fixed"/>
          <w:tblLook w:val="04A0"/>
        </w:tblPrEx>
        <w:trPr>
          <w:trHeight w:val="1214"/>
          <w:jc w:val="center"/>
        </w:trPr>
        <w:tc>
          <w:tcPr>
            <w:tcW w:w="1440" w:type="dxa"/>
            <w:shd w:val="clear" w:color="auto" w:fill="BFBFBF" w:themeFill="background1" w:themeFillShade="BF"/>
            <w:vAlign w:val="center"/>
          </w:tcPr>
          <w:p w:rsidR="009A2C37" w:rsidRPr="00CB2358" w:rsidP="00977E6D" w14:paraId="7977D610" w14:textId="77777777">
            <w:pPr>
              <w:jc w:val="center"/>
              <w:rPr>
                <w:sz w:val="16"/>
                <w:szCs w:val="16"/>
              </w:rPr>
            </w:pPr>
            <w:r w:rsidRPr="00CB2358">
              <w:rPr>
                <w:sz w:val="16"/>
                <w:szCs w:val="16"/>
              </w:rPr>
              <w:t>47 U.S.C. 227 (e)</w:t>
            </w:r>
          </w:p>
        </w:tc>
        <w:tc>
          <w:tcPr>
            <w:tcW w:w="1193" w:type="dxa"/>
            <w:shd w:val="clear" w:color="auto" w:fill="auto"/>
            <w:vAlign w:val="center"/>
          </w:tcPr>
          <w:p w:rsidR="009A2C37" w:rsidRPr="00CB2358" w:rsidP="00977E6D" w14:paraId="055C1AF4" w14:textId="77777777">
            <w:pPr>
              <w:jc w:val="center"/>
              <w:rPr>
                <w:sz w:val="16"/>
                <w:szCs w:val="16"/>
              </w:rPr>
            </w:pPr>
            <w:r w:rsidRPr="00CB2358">
              <w:rPr>
                <w:sz w:val="16"/>
                <w:szCs w:val="16"/>
              </w:rPr>
              <w:t>Telephone equipment restrictions</w:t>
            </w:r>
          </w:p>
        </w:tc>
        <w:tc>
          <w:tcPr>
            <w:tcW w:w="810" w:type="dxa"/>
            <w:shd w:val="clear" w:color="auto" w:fill="auto"/>
            <w:vAlign w:val="center"/>
          </w:tcPr>
          <w:p w:rsidR="009A2C37" w:rsidRPr="00CB2358" w:rsidP="00977E6D" w14:paraId="3982AEED" w14:textId="77777777">
            <w:pPr>
              <w:autoSpaceDE w:val="0"/>
              <w:autoSpaceDN w:val="0"/>
              <w:adjustRightInd w:val="0"/>
              <w:jc w:val="center"/>
              <w:rPr>
                <w:sz w:val="16"/>
                <w:szCs w:val="16"/>
              </w:rPr>
            </w:pPr>
            <w:r w:rsidRPr="00CB2358">
              <w:rPr>
                <w:sz w:val="16"/>
                <w:szCs w:val="16"/>
              </w:rPr>
              <w:t>2010</w:t>
            </w:r>
          </w:p>
        </w:tc>
        <w:tc>
          <w:tcPr>
            <w:tcW w:w="1170" w:type="dxa"/>
            <w:shd w:val="clear" w:color="auto" w:fill="auto"/>
            <w:vAlign w:val="center"/>
          </w:tcPr>
          <w:p w:rsidR="009A2C37" w:rsidRPr="00CB2358" w:rsidP="00977E6D" w14:paraId="657D7AFC"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19E3FAED" w14:textId="77777777">
            <w:pPr>
              <w:autoSpaceDE w:val="0"/>
              <w:autoSpaceDN w:val="0"/>
              <w:adjustRightInd w:val="0"/>
              <w:jc w:val="center"/>
              <w:rPr>
                <w:sz w:val="16"/>
                <w:szCs w:val="16"/>
              </w:rPr>
            </w:pPr>
            <w:r w:rsidRPr="00CB2358">
              <w:rPr>
                <w:sz w:val="16"/>
                <w:szCs w:val="16"/>
              </w:rPr>
              <w:t>$</w:t>
            </w:r>
            <w:r>
              <w:rPr>
                <w:sz w:val="16"/>
                <w:szCs w:val="16"/>
              </w:rPr>
              <w:t>11,905</w:t>
            </w:r>
            <w:r w:rsidRPr="00CB2358">
              <w:rPr>
                <w:sz w:val="16"/>
                <w:szCs w:val="16"/>
              </w:rPr>
              <w:t>/violation $</w:t>
            </w:r>
            <w:r>
              <w:rPr>
                <w:sz w:val="16"/>
                <w:szCs w:val="16"/>
              </w:rPr>
              <w:t>35,715</w:t>
            </w:r>
            <w:r w:rsidRPr="00CB2358">
              <w:rPr>
                <w:sz w:val="16"/>
                <w:szCs w:val="16"/>
              </w:rPr>
              <w:t>/day for each day of continuing violation up to $</w:t>
            </w:r>
            <w:r>
              <w:rPr>
                <w:sz w:val="16"/>
                <w:szCs w:val="16"/>
              </w:rPr>
              <w:t>1,190,546</w:t>
            </w:r>
            <w:r w:rsidRPr="00CB2358">
              <w:rPr>
                <w:sz w:val="16"/>
                <w:szCs w:val="16"/>
              </w:rPr>
              <w:t xml:space="preserve"> for any single act or failure to act</w:t>
            </w:r>
          </w:p>
        </w:tc>
        <w:tc>
          <w:tcPr>
            <w:tcW w:w="1080" w:type="dxa"/>
            <w:shd w:val="clear" w:color="auto" w:fill="auto"/>
            <w:vAlign w:val="center"/>
          </w:tcPr>
          <w:p w:rsidR="009A2C37" w:rsidRPr="00CB2358" w:rsidP="00977E6D" w14:paraId="5A1E26B8"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51C04BC4" w14:textId="77777777">
            <w:pPr>
              <w:autoSpaceDE w:val="0"/>
              <w:autoSpaceDN w:val="0"/>
              <w:adjustRightInd w:val="0"/>
              <w:jc w:val="center"/>
              <w:rPr>
                <w:sz w:val="16"/>
                <w:szCs w:val="16"/>
              </w:rPr>
            </w:pPr>
            <w:r w:rsidRPr="00CB2358">
              <w:rPr>
                <w:sz w:val="16"/>
                <w:szCs w:val="16"/>
              </w:rPr>
              <w:t>Same as above</w:t>
            </w:r>
          </w:p>
        </w:tc>
      </w:tr>
      <w:tr w14:paraId="2B5A0085"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5B5D2259" w14:textId="77777777">
            <w:pPr>
              <w:jc w:val="center"/>
              <w:rPr>
                <w:sz w:val="16"/>
                <w:szCs w:val="16"/>
              </w:rPr>
            </w:pPr>
            <w:r w:rsidRPr="00CB2358">
              <w:rPr>
                <w:sz w:val="16"/>
                <w:szCs w:val="16"/>
              </w:rPr>
              <w:t>47 U.S.C. 36</w:t>
            </w:r>
            <w:r>
              <w:rPr>
                <w:sz w:val="16"/>
                <w:szCs w:val="16"/>
              </w:rPr>
              <w:t>2</w:t>
            </w:r>
            <w:r w:rsidRPr="00CB2358">
              <w:rPr>
                <w:sz w:val="16"/>
                <w:szCs w:val="16"/>
              </w:rPr>
              <w:t xml:space="preserve"> (a)</w:t>
            </w:r>
          </w:p>
        </w:tc>
        <w:tc>
          <w:tcPr>
            <w:tcW w:w="1193" w:type="dxa"/>
            <w:shd w:val="clear" w:color="auto" w:fill="auto"/>
            <w:vAlign w:val="center"/>
          </w:tcPr>
          <w:p w:rsidR="009A2C37" w:rsidRPr="00CB2358" w:rsidP="00977E6D" w14:paraId="1EFB8740" w14:textId="77777777">
            <w:pPr>
              <w:jc w:val="center"/>
              <w:rPr>
                <w:sz w:val="16"/>
                <w:szCs w:val="16"/>
              </w:rPr>
            </w:pPr>
            <w:r w:rsidRPr="00CB2358">
              <w:rPr>
                <w:sz w:val="16"/>
                <w:szCs w:val="16"/>
              </w:rPr>
              <w:t>Radio on board ships – Forfeitures</w:t>
            </w:r>
          </w:p>
        </w:tc>
        <w:tc>
          <w:tcPr>
            <w:tcW w:w="810" w:type="dxa"/>
            <w:shd w:val="clear" w:color="auto" w:fill="auto"/>
            <w:vAlign w:val="center"/>
          </w:tcPr>
          <w:p w:rsidR="009A2C37" w:rsidRPr="00CB2358" w:rsidP="00977E6D" w14:paraId="328070B3" w14:textId="77777777">
            <w:pPr>
              <w:autoSpaceDE w:val="0"/>
              <w:autoSpaceDN w:val="0"/>
              <w:adjustRightInd w:val="0"/>
              <w:jc w:val="center"/>
              <w:rPr>
                <w:sz w:val="16"/>
                <w:szCs w:val="16"/>
              </w:rPr>
            </w:pPr>
            <w:r w:rsidRPr="00CB2358">
              <w:rPr>
                <w:sz w:val="16"/>
                <w:szCs w:val="16"/>
              </w:rPr>
              <w:t>1989</w:t>
            </w:r>
          </w:p>
        </w:tc>
        <w:tc>
          <w:tcPr>
            <w:tcW w:w="1170" w:type="dxa"/>
            <w:shd w:val="clear" w:color="auto" w:fill="auto"/>
            <w:vAlign w:val="center"/>
          </w:tcPr>
          <w:p w:rsidR="009A2C37" w:rsidRPr="00CB2358" w:rsidP="00977E6D" w14:paraId="047063B0"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66AD168D" w14:textId="77777777">
            <w:pPr>
              <w:autoSpaceDE w:val="0"/>
              <w:autoSpaceDN w:val="0"/>
              <w:adjustRightInd w:val="0"/>
              <w:jc w:val="center"/>
              <w:rPr>
                <w:sz w:val="16"/>
                <w:szCs w:val="16"/>
              </w:rPr>
            </w:pPr>
            <w:r w:rsidRPr="00CB2358">
              <w:rPr>
                <w:sz w:val="16"/>
                <w:szCs w:val="16"/>
              </w:rPr>
              <w:t>$</w:t>
            </w:r>
            <w:r>
              <w:rPr>
                <w:sz w:val="16"/>
                <w:szCs w:val="16"/>
              </w:rPr>
              <w:t>10,366</w:t>
            </w:r>
          </w:p>
        </w:tc>
        <w:tc>
          <w:tcPr>
            <w:tcW w:w="1080" w:type="dxa"/>
            <w:shd w:val="clear" w:color="auto" w:fill="auto"/>
            <w:vAlign w:val="center"/>
          </w:tcPr>
          <w:p w:rsidR="009A2C37" w:rsidRPr="00CB2358" w:rsidP="00977E6D" w14:paraId="1947013B"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5406FE63" w14:textId="77777777">
            <w:pPr>
              <w:autoSpaceDE w:val="0"/>
              <w:autoSpaceDN w:val="0"/>
              <w:adjustRightInd w:val="0"/>
              <w:jc w:val="center"/>
              <w:rPr>
                <w:sz w:val="16"/>
                <w:szCs w:val="16"/>
              </w:rPr>
            </w:pPr>
            <w:r w:rsidRPr="00CB2358">
              <w:rPr>
                <w:sz w:val="16"/>
                <w:szCs w:val="16"/>
              </w:rPr>
              <w:t>Same as above</w:t>
            </w:r>
          </w:p>
        </w:tc>
      </w:tr>
      <w:tr w14:paraId="1B868812"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36D2BF04" w14:textId="77777777">
            <w:pPr>
              <w:jc w:val="center"/>
              <w:rPr>
                <w:sz w:val="16"/>
                <w:szCs w:val="16"/>
              </w:rPr>
            </w:pPr>
            <w:r w:rsidRPr="00CB2358">
              <w:rPr>
                <w:sz w:val="16"/>
                <w:szCs w:val="16"/>
              </w:rPr>
              <w:t>47 U.S.C. 36</w:t>
            </w:r>
            <w:r>
              <w:rPr>
                <w:sz w:val="16"/>
                <w:szCs w:val="16"/>
              </w:rPr>
              <w:t>2</w:t>
            </w:r>
            <w:r w:rsidRPr="00CB2358">
              <w:rPr>
                <w:sz w:val="16"/>
                <w:szCs w:val="16"/>
              </w:rPr>
              <w:t xml:space="preserve"> (b)</w:t>
            </w:r>
          </w:p>
        </w:tc>
        <w:tc>
          <w:tcPr>
            <w:tcW w:w="1193" w:type="dxa"/>
            <w:shd w:val="clear" w:color="auto" w:fill="auto"/>
            <w:vAlign w:val="center"/>
          </w:tcPr>
          <w:p w:rsidR="009A2C37" w:rsidRPr="00CB2358" w:rsidP="00977E6D" w14:paraId="4DF6C7FB" w14:textId="77777777">
            <w:pPr>
              <w:autoSpaceDE w:val="0"/>
              <w:autoSpaceDN w:val="0"/>
              <w:adjustRightInd w:val="0"/>
              <w:jc w:val="center"/>
              <w:rPr>
                <w:sz w:val="16"/>
                <w:szCs w:val="16"/>
              </w:rPr>
            </w:pPr>
            <w:r w:rsidRPr="00CB2358">
              <w:rPr>
                <w:sz w:val="16"/>
                <w:szCs w:val="16"/>
              </w:rPr>
              <w:t xml:space="preserve">Radio on board ships - Forfeitures </w:t>
            </w:r>
          </w:p>
        </w:tc>
        <w:tc>
          <w:tcPr>
            <w:tcW w:w="810" w:type="dxa"/>
            <w:shd w:val="clear" w:color="auto" w:fill="auto"/>
            <w:vAlign w:val="center"/>
          </w:tcPr>
          <w:p w:rsidR="009A2C37" w:rsidRPr="00CB2358" w:rsidP="00977E6D" w14:paraId="0F62C59F" w14:textId="77777777">
            <w:pPr>
              <w:autoSpaceDE w:val="0"/>
              <w:autoSpaceDN w:val="0"/>
              <w:adjustRightInd w:val="0"/>
              <w:jc w:val="center"/>
              <w:rPr>
                <w:sz w:val="16"/>
                <w:szCs w:val="16"/>
              </w:rPr>
            </w:pPr>
            <w:r w:rsidRPr="00CB2358">
              <w:rPr>
                <w:sz w:val="16"/>
                <w:szCs w:val="16"/>
              </w:rPr>
              <w:t>1989</w:t>
            </w:r>
          </w:p>
        </w:tc>
        <w:tc>
          <w:tcPr>
            <w:tcW w:w="1170" w:type="dxa"/>
            <w:shd w:val="clear" w:color="auto" w:fill="auto"/>
            <w:vAlign w:val="center"/>
          </w:tcPr>
          <w:p w:rsidR="009A2C37" w:rsidRPr="00CB2358" w:rsidP="00977E6D" w14:paraId="5B442BA4"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614B2C56" w14:textId="77777777">
            <w:pPr>
              <w:autoSpaceDE w:val="0"/>
              <w:autoSpaceDN w:val="0"/>
              <w:adjustRightInd w:val="0"/>
              <w:jc w:val="center"/>
              <w:rPr>
                <w:sz w:val="16"/>
                <w:szCs w:val="16"/>
              </w:rPr>
            </w:pPr>
            <w:r w:rsidRPr="00CB2358">
              <w:rPr>
                <w:sz w:val="16"/>
                <w:szCs w:val="16"/>
              </w:rPr>
              <w:t>$</w:t>
            </w:r>
            <w:r>
              <w:rPr>
                <w:sz w:val="16"/>
                <w:szCs w:val="16"/>
              </w:rPr>
              <w:t>2,074</w:t>
            </w:r>
          </w:p>
        </w:tc>
        <w:tc>
          <w:tcPr>
            <w:tcW w:w="1080" w:type="dxa"/>
            <w:shd w:val="clear" w:color="auto" w:fill="auto"/>
            <w:vAlign w:val="center"/>
          </w:tcPr>
          <w:p w:rsidR="009A2C37" w:rsidRPr="00CB2358" w:rsidP="00977E6D" w14:paraId="1BF0BF74"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7DED814E" w14:textId="77777777">
            <w:pPr>
              <w:autoSpaceDE w:val="0"/>
              <w:autoSpaceDN w:val="0"/>
              <w:adjustRightInd w:val="0"/>
              <w:jc w:val="center"/>
              <w:rPr>
                <w:sz w:val="16"/>
                <w:szCs w:val="16"/>
              </w:rPr>
            </w:pPr>
            <w:r w:rsidRPr="00CB2358">
              <w:rPr>
                <w:sz w:val="16"/>
                <w:szCs w:val="16"/>
              </w:rPr>
              <w:t>Same as above</w:t>
            </w:r>
          </w:p>
        </w:tc>
      </w:tr>
      <w:tr w14:paraId="53B20AD1"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131EE266" w14:textId="77777777">
            <w:pPr>
              <w:jc w:val="center"/>
              <w:rPr>
                <w:sz w:val="16"/>
                <w:szCs w:val="16"/>
              </w:rPr>
            </w:pPr>
            <w:r w:rsidRPr="00CB2358">
              <w:rPr>
                <w:sz w:val="16"/>
                <w:szCs w:val="16"/>
              </w:rPr>
              <w:t>47 U.S.C. 386 (a)</w:t>
            </w:r>
          </w:p>
        </w:tc>
        <w:tc>
          <w:tcPr>
            <w:tcW w:w="1193" w:type="dxa"/>
            <w:shd w:val="clear" w:color="auto" w:fill="auto"/>
            <w:vAlign w:val="center"/>
          </w:tcPr>
          <w:p w:rsidR="009A2C37" w:rsidRPr="00CB2358" w:rsidP="00977E6D" w14:paraId="22E01DF3" w14:textId="77777777">
            <w:pPr>
              <w:autoSpaceDE w:val="0"/>
              <w:autoSpaceDN w:val="0"/>
              <w:adjustRightInd w:val="0"/>
              <w:jc w:val="center"/>
              <w:rPr>
                <w:sz w:val="16"/>
                <w:szCs w:val="16"/>
              </w:rPr>
            </w:pPr>
            <w:r w:rsidRPr="00CB2358">
              <w:rPr>
                <w:sz w:val="16"/>
                <w:szCs w:val="16"/>
              </w:rPr>
              <w:t xml:space="preserve">Radio on board ships - Forfeitures </w:t>
            </w:r>
          </w:p>
        </w:tc>
        <w:tc>
          <w:tcPr>
            <w:tcW w:w="810" w:type="dxa"/>
            <w:shd w:val="clear" w:color="auto" w:fill="auto"/>
            <w:vAlign w:val="center"/>
          </w:tcPr>
          <w:p w:rsidR="009A2C37" w:rsidRPr="00CB2358" w:rsidP="00977E6D" w14:paraId="0AE9C447" w14:textId="77777777">
            <w:pPr>
              <w:autoSpaceDE w:val="0"/>
              <w:autoSpaceDN w:val="0"/>
              <w:adjustRightInd w:val="0"/>
              <w:jc w:val="center"/>
              <w:rPr>
                <w:sz w:val="16"/>
                <w:szCs w:val="16"/>
              </w:rPr>
            </w:pPr>
            <w:r w:rsidRPr="00CB2358">
              <w:rPr>
                <w:sz w:val="16"/>
                <w:szCs w:val="16"/>
              </w:rPr>
              <w:t>1989</w:t>
            </w:r>
          </w:p>
        </w:tc>
        <w:tc>
          <w:tcPr>
            <w:tcW w:w="1170" w:type="dxa"/>
            <w:shd w:val="clear" w:color="auto" w:fill="auto"/>
            <w:vAlign w:val="center"/>
          </w:tcPr>
          <w:p w:rsidR="009A2C37" w:rsidRPr="00CB2358" w:rsidP="00977E6D" w14:paraId="451B98D5"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4EC2F054" w14:textId="77777777">
            <w:pPr>
              <w:autoSpaceDE w:val="0"/>
              <w:autoSpaceDN w:val="0"/>
              <w:adjustRightInd w:val="0"/>
              <w:jc w:val="center"/>
              <w:rPr>
                <w:sz w:val="16"/>
                <w:szCs w:val="16"/>
              </w:rPr>
            </w:pPr>
            <w:r w:rsidRPr="00CB2358">
              <w:rPr>
                <w:sz w:val="16"/>
                <w:szCs w:val="16"/>
              </w:rPr>
              <w:t>$</w:t>
            </w:r>
            <w:r>
              <w:rPr>
                <w:sz w:val="16"/>
                <w:szCs w:val="16"/>
              </w:rPr>
              <w:t>10,366</w:t>
            </w:r>
          </w:p>
        </w:tc>
        <w:tc>
          <w:tcPr>
            <w:tcW w:w="1080" w:type="dxa"/>
            <w:shd w:val="clear" w:color="auto" w:fill="auto"/>
            <w:vAlign w:val="center"/>
          </w:tcPr>
          <w:p w:rsidR="009A2C37" w:rsidRPr="00CB2358" w:rsidP="00977E6D" w14:paraId="278AB543"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0F5890A7" w14:textId="77777777">
            <w:pPr>
              <w:autoSpaceDE w:val="0"/>
              <w:autoSpaceDN w:val="0"/>
              <w:adjustRightInd w:val="0"/>
              <w:jc w:val="center"/>
              <w:rPr>
                <w:sz w:val="16"/>
                <w:szCs w:val="16"/>
              </w:rPr>
            </w:pPr>
            <w:r w:rsidRPr="00CB2358">
              <w:rPr>
                <w:sz w:val="16"/>
                <w:szCs w:val="16"/>
              </w:rPr>
              <w:t>Same as above</w:t>
            </w:r>
          </w:p>
        </w:tc>
      </w:tr>
      <w:tr w14:paraId="377FF7B0"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7055DDF2" w14:textId="77777777">
            <w:pPr>
              <w:jc w:val="center"/>
              <w:rPr>
                <w:sz w:val="16"/>
                <w:szCs w:val="16"/>
              </w:rPr>
            </w:pPr>
            <w:r w:rsidRPr="00CB2358">
              <w:rPr>
                <w:sz w:val="16"/>
                <w:szCs w:val="16"/>
              </w:rPr>
              <w:t>47 U.S.C. 386 (b)</w:t>
            </w:r>
          </w:p>
        </w:tc>
        <w:tc>
          <w:tcPr>
            <w:tcW w:w="1193" w:type="dxa"/>
            <w:shd w:val="clear" w:color="auto" w:fill="auto"/>
            <w:vAlign w:val="center"/>
          </w:tcPr>
          <w:p w:rsidR="009A2C37" w:rsidRPr="00CB2358" w:rsidP="00977E6D" w14:paraId="29308DF1" w14:textId="77777777">
            <w:pPr>
              <w:autoSpaceDE w:val="0"/>
              <w:autoSpaceDN w:val="0"/>
              <w:adjustRightInd w:val="0"/>
              <w:jc w:val="center"/>
              <w:rPr>
                <w:sz w:val="16"/>
                <w:szCs w:val="16"/>
              </w:rPr>
            </w:pPr>
            <w:r w:rsidRPr="00CB2358">
              <w:rPr>
                <w:sz w:val="16"/>
                <w:szCs w:val="16"/>
              </w:rPr>
              <w:t xml:space="preserve">Radio on board ships - Forfeitures </w:t>
            </w:r>
          </w:p>
        </w:tc>
        <w:tc>
          <w:tcPr>
            <w:tcW w:w="810" w:type="dxa"/>
            <w:shd w:val="clear" w:color="auto" w:fill="auto"/>
            <w:vAlign w:val="center"/>
          </w:tcPr>
          <w:p w:rsidR="009A2C37" w:rsidRPr="00CB2358" w:rsidP="00977E6D" w14:paraId="46C2284C" w14:textId="77777777">
            <w:pPr>
              <w:autoSpaceDE w:val="0"/>
              <w:autoSpaceDN w:val="0"/>
              <w:adjustRightInd w:val="0"/>
              <w:jc w:val="center"/>
              <w:rPr>
                <w:sz w:val="16"/>
                <w:szCs w:val="16"/>
              </w:rPr>
            </w:pPr>
            <w:r w:rsidRPr="00CB2358">
              <w:rPr>
                <w:sz w:val="16"/>
                <w:szCs w:val="16"/>
              </w:rPr>
              <w:t>1989</w:t>
            </w:r>
          </w:p>
        </w:tc>
        <w:tc>
          <w:tcPr>
            <w:tcW w:w="1170" w:type="dxa"/>
            <w:shd w:val="clear" w:color="auto" w:fill="auto"/>
            <w:vAlign w:val="center"/>
          </w:tcPr>
          <w:p w:rsidR="009A2C37" w:rsidRPr="00CB2358" w:rsidP="00977E6D" w14:paraId="2190CBF8"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4AEDB333" w14:textId="77777777">
            <w:pPr>
              <w:autoSpaceDE w:val="0"/>
              <w:autoSpaceDN w:val="0"/>
              <w:adjustRightInd w:val="0"/>
              <w:jc w:val="center"/>
              <w:rPr>
                <w:sz w:val="16"/>
                <w:szCs w:val="16"/>
              </w:rPr>
            </w:pPr>
            <w:r w:rsidRPr="00CB2358">
              <w:rPr>
                <w:sz w:val="16"/>
                <w:szCs w:val="16"/>
              </w:rPr>
              <w:t>$</w:t>
            </w:r>
            <w:r>
              <w:rPr>
                <w:sz w:val="16"/>
                <w:szCs w:val="16"/>
              </w:rPr>
              <w:t>2,074</w:t>
            </w:r>
          </w:p>
        </w:tc>
        <w:tc>
          <w:tcPr>
            <w:tcW w:w="1080" w:type="dxa"/>
            <w:shd w:val="clear" w:color="auto" w:fill="auto"/>
            <w:vAlign w:val="center"/>
          </w:tcPr>
          <w:p w:rsidR="009A2C37" w:rsidRPr="00CB2358" w:rsidP="00977E6D" w14:paraId="1C0077A8"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58FB307C" w14:textId="77777777">
            <w:pPr>
              <w:autoSpaceDE w:val="0"/>
              <w:autoSpaceDN w:val="0"/>
              <w:adjustRightInd w:val="0"/>
              <w:jc w:val="center"/>
              <w:rPr>
                <w:sz w:val="16"/>
                <w:szCs w:val="16"/>
              </w:rPr>
            </w:pPr>
            <w:r w:rsidRPr="00CB2358">
              <w:rPr>
                <w:sz w:val="16"/>
                <w:szCs w:val="16"/>
              </w:rPr>
              <w:t>Same as above</w:t>
            </w:r>
          </w:p>
        </w:tc>
      </w:tr>
      <w:tr w14:paraId="3A2638AC"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434DF154" w14:textId="77777777">
            <w:pPr>
              <w:jc w:val="center"/>
              <w:rPr>
                <w:sz w:val="16"/>
                <w:szCs w:val="16"/>
              </w:rPr>
            </w:pPr>
            <w:r w:rsidRPr="00CB2358">
              <w:rPr>
                <w:sz w:val="16"/>
                <w:szCs w:val="16"/>
              </w:rPr>
              <w:t>47 U.S.C. 503 (b)(2)(A)</w:t>
            </w:r>
          </w:p>
        </w:tc>
        <w:tc>
          <w:tcPr>
            <w:tcW w:w="1193" w:type="dxa"/>
            <w:shd w:val="clear" w:color="auto" w:fill="auto"/>
            <w:vAlign w:val="center"/>
          </w:tcPr>
          <w:p w:rsidR="009A2C37" w:rsidRPr="00CB2358" w:rsidP="00977E6D" w14:paraId="20300DEB" w14:textId="77777777">
            <w:pPr>
              <w:jc w:val="center"/>
              <w:rPr>
                <w:sz w:val="16"/>
                <w:szCs w:val="16"/>
              </w:rPr>
            </w:pPr>
            <w:r w:rsidRPr="00CB2358">
              <w:rPr>
                <w:sz w:val="16"/>
                <w:szCs w:val="16"/>
              </w:rPr>
              <w:t>Penalty provisions</w:t>
            </w:r>
          </w:p>
        </w:tc>
        <w:tc>
          <w:tcPr>
            <w:tcW w:w="810" w:type="dxa"/>
            <w:shd w:val="clear" w:color="auto" w:fill="auto"/>
            <w:vAlign w:val="center"/>
          </w:tcPr>
          <w:p w:rsidR="009A2C37" w:rsidRPr="00CB2358" w:rsidP="00977E6D" w14:paraId="6E92A126" w14:textId="77777777">
            <w:pPr>
              <w:autoSpaceDE w:val="0"/>
              <w:autoSpaceDN w:val="0"/>
              <w:adjustRightInd w:val="0"/>
              <w:jc w:val="center"/>
              <w:rPr>
                <w:sz w:val="16"/>
                <w:szCs w:val="16"/>
              </w:rPr>
            </w:pPr>
            <w:r w:rsidRPr="00CB2358">
              <w:rPr>
                <w:sz w:val="16"/>
                <w:szCs w:val="16"/>
              </w:rPr>
              <w:t>1989</w:t>
            </w:r>
          </w:p>
        </w:tc>
        <w:tc>
          <w:tcPr>
            <w:tcW w:w="1170" w:type="dxa"/>
            <w:shd w:val="clear" w:color="auto" w:fill="auto"/>
            <w:vAlign w:val="center"/>
          </w:tcPr>
          <w:p w:rsidR="009A2C37" w:rsidRPr="00CB2358" w:rsidP="00977E6D" w14:paraId="0A3D122A"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63EE8356" w14:textId="77777777">
            <w:pPr>
              <w:autoSpaceDE w:val="0"/>
              <w:autoSpaceDN w:val="0"/>
              <w:adjustRightInd w:val="0"/>
              <w:jc w:val="center"/>
              <w:rPr>
                <w:sz w:val="16"/>
                <w:szCs w:val="16"/>
              </w:rPr>
            </w:pPr>
            <w:r w:rsidRPr="00CB2358">
              <w:rPr>
                <w:rFonts w:eastAsia="Calibri"/>
                <w:sz w:val="16"/>
                <w:szCs w:val="16"/>
              </w:rPr>
              <w:t>$</w:t>
            </w:r>
            <w:r>
              <w:rPr>
                <w:rFonts w:eastAsia="Calibri"/>
                <w:sz w:val="16"/>
                <w:szCs w:val="16"/>
              </w:rPr>
              <w:t>51,827</w:t>
            </w:r>
            <w:r w:rsidRPr="00CB2358">
              <w:rPr>
                <w:rFonts w:eastAsia="Calibri"/>
                <w:sz w:val="16"/>
                <w:szCs w:val="16"/>
              </w:rPr>
              <w:t>/violation or each day of a continuing violation up to $</w:t>
            </w:r>
            <w:r>
              <w:rPr>
                <w:rFonts w:eastAsia="Calibri"/>
                <w:sz w:val="16"/>
                <w:szCs w:val="16"/>
              </w:rPr>
              <w:t>518,283</w:t>
            </w:r>
            <w:r w:rsidRPr="00CB2358">
              <w:rPr>
                <w:rFonts w:eastAsia="Calibri"/>
                <w:sz w:val="16"/>
                <w:szCs w:val="16"/>
              </w:rPr>
              <w:t xml:space="preserve"> for any single act or failure to act</w:t>
            </w:r>
          </w:p>
        </w:tc>
        <w:tc>
          <w:tcPr>
            <w:tcW w:w="1080" w:type="dxa"/>
            <w:shd w:val="clear" w:color="auto" w:fill="auto"/>
            <w:vAlign w:val="center"/>
          </w:tcPr>
          <w:p w:rsidR="009A2C37" w:rsidRPr="00CB2358" w:rsidP="00977E6D" w14:paraId="50316F48"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1386EC5C" w14:textId="77777777">
            <w:pPr>
              <w:autoSpaceDE w:val="0"/>
              <w:autoSpaceDN w:val="0"/>
              <w:adjustRightInd w:val="0"/>
              <w:jc w:val="center"/>
              <w:rPr>
                <w:sz w:val="16"/>
                <w:szCs w:val="16"/>
              </w:rPr>
            </w:pPr>
            <w:r w:rsidRPr="00CB2358">
              <w:rPr>
                <w:sz w:val="16"/>
                <w:szCs w:val="16"/>
              </w:rPr>
              <w:t>Same as above</w:t>
            </w:r>
          </w:p>
        </w:tc>
      </w:tr>
      <w:tr w14:paraId="09EC1B57"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6759019D" w14:textId="77777777">
            <w:pPr>
              <w:jc w:val="center"/>
              <w:rPr>
                <w:sz w:val="16"/>
                <w:szCs w:val="16"/>
              </w:rPr>
            </w:pPr>
            <w:r w:rsidRPr="00CB2358">
              <w:rPr>
                <w:sz w:val="16"/>
                <w:szCs w:val="16"/>
              </w:rPr>
              <w:t>47 U.S.C. 503 (b)(2)(B)</w:t>
            </w:r>
          </w:p>
        </w:tc>
        <w:tc>
          <w:tcPr>
            <w:tcW w:w="1193" w:type="dxa"/>
            <w:shd w:val="clear" w:color="auto" w:fill="auto"/>
            <w:vAlign w:val="center"/>
          </w:tcPr>
          <w:p w:rsidR="009A2C37" w:rsidRPr="00CB2358" w:rsidP="00977E6D" w14:paraId="5C9FC9C9" w14:textId="77777777">
            <w:pPr>
              <w:autoSpaceDE w:val="0"/>
              <w:autoSpaceDN w:val="0"/>
              <w:adjustRightInd w:val="0"/>
              <w:jc w:val="center"/>
              <w:rPr>
                <w:sz w:val="16"/>
                <w:szCs w:val="16"/>
              </w:rPr>
            </w:pPr>
            <w:r w:rsidRPr="00CB2358">
              <w:rPr>
                <w:sz w:val="16"/>
                <w:szCs w:val="16"/>
              </w:rPr>
              <w:t xml:space="preserve">Penalty provisions </w:t>
            </w:r>
          </w:p>
        </w:tc>
        <w:tc>
          <w:tcPr>
            <w:tcW w:w="810" w:type="dxa"/>
            <w:shd w:val="clear" w:color="auto" w:fill="auto"/>
            <w:vAlign w:val="center"/>
          </w:tcPr>
          <w:p w:rsidR="009A2C37" w:rsidRPr="00CB2358" w:rsidP="00977E6D" w14:paraId="790D177B" w14:textId="77777777">
            <w:pPr>
              <w:autoSpaceDE w:val="0"/>
              <w:autoSpaceDN w:val="0"/>
              <w:adjustRightInd w:val="0"/>
              <w:jc w:val="center"/>
              <w:rPr>
                <w:sz w:val="16"/>
                <w:szCs w:val="16"/>
              </w:rPr>
            </w:pPr>
            <w:r w:rsidRPr="00CB2358">
              <w:rPr>
                <w:sz w:val="16"/>
                <w:szCs w:val="16"/>
              </w:rPr>
              <w:t>1989</w:t>
            </w:r>
          </w:p>
        </w:tc>
        <w:tc>
          <w:tcPr>
            <w:tcW w:w="1170" w:type="dxa"/>
            <w:shd w:val="clear" w:color="auto" w:fill="auto"/>
            <w:vAlign w:val="center"/>
          </w:tcPr>
          <w:p w:rsidR="009A2C37" w:rsidRPr="00CB2358" w:rsidP="00977E6D" w14:paraId="064AC65E"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7DA8C136" w14:textId="77777777">
            <w:pPr>
              <w:autoSpaceDE w:val="0"/>
              <w:autoSpaceDN w:val="0"/>
              <w:adjustRightInd w:val="0"/>
              <w:jc w:val="center"/>
              <w:rPr>
                <w:sz w:val="16"/>
                <w:szCs w:val="16"/>
              </w:rPr>
            </w:pPr>
            <w:r w:rsidRPr="00CB2358">
              <w:rPr>
                <w:sz w:val="16"/>
                <w:szCs w:val="16"/>
              </w:rPr>
              <w:t>$</w:t>
            </w:r>
            <w:r>
              <w:rPr>
                <w:sz w:val="16"/>
                <w:szCs w:val="16"/>
              </w:rPr>
              <w:t>207,314</w:t>
            </w:r>
            <w:r w:rsidRPr="00CB2358">
              <w:rPr>
                <w:sz w:val="16"/>
                <w:szCs w:val="16"/>
              </w:rPr>
              <w:t>/violation or each day of a continuing violation up to $</w:t>
            </w:r>
            <w:r>
              <w:rPr>
                <w:sz w:val="16"/>
                <w:szCs w:val="16"/>
              </w:rPr>
              <w:t>2,073,133</w:t>
            </w:r>
            <w:r w:rsidRPr="00CB2358">
              <w:rPr>
                <w:sz w:val="16"/>
                <w:szCs w:val="16"/>
              </w:rPr>
              <w:t xml:space="preserve"> for any single act or</w:t>
            </w:r>
          </w:p>
          <w:p w:rsidR="009A2C37" w:rsidRPr="00CB2358" w:rsidP="00977E6D" w14:paraId="4E09363E" w14:textId="77777777">
            <w:pPr>
              <w:autoSpaceDE w:val="0"/>
              <w:autoSpaceDN w:val="0"/>
              <w:adjustRightInd w:val="0"/>
              <w:jc w:val="center"/>
              <w:rPr>
                <w:sz w:val="16"/>
                <w:szCs w:val="16"/>
              </w:rPr>
            </w:pPr>
            <w:r w:rsidRPr="00CB2358">
              <w:rPr>
                <w:sz w:val="16"/>
                <w:szCs w:val="16"/>
              </w:rPr>
              <w:t>failure to act</w:t>
            </w:r>
          </w:p>
        </w:tc>
        <w:tc>
          <w:tcPr>
            <w:tcW w:w="1080" w:type="dxa"/>
            <w:shd w:val="clear" w:color="auto" w:fill="auto"/>
            <w:vAlign w:val="center"/>
          </w:tcPr>
          <w:p w:rsidR="009A2C37" w:rsidRPr="00CB2358" w:rsidP="00977E6D" w14:paraId="5272CBA7"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18FBAB6C" w14:textId="77777777">
            <w:pPr>
              <w:autoSpaceDE w:val="0"/>
              <w:autoSpaceDN w:val="0"/>
              <w:adjustRightInd w:val="0"/>
              <w:jc w:val="center"/>
              <w:rPr>
                <w:sz w:val="16"/>
                <w:szCs w:val="16"/>
              </w:rPr>
            </w:pPr>
            <w:r w:rsidRPr="00CB2358">
              <w:rPr>
                <w:sz w:val="16"/>
                <w:szCs w:val="16"/>
              </w:rPr>
              <w:t>Same as above</w:t>
            </w:r>
          </w:p>
        </w:tc>
      </w:tr>
      <w:tr w14:paraId="7B4D469C"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41E1888F" w14:textId="77777777">
            <w:pPr>
              <w:jc w:val="center"/>
              <w:rPr>
                <w:sz w:val="16"/>
                <w:szCs w:val="16"/>
              </w:rPr>
            </w:pPr>
            <w:r w:rsidRPr="00CB2358">
              <w:rPr>
                <w:sz w:val="16"/>
                <w:szCs w:val="16"/>
              </w:rPr>
              <w:t>47 U.S.C. 503 (b)(2)(C)</w:t>
            </w:r>
          </w:p>
        </w:tc>
        <w:tc>
          <w:tcPr>
            <w:tcW w:w="1193" w:type="dxa"/>
            <w:shd w:val="clear" w:color="auto" w:fill="auto"/>
            <w:vAlign w:val="center"/>
          </w:tcPr>
          <w:p w:rsidR="009A2C37" w:rsidRPr="00CB2358" w:rsidP="00977E6D" w14:paraId="0440B962" w14:textId="77777777">
            <w:pPr>
              <w:autoSpaceDE w:val="0"/>
              <w:autoSpaceDN w:val="0"/>
              <w:adjustRightInd w:val="0"/>
              <w:jc w:val="center"/>
              <w:rPr>
                <w:sz w:val="16"/>
                <w:szCs w:val="16"/>
              </w:rPr>
            </w:pPr>
            <w:r w:rsidRPr="00CB2358">
              <w:rPr>
                <w:sz w:val="16"/>
                <w:szCs w:val="16"/>
              </w:rPr>
              <w:t xml:space="preserve">Penalty provisions </w:t>
            </w:r>
          </w:p>
        </w:tc>
        <w:tc>
          <w:tcPr>
            <w:tcW w:w="810" w:type="dxa"/>
            <w:shd w:val="clear" w:color="auto" w:fill="auto"/>
            <w:vAlign w:val="center"/>
          </w:tcPr>
          <w:p w:rsidR="009A2C37" w:rsidRPr="00CB2358" w:rsidP="00977E6D" w14:paraId="42149980" w14:textId="77777777">
            <w:pPr>
              <w:autoSpaceDE w:val="0"/>
              <w:autoSpaceDN w:val="0"/>
              <w:adjustRightInd w:val="0"/>
              <w:jc w:val="center"/>
              <w:rPr>
                <w:sz w:val="16"/>
                <w:szCs w:val="16"/>
              </w:rPr>
            </w:pPr>
            <w:r w:rsidRPr="00CB2358">
              <w:rPr>
                <w:sz w:val="16"/>
                <w:szCs w:val="16"/>
              </w:rPr>
              <w:t>2006</w:t>
            </w:r>
          </w:p>
        </w:tc>
        <w:tc>
          <w:tcPr>
            <w:tcW w:w="1170" w:type="dxa"/>
            <w:shd w:val="clear" w:color="auto" w:fill="auto"/>
            <w:vAlign w:val="center"/>
          </w:tcPr>
          <w:p w:rsidR="009A2C37" w:rsidRPr="00CB2358" w:rsidP="00977E6D" w14:paraId="2B51A67B"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766C947F" w14:textId="77777777">
            <w:pPr>
              <w:autoSpaceDE w:val="0"/>
              <w:autoSpaceDN w:val="0"/>
              <w:adjustRightInd w:val="0"/>
              <w:jc w:val="center"/>
              <w:rPr>
                <w:sz w:val="16"/>
                <w:szCs w:val="16"/>
              </w:rPr>
            </w:pPr>
            <w:r w:rsidRPr="00CB2358">
              <w:rPr>
                <w:sz w:val="16"/>
                <w:szCs w:val="16"/>
              </w:rPr>
              <w:t>$</w:t>
            </w:r>
            <w:r>
              <w:rPr>
                <w:sz w:val="16"/>
                <w:szCs w:val="16"/>
              </w:rPr>
              <w:t>419,353</w:t>
            </w:r>
            <w:r w:rsidRPr="00CB2358">
              <w:rPr>
                <w:sz w:val="16"/>
                <w:szCs w:val="16"/>
              </w:rPr>
              <w:t>/violation or each day of a continuing violation up to $</w:t>
            </w:r>
            <w:r>
              <w:rPr>
                <w:sz w:val="16"/>
                <w:szCs w:val="16"/>
              </w:rPr>
              <w:t>3,870,946</w:t>
            </w:r>
            <w:r w:rsidRPr="00CB2358">
              <w:rPr>
                <w:sz w:val="16"/>
                <w:szCs w:val="16"/>
              </w:rPr>
              <w:t xml:space="preserve"> for any single act or failure to act</w:t>
            </w:r>
          </w:p>
        </w:tc>
        <w:tc>
          <w:tcPr>
            <w:tcW w:w="1080" w:type="dxa"/>
            <w:shd w:val="clear" w:color="auto" w:fill="auto"/>
            <w:vAlign w:val="center"/>
          </w:tcPr>
          <w:p w:rsidR="009A2C37" w:rsidRPr="00CB2358" w:rsidP="00977E6D" w14:paraId="3E89C7D8"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46C47F1D" w14:textId="77777777">
            <w:pPr>
              <w:autoSpaceDE w:val="0"/>
              <w:autoSpaceDN w:val="0"/>
              <w:adjustRightInd w:val="0"/>
              <w:jc w:val="center"/>
              <w:rPr>
                <w:sz w:val="16"/>
                <w:szCs w:val="16"/>
              </w:rPr>
            </w:pPr>
            <w:r w:rsidRPr="00CB2358">
              <w:rPr>
                <w:sz w:val="16"/>
                <w:szCs w:val="16"/>
              </w:rPr>
              <w:t>Same as above</w:t>
            </w:r>
          </w:p>
        </w:tc>
      </w:tr>
      <w:tr w14:paraId="46FAC6FD"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5E9ACF06" w14:textId="77777777">
            <w:pPr>
              <w:jc w:val="center"/>
              <w:rPr>
                <w:sz w:val="16"/>
                <w:szCs w:val="16"/>
              </w:rPr>
            </w:pPr>
            <w:r w:rsidRPr="00CB2358">
              <w:rPr>
                <w:sz w:val="16"/>
                <w:szCs w:val="16"/>
              </w:rPr>
              <w:t>47 U.S.C. 503(b)(2)(D)</w:t>
            </w:r>
          </w:p>
        </w:tc>
        <w:tc>
          <w:tcPr>
            <w:tcW w:w="1193" w:type="dxa"/>
            <w:shd w:val="clear" w:color="auto" w:fill="auto"/>
            <w:vAlign w:val="center"/>
          </w:tcPr>
          <w:p w:rsidR="009A2C37" w:rsidRPr="00CB2358" w:rsidP="00977E6D" w14:paraId="7404F8DC" w14:textId="77777777">
            <w:pPr>
              <w:jc w:val="center"/>
              <w:rPr>
                <w:sz w:val="16"/>
                <w:szCs w:val="16"/>
              </w:rPr>
            </w:pPr>
            <w:r w:rsidRPr="00CB2358">
              <w:rPr>
                <w:sz w:val="16"/>
                <w:szCs w:val="16"/>
              </w:rPr>
              <w:t>Penalty provisions</w:t>
            </w:r>
          </w:p>
        </w:tc>
        <w:tc>
          <w:tcPr>
            <w:tcW w:w="810" w:type="dxa"/>
            <w:shd w:val="clear" w:color="auto" w:fill="auto"/>
            <w:vAlign w:val="center"/>
          </w:tcPr>
          <w:p w:rsidR="009A2C37" w:rsidRPr="00CB2358" w:rsidP="00977E6D" w14:paraId="7DCC0E66" w14:textId="77777777">
            <w:pPr>
              <w:autoSpaceDE w:val="0"/>
              <w:autoSpaceDN w:val="0"/>
              <w:adjustRightInd w:val="0"/>
              <w:jc w:val="center"/>
              <w:rPr>
                <w:sz w:val="16"/>
                <w:szCs w:val="16"/>
              </w:rPr>
            </w:pPr>
            <w:r w:rsidRPr="00CB2358">
              <w:rPr>
                <w:sz w:val="16"/>
                <w:szCs w:val="16"/>
              </w:rPr>
              <w:t>1989</w:t>
            </w:r>
          </w:p>
        </w:tc>
        <w:tc>
          <w:tcPr>
            <w:tcW w:w="1170" w:type="dxa"/>
            <w:shd w:val="clear" w:color="auto" w:fill="auto"/>
            <w:vAlign w:val="center"/>
          </w:tcPr>
          <w:p w:rsidR="009A2C37" w:rsidRPr="00CB2358" w:rsidP="00977E6D" w14:paraId="18515046"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02815298" w14:textId="77777777">
            <w:pPr>
              <w:autoSpaceDE w:val="0"/>
              <w:autoSpaceDN w:val="0"/>
              <w:adjustRightInd w:val="0"/>
              <w:jc w:val="center"/>
              <w:rPr>
                <w:sz w:val="16"/>
                <w:szCs w:val="16"/>
              </w:rPr>
            </w:pPr>
            <w:r w:rsidRPr="00CB2358">
              <w:rPr>
                <w:sz w:val="16"/>
                <w:szCs w:val="16"/>
              </w:rPr>
              <w:t>$</w:t>
            </w:r>
            <w:r>
              <w:rPr>
                <w:sz w:val="16"/>
                <w:szCs w:val="16"/>
              </w:rPr>
              <w:t>20,731</w:t>
            </w:r>
            <w:r w:rsidRPr="00CB2358">
              <w:rPr>
                <w:sz w:val="16"/>
                <w:szCs w:val="16"/>
              </w:rPr>
              <w:t>/violation or each day of a continuing violation up to $</w:t>
            </w:r>
            <w:r>
              <w:rPr>
                <w:sz w:val="16"/>
                <w:szCs w:val="16"/>
              </w:rPr>
              <w:t>155,485</w:t>
            </w:r>
            <w:r w:rsidRPr="00CB2358">
              <w:rPr>
                <w:sz w:val="16"/>
                <w:szCs w:val="16"/>
              </w:rPr>
              <w:t>for any single act or failure to act</w:t>
            </w:r>
          </w:p>
        </w:tc>
        <w:tc>
          <w:tcPr>
            <w:tcW w:w="1080" w:type="dxa"/>
            <w:shd w:val="clear" w:color="auto" w:fill="auto"/>
            <w:vAlign w:val="center"/>
          </w:tcPr>
          <w:p w:rsidR="009A2C37" w:rsidRPr="00CB2358" w:rsidP="00977E6D" w14:paraId="364A376F"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583D693A" w14:textId="77777777">
            <w:pPr>
              <w:autoSpaceDE w:val="0"/>
              <w:autoSpaceDN w:val="0"/>
              <w:adjustRightInd w:val="0"/>
              <w:jc w:val="center"/>
              <w:rPr>
                <w:sz w:val="16"/>
                <w:szCs w:val="16"/>
              </w:rPr>
            </w:pPr>
            <w:r w:rsidRPr="00CB2358">
              <w:rPr>
                <w:sz w:val="16"/>
                <w:szCs w:val="16"/>
              </w:rPr>
              <w:t>Same as above</w:t>
            </w:r>
          </w:p>
        </w:tc>
      </w:tr>
      <w:tr w14:paraId="4831D382"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1DB0A77D" w14:textId="77777777">
            <w:pPr>
              <w:jc w:val="center"/>
              <w:rPr>
                <w:sz w:val="16"/>
                <w:szCs w:val="16"/>
              </w:rPr>
            </w:pPr>
            <w:r w:rsidRPr="00CB2358">
              <w:rPr>
                <w:sz w:val="16"/>
                <w:szCs w:val="16"/>
              </w:rPr>
              <w:t>47 U.S.C. 503(b)(2)(F)</w:t>
            </w:r>
          </w:p>
        </w:tc>
        <w:tc>
          <w:tcPr>
            <w:tcW w:w="1193" w:type="dxa"/>
            <w:shd w:val="clear" w:color="auto" w:fill="auto"/>
            <w:vAlign w:val="center"/>
          </w:tcPr>
          <w:p w:rsidR="009A2C37" w:rsidRPr="00CB2358" w:rsidP="00977E6D" w14:paraId="1D161624" w14:textId="77777777">
            <w:pPr>
              <w:jc w:val="center"/>
              <w:rPr>
                <w:sz w:val="16"/>
                <w:szCs w:val="16"/>
              </w:rPr>
            </w:pPr>
            <w:r w:rsidRPr="00CB2358">
              <w:rPr>
                <w:sz w:val="16"/>
                <w:szCs w:val="16"/>
              </w:rPr>
              <w:t>Penalty provisions</w:t>
            </w:r>
          </w:p>
        </w:tc>
        <w:tc>
          <w:tcPr>
            <w:tcW w:w="810" w:type="dxa"/>
            <w:shd w:val="clear" w:color="auto" w:fill="auto"/>
            <w:vAlign w:val="center"/>
          </w:tcPr>
          <w:p w:rsidR="009A2C37" w:rsidRPr="00CB2358" w:rsidP="00977E6D" w14:paraId="735C319A" w14:textId="77777777">
            <w:pPr>
              <w:autoSpaceDE w:val="0"/>
              <w:autoSpaceDN w:val="0"/>
              <w:adjustRightInd w:val="0"/>
              <w:jc w:val="center"/>
              <w:rPr>
                <w:sz w:val="16"/>
                <w:szCs w:val="16"/>
              </w:rPr>
            </w:pPr>
            <w:r w:rsidRPr="00CB2358">
              <w:rPr>
                <w:sz w:val="16"/>
                <w:szCs w:val="16"/>
              </w:rPr>
              <w:t>2010</w:t>
            </w:r>
          </w:p>
        </w:tc>
        <w:tc>
          <w:tcPr>
            <w:tcW w:w="1170" w:type="dxa"/>
            <w:shd w:val="clear" w:color="auto" w:fill="auto"/>
            <w:vAlign w:val="center"/>
          </w:tcPr>
          <w:p w:rsidR="009A2C37" w:rsidRPr="00CB2358" w:rsidP="00977E6D" w14:paraId="32E7C893"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01066AF9" w14:textId="77777777">
            <w:pPr>
              <w:autoSpaceDE w:val="0"/>
              <w:autoSpaceDN w:val="0"/>
              <w:adjustRightInd w:val="0"/>
              <w:jc w:val="center"/>
              <w:rPr>
                <w:sz w:val="16"/>
                <w:szCs w:val="16"/>
              </w:rPr>
            </w:pPr>
            <w:r w:rsidRPr="00CB2358">
              <w:rPr>
                <w:sz w:val="16"/>
                <w:szCs w:val="16"/>
              </w:rPr>
              <w:t>$</w:t>
            </w:r>
            <w:r>
              <w:rPr>
                <w:sz w:val="16"/>
                <w:szCs w:val="16"/>
              </w:rPr>
              <w:t>119,055</w:t>
            </w:r>
            <w:r w:rsidRPr="00CB2358">
              <w:rPr>
                <w:sz w:val="16"/>
                <w:szCs w:val="16"/>
              </w:rPr>
              <w:t>/violation or each day of a continuing violation up to $</w:t>
            </w:r>
            <w:r>
              <w:rPr>
                <w:sz w:val="16"/>
                <w:szCs w:val="16"/>
              </w:rPr>
              <w:t>1,190,546</w:t>
            </w:r>
            <w:r w:rsidRPr="00CB2358">
              <w:rPr>
                <w:sz w:val="16"/>
                <w:szCs w:val="16"/>
              </w:rPr>
              <w:t xml:space="preserve"> for any single act or failure to act</w:t>
            </w:r>
          </w:p>
        </w:tc>
        <w:tc>
          <w:tcPr>
            <w:tcW w:w="1080" w:type="dxa"/>
            <w:shd w:val="clear" w:color="auto" w:fill="auto"/>
            <w:vAlign w:val="center"/>
          </w:tcPr>
          <w:p w:rsidR="009A2C37" w:rsidRPr="00CB2358" w:rsidP="00977E6D" w14:paraId="6E429571"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0B6BF8BB" w14:textId="77777777">
            <w:pPr>
              <w:autoSpaceDE w:val="0"/>
              <w:autoSpaceDN w:val="0"/>
              <w:adjustRightInd w:val="0"/>
              <w:jc w:val="center"/>
              <w:rPr>
                <w:sz w:val="16"/>
                <w:szCs w:val="16"/>
              </w:rPr>
            </w:pPr>
            <w:r w:rsidRPr="00CB2358">
              <w:rPr>
                <w:sz w:val="16"/>
                <w:szCs w:val="16"/>
              </w:rPr>
              <w:t>Same as above</w:t>
            </w:r>
          </w:p>
        </w:tc>
      </w:tr>
      <w:tr w14:paraId="0CBA31CD"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3A8BF732" w14:textId="77777777">
            <w:pPr>
              <w:jc w:val="center"/>
              <w:rPr>
                <w:sz w:val="16"/>
                <w:szCs w:val="16"/>
              </w:rPr>
            </w:pPr>
            <w:r w:rsidRPr="00CB2358">
              <w:rPr>
                <w:sz w:val="16"/>
                <w:szCs w:val="16"/>
              </w:rPr>
              <w:t>47 U.S.C. 507(a)</w:t>
            </w:r>
          </w:p>
        </w:tc>
        <w:tc>
          <w:tcPr>
            <w:tcW w:w="1193" w:type="dxa"/>
            <w:shd w:val="clear" w:color="auto" w:fill="auto"/>
            <w:vAlign w:val="center"/>
          </w:tcPr>
          <w:p w:rsidR="009A2C37" w:rsidRPr="00CB2358" w:rsidP="00977E6D" w14:paraId="26971241" w14:textId="77777777">
            <w:pPr>
              <w:jc w:val="center"/>
              <w:rPr>
                <w:sz w:val="16"/>
                <w:szCs w:val="16"/>
              </w:rPr>
            </w:pPr>
            <w:r w:rsidRPr="00CB2358">
              <w:rPr>
                <w:sz w:val="16"/>
                <w:szCs w:val="16"/>
              </w:rPr>
              <w:t>Payment disclosure</w:t>
            </w:r>
          </w:p>
        </w:tc>
        <w:tc>
          <w:tcPr>
            <w:tcW w:w="810" w:type="dxa"/>
            <w:shd w:val="clear" w:color="auto" w:fill="auto"/>
            <w:vAlign w:val="center"/>
          </w:tcPr>
          <w:p w:rsidR="009A2C37" w:rsidRPr="00CB2358" w:rsidP="00977E6D" w14:paraId="0CA42055" w14:textId="77777777">
            <w:pPr>
              <w:autoSpaceDE w:val="0"/>
              <w:autoSpaceDN w:val="0"/>
              <w:adjustRightInd w:val="0"/>
              <w:jc w:val="center"/>
              <w:rPr>
                <w:sz w:val="16"/>
                <w:szCs w:val="16"/>
              </w:rPr>
            </w:pPr>
            <w:r w:rsidRPr="00CB2358">
              <w:rPr>
                <w:sz w:val="16"/>
                <w:szCs w:val="16"/>
              </w:rPr>
              <w:t>1954</w:t>
            </w:r>
          </w:p>
        </w:tc>
        <w:tc>
          <w:tcPr>
            <w:tcW w:w="1170" w:type="dxa"/>
            <w:shd w:val="clear" w:color="auto" w:fill="auto"/>
            <w:vAlign w:val="center"/>
          </w:tcPr>
          <w:p w:rsidR="009A2C37" w:rsidRPr="00CB2358" w:rsidP="00977E6D" w14:paraId="0F7912C1"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32D14098" w14:textId="77777777">
            <w:pPr>
              <w:autoSpaceDE w:val="0"/>
              <w:autoSpaceDN w:val="0"/>
              <w:adjustRightInd w:val="0"/>
              <w:jc w:val="center"/>
              <w:rPr>
                <w:sz w:val="16"/>
                <w:szCs w:val="16"/>
              </w:rPr>
            </w:pPr>
            <w:r w:rsidRPr="00CB2358">
              <w:rPr>
                <w:sz w:val="16"/>
                <w:szCs w:val="16"/>
              </w:rPr>
              <w:t>$</w:t>
            </w:r>
            <w:r>
              <w:rPr>
                <w:sz w:val="16"/>
                <w:szCs w:val="16"/>
              </w:rPr>
              <w:t>2,053</w:t>
            </w:r>
          </w:p>
        </w:tc>
        <w:tc>
          <w:tcPr>
            <w:tcW w:w="1080" w:type="dxa"/>
            <w:shd w:val="clear" w:color="auto" w:fill="auto"/>
            <w:vAlign w:val="center"/>
          </w:tcPr>
          <w:p w:rsidR="009A2C37" w:rsidRPr="00CB2358" w:rsidP="00977E6D" w14:paraId="20A7CFD4"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60DCABDD" w14:textId="77777777">
            <w:pPr>
              <w:autoSpaceDE w:val="0"/>
              <w:autoSpaceDN w:val="0"/>
              <w:adjustRightInd w:val="0"/>
              <w:jc w:val="center"/>
              <w:rPr>
                <w:sz w:val="16"/>
                <w:szCs w:val="16"/>
              </w:rPr>
            </w:pPr>
            <w:r w:rsidRPr="00CB2358">
              <w:rPr>
                <w:sz w:val="16"/>
                <w:szCs w:val="16"/>
              </w:rPr>
              <w:t>Same as above</w:t>
            </w:r>
          </w:p>
        </w:tc>
      </w:tr>
      <w:tr w14:paraId="3DE5DF94"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5E154A41" w14:textId="77777777">
            <w:pPr>
              <w:jc w:val="center"/>
              <w:rPr>
                <w:sz w:val="16"/>
                <w:szCs w:val="16"/>
              </w:rPr>
            </w:pPr>
            <w:r w:rsidRPr="00CB2358">
              <w:rPr>
                <w:sz w:val="16"/>
                <w:szCs w:val="16"/>
              </w:rPr>
              <w:t>47 U.S.C. 507(b)</w:t>
            </w:r>
          </w:p>
        </w:tc>
        <w:tc>
          <w:tcPr>
            <w:tcW w:w="1193" w:type="dxa"/>
            <w:shd w:val="clear" w:color="auto" w:fill="auto"/>
            <w:vAlign w:val="center"/>
          </w:tcPr>
          <w:p w:rsidR="009A2C37" w:rsidRPr="00CB2358" w:rsidP="00977E6D" w14:paraId="71CE9612" w14:textId="77777777">
            <w:pPr>
              <w:autoSpaceDE w:val="0"/>
              <w:autoSpaceDN w:val="0"/>
              <w:adjustRightInd w:val="0"/>
              <w:jc w:val="center"/>
              <w:rPr>
                <w:sz w:val="16"/>
                <w:szCs w:val="16"/>
              </w:rPr>
            </w:pPr>
            <w:r w:rsidRPr="00CB2358">
              <w:rPr>
                <w:sz w:val="16"/>
                <w:szCs w:val="16"/>
              </w:rPr>
              <w:t xml:space="preserve">Payment disclosure </w:t>
            </w:r>
          </w:p>
        </w:tc>
        <w:tc>
          <w:tcPr>
            <w:tcW w:w="810" w:type="dxa"/>
            <w:shd w:val="clear" w:color="auto" w:fill="auto"/>
            <w:vAlign w:val="center"/>
          </w:tcPr>
          <w:p w:rsidR="009A2C37" w:rsidRPr="00CB2358" w:rsidP="00977E6D" w14:paraId="1D60376A" w14:textId="77777777">
            <w:pPr>
              <w:autoSpaceDE w:val="0"/>
              <w:autoSpaceDN w:val="0"/>
              <w:adjustRightInd w:val="0"/>
              <w:jc w:val="center"/>
              <w:rPr>
                <w:sz w:val="16"/>
                <w:szCs w:val="16"/>
              </w:rPr>
            </w:pPr>
            <w:r w:rsidRPr="00CB2358">
              <w:rPr>
                <w:sz w:val="16"/>
                <w:szCs w:val="16"/>
              </w:rPr>
              <w:t>1954</w:t>
            </w:r>
          </w:p>
        </w:tc>
        <w:tc>
          <w:tcPr>
            <w:tcW w:w="1170" w:type="dxa"/>
            <w:shd w:val="clear" w:color="auto" w:fill="auto"/>
            <w:vAlign w:val="center"/>
          </w:tcPr>
          <w:p w:rsidR="009A2C37" w:rsidRPr="00CB2358" w:rsidP="00977E6D" w14:paraId="0F3A8F30"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5493E852" w14:textId="77777777">
            <w:pPr>
              <w:autoSpaceDE w:val="0"/>
              <w:autoSpaceDN w:val="0"/>
              <w:adjustRightInd w:val="0"/>
              <w:jc w:val="center"/>
              <w:rPr>
                <w:sz w:val="16"/>
                <w:szCs w:val="16"/>
              </w:rPr>
            </w:pPr>
            <w:r w:rsidRPr="00CB2358">
              <w:rPr>
                <w:sz w:val="16"/>
                <w:szCs w:val="16"/>
              </w:rPr>
              <w:t>$</w:t>
            </w:r>
            <w:r>
              <w:rPr>
                <w:sz w:val="16"/>
                <w:szCs w:val="16"/>
              </w:rPr>
              <w:t>301</w:t>
            </w:r>
          </w:p>
        </w:tc>
        <w:tc>
          <w:tcPr>
            <w:tcW w:w="1080" w:type="dxa"/>
            <w:shd w:val="clear" w:color="auto" w:fill="auto"/>
            <w:vAlign w:val="center"/>
          </w:tcPr>
          <w:p w:rsidR="009A2C37" w:rsidRPr="00CB2358" w:rsidP="00977E6D" w14:paraId="4944815B"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64236BA7" w14:textId="77777777">
            <w:pPr>
              <w:autoSpaceDE w:val="0"/>
              <w:autoSpaceDN w:val="0"/>
              <w:adjustRightInd w:val="0"/>
              <w:jc w:val="center"/>
              <w:rPr>
                <w:sz w:val="16"/>
                <w:szCs w:val="16"/>
              </w:rPr>
            </w:pPr>
            <w:r w:rsidRPr="00CB2358">
              <w:rPr>
                <w:sz w:val="16"/>
                <w:szCs w:val="16"/>
              </w:rPr>
              <w:t>Same as above</w:t>
            </w:r>
          </w:p>
        </w:tc>
      </w:tr>
      <w:tr w14:paraId="45EC66DB"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36BEF88C" w14:textId="77777777">
            <w:pPr>
              <w:jc w:val="center"/>
              <w:rPr>
                <w:sz w:val="16"/>
                <w:szCs w:val="16"/>
              </w:rPr>
            </w:pPr>
            <w:r w:rsidRPr="00CB2358">
              <w:rPr>
                <w:sz w:val="16"/>
                <w:szCs w:val="16"/>
              </w:rPr>
              <w:t>47 U.S.C. 5</w:t>
            </w:r>
            <w:r>
              <w:rPr>
                <w:sz w:val="16"/>
                <w:szCs w:val="16"/>
              </w:rPr>
              <w:t>11</w:t>
            </w:r>
          </w:p>
        </w:tc>
        <w:tc>
          <w:tcPr>
            <w:tcW w:w="1193" w:type="dxa"/>
            <w:shd w:val="clear" w:color="auto" w:fill="auto"/>
            <w:vAlign w:val="center"/>
          </w:tcPr>
          <w:p w:rsidR="009A2C37" w:rsidRPr="00CB2358" w:rsidP="00977E6D" w14:paraId="5751ED26" w14:textId="77777777">
            <w:pPr>
              <w:jc w:val="center"/>
              <w:rPr>
                <w:sz w:val="16"/>
                <w:szCs w:val="16"/>
              </w:rPr>
            </w:pPr>
            <w:r>
              <w:rPr>
                <w:sz w:val="16"/>
                <w:szCs w:val="16"/>
              </w:rPr>
              <w:t>Penalty provisions</w:t>
            </w:r>
          </w:p>
        </w:tc>
        <w:tc>
          <w:tcPr>
            <w:tcW w:w="810" w:type="dxa"/>
            <w:shd w:val="clear" w:color="auto" w:fill="auto"/>
            <w:vAlign w:val="center"/>
          </w:tcPr>
          <w:p w:rsidR="009A2C37" w:rsidRPr="00CB2358" w:rsidP="00977E6D" w14:paraId="7D039FEB" w14:textId="77777777">
            <w:pPr>
              <w:autoSpaceDE w:val="0"/>
              <w:autoSpaceDN w:val="0"/>
              <w:adjustRightInd w:val="0"/>
              <w:jc w:val="center"/>
              <w:rPr>
                <w:sz w:val="16"/>
                <w:szCs w:val="16"/>
              </w:rPr>
            </w:pPr>
            <w:r>
              <w:rPr>
                <w:sz w:val="16"/>
                <w:szCs w:val="16"/>
              </w:rPr>
              <w:t>2020</w:t>
            </w:r>
          </w:p>
        </w:tc>
        <w:tc>
          <w:tcPr>
            <w:tcW w:w="1170" w:type="dxa"/>
            <w:shd w:val="clear" w:color="auto" w:fill="auto"/>
            <w:vAlign w:val="center"/>
          </w:tcPr>
          <w:p w:rsidR="009A2C37" w:rsidP="00977E6D" w14:paraId="0F1B07C4"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1B059464" w14:textId="77777777">
            <w:pPr>
              <w:autoSpaceDE w:val="0"/>
              <w:autoSpaceDN w:val="0"/>
              <w:adjustRightInd w:val="0"/>
              <w:jc w:val="center"/>
              <w:rPr>
                <w:sz w:val="16"/>
                <w:szCs w:val="16"/>
              </w:rPr>
            </w:pPr>
            <w:r w:rsidRPr="00CB2358">
              <w:rPr>
                <w:sz w:val="16"/>
                <w:szCs w:val="16"/>
              </w:rPr>
              <w:t>$</w:t>
            </w:r>
            <w:r>
              <w:rPr>
                <w:sz w:val="16"/>
                <w:szCs w:val="16"/>
              </w:rPr>
              <w:t>101,182</w:t>
            </w:r>
            <w:r w:rsidRPr="00CB2358">
              <w:rPr>
                <w:sz w:val="16"/>
                <w:szCs w:val="16"/>
              </w:rPr>
              <w:t>/violation or each day of a continuing violation up to $</w:t>
            </w:r>
            <w:r>
              <w:rPr>
                <w:sz w:val="16"/>
                <w:szCs w:val="16"/>
              </w:rPr>
              <w:t>2,023,640</w:t>
            </w:r>
            <w:r w:rsidRPr="00CB2358">
              <w:rPr>
                <w:sz w:val="16"/>
                <w:szCs w:val="16"/>
              </w:rPr>
              <w:t xml:space="preserve"> for any single act or failure to act</w:t>
            </w:r>
          </w:p>
        </w:tc>
        <w:tc>
          <w:tcPr>
            <w:tcW w:w="1080" w:type="dxa"/>
            <w:shd w:val="clear" w:color="auto" w:fill="auto"/>
            <w:vAlign w:val="center"/>
          </w:tcPr>
          <w:p w:rsidR="009A2C37" w:rsidRPr="00CB2358" w:rsidP="00977E6D" w14:paraId="401A7DEB" w14:textId="77777777">
            <w:pPr>
              <w:autoSpaceDE w:val="0"/>
              <w:autoSpaceDN w:val="0"/>
              <w:adjustRightInd w:val="0"/>
              <w:jc w:val="center"/>
              <w:rPr>
                <w:sz w:val="16"/>
                <w:szCs w:val="16"/>
              </w:rPr>
            </w:pPr>
            <w:r>
              <w:rPr>
                <w:sz w:val="16"/>
                <w:szCs w:val="16"/>
              </w:rPr>
              <w:t>EB</w:t>
            </w:r>
          </w:p>
        </w:tc>
        <w:tc>
          <w:tcPr>
            <w:tcW w:w="2582" w:type="dxa"/>
            <w:shd w:val="clear" w:color="auto" w:fill="auto"/>
            <w:vAlign w:val="center"/>
          </w:tcPr>
          <w:p w:rsidR="009A2C37" w:rsidRPr="00CB2358" w:rsidP="00977E6D" w14:paraId="535D860C" w14:textId="77777777">
            <w:pPr>
              <w:autoSpaceDE w:val="0"/>
              <w:autoSpaceDN w:val="0"/>
              <w:adjustRightInd w:val="0"/>
              <w:jc w:val="center"/>
              <w:rPr>
                <w:sz w:val="16"/>
                <w:szCs w:val="16"/>
              </w:rPr>
            </w:pPr>
            <w:r>
              <w:rPr>
                <w:sz w:val="16"/>
                <w:szCs w:val="16"/>
              </w:rPr>
              <w:t>Same as above</w:t>
            </w:r>
          </w:p>
        </w:tc>
      </w:tr>
      <w:tr w14:paraId="73CD4428" w14:textId="77777777" w:rsidTr="00977E6D">
        <w:tblPrEx>
          <w:tblW w:w="9805" w:type="dxa"/>
          <w:jc w:val="center"/>
          <w:tblLayout w:type="fixed"/>
          <w:tblLook w:val="04A0"/>
        </w:tblPrEx>
        <w:trPr>
          <w:jc w:val="center"/>
        </w:trPr>
        <w:tc>
          <w:tcPr>
            <w:tcW w:w="1440" w:type="dxa"/>
            <w:shd w:val="clear" w:color="auto" w:fill="BFBFBF" w:themeFill="background1" w:themeFillShade="BF"/>
            <w:vAlign w:val="center"/>
          </w:tcPr>
          <w:p w:rsidR="009A2C37" w:rsidRPr="00CB2358" w:rsidP="00977E6D" w14:paraId="1932BA00" w14:textId="77777777">
            <w:pPr>
              <w:jc w:val="center"/>
              <w:rPr>
                <w:sz w:val="16"/>
                <w:szCs w:val="16"/>
              </w:rPr>
            </w:pPr>
            <w:r w:rsidRPr="00CB2358">
              <w:rPr>
                <w:sz w:val="16"/>
                <w:szCs w:val="16"/>
              </w:rPr>
              <w:t>47 U.S.C. 554</w:t>
            </w:r>
          </w:p>
        </w:tc>
        <w:tc>
          <w:tcPr>
            <w:tcW w:w="1193" w:type="dxa"/>
            <w:shd w:val="clear" w:color="auto" w:fill="auto"/>
            <w:vAlign w:val="center"/>
          </w:tcPr>
          <w:p w:rsidR="009A2C37" w:rsidRPr="00CB2358" w:rsidP="00977E6D" w14:paraId="4A164EB1" w14:textId="77777777">
            <w:pPr>
              <w:jc w:val="center"/>
              <w:rPr>
                <w:sz w:val="16"/>
                <w:szCs w:val="16"/>
              </w:rPr>
            </w:pPr>
            <w:r w:rsidRPr="00CB2358">
              <w:rPr>
                <w:sz w:val="16"/>
                <w:szCs w:val="16"/>
              </w:rPr>
              <w:t>Equal employment opportunity</w:t>
            </w:r>
          </w:p>
        </w:tc>
        <w:tc>
          <w:tcPr>
            <w:tcW w:w="810" w:type="dxa"/>
            <w:shd w:val="clear" w:color="auto" w:fill="auto"/>
            <w:vAlign w:val="center"/>
          </w:tcPr>
          <w:p w:rsidR="009A2C37" w:rsidRPr="00CB2358" w:rsidP="00977E6D" w14:paraId="54D5BB16" w14:textId="77777777">
            <w:pPr>
              <w:autoSpaceDE w:val="0"/>
              <w:autoSpaceDN w:val="0"/>
              <w:adjustRightInd w:val="0"/>
              <w:jc w:val="center"/>
              <w:rPr>
                <w:sz w:val="16"/>
                <w:szCs w:val="16"/>
              </w:rPr>
            </w:pPr>
            <w:r w:rsidRPr="00CB2358">
              <w:rPr>
                <w:sz w:val="16"/>
                <w:szCs w:val="16"/>
              </w:rPr>
              <w:t>1992</w:t>
            </w:r>
          </w:p>
        </w:tc>
        <w:tc>
          <w:tcPr>
            <w:tcW w:w="1170" w:type="dxa"/>
            <w:shd w:val="clear" w:color="auto" w:fill="auto"/>
            <w:vAlign w:val="center"/>
          </w:tcPr>
          <w:p w:rsidR="009A2C37" w:rsidRPr="00CB2358" w:rsidP="00977E6D" w14:paraId="26770C37" w14:textId="77777777">
            <w:pPr>
              <w:autoSpaceDE w:val="0"/>
              <w:autoSpaceDN w:val="0"/>
              <w:adjustRightInd w:val="0"/>
              <w:jc w:val="center"/>
              <w:rPr>
                <w:sz w:val="16"/>
                <w:szCs w:val="16"/>
              </w:rPr>
            </w:pPr>
            <w:r>
              <w:rPr>
                <w:sz w:val="16"/>
                <w:szCs w:val="16"/>
              </w:rPr>
              <w:t>2021</w:t>
            </w:r>
          </w:p>
        </w:tc>
        <w:tc>
          <w:tcPr>
            <w:tcW w:w="1530" w:type="dxa"/>
            <w:shd w:val="clear" w:color="auto" w:fill="auto"/>
            <w:vAlign w:val="center"/>
          </w:tcPr>
          <w:p w:rsidR="009A2C37" w:rsidRPr="00CB2358" w:rsidP="00977E6D" w14:paraId="401C6FEC" w14:textId="77777777">
            <w:pPr>
              <w:autoSpaceDE w:val="0"/>
              <w:autoSpaceDN w:val="0"/>
              <w:adjustRightInd w:val="0"/>
              <w:jc w:val="center"/>
              <w:rPr>
                <w:sz w:val="16"/>
                <w:szCs w:val="16"/>
              </w:rPr>
            </w:pPr>
            <w:r w:rsidRPr="00CB2358">
              <w:rPr>
                <w:sz w:val="16"/>
                <w:szCs w:val="16"/>
              </w:rPr>
              <w:t>$</w:t>
            </w:r>
            <w:r>
              <w:rPr>
                <w:sz w:val="16"/>
                <w:szCs w:val="16"/>
              </w:rPr>
              <w:t>919</w:t>
            </w:r>
          </w:p>
        </w:tc>
        <w:tc>
          <w:tcPr>
            <w:tcW w:w="1080" w:type="dxa"/>
            <w:shd w:val="clear" w:color="auto" w:fill="auto"/>
            <w:vAlign w:val="center"/>
          </w:tcPr>
          <w:p w:rsidR="009A2C37" w:rsidRPr="00CB2358" w:rsidP="00977E6D" w14:paraId="1DFE97B0" w14:textId="77777777">
            <w:pPr>
              <w:autoSpaceDE w:val="0"/>
              <w:autoSpaceDN w:val="0"/>
              <w:adjustRightInd w:val="0"/>
              <w:jc w:val="center"/>
              <w:rPr>
                <w:sz w:val="16"/>
                <w:szCs w:val="16"/>
              </w:rPr>
            </w:pPr>
            <w:r w:rsidRPr="00CB2358">
              <w:rPr>
                <w:sz w:val="16"/>
                <w:szCs w:val="16"/>
              </w:rPr>
              <w:t>EB</w:t>
            </w:r>
          </w:p>
        </w:tc>
        <w:tc>
          <w:tcPr>
            <w:tcW w:w="2582" w:type="dxa"/>
            <w:shd w:val="clear" w:color="auto" w:fill="auto"/>
            <w:vAlign w:val="center"/>
          </w:tcPr>
          <w:p w:rsidR="009A2C37" w:rsidRPr="00CB2358" w:rsidP="00977E6D" w14:paraId="4B0E0471" w14:textId="77777777">
            <w:pPr>
              <w:autoSpaceDE w:val="0"/>
              <w:autoSpaceDN w:val="0"/>
              <w:adjustRightInd w:val="0"/>
              <w:jc w:val="center"/>
              <w:rPr>
                <w:sz w:val="16"/>
                <w:szCs w:val="16"/>
              </w:rPr>
            </w:pPr>
            <w:r w:rsidRPr="00CB2358">
              <w:rPr>
                <w:sz w:val="16"/>
                <w:szCs w:val="16"/>
              </w:rPr>
              <w:t>Same as above</w:t>
            </w:r>
          </w:p>
        </w:tc>
      </w:tr>
    </w:tbl>
    <w:p w:rsidR="009A2C37" w:rsidRPr="00A47FA4" w:rsidP="009A2C37" w14:paraId="041E2DF5" w14:textId="77777777"/>
    <w:p w:rsidR="009A2C37" w:rsidP="009A2C37" w14:paraId="14D5B4A6" w14:textId="77777777">
      <w:pPr>
        <w:sectPr w:rsidSect="00D86CEE">
          <w:headerReference w:type="default" r:id="rId90"/>
          <w:footerReference w:type="default" r:id="rId91"/>
          <w:footnotePr>
            <w:numRestart w:val="eachSect"/>
          </w:footnotePr>
          <w:pgSz w:w="12240" w:h="15840" w:code="1"/>
          <w:pgMar w:top="1260" w:right="1440" w:bottom="1620" w:left="1440" w:header="720" w:footer="990" w:gutter="0"/>
          <w:cols w:space="720"/>
          <w:docGrid w:linePitch="360"/>
        </w:sectPr>
      </w:pPr>
    </w:p>
    <w:p w:rsidR="009A2C37" w:rsidP="00EC23A0" w14:paraId="657FF0F6" w14:textId="41094F39">
      <w:pPr>
        <w:pStyle w:val="Heading3"/>
        <w:spacing w:after="480"/>
        <w:ind w:left="360"/>
      </w:pPr>
      <w:bookmarkStart w:id="305" w:name="_Toc467000254"/>
      <w:bookmarkStart w:id="306" w:name="_Toc85811544"/>
      <w:bookmarkStart w:id="307" w:name="_Toc88780546"/>
      <w:bookmarkStart w:id="308" w:name="_Toc88780728"/>
      <w:r w:rsidRPr="0093566F">
        <w:t>Office of Inspector General’s Management and Performance Challenges</w:t>
      </w:r>
      <w:bookmarkEnd w:id="305"/>
      <w:bookmarkEnd w:id="306"/>
      <w:bookmarkEnd w:id="307"/>
      <w:bookmarkEnd w:id="308"/>
    </w:p>
    <w:p w:rsidR="00B607FE" w:rsidP="00C04C3D" w14:paraId="520C739D" w14:textId="77777777">
      <w:pPr>
        <w:ind w:right="-4"/>
        <w:rPr>
          <w:sz w:val="20"/>
        </w:rPr>
        <w:sectPr w:rsidSect="00EC23A0">
          <w:headerReference w:type="default" r:id="rId92"/>
          <w:pgSz w:w="12240" w:h="15840"/>
          <w:pgMar w:top="1170" w:right="1440" w:bottom="1440" w:left="1440" w:header="720" w:footer="720" w:gutter="0"/>
          <w:cols w:space="720"/>
          <w:docGrid w:linePitch="360"/>
        </w:sectPr>
      </w:pPr>
      <w:bookmarkStart w:id="309" w:name="_Hlk88775037"/>
    </w:p>
    <w:p w:rsidR="00C04C3D" w:rsidP="00045F5D" w14:paraId="07CE4A25" w14:textId="285A4502">
      <w:pPr>
        <w:ind w:left="504" w:right="-4"/>
        <w:rPr>
          <w:sz w:val="20"/>
        </w:rPr>
      </w:pPr>
      <w:r w:rsidRPr="001B4772">
        <w:rPr>
          <w:noProof/>
        </w:rPr>
        <w:drawing>
          <wp:inline distT="0" distB="0" distL="0" distR="0">
            <wp:extent cx="984250" cy="933450"/>
            <wp:effectExtent l="0" t="0" r="6350" b="0"/>
            <wp:docPr id="44" name="Picture 6" descr="Seal of the United States Federal Communications Commission.">
              <a:extLst xmlns:a="http://schemas.openxmlformats.org/drawingml/2006/main">
                <a:ext xmlns:a="http://schemas.openxmlformats.org/drawingml/2006/main" uri="{FF2B5EF4-FFF2-40B4-BE49-F238E27FC236}">
                  <a16:creationId xmlns:a16="http://schemas.microsoft.com/office/drawing/2014/main" id="{7B167D5A-07B9-4500-9482-5675035522AE}"/>
                </a:ext>
              </a:extLst>
            </wp:docPr>
            <wp:cNvGraphicFramePr/>
            <a:graphic xmlns:a="http://schemas.openxmlformats.org/drawingml/2006/main">
              <a:graphicData uri="http://schemas.openxmlformats.org/drawingml/2006/picture">
                <pic:pic xmlns:pic="http://schemas.openxmlformats.org/drawingml/2006/picture">
                  <pic:nvPicPr>
                    <pic:cNvPr id="44" name="Picture 6" descr="Seal of the United States Federal Communications Commission.">
                      <a:extLst>
                        <a:ext xmlns:a="http://schemas.openxmlformats.org/drawingml/2006/main" uri="{FF2B5EF4-FFF2-40B4-BE49-F238E27FC236}">
                          <a16:creationId xmlns:a16="http://schemas.microsoft.com/office/drawing/2014/main" id="{7B167D5A-07B9-4500-9482-5675035522AE}"/>
                        </a:ext>
                      </a:extLst>
                    </pic:cNvPr>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bwMode="auto">
                    <a:xfrm>
                      <a:off x="0" y="0"/>
                      <a:ext cx="984250" cy="933450"/>
                    </a:xfrm>
                    <a:prstGeom prst="ellipse">
                      <a:avLst/>
                    </a:prstGeom>
                    <a:noFill/>
                    <a:ln>
                      <a:noFill/>
                    </a:ln>
                  </pic:spPr>
                  <a:extLst>
                    <a:ext xmlns:a="http://schemas.openxmlformats.org/drawingml/2006/main" uri="{FF2B5EF4-FFF2-40B4-BE49-F238E27FC236}">
                      <a16:creationId xmlns:a16="http://schemas.microsoft.com/office/drawing/2014/main" id="{7B167D5A-07B9-4500-9482-5675035522AE}"/>
                    </a:ext>
                  </a:extLst>
                </pic:pic>
              </a:graphicData>
            </a:graphic>
          </wp:inline>
        </w:drawing>
      </w:r>
    </w:p>
    <w:p w:rsidR="00C04C3D" w:rsidRPr="009A3B3C" w:rsidP="008202B3" w14:paraId="0FFF27F7" w14:textId="6D6D1A8F">
      <w:pPr>
        <w:spacing w:before="120" w:after="480"/>
        <w:ind w:left="576" w:right="720"/>
        <w:jc w:val="right"/>
        <w:rPr>
          <w:b/>
          <w:bCs/>
          <w:sz w:val="21"/>
          <w:szCs w:val="18"/>
        </w:rPr>
      </w:pPr>
      <w:r w:rsidRPr="009A3B3C">
        <w:rPr>
          <w:b/>
          <w:bCs/>
          <w:sz w:val="21"/>
          <w:szCs w:val="18"/>
        </w:rPr>
        <w:t xml:space="preserve">UNITED STATES GOVERNMENT </w:t>
      </w:r>
      <w:r w:rsidRPr="009A3B3C" w:rsidR="009A3B3C">
        <w:rPr>
          <w:b/>
          <w:bCs/>
          <w:sz w:val="21"/>
          <w:szCs w:val="18"/>
        </w:rPr>
        <w:br/>
      </w:r>
      <w:r w:rsidRPr="009A3B3C">
        <w:rPr>
          <w:b/>
          <w:bCs/>
          <w:sz w:val="21"/>
          <w:szCs w:val="18"/>
        </w:rPr>
        <w:t xml:space="preserve">FEDERAL COMMUNICATIONS COMMISSION </w:t>
      </w:r>
      <w:r w:rsidRPr="009A3B3C" w:rsidR="009A3B3C">
        <w:rPr>
          <w:b/>
          <w:bCs/>
          <w:sz w:val="21"/>
          <w:szCs w:val="18"/>
        </w:rPr>
        <w:br/>
      </w:r>
      <w:r w:rsidRPr="009A3B3C">
        <w:rPr>
          <w:b/>
          <w:bCs/>
          <w:sz w:val="21"/>
          <w:szCs w:val="18"/>
        </w:rPr>
        <w:t>OFFICE OF INSPECTOR GENERAL</w:t>
      </w:r>
    </w:p>
    <w:p w:rsidR="00C04C3D" w:rsidRPr="00D23156" w:rsidP="00793B56" w14:paraId="4AACDCE3" w14:textId="77777777">
      <w:pPr>
        <w:spacing w:after="240"/>
        <w:ind w:left="504" w:right="720"/>
        <w:jc w:val="right"/>
        <w:rPr>
          <w:b/>
          <w:bCs/>
          <w:sz w:val="36"/>
          <w:szCs w:val="36"/>
        </w:rPr>
      </w:pPr>
      <w:r w:rsidRPr="00D23156">
        <w:rPr>
          <w:b/>
          <w:bCs/>
          <w:sz w:val="36"/>
          <w:szCs w:val="36"/>
        </w:rPr>
        <w:t>MEMORANDUM</w:t>
      </w:r>
    </w:p>
    <w:p w:rsidR="00B607FE" w:rsidP="00B8615E" w14:paraId="46EDF293" w14:textId="77777777">
      <w:pPr>
        <w:tabs>
          <w:tab w:val="left" w:pos="1980"/>
          <w:tab w:val="left" w:pos="2070"/>
        </w:tabs>
        <w:spacing w:after="260"/>
        <w:ind w:left="504" w:right="288"/>
        <w:rPr>
          <w:b/>
          <w:bCs/>
          <w:sz w:val="21"/>
          <w:szCs w:val="18"/>
        </w:rPr>
        <w:sectPr w:rsidSect="00B607FE">
          <w:type w:val="continuous"/>
          <w:pgSz w:w="12240" w:h="15840"/>
          <w:pgMar w:top="1440" w:right="1440" w:bottom="1440" w:left="1440" w:header="720" w:footer="720" w:gutter="0"/>
          <w:cols w:num="2" w:space="0" w:equalWidth="0">
            <w:col w:w="2736"/>
            <w:col w:w="6624"/>
          </w:cols>
          <w:docGrid w:linePitch="360"/>
        </w:sectPr>
      </w:pPr>
    </w:p>
    <w:p w:rsidR="00C04C3D" w:rsidRPr="00162ED0" w:rsidP="00B8615E" w14:paraId="64A2C61B" w14:textId="42BC2540">
      <w:pPr>
        <w:tabs>
          <w:tab w:val="left" w:pos="1980"/>
          <w:tab w:val="left" w:pos="2070"/>
        </w:tabs>
        <w:spacing w:after="260"/>
        <w:ind w:left="504" w:right="288"/>
        <w:rPr>
          <w:sz w:val="21"/>
        </w:rPr>
      </w:pPr>
      <w:r w:rsidRPr="009F0AE9">
        <w:rPr>
          <w:b/>
          <w:bCs/>
          <w:sz w:val="21"/>
          <w:szCs w:val="18"/>
        </w:rPr>
        <w:t>DATE:</w:t>
      </w:r>
      <w:r w:rsidRPr="00162ED0">
        <w:rPr>
          <w:sz w:val="21"/>
          <w:szCs w:val="18"/>
        </w:rPr>
        <w:t xml:space="preserve"> </w:t>
      </w:r>
      <w:r w:rsidR="009F0AE9">
        <w:rPr>
          <w:sz w:val="21"/>
          <w:szCs w:val="18"/>
        </w:rPr>
        <w:tab/>
      </w:r>
      <w:r w:rsidRPr="00162ED0">
        <w:rPr>
          <w:sz w:val="21"/>
          <w:szCs w:val="18"/>
        </w:rPr>
        <w:t>November 5, 202</w:t>
      </w:r>
      <w:r w:rsidRPr="00162ED0">
        <w:rPr>
          <w:sz w:val="21"/>
        </w:rPr>
        <w:t>1</w:t>
      </w:r>
    </w:p>
    <w:p w:rsidR="00C04C3D" w:rsidRPr="00162ED0" w:rsidP="00992EAC" w14:paraId="5FCBD03D" w14:textId="279ACC6D">
      <w:pPr>
        <w:tabs>
          <w:tab w:val="left" w:pos="1980"/>
        </w:tabs>
        <w:ind w:left="1958" w:right="288" w:hanging="1454"/>
        <w:rPr>
          <w:sz w:val="21"/>
          <w:szCs w:val="18"/>
        </w:rPr>
      </w:pPr>
      <w:r w:rsidRPr="009F0AE9">
        <w:rPr>
          <w:b/>
          <w:bCs/>
          <w:sz w:val="21"/>
          <w:szCs w:val="18"/>
        </w:rPr>
        <w:t>TO:</w:t>
      </w:r>
      <w:r w:rsidRPr="00162ED0">
        <w:rPr>
          <w:sz w:val="21"/>
          <w:szCs w:val="18"/>
        </w:rPr>
        <w:t xml:space="preserve"> </w:t>
      </w:r>
      <w:r w:rsidR="009F0AE9">
        <w:rPr>
          <w:sz w:val="21"/>
          <w:szCs w:val="18"/>
        </w:rPr>
        <w:tab/>
      </w:r>
      <w:r w:rsidRPr="00162ED0">
        <w:rPr>
          <w:sz w:val="21"/>
          <w:szCs w:val="18"/>
        </w:rPr>
        <w:t xml:space="preserve">Chairwoman Jessica </w:t>
      </w:r>
      <w:r w:rsidRPr="00162ED0">
        <w:rPr>
          <w:sz w:val="21"/>
          <w:szCs w:val="18"/>
        </w:rPr>
        <w:t>Rosenworcel</w:t>
      </w:r>
      <w:r w:rsidR="009F0AE9">
        <w:rPr>
          <w:sz w:val="21"/>
          <w:szCs w:val="18"/>
        </w:rPr>
        <w:br/>
      </w:r>
      <w:r w:rsidRPr="00162ED0">
        <w:rPr>
          <w:sz w:val="21"/>
          <w:szCs w:val="18"/>
        </w:rPr>
        <w:t xml:space="preserve">Commissioner Brendan </w:t>
      </w:r>
      <w:r w:rsidRPr="00162ED0">
        <w:rPr>
          <w:sz w:val="21"/>
          <w:szCs w:val="18"/>
        </w:rPr>
        <w:t>Carr</w:t>
      </w:r>
      <w:r w:rsidRPr="00162ED0">
        <w:rPr>
          <w:sz w:val="21"/>
          <w:szCs w:val="18"/>
        </w:rPr>
        <w:t xml:space="preserve"> </w:t>
      </w:r>
      <w:r w:rsidR="009F0AE9">
        <w:rPr>
          <w:sz w:val="21"/>
          <w:szCs w:val="18"/>
        </w:rPr>
        <w:br/>
      </w:r>
      <w:r w:rsidRPr="00162ED0">
        <w:rPr>
          <w:sz w:val="21"/>
          <w:szCs w:val="18"/>
        </w:rPr>
        <w:t xml:space="preserve">Commissioner Geoffrey Starks </w:t>
      </w:r>
      <w:r w:rsidR="009F0AE9">
        <w:rPr>
          <w:sz w:val="21"/>
          <w:szCs w:val="18"/>
        </w:rPr>
        <w:br/>
      </w:r>
      <w:r w:rsidRPr="00162ED0">
        <w:rPr>
          <w:sz w:val="21"/>
          <w:szCs w:val="18"/>
        </w:rPr>
        <w:t>Commissioner Nathan Simington</w:t>
      </w:r>
    </w:p>
    <w:p w:rsidR="00C04C3D" w:rsidRPr="00162ED0" w:rsidP="00B8615E" w14:paraId="290093C5" w14:textId="4A1617AF">
      <w:pPr>
        <w:tabs>
          <w:tab w:val="left" w:pos="1980"/>
        </w:tabs>
        <w:spacing w:after="260"/>
        <w:ind w:left="504" w:right="288"/>
        <w:rPr>
          <w:sz w:val="21"/>
          <w:szCs w:val="18"/>
        </w:rPr>
      </w:pPr>
      <w:r w:rsidRPr="009F0AE9">
        <w:rPr>
          <w:b/>
          <w:bCs/>
          <w:sz w:val="21"/>
          <w:szCs w:val="18"/>
        </w:rPr>
        <w:t>FROM:</w:t>
      </w:r>
      <w:r w:rsidRPr="00162ED0">
        <w:rPr>
          <w:sz w:val="21"/>
          <w:szCs w:val="18"/>
        </w:rPr>
        <w:t xml:space="preserve"> </w:t>
      </w:r>
      <w:r w:rsidR="009F0AE9">
        <w:rPr>
          <w:sz w:val="21"/>
          <w:szCs w:val="18"/>
        </w:rPr>
        <w:tab/>
      </w:r>
      <w:r w:rsidRPr="00162ED0">
        <w:rPr>
          <w:sz w:val="21"/>
          <w:szCs w:val="18"/>
        </w:rPr>
        <w:t>Inspector General David Hunt</w:t>
      </w:r>
      <w:r w:rsidR="009F0AE9">
        <w:rPr>
          <w:sz w:val="21"/>
          <w:szCs w:val="18"/>
        </w:rPr>
        <w:t xml:space="preserve"> </w:t>
      </w:r>
      <w:r w:rsidR="009F0AE9">
        <w:rPr>
          <w:noProof/>
        </w:rPr>
        <w:drawing>
          <wp:inline distT="0" distB="0" distL="0" distR="0">
            <wp:extent cx="546100" cy="346451"/>
            <wp:effectExtent l="0" t="0" r="6350" b="0"/>
            <wp:docPr id="41" name="Picture 4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93"/>
                    <a:stretch>
                      <a:fillRect/>
                    </a:stretch>
                  </pic:blipFill>
                  <pic:spPr>
                    <a:xfrm>
                      <a:off x="0" y="0"/>
                      <a:ext cx="552281" cy="350372"/>
                    </a:xfrm>
                    <a:prstGeom prst="rect">
                      <a:avLst/>
                    </a:prstGeom>
                  </pic:spPr>
                  <a:extLst>
                    <a:ext xmlns:a="http://schemas.openxmlformats.org/drawingml/2006/main" uri="{C183D7F6-B498-43B3-948B-1728B52AA6E4}">
                      <adec:decorative xmlns:adec="http://schemas.microsoft.com/office/drawing/2017/decorative" val="1"/>
                    </a:ext>
                  </a:extLst>
                </pic:pic>
              </a:graphicData>
            </a:graphic>
          </wp:inline>
        </w:drawing>
      </w:r>
    </w:p>
    <w:p w:rsidR="00C04C3D" w:rsidRPr="00162ED0" w:rsidP="008202B3" w14:paraId="1631BDB7" w14:textId="5E2B611E">
      <w:pPr>
        <w:tabs>
          <w:tab w:val="left" w:pos="1980"/>
        </w:tabs>
        <w:spacing w:after="200"/>
        <w:ind w:left="504" w:right="288"/>
        <w:rPr>
          <w:sz w:val="21"/>
          <w:szCs w:val="18"/>
        </w:rPr>
      </w:pPr>
      <w:r w:rsidRPr="009F0AE9">
        <w:rPr>
          <w:b/>
          <w:bCs/>
          <w:sz w:val="21"/>
          <w:szCs w:val="18"/>
        </w:rPr>
        <w:t>SUBJECT:</w:t>
      </w:r>
      <w:r w:rsidRPr="00162ED0">
        <w:rPr>
          <w:sz w:val="21"/>
          <w:szCs w:val="18"/>
        </w:rPr>
        <w:t xml:space="preserve"> </w:t>
      </w:r>
      <w:r w:rsidR="009F0AE9">
        <w:rPr>
          <w:sz w:val="21"/>
          <w:szCs w:val="18"/>
        </w:rPr>
        <w:tab/>
      </w:r>
      <w:r w:rsidRPr="00162ED0">
        <w:rPr>
          <w:sz w:val="21"/>
          <w:szCs w:val="18"/>
        </w:rPr>
        <w:t>Management and Performance Challenges</w:t>
      </w:r>
    </w:p>
    <w:p w:rsidR="00C04C3D" w:rsidRPr="00162ED0" w:rsidP="000F2A58" w14:paraId="1A142137" w14:textId="77777777">
      <w:pPr>
        <w:spacing w:after="200"/>
        <w:ind w:left="504" w:right="288"/>
        <w:rPr>
          <w:sz w:val="21"/>
          <w:szCs w:val="18"/>
        </w:rPr>
      </w:pPr>
      <w:r w:rsidRPr="00162ED0">
        <w:rPr>
          <w:sz w:val="21"/>
          <w:szCs w:val="18"/>
        </w:rPr>
        <w:t>In accordance with the Reports Consolidation Act of 2000, the Office of Inspector General (OIG) is submitting the annual statement summarizing its assessment of the most serious management and performance challenges facing the Federal Communications Commission (FCC) in Fiscal Year (FY) 2021 and beyond. During its audits and investigations, OIG has recommended actions that best address these challenges. Additional information on OIG audits and investigations can be found in our most recent Semiannual Reports to Congress.</w:t>
      </w:r>
    </w:p>
    <w:p w:rsidR="00C04C3D" w:rsidRPr="00337096" w:rsidP="00B8328F" w14:paraId="114B041D" w14:textId="77777777">
      <w:pPr>
        <w:pStyle w:val="Heading4"/>
        <w:ind w:left="504"/>
        <w:rPr>
          <w:b w:val="0"/>
          <w:bCs w:val="0"/>
          <w:sz w:val="21"/>
          <w:szCs w:val="21"/>
          <w:u w:val="single"/>
        </w:rPr>
      </w:pPr>
      <w:bookmarkStart w:id="310" w:name="_Toc88780729"/>
      <w:r w:rsidRPr="00337096">
        <w:rPr>
          <w:b w:val="0"/>
          <w:bCs w:val="0"/>
          <w:sz w:val="21"/>
          <w:szCs w:val="21"/>
          <w:u w:val="single"/>
        </w:rPr>
        <w:t>Information Security</w:t>
      </w:r>
      <w:bookmarkEnd w:id="310"/>
    </w:p>
    <w:p w:rsidR="00C04C3D" w:rsidRPr="00162ED0" w:rsidP="00162ED0" w14:paraId="05E98ACE" w14:textId="77777777">
      <w:pPr>
        <w:spacing w:after="260"/>
        <w:ind w:left="504" w:right="288"/>
        <w:rPr>
          <w:sz w:val="21"/>
          <w:szCs w:val="18"/>
        </w:rPr>
      </w:pPr>
      <w:r w:rsidRPr="00162ED0">
        <w:rPr>
          <w:sz w:val="21"/>
          <w:szCs w:val="18"/>
        </w:rPr>
        <w:t>In alignment with FCC's strategic objective to effectively modernize the agency's information technology, the FCC has implemented significant information technology (IT) initiatives to enhance services to its stakeholders. The onset of the COVID-19 pandemic in 2020 brought challenges that the agency had to address with accelerated timelines. Even so, FCC is moving forward to implement these initiatives, keeping IT security as an 'operational enabler' with high priority.</w:t>
      </w:r>
    </w:p>
    <w:p w:rsidR="00C04C3D" w:rsidRPr="00162ED0" w:rsidP="00162ED0" w14:paraId="6B7EB223" w14:textId="77777777">
      <w:pPr>
        <w:spacing w:after="260"/>
        <w:ind w:left="504" w:right="288"/>
        <w:rPr>
          <w:sz w:val="21"/>
          <w:szCs w:val="18"/>
        </w:rPr>
      </w:pPr>
      <w:r w:rsidRPr="00162ED0">
        <w:rPr>
          <w:sz w:val="21"/>
          <w:szCs w:val="18"/>
        </w:rPr>
        <w:t>Based on the FY 202</w:t>
      </w:r>
      <w:r w:rsidRPr="00162ED0">
        <w:rPr>
          <w:sz w:val="21"/>
        </w:rPr>
        <w:t xml:space="preserve">1 </w:t>
      </w:r>
      <w:r w:rsidRPr="00162ED0">
        <w:rPr>
          <w:sz w:val="21"/>
          <w:szCs w:val="18"/>
        </w:rPr>
        <w:t>FISMA evaluation results, the FCC's information security program was effective and in compliance with FISMA legislation OMB memoranda, and other applicable guidance. This is the first year that the agency's information security program has been in compliance. Sustaining and improving upon this notable accomplishment will be key.</w:t>
      </w:r>
    </w:p>
    <w:p w:rsidR="001426AB" w:rsidRPr="00E90739" w:rsidP="00E90739" w14:paraId="38E6DE70" w14:textId="171B4F05">
      <w:pPr>
        <w:spacing w:after="260"/>
        <w:ind w:left="504" w:right="288"/>
        <w:rPr>
          <w:sz w:val="21"/>
          <w:szCs w:val="18"/>
        </w:rPr>
      </w:pPr>
      <w:r w:rsidRPr="00162ED0">
        <w:rPr>
          <w:sz w:val="21"/>
          <w:szCs w:val="18"/>
        </w:rPr>
        <w:t>The evaluation results identified one significant deficiency in the IT security Identity and Access Management (I&amp;AM) domain. The report includes a total of 17 recommendations, of which 10 are specifically related to the I&amp;AM domain We believe it is worth noting that one of the 10 recommendations relates to longstanding issues with FCC's implementation of HSPD</w:t>
      </w:r>
      <w:r w:rsidRPr="00162ED0">
        <w:rPr>
          <w:sz w:val="21"/>
        </w:rPr>
        <w:t xml:space="preserve">-12 </w:t>
      </w:r>
      <w:r w:rsidRPr="00162ED0">
        <w:rPr>
          <w:sz w:val="21"/>
          <w:szCs w:val="18"/>
        </w:rPr>
        <w:t>PIV</w:t>
      </w:r>
      <w:r>
        <w:rPr>
          <w:rStyle w:val="FootnoteReference"/>
          <w:sz w:val="21"/>
          <w:szCs w:val="18"/>
        </w:rPr>
        <w:footnoteReference w:id="22"/>
      </w:r>
      <w:r w:rsidRPr="00162ED0">
        <w:rPr>
          <w:sz w:val="21"/>
          <w:szCs w:val="18"/>
        </w:rPr>
        <w:t xml:space="preserve"> card</w:t>
      </w:r>
    </w:p>
    <w:p w:rsidR="001426AB" w:rsidRPr="00162ED0" w:rsidP="00162ED0" w14:paraId="3D629812" w14:textId="28A6589F">
      <w:pPr>
        <w:spacing w:after="260"/>
        <w:ind w:left="504" w:right="288"/>
        <w:rPr>
          <w:sz w:val="21"/>
        </w:rPr>
        <w:sectPr w:rsidSect="00943960">
          <w:footnotePr>
            <w:numRestart w:val="eachSect"/>
          </w:footnotePr>
          <w:type w:val="continuous"/>
          <w:pgSz w:w="12240" w:h="15840" w:code="1"/>
          <w:pgMar w:top="1152" w:right="1440" w:bottom="1152" w:left="1440" w:header="720" w:footer="720" w:gutter="0"/>
          <w:cols w:space="720"/>
          <w:docGrid w:linePitch="360"/>
        </w:sectPr>
      </w:pPr>
    </w:p>
    <w:p w:rsidR="00C04C3D" w:rsidRPr="00162ED0" w:rsidP="000D3714" w14:paraId="23D70727" w14:textId="77777777">
      <w:pPr>
        <w:spacing w:after="260"/>
        <w:ind w:left="504" w:right="144"/>
        <w:rPr>
          <w:sz w:val="21"/>
          <w:szCs w:val="18"/>
        </w:rPr>
      </w:pPr>
      <w:r w:rsidRPr="00162ED0">
        <w:rPr>
          <w:sz w:val="21"/>
          <w:szCs w:val="18"/>
        </w:rPr>
        <w:t>for logical access of all agency employees. The HSPD-12 PIV card deficiency and related recommendation has been repeated every year since FY 2016. Management repeatedly Las cited resource constraints as the reason why the recommendation was not implemented. We encourage management to prioritize this and other I&amp;AM recommendations, to limit the risk of unauthorized access.</w:t>
      </w:r>
    </w:p>
    <w:p w:rsidR="00C04C3D" w:rsidRPr="00162ED0" w:rsidP="003A1F20" w14:paraId="0B3A2B7A" w14:textId="77777777">
      <w:pPr>
        <w:spacing w:after="260"/>
        <w:ind w:left="504" w:right="360"/>
        <w:rPr>
          <w:sz w:val="21"/>
          <w:szCs w:val="18"/>
        </w:rPr>
      </w:pPr>
      <w:r w:rsidRPr="00162ED0">
        <w:rPr>
          <w:sz w:val="21"/>
          <w:szCs w:val="18"/>
        </w:rPr>
        <w:t>Cloud-based technology is one of the newer technologies the FCC continues to implement in FY 2021 and beyond. These modernization projects fall under the I&amp;AM domain. The FCC needs to be consistent in performing oversight and monitoring the implementation of these efforts.</w:t>
      </w:r>
    </w:p>
    <w:p w:rsidR="00C04C3D" w:rsidRPr="00D16C03" w:rsidP="00D16C03" w14:paraId="51A2A5A9" w14:textId="77777777">
      <w:pPr>
        <w:pStyle w:val="Heading4"/>
        <w:ind w:left="504"/>
        <w:rPr>
          <w:b w:val="0"/>
          <w:bCs w:val="0"/>
          <w:sz w:val="21"/>
          <w:szCs w:val="21"/>
          <w:u w:val="single"/>
        </w:rPr>
      </w:pPr>
      <w:bookmarkStart w:id="311" w:name="_Toc88780730"/>
      <w:r w:rsidRPr="00D16C03">
        <w:rPr>
          <w:b w:val="0"/>
          <w:bCs w:val="0"/>
          <w:sz w:val="21"/>
          <w:szCs w:val="21"/>
          <w:u w:val="single"/>
        </w:rPr>
        <w:t>Universal Service Fund Programs</w:t>
      </w:r>
      <w:bookmarkEnd w:id="311"/>
    </w:p>
    <w:p w:rsidR="00C04C3D" w:rsidRPr="00162ED0" w:rsidP="008A255E" w14:paraId="67BA2307" w14:textId="77777777">
      <w:pPr>
        <w:spacing w:after="260"/>
        <w:ind w:left="504" w:right="144"/>
        <w:rPr>
          <w:sz w:val="21"/>
          <w:szCs w:val="18"/>
        </w:rPr>
      </w:pPr>
      <w:r w:rsidRPr="00162ED0">
        <w:rPr>
          <w:sz w:val="21"/>
          <w:szCs w:val="18"/>
        </w:rPr>
        <w:t>The Telecommunications Act of 1996 created the framework for the Universal Service Fund (USF or Fund), consisting of support mechanisms for. 1) providing financial support to eligible telecommunications carriers that serve high-cost areas; 2) assisting schools and libraries to obtain telecommunications and internet services; 3) assisting low-income consumers to obtain affordable telephone service; and 4) assisting rural health care providers to gain access to telecommunications and internet services. Under the direction of the Commission, the Fund is administered by the Universal Service Administrative Company (USAC).</w:t>
      </w:r>
    </w:p>
    <w:p w:rsidR="00C04C3D" w:rsidRPr="00162ED0" w:rsidP="00162ED0" w14:paraId="6ADEAD31" w14:textId="77777777">
      <w:pPr>
        <w:spacing w:after="260"/>
        <w:ind w:left="504" w:right="288"/>
        <w:rPr>
          <w:sz w:val="21"/>
          <w:szCs w:val="18"/>
        </w:rPr>
      </w:pPr>
      <w:r w:rsidRPr="00162ED0">
        <w:rPr>
          <w:sz w:val="21"/>
          <w:szCs w:val="18"/>
        </w:rPr>
        <w:t>OIG has ongoing audits to identify program risks, ensure compliance with program rules, and provide recommendations to reduce waste and abuse of program resources. OIG has also devoted significant assets to investigating allegations of fraudulent activity involving Fund programs.</w:t>
      </w:r>
    </w:p>
    <w:p w:rsidR="00C04C3D" w:rsidRPr="00F37BAF" w:rsidP="00F37BAF" w14:paraId="7BA70EFB" w14:textId="77777777">
      <w:pPr>
        <w:spacing w:after="260"/>
        <w:ind w:left="864" w:right="432"/>
        <w:rPr>
          <w:i/>
          <w:iCs/>
          <w:sz w:val="21"/>
          <w:szCs w:val="18"/>
        </w:rPr>
      </w:pPr>
      <w:r w:rsidRPr="00F37BAF">
        <w:rPr>
          <w:i/>
          <w:iCs/>
          <w:sz w:val="21"/>
          <w:szCs w:val="18"/>
        </w:rPr>
        <w:t>Within Strategic Goal 1: Closing the Digital Divide, FCC recognized the need to develop a regulatory environment to encourage the private sector to build, maintain, and upgrade next generation networks so that the benefits of advanced communications services are available to all Americans. Where the business case for infrastructure investment doesn't exist, we employ effective and efficient means to facilitate deployment and access to affordable broadband in all areas of the country.</w:t>
      </w:r>
    </w:p>
    <w:p w:rsidR="00C04C3D" w:rsidRPr="00F37BAF" w:rsidP="008A255E" w14:paraId="52F6BFD3" w14:textId="77777777">
      <w:pPr>
        <w:spacing w:after="260"/>
        <w:ind w:left="864" w:right="288"/>
        <w:rPr>
          <w:i/>
          <w:iCs/>
          <w:sz w:val="21"/>
          <w:szCs w:val="18"/>
        </w:rPr>
      </w:pPr>
      <w:r w:rsidRPr="00F37BAF">
        <w:rPr>
          <w:i/>
          <w:iCs/>
          <w:sz w:val="21"/>
          <w:szCs w:val="18"/>
        </w:rPr>
        <w:t>Strategic Objective 1.1 seeks to expand broadband deployment in all parts of the country, including hard-to-serve areas, rural areas, and Tribal lands, and reduce the digital divide across America by creating a light-touch regulatory environment that maximizes private sector investment in broadband.</w:t>
      </w:r>
    </w:p>
    <w:p w:rsidR="00C04C3D" w:rsidRPr="001426AB" w:rsidP="001426AB" w14:paraId="63800653" w14:textId="07628AAC">
      <w:pPr>
        <w:spacing w:after="260"/>
        <w:ind w:left="504" w:right="288"/>
        <w:rPr>
          <w:sz w:val="21"/>
          <w:szCs w:val="18"/>
        </w:rPr>
      </w:pPr>
      <w:r w:rsidRPr="00162ED0">
        <w:rPr>
          <w:sz w:val="21"/>
          <w:szCs w:val="18"/>
        </w:rPr>
        <w:t>The Commission's continuing efforts supporting this objective include the FCC's comprehensive reforms in the USF programs (e.g., implementation of the Connect America Fund). These efforts will require a significant investment of Commission resources, as well as effective USAC administration of Fund programs. Establishing direction and policy, managing transition, and ensuring that all USF program rules and regulations foster effective and efficient programs, especially during the pandemic, are significant management challenges.</w:t>
      </w:r>
    </w:p>
    <w:p w:rsidR="00C04C3D" w:rsidRPr="00162ED0" w:rsidP="00162ED0" w14:paraId="53618EFA" w14:textId="77777777">
      <w:pPr>
        <w:spacing w:after="260"/>
        <w:ind w:left="504" w:right="288"/>
        <w:rPr>
          <w:sz w:val="21"/>
        </w:rPr>
        <w:sectPr w:rsidSect="00943960">
          <w:pgSz w:w="12240" w:h="15840" w:code="1"/>
          <w:pgMar w:top="1152" w:right="1440" w:bottom="1152" w:left="1440" w:header="720" w:footer="720" w:gutter="0"/>
          <w:cols w:space="720"/>
        </w:sectPr>
      </w:pPr>
    </w:p>
    <w:p w:rsidR="00C04C3D" w:rsidRPr="00D16C03" w:rsidP="00D16C03" w14:paraId="65F4D975" w14:textId="77777777">
      <w:pPr>
        <w:pStyle w:val="Heading4"/>
        <w:ind w:left="504"/>
        <w:rPr>
          <w:b w:val="0"/>
          <w:bCs w:val="0"/>
          <w:sz w:val="21"/>
          <w:szCs w:val="21"/>
          <w:u w:val="single"/>
        </w:rPr>
      </w:pPr>
      <w:bookmarkStart w:id="312" w:name="_Toc88780731"/>
      <w:r w:rsidRPr="00D16C03">
        <w:rPr>
          <w:b w:val="0"/>
          <w:bCs w:val="0"/>
          <w:sz w:val="21"/>
          <w:szCs w:val="21"/>
          <w:u w:val="single"/>
        </w:rPr>
        <w:t>Universal Service Fund Contributions Reform</w:t>
      </w:r>
      <w:bookmarkEnd w:id="312"/>
    </w:p>
    <w:p w:rsidR="00C04C3D" w:rsidRPr="00162ED0" w:rsidP="00943960" w14:paraId="7D4752EA" w14:textId="0FA37270">
      <w:pPr>
        <w:spacing w:after="260"/>
        <w:ind w:left="504"/>
        <w:rPr>
          <w:sz w:val="21"/>
          <w:szCs w:val="18"/>
        </w:rPr>
      </w:pPr>
      <w:r w:rsidRPr="00162ED0">
        <w:rPr>
          <w:sz w:val="21"/>
          <w:szCs w:val="18"/>
        </w:rPr>
        <w:t>There are several thousand contributors to the Federal USF. However, the current USF contributions system is built on regulatory constructs from decades ago.</w:t>
      </w:r>
      <w:r>
        <w:rPr>
          <w:rStyle w:val="FootnoteReference"/>
          <w:sz w:val="21"/>
          <w:szCs w:val="18"/>
        </w:rPr>
        <w:footnoteReference w:customMarkFollows="1" w:id="23"/>
        <w:t xml:space="preserve">2</w:t>
      </w:r>
      <w:r w:rsidRPr="00162ED0">
        <w:rPr>
          <w:sz w:val="21"/>
          <w:szCs w:val="18"/>
        </w:rPr>
        <w:t xml:space="preserve"> Contribution reform is needed because, although the marketplace has shifted to new services and new technologies, businesses are not required to finance the USF based on revenues from these new sources. Only revenues from interstate and international telecommunications services and certain other telecommunications are subject to assessment. Additionally, the current form used to collect information from potential contributors uses obsolete terminology and categories. While non-telecommunications revenues — which are not assessed—have almost doubled between 2010 and 2018, assessable telecommunications services and related revenues have declined sharply.</w:t>
      </w:r>
      <w:r>
        <w:rPr>
          <w:rStyle w:val="FootnoteReference"/>
          <w:sz w:val="21"/>
          <w:szCs w:val="18"/>
        </w:rPr>
        <w:footnoteReference w:customMarkFollows="1" w:id="24"/>
        <w:t xml:space="preserve">3</w:t>
      </w:r>
    </w:p>
    <w:p w:rsidR="00C04C3D" w:rsidRPr="00162ED0" w:rsidP="00943960" w14:paraId="3444CD0D" w14:textId="4F037D91">
      <w:pPr>
        <w:spacing w:after="260"/>
        <w:ind w:left="504"/>
        <w:rPr>
          <w:sz w:val="21"/>
          <w:szCs w:val="18"/>
        </w:rPr>
      </w:pPr>
      <w:r w:rsidRPr="00162ED0">
        <w:rPr>
          <w:sz w:val="21"/>
          <w:szCs w:val="18"/>
        </w:rPr>
        <w:t>The FCC has sought public comment on alternative contributions methodologies multiple times. For example, in June 2020, the FCC sought comments to refresh the record in the 2012 Contributions Reform Further Notice of Proposed Rulemaking. This Notice pertains to whether the Commission should exercise its permissive authority under Section 254(d) of the Telecommunications Act of 1996</w:t>
      </w:r>
      <w:r>
        <w:rPr>
          <w:rStyle w:val="FootnoteReference"/>
          <w:sz w:val="21"/>
          <w:szCs w:val="18"/>
        </w:rPr>
        <w:footnoteReference w:customMarkFollows="1" w:id="25"/>
        <w:t xml:space="preserve">4</w:t>
      </w:r>
      <w:r w:rsidRPr="00162ED0">
        <w:rPr>
          <w:sz w:val="21"/>
          <w:szCs w:val="18"/>
        </w:rPr>
        <w:t xml:space="preserve"> to include in the contribution base revenues derived from the provision of "one-way" voice over Internet Protocol (VoIP) services.</w:t>
      </w:r>
      <w:r>
        <w:rPr>
          <w:rStyle w:val="FootnoteReference"/>
          <w:sz w:val="21"/>
          <w:szCs w:val="18"/>
        </w:rPr>
        <w:footnoteReference w:customMarkFollows="1" w:id="26"/>
        <w:t xml:space="preserve">5</w:t>
      </w:r>
      <w:r w:rsidRPr="00162ED0">
        <w:rPr>
          <w:sz w:val="21"/>
          <w:szCs w:val="18"/>
        </w:rPr>
        <w:t xml:space="preserve"> An agreement has not yet been reached on the best way to increase contributions to the USF to ensure its sustainability. Per FCC officials, this issue will be addressed in accordance with the priorities on the Commission's agenda.</w:t>
      </w:r>
    </w:p>
    <w:p w:rsidR="00C04C3D" w:rsidRPr="00943960" w:rsidP="00943960" w14:paraId="4E7B30E2" w14:textId="77777777">
      <w:pPr>
        <w:pStyle w:val="Heading4"/>
        <w:ind w:left="504"/>
        <w:rPr>
          <w:b w:val="0"/>
          <w:bCs w:val="0"/>
          <w:sz w:val="21"/>
          <w:szCs w:val="21"/>
          <w:u w:val="single"/>
        </w:rPr>
      </w:pPr>
      <w:bookmarkStart w:id="313" w:name="_Toc88780732"/>
      <w:r w:rsidRPr="00943960">
        <w:rPr>
          <w:b w:val="0"/>
          <w:bCs w:val="0"/>
          <w:sz w:val="21"/>
          <w:szCs w:val="21"/>
          <w:u w:val="single"/>
        </w:rPr>
        <w:t>High Cost Program</w:t>
      </w:r>
      <w:bookmarkEnd w:id="313"/>
    </w:p>
    <w:p w:rsidR="00C04C3D" w:rsidRPr="00034AE6" w:rsidP="00034AE6" w14:paraId="2FD2A8AE" w14:textId="0C10001A">
      <w:pPr>
        <w:spacing w:after="260"/>
        <w:ind w:left="504" w:right="288"/>
        <w:rPr>
          <w:sz w:val="21"/>
          <w:szCs w:val="18"/>
        </w:rPr>
      </w:pPr>
      <w:r w:rsidRPr="00162ED0">
        <w:rPr>
          <w:sz w:val="21"/>
          <w:szCs w:val="18"/>
        </w:rPr>
        <w:t xml:space="preserve">The USF High Cost program provides $4.5 billion annually to ensure that robust, affordable voice and broadband service, both fixed and mobile, are available to Americans throughout the nation. Under the USF </w:t>
      </w:r>
      <w:r w:rsidRPr="00162ED0">
        <w:rPr>
          <w:sz w:val="21"/>
          <w:szCs w:val="18"/>
        </w:rPr>
        <w:t>lntercarrier</w:t>
      </w:r>
      <w:r w:rsidRPr="00162ED0">
        <w:rPr>
          <w:sz w:val="21"/>
          <w:szCs w:val="18"/>
        </w:rPr>
        <w:t xml:space="preserve"> Compensation (ICC) Transformation Order, the Rate-of-Return Carriers Reform Order, and the series of Connect American Fund (CAF) orders issued over the past decade (including the Rural Digital Opportunity Fund and the Mobility Funds), the High Cost program has been transitioning its support to multi-purpose networks capable of fixed and mobile broadband and voice services in rural, insular, and other high cost areas, and phasing out support for voice-only networks.</w:t>
      </w:r>
    </w:p>
    <w:p w:rsidR="00C04C3D" w:rsidRPr="00162ED0" w:rsidP="00162ED0" w14:paraId="3F9DE371" w14:textId="77777777">
      <w:pPr>
        <w:spacing w:after="260"/>
        <w:ind w:left="504" w:right="288"/>
        <w:rPr>
          <w:sz w:val="21"/>
        </w:rPr>
        <w:sectPr w:rsidSect="005B035C">
          <w:pgSz w:w="12240" w:h="15840" w:code="1"/>
          <w:pgMar w:top="1152" w:right="1440" w:bottom="1152" w:left="1440" w:header="720" w:footer="720" w:gutter="0"/>
          <w:cols w:space="720"/>
        </w:sectPr>
      </w:pPr>
    </w:p>
    <w:p w:rsidR="00C04C3D" w:rsidRPr="00162ED0" w:rsidP="007E2D67" w14:paraId="41D458C6" w14:textId="77777777">
      <w:pPr>
        <w:spacing w:after="260"/>
        <w:ind w:left="504" w:right="360"/>
        <w:rPr>
          <w:sz w:val="21"/>
          <w:szCs w:val="18"/>
        </w:rPr>
      </w:pPr>
      <w:r w:rsidRPr="00162ED0">
        <w:rPr>
          <w:sz w:val="21"/>
          <w:szCs w:val="18"/>
        </w:rPr>
        <w:t xml:space="preserve">During this transition. the High </w:t>
      </w:r>
      <w:r w:rsidRPr="00162ED0">
        <w:rPr>
          <w:sz w:val="21"/>
          <w:szCs w:val="14"/>
        </w:rPr>
        <w:t xml:space="preserve">Cost </w:t>
      </w:r>
      <w:r w:rsidRPr="00162ED0">
        <w:rPr>
          <w:sz w:val="21"/>
          <w:szCs w:val="18"/>
        </w:rPr>
        <w:t>program is using separate support mechanisms for the legacy High Cost program and the new CAF programs. The CAF relies on incentive-based market-driven policies, utilizing methodologies such as competitive bidding, to distribute High Cost program services in a more efficient and effective manner. Funding under the CAF is more transparent; easier to administer; and does not present the inherent risks and impediments to preventing fraud, waste and abuse in the program compared to the historical model used to distribute funding to rate-of-return carriers, which remains problematic.</w:t>
      </w:r>
    </w:p>
    <w:p w:rsidR="00C04C3D" w:rsidRPr="00162ED0" w:rsidP="007E2D67" w14:paraId="0A5E8D35" w14:textId="77777777">
      <w:pPr>
        <w:spacing w:after="260"/>
        <w:ind w:left="504" w:right="302"/>
        <w:rPr>
          <w:sz w:val="21"/>
          <w:szCs w:val="18"/>
        </w:rPr>
      </w:pPr>
      <w:r w:rsidRPr="00162ED0">
        <w:rPr>
          <w:sz w:val="21"/>
          <w:szCs w:val="18"/>
        </w:rPr>
        <w:t>Nevertheless, the FCC's continuing challenge is to ensure the CAF orders are timely implemented and meet their purposes and goals. Even under the comparatively simplified CAF distribution models. systematic monitoring and verification of the CAF programs will be necessary to ensure carriers have fulfilled Their build-out obligations and service requirements to all required locations in their service areas, and provide service at speeds required under the Commission's rules. USAC developed an information system, the High Cost Universal Broadband (HUBB) portal to assist USAC management in determining if carriers were meeting their obligation to provide high-speed internet to specific underserved locations, including meeting minimum performance standards and service speeds.</w:t>
      </w:r>
    </w:p>
    <w:p w:rsidR="00C04C3D" w:rsidRPr="00162ED0" w:rsidP="00162ED0" w14:paraId="685BE598" w14:textId="77777777">
      <w:pPr>
        <w:spacing w:after="260"/>
        <w:ind w:left="504" w:right="288"/>
        <w:rPr>
          <w:sz w:val="21"/>
          <w:szCs w:val="18"/>
        </w:rPr>
      </w:pPr>
      <w:r w:rsidRPr="00162ED0">
        <w:rPr>
          <w:sz w:val="21"/>
          <w:szCs w:val="18"/>
        </w:rPr>
        <w:t>Carriers with deployment obligations are required to report progress in meeting Their FCC-required milestones by filing broadband deployment data and related certifications within the HUBB portal. The portal tracks where carriers are building-out high-speed Internet service by latitude and longitude; provides evidence that carriers are meeting minimum performance standards, i.e., upload and download speeds; and documents whether they have met applicable deployment milestones. All This information must be monitored and timely analyzed, and USAC must take appropriate action against carriers who are not meeting Their deployment and performance requirements, including withholding funding and, as appropriate, timely reporting such activity to the FCC's Enforcement Bureau and to OIG, particularly where USAC observes carrier rule violations That suggest a carrier's actions are not isolated, but are part of a pattern of inappropriate activity.</w:t>
      </w:r>
    </w:p>
    <w:p w:rsidR="00C04C3D" w:rsidRPr="00162ED0" w:rsidP="00DE015D" w14:paraId="2883F307" w14:textId="77777777">
      <w:pPr>
        <w:spacing w:after="260"/>
        <w:ind w:left="504" w:right="360"/>
        <w:rPr>
          <w:sz w:val="21"/>
          <w:szCs w:val="18"/>
        </w:rPr>
      </w:pPr>
      <w:r w:rsidRPr="00162ED0">
        <w:rPr>
          <w:sz w:val="21"/>
          <w:szCs w:val="18"/>
        </w:rPr>
        <w:t xml:space="preserve">Toward these ends, the Commission, through the work of the Broadband Data Task Force, is developing new data collection and mapping platforms, providing the necessary Tools for meeting the challenges of widening broadband' s reach across the county and ensuring the efficient uses of spectrum. The Task Force's efforts to implement the Broadband Data Act, passed by Congress last year, will develop more precise and accurate fixed and mobile broadband coverage maps with the participation of the industry and the public. This will not only enable the Commission to better ensure service in underserved areas of the country, it also will provide an enforcement tool to ensure Commission spectrum grantees are </w:t>
      </w:r>
      <w:r w:rsidRPr="00162ED0">
        <w:rPr>
          <w:sz w:val="21"/>
          <w:szCs w:val="14"/>
        </w:rPr>
        <w:t>ful</w:t>
      </w:r>
      <w:r w:rsidRPr="00162ED0">
        <w:rPr>
          <w:sz w:val="21"/>
          <w:szCs w:val="18"/>
        </w:rPr>
        <w:t>filling the conditions of their spectrum awards. The public, state, local, and Tribal governmental entities on the ground will have access to a comprehensive database of all locations in the country to which mobile and fixed broadband will be available Parties will be able to file whistleblower complaints about spectrum grantees who are violating the conditions of their spectrum grants, which could involve fraudulent activity on the part of grantees That would be difficult to detect without whistleblower reports.</w:t>
      </w:r>
    </w:p>
    <w:p w:rsidR="00C04C3D" w:rsidRPr="00E01CFE" w:rsidP="00E01CFE" w14:paraId="690F2237" w14:textId="77777777">
      <w:pPr>
        <w:pStyle w:val="Heading4"/>
        <w:ind w:left="504"/>
        <w:rPr>
          <w:b w:val="0"/>
          <w:bCs w:val="0"/>
          <w:sz w:val="21"/>
          <w:szCs w:val="21"/>
          <w:u w:val="single"/>
        </w:rPr>
      </w:pPr>
      <w:bookmarkStart w:id="314" w:name="_Toc88780733"/>
      <w:r w:rsidRPr="00E01CFE">
        <w:rPr>
          <w:b w:val="0"/>
          <w:bCs w:val="0"/>
          <w:sz w:val="21"/>
          <w:szCs w:val="21"/>
          <w:u w:val="single"/>
        </w:rPr>
        <w:t>Lifeline Program</w:t>
      </w:r>
      <w:bookmarkEnd w:id="314"/>
    </w:p>
    <w:p w:rsidR="00C04C3D" w:rsidRPr="00162ED0" w:rsidP="00ED6F76" w14:paraId="04A08D8C" w14:textId="77777777">
      <w:pPr>
        <w:spacing w:after="260"/>
        <w:ind w:left="504" w:right="432"/>
        <w:rPr>
          <w:sz w:val="21"/>
          <w:szCs w:val="18"/>
        </w:rPr>
      </w:pPr>
      <w:r w:rsidRPr="00162ED0">
        <w:rPr>
          <w:sz w:val="21"/>
          <w:szCs w:val="18"/>
        </w:rPr>
        <w:t>The FCC and USAC must continue to devote significant resources to combat waste, fraud, and abuse in the Lifeline program. Significant reforms to the Lifeline program in 2012 and 2016, with</w:t>
      </w:r>
    </w:p>
    <w:p w:rsidR="00C04C3D" w:rsidRPr="00162ED0" w:rsidP="00162ED0" w14:paraId="1E62E71D" w14:textId="77777777">
      <w:pPr>
        <w:spacing w:after="260"/>
        <w:ind w:left="504" w:right="288"/>
        <w:rPr>
          <w:sz w:val="21"/>
        </w:rPr>
        <w:sectPr w:rsidSect="00F249E4">
          <w:pgSz w:w="12240" w:h="15840" w:code="1"/>
          <w:pgMar w:top="1152" w:right="1440" w:bottom="1152" w:left="1440" w:header="720" w:footer="720" w:gutter="0"/>
          <w:cols w:space="720"/>
        </w:sectPr>
      </w:pPr>
    </w:p>
    <w:p w:rsidR="00C04C3D" w:rsidRPr="00162ED0" w:rsidP="00162ED0" w14:paraId="329D6FBA" w14:textId="77777777">
      <w:pPr>
        <w:spacing w:after="260"/>
        <w:ind w:left="504" w:right="288"/>
        <w:rPr>
          <w:sz w:val="21"/>
          <w:szCs w:val="18"/>
        </w:rPr>
      </w:pPr>
      <w:r w:rsidRPr="00162ED0">
        <w:rPr>
          <w:sz w:val="21"/>
          <w:szCs w:val="18"/>
        </w:rPr>
        <w:t>implementation of reforms recommended by this Office, have significantly reduced fraud in the program</w:t>
      </w:r>
    </w:p>
    <w:p w:rsidR="00C04C3D" w:rsidRPr="00162ED0" w:rsidP="00162ED0" w14:paraId="5CD3FFAC" w14:textId="77777777">
      <w:pPr>
        <w:spacing w:after="260"/>
        <w:ind w:left="504" w:right="288"/>
        <w:rPr>
          <w:sz w:val="21"/>
          <w:szCs w:val="18"/>
        </w:rPr>
      </w:pPr>
      <w:r w:rsidRPr="00162ED0">
        <w:rPr>
          <w:sz w:val="21"/>
          <w:szCs w:val="18"/>
        </w:rPr>
        <w:t>Nevertheless, OIG concerns related to eligible telecommunications carrier (ETC) monitoring and compliance with usage rules have proliferated over the last several years. OIG maintains an active roster of investigations examining the conduct of multiple ETCs and their agents. The U.S. Department of Justice is pursuing criminal and civil sanctions against the culprits already identified by OIG's investigations. The FCC must continue to ensure that adequate resources are dedicated to identify new forms of fraud as the program evolves.</w:t>
      </w:r>
    </w:p>
    <w:p w:rsidR="00C04C3D" w:rsidRPr="00162ED0" w:rsidP="00162ED0" w14:paraId="4C043FCD" w14:textId="77777777">
      <w:pPr>
        <w:spacing w:after="260"/>
        <w:ind w:left="504" w:right="288"/>
        <w:rPr>
          <w:sz w:val="21"/>
          <w:szCs w:val="18"/>
        </w:rPr>
      </w:pPr>
      <w:r w:rsidRPr="00162ED0">
        <w:rPr>
          <w:sz w:val="21"/>
          <w:szCs w:val="18"/>
        </w:rPr>
        <w:t>As in previous years, OIG continues to identify risks for the Lifeline program, including:</w:t>
      </w:r>
    </w:p>
    <w:p w:rsidR="00C04C3D" w:rsidRPr="00B354CA" w:rsidP="00B354CA" w14:paraId="5A107EE7" w14:textId="20D925B3">
      <w:pPr>
        <w:pStyle w:val="ListParagraph"/>
        <w:numPr>
          <w:ilvl w:val="0"/>
          <w:numId w:val="33"/>
        </w:numPr>
        <w:ind w:left="1224" w:right="288"/>
        <w:rPr>
          <w:sz w:val="21"/>
          <w:szCs w:val="18"/>
        </w:rPr>
      </w:pPr>
      <w:r w:rsidRPr="00B354CA">
        <w:rPr>
          <w:sz w:val="21"/>
          <w:szCs w:val="18"/>
        </w:rPr>
        <w:t>ETCs lack proof of eligibility for subscribers to receive Lifeline service;</w:t>
      </w:r>
    </w:p>
    <w:p w:rsidR="00C04C3D" w:rsidRPr="00B354CA" w:rsidP="00B354CA" w14:paraId="45E13F2E" w14:textId="36D98C83">
      <w:pPr>
        <w:pStyle w:val="ListParagraph"/>
        <w:numPr>
          <w:ilvl w:val="0"/>
          <w:numId w:val="33"/>
        </w:numPr>
        <w:ind w:left="1224" w:right="288"/>
        <w:rPr>
          <w:sz w:val="21"/>
          <w:szCs w:val="18"/>
        </w:rPr>
      </w:pPr>
      <w:r w:rsidRPr="00B354CA">
        <w:rPr>
          <w:sz w:val="21"/>
          <w:szCs w:val="18"/>
        </w:rPr>
        <w:t>ETCs and their agents enrolling ineligible subscribers; and</w:t>
      </w:r>
    </w:p>
    <w:p w:rsidR="00C04C3D" w:rsidRPr="00B354CA" w:rsidP="00EE268F" w14:paraId="6D41AAB0" w14:textId="09C63FFC">
      <w:pPr>
        <w:pStyle w:val="ListParagraph"/>
        <w:numPr>
          <w:ilvl w:val="0"/>
          <w:numId w:val="33"/>
        </w:numPr>
        <w:spacing w:after="240"/>
        <w:ind w:left="1224" w:right="432"/>
        <w:rPr>
          <w:sz w:val="21"/>
          <w:szCs w:val="18"/>
        </w:rPr>
      </w:pPr>
      <w:r w:rsidRPr="00B354CA">
        <w:rPr>
          <w:sz w:val="21"/>
          <w:szCs w:val="18"/>
        </w:rPr>
        <w:t>ETC failure to timely de-enroll subscribers who no longer qualify, or who wish to de-enroll.</w:t>
      </w:r>
    </w:p>
    <w:p w:rsidR="00C04C3D" w:rsidRPr="00162ED0" w:rsidP="00EE268F" w14:paraId="0B3E201F" w14:textId="77777777">
      <w:pPr>
        <w:spacing w:after="260"/>
        <w:ind w:left="504" w:right="360"/>
        <w:rPr>
          <w:sz w:val="21"/>
          <w:szCs w:val="18"/>
        </w:rPr>
      </w:pPr>
      <w:r w:rsidRPr="00162ED0">
        <w:rPr>
          <w:sz w:val="21"/>
          <w:szCs w:val="18"/>
        </w:rPr>
        <w:t>Moreover, the FCC and USAC must continue to monitor National Verifier enrollment attempts to identify ETCs and their agents who may attempt to circumvent added program safeguards which have been implemented. Although USAC completed its implementation of the Representative Accountability Database (RAD), the FCC and USAC must ensure RAD fulfills its purpose by identifying and blocking agents who attempt fraudulent subscriber enrollments, and identifying attempts by agents previously blocked-out of RAD and preventing them from re-enrolling using other agent identities. Moreover, the FCC and USAC must ensure ETCs furnish agent identification information for all NLAD and National Verifier transactions.</w:t>
      </w:r>
    </w:p>
    <w:p w:rsidR="00C04C3D" w:rsidRPr="00162ED0" w:rsidP="00162ED0" w14:paraId="6962F43D" w14:textId="77777777">
      <w:pPr>
        <w:spacing w:after="260"/>
        <w:ind w:left="504" w:right="288"/>
        <w:rPr>
          <w:sz w:val="21"/>
          <w:szCs w:val="18"/>
        </w:rPr>
      </w:pPr>
      <w:r w:rsidRPr="00162ED0">
        <w:rPr>
          <w:sz w:val="21"/>
          <w:szCs w:val="18"/>
        </w:rPr>
        <w:t>Finally, in light of the ongoing COVID-19 pandemic, starting in March 2020, the Wireline Competition Bureau (WCB) waived certain Lifeline program rules through September 30, 2021, governing recertification, reverification, general de-enrollment, subscriber usage, income documentation, and documentation requirements for subscribers in rural Tribal lands, as well as guidance concerning USAC periodic reviews. The waivers arose from WCB's recognition that telemedicine telework, and online learning are necessary social distancing measures and. therefore, access to affordable communications services for low-income consumers is even more important.</w:t>
      </w:r>
    </w:p>
    <w:p w:rsidR="00C04C3D" w:rsidRPr="00162ED0" w:rsidP="00162ED0" w14:paraId="1440C418" w14:textId="77777777">
      <w:pPr>
        <w:spacing w:after="260"/>
        <w:ind w:left="504" w:right="288"/>
        <w:rPr>
          <w:sz w:val="21"/>
          <w:szCs w:val="18"/>
        </w:rPr>
      </w:pPr>
      <w:r w:rsidRPr="00162ED0">
        <w:rPr>
          <w:sz w:val="21"/>
          <w:szCs w:val="18"/>
        </w:rPr>
        <w:t>Nonetheless, many of the waived rules were originally implemented to prevent waste and abuse in the program. The Commission has now rescinded several of these waivers, including the usage rule waiver. However, we must try in the coming months to ensure that ETCs are again abiding by the rules now in effect and that these waivers did not become vehicles for abuse of USF Funds.</w:t>
      </w:r>
    </w:p>
    <w:p w:rsidR="00C04C3D" w:rsidRPr="00043E1B" w:rsidP="00043E1B" w14:paraId="13AF90D5" w14:textId="77777777">
      <w:pPr>
        <w:pStyle w:val="Heading4"/>
        <w:ind w:left="504"/>
        <w:rPr>
          <w:b w:val="0"/>
          <w:bCs w:val="0"/>
          <w:sz w:val="21"/>
          <w:szCs w:val="21"/>
          <w:u w:val="single"/>
        </w:rPr>
      </w:pPr>
      <w:bookmarkStart w:id="315" w:name="_Toc88780734"/>
      <w:r w:rsidRPr="00043E1B">
        <w:rPr>
          <w:b w:val="0"/>
          <w:bCs w:val="0"/>
          <w:sz w:val="21"/>
          <w:szCs w:val="21"/>
          <w:u w:val="single"/>
        </w:rPr>
        <w:t>Emergency Broadband Benefit Program</w:t>
      </w:r>
      <w:bookmarkEnd w:id="315"/>
    </w:p>
    <w:p w:rsidR="00C04C3D" w:rsidRPr="00162ED0" w:rsidP="00043E1B" w14:paraId="5153F320" w14:textId="77777777">
      <w:pPr>
        <w:spacing w:after="260"/>
        <w:ind w:left="504" w:right="259"/>
        <w:rPr>
          <w:sz w:val="21"/>
          <w:szCs w:val="18"/>
        </w:rPr>
      </w:pPr>
      <w:r w:rsidRPr="00162ED0">
        <w:rPr>
          <w:sz w:val="21"/>
          <w:szCs w:val="18"/>
        </w:rPr>
        <w:t>To address the COVID-19 pandemic. Congress passed an Appropriations Act which became law on December 27, 2020. The Act announced the Emergency Broadband Connectivity Fund. From this Fund, the FCC established the Emergency Broadband Benefit (EBB) Program in February 202 L with a budget of $3.2 billion. The purpose of this program is to help families and households struggling to afford internet service during the COVID</w:t>
      </w:r>
      <w:r w:rsidRPr="00162ED0">
        <w:rPr>
          <w:sz w:val="21"/>
        </w:rPr>
        <w:t>-1</w:t>
      </w:r>
      <w:r w:rsidRPr="00162ED0">
        <w:rPr>
          <w:sz w:val="21"/>
          <w:szCs w:val="18"/>
        </w:rPr>
        <w:t>9 pandemic. Its goal is to connect eligible low-income households disrupted by COVID-</w:t>
      </w:r>
      <w:r w:rsidRPr="00162ED0">
        <w:rPr>
          <w:sz w:val="21"/>
        </w:rPr>
        <w:t xml:space="preserve">19 </w:t>
      </w:r>
      <w:r w:rsidRPr="00162ED0">
        <w:rPr>
          <w:sz w:val="21"/>
          <w:szCs w:val="18"/>
        </w:rPr>
        <w:t>to jobs, critical healthcare services, virtual classrooms, and more.</w:t>
      </w:r>
    </w:p>
    <w:p w:rsidR="00C04C3D" w:rsidRPr="00162ED0" w:rsidP="00162ED0" w14:paraId="1CA2F1DD" w14:textId="77777777">
      <w:pPr>
        <w:spacing w:after="260"/>
        <w:ind w:left="504" w:right="288"/>
        <w:rPr>
          <w:sz w:val="21"/>
        </w:rPr>
        <w:sectPr w:rsidSect="000B0912">
          <w:pgSz w:w="12240" w:h="15840" w:code="1"/>
          <w:pgMar w:top="1152" w:right="1440" w:bottom="1152" w:left="1440" w:header="720" w:footer="720" w:gutter="0"/>
          <w:cols w:space="720"/>
        </w:sectPr>
      </w:pPr>
    </w:p>
    <w:p w:rsidR="00C04C3D" w:rsidRPr="00162ED0" w:rsidP="0003015F" w14:paraId="5DEAD96F" w14:textId="77777777">
      <w:pPr>
        <w:spacing w:after="260"/>
        <w:ind w:left="504" w:right="288"/>
        <w:rPr>
          <w:sz w:val="21"/>
          <w:szCs w:val="18"/>
        </w:rPr>
      </w:pPr>
      <w:r w:rsidRPr="00162ED0">
        <w:rPr>
          <w:sz w:val="21"/>
          <w:szCs w:val="18"/>
        </w:rPr>
        <w:t>This program was designed with the framework of the Lifeline Program. Accordingly, the EBB Program will leverage Lifeline systems like the Lifeline National Eligibility Verifier, the National lifeline Accountability Database, and the Lifeline Claims System for subscriber eligibility. enrollment, and service provider reimbursement. Note that this program was established and implemented under expeditious timeframes due to immediate community needs. This scenario could create greater opportunity and risk of fraud, waste, and abuse of program funds by service providers and consumers.</w:t>
      </w:r>
    </w:p>
    <w:p w:rsidR="00C04C3D" w:rsidRPr="00162ED0" w:rsidP="0003015F" w14:paraId="15A46087" w14:textId="77777777">
      <w:pPr>
        <w:spacing w:after="260"/>
        <w:ind w:left="504" w:right="259"/>
        <w:rPr>
          <w:sz w:val="21"/>
          <w:szCs w:val="18"/>
        </w:rPr>
      </w:pPr>
      <w:r w:rsidRPr="00162ED0">
        <w:rPr>
          <w:sz w:val="21"/>
          <w:szCs w:val="18"/>
        </w:rPr>
        <w:t>In addition to discounts for broadband services. EBB funds can be used to buy related equipment such as computers and tablets. The FCC should note that purchases of equipment carry a greater risk of theft and accountability challenges. Further, the impact of accepting new broadband providers into the EBB program (non-lifeline Eligible Telecommunication Carriers) and providing new consumer eligibility allowances (outside of lifeline program rules) should be considered by the FCC as an increased program risk. The new participants and eligibility requirements will steepen the program learning curve for all involved and could increase the risk of error, fraud waste, and abuse throughout the program</w:t>
      </w:r>
    </w:p>
    <w:p w:rsidR="00C04C3D" w:rsidRPr="00162ED0" w:rsidP="0003015F" w14:paraId="5E17CF6B" w14:textId="77777777">
      <w:pPr>
        <w:spacing w:after="260"/>
        <w:ind w:left="504" w:right="432"/>
        <w:rPr>
          <w:sz w:val="21"/>
          <w:szCs w:val="18"/>
        </w:rPr>
      </w:pPr>
      <w:r w:rsidRPr="00162ED0">
        <w:rPr>
          <w:sz w:val="21"/>
          <w:szCs w:val="18"/>
        </w:rPr>
        <w:t>Our office and the FCC must devote significant resources to monitor the Emergency Broadband Benefit Fund over the coming months to ensure that program participants comply with program requirements. As of September 2021, OIG is auditing the EBB program to assess participating providers' compliance with the program requirements under Title IX, Broadband and Internet Access Service, Section 904 of me Consolidated Appropriations Act of 2021.</w:t>
      </w:r>
    </w:p>
    <w:p w:rsidR="00C04C3D" w:rsidRPr="00162ED0" w:rsidP="00162ED0" w14:paraId="527D146F" w14:textId="77777777">
      <w:pPr>
        <w:spacing w:after="260"/>
        <w:ind w:left="504" w:right="288"/>
        <w:rPr>
          <w:sz w:val="21"/>
          <w:szCs w:val="18"/>
        </w:rPr>
      </w:pPr>
      <w:r w:rsidRPr="00162ED0">
        <w:rPr>
          <w:sz w:val="21"/>
          <w:szCs w:val="18"/>
        </w:rPr>
        <w:t>Although many EBB rules and requirements are modeled after the Commission's Lifeline rules, not all EBB providers are familiar with the Lifeline regulatory model, including USAC' s National Verifier, the Lifeline Claim System and the National Lifeline Accountability Database. Therefore, additional scrutiny of non-ETC EBB program provider compliance will be necessary. The Wireline and Enforcement Bureaus have already found it necessary to issue industry advisories concerning lapses in compliance based on a variety of subscriber complaints ranging from unauthorized enrollments to failure to grant EBB credits on consumer broadband bills.</w:t>
      </w:r>
    </w:p>
    <w:p w:rsidR="00C04C3D" w:rsidRPr="00162ED0" w:rsidP="0003015F" w14:paraId="2385DAFD" w14:textId="77777777">
      <w:pPr>
        <w:spacing w:after="260"/>
        <w:ind w:left="504" w:right="432"/>
        <w:rPr>
          <w:sz w:val="21"/>
          <w:szCs w:val="18"/>
        </w:rPr>
      </w:pPr>
      <w:r w:rsidRPr="00162ED0">
        <w:rPr>
          <w:sz w:val="21"/>
          <w:szCs w:val="18"/>
        </w:rPr>
        <w:t>A broader range of consumers are eligible for EBB service as compared to lifeline applicants. FCC and USAC must develop new metrics to identify program enrollment risks not already mitigated or addressed by NLAD or the National Verifier. The Commission also chose not to bar EBB providers from providing commission-based compensation to their agents for enrolling EBB subscribers. Many EBB providers are also Lifeline carriers and many of their agents market both EBB and Lifeline service</w:t>
      </w:r>
    </w:p>
    <w:p w:rsidR="00C04C3D" w:rsidRPr="00162ED0" w:rsidP="0003015F" w14:paraId="608584B5" w14:textId="447D7551">
      <w:pPr>
        <w:spacing w:after="260"/>
        <w:ind w:left="504" w:right="432"/>
        <w:rPr>
          <w:sz w:val="21"/>
        </w:rPr>
      </w:pPr>
      <w:r w:rsidRPr="00162ED0">
        <w:rPr>
          <w:sz w:val="21"/>
          <w:szCs w:val="18"/>
        </w:rPr>
        <w:t xml:space="preserve">Given the more generous subsidy available under the EBB program combined with the accompanying lifeline subsidy received for many enrollments, providers may now offer more generous incentives to agents in exchange for EBB enrollments. OIG is very concerned agents will be increasingly motivated to engage in abusive enrollment conduct to secure higher payouts from providers. Additionally, both the Commission and the OIG must allocate resources to comply with auditing obligations under the Consolidated Appropriations Act. 2021, Pub. L. No. </w:t>
      </w:r>
      <w:r w:rsidRPr="00162ED0">
        <w:rPr>
          <w:sz w:val="21"/>
        </w:rPr>
        <w:t>116-26</w:t>
      </w:r>
      <w:r w:rsidRPr="00162ED0">
        <w:rPr>
          <w:sz w:val="21"/>
          <w:szCs w:val="18"/>
        </w:rPr>
        <w:t>0, div. N, tit. IX § 904(</w:t>
      </w:r>
      <w:r w:rsidRPr="00162ED0">
        <w:rPr>
          <w:sz w:val="21"/>
          <w:szCs w:val="18"/>
        </w:rPr>
        <w:t>i</w:t>
      </w:r>
      <w:r w:rsidRPr="00162ED0">
        <w:rPr>
          <w:sz w:val="21"/>
          <w:szCs w:val="18"/>
        </w:rPr>
        <w:t>), 134 Slat. 2130, 2135.</w:t>
      </w:r>
    </w:p>
    <w:p w:rsidR="00C04C3D" w:rsidRPr="00162ED0" w:rsidP="00162ED0" w14:paraId="7D40F502" w14:textId="77777777">
      <w:pPr>
        <w:spacing w:after="260"/>
        <w:ind w:left="504" w:right="288"/>
        <w:rPr>
          <w:sz w:val="21"/>
        </w:rPr>
        <w:sectPr w:rsidSect="00497C69">
          <w:pgSz w:w="12240" w:h="15840" w:code="1"/>
          <w:pgMar w:top="1152" w:right="1440" w:bottom="1152" w:left="1440" w:header="720" w:footer="720" w:gutter="0"/>
          <w:cols w:space="720"/>
        </w:sectPr>
      </w:pPr>
    </w:p>
    <w:p w:rsidR="00C04C3D" w:rsidRPr="00EC28C9" w:rsidP="00EC28C9" w14:paraId="7EDB4477" w14:textId="77777777">
      <w:pPr>
        <w:pStyle w:val="Heading4"/>
        <w:ind w:left="504"/>
        <w:rPr>
          <w:b w:val="0"/>
          <w:bCs w:val="0"/>
          <w:sz w:val="21"/>
          <w:szCs w:val="21"/>
          <w:u w:val="single"/>
        </w:rPr>
      </w:pPr>
      <w:bookmarkStart w:id="316" w:name="_Toc88780735"/>
      <w:r w:rsidRPr="00EC28C9">
        <w:rPr>
          <w:b w:val="0"/>
          <w:bCs w:val="0"/>
          <w:sz w:val="21"/>
          <w:szCs w:val="21"/>
          <w:u w:val="single"/>
        </w:rPr>
        <w:t>Schools and Libraries (E-rate) Program</w:t>
      </w:r>
      <w:bookmarkEnd w:id="316"/>
    </w:p>
    <w:p w:rsidR="00C04C3D" w:rsidRPr="00162ED0" w:rsidP="000F374C" w14:paraId="3CDE8384" w14:textId="77777777">
      <w:pPr>
        <w:ind w:left="504" w:right="288"/>
        <w:rPr>
          <w:sz w:val="21"/>
          <w:szCs w:val="18"/>
        </w:rPr>
      </w:pPr>
      <w:r w:rsidRPr="00162ED0">
        <w:rPr>
          <w:sz w:val="21"/>
          <w:szCs w:val="18"/>
        </w:rPr>
        <w:t>Effective in 2015, the Commission's two E-rate Modernization Orders adopted three program goals:</w:t>
      </w:r>
    </w:p>
    <w:p w:rsidR="00C04C3D" w:rsidRPr="000F374C" w:rsidP="000F374C" w14:paraId="3F682337" w14:textId="748DB62E">
      <w:pPr>
        <w:pStyle w:val="ListParagraph"/>
        <w:numPr>
          <w:ilvl w:val="0"/>
          <w:numId w:val="35"/>
        </w:numPr>
        <w:ind w:left="504" w:right="288" w:firstLine="0"/>
        <w:rPr>
          <w:sz w:val="21"/>
          <w:szCs w:val="18"/>
        </w:rPr>
      </w:pPr>
      <w:r w:rsidRPr="000F374C">
        <w:rPr>
          <w:sz w:val="21"/>
          <w:szCs w:val="18"/>
        </w:rPr>
        <w:t>ensure schools and libraries have access to affordable high-speed broadband internet services;</w:t>
      </w:r>
    </w:p>
    <w:p w:rsidR="00C04C3D" w:rsidRPr="000F374C" w:rsidP="000F374C" w14:paraId="191BBAAB" w14:textId="7CEAC75F">
      <w:pPr>
        <w:pStyle w:val="ListParagraph"/>
        <w:numPr>
          <w:ilvl w:val="0"/>
          <w:numId w:val="35"/>
        </w:numPr>
        <w:ind w:left="504" w:right="288" w:firstLine="0"/>
        <w:rPr>
          <w:sz w:val="21"/>
          <w:szCs w:val="18"/>
        </w:rPr>
      </w:pPr>
      <w:r w:rsidRPr="000F374C">
        <w:rPr>
          <w:sz w:val="21"/>
          <w:szCs w:val="18"/>
        </w:rPr>
        <w:t>maximize the cost-effectiveness of spending for E-rate program supported purchases; and</w:t>
      </w:r>
    </w:p>
    <w:p w:rsidR="00C04C3D" w:rsidRPr="000F374C" w:rsidP="00A56349" w14:paraId="57D4E2C0" w14:textId="4B22D83D">
      <w:pPr>
        <w:pStyle w:val="ListParagraph"/>
        <w:numPr>
          <w:ilvl w:val="0"/>
          <w:numId w:val="35"/>
        </w:numPr>
        <w:spacing w:after="260"/>
        <w:ind w:left="504" w:right="288" w:firstLine="0"/>
        <w:rPr>
          <w:sz w:val="21"/>
          <w:szCs w:val="18"/>
        </w:rPr>
      </w:pPr>
      <w:r w:rsidRPr="000F374C">
        <w:rPr>
          <w:sz w:val="21"/>
          <w:szCs w:val="18"/>
        </w:rPr>
        <w:t>ensure the application process is fast, simple, and efficient. The orders also increased the program funding cap from $2.4 to $3.9 billion and established a performance management system to help evaluate the effectiveness of the modernization orders and identify program improvements.</w:t>
      </w:r>
    </w:p>
    <w:p w:rsidR="00C04C3D" w:rsidRPr="00162ED0" w:rsidP="00162ED0" w14:paraId="1D0BB52C" w14:textId="77777777">
      <w:pPr>
        <w:spacing w:after="260"/>
        <w:ind w:left="504" w:right="288"/>
        <w:rPr>
          <w:sz w:val="21"/>
          <w:szCs w:val="18"/>
        </w:rPr>
      </w:pPr>
      <w:r w:rsidRPr="00162ED0">
        <w:rPr>
          <w:sz w:val="21"/>
          <w:szCs w:val="18"/>
        </w:rPr>
        <w:t>The COVID-19 pandemic directly affected school systems across the entire country and thereby, stressed the delivery of E-rate program services. Instead of students attending school in person and accessing the internet within schools and libraries, many students are now using remote learning for portions of the school year based on quarantines.</w:t>
      </w:r>
    </w:p>
    <w:p w:rsidR="00C04C3D" w:rsidRPr="00162ED0" w:rsidP="00162ED0" w14:paraId="65320F28" w14:textId="77777777">
      <w:pPr>
        <w:spacing w:after="260"/>
        <w:ind w:left="504" w:right="288"/>
        <w:rPr>
          <w:sz w:val="21"/>
          <w:szCs w:val="18"/>
        </w:rPr>
      </w:pPr>
      <w:r w:rsidRPr="00162ED0">
        <w:rPr>
          <w:sz w:val="21"/>
          <w:szCs w:val="18"/>
        </w:rPr>
        <w:t>In addition to challenges associated with delivering effective E-rate program services during the pandemic, FCC and USAC management must ensure adequate program controls to detect and deter inherent program risks in addition to risks identified by prior OIG and USAC audits and OIG investigations, including:</w:t>
      </w:r>
    </w:p>
    <w:p w:rsidR="00C04C3D" w:rsidRPr="00DA17DB" w:rsidP="00DA17DB" w14:paraId="4C7C57E2" w14:textId="02CB5F8E">
      <w:pPr>
        <w:pStyle w:val="ListParagraph"/>
        <w:numPr>
          <w:ilvl w:val="0"/>
          <w:numId w:val="37"/>
        </w:numPr>
        <w:ind w:left="1224" w:right="288"/>
        <w:rPr>
          <w:sz w:val="21"/>
          <w:szCs w:val="18"/>
        </w:rPr>
      </w:pPr>
      <w:r w:rsidRPr="00DA17DB">
        <w:rPr>
          <w:sz w:val="21"/>
          <w:szCs w:val="18"/>
        </w:rPr>
        <w:t>Missing or inadequate documentation to demonstrate compliance with FCC rules;</w:t>
      </w:r>
    </w:p>
    <w:p w:rsidR="00C04C3D" w:rsidRPr="00DA17DB" w:rsidP="00DA17DB" w14:paraId="59445796" w14:textId="4453C61A">
      <w:pPr>
        <w:pStyle w:val="ListParagraph"/>
        <w:numPr>
          <w:ilvl w:val="0"/>
          <w:numId w:val="37"/>
        </w:numPr>
        <w:ind w:left="1224" w:right="288"/>
        <w:rPr>
          <w:sz w:val="21"/>
          <w:szCs w:val="18"/>
        </w:rPr>
      </w:pPr>
      <w:r w:rsidRPr="00DA17DB">
        <w:rPr>
          <w:sz w:val="21"/>
          <w:szCs w:val="18"/>
        </w:rPr>
        <w:t>Potential conflicts of interest in the competitive bidding process;</w:t>
      </w:r>
    </w:p>
    <w:p w:rsidR="00C04C3D" w:rsidRPr="00DA17DB" w:rsidP="00DA17DB" w14:paraId="2DE0F135" w14:textId="751B6E87">
      <w:pPr>
        <w:pStyle w:val="ListParagraph"/>
        <w:numPr>
          <w:ilvl w:val="0"/>
          <w:numId w:val="37"/>
        </w:numPr>
        <w:ind w:left="1224" w:right="288"/>
        <w:rPr>
          <w:sz w:val="21"/>
          <w:szCs w:val="18"/>
        </w:rPr>
      </w:pPr>
      <w:r w:rsidRPr="00DA17DB">
        <w:rPr>
          <w:sz w:val="21"/>
          <w:szCs w:val="18"/>
        </w:rPr>
        <w:t>Inadequate documentation to substantiate compliance with competitive bidding rules; and</w:t>
      </w:r>
    </w:p>
    <w:p w:rsidR="00C04C3D" w:rsidRPr="00DA17DB" w:rsidP="00E4652A" w14:paraId="29923E52" w14:textId="3A78F6DF">
      <w:pPr>
        <w:pStyle w:val="ListParagraph"/>
        <w:numPr>
          <w:ilvl w:val="0"/>
          <w:numId w:val="37"/>
        </w:numPr>
        <w:spacing w:after="260"/>
        <w:ind w:left="1224" w:right="288"/>
        <w:rPr>
          <w:sz w:val="21"/>
          <w:szCs w:val="18"/>
        </w:rPr>
      </w:pPr>
      <w:r w:rsidRPr="00DA17DB">
        <w:rPr>
          <w:sz w:val="21"/>
          <w:szCs w:val="18"/>
        </w:rPr>
        <w:t>Service Provider billing inaccuracies.</w:t>
      </w:r>
    </w:p>
    <w:p w:rsidR="00C04C3D" w:rsidRPr="00FF4440" w:rsidP="00FF4440" w14:paraId="6A6D8EE0" w14:textId="77777777">
      <w:pPr>
        <w:pStyle w:val="Heading4"/>
        <w:ind w:left="504"/>
        <w:rPr>
          <w:b w:val="0"/>
          <w:bCs w:val="0"/>
          <w:sz w:val="21"/>
          <w:szCs w:val="21"/>
          <w:u w:val="single"/>
        </w:rPr>
      </w:pPr>
      <w:bookmarkStart w:id="317" w:name="_Toc88780736"/>
      <w:r w:rsidRPr="00FF4440">
        <w:rPr>
          <w:b w:val="0"/>
          <w:bCs w:val="0"/>
          <w:sz w:val="21"/>
          <w:szCs w:val="21"/>
          <w:u w:val="single"/>
        </w:rPr>
        <w:t>Emergency Connectivity Fund</w:t>
      </w:r>
      <w:bookmarkEnd w:id="317"/>
    </w:p>
    <w:p w:rsidR="00C04C3D" w:rsidRPr="00162ED0" w:rsidP="00162ED0" w14:paraId="080F2555" w14:textId="77777777">
      <w:pPr>
        <w:spacing w:after="260"/>
        <w:ind w:left="504" w:right="288"/>
        <w:rPr>
          <w:sz w:val="21"/>
          <w:szCs w:val="18"/>
        </w:rPr>
      </w:pPr>
      <w:r w:rsidRPr="00162ED0">
        <w:rPr>
          <w:sz w:val="21"/>
          <w:szCs w:val="18"/>
        </w:rPr>
        <w:t>In early 2021. the Office of Investigations tracked the progress of the American Rescue Plan Act of 2021 (ARPA), which proposed appropriating $7.2 billion to establish the "Emergency Connectivity Fund" (ECF), of which $1 million was to go to OIG to oversee the program. The ECF program was to generally follow the USF's Schools and Libraries program model but offer 100 percent reimbursement for items not eligible for funding under that program, such as computers and internet hotspots. Office of Investigations staff suggested additional methods to strengthen the ECF against fraud, waste, and abuse to Senate and House committee members. OIG successfully obtained legislative direction requiring the Commission to compile inventories of devices and services and requiring schools, libraries, and service providers to robustly certify compliance with ECF program rules.</w:t>
      </w:r>
    </w:p>
    <w:p w:rsidR="00C04C3D" w:rsidRPr="00162ED0" w:rsidP="00162ED0" w14:paraId="4817EE51" w14:textId="77777777">
      <w:pPr>
        <w:spacing w:after="260"/>
        <w:ind w:left="504" w:right="288"/>
        <w:rPr>
          <w:sz w:val="21"/>
          <w:szCs w:val="18"/>
        </w:rPr>
      </w:pPr>
      <w:r w:rsidRPr="00162ED0">
        <w:rPr>
          <w:sz w:val="21"/>
          <w:szCs w:val="18"/>
        </w:rPr>
        <w:t>Since passage of the ARPA, OIG has requested that USAC, the ECF program administrator, collect and maintain IP address information. WCB and Office of Managing Director (OMD) have provided some assurances that USAC will do so. As of the beginning of September 2021, applicants have requested $5.137 billion from the program to fund 9.1 million connected devices and 5.4 million broadband connections. We expect commitments of funding in the next 60 days. But. as of yet. OIG has not obtained access to the underlying ECF data.</w:t>
      </w:r>
    </w:p>
    <w:p w:rsidR="00C04C3D" w:rsidRPr="008018DE" w:rsidP="008018DE" w14:paraId="591E7B5B" w14:textId="77777777">
      <w:pPr>
        <w:pStyle w:val="Heading4"/>
        <w:ind w:left="504"/>
        <w:rPr>
          <w:b w:val="0"/>
          <w:bCs w:val="0"/>
          <w:sz w:val="21"/>
          <w:szCs w:val="21"/>
          <w:u w:val="single"/>
        </w:rPr>
      </w:pPr>
      <w:bookmarkStart w:id="318" w:name="_Toc88780737"/>
      <w:r w:rsidRPr="008018DE">
        <w:rPr>
          <w:b w:val="0"/>
          <w:bCs w:val="0"/>
          <w:sz w:val="21"/>
          <w:szCs w:val="21"/>
          <w:u w:val="single"/>
        </w:rPr>
        <w:t>Rural Health Care Program and Other Newly Created Health Care Programs</w:t>
      </w:r>
      <w:bookmarkEnd w:id="318"/>
    </w:p>
    <w:p w:rsidR="00C04C3D" w:rsidRPr="00162ED0" w:rsidP="00F92A95" w14:paraId="016F3B69" w14:textId="77777777">
      <w:pPr>
        <w:spacing w:after="260"/>
        <w:ind w:left="504" w:right="432"/>
        <w:rPr>
          <w:sz w:val="21"/>
          <w:szCs w:val="18"/>
        </w:rPr>
      </w:pPr>
      <w:r w:rsidRPr="00162ED0">
        <w:rPr>
          <w:sz w:val="21"/>
          <w:szCs w:val="18"/>
        </w:rPr>
        <w:t>When the Commission established the Rural Health Care (RHC) program in 1997. it capped program funding at $400 million per funding year. Beginning in funding year 2016. health care</w:t>
      </w:r>
    </w:p>
    <w:p w:rsidR="00C04C3D" w:rsidRPr="00162ED0" w:rsidP="00162ED0" w14:paraId="2346ED75" w14:textId="77777777">
      <w:pPr>
        <w:spacing w:after="260"/>
        <w:ind w:left="504" w:right="288"/>
        <w:rPr>
          <w:sz w:val="21"/>
        </w:rPr>
        <w:sectPr w:rsidSect="00481516">
          <w:pgSz w:w="12240" w:h="15840" w:code="1"/>
          <w:pgMar w:top="1152" w:right="1440" w:bottom="1152" w:left="1440" w:header="720" w:footer="720" w:gutter="0"/>
          <w:cols w:space="720"/>
        </w:sectPr>
      </w:pPr>
    </w:p>
    <w:p w:rsidR="00C04C3D" w:rsidRPr="00162ED0" w:rsidP="00837E58" w14:paraId="6448111D" w14:textId="0120F966">
      <w:pPr>
        <w:spacing w:after="260"/>
        <w:ind w:left="504" w:right="432"/>
        <w:rPr>
          <w:sz w:val="21"/>
          <w:szCs w:val="18"/>
        </w:rPr>
      </w:pPr>
      <w:r w:rsidRPr="00162ED0">
        <w:rPr>
          <w:sz w:val="21"/>
          <w:szCs w:val="18"/>
        </w:rPr>
        <w:t>provider funding requests for high-speed broadband began to outpace that funding cap. On June 25.</w:t>
      </w:r>
      <w:r w:rsidR="00BA051D">
        <w:rPr>
          <w:sz w:val="21"/>
          <w:szCs w:val="18"/>
        </w:rPr>
        <w:t xml:space="preserve"> </w:t>
      </w:r>
      <w:r w:rsidRPr="00162ED0">
        <w:rPr>
          <w:sz w:val="21"/>
          <w:szCs w:val="18"/>
        </w:rPr>
        <w:t>2018, the Commission released the Rural Health Care Program Funding Cap Order, which adopted measures to promote health care delivery and telemedicine in rural areas by providing a sufficient and more predictable source of universal service funding. Specifically, the Commission adopted rules that: 1) increased the annual RHC program funding cap to $571 million and applied it to Funding Year 2017; 2) annually adjusted the RHC program funding cap to reflect inflation, beginning with funding year 2018; and 3) established a process to carry unused funds forward from past funding years for current and future use.</w:t>
      </w:r>
    </w:p>
    <w:p w:rsidR="00C04C3D" w:rsidRPr="00162ED0" w:rsidP="00162ED0" w14:paraId="1F4A47A4" w14:textId="35F6CCBC">
      <w:pPr>
        <w:spacing w:after="260"/>
        <w:ind w:left="504" w:right="288"/>
        <w:rPr>
          <w:sz w:val="21"/>
          <w:szCs w:val="18"/>
        </w:rPr>
      </w:pPr>
      <w:r w:rsidRPr="00162ED0">
        <w:rPr>
          <w:sz w:val="21"/>
          <w:szCs w:val="18"/>
        </w:rPr>
        <w:t>To address various shortcomings seen in the RHC program in recent years, including lack of a "fair and open" standard for competitive bidding or prohibitions on conflicts of interest, on August 1,</w:t>
      </w:r>
      <w:r w:rsidR="00837E58">
        <w:rPr>
          <w:sz w:val="21"/>
          <w:szCs w:val="18"/>
        </w:rPr>
        <w:t xml:space="preserve"> </w:t>
      </w:r>
      <w:r w:rsidRPr="00162ED0">
        <w:rPr>
          <w:sz w:val="21"/>
          <w:szCs w:val="18"/>
        </w:rPr>
        <w:t>2019, the Commission adopted the Report and Order Promoting Telehealth in Rural America. WCB Docket No. 17-310. The Report and Order aimed to improve the RHC program competitive bidding process by adding a "fair and open" standard. It also implemented rules prohibiting service providers who intend to bid on supported services from assisting an applicant in completing the request for proposal or request for services forms and prohibiting a service provider who has submitted a bid from evaluating bids or choosing a winning bidder.</w:t>
      </w:r>
    </w:p>
    <w:p w:rsidR="00C04C3D" w:rsidRPr="00162ED0" w:rsidP="00162ED0" w14:paraId="7FAB2FCC" w14:textId="77777777">
      <w:pPr>
        <w:spacing w:after="260"/>
        <w:ind w:left="504" w:right="288"/>
        <w:rPr>
          <w:sz w:val="21"/>
          <w:szCs w:val="18"/>
        </w:rPr>
      </w:pPr>
      <w:r w:rsidRPr="00162ED0">
        <w:rPr>
          <w:sz w:val="21"/>
          <w:szCs w:val="18"/>
        </w:rPr>
        <w:t>USAC began implementing these rules in 2021 and OIG has requested updates on that process. Nevertheless, effective implementation of these newer rules by the FCC and USAC, diligent agency enforcement of both the newer rules and the existing rules, as well as general oversight of the Program, remain a significant management challenge. FCC's challenge is to continually use innovations to create ways to support rural hospitals and healthcare providers during the pandemic without creating gaps in controls that increase the risks for conflicts of interests, fraud, and abuse.</w:t>
      </w:r>
    </w:p>
    <w:p w:rsidR="00C04C3D" w:rsidRPr="00F17896" w:rsidP="00F17896" w14:paraId="6555A16A" w14:textId="77777777">
      <w:pPr>
        <w:pStyle w:val="Heading4"/>
        <w:ind w:left="504"/>
        <w:rPr>
          <w:b w:val="0"/>
          <w:bCs w:val="0"/>
          <w:sz w:val="21"/>
          <w:szCs w:val="21"/>
          <w:u w:val="single"/>
        </w:rPr>
      </w:pPr>
      <w:bookmarkStart w:id="319" w:name="_Toc88780738"/>
      <w:r w:rsidRPr="00F17896">
        <w:rPr>
          <w:b w:val="0"/>
          <w:bCs w:val="0"/>
          <w:sz w:val="21"/>
          <w:szCs w:val="21"/>
          <w:u w:val="single"/>
        </w:rPr>
        <w:t>COVTD-19 Telehealth Program</w:t>
      </w:r>
      <w:bookmarkEnd w:id="319"/>
    </w:p>
    <w:p w:rsidR="00C04C3D" w:rsidRPr="00162ED0" w:rsidP="00B82CC9" w14:paraId="211E4689" w14:textId="77777777">
      <w:pPr>
        <w:spacing w:after="260"/>
        <w:ind w:left="504" w:right="432"/>
        <w:rPr>
          <w:sz w:val="21"/>
          <w:szCs w:val="18"/>
        </w:rPr>
      </w:pPr>
      <w:r w:rsidRPr="00162ED0">
        <w:rPr>
          <w:sz w:val="21"/>
          <w:szCs w:val="18"/>
        </w:rPr>
        <w:t>On March 27, 2020, the Coronavirus Aid, Relief and Economic Security Act (CARES Act) was enacted providing $2.4 trillion in economic relief to individuals and businesses throughout the country to address the health economic, and social impacts of the COVTD-19 pandemic. The CARES Act allocated $200 million to the FCC to support health care providers in their provision of connected care services. On March 31, 2020, to effectuate Congress's intent, the Commission adopted a Report and Order establishing the COVID-19 Telehealth Program</w:t>
      </w:r>
    </w:p>
    <w:p w:rsidR="00C04C3D" w:rsidRPr="00162ED0" w:rsidP="00B82CC9" w14:paraId="2184C63F" w14:textId="77777777">
      <w:pPr>
        <w:spacing w:after="260"/>
        <w:ind w:left="504" w:right="432"/>
        <w:rPr>
          <w:sz w:val="21"/>
          <w:szCs w:val="18"/>
        </w:rPr>
      </w:pPr>
      <w:r w:rsidRPr="00162ED0">
        <w:rPr>
          <w:sz w:val="21"/>
          <w:szCs w:val="18"/>
        </w:rPr>
        <w:t>OIG suggested ways to reduce risk in this program to WCB, such as bolstering certifications in the application and invoicing forms. Also, in response to a FCC management inquiry regarding the Single Audit Act's implications for the Telehealth Program OIG's Office of Audit recommended that management consider tests of program compliance to ensure funding went to the areas hardest hit by COVID-19 and where funding has the greatest impact on addressing the health care needs, as established in the Commission's Report and Order.</w:t>
      </w:r>
    </w:p>
    <w:p w:rsidR="00C04C3D" w:rsidRPr="00162ED0" w:rsidP="00162ED0" w14:paraId="7DB61582" w14:textId="77777777">
      <w:pPr>
        <w:spacing w:after="260"/>
        <w:ind w:left="504" w:right="288"/>
        <w:rPr>
          <w:sz w:val="21"/>
          <w:szCs w:val="18"/>
        </w:rPr>
      </w:pPr>
      <w:r w:rsidRPr="00162ED0">
        <w:rPr>
          <w:sz w:val="21"/>
          <w:szCs w:val="18"/>
        </w:rPr>
        <w:t>In addition to potentially weak certifications raising issues of risk to future enforcement and prosecution, administration of this program raises an additional management risk. Traditionally the FCC used administrators to run Commission programs, such as the USF and Telecommunications Relay Service (TRS) programs. The FCC decided to keep administration of the first round of COVID-19 Telehealth Program — including evaluating applications for support and reviewing and approving invoices for payment—at the Commission.</w:t>
      </w:r>
    </w:p>
    <w:p w:rsidR="00C04C3D" w:rsidRPr="00162ED0" w:rsidP="00162ED0" w14:paraId="4D640606" w14:textId="77777777">
      <w:pPr>
        <w:spacing w:after="260"/>
        <w:ind w:left="504" w:right="288"/>
        <w:rPr>
          <w:sz w:val="21"/>
        </w:rPr>
        <w:sectPr w:rsidSect="00C72AA4">
          <w:pgSz w:w="12240" w:h="15840" w:code="1"/>
          <w:pgMar w:top="1152" w:right="1440" w:bottom="1152" w:left="1440" w:header="720" w:footer="720" w:gutter="0"/>
          <w:cols w:space="720"/>
        </w:sectPr>
      </w:pPr>
    </w:p>
    <w:p w:rsidR="00C04C3D" w:rsidRPr="00162ED0" w:rsidP="00C12D23" w14:paraId="124067F0" w14:textId="77777777">
      <w:pPr>
        <w:spacing w:after="260"/>
        <w:ind w:left="504" w:right="432"/>
        <w:rPr>
          <w:sz w:val="21"/>
          <w:szCs w:val="18"/>
        </w:rPr>
      </w:pPr>
      <w:r w:rsidRPr="00162ED0">
        <w:rPr>
          <w:sz w:val="21"/>
          <w:szCs w:val="18"/>
        </w:rPr>
        <w:t>We see a management risk resulting from the high dollar value of the funding and the speed at which this new program needs to be implemented in response to the pandemic. We believe it is imperative that the Commission focus its efforts on closely monitoring internal controls and modifying the program as needed during the invoicing and reimbursement phases to address any potential fraud and other program deficiencies, and to ensure that risk is appropriately managed to protect the program against waste, fraud and abuse</w:t>
      </w:r>
    </w:p>
    <w:p w:rsidR="00C04C3D" w:rsidRPr="00162ED0" w:rsidP="00C12D23" w14:paraId="4BE00D1F" w14:textId="77777777">
      <w:pPr>
        <w:spacing w:after="260"/>
        <w:ind w:left="504" w:right="432"/>
        <w:rPr>
          <w:sz w:val="21"/>
          <w:szCs w:val="18"/>
        </w:rPr>
      </w:pPr>
      <w:r w:rsidRPr="00162ED0">
        <w:rPr>
          <w:sz w:val="21"/>
          <w:szCs w:val="18"/>
        </w:rPr>
        <w:t>The Office of Investigations followed the track of legislation which would implement an expansion of the COVID-19 Telehealth Program. This legislation appropriated an additional $249.95 million for the program, of which $50,000 was transferred to OIG for program oversight. Prior to the passage of that Act. OIG discussed shortcomings of Round 1 with Government Accountability Office (GAO) staff. Many of the issues OIG identified in the program were corrected in legislation, including publicizing metrics used to evaluate applications for funding and equitable distribution of funds. Additionally, WCB staff began to reach out to the Office of Investigation and worked with the Office of Investigations to implement earlier recommendations related to certifications in the application and invoicing forms. USAC staff, rather than FCC staff, will review program applications.</w:t>
      </w:r>
    </w:p>
    <w:p w:rsidR="00C04C3D" w:rsidRPr="00162ED0" w:rsidP="00162ED0" w14:paraId="6D643B2C" w14:textId="77777777">
      <w:pPr>
        <w:spacing w:after="260"/>
        <w:ind w:left="504" w:right="288"/>
        <w:rPr>
          <w:sz w:val="21"/>
          <w:szCs w:val="18"/>
        </w:rPr>
      </w:pPr>
      <w:r w:rsidRPr="00162ED0">
        <w:rPr>
          <w:sz w:val="21"/>
          <w:szCs w:val="18"/>
        </w:rPr>
        <w:t>GAO published a March 202</w:t>
      </w:r>
      <w:r w:rsidRPr="00162ED0">
        <w:rPr>
          <w:sz w:val="21"/>
        </w:rPr>
        <w:t xml:space="preserve">1 </w:t>
      </w:r>
      <w:r w:rsidRPr="00162ED0">
        <w:rPr>
          <w:sz w:val="21"/>
          <w:szCs w:val="18"/>
        </w:rPr>
        <w:t>report which identified certain improper payments in the program none of which had been previously identified to OIG. Office of Investigations questioned FCC management regarding these improper payments and were provided an explanation of their status. OMD staff promised OIG that if any red flags of fraud from Single Audit Act audits were observed they would alert OIG.</w:t>
      </w:r>
    </w:p>
    <w:p w:rsidR="00C04C3D" w:rsidRPr="00C12D23" w:rsidP="00C12D23" w14:paraId="393EE9D1" w14:textId="77777777">
      <w:pPr>
        <w:pStyle w:val="Heading4"/>
        <w:ind w:left="504"/>
        <w:rPr>
          <w:b w:val="0"/>
          <w:bCs w:val="0"/>
          <w:sz w:val="21"/>
          <w:szCs w:val="21"/>
          <w:u w:val="single"/>
        </w:rPr>
      </w:pPr>
      <w:bookmarkStart w:id="320" w:name="_Toc88780739"/>
      <w:r w:rsidRPr="00C12D23">
        <w:rPr>
          <w:b w:val="0"/>
          <w:bCs w:val="0"/>
          <w:sz w:val="21"/>
          <w:szCs w:val="21"/>
          <w:u w:val="single"/>
        </w:rPr>
        <w:t>Connected Care Pilot Program</w:t>
      </w:r>
      <w:bookmarkEnd w:id="320"/>
    </w:p>
    <w:p w:rsidR="00C04C3D" w:rsidRPr="00162ED0" w:rsidP="00465B10" w14:paraId="3D9CC0E1" w14:textId="77777777">
      <w:pPr>
        <w:spacing w:after="260"/>
        <w:ind w:left="504" w:right="360"/>
        <w:rPr>
          <w:sz w:val="21"/>
          <w:szCs w:val="18"/>
        </w:rPr>
      </w:pPr>
      <w:r w:rsidRPr="00162ED0">
        <w:rPr>
          <w:sz w:val="21"/>
          <w:szCs w:val="18"/>
        </w:rPr>
        <w:t>On April 2, 2020, the Commission released a Report and Order establishing the Connected Care Pilot Program, making up to $100 million available over three years to eligible health care providers. With a focus on supporting services for low-income Americans and veterans, the Pilot Program will strive to improve health outcomes through connected care: reduce health care costs for patients, facilities and the health care system; and support the trend towards connected care across the United States. OIG has taken an active role in engaging with the Commission to identify potential risks in the implementation. Because this program involves a large dollar amount to be distributed to various projects throughout the country over the next three years, administration and oversight of this fund will pose significant management challenges.</w:t>
      </w:r>
    </w:p>
    <w:p w:rsidR="00C04C3D" w:rsidRPr="00C12D23" w:rsidP="00C12D23" w14:paraId="41A05C4B" w14:textId="77777777">
      <w:pPr>
        <w:pStyle w:val="Heading4"/>
        <w:ind w:left="504"/>
        <w:rPr>
          <w:b w:val="0"/>
          <w:bCs w:val="0"/>
          <w:sz w:val="21"/>
          <w:szCs w:val="21"/>
          <w:u w:val="single"/>
        </w:rPr>
      </w:pPr>
      <w:bookmarkStart w:id="321" w:name="_Toc88780740"/>
      <w:r w:rsidRPr="00C12D23">
        <w:rPr>
          <w:b w:val="0"/>
          <w:bCs w:val="0"/>
          <w:sz w:val="21"/>
          <w:szCs w:val="21"/>
          <w:u w:val="single"/>
        </w:rPr>
        <w:t>Telecommunications Relay Service</w:t>
      </w:r>
      <w:bookmarkEnd w:id="321"/>
    </w:p>
    <w:p w:rsidR="00C04C3D" w:rsidRPr="00162ED0" w:rsidP="00162ED0" w14:paraId="400179F2" w14:textId="77777777">
      <w:pPr>
        <w:spacing w:after="260"/>
        <w:ind w:left="504" w:right="288"/>
        <w:rPr>
          <w:sz w:val="21"/>
          <w:szCs w:val="18"/>
        </w:rPr>
      </w:pPr>
      <w:r w:rsidRPr="00162ED0">
        <w:rPr>
          <w:sz w:val="21"/>
          <w:szCs w:val="18"/>
        </w:rPr>
        <w:t>The OIG understands that use of TRS-related services, particularly IP CTS. has increased in recent years, threatening to exceed the amount of funding available. Although the Office of Management and Budget (OMB) granted the FCC relief from TRS program improper payment testing procedures required by the Program Integrity Information Act (PIIA): it remains incumbent on management to ensure TRS program funds are properly disbursed on behalf of the intended program beneficiaries. This task may impose significant management challenges when confronting increasing program utilization and a potential funding shortfall.</w:t>
      </w:r>
    </w:p>
    <w:p w:rsidR="00C04C3D" w:rsidRPr="00162ED0" w:rsidP="00162ED0" w14:paraId="13B00472" w14:textId="77777777">
      <w:pPr>
        <w:spacing w:after="260"/>
        <w:ind w:left="504" w:right="288"/>
        <w:rPr>
          <w:sz w:val="21"/>
          <w:szCs w:val="18"/>
        </w:rPr>
      </w:pPr>
      <w:r w:rsidRPr="00162ED0">
        <w:rPr>
          <w:sz w:val="21"/>
          <w:szCs w:val="18"/>
        </w:rPr>
        <w:t>In addition to increased use during the pandemic, OIG has received numerous complaints that educational institutions, healthcare providers, and business are taking advantage of TRS-supported</w:t>
      </w:r>
    </w:p>
    <w:p w:rsidR="00C04C3D" w:rsidRPr="00162ED0" w:rsidP="00162ED0" w14:paraId="62A7407C" w14:textId="77777777">
      <w:pPr>
        <w:spacing w:after="260"/>
        <w:ind w:left="504" w:right="288"/>
        <w:rPr>
          <w:sz w:val="21"/>
        </w:rPr>
        <w:sectPr w:rsidSect="00B82CC9">
          <w:pgSz w:w="12240" w:h="15840" w:code="1"/>
          <w:pgMar w:top="1152" w:right="1440" w:bottom="1152" w:left="1440" w:header="720" w:footer="720" w:gutter="0"/>
          <w:cols w:space="720"/>
        </w:sectPr>
      </w:pPr>
    </w:p>
    <w:p w:rsidR="00C04C3D" w:rsidRPr="00162ED0" w:rsidP="00DC002D" w14:paraId="52678AA4" w14:textId="77777777">
      <w:pPr>
        <w:spacing w:after="260"/>
        <w:ind w:left="504" w:right="403"/>
        <w:rPr>
          <w:sz w:val="21"/>
          <w:szCs w:val="18"/>
        </w:rPr>
      </w:pPr>
      <w:r w:rsidRPr="00162ED0">
        <w:rPr>
          <w:sz w:val="21"/>
          <w:szCs w:val="18"/>
        </w:rPr>
        <w:t>services to cover services not envisioned by policymakers. For example, we have received complaints that deaf teachers working for educational institutions are using VRS to teach hearing students American Sign Language over Zoom and other video-conferencing platforms. Management should continue to monitor and adjust program rules if the pandemic has shifted marketplace dynamics and practices.</w:t>
      </w:r>
    </w:p>
    <w:p w:rsidR="00C04C3D" w:rsidRPr="00162ED0" w:rsidP="007728C7" w14:paraId="693E95C9" w14:textId="77777777">
      <w:pPr>
        <w:spacing w:after="260"/>
        <w:ind w:left="504" w:right="432"/>
        <w:rPr>
          <w:sz w:val="21"/>
          <w:szCs w:val="18"/>
        </w:rPr>
      </w:pPr>
      <w:r w:rsidRPr="00162ED0">
        <w:rPr>
          <w:sz w:val="21"/>
          <w:szCs w:val="18"/>
        </w:rPr>
        <w:t>Finally, as the Commission and the Administrator continue to assess measures implemented to reduce fraud, waste, and abuse in the TRS program management needs to hold providers accountable for failing to comply with program rules.</w:t>
      </w:r>
    </w:p>
    <w:p w:rsidR="00C04C3D" w:rsidRPr="007728C7" w:rsidP="007728C7" w14:paraId="2105228D" w14:textId="77777777">
      <w:pPr>
        <w:pStyle w:val="Heading4"/>
        <w:ind w:left="504"/>
        <w:rPr>
          <w:b w:val="0"/>
          <w:bCs w:val="0"/>
          <w:sz w:val="21"/>
          <w:szCs w:val="21"/>
          <w:u w:val="single"/>
        </w:rPr>
      </w:pPr>
      <w:bookmarkStart w:id="322" w:name="_Toc88780741"/>
      <w:r w:rsidRPr="007728C7">
        <w:rPr>
          <w:b w:val="0"/>
          <w:bCs w:val="0"/>
          <w:sz w:val="21"/>
          <w:szCs w:val="21"/>
          <w:u w:val="single"/>
        </w:rPr>
        <w:t>Bridging the Digital Divide</w:t>
      </w:r>
      <w:bookmarkEnd w:id="322"/>
    </w:p>
    <w:p w:rsidR="00C04C3D" w:rsidRPr="00162ED0" w:rsidP="008F2353" w14:paraId="15F941EE" w14:textId="04867348">
      <w:pPr>
        <w:spacing w:after="260"/>
        <w:ind w:left="504" w:right="346"/>
        <w:rPr>
          <w:sz w:val="21"/>
          <w:szCs w:val="18"/>
        </w:rPr>
      </w:pPr>
      <w:r w:rsidRPr="00162ED0">
        <w:rPr>
          <w:sz w:val="21"/>
          <w:szCs w:val="18"/>
        </w:rPr>
        <w:t>In March 1020. Congress enacted the Broadband DATA Act,</w:t>
      </w:r>
      <w:r>
        <w:rPr>
          <w:rStyle w:val="FootnoteReference"/>
          <w:sz w:val="21"/>
          <w:szCs w:val="18"/>
        </w:rPr>
        <w:footnoteReference w:customMarkFollows="1" w:id="27"/>
        <w:t xml:space="preserve">6</w:t>
      </w:r>
      <w:r w:rsidRPr="00162ED0">
        <w:rPr>
          <w:sz w:val="21"/>
          <w:szCs w:val="18"/>
        </w:rPr>
        <w:t xml:space="preserve"> which gave the Commission 180 days to impose new rules to collect accurate and granular mapping data with the goal of updating and improving the accuracy of the broadband providers' broadband coverage maps used to evaluate nationwide broadband penetration In April 2020, the Commission issued a Notice of Proposed Rulemaking and Order, setting certain rules and requirements for the 5G Fund for Rural America and seeking comment on what maps to use to identify geographic areas eligible for subsidies. In July</w:t>
      </w:r>
      <w:r w:rsidR="00477BE3">
        <w:rPr>
          <w:sz w:val="21"/>
          <w:szCs w:val="18"/>
        </w:rPr>
        <w:t xml:space="preserve"> </w:t>
      </w:r>
      <w:r w:rsidRPr="00162ED0">
        <w:rPr>
          <w:sz w:val="21"/>
          <w:szCs w:val="18"/>
        </w:rPr>
        <w:t>2020. the FCC adopted new rules for improved collection and mapping of broadband availability. The Order implemented key provisions of the Broadband DATA Act, including requiring fixed and mobile providers to submit standardized broadband availability maps and developing a common dataset of homes and businesses where fixed broadband networks could be deployed, over which service providers' broadband availability maps will be overlaid.</w:t>
      </w:r>
    </w:p>
    <w:p w:rsidR="00C04C3D" w:rsidRPr="00ED2B69" w:rsidP="00AF256E" w14:paraId="0F0860CD" w14:textId="594E697C">
      <w:pPr>
        <w:spacing w:after="260"/>
        <w:ind w:left="504" w:right="389"/>
        <w:rPr>
          <w:sz w:val="21"/>
          <w:szCs w:val="18"/>
        </w:rPr>
      </w:pPr>
      <w:r w:rsidRPr="00162ED0">
        <w:rPr>
          <w:sz w:val="21"/>
          <w:szCs w:val="18"/>
        </w:rPr>
        <w:t>The rules also adopted filing and certification requirements, measures for determining the accuracy of broadband availability data (including audits and collecting crowdsourced data), standards for collecting and incorporating verified data for use in the coverage maps from governmental entities and certain third parties, and establishing the Broadband Serviceable Location Fabric. In January</w:t>
      </w:r>
      <w:r w:rsidR="00894CFA">
        <w:rPr>
          <w:sz w:val="21"/>
          <w:szCs w:val="18"/>
        </w:rPr>
        <w:t xml:space="preserve"> </w:t>
      </w:r>
      <w:r w:rsidRPr="00162ED0">
        <w:rPr>
          <w:sz w:val="21"/>
          <w:szCs w:val="18"/>
        </w:rPr>
        <w:t>2021, the Commission adopted additional rules fleshing out its implementation of the Broadband DATA Act, including a requirement that providers must submit a certification from a qualified engineer attesting to the accuracy of provider's data submission, and establishing a challenge process by which consumers and others can challenge the accuracy of coverage maps and other data. In July 2021, the Commission requested comments on outstanding aspects of implementing the Broadband DATA Act. including collecting verification information and technical requirements for challenges to mobile service and crowdsourced data.</w:t>
      </w:r>
    </w:p>
    <w:p w:rsidR="00C04C3D" w:rsidRPr="00162ED0" w:rsidP="00693DBC" w14:paraId="4F764B59" w14:textId="77777777">
      <w:pPr>
        <w:spacing w:after="260"/>
        <w:ind w:left="504" w:right="360"/>
        <w:rPr>
          <w:sz w:val="21"/>
          <w:szCs w:val="18"/>
        </w:rPr>
      </w:pPr>
      <w:r w:rsidRPr="00162ED0">
        <w:rPr>
          <w:sz w:val="21"/>
          <w:szCs w:val="18"/>
        </w:rPr>
        <w:t xml:space="preserve">In December 2020, the Commission announced the winners of the Rural Development Opportunity Fund's (RDOFs) Phase I auction </w:t>
      </w:r>
      <w:r w:rsidRPr="00162ED0">
        <w:rPr>
          <w:sz w:val="21"/>
        </w:rPr>
        <w:t xml:space="preserve">in </w:t>
      </w:r>
      <w:r w:rsidRPr="00162ED0">
        <w:rPr>
          <w:sz w:val="21"/>
          <w:szCs w:val="18"/>
        </w:rPr>
        <w:t xml:space="preserve">which $9.23 billion of the Fund's </w:t>
      </w:r>
      <w:r w:rsidRPr="00162ED0">
        <w:rPr>
          <w:sz w:val="21"/>
        </w:rPr>
        <w:t xml:space="preserve">total </w:t>
      </w:r>
      <w:r w:rsidRPr="00162ED0">
        <w:rPr>
          <w:sz w:val="21"/>
          <w:szCs w:val="18"/>
        </w:rPr>
        <w:t>$20</w:t>
      </w:r>
      <w:r w:rsidRPr="00162ED0">
        <w:rPr>
          <w:sz w:val="21"/>
        </w:rPr>
        <w:t xml:space="preserve">.4 billion </w:t>
      </w:r>
      <w:r w:rsidRPr="00162ED0">
        <w:rPr>
          <w:sz w:val="21"/>
          <w:szCs w:val="18"/>
        </w:rPr>
        <w:t xml:space="preserve">will be distributed over ten years to bring high speed fixed broadband service </w:t>
      </w:r>
      <w:r w:rsidRPr="00162ED0">
        <w:rPr>
          <w:sz w:val="21"/>
        </w:rPr>
        <w:t xml:space="preserve">to rural </w:t>
      </w:r>
      <w:r w:rsidRPr="00162ED0">
        <w:rPr>
          <w:sz w:val="21"/>
          <w:szCs w:val="18"/>
        </w:rPr>
        <w:t xml:space="preserve">homes and </w:t>
      </w:r>
      <w:r w:rsidRPr="00162ED0">
        <w:rPr>
          <w:sz w:val="21"/>
        </w:rPr>
        <w:t xml:space="preserve">small </w:t>
      </w:r>
      <w:r w:rsidRPr="00162ED0">
        <w:rPr>
          <w:sz w:val="21"/>
          <w:szCs w:val="18"/>
        </w:rPr>
        <w:t>businesses that lack it. The areas targeted for 80 percent of the total RDOF investment were selected based on broadband mapping data noted for inaccuracies. In fact, at least 38 auction winners have notified the Commission th</w:t>
      </w:r>
      <w:r w:rsidRPr="00162ED0">
        <w:rPr>
          <w:sz w:val="21"/>
        </w:rPr>
        <w:t xml:space="preserve">at </w:t>
      </w:r>
      <w:r w:rsidRPr="00162ED0">
        <w:rPr>
          <w:sz w:val="21"/>
          <w:szCs w:val="18"/>
        </w:rPr>
        <w:t>they will default on their obligations for at</w:t>
      </w:r>
      <w:r w:rsidRPr="00162ED0">
        <w:rPr>
          <w:sz w:val="21"/>
        </w:rPr>
        <w:t xml:space="preserve"> </w:t>
      </w:r>
      <w:r w:rsidRPr="00162ED0">
        <w:rPr>
          <w:sz w:val="21"/>
          <w:szCs w:val="18"/>
        </w:rPr>
        <w:t xml:space="preserve">least </w:t>
      </w:r>
      <w:r w:rsidRPr="00162ED0">
        <w:rPr>
          <w:sz w:val="21"/>
        </w:rPr>
        <w:t>1,</w:t>
      </w:r>
      <w:r w:rsidRPr="00162ED0">
        <w:rPr>
          <w:sz w:val="21"/>
          <w:szCs w:val="18"/>
        </w:rPr>
        <w:t xml:space="preserve">614 of the census blocks awarded to them in the auction in most cases because the blocks were found to be already served </w:t>
      </w:r>
      <w:r w:rsidRPr="00162ED0">
        <w:rPr>
          <w:sz w:val="21"/>
        </w:rPr>
        <w:t xml:space="preserve">by </w:t>
      </w:r>
      <w:r w:rsidRPr="00162ED0">
        <w:rPr>
          <w:sz w:val="21"/>
          <w:szCs w:val="18"/>
        </w:rPr>
        <w:t xml:space="preserve">another provider or devoid of people. Additionally, while the Commission is in the process of setting </w:t>
      </w:r>
      <w:r w:rsidRPr="00162ED0">
        <w:rPr>
          <w:sz w:val="21"/>
        </w:rPr>
        <w:t xml:space="preserve">rules, </w:t>
      </w:r>
      <w:r w:rsidRPr="00162ED0">
        <w:rPr>
          <w:sz w:val="21"/>
          <w:szCs w:val="18"/>
        </w:rPr>
        <w:t>as required by the Broadband Data Act, the Commission must carefully</w:t>
      </w:r>
    </w:p>
    <w:p w:rsidR="00C04C3D" w:rsidRPr="00162ED0" w:rsidP="00162ED0" w14:paraId="08357BFD" w14:textId="77777777">
      <w:pPr>
        <w:spacing w:after="260"/>
        <w:ind w:left="504" w:right="288"/>
        <w:rPr>
          <w:sz w:val="21"/>
        </w:rPr>
        <w:sectPr w:rsidSect="001A5BD2">
          <w:pgSz w:w="12240" w:h="15840" w:code="1"/>
          <w:pgMar w:top="1152" w:right="1440" w:bottom="1152" w:left="1440" w:header="720" w:footer="720" w:gutter="0"/>
          <w:cols w:space="720"/>
        </w:sectPr>
      </w:pPr>
    </w:p>
    <w:p w:rsidR="00C04C3D" w:rsidRPr="00162ED0" w:rsidP="006A24D1" w14:paraId="31B90DBA" w14:textId="77777777">
      <w:pPr>
        <w:spacing w:after="260"/>
        <w:ind w:left="504" w:right="432"/>
        <w:rPr>
          <w:sz w:val="21"/>
          <w:szCs w:val="18"/>
        </w:rPr>
      </w:pPr>
      <w:r w:rsidRPr="00162ED0">
        <w:rPr>
          <w:sz w:val="21"/>
          <w:szCs w:val="18"/>
        </w:rPr>
        <w:t>consider the ramifications of deciding whether to proceed with the $9 billion 5G Fund for Rural America auction in 2021 using existing mapping data, or delaying that auction until 2023, when more granular broadband data, which would more accurately identify underserved areas, is available.</w:t>
      </w:r>
    </w:p>
    <w:p w:rsidR="00C04C3D" w:rsidRPr="00162ED0" w:rsidP="00162ED0" w14:paraId="23505A22" w14:textId="77777777">
      <w:pPr>
        <w:spacing w:after="260"/>
        <w:ind w:left="504" w:right="288"/>
        <w:rPr>
          <w:sz w:val="21"/>
          <w:szCs w:val="18"/>
        </w:rPr>
      </w:pPr>
      <w:r w:rsidRPr="00162ED0">
        <w:rPr>
          <w:sz w:val="21"/>
          <w:szCs w:val="18"/>
        </w:rPr>
        <w:t>It is a significant management challenge to ensure that the maps reflect accurate broadband deployment and, concomitantly, that subsidies are disbursed to foster build-out in underserved areas to further bridge the digital divide and deploy 5G service.</w:t>
      </w:r>
    </w:p>
    <w:p w:rsidR="00C04C3D" w:rsidRPr="00F268D0" w:rsidP="00F268D0" w14:paraId="5C9EA1B7" w14:textId="77777777">
      <w:pPr>
        <w:pStyle w:val="Heading4"/>
        <w:ind w:left="504"/>
        <w:rPr>
          <w:b w:val="0"/>
          <w:bCs w:val="0"/>
          <w:sz w:val="21"/>
          <w:szCs w:val="21"/>
          <w:u w:val="single"/>
        </w:rPr>
      </w:pPr>
      <w:bookmarkStart w:id="323" w:name="_Toc88780742"/>
      <w:r w:rsidRPr="00F268D0">
        <w:rPr>
          <w:b w:val="0"/>
          <w:bCs w:val="0"/>
          <w:sz w:val="21"/>
          <w:szCs w:val="21"/>
          <w:u w:val="single"/>
        </w:rPr>
        <w:t>Secure Networks Reimbursement Program (a/k/a "Rip and Replace")</w:t>
      </w:r>
      <w:bookmarkEnd w:id="323"/>
    </w:p>
    <w:p w:rsidR="00C04C3D" w:rsidRPr="00162ED0" w:rsidP="006A24D1" w14:paraId="4CAEE1BD" w14:textId="77777777">
      <w:pPr>
        <w:spacing w:after="260"/>
        <w:ind w:left="504" w:right="360"/>
        <w:rPr>
          <w:sz w:val="21"/>
          <w:szCs w:val="18"/>
        </w:rPr>
      </w:pPr>
      <w:r w:rsidRPr="00162ED0">
        <w:rPr>
          <w:sz w:val="21"/>
          <w:szCs w:val="18"/>
        </w:rPr>
        <w:t>In March 2020, the President signed into law the Secure and Trusted Communications Networks Act of 2019 (the Secure Networks Act), which among other things required the Commission t</w:t>
      </w:r>
      <w:r w:rsidRPr="00162ED0">
        <w:rPr>
          <w:sz w:val="21"/>
          <w:szCs w:val="14"/>
        </w:rPr>
        <w:t xml:space="preserve">o </w:t>
      </w:r>
      <w:r w:rsidRPr="00162ED0">
        <w:rPr>
          <w:sz w:val="21"/>
          <w:szCs w:val="18"/>
        </w:rPr>
        <w:t>establish a program t</w:t>
      </w:r>
      <w:r w:rsidRPr="00162ED0">
        <w:rPr>
          <w:sz w:val="21"/>
          <w:szCs w:val="14"/>
        </w:rPr>
        <w:t xml:space="preserve">o </w:t>
      </w:r>
      <w:r w:rsidRPr="00162ED0">
        <w:rPr>
          <w:sz w:val="21"/>
          <w:szCs w:val="18"/>
        </w:rPr>
        <w:t>reimburse providers of advanced communications services for the removal, replacement, and disposal of covered communications equipment and services from their networks. That law built upon previous actions by the Commission designating Huawei Technologies Company and ZTE Corporation as "covered companies."' and rules prohibiting the use of Universal Service Fund support to purchase or obtain any equipment or services produced or provided by a covered company.</w:t>
      </w:r>
    </w:p>
    <w:p w:rsidR="00C04C3D" w:rsidRPr="00162ED0" w:rsidP="006A24D1" w14:paraId="6C16FDF4" w14:textId="77777777">
      <w:pPr>
        <w:spacing w:after="260"/>
        <w:ind w:left="504" w:right="360"/>
        <w:rPr>
          <w:sz w:val="21"/>
          <w:szCs w:val="18"/>
        </w:rPr>
      </w:pPr>
      <w:r w:rsidRPr="00162ED0">
        <w:rPr>
          <w:sz w:val="21"/>
          <w:szCs w:val="18"/>
        </w:rPr>
        <w:t xml:space="preserve">In December 2020, the Commission adopted the Supply Chain Second Report and Order, enacting rules that established the Secure Networks Reimbursement Program (SCNP), as required by the Secure Networks Act. A few weeks later, the President signed into law the Consolidated Appropriations Act of 2021 (CAA), amending the Secure Networks Act that, among other things, expanded the reimbursement program eligibility pool to include larger telecom companies. The CAA also appropriated $1.9 billion to fund the SCNP. In April 2021, the Commission selected Ernst &amp; Young to administer the SCNP. In July 2021. the Commission adopted the Supply Chain Third Report and Order to conform the rules for the SCNP </w:t>
      </w:r>
      <w:r w:rsidRPr="00162ED0">
        <w:rPr>
          <w:sz w:val="21"/>
          <w:szCs w:val="16"/>
        </w:rPr>
        <w:t xml:space="preserve">to </w:t>
      </w:r>
      <w:r w:rsidRPr="00162ED0">
        <w:rPr>
          <w:sz w:val="21"/>
          <w:szCs w:val="18"/>
        </w:rPr>
        <w:t>be consistent with the changes made by the CAA, and to flesh out additional details for the program.</w:t>
      </w:r>
    </w:p>
    <w:p w:rsidR="00C04C3D" w:rsidRPr="00162ED0" w:rsidP="00190721" w14:paraId="491961DE" w14:textId="77777777">
      <w:pPr>
        <w:spacing w:after="260"/>
        <w:ind w:left="504" w:right="360"/>
        <w:rPr>
          <w:sz w:val="21"/>
          <w:szCs w:val="18"/>
        </w:rPr>
      </w:pPr>
      <w:r w:rsidRPr="00162ED0">
        <w:rPr>
          <w:sz w:val="21"/>
          <w:szCs w:val="18"/>
        </w:rPr>
        <w:t>This new $1.9 billion program presents several management challenges. First, SCNP is a completely new program that does not build directly on an existing program (as compared t</w:t>
      </w:r>
      <w:r w:rsidRPr="00162ED0">
        <w:rPr>
          <w:sz w:val="21"/>
          <w:szCs w:val="16"/>
        </w:rPr>
        <w:t>o t</w:t>
      </w:r>
      <w:r w:rsidRPr="00162ED0">
        <w:rPr>
          <w:sz w:val="21"/>
          <w:szCs w:val="18"/>
        </w:rPr>
        <w:t xml:space="preserve">he way that the Emergency Broadband Program builds </w:t>
      </w:r>
      <w:r w:rsidRPr="00162ED0">
        <w:rPr>
          <w:sz w:val="21"/>
          <w:szCs w:val="16"/>
        </w:rPr>
        <w:t xml:space="preserve">on </w:t>
      </w:r>
      <w:r w:rsidRPr="00162ED0">
        <w:rPr>
          <w:sz w:val="21"/>
          <w:szCs w:val="18"/>
        </w:rPr>
        <w:t xml:space="preserve">Lifeline, </w:t>
      </w:r>
      <w:r w:rsidRPr="00162ED0">
        <w:rPr>
          <w:sz w:val="21"/>
          <w:szCs w:val="16"/>
        </w:rPr>
        <w:t xml:space="preserve">or </w:t>
      </w:r>
      <w:r w:rsidRPr="00162ED0">
        <w:rPr>
          <w:sz w:val="21"/>
          <w:szCs w:val="18"/>
        </w:rPr>
        <w:t>the Emergency Connectivity Fund builds on E-Rate). Additionally, the SCNP will be run over a short lifespan—the program will be completed within one year. although it does include provisions for participants to seek extensions of time based on circumstances. Collectively, these factors are a significant management challenge t</w:t>
      </w:r>
      <w:r w:rsidRPr="00162ED0">
        <w:rPr>
          <w:sz w:val="21"/>
          <w:szCs w:val="16"/>
        </w:rPr>
        <w:t xml:space="preserve">o </w:t>
      </w:r>
      <w:r w:rsidRPr="00162ED0">
        <w:rPr>
          <w:sz w:val="21"/>
          <w:szCs w:val="18"/>
        </w:rPr>
        <w:t>ensuring t</w:t>
      </w:r>
      <w:r w:rsidRPr="00162ED0">
        <w:rPr>
          <w:sz w:val="21"/>
          <w:szCs w:val="16"/>
        </w:rPr>
        <w:t xml:space="preserve">hat </w:t>
      </w:r>
      <w:r w:rsidRPr="00162ED0">
        <w:rPr>
          <w:sz w:val="21"/>
          <w:szCs w:val="18"/>
        </w:rPr>
        <w:t>the $1.9 billion is spent appropriately to achieve the goal of replacing communications equipment and services that pose a threat to the nation's communications network and related supply chain</w:t>
      </w:r>
    </w:p>
    <w:p w:rsidR="00C04C3D" w:rsidRPr="00190721" w:rsidP="00165EFC" w14:paraId="6DCC4E99" w14:textId="77777777">
      <w:pPr>
        <w:pStyle w:val="Heading4"/>
        <w:ind w:left="504" w:right="144"/>
        <w:rPr>
          <w:b w:val="0"/>
          <w:bCs w:val="0"/>
          <w:sz w:val="21"/>
          <w:szCs w:val="21"/>
          <w:u w:val="single"/>
        </w:rPr>
      </w:pPr>
      <w:bookmarkStart w:id="324" w:name="_Toc88780743"/>
      <w:r w:rsidRPr="00190721">
        <w:rPr>
          <w:b w:val="0"/>
          <w:bCs w:val="0"/>
          <w:sz w:val="21"/>
          <w:szCs w:val="21"/>
          <w:u w:val="single"/>
        </w:rPr>
        <w:t>Compliance with Payment Integrity Information Act of 2019 (formerly Improper Payments Elimination and Recovery Improvement Act)</w:t>
      </w:r>
      <w:bookmarkEnd w:id="324"/>
    </w:p>
    <w:p w:rsidR="00C04C3D" w:rsidRPr="00162ED0" w:rsidP="00162ED0" w14:paraId="51F03253" w14:textId="77777777">
      <w:pPr>
        <w:spacing w:after="260"/>
        <w:ind w:left="504" w:right="288"/>
        <w:rPr>
          <w:sz w:val="21"/>
          <w:szCs w:val="18"/>
        </w:rPr>
      </w:pPr>
      <w:r w:rsidRPr="00162ED0">
        <w:rPr>
          <w:sz w:val="21"/>
          <w:szCs w:val="18"/>
        </w:rPr>
        <w:t>The OIG's Payment Integrity Information Act (PIIA) audit report, issued on May 17, 2021, found the FCC was compliant in 8 of its 10 programs that were susceptible to significant improper payments. For the two non-compliant programs, The OIG's contracted auditors could not form an opinion on the FCC's overall compliance with PIIA because of a scope limitation encountered for the USF Lifeline program and unresolved prior year deficiencies for the USF High Cost program.</w:t>
      </w:r>
    </w:p>
    <w:p w:rsidR="00C04C3D" w:rsidRPr="00162ED0" w:rsidP="00162ED0" w14:paraId="06C785FA" w14:textId="77777777">
      <w:pPr>
        <w:spacing w:after="260"/>
        <w:ind w:left="504" w:right="288"/>
        <w:rPr>
          <w:sz w:val="21"/>
        </w:rPr>
        <w:sectPr w:rsidSect="004C0023">
          <w:pgSz w:w="12240" w:h="15840" w:code="1"/>
          <w:pgMar w:top="1152" w:right="1440" w:bottom="1152" w:left="1440" w:header="720" w:footer="720" w:gutter="0"/>
          <w:cols w:space="720"/>
        </w:sectPr>
      </w:pPr>
    </w:p>
    <w:p w:rsidR="00C04C3D" w:rsidRPr="00162ED0" w:rsidP="00162ED0" w14:paraId="4B966B10" w14:textId="77777777">
      <w:pPr>
        <w:spacing w:after="260"/>
        <w:ind w:left="504" w:right="288"/>
        <w:rPr>
          <w:sz w:val="21"/>
          <w:szCs w:val="18"/>
        </w:rPr>
      </w:pPr>
      <w:r w:rsidRPr="00162ED0">
        <w:rPr>
          <w:sz w:val="21"/>
          <w:szCs w:val="18"/>
        </w:rPr>
        <w:t>The auditors concluded they did not receive sufficient, appropriate evidence to support the Lifeline program's estimated improper payment rate and the related payment integrity information. The evidence received did not adequately address the concerns raised by the auditor nor did it provide adequate documentation to support the revised improper payment rate.</w:t>
      </w:r>
    </w:p>
    <w:p w:rsidR="00C04C3D" w:rsidRPr="00162ED0" w:rsidP="00162ED0" w14:paraId="64962039" w14:textId="77777777">
      <w:pPr>
        <w:spacing w:after="260"/>
        <w:ind w:left="504" w:right="288"/>
        <w:rPr>
          <w:sz w:val="21"/>
          <w:szCs w:val="18"/>
        </w:rPr>
      </w:pPr>
      <w:r w:rsidRPr="00162ED0">
        <w:rPr>
          <w:sz w:val="21"/>
          <w:szCs w:val="18"/>
        </w:rPr>
        <w:t>Additionally, the auditors were unable to rely on the improper payment rate that FCC management reported for the High-Cost program because deficiencies noted in FY 2018 and 2019 had not been addressed. Finally, the auditors noted that due to the COVID-19 pandemic, FCC did not complete USF recovery audits for two programs that met the PIIA recovery audit threshold PIIA requires recovery audits for all programs that expended $1,000,000 or more annually.</w:t>
      </w:r>
    </w:p>
    <w:p w:rsidR="00C04C3D" w:rsidRPr="00162ED0" w:rsidP="00162ED0" w14:paraId="6E5F1B9F" w14:textId="77777777">
      <w:pPr>
        <w:spacing w:after="260"/>
        <w:ind w:left="504" w:right="288"/>
        <w:rPr>
          <w:sz w:val="21"/>
          <w:szCs w:val="18"/>
        </w:rPr>
      </w:pPr>
      <w:r w:rsidRPr="00162ED0">
        <w:rPr>
          <w:sz w:val="21"/>
          <w:szCs w:val="18"/>
        </w:rPr>
        <w:t>To ensure compliance with PIIA, FCC management and its fund administrator must address deficiencies noted in the improper payment estimation methodology for both the High Cost and Lifeline programs. Ensuring that the Commission is compliant with the requirements of PIIA is considered a significant management challenge.</w:t>
      </w:r>
    </w:p>
    <w:p w:rsidR="00C04C3D" w:rsidRPr="00D964A6" w:rsidP="00D964A6" w14:paraId="51B398B3" w14:textId="77777777">
      <w:pPr>
        <w:pStyle w:val="Heading4"/>
        <w:ind w:left="504" w:right="144"/>
        <w:rPr>
          <w:b w:val="0"/>
          <w:bCs w:val="0"/>
          <w:sz w:val="21"/>
          <w:szCs w:val="21"/>
          <w:u w:val="single"/>
        </w:rPr>
      </w:pPr>
      <w:bookmarkStart w:id="325" w:name="_Toc88780744"/>
      <w:r w:rsidRPr="00D964A6">
        <w:rPr>
          <w:b w:val="0"/>
          <w:bCs w:val="0"/>
          <w:sz w:val="21"/>
          <w:szCs w:val="21"/>
          <w:u w:val="single"/>
        </w:rPr>
        <w:t>Compliance with the Digital Accountability and Transparency Act</w:t>
      </w:r>
      <w:bookmarkEnd w:id="325"/>
    </w:p>
    <w:p w:rsidR="00C04C3D" w:rsidRPr="00162ED0" w:rsidP="00162ED0" w14:paraId="71F5E144" w14:textId="2AF49E01">
      <w:pPr>
        <w:spacing w:after="260"/>
        <w:ind w:left="504" w:right="288"/>
        <w:rPr>
          <w:sz w:val="21"/>
          <w:szCs w:val="18"/>
        </w:rPr>
      </w:pPr>
      <w:r w:rsidRPr="00162ED0">
        <w:rPr>
          <w:sz w:val="21"/>
          <w:szCs w:val="18"/>
        </w:rPr>
        <w:t>In 2006. Congress passed the Federal Funding Accountability and Transparency Act (FFATA) of 2006.</w:t>
      </w:r>
      <w:r>
        <w:rPr>
          <w:rStyle w:val="FootnoteReference"/>
          <w:sz w:val="21"/>
          <w:szCs w:val="18"/>
        </w:rPr>
        <w:footnoteReference w:customMarkFollows="1" w:id="28"/>
        <w:t xml:space="preserve">7</w:t>
      </w:r>
      <w:r w:rsidRPr="00162ED0">
        <w:rPr>
          <w:sz w:val="21"/>
          <w:szCs w:val="18"/>
        </w:rPr>
        <w:t xml:space="preserve"> which requires OMB to ensure the existence and operation of a free, publicly accessible website containing data on Federal awards (such as contracts, loans, and grants). In order to comply with FFATA reporting requirements. OMB launched the website </w:t>
      </w:r>
      <w:hyperlink r:id="rId94" w:history="1">
        <w:r w:rsidRPr="003B1265">
          <w:rPr>
            <w:rStyle w:val="Hyperlink"/>
            <w:sz w:val="21"/>
            <w:szCs w:val="18"/>
          </w:rPr>
          <w:t>USAspending.gov</w:t>
        </w:r>
      </w:hyperlink>
      <w:r w:rsidRPr="00162ED0">
        <w:rPr>
          <w:sz w:val="21"/>
          <w:szCs w:val="18"/>
        </w:rPr>
        <w:t>.</w:t>
      </w:r>
    </w:p>
    <w:p w:rsidR="00C04C3D" w:rsidRPr="00162ED0" w:rsidP="00A13306" w14:paraId="00CFF088" w14:textId="5352A534">
      <w:pPr>
        <w:spacing w:after="260"/>
        <w:ind w:left="504" w:right="360"/>
        <w:rPr>
          <w:sz w:val="21"/>
          <w:szCs w:val="18"/>
        </w:rPr>
      </w:pPr>
      <w:r w:rsidRPr="00162ED0">
        <w:rPr>
          <w:sz w:val="21"/>
          <w:szCs w:val="18"/>
        </w:rPr>
        <w:t xml:space="preserve">In May 2014. the Digital Accountability and Transparency Act (DATA Act) of 2014 was signed into law, amending and augmenting FFATA to increase accountability, transparency, accessibility, quality, and standardization in Federal spending data. The DATA Act requires Federal agencies to report financial and payment information to the public through </w:t>
      </w:r>
      <w:hyperlink r:id="rId94" w:history="1">
        <w:r w:rsidRPr="003B1265">
          <w:rPr>
            <w:rStyle w:val="Hyperlink"/>
            <w:sz w:val="21"/>
            <w:szCs w:val="18"/>
          </w:rPr>
          <w:t>USAspending.gov</w:t>
        </w:r>
      </w:hyperlink>
      <w:r w:rsidRPr="00162ED0">
        <w:rPr>
          <w:sz w:val="21"/>
          <w:szCs w:val="18"/>
        </w:rPr>
        <w:t xml:space="preserve"> in accordance with Government-wide financial data standards developed and issued by OMB and the Department of the Treasury</w:t>
      </w:r>
    </w:p>
    <w:p w:rsidR="00C04C3D" w:rsidRPr="00162ED0" w:rsidP="00A13306" w14:paraId="444B4A94" w14:textId="53440AB0">
      <w:pPr>
        <w:spacing w:after="260"/>
        <w:ind w:left="504" w:right="360"/>
        <w:rPr>
          <w:sz w:val="21"/>
          <w:szCs w:val="18"/>
        </w:rPr>
      </w:pPr>
      <w:r w:rsidRPr="00162ED0">
        <w:rPr>
          <w:sz w:val="21"/>
          <w:szCs w:val="18"/>
        </w:rPr>
        <w:t>During our FY 2017 and 2019 audits of FCC's compliance with the DATA Act, our contracted auditors reported that the FCC did not submit transaction-level component spending data for the USF and TRS fund,</w:t>
      </w:r>
      <w:r>
        <w:rPr>
          <w:rStyle w:val="FootnoteReference"/>
          <w:sz w:val="21"/>
          <w:szCs w:val="18"/>
        </w:rPr>
        <w:footnoteReference w:customMarkFollows="1" w:id="29"/>
        <w:t xml:space="preserve">8</w:t>
      </w:r>
      <w:r w:rsidRPr="00162ED0">
        <w:rPr>
          <w:sz w:val="21"/>
          <w:szCs w:val="18"/>
        </w:rPr>
        <w:t xml:space="preserve"> as required by the Act. In FY 2021, the FCC submitted USF spending data for the first time, which was a marked improvement from previous years. The USF programs budget was $6.93 billion, representing 32 percent of the FCC's total budget received at the end of the third quarter in FY 2021.</w:t>
      </w:r>
    </w:p>
    <w:p w:rsidR="00C04C3D" w:rsidRPr="00A13306" w:rsidP="00A13306" w14:paraId="4793B285" w14:textId="0330655A">
      <w:pPr>
        <w:spacing w:after="260"/>
        <w:ind w:left="504" w:right="288"/>
        <w:rPr>
          <w:sz w:val="21"/>
          <w:szCs w:val="18"/>
        </w:rPr>
      </w:pPr>
      <w:r w:rsidRPr="00162ED0">
        <w:rPr>
          <w:sz w:val="21"/>
          <w:szCs w:val="18"/>
        </w:rPr>
        <w:t>As of September 2021, the DATA Act audit is still ongoing, but our auditors determined that the 2021 USF spending data submission did not comply with the DATA Act requirements because of significant deficiencies in the quality of the reported data. Specifically, the auditors noted that the USF spending data submission was incomplete and inaccurate due to incorrect action dates and</w:t>
      </w:r>
    </w:p>
    <w:p w:rsidR="00C04C3D" w:rsidRPr="00162ED0" w:rsidP="00162ED0" w14:paraId="08347E26" w14:textId="77777777">
      <w:pPr>
        <w:spacing w:after="260"/>
        <w:ind w:left="504" w:right="288"/>
        <w:rPr>
          <w:sz w:val="21"/>
        </w:rPr>
        <w:sectPr w:rsidSect="002A6F11">
          <w:pgSz w:w="12240" w:h="15840" w:code="1"/>
          <w:pgMar w:top="1152" w:right="1440" w:bottom="1152" w:left="1440" w:header="720" w:footer="720" w:gutter="0"/>
          <w:cols w:space="720"/>
        </w:sectPr>
      </w:pPr>
    </w:p>
    <w:p w:rsidR="00C04C3D" w:rsidRPr="00162ED0" w:rsidP="002919D3" w14:paraId="5F23E4C9" w14:textId="77777777">
      <w:pPr>
        <w:spacing w:after="260"/>
        <w:ind w:left="504" w:right="432"/>
        <w:rPr>
          <w:sz w:val="21"/>
          <w:szCs w:val="18"/>
        </w:rPr>
      </w:pPr>
      <w:r w:rsidRPr="00162ED0">
        <w:rPr>
          <w:sz w:val="21"/>
          <w:szCs w:val="18"/>
        </w:rPr>
        <w:t>missing data elements in USAC's information systems. In addition, our auditors identified processing errors, which included inaccurate repeating of optional data elements and untimely reporting of financial assistance spending data in the Financial Assistance Broker Submission. DATA Act reporting has been required for the past five years; however, the FCC remains unable to submit accurate and complete spending data for the TRS fund. The TRS Fund budget was approximately $1.70 billion which was 8 percent of the FCC's total budget received at the end of the third quarter in FY 2021. Finally, we found the FCC's data quality plan implemented in 2021 was incomplete and outdated.</w:t>
      </w:r>
    </w:p>
    <w:p w:rsidR="00C04C3D" w:rsidRPr="00162ED0" w:rsidP="00162ED0" w14:paraId="7F0CD6D2" w14:textId="77777777">
      <w:pPr>
        <w:spacing w:after="260"/>
        <w:ind w:left="504" w:right="288"/>
        <w:rPr>
          <w:sz w:val="21"/>
          <w:szCs w:val="18"/>
        </w:rPr>
      </w:pPr>
      <w:r w:rsidRPr="00162ED0">
        <w:rPr>
          <w:sz w:val="21"/>
          <w:szCs w:val="18"/>
        </w:rPr>
        <w:t>Until outstanding implementation issues surrounding FCC components area addressed, full compliance with the DATA Act will remain a significant management challenge.</w:t>
      </w:r>
    </w:p>
    <w:p w:rsidR="00C04C3D" w:rsidRPr="00C04C3D" w:rsidP="00933981" w14:paraId="1D31154D" w14:textId="506CA0F5">
      <w:pPr>
        <w:pStyle w:val="Style263"/>
        <w:spacing w:after="260"/>
        <w:ind w:left="1224" w:right="288" w:hanging="720"/>
      </w:pPr>
      <w:r w:rsidRPr="00162ED0">
        <w:rPr>
          <w:sz w:val="21"/>
          <w:szCs w:val="18"/>
          <w:lang w:eastAsia="en-US"/>
        </w:rPr>
        <w:t xml:space="preserve">cc: </w:t>
      </w:r>
      <w:r w:rsidR="002919D3">
        <w:rPr>
          <w:sz w:val="21"/>
          <w:szCs w:val="18"/>
          <w:lang w:eastAsia="en-US"/>
        </w:rPr>
        <w:tab/>
      </w:r>
      <w:r w:rsidRPr="00162ED0">
        <w:rPr>
          <w:sz w:val="21"/>
          <w:szCs w:val="18"/>
          <w:lang w:eastAsia="en-US"/>
        </w:rPr>
        <w:t xml:space="preserve">Managing Director </w:t>
      </w:r>
      <w:r w:rsidR="002919D3">
        <w:rPr>
          <w:sz w:val="21"/>
          <w:szCs w:val="18"/>
          <w:lang w:eastAsia="en-US"/>
        </w:rPr>
        <w:br/>
      </w:r>
      <w:r w:rsidRPr="00162ED0">
        <w:rPr>
          <w:sz w:val="21"/>
          <w:szCs w:val="18"/>
          <w:lang w:eastAsia="en-US"/>
        </w:rPr>
        <w:t xml:space="preserve">Chief of Staff </w:t>
      </w:r>
      <w:r w:rsidR="002919D3">
        <w:rPr>
          <w:sz w:val="21"/>
          <w:szCs w:val="18"/>
          <w:lang w:eastAsia="en-US"/>
        </w:rPr>
        <w:br/>
      </w:r>
      <w:r w:rsidRPr="00162ED0">
        <w:rPr>
          <w:sz w:val="21"/>
          <w:szCs w:val="18"/>
          <w:lang w:eastAsia="en-US"/>
        </w:rPr>
        <w:t xml:space="preserve">Chief Financial Officer </w:t>
      </w:r>
      <w:r w:rsidR="002919D3">
        <w:rPr>
          <w:sz w:val="21"/>
          <w:szCs w:val="18"/>
          <w:lang w:eastAsia="en-US"/>
        </w:rPr>
        <w:br/>
      </w:r>
      <w:r w:rsidRPr="00162ED0">
        <w:rPr>
          <w:sz w:val="21"/>
          <w:szCs w:val="18"/>
          <w:lang w:eastAsia="en-US"/>
        </w:rPr>
        <w:t>Chief Information Office</w:t>
      </w:r>
      <w:bookmarkEnd w:id="283"/>
      <w:bookmarkEnd w:id="309"/>
    </w:p>
    <w:sectPr w:rsidSect="00943960">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variable"/>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Y Tagline">
    <w:altName w:val="Courier New"/>
    <w:charset w:val="00"/>
    <w:family w:val="auto"/>
    <w:pitch w:val="variable"/>
    <w:sig w:usb0="00000007" w:usb1="00000000" w:usb2="00000000" w:usb3="00000000" w:csb0="00000003" w:csb1="00000000"/>
  </w:font>
  <w:font w:name="EY Gothic Cond Medium">
    <w:altName w:val="Arial Narrow"/>
    <w:charset w:val="00"/>
    <w:family w:val="auto"/>
    <w:pitch w:val="variable"/>
    <w:sig w:usb0="800000A7" w:usb1="00000040" w:usb2="00000000" w:usb3="00000000" w:csb0="00000009" w:csb1="00000000"/>
  </w:font>
  <w:font w:name="EY Gothic Cond Demi">
    <w:altName w:val="Arial Narrow"/>
    <w:charset w:val="00"/>
    <w:family w:val="auto"/>
    <w:pitch w:val="variable"/>
    <w:sig w:usb0="800000A7" w:usb1="0000004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EY Gothic Comp BookPS">
    <w:altName w:val="Arial"/>
    <w:panose1 w:val="00000000000000000000"/>
    <w:charset w:val="00"/>
    <w:family w:val="swiss"/>
    <w:notTrueType/>
    <w:pitch w:val="variable"/>
    <w:sig w:usb0="00000083"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ヒラギノ角ゴ Pro W3">
    <w:altName w:val="MS Mincho"/>
    <w:panose1 w:val="00000000000000000000"/>
    <w:charset w:val="80"/>
    <w:family w:val="auto"/>
    <w:notTrueType/>
    <w:pitch w:val="variable"/>
    <w:sig w:usb0="00000001" w:usb1="08070000" w:usb2="01000417" w:usb3="00000000" w:csb0="0002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P="00952617" w14:paraId="295DCA0D"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C07ED9" w:rsidP="006E50E3" w14:paraId="0E1D0B80" w14:textId="77777777">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380A5E" w:rsidP="00DD1D4A" w14:paraId="136A1FA5" w14:textId="16E18AE8">
    <w:pPr>
      <w:pStyle w:val="Footer"/>
      <w:tabs>
        <w:tab w:val="right" w:pos="9360"/>
      </w:tabs>
      <w:spacing w:after="280"/>
      <w:jc w:val="cente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1C3B" w:rsidP="00BD3F9F" w14:paraId="1BEC6DFA" w14:textId="28073D61">
    <w:pPr>
      <w:pStyle w:val="Footer"/>
      <w:tabs>
        <w:tab w:val="right" w:pos="9360"/>
      </w:tabs>
      <w:spacing w:after="280"/>
      <w:jc w:val="cente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381436" w:rsidP="00F362C1" w14:paraId="0909A6D3" w14:textId="77777777">
    <w:pPr>
      <w:pStyle w:val="Footer"/>
      <w:tabs>
        <w:tab w:val="right" w:pos="9360"/>
      </w:tabs>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p w:rsidR="00C07ED9" w:rsidRPr="00380A5E" w:rsidP="00444706" w14:paraId="5251A659"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380A5E" w:rsidP="002055CE" w14:paraId="7809CB4B" w14:textId="1D4744D8">
    <w:pPr>
      <w:pStyle w:val="Footer"/>
      <w:tabs>
        <w:tab w:val="right" w:pos="9360"/>
      </w:tabs>
      <w:spacing w:after="280"/>
      <w:jc w:val="cente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380A5E" w:rsidP="00DA4316" w14:paraId="672704BF" w14:textId="2B4F1F7B">
    <w:pPr>
      <w:pStyle w:val="Footer"/>
      <w:tabs>
        <w:tab w:val="right" w:pos="9360"/>
      </w:tabs>
      <w:spacing w:after="280"/>
      <w:jc w:val="cente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7C13E3" w:rsidP="00F87502" w14:paraId="593BFBB3" w14:textId="77777777">
    <w:pPr>
      <w:pStyle w:val="Footer"/>
      <w:spacing w:after="280"/>
      <w:ind w:right="360"/>
      <w:jc w:val="center"/>
      <w:rPr>
        <w:sz w:val="22"/>
      </w:rPr>
    </w:pPr>
    <w:r w:rsidRPr="007C13E3">
      <w:rPr>
        <w:rStyle w:val="PageNumber"/>
        <w:sz w:val="22"/>
      </w:rPr>
      <w:fldChar w:fldCharType="begin"/>
    </w:r>
    <w:r w:rsidRPr="007C13E3">
      <w:rPr>
        <w:rStyle w:val="PageNumber"/>
        <w:sz w:val="22"/>
      </w:rPr>
      <w:instrText xml:space="preserve"> PAGE </w:instrText>
    </w:r>
    <w:r w:rsidRPr="007C13E3">
      <w:rPr>
        <w:rStyle w:val="PageNumber"/>
        <w:sz w:val="22"/>
      </w:rPr>
      <w:fldChar w:fldCharType="separate"/>
    </w:r>
    <w:r w:rsidRPr="007C13E3">
      <w:rPr>
        <w:rStyle w:val="PageNumber"/>
        <w:noProof/>
        <w:sz w:val="22"/>
      </w:rPr>
      <w:t>21</w:t>
    </w:r>
    <w:r w:rsidRPr="007C13E3">
      <w:rPr>
        <w:rStyle w:val="PageNumber"/>
        <w:sz w:val="2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DE51CE" w:rsidP="00224617" w14:paraId="7C8B5867" w14:textId="77777777">
    <w:pPr>
      <w:pStyle w:val="Footer"/>
      <w:ind w:right="360"/>
      <w:rPr>
        <w:sz w:val="22"/>
        <w:szCs w:val="2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E91DAD" w:rsidP="00CB2446" w14:paraId="1435E63E" w14:textId="77777777">
    <w:pPr>
      <w:pStyle w:val="Footer"/>
      <w:tabs>
        <w:tab w:val="right" w:pos="9360"/>
      </w:tabs>
      <w:jc w:val="center"/>
      <w:rPr>
        <w:sz w:val="28"/>
      </w:rPr>
    </w:pPr>
    <w:r w:rsidRPr="00E91DAD">
      <w:rPr>
        <w:sz w:val="22"/>
      </w:rPr>
      <w:fldChar w:fldCharType="begin"/>
    </w:r>
    <w:r w:rsidRPr="00E91DAD">
      <w:rPr>
        <w:sz w:val="22"/>
      </w:rPr>
      <w:instrText xml:space="preserve"> PAGE   \* MERGEFORMAT </w:instrText>
    </w:r>
    <w:r w:rsidRPr="00E91DAD">
      <w:rPr>
        <w:sz w:val="22"/>
      </w:rPr>
      <w:fldChar w:fldCharType="separate"/>
    </w:r>
    <w:r w:rsidRPr="00E91DAD">
      <w:rPr>
        <w:noProof/>
        <w:sz w:val="22"/>
      </w:rPr>
      <w:t>73</w:t>
    </w:r>
    <w:r w:rsidRPr="00E91DAD">
      <w:rPr>
        <w:noProof/>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2517A308" w14:textId="77777777">
    <w:pPr>
      <w:pStyle w:val="BodyText"/>
      <w:spacing w:line="14" w:lineRule="auto"/>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P="00514710" w14:paraId="346D900D"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C07ED9" w:rsidP="00514710" w14:paraId="6A3C19B6"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381436" w:rsidP="00F362C1" w14:paraId="3462C4A2" w14:textId="77777777">
    <w:pPr>
      <w:pStyle w:val="Footer"/>
      <w:tabs>
        <w:tab w:val="right" w:pos="9360"/>
      </w:tabs>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5</w:t>
    </w:r>
    <w:r w:rsidRPr="00381436">
      <w:rPr>
        <w:noProof/>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380A5E" w:rsidP="0071286B" w14:paraId="59795F2A" w14:textId="14C0EEE6">
    <w:pPr>
      <w:pStyle w:val="Footer"/>
      <w:tabs>
        <w:tab w:val="right" w:pos="9360"/>
      </w:tabs>
      <w:spacing w:after="240"/>
      <w:jc w:val="cente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5</w:t>
    </w:r>
    <w:r w:rsidRPr="00381436">
      <w:rPr>
        <w:noProof/>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P="00444706" w14:paraId="6771767E"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112</w:t>
    </w:r>
    <w:r>
      <w:rPr>
        <w:rStyle w:val="PageNumber"/>
      </w:rPr>
      <w:fldChar w:fldCharType="end"/>
    </w:r>
  </w:p>
  <w:p w:rsidR="00C07ED9" w:rsidRPr="00842253" w:rsidP="00444706" w14:paraId="06DBB2F1" w14:textId="77777777">
    <w:pPr>
      <w:pStyle w:val="Footer"/>
      <w:ind w:right="360"/>
      <w:rPr>
        <w:color w:val="000000"/>
        <w:sz w:val="20"/>
      </w:rPr>
    </w:pPr>
    <w:r w:rsidRPr="00842253">
      <w:rPr>
        <w:color w:val="000000"/>
        <w:sz w:val="20"/>
      </w:rPr>
      <w:t xml:space="preserve">Chapter 3 </w:t>
    </w:r>
    <w:r w:rsidRPr="00842253">
      <w:rPr>
        <w:color w:val="000000"/>
        <w:sz w:val="20"/>
      </w:rPr>
      <w:tab/>
    </w:r>
  </w:p>
  <w:p w:rsidR="00C07ED9" w:rsidRPr="00842253" w:rsidP="00444706" w14:paraId="356C81FF" w14:textId="77777777">
    <w:pPr>
      <w:pStyle w:val="Footer"/>
      <w:rPr>
        <w:color w:val="000000"/>
        <w:sz w:val="20"/>
      </w:rPr>
    </w:pPr>
    <w:r w:rsidRPr="00842253">
      <w:rPr>
        <w:color w:val="000000"/>
        <w:sz w:val="20"/>
      </w:rPr>
      <w:t>Non – Public – For Internal Use Only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380A5E" w:rsidP="005F0E1C" w14:paraId="0EE73D99" w14:textId="4899B590">
    <w:pPr>
      <w:pStyle w:val="Footer"/>
      <w:tabs>
        <w:tab w:val="right" w:pos="9360"/>
      </w:tabs>
      <w:spacing w:after="280"/>
      <w:jc w:val="cente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380A5E" w:rsidP="005F0E1C" w14:paraId="0EF57ADF" w14:textId="571D4A89">
    <w:pPr>
      <w:pStyle w:val="Footer"/>
      <w:tabs>
        <w:tab w:val="right" w:pos="9360"/>
      </w:tabs>
      <w:spacing w:after="280"/>
      <w:jc w:val="cente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381436" w:rsidP="005F0E1C" w14:paraId="14A09140" w14:textId="77777777">
    <w:pPr>
      <w:pStyle w:val="Footer"/>
      <w:tabs>
        <w:tab w:val="right" w:pos="9360"/>
      </w:tabs>
      <w:spacing w:after="280"/>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381436" w:rsidP="00A81C55" w14:paraId="1BC3A195" w14:textId="77777777">
    <w:pPr>
      <w:pStyle w:val="Footer"/>
      <w:tabs>
        <w:tab w:val="right" w:pos="9360"/>
      </w:tabs>
      <w:spacing w:after="280"/>
      <w:jc w:val="center"/>
      <w:rPr>
        <w:sz w:val="22"/>
        <w:szCs w:val="22"/>
      </w:rPr>
    </w:pPr>
    <w:r w:rsidRPr="00381436">
      <w:rPr>
        <w:sz w:val="22"/>
        <w:szCs w:val="22"/>
      </w:rPr>
      <w:fldChar w:fldCharType="begin"/>
    </w:r>
    <w:r w:rsidRPr="00381436">
      <w:rPr>
        <w:sz w:val="22"/>
        <w:szCs w:val="22"/>
      </w:rPr>
      <w:instrText xml:space="preserve"> PAGE   \* MERGEFORMAT </w:instrText>
    </w:r>
    <w:r w:rsidRPr="00381436">
      <w:rPr>
        <w:sz w:val="22"/>
        <w:szCs w:val="22"/>
      </w:rPr>
      <w:fldChar w:fldCharType="separate"/>
    </w:r>
    <w:r>
      <w:rPr>
        <w:noProof/>
        <w:sz w:val="22"/>
        <w:szCs w:val="22"/>
      </w:rPr>
      <w:t>72</w:t>
    </w:r>
    <w:r w:rsidRPr="00381436">
      <w:rPr>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63585D" w:rsidP="00712208" w14:paraId="39C45C23" w14:textId="77777777">
      <w:r>
        <w:separator/>
      </w:r>
    </w:p>
  </w:footnote>
  <w:footnote w:type="continuationSeparator" w:id="1">
    <w:p w:rsidR="0063585D" w14:paraId="13A2B832" w14:textId="77777777">
      <w:r>
        <w:continuationSeparator/>
      </w:r>
    </w:p>
  </w:footnote>
  <w:footnote w:type="continuationNotice" w:id="2">
    <w:p w:rsidR="0063585D" w:rsidRPr="00C41997" w:rsidP="00C41997" w14:paraId="491BBF0E" w14:textId="77777777">
      <w:pPr>
        <w:pStyle w:val="Footer"/>
      </w:pPr>
    </w:p>
  </w:footnote>
  <w:footnote w:id="3">
    <w:p w:rsidR="00C07ED9" w:rsidP="00E559C0" w14:paraId="102E439B" w14:textId="77777777">
      <w:pPr>
        <w:pStyle w:val="FootnoteText"/>
      </w:pPr>
      <w:r>
        <w:rPr>
          <w:rStyle w:val="FootnoteReference"/>
        </w:rPr>
        <w:footnoteRef/>
      </w:r>
      <w:r>
        <w:t xml:space="preserve"> 47 U.S.C. § 151.</w:t>
      </w:r>
    </w:p>
  </w:footnote>
  <w:footnote w:id="4">
    <w:p w:rsidR="00C07ED9" w:rsidRPr="004C5E5D" w:rsidP="00C94565" w14:paraId="59E44CCD" w14:textId="1290D39E">
      <w:pPr>
        <w:pStyle w:val="FootnoteText"/>
        <w:tabs>
          <w:tab w:val="left" w:pos="1032"/>
        </w:tabs>
        <w:rPr>
          <w:i/>
        </w:rPr>
      </w:pPr>
      <w:r>
        <w:rPr>
          <w:rStyle w:val="FootnoteReference"/>
        </w:rPr>
        <w:footnoteRef/>
      </w:r>
      <w:r>
        <w:t xml:space="preserve"> </w:t>
      </w:r>
      <w:r>
        <w:rPr>
          <w:i/>
        </w:rPr>
        <w:t>Id.</w:t>
      </w:r>
      <w:r w:rsidR="00C94565">
        <w:rPr>
          <w:i/>
        </w:rPr>
        <w:tab/>
      </w:r>
    </w:p>
  </w:footnote>
  <w:footnote w:id="5">
    <w:p w:rsidR="00C07ED9" w:rsidP="00E559C0" w14:paraId="266336DB" w14:textId="61E5FBFF">
      <w:pPr>
        <w:pStyle w:val="FootnoteText"/>
        <w:spacing w:after="120"/>
      </w:pPr>
      <w:r>
        <w:rPr>
          <w:rStyle w:val="FootnoteReference"/>
        </w:rPr>
        <w:footnoteRef/>
      </w:r>
      <w:r>
        <w:t xml:space="preserve"> </w:t>
      </w:r>
      <w:r w:rsidRPr="00E0675E">
        <w:rPr>
          <w:i/>
          <w:iCs/>
        </w:rPr>
        <w:t>See</w:t>
      </w:r>
      <w:r>
        <w:t xml:space="preserve"> </w:t>
      </w:r>
      <w:r w:rsidRPr="00F56345">
        <w:t>Telecommunications Act of 1996, Pub. L</w:t>
      </w:r>
      <w:r>
        <w:t>aw</w:t>
      </w:r>
      <w:r w:rsidRPr="00F56345">
        <w:t xml:space="preserve"> No. 104-104, 110 Stat. 56 (1996).</w:t>
      </w:r>
      <w:r w:rsidR="004227C3">
        <w:t xml:space="preserve"> </w:t>
      </w:r>
    </w:p>
  </w:footnote>
  <w:footnote w:id="6">
    <w:p w:rsidR="00C07ED9" w:rsidP="00E559C0" w14:paraId="473C35FE" w14:textId="77777777">
      <w:pPr>
        <w:pStyle w:val="FootnoteText"/>
        <w:spacing w:after="120"/>
      </w:pPr>
      <w:r>
        <w:rPr>
          <w:rStyle w:val="FootnoteReference"/>
        </w:rPr>
        <w:footnoteRef/>
      </w:r>
      <w:r>
        <w:t xml:space="preserve"> </w:t>
      </w:r>
      <w:r w:rsidRPr="00E0675E">
        <w:rPr>
          <w:i/>
          <w:iCs/>
        </w:rPr>
        <w:t>See</w:t>
      </w:r>
      <w:r>
        <w:t xml:space="preserve"> 47 U.S.C. § 254(d).</w:t>
      </w:r>
    </w:p>
  </w:footnote>
  <w:footnote w:id="7">
    <w:p w:rsidR="00C07ED9" w:rsidP="00E559C0" w14:paraId="6BF02138" w14:textId="77777777">
      <w:pPr>
        <w:pStyle w:val="FootnoteText"/>
        <w:spacing w:after="120"/>
      </w:pPr>
      <w:r>
        <w:rPr>
          <w:rStyle w:val="FootnoteReference"/>
        </w:rPr>
        <w:footnoteRef/>
      </w:r>
      <w:r>
        <w:t xml:space="preserve"> </w:t>
      </w:r>
      <w:r w:rsidRPr="008027C1">
        <w:rPr>
          <w:i/>
          <w:iCs/>
        </w:rPr>
        <w:t xml:space="preserve">See </w:t>
      </w:r>
      <w:r w:rsidRPr="009F1A85">
        <w:t>47 U.S.C. §</w:t>
      </w:r>
      <w:r>
        <w:t>§</w:t>
      </w:r>
      <w:r w:rsidRPr="009F1A85">
        <w:t xml:space="preserve"> 225</w:t>
      </w:r>
      <w:r w:rsidRPr="0024564F">
        <w:t>(a)(3), (b)(1</w:t>
      </w:r>
      <w:r>
        <w:t>)</w:t>
      </w:r>
      <w:r w:rsidRPr="009F1A85">
        <w:t>.</w:t>
      </w:r>
    </w:p>
  </w:footnote>
  <w:footnote w:id="8">
    <w:p w:rsidR="00C07ED9" w:rsidRPr="00C62775" w:rsidP="00E559C0" w14:paraId="76375A46" w14:textId="77777777">
      <w:pPr>
        <w:pStyle w:val="FootnoteText"/>
        <w:spacing w:after="120"/>
      </w:pPr>
      <w:r w:rsidRPr="00C62775">
        <w:rPr>
          <w:rStyle w:val="FootnoteReference"/>
        </w:rPr>
        <w:footnoteRef/>
      </w:r>
      <w:r w:rsidRPr="00C62775">
        <w:t xml:space="preserve"> </w:t>
      </w:r>
      <w:r>
        <w:rPr>
          <w:i/>
          <w:iCs/>
        </w:rPr>
        <w:t>See</w:t>
      </w:r>
      <w:r w:rsidRPr="00C62775">
        <w:t xml:space="preserve"> American Rescue Plan Act of 2021,</w:t>
      </w:r>
      <w:r w:rsidRPr="001B178D">
        <w:t xml:space="preserve"> Title VII,</w:t>
      </w:r>
      <w:r w:rsidRPr="00C62775">
        <w:t xml:space="preserve"> Sec. 7402, P</w:t>
      </w:r>
      <w:r>
        <w:t>ub</w:t>
      </w:r>
      <w:r w:rsidRPr="00C62775">
        <w:t>. L</w:t>
      </w:r>
      <w:r>
        <w:t xml:space="preserve">aw No. </w:t>
      </w:r>
      <w:r w:rsidRPr="00C62775">
        <w:t>117-2</w:t>
      </w:r>
      <w:r>
        <w:t>, 135 Stat. 4 (2021).</w:t>
      </w:r>
    </w:p>
  </w:footnote>
  <w:footnote w:id="9">
    <w:p w:rsidR="00C07ED9" w:rsidRPr="00C62775" w:rsidP="00E559C0" w14:paraId="448F363A" w14:textId="0350BEEB">
      <w:pPr>
        <w:pStyle w:val="FootnoteText"/>
        <w:spacing w:after="120"/>
      </w:pPr>
      <w:r w:rsidRPr="00C62775">
        <w:rPr>
          <w:rStyle w:val="FootnoteReference"/>
        </w:rPr>
        <w:footnoteRef/>
      </w:r>
      <w:r w:rsidRPr="00C62775">
        <w:t xml:space="preserve"> </w:t>
      </w:r>
      <w:r w:rsidRPr="00C62775">
        <w:rPr>
          <w:i/>
          <w:iCs/>
        </w:rPr>
        <w:t>See</w:t>
      </w:r>
      <w:r w:rsidRPr="00C62775">
        <w:t xml:space="preserve"> Consolidated Appropriations Act, 2021, Division N</w:t>
      </w:r>
      <w:r>
        <w:t>,</w:t>
      </w:r>
      <w:r w:rsidRPr="00C62775">
        <w:t xml:space="preserve"> P</w:t>
      </w:r>
      <w:r>
        <w:t xml:space="preserve">ub. Law No. </w:t>
      </w:r>
      <w:r w:rsidRPr="00C62775">
        <w:t>116-260</w:t>
      </w:r>
      <w:r>
        <w:t>, 134</w:t>
      </w:r>
      <w:r w:rsidRPr="00C62775">
        <w:t xml:space="preserve"> </w:t>
      </w:r>
      <w:r>
        <w:t>Stat. 1182 (2021) (Consolidated Appropriations Act).</w:t>
      </w:r>
      <w:r w:rsidR="004227C3">
        <w:t xml:space="preserve"> </w:t>
      </w:r>
    </w:p>
  </w:footnote>
  <w:footnote w:id="10">
    <w:p w:rsidR="00C07ED9" w:rsidRPr="00C62775" w:rsidP="00E559C0" w14:paraId="45202038" w14:textId="77777777">
      <w:pPr>
        <w:pStyle w:val="FootnoteText"/>
        <w:spacing w:after="120"/>
      </w:pPr>
      <w:r w:rsidRPr="00C62775">
        <w:rPr>
          <w:rStyle w:val="FootnoteReference"/>
        </w:rPr>
        <w:footnoteRef/>
      </w:r>
      <w:r w:rsidRPr="00C62775">
        <w:t xml:space="preserve"> </w:t>
      </w:r>
      <w:r>
        <w:rPr>
          <w:i/>
          <w:iCs/>
        </w:rPr>
        <w:t>I</w:t>
      </w:r>
      <w:r w:rsidRPr="000C27D5">
        <w:rPr>
          <w:i/>
          <w:iCs/>
        </w:rPr>
        <w:t>d</w:t>
      </w:r>
      <w:r>
        <w:t>.</w:t>
      </w:r>
      <w:r w:rsidRPr="00C62775">
        <w:t xml:space="preserve"> </w:t>
      </w:r>
    </w:p>
  </w:footnote>
  <w:footnote w:id="11">
    <w:p w:rsidR="00C07ED9" w:rsidRPr="00C62775" w:rsidP="00E559C0" w14:paraId="7C80D351" w14:textId="136F2A51">
      <w:pPr>
        <w:pStyle w:val="FootnoteText"/>
        <w:spacing w:after="120"/>
      </w:pPr>
      <w:r>
        <w:rPr>
          <w:rStyle w:val="FootnoteReference"/>
        </w:rPr>
        <w:footnoteRef/>
      </w:r>
      <w:r>
        <w:t xml:space="preserve"> </w:t>
      </w:r>
      <w:bookmarkStart w:id="31" w:name="_Hlk82546589"/>
      <w:r>
        <w:rPr>
          <w:i/>
          <w:iCs/>
        </w:rPr>
        <w:t>Id</w:t>
      </w:r>
      <w:r>
        <w:t>.</w:t>
      </w:r>
      <w:r w:rsidR="004227C3">
        <w:t xml:space="preserve"> </w:t>
      </w:r>
      <w:bookmarkEnd w:id="31"/>
    </w:p>
  </w:footnote>
  <w:footnote w:id="12">
    <w:p w:rsidR="00C07ED9" w:rsidRPr="001B178D" w:rsidP="00E559C0" w14:paraId="7537B57F" w14:textId="77777777">
      <w:pPr>
        <w:pStyle w:val="FootnoteText"/>
        <w:spacing w:after="120"/>
      </w:pPr>
      <w:r w:rsidRPr="00C62775">
        <w:rPr>
          <w:rStyle w:val="FootnoteReference"/>
        </w:rPr>
        <w:footnoteRef/>
      </w:r>
      <w:r w:rsidRPr="00C62775">
        <w:t xml:space="preserve"> </w:t>
      </w:r>
      <w:r w:rsidRPr="00C62775">
        <w:rPr>
          <w:i/>
          <w:iCs/>
        </w:rPr>
        <w:t xml:space="preserve">See </w:t>
      </w:r>
      <w:r>
        <w:t>Coronavirus Aid, Relief, and Economic Security (</w:t>
      </w:r>
      <w:r w:rsidRPr="00C62775">
        <w:t>CARES</w:t>
      </w:r>
      <w:r>
        <w:t>)</w:t>
      </w:r>
      <w:r w:rsidRPr="00C62775">
        <w:t xml:space="preserve"> Act,</w:t>
      </w:r>
      <w:r>
        <w:t xml:space="preserve"> Division B,</w:t>
      </w:r>
      <w:r w:rsidRPr="00C62775">
        <w:t xml:space="preserve"> P</w:t>
      </w:r>
      <w:r>
        <w:t xml:space="preserve">ub. Law No. </w:t>
      </w:r>
      <w:r w:rsidRPr="00C62775">
        <w:t>116-136,</w:t>
      </w:r>
      <w:r>
        <w:t xml:space="preserve"> 134</w:t>
      </w:r>
      <w:r w:rsidRPr="00C62775">
        <w:t xml:space="preserve"> </w:t>
      </w:r>
      <w:r>
        <w:t xml:space="preserve">Stat. 281 </w:t>
      </w:r>
      <w:r w:rsidRPr="00C62775">
        <w:t xml:space="preserve">(2020). </w:t>
      </w:r>
    </w:p>
  </w:footnote>
  <w:footnote w:id="13">
    <w:p w:rsidR="00C07ED9" w:rsidRPr="00C62775" w:rsidP="00E559C0" w14:paraId="753AB8B4" w14:textId="77777777">
      <w:pPr>
        <w:pStyle w:val="FootnoteText"/>
        <w:spacing w:after="120"/>
      </w:pPr>
      <w:r w:rsidRPr="00C62775">
        <w:rPr>
          <w:rStyle w:val="FootnoteReference"/>
        </w:rPr>
        <w:footnoteRef/>
      </w:r>
      <w:r w:rsidRPr="00C62775">
        <w:t xml:space="preserve"> </w:t>
      </w:r>
      <w:r w:rsidRPr="00132CB6">
        <w:rPr>
          <w:i/>
          <w:iCs/>
        </w:rPr>
        <w:t xml:space="preserve">See </w:t>
      </w:r>
      <w:r w:rsidRPr="00C62775">
        <w:t>Consolidated Appropriations Act</w:t>
      </w:r>
      <w:r>
        <w:t>.</w:t>
      </w:r>
      <w:r w:rsidRPr="00C62775">
        <w:t xml:space="preserve"> </w:t>
      </w:r>
    </w:p>
  </w:footnote>
  <w:footnote w:id="14">
    <w:p w:rsidR="00C07ED9" w:rsidP="00E559C0" w14:paraId="68CCBD0F" w14:textId="77777777">
      <w:pPr>
        <w:pStyle w:val="FootnoteText"/>
      </w:pPr>
      <w:r>
        <w:rPr>
          <w:rStyle w:val="FootnoteReference"/>
        </w:rPr>
        <w:footnoteRef/>
      </w:r>
      <w:r>
        <w:t xml:space="preserve"> </w:t>
      </w:r>
      <w:r w:rsidRPr="00132CB6">
        <w:rPr>
          <w:i/>
          <w:iCs/>
        </w:rPr>
        <w:t>See</w:t>
      </w:r>
      <w:r>
        <w:t xml:space="preserve"> </w:t>
      </w:r>
      <w:r w:rsidRPr="0008288A">
        <w:t>Broadband Deployment Accuracy and Technology Availability Act, Pub. L</w:t>
      </w:r>
      <w:r>
        <w:t>aw</w:t>
      </w:r>
      <w:r w:rsidRPr="0008288A">
        <w:t xml:space="preserve"> No. 116-130, 134 Stat. 228 (2020)</w:t>
      </w:r>
      <w:r>
        <w:t xml:space="preserve"> </w:t>
      </w:r>
      <w:r w:rsidRPr="0008288A">
        <w:t>(Broadband DATA Act)</w:t>
      </w:r>
      <w:r>
        <w:t>.</w:t>
      </w:r>
    </w:p>
  </w:footnote>
  <w:footnote w:id="15">
    <w:p w:rsidR="00E53F5E" w:rsidRPr="00BD0D29" w:rsidP="00775BA3" w14:paraId="62D264F9" w14:textId="77777777">
      <w:pPr>
        <w:pStyle w:val="FootnoteText"/>
        <w:ind w:left="180" w:hanging="180"/>
      </w:pPr>
      <w:r w:rsidRPr="00BD0D29">
        <w:rPr>
          <w:rStyle w:val="FootnoteReference"/>
        </w:rPr>
        <w:footnoteRef/>
      </w:r>
      <w:r w:rsidRPr="00BD0D29">
        <w:t xml:space="preserve"> </w:t>
      </w:r>
      <w:r>
        <w:t xml:space="preserve">The </w:t>
      </w:r>
      <w:r w:rsidRPr="00B53512">
        <w:rPr>
          <w:i/>
        </w:rPr>
        <w:t xml:space="preserve">Independent Auditor’s Report on Internal Control Over Financial Reporting </w:t>
      </w:r>
      <w:r w:rsidRPr="004E54BA">
        <w:t>was</w:t>
      </w:r>
      <w:r>
        <w:rPr>
          <w:i/>
        </w:rPr>
        <w:t xml:space="preserve"> </w:t>
      </w:r>
      <w:r>
        <w:t>published in the FCC</w:t>
      </w:r>
      <w:r w:rsidRPr="004E54BA">
        <w:t xml:space="preserve">’s </w:t>
      </w:r>
      <w:r>
        <w:t>FY</w:t>
      </w:r>
      <w:r w:rsidRPr="004E54BA">
        <w:t xml:space="preserve"> 20</w:t>
      </w:r>
      <w:r>
        <w:t>20</w:t>
      </w:r>
      <w:r w:rsidRPr="004E54BA">
        <w:t xml:space="preserve"> </w:t>
      </w:r>
      <w:r>
        <w:t>AFR</w:t>
      </w:r>
      <w:r w:rsidRPr="004E54BA">
        <w:t>.</w:t>
      </w:r>
    </w:p>
  </w:footnote>
  <w:footnote w:id="16">
    <w:p w:rsidR="00337587" w:rsidRPr="009E07B5" w:rsidP="00775BA3" w14:paraId="2B68B769" w14:textId="0DEA63B9">
      <w:pPr>
        <w:pStyle w:val="FootnoteText"/>
        <w:ind w:left="180" w:right="-144" w:hanging="180"/>
      </w:pPr>
      <w:r w:rsidRPr="00A419B7">
        <w:rPr>
          <w:rStyle w:val="FootnoteReference"/>
        </w:rPr>
        <w:footnoteRef/>
      </w:r>
      <w:r w:rsidRPr="009E07B5">
        <w:t xml:space="preserve"> Kearney issued </w:t>
      </w:r>
      <w:r>
        <w:t>17</w:t>
      </w:r>
      <w:r w:rsidRPr="00506657">
        <w:t xml:space="preserve"> recommendations in the FY 20</w:t>
      </w:r>
      <w:r>
        <w:t>20</w:t>
      </w:r>
      <w:r w:rsidRPr="00506657">
        <w:t xml:space="preserve"> FISMA evaluation report.</w:t>
      </w:r>
      <w:r w:rsidR="004227C3">
        <w:t xml:space="preserve"> </w:t>
      </w:r>
      <w:r w:rsidRPr="00506657">
        <w:t>During FY 20</w:t>
      </w:r>
      <w:r>
        <w:t>21</w:t>
      </w:r>
      <w:r w:rsidRPr="00506657">
        <w:t xml:space="preserve">, </w:t>
      </w:r>
      <w:r>
        <w:t xml:space="preserve">the </w:t>
      </w:r>
      <w:r w:rsidRPr="00506657">
        <w:t xml:space="preserve">FCC took appropriate action to close </w:t>
      </w:r>
      <w:r>
        <w:t>7</w:t>
      </w:r>
      <w:r w:rsidRPr="00506657">
        <w:t xml:space="preserve"> recommendations</w:t>
      </w:r>
      <w:r>
        <w:t>,</w:t>
      </w:r>
      <w:r w:rsidRPr="00506657">
        <w:t xml:space="preserve"> and we either updated or re-issued the </w:t>
      </w:r>
      <w:r>
        <w:t>10</w:t>
      </w:r>
      <w:r w:rsidRPr="00506657">
        <w:t xml:space="preserve"> recommendations that remain open.</w:t>
      </w:r>
      <w:r w:rsidR="004227C3">
        <w:t xml:space="preserve"> </w:t>
      </w:r>
      <w:r w:rsidRPr="00506657">
        <w:t>The FY 20</w:t>
      </w:r>
      <w:r>
        <w:t>21</w:t>
      </w:r>
      <w:r w:rsidRPr="00506657">
        <w:t xml:space="preserve"> FISMA </w:t>
      </w:r>
      <w:r>
        <w:t xml:space="preserve">evaluation report includes additional, detailed information on each </w:t>
      </w:r>
      <w:r w:rsidRPr="00506657">
        <w:t xml:space="preserve">of the </w:t>
      </w:r>
      <w:r>
        <w:t>17</w:t>
      </w:r>
      <w:r w:rsidRPr="00506657">
        <w:t xml:space="preserve"> </w:t>
      </w:r>
      <w:r>
        <w:t>prior-year recommendations.</w:t>
      </w:r>
      <w:r w:rsidR="004227C3">
        <w:t xml:space="preserve"> </w:t>
      </w:r>
    </w:p>
  </w:footnote>
  <w:footnote w:id="17">
    <w:p w:rsidR="00F56E68" w14:paraId="0463AA9A" w14:textId="1F6DE693">
      <w:pPr>
        <w:pStyle w:val="FootnoteText"/>
      </w:pPr>
      <w:r>
        <w:rPr>
          <w:rStyle w:val="FootnoteReference"/>
        </w:rPr>
        <w:t>1</w:t>
      </w:r>
      <w:r>
        <w:t xml:space="preserve"> </w:t>
      </w:r>
      <w:r w:rsidRPr="004E529F">
        <w:rPr>
          <w:sz w:val="18"/>
          <w:szCs w:val="18"/>
        </w:rPr>
        <w:t>This portion in the accounts payable consists of the USF administrative fees due to USAC and NECA.</w:t>
      </w:r>
    </w:p>
  </w:footnote>
  <w:footnote w:id="18">
    <w:p w:rsidR="00F56E68" w:rsidP="007049D0" w14:paraId="22E499C7" w14:textId="260C05F5">
      <w:pPr>
        <w:pStyle w:val="FootnoteText"/>
        <w:spacing w:after="240"/>
        <w:jc w:val="both"/>
      </w:pPr>
      <w:r>
        <w:rPr>
          <w:rStyle w:val="FootnoteReference"/>
        </w:rPr>
        <w:t>2</w:t>
      </w:r>
      <w:r>
        <w:t xml:space="preserve"> </w:t>
      </w:r>
      <w:r w:rsidRPr="004E529F">
        <w:rPr>
          <w:sz w:val="18"/>
          <w:szCs w:val="18"/>
        </w:rPr>
        <w:t>This portion of the operation expenses includes the administrative fees incurred in USF.</w:t>
      </w:r>
      <w:r>
        <w:rPr>
          <w:sz w:val="18"/>
          <w:szCs w:val="18"/>
        </w:rPr>
        <w:t xml:space="preserve"> </w:t>
      </w:r>
      <w:r w:rsidRPr="004E529F">
        <w:rPr>
          <w:sz w:val="18"/>
          <w:szCs w:val="18"/>
        </w:rPr>
        <w:t>The Commission approves the administrative costs to cover expenses such as:</w:t>
      </w:r>
      <w:r>
        <w:rPr>
          <w:sz w:val="18"/>
          <w:szCs w:val="18"/>
        </w:rPr>
        <w:t xml:space="preserve"> </w:t>
      </w:r>
      <w:r w:rsidRPr="004E529F">
        <w:rPr>
          <w:sz w:val="18"/>
          <w:szCs w:val="18"/>
        </w:rPr>
        <w:t>the salaries and benefits for the employees dedicated to managing the funds; rent and utilities for office space used; accounting and other financial reporting related services; and other management activities</w:t>
      </w:r>
      <w:r>
        <w:t>.</w:t>
      </w:r>
    </w:p>
  </w:footnote>
  <w:footnote w:id="19">
    <w:p w:rsidR="002C58B3" w14:paraId="212A42A6" w14:textId="219B14D2">
      <w:pPr>
        <w:pStyle w:val="FootnoteText"/>
      </w:pPr>
      <w:r>
        <w:rPr>
          <w:rStyle w:val="FootnoteReference"/>
        </w:rPr>
        <w:t>3</w:t>
      </w:r>
      <w:r>
        <w:t xml:space="preserve"> </w:t>
      </w:r>
      <w:r w:rsidRPr="003171C9">
        <w:t>Pursuant to 47 U.S.C. § 309, the Commission may retain a portion of the spectrum auction proceeds to offset the cost of performing the auction function.</w:t>
      </w:r>
      <w:r>
        <w:t xml:space="preserve"> </w:t>
      </w:r>
      <w:r w:rsidRPr="003171C9">
        <w:t xml:space="preserve">Collections used to offset the cost of performing auction-related activity were appropriated at </w:t>
      </w:r>
      <w:r>
        <w:t xml:space="preserve">$134,495 in FY 2021 and </w:t>
      </w:r>
      <w:r w:rsidRPr="003171C9">
        <w:t>$132,539 for FY 2020.</w:t>
      </w:r>
      <w:r>
        <w:t xml:space="preserve"> </w:t>
      </w:r>
      <w:r w:rsidRPr="003171C9">
        <w:t xml:space="preserve">At the agency level these amounts are recognized on the Consolidated Statement of Custodial Activity in the </w:t>
      </w:r>
      <w:r>
        <w:t>“</w:t>
      </w:r>
      <w:r w:rsidRPr="003171C9">
        <w:t>Refunds and Other Payments</w:t>
      </w:r>
      <w:r>
        <w:t>”</w:t>
      </w:r>
      <w:r w:rsidRPr="003171C9">
        <w:t xml:space="preserve"> sections on the line </w:t>
      </w:r>
      <w:r>
        <w:t>“</w:t>
      </w:r>
      <w:r w:rsidRPr="003171C9">
        <w:t>Auctions Salaries &amp; Expenses (FCC)</w:t>
      </w:r>
      <w:r>
        <w:t>”</w:t>
      </w:r>
      <w:r w:rsidRPr="003171C9">
        <w:t xml:space="preserve"> and the </w:t>
      </w:r>
      <w:r>
        <w:t>“</w:t>
      </w:r>
      <w:r w:rsidRPr="003171C9">
        <w:t>Less: earned revenues not attributed to programs</w:t>
      </w:r>
      <w:r>
        <w:t>”</w:t>
      </w:r>
      <w:r w:rsidRPr="003171C9">
        <w:t xml:space="preserve"> on the Consolidated Statement of Net Cost.</w:t>
      </w:r>
      <w:r>
        <w:t xml:space="preserve"> </w:t>
      </w:r>
      <w:r w:rsidRPr="003171C9">
        <w:t>At the Government-wide level these amounts are eliminated on the Reclassified Statement of Net Cost.</w:t>
      </w:r>
    </w:p>
  </w:footnote>
  <w:footnote w:id="20">
    <w:p w:rsidR="00E815E5" w:rsidP="004C63E0" w14:paraId="6DE1635F" w14:textId="24C62038">
      <w:pPr>
        <w:pStyle w:val="FootnoteText"/>
        <w:spacing w:after="240"/>
      </w:pPr>
      <w:r>
        <w:rPr>
          <w:rStyle w:val="FootnoteReference"/>
        </w:rPr>
        <w:t>4</w:t>
      </w:r>
      <w:r>
        <w:t xml:space="preserve"> </w:t>
      </w:r>
      <w:r w:rsidRPr="00C03B8E">
        <w:t>This is the valid difference due to Payments related to the FCC’s custodial activities reported differently at the agency level than the Government-wide level.</w:t>
      </w:r>
      <w:r>
        <w:t xml:space="preserve"> </w:t>
      </w:r>
      <w:r w:rsidRPr="00C03B8E">
        <w:t>At the agency level, standard general ledger (SGL) 679000 Other Expenses Not Requiring Budgetary Resources, custodial is not cross walked to the Statement of Net Cost.</w:t>
      </w:r>
      <w:r>
        <w:t xml:space="preserve"> </w:t>
      </w:r>
      <w:r w:rsidRPr="00C03B8E">
        <w:t>At the Government-wide level, SGL 679000 Other Expenses Not Requiring Budgetary Resources, custodial and non-custodial are cross walked to the Reclassified Statement of Net Cost.</w:t>
      </w:r>
    </w:p>
  </w:footnote>
  <w:footnote w:id="21">
    <w:p w:rsidR="00C07ED9" w:rsidRPr="00DE5E93" w:rsidP="009A2C37" w14:paraId="51B5FED7" w14:textId="77777777">
      <w:pPr>
        <w:adjustRightInd w:val="0"/>
        <w:rPr>
          <w:rFonts w:eastAsia="Calibri"/>
          <w:sz w:val="22"/>
          <w:szCs w:val="22"/>
        </w:rPr>
      </w:pPr>
      <w:r>
        <w:rPr>
          <w:rStyle w:val="FootnoteReference"/>
        </w:rPr>
        <w:footnoteRef/>
      </w:r>
      <w:r w:rsidRPr="00DE5E93">
        <w:rPr>
          <w:sz w:val="22"/>
          <w:szCs w:val="22"/>
        </w:rPr>
        <w:t>Payment Integrity Information Act (PIIA) of 2019.</w:t>
      </w:r>
    </w:p>
    <w:p w:rsidR="00C07ED9" w:rsidP="009A2C37" w14:paraId="4DFE5CD0" w14:textId="77777777">
      <w:pPr>
        <w:pStyle w:val="FootnoteText"/>
      </w:pPr>
    </w:p>
  </w:footnote>
  <w:footnote w:id="22">
    <w:p w:rsidR="00E90739" w:rsidRPr="00E90739" w:rsidP="00B203B0" w14:paraId="19DA0598" w14:textId="4B12462F">
      <w:pPr>
        <w:pStyle w:val="FootnoteText"/>
        <w:ind w:left="86" w:right="576" w:hanging="86"/>
        <w:rPr>
          <w:sz w:val="18"/>
          <w:szCs w:val="18"/>
        </w:rPr>
      </w:pPr>
      <w:r w:rsidRPr="00E90739">
        <w:rPr>
          <w:rStyle w:val="FootnoteReference"/>
          <w:sz w:val="18"/>
          <w:szCs w:val="18"/>
        </w:rPr>
        <w:footnoteRef/>
      </w:r>
      <w:r w:rsidRPr="00E90739">
        <w:rPr>
          <w:sz w:val="18"/>
          <w:szCs w:val="18"/>
        </w:rPr>
        <w:t xml:space="preserve"> HSPD-12 PIV cards, which may be generically referred to as PIV cards, refer to the common identification card. required by the Homeland Security Presidential Directive 12 (HSPD 12), Policy for a</w:t>
      </w:r>
      <w:r w:rsidRPr="00E90739">
        <w:rPr>
          <w:rFonts w:cs="Georgia"/>
          <w:sz w:val="18"/>
          <w:szCs w:val="18"/>
        </w:rPr>
        <w:t xml:space="preserve"> </w:t>
      </w:r>
      <w:r w:rsidRPr="00E90739">
        <w:rPr>
          <w:sz w:val="18"/>
          <w:szCs w:val="18"/>
        </w:rPr>
        <w:t>Common Identification Standard for Federal Employees and Contractors.</w:t>
      </w:r>
    </w:p>
  </w:footnote>
  <w:footnote w:id="23">
    <w:p w:rsidR="00943960" w:rsidRPr="00943960" w:rsidP="006F4584" w14:paraId="587F81BA" w14:textId="4C01D682">
      <w:pPr>
        <w:pStyle w:val="FootnoteText"/>
        <w:spacing w:after="240"/>
        <w:ind w:left="86" w:right="144" w:hanging="86"/>
        <w:rPr>
          <w:sz w:val="18"/>
          <w:szCs w:val="18"/>
        </w:rPr>
      </w:pPr>
      <w:r w:rsidRPr="00943960">
        <w:rPr>
          <w:rStyle w:val="FootnoteReference"/>
          <w:sz w:val="18"/>
          <w:szCs w:val="18"/>
        </w:rPr>
        <w:t>2</w:t>
      </w:r>
      <w:r w:rsidRPr="00943960">
        <w:rPr>
          <w:sz w:val="18"/>
          <w:szCs w:val="18"/>
        </w:rPr>
        <w:t xml:space="preserve"> Testimony of Carol Mattey, Principal of Mattey Consulting LLC. before the Subcommittee on Communications, Technology, Innovation and the Internet, of the Committee on Commerce. Science and Transportation. U.S. Senate, on "The Impact of Broadband Investments in Rural America," March 12, 2019.</w:t>
      </w:r>
    </w:p>
  </w:footnote>
  <w:footnote w:id="24">
    <w:p w:rsidR="00AB21E9" w:rsidRPr="00AB21E9" w:rsidP="006F4584" w14:paraId="0C69E8CA" w14:textId="701C8184">
      <w:pPr>
        <w:pStyle w:val="FootnoteText"/>
        <w:spacing w:after="240"/>
        <w:ind w:left="86" w:right="-151" w:hanging="86"/>
        <w:rPr>
          <w:sz w:val="18"/>
          <w:szCs w:val="18"/>
        </w:rPr>
      </w:pPr>
      <w:r w:rsidRPr="00AB21E9">
        <w:rPr>
          <w:rStyle w:val="FootnoteReference"/>
          <w:sz w:val="18"/>
          <w:szCs w:val="18"/>
        </w:rPr>
        <w:t>3</w:t>
      </w:r>
      <w:r w:rsidRPr="00AB21E9">
        <w:rPr>
          <w:sz w:val="18"/>
          <w:szCs w:val="18"/>
        </w:rPr>
        <w:t xml:space="preserve"> </w:t>
      </w:r>
      <w:r w:rsidRPr="00034AE6">
        <w:rPr>
          <w:i/>
          <w:iCs/>
          <w:sz w:val="18"/>
          <w:szCs w:val="18"/>
        </w:rPr>
        <w:t>Universal Service Monitoring Report;</w:t>
      </w:r>
      <w:r w:rsidRPr="00AB21E9">
        <w:rPr>
          <w:sz w:val="18"/>
          <w:szCs w:val="18"/>
        </w:rPr>
        <w:t xml:space="preserve"> </w:t>
      </w:r>
      <w:r w:rsidRPr="009C4EDB">
        <w:rPr>
          <w:i/>
          <w:iCs/>
          <w:sz w:val="18"/>
          <w:szCs w:val="18"/>
        </w:rPr>
        <w:t>CC Docket No. 96-45</w:t>
      </w:r>
      <w:r w:rsidRPr="00AB21E9">
        <w:rPr>
          <w:sz w:val="18"/>
          <w:szCs w:val="18"/>
        </w:rPr>
        <w:t>; December 2020, For Data Received Through September 2020, Prepared by Federal and State Staff for the Federal-State Joint Board on Universal Service; Table 1.1.</w:t>
      </w:r>
    </w:p>
  </w:footnote>
  <w:footnote w:id="25">
    <w:p w:rsidR="003C22A4" w:rsidP="006F4584" w14:paraId="180AE12F" w14:textId="27DFB14B">
      <w:pPr>
        <w:pStyle w:val="FootnoteText"/>
        <w:spacing w:after="240"/>
        <w:ind w:left="86" w:hanging="86"/>
      </w:pPr>
      <w:r w:rsidRPr="003C22A4">
        <w:rPr>
          <w:rStyle w:val="FootnoteReference"/>
          <w:sz w:val="18"/>
          <w:szCs w:val="18"/>
        </w:rPr>
        <w:t>4</w:t>
      </w:r>
      <w:r w:rsidRPr="003C22A4">
        <w:rPr>
          <w:sz w:val="18"/>
          <w:szCs w:val="18"/>
        </w:rPr>
        <w:t xml:space="preserve"> Title 47 CFR 254d-(d) Telecommunications carrier contribution. Every telecommunications carrier that provides interstate telecommunications services shall contribute, on an equitable and nondiscriminatory basis, to the specific, predictable, and sufficient mechanisms established by the Commission to preserve and advance universal service. The Commission may exempt a carrier or class of carriers from this requirement if the carrier's telecommunications activities are limited to such an extent that the level of such carrier's contribution to the preservation and advancement of universal service would be de minimis. Any other provider of interstate telecommunications may be required to contribute to the preservation and advancement of universal service if the public interest so requires.</w:t>
      </w:r>
    </w:p>
  </w:footnote>
  <w:footnote w:id="26">
    <w:p w:rsidR="00034AE6" w:rsidRPr="00034AE6" w:rsidP="006F4584" w14:paraId="53F4FAE4" w14:textId="1062583C">
      <w:pPr>
        <w:pStyle w:val="FootnoteText"/>
        <w:spacing w:after="240"/>
        <w:ind w:left="86" w:hanging="86"/>
        <w:rPr>
          <w:sz w:val="18"/>
          <w:szCs w:val="18"/>
        </w:rPr>
      </w:pPr>
      <w:r w:rsidRPr="00034AE6">
        <w:rPr>
          <w:rStyle w:val="FootnoteReference"/>
          <w:sz w:val="18"/>
          <w:szCs w:val="18"/>
        </w:rPr>
        <w:t>5</w:t>
      </w:r>
      <w:r w:rsidRPr="00034AE6">
        <w:rPr>
          <w:sz w:val="18"/>
          <w:szCs w:val="18"/>
        </w:rPr>
        <w:t xml:space="preserve"> FCC Public Notice; DA 20-614: Released June 11, 2020: Pleading Cycles Established: Comments Sought to Refresh the Record in the 2012 Contribution Methodology Reform Proceeding with Regard to One-Way VOIP Service Providers: WC Docket No. 06-122; GN Docket No. 09-51.</w:t>
      </w:r>
    </w:p>
  </w:footnote>
  <w:footnote w:id="27">
    <w:p w:rsidR="00ED2B69" w:rsidP="00171106" w14:paraId="350155A4" w14:textId="730340CA">
      <w:pPr>
        <w:pStyle w:val="FootnoteText"/>
        <w:spacing w:after="240"/>
        <w:ind w:left="86" w:hanging="86"/>
      </w:pPr>
      <w:r>
        <w:rPr>
          <w:rStyle w:val="FootnoteReference"/>
        </w:rPr>
        <w:t>6</w:t>
      </w:r>
      <w:r>
        <w:t xml:space="preserve"> </w:t>
      </w:r>
      <w:r w:rsidRPr="00ED2B69">
        <w:rPr>
          <w:sz w:val="18"/>
          <w:szCs w:val="18"/>
        </w:rPr>
        <w:t>Public Law No. 116-130, Broadband Deployment Accuracy and Technological Availability Act or the Broadband DATA Act, March 23, 2020.</w:t>
      </w:r>
    </w:p>
  </w:footnote>
  <w:footnote w:id="28">
    <w:p w:rsidR="00A13306" w:rsidRPr="00B53C59" w:rsidP="00171106" w14:paraId="4EE931C4" w14:textId="3CCF60CF">
      <w:pPr>
        <w:pStyle w:val="FootnoteText"/>
        <w:spacing w:after="240"/>
        <w:ind w:left="86" w:right="144" w:hanging="86"/>
        <w:rPr>
          <w:sz w:val="18"/>
          <w:szCs w:val="18"/>
        </w:rPr>
      </w:pPr>
      <w:r w:rsidRPr="00B53C59">
        <w:rPr>
          <w:rStyle w:val="FootnoteReference"/>
          <w:sz w:val="18"/>
          <w:szCs w:val="18"/>
        </w:rPr>
        <w:t>7</w:t>
      </w:r>
      <w:r w:rsidRPr="00B53C59">
        <w:rPr>
          <w:sz w:val="18"/>
          <w:szCs w:val="18"/>
        </w:rPr>
        <w:t xml:space="preserve"> Public Law No. 109-282. Federal Funding Accountability and Transparency Act of 2006, sections 1 to 4, September 26, 2006.</w:t>
      </w:r>
    </w:p>
  </w:footnote>
  <w:footnote w:id="29">
    <w:p w:rsidR="00B53C59" w:rsidRPr="00B53C59" w:rsidP="00171106" w14:paraId="745AE298" w14:textId="1B791ECF">
      <w:pPr>
        <w:pStyle w:val="FootnoteText"/>
        <w:spacing w:after="240"/>
        <w:ind w:left="86" w:right="144" w:hanging="86"/>
        <w:rPr>
          <w:sz w:val="18"/>
          <w:szCs w:val="18"/>
        </w:rPr>
      </w:pPr>
      <w:r w:rsidRPr="00B53C59">
        <w:rPr>
          <w:rStyle w:val="FootnoteReference"/>
          <w:sz w:val="18"/>
          <w:szCs w:val="18"/>
        </w:rPr>
        <w:t>8</w:t>
      </w:r>
      <w:r w:rsidRPr="00B53C59">
        <w:rPr>
          <w:sz w:val="18"/>
          <w:szCs w:val="18"/>
        </w:rPr>
        <w:t xml:space="preserve"> The FCC's Office of General Counsel (OGC) issued a legal opinion, on May 23, 2017. which concluded USF and TRS disbursements are likely Federal awards for purposes of Federal Funding Acceptability and Transparency Act and should be reported, to the extent technically possible, to </w:t>
      </w:r>
      <w:hyperlink r:id="rId1" w:history="1">
        <w:r w:rsidRPr="003B1265">
          <w:rPr>
            <w:rStyle w:val="Hyperlink"/>
            <w:sz w:val="18"/>
            <w:szCs w:val="18"/>
          </w:rPr>
          <w:t>USAspending.gov</w:t>
        </w:r>
      </w:hyperlink>
      <w:r w:rsidRPr="00B53C59">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267DC781"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F93A7B" w:rsidP="00825B07" w14:paraId="7200715D" w14:textId="77777777">
    <w:pPr>
      <w:pStyle w:val="Header"/>
      <w:rPr>
        <w:b/>
        <w:i/>
        <w:color w:val="FF0000"/>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F93A7B" w:rsidP="00825B07" w14:paraId="59B2F81E" w14:textId="39E186BE">
    <w:pPr>
      <w:pStyle w:val="Header"/>
      <w:rPr>
        <w:b/>
        <w:i/>
        <w:color w:val="FF0000"/>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83071C" w:rsidP="00194B8F" w14:paraId="6E5F8994" w14:textId="13F8960C">
    <w:pPr>
      <w:pStyle w:val="Header"/>
      <w:spacing w:before="1060" w:after="440"/>
      <w:ind w:left="504"/>
      <w:rPr>
        <w:szCs w:val="24"/>
      </w:rPr>
    </w:pPr>
    <w:r w:rsidRPr="000922BB">
      <w:rPr>
        <w:noProof/>
        <w:szCs w:val="24"/>
      </w:rPr>
      <w:drawing>
        <wp:inline distT="0" distB="0" distL="0" distR="0">
          <wp:extent cx="582930" cy="342900"/>
          <wp:effectExtent l="0" t="0" r="7620" b="0"/>
          <wp:docPr id="45" name="Picture 45" descr="Kearney &amp;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Kearney &amp; Company logo"/>
                  <pic:cNvPicPr>
                    <a:picLocks noChangeAspect="1" noChangeArrowheads="1"/>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7975" cy="35175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F0637" w:rsidRPr="00E40A77" w:rsidP="00E40A77" w14:paraId="3F7AD918" w14:textId="3F2AC24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06EB7" w:rsidRPr="00E40A77" w:rsidP="00B86AC6" w14:paraId="634D6C50" w14:textId="0F184E2F">
    <w:pPr>
      <w:pStyle w:val="Header"/>
      <w:spacing w:before="960" w:after="480"/>
      <w:ind w:left="504"/>
    </w:pPr>
    <w:r w:rsidRPr="000922BB">
      <w:rPr>
        <w:noProof/>
        <w:szCs w:val="24"/>
      </w:rPr>
      <w:drawing>
        <wp:inline distT="0" distB="0" distL="0" distR="0">
          <wp:extent cx="582930" cy="342900"/>
          <wp:effectExtent l="0" t="0" r="7620" b="0"/>
          <wp:docPr id="46" name="Picture 46" descr="Kearney &amp;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Kearney &amp; Company logo"/>
                  <pic:cNvPicPr>
                    <a:picLocks noChangeAspect="1" noChangeArrowheads="1"/>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7975" cy="35175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31C3B" w:rsidP="00F8559F" w14:paraId="0E24D3D5" w14:textId="7472F5E4">
    <w:pPr>
      <w:pStyle w:val="Header"/>
      <w:spacing w:before="840" w:after="360"/>
      <w:ind w:left="504"/>
    </w:pPr>
    <w:r>
      <w:rPr>
        <w:noProof/>
      </w:rPr>
      <w:drawing>
        <wp:inline distT="0" distB="0" distL="0" distR="0">
          <wp:extent cx="679450" cy="351715"/>
          <wp:effectExtent l="0" t="0" r="6350" b="0"/>
          <wp:docPr id="49" name="Picture 49" descr="Kearney &amp;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Kearney &amp; Company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2662" cy="353378"/>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540C9" w:rsidRPr="00E40A77" w:rsidP="009540C9" w14:paraId="5E051ED8" w14:textId="0853EE27">
    <w:pPr>
      <w:pStyle w:val="Header"/>
      <w:ind w:left="504"/>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702E1" w:rsidRPr="00E40A77" w:rsidP="00794E11" w14:paraId="1BC67CF9" w14:textId="6B340E06">
    <w:pPr>
      <w:pStyle w:val="Header"/>
      <w:spacing w:before="840" w:after="360"/>
      <w:ind w:left="504"/>
    </w:pPr>
    <w:r w:rsidRPr="000922BB">
      <w:rPr>
        <w:noProof/>
        <w:szCs w:val="24"/>
      </w:rPr>
      <w:drawing>
        <wp:inline distT="0" distB="0" distL="0" distR="0">
          <wp:extent cx="693270" cy="368300"/>
          <wp:effectExtent l="0" t="0" r="0" b="0"/>
          <wp:docPr id="50" name="Picture 50" descr="Kearney &amp;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Kearney &amp; Company logo"/>
                  <pic:cNvPicPr>
                    <a:picLocks noChangeAspect="1" noChangeArrowheads="1"/>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12957" cy="378759"/>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71901" w:rsidRPr="00D71901" w:rsidP="00D71901" w14:paraId="1174948E" w14:textId="7E7CB30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41CED" w:rsidP="00F8559F" w14:paraId="0F79383A" w14:textId="77777777">
    <w:pPr>
      <w:pStyle w:val="Header"/>
      <w:spacing w:before="840" w:after="360"/>
      <w:ind w:left="504"/>
    </w:pPr>
    <w:r>
      <w:rPr>
        <w:noProof/>
      </w:rPr>
      <w:drawing>
        <wp:inline distT="0" distB="0" distL="0" distR="0">
          <wp:extent cx="679450" cy="351715"/>
          <wp:effectExtent l="0" t="0" r="6350" b="0"/>
          <wp:docPr id="51" name="Picture 51" descr="Kearney &amp; Compan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Kearney &amp; Company logo"/>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82662" cy="35337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152946" w14:paraId="3851A34F" w14:textId="1BDD301A">
    <w:pPr>
      <w:pStyle w:val="Header"/>
      <w:rPr>
        <w:i/>
        <w:color w:val="000000"/>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3403C1" w:rsidP="00444706" w14:paraId="297C696F" w14:textId="77777777">
    <w:pPr>
      <w:pStyle w:val="Header"/>
    </w:pPr>
    <w:r>
      <w:rPr>
        <w:noProof/>
      </w:rPr>
      <w:drawing>
        <wp:inline distT="0" distB="0" distL="0" distR="0">
          <wp:extent cx="804545" cy="414655"/>
          <wp:effectExtent l="0" t="0" r="0" b="4445"/>
          <wp:docPr id="52" name="Picture 5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804545" cy="414655"/>
                  </a:xfrm>
                  <a:prstGeom prst="rect">
                    <a:avLst/>
                  </a:prstGeom>
                </pic:spPr>
                <a:extLst>
                  <a:ext xmlns:a="http://schemas.openxmlformats.org/drawingml/2006/main" uri="{C183D7F6-B498-43B3-948B-1728B52AA6E4}">
                    <adec:decorative xmlns:adec="http://schemas.microsoft.com/office/drawing/2017/decorative" val="1"/>
                  </a:ext>
                </a:extLst>
              </pic:pic>
            </a:graphicData>
          </a:graphic>
        </wp:inline>
      </w:drawing>
    </w:r>
  </w:p>
  <w:p w:rsidR="00C07ED9" w:rsidRPr="0083071C" w:rsidP="00825B07" w14:paraId="24E58B83" w14:textId="77777777">
    <w:pPr>
      <w:pStyle w:val="Header"/>
      <w:rPr>
        <w:rFonts w:asciiTheme="minorHAnsi" w:hAnsiTheme="minorHAnsi" w:cstheme="minorHAnsi"/>
        <w:sz w:val="22"/>
        <w:szCs w:val="24"/>
      </w:rPr>
    </w:pPr>
  </w:p>
  <w:p w:rsidR="00C07ED9" w:rsidRPr="0083071C" w:rsidP="00825B07" w14:paraId="1525DF4F" w14:textId="77777777">
    <w:pPr>
      <w:pStyle w:val="Header"/>
      <w:rPr>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37508" w:rsidRPr="00D71901" w:rsidP="00D71901" w14:paraId="17659435" w14:textId="7777777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AC260A" w:rsidP="00825B07" w14:paraId="7F1FEDD9" w14:textId="77777777">
    <w:pPr>
      <w:pStyle w:val="Header"/>
      <w:rPr>
        <w:rStyle w:val="PageNumber"/>
        <w:sz w:val="22"/>
        <w:szCs w:val="2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DA4316" w:rsidP="00DA4316" w14:paraId="0653CFDB" w14:textId="7777777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6C645131" w14:textId="7777777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0E094099" w14:textId="7777777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7B107399" w14:textId="7777777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5FC9C2A9" w14:textId="7777777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0B0611CF" w14:textId="7777777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7FC5DFB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16AE37E0" w14:textId="7777777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323B882E" w14:textId="77777777">
    <w:pPr>
      <w:pStyle w:val="Header"/>
    </w:pPr>
  </w:p>
  <w:p w:rsidR="00C07ED9" w14:paraId="30E426C7" w14:textId="77777777"/>
  <w:p w:rsidR="00C07ED9" w14:paraId="3BB06082" w14:textId="77777777"/>
  <w:p w:rsidR="00C07ED9" w14:paraId="78732840" w14:textId="77777777"/>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3A1D08FE" w14:textId="77777777"/>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7B16D410" w14:textId="7777777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975B19" w:rsidP="00975B19" w14:paraId="629BFFD2" w14:textId="7777777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47EE9" w:rsidRPr="00975B19" w:rsidP="00975B19" w14:paraId="7B8D7779"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5A537A" w:rsidP="00825B07" w14:paraId="71386CA6" w14:textId="42CCD0F4">
    <w:pPr>
      <w:pStyle w:val="Header"/>
      <w:rPr>
        <w:b/>
        <w:i/>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F93A7B" w:rsidP="00825B07" w14:paraId="7E3DFFE2" w14:textId="72D414A9">
    <w:pPr>
      <w:pStyle w:val="Header"/>
      <w:rPr>
        <w:b/>
        <w:i/>
        <w:color w:val="FF000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04565FBE"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3A55C5" w:rsidP="003A55C5" w14:paraId="19B62C30" w14:textId="777777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14:paraId="300B4CC9"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07ED9" w:rsidRPr="00F93A7B" w:rsidP="00825B07" w14:paraId="07408707" w14:textId="77777777">
    <w:pPr>
      <w:pStyle w:val="Header"/>
      <w:rPr>
        <w:b/>
        <w:i/>
        <w:color w:val="FF0000"/>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82"/>
    <w:multiLevelType w:val="singleLevel"/>
    <w:tmpl w:val="8946E110"/>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9"/>
    <w:multiLevelType w:val="singleLevel"/>
    <w:tmpl w:val="C8CCCB68"/>
    <w:lvl w:ilvl="0">
      <w:start w:val="1"/>
      <w:numFmt w:val="bullet"/>
      <w:pStyle w:val="ParaNum"/>
      <w:lvlText w:val=""/>
      <w:lvlJc w:val="left"/>
      <w:pPr>
        <w:tabs>
          <w:tab w:val="num" w:pos="360"/>
        </w:tabs>
        <w:ind w:left="360" w:hanging="360"/>
      </w:pPr>
      <w:rPr>
        <w:rFonts w:ascii="Symbol" w:hAnsi="Symbol" w:hint="default"/>
      </w:rPr>
    </w:lvl>
  </w:abstractNum>
  <w:abstractNum w:abstractNumId="2">
    <w:nsid w:val="01F546EE"/>
    <w:multiLevelType w:val="hybridMultilevel"/>
    <w:tmpl w:val="93B8A8DC"/>
    <w:lvl w:ilvl="0">
      <w:start w:val="1"/>
      <w:numFmt w:val="upperRoman"/>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21C0A65"/>
    <w:multiLevelType w:val="hybridMultilevel"/>
    <w:tmpl w:val="9C6C625C"/>
    <w:lvl w:ilvl="0">
      <w:start w:val="16"/>
      <w:numFmt w:val="upperLetter"/>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28F5DBC"/>
    <w:multiLevelType w:val="hybridMultilevel"/>
    <w:tmpl w:val="6DD89A26"/>
    <w:lvl w:ilvl="0">
      <w:start w:val="1"/>
      <w:numFmt w:val="bullet"/>
      <w:lvlText w:val=""/>
      <w:lvlJc w:val="left"/>
      <w:pPr>
        <w:ind w:left="1440" w:hanging="360"/>
      </w:pPr>
      <w:rPr>
        <w:rFonts w:ascii="Symbol" w:hAnsi="Symbol" w:hint="default"/>
        <w:color w:val="000000"/>
        <w:sz w:val="26"/>
        <w:szCs w:val="26"/>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nsid w:val="02994E1A"/>
    <w:multiLevelType w:val="hybridMultilevel"/>
    <w:tmpl w:val="385C7F96"/>
    <w:lvl w:ilvl="0">
      <w:start w:val="1"/>
      <w:numFmt w:val="bullet"/>
      <w:lvlText w:val=""/>
      <w:lvlJc w:val="left"/>
      <w:pPr>
        <w:ind w:left="720" w:hanging="360"/>
      </w:pPr>
      <w:rPr>
        <w:rFonts w:ascii="Symbol" w:hAnsi="Symbol" w:hint="default"/>
        <w:sz w:val="18"/>
        <w:szCs w:val="18"/>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6CB5236"/>
    <w:multiLevelType w:val="hybridMultilevel"/>
    <w:tmpl w:val="80FCD00C"/>
    <w:lvl w:ilvl="0">
      <w:start w:val="1"/>
      <w:numFmt w:val="decimal"/>
      <w:pStyle w:val="ParaNumChar"/>
      <w:lvlText w:val="%1."/>
      <w:lvlJc w:val="left"/>
      <w:pPr>
        <w:tabs>
          <w:tab w:val="num" w:pos="990"/>
        </w:tabs>
        <w:ind w:left="-90" w:firstLine="720"/>
      </w:pPr>
      <w:rPr>
        <w:rFonts w:ascii="Times New Roman" w:hAnsi="Times New Roman" w:cs="Times New Roman" w:hint="default"/>
        <w:b w:val="0"/>
        <w:i w:val="0"/>
        <w:sz w:val="22"/>
        <w:szCs w:val="22"/>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7">
    <w:nsid w:val="0A563549"/>
    <w:multiLevelType w:val="hybridMultilevel"/>
    <w:tmpl w:val="CA92BC6A"/>
    <w:lvl w:ilvl="0">
      <w:start w:val="1"/>
      <w:numFmt w:val="decimal"/>
      <w:lvlText w:val="%1."/>
      <w:lvlJc w:val="left"/>
      <w:pPr>
        <w:ind w:left="1224" w:hanging="360"/>
      </w:pPr>
    </w:lvl>
    <w:lvl w:ilvl="1" w:tentative="1">
      <w:start w:val="1"/>
      <w:numFmt w:val="lowerLetter"/>
      <w:lvlText w:val="%2."/>
      <w:lvlJc w:val="left"/>
      <w:pPr>
        <w:ind w:left="1944" w:hanging="360"/>
      </w:pPr>
    </w:lvl>
    <w:lvl w:ilvl="2" w:tentative="1">
      <w:start w:val="1"/>
      <w:numFmt w:val="lowerRoman"/>
      <w:lvlText w:val="%3."/>
      <w:lvlJc w:val="right"/>
      <w:pPr>
        <w:ind w:left="2664" w:hanging="180"/>
      </w:pPr>
    </w:lvl>
    <w:lvl w:ilvl="3" w:tentative="1">
      <w:start w:val="1"/>
      <w:numFmt w:val="decimal"/>
      <w:lvlText w:val="%4."/>
      <w:lvlJc w:val="left"/>
      <w:pPr>
        <w:ind w:left="3384" w:hanging="360"/>
      </w:pPr>
    </w:lvl>
    <w:lvl w:ilvl="4" w:tentative="1">
      <w:start w:val="1"/>
      <w:numFmt w:val="lowerLetter"/>
      <w:lvlText w:val="%5."/>
      <w:lvlJc w:val="left"/>
      <w:pPr>
        <w:ind w:left="4104" w:hanging="360"/>
      </w:pPr>
    </w:lvl>
    <w:lvl w:ilvl="5" w:tentative="1">
      <w:start w:val="1"/>
      <w:numFmt w:val="lowerRoman"/>
      <w:lvlText w:val="%6."/>
      <w:lvlJc w:val="right"/>
      <w:pPr>
        <w:ind w:left="4824" w:hanging="180"/>
      </w:pPr>
    </w:lvl>
    <w:lvl w:ilvl="6" w:tentative="1">
      <w:start w:val="1"/>
      <w:numFmt w:val="decimal"/>
      <w:lvlText w:val="%7."/>
      <w:lvlJc w:val="left"/>
      <w:pPr>
        <w:ind w:left="5544" w:hanging="360"/>
      </w:pPr>
    </w:lvl>
    <w:lvl w:ilvl="7" w:tentative="1">
      <w:start w:val="1"/>
      <w:numFmt w:val="lowerLetter"/>
      <w:lvlText w:val="%8."/>
      <w:lvlJc w:val="left"/>
      <w:pPr>
        <w:ind w:left="6264" w:hanging="360"/>
      </w:pPr>
    </w:lvl>
    <w:lvl w:ilvl="8" w:tentative="1">
      <w:start w:val="1"/>
      <w:numFmt w:val="lowerRoman"/>
      <w:lvlText w:val="%9."/>
      <w:lvlJc w:val="right"/>
      <w:pPr>
        <w:ind w:left="6984" w:hanging="180"/>
      </w:pPr>
    </w:lvl>
  </w:abstractNum>
  <w:abstractNum w:abstractNumId="8">
    <w:nsid w:val="0CA24F39"/>
    <w:multiLevelType w:val="multilevel"/>
    <w:tmpl w:val="43A8086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nsid w:val="0CA83ECB"/>
    <w:multiLevelType w:val="hybridMultilevel"/>
    <w:tmpl w:val="4268DFDE"/>
    <w:lvl w:ilvl="0">
      <w:start w:val="1"/>
      <w:numFmt w:val="decimal"/>
      <w:lvlText w:val="%1."/>
      <w:lvlJc w:val="left"/>
      <w:pPr>
        <w:ind w:left="420" w:hanging="305"/>
        <w:jc w:val="right"/>
      </w:pPr>
      <w:rPr>
        <w:rFonts w:ascii="Times New Roman" w:eastAsia="Times New Roman" w:hAnsi="Times New Roman" w:cs="Times New Roman" w:hint="default"/>
        <w:b/>
        <w:bCs/>
        <w:spacing w:val="0"/>
        <w:w w:val="99"/>
        <w:sz w:val="32"/>
        <w:szCs w:val="32"/>
      </w:rPr>
    </w:lvl>
    <w:lvl w:ilvl="1">
      <w:start w:val="0"/>
      <w:numFmt w:val="bullet"/>
      <w:lvlText w:val=""/>
      <w:lvlJc w:val="left"/>
      <w:pPr>
        <w:ind w:left="836" w:hanging="361"/>
      </w:pPr>
      <w:rPr>
        <w:rFonts w:ascii="Symbol" w:eastAsia="Symbol" w:hAnsi="Symbol" w:cs="Symbol" w:hint="default"/>
        <w:w w:val="100"/>
        <w:sz w:val="22"/>
        <w:szCs w:val="22"/>
      </w:rPr>
    </w:lvl>
    <w:lvl w:ilvl="2">
      <w:start w:val="0"/>
      <w:numFmt w:val="bullet"/>
      <w:lvlText w:val="•"/>
      <w:lvlJc w:val="left"/>
      <w:pPr>
        <w:ind w:left="1813" w:hanging="361"/>
      </w:pPr>
      <w:rPr>
        <w:rFonts w:hint="default"/>
      </w:rPr>
    </w:lvl>
    <w:lvl w:ilvl="3">
      <w:start w:val="0"/>
      <w:numFmt w:val="bullet"/>
      <w:lvlText w:val="•"/>
      <w:lvlJc w:val="left"/>
      <w:pPr>
        <w:ind w:left="2786" w:hanging="361"/>
      </w:pPr>
      <w:rPr>
        <w:rFonts w:hint="default"/>
      </w:rPr>
    </w:lvl>
    <w:lvl w:ilvl="4">
      <w:start w:val="0"/>
      <w:numFmt w:val="bullet"/>
      <w:lvlText w:val="•"/>
      <w:lvlJc w:val="left"/>
      <w:pPr>
        <w:ind w:left="3760" w:hanging="361"/>
      </w:pPr>
      <w:rPr>
        <w:rFonts w:hint="default"/>
      </w:rPr>
    </w:lvl>
    <w:lvl w:ilvl="5">
      <w:start w:val="0"/>
      <w:numFmt w:val="bullet"/>
      <w:lvlText w:val="•"/>
      <w:lvlJc w:val="left"/>
      <w:pPr>
        <w:ind w:left="4733" w:hanging="361"/>
      </w:pPr>
      <w:rPr>
        <w:rFonts w:hint="default"/>
      </w:rPr>
    </w:lvl>
    <w:lvl w:ilvl="6">
      <w:start w:val="0"/>
      <w:numFmt w:val="bullet"/>
      <w:lvlText w:val="•"/>
      <w:lvlJc w:val="left"/>
      <w:pPr>
        <w:ind w:left="5706" w:hanging="361"/>
      </w:pPr>
      <w:rPr>
        <w:rFonts w:hint="default"/>
      </w:rPr>
    </w:lvl>
    <w:lvl w:ilvl="7">
      <w:start w:val="0"/>
      <w:numFmt w:val="bullet"/>
      <w:lvlText w:val="•"/>
      <w:lvlJc w:val="left"/>
      <w:pPr>
        <w:ind w:left="6680" w:hanging="361"/>
      </w:pPr>
      <w:rPr>
        <w:rFonts w:hint="default"/>
      </w:rPr>
    </w:lvl>
    <w:lvl w:ilvl="8">
      <w:start w:val="0"/>
      <w:numFmt w:val="bullet"/>
      <w:lvlText w:val="•"/>
      <w:lvlJc w:val="left"/>
      <w:pPr>
        <w:ind w:left="7653" w:hanging="361"/>
      </w:pPr>
      <w:rPr>
        <w:rFonts w:hint="default"/>
      </w:rPr>
    </w:lvl>
  </w:abstractNum>
  <w:abstractNum w:abstractNumId="10">
    <w:nsid w:val="0DF656B6"/>
    <w:multiLevelType w:val="hybridMultilevel"/>
    <w:tmpl w:val="5A447C38"/>
    <w:lvl w:ilvl="0">
      <w:start w:val="1"/>
      <w:numFmt w:val="bullet"/>
      <w:pStyle w:val="Body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37D51C2"/>
    <w:multiLevelType w:val="hybridMultilevel"/>
    <w:tmpl w:val="7C10EA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3B77D32"/>
    <w:multiLevelType w:val="hybridMultilevel"/>
    <w:tmpl w:val="61042AC0"/>
    <w:lvl w:ilvl="0">
      <w:start w:val="1"/>
      <w:numFmt w:val="bullet"/>
      <w:lvlText w:val=""/>
      <w:lvlJc w:val="left"/>
      <w:pPr>
        <w:ind w:left="1440" w:hanging="360"/>
      </w:pPr>
      <w:rPr>
        <w:rFonts w:ascii="Symbol" w:hAnsi="Symbol" w:hint="default"/>
        <w:color w:val="000000"/>
        <w:sz w:val="26"/>
        <w:szCs w:val="26"/>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3">
    <w:nsid w:val="15B15BDF"/>
    <w:multiLevelType w:val="hybridMultilevel"/>
    <w:tmpl w:val="77ECF972"/>
    <w:lvl w:ilvl="0">
      <w:start w:val="1"/>
      <w:numFmt w:val="bullet"/>
      <w:lvlText w:val=""/>
      <w:lvlJc w:val="left"/>
      <w:pPr>
        <w:tabs>
          <w:tab w:val="num" w:pos="1080"/>
        </w:tabs>
        <w:ind w:left="108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15B732F4"/>
    <w:multiLevelType w:val="multilevel"/>
    <w:tmpl w:val="43A8086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nsid w:val="1F2A5772"/>
    <w:multiLevelType w:val="hybridMultilevel"/>
    <w:tmpl w:val="43301688"/>
    <w:lvl w:ilvl="0">
      <w:start w:val="1"/>
      <w:numFmt w:val="bullet"/>
      <w:lvlText w:val=""/>
      <w:lvlJc w:val="left"/>
      <w:pPr>
        <w:tabs>
          <w:tab w:val="num" w:pos="360"/>
        </w:tabs>
        <w:ind w:left="360" w:hanging="360"/>
      </w:pPr>
      <w:rPr>
        <w:rFonts w:ascii="Symbol" w:hAnsi="Symbol" w:hint="default"/>
        <w:color w:val="000000"/>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
    <w:nsid w:val="247B3DB2"/>
    <w:multiLevelType w:val="hybridMultilevel"/>
    <w:tmpl w:val="2284A8FC"/>
    <w:lvl w:ilvl="0">
      <w:start w:val="1"/>
      <w:numFmt w:val="upperRoman"/>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297D59ED"/>
    <w:multiLevelType w:val="multilevel"/>
    <w:tmpl w:val="43A8086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nsid w:val="29D05AE2"/>
    <w:multiLevelType w:val="hybridMultilevel"/>
    <w:tmpl w:val="C51AEB0A"/>
    <w:lvl w:ilvl="0">
      <w:start w:val="1"/>
      <w:numFmt w:val="bullet"/>
      <w:pStyle w:val="ProConBullet"/>
      <w:lvlText w:val=""/>
      <w:lvlJc w:val="left"/>
      <w:pPr>
        <w:tabs>
          <w:tab w:val="num" w:pos="792"/>
        </w:tabs>
        <w:ind w:left="792" w:hanging="360"/>
      </w:pPr>
      <w:rPr>
        <w:rFonts w:ascii="Symbol" w:hAnsi="Symbol" w:hint="default"/>
      </w:r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19">
    <w:nsid w:val="2AA66D2A"/>
    <w:multiLevelType w:val="multilevel"/>
    <w:tmpl w:val="43A8086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nsid w:val="2D572E3C"/>
    <w:multiLevelType w:val="hybridMultilevel"/>
    <w:tmpl w:val="FFD2E310"/>
    <w:lvl w:ilvl="0">
      <w:start w:val="1"/>
      <w:numFmt w:val="bullet"/>
      <w:lvlText w:val=""/>
      <w:lvlJc w:val="left"/>
      <w:pPr>
        <w:ind w:left="1440" w:hanging="360"/>
      </w:pPr>
      <w:rPr>
        <w:rFonts w:ascii="Symbol" w:hAnsi="Symbol" w:hint="default"/>
        <w:color w:val="000000"/>
        <w:sz w:val="26"/>
        <w:szCs w:val="26"/>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
    <w:nsid w:val="32CB40DC"/>
    <w:multiLevelType w:val="hybridMultilevel"/>
    <w:tmpl w:val="FDD4718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4167147"/>
    <w:multiLevelType w:val="hybridMultilevel"/>
    <w:tmpl w:val="DEE0DE30"/>
    <w:lvl w:ilvl="0">
      <w:start w:val="1"/>
      <w:numFmt w:val="bullet"/>
      <w:lvlText w:val=""/>
      <w:lvlJc w:val="left"/>
      <w:pPr>
        <w:ind w:left="1440" w:hanging="360"/>
      </w:pPr>
      <w:rPr>
        <w:rFonts w:ascii="Symbol" w:hAnsi="Symbol" w:hint="default"/>
        <w:color w:val="000000"/>
        <w:sz w:val="26"/>
        <w:szCs w:val="26"/>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3">
    <w:nsid w:val="3B9172AE"/>
    <w:multiLevelType w:val="hybridMultilevel"/>
    <w:tmpl w:val="E80E0BE2"/>
    <w:lvl w:ilvl="0">
      <w:start w:val="12"/>
      <w:numFmt w:val="upperLetter"/>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3EA74418"/>
    <w:multiLevelType w:val="hybridMultilevel"/>
    <w:tmpl w:val="CBFAD35C"/>
    <w:lvl w:ilvl="0">
      <w:start w:val="1"/>
      <w:numFmt w:val="bullet"/>
      <w:lvlText w:val=""/>
      <w:lvlJc w:val="left"/>
      <w:pPr>
        <w:tabs>
          <w:tab w:val="num" w:pos="2160"/>
        </w:tabs>
        <w:ind w:left="2160" w:hanging="360"/>
      </w:pPr>
      <w:rPr>
        <w:rFonts w:ascii="Symbol" w:hAnsi="Symbol" w:hint="default"/>
        <w:color w:val="auto"/>
        <w:sz w:val="16"/>
      </w:rPr>
    </w:lvl>
    <w:lvl w:ilvl="1">
      <w:start w:val="1"/>
      <w:numFmt w:val="bullet"/>
      <w:pStyle w:val="EYBulletText"/>
      <w:lvlText w:val=""/>
      <w:lvlJc w:val="left"/>
      <w:pPr>
        <w:tabs>
          <w:tab w:val="num" w:pos="2160"/>
        </w:tabs>
        <w:ind w:left="2160" w:hanging="360"/>
      </w:pPr>
      <w:rPr>
        <w:rFonts w:ascii="Symbol" w:hAnsi="Symbol" w:hint="default"/>
        <w:color w:val="auto"/>
        <w:sz w:val="16"/>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25">
    <w:nsid w:val="40A713ED"/>
    <w:multiLevelType w:val="hybridMultilevel"/>
    <w:tmpl w:val="3C3ACB78"/>
    <w:lvl w:ilvl="0">
      <w:start w:val="1"/>
      <w:numFmt w:val="bullet"/>
      <w:pStyle w:val="EYTableBullet"/>
      <w:lvlText w:val=""/>
      <w:lvlJc w:val="left"/>
      <w:pPr>
        <w:tabs>
          <w:tab w:val="num" w:pos="360"/>
        </w:tabs>
        <w:ind w:left="360" w:hanging="360"/>
      </w:pPr>
      <w:rPr>
        <w:rFonts w:ascii="Symbol" w:hAnsi="Symbol" w:hint="default"/>
        <w:color w:val="auto"/>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42C54D94"/>
    <w:multiLevelType w:val="hybridMultilevel"/>
    <w:tmpl w:val="E9027AA0"/>
    <w:lvl w:ilvl="0">
      <w:start w:val="1"/>
      <w:numFmt w:val="bullet"/>
      <w:lvlText w:val=""/>
      <w:lvlJc w:val="left"/>
      <w:pPr>
        <w:ind w:left="1440" w:hanging="360"/>
      </w:pPr>
      <w:rPr>
        <w:rFonts w:ascii="Symbol" w:hAnsi="Symbol" w:hint="default"/>
        <w:color w:val="000000"/>
        <w:sz w:val="26"/>
        <w:szCs w:val="26"/>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7">
    <w:nsid w:val="4ED635F5"/>
    <w:multiLevelType w:val="hybridMultilevel"/>
    <w:tmpl w:val="4E324D58"/>
    <w:lvl w:ilvl="0">
      <w:start w:val="6"/>
      <w:numFmt w:val="upperLetter"/>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0BE49FE"/>
    <w:multiLevelType w:val="hybridMultilevel"/>
    <w:tmpl w:val="56E06814"/>
    <w:lvl w:ilvl="0">
      <w:start w:val="15"/>
      <w:numFmt w:val="upperLetter"/>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4602E89"/>
    <w:multiLevelType w:val="multilevel"/>
    <w:tmpl w:val="43A8086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nsid w:val="549636E8"/>
    <w:multiLevelType w:val="hybridMultilevel"/>
    <w:tmpl w:val="47086AB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1">
    <w:nsid w:val="567C145D"/>
    <w:multiLevelType w:val="hybridMultilevel"/>
    <w:tmpl w:val="315C24E0"/>
    <w:lvl w:ilvl="0">
      <w:start w:val="1"/>
      <w:numFmt w:val="upperRoman"/>
      <w:lvlText w:val="%1."/>
      <w:lvlJc w:val="left"/>
      <w:pPr>
        <w:ind w:left="214" w:hanging="214"/>
      </w:pPr>
      <w:rPr>
        <w:rFonts w:ascii="Times New Roman" w:eastAsia="Times New Roman" w:hAnsi="Times New Roman" w:cs="Times New Roman" w:hint="default"/>
        <w:b/>
        <w:bCs/>
        <w:spacing w:val="-3"/>
        <w:w w:val="99"/>
        <w:sz w:val="24"/>
        <w:szCs w:val="24"/>
      </w:rPr>
    </w:lvl>
    <w:lvl w:ilvl="1">
      <w:start w:val="0"/>
      <w:numFmt w:val="bullet"/>
      <w:lvlText w:val="•"/>
      <w:lvlJc w:val="left"/>
      <w:pPr>
        <w:ind w:left="1266" w:hanging="214"/>
      </w:pPr>
      <w:rPr>
        <w:rFonts w:hint="default"/>
      </w:rPr>
    </w:lvl>
    <w:lvl w:ilvl="2">
      <w:start w:val="0"/>
      <w:numFmt w:val="bullet"/>
      <w:lvlText w:val="•"/>
      <w:lvlJc w:val="left"/>
      <w:pPr>
        <w:ind w:left="2192" w:hanging="214"/>
      </w:pPr>
      <w:rPr>
        <w:rFonts w:hint="default"/>
      </w:rPr>
    </w:lvl>
    <w:lvl w:ilvl="3">
      <w:start w:val="0"/>
      <w:numFmt w:val="bullet"/>
      <w:lvlText w:val="•"/>
      <w:lvlJc w:val="left"/>
      <w:pPr>
        <w:ind w:left="3118" w:hanging="214"/>
      </w:pPr>
      <w:rPr>
        <w:rFonts w:hint="default"/>
      </w:rPr>
    </w:lvl>
    <w:lvl w:ilvl="4">
      <w:start w:val="0"/>
      <w:numFmt w:val="bullet"/>
      <w:lvlText w:val="•"/>
      <w:lvlJc w:val="left"/>
      <w:pPr>
        <w:ind w:left="4044" w:hanging="214"/>
      </w:pPr>
      <w:rPr>
        <w:rFonts w:hint="default"/>
      </w:rPr>
    </w:lvl>
    <w:lvl w:ilvl="5">
      <w:start w:val="0"/>
      <w:numFmt w:val="bullet"/>
      <w:lvlText w:val="•"/>
      <w:lvlJc w:val="left"/>
      <w:pPr>
        <w:ind w:left="4970" w:hanging="214"/>
      </w:pPr>
      <w:rPr>
        <w:rFonts w:hint="default"/>
      </w:rPr>
    </w:lvl>
    <w:lvl w:ilvl="6">
      <w:start w:val="0"/>
      <w:numFmt w:val="bullet"/>
      <w:lvlText w:val="•"/>
      <w:lvlJc w:val="left"/>
      <w:pPr>
        <w:ind w:left="5896" w:hanging="214"/>
      </w:pPr>
      <w:rPr>
        <w:rFonts w:hint="default"/>
      </w:rPr>
    </w:lvl>
    <w:lvl w:ilvl="7">
      <w:start w:val="0"/>
      <w:numFmt w:val="bullet"/>
      <w:lvlText w:val="•"/>
      <w:lvlJc w:val="left"/>
      <w:pPr>
        <w:ind w:left="6822" w:hanging="214"/>
      </w:pPr>
      <w:rPr>
        <w:rFonts w:hint="default"/>
      </w:rPr>
    </w:lvl>
    <w:lvl w:ilvl="8">
      <w:start w:val="0"/>
      <w:numFmt w:val="bullet"/>
      <w:lvlText w:val="•"/>
      <w:lvlJc w:val="left"/>
      <w:pPr>
        <w:ind w:left="7748" w:hanging="214"/>
      </w:pPr>
      <w:rPr>
        <w:rFonts w:hint="default"/>
      </w:rPr>
    </w:lvl>
  </w:abstractNum>
  <w:abstractNum w:abstractNumId="32">
    <w:nsid w:val="602F4860"/>
    <w:multiLevelType w:val="hybridMultilevel"/>
    <w:tmpl w:val="B9D25FE6"/>
    <w:lvl w:ilvl="0">
      <w:start w:val="15"/>
      <w:numFmt w:val="bullet"/>
      <w:lvlJc w:val="left"/>
      <w:pPr>
        <w:ind w:left="720" w:hanging="360"/>
      </w:pPr>
      <w:rPr>
        <w:rFonts w:ascii="Symbol" w:eastAsia="Times New Roman" w:hAnsi="Symbol"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C860E6C"/>
    <w:multiLevelType w:val="hybridMultilevel"/>
    <w:tmpl w:val="DEEC9902"/>
    <w:lvl w:ilvl="0">
      <w:start w:val="12"/>
      <w:numFmt w:val="upperLetter"/>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6DF10392"/>
    <w:multiLevelType w:val="hybridMultilevel"/>
    <w:tmpl w:val="5FB049E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6F2B1D85"/>
    <w:multiLevelType w:val="hybridMultilevel"/>
    <w:tmpl w:val="18E2F0DE"/>
    <w:lvl w:ilvl="0">
      <w:start w:val="1"/>
      <w:numFmt w:val="bullet"/>
      <w:pStyle w:val="ListBullet"/>
      <w:lvlText w:val=""/>
      <w:lvlJc w:val="left"/>
      <w:pPr>
        <w:tabs>
          <w:tab w:val="num" w:pos="360"/>
        </w:tabs>
        <w:ind w:left="36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71517876"/>
    <w:multiLevelType w:val="hybridMultilevel"/>
    <w:tmpl w:val="18969A70"/>
    <w:lvl w:ilvl="0">
      <w:start w:val="1"/>
      <w:numFmt w:val="bullet"/>
      <w:lvlText w:val=""/>
      <w:lvlJc w:val="left"/>
      <w:pPr>
        <w:tabs>
          <w:tab w:val="num" w:pos="2160"/>
        </w:tabs>
        <w:ind w:left="2160" w:hanging="360"/>
      </w:pPr>
      <w:rPr>
        <w:rFonts w:ascii="Symbol" w:hAnsi="Symbol" w:hint="default"/>
        <w:color w:val="auto"/>
        <w:sz w:val="16"/>
      </w:rPr>
    </w:lvl>
    <w:lvl w:ilvl="1">
      <w:start w:val="1"/>
      <w:numFmt w:val="bullet"/>
      <w:pStyle w:val="EYBulletText2"/>
      <w:lvlText w:val=""/>
      <w:lvlJc w:val="left"/>
      <w:pPr>
        <w:tabs>
          <w:tab w:val="num" w:pos="2160"/>
        </w:tabs>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7">
    <w:nsid w:val="7B9250AF"/>
    <w:multiLevelType w:val="hybridMultilevel"/>
    <w:tmpl w:val="8024657C"/>
    <w:lvl w:ilvl="0">
      <w:start w:val="1"/>
      <w:numFmt w:val="decimal"/>
      <w:lvlText w:val="%1)"/>
      <w:lvlJc w:val="left"/>
      <w:pPr>
        <w:ind w:left="864" w:hanging="360"/>
      </w:pPr>
      <w:rPr>
        <w:rFonts w:hint="default"/>
      </w:rPr>
    </w:lvl>
    <w:lvl w:ilvl="1" w:tentative="1">
      <w:start w:val="1"/>
      <w:numFmt w:val="lowerLetter"/>
      <w:lvlText w:val="%2."/>
      <w:lvlJc w:val="left"/>
      <w:pPr>
        <w:ind w:left="1584" w:hanging="360"/>
      </w:pPr>
    </w:lvl>
    <w:lvl w:ilvl="2" w:tentative="1">
      <w:start w:val="1"/>
      <w:numFmt w:val="lowerRoman"/>
      <w:lvlText w:val="%3."/>
      <w:lvlJc w:val="right"/>
      <w:pPr>
        <w:ind w:left="2304" w:hanging="180"/>
      </w:pPr>
    </w:lvl>
    <w:lvl w:ilvl="3" w:tentative="1">
      <w:start w:val="1"/>
      <w:numFmt w:val="decimal"/>
      <w:lvlText w:val="%4."/>
      <w:lvlJc w:val="left"/>
      <w:pPr>
        <w:ind w:left="3024" w:hanging="360"/>
      </w:pPr>
    </w:lvl>
    <w:lvl w:ilvl="4" w:tentative="1">
      <w:start w:val="1"/>
      <w:numFmt w:val="lowerLetter"/>
      <w:lvlText w:val="%5."/>
      <w:lvlJc w:val="left"/>
      <w:pPr>
        <w:ind w:left="3744" w:hanging="360"/>
      </w:pPr>
    </w:lvl>
    <w:lvl w:ilvl="5" w:tentative="1">
      <w:start w:val="1"/>
      <w:numFmt w:val="lowerRoman"/>
      <w:lvlText w:val="%6."/>
      <w:lvlJc w:val="right"/>
      <w:pPr>
        <w:ind w:left="4464" w:hanging="180"/>
      </w:pPr>
    </w:lvl>
    <w:lvl w:ilvl="6" w:tentative="1">
      <w:start w:val="1"/>
      <w:numFmt w:val="decimal"/>
      <w:lvlText w:val="%7."/>
      <w:lvlJc w:val="left"/>
      <w:pPr>
        <w:ind w:left="5184" w:hanging="360"/>
      </w:pPr>
    </w:lvl>
    <w:lvl w:ilvl="7" w:tentative="1">
      <w:start w:val="1"/>
      <w:numFmt w:val="lowerLetter"/>
      <w:lvlText w:val="%8."/>
      <w:lvlJc w:val="left"/>
      <w:pPr>
        <w:ind w:left="5904" w:hanging="360"/>
      </w:pPr>
    </w:lvl>
    <w:lvl w:ilvl="8" w:tentative="1">
      <w:start w:val="1"/>
      <w:numFmt w:val="lowerRoman"/>
      <w:lvlText w:val="%9."/>
      <w:lvlJc w:val="right"/>
      <w:pPr>
        <w:ind w:left="6624" w:hanging="180"/>
      </w:pPr>
    </w:lvl>
  </w:abstractNum>
  <w:abstractNum w:abstractNumId="38">
    <w:nsid w:val="7CD309DB"/>
    <w:multiLevelType w:val="hybridMultilevel"/>
    <w:tmpl w:val="921E1ECC"/>
    <w:lvl w:ilvl="0">
      <w:start w:val="1"/>
      <w:numFmt w:val="upperLetter"/>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6"/>
  </w:num>
  <w:num w:numId="3">
    <w:abstractNumId w:val="24"/>
  </w:num>
  <w:num w:numId="4">
    <w:abstractNumId w:val="25"/>
  </w:num>
  <w:num w:numId="5">
    <w:abstractNumId w:val="36"/>
  </w:num>
  <w:num w:numId="6">
    <w:abstractNumId w:val="18"/>
  </w:num>
  <w:num w:numId="7">
    <w:abstractNumId w:val="15"/>
  </w:num>
  <w:num w:numId="8">
    <w:abstractNumId w:val="35"/>
  </w:num>
  <w:num w:numId="9">
    <w:abstractNumId w:val="31"/>
  </w:num>
  <w:num w:numId="10">
    <w:abstractNumId w:val="9"/>
  </w:num>
  <w:num w:numId="11">
    <w:abstractNumId w:val="5"/>
  </w:num>
  <w:num w:numId="12">
    <w:abstractNumId w:val="13"/>
  </w:num>
  <w:num w:numId="13">
    <w:abstractNumId w:val="10"/>
  </w:num>
  <w:num w:numId="14">
    <w:abstractNumId w:val="17"/>
  </w:num>
  <w:num w:numId="15">
    <w:abstractNumId w:val="0"/>
  </w:num>
  <w:num w:numId="16">
    <w:abstractNumId w:val="26"/>
  </w:num>
  <w:num w:numId="17">
    <w:abstractNumId w:val="20"/>
  </w:num>
  <w:num w:numId="18">
    <w:abstractNumId w:val="4"/>
  </w:num>
  <w:num w:numId="19">
    <w:abstractNumId w:val="22"/>
  </w:num>
  <w:num w:numId="20">
    <w:abstractNumId w:val="12"/>
  </w:num>
  <w:num w:numId="21">
    <w:abstractNumId w:val="11"/>
  </w:num>
  <w:num w:numId="22">
    <w:abstractNumId w:val="30"/>
  </w:num>
  <w:num w:numId="23">
    <w:abstractNumId w:val="2"/>
  </w:num>
  <w:num w:numId="24">
    <w:abstractNumId w:val="16"/>
  </w:num>
  <w:num w:numId="25">
    <w:abstractNumId w:val="21"/>
  </w:num>
  <w:num w:numId="26">
    <w:abstractNumId w:val="38"/>
  </w:num>
  <w:num w:numId="27">
    <w:abstractNumId w:val="33"/>
  </w:num>
  <w:num w:numId="28">
    <w:abstractNumId w:val="23"/>
  </w:num>
  <w:num w:numId="29">
    <w:abstractNumId w:val="32"/>
  </w:num>
  <w:num w:numId="30">
    <w:abstractNumId w:val="28"/>
  </w:num>
  <w:num w:numId="31">
    <w:abstractNumId w:val="3"/>
  </w:num>
  <w:num w:numId="32">
    <w:abstractNumId w:val="19"/>
  </w:num>
  <w:num w:numId="33">
    <w:abstractNumId w:val="29"/>
  </w:num>
  <w:num w:numId="34">
    <w:abstractNumId w:val="7"/>
  </w:num>
  <w:num w:numId="35">
    <w:abstractNumId w:val="37"/>
  </w:num>
  <w:num w:numId="36">
    <w:abstractNumId w:val="8"/>
  </w:num>
  <w:num w:numId="37">
    <w:abstractNumId w:val="14"/>
  </w:num>
  <w:num w:numId="38">
    <w:abstractNumId w:val="34"/>
  </w:num>
  <w:num w:numId="39">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zoom w:percent="110"/>
  <w:displayBackgroundShape/>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drawingGridHorizontalSpacing w:val="57"/>
  <w:displayVerticalDrawingGridEvery w:val="2"/>
  <w:characterSpacingControl w:val="doNotCompress"/>
  <w:footnotePr>
    <w:footnote w:id="0"/>
    <w:footnote w:id="1"/>
    <w:footnote w:id="2"/>
  </w:footnotePr>
  <w:endnotePr>
    <w:pos w:val="sectEnd"/>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DEA"/>
    <w:rsid w:val="00000ADB"/>
    <w:rsid w:val="00000D98"/>
    <w:rsid w:val="00000DD1"/>
    <w:rsid w:val="00000F18"/>
    <w:rsid w:val="00001E02"/>
    <w:rsid w:val="00002423"/>
    <w:rsid w:val="000024A8"/>
    <w:rsid w:val="000024B2"/>
    <w:rsid w:val="000025F7"/>
    <w:rsid w:val="000026F2"/>
    <w:rsid w:val="00002C77"/>
    <w:rsid w:val="00003383"/>
    <w:rsid w:val="000039A2"/>
    <w:rsid w:val="00003AC0"/>
    <w:rsid w:val="000044F3"/>
    <w:rsid w:val="00004559"/>
    <w:rsid w:val="000048B2"/>
    <w:rsid w:val="000059A9"/>
    <w:rsid w:val="00005DCC"/>
    <w:rsid w:val="0000607E"/>
    <w:rsid w:val="00006D34"/>
    <w:rsid w:val="00007446"/>
    <w:rsid w:val="000079A8"/>
    <w:rsid w:val="000079C4"/>
    <w:rsid w:val="00007AF9"/>
    <w:rsid w:val="00007C11"/>
    <w:rsid w:val="00007E8E"/>
    <w:rsid w:val="00007F59"/>
    <w:rsid w:val="00010133"/>
    <w:rsid w:val="00010753"/>
    <w:rsid w:val="00010B2E"/>
    <w:rsid w:val="00010BDF"/>
    <w:rsid w:val="000116F2"/>
    <w:rsid w:val="00012323"/>
    <w:rsid w:val="00012928"/>
    <w:rsid w:val="00012EFD"/>
    <w:rsid w:val="00013458"/>
    <w:rsid w:val="0001352F"/>
    <w:rsid w:val="00013EFC"/>
    <w:rsid w:val="00014207"/>
    <w:rsid w:val="000145B0"/>
    <w:rsid w:val="00015079"/>
    <w:rsid w:val="000155AA"/>
    <w:rsid w:val="00015E91"/>
    <w:rsid w:val="00016128"/>
    <w:rsid w:val="000162F8"/>
    <w:rsid w:val="00016560"/>
    <w:rsid w:val="000167D8"/>
    <w:rsid w:val="00016F5E"/>
    <w:rsid w:val="00016FD5"/>
    <w:rsid w:val="00017036"/>
    <w:rsid w:val="00017280"/>
    <w:rsid w:val="00020649"/>
    <w:rsid w:val="0002090C"/>
    <w:rsid w:val="00021030"/>
    <w:rsid w:val="00021080"/>
    <w:rsid w:val="000218AA"/>
    <w:rsid w:val="00021A91"/>
    <w:rsid w:val="00021CE6"/>
    <w:rsid w:val="00022077"/>
    <w:rsid w:val="000229B2"/>
    <w:rsid w:val="00023637"/>
    <w:rsid w:val="00023BB6"/>
    <w:rsid w:val="00023EC2"/>
    <w:rsid w:val="000247A3"/>
    <w:rsid w:val="0002499F"/>
    <w:rsid w:val="0002500D"/>
    <w:rsid w:val="00025237"/>
    <w:rsid w:val="000255E0"/>
    <w:rsid w:val="00025D82"/>
    <w:rsid w:val="00026296"/>
    <w:rsid w:val="00026533"/>
    <w:rsid w:val="00026728"/>
    <w:rsid w:val="00026A7C"/>
    <w:rsid w:val="00026ACE"/>
    <w:rsid w:val="00027156"/>
    <w:rsid w:val="0002746E"/>
    <w:rsid w:val="000274E6"/>
    <w:rsid w:val="000276F7"/>
    <w:rsid w:val="000278E3"/>
    <w:rsid w:val="00027A06"/>
    <w:rsid w:val="00027AA3"/>
    <w:rsid w:val="00027AB0"/>
    <w:rsid w:val="00027AFE"/>
    <w:rsid w:val="0003015F"/>
    <w:rsid w:val="00030480"/>
    <w:rsid w:val="00030564"/>
    <w:rsid w:val="00030D66"/>
    <w:rsid w:val="0003102C"/>
    <w:rsid w:val="00031058"/>
    <w:rsid w:val="0003212F"/>
    <w:rsid w:val="000329AB"/>
    <w:rsid w:val="0003323B"/>
    <w:rsid w:val="00033703"/>
    <w:rsid w:val="000337B4"/>
    <w:rsid w:val="00033C34"/>
    <w:rsid w:val="00034431"/>
    <w:rsid w:val="00034686"/>
    <w:rsid w:val="00034A6A"/>
    <w:rsid w:val="00034AE6"/>
    <w:rsid w:val="00035476"/>
    <w:rsid w:val="00035498"/>
    <w:rsid w:val="000359FA"/>
    <w:rsid w:val="0003681B"/>
    <w:rsid w:val="00036824"/>
    <w:rsid w:val="00036BF6"/>
    <w:rsid w:val="00036CC7"/>
    <w:rsid w:val="00037038"/>
    <w:rsid w:val="0003707A"/>
    <w:rsid w:val="0003771D"/>
    <w:rsid w:val="00037C62"/>
    <w:rsid w:val="00037DD0"/>
    <w:rsid w:val="00037F24"/>
    <w:rsid w:val="000401B6"/>
    <w:rsid w:val="00040427"/>
    <w:rsid w:val="00040627"/>
    <w:rsid w:val="000406F0"/>
    <w:rsid w:val="00040A97"/>
    <w:rsid w:val="00040D2C"/>
    <w:rsid w:val="00040DD1"/>
    <w:rsid w:val="00040FB3"/>
    <w:rsid w:val="0004109C"/>
    <w:rsid w:val="000410BA"/>
    <w:rsid w:val="000412B3"/>
    <w:rsid w:val="00041B9E"/>
    <w:rsid w:val="00041F68"/>
    <w:rsid w:val="00042959"/>
    <w:rsid w:val="00042F89"/>
    <w:rsid w:val="00042FB6"/>
    <w:rsid w:val="000431F4"/>
    <w:rsid w:val="00043562"/>
    <w:rsid w:val="00043963"/>
    <w:rsid w:val="00043E1B"/>
    <w:rsid w:val="000444C6"/>
    <w:rsid w:val="00044601"/>
    <w:rsid w:val="00044798"/>
    <w:rsid w:val="00044A83"/>
    <w:rsid w:val="00044E3E"/>
    <w:rsid w:val="0004523F"/>
    <w:rsid w:val="00045658"/>
    <w:rsid w:val="00045CF5"/>
    <w:rsid w:val="00045F33"/>
    <w:rsid w:val="00045F5D"/>
    <w:rsid w:val="0004650A"/>
    <w:rsid w:val="00046ACD"/>
    <w:rsid w:val="00047133"/>
    <w:rsid w:val="000471A2"/>
    <w:rsid w:val="00047649"/>
    <w:rsid w:val="00047756"/>
    <w:rsid w:val="000477A6"/>
    <w:rsid w:val="00047FCC"/>
    <w:rsid w:val="000503A7"/>
    <w:rsid w:val="00050B8A"/>
    <w:rsid w:val="00050C2C"/>
    <w:rsid w:val="000515FF"/>
    <w:rsid w:val="00051AC6"/>
    <w:rsid w:val="00052DFA"/>
    <w:rsid w:val="00052F8D"/>
    <w:rsid w:val="0005364E"/>
    <w:rsid w:val="0005406F"/>
    <w:rsid w:val="00054555"/>
    <w:rsid w:val="00054929"/>
    <w:rsid w:val="0005500B"/>
    <w:rsid w:val="0005509F"/>
    <w:rsid w:val="00055B1F"/>
    <w:rsid w:val="00055E69"/>
    <w:rsid w:val="00056483"/>
    <w:rsid w:val="00056708"/>
    <w:rsid w:val="00057014"/>
    <w:rsid w:val="00060A79"/>
    <w:rsid w:val="00060AC5"/>
    <w:rsid w:val="00060C7F"/>
    <w:rsid w:val="00060D1B"/>
    <w:rsid w:val="000615DF"/>
    <w:rsid w:val="00061781"/>
    <w:rsid w:val="00061882"/>
    <w:rsid w:val="00062059"/>
    <w:rsid w:val="000621B8"/>
    <w:rsid w:val="0006222F"/>
    <w:rsid w:val="00062393"/>
    <w:rsid w:val="000627C0"/>
    <w:rsid w:val="00062CEF"/>
    <w:rsid w:val="0006337F"/>
    <w:rsid w:val="00063AD0"/>
    <w:rsid w:val="0006419C"/>
    <w:rsid w:val="00065227"/>
    <w:rsid w:val="0006565A"/>
    <w:rsid w:val="00065679"/>
    <w:rsid w:val="00065866"/>
    <w:rsid w:val="00065913"/>
    <w:rsid w:val="000668AC"/>
    <w:rsid w:val="00067199"/>
    <w:rsid w:val="0006738E"/>
    <w:rsid w:val="00067959"/>
    <w:rsid w:val="00067EF9"/>
    <w:rsid w:val="00070092"/>
    <w:rsid w:val="00070672"/>
    <w:rsid w:val="0007071C"/>
    <w:rsid w:val="000709AE"/>
    <w:rsid w:val="00070BCE"/>
    <w:rsid w:val="000710E8"/>
    <w:rsid w:val="0007161A"/>
    <w:rsid w:val="0007178C"/>
    <w:rsid w:val="000719E1"/>
    <w:rsid w:val="00071BD5"/>
    <w:rsid w:val="00072234"/>
    <w:rsid w:val="000724C1"/>
    <w:rsid w:val="000724E5"/>
    <w:rsid w:val="00072F27"/>
    <w:rsid w:val="00073749"/>
    <w:rsid w:val="000737A7"/>
    <w:rsid w:val="00073AC9"/>
    <w:rsid w:val="00073DE2"/>
    <w:rsid w:val="00073E4F"/>
    <w:rsid w:val="00073F1E"/>
    <w:rsid w:val="000742D1"/>
    <w:rsid w:val="000743EB"/>
    <w:rsid w:val="000747CF"/>
    <w:rsid w:val="0007482F"/>
    <w:rsid w:val="00074BEA"/>
    <w:rsid w:val="00074BFC"/>
    <w:rsid w:val="00074E7F"/>
    <w:rsid w:val="00074FA3"/>
    <w:rsid w:val="000751FE"/>
    <w:rsid w:val="000754E1"/>
    <w:rsid w:val="00075C85"/>
    <w:rsid w:val="000764D1"/>
    <w:rsid w:val="0007688A"/>
    <w:rsid w:val="00076B09"/>
    <w:rsid w:val="00077496"/>
    <w:rsid w:val="00077708"/>
    <w:rsid w:val="00077725"/>
    <w:rsid w:val="00077FF9"/>
    <w:rsid w:val="00080329"/>
    <w:rsid w:val="0008072F"/>
    <w:rsid w:val="00080A3A"/>
    <w:rsid w:val="00081253"/>
    <w:rsid w:val="00081359"/>
    <w:rsid w:val="00081526"/>
    <w:rsid w:val="00081D19"/>
    <w:rsid w:val="00082070"/>
    <w:rsid w:val="00082365"/>
    <w:rsid w:val="00082475"/>
    <w:rsid w:val="0008288A"/>
    <w:rsid w:val="000828F0"/>
    <w:rsid w:val="00082AE7"/>
    <w:rsid w:val="000831D6"/>
    <w:rsid w:val="00083441"/>
    <w:rsid w:val="0008346F"/>
    <w:rsid w:val="00083D57"/>
    <w:rsid w:val="0008426F"/>
    <w:rsid w:val="00084A2B"/>
    <w:rsid w:val="00084CC6"/>
    <w:rsid w:val="00084E0C"/>
    <w:rsid w:val="00085A43"/>
    <w:rsid w:val="00085C01"/>
    <w:rsid w:val="000860AC"/>
    <w:rsid w:val="000860D1"/>
    <w:rsid w:val="000860FD"/>
    <w:rsid w:val="00086106"/>
    <w:rsid w:val="00086531"/>
    <w:rsid w:val="00086A30"/>
    <w:rsid w:val="00086DBC"/>
    <w:rsid w:val="00087909"/>
    <w:rsid w:val="00087A76"/>
    <w:rsid w:val="00087ECD"/>
    <w:rsid w:val="00087F5B"/>
    <w:rsid w:val="00090A51"/>
    <w:rsid w:val="00090F56"/>
    <w:rsid w:val="000916DE"/>
    <w:rsid w:val="00091ACF"/>
    <w:rsid w:val="00091D47"/>
    <w:rsid w:val="00092B6A"/>
    <w:rsid w:val="00092EB9"/>
    <w:rsid w:val="00093B16"/>
    <w:rsid w:val="00093EB7"/>
    <w:rsid w:val="00094296"/>
    <w:rsid w:val="000947F5"/>
    <w:rsid w:val="00094BEC"/>
    <w:rsid w:val="00094C18"/>
    <w:rsid w:val="00094F7B"/>
    <w:rsid w:val="00095336"/>
    <w:rsid w:val="000953D4"/>
    <w:rsid w:val="000953FA"/>
    <w:rsid w:val="0009547D"/>
    <w:rsid w:val="00095C39"/>
    <w:rsid w:val="00095CD4"/>
    <w:rsid w:val="000960F4"/>
    <w:rsid w:val="00096489"/>
    <w:rsid w:val="000964F2"/>
    <w:rsid w:val="000964F3"/>
    <w:rsid w:val="00096E3B"/>
    <w:rsid w:val="00096E57"/>
    <w:rsid w:val="00096E73"/>
    <w:rsid w:val="00096EFA"/>
    <w:rsid w:val="00097046"/>
    <w:rsid w:val="00097253"/>
    <w:rsid w:val="00097515"/>
    <w:rsid w:val="00097C0E"/>
    <w:rsid w:val="00097C35"/>
    <w:rsid w:val="00097F1F"/>
    <w:rsid w:val="000A02B0"/>
    <w:rsid w:val="000A0BFF"/>
    <w:rsid w:val="000A0F6A"/>
    <w:rsid w:val="000A164A"/>
    <w:rsid w:val="000A1A7A"/>
    <w:rsid w:val="000A2069"/>
    <w:rsid w:val="000A258C"/>
    <w:rsid w:val="000A26E9"/>
    <w:rsid w:val="000A2989"/>
    <w:rsid w:val="000A2C5A"/>
    <w:rsid w:val="000A3126"/>
    <w:rsid w:val="000A3178"/>
    <w:rsid w:val="000A39BA"/>
    <w:rsid w:val="000A3B26"/>
    <w:rsid w:val="000A44DA"/>
    <w:rsid w:val="000A4570"/>
    <w:rsid w:val="000A4625"/>
    <w:rsid w:val="000A4928"/>
    <w:rsid w:val="000A5BF8"/>
    <w:rsid w:val="000A5D5F"/>
    <w:rsid w:val="000A61F2"/>
    <w:rsid w:val="000A6B6D"/>
    <w:rsid w:val="000A6B9B"/>
    <w:rsid w:val="000A6C48"/>
    <w:rsid w:val="000A6CA6"/>
    <w:rsid w:val="000A74FD"/>
    <w:rsid w:val="000A77DA"/>
    <w:rsid w:val="000A7B05"/>
    <w:rsid w:val="000A7FB2"/>
    <w:rsid w:val="000B060A"/>
    <w:rsid w:val="000B0633"/>
    <w:rsid w:val="000B07BE"/>
    <w:rsid w:val="000B08BE"/>
    <w:rsid w:val="000B0912"/>
    <w:rsid w:val="000B09FD"/>
    <w:rsid w:val="000B10FC"/>
    <w:rsid w:val="000B14A9"/>
    <w:rsid w:val="000B14E4"/>
    <w:rsid w:val="000B1507"/>
    <w:rsid w:val="000B1756"/>
    <w:rsid w:val="000B1C2A"/>
    <w:rsid w:val="000B1F4F"/>
    <w:rsid w:val="000B21FD"/>
    <w:rsid w:val="000B25D6"/>
    <w:rsid w:val="000B2A6A"/>
    <w:rsid w:val="000B34CE"/>
    <w:rsid w:val="000B3751"/>
    <w:rsid w:val="000B39A1"/>
    <w:rsid w:val="000B3E74"/>
    <w:rsid w:val="000B40EA"/>
    <w:rsid w:val="000B423C"/>
    <w:rsid w:val="000B4319"/>
    <w:rsid w:val="000B466C"/>
    <w:rsid w:val="000B4983"/>
    <w:rsid w:val="000B4A49"/>
    <w:rsid w:val="000B51BA"/>
    <w:rsid w:val="000B5ABC"/>
    <w:rsid w:val="000B5B93"/>
    <w:rsid w:val="000B6098"/>
    <w:rsid w:val="000B60BE"/>
    <w:rsid w:val="000B7498"/>
    <w:rsid w:val="000B7BDC"/>
    <w:rsid w:val="000B7CAC"/>
    <w:rsid w:val="000C016E"/>
    <w:rsid w:val="000C0481"/>
    <w:rsid w:val="000C2168"/>
    <w:rsid w:val="000C26E9"/>
    <w:rsid w:val="000C279B"/>
    <w:rsid w:val="000C27D5"/>
    <w:rsid w:val="000C2FD9"/>
    <w:rsid w:val="000C3170"/>
    <w:rsid w:val="000C3D24"/>
    <w:rsid w:val="000C440C"/>
    <w:rsid w:val="000C477E"/>
    <w:rsid w:val="000C4B2A"/>
    <w:rsid w:val="000C4BB0"/>
    <w:rsid w:val="000C52B9"/>
    <w:rsid w:val="000C53ED"/>
    <w:rsid w:val="000C6A14"/>
    <w:rsid w:val="000C6E23"/>
    <w:rsid w:val="000C77BA"/>
    <w:rsid w:val="000C7C90"/>
    <w:rsid w:val="000D00DC"/>
    <w:rsid w:val="000D072A"/>
    <w:rsid w:val="000D0A76"/>
    <w:rsid w:val="000D0ACC"/>
    <w:rsid w:val="000D0EAA"/>
    <w:rsid w:val="000D0F33"/>
    <w:rsid w:val="000D1143"/>
    <w:rsid w:val="000D1390"/>
    <w:rsid w:val="000D17FF"/>
    <w:rsid w:val="000D2189"/>
    <w:rsid w:val="000D3714"/>
    <w:rsid w:val="000D377B"/>
    <w:rsid w:val="000D41AE"/>
    <w:rsid w:val="000D48E8"/>
    <w:rsid w:val="000D4D5F"/>
    <w:rsid w:val="000D5500"/>
    <w:rsid w:val="000D5986"/>
    <w:rsid w:val="000D59BB"/>
    <w:rsid w:val="000D5A87"/>
    <w:rsid w:val="000D5CEA"/>
    <w:rsid w:val="000D643D"/>
    <w:rsid w:val="000D6755"/>
    <w:rsid w:val="000D67DD"/>
    <w:rsid w:val="000D6DF0"/>
    <w:rsid w:val="000D6E48"/>
    <w:rsid w:val="000D7813"/>
    <w:rsid w:val="000D7BFB"/>
    <w:rsid w:val="000E0018"/>
    <w:rsid w:val="000E0E14"/>
    <w:rsid w:val="000E0EAC"/>
    <w:rsid w:val="000E10D9"/>
    <w:rsid w:val="000E14B4"/>
    <w:rsid w:val="000E1C3B"/>
    <w:rsid w:val="000E27B7"/>
    <w:rsid w:val="000E2C25"/>
    <w:rsid w:val="000E2E9F"/>
    <w:rsid w:val="000E3072"/>
    <w:rsid w:val="000E328B"/>
    <w:rsid w:val="000E3492"/>
    <w:rsid w:val="000E35F7"/>
    <w:rsid w:val="000E35FD"/>
    <w:rsid w:val="000E478C"/>
    <w:rsid w:val="000E4BB5"/>
    <w:rsid w:val="000E5179"/>
    <w:rsid w:val="000E5794"/>
    <w:rsid w:val="000E6016"/>
    <w:rsid w:val="000E60F4"/>
    <w:rsid w:val="000E6378"/>
    <w:rsid w:val="000E639D"/>
    <w:rsid w:val="000E63D6"/>
    <w:rsid w:val="000E69EF"/>
    <w:rsid w:val="000E6D75"/>
    <w:rsid w:val="000E6FE3"/>
    <w:rsid w:val="000E713D"/>
    <w:rsid w:val="000E7186"/>
    <w:rsid w:val="000E77D8"/>
    <w:rsid w:val="000E7B6B"/>
    <w:rsid w:val="000E7BEB"/>
    <w:rsid w:val="000E7FAB"/>
    <w:rsid w:val="000F0343"/>
    <w:rsid w:val="000F04ED"/>
    <w:rsid w:val="000F0500"/>
    <w:rsid w:val="000F05C1"/>
    <w:rsid w:val="000F0DB7"/>
    <w:rsid w:val="000F1290"/>
    <w:rsid w:val="000F13D7"/>
    <w:rsid w:val="000F1487"/>
    <w:rsid w:val="000F1874"/>
    <w:rsid w:val="000F19A5"/>
    <w:rsid w:val="000F257F"/>
    <w:rsid w:val="000F2A58"/>
    <w:rsid w:val="000F2D30"/>
    <w:rsid w:val="000F33CF"/>
    <w:rsid w:val="000F3459"/>
    <w:rsid w:val="000F374C"/>
    <w:rsid w:val="000F39E8"/>
    <w:rsid w:val="000F3A0D"/>
    <w:rsid w:val="000F3A6C"/>
    <w:rsid w:val="000F42FF"/>
    <w:rsid w:val="000F43AE"/>
    <w:rsid w:val="000F48C9"/>
    <w:rsid w:val="000F4A3C"/>
    <w:rsid w:val="000F504E"/>
    <w:rsid w:val="000F53F2"/>
    <w:rsid w:val="000F5425"/>
    <w:rsid w:val="000F5893"/>
    <w:rsid w:val="000F59F8"/>
    <w:rsid w:val="000F5CD1"/>
    <w:rsid w:val="000F61BA"/>
    <w:rsid w:val="000F646B"/>
    <w:rsid w:val="000F68CD"/>
    <w:rsid w:val="000F6DFE"/>
    <w:rsid w:val="000F7A82"/>
    <w:rsid w:val="000F7ABC"/>
    <w:rsid w:val="000F7B3A"/>
    <w:rsid w:val="000F7EAD"/>
    <w:rsid w:val="001005C2"/>
    <w:rsid w:val="001005FC"/>
    <w:rsid w:val="00100749"/>
    <w:rsid w:val="00100D0B"/>
    <w:rsid w:val="001012E0"/>
    <w:rsid w:val="001017BF"/>
    <w:rsid w:val="001022EE"/>
    <w:rsid w:val="001027BD"/>
    <w:rsid w:val="0010295C"/>
    <w:rsid w:val="00102E41"/>
    <w:rsid w:val="001038B2"/>
    <w:rsid w:val="00103AF1"/>
    <w:rsid w:val="001044AF"/>
    <w:rsid w:val="001044EE"/>
    <w:rsid w:val="00104AFC"/>
    <w:rsid w:val="001051B9"/>
    <w:rsid w:val="00105325"/>
    <w:rsid w:val="001058F9"/>
    <w:rsid w:val="00105F19"/>
    <w:rsid w:val="00105FEE"/>
    <w:rsid w:val="00106186"/>
    <w:rsid w:val="00106240"/>
    <w:rsid w:val="00106D4A"/>
    <w:rsid w:val="00106E67"/>
    <w:rsid w:val="001072B5"/>
    <w:rsid w:val="0010734B"/>
    <w:rsid w:val="00107363"/>
    <w:rsid w:val="001073DF"/>
    <w:rsid w:val="0011007F"/>
    <w:rsid w:val="001103DD"/>
    <w:rsid w:val="0011086A"/>
    <w:rsid w:val="001109D3"/>
    <w:rsid w:val="00110D6A"/>
    <w:rsid w:val="0011138C"/>
    <w:rsid w:val="00111B55"/>
    <w:rsid w:val="001120C0"/>
    <w:rsid w:val="0011217D"/>
    <w:rsid w:val="001122AE"/>
    <w:rsid w:val="00112AAB"/>
    <w:rsid w:val="00113193"/>
    <w:rsid w:val="001141B6"/>
    <w:rsid w:val="0011422A"/>
    <w:rsid w:val="00114328"/>
    <w:rsid w:val="0011443F"/>
    <w:rsid w:val="00114C31"/>
    <w:rsid w:val="00114FB6"/>
    <w:rsid w:val="00115D33"/>
    <w:rsid w:val="00115F7B"/>
    <w:rsid w:val="0011619E"/>
    <w:rsid w:val="0011690F"/>
    <w:rsid w:val="00117128"/>
    <w:rsid w:val="00117192"/>
    <w:rsid w:val="001171A1"/>
    <w:rsid w:val="0011749D"/>
    <w:rsid w:val="00117752"/>
    <w:rsid w:val="001177A5"/>
    <w:rsid w:val="00117C67"/>
    <w:rsid w:val="00120767"/>
    <w:rsid w:val="00120C8F"/>
    <w:rsid w:val="00120DF2"/>
    <w:rsid w:val="00121C10"/>
    <w:rsid w:val="00121FDD"/>
    <w:rsid w:val="001222F5"/>
    <w:rsid w:val="0012237C"/>
    <w:rsid w:val="00122396"/>
    <w:rsid w:val="00122451"/>
    <w:rsid w:val="00122685"/>
    <w:rsid w:val="00122697"/>
    <w:rsid w:val="00122E78"/>
    <w:rsid w:val="00122E9D"/>
    <w:rsid w:val="001230B6"/>
    <w:rsid w:val="0012311F"/>
    <w:rsid w:val="00123422"/>
    <w:rsid w:val="00123ACF"/>
    <w:rsid w:val="00123D43"/>
    <w:rsid w:val="0012426F"/>
    <w:rsid w:val="00124600"/>
    <w:rsid w:val="00124C09"/>
    <w:rsid w:val="00125F0C"/>
    <w:rsid w:val="00126129"/>
    <w:rsid w:val="001262E4"/>
    <w:rsid w:val="00126D66"/>
    <w:rsid w:val="00127825"/>
    <w:rsid w:val="001302B5"/>
    <w:rsid w:val="00130760"/>
    <w:rsid w:val="00130C54"/>
    <w:rsid w:val="00131334"/>
    <w:rsid w:val="00131690"/>
    <w:rsid w:val="00131740"/>
    <w:rsid w:val="00131AD6"/>
    <w:rsid w:val="00131BFE"/>
    <w:rsid w:val="00132300"/>
    <w:rsid w:val="00132437"/>
    <w:rsid w:val="00132826"/>
    <w:rsid w:val="00132CB6"/>
    <w:rsid w:val="00133350"/>
    <w:rsid w:val="00133915"/>
    <w:rsid w:val="001339C6"/>
    <w:rsid w:val="00133D0C"/>
    <w:rsid w:val="00133DAD"/>
    <w:rsid w:val="001344DF"/>
    <w:rsid w:val="00134865"/>
    <w:rsid w:val="00134D06"/>
    <w:rsid w:val="00134E87"/>
    <w:rsid w:val="0013544A"/>
    <w:rsid w:val="0013591A"/>
    <w:rsid w:val="00135B6B"/>
    <w:rsid w:val="001363D8"/>
    <w:rsid w:val="00136E40"/>
    <w:rsid w:val="00137202"/>
    <w:rsid w:val="001373C7"/>
    <w:rsid w:val="00137873"/>
    <w:rsid w:val="001378B9"/>
    <w:rsid w:val="001378EA"/>
    <w:rsid w:val="001379D8"/>
    <w:rsid w:val="00137BC7"/>
    <w:rsid w:val="001407E8"/>
    <w:rsid w:val="001408A0"/>
    <w:rsid w:val="00140948"/>
    <w:rsid w:val="001410DA"/>
    <w:rsid w:val="00141382"/>
    <w:rsid w:val="00141B4D"/>
    <w:rsid w:val="00141D0D"/>
    <w:rsid w:val="00141FA2"/>
    <w:rsid w:val="0014201F"/>
    <w:rsid w:val="00142301"/>
    <w:rsid w:val="00142399"/>
    <w:rsid w:val="001426AB"/>
    <w:rsid w:val="0014315C"/>
    <w:rsid w:val="00143454"/>
    <w:rsid w:val="001437A2"/>
    <w:rsid w:val="001438D9"/>
    <w:rsid w:val="001439C7"/>
    <w:rsid w:val="00143AC3"/>
    <w:rsid w:val="00144052"/>
    <w:rsid w:val="00144352"/>
    <w:rsid w:val="001444D8"/>
    <w:rsid w:val="0014456C"/>
    <w:rsid w:val="001446E5"/>
    <w:rsid w:val="00144A34"/>
    <w:rsid w:val="0014571E"/>
    <w:rsid w:val="00145745"/>
    <w:rsid w:val="00145E20"/>
    <w:rsid w:val="00145F49"/>
    <w:rsid w:val="00145F5A"/>
    <w:rsid w:val="00145FA4"/>
    <w:rsid w:val="00146D52"/>
    <w:rsid w:val="00146E7A"/>
    <w:rsid w:val="00147441"/>
    <w:rsid w:val="00147890"/>
    <w:rsid w:val="001502DB"/>
    <w:rsid w:val="0015084A"/>
    <w:rsid w:val="00150E58"/>
    <w:rsid w:val="00150FE4"/>
    <w:rsid w:val="001518D7"/>
    <w:rsid w:val="00151A06"/>
    <w:rsid w:val="00151B4C"/>
    <w:rsid w:val="00152923"/>
    <w:rsid w:val="00152946"/>
    <w:rsid w:val="001533A0"/>
    <w:rsid w:val="001535FA"/>
    <w:rsid w:val="00153613"/>
    <w:rsid w:val="00153CDA"/>
    <w:rsid w:val="001541FA"/>
    <w:rsid w:val="00154444"/>
    <w:rsid w:val="001545A6"/>
    <w:rsid w:val="00154978"/>
    <w:rsid w:val="0015499A"/>
    <w:rsid w:val="00155375"/>
    <w:rsid w:val="00155591"/>
    <w:rsid w:val="00155B33"/>
    <w:rsid w:val="00155D97"/>
    <w:rsid w:val="00155EC0"/>
    <w:rsid w:val="0015646D"/>
    <w:rsid w:val="00156CF7"/>
    <w:rsid w:val="00157968"/>
    <w:rsid w:val="00157AEE"/>
    <w:rsid w:val="00160223"/>
    <w:rsid w:val="001603AD"/>
    <w:rsid w:val="001603D1"/>
    <w:rsid w:val="00160564"/>
    <w:rsid w:val="001609B2"/>
    <w:rsid w:val="00160AA3"/>
    <w:rsid w:val="00160AC5"/>
    <w:rsid w:val="001611CD"/>
    <w:rsid w:val="0016236B"/>
    <w:rsid w:val="001629B9"/>
    <w:rsid w:val="00162BEF"/>
    <w:rsid w:val="00162CE0"/>
    <w:rsid w:val="00162ED0"/>
    <w:rsid w:val="00162F28"/>
    <w:rsid w:val="00163458"/>
    <w:rsid w:val="00163855"/>
    <w:rsid w:val="00163B16"/>
    <w:rsid w:val="00164414"/>
    <w:rsid w:val="00164783"/>
    <w:rsid w:val="00164A4E"/>
    <w:rsid w:val="00164C60"/>
    <w:rsid w:val="00164D49"/>
    <w:rsid w:val="00164F1C"/>
    <w:rsid w:val="00165095"/>
    <w:rsid w:val="001650E4"/>
    <w:rsid w:val="001655C8"/>
    <w:rsid w:val="00165AF5"/>
    <w:rsid w:val="00165EFC"/>
    <w:rsid w:val="00166501"/>
    <w:rsid w:val="00166796"/>
    <w:rsid w:val="00166D7A"/>
    <w:rsid w:val="001676E7"/>
    <w:rsid w:val="00167D0F"/>
    <w:rsid w:val="00167DE1"/>
    <w:rsid w:val="00167EF2"/>
    <w:rsid w:val="001708BA"/>
    <w:rsid w:val="00170D69"/>
    <w:rsid w:val="00171106"/>
    <w:rsid w:val="00173365"/>
    <w:rsid w:val="00173786"/>
    <w:rsid w:val="0017416D"/>
    <w:rsid w:val="001741C7"/>
    <w:rsid w:val="00174B6F"/>
    <w:rsid w:val="0017502A"/>
    <w:rsid w:val="001759C9"/>
    <w:rsid w:val="00175DF4"/>
    <w:rsid w:val="00176CC4"/>
    <w:rsid w:val="00176CCC"/>
    <w:rsid w:val="00176CDC"/>
    <w:rsid w:val="00176F16"/>
    <w:rsid w:val="001772DD"/>
    <w:rsid w:val="001772E4"/>
    <w:rsid w:val="0018008C"/>
    <w:rsid w:val="001802A7"/>
    <w:rsid w:val="0018053B"/>
    <w:rsid w:val="00180905"/>
    <w:rsid w:val="00180DA8"/>
    <w:rsid w:val="00180DCE"/>
    <w:rsid w:val="00180DE3"/>
    <w:rsid w:val="00180E6A"/>
    <w:rsid w:val="00180EFF"/>
    <w:rsid w:val="001813C4"/>
    <w:rsid w:val="001814A7"/>
    <w:rsid w:val="00181645"/>
    <w:rsid w:val="001816EF"/>
    <w:rsid w:val="0018258B"/>
    <w:rsid w:val="0018295C"/>
    <w:rsid w:val="00183435"/>
    <w:rsid w:val="0018382D"/>
    <w:rsid w:val="0018392F"/>
    <w:rsid w:val="001842E5"/>
    <w:rsid w:val="00184583"/>
    <w:rsid w:val="00185704"/>
    <w:rsid w:val="00185AAC"/>
    <w:rsid w:val="00185B09"/>
    <w:rsid w:val="00186B63"/>
    <w:rsid w:val="001871FF"/>
    <w:rsid w:val="0018729D"/>
    <w:rsid w:val="00187AEC"/>
    <w:rsid w:val="00187BCC"/>
    <w:rsid w:val="00187C79"/>
    <w:rsid w:val="00190721"/>
    <w:rsid w:val="00190A7F"/>
    <w:rsid w:val="00190B4A"/>
    <w:rsid w:val="00191CEA"/>
    <w:rsid w:val="00191F5B"/>
    <w:rsid w:val="00191FC3"/>
    <w:rsid w:val="00192483"/>
    <w:rsid w:val="0019333A"/>
    <w:rsid w:val="00193DF2"/>
    <w:rsid w:val="00193EE5"/>
    <w:rsid w:val="00194013"/>
    <w:rsid w:val="001940D2"/>
    <w:rsid w:val="0019479D"/>
    <w:rsid w:val="00194B8F"/>
    <w:rsid w:val="00194CDD"/>
    <w:rsid w:val="00194F64"/>
    <w:rsid w:val="0019521C"/>
    <w:rsid w:val="00195985"/>
    <w:rsid w:val="00195C04"/>
    <w:rsid w:val="00196009"/>
    <w:rsid w:val="001963C3"/>
    <w:rsid w:val="0019726B"/>
    <w:rsid w:val="00197470"/>
    <w:rsid w:val="00197492"/>
    <w:rsid w:val="001977DA"/>
    <w:rsid w:val="001A0637"/>
    <w:rsid w:val="001A08F2"/>
    <w:rsid w:val="001A090F"/>
    <w:rsid w:val="001A09EC"/>
    <w:rsid w:val="001A0EC4"/>
    <w:rsid w:val="001A0EC9"/>
    <w:rsid w:val="001A0EFB"/>
    <w:rsid w:val="001A11F8"/>
    <w:rsid w:val="001A1538"/>
    <w:rsid w:val="001A2D30"/>
    <w:rsid w:val="001A2D52"/>
    <w:rsid w:val="001A2EF2"/>
    <w:rsid w:val="001A3533"/>
    <w:rsid w:val="001A37F8"/>
    <w:rsid w:val="001A3E7A"/>
    <w:rsid w:val="001A3E80"/>
    <w:rsid w:val="001A427B"/>
    <w:rsid w:val="001A4507"/>
    <w:rsid w:val="001A460D"/>
    <w:rsid w:val="001A48CF"/>
    <w:rsid w:val="001A4CE1"/>
    <w:rsid w:val="001A5145"/>
    <w:rsid w:val="001A5B98"/>
    <w:rsid w:val="001A5BD2"/>
    <w:rsid w:val="001A5CC2"/>
    <w:rsid w:val="001A5CD8"/>
    <w:rsid w:val="001A5EB6"/>
    <w:rsid w:val="001A68BC"/>
    <w:rsid w:val="001A74AB"/>
    <w:rsid w:val="001A751C"/>
    <w:rsid w:val="001A75C3"/>
    <w:rsid w:val="001A795F"/>
    <w:rsid w:val="001A79B4"/>
    <w:rsid w:val="001B0086"/>
    <w:rsid w:val="001B03FF"/>
    <w:rsid w:val="001B0A33"/>
    <w:rsid w:val="001B1309"/>
    <w:rsid w:val="001B178D"/>
    <w:rsid w:val="001B1B61"/>
    <w:rsid w:val="001B21F7"/>
    <w:rsid w:val="001B2870"/>
    <w:rsid w:val="001B3103"/>
    <w:rsid w:val="001B35AC"/>
    <w:rsid w:val="001B37C3"/>
    <w:rsid w:val="001B3A47"/>
    <w:rsid w:val="001B3F83"/>
    <w:rsid w:val="001B419E"/>
    <w:rsid w:val="001B45E0"/>
    <w:rsid w:val="001B4A4E"/>
    <w:rsid w:val="001B537C"/>
    <w:rsid w:val="001B679F"/>
    <w:rsid w:val="001B6AC0"/>
    <w:rsid w:val="001B6BC0"/>
    <w:rsid w:val="001B6FA5"/>
    <w:rsid w:val="001C022D"/>
    <w:rsid w:val="001C0589"/>
    <w:rsid w:val="001C0850"/>
    <w:rsid w:val="001C1503"/>
    <w:rsid w:val="001C15B2"/>
    <w:rsid w:val="001C1717"/>
    <w:rsid w:val="001C18F8"/>
    <w:rsid w:val="001C1B59"/>
    <w:rsid w:val="001C1CDB"/>
    <w:rsid w:val="001C1DB7"/>
    <w:rsid w:val="001C23EC"/>
    <w:rsid w:val="001C26EF"/>
    <w:rsid w:val="001C2771"/>
    <w:rsid w:val="001C285A"/>
    <w:rsid w:val="001C2E96"/>
    <w:rsid w:val="001C317C"/>
    <w:rsid w:val="001C3986"/>
    <w:rsid w:val="001C3B6D"/>
    <w:rsid w:val="001C433D"/>
    <w:rsid w:val="001C45E8"/>
    <w:rsid w:val="001C4DA6"/>
    <w:rsid w:val="001C5258"/>
    <w:rsid w:val="001C5749"/>
    <w:rsid w:val="001C5F22"/>
    <w:rsid w:val="001C638A"/>
    <w:rsid w:val="001C644A"/>
    <w:rsid w:val="001C67C2"/>
    <w:rsid w:val="001C6969"/>
    <w:rsid w:val="001C6A45"/>
    <w:rsid w:val="001C78C8"/>
    <w:rsid w:val="001D0028"/>
    <w:rsid w:val="001D02A5"/>
    <w:rsid w:val="001D057D"/>
    <w:rsid w:val="001D099D"/>
    <w:rsid w:val="001D09C8"/>
    <w:rsid w:val="001D0A55"/>
    <w:rsid w:val="001D0DFA"/>
    <w:rsid w:val="001D1063"/>
    <w:rsid w:val="001D1133"/>
    <w:rsid w:val="001D1917"/>
    <w:rsid w:val="001D229D"/>
    <w:rsid w:val="001D27A0"/>
    <w:rsid w:val="001D2AD9"/>
    <w:rsid w:val="001D2E9A"/>
    <w:rsid w:val="001D30E2"/>
    <w:rsid w:val="001D31D9"/>
    <w:rsid w:val="001D3555"/>
    <w:rsid w:val="001D3CFB"/>
    <w:rsid w:val="001D44F6"/>
    <w:rsid w:val="001D4D60"/>
    <w:rsid w:val="001D5474"/>
    <w:rsid w:val="001D5520"/>
    <w:rsid w:val="001D5531"/>
    <w:rsid w:val="001D5DE4"/>
    <w:rsid w:val="001D5F64"/>
    <w:rsid w:val="001D5F71"/>
    <w:rsid w:val="001D60C0"/>
    <w:rsid w:val="001D6464"/>
    <w:rsid w:val="001D64F4"/>
    <w:rsid w:val="001D6838"/>
    <w:rsid w:val="001D6C30"/>
    <w:rsid w:val="001D75D6"/>
    <w:rsid w:val="001D7F32"/>
    <w:rsid w:val="001E0037"/>
    <w:rsid w:val="001E0202"/>
    <w:rsid w:val="001E13C8"/>
    <w:rsid w:val="001E2673"/>
    <w:rsid w:val="001E2879"/>
    <w:rsid w:val="001E2926"/>
    <w:rsid w:val="001E34AE"/>
    <w:rsid w:val="001E39BE"/>
    <w:rsid w:val="001E3DDB"/>
    <w:rsid w:val="001E3E77"/>
    <w:rsid w:val="001E48D2"/>
    <w:rsid w:val="001E504C"/>
    <w:rsid w:val="001E549E"/>
    <w:rsid w:val="001E5D32"/>
    <w:rsid w:val="001E6394"/>
    <w:rsid w:val="001E66FC"/>
    <w:rsid w:val="001E6C67"/>
    <w:rsid w:val="001E6E92"/>
    <w:rsid w:val="001E6ED5"/>
    <w:rsid w:val="001E7645"/>
    <w:rsid w:val="001E7C3D"/>
    <w:rsid w:val="001F1086"/>
    <w:rsid w:val="001F140A"/>
    <w:rsid w:val="001F1771"/>
    <w:rsid w:val="001F1849"/>
    <w:rsid w:val="001F1FDB"/>
    <w:rsid w:val="001F2983"/>
    <w:rsid w:val="001F2998"/>
    <w:rsid w:val="001F2BC7"/>
    <w:rsid w:val="001F2C33"/>
    <w:rsid w:val="001F3446"/>
    <w:rsid w:val="001F36EC"/>
    <w:rsid w:val="001F39C9"/>
    <w:rsid w:val="001F3FF3"/>
    <w:rsid w:val="001F429D"/>
    <w:rsid w:val="001F42FE"/>
    <w:rsid w:val="001F4865"/>
    <w:rsid w:val="001F4EB3"/>
    <w:rsid w:val="001F5579"/>
    <w:rsid w:val="001F5D09"/>
    <w:rsid w:val="001F5FA9"/>
    <w:rsid w:val="001F6273"/>
    <w:rsid w:val="001F6BD4"/>
    <w:rsid w:val="001F76CC"/>
    <w:rsid w:val="00200365"/>
    <w:rsid w:val="00200419"/>
    <w:rsid w:val="002005DA"/>
    <w:rsid w:val="00200ED4"/>
    <w:rsid w:val="00201230"/>
    <w:rsid w:val="00201353"/>
    <w:rsid w:val="0020142C"/>
    <w:rsid w:val="002015B1"/>
    <w:rsid w:val="0020173F"/>
    <w:rsid w:val="00201A92"/>
    <w:rsid w:val="00202003"/>
    <w:rsid w:val="0020200C"/>
    <w:rsid w:val="00202AA9"/>
    <w:rsid w:val="00202C25"/>
    <w:rsid w:val="002033DE"/>
    <w:rsid w:val="00203672"/>
    <w:rsid w:val="00203CF8"/>
    <w:rsid w:val="00203D9E"/>
    <w:rsid w:val="00204111"/>
    <w:rsid w:val="00204405"/>
    <w:rsid w:val="002045DF"/>
    <w:rsid w:val="00204AAE"/>
    <w:rsid w:val="00205018"/>
    <w:rsid w:val="00205116"/>
    <w:rsid w:val="002055CE"/>
    <w:rsid w:val="00205818"/>
    <w:rsid w:val="0020604F"/>
    <w:rsid w:val="002060E8"/>
    <w:rsid w:val="00206211"/>
    <w:rsid w:val="00206786"/>
    <w:rsid w:val="002078C0"/>
    <w:rsid w:val="00207BBD"/>
    <w:rsid w:val="00210511"/>
    <w:rsid w:val="00210BCF"/>
    <w:rsid w:val="00210F61"/>
    <w:rsid w:val="00211297"/>
    <w:rsid w:val="00211857"/>
    <w:rsid w:val="002119CE"/>
    <w:rsid w:val="002125FC"/>
    <w:rsid w:val="00212989"/>
    <w:rsid w:val="00213204"/>
    <w:rsid w:val="00213547"/>
    <w:rsid w:val="0021358D"/>
    <w:rsid w:val="00213736"/>
    <w:rsid w:val="00213791"/>
    <w:rsid w:val="002138BD"/>
    <w:rsid w:val="00213A0E"/>
    <w:rsid w:val="00213A41"/>
    <w:rsid w:val="00213A6D"/>
    <w:rsid w:val="00214076"/>
    <w:rsid w:val="00214383"/>
    <w:rsid w:val="002143B8"/>
    <w:rsid w:val="0021453B"/>
    <w:rsid w:val="00215C1A"/>
    <w:rsid w:val="00216284"/>
    <w:rsid w:val="002166F0"/>
    <w:rsid w:val="002167FE"/>
    <w:rsid w:val="00216E38"/>
    <w:rsid w:val="00217066"/>
    <w:rsid w:val="002173AC"/>
    <w:rsid w:val="00217779"/>
    <w:rsid w:val="00217FD6"/>
    <w:rsid w:val="002201AA"/>
    <w:rsid w:val="00220AEE"/>
    <w:rsid w:val="00221029"/>
    <w:rsid w:val="00221804"/>
    <w:rsid w:val="00221AFA"/>
    <w:rsid w:val="00221CC9"/>
    <w:rsid w:val="00221F18"/>
    <w:rsid w:val="0022234D"/>
    <w:rsid w:val="00222709"/>
    <w:rsid w:val="00222948"/>
    <w:rsid w:val="00222B68"/>
    <w:rsid w:val="00222D81"/>
    <w:rsid w:val="00223662"/>
    <w:rsid w:val="00223D5A"/>
    <w:rsid w:val="0022405C"/>
    <w:rsid w:val="0022428F"/>
    <w:rsid w:val="002242B5"/>
    <w:rsid w:val="002244A5"/>
    <w:rsid w:val="00224617"/>
    <w:rsid w:val="00224EBD"/>
    <w:rsid w:val="002258FB"/>
    <w:rsid w:val="002259E6"/>
    <w:rsid w:val="0022639D"/>
    <w:rsid w:val="00226CEB"/>
    <w:rsid w:val="002277CC"/>
    <w:rsid w:val="00227B45"/>
    <w:rsid w:val="00227D8E"/>
    <w:rsid w:val="00227DC6"/>
    <w:rsid w:val="00227E49"/>
    <w:rsid w:val="00227E6E"/>
    <w:rsid w:val="002301DF"/>
    <w:rsid w:val="0023036C"/>
    <w:rsid w:val="00230660"/>
    <w:rsid w:val="0023072B"/>
    <w:rsid w:val="00230E26"/>
    <w:rsid w:val="00231C3B"/>
    <w:rsid w:val="00231E5C"/>
    <w:rsid w:val="0023222F"/>
    <w:rsid w:val="00232389"/>
    <w:rsid w:val="00232DBD"/>
    <w:rsid w:val="00232DEA"/>
    <w:rsid w:val="00232E71"/>
    <w:rsid w:val="00233684"/>
    <w:rsid w:val="002338A4"/>
    <w:rsid w:val="00234628"/>
    <w:rsid w:val="00234D22"/>
    <w:rsid w:val="00234EAE"/>
    <w:rsid w:val="0023566C"/>
    <w:rsid w:val="002357FF"/>
    <w:rsid w:val="00235D62"/>
    <w:rsid w:val="00235E1F"/>
    <w:rsid w:val="00236222"/>
    <w:rsid w:val="002362BE"/>
    <w:rsid w:val="00236C37"/>
    <w:rsid w:val="00237433"/>
    <w:rsid w:val="0023794F"/>
    <w:rsid w:val="00237F33"/>
    <w:rsid w:val="00240528"/>
    <w:rsid w:val="00240A55"/>
    <w:rsid w:val="002411B9"/>
    <w:rsid w:val="0024161B"/>
    <w:rsid w:val="00241A7E"/>
    <w:rsid w:val="00241B3B"/>
    <w:rsid w:val="00241BF9"/>
    <w:rsid w:val="00242260"/>
    <w:rsid w:val="002428C3"/>
    <w:rsid w:val="00242A2D"/>
    <w:rsid w:val="00243CC1"/>
    <w:rsid w:val="00244127"/>
    <w:rsid w:val="00244634"/>
    <w:rsid w:val="00244A60"/>
    <w:rsid w:val="00244AB8"/>
    <w:rsid w:val="00245133"/>
    <w:rsid w:val="00245207"/>
    <w:rsid w:val="0024564F"/>
    <w:rsid w:val="002460D5"/>
    <w:rsid w:val="00246123"/>
    <w:rsid w:val="002467EB"/>
    <w:rsid w:val="00246F71"/>
    <w:rsid w:val="002473ED"/>
    <w:rsid w:val="00247869"/>
    <w:rsid w:val="00247EC7"/>
    <w:rsid w:val="00247EE9"/>
    <w:rsid w:val="00247EF3"/>
    <w:rsid w:val="00250064"/>
    <w:rsid w:val="002510CC"/>
    <w:rsid w:val="00251D06"/>
    <w:rsid w:val="00251E8A"/>
    <w:rsid w:val="0025252C"/>
    <w:rsid w:val="00252996"/>
    <w:rsid w:val="0025320D"/>
    <w:rsid w:val="00253827"/>
    <w:rsid w:val="0025392F"/>
    <w:rsid w:val="00253AB6"/>
    <w:rsid w:val="00253DA1"/>
    <w:rsid w:val="00254859"/>
    <w:rsid w:val="00255193"/>
    <w:rsid w:val="002552F0"/>
    <w:rsid w:val="00255C28"/>
    <w:rsid w:val="0025609D"/>
    <w:rsid w:val="00256752"/>
    <w:rsid w:val="002569A1"/>
    <w:rsid w:val="00256EDE"/>
    <w:rsid w:val="0025714B"/>
    <w:rsid w:val="00257325"/>
    <w:rsid w:val="0025738F"/>
    <w:rsid w:val="00257A54"/>
    <w:rsid w:val="00257E1E"/>
    <w:rsid w:val="00260899"/>
    <w:rsid w:val="00260A58"/>
    <w:rsid w:val="002611D6"/>
    <w:rsid w:val="002611F1"/>
    <w:rsid w:val="002619D2"/>
    <w:rsid w:val="00261B03"/>
    <w:rsid w:val="00262206"/>
    <w:rsid w:val="0026226A"/>
    <w:rsid w:val="002624B5"/>
    <w:rsid w:val="002627F0"/>
    <w:rsid w:val="0026295A"/>
    <w:rsid w:val="00262F3C"/>
    <w:rsid w:val="00263775"/>
    <w:rsid w:val="0026403E"/>
    <w:rsid w:val="002644A3"/>
    <w:rsid w:val="002649FB"/>
    <w:rsid w:val="00264C74"/>
    <w:rsid w:val="00264D86"/>
    <w:rsid w:val="0026566C"/>
    <w:rsid w:val="00265963"/>
    <w:rsid w:val="00265BD3"/>
    <w:rsid w:val="00265E43"/>
    <w:rsid w:val="0026687E"/>
    <w:rsid w:val="002669C4"/>
    <w:rsid w:val="002672AD"/>
    <w:rsid w:val="002672E4"/>
    <w:rsid w:val="00267686"/>
    <w:rsid w:val="002702ED"/>
    <w:rsid w:val="0027058A"/>
    <w:rsid w:val="002706DB"/>
    <w:rsid w:val="002708A1"/>
    <w:rsid w:val="002708B9"/>
    <w:rsid w:val="00270BC1"/>
    <w:rsid w:val="00270C66"/>
    <w:rsid w:val="00271214"/>
    <w:rsid w:val="002716EA"/>
    <w:rsid w:val="00271727"/>
    <w:rsid w:val="0027213A"/>
    <w:rsid w:val="002721DE"/>
    <w:rsid w:val="0027242F"/>
    <w:rsid w:val="002732EF"/>
    <w:rsid w:val="0027356A"/>
    <w:rsid w:val="0027364B"/>
    <w:rsid w:val="002740AB"/>
    <w:rsid w:val="00274164"/>
    <w:rsid w:val="0027437A"/>
    <w:rsid w:val="002753A6"/>
    <w:rsid w:val="002753BF"/>
    <w:rsid w:val="00275755"/>
    <w:rsid w:val="00275A15"/>
    <w:rsid w:val="0027639D"/>
    <w:rsid w:val="00276BCC"/>
    <w:rsid w:val="00276C2A"/>
    <w:rsid w:val="00276C3E"/>
    <w:rsid w:val="00276DAA"/>
    <w:rsid w:val="00276FA1"/>
    <w:rsid w:val="0027752E"/>
    <w:rsid w:val="0027753C"/>
    <w:rsid w:val="002775BE"/>
    <w:rsid w:val="002779FD"/>
    <w:rsid w:val="00280815"/>
    <w:rsid w:val="002809B5"/>
    <w:rsid w:val="00280B74"/>
    <w:rsid w:val="00280CBD"/>
    <w:rsid w:val="00280F94"/>
    <w:rsid w:val="00281145"/>
    <w:rsid w:val="002816F6"/>
    <w:rsid w:val="002817BF"/>
    <w:rsid w:val="00281B06"/>
    <w:rsid w:val="00281CCB"/>
    <w:rsid w:val="00282326"/>
    <w:rsid w:val="002825A5"/>
    <w:rsid w:val="0028273A"/>
    <w:rsid w:val="002828D3"/>
    <w:rsid w:val="0028290C"/>
    <w:rsid w:val="0028293B"/>
    <w:rsid w:val="00283707"/>
    <w:rsid w:val="00283F93"/>
    <w:rsid w:val="00284541"/>
    <w:rsid w:val="002847E2"/>
    <w:rsid w:val="002849F9"/>
    <w:rsid w:val="00284CF8"/>
    <w:rsid w:val="00284E6D"/>
    <w:rsid w:val="00284F8B"/>
    <w:rsid w:val="00285C35"/>
    <w:rsid w:val="00285D06"/>
    <w:rsid w:val="00286810"/>
    <w:rsid w:val="002871BB"/>
    <w:rsid w:val="002874E6"/>
    <w:rsid w:val="00287585"/>
    <w:rsid w:val="0029022F"/>
    <w:rsid w:val="002903EA"/>
    <w:rsid w:val="002907D8"/>
    <w:rsid w:val="002907F5"/>
    <w:rsid w:val="0029083D"/>
    <w:rsid w:val="00290B15"/>
    <w:rsid w:val="00290DDD"/>
    <w:rsid w:val="00290F76"/>
    <w:rsid w:val="00291330"/>
    <w:rsid w:val="0029192D"/>
    <w:rsid w:val="002919D3"/>
    <w:rsid w:val="00291C91"/>
    <w:rsid w:val="00292205"/>
    <w:rsid w:val="002925E4"/>
    <w:rsid w:val="00292B8F"/>
    <w:rsid w:val="00292CB0"/>
    <w:rsid w:val="00292EF0"/>
    <w:rsid w:val="00292F69"/>
    <w:rsid w:val="00293395"/>
    <w:rsid w:val="00293875"/>
    <w:rsid w:val="00293964"/>
    <w:rsid w:val="002949AF"/>
    <w:rsid w:val="002952BD"/>
    <w:rsid w:val="00295503"/>
    <w:rsid w:val="00295683"/>
    <w:rsid w:val="0029582D"/>
    <w:rsid w:val="0029588A"/>
    <w:rsid w:val="00295AEF"/>
    <w:rsid w:val="00295C28"/>
    <w:rsid w:val="00295ED8"/>
    <w:rsid w:val="0029666D"/>
    <w:rsid w:val="00296909"/>
    <w:rsid w:val="0029729D"/>
    <w:rsid w:val="00297492"/>
    <w:rsid w:val="00297582"/>
    <w:rsid w:val="002A01FB"/>
    <w:rsid w:val="002A03F4"/>
    <w:rsid w:val="002A0495"/>
    <w:rsid w:val="002A060C"/>
    <w:rsid w:val="002A0A39"/>
    <w:rsid w:val="002A0A5F"/>
    <w:rsid w:val="002A134B"/>
    <w:rsid w:val="002A1908"/>
    <w:rsid w:val="002A1944"/>
    <w:rsid w:val="002A226E"/>
    <w:rsid w:val="002A26D4"/>
    <w:rsid w:val="002A2E0E"/>
    <w:rsid w:val="002A30CB"/>
    <w:rsid w:val="002A31A5"/>
    <w:rsid w:val="002A32BD"/>
    <w:rsid w:val="002A36AE"/>
    <w:rsid w:val="002A3815"/>
    <w:rsid w:val="002A3984"/>
    <w:rsid w:val="002A39E0"/>
    <w:rsid w:val="002A3D00"/>
    <w:rsid w:val="002A3F37"/>
    <w:rsid w:val="002A3FC3"/>
    <w:rsid w:val="002A4113"/>
    <w:rsid w:val="002A5081"/>
    <w:rsid w:val="002A579B"/>
    <w:rsid w:val="002A6C63"/>
    <w:rsid w:val="002A6D64"/>
    <w:rsid w:val="002A6E7A"/>
    <w:rsid w:val="002A6F11"/>
    <w:rsid w:val="002A75D0"/>
    <w:rsid w:val="002B05D4"/>
    <w:rsid w:val="002B0644"/>
    <w:rsid w:val="002B06EA"/>
    <w:rsid w:val="002B0A10"/>
    <w:rsid w:val="002B0AD7"/>
    <w:rsid w:val="002B0EB8"/>
    <w:rsid w:val="002B11C5"/>
    <w:rsid w:val="002B1891"/>
    <w:rsid w:val="002B1C1A"/>
    <w:rsid w:val="002B271D"/>
    <w:rsid w:val="002B275B"/>
    <w:rsid w:val="002B345B"/>
    <w:rsid w:val="002B3996"/>
    <w:rsid w:val="002B3F02"/>
    <w:rsid w:val="002B3FAB"/>
    <w:rsid w:val="002B4A95"/>
    <w:rsid w:val="002B4E3F"/>
    <w:rsid w:val="002B4FCE"/>
    <w:rsid w:val="002B5108"/>
    <w:rsid w:val="002B51BF"/>
    <w:rsid w:val="002B51E6"/>
    <w:rsid w:val="002B590B"/>
    <w:rsid w:val="002B5E38"/>
    <w:rsid w:val="002B6098"/>
    <w:rsid w:val="002B671C"/>
    <w:rsid w:val="002B67B7"/>
    <w:rsid w:val="002B715D"/>
    <w:rsid w:val="002B71F1"/>
    <w:rsid w:val="002B7493"/>
    <w:rsid w:val="002B7848"/>
    <w:rsid w:val="002B7EC2"/>
    <w:rsid w:val="002C004C"/>
    <w:rsid w:val="002C029E"/>
    <w:rsid w:val="002C02F6"/>
    <w:rsid w:val="002C0570"/>
    <w:rsid w:val="002C1091"/>
    <w:rsid w:val="002C18FB"/>
    <w:rsid w:val="002C2453"/>
    <w:rsid w:val="002C292A"/>
    <w:rsid w:val="002C2990"/>
    <w:rsid w:val="002C29B5"/>
    <w:rsid w:val="002C2F85"/>
    <w:rsid w:val="002C3967"/>
    <w:rsid w:val="002C3CAF"/>
    <w:rsid w:val="002C3E1D"/>
    <w:rsid w:val="002C530C"/>
    <w:rsid w:val="002C533C"/>
    <w:rsid w:val="002C558C"/>
    <w:rsid w:val="002C5863"/>
    <w:rsid w:val="002C58B3"/>
    <w:rsid w:val="002C68E5"/>
    <w:rsid w:val="002C6977"/>
    <w:rsid w:val="002C6C6F"/>
    <w:rsid w:val="002C7B6D"/>
    <w:rsid w:val="002C7C06"/>
    <w:rsid w:val="002D00BA"/>
    <w:rsid w:val="002D01FA"/>
    <w:rsid w:val="002D0C43"/>
    <w:rsid w:val="002D0E31"/>
    <w:rsid w:val="002D1C0A"/>
    <w:rsid w:val="002D1DF4"/>
    <w:rsid w:val="002D2460"/>
    <w:rsid w:val="002D2CA6"/>
    <w:rsid w:val="002D2DD0"/>
    <w:rsid w:val="002D31C8"/>
    <w:rsid w:val="002D377D"/>
    <w:rsid w:val="002D3876"/>
    <w:rsid w:val="002D398C"/>
    <w:rsid w:val="002D3A00"/>
    <w:rsid w:val="002D3A63"/>
    <w:rsid w:val="002D42A1"/>
    <w:rsid w:val="002D4371"/>
    <w:rsid w:val="002D4529"/>
    <w:rsid w:val="002D4566"/>
    <w:rsid w:val="002D482F"/>
    <w:rsid w:val="002D5631"/>
    <w:rsid w:val="002D565D"/>
    <w:rsid w:val="002D5870"/>
    <w:rsid w:val="002D58A0"/>
    <w:rsid w:val="002D5BC6"/>
    <w:rsid w:val="002D614F"/>
    <w:rsid w:val="002D62A0"/>
    <w:rsid w:val="002D6466"/>
    <w:rsid w:val="002D68E0"/>
    <w:rsid w:val="002D7009"/>
    <w:rsid w:val="002D7303"/>
    <w:rsid w:val="002D7FFC"/>
    <w:rsid w:val="002E03A2"/>
    <w:rsid w:val="002E174A"/>
    <w:rsid w:val="002E1817"/>
    <w:rsid w:val="002E1911"/>
    <w:rsid w:val="002E1EF4"/>
    <w:rsid w:val="002E1F6B"/>
    <w:rsid w:val="002E1FEE"/>
    <w:rsid w:val="002E2221"/>
    <w:rsid w:val="002E2E99"/>
    <w:rsid w:val="002E30AF"/>
    <w:rsid w:val="002E3982"/>
    <w:rsid w:val="002E39A1"/>
    <w:rsid w:val="002E39E7"/>
    <w:rsid w:val="002E3F4A"/>
    <w:rsid w:val="002E415D"/>
    <w:rsid w:val="002E44EB"/>
    <w:rsid w:val="002E4750"/>
    <w:rsid w:val="002E4CF1"/>
    <w:rsid w:val="002E5198"/>
    <w:rsid w:val="002E5215"/>
    <w:rsid w:val="002E55D8"/>
    <w:rsid w:val="002E6085"/>
    <w:rsid w:val="002E6241"/>
    <w:rsid w:val="002E624B"/>
    <w:rsid w:val="002E6D3C"/>
    <w:rsid w:val="002E6D82"/>
    <w:rsid w:val="002E6F55"/>
    <w:rsid w:val="002E7917"/>
    <w:rsid w:val="002E7938"/>
    <w:rsid w:val="002E7F82"/>
    <w:rsid w:val="002F01AF"/>
    <w:rsid w:val="002F0338"/>
    <w:rsid w:val="002F0811"/>
    <w:rsid w:val="002F093D"/>
    <w:rsid w:val="002F0A0E"/>
    <w:rsid w:val="002F1251"/>
    <w:rsid w:val="002F1833"/>
    <w:rsid w:val="002F199C"/>
    <w:rsid w:val="002F1B8F"/>
    <w:rsid w:val="002F1C6F"/>
    <w:rsid w:val="002F22F2"/>
    <w:rsid w:val="002F267F"/>
    <w:rsid w:val="002F2E69"/>
    <w:rsid w:val="002F2E94"/>
    <w:rsid w:val="002F2FB8"/>
    <w:rsid w:val="002F32F6"/>
    <w:rsid w:val="002F3651"/>
    <w:rsid w:val="002F399C"/>
    <w:rsid w:val="002F3E1B"/>
    <w:rsid w:val="002F3FF2"/>
    <w:rsid w:val="002F4672"/>
    <w:rsid w:val="002F4AF1"/>
    <w:rsid w:val="002F51D8"/>
    <w:rsid w:val="002F5319"/>
    <w:rsid w:val="002F5F00"/>
    <w:rsid w:val="002F6151"/>
    <w:rsid w:val="002F6456"/>
    <w:rsid w:val="002F6483"/>
    <w:rsid w:val="002F65EC"/>
    <w:rsid w:val="002F69E1"/>
    <w:rsid w:val="002F6A46"/>
    <w:rsid w:val="002F6C98"/>
    <w:rsid w:val="002F6E86"/>
    <w:rsid w:val="002F729C"/>
    <w:rsid w:val="002F76C8"/>
    <w:rsid w:val="002F7C49"/>
    <w:rsid w:val="002F7FF0"/>
    <w:rsid w:val="002F7FFB"/>
    <w:rsid w:val="003001F9"/>
    <w:rsid w:val="003005D5"/>
    <w:rsid w:val="003008E9"/>
    <w:rsid w:val="00300BB7"/>
    <w:rsid w:val="00300C5E"/>
    <w:rsid w:val="00302334"/>
    <w:rsid w:val="003035BA"/>
    <w:rsid w:val="00303C57"/>
    <w:rsid w:val="0030410A"/>
    <w:rsid w:val="00304214"/>
    <w:rsid w:val="003049E1"/>
    <w:rsid w:val="00304F21"/>
    <w:rsid w:val="0030530D"/>
    <w:rsid w:val="00305744"/>
    <w:rsid w:val="00305B82"/>
    <w:rsid w:val="00305F91"/>
    <w:rsid w:val="00306730"/>
    <w:rsid w:val="00306806"/>
    <w:rsid w:val="003073DA"/>
    <w:rsid w:val="00307468"/>
    <w:rsid w:val="00307737"/>
    <w:rsid w:val="0030797F"/>
    <w:rsid w:val="00307D74"/>
    <w:rsid w:val="00307E62"/>
    <w:rsid w:val="00307EA6"/>
    <w:rsid w:val="003103BF"/>
    <w:rsid w:val="0031055D"/>
    <w:rsid w:val="00310605"/>
    <w:rsid w:val="00310B38"/>
    <w:rsid w:val="003113A5"/>
    <w:rsid w:val="003116C5"/>
    <w:rsid w:val="00311FF7"/>
    <w:rsid w:val="003123AB"/>
    <w:rsid w:val="0031249A"/>
    <w:rsid w:val="00312EE9"/>
    <w:rsid w:val="00313750"/>
    <w:rsid w:val="0031383A"/>
    <w:rsid w:val="00313E88"/>
    <w:rsid w:val="00314745"/>
    <w:rsid w:val="00314ED0"/>
    <w:rsid w:val="00315E89"/>
    <w:rsid w:val="00316253"/>
    <w:rsid w:val="0031629E"/>
    <w:rsid w:val="003162F9"/>
    <w:rsid w:val="00316460"/>
    <w:rsid w:val="00316767"/>
    <w:rsid w:val="00316E93"/>
    <w:rsid w:val="00316E9F"/>
    <w:rsid w:val="003171C9"/>
    <w:rsid w:val="003179E1"/>
    <w:rsid w:val="00317B5E"/>
    <w:rsid w:val="00320396"/>
    <w:rsid w:val="003203EB"/>
    <w:rsid w:val="0032056A"/>
    <w:rsid w:val="003207A7"/>
    <w:rsid w:val="003208C3"/>
    <w:rsid w:val="00320D46"/>
    <w:rsid w:val="00320E99"/>
    <w:rsid w:val="003210CD"/>
    <w:rsid w:val="003211E1"/>
    <w:rsid w:val="00322842"/>
    <w:rsid w:val="003229F6"/>
    <w:rsid w:val="00322BEF"/>
    <w:rsid w:val="003230F2"/>
    <w:rsid w:val="00323148"/>
    <w:rsid w:val="00323C84"/>
    <w:rsid w:val="00323ED8"/>
    <w:rsid w:val="00323FDC"/>
    <w:rsid w:val="0032402C"/>
    <w:rsid w:val="003241EC"/>
    <w:rsid w:val="003243E9"/>
    <w:rsid w:val="00324609"/>
    <w:rsid w:val="00325452"/>
    <w:rsid w:val="00325B17"/>
    <w:rsid w:val="0032660E"/>
    <w:rsid w:val="00326612"/>
    <w:rsid w:val="00326687"/>
    <w:rsid w:val="00326B7D"/>
    <w:rsid w:val="00326BEE"/>
    <w:rsid w:val="00326F7F"/>
    <w:rsid w:val="0032798C"/>
    <w:rsid w:val="0033051E"/>
    <w:rsid w:val="003308A8"/>
    <w:rsid w:val="003309C0"/>
    <w:rsid w:val="00330E48"/>
    <w:rsid w:val="00330EC7"/>
    <w:rsid w:val="003311DC"/>
    <w:rsid w:val="003318AB"/>
    <w:rsid w:val="00331919"/>
    <w:rsid w:val="00331B23"/>
    <w:rsid w:val="00331B55"/>
    <w:rsid w:val="00331D00"/>
    <w:rsid w:val="00331DB6"/>
    <w:rsid w:val="00331EE2"/>
    <w:rsid w:val="00332B40"/>
    <w:rsid w:val="00332D6D"/>
    <w:rsid w:val="00333707"/>
    <w:rsid w:val="0033377F"/>
    <w:rsid w:val="00333BF1"/>
    <w:rsid w:val="0033402F"/>
    <w:rsid w:val="00334392"/>
    <w:rsid w:val="00334475"/>
    <w:rsid w:val="003344AD"/>
    <w:rsid w:val="00334751"/>
    <w:rsid w:val="00334DD7"/>
    <w:rsid w:val="00334F09"/>
    <w:rsid w:val="00334FC7"/>
    <w:rsid w:val="0033560A"/>
    <w:rsid w:val="0033573A"/>
    <w:rsid w:val="0033577C"/>
    <w:rsid w:val="0033617F"/>
    <w:rsid w:val="003368B7"/>
    <w:rsid w:val="00336BAD"/>
    <w:rsid w:val="00336D6C"/>
    <w:rsid w:val="00336E13"/>
    <w:rsid w:val="00337096"/>
    <w:rsid w:val="00337587"/>
    <w:rsid w:val="00337B5F"/>
    <w:rsid w:val="003403C1"/>
    <w:rsid w:val="00340D3A"/>
    <w:rsid w:val="00340E00"/>
    <w:rsid w:val="0034131F"/>
    <w:rsid w:val="00341B96"/>
    <w:rsid w:val="00341EC7"/>
    <w:rsid w:val="00341F84"/>
    <w:rsid w:val="00342436"/>
    <w:rsid w:val="00342F34"/>
    <w:rsid w:val="00343364"/>
    <w:rsid w:val="003438CF"/>
    <w:rsid w:val="00344830"/>
    <w:rsid w:val="00344E43"/>
    <w:rsid w:val="003450BE"/>
    <w:rsid w:val="0034554F"/>
    <w:rsid w:val="003458A6"/>
    <w:rsid w:val="0034591B"/>
    <w:rsid w:val="00345C0F"/>
    <w:rsid w:val="00345F43"/>
    <w:rsid w:val="00345F5F"/>
    <w:rsid w:val="0034626F"/>
    <w:rsid w:val="00346933"/>
    <w:rsid w:val="00347132"/>
    <w:rsid w:val="00347292"/>
    <w:rsid w:val="003472AB"/>
    <w:rsid w:val="003472B6"/>
    <w:rsid w:val="00347451"/>
    <w:rsid w:val="00347978"/>
    <w:rsid w:val="00347F96"/>
    <w:rsid w:val="00350106"/>
    <w:rsid w:val="00350313"/>
    <w:rsid w:val="00350574"/>
    <w:rsid w:val="003505BE"/>
    <w:rsid w:val="0035097C"/>
    <w:rsid w:val="0035150A"/>
    <w:rsid w:val="003519E5"/>
    <w:rsid w:val="00351A9D"/>
    <w:rsid w:val="00351B7B"/>
    <w:rsid w:val="00351EA4"/>
    <w:rsid w:val="00352933"/>
    <w:rsid w:val="00352C82"/>
    <w:rsid w:val="0035362A"/>
    <w:rsid w:val="0035468C"/>
    <w:rsid w:val="0035481F"/>
    <w:rsid w:val="00354ADC"/>
    <w:rsid w:val="00354FE4"/>
    <w:rsid w:val="00354FFB"/>
    <w:rsid w:val="003550D1"/>
    <w:rsid w:val="0035515B"/>
    <w:rsid w:val="003553CC"/>
    <w:rsid w:val="003555D2"/>
    <w:rsid w:val="00355719"/>
    <w:rsid w:val="00355762"/>
    <w:rsid w:val="003560E3"/>
    <w:rsid w:val="00356295"/>
    <w:rsid w:val="0035719C"/>
    <w:rsid w:val="00357AB2"/>
    <w:rsid w:val="00360123"/>
    <w:rsid w:val="00360209"/>
    <w:rsid w:val="003604CE"/>
    <w:rsid w:val="003609BD"/>
    <w:rsid w:val="00360AA9"/>
    <w:rsid w:val="00360B3F"/>
    <w:rsid w:val="00361441"/>
    <w:rsid w:val="00361955"/>
    <w:rsid w:val="00361B3A"/>
    <w:rsid w:val="00361DF8"/>
    <w:rsid w:val="00361EF1"/>
    <w:rsid w:val="0036233E"/>
    <w:rsid w:val="003624EA"/>
    <w:rsid w:val="00362E38"/>
    <w:rsid w:val="00362F72"/>
    <w:rsid w:val="003639E4"/>
    <w:rsid w:val="003648C9"/>
    <w:rsid w:val="00364A3F"/>
    <w:rsid w:val="00364B60"/>
    <w:rsid w:val="00364ECC"/>
    <w:rsid w:val="0036515E"/>
    <w:rsid w:val="00365552"/>
    <w:rsid w:val="00365697"/>
    <w:rsid w:val="00365D6D"/>
    <w:rsid w:val="00366695"/>
    <w:rsid w:val="003679E5"/>
    <w:rsid w:val="0037000C"/>
    <w:rsid w:val="00371474"/>
    <w:rsid w:val="0037160B"/>
    <w:rsid w:val="00371710"/>
    <w:rsid w:val="00371BD8"/>
    <w:rsid w:val="00371BE6"/>
    <w:rsid w:val="00371F2C"/>
    <w:rsid w:val="00372105"/>
    <w:rsid w:val="0037220A"/>
    <w:rsid w:val="003733EF"/>
    <w:rsid w:val="00373727"/>
    <w:rsid w:val="00373832"/>
    <w:rsid w:val="003738E5"/>
    <w:rsid w:val="00373BC2"/>
    <w:rsid w:val="0037415B"/>
    <w:rsid w:val="003742C3"/>
    <w:rsid w:val="003749B2"/>
    <w:rsid w:val="00374D1E"/>
    <w:rsid w:val="00374E5C"/>
    <w:rsid w:val="0037547E"/>
    <w:rsid w:val="0037568F"/>
    <w:rsid w:val="00375974"/>
    <w:rsid w:val="00375AD6"/>
    <w:rsid w:val="00376255"/>
    <w:rsid w:val="0037676B"/>
    <w:rsid w:val="003768F2"/>
    <w:rsid w:val="00376BEC"/>
    <w:rsid w:val="003779AE"/>
    <w:rsid w:val="00380207"/>
    <w:rsid w:val="00380746"/>
    <w:rsid w:val="0038086A"/>
    <w:rsid w:val="00380996"/>
    <w:rsid w:val="00380A5E"/>
    <w:rsid w:val="00380D2F"/>
    <w:rsid w:val="00380D47"/>
    <w:rsid w:val="00381436"/>
    <w:rsid w:val="003817C4"/>
    <w:rsid w:val="00381E5B"/>
    <w:rsid w:val="003823D2"/>
    <w:rsid w:val="003828ED"/>
    <w:rsid w:val="00382EA0"/>
    <w:rsid w:val="00383228"/>
    <w:rsid w:val="00383878"/>
    <w:rsid w:val="00383DA2"/>
    <w:rsid w:val="003843D3"/>
    <w:rsid w:val="00384834"/>
    <w:rsid w:val="00384B23"/>
    <w:rsid w:val="00384F19"/>
    <w:rsid w:val="00384F21"/>
    <w:rsid w:val="00385175"/>
    <w:rsid w:val="003853A7"/>
    <w:rsid w:val="00385780"/>
    <w:rsid w:val="003863B7"/>
    <w:rsid w:val="00386A29"/>
    <w:rsid w:val="00386C39"/>
    <w:rsid w:val="0038704C"/>
    <w:rsid w:val="003875FE"/>
    <w:rsid w:val="00387B63"/>
    <w:rsid w:val="00390489"/>
    <w:rsid w:val="00390D28"/>
    <w:rsid w:val="0039161D"/>
    <w:rsid w:val="00391ECF"/>
    <w:rsid w:val="003923A8"/>
    <w:rsid w:val="003925AF"/>
    <w:rsid w:val="003926D4"/>
    <w:rsid w:val="003927B6"/>
    <w:rsid w:val="003928E7"/>
    <w:rsid w:val="00392E16"/>
    <w:rsid w:val="0039311A"/>
    <w:rsid w:val="0039399F"/>
    <w:rsid w:val="00394422"/>
    <w:rsid w:val="00394BDA"/>
    <w:rsid w:val="00394C3E"/>
    <w:rsid w:val="00394F1E"/>
    <w:rsid w:val="00395065"/>
    <w:rsid w:val="003950CD"/>
    <w:rsid w:val="003952F9"/>
    <w:rsid w:val="00395ABD"/>
    <w:rsid w:val="00395C18"/>
    <w:rsid w:val="00395F3B"/>
    <w:rsid w:val="00396531"/>
    <w:rsid w:val="00396655"/>
    <w:rsid w:val="00396783"/>
    <w:rsid w:val="003967BD"/>
    <w:rsid w:val="00396885"/>
    <w:rsid w:val="00396EEF"/>
    <w:rsid w:val="0039733F"/>
    <w:rsid w:val="003A05E3"/>
    <w:rsid w:val="003A0805"/>
    <w:rsid w:val="003A0E22"/>
    <w:rsid w:val="003A1495"/>
    <w:rsid w:val="003A15AB"/>
    <w:rsid w:val="003A16E9"/>
    <w:rsid w:val="003A1EC8"/>
    <w:rsid w:val="003A1F20"/>
    <w:rsid w:val="003A22B3"/>
    <w:rsid w:val="003A26A2"/>
    <w:rsid w:val="003A2728"/>
    <w:rsid w:val="003A2A29"/>
    <w:rsid w:val="003A2A7E"/>
    <w:rsid w:val="003A2DAA"/>
    <w:rsid w:val="003A364F"/>
    <w:rsid w:val="003A43CD"/>
    <w:rsid w:val="003A4965"/>
    <w:rsid w:val="003A4E3C"/>
    <w:rsid w:val="003A4FE5"/>
    <w:rsid w:val="003A55C5"/>
    <w:rsid w:val="003A5A30"/>
    <w:rsid w:val="003A65A0"/>
    <w:rsid w:val="003A65D8"/>
    <w:rsid w:val="003A6BBC"/>
    <w:rsid w:val="003A6FCE"/>
    <w:rsid w:val="003A7252"/>
    <w:rsid w:val="003A7FDB"/>
    <w:rsid w:val="003B03DC"/>
    <w:rsid w:val="003B09BD"/>
    <w:rsid w:val="003B0BA7"/>
    <w:rsid w:val="003B0C40"/>
    <w:rsid w:val="003B1265"/>
    <w:rsid w:val="003B17E7"/>
    <w:rsid w:val="003B181F"/>
    <w:rsid w:val="003B24C7"/>
    <w:rsid w:val="003B24F6"/>
    <w:rsid w:val="003B2A93"/>
    <w:rsid w:val="003B3506"/>
    <w:rsid w:val="003B3D30"/>
    <w:rsid w:val="003B403E"/>
    <w:rsid w:val="003B4C02"/>
    <w:rsid w:val="003B55FF"/>
    <w:rsid w:val="003B5A85"/>
    <w:rsid w:val="003B5D55"/>
    <w:rsid w:val="003B5F2C"/>
    <w:rsid w:val="003B61E9"/>
    <w:rsid w:val="003B62BD"/>
    <w:rsid w:val="003B644D"/>
    <w:rsid w:val="003B65E9"/>
    <w:rsid w:val="003B6F70"/>
    <w:rsid w:val="003B74BC"/>
    <w:rsid w:val="003B7C2F"/>
    <w:rsid w:val="003C0080"/>
    <w:rsid w:val="003C0368"/>
    <w:rsid w:val="003C0484"/>
    <w:rsid w:val="003C0AF7"/>
    <w:rsid w:val="003C22A4"/>
    <w:rsid w:val="003C2682"/>
    <w:rsid w:val="003C269F"/>
    <w:rsid w:val="003C29F5"/>
    <w:rsid w:val="003C30DC"/>
    <w:rsid w:val="003C3204"/>
    <w:rsid w:val="003C3261"/>
    <w:rsid w:val="003C37DB"/>
    <w:rsid w:val="003C3A1F"/>
    <w:rsid w:val="003C3C12"/>
    <w:rsid w:val="003C3F20"/>
    <w:rsid w:val="003C44B7"/>
    <w:rsid w:val="003C4633"/>
    <w:rsid w:val="003C46A3"/>
    <w:rsid w:val="003C4787"/>
    <w:rsid w:val="003C47D2"/>
    <w:rsid w:val="003C4934"/>
    <w:rsid w:val="003C5240"/>
    <w:rsid w:val="003C52ED"/>
    <w:rsid w:val="003C55DE"/>
    <w:rsid w:val="003C5881"/>
    <w:rsid w:val="003C5C32"/>
    <w:rsid w:val="003C5FA8"/>
    <w:rsid w:val="003C675B"/>
    <w:rsid w:val="003C684F"/>
    <w:rsid w:val="003C6863"/>
    <w:rsid w:val="003C701F"/>
    <w:rsid w:val="003C72D4"/>
    <w:rsid w:val="003C7332"/>
    <w:rsid w:val="003D0019"/>
    <w:rsid w:val="003D0147"/>
    <w:rsid w:val="003D083C"/>
    <w:rsid w:val="003D163E"/>
    <w:rsid w:val="003D1678"/>
    <w:rsid w:val="003D180F"/>
    <w:rsid w:val="003D203B"/>
    <w:rsid w:val="003D2646"/>
    <w:rsid w:val="003D26BF"/>
    <w:rsid w:val="003D2A1D"/>
    <w:rsid w:val="003D316D"/>
    <w:rsid w:val="003D334D"/>
    <w:rsid w:val="003D361D"/>
    <w:rsid w:val="003D4BC2"/>
    <w:rsid w:val="003D56A9"/>
    <w:rsid w:val="003D58C9"/>
    <w:rsid w:val="003D5AF2"/>
    <w:rsid w:val="003D5B02"/>
    <w:rsid w:val="003D5C94"/>
    <w:rsid w:val="003D5DAB"/>
    <w:rsid w:val="003D5FDC"/>
    <w:rsid w:val="003D6123"/>
    <w:rsid w:val="003D6257"/>
    <w:rsid w:val="003D64FA"/>
    <w:rsid w:val="003D65C4"/>
    <w:rsid w:val="003D69E9"/>
    <w:rsid w:val="003D7814"/>
    <w:rsid w:val="003D7821"/>
    <w:rsid w:val="003D7B41"/>
    <w:rsid w:val="003D7C44"/>
    <w:rsid w:val="003D7D8C"/>
    <w:rsid w:val="003D7EBA"/>
    <w:rsid w:val="003E0177"/>
    <w:rsid w:val="003E041B"/>
    <w:rsid w:val="003E0D66"/>
    <w:rsid w:val="003E0DED"/>
    <w:rsid w:val="003E109C"/>
    <w:rsid w:val="003E1336"/>
    <w:rsid w:val="003E1EAC"/>
    <w:rsid w:val="003E236B"/>
    <w:rsid w:val="003E2455"/>
    <w:rsid w:val="003E26C2"/>
    <w:rsid w:val="003E280B"/>
    <w:rsid w:val="003E2D38"/>
    <w:rsid w:val="003E2E48"/>
    <w:rsid w:val="003E330B"/>
    <w:rsid w:val="003E3421"/>
    <w:rsid w:val="003E35A1"/>
    <w:rsid w:val="003E378C"/>
    <w:rsid w:val="003E4878"/>
    <w:rsid w:val="003E5BF2"/>
    <w:rsid w:val="003E6267"/>
    <w:rsid w:val="003E65C4"/>
    <w:rsid w:val="003E70F2"/>
    <w:rsid w:val="003E71E2"/>
    <w:rsid w:val="003E7AFD"/>
    <w:rsid w:val="003E7F78"/>
    <w:rsid w:val="003F03AE"/>
    <w:rsid w:val="003F04C3"/>
    <w:rsid w:val="003F0637"/>
    <w:rsid w:val="003F0AC4"/>
    <w:rsid w:val="003F0BEC"/>
    <w:rsid w:val="003F16F5"/>
    <w:rsid w:val="003F1BAF"/>
    <w:rsid w:val="003F1D73"/>
    <w:rsid w:val="003F2238"/>
    <w:rsid w:val="003F2649"/>
    <w:rsid w:val="003F2C92"/>
    <w:rsid w:val="003F2E45"/>
    <w:rsid w:val="003F32D1"/>
    <w:rsid w:val="003F32EC"/>
    <w:rsid w:val="003F3550"/>
    <w:rsid w:val="003F35E0"/>
    <w:rsid w:val="003F43DB"/>
    <w:rsid w:val="003F4632"/>
    <w:rsid w:val="003F5AE1"/>
    <w:rsid w:val="003F5CE1"/>
    <w:rsid w:val="003F5EBA"/>
    <w:rsid w:val="003F6194"/>
    <w:rsid w:val="003F61D4"/>
    <w:rsid w:val="003F62E0"/>
    <w:rsid w:val="003F6569"/>
    <w:rsid w:val="003F67A3"/>
    <w:rsid w:val="003F68D5"/>
    <w:rsid w:val="003F6993"/>
    <w:rsid w:val="003F6D9D"/>
    <w:rsid w:val="003F710D"/>
    <w:rsid w:val="003F7411"/>
    <w:rsid w:val="003F79C6"/>
    <w:rsid w:val="004002AC"/>
    <w:rsid w:val="0040044F"/>
    <w:rsid w:val="004007F6"/>
    <w:rsid w:val="00400851"/>
    <w:rsid w:val="004009AF"/>
    <w:rsid w:val="00400E07"/>
    <w:rsid w:val="00400FFE"/>
    <w:rsid w:val="00401754"/>
    <w:rsid w:val="00401BA7"/>
    <w:rsid w:val="00401D19"/>
    <w:rsid w:val="00401D62"/>
    <w:rsid w:val="004028AE"/>
    <w:rsid w:val="00402AB5"/>
    <w:rsid w:val="00402F54"/>
    <w:rsid w:val="00403295"/>
    <w:rsid w:val="00404342"/>
    <w:rsid w:val="004043BF"/>
    <w:rsid w:val="004044C2"/>
    <w:rsid w:val="00404D5F"/>
    <w:rsid w:val="00404F7A"/>
    <w:rsid w:val="00405B84"/>
    <w:rsid w:val="00405D67"/>
    <w:rsid w:val="00405DC0"/>
    <w:rsid w:val="004061D9"/>
    <w:rsid w:val="00406465"/>
    <w:rsid w:val="00406649"/>
    <w:rsid w:val="00406706"/>
    <w:rsid w:val="004068C6"/>
    <w:rsid w:val="0040769A"/>
    <w:rsid w:val="0041016A"/>
    <w:rsid w:val="004103C7"/>
    <w:rsid w:val="004103F6"/>
    <w:rsid w:val="00410631"/>
    <w:rsid w:val="004107B0"/>
    <w:rsid w:val="00410AAB"/>
    <w:rsid w:val="00410B19"/>
    <w:rsid w:val="00412413"/>
    <w:rsid w:val="00412511"/>
    <w:rsid w:val="00412893"/>
    <w:rsid w:val="00412B10"/>
    <w:rsid w:val="00412BAE"/>
    <w:rsid w:val="004135F2"/>
    <w:rsid w:val="0041443C"/>
    <w:rsid w:val="0041451A"/>
    <w:rsid w:val="00414A0D"/>
    <w:rsid w:val="00415259"/>
    <w:rsid w:val="00415320"/>
    <w:rsid w:val="004153A8"/>
    <w:rsid w:val="00415574"/>
    <w:rsid w:val="00415D1E"/>
    <w:rsid w:val="004160A3"/>
    <w:rsid w:val="00416466"/>
    <w:rsid w:val="00416549"/>
    <w:rsid w:val="00416C77"/>
    <w:rsid w:val="004203B1"/>
    <w:rsid w:val="00420854"/>
    <w:rsid w:val="00420BDF"/>
    <w:rsid w:val="00420CA6"/>
    <w:rsid w:val="00420ECA"/>
    <w:rsid w:val="0042105E"/>
    <w:rsid w:val="004214D7"/>
    <w:rsid w:val="00421565"/>
    <w:rsid w:val="0042177E"/>
    <w:rsid w:val="00421821"/>
    <w:rsid w:val="004221F0"/>
    <w:rsid w:val="00422465"/>
    <w:rsid w:val="0042259E"/>
    <w:rsid w:val="0042261E"/>
    <w:rsid w:val="004227C3"/>
    <w:rsid w:val="00422E51"/>
    <w:rsid w:val="00422E7B"/>
    <w:rsid w:val="00422EC1"/>
    <w:rsid w:val="00423A1F"/>
    <w:rsid w:val="00423C4A"/>
    <w:rsid w:val="00424197"/>
    <w:rsid w:val="00424B86"/>
    <w:rsid w:val="00424C55"/>
    <w:rsid w:val="00424C72"/>
    <w:rsid w:val="004255D8"/>
    <w:rsid w:val="004265BE"/>
    <w:rsid w:val="004265E5"/>
    <w:rsid w:val="00426C9E"/>
    <w:rsid w:val="00426EC7"/>
    <w:rsid w:val="0042753B"/>
    <w:rsid w:val="00427CEE"/>
    <w:rsid w:val="0043012C"/>
    <w:rsid w:val="004301E1"/>
    <w:rsid w:val="00430362"/>
    <w:rsid w:val="004305AB"/>
    <w:rsid w:val="00430BA6"/>
    <w:rsid w:val="00430C81"/>
    <w:rsid w:val="004311FD"/>
    <w:rsid w:val="00431210"/>
    <w:rsid w:val="00432035"/>
    <w:rsid w:val="0043231F"/>
    <w:rsid w:val="004325F6"/>
    <w:rsid w:val="004337B2"/>
    <w:rsid w:val="00433B50"/>
    <w:rsid w:val="00433C91"/>
    <w:rsid w:val="00434018"/>
    <w:rsid w:val="004346FC"/>
    <w:rsid w:val="0043518B"/>
    <w:rsid w:val="004352CD"/>
    <w:rsid w:val="00435323"/>
    <w:rsid w:val="00435552"/>
    <w:rsid w:val="00435D24"/>
    <w:rsid w:val="0043655D"/>
    <w:rsid w:val="00436A9A"/>
    <w:rsid w:val="00436F4B"/>
    <w:rsid w:val="004370E2"/>
    <w:rsid w:val="00437346"/>
    <w:rsid w:val="0043735F"/>
    <w:rsid w:val="004373D7"/>
    <w:rsid w:val="00437508"/>
    <w:rsid w:val="00437514"/>
    <w:rsid w:val="0044092D"/>
    <w:rsid w:val="00440AE0"/>
    <w:rsid w:val="00440F9D"/>
    <w:rsid w:val="004415BE"/>
    <w:rsid w:val="00441A11"/>
    <w:rsid w:val="00441A70"/>
    <w:rsid w:val="00441B62"/>
    <w:rsid w:val="00443AE5"/>
    <w:rsid w:val="00443B5C"/>
    <w:rsid w:val="00443E88"/>
    <w:rsid w:val="00444706"/>
    <w:rsid w:val="00444EF2"/>
    <w:rsid w:val="004451E2"/>
    <w:rsid w:val="00445BAE"/>
    <w:rsid w:val="00445BD1"/>
    <w:rsid w:val="004465DD"/>
    <w:rsid w:val="0044679D"/>
    <w:rsid w:val="00446E6D"/>
    <w:rsid w:val="00447080"/>
    <w:rsid w:val="00447233"/>
    <w:rsid w:val="0044786D"/>
    <w:rsid w:val="004478DA"/>
    <w:rsid w:val="00447EE8"/>
    <w:rsid w:val="00450080"/>
    <w:rsid w:val="00450A31"/>
    <w:rsid w:val="00450A95"/>
    <w:rsid w:val="00451652"/>
    <w:rsid w:val="00451F8E"/>
    <w:rsid w:val="004522B7"/>
    <w:rsid w:val="004524B9"/>
    <w:rsid w:val="004526A7"/>
    <w:rsid w:val="00452756"/>
    <w:rsid w:val="004528C7"/>
    <w:rsid w:val="00452DFA"/>
    <w:rsid w:val="00452E1C"/>
    <w:rsid w:val="00453307"/>
    <w:rsid w:val="00453333"/>
    <w:rsid w:val="004533D2"/>
    <w:rsid w:val="00453628"/>
    <w:rsid w:val="00454097"/>
    <w:rsid w:val="0045430D"/>
    <w:rsid w:val="00454548"/>
    <w:rsid w:val="0045459D"/>
    <w:rsid w:val="00454A32"/>
    <w:rsid w:val="00454D47"/>
    <w:rsid w:val="004552DE"/>
    <w:rsid w:val="0045590F"/>
    <w:rsid w:val="00456964"/>
    <w:rsid w:val="00456B79"/>
    <w:rsid w:val="004574DA"/>
    <w:rsid w:val="0045764D"/>
    <w:rsid w:val="00460492"/>
    <w:rsid w:val="00460581"/>
    <w:rsid w:val="004606BE"/>
    <w:rsid w:val="00460BC5"/>
    <w:rsid w:val="00460D87"/>
    <w:rsid w:val="00460FCD"/>
    <w:rsid w:val="004618E7"/>
    <w:rsid w:val="00461A8E"/>
    <w:rsid w:val="00461BAF"/>
    <w:rsid w:val="00462762"/>
    <w:rsid w:val="00462A38"/>
    <w:rsid w:val="00462AC0"/>
    <w:rsid w:val="00462FB2"/>
    <w:rsid w:val="004630BA"/>
    <w:rsid w:val="0046346C"/>
    <w:rsid w:val="00463607"/>
    <w:rsid w:val="0046365D"/>
    <w:rsid w:val="0046371A"/>
    <w:rsid w:val="00463F90"/>
    <w:rsid w:val="00464432"/>
    <w:rsid w:val="00464F91"/>
    <w:rsid w:val="00465513"/>
    <w:rsid w:val="004655F3"/>
    <w:rsid w:val="00465B10"/>
    <w:rsid w:val="00466B0A"/>
    <w:rsid w:val="00466EB3"/>
    <w:rsid w:val="00467134"/>
    <w:rsid w:val="00467637"/>
    <w:rsid w:val="00467BDD"/>
    <w:rsid w:val="00467D1F"/>
    <w:rsid w:val="004702CD"/>
    <w:rsid w:val="004707AB"/>
    <w:rsid w:val="00471736"/>
    <w:rsid w:val="00471768"/>
    <w:rsid w:val="00472005"/>
    <w:rsid w:val="004723EF"/>
    <w:rsid w:val="00472468"/>
    <w:rsid w:val="004724C3"/>
    <w:rsid w:val="0047257B"/>
    <w:rsid w:val="00472CFB"/>
    <w:rsid w:val="00472D8D"/>
    <w:rsid w:val="0047375F"/>
    <w:rsid w:val="0047379D"/>
    <w:rsid w:val="004739B4"/>
    <w:rsid w:val="004739E3"/>
    <w:rsid w:val="00473A2A"/>
    <w:rsid w:val="00473EAB"/>
    <w:rsid w:val="00473F9C"/>
    <w:rsid w:val="00474104"/>
    <w:rsid w:val="004745C2"/>
    <w:rsid w:val="00474861"/>
    <w:rsid w:val="00474A75"/>
    <w:rsid w:val="004751BC"/>
    <w:rsid w:val="004753CD"/>
    <w:rsid w:val="0047542A"/>
    <w:rsid w:val="00475547"/>
    <w:rsid w:val="00475E4E"/>
    <w:rsid w:val="004761EF"/>
    <w:rsid w:val="0047659F"/>
    <w:rsid w:val="00476AD6"/>
    <w:rsid w:val="00476F70"/>
    <w:rsid w:val="00477071"/>
    <w:rsid w:val="00477BE3"/>
    <w:rsid w:val="00477CE6"/>
    <w:rsid w:val="00477E00"/>
    <w:rsid w:val="00477F83"/>
    <w:rsid w:val="00480C6D"/>
    <w:rsid w:val="004811AA"/>
    <w:rsid w:val="004811E1"/>
    <w:rsid w:val="0048135D"/>
    <w:rsid w:val="00481516"/>
    <w:rsid w:val="00481905"/>
    <w:rsid w:val="0048214E"/>
    <w:rsid w:val="0048290C"/>
    <w:rsid w:val="0048350F"/>
    <w:rsid w:val="00483B1E"/>
    <w:rsid w:val="00483B8E"/>
    <w:rsid w:val="00483C68"/>
    <w:rsid w:val="0048479A"/>
    <w:rsid w:val="00484851"/>
    <w:rsid w:val="00484CFF"/>
    <w:rsid w:val="00485292"/>
    <w:rsid w:val="00485408"/>
    <w:rsid w:val="0048589B"/>
    <w:rsid w:val="00485B92"/>
    <w:rsid w:val="00485BDD"/>
    <w:rsid w:val="00485DF1"/>
    <w:rsid w:val="004864EE"/>
    <w:rsid w:val="004866DB"/>
    <w:rsid w:val="00486764"/>
    <w:rsid w:val="004867C0"/>
    <w:rsid w:val="00486869"/>
    <w:rsid w:val="00486CB8"/>
    <w:rsid w:val="0048726D"/>
    <w:rsid w:val="00487329"/>
    <w:rsid w:val="0048762A"/>
    <w:rsid w:val="00487647"/>
    <w:rsid w:val="004905D4"/>
    <w:rsid w:val="00490A39"/>
    <w:rsid w:val="00490E00"/>
    <w:rsid w:val="004918FE"/>
    <w:rsid w:val="00491C3D"/>
    <w:rsid w:val="004923B1"/>
    <w:rsid w:val="004929CC"/>
    <w:rsid w:val="004934FA"/>
    <w:rsid w:val="004935CA"/>
    <w:rsid w:val="00493686"/>
    <w:rsid w:val="00493FED"/>
    <w:rsid w:val="00494070"/>
    <w:rsid w:val="00494265"/>
    <w:rsid w:val="004942F0"/>
    <w:rsid w:val="00494616"/>
    <w:rsid w:val="004957F6"/>
    <w:rsid w:val="00495EFB"/>
    <w:rsid w:val="0049628A"/>
    <w:rsid w:val="00496C34"/>
    <w:rsid w:val="00496E70"/>
    <w:rsid w:val="004970B9"/>
    <w:rsid w:val="00497373"/>
    <w:rsid w:val="00497C69"/>
    <w:rsid w:val="004A0993"/>
    <w:rsid w:val="004A0A25"/>
    <w:rsid w:val="004A0C76"/>
    <w:rsid w:val="004A18C2"/>
    <w:rsid w:val="004A1A70"/>
    <w:rsid w:val="004A21F0"/>
    <w:rsid w:val="004A2292"/>
    <w:rsid w:val="004A2566"/>
    <w:rsid w:val="004A2CCD"/>
    <w:rsid w:val="004A2D37"/>
    <w:rsid w:val="004A2E32"/>
    <w:rsid w:val="004A2EF5"/>
    <w:rsid w:val="004A3208"/>
    <w:rsid w:val="004A387E"/>
    <w:rsid w:val="004A38A6"/>
    <w:rsid w:val="004A3B9E"/>
    <w:rsid w:val="004A488C"/>
    <w:rsid w:val="004A4C67"/>
    <w:rsid w:val="004A4FE8"/>
    <w:rsid w:val="004A534E"/>
    <w:rsid w:val="004A5617"/>
    <w:rsid w:val="004A5821"/>
    <w:rsid w:val="004A5942"/>
    <w:rsid w:val="004A5A0D"/>
    <w:rsid w:val="004A6625"/>
    <w:rsid w:val="004A6CE5"/>
    <w:rsid w:val="004A75E5"/>
    <w:rsid w:val="004A7CEF"/>
    <w:rsid w:val="004B0044"/>
    <w:rsid w:val="004B00E7"/>
    <w:rsid w:val="004B09D8"/>
    <w:rsid w:val="004B0B23"/>
    <w:rsid w:val="004B0B69"/>
    <w:rsid w:val="004B0C48"/>
    <w:rsid w:val="004B0D03"/>
    <w:rsid w:val="004B0D8D"/>
    <w:rsid w:val="004B12F3"/>
    <w:rsid w:val="004B153C"/>
    <w:rsid w:val="004B17FB"/>
    <w:rsid w:val="004B203D"/>
    <w:rsid w:val="004B2057"/>
    <w:rsid w:val="004B285A"/>
    <w:rsid w:val="004B2B63"/>
    <w:rsid w:val="004B303A"/>
    <w:rsid w:val="004B33B4"/>
    <w:rsid w:val="004B3D98"/>
    <w:rsid w:val="004B3E02"/>
    <w:rsid w:val="004B44DB"/>
    <w:rsid w:val="004B4CE4"/>
    <w:rsid w:val="004B4D28"/>
    <w:rsid w:val="004B4F39"/>
    <w:rsid w:val="004B5029"/>
    <w:rsid w:val="004B570A"/>
    <w:rsid w:val="004B5816"/>
    <w:rsid w:val="004B6268"/>
    <w:rsid w:val="004B6A00"/>
    <w:rsid w:val="004B6E1B"/>
    <w:rsid w:val="004B765A"/>
    <w:rsid w:val="004B7D64"/>
    <w:rsid w:val="004C0023"/>
    <w:rsid w:val="004C01E0"/>
    <w:rsid w:val="004C05E2"/>
    <w:rsid w:val="004C1331"/>
    <w:rsid w:val="004C1574"/>
    <w:rsid w:val="004C18AA"/>
    <w:rsid w:val="004C1D55"/>
    <w:rsid w:val="004C201A"/>
    <w:rsid w:val="004C2523"/>
    <w:rsid w:val="004C269B"/>
    <w:rsid w:val="004C3693"/>
    <w:rsid w:val="004C3721"/>
    <w:rsid w:val="004C40B1"/>
    <w:rsid w:val="004C43E8"/>
    <w:rsid w:val="004C46C6"/>
    <w:rsid w:val="004C4959"/>
    <w:rsid w:val="004C4D07"/>
    <w:rsid w:val="004C5330"/>
    <w:rsid w:val="004C55C9"/>
    <w:rsid w:val="004C5725"/>
    <w:rsid w:val="004C5832"/>
    <w:rsid w:val="004C59E0"/>
    <w:rsid w:val="004C5A71"/>
    <w:rsid w:val="004C5B23"/>
    <w:rsid w:val="004C5E5D"/>
    <w:rsid w:val="004C61E6"/>
    <w:rsid w:val="004C63A8"/>
    <w:rsid w:val="004C63E0"/>
    <w:rsid w:val="004C661F"/>
    <w:rsid w:val="004C6624"/>
    <w:rsid w:val="004C6867"/>
    <w:rsid w:val="004C6D94"/>
    <w:rsid w:val="004C7464"/>
    <w:rsid w:val="004C7621"/>
    <w:rsid w:val="004C77FE"/>
    <w:rsid w:val="004C7A8B"/>
    <w:rsid w:val="004C7CF9"/>
    <w:rsid w:val="004C7FE5"/>
    <w:rsid w:val="004D02F8"/>
    <w:rsid w:val="004D111D"/>
    <w:rsid w:val="004D1405"/>
    <w:rsid w:val="004D14D4"/>
    <w:rsid w:val="004D1647"/>
    <w:rsid w:val="004D17A8"/>
    <w:rsid w:val="004D1998"/>
    <w:rsid w:val="004D19CF"/>
    <w:rsid w:val="004D1A13"/>
    <w:rsid w:val="004D1A44"/>
    <w:rsid w:val="004D2151"/>
    <w:rsid w:val="004D2341"/>
    <w:rsid w:val="004D2699"/>
    <w:rsid w:val="004D291E"/>
    <w:rsid w:val="004D2D8A"/>
    <w:rsid w:val="004D30CE"/>
    <w:rsid w:val="004D32E1"/>
    <w:rsid w:val="004D4214"/>
    <w:rsid w:val="004D429E"/>
    <w:rsid w:val="004D42DF"/>
    <w:rsid w:val="004D4EB0"/>
    <w:rsid w:val="004D50FD"/>
    <w:rsid w:val="004D55CF"/>
    <w:rsid w:val="004D56CF"/>
    <w:rsid w:val="004D5B7C"/>
    <w:rsid w:val="004D62B2"/>
    <w:rsid w:val="004D63D3"/>
    <w:rsid w:val="004D652E"/>
    <w:rsid w:val="004D65F6"/>
    <w:rsid w:val="004D69D8"/>
    <w:rsid w:val="004D7946"/>
    <w:rsid w:val="004E0BCA"/>
    <w:rsid w:val="004E0CDC"/>
    <w:rsid w:val="004E1FE6"/>
    <w:rsid w:val="004E2128"/>
    <w:rsid w:val="004E28EF"/>
    <w:rsid w:val="004E2C52"/>
    <w:rsid w:val="004E2D74"/>
    <w:rsid w:val="004E31D6"/>
    <w:rsid w:val="004E31FF"/>
    <w:rsid w:val="004E38DB"/>
    <w:rsid w:val="004E3CD3"/>
    <w:rsid w:val="004E4129"/>
    <w:rsid w:val="004E487D"/>
    <w:rsid w:val="004E48F2"/>
    <w:rsid w:val="004E5163"/>
    <w:rsid w:val="004E51B3"/>
    <w:rsid w:val="004E5268"/>
    <w:rsid w:val="004E529F"/>
    <w:rsid w:val="004E54BA"/>
    <w:rsid w:val="004E5DC4"/>
    <w:rsid w:val="004E6365"/>
    <w:rsid w:val="004E63AF"/>
    <w:rsid w:val="004E6544"/>
    <w:rsid w:val="004E67A7"/>
    <w:rsid w:val="004E6A97"/>
    <w:rsid w:val="004E70B9"/>
    <w:rsid w:val="004E73EC"/>
    <w:rsid w:val="004E7B5A"/>
    <w:rsid w:val="004E7D00"/>
    <w:rsid w:val="004F0388"/>
    <w:rsid w:val="004F057A"/>
    <w:rsid w:val="004F145A"/>
    <w:rsid w:val="004F1711"/>
    <w:rsid w:val="004F1DC3"/>
    <w:rsid w:val="004F2175"/>
    <w:rsid w:val="004F21CA"/>
    <w:rsid w:val="004F3249"/>
    <w:rsid w:val="004F382B"/>
    <w:rsid w:val="004F38E6"/>
    <w:rsid w:val="004F3F85"/>
    <w:rsid w:val="004F4EDF"/>
    <w:rsid w:val="004F5671"/>
    <w:rsid w:val="004F56CB"/>
    <w:rsid w:val="004F56D0"/>
    <w:rsid w:val="004F58D9"/>
    <w:rsid w:val="004F597B"/>
    <w:rsid w:val="004F5CFC"/>
    <w:rsid w:val="004F5EDC"/>
    <w:rsid w:val="004F5F19"/>
    <w:rsid w:val="004F6B2D"/>
    <w:rsid w:val="004F6B57"/>
    <w:rsid w:val="004F6C83"/>
    <w:rsid w:val="004F6F77"/>
    <w:rsid w:val="004F70FC"/>
    <w:rsid w:val="004F75A4"/>
    <w:rsid w:val="004F7A80"/>
    <w:rsid w:val="004F7BBC"/>
    <w:rsid w:val="004F7D3C"/>
    <w:rsid w:val="004F7D9D"/>
    <w:rsid w:val="004F7FE1"/>
    <w:rsid w:val="005010A4"/>
    <w:rsid w:val="005012F0"/>
    <w:rsid w:val="00501904"/>
    <w:rsid w:val="00501993"/>
    <w:rsid w:val="005024DC"/>
    <w:rsid w:val="005025D1"/>
    <w:rsid w:val="00502C04"/>
    <w:rsid w:val="0050304A"/>
    <w:rsid w:val="0050445C"/>
    <w:rsid w:val="005049A3"/>
    <w:rsid w:val="00505157"/>
    <w:rsid w:val="00505175"/>
    <w:rsid w:val="005060EA"/>
    <w:rsid w:val="005064B7"/>
    <w:rsid w:val="00506657"/>
    <w:rsid w:val="005066E1"/>
    <w:rsid w:val="00506A78"/>
    <w:rsid w:val="00506B21"/>
    <w:rsid w:val="00506CAF"/>
    <w:rsid w:val="00506FBE"/>
    <w:rsid w:val="005070A3"/>
    <w:rsid w:val="005079F7"/>
    <w:rsid w:val="00507B1A"/>
    <w:rsid w:val="00507C50"/>
    <w:rsid w:val="00507F31"/>
    <w:rsid w:val="005102C3"/>
    <w:rsid w:val="00510385"/>
    <w:rsid w:val="005107AA"/>
    <w:rsid w:val="00510AC7"/>
    <w:rsid w:val="00510F83"/>
    <w:rsid w:val="00510FDE"/>
    <w:rsid w:val="0051125A"/>
    <w:rsid w:val="005116D7"/>
    <w:rsid w:val="00511883"/>
    <w:rsid w:val="0051192C"/>
    <w:rsid w:val="00511A2E"/>
    <w:rsid w:val="00512186"/>
    <w:rsid w:val="005121C6"/>
    <w:rsid w:val="005121F6"/>
    <w:rsid w:val="005124A9"/>
    <w:rsid w:val="005125F9"/>
    <w:rsid w:val="005139AC"/>
    <w:rsid w:val="00513AFA"/>
    <w:rsid w:val="00513F67"/>
    <w:rsid w:val="00513F8B"/>
    <w:rsid w:val="005144FC"/>
    <w:rsid w:val="00514710"/>
    <w:rsid w:val="00514AB6"/>
    <w:rsid w:val="00515140"/>
    <w:rsid w:val="005159EB"/>
    <w:rsid w:val="00515A45"/>
    <w:rsid w:val="00515D5C"/>
    <w:rsid w:val="00515DE8"/>
    <w:rsid w:val="00516258"/>
    <w:rsid w:val="00516704"/>
    <w:rsid w:val="00516BEF"/>
    <w:rsid w:val="00516DAA"/>
    <w:rsid w:val="005173A1"/>
    <w:rsid w:val="0051777B"/>
    <w:rsid w:val="0051788C"/>
    <w:rsid w:val="0052012F"/>
    <w:rsid w:val="005208FA"/>
    <w:rsid w:val="00520BF1"/>
    <w:rsid w:val="00520D84"/>
    <w:rsid w:val="00520E5E"/>
    <w:rsid w:val="005210A1"/>
    <w:rsid w:val="00521D01"/>
    <w:rsid w:val="00521F4B"/>
    <w:rsid w:val="00522338"/>
    <w:rsid w:val="00522D7C"/>
    <w:rsid w:val="005232AA"/>
    <w:rsid w:val="00523829"/>
    <w:rsid w:val="00523877"/>
    <w:rsid w:val="005238F3"/>
    <w:rsid w:val="00523E41"/>
    <w:rsid w:val="0052400A"/>
    <w:rsid w:val="00524C58"/>
    <w:rsid w:val="0052595D"/>
    <w:rsid w:val="00525A7B"/>
    <w:rsid w:val="00525DB0"/>
    <w:rsid w:val="00526B33"/>
    <w:rsid w:val="00526C45"/>
    <w:rsid w:val="0052728A"/>
    <w:rsid w:val="005279EB"/>
    <w:rsid w:val="00527B84"/>
    <w:rsid w:val="0053056C"/>
    <w:rsid w:val="00530607"/>
    <w:rsid w:val="00530980"/>
    <w:rsid w:val="00530BAE"/>
    <w:rsid w:val="00530DBD"/>
    <w:rsid w:val="00531043"/>
    <w:rsid w:val="005310B4"/>
    <w:rsid w:val="00531359"/>
    <w:rsid w:val="0053156B"/>
    <w:rsid w:val="00531695"/>
    <w:rsid w:val="00531B74"/>
    <w:rsid w:val="00532132"/>
    <w:rsid w:val="00532B40"/>
    <w:rsid w:val="0053307D"/>
    <w:rsid w:val="00533490"/>
    <w:rsid w:val="005336BE"/>
    <w:rsid w:val="005342B6"/>
    <w:rsid w:val="0053568B"/>
    <w:rsid w:val="0053594C"/>
    <w:rsid w:val="00535B02"/>
    <w:rsid w:val="00536AC2"/>
    <w:rsid w:val="00536B85"/>
    <w:rsid w:val="0053712F"/>
    <w:rsid w:val="005374D2"/>
    <w:rsid w:val="0053766F"/>
    <w:rsid w:val="005411F7"/>
    <w:rsid w:val="0054148A"/>
    <w:rsid w:val="00541F0E"/>
    <w:rsid w:val="005421D4"/>
    <w:rsid w:val="005423EC"/>
    <w:rsid w:val="005424A1"/>
    <w:rsid w:val="0054257F"/>
    <w:rsid w:val="00542828"/>
    <w:rsid w:val="00542C11"/>
    <w:rsid w:val="00542CAE"/>
    <w:rsid w:val="00543112"/>
    <w:rsid w:val="00543206"/>
    <w:rsid w:val="005432F5"/>
    <w:rsid w:val="005434BA"/>
    <w:rsid w:val="005435A3"/>
    <w:rsid w:val="00543C3D"/>
    <w:rsid w:val="005448BF"/>
    <w:rsid w:val="0054531B"/>
    <w:rsid w:val="005453C0"/>
    <w:rsid w:val="0054563A"/>
    <w:rsid w:val="00545EAB"/>
    <w:rsid w:val="005474B6"/>
    <w:rsid w:val="005477B5"/>
    <w:rsid w:val="005479AB"/>
    <w:rsid w:val="00547A50"/>
    <w:rsid w:val="00547BBB"/>
    <w:rsid w:val="0055074A"/>
    <w:rsid w:val="00550C36"/>
    <w:rsid w:val="00551668"/>
    <w:rsid w:val="00552C34"/>
    <w:rsid w:val="00553019"/>
    <w:rsid w:val="0055349F"/>
    <w:rsid w:val="0055375C"/>
    <w:rsid w:val="00553A6B"/>
    <w:rsid w:val="00553D14"/>
    <w:rsid w:val="00554420"/>
    <w:rsid w:val="00554CA6"/>
    <w:rsid w:val="00554E4C"/>
    <w:rsid w:val="0055543D"/>
    <w:rsid w:val="00555A1F"/>
    <w:rsid w:val="00555B97"/>
    <w:rsid w:val="005560B8"/>
    <w:rsid w:val="00556401"/>
    <w:rsid w:val="00556AE5"/>
    <w:rsid w:val="00556C01"/>
    <w:rsid w:val="00556E2C"/>
    <w:rsid w:val="00556E51"/>
    <w:rsid w:val="005575E6"/>
    <w:rsid w:val="0055786A"/>
    <w:rsid w:val="00557E53"/>
    <w:rsid w:val="005605B8"/>
    <w:rsid w:val="00560648"/>
    <w:rsid w:val="005609A4"/>
    <w:rsid w:val="00560BBB"/>
    <w:rsid w:val="00560EC5"/>
    <w:rsid w:val="00560F5B"/>
    <w:rsid w:val="00560FC6"/>
    <w:rsid w:val="0056148E"/>
    <w:rsid w:val="00561772"/>
    <w:rsid w:val="005617F6"/>
    <w:rsid w:val="00561991"/>
    <w:rsid w:val="00561DBC"/>
    <w:rsid w:val="005624DC"/>
    <w:rsid w:val="005624FF"/>
    <w:rsid w:val="00562814"/>
    <w:rsid w:val="00564D57"/>
    <w:rsid w:val="00564E51"/>
    <w:rsid w:val="00564ED8"/>
    <w:rsid w:val="00564F5F"/>
    <w:rsid w:val="0056513B"/>
    <w:rsid w:val="005652B0"/>
    <w:rsid w:val="00565579"/>
    <w:rsid w:val="0056592E"/>
    <w:rsid w:val="00565966"/>
    <w:rsid w:val="00566656"/>
    <w:rsid w:val="005673C6"/>
    <w:rsid w:val="005676C0"/>
    <w:rsid w:val="00567768"/>
    <w:rsid w:val="0057015E"/>
    <w:rsid w:val="005702E1"/>
    <w:rsid w:val="00570346"/>
    <w:rsid w:val="0057049C"/>
    <w:rsid w:val="00570C7D"/>
    <w:rsid w:val="0057112F"/>
    <w:rsid w:val="005722B0"/>
    <w:rsid w:val="00572326"/>
    <w:rsid w:val="0057299D"/>
    <w:rsid w:val="0057329B"/>
    <w:rsid w:val="00573401"/>
    <w:rsid w:val="00573412"/>
    <w:rsid w:val="0057370D"/>
    <w:rsid w:val="005737EF"/>
    <w:rsid w:val="00574285"/>
    <w:rsid w:val="00574922"/>
    <w:rsid w:val="00574CAD"/>
    <w:rsid w:val="00575069"/>
    <w:rsid w:val="00575707"/>
    <w:rsid w:val="0057636A"/>
    <w:rsid w:val="00576AFE"/>
    <w:rsid w:val="00576B0F"/>
    <w:rsid w:val="00576B1F"/>
    <w:rsid w:val="005770BF"/>
    <w:rsid w:val="00577CB8"/>
    <w:rsid w:val="005803D4"/>
    <w:rsid w:val="00580C02"/>
    <w:rsid w:val="00580CF1"/>
    <w:rsid w:val="00580E1A"/>
    <w:rsid w:val="00580F71"/>
    <w:rsid w:val="00581547"/>
    <w:rsid w:val="0058156F"/>
    <w:rsid w:val="0058199C"/>
    <w:rsid w:val="00581B8B"/>
    <w:rsid w:val="00581D74"/>
    <w:rsid w:val="00582E26"/>
    <w:rsid w:val="00582F0F"/>
    <w:rsid w:val="005832C1"/>
    <w:rsid w:val="00584135"/>
    <w:rsid w:val="00584432"/>
    <w:rsid w:val="005844CB"/>
    <w:rsid w:val="005845EB"/>
    <w:rsid w:val="00584C9D"/>
    <w:rsid w:val="0058583F"/>
    <w:rsid w:val="005858BF"/>
    <w:rsid w:val="005859AB"/>
    <w:rsid w:val="005860A1"/>
    <w:rsid w:val="00586C93"/>
    <w:rsid w:val="00587B86"/>
    <w:rsid w:val="005900CE"/>
    <w:rsid w:val="005902DC"/>
    <w:rsid w:val="00590662"/>
    <w:rsid w:val="00590EAD"/>
    <w:rsid w:val="00591E2B"/>
    <w:rsid w:val="0059213B"/>
    <w:rsid w:val="00592467"/>
    <w:rsid w:val="00592727"/>
    <w:rsid w:val="00592F6D"/>
    <w:rsid w:val="00593566"/>
    <w:rsid w:val="005938B1"/>
    <w:rsid w:val="00593B64"/>
    <w:rsid w:val="00593E8C"/>
    <w:rsid w:val="0059401B"/>
    <w:rsid w:val="0059413D"/>
    <w:rsid w:val="005942E5"/>
    <w:rsid w:val="0059445B"/>
    <w:rsid w:val="005945C5"/>
    <w:rsid w:val="005948D5"/>
    <w:rsid w:val="00594E7C"/>
    <w:rsid w:val="00595050"/>
    <w:rsid w:val="005955FD"/>
    <w:rsid w:val="0059585D"/>
    <w:rsid w:val="0059659D"/>
    <w:rsid w:val="005968E9"/>
    <w:rsid w:val="005974CF"/>
    <w:rsid w:val="005979AC"/>
    <w:rsid w:val="00597A22"/>
    <w:rsid w:val="00597DAC"/>
    <w:rsid w:val="00597F37"/>
    <w:rsid w:val="005A065D"/>
    <w:rsid w:val="005A07A5"/>
    <w:rsid w:val="005A0981"/>
    <w:rsid w:val="005A0B61"/>
    <w:rsid w:val="005A1516"/>
    <w:rsid w:val="005A15A2"/>
    <w:rsid w:val="005A2317"/>
    <w:rsid w:val="005A279E"/>
    <w:rsid w:val="005A27D3"/>
    <w:rsid w:val="005A2DC6"/>
    <w:rsid w:val="005A3165"/>
    <w:rsid w:val="005A3349"/>
    <w:rsid w:val="005A3940"/>
    <w:rsid w:val="005A3A6B"/>
    <w:rsid w:val="005A3C83"/>
    <w:rsid w:val="005A3F12"/>
    <w:rsid w:val="005A465F"/>
    <w:rsid w:val="005A480A"/>
    <w:rsid w:val="005A51C1"/>
    <w:rsid w:val="005A537A"/>
    <w:rsid w:val="005A5696"/>
    <w:rsid w:val="005A5700"/>
    <w:rsid w:val="005A6D71"/>
    <w:rsid w:val="005A6E27"/>
    <w:rsid w:val="005A7A52"/>
    <w:rsid w:val="005A7AAA"/>
    <w:rsid w:val="005A7B7B"/>
    <w:rsid w:val="005B0104"/>
    <w:rsid w:val="005B035C"/>
    <w:rsid w:val="005B04DD"/>
    <w:rsid w:val="005B0A4D"/>
    <w:rsid w:val="005B0BD7"/>
    <w:rsid w:val="005B0DB6"/>
    <w:rsid w:val="005B1076"/>
    <w:rsid w:val="005B1602"/>
    <w:rsid w:val="005B254C"/>
    <w:rsid w:val="005B2A4E"/>
    <w:rsid w:val="005B2C23"/>
    <w:rsid w:val="005B2DE9"/>
    <w:rsid w:val="005B38B8"/>
    <w:rsid w:val="005B483B"/>
    <w:rsid w:val="005B49D2"/>
    <w:rsid w:val="005B4FA0"/>
    <w:rsid w:val="005B506B"/>
    <w:rsid w:val="005B56C0"/>
    <w:rsid w:val="005B5796"/>
    <w:rsid w:val="005B5807"/>
    <w:rsid w:val="005B5A79"/>
    <w:rsid w:val="005B5CA0"/>
    <w:rsid w:val="005B6D54"/>
    <w:rsid w:val="005B71CB"/>
    <w:rsid w:val="005B7331"/>
    <w:rsid w:val="005B7387"/>
    <w:rsid w:val="005B7D7F"/>
    <w:rsid w:val="005C03FD"/>
    <w:rsid w:val="005C090A"/>
    <w:rsid w:val="005C09FF"/>
    <w:rsid w:val="005C0A8D"/>
    <w:rsid w:val="005C0BCD"/>
    <w:rsid w:val="005C0F2D"/>
    <w:rsid w:val="005C1665"/>
    <w:rsid w:val="005C1AC9"/>
    <w:rsid w:val="005C1B04"/>
    <w:rsid w:val="005C1E6C"/>
    <w:rsid w:val="005C26E8"/>
    <w:rsid w:val="005C2931"/>
    <w:rsid w:val="005C2D79"/>
    <w:rsid w:val="005C30AA"/>
    <w:rsid w:val="005C33B5"/>
    <w:rsid w:val="005C356D"/>
    <w:rsid w:val="005C3681"/>
    <w:rsid w:val="005C3ED0"/>
    <w:rsid w:val="005C456D"/>
    <w:rsid w:val="005C46E1"/>
    <w:rsid w:val="005C4A42"/>
    <w:rsid w:val="005C4B32"/>
    <w:rsid w:val="005C4E1A"/>
    <w:rsid w:val="005C5F50"/>
    <w:rsid w:val="005C67CF"/>
    <w:rsid w:val="005C6B2B"/>
    <w:rsid w:val="005C6EEB"/>
    <w:rsid w:val="005C6FB1"/>
    <w:rsid w:val="005C7346"/>
    <w:rsid w:val="005C735F"/>
    <w:rsid w:val="005C738D"/>
    <w:rsid w:val="005C74AD"/>
    <w:rsid w:val="005C7DE6"/>
    <w:rsid w:val="005C7FE5"/>
    <w:rsid w:val="005D00C9"/>
    <w:rsid w:val="005D089D"/>
    <w:rsid w:val="005D08D0"/>
    <w:rsid w:val="005D121C"/>
    <w:rsid w:val="005D1F59"/>
    <w:rsid w:val="005D2022"/>
    <w:rsid w:val="005D21C2"/>
    <w:rsid w:val="005D2268"/>
    <w:rsid w:val="005D22A1"/>
    <w:rsid w:val="005D24AC"/>
    <w:rsid w:val="005D2A85"/>
    <w:rsid w:val="005D3519"/>
    <w:rsid w:val="005D35BC"/>
    <w:rsid w:val="005D4DF0"/>
    <w:rsid w:val="005D4EE3"/>
    <w:rsid w:val="005D53E4"/>
    <w:rsid w:val="005D549C"/>
    <w:rsid w:val="005D55A5"/>
    <w:rsid w:val="005D6009"/>
    <w:rsid w:val="005D672D"/>
    <w:rsid w:val="005D67AE"/>
    <w:rsid w:val="005D6A48"/>
    <w:rsid w:val="005D7022"/>
    <w:rsid w:val="005D7869"/>
    <w:rsid w:val="005D7ED0"/>
    <w:rsid w:val="005E0DDD"/>
    <w:rsid w:val="005E13E3"/>
    <w:rsid w:val="005E1D4D"/>
    <w:rsid w:val="005E321D"/>
    <w:rsid w:val="005E3439"/>
    <w:rsid w:val="005E3D44"/>
    <w:rsid w:val="005E3F85"/>
    <w:rsid w:val="005E5254"/>
    <w:rsid w:val="005E526E"/>
    <w:rsid w:val="005E552B"/>
    <w:rsid w:val="005E556D"/>
    <w:rsid w:val="005E56D0"/>
    <w:rsid w:val="005E601F"/>
    <w:rsid w:val="005E60AE"/>
    <w:rsid w:val="005E6196"/>
    <w:rsid w:val="005E6ED7"/>
    <w:rsid w:val="005E7083"/>
    <w:rsid w:val="005E78DC"/>
    <w:rsid w:val="005E7B2E"/>
    <w:rsid w:val="005F0584"/>
    <w:rsid w:val="005F0937"/>
    <w:rsid w:val="005F0BA9"/>
    <w:rsid w:val="005F0E1C"/>
    <w:rsid w:val="005F180D"/>
    <w:rsid w:val="005F1B7D"/>
    <w:rsid w:val="005F1C87"/>
    <w:rsid w:val="005F1D15"/>
    <w:rsid w:val="005F20CC"/>
    <w:rsid w:val="005F2B9C"/>
    <w:rsid w:val="005F32A3"/>
    <w:rsid w:val="005F32AB"/>
    <w:rsid w:val="005F37CA"/>
    <w:rsid w:val="005F40C2"/>
    <w:rsid w:val="005F4237"/>
    <w:rsid w:val="005F43CD"/>
    <w:rsid w:val="005F44EE"/>
    <w:rsid w:val="005F4DC2"/>
    <w:rsid w:val="005F5220"/>
    <w:rsid w:val="005F53C7"/>
    <w:rsid w:val="005F53D2"/>
    <w:rsid w:val="005F5635"/>
    <w:rsid w:val="005F5966"/>
    <w:rsid w:val="005F5FB0"/>
    <w:rsid w:val="005F63DB"/>
    <w:rsid w:val="005F6CCC"/>
    <w:rsid w:val="005F700E"/>
    <w:rsid w:val="005F70FC"/>
    <w:rsid w:val="005F72FA"/>
    <w:rsid w:val="005F77A3"/>
    <w:rsid w:val="005F7D38"/>
    <w:rsid w:val="00600097"/>
    <w:rsid w:val="006006F7"/>
    <w:rsid w:val="00600BB5"/>
    <w:rsid w:val="00600CFE"/>
    <w:rsid w:val="00601211"/>
    <w:rsid w:val="006018E6"/>
    <w:rsid w:val="0060192E"/>
    <w:rsid w:val="00602008"/>
    <w:rsid w:val="006021D6"/>
    <w:rsid w:val="006023E1"/>
    <w:rsid w:val="00602451"/>
    <w:rsid w:val="0060262A"/>
    <w:rsid w:val="00603070"/>
    <w:rsid w:val="00603254"/>
    <w:rsid w:val="00603785"/>
    <w:rsid w:val="006044C0"/>
    <w:rsid w:val="00604992"/>
    <w:rsid w:val="00604FBD"/>
    <w:rsid w:val="006057EB"/>
    <w:rsid w:val="00605A2D"/>
    <w:rsid w:val="00605D0E"/>
    <w:rsid w:val="00605E65"/>
    <w:rsid w:val="006066ED"/>
    <w:rsid w:val="00606898"/>
    <w:rsid w:val="00606A52"/>
    <w:rsid w:val="00606E7A"/>
    <w:rsid w:val="0060715E"/>
    <w:rsid w:val="006072BF"/>
    <w:rsid w:val="00607369"/>
    <w:rsid w:val="00607B89"/>
    <w:rsid w:val="00607BA7"/>
    <w:rsid w:val="00607F64"/>
    <w:rsid w:val="0061016A"/>
    <w:rsid w:val="00610C71"/>
    <w:rsid w:val="00610F4F"/>
    <w:rsid w:val="006110A4"/>
    <w:rsid w:val="0061123A"/>
    <w:rsid w:val="006113D0"/>
    <w:rsid w:val="00611835"/>
    <w:rsid w:val="00611A80"/>
    <w:rsid w:val="00611F7F"/>
    <w:rsid w:val="006120DE"/>
    <w:rsid w:val="006126BB"/>
    <w:rsid w:val="00612754"/>
    <w:rsid w:val="00612A3F"/>
    <w:rsid w:val="00612C28"/>
    <w:rsid w:val="00612E2B"/>
    <w:rsid w:val="00612EB5"/>
    <w:rsid w:val="006135E6"/>
    <w:rsid w:val="00613ABD"/>
    <w:rsid w:val="00613EB7"/>
    <w:rsid w:val="00614783"/>
    <w:rsid w:val="00614DDC"/>
    <w:rsid w:val="00615073"/>
    <w:rsid w:val="00615757"/>
    <w:rsid w:val="00615804"/>
    <w:rsid w:val="00615A78"/>
    <w:rsid w:val="00615C11"/>
    <w:rsid w:val="00615FAD"/>
    <w:rsid w:val="006169EB"/>
    <w:rsid w:val="006177C8"/>
    <w:rsid w:val="0061787E"/>
    <w:rsid w:val="00617A7D"/>
    <w:rsid w:val="00620006"/>
    <w:rsid w:val="006201C9"/>
    <w:rsid w:val="00620464"/>
    <w:rsid w:val="00620835"/>
    <w:rsid w:val="006214C5"/>
    <w:rsid w:val="0062171B"/>
    <w:rsid w:val="00621B3A"/>
    <w:rsid w:val="0062215E"/>
    <w:rsid w:val="00622297"/>
    <w:rsid w:val="00622389"/>
    <w:rsid w:val="006227BE"/>
    <w:rsid w:val="0062280A"/>
    <w:rsid w:val="00622AE9"/>
    <w:rsid w:val="00622B41"/>
    <w:rsid w:val="00622D47"/>
    <w:rsid w:val="006230C7"/>
    <w:rsid w:val="0062318D"/>
    <w:rsid w:val="0062328E"/>
    <w:rsid w:val="006232C3"/>
    <w:rsid w:val="006232FC"/>
    <w:rsid w:val="006234ED"/>
    <w:rsid w:val="00623637"/>
    <w:rsid w:val="006239AB"/>
    <w:rsid w:val="00623A2F"/>
    <w:rsid w:val="00623EAC"/>
    <w:rsid w:val="00624132"/>
    <w:rsid w:val="00624398"/>
    <w:rsid w:val="00624592"/>
    <w:rsid w:val="00624ABD"/>
    <w:rsid w:val="00624E4E"/>
    <w:rsid w:val="00624EE6"/>
    <w:rsid w:val="00625795"/>
    <w:rsid w:val="00625FAD"/>
    <w:rsid w:val="00626138"/>
    <w:rsid w:val="0062636F"/>
    <w:rsid w:val="006265EE"/>
    <w:rsid w:val="006268BF"/>
    <w:rsid w:val="006268F8"/>
    <w:rsid w:val="00626E9A"/>
    <w:rsid w:val="00627738"/>
    <w:rsid w:val="006279A5"/>
    <w:rsid w:val="00627B27"/>
    <w:rsid w:val="00627B53"/>
    <w:rsid w:val="00627FA3"/>
    <w:rsid w:val="00630B90"/>
    <w:rsid w:val="00631580"/>
    <w:rsid w:val="006315E6"/>
    <w:rsid w:val="00631CF1"/>
    <w:rsid w:val="00632530"/>
    <w:rsid w:val="0063273B"/>
    <w:rsid w:val="00632789"/>
    <w:rsid w:val="00632D8B"/>
    <w:rsid w:val="00632EA2"/>
    <w:rsid w:val="00633228"/>
    <w:rsid w:val="0063343C"/>
    <w:rsid w:val="00633615"/>
    <w:rsid w:val="006337BF"/>
    <w:rsid w:val="00633D3B"/>
    <w:rsid w:val="00634764"/>
    <w:rsid w:val="00634A42"/>
    <w:rsid w:val="00634C25"/>
    <w:rsid w:val="00634DDA"/>
    <w:rsid w:val="0063500E"/>
    <w:rsid w:val="00635175"/>
    <w:rsid w:val="0063575B"/>
    <w:rsid w:val="0063585D"/>
    <w:rsid w:val="00635A04"/>
    <w:rsid w:val="006364D6"/>
    <w:rsid w:val="00636523"/>
    <w:rsid w:val="006368FD"/>
    <w:rsid w:val="00636BAF"/>
    <w:rsid w:val="00636C96"/>
    <w:rsid w:val="00636FB6"/>
    <w:rsid w:val="00637341"/>
    <w:rsid w:val="006376DC"/>
    <w:rsid w:val="00637F67"/>
    <w:rsid w:val="0064033A"/>
    <w:rsid w:val="00640AF1"/>
    <w:rsid w:val="00640BCB"/>
    <w:rsid w:val="00641DB0"/>
    <w:rsid w:val="00641EE0"/>
    <w:rsid w:val="00641F0C"/>
    <w:rsid w:val="0064205D"/>
    <w:rsid w:val="00642163"/>
    <w:rsid w:val="00642224"/>
    <w:rsid w:val="00642616"/>
    <w:rsid w:val="00642C9D"/>
    <w:rsid w:val="006436CD"/>
    <w:rsid w:val="00643C53"/>
    <w:rsid w:val="00643F27"/>
    <w:rsid w:val="00643FE7"/>
    <w:rsid w:val="00644249"/>
    <w:rsid w:val="006443B3"/>
    <w:rsid w:val="006446A3"/>
    <w:rsid w:val="0064482E"/>
    <w:rsid w:val="006448F3"/>
    <w:rsid w:val="00644CFC"/>
    <w:rsid w:val="00645169"/>
    <w:rsid w:val="00645786"/>
    <w:rsid w:val="00646349"/>
    <w:rsid w:val="0064675E"/>
    <w:rsid w:val="00647195"/>
    <w:rsid w:val="006475EC"/>
    <w:rsid w:val="00647D71"/>
    <w:rsid w:val="00647E13"/>
    <w:rsid w:val="006507CF"/>
    <w:rsid w:val="006508DF"/>
    <w:rsid w:val="00650A74"/>
    <w:rsid w:val="00651122"/>
    <w:rsid w:val="006511CD"/>
    <w:rsid w:val="006517EA"/>
    <w:rsid w:val="00651DCF"/>
    <w:rsid w:val="00652882"/>
    <w:rsid w:val="00652B40"/>
    <w:rsid w:val="00652EF6"/>
    <w:rsid w:val="006532B9"/>
    <w:rsid w:val="00653486"/>
    <w:rsid w:val="00653564"/>
    <w:rsid w:val="006538CE"/>
    <w:rsid w:val="006539BE"/>
    <w:rsid w:val="006542CB"/>
    <w:rsid w:val="00654423"/>
    <w:rsid w:val="00654482"/>
    <w:rsid w:val="00654C46"/>
    <w:rsid w:val="00654C7F"/>
    <w:rsid w:val="0065514C"/>
    <w:rsid w:val="0065579B"/>
    <w:rsid w:val="0065607E"/>
    <w:rsid w:val="00656593"/>
    <w:rsid w:val="006565EB"/>
    <w:rsid w:val="006566A6"/>
    <w:rsid w:val="00656DE2"/>
    <w:rsid w:val="00656F74"/>
    <w:rsid w:val="00657101"/>
    <w:rsid w:val="006571A4"/>
    <w:rsid w:val="0065763E"/>
    <w:rsid w:val="00657759"/>
    <w:rsid w:val="00657969"/>
    <w:rsid w:val="00657E06"/>
    <w:rsid w:val="00657E66"/>
    <w:rsid w:val="0066008B"/>
    <w:rsid w:val="00660264"/>
    <w:rsid w:val="00660BFF"/>
    <w:rsid w:val="006610D4"/>
    <w:rsid w:val="006616A8"/>
    <w:rsid w:val="00661DAD"/>
    <w:rsid w:val="00661F3C"/>
    <w:rsid w:val="006624BD"/>
    <w:rsid w:val="00662BCB"/>
    <w:rsid w:val="00662BE6"/>
    <w:rsid w:val="00662D28"/>
    <w:rsid w:val="00662FDF"/>
    <w:rsid w:val="0066386C"/>
    <w:rsid w:val="00663B12"/>
    <w:rsid w:val="00664426"/>
    <w:rsid w:val="006646C7"/>
    <w:rsid w:val="006649A0"/>
    <w:rsid w:val="00664E3A"/>
    <w:rsid w:val="00664FD2"/>
    <w:rsid w:val="006657AF"/>
    <w:rsid w:val="0066580F"/>
    <w:rsid w:val="00665CA7"/>
    <w:rsid w:val="0066612B"/>
    <w:rsid w:val="0066628A"/>
    <w:rsid w:val="0066656A"/>
    <w:rsid w:val="0066683D"/>
    <w:rsid w:val="00666A85"/>
    <w:rsid w:val="00666A88"/>
    <w:rsid w:val="00666D12"/>
    <w:rsid w:val="00667418"/>
    <w:rsid w:val="006702B8"/>
    <w:rsid w:val="0067035A"/>
    <w:rsid w:val="006703C9"/>
    <w:rsid w:val="00670D39"/>
    <w:rsid w:val="006712C5"/>
    <w:rsid w:val="006714E5"/>
    <w:rsid w:val="00671B54"/>
    <w:rsid w:val="00671BAB"/>
    <w:rsid w:val="00671C2D"/>
    <w:rsid w:val="00671E9F"/>
    <w:rsid w:val="00673045"/>
    <w:rsid w:val="00673564"/>
    <w:rsid w:val="00673668"/>
    <w:rsid w:val="006736F3"/>
    <w:rsid w:val="00673917"/>
    <w:rsid w:val="00673DEB"/>
    <w:rsid w:val="00673E1E"/>
    <w:rsid w:val="00673F09"/>
    <w:rsid w:val="00674FB5"/>
    <w:rsid w:val="0067518A"/>
    <w:rsid w:val="00675351"/>
    <w:rsid w:val="00675919"/>
    <w:rsid w:val="00675A9E"/>
    <w:rsid w:val="00675B6B"/>
    <w:rsid w:val="00676265"/>
    <w:rsid w:val="0067629A"/>
    <w:rsid w:val="006762C1"/>
    <w:rsid w:val="00676D45"/>
    <w:rsid w:val="00680C2A"/>
    <w:rsid w:val="00680DC8"/>
    <w:rsid w:val="006811E9"/>
    <w:rsid w:val="006815C7"/>
    <w:rsid w:val="00681AB9"/>
    <w:rsid w:val="00681C5B"/>
    <w:rsid w:val="00682119"/>
    <w:rsid w:val="006830C5"/>
    <w:rsid w:val="006836E4"/>
    <w:rsid w:val="006837EB"/>
    <w:rsid w:val="0068405B"/>
    <w:rsid w:val="00684140"/>
    <w:rsid w:val="00684890"/>
    <w:rsid w:val="006848CB"/>
    <w:rsid w:val="00684E13"/>
    <w:rsid w:val="00684F86"/>
    <w:rsid w:val="0068525B"/>
    <w:rsid w:val="006852ED"/>
    <w:rsid w:val="00685578"/>
    <w:rsid w:val="00685982"/>
    <w:rsid w:val="00685C1D"/>
    <w:rsid w:val="00685D90"/>
    <w:rsid w:val="00685DF2"/>
    <w:rsid w:val="00686885"/>
    <w:rsid w:val="00686DA1"/>
    <w:rsid w:val="006873CF"/>
    <w:rsid w:val="00687482"/>
    <w:rsid w:val="00687C8C"/>
    <w:rsid w:val="00687D9A"/>
    <w:rsid w:val="00687E91"/>
    <w:rsid w:val="0069019A"/>
    <w:rsid w:val="0069042D"/>
    <w:rsid w:val="0069056C"/>
    <w:rsid w:val="006906CC"/>
    <w:rsid w:val="006908BD"/>
    <w:rsid w:val="00690DDE"/>
    <w:rsid w:val="006916E1"/>
    <w:rsid w:val="00691C7C"/>
    <w:rsid w:val="0069209A"/>
    <w:rsid w:val="0069271B"/>
    <w:rsid w:val="00692891"/>
    <w:rsid w:val="00692D0A"/>
    <w:rsid w:val="00693463"/>
    <w:rsid w:val="00693AD5"/>
    <w:rsid w:val="00693C9B"/>
    <w:rsid w:val="00693DBC"/>
    <w:rsid w:val="00693F62"/>
    <w:rsid w:val="00694455"/>
    <w:rsid w:val="00694F26"/>
    <w:rsid w:val="00694F75"/>
    <w:rsid w:val="00695099"/>
    <w:rsid w:val="00695134"/>
    <w:rsid w:val="006952B6"/>
    <w:rsid w:val="00695CDF"/>
    <w:rsid w:val="00695DF9"/>
    <w:rsid w:val="0069631C"/>
    <w:rsid w:val="0069641D"/>
    <w:rsid w:val="006965B4"/>
    <w:rsid w:val="00696BD7"/>
    <w:rsid w:val="00697135"/>
    <w:rsid w:val="0069757F"/>
    <w:rsid w:val="0069765E"/>
    <w:rsid w:val="006979FA"/>
    <w:rsid w:val="00697BD9"/>
    <w:rsid w:val="006A06C1"/>
    <w:rsid w:val="006A0BA7"/>
    <w:rsid w:val="006A0CF0"/>
    <w:rsid w:val="006A11D8"/>
    <w:rsid w:val="006A187D"/>
    <w:rsid w:val="006A18CB"/>
    <w:rsid w:val="006A1D47"/>
    <w:rsid w:val="006A1FA1"/>
    <w:rsid w:val="006A223E"/>
    <w:rsid w:val="006A22E9"/>
    <w:rsid w:val="006A236D"/>
    <w:rsid w:val="006A24D1"/>
    <w:rsid w:val="006A2C22"/>
    <w:rsid w:val="006A2F63"/>
    <w:rsid w:val="006A36A1"/>
    <w:rsid w:val="006A393A"/>
    <w:rsid w:val="006A3E2B"/>
    <w:rsid w:val="006A43A9"/>
    <w:rsid w:val="006A474E"/>
    <w:rsid w:val="006A48D8"/>
    <w:rsid w:val="006A4F58"/>
    <w:rsid w:val="006A4FF9"/>
    <w:rsid w:val="006A50C4"/>
    <w:rsid w:val="006A550E"/>
    <w:rsid w:val="006A5CD7"/>
    <w:rsid w:val="006A6D84"/>
    <w:rsid w:val="006A6E23"/>
    <w:rsid w:val="006A701A"/>
    <w:rsid w:val="006A7208"/>
    <w:rsid w:val="006A7D3B"/>
    <w:rsid w:val="006B012A"/>
    <w:rsid w:val="006B0206"/>
    <w:rsid w:val="006B07C8"/>
    <w:rsid w:val="006B08CB"/>
    <w:rsid w:val="006B0BA4"/>
    <w:rsid w:val="006B0C00"/>
    <w:rsid w:val="006B1185"/>
    <w:rsid w:val="006B12E2"/>
    <w:rsid w:val="006B1921"/>
    <w:rsid w:val="006B1DAC"/>
    <w:rsid w:val="006B1EC3"/>
    <w:rsid w:val="006B1F3F"/>
    <w:rsid w:val="006B1F99"/>
    <w:rsid w:val="006B2260"/>
    <w:rsid w:val="006B277D"/>
    <w:rsid w:val="006B2A44"/>
    <w:rsid w:val="006B2C70"/>
    <w:rsid w:val="006B2E54"/>
    <w:rsid w:val="006B2FD0"/>
    <w:rsid w:val="006B3A42"/>
    <w:rsid w:val="006B5147"/>
    <w:rsid w:val="006B614C"/>
    <w:rsid w:val="006B6579"/>
    <w:rsid w:val="006B6773"/>
    <w:rsid w:val="006B6790"/>
    <w:rsid w:val="006B6B08"/>
    <w:rsid w:val="006B7068"/>
    <w:rsid w:val="006B735A"/>
    <w:rsid w:val="006B735D"/>
    <w:rsid w:val="006B7703"/>
    <w:rsid w:val="006B7978"/>
    <w:rsid w:val="006B79E2"/>
    <w:rsid w:val="006B7DFA"/>
    <w:rsid w:val="006B7E7B"/>
    <w:rsid w:val="006C00CE"/>
    <w:rsid w:val="006C0772"/>
    <w:rsid w:val="006C080E"/>
    <w:rsid w:val="006C0852"/>
    <w:rsid w:val="006C0903"/>
    <w:rsid w:val="006C09EC"/>
    <w:rsid w:val="006C11B4"/>
    <w:rsid w:val="006C13B0"/>
    <w:rsid w:val="006C17C1"/>
    <w:rsid w:val="006C1ADD"/>
    <w:rsid w:val="006C248D"/>
    <w:rsid w:val="006C29B3"/>
    <w:rsid w:val="006C2F57"/>
    <w:rsid w:val="006C305F"/>
    <w:rsid w:val="006C37A0"/>
    <w:rsid w:val="006C37C8"/>
    <w:rsid w:val="006C397D"/>
    <w:rsid w:val="006C39AF"/>
    <w:rsid w:val="006C4953"/>
    <w:rsid w:val="006C4959"/>
    <w:rsid w:val="006C4982"/>
    <w:rsid w:val="006C59C3"/>
    <w:rsid w:val="006C5D22"/>
    <w:rsid w:val="006C5FC8"/>
    <w:rsid w:val="006C6130"/>
    <w:rsid w:val="006C65A6"/>
    <w:rsid w:val="006C6A8C"/>
    <w:rsid w:val="006C6E33"/>
    <w:rsid w:val="006C724A"/>
    <w:rsid w:val="006C777A"/>
    <w:rsid w:val="006C781A"/>
    <w:rsid w:val="006C785E"/>
    <w:rsid w:val="006C786C"/>
    <w:rsid w:val="006C7912"/>
    <w:rsid w:val="006C7B47"/>
    <w:rsid w:val="006C7BBC"/>
    <w:rsid w:val="006C7F2C"/>
    <w:rsid w:val="006D0123"/>
    <w:rsid w:val="006D0155"/>
    <w:rsid w:val="006D0779"/>
    <w:rsid w:val="006D0A93"/>
    <w:rsid w:val="006D0BBB"/>
    <w:rsid w:val="006D0E3B"/>
    <w:rsid w:val="006D186A"/>
    <w:rsid w:val="006D1A49"/>
    <w:rsid w:val="006D1D50"/>
    <w:rsid w:val="006D1E59"/>
    <w:rsid w:val="006D2A10"/>
    <w:rsid w:val="006D2F81"/>
    <w:rsid w:val="006D2FDC"/>
    <w:rsid w:val="006D3489"/>
    <w:rsid w:val="006D37E1"/>
    <w:rsid w:val="006D3969"/>
    <w:rsid w:val="006D3CF2"/>
    <w:rsid w:val="006D3E0C"/>
    <w:rsid w:val="006D413C"/>
    <w:rsid w:val="006D43D3"/>
    <w:rsid w:val="006D4665"/>
    <w:rsid w:val="006D487C"/>
    <w:rsid w:val="006D4FAC"/>
    <w:rsid w:val="006D51B0"/>
    <w:rsid w:val="006D52A7"/>
    <w:rsid w:val="006D53FB"/>
    <w:rsid w:val="006D5556"/>
    <w:rsid w:val="006D5897"/>
    <w:rsid w:val="006D58B4"/>
    <w:rsid w:val="006D58E4"/>
    <w:rsid w:val="006D5ED5"/>
    <w:rsid w:val="006D60B2"/>
    <w:rsid w:val="006D63B8"/>
    <w:rsid w:val="006D654F"/>
    <w:rsid w:val="006D6895"/>
    <w:rsid w:val="006D7017"/>
    <w:rsid w:val="006D7355"/>
    <w:rsid w:val="006D74C3"/>
    <w:rsid w:val="006D77E0"/>
    <w:rsid w:val="006D7EBF"/>
    <w:rsid w:val="006E01C4"/>
    <w:rsid w:val="006E0696"/>
    <w:rsid w:val="006E0BBD"/>
    <w:rsid w:val="006E0F94"/>
    <w:rsid w:val="006E0FF8"/>
    <w:rsid w:val="006E1243"/>
    <w:rsid w:val="006E1416"/>
    <w:rsid w:val="006E1546"/>
    <w:rsid w:val="006E25C7"/>
    <w:rsid w:val="006E29B7"/>
    <w:rsid w:val="006E2C1F"/>
    <w:rsid w:val="006E333E"/>
    <w:rsid w:val="006E38D4"/>
    <w:rsid w:val="006E427C"/>
    <w:rsid w:val="006E486E"/>
    <w:rsid w:val="006E4C75"/>
    <w:rsid w:val="006E50E3"/>
    <w:rsid w:val="006E5D3C"/>
    <w:rsid w:val="006E607C"/>
    <w:rsid w:val="006E6B7E"/>
    <w:rsid w:val="006E6F89"/>
    <w:rsid w:val="006E73D4"/>
    <w:rsid w:val="006E7441"/>
    <w:rsid w:val="006E748B"/>
    <w:rsid w:val="006F0940"/>
    <w:rsid w:val="006F0F6C"/>
    <w:rsid w:val="006F1452"/>
    <w:rsid w:val="006F19A1"/>
    <w:rsid w:val="006F1AC0"/>
    <w:rsid w:val="006F252B"/>
    <w:rsid w:val="006F2DFC"/>
    <w:rsid w:val="006F3342"/>
    <w:rsid w:val="006F39CB"/>
    <w:rsid w:val="006F3D89"/>
    <w:rsid w:val="006F41FF"/>
    <w:rsid w:val="006F445D"/>
    <w:rsid w:val="006F4584"/>
    <w:rsid w:val="006F4A54"/>
    <w:rsid w:val="006F4F21"/>
    <w:rsid w:val="006F522B"/>
    <w:rsid w:val="006F5345"/>
    <w:rsid w:val="006F5662"/>
    <w:rsid w:val="006F5A2D"/>
    <w:rsid w:val="006F6C88"/>
    <w:rsid w:val="006F7B23"/>
    <w:rsid w:val="006F7BFC"/>
    <w:rsid w:val="006F7F65"/>
    <w:rsid w:val="006F7F86"/>
    <w:rsid w:val="006F7FAA"/>
    <w:rsid w:val="0070028B"/>
    <w:rsid w:val="007004B7"/>
    <w:rsid w:val="007006BF"/>
    <w:rsid w:val="00700ACC"/>
    <w:rsid w:val="00701D87"/>
    <w:rsid w:val="00701E84"/>
    <w:rsid w:val="00702127"/>
    <w:rsid w:val="007021EE"/>
    <w:rsid w:val="00702462"/>
    <w:rsid w:val="00702669"/>
    <w:rsid w:val="007029C1"/>
    <w:rsid w:val="00702D67"/>
    <w:rsid w:val="00702DA8"/>
    <w:rsid w:val="007034D0"/>
    <w:rsid w:val="00703548"/>
    <w:rsid w:val="00703BF5"/>
    <w:rsid w:val="007046D5"/>
    <w:rsid w:val="00704959"/>
    <w:rsid w:val="007049D0"/>
    <w:rsid w:val="00704FF0"/>
    <w:rsid w:val="00705175"/>
    <w:rsid w:val="00705A5A"/>
    <w:rsid w:val="007061EA"/>
    <w:rsid w:val="007062B1"/>
    <w:rsid w:val="007067E8"/>
    <w:rsid w:val="00706C8B"/>
    <w:rsid w:val="00707389"/>
    <w:rsid w:val="0070766E"/>
    <w:rsid w:val="0070796A"/>
    <w:rsid w:val="0071004D"/>
    <w:rsid w:val="00710676"/>
    <w:rsid w:val="00710E8F"/>
    <w:rsid w:val="00710F52"/>
    <w:rsid w:val="00711412"/>
    <w:rsid w:val="0071149E"/>
    <w:rsid w:val="00711647"/>
    <w:rsid w:val="00711755"/>
    <w:rsid w:val="007118D8"/>
    <w:rsid w:val="007120CE"/>
    <w:rsid w:val="00712208"/>
    <w:rsid w:val="0071286B"/>
    <w:rsid w:val="00712BD4"/>
    <w:rsid w:val="007132E8"/>
    <w:rsid w:val="007136B6"/>
    <w:rsid w:val="00713A8F"/>
    <w:rsid w:val="0071413A"/>
    <w:rsid w:val="0071434A"/>
    <w:rsid w:val="0071478F"/>
    <w:rsid w:val="0071485A"/>
    <w:rsid w:val="00714B3E"/>
    <w:rsid w:val="007160E0"/>
    <w:rsid w:val="00716EE9"/>
    <w:rsid w:val="007177DA"/>
    <w:rsid w:val="00717CD9"/>
    <w:rsid w:val="00717DCE"/>
    <w:rsid w:val="00717FAD"/>
    <w:rsid w:val="00717FC3"/>
    <w:rsid w:val="0072029F"/>
    <w:rsid w:val="007202BB"/>
    <w:rsid w:val="00720698"/>
    <w:rsid w:val="0072070B"/>
    <w:rsid w:val="0072079F"/>
    <w:rsid w:val="007212D2"/>
    <w:rsid w:val="00721B73"/>
    <w:rsid w:val="00722529"/>
    <w:rsid w:val="00722E0C"/>
    <w:rsid w:val="0072316F"/>
    <w:rsid w:val="007234F0"/>
    <w:rsid w:val="00724024"/>
    <w:rsid w:val="00724942"/>
    <w:rsid w:val="00724A01"/>
    <w:rsid w:val="0072504B"/>
    <w:rsid w:val="00725093"/>
    <w:rsid w:val="007261C6"/>
    <w:rsid w:val="00726258"/>
    <w:rsid w:val="007262E4"/>
    <w:rsid w:val="00726648"/>
    <w:rsid w:val="00727120"/>
    <w:rsid w:val="007271D1"/>
    <w:rsid w:val="007273BE"/>
    <w:rsid w:val="00727AB0"/>
    <w:rsid w:val="00727BA5"/>
    <w:rsid w:val="00727D03"/>
    <w:rsid w:val="007301EB"/>
    <w:rsid w:val="007302E5"/>
    <w:rsid w:val="0073056C"/>
    <w:rsid w:val="00730D68"/>
    <w:rsid w:val="00730EB3"/>
    <w:rsid w:val="00731029"/>
    <w:rsid w:val="0073118B"/>
    <w:rsid w:val="007323B4"/>
    <w:rsid w:val="00732884"/>
    <w:rsid w:val="007328AF"/>
    <w:rsid w:val="00732957"/>
    <w:rsid w:val="00732E21"/>
    <w:rsid w:val="00732F5D"/>
    <w:rsid w:val="007333AA"/>
    <w:rsid w:val="007337F1"/>
    <w:rsid w:val="0073385A"/>
    <w:rsid w:val="007338EB"/>
    <w:rsid w:val="00733976"/>
    <w:rsid w:val="00733D97"/>
    <w:rsid w:val="00733E25"/>
    <w:rsid w:val="0073414A"/>
    <w:rsid w:val="007342DE"/>
    <w:rsid w:val="007344B0"/>
    <w:rsid w:val="007345E4"/>
    <w:rsid w:val="00734A89"/>
    <w:rsid w:val="0073502F"/>
    <w:rsid w:val="007353BC"/>
    <w:rsid w:val="00735435"/>
    <w:rsid w:val="0073582F"/>
    <w:rsid w:val="00735CD5"/>
    <w:rsid w:val="007366AC"/>
    <w:rsid w:val="00736725"/>
    <w:rsid w:val="00736D0F"/>
    <w:rsid w:val="007370D4"/>
    <w:rsid w:val="00737457"/>
    <w:rsid w:val="0073780D"/>
    <w:rsid w:val="00737B02"/>
    <w:rsid w:val="00737D57"/>
    <w:rsid w:val="007401E3"/>
    <w:rsid w:val="00740E36"/>
    <w:rsid w:val="00740FFE"/>
    <w:rsid w:val="00741000"/>
    <w:rsid w:val="0074218F"/>
    <w:rsid w:val="007421BA"/>
    <w:rsid w:val="0074252A"/>
    <w:rsid w:val="0074271A"/>
    <w:rsid w:val="007428C2"/>
    <w:rsid w:val="007436D5"/>
    <w:rsid w:val="007439CB"/>
    <w:rsid w:val="00743C8E"/>
    <w:rsid w:val="00744610"/>
    <w:rsid w:val="007448C8"/>
    <w:rsid w:val="00744B32"/>
    <w:rsid w:val="00744E4B"/>
    <w:rsid w:val="00745366"/>
    <w:rsid w:val="00745714"/>
    <w:rsid w:val="00745DD8"/>
    <w:rsid w:val="007461BD"/>
    <w:rsid w:val="00746401"/>
    <w:rsid w:val="00746F1F"/>
    <w:rsid w:val="0074742B"/>
    <w:rsid w:val="00747887"/>
    <w:rsid w:val="00747B34"/>
    <w:rsid w:val="00750976"/>
    <w:rsid w:val="00750D80"/>
    <w:rsid w:val="0075163B"/>
    <w:rsid w:val="00751773"/>
    <w:rsid w:val="007519F9"/>
    <w:rsid w:val="00751AA7"/>
    <w:rsid w:val="00752727"/>
    <w:rsid w:val="00752D67"/>
    <w:rsid w:val="007536F8"/>
    <w:rsid w:val="00753878"/>
    <w:rsid w:val="007542E0"/>
    <w:rsid w:val="0075491A"/>
    <w:rsid w:val="00754D31"/>
    <w:rsid w:val="00754D5C"/>
    <w:rsid w:val="0075514E"/>
    <w:rsid w:val="00755CF4"/>
    <w:rsid w:val="00755DC0"/>
    <w:rsid w:val="007573EA"/>
    <w:rsid w:val="007601CD"/>
    <w:rsid w:val="007604FE"/>
    <w:rsid w:val="007605A0"/>
    <w:rsid w:val="00760D4B"/>
    <w:rsid w:val="007613A7"/>
    <w:rsid w:val="007613C0"/>
    <w:rsid w:val="00761920"/>
    <w:rsid w:val="007619B6"/>
    <w:rsid w:val="00761E77"/>
    <w:rsid w:val="00762003"/>
    <w:rsid w:val="00762615"/>
    <w:rsid w:val="00762757"/>
    <w:rsid w:val="00762B1D"/>
    <w:rsid w:val="00762C1E"/>
    <w:rsid w:val="00762DC3"/>
    <w:rsid w:val="0076304E"/>
    <w:rsid w:val="00763181"/>
    <w:rsid w:val="00763472"/>
    <w:rsid w:val="00763830"/>
    <w:rsid w:val="00763835"/>
    <w:rsid w:val="00763DA9"/>
    <w:rsid w:val="00763F8C"/>
    <w:rsid w:val="0076450C"/>
    <w:rsid w:val="00764548"/>
    <w:rsid w:val="00764AAE"/>
    <w:rsid w:val="007653A6"/>
    <w:rsid w:val="00765EE4"/>
    <w:rsid w:val="00765F75"/>
    <w:rsid w:val="007673BC"/>
    <w:rsid w:val="00767906"/>
    <w:rsid w:val="00767941"/>
    <w:rsid w:val="00767B4F"/>
    <w:rsid w:val="00770595"/>
    <w:rsid w:val="007707B9"/>
    <w:rsid w:val="00770898"/>
    <w:rsid w:val="00770B44"/>
    <w:rsid w:val="00770D58"/>
    <w:rsid w:val="00770D8E"/>
    <w:rsid w:val="00770FE1"/>
    <w:rsid w:val="0077101A"/>
    <w:rsid w:val="007713F3"/>
    <w:rsid w:val="0077148C"/>
    <w:rsid w:val="00771697"/>
    <w:rsid w:val="00771988"/>
    <w:rsid w:val="00771D9B"/>
    <w:rsid w:val="00772197"/>
    <w:rsid w:val="0077261B"/>
    <w:rsid w:val="007728C7"/>
    <w:rsid w:val="0077295A"/>
    <w:rsid w:val="00772A62"/>
    <w:rsid w:val="00772D51"/>
    <w:rsid w:val="00772E68"/>
    <w:rsid w:val="0077329D"/>
    <w:rsid w:val="0077378A"/>
    <w:rsid w:val="007738F3"/>
    <w:rsid w:val="00773AAA"/>
    <w:rsid w:val="00773E7F"/>
    <w:rsid w:val="00773F25"/>
    <w:rsid w:val="00773FAC"/>
    <w:rsid w:val="007743B1"/>
    <w:rsid w:val="0077490C"/>
    <w:rsid w:val="00774CB8"/>
    <w:rsid w:val="0077580F"/>
    <w:rsid w:val="00775984"/>
    <w:rsid w:val="00775BA3"/>
    <w:rsid w:val="00775D25"/>
    <w:rsid w:val="0077640B"/>
    <w:rsid w:val="007764EF"/>
    <w:rsid w:val="00776571"/>
    <w:rsid w:val="0077694A"/>
    <w:rsid w:val="00776BFC"/>
    <w:rsid w:val="00776CF3"/>
    <w:rsid w:val="00776D53"/>
    <w:rsid w:val="00776F65"/>
    <w:rsid w:val="0077740B"/>
    <w:rsid w:val="00777898"/>
    <w:rsid w:val="007778D2"/>
    <w:rsid w:val="007779F4"/>
    <w:rsid w:val="00777BB1"/>
    <w:rsid w:val="00777CCA"/>
    <w:rsid w:val="00780543"/>
    <w:rsid w:val="0078063C"/>
    <w:rsid w:val="00780837"/>
    <w:rsid w:val="00780A48"/>
    <w:rsid w:val="00780FE7"/>
    <w:rsid w:val="00781438"/>
    <w:rsid w:val="00781453"/>
    <w:rsid w:val="00781599"/>
    <w:rsid w:val="0078163A"/>
    <w:rsid w:val="007817ED"/>
    <w:rsid w:val="007822E9"/>
    <w:rsid w:val="00782604"/>
    <w:rsid w:val="00782751"/>
    <w:rsid w:val="007828D0"/>
    <w:rsid w:val="00782AAB"/>
    <w:rsid w:val="00783153"/>
    <w:rsid w:val="007832E3"/>
    <w:rsid w:val="007835DF"/>
    <w:rsid w:val="007835E9"/>
    <w:rsid w:val="00783AA8"/>
    <w:rsid w:val="00783B62"/>
    <w:rsid w:val="00783F70"/>
    <w:rsid w:val="00783F9C"/>
    <w:rsid w:val="00784000"/>
    <w:rsid w:val="00784148"/>
    <w:rsid w:val="00784A27"/>
    <w:rsid w:val="00784BBD"/>
    <w:rsid w:val="0078513C"/>
    <w:rsid w:val="007854CE"/>
    <w:rsid w:val="007854E0"/>
    <w:rsid w:val="00785D6B"/>
    <w:rsid w:val="00785F8C"/>
    <w:rsid w:val="00786353"/>
    <w:rsid w:val="0078690B"/>
    <w:rsid w:val="00786ABF"/>
    <w:rsid w:val="00786D1C"/>
    <w:rsid w:val="00786DB9"/>
    <w:rsid w:val="00786EF3"/>
    <w:rsid w:val="007876E2"/>
    <w:rsid w:val="00787BBB"/>
    <w:rsid w:val="007907E8"/>
    <w:rsid w:val="00790B80"/>
    <w:rsid w:val="00790CF0"/>
    <w:rsid w:val="00790E1D"/>
    <w:rsid w:val="00791171"/>
    <w:rsid w:val="00791173"/>
    <w:rsid w:val="0079178D"/>
    <w:rsid w:val="0079186E"/>
    <w:rsid w:val="00791B5E"/>
    <w:rsid w:val="00791D12"/>
    <w:rsid w:val="0079209C"/>
    <w:rsid w:val="007928C4"/>
    <w:rsid w:val="00792A29"/>
    <w:rsid w:val="00792AD1"/>
    <w:rsid w:val="00792E35"/>
    <w:rsid w:val="007936A2"/>
    <w:rsid w:val="00793B0D"/>
    <w:rsid w:val="00793B56"/>
    <w:rsid w:val="00793BE9"/>
    <w:rsid w:val="007941F8"/>
    <w:rsid w:val="0079445F"/>
    <w:rsid w:val="00794C01"/>
    <w:rsid w:val="00794C56"/>
    <w:rsid w:val="00794D27"/>
    <w:rsid w:val="00794E11"/>
    <w:rsid w:val="00794F6D"/>
    <w:rsid w:val="007952A4"/>
    <w:rsid w:val="007955F7"/>
    <w:rsid w:val="007956F5"/>
    <w:rsid w:val="00795764"/>
    <w:rsid w:val="00795DCC"/>
    <w:rsid w:val="00795EB8"/>
    <w:rsid w:val="007969AA"/>
    <w:rsid w:val="00796C06"/>
    <w:rsid w:val="00796F75"/>
    <w:rsid w:val="0079796B"/>
    <w:rsid w:val="007A001E"/>
    <w:rsid w:val="007A0C67"/>
    <w:rsid w:val="007A0DDA"/>
    <w:rsid w:val="007A0F29"/>
    <w:rsid w:val="007A10D4"/>
    <w:rsid w:val="007A1220"/>
    <w:rsid w:val="007A14B6"/>
    <w:rsid w:val="007A162B"/>
    <w:rsid w:val="007A1C5A"/>
    <w:rsid w:val="007A3455"/>
    <w:rsid w:val="007A36D9"/>
    <w:rsid w:val="007A383F"/>
    <w:rsid w:val="007A3849"/>
    <w:rsid w:val="007A3CFE"/>
    <w:rsid w:val="007A4FF5"/>
    <w:rsid w:val="007A5C33"/>
    <w:rsid w:val="007A647C"/>
    <w:rsid w:val="007A6514"/>
    <w:rsid w:val="007A728A"/>
    <w:rsid w:val="007A7BD1"/>
    <w:rsid w:val="007A7D88"/>
    <w:rsid w:val="007B0CA5"/>
    <w:rsid w:val="007B0CA9"/>
    <w:rsid w:val="007B0E58"/>
    <w:rsid w:val="007B0EA8"/>
    <w:rsid w:val="007B10ED"/>
    <w:rsid w:val="007B1229"/>
    <w:rsid w:val="007B1296"/>
    <w:rsid w:val="007B12FE"/>
    <w:rsid w:val="007B142E"/>
    <w:rsid w:val="007B152D"/>
    <w:rsid w:val="007B1546"/>
    <w:rsid w:val="007B1721"/>
    <w:rsid w:val="007B1796"/>
    <w:rsid w:val="007B1A06"/>
    <w:rsid w:val="007B1AAC"/>
    <w:rsid w:val="007B1E13"/>
    <w:rsid w:val="007B1F53"/>
    <w:rsid w:val="007B213D"/>
    <w:rsid w:val="007B2A44"/>
    <w:rsid w:val="007B2A81"/>
    <w:rsid w:val="007B2B50"/>
    <w:rsid w:val="007B2B80"/>
    <w:rsid w:val="007B3328"/>
    <w:rsid w:val="007B3477"/>
    <w:rsid w:val="007B35EF"/>
    <w:rsid w:val="007B3694"/>
    <w:rsid w:val="007B3702"/>
    <w:rsid w:val="007B3C6C"/>
    <w:rsid w:val="007B425A"/>
    <w:rsid w:val="007B46CC"/>
    <w:rsid w:val="007B4E52"/>
    <w:rsid w:val="007B5235"/>
    <w:rsid w:val="007B6065"/>
    <w:rsid w:val="007B6407"/>
    <w:rsid w:val="007B6E37"/>
    <w:rsid w:val="007B792D"/>
    <w:rsid w:val="007B7F8C"/>
    <w:rsid w:val="007C04D8"/>
    <w:rsid w:val="007C0522"/>
    <w:rsid w:val="007C0A98"/>
    <w:rsid w:val="007C0BC2"/>
    <w:rsid w:val="007C0C0B"/>
    <w:rsid w:val="007C104C"/>
    <w:rsid w:val="007C1150"/>
    <w:rsid w:val="007C13E3"/>
    <w:rsid w:val="007C17A8"/>
    <w:rsid w:val="007C1C5A"/>
    <w:rsid w:val="007C2163"/>
    <w:rsid w:val="007C2259"/>
    <w:rsid w:val="007C28E4"/>
    <w:rsid w:val="007C2FDB"/>
    <w:rsid w:val="007C3140"/>
    <w:rsid w:val="007C37FF"/>
    <w:rsid w:val="007C38B3"/>
    <w:rsid w:val="007C3F78"/>
    <w:rsid w:val="007C40EC"/>
    <w:rsid w:val="007C414A"/>
    <w:rsid w:val="007C4303"/>
    <w:rsid w:val="007C4903"/>
    <w:rsid w:val="007C5257"/>
    <w:rsid w:val="007C53D8"/>
    <w:rsid w:val="007C5A02"/>
    <w:rsid w:val="007C5C86"/>
    <w:rsid w:val="007C6032"/>
    <w:rsid w:val="007C61E8"/>
    <w:rsid w:val="007C6FF4"/>
    <w:rsid w:val="007C7155"/>
    <w:rsid w:val="007C729F"/>
    <w:rsid w:val="007C75C2"/>
    <w:rsid w:val="007D01F2"/>
    <w:rsid w:val="007D0236"/>
    <w:rsid w:val="007D0C2E"/>
    <w:rsid w:val="007D0D95"/>
    <w:rsid w:val="007D10A2"/>
    <w:rsid w:val="007D17F8"/>
    <w:rsid w:val="007D1967"/>
    <w:rsid w:val="007D1B3A"/>
    <w:rsid w:val="007D230B"/>
    <w:rsid w:val="007D24BA"/>
    <w:rsid w:val="007D259C"/>
    <w:rsid w:val="007D263B"/>
    <w:rsid w:val="007D2EF9"/>
    <w:rsid w:val="007D32E0"/>
    <w:rsid w:val="007D3BEF"/>
    <w:rsid w:val="007D50FB"/>
    <w:rsid w:val="007D5370"/>
    <w:rsid w:val="007D61A2"/>
    <w:rsid w:val="007D6282"/>
    <w:rsid w:val="007D64B0"/>
    <w:rsid w:val="007D6658"/>
    <w:rsid w:val="007D67B4"/>
    <w:rsid w:val="007D6AC3"/>
    <w:rsid w:val="007D6C9B"/>
    <w:rsid w:val="007D6CCC"/>
    <w:rsid w:val="007D6E86"/>
    <w:rsid w:val="007D7383"/>
    <w:rsid w:val="007D76E5"/>
    <w:rsid w:val="007D7D6E"/>
    <w:rsid w:val="007D7DAA"/>
    <w:rsid w:val="007D7EBE"/>
    <w:rsid w:val="007D7F65"/>
    <w:rsid w:val="007E003E"/>
    <w:rsid w:val="007E0D39"/>
    <w:rsid w:val="007E0E37"/>
    <w:rsid w:val="007E0F88"/>
    <w:rsid w:val="007E154D"/>
    <w:rsid w:val="007E1B23"/>
    <w:rsid w:val="007E2D67"/>
    <w:rsid w:val="007E2EE2"/>
    <w:rsid w:val="007E30A2"/>
    <w:rsid w:val="007E3121"/>
    <w:rsid w:val="007E353F"/>
    <w:rsid w:val="007E3570"/>
    <w:rsid w:val="007E3C7D"/>
    <w:rsid w:val="007E42A9"/>
    <w:rsid w:val="007E4A63"/>
    <w:rsid w:val="007E4B75"/>
    <w:rsid w:val="007E519C"/>
    <w:rsid w:val="007E54C4"/>
    <w:rsid w:val="007E5898"/>
    <w:rsid w:val="007E6015"/>
    <w:rsid w:val="007E603E"/>
    <w:rsid w:val="007E61D9"/>
    <w:rsid w:val="007E63AB"/>
    <w:rsid w:val="007E647B"/>
    <w:rsid w:val="007E6C61"/>
    <w:rsid w:val="007E6EFF"/>
    <w:rsid w:val="007E718D"/>
    <w:rsid w:val="007E71A9"/>
    <w:rsid w:val="007E7331"/>
    <w:rsid w:val="007E733A"/>
    <w:rsid w:val="007E7865"/>
    <w:rsid w:val="007E78C9"/>
    <w:rsid w:val="007E7CE8"/>
    <w:rsid w:val="007E7D45"/>
    <w:rsid w:val="007F0114"/>
    <w:rsid w:val="007F07EB"/>
    <w:rsid w:val="007F0B25"/>
    <w:rsid w:val="007F0C19"/>
    <w:rsid w:val="007F0D63"/>
    <w:rsid w:val="007F0D95"/>
    <w:rsid w:val="007F1181"/>
    <w:rsid w:val="007F1DCC"/>
    <w:rsid w:val="007F25CE"/>
    <w:rsid w:val="007F2826"/>
    <w:rsid w:val="007F2AA5"/>
    <w:rsid w:val="007F2E31"/>
    <w:rsid w:val="007F2FBA"/>
    <w:rsid w:val="007F3165"/>
    <w:rsid w:val="007F31DE"/>
    <w:rsid w:val="007F3311"/>
    <w:rsid w:val="007F342C"/>
    <w:rsid w:val="007F349F"/>
    <w:rsid w:val="007F364D"/>
    <w:rsid w:val="007F367D"/>
    <w:rsid w:val="007F375A"/>
    <w:rsid w:val="007F37AF"/>
    <w:rsid w:val="007F37E7"/>
    <w:rsid w:val="007F3A2D"/>
    <w:rsid w:val="007F50BD"/>
    <w:rsid w:val="007F5B35"/>
    <w:rsid w:val="007F5C16"/>
    <w:rsid w:val="007F5CE2"/>
    <w:rsid w:val="007F5EA1"/>
    <w:rsid w:val="007F666B"/>
    <w:rsid w:val="007F6906"/>
    <w:rsid w:val="007F6E19"/>
    <w:rsid w:val="007F70D4"/>
    <w:rsid w:val="007F795E"/>
    <w:rsid w:val="008008D3"/>
    <w:rsid w:val="00800E82"/>
    <w:rsid w:val="0080148F"/>
    <w:rsid w:val="008015AB"/>
    <w:rsid w:val="008017AB"/>
    <w:rsid w:val="008018DE"/>
    <w:rsid w:val="00802060"/>
    <w:rsid w:val="008027C1"/>
    <w:rsid w:val="00802A97"/>
    <w:rsid w:val="00802F85"/>
    <w:rsid w:val="00803339"/>
    <w:rsid w:val="00803647"/>
    <w:rsid w:val="00803BAA"/>
    <w:rsid w:val="00804205"/>
    <w:rsid w:val="008044EB"/>
    <w:rsid w:val="0080486E"/>
    <w:rsid w:val="00804B36"/>
    <w:rsid w:val="0080521E"/>
    <w:rsid w:val="0080574E"/>
    <w:rsid w:val="0080575F"/>
    <w:rsid w:val="0080617B"/>
    <w:rsid w:val="00807699"/>
    <w:rsid w:val="00807D62"/>
    <w:rsid w:val="00810DA6"/>
    <w:rsid w:val="008111AF"/>
    <w:rsid w:val="008115F5"/>
    <w:rsid w:val="00811AB6"/>
    <w:rsid w:val="00811DA0"/>
    <w:rsid w:val="00812515"/>
    <w:rsid w:val="00812C3A"/>
    <w:rsid w:val="008136C4"/>
    <w:rsid w:val="00813706"/>
    <w:rsid w:val="00813C4F"/>
    <w:rsid w:val="00813D31"/>
    <w:rsid w:val="008144FF"/>
    <w:rsid w:val="00814665"/>
    <w:rsid w:val="008151D7"/>
    <w:rsid w:val="00815938"/>
    <w:rsid w:val="00815FE7"/>
    <w:rsid w:val="008163FF"/>
    <w:rsid w:val="008167C2"/>
    <w:rsid w:val="00816EDA"/>
    <w:rsid w:val="008170F1"/>
    <w:rsid w:val="00817257"/>
    <w:rsid w:val="00817D36"/>
    <w:rsid w:val="00820262"/>
    <w:rsid w:val="008202B3"/>
    <w:rsid w:val="0082062F"/>
    <w:rsid w:val="008210CC"/>
    <w:rsid w:val="008210E2"/>
    <w:rsid w:val="00821800"/>
    <w:rsid w:val="00821D2D"/>
    <w:rsid w:val="00821FE2"/>
    <w:rsid w:val="008221A7"/>
    <w:rsid w:val="00822B06"/>
    <w:rsid w:val="00822DAD"/>
    <w:rsid w:val="00822F01"/>
    <w:rsid w:val="00823B2E"/>
    <w:rsid w:val="00823DEF"/>
    <w:rsid w:val="00823F62"/>
    <w:rsid w:val="0082417C"/>
    <w:rsid w:val="0082436B"/>
    <w:rsid w:val="008248D4"/>
    <w:rsid w:val="00824D72"/>
    <w:rsid w:val="00824F64"/>
    <w:rsid w:val="00825B07"/>
    <w:rsid w:val="00825FB3"/>
    <w:rsid w:val="00825FC3"/>
    <w:rsid w:val="00826124"/>
    <w:rsid w:val="008262B9"/>
    <w:rsid w:val="008262D4"/>
    <w:rsid w:val="00826647"/>
    <w:rsid w:val="00826823"/>
    <w:rsid w:val="00827079"/>
    <w:rsid w:val="00827378"/>
    <w:rsid w:val="00827492"/>
    <w:rsid w:val="0082781A"/>
    <w:rsid w:val="00830129"/>
    <w:rsid w:val="00830583"/>
    <w:rsid w:val="0083071C"/>
    <w:rsid w:val="00830843"/>
    <w:rsid w:val="00830850"/>
    <w:rsid w:val="00830BD4"/>
    <w:rsid w:val="00830D9B"/>
    <w:rsid w:val="00830DC5"/>
    <w:rsid w:val="00830F57"/>
    <w:rsid w:val="008310BB"/>
    <w:rsid w:val="008313DF"/>
    <w:rsid w:val="00831817"/>
    <w:rsid w:val="008324CB"/>
    <w:rsid w:val="0083345F"/>
    <w:rsid w:val="00833B18"/>
    <w:rsid w:val="00834060"/>
    <w:rsid w:val="0083413A"/>
    <w:rsid w:val="00834AD0"/>
    <w:rsid w:val="00834F79"/>
    <w:rsid w:val="008352AC"/>
    <w:rsid w:val="00835510"/>
    <w:rsid w:val="0083555E"/>
    <w:rsid w:val="00836055"/>
    <w:rsid w:val="00836B3D"/>
    <w:rsid w:val="00836BB2"/>
    <w:rsid w:val="00836E64"/>
    <w:rsid w:val="00836FB1"/>
    <w:rsid w:val="00836FF5"/>
    <w:rsid w:val="00837010"/>
    <w:rsid w:val="0083702B"/>
    <w:rsid w:val="008370BA"/>
    <w:rsid w:val="00837335"/>
    <w:rsid w:val="00837E58"/>
    <w:rsid w:val="00840DE5"/>
    <w:rsid w:val="0084133A"/>
    <w:rsid w:val="00841596"/>
    <w:rsid w:val="00841728"/>
    <w:rsid w:val="008419AC"/>
    <w:rsid w:val="00841CDC"/>
    <w:rsid w:val="00841EC1"/>
    <w:rsid w:val="00841ECA"/>
    <w:rsid w:val="00842253"/>
    <w:rsid w:val="00842897"/>
    <w:rsid w:val="00842B36"/>
    <w:rsid w:val="00843021"/>
    <w:rsid w:val="0084314A"/>
    <w:rsid w:val="008431BD"/>
    <w:rsid w:val="008441BC"/>
    <w:rsid w:val="008444A1"/>
    <w:rsid w:val="00844701"/>
    <w:rsid w:val="00844C3B"/>
    <w:rsid w:val="00844F3A"/>
    <w:rsid w:val="008453F1"/>
    <w:rsid w:val="008464D7"/>
    <w:rsid w:val="008468DE"/>
    <w:rsid w:val="00847055"/>
    <w:rsid w:val="008472EC"/>
    <w:rsid w:val="0084777A"/>
    <w:rsid w:val="0084797A"/>
    <w:rsid w:val="00847CFC"/>
    <w:rsid w:val="00847DDC"/>
    <w:rsid w:val="00850DBE"/>
    <w:rsid w:val="00850F10"/>
    <w:rsid w:val="0085104F"/>
    <w:rsid w:val="008514C7"/>
    <w:rsid w:val="00851601"/>
    <w:rsid w:val="0085172F"/>
    <w:rsid w:val="0085180E"/>
    <w:rsid w:val="00851990"/>
    <w:rsid w:val="008519DD"/>
    <w:rsid w:val="00852149"/>
    <w:rsid w:val="0085225E"/>
    <w:rsid w:val="00852A0F"/>
    <w:rsid w:val="00852CB9"/>
    <w:rsid w:val="008531E5"/>
    <w:rsid w:val="00853289"/>
    <w:rsid w:val="008538E8"/>
    <w:rsid w:val="00853AAF"/>
    <w:rsid w:val="00853B98"/>
    <w:rsid w:val="00853C4D"/>
    <w:rsid w:val="00854053"/>
    <w:rsid w:val="008545DD"/>
    <w:rsid w:val="00854AED"/>
    <w:rsid w:val="00854BC4"/>
    <w:rsid w:val="0085593F"/>
    <w:rsid w:val="00855C01"/>
    <w:rsid w:val="00855C24"/>
    <w:rsid w:val="00855CFE"/>
    <w:rsid w:val="008566B0"/>
    <w:rsid w:val="008567C6"/>
    <w:rsid w:val="0085768D"/>
    <w:rsid w:val="008579BF"/>
    <w:rsid w:val="00857AA5"/>
    <w:rsid w:val="00857DAE"/>
    <w:rsid w:val="00857DC8"/>
    <w:rsid w:val="00860290"/>
    <w:rsid w:val="00860EC4"/>
    <w:rsid w:val="008610F3"/>
    <w:rsid w:val="008612E4"/>
    <w:rsid w:val="008617B3"/>
    <w:rsid w:val="00861E96"/>
    <w:rsid w:val="00861ED2"/>
    <w:rsid w:val="0086274B"/>
    <w:rsid w:val="00863222"/>
    <w:rsid w:val="00863331"/>
    <w:rsid w:val="00863AE4"/>
    <w:rsid w:val="00863FBF"/>
    <w:rsid w:val="008640D6"/>
    <w:rsid w:val="00864384"/>
    <w:rsid w:val="00864416"/>
    <w:rsid w:val="00864599"/>
    <w:rsid w:val="008645B5"/>
    <w:rsid w:val="008646E4"/>
    <w:rsid w:val="008647BD"/>
    <w:rsid w:val="008649FE"/>
    <w:rsid w:val="00864B68"/>
    <w:rsid w:val="00864B7F"/>
    <w:rsid w:val="00864EFC"/>
    <w:rsid w:val="00864F62"/>
    <w:rsid w:val="00864FF5"/>
    <w:rsid w:val="00865354"/>
    <w:rsid w:val="0086545B"/>
    <w:rsid w:val="00865536"/>
    <w:rsid w:val="00865655"/>
    <w:rsid w:val="008656B0"/>
    <w:rsid w:val="00865C49"/>
    <w:rsid w:val="008665FA"/>
    <w:rsid w:val="00866C2D"/>
    <w:rsid w:val="00866D71"/>
    <w:rsid w:val="00867A9D"/>
    <w:rsid w:val="00870167"/>
    <w:rsid w:val="0087040C"/>
    <w:rsid w:val="00870A4F"/>
    <w:rsid w:val="00871C28"/>
    <w:rsid w:val="00872059"/>
    <w:rsid w:val="00872087"/>
    <w:rsid w:val="00872159"/>
    <w:rsid w:val="00872AA3"/>
    <w:rsid w:val="00872BB5"/>
    <w:rsid w:val="00872F5F"/>
    <w:rsid w:val="00872FFE"/>
    <w:rsid w:val="008736F2"/>
    <w:rsid w:val="008737AE"/>
    <w:rsid w:val="00873DA4"/>
    <w:rsid w:val="00873E06"/>
    <w:rsid w:val="00873F21"/>
    <w:rsid w:val="00874723"/>
    <w:rsid w:val="0087477D"/>
    <w:rsid w:val="0087579D"/>
    <w:rsid w:val="008759FF"/>
    <w:rsid w:val="00875EA7"/>
    <w:rsid w:val="00875F2F"/>
    <w:rsid w:val="00876472"/>
    <w:rsid w:val="008770CC"/>
    <w:rsid w:val="0087758B"/>
    <w:rsid w:val="0088002D"/>
    <w:rsid w:val="008803E5"/>
    <w:rsid w:val="00880B0B"/>
    <w:rsid w:val="0088133C"/>
    <w:rsid w:val="008815A4"/>
    <w:rsid w:val="00882117"/>
    <w:rsid w:val="00882847"/>
    <w:rsid w:val="008832FC"/>
    <w:rsid w:val="00884675"/>
    <w:rsid w:val="00884695"/>
    <w:rsid w:val="00884A2D"/>
    <w:rsid w:val="00884A35"/>
    <w:rsid w:val="00884C00"/>
    <w:rsid w:val="00884D18"/>
    <w:rsid w:val="00885769"/>
    <w:rsid w:val="00885AAE"/>
    <w:rsid w:val="00885F7A"/>
    <w:rsid w:val="00885FFC"/>
    <w:rsid w:val="00886002"/>
    <w:rsid w:val="0088693F"/>
    <w:rsid w:val="00886FCF"/>
    <w:rsid w:val="00887291"/>
    <w:rsid w:val="008877C3"/>
    <w:rsid w:val="00887DFE"/>
    <w:rsid w:val="00890342"/>
    <w:rsid w:val="0089041E"/>
    <w:rsid w:val="008908B2"/>
    <w:rsid w:val="0089111B"/>
    <w:rsid w:val="008912BE"/>
    <w:rsid w:val="008912E8"/>
    <w:rsid w:val="008917CD"/>
    <w:rsid w:val="008920CC"/>
    <w:rsid w:val="008923A3"/>
    <w:rsid w:val="0089240C"/>
    <w:rsid w:val="0089263B"/>
    <w:rsid w:val="00892C2D"/>
    <w:rsid w:val="00893885"/>
    <w:rsid w:val="00893DF4"/>
    <w:rsid w:val="00893F99"/>
    <w:rsid w:val="008946F8"/>
    <w:rsid w:val="00894BC6"/>
    <w:rsid w:val="00894C58"/>
    <w:rsid w:val="00894CFA"/>
    <w:rsid w:val="008951BF"/>
    <w:rsid w:val="00895305"/>
    <w:rsid w:val="00895BD6"/>
    <w:rsid w:val="00896D23"/>
    <w:rsid w:val="0089730B"/>
    <w:rsid w:val="008974F5"/>
    <w:rsid w:val="00897608"/>
    <w:rsid w:val="00897A45"/>
    <w:rsid w:val="00897DF2"/>
    <w:rsid w:val="00897F1B"/>
    <w:rsid w:val="008A0663"/>
    <w:rsid w:val="008A0860"/>
    <w:rsid w:val="008A0AC7"/>
    <w:rsid w:val="008A0EA5"/>
    <w:rsid w:val="008A10EA"/>
    <w:rsid w:val="008A14FC"/>
    <w:rsid w:val="008A1759"/>
    <w:rsid w:val="008A19B6"/>
    <w:rsid w:val="008A2016"/>
    <w:rsid w:val="008A20AF"/>
    <w:rsid w:val="008A21FB"/>
    <w:rsid w:val="008A255E"/>
    <w:rsid w:val="008A30B1"/>
    <w:rsid w:val="008A3729"/>
    <w:rsid w:val="008A4A9E"/>
    <w:rsid w:val="008A4BC8"/>
    <w:rsid w:val="008A585C"/>
    <w:rsid w:val="008A5B43"/>
    <w:rsid w:val="008A5BB2"/>
    <w:rsid w:val="008A5BFF"/>
    <w:rsid w:val="008A5EC5"/>
    <w:rsid w:val="008A6E42"/>
    <w:rsid w:val="008A6EAB"/>
    <w:rsid w:val="008A7167"/>
    <w:rsid w:val="008A717C"/>
    <w:rsid w:val="008A7B2D"/>
    <w:rsid w:val="008B0165"/>
    <w:rsid w:val="008B03EC"/>
    <w:rsid w:val="008B0863"/>
    <w:rsid w:val="008B0BB0"/>
    <w:rsid w:val="008B0C37"/>
    <w:rsid w:val="008B0CF8"/>
    <w:rsid w:val="008B10E5"/>
    <w:rsid w:val="008B111E"/>
    <w:rsid w:val="008B19DA"/>
    <w:rsid w:val="008B242F"/>
    <w:rsid w:val="008B2446"/>
    <w:rsid w:val="008B26FB"/>
    <w:rsid w:val="008B2753"/>
    <w:rsid w:val="008B2B6A"/>
    <w:rsid w:val="008B2F6B"/>
    <w:rsid w:val="008B43B3"/>
    <w:rsid w:val="008B4517"/>
    <w:rsid w:val="008B45AD"/>
    <w:rsid w:val="008B49AC"/>
    <w:rsid w:val="008B4E28"/>
    <w:rsid w:val="008B4E8E"/>
    <w:rsid w:val="008B5A37"/>
    <w:rsid w:val="008B5AE1"/>
    <w:rsid w:val="008B5C6B"/>
    <w:rsid w:val="008B62E7"/>
    <w:rsid w:val="008B6792"/>
    <w:rsid w:val="008B6999"/>
    <w:rsid w:val="008B6C6B"/>
    <w:rsid w:val="008B6D98"/>
    <w:rsid w:val="008B6E77"/>
    <w:rsid w:val="008B77CD"/>
    <w:rsid w:val="008B792D"/>
    <w:rsid w:val="008B7DD6"/>
    <w:rsid w:val="008C02C1"/>
    <w:rsid w:val="008C0621"/>
    <w:rsid w:val="008C0C1F"/>
    <w:rsid w:val="008C0DF3"/>
    <w:rsid w:val="008C10DD"/>
    <w:rsid w:val="008C1494"/>
    <w:rsid w:val="008C18C7"/>
    <w:rsid w:val="008C19A9"/>
    <w:rsid w:val="008C1BB4"/>
    <w:rsid w:val="008C1F0B"/>
    <w:rsid w:val="008C1F74"/>
    <w:rsid w:val="008C24F0"/>
    <w:rsid w:val="008C31EF"/>
    <w:rsid w:val="008C3BC6"/>
    <w:rsid w:val="008C4143"/>
    <w:rsid w:val="008C4E1F"/>
    <w:rsid w:val="008C4E80"/>
    <w:rsid w:val="008C5254"/>
    <w:rsid w:val="008C5520"/>
    <w:rsid w:val="008C623C"/>
    <w:rsid w:val="008C7265"/>
    <w:rsid w:val="008C741E"/>
    <w:rsid w:val="008C7C1B"/>
    <w:rsid w:val="008D10E4"/>
    <w:rsid w:val="008D116B"/>
    <w:rsid w:val="008D148B"/>
    <w:rsid w:val="008D1AEE"/>
    <w:rsid w:val="008D1CF3"/>
    <w:rsid w:val="008D2484"/>
    <w:rsid w:val="008D2640"/>
    <w:rsid w:val="008D2B38"/>
    <w:rsid w:val="008D2E3B"/>
    <w:rsid w:val="008D302E"/>
    <w:rsid w:val="008D3220"/>
    <w:rsid w:val="008D374D"/>
    <w:rsid w:val="008D3906"/>
    <w:rsid w:val="008D3956"/>
    <w:rsid w:val="008D39D6"/>
    <w:rsid w:val="008D40C0"/>
    <w:rsid w:val="008D4749"/>
    <w:rsid w:val="008D4901"/>
    <w:rsid w:val="008D4ED9"/>
    <w:rsid w:val="008D4F04"/>
    <w:rsid w:val="008D548A"/>
    <w:rsid w:val="008D5501"/>
    <w:rsid w:val="008D55D5"/>
    <w:rsid w:val="008D5AD3"/>
    <w:rsid w:val="008D5D46"/>
    <w:rsid w:val="008D618A"/>
    <w:rsid w:val="008D63F5"/>
    <w:rsid w:val="008D6BB6"/>
    <w:rsid w:val="008D6DAE"/>
    <w:rsid w:val="008D7DAE"/>
    <w:rsid w:val="008E014E"/>
    <w:rsid w:val="008E026E"/>
    <w:rsid w:val="008E043C"/>
    <w:rsid w:val="008E04A5"/>
    <w:rsid w:val="008E0509"/>
    <w:rsid w:val="008E0EA5"/>
    <w:rsid w:val="008E0F8E"/>
    <w:rsid w:val="008E0FF3"/>
    <w:rsid w:val="008E1087"/>
    <w:rsid w:val="008E11FB"/>
    <w:rsid w:val="008E23F3"/>
    <w:rsid w:val="008E27DF"/>
    <w:rsid w:val="008E2A92"/>
    <w:rsid w:val="008E3246"/>
    <w:rsid w:val="008E3414"/>
    <w:rsid w:val="008E3432"/>
    <w:rsid w:val="008E36E4"/>
    <w:rsid w:val="008E372D"/>
    <w:rsid w:val="008E37F5"/>
    <w:rsid w:val="008E3D4E"/>
    <w:rsid w:val="008E3DC5"/>
    <w:rsid w:val="008E438E"/>
    <w:rsid w:val="008E4C2E"/>
    <w:rsid w:val="008E4E4E"/>
    <w:rsid w:val="008E5495"/>
    <w:rsid w:val="008E54DA"/>
    <w:rsid w:val="008E588B"/>
    <w:rsid w:val="008E58CB"/>
    <w:rsid w:val="008E5904"/>
    <w:rsid w:val="008E5E9B"/>
    <w:rsid w:val="008E61CC"/>
    <w:rsid w:val="008E6E90"/>
    <w:rsid w:val="008E72D3"/>
    <w:rsid w:val="008E7977"/>
    <w:rsid w:val="008E7E60"/>
    <w:rsid w:val="008F034F"/>
    <w:rsid w:val="008F0FE1"/>
    <w:rsid w:val="008F15F7"/>
    <w:rsid w:val="008F19DD"/>
    <w:rsid w:val="008F1E30"/>
    <w:rsid w:val="008F2353"/>
    <w:rsid w:val="008F2434"/>
    <w:rsid w:val="008F2B18"/>
    <w:rsid w:val="008F2BA1"/>
    <w:rsid w:val="008F36F5"/>
    <w:rsid w:val="008F37D2"/>
    <w:rsid w:val="008F386A"/>
    <w:rsid w:val="008F3BA6"/>
    <w:rsid w:val="008F4136"/>
    <w:rsid w:val="008F457F"/>
    <w:rsid w:val="008F460A"/>
    <w:rsid w:val="008F4CE8"/>
    <w:rsid w:val="008F5029"/>
    <w:rsid w:val="008F50AF"/>
    <w:rsid w:val="008F5130"/>
    <w:rsid w:val="008F5303"/>
    <w:rsid w:val="008F5C8B"/>
    <w:rsid w:val="008F5E41"/>
    <w:rsid w:val="008F5F05"/>
    <w:rsid w:val="008F66DC"/>
    <w:rsid w:val="008F67C6"/>
    <w:rsid w:val="008F6D16"/>
    <w:rsid w:val="008F6D28"/>
    <w:rsid w:val="008F726C"/>
    <w:rsid w:val="008F7DCD"/>
    <w:rsid w:val="00900A8F"/>
    <w:rsid w:val="00900E54"/>
    <w:rsid w:val="00900F68"/>
    <w:rsid w:val="009010EB"/>
    <w:rsid w:val="009015F0"/>
    <w:rsid w:val="00901A13"/>
    <w:rsid w:val="00901A46"/>
    <w:rsid w:val="00902CC0"/>
    <w:rsid w:val="00902CF7"/>
    <w:rsid w:val="009033E5"/>
    <w:rsid w:val="00903B15"/>
    <w:rsid w:val="00904603"/>
    <w:rsid w:val="0090489F"/>
    <w:rsid w:val="00904EC1"/>
    <w:rsid w:val="0090582E"/>
    <w:rsid w:val="00905D49"/>
    <w:rsid w:val="00905EF7"/>
    <w:rsid w:val="0090696B"/>
    <w:rsid w:val="00906C81"/>
    <w:rsid w:val="009077DF"/>
    <w:rsid w:val="00907C89"/>
    <w:rsid w:val="00907D44"/>
    <w:rsid w:val="00910C17"/>
    <w:rsid w:val="009114E9"/>
    <w:rsid w:val="00911524"/>
    <w:rsid w:val="009115BE"/>
    <w:rsid w:val="00911B85"/>
    <w:rsid w:val="00912436"/>
    <w:rsid w:val="009127AD"/>
    <w:rsid w:val="00912904"/>
    <w:rsid w:val="00912A4C"/>
    <w:rsid w:val="0091345F"/>
    <w:rsid w:val="0091375E"/>
    <w:rsid w:val="0091393D"/>
    <w:rsid w:val="00913D02"/>
    <w:rsid w:val="009142AC"/>
    <w:rsid w:val="009144AF"/>
    <w:rsid w:val="00914B37"/>
    <w:rsid w:val="0091507A"/>
    <w:rsid w:val="00915168"/>
    <w:rsid w:val="00916960"/>
    <w:rsid w:val="00916DCD"/>
    <w:rsid w:val="00917017"/>
    <w:rsid w:val="0091796D"/>
    <w:rsid w:val="00917F63"/>
    <w:rsid w:val="00917FEC"/>
    <w:rsid w:val="009204B4"/>
    <w:rsid w:val="00921521"/>
    <w:rsid w:val="009217B2"/>
    <w:rsid w:val="009218AF"/>
    <w:rsid w:val="00922061"/>
    <w:rsid w:val="009222F3"/>
    <w:rsid w:val="00922BB8"/>
    <w:rsid w:val="00922DC5"/>
    <w:rsid w:val="009230D0"/>
    <w:rsid w:val="0092328E"/>
    <w:rsid w:val="00923439"/>
    <w:rsid w:val="00924406"/>
    <w:rsid w:val="0092475F"/>
    <w:rsid w:val="00925149"/>
    <w:rsid w:val="009254D8"/>
    <w:rsid w:val="00925547"/>
    <w:rsid w:val="0092554C"/>
    <w:rsid w:val="00925756"/>
    <w:rsid w:val="0092599C"/>
    <w:rsid w:val="00925A05"/>
    <w:rsid w:val="00925AD8"/>
    <w:rsid w:val="00925B90"/>
    <w:rsid w:val="00925F5D"/>
    <w:rsid w:val="00926CD2"/>
    <w:rsid w:val="00926F3C"/>
    <w:rsid w:val="00926FC0"/>
    <w:rsid w:val="00927035"/>
    <w:rsid w:val="0092719E"/>
    <w:rsid w:val="009275DF"/>
    <w:rsid w:val="00927B20"/>
    <w:rsid w:val="00927F9A"/>
    <w:rsid w:val="00930396"/>
    <w:rsid w:val="00930CB1"/>
    <w:rsid w:val="00930FDB"/>
    <w:rsid w:val="0093104F"/>
    <w:rsid w:val="00931260"/>
    <w:rsid w:val="009318A4"/>
    <w:rsid w:val="00931BA8"/>
    <w:rsid w:val="00931C6F"/>
    <w:rsid w:val="009323C1"/>
    <w:rsid w:val="009326CC"/>
    <w:rsid w:val="00932955"/>
    <w:rsid w:val="00932C25"/>
    <w:rsid w:val="00932F7F"/>
    <w:rsid w:val="00933904"/>
    <w:rsid w:val="00933981"/>
    <w:rsid w:val="00934025"/>
    <w:rsid w:val="009343B3"/>
    <w:rsid w:val="00934B5F"/>
    <w:rsid w:val="00934C3D"/>
    <w:rsid w:val="00935147"/>
    <w:rsid w:val="0093566F"/>
    <w:rsid w:val="00935F45"/>
    <w:rsid w:val="00936C02"/>
    <w:rsid w:val="00937124"/>
    <w:rsid w:val="00937497"/>
    <w:rsid w:val="00937775"/>
    <w:rsid w:val="00937B5C"/>
    <w:rsid w:val="00937D7C"/>
    <w:rsid w:val="00940029"/>
    <w:rsid w:val="00940089"/>
    <w:rsid w:val="00940153"/>
    <w:rsid w:val="00940217"/>
    <w:rsid w:val="00940646"/>
    <w:rsid w:val="00940A66"/>
    <w:rsid w:val="00940BA5"/>
    <w:rsid w:val="009411F7"/>
    <w:rsid w:val="009412DA"/>
    <w:rsid w:val="0094212C"/>
    <w:rsid w:val="00942A43"/>
    <w:rsid w:val="00942FA8"/>
    <w:rsid w:val="0094319B"/>
    <w:rsid w:val="0094354F"/>
    <w:rsid w:val="009436BA"/>
    <w:rsid w:val="009438A0"/>
    <w:rsid w:val="00943960"/>
    <w:rsid w:val="00943FF2"/>
    <w:rsid w:val="009448EF"/>
    <w:rsid w:val="00944AE3"/>
    <w:rsid w:val="00944B96"/>
    <w:rsid w:val="009452FB"/>
    <w:rsid w:val="0094543E"/>
    <w:rsid w:val="00945623"/>
    <w:rsid w:val="00945921"/>
    <w:rsid w:val="00945BDB"/>
    <w:rsid w:val="00945C8C"/>
    <w:rsid w:val="00945CE5"/>
    <w:rsid w:val="00945EC9"/>
    <w:rsid w:val="00946647"/>
    <w:rsid w:val="00946D7C"/>
    <w:rsid w:val="00947F50"/>
    <w:rsid w:val="00950028"/>
    <w:rsid w:val="009502CD"/>
    <w:rsid w:val="00950664"/>
    <w:rsid w:val="00950A2B"/>
    <w:rsid w:val="00950F85"/>
    <w:rsid w:val="00951060"/>
    <w:rsid w:val="0095127D"/>
    <w:rsid w:val="009513C7"/>
    <w:rsid w:val="00951467"/>
    <w:rsid w:val="0095190D"/>
    <w:rsid w:val="00951E20"/>
    <w:rsid w:val="00952329"/>
    <w:rsid w:val="00952617"/>
    <w:rsid w:val="0095286C"/>
    <w:rsid w:val="00952924"/>
    <w:rsid w:val="0095344F"/>
    <w:rsid w:val="0095368E"/>
    <w:rsid w:val="00953892"/>
    <w:rsid w:val="00953C0B"/>
    <w:rsid w:val="00953D70"/>
    <w:rsid w:val="00953E8F"/>
    <w:rsid w:val="00953F33"/>
    <w:rsid w:val="009540C9"/>
    <w:rsid w:val="00954AB3"/>
    <w:rsid w:val="00954FD6"/>
    <w:rsid w:val="00955393"/>
    <w:rsid w:val="009560D4"/>
    <w:rsid w:val="00956119"/>
    <w:rsid w:val="009566AE"/>
    <w:rsid w:val="00956AC0"/>
    <w:rsid w:val="00956AF1"/>
    <w:rsid w:val="00956E92"/>
    <w:rsid w:val="00957546"/>
    <w:rsid w:val="0095774E"/>
    <w:rsid w:val="00957915"/>
    <w:rsid w:val="00957D43"/>
    <w:rsid w:val="00957DC0"/>
    <w:rsid w:val="00957F00"/>
    <w:rsid w:val="009603CE"/>
    <w:rsid w:val="00960413"/>
    <w:rsid w:val="00960EA1"/>
    <w:rsid w:val="0096165A"/>
    <w:rsid w:val="00962411"/>
    <w:rsid w:val="00962541"/>
    <w:rsid w:val="0096285A"/>
    <w:rsid w:val="00962966"/>
    <w:rsid w:val="00962984"/>
    <w:rsid w:val="00962F43"/>
    <w:rsid w:val="009636A5"/>
    <w:rsid w:val="0096474A"/>
    <w:rsid w:val="009649B8"/>
    <w:rsid w:val="00964CE0"/>
    <w:rsid w:val="00964E02"/>
    <w:rsid w:val="009651BB"/>
    <w:rsid w:val="00965B25"/>
    <w:rsid w:val="00965CA7"/>
    <w:rsid w:val="0096608E"/>
    <w:rsid w:val="009662A2"/>
    <w:rsid w:val="009663DD"/>
    <w:rsid w:val="00966581"/>
    <w:rsid w:val="00966F45"/>
    <w:rsid w:val="00966FBF"/>
    <w:rsid w:val="009672EF"/>
    <w:rsid w:val="009676C4"/>
    <w:rsid w:val="00970661"/>
    <w:rsid w:val="00970787"/>
    <w:rsid w:val="00970C8E"/>
    <w:rsid w:val="00970EA9"/>
    <w:rsid w:val="0097136D"/>
    <w:rsid w:val="00971DF6"/>
    <w:rsid w:val="00972106"/>
    <w:rsid w:val="00972390"/>
    <w:rsid w:val="00972CE4"/>
    <w:rsid w:val="00972E8A"/>
    <w:rsid w:val="0097316F"/>
    <w:rsid w:val="009731DC"/>
    <w:rsid w:val="00973453"/>
    <w:rsid w:val="009734CC"/>
    <w:rsid w:val="009735D1"/>
    <w:rsid w:val="009737E1"/>
    <w:rsid w:val="00974668"/>
    <w:rsid w:val="009747D7"/>
    <w:rsid w:val="009749D1"/>
    <w:rsid w:val="009752A0"/>
    <w:rsid w:val="00975593"/>
    <w:rsid w:val="009759A5"/>
    <w:rsid w:val="00975AA9"/>
    <w:rsid w:val="00975B19"/>
    <w:rsid w:val="00975B96"/>
    <w:rsid w:val="009763C3"/>
    <w:rsid w:val="00976845"/>
    <w:rsid w:val="00976B19"/>
    <w:rsid w:val="00976F18"/>
    <w:rsid w:val="00977007"/>
    <w:rsid w:val="00977709"/>
    <w:rsid w:val="00977A1E"/>
    <w:rsid w:val="00977BE6"/>
    <w:rsid w:val="00977E6D"/>
    <w:rsid w:val="009804C6"/>
    <w:rsid w:val="00980E71"/>
    <w:rsid w:val="00980F74"/>
    <w:rsid w:val="0098153E"/>
    <w:rsid w:val="00981CA8"/>
    <w:rsid w:val="0098236E"/>
    <w:rsid w:val="0098258D"/>
    <w:rsid w:val="009826B6"/>
    <w:rsid w:val="0098279B"/>
    <w:rsid w:val="009833C0"/>
    <w:rsid w:val="0098353C"/>
    <w:rsid w:val="00983A8E"/>
    <w:rsid w:val="00983F94"/>
    <w:rsid w:val="0098466A"/>
    <w:rsid w:val="00984861"/>
    <w:rsid w:val="00984F23"/>
    <w:rsid w:val="00984FDB"/>
    <w:rsid w:val="009850C8"/>
    <w:rsid w:val="0098585E"/>
    <w:rsid w:val="00985A35"/>
    <w:rsid w:val="00985BA4"/>
    <w:rsid w:val="00985D08"/>
    <w:rsid w:val="00985E22"/>
    <w:rsid w:val="00986093"/>
    <w:rsid w:val="009860B1"/>
    <w:rsid w:val="0098664D"/>
    <w:rsid w:val="009866B7"/>
    <w:rsid w:val="009866FA"/>
    <w:rsid w:val="0098678E"/>
    <w:rsid w:val="00986BE3"/>
    <w:rsid w:val="00986BF9"/>
    <w:rsid w:val="009875E4"/>
    <w:rsid w:val="009878E6"/>
    <w:rsid w:val="0099028F"/>
    <w:rsid w:val="009904A8"/>
    <w:rsid w:val="00990674"/>
    <w:rsid w:val="00990F07"/>
    <w:rsid w:val="009915B2"/>
    <w:rsid w:val="009918AC"/>
    <w:rsid w:val="00991972"/>
    <w:rsid w:val="00991E4D"/>
    <w:rsid w:val="00992193"/>
    <w:rsid w:val="009925C2"/>
    <w:rsid w:val="00992EAC"/>
    <w:rsid w:val="009936A6"/>
    <w:rsid w:val="009937E1"/>
    <w:rsid w:val="0099398A"/>
    <w:rsid w:val="00993B01"/>
    <w:rsid w:val="00994846"/>
    <w:rsid w:val="0099519A"/>
    <w:rsid w:val="00995D4D"/>
    <w:rsid w:val="00995FF2"/>
    <w:rsid w:val="00995FFB"/>
    <w:rsid w:val="009967B1"/>
    <w:rsid w:val="00996B7A"/>
    <w:rsid w:val="00996EA3"/>
    <w:rsid w:val="00997F51"/>
    <w:rsid w:val="009A0720"/>
    <w:rsid w:val="009A0865"/>
    <w:rsid w:val="009A0BD9"/>
    <w:rsid w:val="009A0DFD"/>
    <w:rsid w:val="009A1716"/>
    <w:rsid w:val="009A1A98"/>
    <w:rsid w:val="009A1D00"/>
    <w:rsid w:val="009A1E1D"/>
    <w:rsid w:val="009A253C"/>
    <w:rsid w:val="009A27F6"/>
    <w:rsid w:val="009A2B50"/>
    <w:rsid w:val="009A2C37"/>
    <w:rsid w:val="009A2C97"/>
    <w:rsid w:val="009A2DBB"/>
    <w:rsid w:val="009A2EDF"/>
    <w:rsid w:val="009A32CC"/>
    <w:rsid w:val="009A33B0"/>
    <w:rsid w:val="009A35F9"/>
    <w:rsid w:val="009A37C1"/>
    <w:rsid w:val="009A3B3C"/>
    <w:rsid w:val="009A3EB3"/>
    <w:rsid w:val="009A40D9"/>
    <w:rsid w:val="009A4C0B"/>
    <w:rsid w:val="009A4C4F"/>
    <w:rsid w:val="009A4D07"/>
    <w:rsid w:val="009A50F4"/>
    <w:rsid w:val="009A54EB"/>
    <w:rsid w:val="009A598B"/>
    <w:rsid w:val="009A5AA4"/>
    <w:rsid w:val="009A5BFB"/>
    <w:rsid w:val="009A61E5"/>
    <w:rsid w:val="009A65F5"/>
    <w:rsid w:val="009A66E8"/>
    <w:rsid w:val="009A6BE1"/>
    <w:rsid w:val="009A6FE0"/>
    <w:rsid w:val="009A7E7B"/>
    <w:rsid w:val="009A7EC2"/>
    <w:rsid w:val="009B0C6A"/>
    <w:rsid w:val="009B1168"/>
    <w:rsid w:val="009B135E"/>
    <w:rsid w:val="009B23A1"/>
    <w:rsid w:val="009B2503"/>
    <w:rsid w:val="009B2BC7"/>
    <w:rsid w:val="009B2C09"/>
    <w:rsid w:val="009B3555"/>
    <w:rsid w:val="009B49E7"/>
    <w:rsid w:val="009B4AD0"/>
    <w:rsid w:val="009B52A7"/>
    <w:rsid w:val="009B552D"/>
    <w:rsid w:val="009B5576"/>
    <w:rsid w:val="009B55BB"/>
    <w:rsid w:val="009B55EE"/>
    <w:rsid w:val="009B5A6A"/>
    <w:rsid w:val="009B5D6C"/>
    <w:rsid w:val="009B5EB1"/>
    <w:rsid w:val="009B6033"/>
    <w:rsid w:val="009B6211"/>
    <w:rsid w:val="009B647E"/>
    <w:rsid w:val="009B6749"/>
    <w:rsid w:val="009B7518"/>
    <w:rsid w:val="009B7966"/>
    <w:rsid w:val="009B7C20"/>
    <w:rsid w:val="009B7D55"/>
    <w:rsid w:val="009C0688"/>
    <w:rsid w:val="009C0BA5"/>
    <w:rsid w:val="009C1387"/>
    <w:rsid w:val="009C1B82"/>
    <w:rsid w:val="009C21DC"/>
    <w:rsid w:val="009C249E"/>
    <w:rsid w:val="009C2B9C"/>
    <w:rsid w:val="009C3172"/>
    <w:rsid w:val="009C31B0"/>
    <w:rsid w:val="009C327F"/>
    <w:rsid w:val="009C33A3"/>
    <w:rsid w:val="009C365F"/>
    <w:rsid w:val="009C3C35"/>
    <w:rsid w:val="009C3C67"/>
    <w:rsid w:val="009C3CFF"/>
    <w:rsid w:val="009C3D02"/>
    <w:rsid w:val="009C45F3"/>
    <w:rsid w:val="009C4C36"/>
    <w:rsid w:val="009C4C5C"/>
    <w:rsid w:val="009C4EDB"/>
    <w:rsid w:val="009C4F5A"/>
    <w:rsid w:val="009C6791"/>
    <w:rsid w:val="009C69CE"/>
    <w:rsid w:val="009C703B"/>
    <w:rsid w:val="009C72CE"/>
    <w:rsid w:val="009C7A2C"/>
    <w:rsid w:val="009D005C"/>
    <w:rsid w:val="009D04B6"/>
    <w:rsid w:val="009D2021"/>
    <w:rsid w:val="009D265A"/>
    <w:rsid w:val="009D286B"/>
    <w:rsid w:val="009D2F38"/>
    <w:rsid w:val="009D32AB"/>
    <w:rsid w:val="009D3481"/>
    <w:rsid w:val="009D3AF2"/>
    <w:rsid w:val="009D4268"/>
    <w:rsid w:val="009D42A1"/>
    <w:rsid w:val="009D438C"/>
    <w:rsid w:val="009D474A"/>
    <w:rsid w:val="009D4A3B"/>
    <w:rsid w:val="009D4DD5"/>
    <w:rsid w:val="009D5247"/>
    <w:rsid w:val="009D54C5"/>
    <w:rsid w:val="009D63E8"/>
    <w:rsid w:val="009D64A7"/>
    <w:rsid w:val="009D6700"/>
    <w:rsid w:val="009D6A62"/>
    <w:rsid w:val="009D7136"/>
    <w:rsid w:val="009D7259"/>
    <w:rsid w:val="009D7A4A"/>
    <w:rsid w:val="009E0665"/>
    <w:rsid w:val="009E0673"/>
    <w:rsid w:val="009E07B5"/>
    <w:rsid w:val="009E0DD2"/>
    <w:rsid w:val="009E11DE"/>
    <w:rsid w:val="009E22FC"/>
    <w:rsid w:val="009E2709"/>
    <w:rsid w:val="009E283A"/>
    <w:rsid w:val="009E28C4"/>
    <w:rsid w:val="009E2CDD"/>
    <w:rsid w:val="009E2E74"/>
    <w:rsid w:val="009E2ECB"/>
    <w:rsid w:val="009E32A4"/>
    <w:rsid w:val="009E3415"/>
    <w:rsid w:val="009E3B79"/>
    <w:rsid w:val="009E3F8C"/>
    <w:rsid w:val="009E4119"/>
    <w:rsid w:val="009E4148"/>
    <w:rsid w:val="009E43C9"/>
    <w:rsid w:val="009E46A1"/>
    <w:rsid w:val="009E46D2"/>
    <w:rsid w:val="009E47AA"/>
    <w:rsid w:val="009E5CE0"/>
    <w:rsid w:val="009E6024"/>
    <w:rsid w:val="009E6055"/>
    <w:rsid w:val="009E6333"/>
    <w:rsid w:val="009E65F4"/>
    <w:rsid w:val="009E6765"/>
    <w:rsid w:val="009E6B7E"/>
    <w:rsid w:val="009E7525"/>
    <w:rsid w:val="009E76D6"/>
    <w:rsid w:val="009E7C57"/>
    <w:rsid w:val="009E7E88"/>
    <w:rsid w:val="009F01BD"/>
    <w:rsid w:val="009F03F2"/>
    <w:rsid w:val="009F0435"/>
    <w:rsid w:val="009F0A93"/>
    <w:rsid w:val="009F0AE9"/>
    <w:rsid w:val="009F0B3C"/>
    <w:rsid w:val="009F0BCD"/>
    <w:rsid w:val="009F0D2E"/>
    <w:rsid w:val="009F0E9E"/>
    <w:rsid w:val="009F0EBF"/>
    <w:rsid w:val="009F0FC5"/>
    <w:rsid w:val="009F12D7"/>
    <w:rsid w:val="009F1394"/>
    <w:rsid w:val="009F1502"/>
    <w:rsid w:val="009F1A85"/>
    <w:rsid w:val="009F1CBC"/>
    <w:rsid w:val="009F1E26"/>
    <w:rsid w:val="009F282B"/>
    <w:rsid w:val="009F28BC"/>
    <w:rsid w:val="009F28D8"/>
    <w:rsid w:val="009F2BC5"/>
    <w:rsid w:val="009F2FEA"/>
    <w:rsid w:val="009F358B"/>
    <w:rsid w:val="009F3963"/>
    <w:rsid w:val="009F4336"/>
    <w:rsid w:val="009F497F"/>
    <w:rsid w:val="009F4E07"/>
    <w:rsid w:val="009F5073"/>
    <w:rsid w:val="009F553C"/>
    <w:rsid w:val="009F5BB7"/>
    <w:rsid w:val="009F6F9C"/>
    <w:rsid w:val="009F6FBC"/>
    <w:rsid w:val="009F74BC"/>
    <w:rsid w:val="009F74CE"/>
    <w:rsid w:val="009F76FF"/>
    <w:rsid w:val="009F7757"/>
    <w:rsid w:val="009F7CD2"/>
    <w:rsid w:val="009F7F67"/>
    <w:rsid w:val="00A000EC"/>
    <w:rsid w:val="00A004CB"/>
    <w:rsid w:val="00A0092C"/>
    <w:rsid w:val="00A01225"/>
    <w:rsid w:val="00A01732"/>
    <w:rsid w:val="00A02187"/>
    <w:rsid w:val="00A023EF"/>
    <w:rsid w:val="00A02A95"/>
    <w:rsid w:val="00A032EC"/>
    <w:rsid w:val="00A034FB"/>
    <w:rsid w:val="00A035CF"/>
    <w:rsid w:val="00A0383D"/>
    <w:rsid w:val="00A0421B"/>
    <w:rsid w:val="00A04573"/>
    <w:rsid w:val="00A04C35"/>
    <w:rsid w:val="00A04CCF"/>
    <w:rsid w:val="00A056D5"/>
    <w:rsid w:val="00A05FCF"/>
    <w:rsid w:val="00A05FE7"/>
    <w:rsid w:val="00A06169"/>
    <w:rsid w:val="00A06319"/>
    <w:rsid w:val="00A067CF"/>
    <w:rsid w:val="00A069FC"/>
    <w:rsid w:val="00A07500"/>
    <w:rsid w:val="00A07841"/>
    <w:rsid w:val="00A078AD"/>
    <w:rsid w:val="00A078C2"/>
    <w:rsid w:val="00A07BA6"/>
    <w:rsid w:val="00A07DC2"/>
    <w:rsid w:val="00A1044D"/>
    <w:rsid w:val="00A105A2"/>
    <w:rsid w:val="00A10D99"/>
    <w:rsid w:val="00A10E12"/>
    <w:rsid w:val="00A11417"/>
    <w:rsid w:val="00A11767"/>
    <w:rsid w:val="00A11774"/>
    <w:rsid w:val="00A1186B"/>
    <w:rsid w:val="00A11AC9"/>
    <w:rsid w:val="00A11F01"/>
    <w:rsid w:val="00A12253"/>
    <w:rsid w:val="00A12372"/>
    <w:rsid w:val="00A1247C"/>
    <w:rsid w:val="00A126EC"/>
    <w:rsid w:val="00A1292D"/>
    <w:rsid w:val="00A12A03"/>
    <w:rsid w:val="00A132A4"/>
    <w:rsid w:val="00A13306"/>
    <w:rsid w:val="00A1371F"/>
    <w:rsid w:val="00A1389B"/>
    <w:rsid w:val="00A13D31"/>
    <w:rsid w:val="00A13EB2"/>
    <w:rsid w:val="00A13F37"/>
    <w:rsid w:val="00A14273"/>
    <w:rsid w:val="00A1464E"/>
    <w:rsid w:val="00A14C50"/>
    <w:rsid w:val="00A14EB0"/>
    <w:rsid w:val="00A15B5D"/>
    <w:rsid w:val="00A15CB4"/>
    <w:rsid w:val="00A16398"/>
    <w:rsid w:val="00A16658"/>
    <w:rsid w:val="00A16846"/>
    <w:rsid w:val="00A1711F"/>
    <w:rsid w:val="00A17D54"/>
    <w:rsid w:val="00A17F60"/>
    <w:rsid w:val="00A2010E"/>
    <w:rsid w:val="00A20199"/>
    <w:rsid w:val="00A2025A"/>
    <w:rsid w:val="00A20537"/>
    <w:rsid w:val="00A207C5"/>
    <w:rsid w:val="00A20A7D"/>
    <w:rsid w:val="00A210ED"/>
    <w:rsid w:val="00A214F5"/>
    <w:rsid w:val="00A21534"/>
    <w:rsid w:val="00A21578"/>
    <w:rsid w:val="00A21A95"/>
    <w:rsid w:val="00A21AD8"/>
    <w:rsid w:val="00A21AF3"/>
    <w:rsid w:val="00A21BB4"/>
    <w:rsid w:val="00A21BC4"/>
    <w:rsid w:val="00A224AC"/>
    <w:rsid w:val="00A2274F"/>
    <w:rsid w:val="00A22B58"/>
    <w:rsid w:val="00A22C59"/>
    <w:rsid w:val="00A233F8"/>
    <w:rsid w:val="00A23594"/>
    <w:rsid w:val="00A23B94"/>
    <w:rsid w:val="00A23CB5"/>
    <w:rsid w:val="00A240C4"/>
    <w:rsid w:val="00A240F1"/>
    <w:rsid w:val="00A2434A"/>
    <w:rsid w:val="00A24469"/>
    <w:rsid w:val="00A2461D"/>
    <w:rsid w:val="00A24B82"/>
    <w:rsid w:val="00A24FBB"/>
    <w:rsid w:val="00A25105"/>
    <w:rsid w:val="00A25145"/>
    <w:rsid w:val="00A251F9"/>
    <w:rsid w:val="00A2552B"/>
    <w:rsid w:val="00A256C8"/>
    <w:rsid w:val="00A25792"/>
    <w:rsid w:val="00A257AD"/>
    <w:rsid w:val="00A25C03"/>
    <w:rsid w:val="00A263B4"/>
    <w:rsid w:val="00A26492"/>
    <w:rsid w:val="00A2657A"/>
    <w:rsid w:val="00A267C0"/>
    <w:rsid w:val="00A26E7B"/>
    <w:rsid w:val="00A26F2F"/>
    <w:rsid w:val="00A27339"/>
    <w:rsid w:val="00A27440"/>
    <w:rsid w:val="00A27451"/>
    <w:rsid w:val="00A27CCB"/>
    <w:rsid w:val="00A27E58"/>
    <w:rsid w:val="00A30AED"/>
    <w:rsid w:val="00A30F90"/>
    <w:rsid w:val="00A31540"/>
    <w:rsid w:val="00A31A1C"/>
    <w:rsid w:val="00A31A57"/>
    <w:rsid w:val="00A31F7D"/>
    <w:rsid w:val="00A32097"/>
    <w:rsid w:val="00A32147"/>
    <w:rsid w:val="00A32265"/>
    <w:rsid w:val="00A32715"/>
    <w:rsid w:val="00A3279F"/>
    <w:rsid w:val="00A32C0C"/>
    <w:rsid w:val="00A33DAA"/>
    <w:rsid w:val="00A340E7"/>
    <w:rsid w:val="00A34454"/>
    <w:rsid w:val="00A352C3"/>
    <w:rsid w:val="00A352C8"/>
    <w:rsid w:val="00A3539E"/>
    <w:rsid w:val="00A3595A"/>
    <w:rsid w:val="00A35E04"/>
    <w:rsid w:val="00A36636"/>
    <w:rsid w:val="00A367E0"/>
    <w:rsid w:val="00A3691B"/>
    <w:rsid w:val="00A36B33"/>
    <w:rsid w:val="00A36D66"/>
    <w:rsid w:val="00A374BE"/>
    <w:rsid w:val="00A37AB4"/>
    <w:rsid w:val="00A37F32"/>
    <w:rsid w:val="00A4036C"/>
    <w:rsid w:val="00A40440"/>
    <w:rsid w:val="00A4071E"/>
    <w:rsid w:val="00A408E3"/>
    <w:rsid w:val="00A40ABE"/>
    <w:rsid w:val="00A40DEC"/>
    <w:rsid w:val="00A40E75"/>
    <w:rsid w:val="00A414AD"/>
    <w:rsid w:val="00A4172F"/>
    <w:rsid w:val="00A41869"/>
    <w:rsid w:val="00A419B7"/>
    <w:rsid w:val="00A41CED"/>
    <w:rsid w:val="00A42152"/>
    <w:rsid w:val="00A42449"/>
    <w:rsid w:val="00A424DF"/>
    <w:rsid w:val="00A425D5"/>
    <w:rsid w:val="00A43CBB"/>
    <w:rsid w:val="00A44AB9"/>
    <w:rsid w:val="00A44BD2"/>
    <w:rsid w:val="00A44CB1"/>
    <w:rsid w:val="00A45099"/>
    <w:rsid w:val="00A45315"/>
    <w:rsid w:val="00A459FE"/>
    <w:rsid w:val="00A46107"/>
    <w:rsid w:val="00A462D3"/>
    <w:rsid w:val="00A46B7E"/>
    <w:rsid w:val="00A470A9"/>
    <w:rsid w:val="00A4719D"/>
    <w:rsid w:val="00A47A19"/>
    <w:rsid w:val="00A47AD4"/>
    <w:rsid w:val="00A47B6E"/>
    <w:rsid w:val="00A47FA4"/>
    <w:rsid w:val="00A5003C"/>
    <w:rsid w:val="00A50840"/>
    <w:rsid w:val="00A51976"/>
    <w:rsid w:val="00A51BAD"/>
    <w:rsid w:val="00A51F53"/>
    <w:rsid w:val="00A52413"/>
    <w:rsid w:val="00A526C7"/>
    <w:rsid w:val="00A527F5"/>
    <w:rsid w:val="00A52FFC"/>
    <w:rsid w:val="00A530E8"/>
    <w:rsid w:val="00A54012"/>
    <w:rsid w:val="00A542DB"/>
    <w:rsid w:val="00A54547"/>
    <w:rsid w:val="00A548E7"/>
    <w:rsid w:val="00A549FA"/>
    <w:rsid w:val="00A5566D"/>
    <w:rsid w:val="00A55E04"/>
    <w:rsid w:val="00A561CF"/>
    <w:rsid w:val="00A56242"/>
    <w:rsid w:val="00A56349"/>
    <w:rsid w:val="00A563DD"/>
    <w:rsid w:val="00A56BD7"/>
    <w:rsid w:val="00A56CA0"/>
    <w:rsid w:val="00A56DBE"/>
    <w:rsid w:val="00A56EBD"/>
    <w:rsid w:val="00A572E9"/>
    <w:rsid w:val="00A57570"/>
    <w:rsid w:val="00A57BCB"/>
    <w:rsid w:val="00A57C07"/>
    <w:rsid w:val="00A601E8"/>
    <w:rsid w:val="00A60AA2"/>
    <w:rsid w:val="00A60D8E"/>
    <w:rsid w:val="00A6118B"/>
    <w:rsid w:val="00A61ED7"/>
    <w:rsid w:val="00A62242"/>
    <w:rsid w:val="00A629C3"/>
    <w:rsid w:val="00A62D25"/>
    <w:rsid w:val="00A62EB5"/>
    <w:rsid w:val="00A62F2C"/>
    <w:rsid w:val="00A63375"/>
    <w:rsid w:val="00A635A4"/>
    <w:rsid w:val="00A6390D"/>
    <w:rsid w:val="00A639FB"/>
    <w:rsid w:val="00A63C9A"/>
    <w:rsid w:val="00A63E30"/>
    <w:rsid w:val="00A65128"/>
    <w:rsid w:val="00A651AE"/>
    <w:rsid w:val="00A651ED"/>
    <w:rsid w:val="00A65315"/>
    <w:rsid w:val="00A65C54"/>
    <w:rsid w:val="00A65F94"/>
    <w:rsid w:val="00A663C8"/>
    <w:rsid w:val="00A666C1"/>
    <w:rsid w:val="00A66D74"/>
    <w:rsid w:val="00A67600"/>
    <w:rsid w:val="00A67602"/>
    <w:rsid w:val="00A6790E"/>
    <w:rsid w:val="00A67F5E"/>
    <w:rsid w:val="00A67FC3"/>
    <w:rsid w:val="00A7041F"/>
    <w:rsid w:val="00A70F4D"/>
    <w:rsid w:val="00A713BB"/>
    <w:rsid w:val="00A7184C"/>
    <w:rsid w:val="00A72007"/>
    <w:rsid w:val="00A72052"/>
    <w:rsid w:val="00A7252C"/>
    <w:rsid w:val="00A7308F"/>
    <w:rsid w:val="00A73364"/>
    <w:rsid w:val="00A734A4"/>
    <w:rsid w:val="00A73A99"/>
    <w:rsid w:val="00A73D25"/>
    <w:rsid w:val="00A74FC3"/>
    <w:rsid w:val="00A7558A"/>
    <w:rsid w:val="00A75746"/>
    <w:rsid w:val="00A75C31"/>
    <w:rsid w:val="00A76026"/>
    <w:rsid w:val="00A7619D"/>
    <w:rsid w:val="00A763D7"/>
    <w:rsid w:val="00A76937"/>
    <w:rsid w:val="00A77B79"/>
    <w:rsid w:val="00A77C11"/>
    <w:rsid w:val="00A77DDE"/>
    <w:rsid w:val="00A77EDE"/>
    <w:rsid w:val="00A803D4"/>
    <w:rsid w:val="00A804A1"/>
    <w:rsid w:val="00A80A1A"/>
    <w:rsid w:val="00A80C49"/>
    <w:rsid w:val="00A81659"/>
    <w:rsid w:val="00A819AA"/>
    <w:rsid w:val="00A81BDA"/>
    <w:rsid w:val="00A81C55"/>
    <w:rsid w:val="00A81D6B"/>
    <w:rsid w:val="00A81EA1"/>
    <w:rsid w:val="00A81F50"/>
    <w:rsid w:val="00A826E1"/>
    <w:rsid w:val="00A82927"/>
    <w:rsid w:val="00A82CDF"/>
    <w:rsid w:val="00A83118"/>
    <w:rsid w:val="00A83985"/>
    <w:rsid w:val="00A83CCB"/>
    <w:rsid w:val="00A84216"/>
    <w:rsid w:val="00A84399"/>
    <w:rsid w:val="00A849BC"/>
    <w:rsid w:val="00A84B65"/>
    <w:rsid w:val="00A85CE7"/>
    <w:rsid w:val="00A85F36"/>
    <w:rsid w:val="00A861CE"/>
    <w:rsid w:val="00A863E0"/>
    <w:rsid w:val="00A867E2"/>
    <w:rsid w:val="00A86942"/>
    <w:rsid w:val="00A87299"/>
    <w:rsid w:val="00A875AC"/>
    <w:rsid w:val="00A87F34"/>
    <w:rsid w:val="00A9061C"/>
    <w:rsid w:val="00A90785"/>
    <w:rsid w:val="00A90921"/>
    <w:rsid w:val="00A90969"/>
    <w:rsid w:val="00A90C35"/>
    <w:rsid w:val="00A9149A"/>
    <w:rsid w:val="00A914E7"/>
    <w:rsid w:val="00A91F3A"/>
    <w:rsid w:val="00A9204C"/>
    <w:rsid w:val="00A92291"/>
    <w:rsid w:val="00A9231D"/>
    <w:rsid w:val="00A923F1"/>
    <w:rsid w:val="00A92583"/>
    <w:rsid w:val="00A92BE1"/>
    <w:rsid w:val="00A92C3F"/>
    <w:rsid w:val="00A92E1F"/>
    <w:rsid w:val="00A93282"/>
    <w:rsid w:val="00A93C5B"/>
    <w:rsid w:val="00A93E2C"/>
    <w:rsid w:val="00A93ECD"/>
    <w:rsid w:val="00A947D9"/>
    <w:rsid w:val="00A94895"/>
    <w:rsid w:val="00A94A5D"/>
    <w:rsid w:val="00A94A95"/>
    <w:rsid w:val="00A94CDB"/>
    <w:rsid w:val="00A9510B"/>
    <w:rsid w:val="00A95303"/>
    <w:rsid w:val="00A95558"/>
    <w:rsid w:val="00A95B26"/>
    <w:rsid w:val="00A95F28"/>
    <w:rsid w:val="00A960F2"/>
    <w:rsid w:val="00A964FF"/>
    <w:rsid w:val="00A969F1"/>
    <w:rsid w:val="00A96AA3"/>
    <w:rsid w:val="00A96E6A"/>
    <w:rsid w:val="00A97328"/>
    <w:rsid w:val="00A97583"/>
    <w:rsid w:val="00A9771E"/>
    <w:rsid w:val="00A97BC9"/>
    <w:rsid w:val="00A97D55"/>
    <w:rsid w:val="00AA04C6"/>
    <w:rsid w:val="00AA08A5"/>
    <w:rsid w:val="00AA095C"/>
    <w:rsid w:val="00AA0BBF"/>
    <w:rsid w:val="00AA0DAD"/>
    <w:rsid w:val="00AA0EE0"/>
    <w:rsid w:val="00AA1DC8"/>
    <w:rsid w:val="00AA1EF4"/>
    <w:rsid w:val="00AA1FFF"/>
    <w:rsid w:val="00AA33BE"/>
    <w:rsid w:val="00AA3515"/>
    <w:rsid w:val="00AA3977"/>
    <w:rsid w:val="00AA456A"/>
    <w:rsid w:val="00AA4E3E"/>
    <w:rsid w:val="00AA4FB8"/>
    <w:rsid w:val="00AA5299"/>
    <w:rsid w:val="00AA5312"/>
    <w:rsid w:val="00AA5DB8"/>
    <w:rsid w:val="00AA5E94"/>
    <w:rsid w:val="00AA6307"/>
    <w:rsid w:val="00AA6755"/>
    <w:rsid w:val="00AA6CAF"/>
    <w:rsid w:val="00AA70D9"/>
    <w:rsid w:val="00AA7154"/>
    <w:rsid w:val="00AA75FC"/>
    <w:rsid w:val="00AA7761"/>
    <w:rsid w:val="00AA7BFA"/>
    <w:rsid w:val="00AB01E9"/>
    <w:rsid w:val="00AB03E7"/>
    <w:rsid w:val="00AB0450"/>
    <w:rsid w:val="00AB0524"/>
    <w:rsid w:val="00AB078F"/>
    <w:rsid w:val="00AB1210"/>
    <w:rsid w:val="00AB17D9"/>
    <w:rsid w:val="00AB1805"/>
    <w:rsid w:val="00AB1AAB"/>
    <w:rsid w:val="00AB1D2A"/>
    <w:rsid w:val="00AB1EFC"/>
    <w:rsid w:val="00AB21E9"/>
    <w:rsid w:val="00AB284F"/>
    <w:rsid w:val="00AB2855"/>
    <w:rsid w:val="00AB29D5"/>
    <w:rsid w:val="00AB2B49"/>
    <w:rsid w:val="00AB2E70"/>
    <w:rsid w:val="00AB320C"/>
    <w:rsid w:val="00AB3325"/>
    <w:rsid w:val="00AB35ED"/>
    <w:rsid w:val="00AB3E0F"/>
    <w:rsid w:val="00AB3EBE"/>
    <w:rsid w:val="00AB447D"/>
    <w:rsid w:val="00AB49AB"/>
    <w:rsid w:val="00AB4A29"/>
    <w:rsid w:val="00AB50B2"/>
    <w:rsid w:val="00AB552E"/>
    <w:rsid w:val="00AB5BC6"/>
    <w:rsid w:val="00AB5C0E"/>
    <w:rsid w:val="00AB5CB3"/>
    <w:rsid w:val="00AB5FE3"/>
    <w:rsid w:val="00AB612F"/>
    <w:rsid w:val="00AB6D81"/>
    <w:rsid w:val="00AB6E9A"/>
    <w:rsid w:val="00AB78AF"/>
    <w:rsid w:val="00AC02E6"/>
    <w:rsid w:val="00AC02EF"/>
    <w:rsid w:val="00AC0505"/>
    <w:rsid w:val="00AC06BE"/>
    <w:rsid w:val="00AC09F6"/>
    <w:rsid w:val="00AC0B16"/>
    <w:rsid w:val="00AC1318"/>
    <w:rsid w:val="00AC17B6"/>
    <w:rsid w:val="00AC1863"/>
    <w:rsid w:val="00AC251F"/>
    <w:rsid w:val="00AC260A"/>
    <w:rsid w:val="00AC2B16"/>
    <w:rsid w:val="00AC34A9"/>
    <w:rsid w:val="00AC364D"/>
    <w:rsid w:val="00AC364F"/>
    <w:rsid w:val="00AC3CC4"/>
    <w:rsid w:val="00AC524A"/>
    <w:rsid w:val="00AC548C"/>
    <w:rsid w:val="00AC55EA"/>
    <w:rsid w:val="00AC5BBF"/>
    <w:rsid w:val="00AC5D7B"/>
    <w:rsid w:val="00AC6740"/>
    <w:rsid w:val="00AC6E6F"/>
    <w:rsid w:val="00AC7199"/>
    <w:rsid w:val="00AC72ED"/>
    <w:rsid w:val="00AC7CA9"/>
    <w:rsid w:val="00AD0204"/>
    <w:rsid w:val="00AD0CD5"/>
    <w:rsid w:val="00AD1154"/>
    <w:rsid w:val="00AD143B"/>
    <w:rsid w:val="00AD1F15"/>
    <w:rsid w:val="00AD229C"/>
    <w:rsid w:val="00AD255A"/>
    <w:rsid w:val="00AD2785"/>
    <w:rsid w:val="00AD2A33"/>
    <w:rsid w:val="00AD31D8"/>
    <w:rsid w:val="00AD3565"/>
    <w:rsid w:val="00AD3A23"/>
    <w:rsid w:val="00AD3B9B"/>
    <w:rsid w:val="00AD3CDF"/>
    <w:rsid w:val="00AD3D73"/>
    <w:rsid w:val="00AD3E8F"/>
    <w:rsid w:val="00AD4280"/>
    <w:rsid w:val="00AD439F"/>
    <w:rsid w:val="00AD47C9"/>
    <w:rsid w:val="00AD47E1"/>
    <w:rsid w:val="00AD4866"/>
    <w:rsid w:val="00AD4ABB"/>
    <w:rsid w:val="00AD4E45"/>
    <w:rsid w:val="00AD511D"/>
    <w:rsid w:val="00AD5474"/>
    <w:rsid w:val="00AD5723"/>
    <w:rsid w:val="00AD5ED6"/>
    <w:rsid w:val="00AD5FF7"/>
    <w:rsid w:val="00AD6406"/>
    <w:rsid w:val="00AD6CA3"/>
    <w:rsid w:val="00AD71D3"/>
    <w:rsid w:val="00AD72E7"/>
    <w:rsid w:val="00AD77A9"/>
    <w:rsid w:val="00AD786C"/>
    <w:rsid w:val="00AD79E1"/>
    <w:rsid w:val="00AD7AC9"/>
    <w:rsid w:val="00AD7BE3"/>
    <w:rsid w:val="00AE00C6"/>
    <w:rsid w:val="00AE0124"/>
    <w:rsid w:val="00AE021A"/>
    <w:rsid w:val="00AE099E"/>
    <w:rsid w:val="00AE0B24"/>
    <w:rsid w:val="00AE0C15"/>
    <w:rsid w:val="00AE18EA"/>
    <w:rsid w:val="00AE18F3"/>
    <w:rsid w:val="00AE22C1"/>
    <w:rsid w:val="00AE2E4C"/>
    <w:rsid w:val="00AE3D8E"/>
    <w:rsid w:val="00AE3D9A"/>
    <w:rsid w:val="00AE411B"/>
    <w:rsid w:val="00AE414A"/>
    <w:rsid w:val="00AE53EF"/>
    <w:rsid w:val="00AE5A87"/>
    <w:rsid w:val="00AE656A"/>
    <w:rsid w:val="00AE6792"/>
    <w:rsid w:val="00AE6BB3"/>
    <w:rsid w:val="00AE6BBF"/>
    <w:rsid w:val="00AE6CA0"/>
    <w:rsid w:val="00AE716E"/>
    <w:rsid w:val="00AE7296"/>
    <w:rsid w:val="00AE7F45"/>
    <w:rsid w:val="00AF0994"/>
    <w:rsid w:val="00AF0F0A"/>
    <w:rsid w:val="00AF1075"/>
    <w:rsid w:val="00AF1247"/>
    <w:rsid w:val="00AF160D"/>
    <w:rsid w:val="00AF1C7E"/>
    <w:rsid w:val="00AF2174"/>
    <w:rsid w:val="00AF253A"/>
    <w:rsid w:val="00AF256E"/>
    <w:rsid w:val="00AF2DCC"/>
    <w:rsid w:val="00AF2F45"/>
    <w:rsid w:val="00AF3638"/>
    <w:rsid w:val="00AF38AF"/>
    <w:rsid w:val="00AF3A05"/>
    <w:rsid w:val="00AF3E6F"/>
    <w:rsid w:val="00AF4357"/>
    <w:rsid w:val="00AF49DA"/>
    <w:rsid w:val="00AF5375"/>
    <w:rsid w:val="00AF561B"/>
    <w:rsid w:val="00AF5FB3"/>
    <w:rsid w:val="00AF650C"/>
    <w:rsid w:val="00B003D8"/>
    <w:rsid w:val="00B007A8"/>
    <w:rsid w:val="00B008C9"/>
    <w:rsid w:val="00B00B8E"/>
    <w:rsid w:val="00B01F53"/>
    <w:rsid w:val="00B026B0"/>
    <w:rsid w:val="00B02BD1"/>
    <w:rsid w:val="00B02BEA"/>
    <w:rsid w:val="00B02E1E"/>
    <w:rsid w:val="00B03B80"/>
    <w:rsid w:val="00B03CA4"/>
    <w:rsid w:val="00B04B51"/>
    <w:rsid w:val="00B04BB7"/>
    <w:rsid w:val="00B04C89"/>
    <w:rsid w:val="00B05279"/>
    <w:rsid w:val="00B05435"/>
    <w:rsid w:val="00B057B1"/>
    <w:rsid w:val="00B05ABC"/>
    <w:rsid w:val="00B06764"/>
    <w:rsid w:val="00B0697E"/>
    <w:rsid w:val="00B06F13"/>
    <w:rsid w:val="00B076A4"/>
    <w:rsid w:val="00B079CB"/>
    <w:rsid w:val="00B079E5"/>
    <w:rsid w:val="00B10302"/>
    <w:rsid w:val="00B106DE"/>
    <w:rsid w:val="00B10931"/>
    <w:rsid w:val="00B10A89"/>
    <w:rsid w:val="00B10BA1"/>
    <w:rsid w:val="00B10F66"/>
    <w:rsid w:val="00B1105B"/>
    <w:rsid w:val="00B1163B"/>
    <w:rsid w:val="00B11756"/>
    <w:rsid w:val="00B1194C"/>
    <w:rsid w:val="00B11DD1"/>
    <w:rsid w:val="00B11E7C"/>
    <w:rsid w:val="00B123DF"/>
    <w:rsid w:val="00B1260B"/>
    <w:rsid w:val="00B1274D"/>
    <w:rsid w:val="00B12758"/>
    <w:rsid w:val="00B1371D"/>
    <w:rsid w:val="00B14171"/>
    <w:rsid w:val="00B143F0"/>
    <w:rsid w:val="00B14621"/>
    <w:rsid w:val="00B14860"/>
    <w:rsid w:val="00B14D2F"/>
    <w:rsid w:val="00B14F5E"/>
    <w:rsid w:val="00B155EB"/>
    <w:rsid w:val="00B15DAF"/>
    <w:rsid w:val="00B164FF"/>
    <w:rsid w:val="00B16550"/>
    <w:rsid w:val="00B165FB"/>
    <w:rsid w:val="00B16CEB"/>
    <w:rsid w:val="00B17153"/>
    <w:rsid w:val="00B173B5"/>
    <w:rsid w:val="00B17771"/>
    <w:rsid w:val="00B17809"/>
    <w:rsid w:val="00B203B0"/>
    <w:rsid w:val="00B20662"/>
    <w:rsid w:val="00B209DE"/>
    <w:rsid w:val="00B20FAE"/>
    <w:rsid w:val="00B211EA"/>
    <w:rsid w:val="00B215CC"/>
    <w:rsid w:val="00B21BDD"/>
    <w:rsid w:val="00B21C57"/>
    <w:rsid w:val="00B2218E"/>
    <w:rsid w:val="00B225F8"/>
    <w:rsid w:val="00B2276E"/>
    <w:rsid w:val="00B2321B"/>
    <w:rsid w:val="00B2358A"/>
    <w:rsid w:val="00B236CF"/>
    <w:rsid w:val="00B23A85"/>
    <w:rsid w:val="00B24F58"/>
    <w:rsid w:val="00B259CF"/>
    <w:rsid w:val="00B26616"/>
    <w:rsid w:val="00B26B00"/>
    <w:rsid w:val="00B26C0E"/>
    <w:rsid w:val="00B26D82"/>
    <w:rsid w:val="00B26E79"/>
    <w:rsid w:val="00B27D88"/>
    <w:rsid w:val="00B27F06"/>
    <w:rsid w:val="00B3038F"/>
    <w:rsid w:val="00B30720"/>
    <w:rsid w:val="00B3084F"/>
    <w:rsid w:val="00B30A70"/>
    <w:rsid w:val="00B30B42"/>
    <w:rsid w:val="00B3109D"/>
    <w:rsid w:val="00B32705"/>
    <w:rsid w:val="00B32D8C"/>
    <w:rsid w:val="00B32EBD"/>
    <w:rsid w:val="00B3333D"/>
    <w:rsid w:val="00B338C3"/>
    <w:rsid w:val="00B33F57"/>
    <w:rsid w:val="00B33FAF"/>
    <w:rsid w:val="00B33FE9"/>
    <w:rsid w:val="00B3412C"/>
    <w:rsid w:val="00B34A7E"/>
    <w:rsid w:val="00B34B34"/>
    <w:rsid w:val="00B354CA"/>
    <w:rsid w:val="00B35663"/>
    <w:rsid w:val="00B358BC"/>
    <w:rsid w:val="00B358C6"/>
    <w:rsid w:val="00B36243"/>
    <w:rsid w:val="00B364FC"/>
    <w:rsid w:val="00B3683B"/>
    <w:rsid w:val="00B3684F"/>
    <w:rsid w:val="00B37015"/>
    <w:rsid w:val="00B37311"/>
    <w:rsid w:val="00B378C6"/>
    <w:rsid w:val="00B37C3D"/>
    <w:rsid w:val="00B37E75"/>
    <w:rsid w:val="00B40744"/>
    <w:rsid w:val="00B409A2"/>
    <w:rsid w:val="00B40D56"/>
    <w:rsid w:val="00B41180"/>
    <w:rsid w:val="00B417AB"/>
    <w:rsid w:val="00B418AD"/>
    <w:rsid w:val="00B4194E"/>
    <w:rsid w:val="00B41B91"/>
    <w:rsid w:val="00B41C2D"/>
    <w:rsid w:val="00B422E2"/>
    <w:rsid w:val="00B42C88"/>
    <w:rsid w:val="00B432FB"/>
    <w:rsid w:val="00B437B0"/>
    <w:rsid w:val="00B43A54"/>
    <w:rsid w:val="00B43DB7"/>
    <w:rsid w:val="00B43EE2"/>
    <w:rsid w:val="00B43FA8"/>
    <w:rsid w:val="00B44281"/>
    <w:rsid w:val="00B44967"/>
    <w:rsid w:val="00B449F5"/>
    <w:rsid w:val="00B45048"/>
    <w:rsid w:val="00B451AD"/>
    <w:rsid w:val="00B45348"/>
    <w:rsid w:val="00B45E9F"/>
    <w:rsid w:val="00B4635C"/>
    <w:rsid w:val="00B46C3D"/>
    <w:rsid w:val="00B47048"/>
    <w:rsid w:val="00B473D9"/>
    <w:rsid w:val="00B474EA"/>
    <w:rsid w:val="00B47986"/>
    <w:rsid w:val="00B47ED5"/>
    <w:rsid w:val="00B501B4"/>
    <w:rsid w:val="00B5039B"/>
    <w:rsid w:val="00B5080A"/>
    <w:rsid w:val="00B50A52"/>
    <w:rsid w:val="00B50E59"/>
    <w:rsid w:val="00B50E9D"/>
    <w:rsid w:val="00B5213B"/>
    <w:rsid w:val="00B525E2"/>
    <w:rsid w:val="00B52729"/>
    <w:rsid w:val="00B52AF8"/>
    <w:rsid w:val="00B52BD3"/>
    <w:rsid w:val="00B53512"/>
    <w:rsid w:val="00B53819"/>
    <w:rsid w:val="00B53C59"/>
    <w:rsid w:val="00B53C60"/>
    <w:rsid w:val="00B53E7D"/>
    <w:rsid w:val="00B543AF"/>
    <w:rsid w:val="00B5450A"/>
    <w:rsid w:val="00B548A8"/>
    <w:rsid w:val="00B54ADA"/>
    <w:rsid w:val="00B54B7C"/>
    <w:rsid w:val="00B5515E"/>
    <w:rsid w:val="00B55227"/>
    <w:rsid w:val="00B55328"/>
    <w:rsid w:val="00B55449"/>
    <w:rsid w:val="00B556FE"/>
    <w:rsid w:val="00B55717"/>
    <w:rsid w:val="00B55C98"/>
    <w:rsid w:val="00B55DA5"/>
    <w:rsid w:val="00B566C5"/>
    <w:rsid w:val="00B56AB4"/>
    <w:rsid w:val="00B56C42"/>
    <w:rsid w:val="00B56C86"/>
    <w:rsid w:val="00B5796C"/>
    <w:rsid w:val="00B601CF"/>
    <w:rsid w:val="00B607FE"/>
    <w:rsid w:val="00B60DEB"/>
    <w:rsid w:val="00B61C94"/>
    <w:rsid w:val="00B626A9"/>
    <w:rsid w:val="00B62A1D"/>
    <w:rsid w:val="00B62B10"/>
    <w:rsid w:val="00B63037"/>
    <w:rsid w:val="00B6321E"/>
    <w:rsid w:val="00B633F0"/>
    <w:rsid w:val="00B638FB"/>
    <w:rsid w:val="00B63940"/>
    <w:rsid w:val="00B6395E"/>
    <w:rsid w:val="00B63E22"/>
    <w:rsid w:val="00B63EAB"/>
    <w:rsid w:val="00B641C2"/>
    <w:rsid w:val="00B64B08"/>
    <w:rsid w:val="00B64CA3"/>
    <w:rsid w:val="00B64DA1"/>
    <w:rsid w:val="00B64ED0"/>
    <w:rsid w:val="00B665FD"/>
    <w:rsid w:val="00B666AB"/>
    <w:rsid w:val="00B66767"/>
    <w:rsid w:val="00B668D0"/>
    <w:rsid w:val="00B669D6"/>
    <w:rsid w:val="00B66D26"/>
    <w:rsid w:val="00B67056"/>
    <w:rsid w:val="00B67660"/>
    <w:rsid w:val="00B67957"/>
    <w:rsid w:val="00B67AD6"/>
    <w:rsid w:val="00B67AEF"/>
    <w:rsid w:val="00B67D26"/>
    <w:rsid w:val="00B7052B"/>
    <w:rsid w:val="00B708FA"/>
    <w:rsid w:val="00B70BBF"/>
    <w:rsid w:val="00B70E98"/>
    <w:rsid w:val="00B711EE"/>
    <w:rsid w:val="00B718EA"/>
    <w:rsid w:val="00B71D3D"/>
    <w:rsid w:val="00B71D8A"/>
    <w:rsid w:val="00B72777"/>
    <w:rsid w:val="00B729DE"/>
    <w:rsid w:val="00B72C06"/>
    <w:rsid w:val="00B72D27"/>
    <w:rsid w:val="00B730A7"/>
    <w:rsid w:val="00B7378E"/>
    <w:rsid w:val="00B73D70"/>
    <w:rsid w:val="00B73E2C"/>
    <w:rsid w:val="00B741E5"/>
    <w:rsid w:val="00B74646"/>
    <w:rsid w:val="00B752CD"/>
    <w:rsid w:val="00B754D6"/>
    <w:rsid w:val="00B757A8"/>
    <w:rsid w:val="00B75813"/>
    <w:rsid w:val="00B75974"/>
    <w:rsid w:val="00B75A3B"/>
    <w:rsid w:val="00B76C83"/>
    <w:rsid w:val="00B76FB5"/>
    <w:rsid w:val="00B77987"/>
    <w:rsid w:val="00B77B04"/>
    <w:rsid w:val="00B77CB4"/>
    <w:rsid w:val="00B77FA9"/>
    <w:rsid w:val="00B800D8"/>
    <w:rsid w:val="00B80427"/>
    <w:rsid w:val="00B8059F"/>
    <w:rsid w:val="00B81870"/>
    <w:rsid w:val="00B81CCE"/>
    <w:rsid w:val="00B81FB8"/>
    <w:rsid w:val="00B82728"/>
    <w:rsid w:val="00B82746"/>
    <w:rsid w:val="00B829E3"/>
    <w:rsid w:val="00B82CC9"/>
    <w:rsid w:val="00B8328F"/>
    <w:rsid w:val="00B83AF9"/>
    <w:rsid w:val="00B8421C"/>
    <w:rsid w:val="00B8476F"/>
    <w:rsid w:val="00B847E5"/>
    <w:rsid w:val="00B84CF1"/>
    <w:rsid w:val="00B84E2D"/>
    <w:rsid w:val="00B8564C"/>
    <w:rsid w:val="00B85BE4"/>
    <w:rsid w:val="00B8615E"/>
    <w:rsid w:val="00B8622C"/>
    <w:rsid w:val="00B867B5"/>
    <w:rsid w:val="00B868D6"/>
    <w:rsid w:val="00B86AC6"/>
    <w:rsid w:val="00B87D45"/>
    <w:rsid w:val="00B87E5F"/>
    <w:rsid w:val="00B9016F"/>
    <w:rsid w:val="00B902E7"/>
    <w:rsid w:val="00B90F74"/>
    <w:rsid w:val="00B90FB3"/>
    <w:rsid w:val="00B90FF4"/>
    <w:rsid w:val="00B910D2"/>
    <w:rsid w:val="00B91107"/>
    <w:rsid w:val="00B911C9"/>
    <w:rsid w:val="00B91299"/>
    <w:rsid w:val="00B912A6"/>
    <w:rsid w:val="00B914C2"/>
    <w:rsid w:val="00B9247F"/>
    <w:rsid w:val="00B92484"/>
    <w:rsid w:val="00B92AA0"/>
    <w:rsid w:val="00B92FB5"/>
    <w:rsid w:val="00B93178"/>
    <w:rsid w:val="00B936EC"/>
    <w:rsid w:val="00B93A8C"/>
    <w:rsid w:val="00B93AC5"/>
    <w:rsid w:val="00B93B11"/>
    <w:rsid w:val="00B93FEF"/>
    <w:rsid w:val="00B940A7"/>
    <w:rsid w:val="00B944AB"/>
    <w:rsid w:val="00B94698"/>
    <w:rsid w:val="00B94E41"/>
    <w:rsid w:val="00B94F7C"/>
    <w:rsid w:val="00B952D8"/>
    <w:rsid w:val="00B95665"/>
    <w:rsid w:val="00B95683"/>
    <w:rsid w:val="00B95994"/>
    <w:rsid w:val="00B966BE"/>
    <w:rsid w:val="00B96C06"/>
    <w:rsid w:val="00B96EC6"/>
    <w:rsid w:val="00B9783F"/>
    <w:rsid w:val="00B97B04"/>
    <w:rsid w:val="00BA051D"/>
    <w:rsid w:val="00BA0F3E"/>
    <w:rsid w:val="00BA1347"/>
    <w:rsid w:val="00BA1C5D"/>
    <w:rsid w:val="00BA1E56"/>
    <w:rsid w:val="00BA2542"/>
    <w:rsid w:val="00BA33F1"/>
    <w:rsid w:val="00BA3890"/>
    <w:rsid w:val="00BA3B6C"/>
    <w:rsid w:val="00BA3F11"/>
    <w:rsid w:val="00BA406F"/>
    <w:rsid w:val="00BA4475"/>
    <w:rsid w:val="00BA4653"/>
    <w:rsid w:val="00BA5017"/>
    <w:rsid w:val="00BA5360"/>
    <w:rsid w:val="00BA59BB"/>
    <w:rsid w:val="00BA5A82"/>
    <w:rsid w:val="00BA745B"/>
    <w:rsid w:val="00BA7492"/>
    <w:rsid w:val="00BA7A8C"/>
    <w:rsid w:val="00BA7B36"/>
    <w:rsid w:val="00BB00CB"/>
    <w:rsid w:val="00BB0B6C"/>
    <w:rsid w:val="00BB0BE7"/>
    <w:rsid w:val="00BB0E00"/>
    <w:rsid w:val="00BB1154"/>
    <w:rsid w:val="00BB135D"/>
    <w:rsid w:val="00BB17DC"/>
    <w:rsid w:val="00BB1A4B"/>
    <w:rsid w:val="00BB1A4C"/>
    <w:rsid w:val="00BB304B"/>
    <w:rsid w:val="00BB4294"/>
    <w:rsid w:val="00BB451D"/>
    <w:rsid w:val="00BB472F"/>
    <w:rsid w:val="00BB475B"/>
    <w:rsid w:val="00BB4D35"/>
    <w:rsid w:val="00BB4FB8"/>
    <w:rsid w:val="00BB5C47"/>
    <w:rsid w:val="00BB5DC7"/>
    <w:rsid w:val="00BB5E94"/>
    <w:rsid w:val="00BB6946"/>
    <w:rsid w:val="00BB6B56"/>
    <w:rsid w:val="00BB6CDC"/>
    <w:rsid w:val="00BB6E4A"/>
    <w:rsid w:val="00BB7126"/>
    <w:rsid w:val="00BB73D2"/>
    <w:rsid w:val="00BB7C91"/>
    <w:rsid w:val="00BC019E"/>
    <w:rsid w:val="00BC01D8"/>
    <w:rsid w:val="00BC01EF"/>
    <w:rsid w:val="00BC04BA"/>
    <w:rsid w:val="00BC075F"/>
    <w:rsid w:val="00BC0967"/>
    <w:rsid w:val="00BC0A79"/>
    <w:rsid w:val="00BC0AC9"/>
    <w:rsid w:val="00BC1008"/>
    <w:rsid w:val="00BC1020"/>
    <w:rsid w:val="00BC1942"/>
    <w:rsid w:val="00BC1D41"/>
    <w:rsid w:val="00BC205E"/>
    <w:rsid w:val="00BC2734"/>
    <w:rsid w:val="00BC2CD4"/>
    <w:rsid w:val="00BC3459"/>
    <w:rsid w:val="00BC35A8"/>
    <w:rsid w:val="00BC40D7"/>
    <w:rsid w:val="00BC423B"/>
    <w:rsid w:val="00BC495E"/>
    <w:rsid w:val="00BC4DD8"/>
    <w:rsid w:val="00BC529E"/>
    <w:rsid w:val="00BC5453"/>
    <w:rsid w:val="00BC550A"/>
    <w:rsid w:val="00BC5C80"/>
    <w:rsid w:val="00BC6280"/>
    <w:rsid w:val="00BC6623"/>
    <w:rsid w:val="00BC67AE"/>
    <w:rsid w:val="00BC67E7"/>
    <w:rsid w:val="00BC686A"/>
    <w:rsid w:val="00BC6A9A"/>
    <w:rsid w:val="00BC6E4F"/>
    <w:rsid w:val="00BC6EC8"/>
    <w:rsid w:val="00BC7113"/>
    <w:rsid w:val="00BD00F2"/>
    <w:rsid w:val="00BD0177"/>
    <w:rsid w:val="00BD0243"/>
    <w:rsid w:val="00BD094D"/>
    <w:rsid w:val="00BD0A3E"/>
    <w:rsid w:val="00BD0D29"/>
    <w:rsid w:val="00BD0E40"/>
    <w:rsid w:val="00BD107C"/>
    <w:rsid w:val="00BD11F2"/>
    <w:rsid w:val="00BD1804"/>
    <w:rsid w:val="00BD1AB6"/>
    <w:rsid w:val="00BD1E0B"/>
    <w:rsid w:val="00BD1E4D"/>
    <w:rsid w:val="00BD2107"/>
    <w:rsid w:val="00BD23CF"/>
    <w:rsid w:val="00BD2798"/>
    <w:rsid w:val="00BD2A88"/>
    <w:rsid w:val="00BD315A"/>
    <w:rsid w:val="00BD3BC8"/>
    <w:rsid w:val="00BD3F9F"/>
    <w:rsid w:val="00BD4195"/>
    <w:rsid w:val="00BD45C7"/>
    <w:rsid w:val="00BD5150"/>
    <w:rsid w:val="00BD5531"/>
    <w:rsid w:val="00BD578B"/>
    <w:rsid w:val="00BD58E9"/>
    <w:rsid w:val="00BD607D"/>
    <w:rsid w:val="00BD6110"/>
    <w:rsid w:val="00BD6E49"/>
    <w:rsid w:val="00BD6F05"/>
    <w:rsid w:val="00BD7313"/>
    <w:rsid w:val="00BE0881"/>
    <w:rsid w:val="00BE0FF4"/>
    <w:rsid w:val="00BE12B1"/>
    <w:rsid w:val="00BE12E8"/>
    <w:rsid w:val="00BE163E"/>
    <w:rsid w:val="00BE1F93"/>
    <w:rsid w:val="00BE20BA"/>
    <w:rsid w:val="00BE27E1"/>
    <w:rsid w:val="00BE2F68"/>
    <w:rsid w:val="00BE39BF"/>
    <w:rsid w:val="00BE3C1E"/>
    <w:rsid w:val="00BE3C44"/>
    <w:rsid w:val="00BE4003"/>
    <w:rsid w:val="00BE43C0"/>
    <w:rsid w:val="00BE448C"/>
    <w:rsid w:val="00BE56AB"/>
    <w:rsid w:val="00BE583C"/>
    <w:rsid w:val="00BE62A2"/>
    <w:rsid w:val="00BE6485"/>
    <w:rsid w:val="00BE68BA"/>
    <w:rsid w:val="00BE6902"/>
    <w:rsid w:val="00BE6AF5"/>
    <w:rsid w:val="00BE6C0C"/>
    <w:rsid w:val="00BE7095"/>
    <w:rsid w:val="00BE74C4"/>
    <w:rsid w:val="00BE769A"/>
    <w:rsid w:val="00BE7C12"/>
    <w:rsid w:val="00BE7D0A"/>
    <w:rsid w:val="00BF00B2"/>
    <w:rsid w:val="00BF0A20"/>
    <w:rsid w:val="00BF0B62"/>
    <w:rsid w:val="00BF0FC7"/>
    <w:rsid w:val="00BF17CC"/>
    <w:rsid w:val="00BF2288"/>
    <w:rsid w:val="00BF27A0"/>
    <w:rsid w:val="00BF2C68"/>
    <w:rsid w:val="00BF347B"/>
    <w:rsid w:val="00BF34D2"/>
    <w:rsid w:val="00BF3593"/>
    <w:rsid w:val="00BF3787"/>
    <w:rsid w:val="00BF37EB"/>
    <w:rsid w:val="00BF3814"/>
    <w:rsid w:val="00BF3ACD"/>
    <w:rsid w:val="00BF3AF9"/>
    <w:rsid w:val="00BF3C9C"/>
    <w:rsid w:val="00BF405C"/>
    <w:rsid w:val="00BF4207"/>
    <w:rsid w:val="00BF4BCA"/>
    <w:rsid w:val="00BF4F33"/>
    <w:rsid w:val="00BF5066"/>
    <w:rsid w:val="00BF51DB"/>
    <w:rsid w:val="00BF51DD"/>
    <w:rsid w:val="00BF5299"/>
    <w:rsid w:val="00BF5697"/>
    <w:rsid w:val="00BF5754"/>
    <w:rsid w:val="00BF57C7"/>
    <w:rsid w:val="00BF5C74"/>
    <w:rsid w:val="00BF6002"/>
    <w:rsid w:val="00BF6716"/>
    <w:rsid w:val="00BF6CD4"/>
    <w:rsid w:val="00BF6EFE"/>
    <w:rsid w:val="00BF7179"/>
    <w:rsid w:val="00BF7600"/>
    <w:rsid w:val="00C00393"/>
    <w:rsid w:val="00C005E9"/>
    <w:rsid w:val="00C01033"/>
    <w:rsid w:val="00C0114B"/>
    <w:rsid w:val="00C0164E"/>
    <w:rsid w:val="00C01904"/>
    <w:rsid w:val="00C019E0"/>
    <w:rsid w:val="00C025C1"/>
    <w:rsid w:val="00C025E8"/>
    <w:rsid w:val="00C02D01"/>
    <w:rsid w:val="00C02E60"/>
    <w:rsid w:val="00C0321D"/>
    <w:rsid w:val="00C034BF"/>
    <w:rsid w:val="00C03B8E"/>
    <w:rsid w:val="00C0469A"/>
    <w:rsid w:val="00C04728"/>
    <w:rsid w:val="00C04C3D"/>
    <w:rsid w:val="00C04E36"/>
    <w:rsid w:val="00C053C7"/>
    <w:rsid w:val="00C0567F"/>
    <w:rsid w:val="00C05E7F"/>
    <w:rsid w:val="00C06115"/>
    <w:rsid w:val="00C068CB"/>
    <w:rsid w:val="00C06D14"/>
    <w:rsid w:val="00C06D5A"/>
    <w:rsid w:val="00C071E4"/>
    <w:rsid w:val="00C073DB"/>
    <w:rsid w:val="00C07909"/>
    <w:rsid w:val="00C07E4D"/>
    <w:rsid w:val="00C07ED9"/>
    <w:rsid w:val="00C10025"/>
    <w:rsid w:val="00C1002A"/>
    <w:rsid w:val="00C10671"/>
    <w:rsid w:val="00C111DA"/>
    <w:rsid w:val="00C11691"/>
    <w:rsid w:val="00C1175B"/>
    <w:rsid w:val="00C11A3B"/>
    <w:rsid w:val="00C11DF5"/>
    <w:rsid w:val="00C11ED6"/>
    <w:rsid w:val="00C11FC2"/>
    <w:rsid w:val="00C12112"/>
    <w:rsid w:val="00C12594"/>
    <w:rsid w:val="00C12C60"/>
    <w:rsid w:val="00C12C92"/>
    <w:rsid w:val="00C12D23"/>
    <w:rsid w:val="00C1337D"/>
    <w:rsid w:val="00C133CD"/>
    <w:rsid w:val="00C137CC"/>
    <w:rsid w:val="00C13E91"/>
    <w:rsid w:val="00C1423A"/>
    <w:rsid w:val="00C146FE"/>
    <w:rsid w:val="00C1488D"/>
    <w:rsid w:val="00C148B8"/>
    <w:rsid w:val="00C14C37"/>
    <w:rsid w:val="00C14D85"/>
    <w:rsid w:val="00C14FB7"/>
    <w:rsid w:val="00C155BD"/>
    <w:rsid w:val="00C15954"/>
    <w:rsid w:val="00C15A36"/>
    <w:rsid w:val="00C15D82"/>
    <w:rsid w:val="00C16572"/>
    <w:rsid w:val="00C1705C"/>
    <w:rsid w:val="00C177B2"/>
    <w:rsid w:val="00C17A08"/>
    <w:rsid w:val="00C17CDB"/>
    <w:rsid w:val="00C20093"/>
    <w:rsid w:val="00C200EE"/>
    <w:rsid w:val="00C205DF"/>
    <w:rsid w:val="00C2094C"/>
    <w:rsid w:val="00C20BBF"/>
    <w:rsid w:val="00C22363"/>
    <w:rsid w:val="00C22381"/>
    <w:rsid w:val="00C22DC1"/>
    <w:rsid w:val="00C22EA7"/>
    <w:rsid w:val="00C23002"/>
    <w:rsid w:val="00C23ECA"/>
    <w:rsid w:val="00C247F3"/>
    <w:rsid w:val="00C248D2"/>
    <w:rsid w:val="00C263D3"/>
    <w:rsid w:val="00C2671F"/>
    <w:rsid w:val="00C26A87"/>
    <w:rsid w:val="00C2737F"/>
    <w:rsid w:val="00C273CB"/>
    <w:rsid w:val="00C2744C"/>
    <w:rsid w:val="00C27EF9"/>
    <w:rsid w:val="00C3045B"/>
    <w:rsid w:val="00C30472"/>
    <w:rsid w:val="00C306CD"/>
    <w:rsid w:val="00C30CA0"/>
    <w:rsid w:val="00C30F6C"/>
    <w:rsid w:val="00C310B2"/>
    <w:rsid w:val="00C317FE"/>
    <w:rsid w:val="00C31A43"/>
    <w:rsid w:val="00C31BE7"/>
    <w:rsid w:val="00C31F3E"/>
    <w:rsid w:val="00C32CA2"/>
    <w:rsid w:val="00C32F23"/>
    <w:rsid w:val="00C3406E"/>
    <w:rsid w:val="00C342C4"/>
    <w:rsid w:val="00C348CF"/>
    <w:rsid w:val="00C35414"/>
    <w:rsid w:val="00C35808"/>
    <w:rsid w:val="00C35BEC"/>
    <w:rsid w:val="00C35BF4"/>
    <w:rsid w:val="00C3691B"/>
    <w:rsid w:val="00C36A12"/>
    <w:rsid w:val="00C36E74"/>
    <w:rsid w:val="00C37207"/>
    <w:rsid w:val="00C37594"/>
    <w:rsid w:val="00C377A8"/>
    <w:rsid w:val="00C37DB5"/>
    <w:rsid w:val="00C37E10"/>
    <w:rsid w:val="00C403DA"/>
    <w:rsid w:val="00C40DB0"/>
    <w:rsid w:val="00C40DF7"/>
    <w:rsid w:val="00C413F1"/>
    <w:rsid w:val="00C4155E"/>
    <w:rsid w:val="00C4166C"/>
    <w:rsid w:val="00C4187C"/>
    <w:rsid w:val="00C41997"/>
    <w:rsid w:val="00C41E72"/>
    <w:rsid w:val="00C423C9"/>
    <w:rsid w:val="00C424D3"/>
    <w:rsid w:val="00C42554"/>
    <w:rsid w:val="00C4284D"/>
    <w:rsid w:val="00C42F32"/>
    <w:rsid w:val="00C434FC"/>
    <w:rsid w:val="00C4388F"/>
    <w:rsid w:val="00C43DDE"/>
    <w:rsid w:val="00C43F4E"/>
    <w:rsid w:val="00C44257"/>
    <w:rsid w:val="00C44467"/>
    <w:rsid w:val="00C4456F"/>
    <w:rsid w:val="00C44754"/>
    <w:rsid w:val="00C44C7B"/>
    <w:rsid w:val="00C44DD5"/>
    <w:rsid w:val="00C45165"/>
    <w:rsid w:val="00C45BC0"/>
    <w:rsid w:val="00C463C4"/>
    <w:rsid w:val="00C468EF"/>
    <w:rsid w:val="00C469C2"/>
    <w:rsid w:val="00C46A05"/>
    <w:rsid w:val="00C46AA3"/>
    <w:rsid w:val="00C46BC2"/>
    <w:rsid w:val="00C470C9"/>
    <w:rsid w:val="00C472C6"/>
    <w:rsid w:val="00C47314"/>
    <w:rsid w:val="00C47C7D"/>
    <w:rsid w:val="00C50010"/>
    <w:rsid w:val="00C5031D"/>
    <w:rsid w:val="00C50628"/>
    <w:rsid w:val="00C506F4"/>
    <w:rsid w:val="00C50C58"/>
    <w:rsid w:val="00C50E03"/>
    <w:rsid w:val="00C50EC1"/>
    <w:rsid w:val="00C50F99"/>
    <w:rsid w:val="00C50F9E"/>
    <w:rsid w:val="00C511CC"/>
    <w:rsid w:val="00C5148F"/>
    <w:rsid w:val="00C51AB3"/>
    <w:rsid w:val="00C51C79"/>
    <w:rsid w:val="00C52004"/>
    <w:rsid w:val="00C523E6"/>
    <w:rsid w:val="00C525C7"/>
    <w:rsid w:val="00C52699"/>
    <w:rsid w:val="00C533BE"/>
    <w:rsid w:val="00C53F9D"/>
    <w:rsid w:val="00C54056"/>
    <w:rsid w:val="00C54505"/>
    <w:rsid w:val="00C54C78"/>
    <w:rsid w:val="00C55B3A"/>
    <w:rsid w:val="00C55B5A"/>
    <w:rsid w:val="00C55C00"/>
    <w:rsid w:val="00C55E95"/>
    <w:rsid w:val="00C55EB5"/>
    <w:rsid w:val="00C55EBC"/>
    <w:rsid w:val="00C56364"/>
    <w:rsid w:val="00C56429"/>
    <w:rsid w:val="00C56C9E"/>
    <w:rsid w:val="00C5760C"/>
    <w:rsid w:val="00C5778D"/>
    <w:rsid w:val="00C57D03"/>
    <w:rsid w:val="00C60164"/>
    <w:rsid w:val="00C6024C"/>
    <w:rsid w:val="00C60275"/>
    <w:rsid w:val="00C602DA"/>
    <w:rsid w:val="00C611E7"/>
    <w:rsid w:val="00C6127B"/>
    <w:rsid w:val="00C62267"/>
    <w:rsid w:val="00C62775"/>
    <w:rsid w:val="00C62F05"/>
    <w:rsid w:val="00C6354D"/>
    <w:rsid w:val="00C63712"/>
    <w:rsid w:val="00C639C9"/>
    <w:rsid w:val="00C63B6D"/>
    <w:rsid w:val="00C63DEA"/>
    <w:rsid w:val="00C63EE0"/>
    <w:rsid w:val="00C641E6"/>
    <w:rsid w:val="00C643C5"/>
    <w:rsid w:val="00C6444F"/>
    <w:rsid w:val="00C648B5"/>
    <w:rsid w:val="00C64E24"/>
    <w:rsid w:val="00C654C3"/>
    <w:rsid w:val="00C65943"/>
    <w:rsid w:val="00C66325"/>
    <w:rsid w:val="00C6648C"/>
    <w:rsid w:val="00C66F78"/>
    <w:rsid w:val="00C67097"/>
    <w:rsid w:val="00C675D1"/>
    <w:rsid w:val="00C67603"/>
    <w:rsid w:val="00C70057"/>
    <w:rsid w:val="00C7083F"/>
    <w:rsid w:val="00C711C6"/>
    <w:rsid w:val="00C71894"/>
    <w:rsid w:val="00C71BE1"/>
    <w:rsid w:val="00C71E8C"/>
    <w:rsid w:val="00C720BC"/>
    <w:rsid w:val="00C7210C"/>
    <w:rsid w:val="00C72128"/>
    <w:rsid w:val="00C72235"/>
    <w:rsid w:val="00C72A81"/>
    <w:rsid w:val="00C72AA4"/>
    <w:rsid w:val="00C737BA"/>
    <w:rsid w:val="00C73869"/>
    <w:rsid w:val="00C73A14"/>
    <w:rsid w:val="00C73F18"/>
    <w:rsid w:val="00C740F3"/>
    <w:rsid w:val="00C74262"/>
    <w:rsid w:val="00C7446E"/>
    <w:rsid w:val="00C7455B"/>
    <w:rsid w:val="00C74BDE"/>
    <w:rsid w:val="00C74D83"/>
    <w:rsid w:val="00C75029"/>
    <w:rsid w:val="00C758E2"/>
    <w:rsid w:val="00C759F4"/>
    <w:rsid w:val="00C76225"/>
    <w:rsid w:val="00C76409"/>
    <w:rsid w:val="00C76CBD"/>
    <w:rsid w:val="00C76D9D"/>
    <w:rsid w:val="00C7723D"/>
    <w:rsid w:val="00C779C3"/>
    <w:rsid w:val="00C77B64"/>
    <w:rsid w:val="00C8000E"/>
    <w:rsid w:val="00C80388"/>
    <w:rsid w:val="00C80859"/>
    <w:rsid w:val="00C80A3C"/>
    <w:rsid w:val="00C80D29"/>
    <w:rsid w:val="00C8122D"/>
    <w:rsid w:val="00C822D1"/>
    <w:rsid w:val="00C82F12"/>
    <w:rsid w:val="00C8368C"/>
    <w:rsid w:val="00C83790"/>
    <w:rsid w:val="00C83BC4"/>
    <w:rsid w:val="00C8419E"/>
    <w:rsid w:val="00C84912"/>
    <w:rsid w:val="00C84EB2"/>
    <w:rsid w:val="00C84FF3"/>
    <w:rsid w:val="00C85633"/>
    <w:rsid w:val="00C85C0A"/>
    <w:rsid w:val="00C861A0"/>
    <w:rsid w:val="00C875A2"/>
    <w:rsid w:val="00C87699"/>
    <w:rsid w:val="00C8770C"/>
    <w:rsid w:val="00C8783F"/>
    <w:rsid w:val="00C87882"/>
    <w:rsid w:val="00C87C2B"/>
    <w:rsid w:val="00C87EF4"/>
    <w:rsid w:val="00C87F53"/>
    <w:rsid w:val="00C905F2"/>
    <w:rsid w:val="00C916D5"/>
    <w:rsid w:val="00C9187D"/>
    <w:rsid w:val="00C91A1C"/>
    <w:rsid w:val="00C924DA"/>
    <w:rsid w:val="00C932DA"/>
    <w:rsid w:val="00C933B2"/>
    <w:rsid w:val="00C934E0"/>
    <w:rsid w:val="00C9361E"/>
    <w:rsid w:val="00C93CB1"/>
    <w:rsid w:val="00C93F99"/>
    <w:rsid w:val="00C9419B"/>
    <w:rsid w:val="00C9453A"/>
    <w:rsid w:val="00C94565"/>
    <w:rsid w:val="00C94A41"/>
    <w:rsid w:val="00C94C69"/>
    <w:rsid w:val="00C94E84"/>
    <w:rsid w:val="00C9511A"/>
    <w:rsid w:val="00C95132"/>
    <w:rsid w:val="00C95297"/>
    <w:rsid w:val="00C957B6"/>
    <w:rsid w:val="00C9599A"/>
    <w:rsid w:val="00C95B73"/>
    <w:rsid w:val="00C95BA7"/>
    <w:rsid w:val="00C96285"/>
    <w:rsid w:val="00C9641E"/>
    <w:rsid w:val="00C96AEB"/>
    <w:rsid w:val="00C977A3"/>
    <w:rsid w:val="00C977AD"/>
    <w:rsid w:val="00CA09A6"/>
    <w:rsid w:val="00CA0A5F"/>
    <w:rsid w:val="00CA0C07"/>
    <w:rsid w:val="00CA0E9A"/>
    <w:rsid w:val="00CA0FCB"/>
    <w:rsid w:val="00CA13EE"/>
    <w:rsid w:val="00CA1422"/>
    <w:rsid w:val="00CA1543"/>
    <w:rsid w:val="00CA18F3"/>
    <w:rsid w:val="00CA1953"/>
    <w:rsid w:val="00CA1998"/>
    <w:rsid w:val="00CA1C8B"/>
    <w:rsid w:val="00CA2029"/>
    <w:rsid w:val="00CA2A52"/>
    <w:rsid w:val="00CA30A7"/>
    <w:rsid w:val="00CA36AA"/>
    <w:rsid w:val="00CA3832"/>
    <w:rsid w:val="00CA3F2F"/>
    <w:rsid w:val="00CA3F96"/>
    <w:rsid w:val="00CA418D"/>
    <w:rsid w:val="00CA47D3"/>
    <w:rsid w:val="00CA4851"/>
    <w:rsid w:val="00CA5095"/>
    <w:rsid w:val="00CA5C20"/>
    <w:rsid w:val="00CA65F6"/>
    <w:rsid w:val="00CA6E51"/>
    <w:rsid w:val="00CA6EF1"/>
    <w:rsid w:val="00CA72B6"/>
    <w:rsid w:val="00CA7612"/>
    <w:rsid w:val="00CA768F"/>
    <w:rsid w:val="00CA7A79"/>
    <w:rsid w:val="00CA7D4C"/>
    <w:rsid w:val="00CA7EF5"/>
    <w:rsid w:val="00CB0586"/>
    <w:rsid w:val="00CB0ADF"/>
    <w:rsid w:val="00CB116B"/>
    <w:rsid w:val="00CB187C"/>
    <w:rsid w:val="00CB18D0"/>
    <w:rsid w:val="00CB1929"/>
    <w:rsid w:val="00CB1AB1"/>
    <w:rsid w:val="00CB2358"/>
    <w:rsid w:val="00CB2446"/>
    <w:rsid w:val="00CB2AE6"/>
    <w:rsid w:val="00CB2CA5"/>
    <w:rsid w:val="00CB3108"/>
    <w:rsid w:val="00CB3188"/>
    <w:rsid w:val="00CB3214"/>
    <w:rsid w:val="00CB35EB"/>
    <w:rsid w:val="00CB36E9"/>
    <w:rsid w:val="00CB3F56"/>
    <w:rsid w:val="00CB4B52"/>
    <w:rsid w:val="00CB4E16"/>
    <w:rsid w:val="00CB5C0C"/>
    <w:rsid w:val="00CB5F0A"/>
    <w:rsid w:val="00CB64BD"/>
    <w:rsid w:val="00CB658A"/>
    <w:rsid w:val="00CB66EE"/>
    <w:rsid w:val="00CB6C36"/>
    <w:rsid w:val="00CB6F6C"/>
    <w:rsid w:val="00CB710E"/>
    <w:rsid w:val="00CB7248"/>
    <w:rsid w:val="00CB76EA"/>
    <w:rsid w:val="00CB77FC"/>
    <w:rsid w:val="00CB782A"/>
    <w:rsid w:val="00CB7EC8"/>
    <w:rsid w:val="00CC00A5"/>
    <w:rsid w:val="00CC03C2"/>
    <w:rsid w:val="00CC0465"/>
    <w:rsid w:val="00CC05A5"/>
    <w:rsid w:val="00CC0724"/>
    <w:rsid w:val="00CC0EA7"/>
    <w:rsid w:val="00CC1227"/>
    <w:rsid w:val="00CC14F8"/>
    <w:rsid w:val="00CC19FA"/>
    <w:rsid w:val="00CC1E8D"/>
    <w:rsid w:val="00CC2AF0"/>
    <w:rsid w:val="00CC2C05"/>
    <w:rsid w:val="00CC32C0"/>
    <w:rsid w:val="00CC34D5"/>
    <w:rsid w:val="00CC4021"/>
    <w:rsid w:val="00CC4378"/>
    <w:rsid w:val="00CC48E9"/>
    <w:rsid w:val="00CC520A"/>
    <w:rsid w:val="00CC63CA"/>
    <w:rsid w:val="00CC665C"/>
    <w:rsid w:val="00CC675B"/>
    <w:rsid w:val="00CC6898"/>
    <w:rsid w:val="00CC7080"/>
    <w:rsid w:val="00CC721F"/>
    <w:rsid w:val="00CC736E"/>
    <w:rsid w:val="00CC7E16"/>
    <w:rsid w:val="00CC7F79"/>
    <w:rsid w:val="00CD0957"/>
    <w:rsid w:val="00CD109A"/>
    <w:rsid w:val="00CD12EA"/>
    <w:rsid w:val="00CD1703"/>
    <w:rsid w:val="00CD1948"/>
    <w:rsid w:val="00CD2088"/>
    <w:rsid w:val="00CD20A2"/>
    <w:rsid w:val="00CD215B"/>
    <w:rsid w:val="00CD2198"/>
    <w:rsid w:val="00CD21EC"/>
    <w:rsid w:val="00CD2391"/>
    <w:rsid w:val="00CD245B"/>
    <w:rsid w:val="00CD2523"/>
    <w:rsid w:val="00CD2B1D"/>
    <w:rsid w:val="00CD2C59"/>
    <w:rsid w:val="00CD3580"/>
    <w:rsid w:val="00CD369D"/>
    <w:rsid w:val="00CD3FBD"/>
    <w:rsid w:val="00CD472E"/>
    <w:rsid w:val="00CD47B8"/>
    <w:rsid w:val="00CD4B64"/>
    <w:rsid w:val="00CD4D25"/>
    <w:rsid w:val="00CD4D74"/>
    <w:rsid w:val="00CD53C0"/>
    <w:rsid w:val="00CD575C"/>
    <w:rsid w:val="00CD628A"/>
    <w:rsid w:val="00CD636D"/>
    <w:rsid w:val="00CD63BA"/>
    <w:rsid w:val="00CD6567"/>
    <w:rsid w:val="00CD697A"/>
    <w:rsid w:val="00CD6D17"/>
    <w:rsid w:val="00CD6F3E"/>
    <w:rsid w:val="00CD74DC"/>
    <w:rsid w:val="00CD78E4"/>
    <w:rsid w:val="00CD7C0C"/>
    <w:rsid w:val="00CE040B"/>
    <w:rsid w:val="00CE0DDA"/>
    <w:rsid w:val="00CE142F"/>
    <w:rsid w:val="00CE22B8"/>
    <w:rsid w:val="00CE2556"/>
    <w:rsid w:val="00CE264B"/>
    <w:rsid w:val="00CE2845"/>
    <w:rsid w:val="00CE2CCD"/>
    <w:rsid w:val="00CE2FAB"/>
    <w:rsid w:val="00CE32B1"/>
    <w:rsid w:val="00CE33F7"/>
    <w:rsid w:val="00CE3600"/>
    <w:rsid w:val="00CE3662"/>
    <w:rsid w:val="00CE3CA7"/>
    <w:rsid w:val="00CE419D"/>
    <w:rsid w:val="00CE4263"/>
    <w:rsid w:val="00CE4FFB"/>
    <w:rsid w:val="00CE501B"/>
    <w:rsid w:val="00CE530F"/>
    <w:rsid w:val="00CE5854"/>
    <w:rsid w:val="00CE5F27"/>
    <w:rsid w:val="00CE60F0"/>
    <w:rsid w:val="00CE63E7"/>
    <w:rsid w:val="00CE64E7"/>
    <w:rsid w:val="00CE67DD"/>
    <w:rsid w:val="00CE71A5"/>
    <w:rsid w:val="00CE71C6"/>
    <w:rsid w:val="00CE7283"/>
    <w:rsid w:val="00CE7298"/>
    <w:rsid w:val="00CE733D"/>
    <w:rsid w:val="00CE78C6"/>
    <w:rsid w:val="00CE7DCA"/>
    <w:rsid w:val="00CE7E82"/>
    <w:rsid w:val="00CF04AD"/>
    <w:rsid w:val="00CF078F"/>
    <w:rsid w:val="00CF0990"/>
    <w:rsid w:val="00CF0B63"/>
    <w:rsid w:val="00CF1357"/>
    <w:rsid w:val="00CF1FB3"/>
    <w:rsid w:val="00CF2132"/>
    <w:rsid w:val="00CF2A59"/>
    <w:rsid w:val="00CF33C0"/>
    <w:rsid w:val="00CF3A19"/>
    <w:rsid w:val="00CF3B38"/>
    <w:rsid w:val="00CF3D6D"/>
    <w:rsid w:val="00CF4544"/>
    <w:rsid w:val="00CF4894"/>
    <w:rsid w:val="00CF5328"/>
    <w:rsid w:val="00CF5A02"/>
    <w:rsid w:val="00CF5A0C"/>
    <w:rsid w:val="00CF5BDF"/>
    <w:rsid w:val="00CF6294"/>
    <w:rsid w:val="00CF629C"/>
    <w:rsid w:val="00CF7230"/>
    <w:rsid w:val="00CF74B1"/>
    <w:rsid w:val="00CF7579"/>
    <w:rsid w:val="00CF76BB"/>
    <w:rsid w:val="00CF7D6D"/>
    <w:rsid w:val="00CF7DD9"/>
    <w:rsid w:val="00CF7FD2"/>
    <w:rsid w:val="00D003B5"/>
    <w:rsid w:val="00D005C7"/>
    <w:rsid w:val="00D00852"/>
    <w:rsid w:val="00D0087C"/>
    <w:rsid w:val="00D00E48"/>
    <w:rsid w:val="00D01187"/>
    <w:rsid w:val="00D01B71"/>
    <w:rsid w:val="00D01DB4"/>
    <w:rsid w:val="00D0224F"/>
    <w:rsid w:val="00D02318"/>
    <w:rsid w:val="00D02516"/>
    <w:rsid w:val="00D02656"/>
    <w:rsid w:val="00D03234"/>
    <w:rsid w:val="00D0350C"/>
    <w:rsid w:val="00D03E9A"/>
    <w:rsid w:val="00D03E9F"/>
    <w:rsid w:val="00D040EA"/>
    <w:rsid w:val="00D046BF"/>
    <w:rsid w:val="00D047AD"/>
    <w:rsid w:val="00D0487C"/>
    <w:rsid w:val="00D048F8"/>
    <w:rsid w:val="00D0507E"/>
    <w:rsid w:val="00D0574F"/>
    <w:rsid w:val="00D0608A"/>
    <w:rsid w:val="00D10EB7"/>
    <w:rsid w:val="00D11148"/>
    <w:rsid w:val="00D11A43"/>
    <w:rsid w:val="00D11F02"/>
    <w:rsid w:val="00D122ED"/>
    <w:rsid w:val="00D12577"/>
    <w:rsid w:val="00D12638"/>
    <w:rsid w:val="00D12668"/>
    <w:rsid w:val="00D137B7"/>
    <w:rsid w:val="00D13DD5"/>
    <w:rsid w:val="00D13F96"/>
    <w:rsid w:val="00D140EB"/>
    <w:rsid w:val="00D146B9"/>
    <w:rsid w:val="00D14BD5"/>
    <w:rsid w:val="00D15024"/>
    <w:rsid w:val="00D1563B"/>
    <w:rsid w:val="00D15C2E"/>
    <w:rsid w:val="00D15DE1"/>
    <w:rsid w:val="00D15FD2"/>
    <w:rsid w:val="00D167C6"/>
    <w:rsid w:val="00D16C03"/>
    <w:rsid w:val="00D17355"/>
    <w:rsid w:val="00D175B7"/>
    <w:rsid w:val="00D17E8C"/>
    <w:rsid w:val="00D17FAE"/>
    <w:rsid w:val="00D17FD3"/>
    <w:rsid w:val="00D2025D"/>
    <w:rsid w:val="00D20393"/>
    <w:rsid w:val="00D20758"/>
    <w:rsid w:val="00D212D5"/>
    <w:rsid w:val="00D21301"/>
    <w:rsid w:val="00D215B7"/>
    <w:rsid w:val="00D2192A"/>
    <w:rsid w:val="00D21ECD"/>
    <w:rsid w:val="00D21F8F"/>
    <w:rsid w:val="00D22CE1"/>
    <w:rsid w:val="00D23156"/>
    <w:rsid w:val="00D23CF8"/>
    <w:rsid w:val="00D240BD"/>
    <w:rsid w:val="00D241E2"/>
    <w:rsid w:val="00D24306"/>
    <w:rsid w:val="00D2432C"/>
    <w:rsid w:val="00D247B2"/>
    <w:rsid w:val="00D247F1"/>
    <w:rsid w:val="00D24F38"/>
    <w:rsid w:val="00D24F89"/>
    <w:rsid w:val="00D253AA"/>
    <w:rsid w:val="00D263E5"/>
    <w:rsid w:val="00D265B0"/>
    <w:rsid w:val="00D26A06"/>
    <w:rsid w:val="00D26D6A"/>
    <w:rsid w:val="00D2712E"/>
    <w:rsid w:val="00D2717B"/>
    <w:rsid w:val="00D271B5"/>
    <w:rsid w:val="00D271D5"/>
    <w:rsid w:val="00D27886"/>
    <w:rsid w:val="00D30043"/>
    <w:rsid w:val="00D3032C"/>
    <w:rsid w:val="00D304D6"/>
    <w:rsid w:val="00D3096F"/>
    <w:rsid w:val="00D31400"/>
    <w:rsid w:val="00D314BA"/>
    <w:rsid w:val="00D31BB6"/>
    <w:rsid w:val="00D31D6E"/>
    <w:rsid w:val="00D31E0B"/>
    <w:rsid w:val="00D31F33"/>
    <w:rsid w:val="00D31F4D"/>
    <w:rsid w:val="00D320A0"/>
    <w:rsid w:val="00D3212D"/>
    <w:rsid w:val="00D32833"/>
    <w:rsid w:val="00D32FE2"/>
    <w:rsid w:val="00D331F0"/>
    <w:rsid w:val="00D33762"/>
    <w:rsid w:val="00D33BAE"/>
    <w:rsid w:val="00D34198"/>
    <w:rsid w:val="00D348CA"/>
    <w:rsid w:val="00D34CF2"/>
    <w:rsid w:val="00D34D76"/>
    <w:rsid w:val="00D34DBD"/>
    <w:rsid w:val="00D35727"/>
    <w:rsid w:val="00D35752"/>
    <w:rsid w:val="00D35A15"/>
    <w:rsid w:val="00D35B94"/>
    <w:rsid w:val="00D35EDC"/>
    <w:rsid w:val="00D36C5E"/>
    <w:rsid w:val="00D3707F"/>
    <w:rsid w:val="00D37773"/>
    <w:rsid w:val="00D37CC3"/>
    <w:rsid w:val="00D4009A"/>
    <w:rsid w:val="00D40714"/>
    <w:rsid w:val="00D40DD6"/>
    <w:rsid w:val="00D40E85"/>
    <w:rsid w:val="00D410C9"/>
    <w:rsid w:val="00D412D0"/>
    <w:rsid w:val="00D41B3E"/>
    <w:rsid w:val="00D42420"/>
    <w:rsid w:val="00D4242C"/>
    <w:rsid w:val="00D4253D"/>
    <w:rsid w:val="00D4269E"/>
    <w:rsid w:val="00D42982"/>
    <w:rsid w:val="00D43654"/>
    <w:rsid w:val="00D43763"/>
    <w:rsid w:val="00D43DDF"/>
    <w:rsid w:val="00D44786"/>
    <w:rsid w:val="00D4490A"/>
    <w:rsid w:val="00D44CB0"/>
    <w:rsid w:val="00D4551C"/>
    <w:rsid w:val="00D45941"/>
    <w:rsid w:val="00D45977"/>
    <w:rsid w:val="00D462D3"/>
    <w:rsid w:val="00D466E4"/>
    <w:rsid w:val="00D466FB"/>
    <w:rsid w:val="00D47432"/>
    <w:rsid w:val="00D47E15"/>
    <w:rsid w:val="00D50655"/>
    <w:rsid w:val="00D50E25"/>
    <w:rsid w:val="00D50FDA"/>
    <w:rsid w:val="00D51265"/>
    <w:rsid w:val="00D521E0"/>
    <w:rsid w:val="00D52294"/>
    <w:rsid w:val="00D52B44"/>
    <w:rsid w:val="00D52C14"/>
    <w:rsid w:val="00D53027"/>
    <w:rsid w:val="00D537B7"/>
    <w:rsid w:val="00D539C8"/>
    <w:rsid w:val="00D545E3"/>
    <w:rsid w:val="00D54624"/>
    <w:rsid w:val="00D54708"/>
    <w:rsid w:val="00D54893"/>
    <w:rsid w:val="00D5562A"/>
    <w:rsid w:val="00D55664"/>
    <w:rsid w:val="00D55985"/>
    <w:rsid w:val="00D55B1B"/>
    <w:rsid w:val="00D56847"/>
    <w:rsid w:val="00D56908"/>
    <w:rsid w:val="00D56926"/>
    <w:rsid w:val="00D56A22"/>
    <w:rsid w:val="00D56B88"/>
    <w:rsid w:val="00D56EB0"/>
    <w:rsid w:val="00D56EDA"/>
    <w:rsid w:val="00D57224"/>
    <w:rsid w:val="00D57F90"/>
    <w:rsid w:val="00D6001D"/>
    <w:rsid w:val="00D6007A"/>
    <w:rsid w:val="00D60201"/>
    <w:rsid w:val="00D607AD"/>
    <w:rsid w:val="00D60B2E"/>
    <w:rsid w:val="00D61782"/>
    <w:rsid w:val="00D61836"/>
    <w:rsid w:val="00D61A86"/>
    <w:rsid w:val="00D61CF7"/>
    <w:rsid w:val="00D620FF"/>
    <w:rsid w:val="00D621A4"/>
    <w:rsid w:val="00D629F0"/>
    <w:rsid w:val="00D62AF4"/>
    <w:rsid w:val="00D62DAE"/>
    <w:rsid w:val="00D62DD5"/>
    <w:rsid w:val="00D6384E"/>
    <w:rsid w:val="00D63863"/>
    <w:rsid w:val="00D6474A"/>
    <w:rsid w:val="00D64A33"/>
    <w:rsid w:val="00D64B9B"/>
    <w:rsid w:val="00D65AA8"/>
    <w:rsid w:val="00D661C7"/>
    <w:rsid w:val="00D6628F"/>
    <w:rsid w:val="00D66383"/>
    <w:rsid w:val="00D672F0"/>
    <w:rsid w:val="00D67677"/>
    <w:rsid w:val="00D70497"/>
    <w:rsid w:val="00D70B03"/>
    <w:rsid w:val="00D70FE7"/>
    <w:rsid w:val="00D71694"/>
    <w:rsid w:val="00D716EC"/>
    <w:rsid w:val="00D71901"/>
    <w:rsid w:val="00D72139"/>
    <w:rsid w:val="00D723B8"/>
    <w:rsid w:val="00D72575"/>
    <w:rsid w:val="00D7271E"/>
    <w:rsid w:val="00D72858"/>
    <w:rsid w:val="00D73367"/>
    <w:rsid w:val="00D73732"/>
    <w:rsid w:val="00D739E2"/>
    <w:rsid w:val="00D73C02"/>
    <w:rsid w:val="00D74014"/>
    <w:rsid w:val="00D740E4"/>
    <w:rsid w:val="00D74105"/>
    <w:rsid w:val="00D744C3"/>
    <w:rsid w:val="00D7450A"/>
    <w:rsid w:val="00D7453E"/>
    <w:rsid w:val="00D74CB0"/>
    <w:rsid w:val="00D74E4E"/>
    <w:rsid w:val="00D75067"/>
    <w:rsid w:val="00D751BA"/>
    <w:rsid w:val="00D75345"/>
    <w:rsid w:val="00D753EB"/>
    <w:rsid w:val="00D7580D"/>
    <w:rsid w:val="00D75A40"/>
    <w:rsid w:val="00D75BC8"/>
    <w:rsid w:val="00D75FAF"/>
    <w:rsid w:val="00D7613C"/>
    <w:rsid w:val="00D76186"/>
    <w:rsid w:val="00D761C6"/>
    <w:rsid w:val="00D7638F"/>
    <w:rsid w:val="00D764C0"/>
    <w:rsid w:val="00D765DE"/>
    <w:rsid w:val="00D76A89"/>
    <w:rsid w:val="00D76CAA"/>
    <w:rsid w:val="00D76CC3"/>
    <w:rsid w:val="00D76DDC"/>
    <w:rsid w:val="00D76EE1"/>
    <w:rsid w:val="00D80F19"/>
    <w:rsid w:val="00D80F61"/>
    <w:rsid w:val="00D80FAC"/>
    <w:rsid w:val="00D818CB"/>
    <w:rsid w:val="00D81AA4"/>
    <w:rsid w:val="00D81D92"/>
    <w:rsid w:val="00D823A7"/>
    <w:rsid w:val="00D824D4"/>
    <w:rsid w:val="00D82B97"/>
    <w:rsid w:val="00D82F79"/>
    <w:rsid w:val="00D83211"/>
    <w:rsid w:val="00D837DA"/>
    <w:rsid w:val="00D8457F"/>
    <w:rsid w:val="00D84846"/>
    <w:rsid w:val="00D851B4"/>
    <w:rsid w:val="00D85D5E"/>
    <w:rsid w:val="00D85E9A"/>
    <w:rsid w:val="00D86388"/>
    <w:rsid w:val="00D863A7"/>
    <w:rsid w:val="00D86B7F"/>
    <w:rsid w:val="00D86CEE"/>
    <w:rsid w:val="00D86E14"/>
    <w:rsid w:val="00D8700F"/>
    <w:rsid w:val="00D87234"/>
    <w:rsid w:val="00D877B1"/>
    <w:rsid w:val="00D8791C"/>
    <w:rsid w:val="00D87C39"/>
    <w:rsid w:val="00D87FFE"/>
    <w:rsid w:val="00D90749"/>
    <w:rsid w:val="00D90D59"/>
    <w:rsid w:val="00D912D0"/>
    <w:rsid w:val="00D913AA"/>
    <w:rsid w:val="00D914D1"/>
    <w:rsid w:val="00D9201C"/>
    <w:rsid w:val="00D93A4E"/>
    <w:rsid w:val="00D93BB4"/>
    <w:rsid w:val="00D93C74"/>
    <w:rsid w:val="00D95138"/>
    <w:rsid w:val="00D951CA"/>
    <w:rsid w:val="00D964A6"/>
    <w:rsid w:val="00D96B92"/>
    <w:rsid w:val="00D97117"/>
    <w:rsid w:val="00D97312"/>
    <w:rsid w:val="00D9759D"/>
    <w:rsid w:val="00D97A7F"/>
    <w:rsid w:val="00D97FB8"/>
    <w:rsid w:val="00DA0085"/>
    <w:rsid w:val="00DA0109"/>
    <w:rsid w:val="00DA0944"/>
    <w:rsid w:val="00DA0CD9"/>
    <w:rsid w:val="00DA11C0"/>
    <w:rsid w:val="00DA1332"/>
    <w:rsid w:val="00DA1365"/>
    <w:rsid w:val="00DA1538"/>
    <w:rsid w:val="00DA1553"/>
    <w:rsid w:val="00DA17DB"/>
    <w:rsid w:val="00DA19AC"/>
    <w:rsid w:val="00DA19B5"/>
    <w:rsid w:val="00DA1C34"/>
    <w:rsid w:val="00DA1C85"/>
    <w:rsid w:val="00DA219C"/>
    <w:rsid w:val="00DA24F5"/>
    <w:rsid w:val="00DA2819"/>
    <w:rsid w:val="00DA28F2"/>
    <w:rsid w:val="00DA2C4E"/>
    <w:rsid w:val="00DA4316"/>
    <w:rsid w:val="00DA4784"/>
    <w:rsid w:val="00DA47E6"/>
    <w:rsid w:val="00DA521C"/>
    <w:rsid w:val="00DA53D1"/>
    <w:rsid w:val="00DA5E36"/>
    <w:rsid w:val="00DA5F7C"/>
    <w:rsid w:val="00DA6281"/>
    <w:rsid w:val="00DA7E55"/>
    <w:rsid w:val="00DB0109"/>
    <w:rsid w:val="00DB0271"/>
    <w:rsid w:val="00DB0901"/>
    <w:rsid w:val="00DB091A"/>
    <w:rsid w:val="00DB0AA6"/>
    <w:rsid w:val="00DB0AE2"/>
    <w:rsid w:val="00DB0BB9"/>
    <w:rsid w:val="00DB0D24"/>
    <w:rsid w:val="00DB1535"/>
    <w:rsid w:val="00DB1A70"/>
    <w:rsid w:val="00DB1AAA"/>
    <w:rsid w:val="00DB1D71"/>
    <w:rsid w:val="00DB1DCD"/>
    <w:rsid w:val="00DB202F"/>
    <w:rsid w:val="00DB2A69"/>
    <w:rsid w:val="00DB2E01"/>
    <w:rsid w:val="00DB34A9"/>
    <w:rsid w:val="00DB34F3"/>
    <w:rsid w:val="00DB3822"/>
    <w:rsid w:val="00DB38BE"/>
    <w:rsid w:val="00DB401A"/>
    <w:rsid w:val="00DB44E2"/>
    <w:rsid w:val="00DB46C5"/>
    <w:rsid w:val="00DB4A54"/>
    <w:rsid w:val="00DB4C3E"/>
    <w:rsid w:val="00DB5ED5"/>
    <w:rsid w:val="00DB6960"/>
    <w:rsid w:val="00DB6C6C"/>
    <w:rsid w:val="00DB6CB7"/>
    <w:rsid w:val="00DB6FF0"/>
    <w:rsid w:val="00DB7903"/>
    <w:rsid w:val="00DB7BCD"/>
    <w:rsid w:val="00DB7E57"/>
    <w:rsid w:val="00DC002D"/>
    <w:rsid w:val="00DC03C8"/>
    <w:rsid w:val="00DC0777"/>
    <w:rsid w:val="00DC1059"/>
    <w:rsid w:val="00DC12D9"/>
    <w:rsid w:val="00DC16BC"/>
    <w:rsid w:val="00DC1A7D"/>
    <w:rsid w:val="00DC1B52"/>
    <w:rsid w:val="00DC1C51"/>
    <w:rsid w:val="00DC2237"/>
    <w:rsid w:val="00DC33CB"/>
    <w:rsid w:val="00DC365E"/>
    <w:rsid w:val="00DC382A"/>
    <w:rsid w:val="00DC4307"/>
    <w:rsid w:val="00DC48BA"/>
    <w:rsid w:val="00DC494C"/>
    <w:rsid w:val="00DC5CD9"/>
    <w:rsid w:val="00DC608A"/>
    <w:rsid w:val="00DC623C"/>
    <w:rsid w:val="00DC6361"/>
    <w:rsid w:val="00DC696F"/>
    <w:rsid w:val="00DC71FA"/>
    <w:rsid w:val="00DC725D"/>
    <w:rsid w:val="00DC734B"/>
    <w:rsid w:val="00DC7B60"/>
    <w:rsid w:val="00DC7DE1"/>
    <w:rsid w:val="00DD031B"/>
    <w:rsid w:val="00DD059B"/>
    <w:rsid w:val="00DD061F"/>
    <w:rsid w:val="00DD0BC1"/>
    <w:rsid w:val="00DD0C1D"/>
    <w:rsid w:val="00DD1BAB"/>
    <w:rsid w:val="00DD1D4A"/>
    <w:rsid w:val="00DD1EC9"/>
    <w:rsid w:val="00DD25F7"/>
    <w:rsid w:val="00DD276A"/>
    <w:rsid w:val="00DD2A26"/>
    <w:rsid w:val="00DD2AFC"/>
    <w:rsid w:val="00DD3426"/>
    <w:rsid w:val="00DD359F"/>
    <w:rsid w:val="00DD3A35"/>
    <w:rsid w:val="00DD4188"/>
    <w:rsid w:val="00DD442F"/>
    <w:rsid w:val="00DD4761"/>
    <w:rsid w:val="00DD493E"/>
    <w:rsid w:val="00DD55A8"/>
    <w:rsid w:val="00DD5969"/>
    <w:rsid w:val="00DD5A11"/>
    <w:rsid w:val="00DD60E7"/>
    <w:rsid w:val="00DD62C5"/>
    <w:rsid w:val="00DD6A23"/>
    <w:rsid w:val="00DD6ED7"/>
    <w:rsid w:val="00DD7A54"/>
    <w:rsid w:val="00DD7BDB"/>
    <w:rsid w:val="00DD7DAC"/>
    <w:rsid w:val="00DE015D"/>
    <w:rsid w:val="00DE0E0A"/>
    <w:rsid w:val="00DE0FCF"/>
    <w:rsid w:val="00DE10BC"/>
    <w:rsid w:val="00DE1415"/>
    <w:rsid w:val="00DE151F"/>
    <w:rsid w:val="00DE19C0"/>
    <w:rsid w:val="00DE1A75"/>
    <w:rsid w:val="00DE1DA9"/>
    <w:rsid w:val="00DE222C"/>
    <w:rsid w:val="00DE236B"/>
    <w:rsid w:val="00DE2608"/>
    <w:rsid w:val="00DE271E"/>
    <w:rsid w:val="00DE3C06"/>
    <w:rsid w:val="00DE3C8B"/>
    <w:rsid w:val="00DE4035"/>
    <w:rsid w:val="00DE4A85"/>
    <w:rsid w:val="00DE4FC5"/>
    <w:rsid w:val="00DE5026"/>
    <w:rsid w:val="00DE51CE"/>
    <w:rsid w:val="00DE534B"/>
    <w:rsid w:val="00DE5E93"/>
    <w:rsid w:val="00DE634C"/>
    <w:rsid w:val="00DE64C9"/>
    <w:rsid w:val="00DE6734"/>
    <w:rsid w:val="00DE6751"/>
    <w:rsid w:val="00DE6892"/>
    <w:rsid w:val="00DE68BD"/>
    <w:rsid w:val="00DE6E63"/>
    <w:rsid w:val="00DE7019"/>
    <w:rsid w:val="00DF03E7"/>
    <w:rsid w:val="00DF05E1"/>
    <w:rsid w:val="00DF0C39"/>
    <w:rsid w:val="00DF17FD"/>
    <w:rsid w:val="00DF1D60"/>
    <w:rsid w:val="00DF2014"/>
    <w:rsid w:val="00DF205A"/>
    <w:rsid w:val="00DF2189"/>
    <w:rsid w:val="00DF2575"/>
    <w:rsid w:val="00DF265F"/>
    <w:rsid w:val="00DF299D"/>
    <w:rsid w:val="00DF2A83"/>
    <w:rsid w:val="00DF33A5"/>
    <w:rsid w:val="00DF364F"/>
    <w:rsid w:val="00DF39C2"/>
    <w:rsid w:val="00DF3A08"/>
    <w:rsid w:val="00DF3CBB"/>
    <w:rsid w:val="00DF4034"/>
    <w:rsid w:val="00DF40DB"/>
    <w:rsid w:val="00DF4209"/>
    <w:rsid w:val="00DF462A"/>
    <w:rsid w:val="00DF4A0D"/>
    <w:rsid w:val="00DF4ECC"/>
    <w:rsid w:val="00DF589D"/>
    <w:rsid w:val="00DF5B71"/>
    <w:rsid w:val="00DF7C2F"/>
    <w:rsid w:val="00DF7C49"/>
    <w:rsid w:val="00DF7EF5"/>
    <w:rsid w:val="00E009F5"/>
    <w:rsid w:val="00E00E38"/>
    <w:rsid w:val="00E01221"/>
    <w:rsid w:val="00E016B1"/>
    <w:rsid w:val="00E01CFE"/>
    <w:rsid w:val="00E01E68"/>
    <w:rsid w:val="00E023B9"/>
    <w:rsid w:val="00E02782"/>
    <w:rsid w:val="00E02CCC"/>
    <w:rsid w:val="00E02E72"/>
    <w:rsid w:val="00E032E6"/>
    <w:rsid w:val="00E03D1E"/>
    <w:rsid w:val="00E03EAB"/>
    <w:rsid w:val="00E04991"/>
    <w:rsid w:val="00E04A4B"/>
    <w:rsid w:val="00E04B38"/>
    <w:rsid w:val="00E050EF"/>
    <w:rsid w:val="00E05798"/>
    <w:rsid w:val="00E0591C"/>
    <w:rsid w:val="00E05A1A"/>
    <w:rsid w:val="00E05E1B"/>
    <w:rsid w:val="00E06159"/>
    <w:rsid w:val="00E0675E"/>
    <w:rsid w:val="00E06D7D"/>
    <w:rsid w:val="00E06EB7"/>
    <w:rsid w:val="00E07075"/>
    <w:rsid w:val="00E07578"/>
    <w:rsid w:val="00E07705"/>
    <w:rsid w:val="00E100E3"/>
    <w:rsid w:val="00E103DC"/>
    <w:rsid w:val="00E108FE"/>
    <w:rsid w:val="00E10E53"/>
    <w:rsid w:val="00E112F8"/>
    <w:rsid w:val="00E11F73"/>
    <w:rsid w:val="00E12163"/>
    <w:rsid w:val="00E124CC"/>
    <w:rsid w:val="00E1281A"/>
    <w:rsid w:val="00E13260"/>
    <w:rsid w:val="00E13353"/>
    <w:rsid w:val="00E1385B"/>
    <w:rsid w:val="00E13BDA"/>
    <w:rsid w:val="00E13D5F"/>
    <w:rsid w:val="00E13D6A"/>
    <w:rsid w:val="00E13F6E"/>
    <w:rsid w:val="00E142B9"/>
    <w:rsid w:val="00E143A1"/>
    <w:rsid w:val="00E14632"/>
    <w:rsid w:val="00E14973"/>
    <w:rsid w:val="00E14DFB"/>
    <w:rsid w:val="00E14FDC"/>
    <w:rsid w:val="00E150E2"/>
    <w:rsid w:val="00E154D4"/>
    <w:rsid w:val="00E15CF7"/>
    <w:rsid w:val="00E15DA3"/>
    <w:rsid w:val="00E15DB2"/>
    <w:rsid w:val="00E1609A"/>
    <w:rsid w:val="00E16684"/>
    <w:rsid w:val="00E16699"/>
    <w:rsid w:val="00E16CC6"/>
    <w:rsid w:val="00E16CE2"/>
    <w:rsid w:val="00E16CF9"/>
    <w:rsid w:val="00E16E85"/>
    <w:rsid w:val="00E17192"/>
    <w:rsid w:val="00E17863"/>
    <w:rsid w:val="00E178BD"/>
    <w:rsid w:val="00E17E95"/>
    <w:rsid w:val="00E20586"/>
    <w:rsid w:val="00E2061A"/>
    <w:rsid w:val="00E20EAD"/>
    <w:rsid w:val="00E2140C"/>
    <w:rsid w:val="00E22CA4"/>
    <w:rsid w:val="00E22F83"/>
    <w:rsid w:val="00E233B7"/>
    <w:rsid w:val="00E233D0"/>
    <w:rsid w:val="00E23A7E"/>
    <w:rsid w:val="00E23E53"/>
    <w:rsid w:val="00E244AE"/>
    <w:rsid w:val="00E24A95"/>
    <w:rsid w:val="00E25580"/>
    <w:rsid w:val="00E2570A"/>
    <w:rsid w:val="00E26C80"/>
    <w:rsid w:val="00E273F3"/>
    <w:rsid w:val="00E27CA2"/>
    <w:rsid w:val="00E27D3E"/>
    <w:rsid w:val="00E3054E"/>
    <w:rsid w:val="00E305B5"/>
    <w:rsid w:val="00E30DFA"/>
    <w:rsid w:val="00E30E81"/>
    <w:rsid w:val="00E30E8B"/>
    <w:rsid w:val="00E30F90"/>
    <w:rsid w:val="00E31D8E"/>
    <w:rsid w:val="00E32E7B"/>
    <w:rsid w:val="00E333B1"/>
    <w:rsid w:val="00E3375E"/>
    <w:rsid w:val="00E337E4"/>
    <w:rsid w:val="00E3469C"/>
    <w:rsid w:val="00E35369"/>
    <w:rsid w:val="00E35391"/>
    <w:rsid w:val="00E35726"/>
    <w:rsid w:val="00E35841"/>
    <w:rsid w:val="00E35AF5"/>
    <w:rsid w:val="00E35CDA"/>
    <w:rsid w:val="00E35CF0"/>
    <w:rsid w:val="00E35F60"/>
    <w:rsid w:val="00E35F90"/>
    <w:rsid w:val="00E3610C"/>
    <w:rsid w:val="00E36133"/>
    <w:rsid w:val="00E36808"/>
    <w:rsid w:val="00E36A17"/>
    <w:rsid w:val="00E36ABB"/>
    <w:rsid w:val="00E36FA2"/>
    <w:rsid w:val="00E375BE"/>
    <w:rsid w:val="00E37714"/>
    <w:rsid w:val="00E37938"/>
    <w:rsid w:val="00E37B15"/>
    <w:rsid w:val="00E4016B"/>
    <w:rsid w:val="00E408FA"/>
    <w:rsid w:val="00E40A77"/>
    <w:rsid w:val="00E40C83"/>
    <w:rsid w:val="00E42290"/>
    <w:rsid w:val="00E4256C"/>
    <w:rsid w:val="00E425DD"/>
    <w:rsid w:val="00E426FA"/>
    <w:rsid w:val="00E42E95"/>
    <w:rsid w:val="00E42EA7"/>
    <w:rsid w:val="00E42F79"/>
    <w:rsid w:val="00E43413"/>
    <w:rsid w:val="00E4352A"/>
    <w:rsid w:val="00E43B97"/>
    <w:rsid w:val="00E43EFE"/>
    <w:rsid w:val="00E44A38"/>
    <w:rsid w:val="00E44ABC"/>
    <w:rsid w:val="00E44C86"/>
    <w:rsid w:val="00E455D7"/>
    <w:rsid w:val="00E45853"/>
    <w:rsid w:val="00E45ACE"/>
    <w:rsid w:val="00E45DC4"/>
    <w:rsid w:val="00E4652A"/>
    <w:rsid w:val="00E46802"/>
    <w:rsid w:val="00E4683A"/>
    <w:rsid w:val="00E4691A"/>
    <w:rsid w:val="00E47818"/>
    <w:rsid w:val="00E47B60"/>
    <w:rsid w:val="00E47BAA"/>
    <w:rsid w:val="00E47E8B"/>
    <w:rsid w:val="00E47F1F"/>
    <w:rsid w:val="00E500C7"/>
    <w:rsid w:val="00E506E1"/>
    <w:rsid w:val="00E50776"/>
    <w:rsid w:val="00E5087F"/>
    <w:rsid w:val="00E50C48"/>
    <w:rsid w:val="00E50D09"/>
    <w:rsid w:val="00E51ECE"/>
    <w:rsid w:val="00E520DD"/>
    <w:rsid w:val="00E5247D"/>
    <w:rsid w:val="00E52535"/>
    <w:rsid w:val="00E527E9"/>
    <w:rsid w:val="00E529ED"/>
    <w:rsid w:val="00E52B46"/>
    <w:rsid w:val="00E53CB5"/>
    <w:rsid w:val="00E53DE1"/>
    <w:rsid w:val="00E53F5E"/>
    <w:rsid w:val="00E546C8"/>
    <w:rsid w:val="00E548E0"/>
    <w:rsid w:val="00E54C14"/>
    <w:rsid w:val="00E550A3"/>
    <w:rsid w:val="00E55218"/>
    <w:rsid w:val="00E553BC"/>
    <w:rsid w:val="00E55525"/>
    <w:rsid w:val="00E555DF"/>
    <w:rsid w:val="00E558D6"/>
    <w:rsid w:val="00E559C0"/>
    <w:rsid w:val="00E55BFA"/>
    <w:rsid w:val="00E56077"/>
    <w:rsid w:val="00E56119"/>
    <w:rsid w:val="00E56524"/>
    <w:rsid w:val="00E56B93"/>
    <w:rsid w:val="00E5701E"/>
    <w:rsid w:val="00E5728F"/>
    <w:rsid w:val="00E576E9"/>
    <w:rsid w:val="00E57BB5"/>
    <w:rsid w:val="00E57D48"/>
    <w:rsid w:val="00E57E39"/>
    <w:rsid w:val="00E60A01"/>
    <w:rsid w:val="00E6101A"/>
    <w:rsid w:val="00E61096"/>
    <w:rsid w:val="00E612B8"/>
    <w:rsid w:val="00E61A8B"/>
    <w:rsid w:val="00E61B96"/>
    <w:rsid w:val="00E61CC9"/>
    <w:rsid w:val="00E61EF1"/>
    <w:rsid w:val="00E628CD"/>
    <w:rsid w:val="00E629B4"/>
    <w:rsid w:val="00E638CD"/>
    <w:rsid w:val="00E6399C"/>
    <w:rsid w:val="00E64321"/>
    <w:rsid w:val="00E644A4"/>
    <w:rsid w:val="00E644F4"/>
    <w:rsid w:val="00E645FE"/>
    <w:rsid w:val="00E64656"/>
    <w:rsid w:val="00E646AD"/>
    <w:rsid w:val="00E64856"/>
    <w:rsid w:val="00E64C65"/>
    <w:rsid w:val="00E64CB8"/>
    <w:rsid w:val="00E64F70"/>
    <w:rsid w:val="00E65553"/>
    <w:rsid w:val="00E65576"/>
    <w:rsid w:val="00E65F2B"/>
    <w:rsid w:val="00E6619A"/>
    <w:rsid w:val="00E66775"/>
    <w:rsid w:val="00E6679A"/>
    <w:rsid w:val="00E66EE6"/>
    <w:rsid w:val="00E6709B"/>
    <w:rsid w:val="00E67189"/>
    <w:rsid w:val="00E671E8"/>
    <w:rsid w:val="00E67676"/>
    <w:rsid w:val="00E67BF4"/>
    <w:rsid w:val="00E70680"/>
    <w:rsid w:val="00E713A4"/>
    <w:rsid w:val="00E71654"/>
    <w:rsid w:val="00E71A5B"/>
    <w:rsid w:val="00E728EA"/>
    <w:rsid w:val="00E72B32"/>
    <w:rsid w:val="00E73174"/>
    <w:rsid w:val="00E74602"/>
    <w:rsid w:val="00E74710"/>
    <w:rsid w:val="00E74A55"/>
    <w:rsid w:val="00E74AEF"/>
    <w:rsid w:val="00E74DA3"/>
    <w:rsid w:val="00E75241"/>
    <w:rsid w:val="00E75295"/>
    <w:rsid w:val="00E7595A"/>
    <w:rsid w:val="00E75BCD"/>
    <w:rsid w:val="00E75F50"/>
    <w:rsid w:val="00E762F9"/>
    <w:rsid w:val="00E76D63"/>
    <w:rsid w:val="00E76F62"/>
    <w:rsid w:val="00E77050"/>
    <w:rsid w:val="00E776B0"/>
    <w:rsid w:val="00E80DE2"/>
    <w:rsid w:val="00E80F6C"/>
    <w:rsid w:val="00E810A6"/>
    <w:rsid w:val="00E81356"/>
    <w:rsid w:val="00E81481"/>
    <w:rsid w:val="00E815E5"/>
    <w:rsid w:val="00E81B6E"/>
    <w:rsid w:val="00E81BFC"/>
    <w:rsid w:val="00E82170"/>
    <w:rsid w:val="00E82369"/>
    <w:rsid w:val="00E829DE"/>
    <w:rsid w:val="00E829FE"/>
    <w:rsid w:val="00E82AC5"/>
    <w:rsid w:val="00E82AC6"/>
    <w:rsid w:val="00E82CDB"/>
    <w:rsid w:val="00E8349B"/>
    <w:rsid w:val="00E83C54"/>
    <w:rsid w:val="00E84381"/>
    <w:rsid w:val="00E84473"/>
    <w:rsid w:val="00E8562F"/>
    <w:rsid w:val="00E85A66"/>
    <w:rsid w:val="00E85DD2"/>
    <w:rsid w:val="00E8617F"/>
    <w:rsid w:val="00E861B0"/>
    <w:rsid w:val="00E87FB0"/>
    <w:rsid w:val="00E902D3"/>
    <w:rsid w:val="00E90571"/>
    <w:rsid w:val="00E90739"/>
    <w:rsid w:val="00E90873"/>
    <w:rsid w:val="00E90AC7"/>
    <w:rsid w:val="00E90B37"/>
    <w:rsid w:val="00E9139A"/>
    <w:rsid w:val="00E91496"/>
    <w:rsid w:val="00E914D4"/>
    <w:rsid w:val="00E91B85"/>
    <w:rsid w:val="00E91DAD"/>
    <w:rsid w:val="00E91DCC"/>
    <w:rsid w:val="00E91E1C"/>
    <w:rsid w:val="00E91E43"/>
    <w:rsid w:val="00E921BE"/>
    <w:rsid w:val="00E92667"/>
    <w:rsid w:val="00E93257"/>
    <w:rsid w:val="00E93279"/>
    <w:rsid w:val="00E934E0"/>
    <w:rsid w:val="00E93F67"/>
    <w:rsid w:val="00E944A0"/>
    <w:rsid w:val="00E94742"/>
    <w:rsid w:val="00E94ECC"/>
    <w:rsid w:val="00E9517B"/>
    <w:rsid w:val="00E9580B"/>
    <w:rsid w:val="00E958CB"/>
    <w:rsid w:val="00E95B1C"/>
    <w:rsid w:val="00E96123"/>
    <w:rsid w:val="00E96343"/>
    <w:rsid w:val="00E96522"/>
    <w:rsid w:val="00E96BC3"/>
    <w:rsid w:val="00E96F61"/>
    <w:rsid w:val="00E97997"/>
    <w:rsid w:val="00E97CC2"/>
    <w:rsid w:val="00EA07F7"/>
    <w:rsid w:val="00EA149B"/>
    <w:rsid w:val="00EA1FB8"/>
    <w:rsid w:val="00EA26A5"/>
    <w:rsid w:val="00EA27AA"/>
    <w:rsid w:val="00EA28DA"/>
    <w:rsid w:val="00EA2EE9"/>
    <w:rsid w:val="00EA314F"/>
    <w:rsid w:val="00EA3386"/>
    <w:rsid w:val="00EA3960"/>
    <w:rsid w:val="00EA3E30"/>
    <w:rsid w:val="00EA41AA"/>
    <w:rsid w:val="00EA41F1"/>
    <w:rsid w:val="00EA4AE5"/>
    <w:rsid w:val="00EA4B07"/>
    <w:rsid w:val="00EA501E"/>
    <w:rsid w:val="00EA584D"/>
    <w:rsid w:val="00EA5ACC"/>
    <w:rsid w:val="00EA5C58"/>
    <w:rsid w:val="00EA5CA5"/>
    <w:rsid w:val="00EA6BB2"/>
    <w:rsid w:val="00EA6BD7"/>
    <w:rsid w:val="00EA735C"/>
    <w:rsid w:val="00EA7595"/>
    <w:rsid w:val="00EA7CAC"/>
    <w:rsid w:val="00EB017E"/>
    <w:rsid w:val="00EB0189"/>
    <w:rsid w:val="00EB028D"/>
    <w:rsid w:val="00EB0A23"/>
    <w:rsid w:val="00EB0D56"/>
    <w:rsid w:val="00EB0DD6"/>
    <w:rsid w:val="00EB13F9"/>
    <w:rsid w:val="00EB1873"/>
    <w:rsid w:val="00EB1AC0"/>
    <w:rsid w:val="00EB1CAC"/>
    <w:rsid w:val="00EB1EDC"/>
    <w:rsid w:val="00EB260B"/>
    <w:rsid w:val="00EB2674"/>
    <w:rsid w:val="00EB273A"/>
    <w:rsid w:val="00EB278E"/>
    <w:rsid w:val="00EB27A2"/>
    <w:rsid w:val="00EB297A"/>
    <w:rsid w:val="00EB3072"/>
    <w:rsid w:val="00EB31E1"/>
    <w:rsid w:val="00EB3AB4"/>
    <w:rsid w:val="00EB3B8F"/>
    <w:rsid w:val="00EB3CF1"/>
    <w:rsid w:val="00EB3D97"/>
    <w:rsid w:val="00EB48A9"/>
    <w:rsid w:val="00EB4900"/>
    <w:rsid w:val="00EB4A34"/>
    <w:rsid w:val="00EB4F09"/>
    <w:rsid w:val="00EB5033"/>
    <w:rsid w:val="00EB50C9"/>
    <w:rsid w:val="00EB5447"/>
    <w:rsid w:val="00EB54D4"/>
    <w:rsid w:val="00EB5556"/>
    <w:rsid w:val="00EB55C3"/>
    <w:rsid w:val="00EB5ED3"/>
    <w:rsid w:val="00EB6362"/>
    <w:rsid w:val="00EB6620"/>
    <w:rsid w:val="00EB6927"/>
    <w:rsid w:val="00EB69FD"/>
    <w:rsid w:val="00EB7805"/>
    <w:rsid w:val="00EB7970"/>
    <w:rsid w:val="00EB79AC"/>
    <w:rsid w:val="00EB7C2D"/>
    <w:rsid w:val="00EB7CE9"/>
    <w:rsid w:val="00EB7D56"/>
    <w:rsid w:val="00EC02E8"/>
    <w:rsid w:val="00EC060A"/>
    <w:rsid w:val="00EC0D32"/>
    <w:rsid w:val="00EC0FBC"/>
    <w:rsid w:val="00EC1FB7"/>
    <w:rsid w:val="00EC23A0"/>
    <w:rsid w:val="00EC28BB"/>
    <w:rsid w:val="00EC28C9"/>
    <w:rsid w:val="00EC30BA"/>
    <w:rsid w:val="00EC316B"/>
    <w:rsid w:val="00EC3312"/>
    <w:rsid w:val="00EC3565"/>
    <w:rsid w:val="00EC3583"/>
    <w:rsid w:val="00EC4626"/>
    <w:rsid w:val="00EC4725"/>
    <w:rsid w:val="00EC4C1B"/>
    <w:rsid w:val="00EC4C84"/>
    <w:rsid w:val="00EC4EC5"/>
    <w:rsid w:val="00EC5016"/>
    <w:rsid w:val="00EC5125"/>
    <w:rsid w:val="00EC5463"/>
    <w:rsid w:val="00EC5C51"/>
    <w:rsid w:val="00EC629D"/>
    <w:rsid w:val="00EC63D7"/>
    <w:rsid w:val="00EC6642"/>
    <w:rsid w:val="00EC6807"/>
    <w:rsid w:val="00EC68B0"/>
    <w:rsid w:val="00EC6CA9"/>
    <w:rsid w:val="00EC6E80"/>
    <w:rsid w:val="00EC6F5B"/>
    <w:rsid w:val="00EC700C"/>
    <w:rsid w:val="00EC7DDA"/>
    <w:rsid w:val="00EC7ED2"/>
    <w:rsid w:val="00ED0393"/>
    <w:rsid w:val="00ED0785"/>
    <w:rsid w:val="00ED0E4B"/>
    <w:rsid w:val="00ED1189"/>
    <w:rsid w:val="00ED1561"/>
    <w:rsid w:val="00ED1A32"/>
    <w:rsid w:val="00ED257E"/>
    <w:rsid w:val="00ED27F8"/>
    <w:rsid w:val="00ED2B69"/>
    <w:rsid w:val="00ED2E98"/>
    <w:rsid w:val="00ED3CFA"/>
    <w:rsid w:val="00ED3E89"/>
    <w:rsid w:val="00ED3ED5"/>
    <w:rsid w:val="00ED3F0B"/>
    <w:rsid w:val="00ED4560"/>
    <w:rsid w:val="00ED4DF0"/>
    <w:rsid w:val="00ED512B"/>
    <w:rsid w:val="00ED59D6"/>
    <w:rsid w:val="00ED5E74"/>
    <w:rsid w:val="00ED6955"/>
    <w:rsid w:val="00ED6F76"/>
    <w:rsid w:val="00ED7517"/>
    <w:rsid w:val="00ED75D0"/>
    <w:rsid w:val="00ED7F2A"/>
    <w:rsid w:val="00ED7F66"/>
    <w:rsid w:val="00EE014A"/>
    <w:rsid w:val="00EE0264"/>
    <w:rsid w:val="00EE0362"/>
    <w:rsid w:val="00EE04C3"/>
    <w:rsid w:val="00EE0758"/>
    <w:rsid w:val="00EE07F5"/>
    <w:rsid w:val="00EE09A2"/>
    <w:rsid w:val="00EE1156"/>
    <w:rsid w:val="00EE1A03"/>
    <w:rsid w:val="00EE240A"/>
    <w:rsid w:val="00EE2665"/>
    <w:rsid w:val="00EE268F"/>
    <w:rsid w:val="00EE27CC"/>
    <w:rsid w:val="00EE3425"/>
    <w:rsid w:val="00EE3F31"/>
    <w:rsid w:val="00EE40CF"/>
    <w:rsid w:val="00EE498B"/>
    <w:rsid w:val="00EE4BB3"/>
    <w:rsid w:val="00EE4BF0"/>
    <w:rsid w:val="00EE4D7C"/>
    <w:rsid w:val="00EE4DA9"/>
    <w:rsid w:val="00EE521D"/>
    <w:rsid w:val="00EE52F7"/>
    <w:rsid w:val="00EE541A"/>
    <w:rsid w:val="00EE5587"/>
    <w:rsid w:val="00EE60A9"/>
    <w:rsid w:val="00EE6486"/>
    <w:rsid w:val="00EE683D"/>
    <w:rsid w:val="00EE701E"/>
    <w:rsid w:val="00EE7461"/>
    <w:rsid w:val="00EE74E8"/>
    <w:rsid w:val="00EE76C9"/>
    <w:rsid w:val="00EF0680"/>
    <w:rsid w:val="00EF0961"/>
    <w:rsid w:val="00EF09D6"/>
    <w:rsid w:val="00EF0B6B"/>
    <w:rsid w:val="00EF0C0F"/>
    <w:rsid w:val="00EF0EC9"/>
    <w:rsid w:val="00EF0FC8"/>
    <w:rsid w:val="00EF112A"/>
    <w:rsid w:val="00EF1B00"/>
    <w:rsid w:val="00EF1D5B"/>
    <w:rsid w:val="00EF1E76"/>
    <w:rsid w:val="00EF26C0"/>
    <w:rsid w:val="00EF2F4F"/>
    <w:rsid w:val="00EF33F9"/>
    <w:rsid w:val="00EF377A"/>
    <w:rsid w:val="00EF38EE"/>
    <w:rsid w:val="00EF3A8A"/>
    <w:rsid w:val="00EF3F00"/>
    <w:rsid w:val="00EF51ED"/>
    <w:rsid w:val="00EF5958"/>
    <w:rsid w:val="00EF5EAD"/>
    <w:rsid w:val="00EF60D2"/>
    <w:rsid w:val="00EF6132"/>
    <w:rsid w:val="00EF61BD"/>
    <w:rsid w:val="00EF6FDC"/>
    <w:rsid w:val="00EF747D"/>
    <w:rsid w:val="00EF752A"/>
    <w:rsid w:val="00EF75B6"/>
    <w:rsid w:val="00EF7DA3"/>
    <w:rsid w:val="00EF7DFE"/>
    <w:rsid w:val="00F00012"/>
    <w:rsid w:val="00F00138"/>
    <w:rsid w:val="00F00594"/>
    <w:rsid w:val="00F00637"/>
    <w:rsid w:val="00F00709"/>
    <w:rsid w:val="00F0110A"/>
    <w:rsid w:val="00F013D3"/>
    <w:rsid w:val="00F01B08"/>
    <w:rsid w:val="00F01BB0"/>
    <w:rsid w:val="00F025DD"/>
    <w:rsid w:val="00F02676"/>
    <w:rsid w:val="00F02921"/>
    <w:rsid w:val="00F02A64"/>
    <w:rsid w:val="00F02B50"/>
    <w:rsid w:val="00F02B6A"/>
    <w:rsid w:val="00F03546"/>
    <w:rsid w:val="00F0431D"/>
    <w:rsid w:val="00F047C2"/>
    <w:rsid w:val="00F04C86"/>
    <w:rsid w:val="00F050D1"/>
    <w:rsid w:val="00F0516B"/>
    <w:rsid w:val="00F051BD"/>
    <w:rsid w:val="00F05200"/>
    <w:rsid w:val="00F053A2"/>
    <w:rsid w:val="00F054D8"/>
    <w:rsid w:val="00F05806"/>
    <w:rsid w:val="00F05A5D"/>
    <w:rsid w:val="00F0615F"/>
    <w:rsid w:val="00F06191"/>
    <w:rsid w:val="00F062E2"/>
    <w:rsid w:val="00F068A5"/>
    <w:rsid w:val="00F06901"/>
    <w:rsid w:val="00F0707F"/>
    <w:rsid w:val="00F0793D"/>
    <w:rsid w:val="00F07D42"/>
    <w:rsid w:val="00F1043F"/>
    <w:rsid w:val="00F105F9"/>
    <w:rsid w:val="00F10671"/>
    <w:rsid w:val="00F10B6F"/>
    <w:rsid w:val="00F10FFB"/>
    <w:rsid w:val="00F1175E"/>
    <w:rsid w:val="00F1261F"/>
    <w:rsid w:val="00F131AD"/>
    <w:rsid w:val="00F13278"/>
    <w:rsid w:val="00F13E18"/>
    <w:rsid w:val="00F149A7"/>
    <w:rsid w:val="00F14D65"/>
    <w:rsid w:val="00F14DB5"/>
    <w:rsid w:val="00F14EBE"/>
    <w:rsid w:val="00F152E4"/>
    <w:rsid w:val="00F15846"/>
    <w:rsid w:val="00F15A62"/>
    <w:rsid w:val="00F16651"/>
    <w:rsid w:val="00F16CC3"/>
    <w:rsid w:val="00F17231"/>
    <w:rsid w:val="00F1743E"/>
    <w:rsid w:val="00F17896"/>
    <w:rsid w:val="00F17D39"/>
    <w:rsid w:val="00F21141"/>
    <w:rsid w:val="00F213AA"/>
    <w:rsid w:val="00F213F6"/>
    <w:rsid w:val="00F21B1C"/>
    <w:rsid w:val="00F223E7"/>
    <w:rsid w:val="00F228DD"/>
    <w:rsid w:val="00F23050"/>
    <w:rsid w:val="00F23126"/>
    <w:rsid w:val="00F240A2"/>
    <w:rsid w:val="00F24913"/>
    <w:rsid w:val="00F249E4"/>
    <w:rsid w:val="00F24A42"/>
    <w:rsid w:val="00F24F19"/>
    <w:rsid w:val="00F25529"/>
    <w:rsid w:val="00F256CE"/>
    <w:rsid w:val="00F256F1"/>
    <w:rsid w:val="00F259FB"/>
    <w:rsid w:val="00F25B3A"/>
    <w:rsid w:val="00F25FC9"/>
    <w:rsid w:val="00F265E5"/>
    <w:rsid w:val="00F26762"/>
    <w:rsid w:val="00F268D0"/>
    <w:rsid w:val="00F27EDD"/>
    <w:rsid w:val="00F3042E"/>
    <w:rsid w:val="00F30642"/>
    <w:rsid w:val="00F307E2"/>
    <w:rsid w:val="00F309E0"/>
    <w:rsid w:val="00F30A72"/>
    <w:rsid w:val="00F30DC0"/>
    <w:rsid w:val="00F30E42"/>
    <w:rsid w:val="00F31C76"/>
    <w:rsid w:val="00F32081"/>
    <w:rsid w:val="00F32228"/>
    <w:rsid w:val="00F32293"/>
    <w:rsid w:val="00F32A0E"/>
    <w:rsid w:val="00F32E11"/>
    <w:rsid w:val="00F33465"/>
    <w:rsid w:val="00F33600"/>
    <w:rsid w:val="00F33BF8"/>
    <w:rsid w:val="00F3465C"/>
    <w:rsid w:val="00F34889"/>
    <w:rsid w:val="00F34EAA"/>
    <w:rsid w:val="00F34F7F"/>
    <w:rsid w:val="00F35B5A"/>
    <w:rsid w:val="00F362C1"/>
    <w:rsid w:val="00F36363"/>
    <w:rsid w:val="00F365F6"/>
    <w:rsid w:val="00F36E36"/>
    <w:rsid w:val="00F36F44"/>
    <w:rsid w:val="00F37065"/>
    <w:rsid w:val="00F37579"/>
    <w:rsid w:val="00F37696"/>
    <w:rsid w:val="00F37723"/>
    <w:rsid w:val="00F37BAF"/>
    <w:rsid w:val="00F37C86"/>
    <w:rsid w:val="00F407D3"/>
    <w:rsid w:val="00F40941"/>
    <w:rsid w:val="00F40EF9"/>
    <w:rsid w:val="00F4123C"/>
    <w:rsid w:val="00F427C5"/>
    <w:rsid w:val="00F43701"/>
    <w:rsid w:val="00F4458F"/>
    <w:rsid w:val="00F448D0"/>
    <w:rsid w:val="00F44B7F"/>
    <w:rsid w:val="00F4544E"/>
    <w:rsid w:val="00F45495"/>
    <w:rsid w:val="00F45B4F"/>
    <w:rsid w:val="00F45D82"/>
    <w:rsid w:val="00F45EC0"/>
    <w:rsid w:val="00F4693C"/>
    <w:rsid w:val="00F47207"/>
    <w:rsid w:val="00F47248"/>
    <w:rsid w:val="00F47572"/>
    <w:rsid w:val="00F475E8"/>
    <w:rsid w:val="00F47AD5"/>
    <w:rsid w:val="00F508E6"/>
    <w:rsid w:val="00F50BCB"/>
    <w:rsid w:val="00F51BD1"/>
    <w:rsid w:val="00F51EFA"/>
    <w:rsid w:val="00F5221B"/>
    <w:rsid w:val="00F52709"/>
    <w:rsid w:val="00F52D1C"/>
    <w:rsid w:val="00F531AB"/>
    <w:rsid w:val="00F53F12"/>
    <w:rsid w:val="00F5425C"/>
    <w:rsid w:val="00F545A9"/>
    <w:rsid w:val="00F54828"/>
    <w:rsid w:val="00F5491B"/>
    <w:rsid w:val="00F55174"/>
    <w:rsid w:val="00F55A70"/>
    <w:rsid w:val="00F55D9F"/>
    <w:rsid w:val="00F55F36"/>
    <w:rsid w:val="00F56345"/>
    <w:rsid w:val="00F563BF"/>
    <w:rsid w:val="00F5658E"/>
    <w:rsid w:val="00F565D5"/>
    <w:rsid w:val="00F56675"/>
    <w:rsid w:val="00F56E68"/>
    <w:rsid w:val="00F57009"/>
    <w:rsid w:val="00F5716D"/>
    <w:rsid w:val="00F5732C"/>
    <w:rsid w:val="00F5791B"/>
    <w:rsid w:val="00F57AAE"/>
    <w:rsid w:val="00F57B4C"/>
    <w:rsid w:val="00F60270"/>
    <w:rsid w:val="00F6220F"/>
    <w:rsid w:val="00F6268A"/>
    <w:rsid w:val="00F62C2F"/>
    <w:rsid w:val="00F6361F"/>
    <w:rsid w:val="00F63C62"/>
    <w:rsid w:val="00F63D04"/>
    <w:rsid w:val="00F645E5"/>
    <w:rsid w:val="00F6490A"/>
    <w:rsid w:val="00F64D8A"/>
    <w:rsid w:val="00F64E62"/>
    <w:rsid w:val="00F65081"/>
    <w:rsid w:val="00F65AF1"/>
    <w:rsid w:val="00F65B68"/>
    <w:rsid w:val="00F6637A"/>
    <w:rsid w:val="00F66551"/>
    <w:rsid w:val="00F666EA"/>
    <w:rsid w:val="00F66BF0"/>
    <w:rsid w:val="00F66CC4"/>
    <w:rsid w:val="00F66D18"/>
    <w:rsid w:val="00F6713E"/>
    <w:rsid w:val="00F67241"/>
    <w:rsid w:val="00F6775A"/>
    <w:rsid w:val="00F67AF6"/>
    <w:rsid w:val="00F67E77"/>
    <w:rsid w:val="00F67F79"/>
    <w:rsid w:val="00F707AF"/>
    <w:rsid w:val="00F70913"/>
    <w:rsid w:val="00F709B0"/>
    <w:rsid w:val="00F70E58"/>
    <w:rsid w:val="00F71573"/>
    <w:rsid w:val="00F71E57"/>
    <w:rsid w:val="00F7224E"/>
    <w:rsid w:val="00F72A36"/>
    <w:rsid w:val="00F72E52"/>
    <w:rsid w:val="00F735DB"/>
    <w:rsid w:val="00F73E28"/>
    <w:rsid w:val="00F73F54"/>
    <w:rsid w:val="00F74313"/>
    <w:rsid w:val="00F7441F"/>
    <w:rsid w:val="00F7465E"/>
    <w:rsid w:val="00F74BED"/>
    <w:rsid w:val="00F756E0"/>
    <w:rsid w:val="00F75CB3"/>
    <w:rsid w:val="00F768BD"/>
    <w:rsid w:val="00F76BDD"/>
    <w:rsid w:val="00F76D7F"/>
    <w:rsid w:val="00F76E54"/>
    <w:rsid w:val="00F76F64"/>
    <w:rsid w:val="00F7767F"/>
    <w:rsid w:val="00F77D03"/>
    <w:rsid w:val="00F77D12"/>
    <w:rsid w:val="00F80075"/>
    <w:rsid w:val="00F80169"/>
    <w:rsid w:val="00F80840"/>
    <w:rsid w:val="00F80903"/>
    <w:rsid w:val="00F81143"/>
    <w:rsid w:val="00F822E0"/>
    <w:rsid w:val="00F8283F"/>
    <w:rsid w:val="00F8299C"/>
    <w:rsid w:val="00F82B73"/>
    <w:rsid w:val="00F82D0F"/>
    <w:rsid w:val="00F830E8"/>
    <w:rsid w:val="00F8445B"/>
    <w:rsid w:val="00F84741"/>
    <w:rsid w:val="00F84C97"/>
    <w:rsid w:val="00F850CC"/>
    <w:rsid w:val="00F8559F"/>
    <w:rsid w:val="00F8596A"/>
    <w:rsid w:val="00F859EC"/>
    <w:rsid w:val="00F85BF7"/>
    <w:rsid w:val="00F85D17"/>
    <w:rsid w:val="00F8681D"/>
    <w:rsid w:val="00F86A0D"/>
    <w:rsid w:val="00F86BD1"/>
    <w:rsid w:val="00F86BDB"/>
    <w:rsid w:val="00F86D96"/>
    <w:rsid w:val="00F87011"/>
    <w:rsid w:val="00F871C5"/>
    <w:rsid w:val="00F87300"/>
    <w:rsid w:val="00F87502"/>
    <w:rsid w:val="00F87A59"/>
    <w:rsid w:val="00F903FF"/>
    <w:rsid w:val="00F9056F"/>
    <w:rsid w:val="00F90C93"/>
    <w:rsid w:val="00F914FD"/>
    <w:rsid w:val="00F91877"/>
    <w:rsid w:val="00F91907"/>
    <w:rsid w:val="00F919A9"/>
    <w:rsid w:val="00F9263C"/>
    <w:rsid w:val="00F9281D"/>
    <w:rsid w:val="00F92A95"/>
    <w:rsid w:val="00F92F29"/>
    <w:rsid w:val="00F93A7B"/>
    <w:rsid w:val="00F93AD4"/>
    <w:rsid w:val="00F93B8B"/>
    <w:rsid w:val="00F941E6"/>
    <w:rsid w:val="00F944AD"/>
    <w:rsid w:val="00F947DC"/>
    <w:rsid w:val="00F94B15"/>
    <w:rsid w:val="00F94E8A"/>
    <w:rsid w:val="00F95027"/>
    <w:rsid w:val="00F95732"/>
    <w:rsid w:val="00F958FD"/>
    <w:rsid w:val="00F96085"/>
    <w:rsid w:val="00F961B7"/>
    <w:rsid w:val="00F96286"/>
    <w:rsid w:val="00F96472"/>
    <w:rsid w:val="00F96535"/>
    <w:rsid w:val="00F96633"/>
    <w:rsid w:val="00F96ACA"/>
    <w:rsid w:val="00F96C42"/>
    <w:rsid w:val="00F96DB4"/>
    <w:rsid w:val="00F97138"/>
    <w:rsid w:val="00F97736"/>
    <w:rsid w:val="00F9794C"/>
    <w:rsid w:val="00F97D95"/>
    <w:rsid w:val="00FA0FF7"/>
    <w:rsid w:val="00FA18E6"/>
    <w:rsid w:val="00FA1A5F"/>
    <w:rsid w:val="00FA1D8C"/>
    <w:rsid w:val="00FA204C"/>
    <w:rsid w:val="00FA20C0"/>
    <w:rsid w:val="00FA2145"/>
    <w:rsid w:val="00FA287E"/>
    <w:rsid w:val="00FA375C"/>
    <w:rsid w:val="00FA37C2"/>
    <w:rsid w:val="00FA37CD"/>
    <w:rsid w:val="00FA3F1E"/>
    <w:rsid w:val="00FA3F80"/>
    <w:rsid w:val="00FA50A4"/>
    <w:rsid w:val="00FA545D"/>
    <w:rsid w:val="00FA583B"/>
    <w:rsid w:val="00FA58EB"/>
    <w:rsid w:val="00FA63FE"/>
    <w:rsid w:val="00FA6509"/>
    <w:rsid w:val="00FA664A"/>
    <w:rsid w:val="00FA664F"/>
    <w:rsid w:val="00FA6C10"/>
    <w:rsid w:val="00FA72BB"/>
    <w:rsid w:val="00FA751E"/>
    <w:rsid w:val="00FA798A"/>
    <w:rsid w:val="00FA79F8"/>
    <w:rsid w:val="00FA7DA0"/>
    <w:rsid w:val="00FB0211"/>
    <w:rsid w:val="00FB0978"/>
    <w:rsid w:val="00FB0DB8"/>
    <w:rsid w:val="00FB0F35"/>
    <w:rsid w:val="00FB13DE"/>
    <w:rsid w:val="00FB13FB"/>
    <w:rsid w:val="00FB147A"/>
    <w:rsid w:val="00FB1A52"/>
    <w:rsid w:val="00FB2496"/>
    <w:rsid w:val="00FB2A52"/>
    <w:rsid w:val="00FB2F4C"/>
    <w:rsid w:val="00FB310C"/>
    <w:rsid w:val="00FB36DC"/>
    <w:rsid w:val="00FB3EB2"/>
    <w:rsid w:val="00FB3FAC"/>
    <w:rsid w:val="00FB470D"/>
    <w:rsid w:val="00FB4891"/>
    <w:rsid w:val="00FB4896"/>
    <w:rsid w:val="00FB4D27"/>
    <w:rsid w:val="00FB4F35"/>
    <w:rsid w:val="00FB50EA"/>
    <w:rsid w:val="00FB56FE"/>
    <w:rsid w:val="00FB5BCF"/>
    <w:rsid w:val="00FB6368"/>
    <w:rsid w:val="00FB64A7"/>
    <w:rsid w:val="00FB64C2"/>
    <w:rsid w:val="00FB6589"/>
    <w:rsid w:val="00FB7308"/>
    <w:rsid w:val="00FB7364"/>
    <w:rsid w:val="00FB7418"/>
    <w:rsid w:val="00FB7425"/>
    <w:rsid w:val="00FB750E"/>
    <w:rsid w:val="00FB7877"/>
    <w:rsid w:val="00FB7B72"/>
    <w:rsid w:val="00FC0078"/>
    <w:rsid w:val="00FC064E"/>
    <w:rsid w:val="00FC06A5"/>
    <w:rsid w:val="00FC0A28"/>
    <w:rsid w:val="00FC1050"/>
    <w:rsid w:val="00FC14E1"/>
    <w:rsid w:val="00FC1656"/>
    <w:rsid w:val="00FC1CA5"/>
    <w:rsid w:val="00FC2386"/>
    <w:rsid w:val="00FC27F4"/>
    <w:rsid w:val="00FC37DE"/>
    <w:rsid w:val="00FC3934"/>
    <w:rsid w:val="00FC3B80"/>
    <w:rsid w:val="00FC3FAC"/>
    <w:rsid w:val="00FC3FEC"/>
    <w:rsid w:val="00FC430B"/>
    <w:rsid w:val="00FC556A"/>
    <w:rsid w:val="00FC6449"/>
    <w:rsid w:val="00FC75CF"/>
    <w:rsid w:val="00FC75DD"/>
    <w:rsid w:val="00FC7C2A"/>
    <w:rsid w:val="00FC7C53"/>
    <w:rsid w:val="00FC7C9A"/>
    <w:rsid w:val="00FC7DFF"/>
    <w:rsid w:val="00FC7F2C"/>
    <w:rsid w:val="00FC7F96"/>
    <w:rsid w:val="00FD0C1D"/>
    <w:rsid w:val="00FD0DC3"/>
    <w:rsid w:val="00FD0F33"/>
    <w:rsid w:val="00FD138C"/>
    <w:rsid w:val="00FD1A50"/>
    <w:rsid w:val="00FD1C76"/>
    <w:rsid w:val="00FD1E45"/>
    <w:rsid w:val="00FD20A4"/>
    <w:rsid w:val="00FD21F3"/>
    <w:rsid w:val="00FD2232"/>
    <w:rsid w:val="00FD249E"/>
    <w:rsid w:val="00FD2F52"/>
    <w:rsid w:val="00FD319E"/>
    <w:rsid w:val="00FD3594"/>
    <w:rsid w:val="00FD3791"/>
    <w:rsid w:val="00FD3824"/>
    <w:rsid w:val="00FD3991"/>
    <w:rsid w:val="00FD4766"/>
    <w:rsid w:val="00FD4C08"/>
    <w:rsid w:val="00FD54C3"/>
    <w:rsid w:val="00FD54EE"/>
    <w:rsid w:val="00FD5738"/>
    <w:rsid w:val="00FD5CE9"/>
    <w:rsid w:val="00FD5F53"/>
    <w:rsid w:val="00FD61B8"/>
    <w:rsid w:val="00FD6571"/>
    <w:rsid w:val="00FD741D"/>
    <w:rsid w:val="00FD7815"/>
    <w:rsid w:val="00FD7962"/>
    <w:rsid w:val="00FD7AF9"/>
    <w:rsid w:val="00FD7C18"/>
    <w:rsid w:val="00FE0634"/>
    <w:rsid w:val="00FE075B"/>
    <w:rsid w:val="00FE0BD5"/>
    <w:rsid w:val="00FE10E1"/>
    <w:rsid w:val="00FE1500"/>
    <w:rsid w:val="00FE204A"/>
    <w:rsid w:val="00FE2088"/>
    <w:rsid w:val="00FE2628"/>
    <w:rsid w:val="00FE302B"/>
    <w:rsid w:val="00FE382A"/>
    <w:rsid w:val="00FE3D4A"/>
    <w:rsid w:val="00FE3FDB"/>
    <w:rsid w:val="00FE42D4"/>
    <w:rsid w:val="00FE47CA"/>
    <w:rsid w:val="00FE4A33"/>
    <w:rsid w:val="00FE4CC9"/>
    <w:rsid w:val="00FE533A"/>
    <w:rsid w:val="00FE552E"/>
    <w:rsid w:val="00FE559E"/>
    <w:rsid w:val="00FE56E9"/>
    <w:rsid w:val="00FE5DEF"/>
    <w:rsid w:val="00FE600A"/>
    <w:rsid w:val="00FE60EB"/>
    <w:rsid w:val="00FE717A"/>
    <w:rsid w:val="00FE7294"/>
    <w:rsid w:val="00FE7450"/>
    <w:rsid w:val="00FE7C3B"/>
    <w:rsid w:val="00FE7CF7"/>
    <w:rsid w:val="00FF025D"/>
    <w:rsid w:val="00FF0CC7"/>
    <w:rsid w:val="00FF12CB"/>
    <w:rsid w:val="00FF13E7"/>
    <w:rsid w:val="00FF14EA"/>
    <w:rsid w:val="00FF18A1"/>
    <w:rsid w:val="00FF19E3"/>
    <w:rsid w:val="00FF1DF8"/>
    <w:rsid w:val="00FF1F96"/>
    <w:rsid w:val="00FF2192"/>
    <w:rsid w:val="00FF24CD"/>
    <w:rsid w:val="00FF2B3F"/>
    <w:rsid w:val="00FF2B49"/>
    <w:rsid w:val="00FF2C01"/>
    <w:rsid w:val="00FF2F87"/>
    <w:rsid w:val="00FF308D"/>
    <w:rsid w:val="00FF3584"/>
    <w:rsid w:val="00FF3E05"/>
    <w:rsid w:val="00FF3E74"/>
    <w:rsid w:val="00FF4440"/>
    <w:rsid w:val="00FF460C"/>
    <w:rsid w:val="00FF4958"/>
    <w:rsid w:val="00FF4A65"/>
    <w:rsid w:val="00FF4AB1"/>
    <w:rsid w:val="00FF4FB0"/>
    <w:rsid w:val="00FF5C68"/>
    <w:rsid w:val="00FF5E9F"/>
    <w:rsid w:val="00FF6312"/>
    <w:rsid w:val="00FF68B1"/>
    <w:rsid w:val="00FF6D41"/>
    <w:rsid w:val="00FF6E6A"/>
    <w:rsid w:val="00FF7067"/>
    <w:rsid w:val="00FF77C5"/>
    <w:rsid w:val="00FF784F"/>
    <w:rsid w:val="00FF7C53"/>
    <w:rsid w:val="01DC25EC"/>
    <w:rsid w:val="0252F7A0"/>
    <w:rsid w:val="028AC25F"/>
    <w:rsid w:val="02AE9AAE"/>
    <w:rsid w:val="032A05A0"/>
    <w:rsid w:val="0370C878"/>
    <w:rsid w:val="038721C8"/>
    <w:rsid w:val="03F9B23A"/>
    <w:rsid w:val="04271922"/>
    <w:rsid w:val="04480844"/>
    <w:rsid w:val="04BE2A3C"/>
    <w:rsid w:val="04C79FFC"/>
    <w:rsid w:val="04D7AA1D"/>
    <w:rsid w:val="05048415"/>
    <w:rsid w:val="0509EBD1"/>
    <w:rsid w:val="054D5A91"/>
    <w:rsid w:val="05DE2DFE"/>
    <w:rsid w:val="06A8693A"/>
    <w:rsid w:val="06BE2B12"/>
    <w:rsid w:val="076502BD"/>
    <w:rsid w:val="07D66689"/>
    <w:rsid w:val="081C203A"/>
    <w:rsid w:val="082B113E"/>
    <w:rsid w:val="0939C108"/>
    <w:rsid w:val="0A27C7C0"/>
    <w:rsid w:val="0A763895"/>
    <w:rsid w:val="0AB4D41F"/>
    <w:rsid w:val="0AB5E49B"/>
    <w:rsid w:val="0B62D84B"/>
    <w:rsid w:val="0B6502A7"/>
    <w:rsid w:val="0C02865E"/>
    <w:rsid w:val="0C2BD363"/>
    <w:rsid w:val="0C417F50"/>
    <w:rsid w:val="0C530BE6"/>
    <w:rsid w:val="0CD3FC01"/>
    <w:rsid w:val="0DD0FEC3"/>
    <w:rsid w:val="0E0358ED"/>
    <w:rsid w:val="0E1A4502"/>
    <w:rsid w:val="0E8A8763"/>
    <w:rsid w:val="0EC2B916"/>
    <w:rsid w:val="0EE7970C"/>
    <w:rsid w:val="0F00591A"/>
    <w:rsid w:val="0F34FEE9"/>
    <w:rsid w:val="0F4A49A3"/>
    <w:rsid w:val="0F4B0B79"/>
    <w:rsid w:val="0F82E930"/>
    <w:rsid w:val="10A17C0D"/>
    <w:rsid w:val="10BC4ADE"/>
    <w:rsid w:val="10FF77E6"/>
    <w:rsid w:val="114B0BB6"/>
    <w:rsid w:val="116CD02C"/>
    <w:rsid w:val="11B9B855"/>
    <w:rsid w:val="11DBD948"/>
    <w:rsid w:val="11E3D8C9"/>
    <w:rsid w:val="11F7B43F"/>
    <w:rsid w:val="130D66FE"/>
    <w:rsid w:val="134D980A"/>
    <w:rsid w:val="136DC3E5"/>
    <w:rsid w:val="1402A3F7"/>
    <w:rsid w:val="14269021"/>
    <w:rsid w:val="14276BDF"/>
    <w:rsid w:val="142A17AB"/>
    <w:rsid w:val="146186D8"/>
    <w:rsid w:val="1473C931"/>
    <w:rsid w:val="147A839A"/>
    <w:rsid w:val="14852076"/>
    <w:rsid w:val="14BAD657"/>
    <w:rsid w:val="14C205ED"/>
    <w:rsid w:val="15117546"/>
    <w:rsid w:val="151EBEA6"/>
    <w:rsid w:val="1539BB8C"/>
    <w:rsid w:val="154A3385"/>
    <w:rsid w:val="157A5739"/>
    <w:rsid w:val="159CD476"/>
    <w:rsid w:val="160BE0B2"/>
    <w:rsid w:val="1627B968"/>
    <w:rsid w:val="163CCBD8"/>
    <w:rsid w:val="177B0BB2"/>
    <w:rsid w:val="17CC728E"/>
    <w:rsid w:val="18C70C2C"/>
    <w:rsid w:val="1917635D"/>
    <w:rsid w:val="193CD74D"/>
    <w:rsid w:val="1961BD7A"/>
    <w:rsid w:val="196F8E6D"/>
    <w:rsid w:val="198F788D"/>
    <w:rsid w:val="19C28EF4"/>
    <w:rsid w:val="19D79C04"/>
    <w:rsid w:val="1A692097"/>
    <w:rsid w:val="1A6F9F68"/>
    <w:rsid w:val="1AE013D1"/>
    <w:rsid w:val="1AE4B847"/>
    <w:rsid w:val="1B1E7D19"/>
    <w:rsid w:val="1BF53DAD"/>
    <w:rsid w:val="1CB67ABF"/>
    <w:rsid w:val="1D036A06"/>
    <w:rsid w:val="1D53A6F5"/>
    <w:rsid w:val="1D7419BB"/>
    <w:rsid w:val="1D9C41E9"/>
    <w:rsid w:val="1DBC689E"/>
    <w:rsid w:val="1DC7EDD4"/>
    <w:rsid w:val="1DDE84DC"/>
    <w:rsid w:val="1DFC8BCA"/>
    <w:rsid w:val="1E08691E"/>
    <w:rsid w:val="1FC74676"/>
    <w:rsid w:val="1FCDB606"/>
    <w:rsid w:val="21641F86"/>
    <w:rsid w:val="21908B42"/>
    <w:rsid w:val="221AC437"/>
    <w:rsid w:val="222CF5D9"/>
    <w:rsid w:val="2320E5C9"/>
    <w:rsid w:val="24124D2C"/>
    <w:rsid w:val="246744BE"/>
    <w:rsid w:val="248FF56C"/>
    <w:rsid w:val="24CD0865"/>
    <w:rsid w:val="24FE1624"/>
    <w:rsid w:val="250FD274"/>
    <w:rsid w:val="255CF684"/>
    <w:rsid w:val="2590D6AD"/>
    <w:rsid w:val="25A531BA"/>
    <w:rsid w:val="26EAAC35"/>
    <w:rsid w:val="2717FFFA"/>
    <w:rsid w:val="272FC7E7"/>
    <w:rsid w:val="2755D438"/>
    <w:rsid w:val="27F0B52D"/>
    <w:rsid w:val="2800D1F7"/>
    <w:rsid w:val="28223BF4"/>
    <w:rsid w:val="2832FDE7"/>
    <w:rsid w:val="2879239E"/>
    <w:rsid w:val="28F9FFD9"/>
    <w:rsid w:val="2904400C"/>
    <w:rsid w:val="2958F244"/>
    <w:rsid w:val="29D2CA54"/>
    <w:rsid w:val="2A80B322"/>
    <w:rsid w:val="2AD63C41"/>
    <w:rsid w:val="2B7F656D"/>
    <w:rsid w:val="2BDF2C92"/>
    <w:rsid w:val="2C389D13"/>
    <w:rsid w:val="2CD63637"/>
    <w:rsid w:val="2DBFB3BB"/>
    <w:rsid w:val="2E264725"/>
    <w:rsid w:val="2F8D0B49"/>
    <w:rsid w:val="2FFCF771"/>
    <w:rsid w:val="30E1C847"/>
    <w:rsid w:val="3169E62E"/>
    <w:rsid w:val="31769138"/>
    <w:rsid w:val="3247B908"/>
    <w:rsid w:val="3249F09D"/>
    <w:rsid w:val="32F8C89A"/>
    <w:rsid w:val="32FDCE7B"/>
    <w:rsid w:val="33256E6F"/>
    <w:rsid w:val="334CB765"/>
    <w:rsid w:val="33950D5D"/>
    <w:rsid w:val="33A1F8FF"/>
    <w:rsid w:val="33B14630"/>
    <w:rsid w:val="33D758A8"/>
    <w:rsid w:val="33E849FB"/>
    <w:rsid w:val="34A840D0"/>
    <w:rsid w:val="34D510F7"/>
    <w:rsid w:val="3503BD5A"/>
    <w:rsid w:val="3524C42D"/>
    <w:rsid w:val="3529B3BD"/>
    <w:rsid w:val="354F2528"/>
    <w:rsid w:val="3558333D"/>
    <w:rsid w:val="35BC21B5"/>
    <w:rsid w:val="36581030"/>
    <w:rsid w:val="368FFD79"/>
    <w:rsid w:val="369EF527"/>
    <w:rsid w:val="36D137FA"/>
    <w:rsid w:val="374F19BF"/>
    <w:rsid w:val="37AD0508"/>
    <w:rsid w:val="37FA5848"/>
    <w:rsid w:val="383F4F37"/>
    <w:rsid w:val="39286FB2"/>
    <w:rsid w:val="39927DDA"/>
    <w:rsid w:val="39B632CB"/>
    <w:rsid w:val="39CCE164"/>
    <w:rsid w:val="39D6161A"/>
    <w:rsid w:val="39E7A353"/>
    <w:rsid w:val="3A1DCE17"/>
    <w:rsid w:val="3A29588D"/>
    <w:rsid w:val="3ACD9D59"/>
    <w:rsid w:val="3AEC6AA3"/>
    <w:rsid w:val="3B19905E"/>
    <w:rsid w:val="3B975107"/>
    <w:rsid w:val="3BA3D2D4"/>
    <w:rsid w:val="3BFF44DB"/>
    <w:rsid w:val="3C1BF8C4"/>
    <w:rsid w:val="3C345C22"/>
    <w:rsid w:val="3C877B93"/>
    <w:rsid w:val="3C9417E2"/>
    <w:rsid w:val="3C9DD8F0"/>
    <w:rsid w:val="3CE58119"/>
    <w:rsid w:val="3CE6FF28"/>
    <w:rsid w:val="3CEC5098"/>
    <w:rsid w:val="3E0BFC7E"/>
    <w:rsid w:val="3E3E85A4"/>
    <w:rsid w:val="3ED0EA96"/>
    <w:rsid w:val="3ED19DE1"/>
    <w:rsid w:val="3F112D68"/>
    <w:rsid w:val="3F68903A"/>
    <w:rsid w:val="3F8752CA"/>
    <w:rsid w:val="3FD840AF"/>
    <w:rsid w:val="40109264"/>
    <w:rsid w:val="403C4397"/>
    <w:rsid w:val="40B8BE25"/>
    <w:rsid w:val="40EC7D6E"/>
    <w:rsid w:val="412358EC"/>
    <w:rsid w:val="4182DAD6"/>
    <w:rsid w:val="419FCACE"/>
    <w:rsid w:val="4208A72B"/>
    <w:rsid w:val="424D9E1A"/>
    <w:rsid w:val="42B66274"/>
    <w:rsid w:val="43494E70"/>
    <w:rsid w:val="43F92C8E"/>
    <w:rsid w:val="44639E3B"/>
    <w:rsid w:val="44DD03D1"/>
    <w:rsid w:val="44EE07F3"/>
    <w:rsid w:val="45181697"/>
    <w:rsid w:val="4520B2A4"/>
    <w:rsid w:val="4644D083"/>
    <w:rsid w:val="4689604E"/>
    <w:rsid w:val="46BA3573"/>
    <w:rsid w:val="46C9ED9B"/>
    <w:rsid w:val="4763CD93"/>
    <w:rsid w:val="48C2EA2F"/>
    <w:rsid w:val="49662882"/>
    <w:rsid w:val="4A4E67AB"/>
    <w:rsid w:val="4A7DE11A"/>
    <w:rsid w:val="4BA71ADA"/>
    <w:rsid w:val="4BC77475"/>
    <w:rsid w:val="4BE66914"/>
    <w:rsid w:val="4BE86C54"/>
    <w:rsid w:val="4C658363"/>
    <w:rsid w:val="4C9DA206"/>
    <w:rsid w:val="4CCE4AFC"/>
    <w:rsid w:val="4E123A7B"/>
    <w:rsid w:val="4EB0CA7D"/>
    <w:rsid w:val="4F7BC2C5"/>
    <w:rsid w:val="4FF88C1E"/>
    <w:rsid w:val="5002292C"/>
    <w:rsid w:val="5099606A"/>
    <w:rsid w:val="50BB6F52"/>
    <w:rsid w:val="51016D77"/>
    <w:rsid w:val="5155938A"/>
    <w:rsid w:val="5264A6C7"/>
    <w:rsid w:val="53F03618"/>
    <w:rsid w:val="543652F8"/>
    <w:rsid w:val="54368719"/>
    <w:rsid w:val="551446C6"/>
    <w:rsid w:val="552AD1DF"/>
    <w:rsid w:val="55AC57B4"/>
    <w:rsid w:val="563996BF"/>
    <w:rsid w:val="569AB7E7"/>
    <w:rsid w:val="56C33ED1"/>
    <w:rsid w:val="57965996"/>
    <w:rsid w:val="5942F48C"/>
    <w:rsid w:val="595A2A9A"/>
    <w:rsid w:val="59DBCA70"/>
    <w:rsid w:val="59E8CF1A"/>
    <w:rsid w:val="5A31ACBB"/>
    <w:rsid w:val="5A57CF3C"/>
    <w:rsid w:val="5B1962DC"/>
    <w:rsid w:val="5B445F86"/>
    <w:rsid w:val="5BFC17EA"/>
    <w:rsid w:val="5C0BDFA0"/>
    <w:rsid w:val="5C16EAE3"/>
    <w:rsid w:val="5C26D214"/>
    <w:rsid w:val="5C8DF1F2"/>
    <w:rsid w:val="5D1C521B"/>
    <w:rsid w:val="5D6530E1"/>
    <w:rsid w:val="5D6B3C22"/>
    <w:rsid w:val="5DCF3600"/>
    <w:rsid w:val="5DD3932C"/>
    <w:rsid w:val="5E16A0BB"/>
    <w:rsid w:val="5E255A3B"/>
    <w:rsid w:val="5E8052D1"/>
    <w:rsid w:val="5E813A6B"/>
    <w:rsid w:val="5EEE2E30"/>
    <w:rsid w:val="5F127842"/>
    <w:rsid w:val="5F349E3B"/>
    <w:rsid w:val="60A9B7D8"/>
    <w:rsid w:val="614953D6"/>
    <w:rsid w:val="61696CD0"/>
    <w:rsid w:val="61B843B5"/>
    <w:rsid w:val="61CB9A28"/>
    <w:rsid w:val="623B413E"/>
    <w:rsid w:val="62CE6762"/>
    <w:rsid w:val="62FAAEF4"/>
    <w:rsid w:val="62FC0ECB"/>
    <w:rsid w:val="62FF9BAE"/>
    <w:rsid w:val="636404CA"/>
    <w:rsid w:val="63D94EB6"/>
    <w:rsid w:val="640DD41C"/>
    <w:rsid w:val="645A9246"/>
    <w:rsid w:val="64774604"/>
    <w:rsid w:val="6481F288"/>
    <w:rsid w:val="648BE4D1"/>
    <w:rsid w:val="65542840"/>
    <w:rsid w:val="657ED997"/>
    <w:rsid w:val="6594FE64"/>
    <w:rsid w:val="65D6EE40"/>
    <w:rsid w:val="65DE413F"/>
    <w:rsid w:val="65FA3F16"/>
    <w:rsid w:val="66193076"/>
    <w:rsid w:val="66334333"/>
    <w:rsid w:val="66BAEF88"/>
    <w:rsid w:val="66DE2B60"/>
    <w:rsid w:val="66FFE677"/>
    <w:rsid w:val="6778F2F0"/>
    <w:rsid w:val="6789033B"/>
    <w:rsid w:val="67B20B9E"/>
    <w:rsid w:val="67CBCB54"/>
    <w:rsid w:val="681F84F4"/>
    <w:rsid w:val="6940C927"/>
    <w:rsid w:val="69F9FF0D"/>
    <w:rsid w:val="6A1FE728"/>
    <w:rsid w:val="6A64CFAE"/>
    <w:rsid w:val="6AC23312"/>
    <w:rsid w:val="6AC3AF4F"/>
    <w:rsid w:val="6B02D49E"/>
    <w:rsid w:val="6B2689A4"/>
    <w:rsid w:val="6B8F02CA"/>
    <w:rsid w:val="6BCEE9FD"/>
    <w:rsid w:val="6C438DDE"/>
    <w:rsid w:val="6DB3CE26"/>
    <w:rsid w:val="6E0B0A05"/>
    <w:rsid w:val="6E8855F4"/>
    <w:rsid w:val="6E8AE4CB"/>
    <w:rsid w:val="6F741889"/>
    <w:rsid w:val="7021836A"/>
    <w:rsid w:val="707ABFD3"/>
    <w:rsid w:val="70BBDA60"/>
    <w:rsid w:val="70D85DD0"/>
    <w:rsid w:val="70D9712E"/>
    <w:rsid w:val="70E439B6"/>
    <w:rsid w:val="710D15C0"/>
    <w:rsid w:val="7152F99F"/>
    <w:rsid w:val="728C2B12"/>
    <w:rsid w:val="72A3E1DC"/>
    <w:rsid w:val="72D0AEFF"/>
    <w:rsid w:val="72DCAA51"/>
    <w:rsid w:val="736D33B5"/>
    <w:rsid w:val="7394300D"/>
    <w:rsid w:val="739EA396"/>
    <w:rsid w:val="73C00630"/>
    <w:rsid w:val="7451485D"/>
    <w:rsid w:val="74B0BAD5"/>
    <w:rsid w:val="74FD8633"/>
    <w:rsid w:val="74FFEB9D"/>
    <w:rsid w:val="7528FF0E"/>
    <w:rsid w:val="760D3F0A"/>
    <w:rsid w:val="7740042E"/>
    <w:rsid w:val="77443848"/>
    <w:rsid w:val="775D9BDA"/>
    <w:rsid w:val="777469BE"/>
    <w:rsid w:val="77F3CA1C"/>
    <w:rsid w:val="77F4BC62"/>
    <w:rsid w:val="7820B8D0"/>
    <w:rsid w:val="783F2969"/>
    <w:rsid w:val="78A98768"/>
    <w:rsid w:val="78F8F3DF"/>
    <w:rsid w:val="7902818C"/>
    <w:rsid w:val="79D2BCA7"/>
    <w:rsid w:val="7AC1B5D6"/>
    <w:rsid w:val="7AEAB98C"/>
    <w:rsid w:val="7B0068FE"/>
    <w:rsid w:val="7B02CAB8"/>
    <w:rsid w:val="7B3BC98A"/>
    <w:rsid w:val="7B42BE21"/>
    <w:rsid w:val="7B867DE3"/>
    <w:rsid w:val="7BCAFB04"/>
    <w:rsid w:val="7BD289B9"/>
    <w:rsid w:val="7BDDB607"/>
    <w:rsid w:val="7BE8410C"/>
    <w:rsid w:val="7C232F8C"/>
    <w:rsid w:val="7CC4AD72"/>
    <w:rsid w:val="7D34321B"/>
    <w:rsid w:val="7D46D8C4"/>
    <w:rsid w:val="7D914089"/>
    <w:rsid w:val="7DDDD3E4"/>
    <w:rsid w:val="7DE3A631"/>
    <w:rsid w:val="7F362229"/>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14:docId w14:val="4062F136"/>
  <w15:chartTrackingRefBased/>
  <w15:docId w15:val="{E18D8F6C-BD42-43F3-A065-4144CD03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uiPriority="99"/>
    <w:lsdException w:name="annotation text" w:locked="1" w:uiPriority="99"/>
    <w:lsdException w:name="header" w:locked="1" w:uiPriority="99"/>
    <w:lsdException w:name="footer" w:locked="1" w:uiPriority="99"/>
    <w:lsdException w:name="index heading" w:locked="1"/>
    <w:lsdException w:name="caption" w:uiPriority="35" w:qFormat="1"/>
    <w:lsdException w:name="table of figures" w:locked="1"/>
    <w:lsdException w:name="envelope address" w:locked="1"/>
    <w:lsdException w:name="envelope return" w:locked="1"/>
    <w:lsdException w:name="footnote reference" w:locked="1" w:uiPriority="99"/>
    <w:lsdException w:name="annotation reference" w:locked="1" w:uiPriority="99"/>
    <w:lsdException w:name="line number" w:locked="1"/>
    <w:lsdException w:name="page number" w:locked="1"/>
    <w:lsdException w:name="endnote reference" w:locked="1" w:uiPriority="99"/>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Default Paragraph Font" w:uiPriority="1"/>
    <w:lsdException w:name="Body Text" w:locked="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semiHidden="1" w:unhideWhenUsed="1"/>
    <w:lsdException w:name="HTML Sample" w:locked="1"/>
    <w:lsdException w:name="HTML Typewriter" w:locked="1" w:semiHidden="1" w:unhideWhenUsed="1"/>
    <w:lsdException w:name="HTML Variable" w:locked="1"/>
    <w:lsdException w:name="Normal Table" w:locked="1" w:semiHidden="1" w:unhideWhenUsed="1"/>
    <w:lsdException w:name="annotation subject" w:lock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241BF9"/>
    <w:rPr>
      <w:sz w:val="24"/>
    </w:rPr>
  </w:style>
  <w:style w:type="paragraph" w:styleId="Heading1">
    <w:name w:val="heading 1"/>
    <w:basedOn w:val="Normal"/>
    <w:link w:val="Heading1Char"/>
    <w:qFormat/>
    <w:rsid w:val="006E5D3C"/>
    <w:pPr>
      <w:pBdr>
        <w:bottom w:val="thinThickThinMediumGap" w:sz="18" w:space="1" w:color="auto"/>
      </w:pBdr>
      <w:tabs>
        <w:tab w:val="left" w:pos="4680"/>
      </w:tabs>
      <w:jc w:val="center"/>
      <w:outlineLvl w:val="0"/>
    </w:pPr>
    <w:rPr>
      <w:rFonts w:ascii="Times New Roman Bold"/>
      <w:b/>
      <w:color w:val="002060"/>
      <w:sz w:val="96"/>
      <w:szCs w:val="96"/>
      <w14:shadow w14:blurRad="50800" w14:dist="50800" w14:dir="5400000" w14:sx="100000" w14:sy="100000" w14:kx="0" w14:ky="0" w14:algn="ctr">
        <w14:srgbClr w14:val="002060"/>
      </w14:shadow>
      <w14:textOutline w14:w="9525">
        <w14:solidFill>
          <w14:schemeClr w14:val="bg1"/>
        </w14:solidFill>
        <w14:prstDash w14:val="solid"/>
        <w14:round/>
      </w14:textOutline>
    </w:rPr>
  </w:style>
  <w:style w:type="paragraph" w:styleId="Heading2">
    <w:name w:val="heading 2"/>
    <w:basedOn w:val="StyleHeading115ptBoldAutoLeft"/>
    <w:next w:val="Normal"/>
    <w:link w:val="Heading2Char"/>
    <w:qFormat/>
    <w:rsid w:val="006E5D3C"/>
    <w:pPr>
      <w:spacing w:after="240"/>
      <w:outlineLvl w:val="1"/>
    </w:pPr>
  </w:style>
  <w:style w:type="paragraph" w:styleId="Heading3">
    <w:name w:val="heading 3"/>
    <w:basedOn w:val="Normal"/>
    <w:link w:val="Heading3Char"/>
    <w:qFormat/>
    <w:rsid w:val="001A427B"/>
    <w:pPr>
      <w:spacing w:after="240"/>
      <w:outlineLvl w:val="2"/>
    </w:pPr>
    <w:rPr>
      <w:b/>
      <w:bCs/>
      <w:sz w:val="28"/>
      <w:szCs w:val="28"/>
    </w:rPr>
  </w:style>
  <w:style w:type="paragraph" w:styleId="Heading4">
    <w:name w:val="heading 4"/>
    <w:basedOn w:val="Heading3"/>
    <w:next w:val="Normal"/>
    <w:link w:val="Heading4Char"/>
    <w:qFormat/>
    <w:rsid w:val="0057299D"/>
    <w:pPr>
      <w:outlineLvl w:val="3"/>
    </w:pPr>
    <w:rPr>
      <w:sz w:val="24"/>
    </w:rPr>
  </w:style>
  <w:style w:type="paragraph" w:styleId="Heading5">
    <w:name w:val="heading 5"/>
    <w:link w:val="Heading5Char"/>
    <w:qFormat/>
    <w:rsid w:val="00F407D3"/>
    <w:pPr>
      <w:spacing w:after="240"/>
      <w:outlineLvl w:val="4"/>
    </w:pPr>
    <w:rPr>
      <w:b/>
      <w:sz w:val="24"/>
    </w:rPr>
  </w:style>
  <w:style w:type="paragraph" w:styleId="Heading6">
    <w:name w:val="heading 6"/>
    <w:basedOn w:val="Normal"/>
    <w:next w:val="Normal"/>
    <w:link w:val="Heading6Char"/>
    <w:qFormat/>
    <w:rsid w:val="00424C72"/>
    <w:pPr>
      <w:spacing w:after="240"/>
      <w:jc w:val="both"/>
      <w:outlineLvl w:val="5"/>
    </w:pPr>
    <w:rPr>
      <w:sz w:val="22"/>
      <w:szCs w:val="22"/>
    </w:rPr>
  </w:style>
  <w:style w:type="paragraph" w:styleId="Heading7">
    <w:name w:val="heading 7"/>
    <w:basedOn w:val="Normal"/>
    <w:next w:val="Normal"/>
    <w:link w:val="Heading7Char"/>
    <w:qFormat/>
    <w:rsid w:val="00C63DEA"/>
    <w:pPr>
      <w:keepNext/>
      <w:widowControl w:val="0"/>
      <w:overflowPunct w:val="0"/>
      <w:autoSpaceDE w:val="0"/>
      <w:autoSpaceDN w:val="0"/>
      <w:adjustRightInd w:val="0"/>
      <w:jc w:val="center"/>
      <w:textAlignment w:val="baseline"/>
      <w:outlineLvl w:val="6"/>
    </w:pPr>
    <w:rPr>
      <w:sz w:val="48"/>
    </w:rPr>
  </w:style>
  <w:style w:type="paragraph" w:styleId="Heading8">
    <w:name w:val="heading 8"/>
    <w:basedOn w:val="Normal"/>
    <w:next w:val="Normal"/>
    <w:link w:val="Heading8Char"/>
    <w:qFormat/>
    <w:rsid w:val="00C63DEA"/>
    <w:pPr>
      <w:keepNext/>
      <w:widowControl w:val="0"/>
      <w:overflowPunct w:val="0"/>
      <w:autoSpaceDE w:val="0"/>
      <w:autoSpaceDN w:val="0"/>
      <w:adjustRightInd w:val="0"/>
      <w:jc w:val="center"/>
      <w:textAlignment w:val="baseline"/>
      <w:outlineLvl w:val="7"/>
    </w:pPr>
    <w:rPr>
      <w:rFonts w:ascii="Times New Roman Bold" w:hAnsi="Times New Roman Bold"/>
      <w:b/>
      <w14:shadow w14:blurRad="50800" w14:dist="38100" w14:dir="2700000" w14:sx="100000" w14:sy="100000" w14:kx="0" w14:ky="0" w14:algn="tl">
        <w14:srgbClr w14:val="000000">
          <w14:alpha w14:val="60000"/>
        </w14:srgbClr>
      </w14:shadow>
    </w:rPr>
  </w:style>
  <w:style w:type="paragraph" w:styleId="Heading9">
    <w:name w:val="heading 9"/>
    <w:basedOn w:val="Normal"/>
    <w:next w:val="Normal"/>
    <w:link w:val="Heading9Char"/>
    <w:qFormat/>
    <w:rsid w:val="00C63DE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E5D3C"/>
    <w:rPr>
      <w:rFonts w:ascii="Times New Roman Bold"/>
      <w:b/>
      <w:color w:val="002060"/>
      <w:sz w:val="96"/>
      <w:szCs w:val="96"/>
      <w14:shadow w14:blurRad="50800" w14:dist="50800" w14:dir="5400000" w14:sx="100000" w14:sy="100000" w14:kx="0" w14:ky="0" w14:algn="ctr">
        <w14:srgbClr w14:val="002060"/>
      </w14:shadow>
      <w14:textOutline w14:w="9525">
        <w14:solidFill>
          <w14:schemeClr w14:val="bg1"/>
        </w14:solidFill>
        <w14:prstDash w14:val="solid"/>
        <w14:round/>
      </w14:textOutline>
    </w:rPr>
  </w:style>
  <w:style w:type="character" w:customStyle="1" w:styleId="Heading2Char">
    <w:name w:val="Heading 2 Char"/>
    <w:link w:val="Heading2"/>
    <w:locked/>
    <w:rsid w:val="006E5D3C"/>
    <w:rPr>
      <w:b/>
      <w:bCs/>
      <w:smallCaps/>
      <w:sz w:val="30"/>
    </w:rPr>
  </w:style>
  <w:style w:type="character" w:customStyle="1" w:styleId="Heading3Char">
    <w:name w:val="Heading 3 Char"/>
    <w:link w:val="Heading3"/>
    <w:locked/>
    <w:rsid w:val="001A427B"/>
    <w:rPr>
      <w:b/>
      <w:bCs/>
      <w:sz w:val="28"/>
      <w:szCs w:val="28"/>
    </w:rPr>
  </w:style>
  <w:style w:type="character" w:customStyle="1" w:styleId="Heading4Char">
    <w:name w:val="Heading 4 Char"/>
    <w:link w:val="Heading4"/>
    <w:locked/>
    <w:rsid w:val="0057299D"/>
    <w:rPr>
      <w:b/>
      <w:bCs/>
      <w:sz w:val="24"/>
      <w:szCs w:val="28"/>
    </w:rPr>
  </w:style>
  <w:style w:type="character" w:customStyle="1" w:styleId="Heading5Char">
    <w:name w:val="Heading 5 Char"/>
    <w:link w:val="Heading5"/>
    <w:locked/>
    <w:rsid w:val="00F407D3"/>
    <w:rPr>
      <w:b/>
      <w:sz w:val="24"/>
    </w:rPr>
  </w:style>
  <w:style w:type="character" w:customStyle="1" w:styleId="Heading6Char">
    <w:name w:val="Heading 6 Char"/>
    <w:link w:val="Heading6"/>
    <w:locked/>
    <w:rsid w:val="00424C72"/>
    <w:rPr>
      <w:sz w:val="22"/>
      <w:szCs w:val="22"/>
    </w:rPr>
  </w:style>
  <w:style w:type="character" w:customStyle="1" w:styleId="Heading7Char">
    <w:name w:val="Heading 7 Char"/>
    <w:link w:val="Heading7"/>
    <w:locked/>
    <w:rsid w:val="00F961B7"/>
    <w:rPr>
      <w:rFonts w:ascii="Calibri" w:hAnsi="Calibri" w:cs="Times New Roman"/>
      <w:sz w:val="24"/>
      <w:szCs w:val="24"/>
    </w:rPr>
  </w:style>
  <w:style w:type="character" w:customStyle="1" w:styleId="Heading8Char">
    <w:name w:val="Heading 8 Char"/>
    <w:link w:val="Heading8"/>
    <w:locked/>
    <w:rsid w:val="00F961B7"/>
    <w:rPr>
      <w:rFonts w:ascii="Calibri" w:hAnsi="Calibri" w:cs="Times New Roman"/>
      <w:i/>
      <w:iCs/>
      <w:sz w:val="24"/>
      <w:szCs w:val="24"/>
    </w:rPr>
  </w:style>
  <w:style w:type="character" w:customStyle="1" w:styleId="Heading9Char">
    <w:name w:val="Heading 9 Char"/>
    <w:link w:val="Heading9"/>
    <w:locked/>
    <w:rsid w:val="00F961B7"/>
    <w:rPr>
      <w:rFonts w:ascii="Cambria" w:hAnsi="Cambria" w:cs="Times New Roman"/>
    </w:rPr>
  </w:style>
  <w:style w:type="paragraph" w:styleId="BalloonText">
    <w:name w:val="Balloon Text"/>
    <w:basedOn w:val="Normal"/>
    <w:link w:val="BalloonTextChar"/>
    <w:semiHidden/>
    <w:rsid w:val="00C63DEA"/>
    <w:rPr>
      <w:rFonts w:ascii="Tahoma" w:hAnsi="Tahoma" w:cs="Tahoma"/>
      <w:sz w:val="16"/>
      <w:szCs w:val="16"/>
    </w:rPr>
  </w:style>
  <w:style w:type="character" w:customStyle="1" w:styleId="BalloonTextChar">
    <w:name w:val="Balloon Text Char"/>
    <w:link w:val="BalloonText"/>
    <w:semiHidden/>
    <w:locked/>
    <w:rsid w:val="00F961B7"/>
    <w:rPr>
      <w:rFonts w:cs="Times New Roman"/>
      <w:sz w:val="2"/>
    </w:rPr>
  </w:style>
  <w:style w:type="character" w:styleId="Hyperlink">
    <w:name w:val="Hyperlink"/>
    <w:uiPriority w:val="99"/>
    <w:rsid w:val="00C63DEA"/>
    <w:rPr>
      <w:rFonts w:cs="Times New Roman"/>
      <w:color w:val="0000FF"/>
      <w:u w:val="single"/>
    </w:rPr>
  </w:style>
  <w:style w:type="paragraph" w:styleId="CommentText">
    <w:name w:val="annotation text"/>
    <w:basedOn w:val="Normal"/>
    <w:link w:val="CommentTextChar"/>
    <w:uiPriority w:val="99"/>
    <w:rsid w:val="00C63DEA"/>
    <w:rPr>
      <w:sz w:val="20"/>
    </w:rPr>
  </w:style>
  <w:style w:type="character" w:customStyle="1" w:styleId="CommentTextChar">
    <w:name w:val="Comment Text Char"/>
    <w:link w:val="CommentText"/>
    <w:uiPriority w:val="99"/>
    <w:locked/>
    <w:rsid w:val="00F961B7"/>
    <w:rPr>
      <w:rFonts w:cs="Times New Roman"/>
      <w:sz w:val="20"/>
      <w:szCs w:val="20"/>
    </w:rPr>
  </w:style>
  <w:style w:type="paragraph" w:styleId="FootnoteText">
    <w:name w:val="footnote text"/>
    <w:aliases w:val="Footnote Text Char,Footnote Text Char1,Footnote Text Char1 Char Char Char,Footnote Text Char1 Char1,Footnote Text Char1 Char1 Char Char Char Char,Footnote Text Char2,Footnote Text Char2 Char Char,Footnote Text Char2 Char Char Char Char,fn"/>
    <w:basedOn w:val="Normal"/>
    <w:link w:val="FootnoteTextChar3"/>
    <w:uiPriority w:val="99"/>
    <w:rsid w:val="00C63DEA"/>
    <w:rPr>
      <w:sz w:val="20"/>
    </w:rPr>
  </w:style>
  <w:style w:type="character" w:customStyle="1" w:styleId="FootnoteTextChar3">
    <w:name w:val="Footnote Text Char3"/>
    <w:aliases w:val="Footnote Text Char1 Char Char Char Char,Footnote Text Char1 Char1 Char,Footnote Text Char1 Char1 Char Char Char Char Char,Footnote Text Char2 Char,Footnote Text Char2 Char Char Char,Footnote Text Char2 Char Char Char Char Char"/>
    <w:link w:val="FootnoteText"/>
    <w:locked/>
    <w:rsid w:val="00F961B7"/>
    <w:rPr>
      <w:rFonts w:cs="Times New Roman"/>
      <w:sz w:val="20"/>
      <w:szCs w:val="20"/>
    </w:rPr>
  </w:style>
  <w:style w:type="character" w:styleId="FootnoteReference">
    <w:name w:val="footnote reference"/>
    <w:aliases w:val="(NECG) Footnote Reference,Appel note de bas de p,FR,Footnote Reference/,Footnote Reference1,Style 12,Style 124,Style 13,Style 17,Style 3,Style 34,Style 4,Style 6,Style 7,Style 9,fr,o"/>
    <w:uiPriority w:val="99"/>
    <w:rsid w:val="00C63DEA"/>
    <w:rPr>
      <w:rFonts w:cs="Times New Roman"/>
      <w:vertAlign w:val="superscript"/>
    </w:rPr>
  </w:style>
  <w:style w:type="paragraph" w:styleId="Header">
    <w:name w:val="header"/>
    <w:aliases w:val="B&amp;D Header,B&amp;D Header Char,B&amp;D Header Char Char Char,B&amp;D Header Char1 Char,Header Char Char,Header Char Char Char Char,Header Char Char1 Char,Header Char1,Header Char1 Char Char,Header Char2 Char,Header-Even,h,h Char,h Char Char Char,h Char1 Char"/>
    <w:basedOn w:val="Normal"/>
    <w:link w:val="HeaderChar"/>
    <w:uiPriority w:val="99"/>
    <w:rsid w:val="00C63DEA"/>
    <w:pPr>
      <w:tabs>
        <w:tab w:val="center" w:pos="4320"/>
        <w:tab w:val="right" w:pos="8640"/>
      </w:tabs>
    </w:pPr>
  </w:style>
  <w:style w:type="character" w:customStyle="1" w:styleId="HeaderChar">
    <w:name w:val="Header Char"/>
    <w:aliases w:val="B&amp;D Header Char Char Char Char,B&amp;D Header Char1 Char Char,Header Char Char Char Char Char,Header Char Char1 Char Char,Header Char1 Char Char Char,Header Char2 Char Char,Header-Even Char,h Char Char,h Char Char Char Char,h Char1 Char Char"/>
    <w:link w:val="Header"/>
    <w:uiPriority w:val="99"/>
    <w:locked/>
    <w:rsid w:val="00F961B7"/>
    <w:rPr>
      <w:rFonts w:cs="Times New Roman"/>
      <w:sz w:val="20"/>
      <w:szCs w:val="20"/>
    </w:rPr>
  </w:style>
  <w:style w:type="paragraph" w:styleId="Footer">
    <w:name w:val="footer"/>
    <w:basedOn w:val="Normal"/>
    <w:link w:val="FooterChar"/>
    <w:uiPriority w:val="99"/>
    <w:rsid w:val="00C63DEA"/>
    <w:pPr>
      <w:tabs>
        <w:tab w:val="center" w:pos="4320"/>
        <w:tab w:val="right" w:pos="8640"/>
      </w:tabs>
    </w:pPr>
  </w:style>
  <w:style w:type="character" w:customStyle="1" w:styleId="FooterChar">
    <w:name w:val="Footer Char"/>
    <w:link w:val="Footer"/>
    <w:uiPriority w:val="99"/>
    <w:locked/>
    <w:rsid w:val="00F961B7"/>
    <w:rPr>
      <w:rFonts w:cs="Times New Roman"/>
      <w:sz w:val="20"/>
      <w:szCs w:val="20"/>
    </w:rPr>
  </w:style>
  <w:style w:type="paragraph" w:styleId="Title">
    <w:name w:val="Title"/>
    <w:basedOn w:val="Normal"/>
    <w:link w:val="TitleChar"/>
    <w:qFormat/>
    <w:rsid w:val="00C63DEA"/>
    <w:pPr>
      <w:jc w:val="center"/>
    </w:pPr>
    <w:rPr>
      <w:b/>
      <w:sz w:val="32"/>
    </w:rPr>
  </w:style>
  <w:style w:type="character" w:customStyle="1" w:styleId="TitleChar">
    <w:name w:val="Title Char"/>
    <w:link w:val="Title"/>
    <w:locked/>
    <w:rsid w:val="00F961B7"/>
    <w:rPr>
      <w:rFonts w:ascii="Cambria" w:hAnsi="Cambria" w:cs="Times New Roman"/>
      <w:b/>
      <w:bCs/>
      <w:kern w:val="28"/>
      <w:sz w:val="32"/>
      <w:szCs w:val="32"/>
    </w:rPr>
  </w:style>
  <w:style w:type="paragraph" w:styleId="BodyText">
    <w:name w:val="Body Text"/>
    <w:basedOn w:val="Normal"/>
    <w:link w:val="BodyTextChar"/>
    <w:qFormat/>
    <w:rsid w:val="00C63DEA"/>
    <w:pPr>
      <w:widowControl w:val="0"/>
      <w:overflowPunct w:val="0"/>
      <w:autoSpaceDE w:val="0"/>
      <w:autoSpaceDN w:val="0"/>
      <w:adjustRightInd w:val="0"/>
      <w:textAlignment w:val="baseline"/>
    </w:pPr>
    <w:rPr>
      <w:smallCaps/>
      <w:sz w:val="28"/>
    </w:rPr>
  </w:style>
  <w:style w:type="character" w:customStyle="1" w:styleId="BodyTextChar">
    <w:name w:val="Body Text Char"/>
    <w:link w:val="BodyText"/>
    <w:locked/>
    <w:rsid w:val="00F961B7"/>
    <w:rPr>
      <w:rFonts w:cs="Times New Roman"/>
      <w:sz w:val="20"/>
      <w:szCs w:val="20"/>
    </w:rPr>
  </w:style>
  <w:style w:type="paragraph" w:styleId="BodyTextIndent">
    <w:name w:val="Body Text Indent"/>
    <w:basedOn w:val="Normal"/>
    <w:link w:val="BodyTextIndentChar"/>
    <w:rsid w:val="00C63DEA"/>
    <w:pPr>
      <w:widowControl w:val="0"/>
      <w:overflowPunct w:val="0"/>
      <w:autoSpaceDE w:val="0"/>
      <w:autoSpaceDN w:val="0"/>
      <w:adjustRightInd w:val="0"/>
      <w:ind w:left="1800"/>
      <w:jc w:val="both"/>
      <w:textAlignment w:val="baseline"/>
    </w:pPr>
    <w:rPr>
      <w:sz w:val="22"/>
    </w:rPr>
  </w:style>
  <w:style w:type="character" w:customStyle="1" w:styleId="BodyTextIndentChar">
    <w:name w:val="Body Text Indent Char"/>
    <w:link w:val="BodyTextIndent"/>
    <w:locked/>
    <w:rsid w:val="00F961B7"/>
    <w:rPr>
      <w:rFonts w:cs="Times New Roman"/>
      <w:sz w:val="20"/>
      <w:szCs w:val="20"/>
    </w:rPr>
  </w:style>
  <w:style w:type="paragraph" w:styleId="CommentSubject">
    <w:name w:val="annotation subject"/>
    <w:basedOn w:val="CommentText"/>
    <w:next w:val="CommentText"/>
    <w:link w:val="CommentSubjectChar"/>
    <w:semiHidden/>
    <w:rsid w:val="00C63DEA"/>
    <w:rPr>
      <w:b/>
      <w:bCs/>
    </w:rPr>
  </w:style>
  <w:style w:type="character" w:customStyle="1" w:styleId="CommentSubjectChar">
    <w:name w:val="Comment Subject Char"/>
    <w:link w:val="CommentSubject"/>
    <w:semiHidden/>
    <w:locked/>
    <w:rsid w:val="00F961B7"/>
    <w:rPr>
      <w:rFonts w:cs="Times New Roman"/>
      <w:b/>
      <w:bCs/>
      <w:sz w:val="20"/>
      <w:szCs w:val="20"/>
    </w:rPr>
  </w:style>
  <w:style w:type="paragraph" w:styleId="PlainText">
    <w:name w:val="Plain Text"/>
    <w:basedOn w:val="Normal"/>
    <w:link w:val="PlainTextChar"/>
    <w:rsid w:val="00C63DEA"/>
    <w:rPr>
      <w:rFonts w:ascii="Courier New" w:hAnsi="Courier New" w:cs="Courier New"/>
      <w:sz w:val="20"/>
    </w:rPr>
  </w:style>
  <w:style w:type="character" w:customStyle="1" w:styleId="PlainTextChar">
    <w:name w:val="Plain Text Char"/>
    <w:link w:val="PlainText"/>
    <w:locked/>
    <w:rsid w:val="00F961B7"/>
    <w:rPr>
      <w:rFonts w:ascii="Courier New" w:hAnsi="Courier New" w:cs="Courier New"/>
      <w:sz w:val="20"/>
      <w:szCs w:val="20"/>
    </w:rPr>
  </w:style>
  <w:style w:type="paragraph" w:customStyle="1" w:styleId="ParaNumChar">
    <w:name w:val="ParaNum Char"/>
    <w:basedOn w:val="Normal"/>
    <w:rsid w:val="00C63DEA"/>
    <w:pPr>
      <w:numPr>
        <w:numId w:val="2"/>
      </w:numPr>
      <w:spacing w:after="240"/>
    </w:pPr>
    <w:rPr>
      <w:kern w:val="28"/>
    </w:rPr>
  </w:style>
  <w:style w:type="paragraph" w:customStyle="1" w:styleId="StyleParaNumChar11ptCharChar">
    <w:name w:val="Style ParaNum Char + 11 pt Char Char"/>
    <w:basedOn w:val="ParaNumChar"/>
    <w:rsid w:val="00C63DEA"/>
    <w:pPr>
      <w:tabs>
        <w:tab w:val="left" w:pos="720"/>
        <w:tab w:val="clear" w:pos="990"/>
      </w:tabs>
      <w:ind w:left="0" w:firstLine="360"/>
    </w:pPr>
    <w:rPr>
      <w:sz w:val="22"/>
    </w:rPr>
  </w:style>
  <w:style w:type="paragraph" w:customStyle="1" w:styleId="factsbody">
    <w:name w:val="factsbody"/>
    <w:basedOn w:val="Normal"/>
    <w:rsid w:val="00C63DEA"/>
    <w:pPr>
      <w:spacing w:before="100" w:beforeAutospacing="1" w:after="100" w:afterAutospacing="1"/>
    </w:pPr>
    <w:rPr>
      <w:rFonts w:ascii="Arial" w:hAnsi="Arial" w:cs="Arial"/>
      <w:color w:val="000000"/>
      <w:sz w:val="22"/>
      <w:szCs w:val="22"/>
    </w:rPr>
  </w:style>
  <w:style w:type="character" w:styleId="Strong">
    <w:name w:val="Strong"/>
    <w:qFormat/>
    <w:rsid w:val="00C63DEA"/>
    <w:rPr>
      <w:rFonts w:cs="Times New Roman"/>
      <w:b/>
      <w:bCs/>
    </w:rPr>
  </w:style>
  <w:style w:type="paragraph" w:customStyle="1" w:styleId="StyleParaNumChar11ptChar">
    <w:name w:val="Style ParaNum Char + 11 pt Char"/>
    <w:basedOn w:val="ParaNumChar"/>
    <w:rsid w:val="00C63DEA"/>
    <w:pPr>
      <w:tabs>
        <w:tab w:val="left" w:pos="720"/>
        <w:tab w:val="clear" w:pos="990"/>
      </w:tabs>
      <w:ind w:left="0" w:firstLine="360"/>
    </w:pPr>
    <w:rPr>
      <w:sz w:val="22"/>
    </w:rPr>
  </w:style>
  <w:style w:type="paragraph" w:styleId="BodyText2">
    <w:name w:val="Body Text 2"/>
    <w:basedOn w:val="Normal"/>
    <w:link w:val="BodyText2Char"/>
    <w:rsid w:val="00C63DEA"/>
    <w:pPr>
      <w:autoSpaceDE w:val="0"/>
      <w:autoSpaceDN w:val="0"/>
      <w:adjustRightInd w:val="0"/>
    </w:pPr>
    <w:rPr>
      <w:sz w:val="22"/>
      <w:szCs w:val="22"/>
    </w:rPr>
  </w:style>
  <w:style w:type="character" w:customStyle="1" w:styleId="BodyText2Char">
    <w:name w:val="Body Text 2 Char"/>
    <w:link w:val="BodyText2"/>
    <w:locked/>
    <w:rsid w:val="00F961B7"/>
    <w:rPr>
      <w:rFonts w:cs="Times New Roman"/>
      <w:sz w:val="20"/>
      <w:szCs w:val="20"/>
    </w:rPr>
  </w:style>
  <w:style w:type="paragraph" w:styleId="BodyText3">
    <w:name w:val="Body Text 3"/>
    <w:basedOn w:val="Normal"/>
    <w:link w:val="BodyText3Char"/>
    <w:rsid w:val="00C63DEA"/>
    <w:pPr>
      <w:autoSpaceDE w:val="0"/>
      <w:autoSpaceDN w:val="0"/>
      <w:adjustRightInd w:val="0"/>
      <w:jc w:val="both"/>
    </w:pPr>
    <w:rPr>
      <w:bCs/>
      <w:iCs/>
      <w:color w:val="000000"/>
      <w:sz w:val="22"/>
      <w:szCs w:val="22"/>
    </w:rPr>
  </w:style>
  <w:style w:type="character" w:customStyle="1" w:styleId="BodyText3Char">
    <w:name w:val="Body Text 3 Char"/>
    <w:link w:val="BodyText3"/>
    <w:locked/>
    <w:rsid w:val="00F961B7"/>
    <w:rPr>
      <w:rFonts w:cs="Times New Roman"/>
      <w:sz w:val="16"/>
      <w:szCs w:val="16"/>
    </w:rPr>
  </w:style>
  <w:style w:type="paragraph" w:styleId="BodyTextIndent2">
    <w:name w:val="Body Text Indent 2"/>
    <w:basedOn w:val="Normal"/>
    <w:link w:val="BodyTextIndent2Char"/>
    <w:rsid w:val="00C63DEA"/>
    <w:pPr>
      <w:spacing w:after="120" w:line="480" w:lineRule="auto"/>
      <w:ind w:left="360"/>
    </w:pPr>
  </w:style>
  <w:style w:type="character" w:customStyle="1" w:styleId="BodyTextIndent2Char">
    <w:name w:val="Body Text Indent 2 Char"/>
    <w:link w:val="BodyTextIndent2"/>
    <w:locked/>
    <w:rsid w:val="00F961B7"/>
    <w:rPr>
      <w:rFonts w:cs="Times New Roman"/>
      <w:sz w:val="20"/>
      <w:szCs w:val="20"/>
    </w:rPr>
  </w:style>
  <w:style w:type="paragraph" w:styleId="TOC1">
    <w:name w:val="toc 1"/>
    <w:basedOn w:val="Normal"/>
    <w:next w:val="Normal"/>
    <w:autoRedefine/>
    <w:uiPriority w:val="39"/>
    <w:qFormat/>
    <w:rsid w:val="00830843"/>
    <w:pPr>
      <w:tabs>
        <w:tab w:val="left" w:pos="480"/>
        <w:tab w:val="right" w:leader="dot" w:pos="9350"/>
      </w:tabs>
      <w:spacing w:before="360" w:after="120"/>
    </w:pPr>
    <w:rPr>
      <w:rFonts w:cs="Calibri"/>
      <w:b/>
      <w:iCs/>
      <w:noProof/>
      <w:sz w:val="28"/>
      <w:szCs w:val="28"/>
    </w:rPr>
  </w:style>
  <w:style w:type="paragraph" w:customStyle="1" w:styleId="EYTagline">
    <w:name w:val="EY Tagline"/>
    <w:basedOn w:val="Normal"/>
    <w:next w:val="Normal"/>
    <w:rsid w:val="00C63DEA"/>
    <w:pPr>
      <w:widowControl w:val="0"/>
      <w:overflowPunct w:val="0"/>
      <w:autoSpaceDE w:val="0"/>
      <w:autoSpaceDN w:val="0"/>
      <w:adjustRightInd w:val="0"/>
      <w:jc w:val="both"/>
      <w:textAlignment w:val="baseline"/>
    </w:pPr>
    <w:rPr>
      <w:rFonts w:ascii="EY Tagline" w:hAnsi="EY Tagline"/>
      <w:sz w:val="92"/>
    </w:rPr>
  </w:style>
  <w:style w:type="paragraph" w:customStyle="1" w:styleId="FlagServiceLine">
    <w:name w:val="Flag Service Line"/>
    <w:basedOn w:val="Normal"/>
    <w:rsid w:val="00C63DEA"/>
    <w:pPr>
      <w:widowControl w:val="0"/>
      <w:overflowPunct w:val="0"/>
      <w:autoSpaceDE w:val="0"/>
      <w:autoSpaceDN w:val="0"/>
      <w:adjustRightInd w:val="0"/>
      <w:textAlignment w:val="baseline"/>
    </w:pPr>
    <w:rPr>
      <w:rFonts w:cs="Arial"/>
      <w:smallCaps/>
      <w:sz w:val="26"/>
    </w:rPr>
  </w:style>
  <w:style w:type="paragraph" w:customStyle="1" w:styleId="FlagSub-ServiceLine">
    <w:name w:val="Flag Sub-Service Line"/>
    <w:basedOn w:val="Normal"/>
    <w:rsid w:val="00C63DEA"/>
    <w:pPr>
      <w:keepNext/>
      <w:widowControl w:val="0"/>
      <w:overflowPunct w:val="0"/>
      <w:autoSpaceDE w:val="0"/>
      <w:autoSpaceDN w:val="0"/>
      <w:adjustRightInd w:val="0"/>
      <w:textAlignment w:val="baseline"/>
      <w:outlineLvl w:val="0"/>
    </w:pPr>
    <w:rPr>
      <w:rFonts w:cs="Arial"/>
      <w:smallCaps/>
      <w:sz w:val="26"/>
    </w:rPr>
  </w:style>
  <w:style w:type="paragraph" w:customStyle="1" w:styleId="ImageArea">
    <w:name w:val="Image Area"/>
    <w:basedOn w:val="Heading4"/>
    <w:rsid w:val="00C63DEA"/>
    <w:pPr>
      <w:ind w:left="360"/>
    </w:pPr>
    <w:rPr>
      <w:color w:val="FF9900"/>
    </w:rPr>
  </w:style>
  <w:style w:type="paragraph" w:customStyle="1" w:styleId="Leader">
    <w:name w:val="Leader"/>
    <w:basedOn w:val="Heading2"/>
    <w:rsid w:val="00C63DEA"/>
    <w:pPr>
      <w:widowControl w:val="0"/>
      <w:overflowPunct w:val="0"/>
      <w:spacing w:before="160"/>
      <w:ind w:left="245"/>
      <w:textAlignment w:val="baseline"/>
    </w:pPr>
    <w:rPr>
      <w:b w:val="0"/>
      <w:bCs w:val="0"/>
      <w:color w:val="FFFFFF"/>
      <w:sz w:val="26"/>
    </w:rPr>
  </w:style>
  <w:style w:type="paragraph" w:customStyle="1" w:styleId="BrandingBar">
    <w:name w:val="Branding Bar"/>
    <w:basedOn w:val="Normal"/>
    <w:rsid w:val="00C63DEA"/>
    <w:pPr>
      <w:widowControl w:val="0"/>
      <w:overflowPunct w:val="0"/>
      <w:autoSpaceDE w:val="0"/>
      <w:autoSpaceDN w:val="0"/>
      <w:adjustRightInd w:val="0"/>
      <w:jc w:val="both"/>
      <w:textAlignment w:val="baseline"/>
    </w:pPr>
  </w:style>
  <w:style w:type="paragraph" w:customStyle="1" w:styleId="Copyright">
    <w:name w:val="Copyright"/>
    <w:basedOn w:val="Normal"/>
    <w:rsid w:val="00C63DEA"/>
    <w:pPr>
      <w:widowControl w:val="0"/>
      <w:overflowPunct w:val="0"/>
      <w:autoSpaceDE w:val="0"/>
      <w:autoSpaceDN w:val="0"/>
      <w:adjustRightInd w:val="0"/>
      <w:textAlignment w:val="baseline"/>
    </w:pPr>
    <w:rPr>
      <w:i/>
      <w:iCs/>
      <w:color w:val="FFFFFF"/>
      <w:sz w:val="26"/>
    </w:rPr>
  </w:style>
  <w:style w:type="paragraph" w:customStyle="1" w:styleId="EYCoverSubtitle">
    <w:name w:val="EY Cover Subtitle"/>
    <w:basedOn w:val="Heading2"/>
    <w:rsid w:val="00C63DEA"/>
    <w:pPr>
      <w:widowControl w:val="0"/>
      <w:overflowPunct w:val="0"/>
      <w:ind w:left="187"/>
      <w:textAlignment w:val="baseline"/>
    </w:pPr>
    <w:rPr>
      <w:rFonts w:ascii="EY Gothic Cond Medium" w:hAnsi="EY Gothic Cond Medium"/>
      <w:b w:val="0"/>
      <w:bCs w:val="0"/>
      <w:sz w:val="64"/>
    </w:rPr>
  </w:style>
  <w:style w:type="paragraph" w:customStyle="1" w:styleId="EYCoverTitle">
    <w:name w:val="EY Cover Title"/>
    <w:basedOn w:val="Normal"/>
    <w:rsid w:val="00C63DEA"/>
    <w:pPr>
      <w:widowControl w:val="0"/>
      <w:overflowPunct w:val="0"/>
      <w:autoSpaceDE w:val="0"/>
      <w:autoSpaceDN w:val="0"/>
      <w:adjustRightInd w:val="0"/>
      <w:spacing w:line="1240" w:lineRule="atLeast"/>
      <w:ind w:left="144"/>
      <w:textAlignment w:val="baseline"/>
    </w:pPr>
    <w:rPr>
      <w:rFonts w:ascii="EY Gothic Cond Demi" w:hAnsi="EY Gothic Cond Demi" w:cs="Arial"/>
      <w:color w:val="000000"/>
      <w:sz w:val="124"/>
    </w:rPr>
  </w:style>
  <w:style w:type="paragraph" w:customStyle="1" w:styleId="EY">
    <w:name w:val="EY"/>
    <w:basedOn w:val="Heading5"/>
    <w:rsid w:val="00C63DEA"/>
    <w:pPr>
      <w:keepNext/>
      <w:widowControl w:val="0"/>
      <w:overflowPunct w:val="0"/>
      <w:autoSpaceDE w:val="0"/>
      <w:autoSpaceDN w:val="0"/>
      <w:adjustRightInd w:val="0"/>
      <w:spacing w:after="0"/>
      <w:jc w:val="both"/>
      <w:textAlignment w:val="baseline"/>
    </w:pPr>
    <w:rPr>
      <w:b w:val="0"/>
      <w:bCs/>
      <w:smallCaps/>
      <w:color w:val="FFFFFF"/>
    </w:rPr>
  </w:style>
  <w:style w:type="paragraph" w:customStyle="1" w:styleId="www">
    <w:name w:val="www"/>
    <w:basedOn w:val="TOC1"/>
    <w:rsid w:val="00C63DEA"/>
    <w:pPr>
      <w:jc w:val="both"/>
    </w:pPr>
    <w:rPr>
      <w:smallCaps/>
      <w:noProof w:val="0"/>
    </w:rPr>
  </w:style>
  <w:style w:type="paragraph" w:customStyle="1" w:styleId="EYCover">
    <w:name w:val="EY Cover"/>
    <w:basedOn w:val="Normal"/>
    <w:rsid w:val="00C63DEA"/>
    <w:pPr>
      <w:overflowPunct w:val="0"/>
      <w:autoSpaceDE w:val="0"/>
      <w:autoSpaceDN w:val="0"/>
      <w:adjustRightInd w:val="0"/>
      <w:spacing w:after="180" w:line="260" w:lineRule="atLeast"/>
      <w:textAlignment w:val="baseline"/>
    </w:pPr>
    <w:rPr>
      <w:sz w:val="22"/>
    </w:rPr>
  </w:style>
  <w:style w:type="paragraph" w:customStyle="1" w:styleId="EYFlagSub-ServiceLine">
    <w:name w:val="EY Flag Sub-Service Line"/>
    <w:basedOn w:val="FlagSub-ServiceLine"/>
    <w:rsid w:val="00C63DEA"/>
    <w:pPr>
      <w:spacing w:after="240"/>
    </w:pPr>
    <w:rPr>
      <w:rFonts w:cs="Times New Roman"/>
    </w:rPr>
  </w:style>
  <w:style w:type="paragraph" w:customStyle="1" w:styleId="EYInstructions">
    <w:name w:val="EY Instructions"/>
    <w:basedOn w:val="Normal"/>
    <w:rsid w:val="00C63DEA"/>
    <w:pPr>
      <w:overflowPunct w:val="0"/>
      <w:autoSpaceDE w:val="0"/>
      <w:autoSpaceDN w:val="0"/>
      <w:adjustRightInd w:val="0"/>
      <w:textAlignment w:val="baseline"/>
    </w:pPr>
    <w:rPr>
      <w:bCs/>
      <w:vanish/>
      <w:color w:val="FF0000"/>
      <w:sz w:val="22"/>
    </w:rPr>
  </w:style>
  <w:style w:type="paragraph" w:customStyle="1" w:styleId="EYLETTERBODY">
    <w:name w:val="EY LETTER BODY"/>
    <w:basedOn w:val="Normal"/>
    <w:rsid w:val="00C63DEA"/>
    <w:pPr>
      <w:overflowPunct w:val="0"/>
      <w:autoSpaceDE w:val="0"/>
      <w:autoSpaceDN w:val="0"/>
      <w:adjustRightInd w:val="0"/>
      <w:spacing w:after="240"/>
      <w:textAlignment w:val="baseline"/>
    </w:pPr>
    <w:rPr>
      <w:rFonts w:eastAsia="MS Mincho"/>
      <w:sz w:val="22"/>
    </w:rPr>
  </w:style>
  <w:style w:type="paragraph" w:customStyle="1" w:styleId="EYSIGNATURE">
    <w:name w:val="EY SIGNATURE"/>
    <w:basedOn w:val="Normal"/>
    <w:rsid w:val="00C63DEA"/>
    <w:pPr>
      <w:tabs>
        <w:tab w:val="left" w:pos="4680"/>
      </w:tabs>
      <w:overflowPunct w:val="0"/>
      <w:autoSpaceDE w:val="0"/>
      <w:autoSpaceDN w:val="0"/>
      <w:adjustRightInd w:val="0"/>
      <w:textAlignment w:val="baseline"/>
    </w:pPr>
    <w:rPr>
      <w:sz w:val="22"/>
    </w:rPr>
  </w:style>
  <w:style w:type="paragraph" w:styleId="Salutation">
    <w:name w:val="Salutation"/>
    <w:basedOn w:val="Normal"/>
    <w:next w:val="Normal"/>
    <w:link w:val="SalutationChar"/>
    <w:rsid w:val="00C63DEA"/>
    <w:pPr>
      <w:tabs>
        <w:tab w:val="left" w:pos="4680"/>
      </w:tabs>
      <w:overflowPunct w:val="0"/>
      <w:autoSpaceDE w:val="0"/>
      <w:autoSpaceDN w:val="0"/>
      <w:adjustRightInd w:val="0"/>
      <w:spacing w:after="180"/>
      <w:textAlignment w:val="baseline"/>
    </w:pPr>
    <w:rPr>
      <w:sz w:val="22"/>
    </w:rPr>
  </w:style>
  <w:style w:type="character" w:customStyle="1" w:styleId="SalutationChar">
    <w:name w:val="Salutation Char"/>
    <w:link w:val="Salutation"/>
    <w:locked/>
    <w:rsid w:val="00F961B7"/>
    <w:rPr>
      <w:rFonts w:cs="Times New Roman"/>
      <w:sz w:val="20"/>
      <w:szCs w:val="20"/>
    </w:rPr>
  </w:style>
  <w:style w:type="paragraph" w:styleId="TOC2">
    <w:name w:val="toc 2"/>
    <w:basedOn w:val="Normal"/>
    <w:next w:val="Normal"/>
    <w:autoRedefine/>
    <w:uiPriority w:val="39"/>
    <w:qFormat/>
    <w:rsid w:val="004E487D"/>
    <w:pPr>
      <w:tabs>
        <w:tab w:val="left" w:pos="450"/>
        <w:tab w:val="left" w:pos="720"/>
        <w:tab w:val="right" w:leader="dot" w:pos="9350"/>
      </w:tabs>
      <w:spacing w:before="120" w:after="120"/>
    </w:pPr>
    <w:rPr>
      <w:rFonts w:cs="Calibri"/>
      <w:b/>
      <w:noProof/>
      <w:sz w:val="28"/>
      <w:szCs w:val="28"/>
    </w:rPr>
  </w:style>
  <w:style w:type="paragraph" w:customStyle="1" w:styleId="EYTOCHeading">
    <w:name w:val="EY TOC Heading"/>
    <w:basedOn w:val="Normal"/>
    <w:rsid w:val="00C63DEA"/>
    <w:pPr>
      <w:pageBreakBefore/>
      <w:spacing w:after="1120" w:line="600" w:lineRule="atLeast"/>
    </w:pPr>
    <w:rPr>
      <w:rFonts w:ascii="EY Gothic Cond Demi" w:hAnsi="EY Gothic Cond Demi" w:cs="Arial"/>
      <w:color w:val="4367C5"/>
      <w:kern w:val="32"/>
      <w:sz w:val="60"/>
      <w:szCs w:val="32"/>
    </w:rPr>
  </w:style>
  <w:style w:type="paragraph" w:customStyle="1" w:styleId="EYHeading1">
    <w:name w:val="EY Heading 1"/>
    <w:basedOn w:val="Heading1"/>
    <w:rsid w:val="00C63DEA"/>
    <w:pPr>
      <w:pageBreakBefore/>
      <w:spacing w:after="1120" w:line="600" w:lineRule="atLeast"/>
      <w:jc w:val="left"/>
    </w:pPr>
    <w:rPr>
      <w:rFonts w:ascii="EY Gothic Cond Demi" w:hAnsi="EY Gothic Cond Demi" w:cs="Arial"/>
      <w:smallCaps/>
      <w:color w:val="4367C5"/>
      <w:kern w:val="32"/>
      <w:sz w:val="60"/>
      <w:szCs w:val="32"/>
    </w:rPr>
  </w:style>
  <w:style w:type="paragraph" w:customStyle="1" w:styleId="EYHeading2">
    <w:name w:val="EY Heading 2"/>
    <w:basedOn w:val="Heading2"/>
    <w:rsid w:val="00C63DEA"/>
    <w:pPr>
      <w:spacing w:line="360" w:lineRule="atLeast"/>
    </w:pPr>
    <w:rPr>
      <w:rFonts w:ascii="EY Gothic Cond Demi" w:hAnsi="EY Gothic Cond Demi"/>
      <w:b w:val="0"/>
      <w:bCs w:val="0"/>
      <w:color w:val="4367C5"/>
      <w:sz w:val="32"/>
      <w:szCs w:val="28"/>
    </w:rPr>
  </w:style>
  <w:style w:type="paragraph" w:customStyle="1" w:styleId="EYBodyText">
    <w:name w:val="EY Body Text"/>
    <w:basedOn w:val="Normal"/>
    <w:rsid w:val="00C63DEA"/>
    <w:pPr>
      <w:overflowPunct w:val="0"/>
      <w:autoSpaceDE w:val="0"/>
      <w:autoSpaceDN w:val="0"/>
      <w:adjustRightInd w:val="0"/>
      <w:spacing w:after="120"/>
      <w:textAlignment w:val="baseline"/>
    </w:pPr>
    <w:rPr>
      <w:rFonts w:eastAsia="MS Mincho" w:cs="Arial"/>
      <w:bCs/>
      <w:sz w:val="22"/>
    </w:rPr>
  </w:style>
  <w:style w:type="paragraph" w:customStyle="1" w:styleId="EYBulletText">
    <w:name w:val="EY Bullet Text"/>
    <w:basedOn w:val="Normal"/>
    <w:rsid w:val="00C63DEA"/>
    <w:pPr>
      <w:numPr>
        <w:ilvl w:val="1"/>
        <w:numId w:val="3"/>
      </w:numPr>
      <w:tabs>
        <w:tab w:val="clear" w:pos="2160"/>
      </w:tabs>
      <w:overflowPunct w:val="0"/>
      <w:autoSpaceDE w:val="0"/>
      <w:autoSpaceDN w:val="0"/>
      <w:adjustRightInd w:val="0"/>
      <w:spacing w:after="120"/>
      <w:ind w:left="360"/>
      <w:textAlignment w:val="baseline"/>
    </w:pPr>
    <w:rPr>
      <w:rFonts w:eastAsia="MS Mincho" w:cs="Arial"/>
      <w:bCs/>
      <w:noProof/>
      <w:sz w:val="22"/>
    </w:rPr>
  </w:style>
  <w:style w:type="paragraph" w:customStyle="1" w:styleId="EYBodySubhead">
    <w:name w:val="EY Body Subhead"/>
    <w:basedOn w:val="Heading3"/>
    <w:rsid w:val="00C63DEA"/>
    <w:pPr>
      <w:widowControl w:val="0"/>
      <w:overflowPunct w:val="0"/>
      <w:autoSpaceDE w:val="0"/>
      <w:autoSpaceDN w:val="0"/>
      <w:adjustRightInd w:val="0"/>
      <w:spacing w:after="120"/>
      <w:jc w:val="both"/>
      <w:textAlignment w:val="baseline"/>
      <w:outlineLvl w:val="9"/>
    </w:pPr>
    <w:rPr>
      <w:rFonts w:eastAsia="MS Mincho"/>
      <w:i/>
      <w:iCs/>
      <w:sz w:val="22"/>
      <w:szCs w:val="20"/>
    </w:rPr>
  </w:style>
  <w:style w:type="paragraph" w:customStyle="1" w:styleId="EYResumeNameTitle">
    <w:name w:val="EY Resume Name/Title"/>
    <w:basedOn w:val="Normal"/>
    <w:rsid w:val="00C63DEA"/>
    <w:pPr>
      <w:overflowPunct w:val="0"/>
      <w:autoSpaceDE w:val="0"/>
      <w:autoSpaceDN w:val="0"/>
      <w:adjustRightInd w:val="0"/>
      <w:spacing w:after="120"/>
      <w:textAlignment w:val="baseline"/>
    </w:pPr>
    <w:rPr>
      <w:rFonts w:ascii="EY Gothic Cond Demi" w:hAnsi="EY Gothic Cond Demi" w:cs="Arial"/>
      <w:bCs/>
      <w:color w:val="4367C5"/>
      <w:sz w:val="28"/>
    </w:rPr>
  </w:style>
  <w:style w:type="paragraph" w:customStyle="1" w:styleId="TrackNo">
    <w:name w:val="Track No."/>
    <w:basedOn w:val="Normal"/>
    <w:rsid w:val="00C63DEA"/>
    <w:pPr>
      <w:tabs>
        <w:tab w:val="right" w:pos="8640"/>
      </w:tabs>
      <w:spacing w:line="240" w:lineRule="exact"/>
      <w:jc w:val="right"/>
    </w:pPr>
    <w:rPr>
      <w:sz w:val="14"/>
    </w:rPr>
  </w:style>
  <w:style w:type="paragraph" w:customStyle="1" w:styleId="EYTableHeadings">
    <w:name w:val="EY Table Headings"/>
    <w:basedOn w:val="Normal"/>
    <w:rsid w:val="00C63DEA"/>
    <w:pPr>
      <w:overflowPunct w:val="0"/>
      <w:autoSpaceDE w:val="0"/>
      <w:autoSpaceDN w:val="0"/>
      <w:adjustRightInd w:val="0"/>
      <w:spacing w:before="80" w:after="80" w:line="280" w:lineRule="atLeast"/>
      <w:ind w:right="115"/>
      <w:jc w:val="center"/>
      <w:textAlignment w:val="baseline"/>
    </w:pPr>
    <w:rPr>
      <w:rFonts w:ascii="EY Gothic Cond Demi" w:hAnsi="EY Gothic Cond Demi" w:cs="Arial"/>
      <w:bCs/>
      <w:color w:val="FFFFFF"/>
      <w:sz w:val="28"/>
    </w:rPr>
  </w:style>
  <w:style w:type="paragraph" w:customStyle="1" w:styleId="EYTableSubhead">
    <w:name w:val="EY Table Subhead"/>
    <w:basedOn w:val="Normal"/>
    <w:rsid w:val="00C63DEA"/>
    <w:pPr>
      <w:numPr>
        <w:ilvl w:val="12"/>
      </w:numPr>
      <w:overflowPunct w:val="0"/>
      <w:autoSpaceDE w:val="0"/>
      <w:autoSpaceDN w:val="0"/>
      <w:adjustRightInd w:val="0"/>
      <w:spacing w:before="80" w:after="80" w:line="260" w:lineRule="atLeast"/>
      <w:ind w:right="115"/>
      <w:textAlignment w:val="baseline"/>
    </w:pPr>
    <w:rPr>
      <w:rFonts w:ascii="EY Gothic Cond Medium" w:eastAsia="MS Mincho" w:hAnsi="EY Gothic Cond Medium" w:cs="Arial"/>
      <w:b/>
      <w:sz w:val="22"/>
    </w:rPr>
  </w:style>
  <w:style w:type="paragraph" w:customStyle="1" w:styleId="EYTableText">
    <w:name w:val="EY Table Text"/>
    <w:basedOn w:val="Normal"/>
    <w:rsid w:val="00C63DEA"/>
    <w:pPr>
      <w:overflowPunct w:val="0"/>
      <w:autoSpaceDE w:val="0"/>
      <w:autoSpaceDN w:val="0"/>
      <w:adjustRightInd w:val="0"/>
      <w:spacing w:before="80" w:after="40" w:line="220" w:lineRule="atLeast"/>
      <w:textAlignment w:val="baseline"/>
    </w:pPr>
    <w:rPr>
      <w:rFonts w:eastAsia="MS Mincho" w:cs="Arial"/>
      <w:bCs/>
      <w:sz w:val="20"/>
    </w:rPr>
  </w:style>
  <w:style w:type="paragraph" w:customStyle="1" w:styleId="EYTableBullet">
    <w:name w:val="EY Table Bullet"/>
    <w:basedOn w:val="Normal"/>
    <w:rsid w:val="00C63DEA"/>
    <w:pPr>
      <w:numPr>
        <w:numId w:val="4"/>
      </w:numPr>
      <w:overflowPunct w:val="0"/>
      <w:autoSpaceDE w:val="0"/>
      <w:autoSpaceDN w:val="0"/>
      <w:adjustRightInd w:val="0"/>
      <w:spacing w:before="80" w:after="80"/>
      <w:textAlignment w:val="baseline"/>
    </w:pPr>
    <w:rPr>
      <w:rFonts w:eastAsia="MS Mincho"/>
      <w:sz w:val="18"/>
    </w:rPr>
  </w:style>
  <w:style w:type="paragraph" w:styleId="TOC3">
    <w:name w:val="toc 3"/>
    <w:basedOn w:val="Normal"/>
    <w:next w:val="Normal"/>
    <w:autoRedefine/>
    <w:uiPriority w:val="39"/>
    <w:qFormat/>
    <w:rsid w:val="0071413A"/>
    <w:pPr>
      <w:tabs>
        <w:tab w:val="right" w:leader="dot" w:pos="9350"/>
      </w:tabs>
      <w:spacing w:after="120"/>
      <w:ind w:left="432"/>
    </w:pPr>
    <w:rPr>
      <w:rFonts w:cs="Calibri"/>
      <w:sz w:val="22"/>
    </w:rPr>
  </w:style>
  <w:style w:type="paragraph" w:customStyle="1" w:styleId="EYLetterDate">
    <w:name w:val="EY Letter Date"/>
    <w:basedOn w:val="EYLETTERBODY"/>
    <w:rsid w:val="00C63DEA"/>
    <w:pPr>
      <w:spacing w:after="720"/>
    </w:pPr>
  </w:style>
  <w:style w:type="paragraph" w:styleId="TOC4">
    <w:name w:val="toc 4"/>
    <w:basedOn w:val="Normal"/>
    <w:next w:val="Normal"/>
    <w:autoRedefine/>
    <w:uiPriority w:val="39"/>
    <w:rsid w:val="00C63DEA"/>
    <w:pPr>
      <w:ind w:left="720"/>
    </w:pPr>
    <w:rPr>
      <w:rFonts w:ascii="Calibri" w:hAnsi="Calibri" w:cs="Calibri"/>
      <w:sz w:val="20"/>
    </w:rPr>
  </w:style>
  <w:style w:type="paragraph" w:styleId="TOC5">
    <w:name w:val="toc 5"/>
    <w:basedOn w:val="Normal"/>
    <w:next w:val="Normal"/>
    <w:autoRedefine/>
    <w:uiPriority w:val="39"/>
    <w:rsid w:val="00C63DEA"/>
    <w:pPr>
      <w:ind w:left="960"/>
    </w:pPr>
    <w:rPr>
      <w:rFonts w:ascii="Calibri" w:hAnsi="Calibri" w:cs="Calibri"/>
      <w:sz w:val="20"/>
    </w:rPr>
  </w:style>
  <w:style w:type="paragraph" w:styleId="TOC6">
    <w:name w:val="toc 6"/>
    <w:basedOn w:val="Normal"/>
    <w:next w:val="Normal"/>
    <w:autoRedefine/>
    <w:uiPriority w:val="39"/>
    <w:rsid w:val="00C63DEA"/>
    <w:pPr>
      <w:ind w:left="1200"/>
    </w:pPr>
    <w:rPr>
      <w:rFonts w:ascii="Calibri" w:hAnsi="Calibri" w:cs="Calibri"/>
      <w:sz w:val="20"/>
    </w:rPr>
  </w:style>
  <w:style w:type="paragraph" w:styleId="TOC7">
    <w:name w:val="toc 7"/>
    <w:basedOn w:val="Normal"/>
    <w:next w:val="Normal"/>
    <w:autoRedefine/>
    <w:uiPriority w:val="39"/>
    <w:rsid w:val="00C63DEA"/>
    <w:pPr>
      <w:ind w:left="1440"/>
    </w:pPr>
    <w:rPr>
      <w:rFonts w:ascii="Calibri" w:hAnsi="Calibri" w:cs="Calibri"/>
      <w:sz w:val="20"/>
    </w:rPr>
  </w:style>
  <w:style w:type="paragraph" w:styleId="TOC8">
    <w:name w:val="toc 8"/>
    <w:basedOn w:val="Normal"/>
    <w:next w:val="Normal"/>
    <w:autoRedefine/>
    <w:uiPriority w:val="39"/>
    <w:rsid w:val="00C63DEA"/>
    <w:pPr>
      <w:ind w:left="1680"/>
    </w:pPr>
    <w:rPr>
      <w:rFonts w:ascii="Calibri" w:hAnsi="Calibri" w:cs="Calibri"/>
      <w:sz w:val="20"/>
    </w:rPr>
  </w:style>
  <w:style w:type="paragraph" w:styleId="TOC9">
    <w:name w:val="toc 9"/>
    <w:basedOn w:val="Normal"/>
    <w:next w:val="Normal"/>
    <w:autoRedefine/>
    <w:uiPriority w:val="39"/>
    <w:rsid w:val="00C63DEA"/>
    <w:pPr>
      <w:ind w:left="1920"/>
    </w:pPr>
    <w:rPr>
      <w:rFonts w:ascii="Calibri" w:hAnsi="Calibri" w:cs="Calibri"/>
      <w:sz w:val="20"/>
    </w:rPr>
  </w:style>
  <w:style w:type="paragraph" w:customStyle="1" w:styleId="LETTERBODY">
    <w:name w:val="LETTER BODY"/>
    <w:basedOn w:val="Normal"/>
    <w:rsid w:val="00C63DEA"/>
    <w:pPr>
      <w:overflowPunct w:val="0"/>
      <w:autoSpaceDE w:val="0"/>
      <w:autoSpaceDN w:val="0"/>
      <w:adjustRightInd w:val="0"/>
      <w:spacing w:after="180"/>
      <w:jc w:val="both"/>
      <w:textAlignment w:val="baseline"/>
    </w:pPr>
    <w:rPr>
      <w:rFonts w:ascii="Times" w:hAnsi="Times"/>
      <w:sz w:val="22"/>
    </w:rPr>
  </w:style>
  <w:style w:type="paragraph" w:customStyle="1" w:styleId="EYBulletIndent">
    <w:name w:val="EY Bullet Indent"/>
    <w:basedOn w:val="EYBulletText"/>
    <w:rsid w:val="00C63DEA"/>
    <w:pPr>
      <w:numPr>
        <w:ilvl w:val="0"/>
        <w:numId w:val="0"/>
      </w:numPr>
      <w:ind w:left="344"/>
    </w:pPr>
  </w:style>
  <w:style w:type="paragraph" w:customStyle="1" w:styleId="EYBulletText2">
    <w:name w:val="EY Bullet Text 2"/>
    <w:basedOn w:val="EYBulletText"/>
    <w:rsid w:val="00C63DEA"/>
    <w:pPr>
      <w:numPr>
        <w:numId w:val="5"/>
      </w:numPr>
      <w:tabs>
        <w:tab w:val="num" w:pos="1440"/>
        <w:tab w:val="clear" w:pos="2160"/>
      </w:tabs>
      <w:ind w:left="731"/>
    </w:pPr>
  </w:style>
  <w:style w:type="paragraph" w:customStyle="1" w:styleId="EYBulletTextIndent2">
    <w:name w:val="EY Bullet Text Indent 2"/>
    <w:basedOn w:val="Normal"/>
    <w:rsid w:val="00C63DEA"/>
    <w:pPr>
      <w:widowControl w:val="0"/>
      <w:overflowPunct w:val="0"/>
      <w:autoSpaceDE w:val="0"/>
      <w:autoSpaceDN w:val="0"/>
      <w:adjustRightInd w:val="0"/>
      <w:spacing w:after="120"/>
      <w:ind w:left="731"/>
      <w:jc w:val="both"/>
      <w:textAlignment w:val="baseline"/>
    </w:pPr>
    <w:rPr>
      <w:sz w:val="22"/>
    </w:rPr>
  </w:style>
  <w:style w:type="paragraph" w:customStyle="1" w:styleId="Footer-Title">
    <w:name w:val="Footer-Title"/>
    <w:basedOn w:val="Footer"/>
    <w:rsid w:val="00C63DEA"/>
    <w:pPr>
      <w:tabs>
        <w:tab w:val="clear" w:pos="4320"/>
        <w:tab w:val="clear" w:pos="8640"/>
      </w:tabs>
      <w:overflowPunct w:val="0"/>
      <w:autoSpaceDE w:val="0"/>
      <w:autoSpaceDN w:val="0"/>
      <w:adjustRightInd w:val="0"/>
      <w:jc w:val="center"/>
      <w:textAlignment w:val="baseline"/>
    </w:pPr>
    <w:rPr>
      <w:smallCaps/>
      <w:sz w:val="22"/>
    </w:rPr>
  </w:style>
  <w:style w:type="paragraph" w:customStyle="1" w:styleId="EYResumeText">
    <w:name w:val="EY Resume Text"/>
    <w:basedOn w:val="Normal"/>
    <w:rsid w:val="00C63DEA"/>
    <w:pPr>
      <w:overflowPunct w:val="0"/>
      <w:autoSpaceDE w:val="0"/>
      <w:autoSpaceDN w:val="0"/>
      <w:adjustRightInd w:val="0"/>
      <w:spacing w:after="480" w:line="260" w:lineRule="atLeast"/>
      <w:textAlignment w:val="baseline"/>
    </w:pPr>
    <w:rPr>
      <w:rFonts w:eastAsia="MS Mincho" w:cs="Arial"/>
      <w:bCs/>
      <w:sz w:val="22"/>
    </w:rPr>
  </w:style>
  <w:style w:type="paragraph" w:customStyle="1" w:styleId="EYClientList">
    <w:name w:val="EY Client List"/>
    <w:basedOn w:val="EYBodyText"/>
    <w:rsid w:val="00C63DEA"/>
    <w:pPr>
      <w:spacing w:before="40" w:after="40" w:line="240" w:lineRule="atLeast"/>
    </w:pPr>
    <w:rPr>
      <w:rFonts w:ascii="EY Gothic Comp BookPS" w:hAnsi="EY Gothic Comp BookPS"/>
    </w:rPr>
  </w:style>
  <w:style w:type="paragraph" w:customStyle="1" w:styleId="EYQuotes">
    <w:name w:val="EY Quotes"/>
    <w:basedOn w:val="EYBodyText"/>
    <w:rsid w:val="00C63DEA"/>
    <w:pPr>
      <w:spacing w:after="360"/>
      <w:ind w:left="720" w:right="720"/>
    </w:pPr>
    <w:rPr>
      <w:i/>
    </w:rPr>
  </w:style>
  <w:style w:type="paragraph" w:customStyle="1" w:styleId="PropNorm">
    <w:name w:val="PropNorm"/>
    <w:rsid w:val="00C63DEA"/>
    <w:rPr>
      <w:rFonts w:ascii="Arial Narrow" w:hAnsi="Arial Narrow"/>
      <w:sz w:val="24"/>
    </w:rPr>
  </w:style>
  <w:style w:type="paragraph" w:customStyle="1" w:styleId="ParaNum">
    <w:name w:val="ParaNum"/>
    <w:basedOn w:val="Normal"/>
    <w:link w:val="ParaNumChar1"/>
    <w:rsid w:val="00C63DEA"/>
    <w:pPr>
      <w:widowControl w:val="0"/>
      <w:numPr>
        <w:numId w:val="1"/>
      </w:numPr>
      <w:tabs>
        <w:tab w:val="clear" w:pos="360"/>
        <w:tab w:val="num" w:pos="720"/>
        <w:tab w:val="left" w:pos="1440"/>
      </w:tabs>
      <w:spacing w:after="220"/>
      <w:ind w:left="720"/>
    </w:pPr>
    <w:rPr>
      <w:kern w:val="28"/>
      <w:sz w:val="22"/>
    </w:rPr>
  </w:style>
  <w:style w:type="character" w:customStyle="1" w:styleId="ParaNumChar1">
    <w:name w:val="ParaNum Char1"/>
    <w:link w:val="ParaNum"/>
    <w:locked/>
    <w:rsid w:val="00D753EB"/>
    <w:rPr>
      <w:kern w:val="28"/>
      <w:sz w:val="22"/>
    </w:rPr>
  </w:style>
  <w:style w:type="paragraph" w:styleId="NormalWeb">
    <w:name w:val="Normal (Web)"/>
    <w:basedOn w:val="Normal"/>
    <w:uiPriority w:val="99"/>
    <w:rsid w:val="00C63DEA"/>
    <w:pPr>
      <w:spacing w:before="100" w:beforeAutospacing="1" w:after="100" w:afterAutospacing="1"/>
    </w:pPr>
    <w:rPr>
      <w:rFonts w:ascii="Arial Unicode MS" w:cs="Courier New"/>
      <w:color w:val="000000"/>
      <w:szCs w:val="24"/>
    </w:rPr>
  </w:style>
  <w:style w:type="paragraph" w:styleId="BodyTextIndent3">
    <w:name w:val="Body Text Indent 3"/>
    <w:basedOn w:val="Normal"/>
    <w:link w:val="BodyTextIndent3Char"/>
    <w:rsid w:val="00C63DEA"/>
    <w:pPr>
      <w:widowControl w:val="0"/>
      <w:ind w:left="810"/>
      <w:jc w:val="both"/>
    </w:pPr>
  </w:style>
  <w:style w:type="character" w:customStyle="1" w:styleId="BodyTextIndent3Char">
    <w:name w:val="Body Text Indent 3 Char"/>
    <w:link w:val="BodyTextIndent3"/>
    <w:locked/>
    <w:rsid w:val="00F961B7"/>
    <w:rPr>
      <w:rFonts w:cs="Times New Roman"/>
      <w:sz w:val="16"/>
      <w:szCs w:val="16"/>
    </w:rPr>
  </w:style>
  <w:style w:type="paragraph" w:styleId="BlockText">
    <w:name w:val="Block Text"/>
    <w:basedOn w:val="Normal"/>
    <w:rsid w:val="00C63DEA"/>
    <w:pPr>
      <w:autoSpaceDE w:val="0"/>
      <w:autoSpaceDN w:val="0"/>
      <w:adjustRightInd w:val="0"/>
      <w:ind w:left="150" w:right="150"/>
      <w:jc w:val="both"/>
    </w:pPr>
    <w:rPr>
      <w:sz w:val="22"/>
      <w:szCs w:val="24"/>
    </w:rPr>
  </w:style>
  <w:style w:type="paragraph" w:styleId="EndnoteText">
    <w:name w:val="endnote text"/>
    <w:basedOn w:val="Normal"/>
    <w:link w:val="EndnoteTextChar"/>
    <w:semiHidden/>
    <w:rsid w:val="00C63DEA"/>
    <w:pPr>
      <w:widowControl w:val="0"/>
    </w:pPr>
    <w:rPr>
      <w:rFonts w:ascii="Courier" w:hAnsi="Courier"/>
    </w:rPr>
  </w:style>
  <w:style w:type="character" w:customStyle="1" w:styleId="EndnoteTextChar">
    <w:name w:val="Endnote Text Char"/>
    <w:link w:val="EndnoteText"/>
    <w:semiHidden/>
    <w:locked/>
    <w:rsid w:val="00F961B7"/>
    <w:rPr>
      <w:rFonts w:cs="Times New Roman"/>
      <w:sz w:val="20"/>
      <w:szCs w:val="20"/>
    </w:rPr>
  </w:style>
  <w:style w:type="paragraph" w:customStyle="1" w:styleId="TOCBase">
    <w:name w:val="TOC Base"/>
    <w:basedOn w:val="Normal"/>
    <w:rsid w:val="00C63DEA"/>
    <w:pPr>
      <w:widowControl w:val="0"/>
      <w:tabs>
        <w:tab w:val="right" w:leader="dot" w:pos="6480"/>
      </w:tabs>
      <w:spacing w:after="240" w:line="240" w:lineRule="atLeast"/>
    </w:pPr>
    <w:rPr>
      <w:rFonts w:ascii="Arial" w:hAnsi="Arial"/>
      <w:spacing w:val="-5"/>
    </w:rPr>
  </w:style>
  <w:style w:type="paragraph" w:customStyle="1" w:styleId="StyleLinespacing10lines">
    <w:name w:val="Style Line spacing:  1.0 lines"/>
    <w:basedOn w:val="Normal"/>
    <w:rsid w:val="00C63DEA"/>
    <w:pPr>
      <w:spacing w:line="360" w:lineRule="auto"/>
    </w:pPr>
  </w:style>
  <w:style w:type="paragraph" w:customStyle="1" w:styleId="Default">
    <w:name w:val="Default"/>
    <w:rsid w:val="00C63DEA"/>
    <w:pPr>
      <w:widowControl w:val="0"/>
      <w:autoSpaceDE w:val="0"/>
      <w:autoSpaceDN w:val="0"/>
      <w:adjustRightInd w:val="0"/>
    </w:pPr>
    <w:rPr>
      <w:rFonts w:ascii="Bookman Old Style" w:hAnsi="Bookman Old Style" w:cs="Bookman Old Style"/>
      <w:color w:val="000000"/>
      <w:sz w:val="24"/>
      <w:szCs w:val="24"/>
    </w:rPr>
  </w:style>
  <w:style w:type="table" w:styleId="TableGrid">
    <w:name w:val="Table Grid"/>
    <w:basedOn w:val="TableNormal"/>
    <w:uiPriority w:val="39"/>
    <w:rsid w:val="00C63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ConBullet">
    <w:name w:val="ProCon Bullet"/>
    <w:basedOn w:val="Normal"/>
    <w:rsid w:val="00C63DEA"/>
    <w:pPr>
      <w:widowControl w:val="0"/>
      <w:numPr>
        <w:numId w:val="6"/>
      </w:numPr>
      <w:jc w:val="both"/>
    </w:pPr>
    <w:rPr>
      <w:kern w:val="28"/>
      <w:sz w:val="22"/>
    </w:rPr>
  </w:style>
  <w:style w:type="character" w:customStyle="1" w:styleId="documentbody1">
    <w:name w:val="documentbody1"/>
    <w:rsid w:val="00C63DEA"/>
    <w:rPr>
      <w:rFonts w:ascii="Verdana" w:hAnsi="Verdana" w:cs="Times New Roman"/>
      <w:sz w:val="19"/>
      <w:szCs w:val="19"/>
    </w:rPr>
  </w:style>
  <w:style w:type="character" w:styleId="PageNumber">
    <w:name w:val="page number"/>
    <w:rsid w:val="00C63DEA"/>
    <w:rPr>
      <w:rFonts w:cs="Times New Roman"/>
    </w:rPr>
  </w:style>
  <w:style w:type="character" w:styleId="FollowedHyperlink">
    <w:name w:val="FollowedHyperlink"/>
    <w:rsid w:val="00C63DEA"/>
    <w:rPr>
      <w:rFonts w:cs="Times New Roman"/>
      <w:color w:val="800080"/>
      <w:u w:val="single"/>
    </w:rPr>
  </w:style>
  <w:style w:type="character" w:customStyle="1" w:styleId="bodytextbold1">
    <w:name w:val="bodytextbold1"/>
    <w:rsid w:val="00C63DEA"/>
    <w:rPr>
      <w:rFonts w:ascii="Verdana" w:hAnsi="Verdana" w:cs="Times New Roman"/>
      <w:b/>
      <w:bCs/>
      <w:sz w:val="20"/>
      <w:szCs w:val="20"/>
    </w:rPr>
  </w:style>
  <w:style w:type="character" w:customStyle="1" w:styleId="headlinedate1">
    <w:name w:val="headlinedate1"/>
    <w:rsid w:val="00C63DEA"/>
    <w:rPr>
      <w:rFonts w:ascii="Verdana" w:hAnsi="Verdana" w:cs="Times New Roman"/>
      <w:color w:val="808080"/>
      <w:sz w:val="18"/>
      <w:szCs w:val="18"/>
    </w:rPr>
  </w:style>
  <w:style w:type="character" w:customStyle="1" w:styleId="StyleParaNumChar11ptCharCharChar">
    <w:name w:val="Style ParaNum Char + 11 pt Char Char Char"/>
    <w:rsid w:val="00C63DEA"/>
    <w:rPr>
      <w:rFonts w:cs="Times New Roman"/>
      <w:snapToGrid w:val="0"/>
      <w:kern w:val="28"/>
      <w:sz w:val="22"/>
      <w:lang w:val="en-US" w:eastAsia="en-US" w:bidi="ar-SA"/>
    </w:rPr>
  </w:style>
  <w:style w:type="character" w:customStyle="1" w:styleId="text-blue">
    <w:name w:val="text-blue"/>
    <w:rsid w:val="00C63DEA"/>
    <w:rPr>
      <w:rFonts w:cs="Times New Roman"/>
    </w:rPr>
  </w:style>
  <w:style w:type="character" w:customStyle="1" w:styleId="text-blue1">
    <w:name w:val="text-blue1"/>
    <w:rsid w:val="00C63DEA"/>
    <w:rPr>
      <w:rFonts w:ascii="Verdana" w:hAnsi="Verdana" w:cs="Times New Roman"/>
      <w:color w:val="000099"/>
      <w:spacing w:val="240"/>
      <w:sz w:val="21"/>
      <w:szCs w:val="21"/>
    </w:rPr>
  </w:style>
  <w:style w:type="character" w:customStyle="1" w:styleId="calheader1">
    <w:name w:val="calheader1"/>
    <w:rsid w:val="00C63DEA"/>
    <w:rPr>
      <w:rFonts w:ascii="Arial" w:hAnsi="Arial" w:cs="Arial"/>
      <w:b/>
      <w:bCs/>
      <w:i/>
      <w:iCs/>
      <w:sz w:val="20"/>
      <w:szCs w:val="20"/>
    </w:rPr>
  </w:style>
  <w:style w:type="character" w:customStyle="1" w:styleId="issueboxtext1">
    <w:name w:val="issueboxtext1"/>
    <w:rsid w:val="00C63DEA"/>
    <w:rPr>
      <w:rFonts w:ascii="Arial" w:hAnsi="Arial" w:cs="Arial"/>
      <w:sz w:val="20"/>
      <w:szCs w:val="20"/>
    </w:rPr>
  </w:style>
  <w:style w:type="character" w:customStyle="1" w:styleId="pagetitle1">
    <w:name w:val="pagetitle1"/>
    <w:rsid w:val="00C63DEA"/>
    <w:rPr>
      <w:rFonts w:ascii="Arial" w:hAnsi="Arial" w:cs="Arial"/>
      <w:b/>
      <w:bCs/>
      <w:sz w:val="30"/>
      <w:szCs w:val="30"/>
    </w:rPr>
  </w:style>
  <w:style w:type="character" w:customStyle="1" w:styleId="releasefiles1">
    <w:name w:val="releasefiles1"/>
    <w:rsid w:val="00C63DEA"/>
    <w:rPr>
      <w:rFonts w:cs="Times New Roman"/>
      <w:color w:val="666666"/>
      <w:spacing w:val="240"/>
      <w:sz w:val="18"/>
      <w:szCs w:val="18"/>
    </w:rPr>
  </w:style>
  <w:style w:type="character" w:customStyle="1" w:styleId="a">
    <w:name w:val="_"/>
    <w:rsid w:val="00C63DEA"/>
    <w:rPr>
      <w:sz w:val="20"/>
    </w:rPr>
  </w:style>
  <w:style w:type="character" w:styleId="CommentReference">
    <w:name w:val="annotation reference"/>
    <w:uiPriority w:val="99"/>
    <w:rsid w:val="00824D72"/>
    <w:rPr>
      <w:rFonts w:cs="Times New Roman"/>
      <w:sz w:val="16"/>
      <w:szCs w:val="16"/>
    </w:rPr>
  </w:style>
  <w:style w:type="paragraph" w:styleId="ListBullet">
    <w:name w:val="List Bullet"/>
    <w:basedOn w:val="Normal"/>
    <w:rsid w:val="00DE271E"/>
    <w:pPr>
      <w:numPr>
        <w:numId w:val="8"/>
      </w:numPr>
    </w:pPr>
    <w:rPr>
      <w:szCs w:val="24"/>
    </w:rPr>
  </w:style>
  <w:style w:type="paragraph" w:customStyle="1" w:styleId="CM8">
    <w:name w:val="CM8"/>
    <w:basedOn w:val="Default"/>
    <w:next w:val="Default"/>
    <w:rsid w:val="007D0236"/>
    <w:rPr>
      <w:rFonts w:ascii="Times New Roman" w:hAnsi="Times New Roman" w:cs="Times New Roman"/>
      <w:color w:val="auto"/>
    </w:rPr>
  </w:style>
  <w:style w:type="paragraph" w:customStyle="1" w:styleId="CM10">
    <w:name w:val="CM10"/>
    <w:basedOn w:val="Default"/>
    <w:next w:val="Default"/>
    <w:rsid w:val="007D0236"/>
    <w:rPr>
      <w:rFonts w:ascii="Times New Roman" w:hAnsi="Times New Roman" w:cs="Times New Roman"/>
      <w:color w:val="auto"/>
    </w:rPr>
  </w:style>
  <w:style w:type="paragraph" w:customStyle="1" w:styleId="CM3">
    <w:name w:val="CM3"/>
    <w:basedOn w:val="Default"/>
    <w:next w:val="Default"/>
    <w:rsid w:val="007D0236"/>
    <w:pPr>
      <w:spacing w:line="276" w:lineRule="atLeast"/>
    </w:pPr>
    <w:rPr>
      <w:rFonts w:ascii="Times New Roman" w:hAnsi="Times New Roman" w:cs="Times New Roman"/>
      <w:color w:val="auto"/>
    </w:rPr>
  </w:style>
  <w:style w:type="paragraph" w:styleId="NoSpacing">
    <w:name w:val="No Spacing"/>
    <w:link w:val="NoSpacingChar"/>
    <w:uiPriority w:val="1"/>
    <w:qFormat/>
    <w:rsid w:val="007D0236"/>
    <w:rPr>
      <w:rFonts w:ascii="Calibri" w:hAnsi="Calibri" w:cs="Arial"/>
      <w:sz w:val="24"/>
      <w:szCs w:val="22"/>
    </w:rPr>
  </w:style>
  <w:style w:type="paragraph" w:customStyle="1" w:styleId="ParaNumCharChar">
    <w:name w:val="ParaNum Char Char"/>
    <w:basedOn w:val="Normal"/>
    <w:link w:val="ParaNumCharCharChar1"/>
    <w:rsid w:val="00233684"/>
    <w:pPr>
      <w:widowControl w:val="0"/>
      <w:tabs>
        <w:tab w:val="num" w:pos="720"/>
        <w:tab w:val="left" w:pos="1440"/>
      </w:tabs>
      <w:suppressAutoHyphens/>
      <w:spacing w:after="220"/>
      <w:ind w:left="-2160" w:hanging="360"/>
      <w:jc w:val="both"/>
    </w:pPr>
    <w:rPr>
      <w:sz w:val="22"/>
      <w:lang w:eastAsia="ar-SA"/>
    </w:rPr>
  </w:style>
  <w:style w:type="character" w:customStyle="1" w:styleId="ParaNumCharCharChar1">
    <w:name w:val="ParaNum Char Char Char1"/>
    <w:link w:val="ParaNumCharChar"/>
    <w:locked/>
    <w:rsid w:val="00D753EB"/>
    <w:rPr>
      <w:rFonts w:cs="Times New Roman"/>
      <w:sz w:val="22"/>
      <w:lang w:val="en-US" w:eastAsia="ar-SA" w:bidi="ar-SA"/>
    </w:rPr>
  </w:style>
  <w:style w:type="character" w:styleId="Emphasis">
    <w:name w:val="Emphasis"/>
    <w:qFormat/>
    <w:rsid w:val="00233684"/>
    <w:rPr>
      <w:rFonts w:cs="Times New Roman"/>
      <w:i/>
      <w:iCs/>
    </w:rPr>
  </w:style>
  <w:style w:type="paragraph" w:styleId="ListParagraph">
    <w:name w:val="List Paragraph"/>
    <w:link w:val="ListParagraphChar"/>
    <w:uiPriority w:val="1"/>
    <w:qFormat/>
    <w:rsid w:val="00DB0109"/>
    <w:pPr>
      <w:ind w:left="720"/>
    </w:pPr>
    <w:rPr>
      <w:sz w:val="24"/>
    </w:rPr>
  </w:style>
  <w:style w:type="character" w:customStyle="1" w:styleId="EmailStyle1401">
    <w:name w:val="EmailStyle1401"/>
    <w:semiHidden/>
    <w:rsid w:val="00233684"/>
    <w:rPr>
      <w:rFonts w:ascii="Arial" w:hAnsi="Arial" w:cs="Arial"/>
      <w:color w:val="auto"/>
      <w:sz w:val="20"/>
      <w:szCs w:val="20"/>
    </w:rPr>
  </w:style>
  <w:style w:type="paragraph" w:styleId="Subtitle">
    <w:name w:val="Subtitle"/>
    <w:basedOn w:val="Normal"/>
    <w:link w:val="SubtitleChar"/>
    <w:qFormat/>
    <w:rsid w:val="00233684"/>
    <w:rPr>
      <w:b/>
      <w:spacing w:val="-3"/>
      <w:sz w:val="26"/>
    </w:rPr>
  </w:style>
  <w:style w:type="character" w:customStyle="1" w:styleId="SubtitleChar">
    <w:name w:val="Subtitle Char"/>
    <w:link w:val="Subtitle"/>
    <w:locked/>
    <w:rsid w:val="00E76F62"/>
    <w:rPr>
      <w:rFonts w:ascii="Cambria" w:hAnsi="Cambria" w:cs="Times New Roman"/>
      <w:sz w:val="24"/>
      <w:szCs w:val="24"/>
    </w:rPr>
  </w:style>
  <w:style w:type="paragraph" w:styleId="HTMLPreformatted">
    <w:name w:val="HTML Preformatted"/>
    <w:basedOn w:val="Normal"/>
    <w:link w:val="HTMLPreformattedChar"/>
    <w:locked/>
    <w:rsid w:val="002336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locked/>
    <w:rsid w:val="00E76F62"/>
    <w:rPr>
      <w:rFonts w:ascii="Courier New" w:hAnsi="Courier New" w:cs="Courier New"/>
      <w:sz w:val="20"/>
      <w:szCs w:val="20"/>
    </w:rPr>
  </w:style>
  <w:style w:type="paragraph" w:styleId="Caption">
    <w:name w:val="caption"/>
    <w:basedOn w:val="Normal"/>
    <w:next w:val="Normal"/>
    <w:uiPriority w:val="35"/>
    <w:qFormat/>
    <w:locked/>
    <w:rsid w:val="00075C85"/>
    <w:pPr>
      <w:widowControl w:val="0"/>
    </w:pPr>
    <w:rPr>
      <w:rFonts w:ascii="Courier" w:hAnsi="Courier"/>
    </w:rPr>
  </w:style>
  <w:style w:type="character" w:customStyle="1" w:styleId="EmailStyle146">
    <w:name w:val="EmailStyle146"/>
    <w:semiHidden/>
    <w:rsid w:val="00C64E24"/>
    <w:rPr>
      <w:rFonts w:ascii="Arial" w:hAnsi="Arial" w:cs="Arial"/>
      <w:color w:val="000080"/>
      <w:sz w:val="20"/>
      <w:szCs w:val="20"/>
    </w:rPr>
  </w:style>
  <w:style w:type="paragraph" w:styleId="DocumentMap">
    <w:name w:val="Document Map"/>
    <w:basedOn w:val="Normal"/>
    <w:link w:val="DocumentMapChar"/>
    <w:semiHidden/>
    <w:locked/>
    <w:rsid w:val="00EA7595"/>
    <w:pPr>
      <w:shd w:val="clear" w:color="auto" w:fill="000080"/>
    </w:pPr>
    <w:rPr>
      <w:rFonts w:ascii="Tahoma" w:hAnsi="Tahoma" w:cs="Tahoma"/>
      <w:sz w:val="20"/>
    </w:rPr>
  </w:style>
  <w:style w:type="character" w:customStyle="1" w:styleId="DocumentMapChar">
    <w:name w:val="Document Map Char"/>
    <w:link w:val="DocumentMap"/>
    <w:semiHidden/>
    <w:locked/>
    <w:rsid w:val="00B77FA9"/>
    <w:rPr>
      <w:rFonts w:cs="Times New Roman"/>
      <w:sz w:val="2"/>
    </w:rPr>
  </w:style>
  <w:style w:type="character" w:customStyle="1" w:styleId="EmailStyle1491">
    <w:name w:val="EmailStyle1491"/>
    <w:semiHidden/>
    <w:rsid w:val="0031249A"/>
    <w:rPr>
      <w:rFonts w:ascii="Arial" w:hAnsi="Arial" w:cs="Arial"/>
      <w:color w:val="auto"/>
      <w:sz w:val="20"/>
      <w:szCs w:val="20"/>
    </w:rPr>
  </w:style>
  <w:style w:type="character" w:customStyle="1" w:styleId="CharChar5">
    <w:name w:val="Char Char5"/>
    <w:semiHidden/>
    <w:locked/>
    <w:rsid w:val="00A32C0C"/>
    <w:rPr>
      <w:rFonts w:ascii="Arial" w:hAnsi="Arial" w:cs="Arial"/>
      <w:sz w:val="24"/>
      <w:szCs w:val="24"/>
      <w:lang w:val="en-US" w:eastAsia="en-US" w:bidi="ar-SA"/>
    </w:rPr>
  </w:style>
  <w:style w:type="paragraph" w:customStyle="1" w:styleId="style-1">
    <w:name w:val="style-1"/>
    <w:basedOn w:val="Normal"/>
    <w:rsid w:val="00A32C0C"/>
    <w:rPr>
      <w:sz w:val="20"/>
    </w:rPr>
  </w:style>
  <w:style w:type="character" w:customStyle="1" w:styleId="EmailStyle1521">
    <w:name w:val="EmailStyle1521"/>
    <w:semiHidden/>
    <w:rsid w:val="00B543AF"/>
    <w:rPr>
      <w:rFonts w:ascii="Arial" w:hAnsi="Arial" w:cs="Arial"/>
      <w:color w:val="auto"/>
      <w:sz w:val="20"/>
      <w:szCs w:val="20"/>
    </w:rPr>
  </w:style>
  <w:style w:type="character" w:customStyle="1" w:styleId="EmailStyle155">
    <w:name w:val="EmailStyle155"/>
    <w:semiHidden/>
    <w:rsid w:val="00D753EB"/>
    <w:rPr>
      <w:rFonts w:ascii="Arial" w:hAnsi="Arial" w:cs="Arial"/>
      <w:color w:val="auto"/>
      <w:sz w:val="20"/>
      <w:szCs w:val="20"/>
    </w:rPr>
  </w:style>
  <w:style w:type="character" w:customStyle="1" w:styleId="EmailStyle156">
    <w:name w:val="EmailStyle156"/>
    <w:semiHidden/>
    <w:rsid w:val="00D753EB"/>
    <w:rPr>
      <w:rFonts w:ascii="Arial" w:hAnsi="Arial" w:cs="Arial"/>
      <w:color w:val="000080"/>
      <w:sz w:val="20"/>
      <w:szCs w:val="20"/>
    </w:rPr>
  </w:style>
  <w:style w:type="character" w:customStyle="1" w:styleId="EmailStyle157">
    <w:name w:val="EmailStyle157"/>
    <w:semiHidden/>
    <w:rsid w:val="00D753EB"/>
    <w:rPr>
      <w:rFonts w:ascii="Arial" w:hAnsi="Arial" w:cs="Arial"/>
      <w:color w:val="auto"/>
      <w:sz w:val="20"/>
      <w:szCs w:val="20"/>
    </w:rPr>
  </w:style>
  <w:style w:type="character" w:customStyle="1" w:styleId="EmailStyle158">
    <w:name w:val="EmailStyle158"/>
    <w:semiHidden/>
    <w:rsid w:val="00D753EB"/>
    <w:rPr>
      <w:rFonts w:ascii="Arial" w:hAnsi="Arial" w:cs="Arial"/>
      <w:color w:val="auto"/>
      <w:sz w:val="20"/>
      <w:szCs w:val="20"/>
    </w:rPr>
  </w:style>
  <w:style w:type="character" w:customStyle="1" w:styleId="EmailStyle159">
    <w:name w:val="EmailStyle159"/>
    <w:semiHidden/>
    <w:rsid w:val="00D753EB"/>
    <w:rPr>
      <w:rFonts w:ascii="Arial" w:hAnsi="Arial" w:cs="Arial"/>
      <w:color w:val="auto"/>
      <w:sz w:val="20"/>
      <w:szCs w:val="20"/>
    </w:rPr>
  </w:style>
  <w:style w:type="character" w:customStyle="1" w:styleId="EmailStyle1601">
    <w:name w:val="EmailStyle1601"/>
    <w:semiHidden/>
    <w:rsid w:val="00D753EB"/>
    <w:rPr>
      <w:rFonts w:ascii="Arial" w:hAnsi="Arial" w:cs="Arial"/>
      <w:color w:val="auto"/>
      <w:sz w:val="20"/>
      <w:szCs w:val="20"/>
    </w:rPr>
  </w:style>
  <w:style w:type="character" w:customStyle="1" w:styleId="bestsection1">
    <w:name w:val="bestsection1"/>
    <w:rsid w:val="00D753EB"/>
    <w:rPr>
      <w:rFonts w:cs="Times New Roman"/>
      <w:color w:val="000000"/>
    </w:rPr>
  </w:style>
  <w:style w:type="character" w:customStyle="1" w:styleId="searchterm">
    <w:name w:val="searchterm"/>
    <w:rsid w:val="00D753EB"/>
    <w:rPr>
      <w:rFonts w:cs="Times New Roman"/>
    </w:rPr>
  </w:style>
  <w:style w:type="character" w:customStyle="1" w:styleId="Style10pt">
    <w:name w:val="Style 10 pt"/>
    <w:rsid w:val="00D753EB"/>
    <w:rPr>
      <w:rFonts w:cs="Times New Roman"/>
      <w:sz w:val="24"/>
    </w:rPr>
  </w:style>
  <w:style w:type="character" w:customStyle="1" w:styleId="EmailStyle1641">
    <w:name w:val="EmailStyle1641"/>
    <w:semiHidden/>
    <w:rsid w:val="00D753EB"/>
    <w:rPr>
      <w:rFonts w:ascii="Arial" w:hAnsi="Arial" w:cs="Arial"/>
      <w:color w:val="auto"/>
      <w:sz w:val="20"/>
      <w:szCs w:val="20"/>
    </w:rPr>
  </w:style>
  <w:style w:type="character" w:customStyle="1" w:styleId="EmailStyle1651">
    <w:name w:val="EmailStyle1651"/>
    <w:semiHidden/>
    <w:rsid w:val="00D753EB"/>
    <w:rPr>
      <w:rFonts w:ascii="Arial" w:hAnsi="Arial" w:cs="Arial"/>
      <w:color w:val="000080"/>
      <w:sz w:val="20"/>
      <w:szCs w:val="20"/>
    </w:rPr>
  </w:style>
  <w:style w:type="character" w:customStyle="1" w:styleId="EmailStyle166">
    <w:name w:val="EmailStyle166"/>
    <w:semiHidden/>
    <w:rsid w:val="00D753EB"/>
    <w:rPr>
      <w:rFonts w:ascii="Arial" w:hAnsi="Arial" w:cs="Arial"/>
      <w:color w:val="auto"/>
      <w:sz w:val="20"/>
      <w:szCs w:val="20"/>
    </w:rPr>
  </w:style>
  <w:style w:type="character" w:customStyle="1" w:styleId="EmailStyle167">
    <w:name w:val="EmailStyle167"/>
    <w:semiHidden/>
    <w:rsid w:val="00D753EB"/>
    <w:rPr>
      <w:rFonts w:ascii="Arial" w:hAnsi="Arial" w:cs="Arial"/>
      <w:color w:val="auto"/>
      <w:sz w:val="20"/>
      <w:szCs w:val="20"/>
    </w:rPr>
  </w:style>
  <w:style w:type="character" w:customStyle="1" w:styleId="EmailStyle168">
    <w:name w:val="EmailStyle168"/>
    <w:semiHidden/>
    <w:rsid w:val="00D753EB"/>
    <w:rPr>
      <w:rFonts w:ascii="Arial" w:hAnsi="Arial" w:cs="Arial"/>
      <w:color w:val="auto"/>
      <w:sz w:val="20"/>
      <w:szCs w:val="20"/>
    </w:rPr>
  </w:style>
  <w:style w:type="character" w:customStyle="1" w:styleId="EmailStyle169">
    <w:name w:val="EmailStyle169"/>
    <w:semiHidden/>
    <w:rsid w:val="00D753EB"/>
    <w:rPr>
      <w:rFonts w:ascii="Arial" w:hAnsi="Arial" w:cs="Arial"/>
      <w:color w:val="auto"/>
      <w:sz w:val="20"/>
      <w:szCs w:val="20"/>
    </w:rPr>
  </w:style>
  <w:style w:type="paragraph" w:customStyle="1" w:styleId="subcontent">
    <w:name w:val="subcontent"/>
    <w:basedOn w:val="Normal"/>
    <w:rsid w:val="00D753EB"/>
    <w:pPr>
      <w:spacing w:before="100" w:beforeAutospacing="1" w:after="100" w:afterAutospacing="1"/>
    </w:pPr>
    <w:rPr>
      <w:szCs w:val="24"/>
    </w:rPr>
  </w:style>
  <w:style w:type="paragraph" w:customStyle="1" w:styleId="Body1">
    <w:name w:val="Body 1"/>
    <w:rsid w:val="004F75A4"/>
    <w:pPr>
      <w:outlineLvl w:val="0"/>
    </w:pPr>
    <w:rPr>
      <w:rFonts w:eastAsia="ヒラギノ角ゴ Pro W3"/>
      <w:color w:val="000000"/>
      <w:sz w:val="24"/>
    </w:rPr>
  </w:style>
  <w:style w:type="paragraph" w:styleId="Revision">
    <w:name w:val="Revision"/>
    <w:hidden/>
    <w:uiPriority w:val="99"/>
    <w:semiHidden/>
    <w:rsid w:val="004F75A4"/>
    <w:rPr>
      <w:sz w:val="24"/>
    </w:rPr>
  </w:style>
  <w:style w:type="paragraph" w:customStyle="1" w:styleId="MediumList2-Accent41">
    <w:name w:val="Medium List 2 - Accent 41"/>
    <w:basedOn w:val="Normal"/>
    <w:qFormat/>
    <w:rsid w:val="00654C7F"/>
    <w:pPr>
      <w:ind w:left="720"/>
    </w:pPr>
    <w:rPr>
      <w:rFonts w:ascii="Calibri" w:hAnsi="Calibri" w:cs="Calibri"/>
      <w:sz w:val="22"/>
      <w:szCs w:val="22"/>
    </w:rPr>
  </w:style>
  <w:style w:type="numbering" w:customStyle="1" w:styleId="NoList1">
    <w:name w:val="No List1"/>
    <w:next w:val="NoList"/>
    <w:semiHidden/>
    <w:unhideWhenUsed/>
    <w:rsid w:val="006B79E2"/>
  </w:style>
  <w:style w:type="paragraph" w:customStyle="1" w:styleId="ColorfulList-Accent11">
    <w:name w:val="Colorful List - Accent 11"/>
    <w:basedOn w:val="Normal"/>
    <w:uiPriority w:val="34"/>
    <w:rsid w:val="003A2A7E"/>
    <w:pPr>
      <w:ind w:left="720"/>
    </w:pPr>
    <w:rPr>
      <w:szCs w:val="24"/>
    </w:rPr>
  </w:style>
  <w:style w:type="character" w:customStyle="1" w:styleId="CommentTextChar1">
    <w:name w:val="Comment Text Char1"/>
    <w:rsid w:val="00662BE6"/>
  </w:style>
  <w:style w:type="character" w:customStyle="1" w:styleId="ParaNumChar2">
    <w:name w:val="ParaNum Char2"/>
    <w:rsid w:val="00662BE6"/>
    <w:rPr>
      <w:snapToGrid w:val="0"/>
      <w:kern w:val="28"/>
      <w:sz w:val="22"/>
      <w:lang w:val="en-US" w:eastAsia="en-US" w:bidi="ar-SA"/>
    </w:rPr>
  </w:style>
  <w:style w:type="character" w:customStyle="1" w:styleId="ALTSFOOTNOTEChar1">
    <w:name w:val="ALTS FOOTNOTE Char1"/>
    <w:aliases w:val="ALTS FOOTNOTE Char Char,Footnote Text Char Char,Footnote Text Char Char Char Char,Footnote Text Char1 Char Char,Footnote Text Char2 Char1 Char1 Char Char,Footnote Text Char3 Char1 Char Char,f Char,fn Char Char,fn Char1,fn Char2"/>
    <w:locked/>
    <w:rsid w:val="00662BE6"/>
    <w:rPr>
      <w:lang w:val="en-US" w:eastAsia="en-US" w:bidi="ar-SA"/>
    </w:rPr>
  </w:style>
  <w:style w:type="character" w:customStyle="1" w:styleId="FootnoteCharacters">
    <w:name w:val="Footnote Characters"/>
    <w:rsid w:val="00662BE6"/>
    <w:rPr>
      <w:vertAlign w:val="superscript"/>
    </w:rPr>
  </w:style>
  <w:style w:type="character" w:customStyle="1" w:styleId="ParaNumCharChar1">
    <w:name w:val="ParaNum Char Char1"/>
    <w:locked/>
    <w:rsid w:val="001F6273"/>
    <w:rPr>
      <w:rFonts w:ascii="Times New Roman" w:eastAsia="Times New Roman" w:hAnsi="Times New Roman" w:cs="Times New Roman"/>
      <w:snapToGrid w:val="0"/>
      <w:kern w:val="28"/>
      <w:szCs w:val="20"/>
    </w:rPr>
  </w:style>
  <w:style w:type="paragraph" w:styleId="TOCHeading">
    <w:name w:val="TOC Heading"/>
    <w:basedOn w:val="Heading1"/>
    <w:next w:val="Normal"/>
    <w:uiPriority w:val="39"/>
    <w:unhideWhenUsed/>
    <w:qFormat/>
    <w:rsid w:val="00581547"/>
    <w:pPr>
      <w:keepLines/>
      <w:spacing w:before="240" w:line="259" w:lineRule="auto"/>
      <w:jc w:val="left"/>
      <w:outlineLvl w:val="9"/>
    </w:pPr>
    <w:rPr>
      <w:rFonts w:ascii="Calibri Light" w:hAnsi="Calibri Light"/>
      <w:smallCaps/>
      <w:color w:val="2E74B5"/>
      <w:sz w:val="32"/>
      <w:szCs w:val="32"/>
    </w:rPr>
  </w:style>
  <w:style w:type="paragraph" w:customStyle="1" w:styleId="s2">
    <w:name w:val="s2"/>
    <w:basedOn w:val="Normal"/>
    <w:rsid w:val="006F4A54"/>
    <w:pPr>
      <w:spacing w:before="100" w:beforeAutospacing="1" w:after="100" w:afterAutospacing="1"/>
    </w:pPr>
    <w:rPr>
      <w:rFonts w:eastAsiaTheme="minorHAnsi"/>
      <w:szCs w:val="24"/>
    </w:rPr>
  </w:style>
  <w:style w:type="character" w:customStyle="1" w:styleId="s3">
    <w:name w:val="s3"/>
    <w:basedOn w:val="DefaultParagraphFont"/>
    <w:rsid w:val="006F4A54"/>
  </w:style>
  <w:style w:type="character" w:customStyle="1" w:styleId="s21">
    <w:name w:val="s21"/>
    <w:basedOn w:val="DefaultParagraphFont"/>
    <w:rsid w:val="006F4A54"/>
  </w:style>
  <w:style w:type="paragraph" w:customStyle="1" w:styleId="Normal1">
    <w:name w:val="Normal1"/>
    <w:basedOn w:val="Normal"/>
    <w:rsid w:val="006066ED"/>
    <w:pPr>
      <w:spacing w:before="100" w:beforeAutospacing="1" w:after="100" w:afterAutospacing="1"/>
    </w:pPr>
    <w:rPr>
      <w:rFonts w:eastAsia="Calibri"/>
      <w:szCs w:val="24"/>
    </w:rPr>
  </w:style>
  <w:style w:type="character" w:customStyle="1" w:styleId="s7">
    <w:name w:val="s7"/>
    <w:rsid w:val="006066ED"/>
  </w:style>
  <w:style w:type="numbering" w:customStyle="1" w:styleId="NoList2">
    <w:name w:val="No List2"/>
    <w:next w:val="NoList"/>
    <w:uiPriority w:val="99"/>
    <w:semiHidden/>
    <w:unhideWhenUsed/>
    <w:rsid w:val="00BF0B62"/>
  </w:style>
  <w:style w:type="table" w:customStyle="1" w:styleId="TableGrid1">
    <w:name w:val="Table Grid1"/>
    <w:basedOn w:val="TableNormal"/>
    <w:next w:val="TableGrid"/>
    <w:uiPriority w:val="99"/>
    <w:rsid w:val="00BF0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BF0B62"/>
  </w:style>
  <w:style w:type="character" w:customStyle="1" w:styleId="NoSpacingChar">
    <w:name w:val="No Spacing Char"/>
    <w:link w:val="NoSpacing"/>
    <w:uiPriority w:val="1"/>
    <w:locked/>
    <w:rsid w:val="00523E41"/>
    <w:rPr>
      <w:rFonts w:ascii="Calibri" w:hAnsi="Calibri" w:cs="Arial"/>
      <w:sz w:val="24"/>
      <w:szCs w:val="22"/>
    </w:rPr>
  </w:style>
  <w:style w:type="numbering" w:customStyle="1" w:styleId="NoList3">
    <w:name w:val="No List3"/>
    <w:next w:val="NoList"/>
    <w:uiPriority w:val="99"/>
    <w:semiHidden/>
    <w:unhideWhenUsed/>
    <w:rsid w:val="00653486"/>
  </w:style>
  <w:style w:type="table" w:customStyle="1" w:styleId="TableGrid2">
    <w:name w:val="Table Grid2"/>
    <w:basedOn w:val="TableNormal"/>
    <w:next w:val="TableGrid"/>
    <w:uiPriority w:val="99"/>
    <w:rsid w:val="0065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unhideWhenUsed/>
    <w:rsid w:val="00653486"/>
  </w:style>
  <w:style w:type="numbering" w:customStyle="1" w:styleId="NoList4">
    <w:name w:val="No List4"/>
    <w:next w:val="NoList"/>
    <w:uiPriority w:val="99"/>
    <w:semiHidden/>
    <w:unhideWhenUsed/>
    <w:rsid w:val="00CE5854"/>
  </w:style>
  <w:style w:type="table" w:customStyle="1" w:styleId="TableGrid3">
    <w:name w:val="Table Grid3"/>
    <w:basedOn w:val="TableNormal"/>
    <w:next w:val="TableGrid"/>
    <w:uiPriority w:val="99"/>
    <w:rsid w:val="00CE58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CE5854"/>
  </w:style>
  <w:style w:type="character" w:customStyle="1" w:styleId="UnresolvedMention1">
    <w:name w:val="Unresolved Mention1"/>
    <w:basedOn w:val="DefaultParagraphFont"/>
    <w:uiPriority w:val="99"/>
    <w:semiHidden/>
    <w:unhideWhenUsed/>
    <w:rsid w:val="002D614F"/>
    <w:rPr>
      <w:color w:val="808080"/>
      <w:shd w:val="clear" w:color="auto" w:fill="E6E6E6"/>
    </w:rPr>
  </w:style>
  <w:style w:type="character" w:customStyle="1" w:styleId="UnresolvedMention11">
    <w:name w:val="Unresolved Mention11"/>
    <w:basedOn w:val="DefaultParagraphFont"/>
    <w:uiPriority w:val="99"/>
    <w:semiHidden/>
    <w:unhideWhenUsed/>
    <w:rsid w:val="006315E6"/>
    <w:rPr>
      <w:color w:val="808080"/>
      <w:shd w:val="clear" w:color="auto" w:fill="E6E6E6"/>
    </w:rPr>
  </w:style>
  <w:style w:type="paragraph" w:customStyle="1" w:styleId="TableParagraph">
    <w:name w:val="Table Paragraph"/>
    <w:basedOn w:val="Normal"/>
    <w:uiPriority w:val="1"/>
    <w:qFormat/>
    <w:rsid w:val="00F04C86"/>
    <w:pPr>
      <w:widowControl w:val="0"/>
    </w:pPr>
    <w:rPr>
      <w:rFonts w:asciiTheme="minorHAnsi" w:eastAsiaTheme="minorHAnsi" w:hAnsiTheme="minorHAnsi" w:cstheme="minorBidi"/>
      <w:sz w:val="22"/>
      <w:szCs w:val="22"/>
    </w:rPr>
  </w:style>
  <w:style w:type="numbering" w:customStyle="1" w:styleId="NoList5">
    <w:name w:val="No List5"/>
    <w:next w:val="NoList"/>
    <w:uiPriority w:val="99"/>
    <w:semiHidden/>
    <w:unhideWhenUsed/>
    <w:rsid w:val="009A6FE0"/>
  </w:style>
  <w:style w:type="numbering" w:customStyle="1" w:styleId="NoList14">
    <w:name w:val="No List14"/>
    <w:next w:val="NoList"/>
    <w:semiHidden/>
    <w:unhideWhenUsed/>
    <w:rsid w:val="009A6FE0"/>
  </w:style>
  <w:style w:type="table" w:customStyle="1" w:styleId="TableGrid4">
    <w:name w:val="Table Grid4"/>
    <w:basedOn w:val="TableNormal"/>
    <w:next w:val="TableGrid"/>
    <w:rsid w:val="009A6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locked/>
    <w:rsid w:val="009A6FE0"/>
    <w:rPr>
      <w:vertAlign w:val="superscript"/>
    </w:rPr>
  </w:style>
  <w:style w:type="table" w:customStyle="1" w:styleId="TableGrid5">
    <w:name w:val="Table Grid5"/>
    <w:basedOn w:val="TableNormal"/>
    <w:next w:val="TableGrid"/>
    <w:rsid w:val="006F3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E716E"/>
  </w:style>
  <w:style w:type="numbering" w:customStyle="1" w:styleId="NoList7">
    <w:name w:val="No List7"/>
    <w:next w:val="NoList"/>
    <w:uiPriority w:val="99"/>
    <w:semiHidden/>
    <w:unhideWhenUsed/>
    <w:rsid w:val="00C957B6"/>
  </w:style>
  <w:style w:type="table" w:customStyle="1" w:styleId="TableGrid6">
    <w:name w:val="Table Grid6"/>
    <w:basedOn w:val="TableNormal"/>
    <w:next w:val="TableGrid"/>
    <w:uiPriority w:val="39"/>
    <w:rsid w:val="00C957B6"/>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531AB"/>
    <w:rPr>
      <w:color w:val="605E5C"/>
      <w:shd w:val="clear" w:color="auto" w:fill="E1DFDD"/>
    </w:rPr>
  </w:style>
  <w:style w:type="character" w:customStyle="1" w:styleId="UnresolvedMention">
    <w:name w:val="Unresolved Mention"/>
    <w:basedOn w:val="DefaultParagraphFont"/>
    <w:uiPriority w:val="99"/>
    <w:semiHidden/>
    <w:unhideWhenUsed/>
    <w:rsid w:val="00232DEA"/>
    <w:rPr>
      <w:color w:val="605E5C"/>
      <w:shd w:val="clear" w:color="auto" w:fill="E1DFDD"/>
    </w:rPr>
  </w:style>
  <w:style w:type="numbering" w:customStyle="1" w:styleId="NoList8">
    <w:name w:val="No List8"/>
    <w:next w:val="NoList"/>
    <w:uiPriority w:val="99"/>
    <w:semiHidden/>
    <w:unhideWhenUsed/>
    <w:rsid w:val="006A36A1"/>
  </w:style>
  <w:style w:type="numbering" w:customStyle="1" w:styleId="NoList15">
    <w:name w:val="No List15"/>
    <w:next w:val="NoList"/>
    <w:semiHidden/>
    <w:unhideWhenUsed/>
    <w:rsid w:val="006A36A1"/>
  </w:style>
  <w:style w:type="table" w:customStyle="1" w:styleId="TableGrid7">
    <w:name w:val="Table Grid7"/>
    <w:basedOn w:val="TableNormal"/>
    <w:next w:val="TableGrid"/>
    <w:rsid w:val="006A3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DC7B60"/>
  </w:style>
  <w:style w:type="table" w:customStyle="1" w:styleId="TableGrid8">
    <w:name w:val="Table Grid8"/>
    <w:basedOn w:val="TableNormal"/>
    <w:next w:val="TableGrid"/>
    <w:uiPriority w:val="39"/>
    <w:rsid w:val="00DC7B60"/>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122ED"/>
  </w:style>
  <w:style w:type="table" w:customStyle="1" w:styleId="TableGrid9">
    <w:name w:val="Table Grid9"/>
    <w:basedOn w:val="TableNormal"/>
    <w:next w:val="TableGrid"/>
    <w:uiPriority w:val="39"/>
    <w:rsid w:val="00D122ED"/>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A47FA4"/>
  </w:style>
  <w:style w:type="table" w:customStyle="1" w:styleId="TableGrid10">
    <w:name w:val="Table Grid10"/>
    <w:basedOn w:val="TableNormal"/>
    <w:next w:val="TableGrid"/>
    <w:uiPriority w:val="39"/>
    <w:rsid w:val="00A47FA4"/>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624EE6"/>
  </w:style>
  <w:style w:type="table" w:customStyle="1" w:styleId="TableGrid11">
    <w:name w:val="Table Grid11"/>
    <w:basedOn w:val="TableNormal"/>
    <w:next w:val="TableGrid"/>
    <w:uiPriority w:val="39"/>
    <w:rsid w:val="00624EE6"/>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32955"/>
  </w:style>
  <w:style w:type="table" w:styleId="GridTableLight">
    <w:name w:val="Grid Table Light"/>
    <w:basedOn w:val="TableNormal"/>
    <w:uiPriority w:val="40"/>
    <w:rsid w:val="00347451"/>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10">
    <w:name w:val="heading 10"/>
    <w:basedOn w:val="Normal"/>
    <w:link w:val="heading10Char"/>
    <w:qFormat/>
    <w:rsid w:val="00347451"/>
    <w:pPr>
      <w:spacing w:after="160" w:line="259" w:lineRule="auto"/>
      <w:jc w:val="center"/>
    </w:pPr>
    <w:rPr>
      <w:rFonts w:eastAsiaTheme="minorHAnsi"/>
      <w:b/>
      <w:sz w:val="20"/>
    </w:rPr>
  </w:style>
  <w:style w:type="character" w:customStyle="1" w:styleId="heading10Char">
    <w:name w:val="heading 10 Char"/>
    <w:basedOn w:val="DefaultParagraphFont"/>
    <w:link w:val="heading10"/>
    <w:rsid w:val="00347451"/>
    <w:rPr>
      <w:rFonts w:eastAsiaTheme="minorHAnsi"/>
      <w:b/>
    </w:rPr>
  </w:style>
  <w:style w:type="paragraph" w:customStyle="1" w:styleId="BodyBullet">
    <w:name w:val="Body Bullet"/>
    <w:basedOn w:val="Normal"/>
    <w:rsid w:val="00FA664A"/>
    <w:pPr>
      <w:numPr>
        <w:numId w:val="13"/>
      </w:numPr>
      <w:spacing w:after="240"/>
      <w:contextualSpacing/>
      <w:jc w:val="both"/>
    </w:pPr>
    <w:rPr>
      <w:rFonts w:ascii="Garamond" w:hAnsi="Garamond" w:cs="Arial"/>
    </w:rPr>
  </w:style>
  <w:style w:type="paragraph" w:customStyle="1" w:styleId="Heading4A">
    <w:name w:val="Heading 4A"/>
    <w:basedOn w:val="Heading3"/>
    <w:qFormat/>
    <w:rsid w:val="00FA664A"/>
    <w:pPr>
      <w:spacing w:after="0"/>
      <w:outlineLvl w:val="3"/>
    </w:pPr>
    <w:rPr>
      <w:szCs w:val="24"/>
    </w:rPr>
  </w:style>
  <w:style w:type="paragraph" w:customStyle="1" w:styleId="Heading4C">
    <w:name w:val="Heading 4C"/>
    <w:basedOn w:val="Normal"/>
    <w:qFormat/>
    <w:rsid w:val="00FA664A"/>
    <w:pPr>
      <w:autoSpaceDE w:val="0"/>
      <w:autoSpaceDN w:val="0"/>
      <w:adjustRightInd w:val="0"/>
      <w:jc w:val="both"/>
      <w:outlineLvl w:val="3"/>
    </w:pPr>
    <w:rPr>
      <w:b/>
      <w:bCs/>
      <w:i/>
      <w:szCs w:val="24"/>
    </w:rPr>
  </w:style>
  <w:style w:type="paragraph" w:customStyle="1" w:styleId="xxmsonormal">
    <w:name w:val="x_xmsonormal"/>
    <w:basedOn w:val="Normal"/>
    <w:rsid w:val="00841596"/>
    <w:pPr>
      <w:spacing w:before="100" w:beforeAutospacing="1" w:after="100" w:afterAutospacing="1"/>
    </w:pPr>
    <w:rPr>
      <w:rFonts w:ascii="Calibri" w:hAnsi="Calibri" w:eastAsiaTheme="minorHAnsi" w:cs="Calibri"/>
      <w:sz w:val="22"/>
      <w:szCs w:val="22"/>
    </w:rPr>
  </w:style>
  <w:style w:type="paragraph" w:customStyle="1" w:styleId="StyleHeading115ptBoldAutoLeft">
    <w:name w:val="Style Heading 1 + 15 pt Bold Auto Left"/>
    <w:rsid w:val="00234EAE"/>
    <w:rPr>
      <w:b/>
      <w:bCs/>
      <w:smallCaps/>
      <w:sz w:val="30"/>
    </w:rPr>
  </w:style>
  <w:style w:type="paragraph" w:customStyle="1" w:styleId="StyleTOCHeadingTimesNewRoman12ptAuto">
    <w:name w:val="Style TOC Heading + Times New Roman 12 pt Auto"/>
    <w:rsid w:val="00B944AB"/>
    <w:rPr>
      <w:sz w:val="24"/>
      <w:szCs w:val="32"/>
    </w:rPr>
  </w:style>
  <w:style w:type="paragraph" w:customStyle="1" w:styleId="StyleTOCHeadingTimesNewRomanBoldText1">
    <w:name w:val="Style TOC Heading + Times New Roman Bold Text 1"/>
    <w:basedOn w:val="TOCHeading"/>
    <w:rsid w:val="006E5D3C"/>
    <w:rPr>
      <w:rFonts w:ascii="Times New Roman" w:hAnsi="Times New Roman"/>
      <w:b w:val="0"/>
      <w:bCs/>
      <w:color w:val="000000" w:themeColor="text1"/>
    </w:rPr>
  </w:style>
  <w:style w:type="paragraph" w:styleId="ListBullet3">
    <w:name w:val="List Bullet 3"/>
    <w:basedOn w:val="Normal"/>
    <w:locked/>
    <w:rsid w:val="003308A8"/>
    <w:pPr>
      <w:numPr>
        <w:numId w:val="15"/>
      </w:numPr>
      <w:contextualSpacing/>
    </w:pPr>
  </w:style>
  <w:style w:type="paragraph" w:customStyle="1" w:styleId="StyleTOCHeadingTimesNewRomanBoldText11">
    <w:name w:val="Style TOC Heading + Times New Roman Bold Text 11"/>
    <w:rsid w:val="006E5D3C"/>
    <w:rPr>
      <w:b/>
      <w:bCs/>
      <w:color w:val="000000" w:themeColor="text1"/>
      <w:sz w:val="32"/>
      <w:szCs w:val="32"/>
    </w:rPr>
  </w:style>
  <w:style w:type="paragraph" w:customStyle="1" w:styleId="StyleListParagraph11pt">
    <w:name w:val="Style List Paragraph + 11 pt"/>
    <w:basedOn w:val="ListParagraph"/>
    <w:rsid w:val="007E353F"/>
    <w:rPr>
      <w:sz w:val="22"/>
    </w:rPr>
  </w:style>
  <w:style w:type="paragraph" w:customStyle="1" w:styleId="StyleHeading411ptItalic">
    <w:name w:val="Style Heading 4 + 11 pt Italic"/>
    <w:basedOn w:val="Heading4"/>
    <w:rsid w:val="00B914C2"/>
    <w:rPr>
      <w:i/>
      <w:iCs/>
    </w:rPr>
  </w:style>
  <w:style w:type="paragraph" w:customStyle="1" w:styleId="CM23">
    <w:name w:val="CM23"/>
    <w:basedOn w:val="Normal"/>
    <w:next w:val="Normal"/>
    <w:uiPriority w:val="99"/>
    <w:rsid w:val="00980E71"/>
    <w:pPr>
      <w:autoSpaceDE w:val="0"/>
      <w:autoSpaceDN w:val="0"/>
      <w:adjustRightInd w:val="0"/>
    </w:pPr>
    <w:rPr>
      <w:rFonts w:eastAsia="Calibri"/>
      <w:szCs w:val="24"/>
    </w:rPr>
  </w:style>
  <w:style w:type="table" w:styleId="LightListAccent1">
    <w:name w:val="Light List Accent 1"/>
    <w:basedOn w:val="TableNormal"/>
    <w:uiPriority w:val="61"/>
    <w:rsid w:val="00337587"/>
    <w:rPr>
      <w:rFonts w:asciiTheme="minorHAnsi" w:eastAsiaTheme="minorHAnsi" w:hAnsiTheme="minorHAnsi" w:cstheme="minorBidi"/>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ListParagraphChar">
    <w:name w:val="List Paragraph Char"/>
    <w:basedOn w:val="DefaultParagraphFont"/>
    <w:link w:val="ListParagraph"/>
    <w:uiPriority w:val="1"/>
    <w:rsid w:val="00337587"/>
    <w:rPr>
      <w:sz w:val="24"/>
    </w:rPr>
  </w:style>
  <w:style w:type="paragraph" w:customStyle="1" w:styleId="StyleNoSpacingTimesNewRoman">
    <w:name w:val="Style No Spacing + Times New Roman"/>
    <w:rsid w:val="00E53F5E"/>
    <w:rPr>
      <w:rFonts w:cs="Arial"/>
      <w:sz w:val="24"/>
      <w:szCs w:val="22"/>
    </w:rPr>
  </w:style>
  <w:style w:type="paragraph" w:customStyle="1" w:styleId="StyleHeading5NotBoldBlack">
    <w:name w:val="Style Heading 5 + Not Bold Black"/>
    <w:next w:val="Normal"/>
    <w:rsid w:val="00150FE4"/>
    <w:rPr>
      <w:color w:val="000000"/>
      <w:sz w:val="24"/>
      <w:szCs w:val="28"/>
    </w:rPr>
  </w:style>
  <w:style w:type="paragraph" w:customStyle="1" w:styleId="StyleListParagraph11ptJustified">
    <w:name w:val="Style List Paragraph + 11 pt Justified"/>
    <w:basedOn w:val="ListParagraph"/>
    <w:rsid w:val="005173A1"/>
    <w:pPr>
      <w:contextualSpacing/>
      <w:jc w:val="both"/>
    </w:pPr>
    <w:rPr>
      <w:sz w:val="22"/>
    </w:rPr>
  </w:style>
  <w:style w:type="paragraph" w:styleId="Date">
    <w:name w:val="Date"/>
    <w:basedOn w:val="Normal"/>
    <w:next w:val="Normal"/>
    <w:link w:val="DateChar"/>
    <w:locked/>
    <w:rsid w:val="000F1290"/>
  </w:style>
  <w:style w:type="character" w:customStyle="1" w:styleId="DateChar">
    <w:name w:val="Date Char"/>
    <w:basedOn w:val="DefaultParagraphFont"/>
    <w:link w:val="Date"/>
    <w:rsid w:val="000F1290"/>
    <w:rPr>
      <w:sz w:val="24"/>
    </w:rPr>
  </w:style>
  <w:style w:type="table" w:styleId="PlainTable2">
    <w:name w:val="Plain Table 2"/>
    <w:basedOn w:val="TableNormal"/>
    <w:uiPriority w:val="42"/>
    <w:rsid w:val="00DE64C9"/>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yle263">
    <w:name w:val="Style263"/>
    <w:basedOn w:val="Normal"/>
    <w:rsid w:val="00C04C3D"/>
    <w:rPr>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3.xml" /><Relationship Id="rId11" Type="http://schemas.openxmlformats.org/officeDocument/2006/relationships/image" Target="media/image2.jpeg" /><Relationship Id="rId12" Type="http://schemas.openxmlformats.org/officeDocument/2006/relationships/header" Target="header4.xml" /><Relationship Id="rId13" Type="http://schemas.openxmlformats.org/officeDocument/2006/relationships/footer" Target="footer3.xml" /><Relationship Id="rId14" Type="http://schemas.openxmlformats.org/officeDocument/2006/relationships/hyperlink" Target="https://www.fcc.gov/about/strategic-plans-budget" TargetMode="External" /><Relationship Id="rId15" Type="http://schemas.openxmlformats.org/officeDocument/2006/relationships/hyperlink" Target="http://www.fcc.gov" TargetMode="External" /><Relationship Id="rId16" Type="http://schemas.openxmlformats.org/officeDocument/2006/relationships/image" Target="media/image3.png" /><Relationship Id="rId17" Type="http://schemas.openxmlformats.org/officeDocument/2006/relationships/header" Target="header5.xml" /><Relationship Id="rId18" Type="http://schemas.openxmlformats.org/officeDocument/2006/relationships/footer" Target="footer4.xml" /><Relationship Id="rId19" Type="http://schemas.openxmlformats.org/officeDocument/2006/relationships/image" Target="media/image4.png" /><Relationship Id="rId2" Type="http://schemas.openxmlformats.org/officeDocument/2006/relationships/settings" Target="settings.xml" /><Relationship Id="rId20" Type="http://schemas.openxmlformats.org/officeDocument/2006/relationships/header" Target="header6.xml" /><Relationship Id="rId21" Type="http://schemas.openxmlformats.org/officeDocument/2006/relationships/header" Target="header7.xml" /><Relationship Id="rId22" Type="http://schemas.openxmlformats.org/officeDocument/2006/relationships/footer" Target="footer5.xml" /><Relationship Id="rId23" Type="http://schemas.openxmlformats.org/officeDocument/2006/relationships/footer" Target="footer6.xml" /><Relationship Id="rId24" Type="http://schemas.openxmlformats.org/officeDocument/2006/relationships/header" Target="header8.xml" /><Relationship Id="rId25" Type="http://schemas.openxmlformats.org/officeDocument/2006/relationships/hyperlink" Target="http://www.usac.org" TargetMode="External" /><Relationship Id="rId26" Type="http://schemas.openxmlformats.org/officeDocument/2006/relationships/hyperlink" Target="https://www.fcc.gov/general/universal-service" TargetMode="External" /><Relationship Id="rId27" Type="http://schemas.openxmlformats.org/officeDocument/2006/relationships/hyperlink" Target="http://www.rolkaloube.com/" TargetMode="External" /><Relationship Id="rId28" Type="http://schemas.openxmlformats.org/officeDocument/2006/relationships/hyperlink" Target="https://www.fcc.gov/general/telecommunications-relay-services-trs" TargetMode="External" /><Relationship Id="rId29" Type="http://schemas.openxmlformats.org/officeDocument/2006/relationships/chart" Target="charts/chart1.xml" /><Relationship Id="rId3" Type="http://schemas.openxmlformats.org/officeDocument/2006/relationships/webSettings" Target="webSettings.xml" /><Relationship Id="rId30" Type="http://schemas.openxmlformats.org/officeDocument/2006/relationships/hyperlink" Target="https://paymentaccuracy.gov/" TargetMode="External" /><Relationship Id="rId31" Type="http://schemas.openxmlformats.org/officeDocument/2006/relationships/hyperlink" Target="https://docs.fcc.gov/public/attachments/DOC-370217A1.pdf" TargetMode="External" /><Relationship Id="rId32" Type="http://schemas.openxmlformats.org/officeDocument/2006/relationships/image" Target="media/image5.png" /><Relationship Id="rId33" Type="http://schemas.openxmlformats.org/officeDocument/2006/relationships/header" Target="header9.xml" /><Relationship Id="rId34" Type="http://schemas.openxmlformats.org/officeDocument/2006/relationships/footer" Target="footer7.xml" /><Relationship Id="rId35" Type="http://schemas.openxmlformats.org/officeDocument/2006/relationships/header" Target="header10.xml" /><Relationship Id="rId36" Type="http://schemas.openxmlformats.org/officeDocument/2006/relationships/footer" Target="footer8.xml" /><Relationship Id="rId37" Type="http://schemas.openxmlformats.org/officeDocument/2006/relationships/chart" Target="charts/chart2.xml" /><Relationship Id="rId38" Type="http://schemas.openxmlformats.org/officeDocument/2006/relationships/chart" Target="charts/chart3.xml" /><Relationship Id="rId39" Type="http://schemas.openxmlformats.org/officeDocument/2006/relationships/chart" Target="charts/chart4.xml" /><Relationship Id="rId4" Type="http://schemas.openxmlformats.org/officeDocument/2006/relationships/fontTable" Target="fontTable.xml" /><Relationship Id="rId40" Type="http://schemas.openxmlformats.org/officeDocument/2006/relationships/chart" Target="charts/chart5.xml" /><Relationship Id="rId41" Type="http://schemas.openxmlformats.org/officeDocument/2006/relationships/chart" Target="charts/chart6.xml" /><Relationship Id="rId42" Type="http://schemas.openxmlformats.org/officeDocument/2006/relationships/header" Target="header11.xml" /><Relationship Id="rId43" Type="http://schemas.openxmlformats.org/officeDocument/2006/relationships/footer" Target="footer9.xml" /><Relationship Id="rId44" Type="http://schemas.openxmlformats.org/officeDocument/2006/relationships/image" Target="media/image6.png" /><Relationship Id="rId45" Type="http://schemas.openxmlformats.org/officeDocument/2006/relationships/image" Target="media/image7.jpeg" /><Relationship Id="rId46" Type="http://schemas.openxmlformats.org/officeDocument/2006/relationships/header" Target="header12.xml" /><Relationship Id="rId47" Type="http://schemas.openxmlformats.org/officeDocument/2006/relationships/footer" Target="footer10.xml" /><Relationship Id="rId48" Type="http://schemas.openxmlformats.org/officeDocument/2006/relationships/header" Target="header13.xml" /><Relationship Id="rId49" Type="http://schemas.openxmlformats.org/officeDocument/2006/relationships/image" Target="media/image8.png" /><Relationship Id="rId5" Type="http://schemas.openxmlformats.org/officeDocument/2006/relationships/image" Target="media/image1.png" /><Relationship Id="rId50" Type="http://schemas.openxmlformats.org/officeDocument/2006/relationships/hyperlink" Target="https://www.kearneyco.com/" TargetMode="External" /><Relationship Id="rId51" Type="http://schemas.openxmlformats.org/officeDocument/2006/relationships/image" Target="media/image9.emf" /><Relationship Id="rId52" Type="http://schemas.openxmlformats.org/officeDocument/2006/relationships/header" Target="header14.xml" /><Relationship Id="rId53" Type="http://schemas.openxmlformats.org/officeDocument/2006/relationships/header" Target="header15.xml" /><Relationship Id="rId54" Type="http://schemas.openxmlformats.org/officeDocument/2006/relationships/footer" Target="footer11.xml" /><Relationship Id="rId55" Type="http://schemas.openxmlformats.org/officeDocument/2006/relationships/header" Target="header16.xml" /><Relationship Id="rId56" Type="http://schemas.openxmlformats.org/officeDocument/2006/relationships/header" Target="header17.xml" /><Relationship Id="rId57" Type="http://schemas.openxmlformats.org/officeDocument/2006/relationships/header" Target="header18.xml" /><Relationship Id="rId58" Type="http://schemas.openxmlformats.org/officeDocument/2006/relationships/header" Target="header19.xml" /><Relationship Id="rId59" Type="http://schemas.openxmlformats.org/officeDocument/2006/relationships/header" Target="header20.xml" /><Relationship Id="rId6" Type="http://schemas.openxmlformats.org/officeDocument/2006/relationships/footer" Target="footer1.xml" /><Relationship Id="rId60" Type="http://schemas.openxmlformats.org/officeDocument/2006/relationships/footer" Target="footer12.xml" /><Relationship Id="rId61" Type="http://schemas.openxmlformats.org/officeDocument/2006/relationships/header" Target="header21.xml" /><Relationship Id="rId62" Type="http://schemas.openxmlformats.org/officeDocument/2006/relationships/image" Target="media/image11.png" /><Relationship Id="rId63" Type="http://schemas.openxmlformats.org/officeDocument/2006/relationships/image" Target="media/image12.png" /><Relationship Id="rId64" Type="http://schemas.openxmlformats.org/officeDocument/2006/relationships/image" Target="media/image13.png" /><Relationship Id="rId65" Type="http://schemas.openxmlformats.org/officeDocument/2006/relationships/header" Target="header22.xml" /><Relationship Id="rId66" Type="http://schemas.openxmlformats.org/officeDocument/2006/relationships/footer" Target="footer13.xml" /><Relationship Id="rId67" Type="http://schemas.openxmlformats.org/officeDocument/2006/relationships/header" Target="header23.xml" /><Relationship Id="rId68" Type="http://schemas.openxmlformats.org/officeDocument/2006/relationships/footer" Target="footer14.xml" /><Relationship Id="rId69" Type="http://schemas.openxmlformats.org/officeDocument/2006/relationships/header" Target="header24.xml" /><Relationship Id="rId7" Type="http://schemas.openxmlformats.org/officeDocument/2006/relationships/header" Target="header1.xml" /><Relationship Id="rId70" Type="http://schemas.openxmlformats.org/officeDocument/2006/relationships/header" Target="header25.xml" /><Relationship Id="rId71" Type="http://schemas.openxmlformats.org/officeDocument/2006/relationships/footer" Target="footer15.xml" /><Relationship Id="rId72" Type="http://schemas.openxmlformats.org/officeDocument/2006/relationships/header" Target="header26.xml" /><Relationship Id="rId73" Type="http://schemas.openxmlformats.org/officeDocument/2006/relationships/hyperlink" Target="https://www.whitehouse.gov/omb/budget/" TargetMode="External" /><Relationship Id="rId74" Type="http://schemas.openxmlformats.org/officeDocument/2006/relationships/hyperlink" Target="https://www.usac.org" TargetMode="External" /><Relationship Id="rId75" Type="http://schemas.openxmlformats.org/officeDocument/2006/relationships/hyperlink" Target="https://www.neca.org" TargetMode="External" /><Relationship Id="rId76" Type="http://schemas.openxmlformats.org/officeDocument/2006/relationships/hyperlink" Target="https://getemergencybroadband.org" TargetMode="External" /><Relationship Id="rId77" Type="http://schemas.openxmlformats.org/officeDocument/2006/relationships/hyperlink" Target="https://www.congress.gov/bill/117th-congress/house-bill/3684/text" TargetMode="External" /><Relationship Id="rId78" Type="http://schemas.openxmlformats.org/officeDocument/2006/relationships/hyperlink" Target="https://home.treasury.gov/" TargetMode="External" /><Relationship Id="rId79" Type="http://schemas.openxmlformats.org/officeDocument/2006/relationships/header" Target="header27.xml" /><Relationship Id="rId8" Type="http://schemas.openxmlformats.org/officeDocument/2006/relationships/header" Target="header2.xml" /><Relationship Id="rId80" Type="http://schemas.openxmlformats.org/officeDocument/2006/relationships/header" Target="header28.xml" /><Relationship Id="rId81" Type="http://schemas.openxmlformats.org/officeDocument/2006/relationships/footer" Target="footer16.xml" /><Relationship Id="rId82" Type="http://schemas.openxmlformats.org/officeDocument/2006/relationships/header" Target="header29.xml" /><Relationship Id="rId83" Type="http://schemas.openxmlformats.org/officeDocument/2006/relationships/header" Target="header30.xml" /><Relationship Id="rId84" Type="http://schemas.openxmlformats.org/officeDocument/2006/relationships/header" Target="header31.xml" /><Relationship Id="rId85" Type="http://schemas.openxmlformats.org/officeDocument/2006/relationships/footer" Target="footer17.xml" /><Relationship Id="rId86" Type="http://schemas.openxmlformats.org/officeDocument/2006/relationships/header" Target="header32.xml" /><Relationship Id="rId87" Type="http://schemas.openxmlformats.org/officeDocument/2006/relationships/hyperlink" Target="https://paymentaccuracy.gov/." TargetMode="External" /><Relationship Id="rId88" Type="http://schemas.openxmlformats.org/officeDocument/2006/relationships/hyperlink" Target="https://www.govinfo.gov/app/details/FR-2021-01-15/2021-00432" TargetMode="External" /><Relationship Id="rId89" Type="http://schemas.openxmlformats.org/officeDocument/2006/relationships/hyperlink" Target="https://www.fcc.gov/document/2021-annual-adjustment-civil-monetary-penalties-reflect-inflation" TargetMode="External" /><Relationship Id="rId9" Type="http://schemas.openxmlformats.org/officeDocument/2006/relationships/footer" Target="footer2.xml" /><Relationship Id="rId90" Type="http://schemas.openxmlformats.org/officeDocument/2006/relationships/header" Target="header33.xml" /><Relationship Id="rId91" Type="http://schemas.openxmlformats.org/officeDocument/2006/relationships/footer" Target="footer18.xml" /><Relationship Id="rId92" Type="http://schemas.openxmlformats.org/officeDocument/2006/relationships/header" Target="header34.xml" /><Relationship Id="rId93" Type="http://schemas.openxmlformats.org/officeDocument/2006/relationships/image" Target="media/image14.png" /><Relationship Id="rId94" Type="http://schemas.openxmlformats.org/officeDocument/2006/relationships/hyperlink" Target="https://www.usaspending.gov/" TargetMode="External" /><Relationship Id="rId95" Type="http://schemas.openxmlformats.org/officeDocument/2006/relationships/theme" Target="theme/theme1.xml" /><Relationship Id="rId96" Type="http://schemas.openxmlformats.org/officeDocument/2006/relationships/numbering" Target="numbering.xml" /><Relationship Id="rId97" Type="http://schemas.openxmlformats.org/officeDocument/2006/relationships/styles" Target="styles.xml" /></Relationships>
</file>

<file path=word/_rels/footnotes.xml.rels><?xml version="1.0" encoding="utf-8" standalone="yes"?><Relationships xmlns="http://schemas.openxmlformats.org/package/2006/relationships"><Relationship Id="rId1" Type="http://schemas.openxmlformats.org/officeDocument/2006/relationships/hyperlink" Target="https://www.usaspending.gov/" TargetMode="External" /></Relationships>
</file>

<file path=word/_rels/header12.xml.rels><?xml version="1.0" encoding="utf-8" standalone="yes"?><Relationships xmlns="http://schemas.openxmlformats.org/package/2006/relationships"><Relationship Id="rId1" Type="http://schemas.openxmlformats.org/officeDocument/2006/relationships/image" Target="media/image8.png" /></Relationships>
</file>

<file path=word/_rels/header14.xml.rels><?xml version="1.0" encoding="utf-8" standalone="yes"?><Relationships xmlns="http://schemas.openxmlformats.org/package/2006/relationships"><Relationship Id="rId1" Type="http://schemas.openxmlformats.org/officeDocument/2006/relationships/image" Target="media/image8.png" /></Relationships>
</file>

<file path=word/_rels/header15.xml.rels><?xml version="1.0" encoding="utf-8" standalone="yes"?><Relationships xmlns="http://schemas.openxmlformats.org/package/2006/relationships"><Relationship Id="rId1" Type="http://schemas.openxmlformats.org/officeDocument/2006/relationships/image" Target="media/image8.png" /></Relationships>
</file>

<file path=word/_rels/header17.xml.rels><?xml version="1.0" encoding="utf-8" standalone="yes"?><Relationships xmlns="http://schemas.openxmlformats.org/package/2006/relationships"><Relationship Id="rId1" Type="http://schemas.openxmlformats.org/officeDocument/2006/relationships/image" Target="media/image8.png" /></Relationships>
</file>

<file path=word/_rels/header19.xml.rels><?xml version="1.0" encoding="utf-8" standalone="yes"?><Relationships xmlns="http://schemas.openxmlformats.org/package/2006/relationships"><Relationship Id="rId1" Type="http://schemas.openxmlformats.org/officeDocument/2006/relationships/image" Target="media/image8.png" /></Relationships>
</file>

<file path=word/_rels/header20.xml.rels><?xml version="1.0" encoding="utf-8" standalone="yes"?><Relationships xmlns="http://schemas.openxmlformats.org/package/2006/relationships"><Relationship Id="rId1" Type="http://schemas.openxmlformats.org/officeDocument/2006/relationships/image" Target="media/image10.png" /></Relationships>
</file>

<file path=word/charts/_rels/chart1.xml.rels><?xml version="1.0" encoding="utf-8" standalone="yes"?><Relationships xmlns="http://schemas.openxmlformats.org/package/2006/relationships"><Relationship Id="rId1" Type="http://schemas.openxmlformats.org/officeDocument/2006/relationships/oleObject" Target="file:///\\fccnet\data\Bureaus-Offices\OMD\Financial%20Operations\Financial%20Operations%20Center\FSRG\FY%202021\PD%2012-13%20-%2009-30-21%20Financial%20Reports\AFR\Chapter%201\FSRG\2nd%20Draft%20PD12%20FY21\FY21%20Draft%20AFR%20Chap%201%20Graphs%20101521.xlsx" TargetMode="External" /><Relationship Id="rId2" Type="http://schemas.openxmlformats.org/officeDocument/2006/relationships/chartUserShapes" Target="../drawings/drawing1.xml" /><Relationship Id="rId3" Type="http://schemas.openxmlformats.org/officeDocument/2006/relationships/themeOverride" Target="../theme/themeOverride1.xml" /></Relationships>
</file>

<file path=word/charts/_rels/chart2.xml.rels><?xml version="1.0" encoding="utf-8" standalone="yes"?><Relationships xmlns="http://schemas.openxmlformats.org/package/2006/relationships"><Relationship Id="rId1" Type="http://schemas.openxmlformats.org/officeDocument/2006/relationships/oleObject" Target="file:///\\fccnet\data\Bureaus-Offices\OMD\Financial%20Operations\Financial%20Operations%20Center\FSRG\FY%202021\PD%2012-13%20-%2009-30-21%20Financial%20Reports\AFR\Chapter%201\FSRG\2nd%20Draft%20PD12%20FY21\FY21%20Draft%20AFR%20Chap%201%20Graphs%20101521.xlsx" TargetMode="External" /><Relationship Id="rId2" Type="http://schemas.openxmlformats.org/officeDocument/2006/relationships/chartUserShapes" Target="../drawings/drawing2.xml" /><Relationship Id="rId3" Type="http://schemas.openxmlformats.org/officeDocument/2006/relationships/themeOverride" Target="../theme/themeOverride2.xml" /></Relationships>
</file>

<file path=word/charts/_rels/chart3.xml.rels><?xml version="1.0" encoding="utf-8" standalone="yes"?><Relationships xmlns="http://schemas.openxmlformats.org/package/2006/relationships"><Relationship Id="rId1" Type="http://schemas.openxmlformats.org/officeDocument/2006/relationships/oleObject" Target="../embeddings/OleObject1.bin" /><Relationship Id="rId2" Type="http://schemas.openxmlformats.org/officeDocument/2006/relationships/chartUserShapes" Target="../drawings/drawing3.xml" /><Relationship Id="rId3" Type="http://schemas.openxmlformats.org/officeDocument/2006/relationships/themeOverride" Target="../theme/themeOverride3.xml" /><Relationship Id="rId4" Type="http://schemas.microsoft.com/office/2011/relationships/chartColorStyle" Target="chart/colors1.xml" /><Relationship Id="rId5" Type="http://schemas.microsoft.com/office/2011/relationships/chartStyle" Target="chart/style1.xml" /></Relationships>
</file>

<file path=word/charts/_rels/chart4.xml.rels><?xml version="1.0" encoding="utf-8" standalone="yes"?><Relationships xmlns="http://schemas.openxmlformats.org/package/2006/relationships"><Relationship Id="rId1" Type="http://schemas.openxmlformats.org/officeDocument/2006/relationships/oleObject" Target="../embeddings/OleObject2.bin" /><Relationship Id="rId2" Type="http://schemas.openxmlformats.org/officeDocument/2006/relationships/chartUserShapes" Target="../drawings/drawing4.xml" /><Relationship Id="rId3" Type="http://schemas.openxmlformats.org/officeDocument/2006/relationships/themeOverride" Target="../theme/themeOverride4.xml" /><Relationship Id="rId4" Type="http://schemas.microsoft.com/office/2011/relationships/chartColorStyle" Target="chart/colors2.xml" /><Relationship Id="rId5" Type="http://schemas.microsoft.com/office/2011/relationships/chartStyle" Target="chart/style2.xml" /></Relationships>
</file>

<file path=word/charts/_rels/chart5.xml.rels><?xml version="1.0" encoding="utf-8" standalone="yes"?><Relationships xmlns="http://schemas.openxmlformats.org/package/2006/relationships"><Relationship Id="rId1" Type="http://schemas.openxmlformats.org/officeDocument/2006/relationships/oleObject" Target="../embeddings/OleObject3.bin" /><Relationship Id="rId2" Type="http://schemas.openxmlformats.org/officeDocument/2006/relationships/chartUserShapes" Target="../drawings/drawing5.xml" /></Relationships>
</file>

<file path=word/charts/_rels/chart6.xml.rels><?xml version="1.0" encoding="utf-8" standalone="yes"?><Relationships xmlns="http://schemas.openxmlformats.org/package/2006/relationships"><Relationship Id="rId1" Type="http://schemas.openxmlformats.org/officeDocument/2006/relationships/oleObject" Target="file:///\\fccnet\data\Bureaus-Offices\OMD\Financial%20Operations\Financial%20Operations%20Center\FSRG\FY%202021\PD%2012-13%20-%2009-30-21%20Financial%20Reports\AFR\Chapter%201\FSRG\2nd%20Draft%20PD12%20FY21\FY21%20Draft%20AFR%20Chap%201%20Graphs%20101521.xlsx" TargetMode="External" /><Relationship Id="rId2" Type="http://schemas.openxmlformats.org/officeDocument/2006/relationships/chartUserShapes" Target="../drawings/drawing6.xml" /><Relationship Id="rId3" Type="http://schemas.openxmlformats.org/officeDocument/2006/relationships/themeOverride" Target="../theme/themeOverride5.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chart/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60"/>
      <c:rotY val="20"/>
      <c:rAngAx val="0"/>
      <c:perspective val="50"/>
    </c:view3D>
    <c:floor>
      <c:thickness val="0"/>
    </c:floor>
    <c:sideWall>
      <c:thickness val="0"/>
    </c:sideWall>
    <c:backWall>
      <c:thickness val="0"/>
    </c:backWall>
    <c:plotArea>
      <c:layout>
        <c:manualLayout>
          <c:layoutTarget val="inner"/>
          <c:xMode val="edge"/>
          <c:yMode val="edge"/>
          <c:x val="0.094612357794590526"/>
          <c:y val="0.1838704055273723"/>
          <c:w val="0.63612439146574862"/>
          <c:h val="0.76646291743176376"/>
        </c:manualLayout>
      </c:layout>
      <c:pie3DChart>
        <c:varyColors val="1"/>
        <c:ser>
          <c:idx val="0"/>
          <c:order val="0"/>
          <c:dPt>
            <c:idx val="0"/>
            <c:bubble3D val="0"/>
            <c:explosion val="5"/>
            <c:spPr>
              <a:solidFill>
                <a:schemeClr val="accent6">
                  <a:lumMod val="75000"/>
                </a:schemeClr>
              </a:solidFill>
            </c:spPr>
            <c:extLst>
              <c:ext xmlns:c16="http://schemas.microsoft.com/office/drawing/2014/chart" uri="{C3380CC4-5D6E-409C-BE32-E72D297353CC}">
                <c16:uniqueId val="{00000001-B753-445E-94C0-3B6CE37E6D0B}"/>
              </c:ext>
            </c:extLst>
          </c:dPt>
          <c:dPt>
            <c:idx val="1"/>
            <c:bubble3D val="0"/>
            <c:explosion val="4"/>
            <c:spPr>
              <a:solidFill>
                <a:srgbClr val="00B0F0"/>
              </a:solidFill>
            </c:spPr>
            <c:extLst>
              <c:ext xmlns:c16="http://schemas.microsoft.com/office/drawing/2014/chart" uri="{C3380CC4-5D6E-409C-BE32-E72D297353CC}">
                <c16:uniqueId val="{00000003-B753-445E-94C0-3B6CE37E6D0B}"/>
              </c:ext>
            </c:extLst>
          </c:dPt>
          <c:dPt>
            <c:idx val="2"/>
            <c:bubble3D val="0"/>
            <c:explosion val="6"/>
            <c:spPr>
              <a:solidFill>
                <a:srgbClr val="FF0000"/>
              </a:solidFill>
            </c:spPr>
            <c:extLst>
              <c:ext xmlns:c16="http://schemas.microsoft.com/office/drawing/2014/chart" uri="{C3380CC4-5D6E-409C-BE32-E72D297353CC}">
                <c16:uniqueId val="{00000005-B753-445E-94C0-3B6CE37E6D0B}"/>
              </c:ext>
            </c:extLst>
          </c:dPt>
          <c:dPt>
            <c:idx val="3"/>
            <c:bubble3D val="0"/>
            <c:explosion val="6"/>
            <c:spPr>
              <a:solidFill>
                <a:srgbClr val="7030A0"/>
              </a:solidFill>
            </c:spPr>
            <c:extLst>
              <c:ext xmlns:c16="http://schemas.microsoft.com/office/drawing/2014/chart" uri="{C3380CC4-5D6E-409C-BE32-E72D297353CC}">
                <c16:uniqueId val="{00000007-B753-445E-94C0-3B6CE37E6D0B}"/>
              </c:ext>
            </c:extLst>
          </c:dPt>
          <c:dPt>
            <c:idx val="4"/>
            <c:bubble3D val="0"/>
            <c:explosion val="8"/>
            <c:spPr>
              <a:solidFill>
                <a:srgbClr val="FFFF00"/>
              </a:solidFill>
            </c:spPr>
            <c:extLst>
              <c:ext xmlns:c16="http://schemas.microsoft.com/office/drawing/2014/chart" uri="{C3380CC4-5D6E-409C-BE32-E72D297353CC}">
                <c16:uniqueId val="{00000009-B753-445E-94C0-3B6CE37E6D0B}"/>
              </c:ext>
            </c:extLst>
          </c:dPt>
          <c:dPt>
            <c:idx val="5"/>
            <c:bubble3D val="0"/>
            <c:explosion val="8"/>
            <c:extLst>
              <c:ext xmlns:c16="http://schemas.microsoft.com/office/drawing/2014/chart" uri="{C3380CC4-5D6E-409C-BE32-E72D297353CC}">
                <c16:uniqueId val="{0000000B-B753-445E-94C0-3B6CE37E6D0B}"/>
              </c:ext>
            </c:extLst>
          </c:dPt>
          <c:dPt>
            <c:idx val="6"/>
            <c:bubble3D val="0"/>
            <c:explosion val="10"/>
            <c:spPr>
              <a:solidFill>
                <a:srgbClr val="0070C0"/>
              </a:solidFill>
            </c:spPr>
            <c:extLst>
              <c:ext xmlns:c16="http://schemas.microsoft.com/office/drawing/2014/chart" uri="{C3380CC4-5D6E-409C-BE32-E72D297353CC}">
                <c16:uniqueId val="{0000000D-B753-445E-94C0-3B6CE37E6D0B}"/>
              </c:ext>
            </c:extLst>
          </c:dPt>
          <c:dLbls>
            <c:dLbl>
              <c:idx val="0"/>
              <c:layout>
                <c:manualLayout>
                  <c:x val="-0.0823472188325562"/>
                  <c:y val="0.11276026267467555"/>
                </c:manualLayout>
              </c:layout>
              <c:tx>
                <c:rich>
                  <a:bodyPr wrap="square" lIns="38100" tIns="19050" rIns="38100" bIns="19050" anchor="ctr"/>
                  <a:lstStyle/>
                  <a:p>
                    <a:pPr>
                      <a:defRPr>
                        <a:latin typeface="Times New Roman" panose="02020603050405020304" pitchFamily="18" charset="0"/>
                        <a:cs typeface="Times New Roman" panose="02020603050405020304" pitchFamily="18" charset="0"/>
                      </a:defRPr>
                    </a:pPr>
                    <a:fld id="{85e3d40e-d57a-4d61-a2a7-2098614ab904}" type="CATEGORYNAME">
                      <a:pPr>
                        <a:defRPr>
                          <a:latin typeface="Times New Roman" panose="02020603050405020304" pitchFamily="18" charset="0"/>
                          <a:cs typeface="Times New Roman" panose="02020603050405020304" pitchFamily="18" charset="0"/>
                        </a:defRPr>
                      </a:pPr>
                      <a:rPr lang="en-US"/>
                      <a:t>[CATEGORY NAME]</a:t>
                    </a:fld>
                    <a:r>
                      <a:rPr lang="en-US" baseline="0"/>
                      <a:t>
</a:t>
                    </a:r>
                    <a:fld id="{e7bd2479-ca46-4bf0-81aa-d1f957809d8a}" type="VALUE">
                      <a:pPr>
                        <a:defRPr>
                          <a:latin typeface="Times New Roman" panose="02020603050405020304" pitchFamily="18" charset="0"/>
                          <a:cs typeface="Times New Roman" panose="02020603050405020304" pitchFamily="18" charset="0"/>
                        </a:defRPr>
                      </a:pPr>
                      <a:rPr lang="en-US" baseline="0"/>
                      <a:t>[VALUE]</a:t>
                    </a:fld>
                    <a:r>
                      <a:rPr lang="en-US" baseline="0"/>
                      <a:t>
7%</a:t>
                    </a:r>
                  </a:p>
                </c:rich>
              </c:tx>
              <c:spPr>
                <a:noFill/>
                <a:ln>
                  <a:noFill/>
                </a:ln>
                <a:effectLst/>
              </c:spPr>
              <c:showLegendKey val="0"/>
              <c:showVal val="1"/>
              <c:showCatName val="1"/>
              <c:showSerName val="0"/>
              <c:showPercent val="1"/>
              <c:showBubbleSize val="0"/>
              <c:separator>
</c:separator>
              <c:extLst>
                <c:ext xmlns:c15="http://schemas.microsoft.com/office/drawing/2012/chart" uri="{CE6537A1-D6FC-4f65-9D91-7224C49458BB}">
                  <c15:layout>
                    <c:manualLayout>
                      <c:w val="0.1043670601533699"/>
                      <c:h val="0.11113421099042461"/>
                    </c:manualLayout>
                  </c15:layout>
                  <c15:showDataLabelsRange val="0"/>
                </c:ext>
                <c:ext xmlns:c16="http://schemas.microsoft.com/office/drawing/2014/chart" uri="{C3380CC4-5D6E-409C-BE32-E72D297353CC}">
                  <c16:uniqueId val="{00000001-B753-445E-94C0-3B6CE37E6D0B}"/>
                </c:ext>
              </c:extLst>
            </c:dLbl>
            <c:dLbl>
              <c:idx val="1"/>
              <c:layout>
                <c:manualLayout>
                  <c:x val="-0.039754745175613324"/>
                  <c:y val="-0.076467170852655281"/>
                </c:manualLayout>
              </c:layout>
              <c:tx>
                <c:rich>
                  <a:bodyPr/>
                  <a:lstStyle/>
                  <a:p>
                    <a:fld id="{72fb2abf-ed93-4dde-9fbb-4c14e2ef89e2}" type="CATEGORYNAME">
                      <a:rPr lang="en-US"/>
                      <a:t>[CATEGORY NAME]</a:t>
                    </a:fld>
                    <a:r>
                      <a:rPr lang="en-US" baseline="0"/>
                      <a:t>
</a:t>
                    </a:r>
                    <a:fld id="{118a5507-5014-4e61-8f19-088dbe1dc5a2}" type="VALUE">
                      <a:rPr lang="en-US" baseline="0"/>
                      <a:t>[VALUE]</a:t>
                    </a:fld>
                    <a:r>
                      <a:rPr lang="en-US" baseline="0"/>
                      <a:t>
&lt; 1%</a:t>
                    </a:r>
                  </a:p>
                </c:rich>
              </c:tx>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B753-445E-94C0-3B6CE37E6D0B}"/>
                </c:ext>
              </c:extLst>
            </c:dLbl>
            <c:dLbl>
              <c:idx val="2"/>
              <c:layout>
                <c:manualLayout>
                  <c:x val="0.12953736411007352"/>
                  <c:y val="-0.075732262716172366"/>
                </c:manualLayout>
              </c:layout>
              <c:tx>
                <c:rich>
                  <a:bodyPr/>
                  <a:lstStyle/>
                  <a:p>
                    <a:fld id="{a33b5bff-71d9-4441-8e44-0ea41c13fc73}" type="CATEGORYNAME">
                      <a:rPr lang="en-US"/>
                      <a:t>[CATEGORY NAME]</a:t>
                    </a:fld>
                    <a:r>
                      <a:rPr lang="en-US" baseline="0"/>
                      <a:t>
</a:t>
                    </a:r>
                    <a:fld id="{4d0b3334-8732-4df5-82e2-4a591feda3f4}" type="VALUE">
                      <a:rPr lang="en-US" baseline="0"/>
                      <a:t>[VALUE]</a:t>
                    </a:fld>
                    <a:r>
                      <a:rPr lang="en-US" baseline="0"/>
                      <a:t>
2%</a:t>
                    </a:r>
                  </a:p>
                </c:rich>
              </c:tx>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B753-445E-94C0-3B6CE37E6D0B}"/>
                </c:ext>
              </c:extLst>
            </c:dLbl>
            <c:dLbl>
              <c:idx val="3"/>
              <c:layout>
                <c:manualLayout>
                  <c:x val="0.13703639002710305"/>
                  <c:y val="0.23695143838245517"/>
                </c:manualLayout>
              </c:layout>
              <c:tx>
                <c:rich>
                  <a:bodyPr/>
                  <a:lstStyle/>
                  <a:p>
                    <a:fld id="{60309761-0178-408c-9dc6-c0d318642ca7}" type="CATEGORYNAME">
                      <a:rPr lang="en-US"/>
                      <a:t>[CATEGORY NAME]</a:t>
                    </a:fld>
                    <a:r>
                      <a:rPr lang="en-US" baseline="0"/>
                      <a:t>
</a:t>
                    </a:r>
                    <a:fld id="{48fcac2c-c23e-4176-ac63-8550d3d0ecd1}" type="VALUE">
                      <a:rPr lang="en-US" baseline="0"/>
                      <a:t>[VALUE]</a:t>
                    </a:fld>
                    <a:r>
                      <a:rPr lang="en-US" baseline="0"/>
                      <a:t>
&lt; 1%</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17207177814029362"/>
                      <c:h val="0.12911725955204217"/>
                    </c:manualLayout>
                  </c15:layout>
                  <c15:showDataLabelsRange val="0"/>
                </c:ext>
                <c:ext xmlns:c16="http://schemas.microsoft.com/office/drawing/2014/chart" uri="{C3380CC4-5D6E-409C-BE32-E72D297353CC}">
                  <c16:uniqueId val="{00000007-B753-445E-94C0-3B6CE37E6D0B}"/>
                </c:ext>
              </c:extLst>
            </c:dLbl>
            <c:dLbl>
              <c:idx val="4"/>
              <c:layout>
                <c:manualLayout>
                  <c:x val="0.18210907160259113"/>
                  <c:y val="0.05267477928895252"/>
                </c:manualLayout>
              </c:layout>
              <c:tx>
                <c:rich>
                  <a:bodyPr/>
                  <a:lstStyle/>
                  <a:p>
                    <a:fld id="{ae5bab4f-e6e2-4bc8-bb71-f592287048e0}" type="CATEGORYNAME">
                      <a:rPr lang="en-US"/>
                      <a:t>[CATEGORY NAME]</a:t>
                    </a:fld>
                    <a:r>
                      <a:rPr lang="en-US" baseline="0"/>
                      <a:t>
</a:t>
                    </a:r>
                    <a:fld id="{4934efa0-bbb2-4603-acb4-c903cc95e697}" type="VALUE">
                      <a:rPr lang="en-US" baseline="0"/>
                      <a:t>[VALUE]</a:t>
                    </a:fld>
                    <a:r>
                      <a:rPr lang="en-US" baseline="0"/>
                      <a:t>
1%</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17883632408917891"/>
                      <c:h val="0.12911725955204217"/>
                    </c:manualLayout>
                  </c15:layout>
                  <c15:showDataLabelsRange val="0"/>
                </c:ext>
                <c:ext xmlns:c16="http://schemas.microsoft.com/office/drawing/2014/chart" uri="{C3380CC4-5D6E-409C-BE32-E72D297353CC}">
                  <c16:uniqueId val="{00000009-B753-445E-94C0-3B6CE37E6D0B}"/>
                </c:ext>
              </c:extLst>
            </c:dLbl>
            <c:dLbl>
              <c:idx val="5"/>
              <c:layout>
                <c:manualLayout>
                  <c:x val="-0.17456919842605317"/>
                  <c:y val="0.0355488469079704"/>
                </c:manualLayout>
              </c:layout>
              <c:tx>
                <c:rich>
                  <a:bodyPr/>
                  <a:lstStyle/>
                  <a:p>
                    <a:fld id="{2857e072-10e7-4ed8-98c5-b54cf2aaa379}" type="CATEGORYNAME">
                      <a:rPr lang="en-US"/>
                      <a:t>[CATEGORY NAME]</a:t>
                    </a:fld>
                    <a:r>
                      <a:rPr lang="en-US" baseline="0"/>
                      <a:t>
</a:t>
                    </a:r>
                    <a:fld id="{2f00a3f7-2d75-473b-a61d-8f4297e60284}" type="VALUE">
                      <a:rPr lang="en-US" baseline="0"/>
                      <a:t>[VALUE]</a:t>
                    </a:fld>
                    <a:r>
                      <a:rPr lang="en-US" baseline="0"/>
                      <a:t>
13%</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19430125067971724"/>
                      <c:h val="0.12911725955204217"/>
                    </c:manualLayout>
                  </c15:layout>
                  <c15:showDataLabelsRange val="0"/>
                </c:ext>
                <c:ext xmlns:c16="http://schemas.microsoft.com/office/drawing/2014/chart" uri="{C3380CC4-5D6E-409C-BE32-E72D297353CC}">
                  <c16:uniqueId val="{0000000B-B753-445E-94C0-3B6CE37E6D0B}"/>
                </c:ext>
              </c:extLst>
            </c:dLbl>
            <c:dLbl>
              <c:idx val="6"/>
              <c:layout>
                <c:manualLayout>
                  <c:x val="-0.095314211335328691"/>
                  <c:y val="-0.203408338779787"/>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13174551386623165"/>
                      <c:h val="0.09881422924901187"/>
                    </c:manualLayout>
                  </c15:layout>
                </c:ext>
                <c:ext xmlns:c16="http://schemas.microsoft.com/office/drawing/2014/chart" uri="{C3380CC4-5D6E-409C-BE32-E72D297353CC}">
                  <c16:uniqueId val="{0000000D-B753-445E-94C0-3B6CE37E6D0B}"/>
                </c:ext>
              </c:extLst>
            </c:dLbl>
            <c:dLbl>
              <c:idx val="7"/>
              <c:layout>
                <c:manualLayout>
                  <c:x val="0.16511995136007671"/>
                  <c:y val="-0.14164825246646551"/>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1776617727025557"/>
                      <c:h val="0.12911725955204217"/>
                    </c:manualLayout>
                  </c15:layout>
                </c:ext>
                <c:ext xmlns:c16="http://schemas.microsoft.com/office/drawing/2014/chart" uri="{C3380CC4-5D6E-409C-BE32-E72D297353CC}">
                  <c16:uniqueId val="{0000000E-B753-445E-94C0-3B6CE37E6D0B}"/>
                </c:ext>
              </c:extLst>
            </c:dLbl>
            <c:dLbl>
              <c:idx val="8"/>
              <c:layout>
                <c:manualLayout>
                  <c:x val="0.13159325720500273"/>
                  <c:y val="0.14127104665276524"/>
                </c:manualLayout>
              </c:layout>
              <c:tx>
                <c:rich>
                  <a:bodyPr/>
                  <a:lstStyle/>
                  <a:p>
                    <a:fld id="{7f69e4dc-8fab-4676-af9a-115bf1a95c8d}" type="CATEGORYNAME">
                      <a:rPr lang="en-US"/>
                      <a:t>[CATEGORY NAME]</a:t>
                    </a:fld>
                    <a:r>
                      <a:rPr lang="en-US" baseline="0"/>
                      <a:t>
</a:t>
                    </a:r>
                    <a:fld id="{52a34162-a5a3-4b23-8395-72c645536b60}" type="VALUE">
                      <a:rPr lang="en-US" baseline="0"/>
                      <a:t>[VALUE]</a:t>
                    </a:fld>
                    <a:r>
                      <a:rPr lang="en-US" baseline="0"/>
                      <a:t>
38%</a:t>
                    </a:r>
                  </a:p>
                </c:rich>
              </c:tx>
              <c:showLegendKey val="0"/>
              <c:showVal val="1"/>
              <c:showCatName val="1"/>
              <c:showSerName val="0"/>
              <c:showPercent val="1"/>
              <c:showBubbleSize val="0"/>
              <c:separator>
</c:separator>
              <c:extLst>
                <c:ext xmlns:c15="http://schemas.microsoft.com/office/drawing/2012/chart" uri="{CE6537A1-D6FC-4f65-9D91-7224C49458BB}">
                  <c15:layout>
                    <c:manualLayout>
                      <c:w val="0.12180532898314302"/>
                      <c:h val="0.09881422924901187"/>
                    </c:manualLayout>
                  </c15:layout>
                  <c15:showDataLabelsRange val="0"/>
                </c:ext>
                <c:ext xmlns:c16="http://schemas.microsoft.com/office/drawing/2014/chart" uri="{C3380CC4-5D6E-409C-BE32-E72D297353CC}">
                  <c16:uniqueId val="{0000000F-B753-445E-94C0-3B6CE37E6D0B}"/>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'Source of NAF'!$B$2:$B$10</c:f>
              <c:strCache>
                <c:ptCount val="9"/>
                <c:pt idx="0">
                  <c:v>TRS</c:v>
                </c:pt>
                <c:pt idx="1">
                  <c:v>FCC - Auctions Program</c:v>
                </c:pt>
                <c:pt idx="2">
                  <c:v>FCC - Appropriations </c:v>
                </c:pt>
                <c:pt idx="3">
                  <c:v>FCC - Broadband DATA Act</c:v>
                </c:pt>
                <c:pt idx="4">
                  <c:v>FCC - COVID-19 Telehealth</c:v>
                </c:pt>
                <c:pt idx="5">
                  <c:v>FCC - EBCF-EBBP</c:v>
                </c:pt>
                <c:pt idx="6">
                  <c:v>FCC - ECF</c:v>
                </c:pt>
                <c:pt idx="7">
                  <c:v>FCC - S&amp;T Networks</c:v>
                </c:pt>
                <c:pt idx="8">
                  <c:v>USF</c:v>
                </c:pt>
              </c:strCache>
            </c:strRef>
          </c:cat>
          <c:val>
            <c:numRef>
              <c:f>'Source of NAF'!$C$2:$C$10</c:f>
              <c:numCache>
                <c:formatCode>_("$"* #,##0_);_("$"* \(#,##0\);_("$"* "-"_);_(@_)</c:formatCode>
                <c:ptCount val="9"/>
                <c:pt idx="0">
                  <c:v>1562</c:v>
                </c:pt>
                <c:pt idx="1">
                  <c:v>134</c:v>
                </c:pt>
                <c:pt idx="2">
                  <c:v>374</c:v>
                </c:pt>
                <c:pt idx="3">
                  <c:v>65</c:v>
                </c:pt>
                <c:pt idx="4">
                  <c:v>250</c:v>
                </c:pt>
                <c:pt idx="5">
                  <c:v>3200</c:v>
                </c:pt>
                <c:pt idx="6">
                  <c:v>7172</c:v>
                </c:pt>
                <c:pt idx="7">
                  <c:v>1900</c:v>
                </c:pt>
                <c:pt idx="8">
                  <c:v>9190</c:v>
                </c:pt>
              </c:numCache>
            </c:numRef>
          </c:val>
          <c:extLst>
            <c:ext xmlns:c16="http://schemas.microsoft.com/office/drawing/2014/chart" uri="{C3380CC4-5D6E-409C-BE32-E72D297353CC}">
              <c16:uniqueId val="{00000010-B753-445E-94C0-3B6CE37E6D0B}"/>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gradFill rotWithShape="1">
      <a:gsLst>
        <a:gs pos="0">
          <a:srgbClr val="00B050"/>
        </a:gs>
        <a:gs pos="54000">
          <a:schemeClr val="bg1">
            <a:lumMod val="95000"/>
            <a:lumOff val="5000"/>
          </a:schemeClr>
        </a:gs>
        <a:gs pos="100000">
          <a:srgbClr val="00B050"/>
        </a:gs>
      </a:gsLst>
      <a:lin ang="5400000" scaled="1"/>
    </a:gradFill>
    <a:ln>
      <a:solidFill>
        <a:schemeClr val="tx1"/>
      </a:solidFill>
    </a:ln>
  </c:spPr>
  <c:externalData r:id="rId1">
    <c:autoUpdate val="0"/>
  </c:externalData>
  <c:userShapes r:id="rId2"/>
  <c:extLst>
    <a:ext xmlns:a="http://schemas.openxmlformats.org/drawingml/2006/main" uri="{FF2B5EF4-FFF2-40B4-BE49-F238E27FC236}">
      <a16:creationId xmlns:a16="http://schemas.microsoft.com/office/drawing/2014/main" id="{72E0C75F-21E6-42D3-A46F-37E308B9162A}"/>
    </a: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60"/>
      <c:rotY val="100"/>
      <c:rAngAx val="0"/>
      <c:perspective val="50"/>
    </c:view3D>
    <c:floor>
      <c:thickness val="0"/>
    </c:floor>
    <c:sideWall>
      <c:thickness val="0"/>
    </c:sideWall>
    <c:backWall>
      <c:thickness val="0"/>
    </c:backWall>
    <c:plotArea>
      <c:layout>
        <c:manualLayout>
          <c:layoutTarget val="inner"/>
          <c:xMode val="edge"/>
          <c:yMode val="edge"/>
          <c:x val="0.20602074355006988"/>
          <c:y val="0.19860831064109927"/>
          <c:w val="0.47530565334285713"/>
          <c:h val="0.73256054368135337"/>
        </c:manualLayout>
      </c:layout>
      <c:pie3DChart>
        <c:varyColors val="1"/>
        <c:ser>
          <c:idx val="0"/>
          <c:order val="0"/>
          <c:explosion val="17"/>
          <c:dPt>
            <c:idx val="0"/>
            <c:bubble3D val="0"/>
            <c:spPr>
              <a:solidFill>
                <a:srgbClr val="00B0F0"/>
              </a:solidFill>
            </c:spPr>
            <c:extLst>
              <c:ext xmlns:c16="http://schemas.microsoft.com/office/drawing/2014/chart" uri="{C3380CC4-5D6E-409C-BE32-E72D297353CC}">
                <c16:uniqueId val="{00000001-E3B4-4324-9BBB-EB9B851EFA45}"/>
              </c:ext>
            </c:extLst>
          </c:dPt>
          <c:dPt>
            <c:idx val="2"/>
            <c:bubble3D val="0"/>
            <c:spPr>
              <a:solidFill>
                <a:srgbClr val="0070C0"/>
              </a:solidFill>
            </c:spPr>
            <c:extLst>
              <c:ext xmlns:c16="http://schemas.microsoft.com/office/drawing/2014/chart" uri="{C3380CC4-5D6E-409C-BE32-E72D297353CC}">
                <c16:uniqueId val="{00000003-E3B4-4324-9BBB-EB9B851EFA45}"/>
              </c:ext>
            </c:extLst>
          </c:dPt>
          <c:dPt>
            <c:idx val="3"/>
            <c:bubble3D val="0"/>
            <c:spPr>
              <a:solidFill>
                <a:srgbClr val="FF0000"/>
              </a:solidFill>
            </c:spPr>
            <c:extLst>
              <c:ext xmlns:c16="http://schemas.microsoft.com/office/drawing/2014/chart" uri="{C3380CC4-5D6E-409C-BE32-E72D297353CC}">
                <c16:uniqueId val="{00000005-E3B4-4324-9BBB-EB9B851EFA45}"/>
              </c:ext>
            </c:extLst>
          </c:dPt>
          <c:dPt>
            <c:idx val="4"/>
            <c:bubble3D val="0"/>
            <c:spPr>
              <a:solidFill>
                <a:srgbClr val="FFFF00"/>
              </a:solidFill>
            </c:spPr>
            <c:extLst>
              <c:ext xmlns:c16="http://schemas.microsoft.com/office/drawing/2014/chart" uri="{C3380CC4-5D6E-409C-BE32-E72D297353CC}">
                <c16:uniqueId val="{00000007-E3B4-4324-9BBB-EB9B851EFA45}"/>
              </c:ext>
            </c:extLst>
          </c:dPt>
          <c:dLbls>
            <c:dLbl>
              <c:idx val="0"/>
              <c:layout>
                <c:manualLayout>
                  <c:x val="0.22188454808533545"/>
                  <c:y val="0.055107901918483131"/>
                </c:manualLayout>
              </c:layout>
              <c:tx>
                <c:rich>
                  <a:bodyPr/>
                  <a:lstStyle/>
                  <a:p>
                    <a:fld id="{b9825bfc-3c86-45c2-82e2-29ee1c565681}" type="CATEGORYNAME">
                      <a:rPr lang="en-US"/>
                      <a:t>[CATEGORY NAME]</a:t>
                    </a:fld>
                    <a:r>
                      <a:rPr lang="en-US" baseline="0"/>
                      <a:t>
</a:t>
                    </a:r>
                    <a:fld id="{a4e0054e-7cc0-4d4d-a7d6-7682f7646c58}" type="VALUE">
                      <a:rPr lang="en-US" baseline="0"/>
                      <a:t>[VALUE]</a:t>
                    </a:fld>
                    <a:r>
                      <a:rPr lang="en-US" baseline="0"/>
                      <a:t>
99%</a:t>
                    </a:r>
                  </a:p>
                </c:rich>
              </c:tx>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E3B4-4324-9BBB-EB9B851EFA45}"/>
                </c:ext>
              </c:extLst>
            </c:dLbl>
            <c:dLbl>
              <c:idx val="1"/>
              <c:layout>
                <c:manualLayout>
                  <c:x val="0.0643088540967595"/>
                  <c:y val="-0.31374460880526051"/>
                </c:manualLayout>
              </c:layout>
              <c:tx>
                <c:rich>
                  <a:bodyPr wrap="square" lIns="38100" tIns="19050" rIns="38100" bIns="19050" anchor="ctr"/>
                  <a:lstStyle/>
                  <a:p>
                    <a:pPr>
                      <a:defRPr>
                        <a:latin typeface="Times New Roman" panose="02020603050405020304" pitchFamily="18" charset="0"/>
                        <a:cs typeface="Times New Roman" panose="02020603050405020304" pitchFamily="18" charset="0"/>
                      </a:defRPr>
                    </a:pPr>
                    <a:fld id="{8a6bf461-305b-4630-ae63-4173dbd2d344}" type="CATEGORYNAME">
                      <a:pPr>
                        <a:defRPr>
                          <a:latin typeface="Times New Roman" panose="02020603050405020304" pitchFamily="18" charset="0"/>
                          <a:cs typeface="Times New Roman" panose="02020603050405020304" pitchFamily="18" charset="0"/>
                        </a:defRPr>
                      </a:pPr>
                      <a:rPr lang="en-US"/>
                      <a:t>[CATEGORY NAME]</a:t>
                    </a:fld>
                    <a:r>
                      <a:rPr lang="en-US" baseline="0"/>
                      <a:t>
</a:t>
                    </a:r>
                    <a:fld id="{70e3b60b-c347-4cd7-ae9f-94b56644303c}" type="VALUE">
                      <a:pPr>
                        <a:defRPr>
                          <a:latin typeface="Times New Roman" panose="02020603050405020304" pitchFamily="18" charset="0"/>
                          <a:cs typeface="Times New Roman" panose="02020603050405020304" pitchFamily="18" charset="0"/>
                        </a:defRPr>
                      </a:pPr>
                      <a:rPr lang="en-US" baseline="0"/>
                      <a:t>[VALUE]</a:t>
                    </a:fld>
                    <a:r>
                      <a:rPr lang="en-US" baseline="0"/>
                      <a:t>
&lt;1%</a:t>
                    </a:r>
                  </a:p>
                </c:rich>
              </c:tx>
              <c:spPr>
                <a:noFill/>
                <a:ln>
                  <a:noFill/>
                </a:ln>
                <a:effectLst/>
              </c:spPr>
              <c:showLegendKey val="0"/>
              <c:showVal val="1"/>
              <c:showCatName val="1"/>
              <c:showSerName val="0"/>
              <c:showPercent val="1"/>
              <c:showBubbleSize val="0"/>
              <c:separator>
</c:separator>
              <c:extLst>
                <c:ext xmlns:c15="http://schemas.microsoft.com/office/drawing/2012/chart" uri="{CE6537A1-D6FC-4f65-9D91-7224C49458BB}">
                  <c15:layout>
                    <c:manualLayout>
                      <c:w val="0.24802242574306255"/>
                      <c:h val="0.18182263712600882"/>
                    </c:manualLayout>
                  </c15:layout>
                  <c15:showDataLabelsRange val="0"/>
                </c:ext>
                <c:ext xmlns:c16="http://schemas.microsoft.com/office/drawing/2014/chart" uri="{C3380CC4-5D6E-409C-BE32-E72D297353CC}">
                  <c16:uniqueId val="{00000008-E3B4-4324-9BBB-EB9B851EFA45}"/>
                </c:ext>
              </c:extLst>
            </c:dLbl>
            <c:dLbl>
              <c:idx val="2"/>
              <c:layout>
                <c:manualLayout>
                  <c:x val="0.10438672532367066"/>
                  <c:y val="-0.14247500191132706"/>
                </c:manualLayout>
              </c:layout>
              <c:tx>
                <c:rich>
                  <a:bodyPr wrap="square" lIns="38100" tIns="19050" rIns="38100" bIns="19050" anchor="ctr"/>
                  <a:lstStyle/>
                  <a:p>
                    <a:pPr>
                      <a:defRPr>
                        <a:latin typeface="Times New Roman" panose="02020603050405020304" pitchFamily="18" charset="0"/>
                        <a:cs typeface="Times New Roman" panose="02020603050405020304" pitchFamily="18" charset="0"/>
                      </a:defRPr>
                    </a:pPr>
                    <a:fld id="{e7b2a8d9-be8a-4f0a-bb29-bdd9978b5105}" type="CATEGORYNAME">
                      <a:pPr>
                        <a:defRPr>
                          <a:latin typeface="Times New Roman" panose="02020603050405020304" pitchFamily="18" charset="0"/>
                          <a:cs typeface="Times New Roman" panose="02020603050405020304" pitchFamily="18" charset="0"/>
                        </a:defRPr>
                      </a:pPr>
                      <a:rPr lang="en-US"/>
                      <a:t>[CATEGORY NAME]</a:t>
                    </a:fld>
                    <a:r>
                      <a:rPr lang="en-US" baseline="0"/>
                      <a:t>
</a:t>
                    </a:r>
                    <a:fld id="{9ebc7742-a5ee-4523-8e17-4e515bd08d9f}" type="VALUE">
                      <a:pPr>
                        <a:defRPr>
                          <a:latin typeface="Times New Roman" panose="02020603050405020304" pitchFamily="18" charset="0"/>
                          <a:cs typeface="Times New Roman" panose="02020603050405020304" pitchFamily="18" charset="0"/>
                        </a:defRPr>
                      </a:pPr>
                      <a:rPr lang="en-US" baseline="0"/>
                      <a:t>[VALUE]</a:t>
                    </a:fld>
                    <a:r>
                      <a:rPr lang="en-US" baseline="0"/>
                      <a:t>
&lt;1%</a:t>
                    </a:r>
                  </a:p>
                </c:rich>
              </c:tx>
              <c:spPr>
                <a:noFill/>
                <a:ln>
                  <a:noFill/>
                </a:ln>
                <a:effectLst/>
              </c:spPr>
              <c:showLegendKey val="0"/>
              <c:showVal val="1"/>
              <c:showCatName val="1"/>
              <c:showSerName val="0"/>
              <c:showPercent val="1"/>
              <c:showBubbleSize val="0"/>
              <c:separator>
</c:separator>
              <c:extLst>
                <c:ext xmlns:c15="http://schemas.microsoft.com/office/drawing/2012/chart" uri="{CE6537A1-D6FC-4f65-9D91-7224C49458BB}">
                  <c15:layout>
                    <c:manualLayout>
                      <c:w val="0.20674609574486186"/>
                      <c:h val="0.15345361778934272"/>
                    </c:manualLayout>
                  </c15:layout>
                  <c15:showDataLabelsRange val="0"/>
                </c:ext>
                <c:ext xmlns:c16="http://schemas.microsoft.com/office/drawing/2014/chart" uri="{C3380CC4-5D6E-409C-BE32-E72D297353CC}">
                  <c16:uniqueId val="{00000003-E3B4-4324-9BBB-EB9B851EFA45}"/>
                </c:ext>
              </c:extLst>
            </c:dLbl>
            <c:dLbl>
              <c:idx val="3"/>
              <c:layout>
                <c:manualLayout>
                  <c:x val="0.11092134307649486"/>
                  <c:y val="0.021356281469017798"/>
                </c:manualLayout>
              </c:layout>
              <c:tx>
                <c:rich>
                  <a:bodyPr/>
                  <a:lstStyle/>
                  <a:p>
                    <a:fld id="{07876c44-9b6d-4fef-bca7-7e117b3cb28a}" type="CATEGORYNAME">
                      <a:rPr lang="en-US"/>
                      <a:t>[CATEGORY NAME]</a:t>
                    </a:fld>
                    <a:r>
                      <a:rPr lang="en-US" baseline="0"/>
                      <a:t>
</a:t>
                    </a:r>
                    <a:fld id="{8e558c76-4d57-4986-98be-95816ba9f5b7}" type="VALUE">
                      <a:rPr lang="en-US" baseline="0"/>
                      <a:t>[VALUE]</a:t>
                    </a:fld>
                    <a:r>
                      <a:rPr lang="en-US" baseline="0"/>
                      <a:t>
   &lt; 1%</a:t>
                    </a:r>
                  </a:p>
                </c:rich>
              </c:tx>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E3B4-4324-9BBB-EB9B851EFA45}"/>
                </c:ext>
              </c:extLst>
            </c:dLbl>
            <c:dLbl>
              <c:idx val="4"/>
              <c:layout>
                <c:manualLayout>
                  <c:x val="-0.028645440894217347"/>
                  <c:y val="0.15916616914079151"/>
                </c:manualLayout>
              </c:layout>
              <c:tx>
                <c:rich>
                  <a:bodyPr/>
                  <a:lstStyle/>
                  <a:p>
                    <a:fld id="{8f7d04e9-ef54-4cbb-93bd-cf930e646c07}" type="CATEGORYNAME">
                      <a:rPr lang="en-US"/>
                      <a:t>[CATEGORY NAME]</a:t>
                    </a:fld>
                    <a:r>
                      <a:rPr lang="en-US" baseline="0"/>
                      <a:t>
</a:t>
                    </a:r>
                    <a:fld id="{190eb873-bf8b-4a3e-8b2f-96741ca8353a}" type="VALUE">
                      <a:rPr lang="en-US" baseline="0"/>
                      <a:t>[VALUE]</a:t>
                    </a:fld>
                    <a:r>
                      <a:rPr lang="en-US" baseline="0"/>
                      <a:t>
&lt;1%</a:t>
                    </a:r>
                  </a:p>
                </c:rich>
              </c:tx>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E3B4-4324-9BBB-EB9B851EFA45}"/>
                </c:ext>
              </c:extLst>
            </c:dLbl>
            <c:dLbl>
              <c:idx val="5"/>
              <c:layout>
                <c:manualLayout>
                  <c:x val="0.084296158667714713"/>
                  <c:y val="-0.0136166850111478"/>
                </c:manualLayout>
              </c:layout>
              <c:tx>
                <c:rich>
                  <a:bodyPr/>
                  <a:lstStyle/>
                  <a:p>
                    <a:fld id="{66340189-6915-4aa3-bf40-12983915f8b6}" type="CATEGORYNAME">
                      <a:rPr lang="en-US"/>
                      <a:t>[CATEGORY NAME]</a:t>
                    </a:fld>
                    <a:r>
                      <a:rPr lang="en-US" baseline="0"/>
                      <a:t>
</a:t>
                    </a:r>
                    <a:fld id="{bf9d7259-d3e4-4502-9997-3f405f25f661}" type="VALUE">
                      <a:rPr lang="en-US" baseline="0"/>
                      <a:t>[VALUE]</a:t>
                    </a:fld>
                    <a:r>
                      <a:rPr lang="en-US" baseline="0"/>
                      <a:t>
&lt; 1%</a:t>
                    </a:r>
                  </a:p>
                </c:rich>
              </c:tx>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E3B4-4324-9BBB-EB9B851EFA45}"/>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'Total Assets'!$A$2:$A$8</c:f>
              <c:strCache>
                <c:ptCount val="5"/>
                <c:pt idx="0">
                  <c:v>Fund Balance with Treasury</c:v>
                </c:pt>
                <c:pt idx="1">
                  <c:v>Remaining Intragovernmental Assets</c:v>
                </c:pt>
                <c:pt idx="2">
                  <c:v>Accounts Receivable, Net</c:v>
                </c:pt>
                <c:pt idx="3">
                  <c:v>General PP&amp;E</c:v>
                </c:pt>
                <c:pt idx="4">
                  <c:v>Advances and Prepayments</c:v>
                </c:pt>
              </c:strCache>
            </c:strRef>
          </c:cat>
          <c:val>
            <c:numRef>
              <c:f>'Total Assets'!$B$2:$B$8</c:f>
              <c:numCache>
                <c:formatCode>_("$"* #,##0_);_("$"* \(#,##0\);_("$"* "-"_);_(@_)</c:formatCode>
                <c:ptCount val="5"/>
                <c:pt idx="0">
                  <c:v>105212774</c:v>
                </c:pt>
                <c:pt idx="1">
                  <c:v>2000</c:v>
                </c:pt>
                <c:pt idx="2">
                  <c:v>823087</c:v>
                </c:pt>
                <c:pt idx="3">
                  <c:v>84202</c:v>
                </c:pt>
                <c:pt idx="4">
                  <c:v>18024</c:v>
                </c:pt>
              </c:numCache>
            </c:numRef>
          </c:val>
          <c:extLst>
            <c:ext xmlns:c16="http://schemas.microsoft.com/office/drawing/2014/chart" uri="{C3380CC4-5D6E-409C-BE32-E72D297353CC}">
              <c16:uniqueId val="{0000000A-E3B4-4324-9BBB-EB9B851EFA45}"/>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gradFill rotWithShape="1">
      <a:gsLst>
        <a:gs pos="0">
          <a:srgbClr val="00B050"/>
        </a:gs>
        <a:gs pos="50000">
          <a:schemeClr val="bg1"/>
        </a:gs>
        <a:gs pos="100000">
          <a:srgbClr val="00B050"/>
        </a:gs>
      </a:gsLst>
      <a:lin ang="5400000" scaled="1"/>
    </a:gradFill>
    <a:ln>
      <a:solidFill>
        <a:schemeClr val="tx1"/>
      </a:solidFill>
    </a:ln>
  </c:spPr>
  <c:externalData r:id="rId1">
    <c:autoUpdate val="0"/>
  </c:externalData>
  <c:userShapes r:id="rId2"/>
  <c:extLst>
    <a:ext xmlns:a="http://schemas.openxmlformats.org/drawingml/2006/main" uri="{FF2B5EF4-FFF2-40B4-BE49-F238E27FC236}">
      <a16:creationId xmlns:a16="http://schemas.microsoft.com/office/drawing/2014/main" id="{00000000-0008-0000-0200-00002F0C0000}"/>
    </a: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60"/>
      <c:rotY val="50"/>
      <c:depthPercent val="80"/>
      <c:rAngAx val="0"/>
    </c:view3D>
    <c:floor>
      <c:thickness val="0"/>
      <c:spPr>
        <a:noFill/>
        <a:ln w="9525">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83568721979375"/>
          <c:y val="0.23844115452502018"/>
          <c:w val="0.53164877612820227"/>
          <c:h val="0.75897341053016476"/>
        </c:manualLayout>
      </c:layout>
      <c:pie3DChart>
        <c:varyColors val="1"/>
        <c:ser>
          <c:idx val="0"/>
          <c:order val="0"/>
          <c:explosion val="20"/>
          <c:dPt>
            <c:idx val="0"/>
            <c:bubble3D val="0"/>
            <c:explosion val="17"/>
            <c:spPr>
              <a:solidFill>
                <a:schemeClr val="accent1"/>
              </a:solidFill>
              <a:ln>
                <a:noFill/>
              </a:ln>
              <a:effectLst/>
              <a:sp3d/>
            </c:spPr>
            <c:extLst>
              <c:ext xmlns:c16="http://schemas.microsoft.com/office/drawing/2014/chart" uri="{C3380CC4-5D6E-409C-BE32-E72D297353CC}">
                <c16:uniqueId val="{00000001-8F0E-44B6-9EAA-2FE36605D672}"/>
              </c:ext>
            </c:extLst>
          </c:dPt>
          <c:dPt>
            <c:idx val="1"/>
            <c:bubble3D val="0"/>
            <c:explosion val="12"/>
            <c:spPr>
              <a:solidFill>
                <a:schemeClr val="accent2"/>
              </a:solidFill>
              <a:ln>
                <a:noFill/>
              </a:ln>
              <a:effectLst/>
              <a:sp3d/>
            </c:spPr>
            <c:extLst>
              <c:ext xmlns:c16="http://schemas.microsoft.com/office/drawing/2014/chart" uri="{C3380CC4-5D6E-409C-BE32-E72D297353CC}">
                <c16:uniqueId val="{00000003-8F0E-44B6-9EAA-2FE36605D672}"/>
              </c:ext>
            </c:extLst>
          </c:dPt>
          <c:dPt>
            <c:idx val="2"/>
            <c:bubble3D val="0"/>
            <c:explosion val="11"/>
            <c:spPr>
              <a:solidFill>
                <a:schemeClr val="accent3"/>
              </a:solidFill>
              <a:ln>
                <a:noFill/>
              </a:ln>
              <a:effectLst/>
              <a:sp3d/>
            </c:spPr>
            <c:extLst>
              <c:ext xmlns:c16="http://schemas.microsoft.com/office/drawing/2014/chart" uri="{C3380CC4-5D6E-409C-BE32-E72D297353CC}">
                <c16:uniqueId val="{00000005-8F0E-44B6-9EAA-2FE36605D672}"/>
              </c:ext>
            </c:extLst>
          </c:dPt>
          <c:dPt>
            <c:idx val="3"/>
            <c:bubble3D val="0"/>
            <c:spPr>
              <a:solidFill>
                <a:schemeClr val="accent4"/>
              </a:solidFill>
              <a:ln>
                <a:noFill/>
              </a:ln>
              <a:effectLst/>
              <a:sp3d/>
            </c:spPr>
            <c:extLst>
              <c:ext xmlns:c16="http://schemas.microsoft.com/office/drawing/2014/chart" uri="{C3380CC4-5D6E-409C-BE32-E72D297353CC}">
                <c16:uniqueId val="{00000007-8F0E-44B6-9EAA-2FE36605D672}"/>
              </c:ext>
            </c:extLst>
          </c:dPt>
          <c:dPt>
            <c:idx val="4"/>
            <c:bubble3D val="0"/>
            <c:spPr>
              <a:solidFill>
                <a:schemeClr val="accent5"/>
              </a:solidFill>
              <a:ln>
                <a:noFill/>
              </a:ln>
              <a:effectLst/>
              <a:sp3d/>
            </c:spPr>
            <c:extLst>
              <c:ext xmlns:c16="http://schemas.microsoft.com/office/drawing/2014/chart" uri="{C3380CC4-5D6E-409C-BE32-E72D297353CC}">
                <c16:uniqueId val="{00000009-8F0E-44B6-9EAA-2FE36605D672}"/>
              </c:ext>
            </c:extLst>
          </c:dPt>
          <c:dPt>
            <c:idx val="5"/>
            <c:bubble3D val="0"/>
            <c:spPr>
              <a:solidFill>
                <a:schemeClr val="accent6"/>
              </a:solidFill>
              <a:ln>
                <a:noFill/>
              </a:ln>
              <a:effectLst/>
              <a:sp3d/>
            </c:spPr>
            <c:extLst>
              <c:ext xmlns:c16="http://schemas.microsoft.com/office/drawing/2014/chart" uri="{C3380CC4-5D6E-409C-BE32-E72D297353CC}">
                <c16:uniqueId val="{0000000B-8F0E-44B6-9EAA-2FE36605D672}"/>
              </c:ext>
            </c:extLst>
          </c:dPt>
          <c:dPt>
            <c:idx val="6"/>
            <c:bubble3D val="0"/>
            <c:spPr>
              <a:solidFill>
                <a:schemeClr val="accent1">
                  <a:lumMod val="60000"/>
                </a:schemeClr>
              </a:solidFill>
              <a:ln>
                <a:noFill/>
              </a:ln>
              <a:effectLst/>
              <a:sp3d/>
            </c:spPr>
            <c:extLst>
              <c:ext xmlns:c16="http://schemas.microsoft.com/office/drawing/2014/chart" uri="{C3380CC4-5D6E-409C-BE32-E72D297353CC}">
                <c16:uniqueId val="{0000000D-8F0E-44B6-9EAA-2FE36605D672}"/>
              </c:ext>
            </c:extLst>
          </c:dPt>
          <c:dPt>
            <c:idx val="7"/>
            <c:bubble3D val="0"/>
            <c:spPr>
              <a:solidFill>
                <a:schemeClr val="accent2">
                  <a:lumMod val="60000"/>
                </a:schemeClr>
              </a:solidFill>
              <a:ln>
                <a:noFill/>
              </a:ln>
              <a:effectLst/>
              <a:sp3d/>
            </c:spPr>
            <c:extLst>
              <c:ext xmlns:c16="http://schemas.microsoft.com/office/drawing/2014/chart" uri="{C3380CC4-5D6E-409C-BE32-E72D297353CC}">
                <c16:uniqueId val="{0000000F-8F0E-44B6-9EAA-2FE36605D672}"/>
              </c:ext>
            </c:extLst>
          </c:dPt>
          <c:dLbls>
            <c:dLbl>
              <c:idx val="0"/>
              <c:layout>
                <c:manualLayout>
                  <c:x val="0.21275161518271754"/>
                  <c:y val="-0.17055745294691169"/>
                </c:manualLayout>
              </c:layout>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8732f833-de02-45ae-81d4-aff6a7955faa}" type="CATEGORYNAME">
                      <a:pPr>
                        <a:defRPr/>
                      </a:pPr>
                      <a:rPr lang="en-US"/>
                      <a:t>[CATEGORY NAME]</a:t>
                    </a:fld>
                    <a:r>
                      <a:rPr lang="en-US"/>
                      <a:t>
</a:t>
                    </a:r>
                    <a:fld id="{42b05dbd-81e3-444d-b03f-c7bbe9111072}" type="VALUE">
                      <a:pPr>
                        <a:defRPr/>
                      </a:pPr>
                      <a:rPr lang="en-US"/>
                      <a:t>[VALUE]</a:t>
                    </a:fld>
                    <a:r>
                      <a:rPr lang="en-US"/>
                      <a:t>
97%</a:t>
                    </a:r>
                  </a:p>
                </c:rich>
              </c:tx>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635435834300682"/>
                      <c:h val="0.16969700568880525"/>
                    </c:manualLayout>
                  </c15:layout>
                  <c15:showDataLabelsRange val="0"/>
                </c:ext>
                <c:ext xmlns:c16="http://schemas.microsoft.com/office/drawing/2014/chart" uri="{C3380CC4-5D6E-409C-BE32-E72D297353CC}">
                  <c16:uniqueId val="{00000001-8F0E-44B6-9EAA-2FE36605D672}"/>
                </c:ext>
              </c:extLst>
            </c:dLbl>
            <c:dLbl>
              <c:idx val="1"/>
              <c:layout>
                <c:manualLayout>
                  <c:x val="0.137092079150119"/>
                  <c:y val="0.16211483064022494"/>
                </c:manualLayout>
              </c:layout>
              <c:tx>
                <c:rich>
                  <a:bodyPr/>
                  <a:lstStyle/>
                  <a:p>
                    <a:fld id="{c12bbca3-37ba-43df-84a9-63e829df960a}" type="CATEGORYNAME">
                      <a:rPr lang="en-US"/>
                      <a:t>[CATEGORY NAME]</a:t>
                    </a:fld>
                    <a:r>
                      <a:rPr lang="en-US" baseline="0"/>
                      <a:t>
</a:t>
                    </a:r>
                    <a:fld id="{4b353409-0a1e-4d92-87c2-feff1577d745}" type="VALUE">
                      <a:rPr lang="en-US" baseline="0"/>
                      <a:t>[VALUE]</a:t>
                    </a:fld>
                    <a:r>
                      <a:rPr lang="en-US" baseline="0"/>
                      <a:t>
1%</a:t>
                    </a:r>
                  </a:p>
                </c:rich>
              </c:tx>
              <c:dLblPos val="bestFit"/>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8F0E-44B6-9EAA-2FE36605D672}"/>
                </c:ext>
              </c:extLst>
            </c:dLbl>
            <c:dLbl>
              <c:idx val="2"/>
              <c:layout>
                <c:manualLayout>
                  <c:x val="0.15466462555039887"/>
                  <c:y val="0.31502178000939157"/>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c75b3ad7-3f04-4cf4-9fdd-5a360732c6aa}" type="CATEGORYNAME">
                      <a:pPr>
                        <a:defRPr/>
                      </a:pPr>
                      <a:rPr lang="en-US"/>
                      <a:t>[CATEGORY NAME]</a:t>
                    </a:fld>
                    <a:r>
                      <a:rPr lang="en-US" baseline="0"/>
                      <a:t>
</a:t>
                    </a:r>
                    <a:fld id="{720959c2-0169-4ac3-bbb5-1193e4490cca}" type="VALUE">
                      <a:pPr>
                        <a:defRPr/>
                      </a:pPr>
                      <a:rPr lang="en-US" baseline="0"/>
                      <a:t>[VALUE]</a:t>
                    </a:fld>
                    <a:r>
                      <a:rPr lang="en-US" baseline="0"/>
                      <a:t>
&lt; 1%</a:t>
                    </a:r>
                  </a:p>
                </c:rich>
              </c:tx>
              <c:numFmt formatCode="0%" sourceLinked="0"/>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0004543481523848"/>
                      <c:h val="0.15238098502993949"/>
                    </c:manualLayout>
                  </c15:layout>
                  <c15:showDataLabelsRange val="0"/>
                </c:ext>
                <c:ext xmlns:c16="http://schemas.microsoft.com/office/drawing/2014/chart" uri="{C3380CC4-5D6E-409C-BE32-E72D297353CC}">
                  <c16:uniqueId val="{00000005-8F0E-44B6-9EAA-2FE36605D672}"/>
                </c:ext>
              </c:extLst>
            </c:dLbl>
            <c:dLbl>
              <c:idx val="3"/>
              <c:layout>
                <c:manualLayout>
                  <c:x val="0.20840287112281841"/>
                  <c:y val="-0.081328591988019547"/>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9cd2b87b-de48-44c8-8074-b3bd44424ced}" type="CATEGORYNAME">
                      <a:pPr>
                        <a:defRPr/>
                      </a:pPr>
                      <a:rPr lang="en-US"/>
                      <a:t>[CATEGORY NAME]</a:t>
                    </a:fld>
                    <a:r>
                      <a:rPr lang="en-US" baseline="0"/>
                      <a:t>
</a:t>
                    </a:r>
                    <a:fld id="{f9165335-dae0-4e3b-bf07-e0d443b208af}" type="VALUE">
                      <a:pPr>
                        <a:defRPr/>
                      </a:pPr>
                      <a:rPr lang="en-US" baseline="0"/>
                      <a:t>[VALUE]</a:t>
                    </a:fld>
                    <a:r>
                      <a:rPr lang="en-US" baseline="0"/>
                      <a:t>
&lt;1%</a:t>
                    </a:r>
                  </a:p>
                </c:rich>
              </c:tx>
              <c:numFmt formatCode="0%" sourceLinked="0"/>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563732418063127"/>
                      <c:h val="0.160951039700776"/>
                    </c:manualLayout>
                  </c15:layout>
                  <c15:showDataLabelsRange val="0"/>
                </c:ext>
                <c:ext xmlns:c16="http://schemas.microsoft.com/office/drawing/2014/chart" uri="{C3380CC4-5D6E-409C-BE32-E72D297353CC}">
                  <c16:uniqueId val="{00000007-8F0E-44B6-9EAA-2FE36605D672}"/>
                </c:ext>
              </c:extLst>
            </c:dLbl>
            <c:dLbl>
              <c:idx val="4"/>
              <c:layout>
                <c:manualLayout>
                  <c:x val="-0.25987574128420227"/>
                  <c:y val="-0.060952013156169618"/>
                </c:manualLayout>
              </c:layout>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ab222f2f-b634-4419-9de4-80500ceb3dfc}" type="CATEGORYNAME">
                      <a:pPr>
                        <a:defRPr/>
                      </a:pPr>
                      <a:rPr lang="en-US"/>
                      <a:t>[CATEGORY NAME]</a:t>
                    </a:fld>
                    <a:r>
                      <a:rPr lang="en-US"/>
                      <a:t>
</a:t>
                    </a:r>
                    <a:fld id="{05343e47-8816-4e2a-a3c0-66d200d82d71}" type="VALUE">
                      <a:pPr>
                        <a:defRPr/>
                      </a:pPr>
                      <a:rPr lang="en-US"/>
                      <a:t>[VALUE]</a:t>
                    </a:fld>
                    <a:r>
                      <a:rPr lang="en-US"/>
                      <a:t>
&lt;</a:t>
                    </a:r>
                    <a:r>
                      <a:rPr lang="en-US" baseline="0"/>
                      <a:t> 1</a:t>
                    </a:r>
                    <a:r>
                      <a:rPr lang="en-US"/>
                      <a:t>%</a:t>
                    </a:r>
                  </a:p>
                </c:rich>
              </c:tx>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8956189329388784"/>
                      <c:h val="0.1672256777169443"/>
                    </c:manualLayout>
                  </c15:layout>
                  <c15:showDataLabelsRange val="0"/>
                </c:ext>
                <c:ext xmlns:c16="http://schemas.microsoft.com/office/drawing/2014/chart" uri="{C3380CC4-5D6E-409C-BE32-E72D297353CC}">
                  <c16:uniqueId val="{00000009-8F0E-44B6-9EAA-2FE36605D672}"/>
                </c:ext>
              </c:extLst>
            </c:dLbl>
            <c:dLbl>
              <c:idx val="5"/>
              <c:layout>
                <c:manualLayout>
                  <c:x val="-0.058550583980911342"/>
                  <c:y val="-0.086832649186383351"/>
                </c:manualLayout>
              </c:layout>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82df87ab-fc3c-4fb5-b957-ab096c68a85f}" type="CATEGORYNAME">
                      <a:pPr>
                        <a:defRPr/>
                      </a:pPr>
                      <a:rPr lang="en-US" sz="1000">
                        <a:latin typeface="Times New Roman" panose="02020603050405020304" pitchFamily="18" charset="0"/>
                        <a:cs typeface="Times New Roman" panose="02020603050405020304" pitchFamily="18" charset="0"/>
                      </a:rPr>
                      <a:t>[CATEGORY NAME]</a:t>
                    </a:fld>
                    <a:endParaRPr lang="en-US" sz="1000">
                      <a:latin typeface="Times New Roman" panose="02020603050405020304" pitchFamily="18" charset="0"/>
                      <a:cs typeface="Times New Roman" panose="02020603050405020304" pitchFamily="18" charset="0"/>
                    </a:endParaRPr>
                  </a:p>
                  <a:p>
                    <a:pPr>
                      <a:defRPr/>
                    </a:pPr>
                    <a:fld id="{43f61070-4be2-4364-8792-677e5b0385e4}" type="VALUE">
                      <a:pPr>
                        <a:defRPr/>
                      </a:pPr>
                      <a:rPr lang="en-US"/>
                      <a:t>[VALUE]</a:t>
                    </a:fld>
                    <a:endParaRPr lang="en-US"/>
                  </a:p>
                  <a:p>
                    <a:pPr>
                      <a:defRPr/>
                    </a:pPr>
                    <a:r>
                      <a:rPr lang="en-US"/>
                      <a:t>&lt;1%</a:t>
                    </a:r>
                  </a:p>
                </c:rich>
              </c:tx>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704956789522712"/>
                      <c:h val="0.14966889889316234"/>
                    </c:manualLayout>
                  </c15:layout>
                  <c15:showDataLabelsRange val="0"/>
                </c:ext>
                <c:ext xmlns:c16="http://schemas.microsoft.com/office/drawing/2014/chart" uri="{C3380CC4-5D6E-409C-BE32-E72D297353CC}">
                  <c16:uniqueId val="{0000000B-8F0E-44B6-9EAA-2FE36605D672}"/>
                </c:ext>
              </c:extLst>
            </c:dLbl>
            <c:dLbl>
              <c:idx val="6"/>
              <c:layout>
                <c:manualLayout>
                  <c:x val="0.09107376001076789"/>
                  <c:y val="0.021802528123521129"/>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6c58c789-1397-441f-add4-9a80a0375e4c}" type="CATEGORYNAME">
                      <a:pPr>
                        <a:defRPr/>
                      </a:pPr>
                      <a:rPr lang="en-US"/>
                      <a:t>[CATEGORY NAME]</a:t>
                    </a:fld>
                    <a:r>
                      <a:rPr lang="en-US" baseline="0"/>
                      <a:t>
</a:t>
                    </a:r>
                    <a:fld id="{44479b6b-9da1-41ed-bff8-fd7831ae26f0}" type="VALUE">
                      <a:pPr>
                        <a:defRPr/>
                      </a:pPr>
                      <a:rPr lang="en-US" baseline="0"/>
                      <a:t>[VALUE]</a:t>
                    </a:fld>
                    <a:r>
                      <a:rPr lang="en-US" baseline="0"/>
                      <a:t>
1%</a:t>
                    </a:r>
                  </a:p>
                </c:rich>
              </c:tx>
              <c:numFmt formatCode="0%" sourceLinked="0"/>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63836979148221"/>
                      <c:h val="0.15460220785306292"/>
                    </c:manualLayout>
                  </c15:layout>
                  <c15:showDataLabelsRange val="0"/>
                </c:ext>
                <c:ext xmlns:c16="http://schemas.microsoft.com/office/drawing/2014/chart" uri="{C3380CC4-5D6E-409C-BE32-E72D297353CC}">
                  <c16:uniqueId val="{0000000D-8F0E-44B6-9EAA-2FE36605D672}"/>
                </c:ext>
              </c:extLst>
            </c:dLbl>
            <c:dLbl>
              <c:idx val="7"/>
              <c:layout>
                <c:manualLayout>
                  <c:x val="0.26686536779056463"/>
                  <c:y val="0.1096382286030321"/>
                </c:manualLayout>
              </c:layout>
              <c:tx>
                <c:rich>
                  <a:bodyPr/>
                  <a:lstStyle/>
                  <a:p>
                    <a:fld id="{0cc3d9ec-8f4b-4ef7-9d19-68249b24251b}" type="CATEGORYNAME">
                      <a:rPr lang="en-US"/>
                      <a:t>[CATEGORY NAME]</a:t>
                    </a:fld>
                    <a:r>
                      <a:rPr lang="en-US" baseline="0"/>
                      <a:t>
</a:t>
                    </a:r>
                    <a:fld id="{c0472c22-daef-486c-9786-4c3ea3afa698}" type="VALUE">
                      <a:rPr lang="en-US" baseline="0"/>
                      <a:t>[VALUE]</a:t>
                    </a:fld>
                    <a:r>
                      <a:rPr lang="en-US" baseline="0"/>
                      <a:t>
&lt; 1%</a:t>
                    </a:r>
                  </a:p>
                </c:rich>
              </c:tx>
              <c:dLblPos val="bestFit"/>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F-8F0E-44B6-9EAA-2FE36605D67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1"/>
            <c:showBubbleSize val="0"/>
            <c:separator>
</c:separator>
            <c:showLeaderLines val="1"/>
            <c:leaderLines>
              <c:spPr>
                <a:ln w="9525">
                  <a:solidFill>
                    <a:schemeClr val="tx1">
                      <a:shade val="95000"/>
                      <a:satMod val="105000"/>
                    </a:schemeClr>
                  </a:solidFill>
                  <a:prstDash val="solid"/>
                  <a:round/>
                </a:ln>
                <a:effectLst/>
              </c:spPr>
            </c:leaderLines>
            <c:extLst>
              <c:ext xmlns:c15="http://schemas.microsoft.com/office/drawing/2012/chart" uri="{CE6537A1-D6FC-4f65-9D91-7224C49458BB}"/>
            </c:extLst>
          </c:dLbls>
          <c:cat>
            <c:strRef>
              <c:f>'[FY21 Draft AFR Chap 1 Graphs 110321.xlsx]Total Liabilities'!$A$2:$A$9</c:f>
              <c:strCache>
                <c:ptCount val="8"/>
                <c:pt idx="0">
                  <c:v>Total Intragovernmental</c:v>
                </c:pt>
                <c:pt idx="1">
                  <c:v>Accounts Payable</c:v>
                </c:pt>
                <c:pt idx="2">
                  <c:v>Federal Employee Benefits</c:v>
                </c:pt>
                <c:pt idx="3">
                  <c:v>Advances from Others &amp; Deferred Revenue</c:v>
                </c:pt>
                <c:pt idx="4">
                  <c:v>Prepaid Contributions</c:v>
                </c:pt>
                <c:pt idx="5">
                  <c:v>Accrued Liabilities for USF and TRS</c:v>
                </c:pt>
                <c:pt idx="6">
                  <c:v>Deposit/Unapplied Liability</c:v>
                </c:pt>
                <c:pt idx="7">
                  <c:v>Other Liabilities</c:v>
                </c:pt>
              </c:strCache>
            </c:strRef>
          </c:cat>
          <c:val>
            <c:numRef>
              <c:f>'[FY21 Draft AFR Chap 1 Graphs 110321.xlsx]Total Liabilities'!$B$2:$B$9</c:f>
              <c:numCache>
                <c:formatCode>_("$"* #,##0_);_("$"* \(#,##0\);_("$"* "-"_);_(@_)</c:formatCode>
                <c:ptCount val="8"/>
                <c:pt idx="0">
                  <c:v>84240110</c:v>
                </c:pt>
                <c:pt idx="1">
                  <c:v>828732</c:v>
                </c:pt>
                <c:pt idx="2">
                  <c:v>26503</c:v>
                </c:pt>
                <c:pt idx="3">
                  <c:v>153756</c:v>
                </c:pt>
                <c:pt idx="4">
                  <c:v>44563</c:v>
                </c:pt>
                <c:pt idx="5">
                  <c:v>490897</c:v>
                </c:pt>
                <c:pt idx="6">
                  <c:v>606917</c:v>
                </c:pt>
                <c:pt idx="7">
                  <c:v>23362</c:v>
                </c:pt>
              </c:numCache>
            </c:numRef>
          </c:val>
          <c:extLst>
            <c:ext xmlns:c16="http://schemas.microsoft.com/office/drawing/2014/chart" uri="{C3380CC4-5D6E-409C-BE32-E72D297353CC}">
              <c16:uniqueId val="{00000010-8F0E-44B6-9EAA-2FE36605D672}"/>
            </c:ext>
          </c:extLst>
        </c:ser>
        <c:dLbls>
          <c:showLegendKey val="0"/>
          <c:showVal val="0"/>
          <c:showCatName val="0"/>
          <c:showSerName val="0"/>
          <c:showPercent val="0"/>
          <c:showBubbleSize val="0"/>
          <c:showLeaderLines val="1"/>
        </c:dLbls>
      </c:pie3DChart>
      <c:spPr>
        <a:noFill/>
        <a:ln w="25400">
          <a:noFill/>
        </a:ln>
        <a:effectLst/>
      </c:spPr>
    </c:plotArea>
    <c:plotVisOnly val="1"/>
    <c:dispBlanksAs val="gap"/>
    <c:showDLblsOverMax val="0"/>
  </c:chart>
  <c:spPr>
    <a:gradFill rotWithShape="1">
      <a:gsLst>
        <a:gs pos="0">
          <a:srgbClr val="00B050"/>
        </a:gs>
        <a:gs pos="50000">
          <a:schemeClr val="bg1"/>
        </a:gs>
        <a:gs pos="100000">
          <a:srgbClr val="00B050"/>
        </a:gs>
      </a:gsLst>
      <a:lin ang="5400000" scaled="1"/>
    </a:gradFill>
    <a:ln w="9525">
      <a:solidFill>
        <a:schemeClr val="tx1"/>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extLst>
    <a:ext xmlns:a="http://schemas.openxmlformats.org/drawingml/2006/main" uri="{FF2B5EF4-FFF2-40B4-BE49-F238E27FC236}">
      <a16:creationId xmlns:a16="http://schemas.microsoft.com/office/drawing/2014/main" id="{C53712FB-8F7F-4018-8E86-E877DF040D3C}"/>
    </a: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0"/>
      <c:rotY val="0"/>
      <c:rAngAx val="0"/>
      <c:perspective val="60"/>
    </c:view3D>
    <c:floor>
      <c:thickness val="0"/>
      <c:spPr>
        <a:noFill/>
        <a:ln w="9525">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13765191115816"/>
          <c:y val="0.13643955662566973"/>
          <c:w val="0.690358413552031"/>
          <c:h val="0.83228641287495619"/>
        </c:manualLayout>
      </c:layout>
      <c:pie3DChart>
        <c:varyColors val="1"/>
        <c:ser>
          <c:idx val="0"/>
          <c:order val="0"/>
          <c:explosion val="18"/>
          <c:dPt>
            <c:idx val="0"/>
            <c:bubble3D val="0"/>
            <c:spPr>
              <a:solidFill>
                <a:schemeClr val="accent1"/>
              </a:solidFill>
              <a:ln>
                <a:noFill/>
              </a:ln>
              <a:effectLst/>
              <a:sp3d/>
            </c:spPr>
            <c:extLst>
              <c:ext xmlns:c16="http://schemas.microsoft.com/office/drawing/2014/chart" uri="{C3380CC4-5D6E-409C-BE32-E72D297353CC}">
                <c16:uniqueId val="{00000001-29FC-4840-BAD2-7B775BAC82C3}"/>
              </c:ext>
            </c:extLst>
          </c:dPt>
          <c:dPt>
            <c:idx val="1"/>
            <c:bubble3D val="0"/>
            <c:explosion val="0"/>
            <c:spPr>
              <a:solidFill>
                <a:schemeClr val="accent2"/>
              </a:solidFill>
              <a:ln>
                <a:noFill/>
              </a:ln>
              <a:effectLst/>
              <a:sp3d/>
            </c:spPr>
            <c:extLst>
              <c:ext xmlns:c16="http://schemas.microsoft.com/office/drawing/2014/chart" uri="{C3380CC4-5D6E-409C-BE32-E72D297353CC}">
                <c16:uniqueId val="{00000003-29FC-4840-BAD2-7B775BAC82C3}"/>
              </c:ext>
            </c:extLst>
          </c:dPt>
          <c:dPt>
            <c:idx val="2"/>
            <c:bubble3D val="0"/>
            <c:explosion val="0"/>
            <c:spPr>
              <a:solidFill>
                <a:schemeClr val="accent3"/>
              </a:solidFill>
              <a:ln>
                <a:noFill/>
              </a:ln>
              <a:effectLst/>
              <a:sp3d/>
            </c:spPr>
            <c:extLst>
              <c:ext xmlns:c16="http://schemas.microsoft.com/office/drawing/2014/chart" uri="{C3380CC4-5D6E-409C-BE32-E72D297353CC}">
                <c16:uniqueId val="{00000005-29FC-4840-BAD2-7B775BAC82C3}"/>
              </c:ext>
            </c:extLst>
          </c:dPt>
          <c:dPt>
            <c:idx val="3"/>
            <c:bubble3D val="0"/>
            <c:explosion val="0"/>
            <c:spPr>
              <a:solidFill>
                <a:schemeClr val="accent4"/>
              </a:solidFill>
              <a:ln>
                <a:noFill/>
              </a:ln>
              <a:effectLst/>
              <a:sp3d/>
            </c:spPr>
            <c:extLst>
              <c:ext xmlns:c16="http://schemas.microsoft.com/office/drawing/2014/chart" uri="{C3380CC4-5D6E-409C-BE32-E72D297353CC}">
                <c16:uniqueId val="{00000007-29FC-4840-BAD2-7B775BAC82C3}"/>
              </c:ext>
            </c:extLst>
          </c:dPt>
          <c:dPt>
            <c:idx val="4"/>
            <c:bubble3D val="0"/>
            <c:spPr>
              <a:solidFill>
                <a:schemeClr val="accent5"/>
              </a:solidFill>
              <a:ln>
                <a:noFill/>
              </a:ln>
              <a:effectLst/>
              <a:sp3d/>
            </c:spPr>
            <c:extLst>
              <c:ext xmlns:c16="http://schemas.microsoft.com/office/drawing/2014/chart" uri="{C3380CC4-5D6E-409C-BE32-E72D297353CC}">
                <c16:uniqueId val="{00000009-29FC-4840-BAD2-7B775BAC82C3}"/>
              </c:ext>
            </c:extLst>
          </c:dPt>
          <c:dPt>
            <c:idx val="5"/>
            <c:bubble3D val="0"/>
            <c:spPr>
              <a:solidFill>
                <a:schemeClr val="accent6"/>
              </a:solidFill>
              <a:ln>
                <a:noFill/>
              </a:ln>
              <a:effectLst/>
              <a:sp3d/>
            </c:spPr>
            <c:extLst>
              <c:ext xmlns:c16="http://schemas.microsoft.com/office/drawing/2014/chart" uri="{C3380CC4-5D6E-409C-BE32-E72D297353CC}">
                <c16:uniqueId val="{0000000B-29FC-4840-BAD2-7B775BAC82C3}"/>
              </c:ext>
            </c:extLst>
          </c:dPt>
          <c:dPt>
            <c:idx val="6"/>
            <c:bubble3D val="0"/>
            <c:spPr>
              <a:solidFill>
                <a:schemeClr val="accent1">
                  <a:lumMod val="60000"/>
                </a:schemeClr>
              </a:solidFill>
              <a:ln>
                <a:noFill/>
              </a:ln>
              <a:effectLst/>
              <a:sp3d/>
            </c:spPr>
            <c:extLst>
              <c:ext xmlns:c16="http://schemas.microsoft.com/office/drawing/2014/chart" uri="{C3380CC4-5D6E-409C-BE32-E72D297353CC}">
                <c16:uniqueId val="{0000000D-29FC-4840-BAD2-7B775BAC82C3}"/>
              </c:ext>
            </c:extLst>
          </c:dPt>
          <c:dLbls>
            <c:dLbl>
              <c:idx val="0"/>
              <c:layout>
                <c:manualLayout>
                  <c:x val="-0.25727294905444514"/>
                  <c:y val="-0.25552415927642447"/>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aseline="0"/>
                      <a:t>Closing the Digital Divide</a:t>
                    </a:r>
                  </a:p>
                  <a:p>
                    <a:pPr>
                      <a:defRPr>
                        <a:latin typeface="Times New Roman" panose="02020603050405020304" pitchFamily="18" charset="0"/>
                        <a:cs typeface="Times New Roman" panose="02020603050405020304" pitchFamily="18" charset="0"/>
                      </a:defRPr>
                    </a:pPr>
                    <a:r>
                      <a:rPr lang="en-US" baseline="0"/>
                      <a:t>$10,162,259</a:t>
                    </a:r>
                  </a:p>
                  <a:p>
                    <a:pPr>
                      <a:defRPr>
                        <a:latin typeface="Times New Roman" panose="02020603050405020304" pitchFamily="18" charset="0"/>
                        <a:cs typeface="Times New Roman" panose="02020603050405020304" pitchFamily="18" charset="0"/>
                      </a:defRPr>
                    </a:pPr>
                    <a:r>
                      <a:rPr lang="en-US" baseline="0"/>
                      <a:t>87%</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80177463720201"/>
                      <c:h val="0.18665412788540234"/>
                    </c:manualLayout>
                  </c15:layout>
                  <c15:showDataLabelsRange val="0"/>
                </c:ext>
                <c:ext xmlns:c16="http://schemas.microsoft.com/office/drawing/2014/chart" uri="{C3380CC4-5D6E-409C-BE32-E72D297353CC}">
                  <c16:uniqueId val="{00000001-29FC-4840-BAD2-7B775BAC82C3}"/>
                </c:ext>
              </c:extLst>
            </c:dLbl>
            <c:dLbl>
              <c:idx val="1"/>
              <c:layout>
                <c:manualLayout>
                  <c:x val="0.14894319941854406"/>
                  <c:y val="0.1992896610970756"/>
                </c:manualLayout>
              </c:layout>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0666674452689274"/>
                      <c:h val="0.16571016098778488"/>
                    </c:manualLayout>
                  </c15:layout>
                </c:ext>
                <c:ext xmlns:c16="http://schemas.microsoft.com/office/drawing/2014/chart" uri="{C3380CC4-5D6E-409C-BE32-E72D297353CC}">
                  <c16:uniqueId val="{00000003-29FC-4840-BAD2-7B775BAC82C3}"/>
                </c:ext>
              </c:extLst>
            </c:dLbl>
            <c:dLbl>
              <c:idx val="2"/>
              <c:layout>
                <c:manualLayout>
                  <c:x val="-0.14794968160233785"/>
                  <c:y val="0.05623104568352455"/>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55a8c14a-e818-4ce0-95c4-0c86c50160f7}" type="CATEGORYNAME">
                      <a:pPr>
                        <a:defRPr>
                          <a:latin typeface="Times New Roman" panose="02020603050405020304" pitchFamily="18" charset="0"/>
                          <a:cs typeface="Times New Roman" panose="02020603050405020304" pitchFamily="18" charset="0"/>
                        </a:defRPr>
                      </a:pPr>
                      <a:rPr lang="en-US"/>
                      <a:t>[CATEGORY NAME]</a:t>
                    </a:fld>
                    <a:r>
                      <a:rPr lang="en-US" baseline="0"/>
                      <a:t>
</a:t>
                    </a:r>
                    <a:fld id="{3df39bed-3ebf-451f-9f8c-16cc8d8a587d}" type="VALUE">
                      <a:pPr>
                        <a:defRPr>
                          <a:latin typeface="Times New Roman" panose="02020603050405020304" pitchFamily="18" charset="0"/>
                          <a:cs typeface="Times New Roman" panose="02020603050405020304" pitchFamily="18" charset="0"/>
                        </a:defRPr>
                      </a:pPr>
                      <a:rPr lang="en-US" baseline="0"/>
                      <a:t>[VALUE]</a:t>
                    </a:fld>
                    <a:r>
                      <a:rPr lang="en-US" baseline="0"/>
                      <a:t>
</a:t>
                    </a:r>
                    <a:fld id="{da77f3d4-d175-4226-ac8d-1454d8986c42}" type="PERCENTAGE">
                      <a:pPr>
                        <a:defRPr>
                          <a:latin typeface="Times New Roman" panose="02020603050405020304" pitchFamily="18" charset="0"/>
                          <a:cs typeface="Times New Roman" panose="02020603050405020304" pitchFamily="18" charset="0"/>
                        </a:defRPr>
                      </a:pPr>
                      <a:rPr lang="en-US" baseline="0"/>
                      <a:t>[PERCENTAGE]</a:t>
                    </a:fld>
                    <a:endParaRPr lang="en-US" baseline="0"/>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3474175626523841"/>
                      <c:h val="0.161336611579679"/>
                    </c:manualLayout>
                  </c15:layout>
                  <c15:showDataLabelsRange val="0"/>
                </c:ext>
                <c:ext xmlns:c16="http://schemas.microsoft.com/office/drawing/2014/chart" uri="{C3380CC4-5D6E-409C-BE32-E72D297353CC}">
                  <c16:uniqueId val="{00000005-29FC-4840-BAD2-7B775BAC82C3}"/>
                </c:ext>
              </c:extLst>
            </c:dLbl>
            <c:dLbl>
              <c:idx val="3"/>
              <c:layout>
                <c:manualLayout>
                  <c:x val="0.24359512981086198"/>
                  <c:y val="0.090548232794335187"/>
                </c:manualLayout>
              </c:layout>
              <c:tx>
                <c:rich>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60309761-0178-408c-9dc6-c0d318642ca7}" type="CATEGORYNAME">
                      <a:pPr>
                        <a:defRPr>
                          <a:latin typeface="Times New Roman" panose="02020603050405020304" pitchFamily="18" charset="0"/>
                          <a:cs typeface="Times New Roman" panose="02020603050405020304" pitchFamily="18" charset="0"/>
                        </a:defRPr>
                      </a:pPr>
                      <a:rPr lang="en-US"/>
                      <a:t>[CATEGORY NAME]</a:t>
                    </a:fld>
                    <a:r>
                      <a:rPr lang="en-US" baseline="0"/>
                      <a:t>
</a:t>
                    </a:r>
                    <a:fld id="{48fcac2c-c23e-4176-ac63-8550d3d0ecd1}" type="VALUE">
                      <a:pPr>
                        <a:defRPr>
                          <a:latin typeface="Times New Roman" panose="02020603050405020304" pitchFamily="18" charset="0"/>
                          <a:cs typeface="Times New Roman" panose="02020603050405020304" pitchFamily="18" charset="0"/>
                        </a:defRPr>
                      </a:pPr>
                      <a:rPr lang="en-US" baseline="0"/>
                      <a:t>[VALUE]</a:t>
                    </a:fld>
                    <a:r>
                      <a:rPr lang="en-US" baseline="0"/>
                      <a:t>
1%</a:t>
                    </a:r>
                  </a:p>
                </c:rich>
              </c:tx>
              <c:spPr>
                <a:noFill/>
                <a:ln>
                  <a:noFill/>
                </a:ln>
                <a:effectLst/>
              </c:spPr>
              <c:txPr>
                <a:bodyPr rot="0" spcFirstLastPara="1" vertOverflow="ellipsis" vert="horz" wrap="square" lIns="38100" tIns="19050" rIns="38100" bIns="19050"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2543474959031137"/>
                      <c:h val="0.17451184214621393"/>
                    </c:manualLayout>
                  </c15:layout>
                  <c15:showDataLabelsRange val="0"/>
                </c:ext>
                <c:ext xmlns:c16="http://schemas.microsoft.com/office/drawing/2014/chart" uri="{C3380CC4-5D6E-409C-BE32-E72D297353CC}">
                  <c16:uniqueId val="{00000007-29FC-4840-BAD2-7B775BAC82C3}"/>
                </c:ext>
              </c:extLst>
            </c:dLbl>
            <c:dLbl>
              <c:idx val="5"/>
              <c:layout>
                <c:manualLayout>
                  <c:x val="0.12234075088440031"/>
                  <c:y val="0.085614667170293757"/>
                </c:manualLayout>
              </c:layout>
              <c:tx>
                <c:rich>
                  <a:bodyPr/>
                  <a:lstStyle/>
                  <a:p>
                    <a:fld id="{2857e072-10e7-4ed8-98c5-b54cf2aaa379}" type="CATEGORYNAME">
                      <a:rPr lang="en-US"/>
                      <a:t>[CATEGORY NAME]</a:t>
                    </a:fld>
                    <a:r>
                      <a:rPr lang="en-US" baseline="0"/>
                      <a:t>
</a:t>
                    </a:r>
                    <a:fld id="{2f00a3f7-2d75-473b-a61d-8f4297e60284}" type="VALUE">
                      <a:rPr lang="en-US" baseline="0"/>
                      <a:t>[VALUE]</a:t>
                    </a:fld>
                    <a:r>
                      <a:rPr lang="en-US" baseline="0"/>
                      <a:t>
85%</a:t>
                    </a:r>
                  </a:p>
                </c:rich>
              </c:tx>
              <c:showLegendKey val="0"/>
              <c:showVal val="1"/>
              <c:showCatName val="1"/>
              <c:showSerName val="0"/>
              <c:showPercent val="1"/>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B-29FC-4840-BAD2-7B775BAC82C3}"/>
                </c:ext>
              </c:extLst>
            </c:dLbl>
            <c:dLbl>
              <c:idx val="6"/>
              <c:layout>
                <c:manualLayout>
                  <c:x val="0.16460967623346753"/>
                  <c:y val="-0.1875980998242988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29FC-4840-BAD2-7B775BAC82C3}"/>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1"/>
            <c:showBubbleSize val="0"/>
            <c:separator>
</c:separator>
            <c:showLeaderLines val="1"/>
            <c:leaderLines>
              <c:spPr>
                <a:ln w="9525">
                  <a:solidFill>
                    <a:schemeClr val="tx1">
                      <a:shade val="95000"/>
                      <a:satMod val="105000"/>
                    </a:schemeClr>
                  </a:solidFill>
                  <a:prstDash val="solid"/>
                  <a:round/>
                </a:ln>
                <a:effectLst/>
              </c:spPr>
            </c:leaderLines>
            <c:extLst>
              <c:ext xmlns:c15="http://schemas.microsoft.com/office/drawing/2012/chart" uri="{CE6537A1-D6FC-4f65-9D91-7224C49458BB}"/>
            </c:extLst>
          </c:dLbls>
          <c:cat>
            <c:strRef>
              <c:f>'[FY21 Draft AFR Chap 1 Graphs 110321.xlsx]Total Program Costs'!$A$2:$A$5</c:f>
              <c:strCache>
                <c:ptCount val="4"/>
                <c:pt idx="0">
                  <c:v>Closing the Digital Divide</c:v>
                </c:pt>
                <c:pt idx="1">
                  <c:v>Promoting Innovation </c:v>
                </c:pt>
                <c:pt idx="2">
                  <c:v>Protecting Consumers and Public Safety</c:v>
                </c:pt>
                <c:pt idx="3">
                  <c:v>Reforming the FCC's Processes</c:v>
                </c:pt>
              </c:strCache>
            </c:strRef>
          </c:cat>
          <c:val>
            <c:numRef>
              <c:f>'[FY21 Draft AFR Chap 1 Graphs 110321.xlsx]Total Program Costs'!$B$2:$B$5</c:f>
              <c:numCache>
                <c:formatCode>_("$"* #,##0_);_("$"* \(#,##0\);_("$"* "-"_);_(@_)</c:formatCode>
                <c:ptCount val="4"/>
                <c:pt idx="0">
                  <c:v>10162259</c:v>
                </c:pt>
                <c:pt idx="1">
                  <c:v>1322277</c:v>
                </c:pt>
                <c:pt idx="2">
                  <c:v>69006</c:v>
                </c:pt>
                <c:pt idx="3">
                  <c:v>125676</c:v>
                </c:pt>
              </c:numCache>
            </c:numRef>
          </c:val>
          <c:extLst>
            <c:ext xmlns:c16="http://schemas.microsoft.com/office/drawing/2014/chart" uri="{C3380CC4-5D6E-409C-BE32-E72D297353CC}">
              <c16:uniqueId val="{0000000E-29FC-4840-BAD2-7B775BAC82C3}"/>
            </c:ext>
          </c:extLst>
        </c:ser>
        <c:ser>
          <c:idx val="1"/>
          <c:order val="1"/>
          <c:dPt>
            <c:idx val="0"/>
            <c:bubble3D val="0"/>
            <c:spPr>
              <a:solidFill>
                <a:schemeClr val="accent1"/>
              </a:solidFill>
              <a:ln>
                <a:noFill/>
              </a:ln>
              <a:effectLst/>
              <a:sp3d/>
            </c:spPr>
            <c:extLst>
              <c:ext xmlns:c16="http://schemas.microsoft.com/office/drawing/2014/chart" uri="{C3380CC4-5D6E-409C-BE32-E72D297353CC}">
                <c16:uniqueId val="{00000010-29FC-4840-BAD2-7B775BAC82C3}"/>
              </c:ext>
            </c:extLst>
          </c:dPt>
          <c:dPt>
            <c:idx val="1"/>
            <c:bubble3D val="0"/>
            <c:spPr>
              <a:solidFill>
                <a:schemeClr val="accent2"/>
              </a:solidFill>
              <a:ln>
                <a:noFill/>
              </a:ln>
              <a:effectLst/>
              <a:sp3d/>
            </c:spPr>
            <c:extLst>
              <c:ext xmlns:c16="http://schemas.microsoft.com/office/drawing/2014/chart" uri="{C3380CC4-5D6E-409C-BE32-E72D297353CC}">
                <c16:uniqueId val="{00000012-29FC-4840-BAD2-7B775BAC82C3}"/>
              </c:ext>
            </c:extLst>
          </c:dPt>
          <c:dPt>
            <c:idx val="2"/>
            <c:bubble3D val="0"/>
            <c:spPr>
              <a:solidFill>
                <a:schemeClr val="accent3"/>
              </a:solidFill>
              <a:ln>
                <a:noFill/>
              </a:ln>
              <a:effectLst/>
              <a:sp3d/>
            </c:spPr>
            <c:extLst>
              <c:ext xmlns:c16="http://schemas.microsoft.com/office/drawing/2014/chart" uri="{C3380CC4-5D6E-409C-BE32-E72D297353CC}">
                <c16:uniqueId val="{00000014-29FC-4840-BAD2-7B775BAC82C3}"/>
              </c:ext>
            </c:extLst>
          </c:dPt>
          <c:dPt>
            <c:idx val="3"/>
            <c:bubble3D val="0"/>
            <c:spPr>
              <a:solidFill>
                <a:schemeClr val="accent4"/>
              </a:solidFill>
              <a:ln>
                <a:noFill/>
              </a:ln>
              <a:effectLst/>
              <a:sp3d/>
            </c:spPr>
            <c:extLst>
              <c:ext xmlns:c16="http://schemas.microsoft.com/office/drawing/2014/chart" uri="{C3380CC4-5D6E-409C-BE32-E72D297353CC}">
                <c16:uniqueId val="{00000016-29FC-4840-BAD2-7B775BAC82C3}"/>
              </c:ext>
            </c:extLst>
          </c:dPt>
          <c:cat>
            <c:strRef>
              <c:f>'[FY21 Draft AFR Chap 1 Graphs 110321.xlsx]Total Program Costs'!$A$2:$A$5</c:f>
              <c:strCache>
                <c:ptCount val="4"/>
                <c:pt idx="0">
                  <c:v>Closing the Digital Divide</c:v>
                </c:pt>
                <c:pt idx="1">
                  <c:v>Promoting Innovation </c:v>
                </c:pt>
                <c:pt idx="2">
                  <c:v>Protecting Consumers and Public Safety</c:v>
                </c:pt>
                <c:pt idx="3">
                  <c:v>Reforming the FCC's Processes</c:v>
                </c:pt>
              </c:strCache>
            </c:strRef>
          </c:cat>
          <c:val>
            <c:numRef>
              <c:f>'[FY21 Draft AFR Chap 1 Graphs 110321.xlsx]Total Program Costs'!$C$2:$C$5</c:f>
              <c:numCache>
                <c:formatCode>0.00%</c:formatCode>
                <c:ptCount val="4"/>
                <c:pt idx="0">
                  <c:v>0.87011467719842206</c:v>
                </c:pt>
                <c:pt idx="1">
                  <c:v>0.11321622731932908</c:v>
                </c:pt>
                <c:pt idx="2">
                  <c:v>0.0059084435276402928</c:v>
                </c:pt>
                <c:pt idx="3">
                  <c:v>0.010760651954608605</c:v>
                </c:pt>
              </c:numCache>
            </c:numRef>
          </c:val>
          <c:extLst>
            <c:ext xmlns:c16="http://schemas.microsoft.com/office/drawing/2014/chart" uri="{C3380CC4-5D6E-409C-BE32-E72D297353CC}">
              <c16:uniqueId val="{00000017-29FC-4840-BAD2-7B775BAC82C3}"/>
            </c:ext>
          </c:extLst>
        </c:ser>
        <c:dLbls>
          <c:showLegendKey val="0"/>
          <c:showVal val="0"/>
          <c:showCatName val="0"/>
          <c:showSerName val="0"/>
          <c:showPercent val="0"/>
          <c:showBubbleSize val="0"/>
          <c:showLeaderLines val="1"/>
        </c:dLbls>
      </c:pie3DChart>
      <c:spPr>
        <a:noFill/>
        <a:ln w="25400">
          <a:noFill/>
        </a:ln>
        <a:effectLst>
          <a:glow rad="127000">
            <a:schemeClr val="tx2"/>
          </a:glow>
        </a:effectLst>
      </c:spPr>
    </c:plotArea>
    <c:plotVisOnly val="1"/>
    <c:dispBlanksAs val="gap"/>
    <c:showDLblsOverMax val="0"/>
  </c:chart>
  <c:spPr>
    <a:gradFill rotWithShape="1">
      <a:gsLst>
        <a:gs pos="0">
          <a:srgbClr val="00B050"/>
        </a:gs>
        <a:gs pos="54000">
          <a:schemeClr val="bg1">
            <a:lumMod val="95000"/>
            <a:lumOff val="5000"/>
          </a:schemeClr>
        </a:gs>
        <a:gs pos="100000">
          <a:srgbClr val="00B050"/>
        </a:gs>
      </a:gsLst>
      <a:lin ang="5400000" scaled="1"/>
    </a:gradFill>
    <a:ln w="9525">
      <a:solidFill>
        <a:schemeClr val="tx1">
          <a:tint val="75000"/>
          <a:shade val="95000"/>
          <a:satMod val="105000"/>
        </a:schemeClr>
      </a:solidFill>
      <a:prstDash val="solid"/>
      <a:round/>
    </a:ln>
    <a:effectLst/>
  </c:spPr>
  <c:txPr>
    <a:bodyPr/>
    <a:lstStyle/>
    <a:p>
      <a:pPr>
        <a:defRPr/>
      </a:pPr>
      <a:endParaRPr lang="en-US"/>
    </a:p>
  </c:txPr>
  <c:externalData r:id="rId1">
    <c:autoUpdate val="0"/>
  </c:externalData>
  <c:userShapes r:id="rId2"/>
  <c:extLst>
    <a:ext xmlns:a="http://schemas.openxmlformats.org/drawingml/2006/main" uri="{FF2B5EF4-FFF2-40B4-BE49-F238E27FC236}">
      <a16:creationId xmlns:a16="http://schemas.microsoft.com/office/drawing/2014/main" id="{6E46358F-BF35-4905-B6E6-997675E120A5}"/>
    </a:ext>
  </c:extLst>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solidFill>
          <a:schemeClr val="bg1">
            <a:lumMod val="75000"/>
          </a:schemeClr>
        </a:solidFill>
      </c:spPr>
    </c:floor>
    <c:sideWall>
      <c:thickness val="0"/>
      <c:spPr>
        <a:solidFill>
          <a:schemeClr val="bg1">
            <a:lumMod val="75000"/>
          </a:schemeClr>
        </a:solidFill>
      </c:spPr>
    </c:sideWall>
    <c:backWall>
      <c:thickness val="0"/>
      <c:spPr>
        <a:solidFill>
          <a:schemeClr val="bg1">
            <a:lumMod val="75000"/>
          </a:schemeClr>
        </a:solidFill>
      </c:spPr>
    </c:backWall>
    <c:plotArea>
      <c:layout>
        <c:manualLayout>
          <c:layoutTarget val="inner"/>
          <c:xMode val="edge"/>
          <c:yMode val="edge"/>
          <c:x val="0.17717465696534768"/>
          <c:y val="0.17857574406972715"/>
          <c:w val="0.60435097511545222"/>
          <c:h val="0.68697172287426334"/>
        </c:manualLayout>
      </c:layout>
      <c:bar3DChart>
        <c:barDir val="col"/>
        <c:grouping val="clustered"/>
        <c:varyColors val="0"/>
        <c:ser>
          <c:idx val="0"/>
          <c:order val="0"/>
          <c:tx>
            <c:strRef>
              <c:f>'[FY21 Draft AFR Chap 1 Graphs 110321.xlsx]Status of Budg Res'!$C$1</c:f>
              <c:strCache>
                <c:ptCount val="1"/>
                <c:pt idx="0">
                  <c:v>2021</c:v>
                </c:pt>
              </c:strCache>
            </c:strRef>
          </c:tx>
          <c:spPr>
            <a:solidFill>
              <a:srgbClr val="674F83">
                <a:alpha val="99000"/>
              </a:srgbClr>
            </a:solidFill>
          </c:spPr>
          <c:invertIfNegative val="0"/>
          <c:dLbls>
            <c:dLbl>
              <c:idx val="0"/>
              <c:layout>
                <c:manualLayout>
                  <c:x val="-0.021252034951327287"/>
                  <c:y val="-0.015199128410835415"/>
                </c:manualLayout>
              </c:layout>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CF-49A5-B0B7-CB30BA1E8F0B}"/>
                </c:ext>
              </c:extLst>
            </c:dLbl>
            <c:dLbl>
              <c:idx val="1"/>
              <c:layout>
                <c:manualLayout>
                  <c:x val="-0.091480249287292259"/>
                  <c:y val="0.040147972069529136"/>
                </c:manualLayout>
              </c:layout>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CF-49A5-B0B7-CB30BA1E8F0B}"/>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'[FY21 Draft AFR Chap 1 Graphs 110321.xlsx]Status of Budg Res'!$B$2:$B$3</c:f>
              <c:strCache>
                <c:ptCount val="2"/>
                <c:pt idx="0">
                  <c:v>New Obligations &amp; Upward Adjustments</c:v>
                </c:pt>
                <c:pt idx="1">
                  <c:v>Unobligated Balance</c:v>
                </c:pt>
              </c:strCache>
            </c:strRef>
          </c:cat>
          <c:val>
            <c:numRef>
              <c:f>'[FY21 Draft AFR Chap 1 Graphs 110321.xlsx]Status of Budg Res'!$C$2:$C$3</c:f>
              <c:numCache>
                <c:formatCode>_("$"* #,##0_);_("$"* \(#,##0\);_("$"* "-"_);_(@_)</c:formatCode>
                <c:ptCount val="2"/>
                <c:pt idx="0">
                  <c:v>13209824</c:v>
                </c:pt>
                <c:pt idx="1">
                  <c:v>2615084</c:v>
                </c:pt>
              </c:numCache>
            </c:numRef>
          </c:val>
          <c:extLst>
            <c:ext xmlns:c16="http://schemas.microsoft.com/office/drawing/2014/chart" uri="{C3380CC4-5D6E-409C-BE32-E72D297353CC}">
              <c16:uniqueId val="{00000002-81CF-49A5-B0B7-CB30BA1E8F0B}"/>
            </c:ext>
          </c:extLst>
        </c:ser>
        <c:ser>
          <c:idx val="1"/>
          <c:order val="1"/>
          <c:tx>
            <c:strRef>
              <c:f>'[FY21 Draft AFR Chap 1 Graphs 110321.xlsx]Status of Budg Res'!$D$1</c:f>
              <c:strCache>
                <c:ptCount val="1"/>
                <c:pt idx="0">
                  <c:v>2020</c:v>
                </c:pt>
              </c:strCache>
            </c:strRef>
          </c:tx>
          <c:spPr>
            <a:solidFill>
              <a:srgbClr val="9E3452"/>
            </a:solidFill>
          </c:spPr>
          <c:invertIfNegative val="0"/>
          <c:dLbls>
            <c:dLbl>
              <c:idx val="0"/>
              <c:layout>
                <c:manualLayout>
                  <c:x val="0.024929731884780187"/>
                  <c:y val="-0.0378406378447977"/>
                </c:manualLayout>
              </c:layout>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CF-49A5-B0B7-CB30BA1E8F0B}"/>
                </c:ext>
              </c:extLst>
            </c:dLbl>
            <c:dLbl>
              <c:idx val="1"/>
              <c:layout>
                <c:manualLayout>
                  <c:x val="0.1077102229309943"/>
                  <c:y val="0.025962066062496812"/>
                </c:manualLayout>
              </c:layout>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CF-49A5-B0B7-CB30BA1E8F0B}"/>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'[FY21 Draft AFR Chap 1 Graphs 110321.xlsx]Status of Budg Res'!$B$2:$B$3</c:f>
              <c:strCache>
                <c:ptCount val="2"/>
                <c:pt idx="0">
                  <c:v>New Obligations &amp; Upward Adjustments</c:v>
                </c:pt>
                <c:pt idx="1">
                  <c:v>Unobligated Balance</c:v>
                </c:pt>
              </c:strCache>
            </c:strRef>
          </c:cat>
          <c:val>
            <c:numRef>
              <c:f>'[FY21 Draft AFR Chap 1 Graphs 110321.xlsx]Status of Budg Res'!$D$2:$D$3</c:f>
              <c:numCache>
                <c:formatCode>_("$"* #,##0_);_("$"* \(#,##0\);_("$"* "-"_);_(@_)</c:formatCode>
                <c:ptCount val="2"/>
                <c:pt idx="0">
                  <c:v>9316143</c:v>
                </c:pt>
                <c:pt idx="1">
                  <c:v>-8582471</c:v>
                </c:pt>
              </c:numCache>
            </c:numRef>
          </c:val>
          <c:extLst>
            <c:ext xmlns:c16="http://schemas.microsoft.com/office/drawing/2014/chart" uri="{C3380CC4-5D6E-409C-BE32-E72D297353CC}">
              <c16:uniqueId val="{00000005-81CF-49A5-B0B7-CB30BA1E8F0B}"/>
            </c:ext>
          </c:extLst>
        </c:ser>
        <c:dLbls>
          <c:showLegendKey val="0"/>
          <c:showVal val="0"/>
          <c:showCatName val="0"/>
          <c:showSerName val="0"/>
          <c:showPercent val="0"/>
          <c:showBubbleSize val="0"/>
        </c:dLbls>
        <c:gapWidth val="187"/>
        <c:gapDepth val="24"/>
        <c:shape val="box"/>
        <c:axId val="327051808"/>
        <c:axId val="180432752"/>
        <c:axId val="0"/>
      </c:bar3DChart>
      <c:catAx>
        <c:axId val="327051808"/>
        <c:scaling>
          <c:orientation val="minMax"/>
        </c:scaling>
        <c:delete val="0"/>
        <c:axPos val="b"/>
        <c:numFmt formatCode="General" sourceLinked="1"/>
        <c:majorTickMark val="out"/>
        <c:minorTickMark val="none"/>
        <c:tickLblPos val="low"/>
        <c:txPr>
          <a:bodyPr/>
          <a:lstStyle/>
          <a:p>
            <a:pPr>
              <a:defRPr>
                <a:latin typeface="Times New Roman" panose="02020603050405020304" pitchFamily="18" charset="0"/>
                <a:cs typeface="Times New Roman" panose="02020603050405020304" pitchFamily="18" charset="0"/>
              </a:defRPr>
            </a:pPr>
            <a:endParaRPr lang="en-US"/>
          </a:p>
        </c:txPr>
        <c:crossAx val="180432752"/>
        <c:crosses val="autoZero"/>
        <c:auto val="1"/>
        <c:lblAlgn val="ctr"/>
        <c:lblOffset val="100"/>
        <c:noMultiLvlLbl val="0"/>
      </c:catAx>
      <c:valAx>
        <c:axId val="180432752"/>
        <c:scaling>
          <c:orientation val="minMax"/>
        </c:scaling>
        <c:delete val="0"/>
        <c:axPos val="l"/>
        <c:majorGridlines/>
        <c:numFmt formatCode="_(&quot;$&quot;* #,##0_);_(&quot;$&quot;* \(#,##0\);_(&quot;$&quot;* &quot;-&quot;_);_(@_)"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327051808"/>
        <c:crossesAt val="1"/>
        <c:crossBetween val="between"/>
      </c:valAx>
      <c:spPr>
        <a:noFill/>
        <a:ln w="25400">
          <a:noFill/>
        </a:ln>
      </c:spPr>
    </c:plotArea>
    <c:legend>
      <c:legendPos val="r"/>
      <c:layout>
        <c:manualLayout>
          <c:xMode val="edge"/>
          <c:yMode val="edge"/>
          <c:x val="0.81331644533573177"/>
          <c:y val="0.26226415094339622"/>
          <c:w val="0.0926893541233338"/>
          <c:h val="0.11509433962264151"/>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gradFill rotWithShape="1">
      <a:gsLst>
        <a:gs pos="0">
          <a:srgbClr val="00B050"/>
        </a:gs>
        <a:gs pos="50000">
          <a:schemeClr val="bg1"/>
        </a:gs>
        <a:gs pos="100000">
          <a:srgbClr val="00B050"/>
        </a:gs>
      </a:gsLst>
      <a:lin ang="5400000" scaled="1"/>
    </a:gradFill>
    <a:ln w="9525">
      <a:solidFill>
        <a:schemeClr val="tx1"/>
      </a:solidFill>
      <a:prstDash val="solid"/>
    </a:ln>
    <a:effectLst>
      <a:outerShdw blurRad="40000" dist="20000" dir="5400000" sx="100000" sy="100000" kx="0" ky="0" algn="b"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userShapes r:id="rId2"/>
  <c:extLst>
    <a:ext xmlns:a="http://schemas.openxmlformats.org/drawingml/2006/main" uri="{FF2B5EF4-FFF2-40B4-BE49-F238E27FC236}">
      <a16:creationId xmlns:a16="http://schemas.microsoft.com/office/drawing/2014/main" id="{00000000-0008-0000-0500-00002E180000}"/>
    </a:ext>
  </c:extLst>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solidFill>
          <a:schemeClr val="bg1">
            <a:lumMod val="75000"/>
          </a:schemeClr>
        </a:solidFill>
      </c:spPr>
    </c:floor>
    <c:sideWall>
      <c:thickness val="0"/>
      <c:spPr>
        <a:solidFill>
          <a:schemeClr val="bg1">
            <a:lumMod val="75000"/>
            <a:alpha val="30000"/>
          </a:schemeClr>
        </a:solidFill>
      </c:spPr>
    </c:sideWall>
    <c:backWall>
      <c:thickness val="0"/>
      <c:spPr>
        <a:solidFill>
          <a:schemeClr val="bg1">
            <a:lumMod val="75000"/>
            <a:alpha val="30000"/>
          </a:schemeClr>
        </a:solidFill>
      </c:spPr>
    </c:backWall>
    <c:plotArea>
      <c:layout>
        <c:manualLayout>
          <c:layoutTarget val="inner"/>
          <c:xMode val="edge"/>
          <c:yMode val="edge"/>
          <c:x val="0.18983285705474806"/>
          <c:y val="0.17857574406972715"/>
          <c:w val="0.60435092480280694"/>
          <c:h val="0.70458178576734509"/>
        </c:manualLayout>
      </c:layout>
      <c:bar3DChart>
        <c:barDir val="col"/>
        <c:grouping val="clustered"/>
        <c:varyColors val="0"/>
        <c:ser>
          <c:idx val="0"/>
          <c:order val="0"/>
          <c:tx>
            <c:strRef>
              <c:f>SCA!$C$1</c:f>
              <c:strCache>
                <c:ptCount val="1"/>
                <c:pt idx="0">
                  <c:v>2021</c:v>
                </c:pt>
              </c:strCache>
            </c:strRef>
          </c:tx>
          <c:spPr>
            <a:solidFill>
              <a:srgbClr val="674F83">
                <a:alpha val="99000"/>
              </a:srgbClr>
            </a:solidFill>
          </c:spPr>
          <c:invertIfNegative val="0"/>
          <c:dLbls>
            <c:dLbl>
              <c:idx val="0"/>
              <c:layout>
                <c:manualLayout>
                  <c:x val="-0.023740767869132672"/>
                  <c:y val="-0.0428720843856782"/>
                </c:manualLayout>
              </c:layout>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EA-4DF8-BE0F-F975BAF2DA66}"/>
                </c:ext>
              </c:extLst>
            </c:dLbl>
            <c:dLbl>
              <c:idx val="1"/>
              <c:layout>
                <c:manualLayout>
                  <c:x val="-0.013078648599157734"/>
                  <c:y val="-0.032807606596345268"/>
                </c:manualLayout>
              </c:layout>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EA-4DF8-BE0F-F975BAF2DA66}"/>
                </c:ext>
              </c:extLst>
            </c:dLbl>
            <c:dLbl>
              <c:idx val="2"/>
              <c:layout>
                <c:manualLayout>
                  <c:x val="0.024369016536118365"/>
                  <c:y val="-0.0477987421383647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EA-4DF8-BE0F-F975BAF2DA66}"/>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SCA!$B$2:$B$3</c:f>
              <c:strCache>
                <c:ptCount val="2"/>
                <c:pt idx="0">
                  <c:v>Total Custodial Revenue</c:v>
                </c:pt>
                <c:pt idx="1">
                  <c:v>Transferred to Others</c:v>
                </c:pt>
              </c:strCache>
            </c:strRef>
          </c:cat>
          <c:val>
            <c:numRef>
              <c:f>SCA!$C$2:$C$3</c:f>
              <c:numCache>
                <c:formatCode>_("$"* #,##0_);_("$"* \(#,##0\);_("$"* "-"_);_(@_)</c:formatCode>
                <c:ptCount val="2"/>
                <c:pt idx="0">
                  <c:v>85780069</c:v>
                </c:pt>
                <c:pt idx="1">
                  <c:v>9149473</c:v>
                </c:pt>
              </c:numCache>
            </c:numRef>
          </c:val>
          <c:extLst>
            <c:ext xmlns:c16="http://schemas.microsoft.com/office/drawing/2014/chart" uri="{C3380CC4-5D6E-409C-BE32-E72D297353CC}">
              <c16:uniqueId val="{00000003-33EA-4DF8-BE0F-F975BAF2DA66}"/>
            </c:ext>
          </c:extLst>
        </c:ser>
        <c:ser>
          <c:idx val="1"/>
          <c:order val="1"/>
          <c:tx>
            <c:strRef>
              <c:f>SCA!$D$1</c:f>
              <c:strCache>
                <c:ptCount val="1"/>
                <c:pt idx="0">
                  <c:v>2020</c:v>
                </c:pt>
              </c:strCache>
            </c:strRef>
          </c:tx>
          <c:spPr>
            <a:solidFill>
              <a:srgbClr val="9E3452"/>
            </a:solidFill>
          </c:spPr>
          <c:invertIfNegative val="0"/>
          <c:dLbls>
            <c:dLbl>
              <c:idx val="0"/>
              <c:layout>
                <c:manualLayout>
                  <c:x val="0.0495576434146776"/>
                  <c:y val="-0.0328091913039172"/>
                </c:manualLayout>
              </c:layout>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EA-4DF8-BE0F-F975BAF2DA66}"/>
                </c:ext>
              </c:extLst>
            </c:dLbl>
            <c:dLbl>
              <c:idx val="1"/>
              <c:layout>
                <c:manualLayout>
                  <c:x val="0.0452223341268388"/>
                  <c:y val="-0.034415688604962205"/>
                </c:manualLayout>
              </c:layout>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EA-4DF8-BE0F-F975BAF2DA66}"/>
                </c:ext>
              </c:extLst>
            </c:dLbl>
            <c:dLbl>
              <c:idx val="2"/>
              <c:layout>
                <c:manualLayout>
                  <c:x val="0.043516100957354219"/>
                  <c:y val="-0.0301884811568365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EA-4DF8-BE0F-F975BAF2DA66}"/>
                </c:ext>
              </c:extLst>
            </c:dLbl>
            <c:dLbl>
              <c:idx val="3"/>
              <c:layout>
                <c:manualLayout>
                  <c:x val="0.020887728459530026"/>
                  <c:y val="-0.0452828207794780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EA-4DF8-BE0F-F975BAF2DA66}"/>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SCA!$B$2:$B$3</c:f>
              <c:strCache>
                <c:ptCount val="2"/>
                <c:pt idx="0">
                  <c:v>Total Custodial Revenue</c:v>
                </c:pt>
                <c:pt idx="1">
                  <c:v>Transferred to Others</c:v>
                </c:pt>
              </c:strCache>
            </c:strRef>
          </c:cat>
          <c:val>
            <c:numRef>
              <c:f>SCA!$D$2:$D$3</c:f>
              <c:numCache>
                <c:formatCode>_("$"* #,##0_);_("$"* \(#,##0\);_("$"* "-"_);_(@_)</c:formatCode>
                <c:ptCount val="2"/>
                <c:pt idx="0">
                  <c:v>10359658</c:v>
                </c:pt>
                <c:pt idx="1">
                  <c:v>2786204</c:v>
                </c:pt>
              </c:numCache>
            </c:numRef>
          </c:val>
          <c:extLst>
            <c:ext xmlns:c16="http://schemas.microsoft.com/office/drawing/2014/chart" uri="{C3380CC4-5D6E-409C-BE32-E72D297353CC}">
              <c16:uniqueId val="{00000008-33EA-4DF8-BE0F-F975BAF2DA66}"/>
            </c:ext>
          </c:extLst>
        </c:ser>
        <c:dLbls>
          <c:showLegendKey val="0"/>
          <c:showVal val="0"/>
          <c:showCatName val="0"/>
          <c:showSerName val="0"/>
          <c:showPercent val="0"/>
          <c:showBubbleSize val="0"/>
        </c:dLbls>
        <c:gapWidth val="150"/>
        <c:shape val="box"/>
        <c:axId val="180433928"/>
        <c:axId val="180434320"/>
        <c:axId val="0"/>
      </c:bar3DChart>
      <c:catAx>
        <c:axId val="180433928"/>
        <c:scaling>
          <c:orientation val="minMax"/>
        </c:scaling>
        <c:delete val="0"/>
        <c:axPos val="b"/>
        <c:numFmt formatCode="General" sourceLinked="1"/>
        <c:majorTickMark val="out"/>
        <c:minorTickMark val="none"/>
        <c:tickLblPos val="low"/>
        <c:txPr>
          <a:bodyPr/>
          <a:lstStyle/>
          <a:p>
            <a:pPr>
              <a:defRPr>
                <a:latin typeface="Times New Roman" panose="02020603050405020304" pitchFamily="18" charset="0"/>
                <a:cs typeface="Times New Roman" panose="02020603050405020304" pitchFamily="18" charset="0"/>
              </a:defRPr>
            </a:pPr>
            <a:endParaRPr lang="en-US"/>
          </a:p>
        </c:txPr>
        <c:crossAx val="180434320"/>
        <c:crosses val="autoZero"/>
        <c:auto val="1"/>
        <c:lblAlgn val="ctr"/>
        <c:lblOffset val="100"/>
        <c:noMultiLvlLbl val="0"/>
      </c:catAx>
      <c:valAx>
        <c:axId val="180434320"/>
        <c:scaling>
          <c:orientation val="minMax"/>
        </c:scaling>
        <c:delete val="0"/>
        <c:axPos val="l"/>
        <c:majorGridlines/>
        <c:numFmt formatCode="_(&quot;$&quot;* #,##0_);_(&quot;$&quot;* \(#,##0\);_(&quot;$&quot;* &quot;-&quot;_);_(@_)"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80433928"/>
        <c:crossesAt val="1"/>
        <c:crossBetween val="between"/>
      </c:valAx>
      <c:spPr>
        <a:noFill/>
        <a:ln w="25400">
          <a:noFill/>
        </a:ln>
      </c:spPr>
    </c:plotArea>
    <c:legend>
      <c:legendPos val="r"/>
      <c:layout>
        <c:manualLayout>
          <c:xMode val="edge"/>
          <c:yMode val="edge"/>
          <c:x val="0.81331639504364284"/>
          <c:y val="0.35283018867924526"/>
          <c:w val="0.0926893541233338"/>
          <c:h val="0.11509433962264151"/>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gradFill rotWithShape="1">
      <a:gsLst>
        <a:gs pos="0">
          <a:srgbClr val="00B050"/>
        </a:gs>
        <a:gs pos="50000">
          <a:schemeClr val="bg1"/>
        </a:gs>
        <a:gs pos="100000">
          <a:srgbClr val="00B050"/>
        </a:gs>
      </a:gsLst>
      <a:lin ang="5400000" scaled="1"/>
    </a:gradFill>
    <a:ln w="9525">
      <a:solidFill>
        <a:schemeClr val="tx1"/>
      </a:solidFill>
      <a:prstDash val="solid"/>
    </a:ln>
    <a:effectLst>
      <a:outerShdw blurRad="40000" dist="20000" dir="5400000" sx="100000" sy="100000" kx="0" ky="0" algn="b" rotWithShape="0">
        <a:srgbClr val="000000">
          <a:alpha val="38000"/>
        </a:srgbClr>
      </a:outerShdw>
    </a:effectLst>
  </c:spPr>
  <c:txPr>
    <a:bodyPr/>
    <a:lstStyle/>
    <a:p>
      <a:pPr>
        <a:defRPr>
          <a:solidFill>
            <a:schemeClr val="dk1"/>
          </a:solidFill>
          <a:latin typeface="+mn-lt"/>
          <a:ea typeface="+mn-ea"/>
          <a:cs typeface="+mn-cs"/>
        </a:defRPr>
      </a:pPr>
      <a:endParaRPr lang="en-US"/>
    </a:p>
  </c:txPr>
  <c:externalData r:id="rId1">
    <c:autoUpdate val="0"/>
  </c:externalData>
  <c:userShapes r:id="rId2"/>
  <c:extLst>
    <a:ext xmlns:a="http://schemas.openxmlformats.org/drawingml/2006/main" uri="{FF2B5EF4-FFF2-40B4-BE49-F238E27FC236}">
      <a16:creationId xmlns:a16="http://schemas.microsoft.com/office/drawing/2014/main" id="{00000000-0008-0000-0600-000003000000}"/>
    </a:ext>
  </c:extLst>
</c:chartSpace>
</file>

<file path=word/drawings/drawing1.xml><?xml version="1.0" encoding="utf-8"?>
<c:userShapes xmlns:c="http://schemas.openxmlformats.org/drawingml/2006/chart" xmlns:a="http://schemas.openxmlformats.org/drawingml/2006/main">
  <cdr:relSizeAnchor xmlns:cdr="http://schemas.openxmlformats.org/drawingml/2006/chartDrawing">
    <cdr:from>
      <cdr:x>0.21645</cdr:x>
      <cdr:y>0.01515</cdr:y>
    </cdr:from>
    <cdr:to>
      <cdr:x>0.80088</cdr:x>
      <cdr:y>0.08083</cdr:y>
    </cdr:to>
    <cdr:sp>
      <cdr:nvSpPr>
        <cdr:cNvPr id="2" name="TextBox 1"/>
        <cdr:cNvSpPr txBox="1"/>
      </cdr:nvSpPr>
      <cdr:spPr>
        <a:xfrm>
          <a:off x="1409699" y="76200"/>
          <a:ext cx="3800475" cy="314325"/>
        </a:xfrm>
        <a:prstGeom prst="rect">
          <a:avLst/>
        </a:prstGeom>
      </cdr:spPr>
      <cdr:txBody>
        <a:bodyPr vertOverflow="clip" wrap="square" rtlCol="0"/>
        <a:lstStyle/>
        <a:p>
          <a:endParaRPr lang="en-US"/>
        </a:p>
      </cdr:txBody>
    </cdr:sp>
  </cdr:relSizeAnchor>
  <cdr:relSizeAnchor xmlns:cdr="http://schemas.openxmlformats.org/drawingml/2006/chartDrawing">
    <cdr:from>
      <cdr:x>0.08261</cdr:x>
      <cdr:y>0.01717</cdr:y>
    </cdr:from>
    <cdr:to>
      <cdr:x>0.94348</cdr:x>
      <cdr:y>0.17159</cdr:y>
    </cdr:to>
    <cdr:sp>
      <cdr:nvSpPr>
        <cdr:cNvPr id="3" name="TextBox 2"/>
        <cdr:cNvSpPr txBox="1"/>
      </cdr:nvSpPr>
      <cdr:spPr>
        <a:xfrm>
          <a:off x="542957" y="88640"/>
          <a:ext cx="5657818" cy="797201"/>
        </a:xfrm>
        <a:prstGeom prst="rect">
          <a:avLst/>
        </a:prstGeom>
      </cdr:spPr>
      <cdr:txBody>
        <a:bodyPr vertOverflow="clip" wrap="square" rtlCol="0"/>
        <a:lstStyle/>
        <a:p>
          <a:pPr algn="ctr"/>
          <a:r>
            <a:rPr lang="en-US" sz="1800" b="1">
              <a:latin typeface="Times New Roman" panose="02020603050405020304" pitchFamily="18" charset="0"/>
              <a:cs typeface="Times New Roman" panose="02020603050405020304" pitchFamily="18" charset="0"/>
            </a:rPr>
            <a:t>FY 2021 Sources of New Available Funds</a:t>
          </a:r>
          <a:r>
            <a:rPr lang="en-US" sz="1800" b="1">
              <a:latin typeface="Times New Roman" panose="02020603050405020304" pitchFamily="18" charset="0"/>
              <a:ea typeface="+mn-ea"/>
              <a:cs typeface="Times New Roman" panose="02020603050405020304" pitchFamily="18" charset="0"/>
            </a:rPr>
            <a:t> </a:t>
          </a:r>
          <a:r>
            <a:rPr lang="en-US" sz="1000" b="0">
              <a:latin typeface="Times New Roman" panose="02020603050405020304" pitchFamily="18" charset="0"/>
              <a:cs typeface="Times New Roman" panose="02020603050405020304" pitchFamily="18" charset="0"/>
            </a:rPr>
            <a:t>(Dollars in Millions)</a:t>
          </a:r>
        </a:p>
        <a:p>
          <a:pPr algn="ctr"/>
          <a:endParaRPr lang="en-US" sz="2000" b="1"/>
        </a:p>
      </cdr:txBody>
    </cdr:sp>
  </cdr:relSizeAnchor>
  <cdr:relSizeAnchor xmlns:cdr="http://schemas.openxmlformats.org/drawingml/2006/chartDrawing">
    <cdr:from>
      <cdr:x>0.60848</cdr:x>
      <cdr:y>0.82213</cdr:y>
    </cdr:from>
    <cdr:to>
      <cdr:x>0.93148</cdr:x>
      <cdr:y>0.93083</cdr:y>
    </cdr:to>
    <cdr:sp>
      <cdr:nvSpPr>
        <cdr:cNvPr id="506964386" name="Text Box 2">
          <a:extLst>
            <a:ext xmlns:a="http://schemas.openxmlformats.org/drawingml/2006/main" uri="{FF2B5EF4-FFF2-40B4-BE49-F238E27FC236}">
              <a16:creationId xmlns:a16="http://schemas.microsoft.com/office/drawing/2014/main" id="{B472C91B-48FD-4F30-A559-DA00F5F28652}"/>
            </a:ext>
          </a:extLst>
        </cdr:cNvPr>
        <cdr:cNvSpPr txBox="1"/>
      </cdr:nvSpPr>
      <cdr:spPr>
        <a:xfrm>
          <a:off x="3552825" y="3962400"/>
          <a:ext cx="1885950" cy="523875"/>
        </a:xfrm>
        <a:prstGeom prst="rect">
          <a:avLst/>
        </a:prstGeom>
        <a:noFill/>
        <a:ln w="6350">
          <a:noFill/>
        </a:ln>
      </cdr:spPr>
      <cdr:txBody>
        <a:bodyPr rot="0" spcFirstLastPara="0" vert="horz" wrap="square" lIns="91440" tIns="45720" rIns="91440" bIns="45720" numCol="1" spcCol="0" rtlCol="0" fromWordArt="0" anchor="t" anchorCtr="0" forceAA="0" compatLnSpc="1">
          <a:prstTxWarp prst="textNoShape">
            <a:avLst/>
          </a:prstTxWarp>
        </a:bodyPr>
        <a:lstStyle/>
        <a:p>
          <a:pPr marL="0" marR="0" algn="ctr"/>
          <a:r>
            <a:rPr lang="en-US" sz="1200" b="1">
              <a:effectLst/>
              <a:latin typeface="Times New Roman" panose="02020603050405020304" pitchFamily="18" charset="0"/>
              <a:ea typeface="Times New Roman" panose="02020603050405020304" pitchFamily="18" charset="0"/>
            </a:rPr>
            <a:t>Total New Available Funds</a:t>
          </a:r>
          <a:endParaRPr lang="en-US" sz="1200">
            <a:effectLst/>
            <a:latin typeface="Times New Roman" panose="02020603050405020304" pitchFamily="18" charset="0"/>
            <a:ea typeface="Times New Roman" panose="02020603050405020304" pitchFamily="18" charset="0"/>
          </a:endParaRPr>
        </a:p>
        <a:p>
          <a:pPr marL="0" marR="0" algn="ctr"/>
          <a:r>
            <a:rPr lang="en-US" sz="1200">
              <a:effectLst/>
              <a:latin typeface="Times New Roman" panose="02020603050405020304" pitchFamily="18" charset="0"/>
              <a:ea typeface="Times New Roman" panose="02020603050405020304" pitchFamily="18" charset="0"/>
            </a:rPr>
            <a:t>$23,847</a:t>
          </a:r>
        </a:p>
      </cdr:txBody>
    </cdr:sp>
  </cdr:relSizeAnchor>
</c:userShapes>
</file>

<file path=word/drawings/drawing2.xml><?xml version="1.0" encoding="utf-8"?>
<c:userShapes xmlns:c="http://schemas.openxmlformats.org/drawingml/2006/chart" xmlns:a="http://schemas.openxmlformats.org/drawingml/2006/main">
  <cdr:relSizeAnchor xmlns:cdr="http://schemas.openxmlformats.org/drawingml/2006/chartDrawing">
    <cdr:from>
      <cdr:x>0.17481</cdr:x>
      <cdr:y>0.02617</cdr:y>
    </cdr:from>
    <cdr:to>
      <cdr:x>0.84148</cdr:x>
      <cdr:y>0.16376</cdr:y>
    </cdr:to>
    <cdr:sp>
      <cdr:nvSpPr>
        <cdr:cNvPr id="120379085" name="TextBox 1"/>
        <cdr:cNvSpPr txBox="1"/>
      </cdr:nvSpPr>
      <cdr:spPr>
        <a:xfrm>
          <a:off x="1123947" y="115162"/>
          <a:ext cx="4286250" cy="605481"/>
        </a:xfrm>
        <a:prstGeom prst="rect">
          <a:avLst/>
        </a:prstGeom>
      </cdr:spPr>
      <cdr:txBody>
        <a:bodyPr vertOverflow="clip" wrap="square" rtlCol="0"/>
        <a:lstStyle/>
        <a:p>
          <a:pPr algn="ctr"/>
          <a:r>
            <a:rPr lang="en-US" sz="2000" b="1">
              <a:latin typeface="Times New Roman" panose="02020603050405020304" pitchFamily="18" charset="0"/>
              <a:cs typeface="Times New Roman" panose="02020603050405020304" pitchFamily="18" charset="0"/>
            </a:rPr>
            <a:t>FY 2021 Total Assets by Category </a:t>
          </a:r>
        </a:p>
        <a:p>
          <a:pPr algn="ctr"/>
          <a:r>
            <a:rPr lang="en-US" sz="1000" b="0">
              <a:latin typeface="Times New Roman" panose="02020603050405020304" pitchFamily="18" charset="0"/>
              <a:cs typeface="Times New Roman" panose="02020603050405020304" pitchFamily="18" charset="0"/>
            </a:rPr>
            <a:t>(Dollars</a:t>
          </a:r>
          <a:r>
            <a:rPr lang="en-US" sz="1000" b="0" baseline="0">
              <a:latin typeface="Times New Roman" panose="02020603050405020304" pitchFamily="18" charset="0"/>
              <a:cs typeface="Times New Roman" panose="02020603050405020304" pitchFamily="18" charset="0"/>
            </a:rPr>
            <a:t> in Thousands)</a:t>
          </a:r>
          <a:endParaRPr lang="en-US" sz="10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0.05218</cdr:x>
      <cdr:y>0.79513</cdr:y>
    </cdr:from>
    <cdr:to>
      <cdr:x>0.27279</cdr:x>
      <cdr:y>0.89891</cdr:y>
    </cdr:to>
    <cdr:sp>
      <cdr:nvSpPr>
        <cdr:cNvPr id="1834440675" name="TextBox 2"/>
        <cdr:cNvSpPr txBox="1"/>
      </cdr:nvSpPr>
      <cdr:spPr>
        <a:xfrm>
          <a:off x="323078" y="3650502"/>
          <a:ext cx="1365851" cy="476460"/>
        </a:xfrm>
        <a:prstGeom prst="rect">
          <a:avLst/>
        </a:prstGeom>
        <a:noFill/>
        <a:ln>
          <a:noFill/>
        </a:ln>
      </cdr:spPr>
      <cdr:txBody>
        <a:bodyPr vertOverflow="clip" wrap="square" rtlCol="0"/>
        <a:lstStyle/>
        <a:p>
          <a:pPr algn="ctr"/>
          <a:r>
            <a:rPr lang="en-US" sz="1100" b="1">
              <a:solidFill>
                <a:sysClr val="windowText" lastClr="000000"/>
              </a:solidFill>
              <a:latin typeface="Times New Roman" panose="02020603050405020304" pitchFamily="18" charset="0"/>
              <a:cs typeface="Times New Roman" panose="02020603050405020304" pitchFamily="18" charset="0"/>
            </a:rPr>
            <a:t>Total Assets</a:t>
          </a:r>
        </a:p>
        <a:p>
          <a:pPr algn="ctr"/>
          <a:r>
            <a:rPr lang="en-US" sz="1100" b="0">
              <a:solidFill>
                <a:sysClr val="windowText" lastClr="000000"/>
              </a:solidFill>
              <a:latin typeface="Times New Roman" panose="02020603050405020304" pitchFamily="18" charset="0"/>
              <a:cs typeface="Times New Roman" panose="02020603050405020304" pitchFamily="18" charset="0"/>
            </a:rPr>
            <a:t>$106,140,087</a:t>
          </a:r>
        </a:p>
      </cdr:txBody>
    </cdr:sp>
  </cdr:relSizeAnchor>
</c:userShapes>
</file>

<file path=word/drawings/drawing3.xml><?xml version="1.0" encoding="utf-8"?>
<c:userShapes xmlns:c="http://schemas.openxmlformats.org/drawingml/2006/chart" xmlns:a="http://schemas.openxmlformats.org/drawingml/2006/main">
  <cdr:relSizeAnchor xmlns:cdr="http://schemas.openxmlformats.org/drawingml/2006/chartDrawing">
    <cdr:from>
      <cdr:x>0.14245</cdr:x>
      <cdr:y>0.02178</cdr:y>
    </cdr:from>
    <cdr:to>
      <cdr:x>0.91856</cdr:x>
      <cdr:y>0.24399</cdr:y>
    </cdr:to>
    <cdr:sp>
      <cdr:nvSpPr>
        <cdr:cNvPr id="1877756670" name="TextBox 1"/>
        <cdr:cNvSpPr txBox="1"/>
      </cdr:nvSpPr>
      <cdr:spPr>
        <a:xfrm>
          <a:off x="1057276" y="85725"/>
          <a:ext cx="5200650" cy="847725"/>
        </a:xfrm>
        <a:prstGeom prst="rect">
          <a:avLst/>
        </a:prstGeom>
      </cdr:spPr>
      <cdr:txBody>
        <a:bodyPr vertOverflow="clip" wrap="square" rtlCol="0"/>
        <a:lstStyle/>
        <a:p>
          <a:pPr algn="ctr"/>
          <a:r>
            <a:rPr lang="en-US" sz="2000" b="1">
              <a:latin typeface="Times New Roman" panose="02020603050405020304" pitchFamily="18" charset="0"/>
              <a:cs typeface="Times New Roman" panose="02020603050405020304" pitchFamily="18" charset="0"/>
            </a:rPr>
            <a:t>FY 2021 Total Liabilities by Category</a:t>
          </a:r>
          <a:r>
            <a:rPr lang="en-US" sz="2000" b="1" baseline="0">
              <a:latin typeface="Times New Roman" panose="02020603050405020304" pitchFamily="18" charset="0"/>
              <a:cs typeface="Times New Roman" panose="02020603050405020304" pitchFamily="18" charset="0"/>
            </a:rPr>
            <a:t> </a:t>
          </a:r>
        </a:p>
        <a:p>
          <a:pPr algn="ctr"/>
          <a:r>
            <a:rPr lang="en-US" sz="1000" b="0" baseline="0">
              <a:latin typeface="Times New Roman" panose="02020603050405020304" pitchFamily="18" charset="0"/>
              <a:cs typeface="Times New Roman" panose="02020603050405020304" pitchFamily="18" charset="0"/>
            </a:rPr>
            <a:t>(Dollars in Thousands)</a:t>
          </a:r>
          <a:endParaRPr lang="en-US" sz="10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0.62777</cdr:x>
      <cdr:y>0.77909</cdr:y>
    </cdr:from>
    <cdr:to>
      <cdr:x>0.85395</cdr:x>
      <cdr:y>0.87814</cdr:y>
    </cdr:to>
    <cdr:sp>
      <cdr:nvSpPr>
        <cdr:cNvPr id="282266945" name="TextBox 1">
          <a:extLst>
            <a:ext xmlns:a="http://schemas.openxmlformats.org/drawingml/2006/main" uri="{FF2B5EF4-FFF2-40B4-BE49-F238E27FC236}">
              <a16:creationId xmlns:a16="http://schemas.microsoft.com/office/drawing/2014/main" id="{A9862913-A819-4742-9416-2EB972BD76CD}"/>
            </a:ext>
          </a:extLst>
        </cdr:cNvPr>
        <cdr:cNvSpPr txBox="1"/>
      </cdr:nvSpPr>
      <cdr:spPr>
        <a:xfrm>
          <a:off x="3994302" y="3673329"/>
          <a:ext cx="1439115" cy="467008"/>
        </a:xfrm>
        <a:prstGeom prst="rect">
          <a:avLst/>
        </a:prstGeom>
        <a:noFill/>
        <a:ln>
          <a:noFill/>
        </a:ln>
      </cdr:spPr>
      <cdr:txBody>
        <a:bodyPr wrap="square" rtlCol="0"/>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sz="1100" b="1">
              <a:solidFill>
                <a:sysClr val="windowText" lastClr="000000"/>
              </a:solidFill>
              <a:latin typeface="Times New Roman" panose="02020603050405020304" pitchFamily="18" charset="0"/>
              <a:cs typeface="Times New Roman" panose="02020603050405020304" pitchFamily="18" charset="0"/>
            </a:rPr>
            <a:t>Total Liabilities</a:t>
          </a:r>
        </a:p>
        <a:p>
          <a:pPr algn="ctr"/>
          <a:r>
            <a:rPr lang="en-US" sz="1100" b="0">
              <a:solidFill>
                <a:sysClr val="windowText" lastClr="000000"/>
              </a:solidFill>
              <a:latin typeface="Times New Roman" panose="02020603050405020304" pitchFamily="18" charset="0"/>
              <a:cs typeface="Times New Roman" panose="02020603050405020304" pitchFamily="18" charset="0"/>
            </a:rPr>
            <a:t>$86,414,840</a:t>
          </a:r>
        </a:p>
      </cdr:txBody>
    </cdr:sp>
  </cdr:relSizeAnchor>
</c:userShapes>
</file>

<file path=word/drawings/drawing4.xml><?xml version="1.0" encoding="utf-8"?>
<c:userShapes xmlns:c="http://schemas.openxmlformats.org/drawingml/2006/chart" xmlns:a="http://schemas.openxmlformats.org/drawingml/2006/main">
  <cdr:relSizeAnchor xmlns:cdr="http://schemas.openxmlformats.org/drawingml/2006/chartDrawing">
    <cdr:from>
      <cdr:x>0.21645</cdr:x>
      <cdr:y>0.01515</cdr:y>
    </cdr:from>
    <cdr:to>
      <cdr:x>0.80088</cdr:x>
      <cdr:y>0.08083</cdr:y>
    </cdr:to>
    <cdr:sp>
      <cdr:nvSpPr>
        <cdr:cNvPr id="281015294" name="TextBox 1"/>
        <cdr:cNvSpPr txBox="1"/>
      </cdr:nvSpPr>
      <cdr:spPr>
        <a:xfrm>
          <a:off x="1409699" y="76200"/>
          <a:ext cx="3800475" cy="314325"/>
        </a:xfrm>
        <a:prstGeom prst="rect">
          <a:avLst/>
        </a:prstGeom>
      </cdr:spPr>
      <cdr:txBody>
        <a:bodyPr vertOverflow="clip" wrap="square" rtlCol="0"/>
        <a:lstStyle/>
        <a:p>
          <a:endParaRPr lang="en-US"/>
        </a:p>
      </cdr:txBody>
    </cdr:sp>
  </cdr:relSizeAnchor>
  <cdr:relSizeAnchor xmlns:cdr="http://schemas.openxmlformats.org/drawingml/2006/chartDrawing">
    <cdr:from>
      <cdr:x>0.61305</cdr:x>
      <cdr:y>0.83375</cdr:y>
    </cdr:from>
    <cdr:to>
      <cdr:x>1</cdr:x>
      <cdr:y>0.94245</cdr:y>
    </cdr:to>
    <cdr:sp>
      <cdr:nvSpPr>
        <cdr:cNvPr id="2015605958" name="Text Box 2">
          <a:extLst>
            <a:ext xmlns:a="http://schemas.openxmlformats.org/drawingml/2006/main" uri="{FF2B5EF4-FFF2-40B4-BE49-F238E27FC236}">
              <a16:creationId xmlns:a16="http://schemas.microsoft.com/office/drawing/2014/main" id="{B472C91B-48FD-4F30-A559-DA00F5F28652}"/>
            </a:ext>
          </a:extLst>
        </cdr:cNvPr>
        <cdr:cNvSpPr txBox="1"/>
      </cdr:nvSpPr>
      <cdr:spPr>
        <a:xfrm>
          <a:off x="3831890" y="4100447"/>
          <a:ext cx="2418627" cy="534595"/>
        </a:xfrm>
        <a:prstGeom prst="rect">
          <a:avLst/>
        </a:prstGeom>
        <a:noFill/>
        <a:ln w="6350">
          <a:noFill/>
        </a:ln>
      </cdr:spPr>
      <cdr:txBody>
        <a:bodyPr rot="0" spcFirstLastPara="0" vert="horz" wrap="square" lIns="91440" tIns="45720" rIns="91440" bIns="45720" numCol="1" spcCol="0" rtlCol="0" fromWordArt="0" anchor="t" anchorCtr="0" forceAA="0" compatLnSpc="1">
          <a:prstTxWarp prst="textNoShape">
            <a:avLst/>
          </a:prstTxWarp>
        </a:bodyPr>
        <a:lstStyle/>
        <a:p>
          <a:pPr marL="0" marR="0" algn="ctr"/>
          <a:r>
            <a:rPr lang="en-US" sz="1200" b="1">
              <a:effectLst/>
              <a:latin typeface="Times New Roman" panose="02020603050405020304" pitchFamily="18" charset="0"/>
              <a:ea typeface="Times New Roman" panose="02020603050405020304" pitchFamily="18" charset="0"/>
            </a:rPr>
            <a:t>Total Program Costs</a:t>
          </a:r>
          <a:endParaRPr lang="en-US" sz="1200">
            <a:effectLst/>
            <a:latin typeface="Times New Roman" panose="02020603050405020304" pitchFamily="18" charset="0"/>
            <a:ea typeface="Times New Roman" panose="02020603050405020304" pitchFamily="18" charset="0"/>
          </a:endParaRPr>
        </a:p>
        <a:p>
          <a:pPr marL="0" marR="0" algn="ctr"/>
          <a:r>
            <a:rPr lang="en-US" sz="1200">
              <a:effectLst/>
              <a:latin typeface="Times New Roman" panose="02020603050405020304" pitchFamily="18" charset="0"/>
              <a:ea typeface="Times New Roman" panose="02020603050405020304" pitchFamily="18" charset="0"/>
            </a:rPr>
            <a:t>$11,679,218</a:t>
          </a:r>
        </a:p>
      </cdr:txBody>
    </cdr:sp>
  </cdr:relSizeAnchor>
  <cdr:relSizeAnchor xmlns:cdr="http://schemas.openxmlformats.org/drawingml/2006/chartDrawing">
    <cdr:from>
      <cdr:x>0.14663</cdr:x>
      <cdr:y>0.00439</cdr:y>
    </cdr:from>
    <cdr:to>
      <cdr:x>0.8278</cdr:x>
      <cdr:y>0.20201</cdr:y>
    </cdr:to>
    <cdr:sp>
      <cdr:nvSpPr>
        <cdr:cNvPr id="5" name="TextBox 1">
          <a:extLst>
            <a:ext xmlns:a="http://schemas.openxmlformats.org/drawingml/2006/main" uri="{FF2B5EF4-FFF2-40B4-BE49-F238E27FC236}">
              <a16:creationId xmlns:a16="http://schemas.microsoft.com/office/drawing/2014/main" id="{68EE67FB-3246-4A3D-AC6B-EC23D1CB879B}"/>
            </a:ext>
          </a:extLst>
        </cdr:cNvPr>
        <cdr:cNvSpPr txBox="1"/>
      </cdr:nvSpPr>
      <cdr:spPr>
        <a:xfrm>
          <a:off x="916517" y="21590"/>
          <a:ext cx="4257675" cy="971910"/>
        </a:xfrm>
        <a:prstGeom prst="rect">
          <a:avLst/>
        </a:prstGeom>
      </cdr:spPr>
      <cdr:txBody>
        <a:bodyPr wrap="square" rtlCol="0"/>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algn="ctr"/>
          <a:r>
            <a:rPr lang="en-US" sz="2000" b="1">
              <a:latin typeface="Times New Roman" panose="02020603050405020304" pitchFamily="18" charset="0"/>
              <a:cs typeface="Times New Roman" panose="02020603050405020304" pitchFamily="18" charset="0"/>
            </a:rPr>
            <a:t>FY 2021</a:t>
          </a:r>
          <a:r>
            <a:rPr lang="en-US" sz="2000" b="1" baseline="0">
              <a:latin typeface="Times New Roman" panose="02020603050405020304" pitchFamily="18" charset="0"/>
              <a:cs typeface="Times New Roman" panose="02020603050405020304" pitchFamily="18" charset="0"/>
            </a:rPr>
            <a:t> Total Program Costs </a:t>
          </a:r>
        </a:p>
        <a:p>
          <a:pPr algn="ctr"/>
          <a:r>
            <a:rPr lang="en-US" sz="1000" b="0" baseline="0">
              <a:latin typeface="Times New Roman" panose="02020603050405020304" pitchFamily="18" charset="0"/>
              <a:cs typeface="Times New Roman" panose="02020603050405020304" pitchFamily="18" charset="0"/>
            </a:rPr>
            <a:t>(Dollars in Thousands)</a:t>
          </a:r>
          <a:endParaRPr lang="en-US" sz="1000" b="0">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xmlns:a="http://schemas.openxmlformats.org/drawingml/2006/main">
  <cdr:relSizeAnchor xmlns:cdr="http://schemas.openxmlformats.org/drawingml/2006/chartDrawing">
    <cdr:from>
      <cdr:x>0.08356</cdr:x>
      <cdr:y>0.02388</cdr:y>
    </cdr:from>
    <cdr:to>
      <cdr:x>0.89715</cdr:x>
      <cdr:y>0.18473</cdr:y>
    </cdr:to>
    <cdr:sp>
      <cdr:nvSpPr>
        <cdr:cNvPr id="1716524460" name="TextBox 1"/>
        <cdr:cNvSpPr txBox="1"/>
      </cdr:nvSpPr>
      <cdr:spPr>
        <a:xfrm>
          <a:off x="503013" y="120552"/>
          <a:ext cx="4897661" cy="812011"/>
        </a:xfrm>
        <a:prstGeom prst="rect">
          <a:avLst/>
        </a:prstGeom>
      </cdr:spPr>
      <cdr:txBody>
        <a:bodyPr vertOverflow="clip" wrap="square" rtlCol="0"/>
        <a:lstStyle/>
        <a:p>
          <a:pPr algn="ctr"/>
          <a:r>
            <a:rPr lang="en-US" sz="1600" b="1">
              <a:latin typeface="Times New Roman" panose="02020603050405020304" pitchFamily="18" charset="0"/>
              <a:cs typeface="Times New Roman" panose="02020603050405020304" pitchFamily="18" charset="0"/>
            </a:rPr>
            <a:t>Status of Budgetary Resources - FY 2021 and</a:t>
          </a:r>
          <a:r>
            <a:rPr lang="en-US" sz="1600" b="1" baseline="0">
              <a:latin typeface="Times New Roman" panose="02020603050405020304" pitchFamily="18" charset="0"/>
              <a:cs typeface="Times New Roman" panose="02020603050405020304" pitchFamily="18" charset="0"/>
            </a:rPr>
            <a:t> 2020 </a:t>
          </a:r>
        </a:p>
        <a:p>
          <a:pPr algn="ctr"/>
          <a:r>
            <a:rPr lang="en-US" sz="1000" b="0" baseline="0">
              <a:latin typeface="Times New Roman" panose="02020603050405020304" pitchFamily="18" charset="0"/>
              <a:cs typeface="Times New Roman" panose="02020603050405020304" pitchFamily="18" charset="0"/>
            </a:rPr>
            <a:t>(Dollars in Thousands)</a:t>
          </a:r>
          <a:endParaRPr lang="en-US" sz="1000" b="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0.79263</cdr:x>
      <cdr:y>0.53027</cdr:y>
    </cdr:from>
    <cdr:to>
      <cdr:x>0.98772</cdr:x>
      <cdr:y>0.90189</cdr:y>
    </cdr:to>
    <cdr:sp>
      <cdr:nvSpPr>
        <cdr:cNvPr id="1409575648" name="TextBox 2"/>
        <cdr:cNvSpPr txBox="1"/>
      </cdr:nvSpPr>
      <cdr:spPr>
        <a:xfrm>
          <a:off x="5534025" y="2676936"/>
          <a:ext cx="1362075" cy="1876014"/>
        </a:xfrm>
        <a:prstGeom prst="rect">
          <a:avLst/>
        </a:prstGeom>
        <a:noFill/>
        <a:ln>
          <a:noFill/>
        </a:ln>
      </cdr:spPr>
      <cdr:txBody>
        <a:bodyPr vertOverflow="clip" wrap="square" rtlCol="0"/>
        <a:lstStyle/>
        <a:p>
          <a:pPr algn="ctr"/>
          <a:r>
            <a:rPr lang="en-US" sz="1100" b="1">
              <a:latin typeface="Times New Roman" panose="02020603050405020304" pitchFamily="18" charset="0"/>
              <a:cs typeface="Times New Roman" panose="02020603050405020304" pitchFamily="18" charset="0"/>
            </a:rPr>
            <a:t>Total Budgetary Resources</a:t>
          </a:r>
        </a:p>
        <a:p>
          <a:pPr algn="ctr"/>
          <a:endParaRPr lang="en-US" sz="1100" b="1">
            <a:solidFill>
              <a:srgbClr val="FFFF00"/>
            </a:solidFill>
            <a:latin typeface="Times New Roman" panose="02020603050405020304" pitchFamily="18" charset="0"/>
            <a:cs typeface="Times New Roman" panose="02020603050405020304" pitchFamily="18" charset="0"/>
          </a:endParaRPr>
        </a:p>
        <a:p>
          <a:pPr algn="ctr"/>
          <a:r>
            <a:rPr lang="en-US" sz="1100" b="0">
              <a:latin typeface="Times New Roman" panose="02020603050405020304" pitchFamily="18" charset="0"/>
              <a:cs typeface="Times New Roman" panose="02020603050405020304" pitchFamily="18" charset="0"/>
            </a:rPr>
            <a:t>FY</a:t>
          </a:r>
          <a:r>
            <a:rPr lang="en-US" sz="1100" b="0" baseline="0">
              <a:latin typeface="Times New Roman" panose="02020603050405020304" pitchFamily="18" charset="0"/>
              <a:cs typeface="Times New Roman" panose="02020603050405020304" pitchFamily="18" charset="0"/>
            </a:rPr>
            <a:t> 2021: </a:t>
          </a:r>
        </a:p>
        <a:p>
          <a:pPr algn="ctr"/>
          <a:r>
            <a:rPr lang="en-US" sz="1100" b="0" baseline="0">
              <a:latin typeface="Times New Roman" panose="02020603050405020304" pitchFamily="18" charset="0"/>
              <a:cs typeface="Times New Roman" panose="02020603050405020304" pitchFamily="18" charset="0"/>
            </a:rPr>
            <a:t>$15,824,908</a:t>
          </a:r>
          <a:endParaRPr lang="en-US" sz="1100" b="0" baseline="0">
            <a:effectLst/>
            <a:latin typeface="Times New Roman" panose="02020603050405020304" pitchFamily="18" charset="0"/>
            <a:ea typeface="+mn-ea"/>
            <a:cs typeface="Times New Roman" panose="02020603050405020304" pitchFamily="18" charset="0"/>
          </a:endParaRPr>
        </a:p>
        <a:p>
          <a:pPr algn="ctr"/>
          <a:endParaRPr lang="en-US" sz="1100" b="0">
            <a:effectLst/>
            <a:latin typeface="Times New Roman" panose="02020603050405020304" pitchFamily="18" charset="0"/>
            <a:ea typeface="+mn-ea"/>
            <a:cs typeface="Times New Roman" panose="02020603050405020304" pitchFamily="18" charset="0"/>
          </a:endParaRPr>
        </a:p>
        <a:p>
          <a:pPr algn="ctr"/>
          <a:r>
            <a:rPr lang="en-US" sz="1100" b="0">
              <a:effectLst/>
              <a:latin typeface="Times New Roman" panose="02020603050405020304" pitchFamily="18" charset="0"/>
              <a:ea typeface="+mn-ea"/>
              <a:cs typeface="Times New Roman" panose="02020603050405020304" pitchFamily="18" charset="0"/>
            </a:rPr>
            <a:t>FY</a:t>
          </a:r>
          <a:r>
            <a:rPr lang="en-US" sz="1100" b="0" baseline="0">
              <a:effectLst/>
              <a:latin typeface="Times New Roman" panose="02020603050405020304" pitchFamily="18" charset="0"/>
              <a:ea typeface="+mn-ea"/>
              <a:cs typeface="Times New Roman" panose="02020603050405020304" pitchFamily="18" charset="0"/>
            </a:rPr>
            <a:t> 2020: $733,672</a:t>
          </a:r>
          <a:endParaRPr lang="en-US">
            <a:effectLst/>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xmlns:a="http://schemas.openxmlformats.org/drawingml/2006/main">
  <cdr:relSizeAnchor xmlns:cdr="http://schemas.openxmlformats.org/drawingml/2006/chartDrawing">
    <cdr:from>
      <cdr:x>0.08356</cdr:x>
      <cdr:y>0.02388</cdr:y>
    </cdr:from>
    <cdr:to>
      <cdr:x>0.90478</cdr:x>
      <cdr:y>0.18473</cdr:y>
    </cdr:to>
    <cdr:sp>
      <cdr:nvSpPr>
        <cdr:cNvPr id="1161696486" name="TextBox 1"/>
        <cdr:cNvSpPr txBox="1"/>
      </cdr:nvSpPr>
      <cdr:spPr>
        <a:xfrm>
          <a:off x="604236" y="119329"/>
          <a:ext cx="6006114" cy="804595"/>
        </a:xfrm>
        <a:prstGeom prst="rect">
          <a:avLst/>
        </a:prstGeom>
      </cdr:spPr>
      <cdr:txBody>
        <a:bodyPr vertOverflow="clip" wrap="square" rtlCol="0"/>
        <a:lstStyle/>
        <a:p>
          <a:pPr algn="ctr"/>
          <a:r>
            <a:rPr lang="en-US" sz="2000" b="1">
              <a:latin typeface="Times New Roman" panose="02020603050405020304" pitchFamily="18" charset="0"/>
              <a:cs typeface="Times New Roman" panose="02020603050405020304" pitchFamily="18" charset="0"/>
            </a:rPr>
            <a:t>Custodial</a:t>
          </a:r>
          <a:r>
            <a:rPr lang="en-US" sz="2000" b="1" baseline="0">
              <a:latin typeface="Times New Roman" panose="02020603050405020304" pitchFamily="18" charset="0"/>
              <a:cs typeface="Times New Roman" panose="02020603050405020304" pitchFamily="18" charset="0"/>
            </a:rPr>
            <a:t> Activity</a:t>
          </a:r>
          <a:r>
            <a:rPr lang="en-US" sz="2000" b="1">
              <a:latin typeface="Times New Roman" panose="02020603050405020304" pitchFamily="18" charset="0"/>
              <a:cs typeface="Times New Roman" panose="02020603050405020304" pitchFamily="18" charset="0"/>
            </a:rPr>
            <a:t> - FY 2021 and</a:t>
          </a:r>
          <a:r>
            <a:rPr lang="en-US" sz="2000" b="1" baseline="0">
              <a:latin typeface="Times New Roman" panose="02020603050405020304" pitchFamily="18" charset="0"/>
              <a:cs typeface="Times New Roman" panose="02020603050405020304" pitchFamily="18" charset="0"/>
            </a:rPr>
            <a:t> 2020 </a:t>
          </a:r>
        </a:p>
        <a:p>
          <a:pPr algn="ctr"/>
          <a:r>
            <a:rPr lang="en-US" sz="1000" b="0" baseline="0">
              <a:latin typeface="Times New Roman" panose="02020603050405020304" pitchFamily="18" charset="0"/>
              <a:cs typeface="Times New Roman" panose="02020603050405020304" pitchFamily="18" charset="0"/>
            </a:rPr>
            <a:t>(Dollars in Thousands)</a:t>
          </a:r>
          <a:endParaRPr lang="en-US" sz="1000" b="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