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77D8751" w14:textId="5EC4E38B">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r w:rsidR="00306174">
        <w:rPr>
          <w:szCs w:val="22"/>
        </w:rPr>
        <w:tab/>
      </w:r>
      <w:r w:rsidR="00306174">
        <w:rPr>
          <w:szCs w:val="22"/>
        </w:rPr>
        <w:tab/>
      </w:r>
      <w:r w:rsidR="00306174">
        <w:rPr>
          <w:szCs w:val="22"/>
        </w:rPr>
        <w:tab/>
      </w:r>
      <w:r w:rsidR="00306174">
        <w:rPr>
          <w:szCs w:val="22"/>
        </w:rPr>
        <w:tab/>
      </w:r>
    </w:p>
    <w:p w:rsidR="00306174" w:rsidP="00306174" w14:paraId="721FB4D7" w14:textId="7ECE6234">
      <w:pPr>
        <w:ind w:left="5760" w:firstLine="720"/>
        <w:rPr>
          <w:b/>
          <w:color w:val="000000"/>
          <w:szCs w:val="22"/>
        </w:rPr>
      </w:pPr>
      <w:bookmarkStart w:id="1" w:name="_Hlk64355849"/>
      <w:r>
        <w:rPr>
          <w:b/>
          <w:color w:val="000000"/>
          <w:szCs w:val="22"/>
        </w:rPr>
        <w:t xml:space="preserve"> </w:t>
      </w:r>
      <w:r w:rsidRPr="00376464" w:rsidR="00C40DB0">
        <w:rPr>
          <w:b/>
          <w:color w:val="000000"/>
          <w:szCs w:val="22"/>
        </w:rPr>
        <w:t>DA 2</w:t>
      </w:r>
      <w:r w:rsidR="00C40DB0">
        <w:rPr>
          <w:b/>
          <w:color w:val="000000"/>
          <w:szCs w:val="22"/>
        </w:rPr>
        <w:t>1</w:t>
      </w:r>
      <w:r w:rsidRPr="00376464" w:rsidR="00C40DB0">
        <w:rPr>
          <w:b/>
          <w:color w:val="000000"/>
          <w:szCs w:val="22"/>
        </w:rPr>
        <w:t>-</w:t>
      </w:r>
      <w:r w:rsidR="00B548A9">
        <w:rPr>
          <w:b/>
          <w:color w:val="000000"/>
          <w:szCs w:val="22"/>
        </w:rPr>
        <w:t>1430</w:t>
      </w:r>
    </w:p>
    <w:p w:rsidR="008042EC" w:rsidRPr="00376464" w:rsidP="00306174" w14:paraId="4A7109F1" w14:textId="5EF51570">
      <w:pPr>
        <w:ind w:left="6480"/>
        <w:rPr>
          <w:b/>
          <w:color w:val="000000"/>
          <w:szCs w:val="22"/>
        </w:rPr>
      </w:pPr>
      <w:r>
        <w:rPr>
          <w:b/>
          <w:color w:val="000000"/>
          <w:szCs w:val="22"/>
        </w:rPr>
        <w:t xml:space="preserve"> November 15</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5B0EBF45">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P="006E5144" w14:paraId="230DFE07" w14:textId="06A7FB06">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306174">
        <w:rPr>
          <w:b/>
          <w:szCs w:val="22"/>
        </w:rPr>
        <w:t>378</w:t>
      </w:r>
      <w:bookmarkEnd w:id="1"/>
    </w:p>
    <w:p w:rsidR="006E5144" w:rsidRPr="00376464" w:rsidP="006E5144" w14:paraId="1F972AB0" w14:textId="77777777">
      <w:pPr>
        <w:widowControl w:val="0"/>
        <w:jc w:val="center"/>
        <w:rPr>
          <w:b/>
          <w:szCs w:val="22"/>
        </w:rPr>
      </w:pPr>
    </w:p>
    <w:p w:rsidR="008042EC" w:rsidP="008042EC" w14:paraId="6AD71620" w14:textId="0EF103F4">
      <w:pPr>
        <w:ind w:firstLine="720"/>
        <w:rPr>
          <w:rFonts w:eastAsia="MS Mincho"/>
        </w:rPr>
      </w:pPr>
      <w:r w:rsidRPr="00376464">
        <w:rPr>
          <w:color w:val="000000"/>
          <w:szCs w:val="22"/>
        </w:rPr>
        <w:t>The Wireline Competition Bureau (Bureau) grants the application</w:t>
      </w:r>
      <w:r>
        <w:rPr>
          <w:rStyle w:val="FootnoteReference"/>
          <w:color w:val="000000"/>
          <w:szCs w:val="22"/>
        </w:rPr>
        <w:footnoteReference w:id="3"/>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42186E">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4"/>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5"/>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 xml:space="preserve">proceeding listed in this Public Notice shall be terminated, and </w:t>
      </w:r>
      <w:r w:rsidR="0042186E">
        <w:rPr>
          <w:rFonts w:eastAsia="MS Mincho"/>
        </w:rPr>
        <w:t>its</w:t>
      </w:r>
      <w:r w:rsidRPr="00071BB6">
        <w:rPr>
          <w:rFonts w:eastAsia="MS Mincho"/>
        </w:rPr>
        <w:t xml:space="preserve"> docket will be closed.</w:t>
      </w:r>
    </w:p>
    <w:p w:rsidR="00306174" w:rsidP="008042EC" w14:paraId="1BFCAC52" w14:textId="3741005B">
      <w:pPr>
        <w:ind w:firstLine="720"/>
        <w:rPr>
          <w:rFonts w:eastAsia="MS Mincho"/>
        </w:rPr>
      </w:pPr>
    </w:p>
    <w:p w:rsidR="00306174" w:rsidRPr="00BA0202" w:rsidP="00306174" w14:paraId="409E5C78" w14:textId="77777777">
      <w:pPr>
        <w:ind w:left="720"/>
        <w:rPr>
          <w:szCs w:val="22"/>
        </w:rPr>
      </w:pPr>
      <w:r w:rsidRPr="00BA0202">
        <w:rPr>
          <w:szCs w:val="22"/>
        </w:rPr>
        <w:t xml:space="preserve">Domestic Section 214 Application Filed for the Transfer of Control of </w:t>
      </w:r>
    </w:p>
    <w:p w:rsidR="00306174" w:rsidRPr="00BA0202" w:rsidP="00306174" w14:paraId="164E4196" w14:textId="77777777">
      <w:pPr>
        <w:ind w:left="720"/>
        <w:rPr>
          <w:szCs w:val="22"/>
        </w:rPr>
      </w:pPr>
      <w:r w:rsidRPr="00BA0202">
        <w:rPr>
          <w:szCs w:val="22"/>
        </w:rPr>
        <w:t xml:space="preserve">Southwest Oklahoma Telephone Company to Hilliary Acquisition Oklahoma, LLC, </w:t>
      </w:r>
    </w:p>
    <w:p w:rsidR="00306174" w:rsidRPr="00BA0202" w:rsidP="00306174" w14:paraId="5336D0BD" w14:textId="48FB4402">
      <w:pPr>
        <w:spacing w:after="120"/>
        <w:ind w:left="720"/>
        <w:rPr>
          <w:szCs w:val="22"/>
        </w:rPr>
      </w:pPr>
      <w:r w:rsidRPr="00BA0202">
        <w:rPr>
          <w:szCs w:val="22"/>
        </w:rPr>
        <w:t>WC Docket No. 21-378</w:t>
      </w:r>
      <w:r w:rsidR="00622E90">
        <w:rPr>
          <w:szCs w:val="22"/>
        </w:rPr>
        <w:t>, Public Notice, DA 21-1274</w:t>
      </w:r>
      <w:r w:rsidRPr="00BA0202">
        <w:rPr>
          <w:szCs w:val="22"/>
        </w:rPr>
        <w:t xml:space="preserve"> (</w:t>
      </w:r>
      <w:r w:rsidR="00622E90">
        <w:rPr>
          <w:szCs w:val="22"/>
        </w:rPr>
        <w:t>WCB</w:t>
      </w:r>
      <w:r w:rsidRPr="00BA0202">
        <w:rPr>
          <w:szCs w:val="22"/>
        </w:rPr>
        <w:t xml:space="preserve"> 2021).</w:t>
      </w:r>
      <w:r>
        <w:rPr>
          <w:rStyle w:val="FootnoteReference"/>
          <w:szCs w:val="22"/>
        </w:rPr>
        <w:footnoteReference w:id="6"/>
      </w:r>
    </w:p>
    <w:p w:rsidR="009A6CCF" w:rsidP="004C3AB0" w14:paraId="10C7103B" w14:textId="0382160D">
      <w:pPr>
        <w:ind w:left="720"/>
        <w:rPr>
          <w:szCs w:val="22"/>
        </w:rPr>
      </w:pPr>
    </w:p>
    <w:p w:rsidR="008042EC" w:rsidRPr="007E5FC3" w:rsidP="007E5FC3" w14:paraId="515DE74F" w14:textId="5CB3F489">
      <w:pPr>
        <w:rPr>
          <w:szCs w:val="22"/>
        </w:rPr>
      </w:pPr>
    </w:p>
    <w:p w:rsidR="008042EC" w:rsidP="008042EC" w14:paraId="1A7FB431" w14:textId="0E029285">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306174">
        <w:rPr>
          <w:b/>
          <w:bCs/>
          <w:color w:val="000000"/>
          <w:szCs w:val="22"/>
          <w:lang w:eastAsia="ja-JP"/>
        </w:rPr>
        <w:t>November 13</w:t>
      </w:r>
      <w:r w:rsidRPr="00376464">
        <w:rPr>
          <w:b/>
          <w:bCs/>
          <w:color w:val="000000"/>
          <w:szCs w:val="22"/>
          <w:lang w:eastAsia="ja-JP"/>
        </w:rPr>
        <w:t>, 202</w:t>
      </w:r>
      <w:r>
        <w:rPr>
          <w:b/>
          <w:bCs/>
          <w:color w:val="000000"/>
          <w:szCs w:val="22"/>
          <w:lang w:eastAsia="ja-JP"/>
        </w:rPr>
        <w:t>1</w:t>
      </w:r>
    </w:p>
    <w:p w:rsidR="008042EC" w:rsidRPr="00376464" w:rsidP="00AC412B" w14:paraId="30308442" w14:textId="77777777"/>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63D" w14:paraId="79916D60" w14:textId="77777777">
      <w:r>
        <w:separator/>
      </w:r>
    </w:p>
  </w:footnote>
  <w:footnote w:type="continuationSeparator" w:id="1">
    <w:p w:rsidR="00C8663D" w14:paraId="26FACCD9" w14:textId="77777777">
      <w:r>
        <w:continuationSeparator/>
      </w:r>
    </w:p>
  </w:footnote>
  <w:footnote w:type="continuationNotice" w:id="2">
    <w:p w:rsidR="00C8663D" w14:paraId="29843F0D" w14:textId="77777777"/>
  </w:footnote>
  <w:footnote w:id="3">
    <w:p w:rsidR="00AF2C99" w:rsidP="00AF2C99" w14:paraId="4F315306" w14:textId="69378015">
      <w:pPr>
        <w:pStyle w:val="FootnoteText"/>
        <w:spacing w:after="120"/>
      </w:pPr>
      <w:r>
        <w:rPr>
          <w:rStyle w:val="FootnoteReference"/>
        </w:rPr>
        <w:footnoteRef/>
      </w:r>
      <w:r>
        <w:t xml:space="preserve"> </w:t>
      </w:r>
      <w:r w:rsidRPr="00B20CB0">
        <w:rPr>
          <w:sz w:val="20"/>
        </w:rPr>
        <w:t>Application of Southwest Oklahoma Telephone Company and Hilliary Acquisition Oklahoma, LLC for the Transfer of Control of Southwest Oklahoma Telephone Company, WC Docket No. 21-378 (filed Sept. 28, 2021)</w:t>
      </w:r>
      <w:r>
        <w:rPr>
          <w:sz w:val="20"/>
        </w:rPr>
        <w:t xml:space="preserve"> (Application).</w:t>
      </w:r>
    </w:p>
  </w:footnote>
  <w:footnote w:id="4">
    <w:p w:rsidR="008042EC" w:rsidRPr="00B605DD" w:rsidP="00B605DD" w14:paraId="3D8CC16D" w14:textId="6A6CDD69">
      <w:pPr>
        <w:pStyle w:val="FootnoteText"/>
        <w:spacing w:after="120"/>
        <w:rPr>
          <w:color w:val="000000"/>
          <w:sz w:val="20"/>
        </w:rPr>
      </w:pPr>
      <w:r w:rsidRPr="00B605DD">
        <w:rPr>
          <w:rStyle w:val="FootnoteReference"/>
          <w:color w:val="000000"/>
          <w:sz w:val="20"/>
        </w:rPr>
        <w:footnoteRef/>
      </w:r>
      <w:r w:rsidRPr="00B605DD">
        <w:rPr>
          <w:color w:val="000000"/>
          <w:sz w:val="20"/>
        </w:rPr>
        <w:t xml:space="preserve"> </w:t>
      </w:r>
      <w:r w:rsidRPr="00B605DD">
        <w:rPr>
          <w:i/>
          <w:color w:val="000000"/>
          <w:sz w:val="20"/>
        </w:rPr>
        <w:t>Implementation of Further Streamlining Measures for Domestic Section 214 Authorizations</w:t>
      </w:r>
      <w:r w:rsidRPr="00B605DD">
        <w:rPr>
          <w:iCs/>
          <w:color w:val="000000"/>
          <w:sz w:val="20"/>
        </w:rPr>
        <w:t>,</w:t>
      </w:r>
      <w:r w:rsidRPr="00B605DD">
        <w:rPr>
          <w:color w:val="000000"/>
          <w:sz w:val="20"/>
        </w:rPr>
        <w:t xml:space="preserve"> </w:t>
      </w:r>
      <w:r w:rsidRPr="00B605DD">
        <w:rPr>
          <w:iCs/>
          <w:color w:val="000000"/>
          <w:sz w:val="20"/>
        </w:rPr>
        <w:t xml:space="preserve">Report and Order, </w:t>
      </w:r>
      <w:r w:rsidRPr="00B605DD">
        <w:rPr>
          <w:color w:val="000000"/>
          <w:sz w:val="20"/>
        </w:rPr>
        <w:t>17 FCC Rcd 5517, 5529, para. 22 (2002).</w:t>
      </w:r>
    </w:p>
  </w:footnote>
  <w:footnote w:id="5">
    <w:p w:rsidR="008042EC" w:rsidRPr="00B605DD" w:rsidP="00B605DD" w14:paraId="5BE559B3" w14:textId="6D76F96E">
      <w:pPr>
        <w:pStyle w:val="FootnoteText"/>
        <w:spacing w:after="120"/>
        <w:rPr>
          <w:sz w:val="20"/>
        </w:rPr>
      </w:pPr>
      <w:r w:rsidRPr="00B605DD">
        <w:rPr>
          <w:rStyle w:val="FootnoteReference"/>
          <w:color w:val="000000"/>
          <w:sz w:val="20"/>
        </w:rPr>
        <w:footnoteRef/>
      </w:r>
      <w:r w:rsidRPr="00B605DD">
        <w:rPr>
          <w:color w:val="000000"/>
          <w:sz w:val="20"/>
        </w:rPr>
        <w:t xml:space="preserve"> </w:t>
      </w:r>
      <w:r w:rsidRPr="00B605DD">
        <w:rPr>
          <w:i/>
          <w:color w:val="000000"/>
          <w:sz w:val="20"/>
        </w:rPr>
        <w:t>Id.</w:t>
      </w:r>
      <w:r w:rsidRPr="00B605DD">
        <w:rPr>
          <w:color w:val="000000"/>
          <w:sz w:val="20"/>
        </w:rPr>
        <w:t>;</w:t>
      </w:r>
      <w:r w:rsidRPr="00B605DD">
        <w:rPr>
          <w:i/>
          <w:color w:val="000000"/>
          <w:sz w:val="20"/>
        </w:rPr>
        <w:t xml:space="preserve"> see</w:t>
      </w:r>
      <w:r w:rsidRPr="00B605DD">
        <w:rPr>
          <w:color w:val="000000"/>
          <w:sz w:val="20"/>
        </w:rPr>
        <w:t xml:space="preserve"> 47 CFR § 1.4 (Computation of time).</w:t>
      </w:r>
    </w:p>
  </w:footnote>
  <w:footnote w:id="6">
    <w:p w:rsidR="00306174" w:rsidRPr="00505AF0" w:rsidP="00306174" w14:paraId="2371BAB7" w14:textId="34FA07F2">
      <w:pPr>
        <w:pStyle w:val="FootnoteText"/>
        <w:spacing w:after="120"/>
        <w:rPr>
          <w:sz w:val="20"/>
        </w:rPr>
      </w:pPr>
      <w:r w:rsidRPr="00B605DD">
        <w:rPr>
          <w:rStyle w:val="FootnoteReference"/>
          <w:sz w:val="20"/>
        </w:rPr>
        <w:footnoteRef/>
      </w:r>
      <w:r w:rsidRPr="00B605DD">
        <w:rPr>
          <w:sz w:val="20"/>
        </w:rPr>
        <w:t xml:space="preserve"> </w:t>
      </w:r>
      <w:r w:rsidRPr="00F9021F">
        <w:rPr>
          <w:sz w:val="20"/>
        </w:rPr>
        <w:t xml:space="preserve">Following consummation of the proposed transaction, </w:t>
      </w:r>
      <w:r w:rsidR="00C726B6">
        <w:rPr>
          <w:sz w:val="20"/>
        </w:rPr>
        <w:t>Hilliary Acquisition Oklahoma, LLC (Hilliary)</w:t>
      </w:r>
      <w:r w:rsidR="00AF2C99">
        <w:rPr>
          <w:sz w:val="20"/>
        </w:rPr>
        <w:t xml:space="preserve"> </w:t>
      </w:r>
      <w:r w:rsidRPr="00F9021F">
        <w:rPr>
          <w:sz w:val="20"/>
        </w:rPr>
        <w:t xml:space="preserve">will be affiliated with </w:t>
      </w:r>
      <w:r w:rsidR="00CF2701">
        <w:rPr>
          <w:sz w:val="20"/>
        </w:rPr>
        <w:t>companies</w:t>
      </w:r>
      <w:r w:rsidRPr="00F9021F" w:rsidR="00CF2701">
        <w:rPr>
          <w:sz w:val="20"/>
        </w:rPr>
        <w:t xml:space="preserve"> that receive universal service support under the different mechanisms of fixed model-based support and cost-based support</w:t>
      </w:r>
      <w:r w:rsidR="00AF2C99">
        <w:rPr>
          <w:sz w:val="20"/>
        </w:rPr>
        <w:t>, including Southwest Oklahoma Telephone Company (SWOT), which receives fixed model-based support</w:t>
      </w:r>
      <w:r w:rsidRPr="00F9021F">
        <w:rPr>
          <w:sz w:val="20"/>
        </w:rPr>
        <w:t xml:space="preserve">.  </w:t>
      </w:r>
      <w:r w:rsidR="00AF2C99">
        <w:rPr>
          <w:sz w:val="20"/>
        </w:rPr>
        <w:t xml:space="preserve">Application at 7-9; </w:t>
      </w:r>
      <w:r w:rsidR="00AF2C99">
        <w:rPr>
          <w:i/>
          <w:iCs/>
          <w:sz w:val="20"/>
        </w:rPr>
        <w:t xml:space="preserve">see Domestic Section 214 Application Granted for the Transfer of Control of Prairieburg Telephone Company, </w:t>
      </w:r>
      <w:r w:rsidRPr="00AF2C99" w:rsidR="00AF2C99">
        <w:rPr>
          <w:i/>
          <w:iCs/>
          <w:sz w:val="20"/>
        </w:rPr>
        <w:t>Incorporated</w:t>
      </w:r>
      <w:r w:rsidR="00AF2C99">
        <w:rPr>
          <w:sz w:val="20"/>
        </w:rPr>
        <w:t>, WC Docket No. 21-30, Public Notice</w:t>
      </w:r>
      <w:r w:rsidR="00563425">
        <w:rPr>
          <w:sz w:val="20"/>
        </w:rPr>
        <w:t>, 36 FCC Rcd 5672, 5673-74 and n.7 (WCB 2021) (</w:t>
      </w:r>
      <w:r w:rsidR="00CF2701">
        <w:rPr>
          <w:sz w:val="20"/>
        </w:rPr>
        <w:t xml:space="preserve">citing </w:t>
      </w:r>
      <w:r w:rsidRPr="00CF2701" w:rsidR="00CF2701">
        <w:rPr>
          <w:i/>
          <w:sz w:val="20"/>
        </w:rPr>
        <w:t>Joint Application of W. Mansfield Jennings Limited Partnership and Hargray Communications Group, Inc. for Consent to the Transfer of Control of ComSouth Corporation Pursuant to Section 214 of the Communications Act of 1934</w:t>
      </w:r>
      <w:r w:rsidRPr="00CF2701" w:rsidR="00CF2701">
        <w:rPr>
          <w:sz w:val="20"/>
        </w:rPr>
        <w:t>, WC Docket 18-52, Memorandum Opinion and Order, 33 FCC Rcd 4780, 4784, para. 19 (2018) (</w:t>
      </w:r>
      <w:r w:rsidRPr="00CF2701" w:rsidR="00CF2701">
        <w:rPr>
          <w:i/>
          <w:sz w:val="20"/>
        </w:rPr>
        <w:t>Hargray/ComSouth Order</w:t>
      </w:r>
      <w:r w:rsidRPr="00CF2701" w:rsidR="00CF2701">
        <w:rPr>
          <w:sz w:val="20"/>
        </w:rPr>
        <w:t>)</w:t>
      </w:r>
      <w:r w:rsidR="006F4599">
        <w:rPr>
          <w:sz w:val="20"/>
        </w:rPr>
        <w:t xml:space="preserve"> and </w:t>
      </w:r>
      <w:r w:rsidRPr="00CF2701" w:rsidR="00563425">
        <w:rPr>
          <w:sz w:val="20"/>
        </w:rPr>
        <w:t>granting the transfer of a cost-based, average schedule support company to Hilliar</w:t>
      </w:r>
      <w:r w:rsidRPr="00CF2701" w:rsidR="00CF2701">
        <w:rPr>
          <w:sz w:val="20"/>
        </w:rPr>
        <w:t xml:space="preserve">y Acquisition Iowa, LLC, subject to the condition </w:t>
      </w:r>
      <w:r w:rsidR="00CF2701">
        <w:rPr>
          <w:sz w:val="20"/>
        </w:rPr>
        <w:t>in</w:t>
      </w:r>
      <w:r w:rsidRPr="00CF2701" w:rsidR="00CF2701">
        <w:rPr>
          <w:sz w:val="20"/>
        </w:rPr>
        <w:t xml:space="preserve"> the </w:t>
      </w:r>
      <w:r w:rsidRPr="00CF2701" w:rsidR="00CF2701">
        <w:rPr>
          <w:i/>
          <w:iCs/>
          <w:sz w:val="20"/>
        </w:rPr>
        <w:t>Hargray/ComSouth Order</w:t>
      </w:r>
      <w:r w:rsidRPr="00CF2701" w:rsidR="00CF2701">
        <w:rPr>
          <w:sz w:val="20"/>
        </w:rPr>
        <w:t>, and citing</w:t>
      </w:r>
      <w:r w:rsidR="00CF2701">
        <w:rPr>
          <w:sz w:val="20"/>
        </w:rPr>
        <w:t xml:space="preserve"> previous acquisitions by Hilliary also subject to the condition).  T</w:t>
      </w:r>
      <w:r w:rsidRPr="00F9021F">
        <w:rPr>
          <w:sz w:val="20"/>
        </w:rPr>
        <w:t xml:space="preserve">o mitigate the potential for cost shifting, we grant the Application subject to the continued application of the </w:t>
      </w:r>
      <w:r w:rsidRPr="00F9021F">
        <w:rPr>
          <w:i/>
          <w:iCs/>
          <w:sz w:val="20"/>
        </w:rPr>
        <w:t>Hargray/ComSouth</w:t>
      </w:r>
      <w:r w:rsidRPr="00F9021F">
        <w:rPr>
          <w:sz w:val="20"/>
        </w:rPr>
        <w:t xml:space="preserve"> condition capping the combined operating expenses of the post-consummation company’s rate of return affiliates.  </w:t>
      </w:r>
      <w:r w:rsidRPr="00F9021F">
        <w:rPr>
          <w:i/>
          <w:iCs/>
          <w:sz w:val="20"/>
        </w:rPr>
        <w:t>See</w:t>
      </w:r>
      <w:r w:rsidR="00CF2701">
        <w:rPr>
          <w:i/>
          <w:iCs/>
          <w:sz w:val="20"/>
        </w:rPr>
        <w:t xml:space="preserve"> </w:t>
      </w:r>
      <w:r w:rsidRPr="00F9021F">
        <w:rPr>
          <w:i/>
          <w:iCs/>
          <w:sz w:val="20"/>
        </w:rPr>
        <w:t>Domestic Section 214 Application Granted for the Transfer of Control of Hargray Acquisition Holdings, LLC and its Subsidiaries to Cable One, Inc</w:t>
      </w:r>
      <w:r w:rsidRPr="00F9021F">
        <w:rPr>
          <w:sz w:val="20"/>
        </w:rPr>
        <w:t xml:space="preserve">., WC Docket No. 21-69, Public Notice, DA 21-502, at 3-4 (WCB 2021) (granting the application subject to the continued application of the </w:t>
      </w:r>
      <w:r w:rsidRPr="00F9021F">
        <w:rPr>
          <w:i/>
          <w:iCs/>
          <w:sz w:val="20"/>
        </w:rPr>
        <w:t>Hargray/ComSouth</w:t>
      </w:r>
      <w:r w:rsidRPr="00F9021F">
        <w:rPr>
          <w:sz w:val="20"/>
        </w:rPr>
        <w:t xml:space="preserve"> condition to the applicants).  We direct </w:t>
      </w:r>
      <w:r w:rsidR="00C40DB0">
        <w:rPr>
          <w:sz w:val="20"/>
        </w:rPr>
        <w:t>the a</w:t>
      </w:r>
      <w:r w:rsidRPr="00F9021F">
        <w:rPr>
          <w:sz w:val="20"/>
        </w:rPr>
        <w:t xml:space="preserve">pplicants to submit, in the domestic section 214 docket, </w:t>
      </w:r>
      <w:r w:rsidR="00E641CC">
        <w:rPr>
          <w:sz w:val="20"/>
        </w:rPr>
        <w:t xml:space="preserve">WC Docket No. 21-378, </w:t>
      </w:r>
      <w:r w:rsidRPr="00F9021F">
        <w:rPr>
          <w:sz w:val="20"/>
        </w:rPr>
        <w:t xml:space="preserve">a notice that the proposed transaction has closed with the consummation date, and also provide a courtesy copy of the notice to </w:t>
      </w:r>
      <w:hyperlink r:id="rId1" w:history="1">
        <w:r w:rsidRPr="00F9021F">
          <w:rPr>
            <w:color w:val="0000FF"/>
            <w:sz w:val="20"/>
            <w:u w:val="single"/>
          </w:rPr>
          <w:t>hcinfo@usac.org</w:t>
        </w:r>
      </w:hyperlink>
      <w:r w:rsidRPr="00F9021F">
        <w:rPr>
          <w:sz w:val="20"/>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44E4B"/>
    <w:rsid w:val="000534AC"/>
    <w:rsid w:val="00066D12"/>
    <w:rsid w:val="00070D65"/>
    <w:rsid w:val="00071BB6"/>
    <w:rsid w:val="000735C8"/>
    <w:rsid w:val="0008381D"/>
    <w:rsid w:val="00087205"/>
    <w:rsid w:val="000B4EDD"/>
    <w:rsid w:val="000C4593"/>
    <w:rsid w:val="000C7CD5"/>
    <w:rsid w:val="000F02F7"/>
    <w:rsid w:val="00101D0B"/>
    <w:rsid w:val="0013405D"/>
    <w:rsid w:val="00141388"/>
    <w:rsid w:val="00150FBE"/>
    <w:rsid w:val="0015217F"/>
    <w:rsid w:val="001636B9"/>
    <w:rsid w:val="0016394A"/>
    <w:rsid w:val="001A3813"/>
    <w:rsid w:val="001B69F9"/>
    <w:rsid w:val="001C4E34"/>
    <w:rsid w:val="001C5BDA"/>
    <w:rsid w:val="001C657F"/>
    <w:rsid w:val="001F1E04"/>
    <w:rsid w:val="001F6762"/>
    <w:rsid w:val="0022449B"/>
    <w:rsid w:val="00242594"/>
    <w:rsid w:val="00253247"/>
    <w:rsid w:val="00262E65"/>
    <w:rsid w:val="00285612"/>
    <w:rsid w:val="002A7353"/>
    <w:rsid w:val="002B16FA"/>
    <w:rsid w:val="002C203E"/>
    <w:rsid w:val="002C22F3"/>
    <w:rsid w:val="002C27F4"/>
    <w:rsid w:val="002C47F7"/>
    <w:rsid w:val="002D09E2"/>
    <w:rsid w:val="002D136F"/>
    <w:rsid w:val="002D6F61"/>
    <w:rsid w:val="002E1FEF"/>
    <w:rsid w:val="002F6E56"/>
    <w:rsid w:val="0030157A"/>
    <w:rsid w:val="00306174"/>
    <w:rsid w:val="0030742E"/>
    <w:rsid w:val="00310CD0"/>
    <w:rsid w:val="00322EB4"/>
    <w:rsid w:val="00346293"/>
    <w:rsid w:val="00353CB5"/>
    <w:rsid w:val="00365194"/>
    <w:rsid w:val="00373E09"/>
    <w:rsid w:val="00376464"/>
    <w:rsid w:val="003855A0"/>
    <w:rsid w:val="00386FFF"/>
    <w:rsid w:val="003921C1"/>
    <w:rsid w:val="003945C4"/>
    <w:rsid w:val="00395A7A"/>
    <w:rsid w:val="003A18A0"/>
    <w:rsid w:val="003A443A"/>
    <w:rsid w:val="003B5CEE"/>
    <w:rsid w:val="003F0ECD"/>
    <w:rsid w:val="003F311D"/>
    <w:rsid w:val="004077D0"/>
    <w:rsid w:val="00412DA6"/>
    <w:rsid w:val="004156F7"/>
    <w:rsid w:val="004175D7"/>
    <w:rsid w:val="0042186E"/>
    <w:rsid w:val="0042783D"/>
    <w:rsid w:val="00430626"/>
    <w:rsid w:val="004331D7"/>
    <w:rsid w:val="00433D8C"/>
    <w:rsid w:val="00434C96"/>
    <w:rsid w:val="00450EEF"/>
    <w:rsid w:val="00460914"/>
    <w:rsid w:val="004609A4"/>
    <w:rsid w:val="00464E8A"/>
    <w:rsid w:val="00475BB6"/>
    <w:rsid w:val="004808FC"/>
    <w:rsid w:val="00482EB0"/>
    <w:rsid w:val="004913FF"/>
    <w:rsid w:val="004951AE"/>
    <w:rsid w:val="004A554E"/>
    <w:rsid w:val="004C3AB0"/>
    <w:rsid w:val="004C5C4F"/>
    <w:rsid w:val="004C712F"/>
    <w:rsid w:val="004F3603"/>
    <w:rsid w:val="004F6F64"/>
    <w:rsid w:val="00505AF0"/>
    <w:rsid w:val="00511202"/>
    <w:rsid w:val="005128D4"/>
    <w:rsid w:val="00522749"/>
    <w:rsid w:val="0052334B"/>
    <w:rsid w:val="005243E7"/>
    <w:rsid w:val="005320B5"/>
    <w:rsid w:val="0056058F"/>
    <w:rsid w:val="00563425"/>
    <w:rsid w:val="005825A5"/>
    <w:rsid w:val="005932BA"/>
    <w:rsid w:val="005950EE"/>
    <w:rsid w:val="005A13D0"/>
    <w:rsid w:val="005A64A7"/>
    <w:rsid w:val="005C403A"/>
    <w:rsid w:val="005C51CE"/>
    <w:rsid w:val="005D1927"/>
    <w:rsid w:val="005D7355"/>
    <w:rsid w:val="0060105E"/>
    <w:rsid w:val="0060106A"/>
    <w:rsid w:val="00604A3C"/>
    <w:rsid w:val="00604CFF"/>
    <w:rsid w:val="0061137C"/>
    <w:rsid w:val="00616221"/>
    <w:rsid w:val="00622E90"/>
    <w:rsid w:val="006768CC"/>
    <w:rsid w:val="00691832"/>
    <w:rsid w:val="006B39BA"/>
    <w:rsid w:val="006B5C06"/>
    <w:rsid w:val="006C32C8"/>
    <w:rsid w:val="006C32D6"/>
    <w:rsid w:val="006C591C"/>
    <w:rsid w:val="006E155C"/>
    <w:rsid w:val="006E3E11"/>
    <w:rsid w:val="006E5144"/>
    <w:rsid w:val="006E61ED"/>
    <w:rsid w:val="006E7452"/>
    <w:rsid w:val="006F4599"/>
    <w:rsid w:val="006F4D60"/>
    <w:rsid w:val="00704ACF"/>
    <w:rsid w:val="00706D49"/>
    <w:rsid w:val="0071041E"/>
    <w:rsid w:val="00724722"/>
    <w:rsid w:val="00733B9B"/>
    <w:rsid w:val="007406A3"/>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3340A"/>
    <w:rsid w:val="00841F9D"/>
    <w:rsid w:val="0084778A"/>
    <w:rsid w:val="00853114"/>
    <w:rsid w:val="0085579D"/>
    <w:rsid w:val="00864397"/>
    <w:rsid w:val="0086691C"/>
    <w:rsid w:val="008675C7"/>
    <w:rsid w:val="00873D4D"/>
    <w:rsid w:val="0087554B"/>
    <w:rsid w:val="00877D35"/>
    <w:rsid w:val="008816F4"/>
    <w:rsid w:val="00881DC6"/>
    <w:rsid w:val="008850E4"/>
    <w:rsid w:val="00890FC9"/>
    <w:rsid w:val="00895C4A"/>
    <w:rsid w:val="008B7240"/>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9F09AA"/>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A59DB"/>
    <w:rsid w:val="00AB7DD7"/>
    <w:rsid w:val="00AC412B"/>
    <w:rsid w:val="00AC4928"/>
    <w:rsid w:val="00AC6A56"/>
    <w:rsid w:val="00AD0360"/>
    <w:rsid w:val="00AE4EB4"/>
    <w:rsid w:val="00AF2C99"/>
    <w:rsid w:val="00B00CBF"/>
    <w:rsid w:val="00B00F51"/>
    <w:rsid w:val="00B02CE4"/>
    <w:rsid w:val="00B034FE"/>
    <w:rsid w:val="00B20CB0"/>
    <w:rsid w:val="00B25A68"/>
    <w:rsid w:val="00B335D6"/>
    <w:rsid w:val="00B548A9"/>
    <w:rsid w:val="00B55A93"/>
    <w:rsid w:val="00B605DD"/>
    <w:rsid w:val="00B66193"/>
    <w:rsid w:val="00B66987"/>
    <w:rsid w:val="00B73AED"/>
    <w:rsid w:val="00B908C9"/>
    <w:rsid w:val="00B958E7"/>
    <w:rsid w:val="00BA0202"/>
    <w:rsid w:val="00BB417E"/>
    <w:rsid w:val="00BC7555"/>
    <w:rsid w:val="00BF0B00"/>
    <w:rsid w:val="00C117C2"/>
    <w:rsid w:val="00C32EC5"/>
    <w:rsid w:val="00C40DB0"/>
    <w:rsid w:val="00C42F8A"/>
    <w:rsid w:val="00C53E5E"/>
    <w:rsid w:val="00C612FD"/>
    <w:rsid w:val="00C726B6"/>
    <w:rsid w:val="00C749BC"/>
    <w:rsid w:val="00C75DF3"/>
    <w:rsid w:val="00C82D34"/>
    <w:rsid w:val="00C8663D"/>
    <w:rsid w:val="00CA3252"/>
    <w:rsid w:val="00CB08EA"/>
    <w:rsid w:val="00CC1FB2"/>
    <w:rsid w:val="00CC2C01"/>
    <w:rsid w:val="00CD0AA5"/>
    <w:rsid w:val="00CE03DE"/>
    <w:rsid w:val="00CE26CC"/>
    <w:rsid w:val="00CE49B4"/>
    <w:rsid w:val="00CE7F62"/>
    <w:rsid w:val="00CF2073"/>
    <w:rsid w:val="00CF2701"/>
    <w:rsid w:val="00D024AA"/>
    <w:rsid w:val="00D04DB0"/>
    <w:rsid w:val="00D111DF"/>
    <w:rsid w:val="00D252B2"/>
    <w:rsid w:val="00D30DAA"/>
    <w:rsid w:val="00D3174C"/>
    <w:rsid w:val="00D702F3"/>
    <w:rsid w:val="00D709DB"/>
    <w:rsid w:val="00D82C18"/>
    <w:rsid w:val="00D95812"/>
    <w:rsid w:val="00DB41CE"/>
    <w:rsid w:val="00DB59FD"/>
    <w:rsid w:val="00DD0968"/>
    <w:rsid w:val="00DE3E77"/>
    <w:rsid w:val="00DF1AD9"/>
    <w:rsid w:val="00E54722"/>
    <w:rsid w:val="00E55A96"/>
    <w:rsid w:val="00E641CC"/>
    <w:rsid w:val="00E7033D"/>
    <w:rsid w:val="00E714D1"/>
    <w:rsid w:val="00E90A56"/>
    <w:rsid w:val="00EA268B"/>
    <w:rsid w:val="00EB2E3F"/>
    <w:rsid w:val="00EC0FDA"/>
    <w:rsid w:val="00EC3BF9"/>
    <w:rsid w:val="00EC3CCE"/>
    <w:rsid w:val="00EC73AF"/>
    <w:rsid w:val="00ED40B2"/>
    <w:rsid w:val="00EE37C8"/>
    <w:rsid w:val="00EE3821"/>
    <w:rsid w:val="00F04273"/>
    <w:rsid w:val="00F05755"/>
    <w:rsid w:val="00F107E6"/>
    <w:rsid w:val="00F21B45"/>
    <w:rsid w:val="00F25C6B"/>
    <w:rsid w:val="00F3092F"/>
    <w:rsid w:val="00F6206E"/>
    <w:rsid w:val="00F65523"/>
    <w:rsid w:val="00F700CA"/>
    <w:rsid w:val="00F850B7"/>
    <w:rsid w:val="00F9021F"/>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8DCC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