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6CCCF77E"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0E3F8214" w14:textId="7BAA5D52">
      <w:pPr>
        <w:ind w:left="7200"/>
        <w:rPr>
          <w:b/>
          <w:color w:val="000000"/>
          <w:szCs w:val="22"/>
        </w:rPr>
      </w:pPr>
      <w:bookmarkStart w:id="1" w:name="_Hlk64355849"/>
      <w:r>
        <w:rPr>
          <w:b/>
          <w:color w:val="000000"/>
          <w:szCs w:val="22"/>
        </w:rPr>
        <w:t xml:space="preserve">      </w:t>
      </w:r>
      <w:bookmarkStart w:id="2" w:name="_Hlk84227504"/>
      <w:r w:rsidRPr="00376464">
        <w:rPr>
          <w:b/>
          <w:color w:val="000000"/>
          <w:szCs w:val="22"/>
        </w:rPr>
        <w:t>DA 2</w:t>
      </w:r>
      <w:r>
        <w:rPr>
          <w:b/>
          <w:color w:val="000000"/>
          <w:szCs w:val="22"/>
        </w:rPr>
        <w:t>1</w:t>
      </w:r>
      <w:r w:rsidRPr="00376464">
        <w:rPr>
          <w:b/>
          <w:color w:val="000000"/>
          <w:szCs w:val="22"/>
        </w:rPr>
        <w:t>-</w:t>
      </w:r>
      <w:r w:rsidR="00D95821">
        <w:rPr>
          <w:b/>
          <w:color w:val="000000"/>
          <w:szCs w:val="22"/>
        </w:rPr>
        <w:t>1432</w:t>
      </w:r>
    </w:p>
    <w:p w:rsidR="008042EC" w:rsidRPr="00376464" w:rsidP="008042EC" w14:paraId="356E02EC" w14:textId="2CA595E0">
      <w:pPr>
        <w:jc w:val="right"/>
        <w:rPr>
          <w:b/>
          <w:color w:val="000000"/>
          <w:szCs w:val="22"/>
        </w:rPr>
      </w:pPr>
      <w:r>
        <w:rPr>
          <w:b/>
          <w:color w:val="000000"/>
          <w:szCs w:val="22"/>
        </w:rPr>
        <w:t>November 15</w:t>
      </w:r>
      <w:r w:rsidRPr="00376464" w:rsidR="00811ECF">
        <w:rPr>
          <w:b/>
          <w:color w:val="000000"/>
          <w:szCs w:val="22"/>
        </w:rPr>
        <w:t>, 202</w:t>
      </w:r>
      <w:r w:rsidR="00811ECF">
        <w:rPr>
          <w:b/>
          <w:color w:val="000000"/>
          <w:szCs w:val="22"/>
        </w:rPr>
        <w:t>1</w:t>
      </w:r>
    </w:p>
    <w:p w:rsidR="008042EC" w:rsidRPr="00376464" w:rsidP="008042EC" w14:paraId="5872E06A" w14:textId="77777777">
      <w:pPr>
        <w:spacing w:before="60"/>
        <w:jc w:val="right"/>
        <w:rPr>
          <w:b/>
          <w:color w:val="000000"/>
          <w:szCs w:val="22"/>
        </w:rPr>
      </w:pPr>
    </w:p>
    <w:p w:rsidR="008042EC" w:rsidRPr="00376464" w:rsidP="008042EC" w14:paraId="4A1823B1" w14:textId="56A6451A">
      <w:pPr>
        <w:jc w:val="center"/>
        <w:rPr>
          <w:b/>
          <w:color w:val="000000"/>
          <w:szCs w:val="22"/>
        </w:rPr>
      </w:pPr>
      <w:r w:rsidRPr="00376464">
        <w:rPr>
          <w:b/>
          <w:color w:val="000000"/>
          <w:szCs w:val="22"/>
        </w:rPr>
        <w:t xml:space="preserve">NOTICE OF DOMESTIC SECTION 214 AUTHORIZATION GRANTED </w:t>
      </w:r>
    </w:p>
    <w:p w:rsidR="008042EC" w:rsidRPr="00376464" w:rsidP="008042EC" w14:paraId="1B1E0755" w14:textId="77777777">
      <w:pPr>
        <w:jc w:val="right"/>
        <w:rPr>
          <w:b/>
          <w:color w:val="000000"/>
          <w:szCs w:val="22"/>
        </w:rPr>
      </w:pPr>
    </w:p>
    <w:p w:rsidR="008042EC" w:rsidP="006E5144" w14:paraId="6A0C0D09" w14:textId="3821B6FB">
      <w:pPr>
        <w:widowControl w:val="0"/>
        <w:jc w:val="center"/>
        <w:rPr>
          <w:b/>
          <w:szCs w:val="22"/>
        </w:rPr>
      </w:pPr>
      <w:r w:rsidRPr="00376464">
        <w:rPr>
          <w:b/>
          <w:color w:val="000000"/>
          <w:szCs w:val="22"/>
        </w:rPr>
        <w:t>WC Docket No.</w:t>
      </w:r>
      <w:r w:rsidR="006E5144">
        <w:rPr>
          <w:b/>
          <w:szCs w:val="22"/>
        </w:rPr>
        <w:t xml:space="preserve"> </w:t>
      </w:r>
      <w:r w:rsidR="003B786E">
        <w:rPr>
          <w:b/>
          <w:szCs w:val="22"/>
        </w:rPr>
        <w:t>21-3</w:t>
      </w:r>
      <w:r w:rsidR="000D62AD">
        <w:rPr>
          <w:b/>
          <w:szCs w:val="22"/>
        </w:rPr>
        <w:t>77</w:t>
      </w:r>
      <w:bookmarkEnd w:id="1"/>
    </w:p>
    <w:bookmarkEnd w:id="2"/>
    <w:p w:rsidR="006E5144" w:rsidRPr="00376464" w:rsidP="006E5144" w14:paraId="6B5D0535" w14:textId="77777777">
      <w:pPr>
        <w:widowControl w:val="0"/>
        <w:jc w:val="center"/>
        <w:rPr>
          <w:b/>
          <w:szCs w:val="22"/>
        </w:rPr>
      </w:pPr>
    </w:p>
    <w:p w:rsidR="008042EC" w:rsidP="008042EC" w14:paraId="6A9DB484" w14:textId="7654F3A1">
      <w:pPr>
        <w:ind w:firstLine="720"/>
        <w:rPr>
          <w:rFonts w:eastAsia="MS Mincho"/>
        </w:rPr>
      </w:pPr>
      <w:r w:rsidRPr="00376464">
        <w:rPr>
          <w:color w:val="000000"/>
          <w:szCs w:val="22"/>
        </w:rPr>
        <w:t>The Wireline Competition Bureau (Bureau) grants the application</w:t>
      </w:r>
      <w:r>
        <w:rPr>
          <w:rStyle w:val="FootnoteReference"/>
          <w:color w:val="000000"/>
          <w:szCs w:val="22"/>
        </w:rPr>
        <w:footnoteReference w:id="3"/>
      </w:r>
      <w:r w:rsidRPr="00376464">
        <w:rPr>
          <w:color w:val="000000"/>
          <w:szCs w:val="22"/>
        </w:rPr>
        <w:t xml:space="preserve"> listed in this Public Notice pursuant to the Commission’s streamlined procedures for domestic section 214 transfer of control applications, 47 CFR § 63.03.  The Bureau determined that a grant of th</w:t>
      </w:r>
      <w:r w:rsidR="00140081">
        <w:rPr>
          <w:color w:val="000000"/>
          <w:szCs w:val="22"/>
        </w:rPr>
        <w:t>is</w:t>
      </w:r>
      <w:r w:rsidRPr="00376464">
        <w:rPr>
          <w:color w:val="000000"/>
          <w:szCs w:val="22"/>
        </w:rPr>
        <w:t xml:space="preserve"> application</w:t>
      </w:r>
      <w:r w:rsidR="00AC412B">
        <w:rPr>
          <w:color w:val="000000"/>
          <w:szCs w:val="22"/>
        </w:rPr>
        <w:t xml:space="preserve"> </w:t>
      </w:r>
      <w:r w:rsidRPr="00376464">
        <w:rPr>
          <w:color w:val="000000"/>
          <w:szCs w:val="22"/>
        </w:rPr>
        <w:t>serves the public interest.</w:t>
      </w:r>
      <w:r>
        <w:rPr>
          <w:color w:val="000000"/>
          <w:szCs w:val="22"/>
          <w:vertAlign w:val="superscript"/>
        </w:rPr>
        <w:footnoteReference w:id="4"/>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5"/>
      </w:r>
      <w:r w:rsidRPr="00376464">
        <w:rPr>
          <w:rFonts w:eastAsia="MS Mincho"/>
          <w:color w:val="4F81BD"/>
        </w:rPr>
        <w:t xml:space="preserve">  </w:t>
      </w:r>
      <w:r w:rsidRPr="00376464">
        <w:rPr>
          <w:rFonts w:eastAsia="MS Mincho"/>
        </w:rPr>
        <w:t xml:space="preserve">Should no petition for reconsideration, application for review, or petition for judicial review be timely filed, the </w:t>
      </w:r>
      <w:r w:rsidRPr="00071BB6">
        <w:rPr>
          <w:rFonts w:eastAsia="MS Mincho"/>
        </w:rPr>
        <w:t xml:space="preserve">proceeding listed in this Public Notice shall be terminated, and </w:t>
      </w:r>
      <w:r w:rsidR="00140081">
        <w:rPr>
          <w:rFonts w:eastAsia="MS Mincho"/>
        </w:rPr>
        <w:t>the</w:t>
      </w:r>
      <w:r w:rsidRPr="00071BB6">
        <w:rPr>
          <w:rFonts w:eastAsia="MS Mincho"/>
        </w:rPr>
        <w:t xml:space="preserve"> docket will be closed.</w:t>
      </w:r>
    </w:p>
    <w:p w:rsidR="001C5BDA" w:rsidP="00AC412B" w14:paraId="3F232C4E" w14:textId="77777777">
      <w:pPr>
        <w:widowControl w:val="0"/>
        <w:autoSpaceDE w:val="0"/>
        <w:autoSpaceDN w:val="0"/>
        <w:adjustRightInd w:val="0"/>
        <w:rPr>
          <w:b/>
          <w:bCs/>
          <w:color w:val="000000"/>
          <w:szCs w:val="22"/>
          <w:lang w:eastAsia="ja-JP"/>
        </w:rPr>
      </w:pPr>
    </w:p>
    <w:p w:rsidR="000D62AD" w:rsidP="000D62AD" w14:paraId="08AC23C5" w14:textId="04273396">
      <w:pPr>
        <w:ind w:left="720"/>
        <w:rPr>
          <w:szCs w:val="22"/>
        </w:rPr>
      </w:pPr>
      <w:r w:rsidRPr="00AD440B">
        <w:rPr>
          <w:szCs w:val="22"/>
        </w:rPr>
        <w:t xml:space="preserve">Domestic Section 214 Application Filed for the </w:t>
      </w:r>
      <w:r w:rsidRPr="002519DF">
        <w:rPr>
          <w:szCs w:val="22"/>
        </w:rPr>
        <w:t xml:space="preserve">Transfer </w:t>
      </w:r>
      <w:r w:rsidR="00140081">
        <w:rPr>
          <w:szCs w:val="22"/>
        </w:rPr>
        <w:t>o</w:t>
      </w:r>
      <w:r w:rsidRPr="002519DF">
        <w:rPr>
          <w:szCs w:val="22"/>
        </w:rPr>
        <w:t xml:space="preserve">f Control </w:t>
      </w:r>
      <w:r w:rsidR="00140081">
        <w:rPr>
          <w:szCs w:val="22"/>
        </w:rPr>
        <w:t>o</w:t>
      </w:r>
      <w:r w:rsidRPr="002519DF">
        <w:rPr>
          <w:szCs w:val="22"/>
        </w:rPr>
        <w:t xml:space="preserve">f </w:t>
      </w:r>
    </w:p>
    <w:p w:rsidR="001C5BDA" w:rsidRPr="000452C4" w:rsidP="00A172F6" w14:paraId="57ECF8C9" w14:textId="5F7B1168">
      <w:pPr>
        <w:ind w:left="720"/>
        <w:rPr>
          <w:szCs w:val="22"/>
        </w:rPr>
      </w:pPr>
      <w:r w:rsidRPr="002519DF">
        <w:rPr>
          <w:szCs w:val="22"/>
        </w:rPr>
        <w:t xml:space="preserve">Climax Telephone Company </w:t>
      </w:r>
      <w:r w:rsidR="00140081">
        <w:rPr>
          <w:szCs w:val="22"/>
        </w:rPr>
        <w:t>t</w:t>
      </w:r>
      <w:r w:rsidRPr="002519DF">
        <w:rPr>
          <w:szCs w:val="22"/>
        </w:rPr>
        <w:t>o Metro</w:t>
      </w:r>
      <w:r w:rsidR="00DF79F3">
        <w:rPr>
          <w:szCs w:val="22"/>
        </w:rPr>
        <w:t>N</w:t>
      </w:r>
      <w:r w:rsidRPr="002519DF">
        <w:rPr>
          <w:szCs w:val="22"/>
        </w:rPr>
        <w:t>et</w:t>
      </w:r>
      <w:r>
        <w:rPr>
          <w:szCs w:val="22"/>
        </w:rPr>
        <w:t xml:space="preserve"> </w:t>
      </w:r>
      <w:r w:rsidRPr="002519DF">
        <w:rPr>
          <w:szCs w:val="22"/>
        </w:rPr>
        <w:t>Systems Holdings, L</w:t>
      </w:r>
      <w:r>
        <w:rPr>
          <w:szCs w:val="22"/>
        </w:rPr>
        <w:t>LC</w:t>
      </w:r>
      <w:r w:rsidRPr="00AD440B">
        <w:rPr>
          <w:szCs w:val="22"/>
        </w:rPr>
        <w:t>, WC Docket No. 21-37</w:t>
      </w:r>
      <w:r>
        <w:rPr>
          <w:szCs w:val="22"/>
        </w:rPr>
        <w:t xml:space="preserve">7, </w:t>
      </w:r>
      <w:r w:rsidR="00C53B04">
        <w:rPr>
          <w:szCs w:val="22"/>
        </w:rPr>
        <w:t>Public Notice, DA 21-</w:t>
      </w:r>
      <w:r w:rsidR="003B786E">
        <w:rPr>
          <w:szCs w:val="22"/>
        </w:rPr>
        <w:t>1</w:t>
      </w:r>
      <w:r>
        <w:rPr>
          <w:szCs w:val="22"/>
        </w:rPr>
        <w:t>2</w:t>
      </w:r>
      <w:r w:rsidR="003B786E">
        <w:rPr>
          <w:szCs w:val="22"/>
        </w:rPr>
        <w:t>8</w:t>
      </w:r>
      <w:r>
        <w:rPr>
          <w:szCs w:val="22"/>
        </w:rPr>
        <w:t>4</w:t>
      </w:r>
      <w:r w:rsidRPr="000452C4" w:rsidR="00C53B04">
        <w:rPr>
          <w:szCs w:val="22"/>
        </w:rPr>
        <w:t xml:space="preserve"> (</w:t>
      </w:r>
      <w:r w:rsidR="00C53B04">
        <w:rPr>
          <w:szCs w:val="22"/>
        </w:rPr>
        <w:t xml:space="preserve">WCB </w:t>
      </w:r>
      <w:r w:rsidRPr="00EB4580" w:rsidR="00C53B04">
        <w:rPr>
          <w:szCs w:val="22"/>
        </w:rPr>
        <w:t>2021).</w:t>
      </w:r>
      <w:r>
        <w:rPr>
          <w:szCs w:val="22"/>
          <w:vertAlign w:val="superscript"/>
        </w:rPr>
        <w:footnoteReference w:id="6"/>
      </w:r>
    </w:p>
    <w:p w:rsidR="006E5144" w:rsidRPr="007E5FC3" w:rsidP="006E5144" w14:paraId="3911223E" w14:textId="77777777">
      <w:pPr>
        <w:rPr>
          <w:szCs w:val="22"/>
        </w:rPr>
      </w:pPr>
    </w:p>
    <w:p w:rsidR="000D62AD" w:rsidP="003B786E" w14:paraId="2E7339FC" w14:textId="59ACD64E">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Pr>
          <w:b/>
          <w:bCs/>
          <w:color w:val="000000"/>
          <w:szCs w:val="22"/>
          <w:lang w:eastAsia="ja-JP"/>
        </w:rPr>
        <w:t>November</w:t>
      </w:r>
      <w:r w:rsidR="003B786E">
        <w:rPr>
          <w:b/>
          <w:bCs/>
          <w:color w:val="000000"/>
          <w:szCs w:val="22"/>
          <w:lang w:eastAsia="ja-JP"/>
        </w:rPr>
        <w:t xml:space="preserve"> </w:t>
      </w:r>
      <w:r>
        <w:rPr>
          <w:b/>
          <w:bCs/>
          <w:color w:val="000000"/>
          <w:szCs w:val="22"/>
          <w:lang w:eastAsia="ja-JP"/>
        </w:rPr>
        <w:t>13</w:t>
      </w:r>
      <w:r w:rsidRPr="00376464">
        <w:rPr>
          <w:b/>
          <w:bCs/>
          <w:color w:val="000000"/>
          <w:szCs w:val="22"/>
          <w:lang w:eastAsia="ja-JP"/>
        </w:rPr>
        <w:t>, 202</w:t>
      </w:r>
      <w:r>
        <w:rPr>
          <w:b/>
          <w:bCs/>
          <w:color w:val="000000"/>
          <w:szCs w:val="22"/>
          <w:lang w:eastAsia="ja-JP"/>
        </w:rPr>
        <w:t>1</w:t>
      </w:r>
    </w:p>
    <w:p w:rsidR="004B7FB2" w:rsidP="00140081" w14:paraId="0DBC55C4" w14:textId="77777777"/>
    <w:p w:rsidR="008042EC" w:rsidRPr="00376464" w:rsidP="008042EC" w14:paraId="0D32F568" w14:textId="704BB478">
      <w:pPr>
        <w:ind w:firstLine="720"/>
      </w:pPr>
      <w:r w:rsidRPr="00376464">
        <w:t xml:space="preserve">For further information, please contact </w:t>
      </w:r>
      <w:r w:rsidR="00731C05">
        <w:t xml:space="preserve">Myrva Charles </w:t>
      </w:r>
      <w:r w:rsidRPr="00376464">
        <w:t>at (202) 418-</w:t>
      </w:r>
      <w:r w:rsidR="00731C05">
        <w:t>1506</w:t>
      </w:r>
      <w:r w:rsidRPr="00376464">
        <w:t xml:space="preserve"> or </w:t>
      </w:r>
      <w:r w:rsidR="00731C05">
        <w:t>Dennis Johnson</w:t>
      </w:r>
      <w:r>
        <w:t xml:space="preserve"> </w:t>
      </w:r>
      <w:r w:rsidRPr="00376464">
        <w:t>at (202) 418-</w:t>
      </w:r>
      <w:r w:rsidR="00731C05">
        <w:t>0809</w:t>
      </w:r>
      <w:r w:rsidRPr="00376464">
        <w:t>, Competition Policy Division, Wireline Competition Bureau.</w:t>
      </w:r>
    </w:p>
    <w:p w:rsidR="008042EC" w:rsidRPr="00376464" w:rsidP="008042EC" w14:paraId="76FD48E8" w14:textId="77777777">
      <w:pPr>
        <w:ind w:firstLine="720"/>
      </w:pPr>
    </w:p>
    <w:p w:rsidR="008042EC" w:rsidRPr="00376464" w:rsidP="008042EC" w14:paraId="6DE2D9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8042EC" w:rsidP="008042EC" w14:paraId="32D122AA" w14:textId="77777777">
      <w:pPr>
        <w:jc w:val="center"/>
        <w:rPr>
          <w:b/>
          <w:color w:val="000000"/>
          <w:szCs w:val="22"/>
        </w:rPr>
      </w:pPr>
      <w:r w:rsidRPr="00376464">
        <w:rPr>
          <w:color w:val="000000"/>
          <w:szCs w:val="22"/>
        </w:rPr>
        <w:t>-FCC-</w:t>
      </w:r>
    </w:p>
    <w:p w:rsidR="00E7033D" w:rsidP="00376464" w14:paraId="1C2B9B51"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C0734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7B64AD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EACF27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2BDE66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451571D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2BC493F" w14:textId="77777777"/>
  <w:p w:rsidR="00E7033D" w14:paraId="6C52EC6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1301" w14:paraId="368ABAC9" w14:textId="77777777">
      <w:r>
        <w:separator/>
      </w:r>
    </w:p>
  </w:footnote>
  <w:footnote w:type="continuationSeparator" w:id="1">
    <w:p w:rsidR="00421301" w14:paraId="5E597148" w14:textId="77777777">
      <w:r>
        <w:continuationSeparator/>
      </w:r>
    </w:p>
  </w:footnote>
  <w:footnote w:type="continuationNotice" w:id="2">
    <w:p w:rsidR="00421301" w14:paraId="64BE1FFA" w14:textId="77777777"/>
  </w:footnote>
  <w:footnote w:id="3">
    <w:p w:rsidR="00B27435" w14:paraId="34135B7A" w14:textId="061F01B3">
      <w:pPr>
        <w:pStyle w:val="FootnoteText"/>
      </w:pPr>
      <w:r>
        <w:rPr>
          <w:rStyle w:val="FootnoteReference"/>
        </w:rPr>
        <w:footnoteRef/>
      </w:r>
      <w:r>
        <w:t xml:space="preserve"> </w:t>
      </w:r>
      <w:r>
        <w:rPr>
          <w:sz w:val="20"/>
        </w:rPr>
        <w:t>Joint Application for Grant of Authority Pursuant to Section 214 of the Communications Act of 1934, as Amended, and Section 63.04 of the Commission’s Rules to Transfer Indirect Control of Climax Telephone Company to MetroNet Systems Holdings, LLC, WC Docket No. 21-377 (filed Sept. 29, 2021) (Application).</w:t>
      </w:r>
    </w:p>
  </w:footnote>
  <w:footnote w:id="4">
    <w:p w:rsidR="008042EC" w:rsidRPr="00CC1FB2" w:rsidP="008042EC" w14:paraId="57E169E8" w14:textId="77777777">
      <w:pPr>
        <w:pStyle w:val="FootnoteText"/>
        <w:rPr>
          <w:color w:val="000000"/>
          <w:sz w:val="20"/>
        </w:rPr>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17 FCC Rcd 5517, 5529, para. 22 (2002).</w:t>
      </w:r>
    </w:p>
  </w:footnote>
  <w:footnote w:id="5">
    <w:p w:rsidR="008042EC" w:rsidP="008042EC" w14:paraId="7DA8CA03" w14:textId="77777777">
      <w:pPr>
        <w:pStyle w:val="FootnoteText"/>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 w:id="6">
    <w:p w:rsidR="00FC6CBD" w:rsidRPr="00F9021F" w:rsidP="00FC6CBD" w14:paraId="39B48D59" w14:textId="7AC6EAC2">
      <w:pPr>
        <w:pStyle w:val="FootnoteText"/>
        <w:spacing w:after="120"/>
        <w:rPr>
          <w:sz w:val="20"/>
        </w:rPr>
      </w:pPr>
      <w:r w:rsidRPr="00B605DD">
        <w:rPr>
          <w:rStyle w:val="FootnoteReference"/>
          <w:sz w:val="20"/>
        </w:rPr>
        <w:footnoteRef/>
      </w:r>
      <w:r w:rsidRPr="00B605DD">
        <w:rPr>
          <w:sz w:val="20"/>
        </w:rPr>
        <w:t xml:space="preserve"> </w:t>
      </w:r>
      <w:r w:rsidR="00DF79F3">
        <w:rPr>
          <w:sz w:val="20"/>
        </w:rPr>
        <w:t>The common interests of MetroNet Systems Holdings, LLC (MetroNet Systems Holdings) are held, along with other entities, by the Oak Hill Investors, which are affiliated with Oak Hill Capital Management, and th</w:t>
      </w:r>
      <w:r w:rsidR="00145575">
        <w:rPr>
          <w:sz w:val="20"/>
        </w:rPr>
        <w:t>r</w:t>
      </w:r>
      <w:r w:rsidR="00DF79F3">
        <w:rPr>
          <w:sz w:val="20"/>
        </w:rPr>
        <w:t>ough which MetroNet Systems Holdings is affiliated with</w:t>
      </w:r>
      <w:r w:rsidRPr="00DF79F3" w:rsidR="00DF79F3">
        <w:rPr>
          <w:sz w:val="20"/>
        </w:rPr>
        <w:t xml:space="preserve"> </w:t>
      </w:r>
      <w:r w:rsidR="00DF79F3">
        <w:rPr>
          <w:sz w:val="20"/>
        </w:rPr>
        <w:t>companies</w:t>
      </w:r>
      <w:r w:rsidRPr="00F9021F" w:rsidR="00DF79F3">
        <w:rPr>
          <w:sz w:val="20"/>
        </w:rPr>
        <w:t xml:space="preserve"> that receive universal service support under the different mechanisms of fixed model-based support and cost-based support</w:t>
      </w:r>
      <w:r w:rsidR="00DF79F3">
        <w:rPr>
          <w:sz w:val="20"/>
        </w:rPr>
        <w:t xml:space="preserve">.  Application at n.2, 11-15.  </w:t>
      </w:r>
      <w:r w:rsidR="00F026BA">
        <w:rPr>
          <w:sz w:val="20"/>
        </w:rPr>
        <w:t>The section 214 holder to be acquired</w:t>
      </w:r>
      <w:r w:rsidR="00C71A2E">
        <w:rPr>
          <w:sz w:val="20"/>
        </w:rPr>
        <w:t xml:space="preserve"> </w:t>
      </w:r>
      <w:r w:rsidR="00F026BA">
        <w:rPr>
          <w:sz w:val="20"/>
        </w:rPr>
        <w:t>in the</w:t>
      </w:r>
      <w:r w:rsidR="00C71A2E">
        <w:rPr>
          <w:sz w:val="20"/>
        </w:rPr>
        <w:t xml:space="preserve"> </w:t>
      </w:r>
      <w:r w:rsidR="00F026BA">
        <w:rPr>
          <w:sz w:val="20"/>
        </w:rPr>
        <w:t>p</w:t>
      </w:r>
      <w:r w:rsidR="00C71A2E">
        <w:rPr>
          <w:sz w:val="20"/>
        </w:rPr>
        <w:t>roposed</w:t>
      </w:r>
      <w:r w:rsidR="00F026BA">
        <w:rPr>
          <w:sz w:val="20"/>
        </w:rPr>
        <w:t xml:space="preserve"> tr</w:t>
      </w:r>
      <w:r w:rsidR="00C71A2E">
        <w:rPr>
          <w:sz w:val="20"/>
        </w:rPr>
        <w:t>ansaction</w:t>
      </w:r>
      <w:r w:rsidR="00F026BA">
        <w:rPr>
          <w:sz w:val="20"/>
        </w:rPr>
        <w:t xml:space="preserve">, </w:t>
      </w:r>
      <w:r w:rsidR="00DF79F3">
        <w:rPr>
          <w:sz w:val="20"/>
        </w:rPr>
        <w:t>Climax Telephone Company d/b/a CTS Telecommunications, Inc.</w:t>
      </w:r>
      <w:r w:rsidR="00367255">
        <w:rPr>
          <w:sz w:val="20"/>
        </w:rPr>
        <w:t xml:space="preserve"> (Climax)</w:t>
      </w:r>
      <w:r w:rsidR="00F026BA">
        <w:rPr>
          <w:sz w:val="20"/>
        </w:rPr>
        <w:t>,</w:t>
      </w:r>
      <w:r w:rsidR="00DF79F3">
        <w:rPr>
          <w:sz w:val="20"/>
        </w:rPr>
        <w:t xml:space="preserve"> receives </w:t>
      </w:r>
      <w:r w:rsidR="00145575">
        <w:rPr>
          <w:sz w:val="20"/>
        </w:rPr>
        <w:t>cost-based support</w:t>
      </w:r>
      <w:r w:rsidR="00367255">
        <w:rPr>
          <w:sz w:val="20"/>
        </w:rPr>
        <w:t xml:space="preserve"> as an average schedule company</w:t>
      </w:r>
      <w:r w:rsidR="00145575">
        <w:rPr>
          <w:sz w:val="20"/>
        </w:rPr>
        <w:t>.  Application at 10-11</w:t>
      </w:r>
      <w:r w:rsidRPr="00000C86" w:rsidR="00000C86">
        <w:rPr>
          <w:sz w:val="20"/>
        </w:rPr>
        <w:t xml:space="preserve">; </w:t>
      </w:r>
      <w:r w:rsidRPr="00000C86" w:rsidR="00000C86">
        <w:rPr>
          <w:snapToGrid w:val="0"/>
          <w:kern w:val="28"/>
          <w:sz w:val="20"/>
        </w:rPr>
        <w:t xml:space="preserve">Universal Service Administrative Co., Tools, </w:t>
      </w:r>
      <w:hyperlink r:id="rId1" w:history="1">
        <w:r w:rsidRPr="00000C86" w:rsidR="00000C86">
          <w:rPr>
            <w:snapToGrid w:val="0"/>
            <w:color w:val="0000FF"/>
            <w:kern w:val="28"/>
            <w:sz w:val="20"/>
            <w:u w:val="single"/>
          </w:rPr>
          <w:t>https://www.usac.org/high-cost/resources/tools/</w:t>
        </w:r>
      </w:hyperlink>
      <w:r w:rsidRPr="00000C86" w:rsidR="00000C86">
        <w:rPr>
          <w:snapToGrid w:val="0"/>
          <w:kern w:val="28"/>
          <w:sz w:val="20"/>
        </w:rPr>
        <w:t xml:space="preserve"> (ACAM, ACAM II and CAF BLS Buildout Requirements)</w:t>
      </w:r>
      <w:r w:rsidR="00000C86">
        <w:rPr>
          <w:snapToGrid w:val="0"/>
          <w:kern w:val="28"/>
          <w:sz w:val="20"/>
        </w:rPr>
        <w:t>.</w:t>
      </w:r>
      <w:r w:rsidRPr="00000C86" w:rsidR="00000C86">
        <w:rPr>
          <w:sz w:val="20"/>
        </w:rPr>
        <w:t xml:space="preserve"> </w:t>
      </w:r>
      <w:r w:rsidR="00000C86">
        <w:rPr>
          <w:sz w:val="20"/>
        </w:rPr>
        <w:t xml:space="preserve"> </w:t>
      </w:r>
      <w:r w:rsidRPr="00000C86" w:rsidR="00367255">
        <w:rPr>
          <w:sz w:val="20"/>
        </w:rPr>
        <w:t xml:space="preserve">The potential for a transaction-specific harm exists if Climax converts from an average schedule company to a cost company, thereby triggering an incentive to shift costs from affiliated companies receiving model-based support to Climax.  Accordingly, to mitigate the potential for cost shifting, we grant the </w:t>
      </w:r>
      <w:r w:rsidRPr="00000C86" w:rsidR="004470A5">
        <w:rPr>
          <w:sz w:val="20"/>
        </w:rPr>
        <w:t>A</w:t>
      </w:r>
      <w:r w:rsidRPr="00000C86" w:rsidR="00367255">
        <w:rPr>
          <w:sz w:val="20"/>
        </w:rPr>
        <w:t>pplication subject to the following condition:  if Climax converts to a non-average</w:t>
      </w:r>
      <w:r w:rsidRPr="00E45D2D" w:rsidR="00367255">
        <w:rPr>
          <w:sz w:val="20"/>
        </w:rPr>
        <w:t xml:space="preserve"> schedule cost company, that conversion will trigger application of the condition and associated requirements established in the </w:t>
      </w:r>
      <w:r w:rsidRPr="00E45D2D" w:rsidR="00367255">
        <w:rPr>
          <w:i/>
          <w:sz w:val="20"/>
        </w:rPr>
        <w:t>Hargray/ComSouth Order</w:t>
      </w:r>
      <w:r w:rsidR="00367255">
        <w:rPr>
          <w:iCs/>
          <w:sz w:val="20"/>
        </w:rPr>
        <w:t xml:space="preserve">, to which </w:t>
      </w:r>
      <w:r w:rsidR="004470A5">
        <w:rPr>
          <w:iCs/>
          <w:sz w:val="20"/>
        </w:rPr>
        <w:t>O</w:t>
      </w:r>
      <w:r w:rsidR="00367255">
        <w:rPr>
          <w:iCs/>
          <w:sz w:val="20"/>
        </w:rPr>
        <w:t>ak Hill Investor companies are already subject,</w:t>
      </w:r>
      <w:r w:rsidRPr="00E45D2D" w:rsidR="00367255">
        <w:rPr>
          <w:sz w:val="20"/>
        </w:rPr>
        <w:t xml:space="preserve"> and </w:t>
      </w:r>
      <w:r w:rsidR="00367255">
        <w:rPr>
          <w:sz w:val="20"/>
        </w:rPr>
        <w:t xml:space="preserve">as </w:t>
      </w:r>
      <w:r w:rsidRPr="00E45D2D" w:rsidR="00367255">
        <w:rPr>
          <w:sz w:val="20"/>
        </w:rPr>
        <w:t xml:space="preserve">discussed in the </w:t>
      </w:r>
      <w:r w:rsidRPr="00E45D2D" w:rsidR="00367255">
        <w:rPr>
          <w:i/>
          <w:sz w:val="20"/>
        </w:rPr>
        <w:t>Average Schedule Grant Public Notice</w:t>
      </w:r>
      <w:r w:rsidR="00367255">
        <w:rPr>
          <w:i/>
          <w:sz w:val="20"/>
        </w:rPr>
        <w:t xml:space="preserve">.  </w:t>
      </w:r>
      <w:r w:rsidRPr="00E45D2D" w:rsidR="00367255">
        <w:rPr>
          <w:i/>
          <w:iCs/>
          <w:sz w:val="20"/>
          <w:bdr w:val="none" w:sz="0" w:space="0" w:color="auto" w:frame="1"/>
          <w:shd w:val="clear" w:color="auto" w:fill="FFFFFF"/>
        </w:rPr>
        <w:t>Joint Application of W. Mansfield Jennings Limited Partnership and Hargray Communications Group, Inc. for Consent to the Transfer of Control of ComSouth Corporation Pursuant to Section 214 of the Communications Act of 1934</w:t>
      </w:r>
      <w:r w:rsidRPr="00E45D2D" w:rsidR="00367255">
        <w:rPr>
          <w:sz w:val="20"/>
          <w:bdr w:val="none" w:sz="0" w:space="0" w:color="auto" w:frame="1"/>
          <w:shd w:val="clear" w:color="auto" w:fill="FFFFFF"/>
        </w:rPr>
        <w:t xml:space="preserve">, WC Docket </w:t>
      </w:r>
      <w:r w:rsidR="00367255">
        <w:rPr>
          <w:sz w:val="20"/>
          <w:bdr w:val="none" w:sz="0" w:space="0" w:color="auto" w:frame="1"/>
          <w:shd w:val="clear" w:color="auto" w:fill="FFFFFF"/>
        </w:rPr>
        <w:t xml:space="preserve">No. </w:t>
      </w:r>
      <w:r w:rsidRPr="00E45D2D" w:rsidR="00367255">
        <w:rPr>
          <w:sz w:val="20"/>
          <w:bdr w:val="none" w:sz="0" w:space="0" w:color="auto" w:frame="1"/>
          <w:shd w:val="clear" w:color="auto" w:fill="FFFFFF"/>
        </w:rPr>
        <w:t>18-52, Memorandum Opinion and Order, 33 FCC Rcd 4780, 4789, n.72 (2018)</w:t>
      </w:r>
      <w:r w:rsidRPr="00E45D2D" w:rsidR="00367255">
        <w:rPr>
          <w:sz w:val="20"/>
          <w:shd w:val="clear" w:color="auto" w:fill="FFFFFF"/>
        </w:rPr>
        <w:t> (</w:t>
      </w:r>
      <w:r w:rsidRPr="00E45D2D" w:rsidR="00367255">
        <w:rPr>
          <w:i/>
          <w:iCs/>
          <w:sz w:val="20"/>
          <w:bdr w:val="none" w:sz="0" w:space="0" w:color="auto" w:frame="1"/>
          <w:shd w:val="clear" w:color="auto" w:fill="FFFFFF"/>
        </w:rPr>
        <w:t>Hargray/ComSouth Order</w:t>
      </w:r>
      <w:r w:rsidRPr="00E45D2D" w:rsidR="00367255">
        <w:rPr>
          <w:sz w:val="20"/>
          <w:shd w:val="clear" w:color="auto" w:fill="FFFFFF"/>
        </w:rPr>
        <w:t>)</w:t>
      </w:r>
      <w:r w:rsidRPr="00E45D2D" w:rsidR="00367255">
        <w:rPr>
          <w:sz w:val="20"/>
        </w:rPr>
        <w:t xml:space="preserve">; </w:t>
      </w:r>
      <w:r w:rsidRPr="00E45D2D" w:rsidR="00367255">
        <w:rPr>
          <w:i/>
          <w:iCs/>
          <w:sz w:val="20"/>
        </w:rPr>
        <w:t>Domestic Section 214 Applications Granted Subject to Condition</w:t>
      </w:r>
      <w:r w:rsidRPr="00E45D2D" w:rsidR="00367255">
        <w:rPr>
          <w:sz w:val="20"/>
        </w:rPr>
        <w:t>, WC Docket Nos. 17-101, 17-365, 18-68, 18-94, 18-95, 18-177, Public Notice, 33 FCC Rcd 6784 (WCB 2018) (</w:t>
      </w:r>
      <w:bookmarkStart w:id="3" w:name="_Hlk67038644"/>
      <w:r w:rsidRPr="00E45D2D" w:rsidR="00367255">
        <w:rPr>
          <w:i/>
          <w:sz w:val="20"/>
        </w:rPr>
        <w:t>Average Schedule Grant Public Notice</w:t>
      </w:r>
      <w:bookmarkEnd w:id="3"/>
      <w:r w:rsidRPr="00E45D2D" w:rsidR="00367255">
        <w:rPr>
          <w:sz w:val="20"/>
        </w:rPr>
        <w:t xml:space="preserve">) (granting, subject to the </w:t>
      </w:r>
      <w:r w:rsidRPr="00E45D2D" w:rsidR="00367255">
        <w:rPr>
          <w:i/>
          <w:iCs/>
          <w:sz w:val="20"/>
        </w:rPr>
        <w:t>Hargray/ComSouth</w:t>
      </w:r>
      <w:r w:rsidRPr="00E45D2D" w:rsidR="00367255">
        <w:rPr>
          <w:sz w:val="20"/>
        </w:rPr>
        <w:t xml:space="preserve"> condition, transfers of control involving average schedule companies and model-based support companies)</w:t>
      </w:r>
      <w:r w:rsidR="00367255">
        <w:rPr>
          <w:sz w:val="20"/>
        </w:rPr>
        <w:t xml:space="preserve">; </w:t>
      </w:r>
      <w:r w:rsidRPr="00E45D2D" w:rsidR="00367255">
        <w:rPr>
          <w:i/>
          <w:iCs/>
          <w:sz w:val="20"/>
        </w:rPr>
        <w:t>Domestic Application Granted for the Transfer of Control of Prairieburg Telephone Company, Incorporated</w:t>
      </w:r>
      <w:r w:rsidRPr="00E45D2D" w:rsidR="00367255">
        <w:rPr>
          <w:sz w:val="20"/>
        </w:rPr>
        <w:t>, WC Docket No. 21-3, Public Notice, DA 21-333, at 1 and n.13 (WCB 2021) (</w:t>
      </w:r>
      <w:r w:rsidRPr="00E45D2D" w:rsidR="00367255">
        <w:rPr>
          <w:i/>
          <w:iCs/>
          <w:sz w:val="20"/>
        </w:rPr>
        <w:t>Prairieburg Grant Public Notice</w:t>
      </w:r>
      <w:r w:rsidRPr="00E45D2D" w:rsidR="00367255">
        <w:rPr>
          <w:sz w:val="20"/>
        </w:rPr>
        <w:t>).</w:t>
      </w:r>
      <w:r w:rsidRPr="00E45D2D" w:rsidR="00367255">
        <w:rPr>
          <w:i/>
          <w:iCs/>
          <w:sz w:val="20"/>
        </w:rPr>
        <w:t xml:space="preserve"> </w:t>
      </w:r>
      <w:r w:rsidR="00367255">
        <w:rPr>
          <w:i/>
          <w:iCs/>
          <w:sz w:val="20"/>
        </w:rPr>
        <w:t xml:space="preserve"> See</w:t>
      </w:r>
      <w:r w:rsidRPr="00E45D2D" w:rsidR="00367255">
        <w:rPr>
          <w:i/>
          <w:iCs/>
          <w:sz w:val="20"/>
        </w:rPr>
        <w:t xml:space="preserve"> </w:t>
      </w:r>
      <w:r w:rsidRPr="00F026BA" w:rsidR="00367255">
        <w:rPr>
          <w:i/>
          <w:iCs/>
          <w:sz w:val="20"/>
        </w:rPr>
        <w:t>Notice of Domestic Section 214 Granted</w:t>
      </w:r>
      <w:r w:rsidR="00367255">
        <w:rPr>
          <w:sz w:val="20"/>
        </w:rPr>
        <w:t xml:space="preserve">, WC Docket No. 21-237, Public Notice, DA 21-904, n.3 (WCB 2021); </w:t>
      </w:r>
      <w:r w:rsidRPr="00F9021F" w:rsidR="00367255">
        <w:rPr>
          <w:i/>
          <w:iCs/>
          <w:sz w:val="20"/>
        </w:rPr>
        <w:t>Domestic Section 214 Applications Granted Subject to Condition</w:t>
      </w:r>
      <w:r w:rsidRPr="00F9021F" w:rsidR="00367255">
        <w:rPr>
          <w:sz w:val="20"/>
        </w:rPr>
        <w:t>, WC Docket Nos. 20-275 and 20-355</w:t>
      </w:r>
      <w:r w:rsidR="00367255">
        <w:rPr>
          <w:sz w:val="20"/>
        </w:rPr>
        <w:t>,</w:t>
      </w:r>
      <w:r w:rsidRPr="00F9021F" w:rsidR="00367255">
        <w:rPr>
          <w:sz w:val="20"/>
        </w:rPr>
        <w:t xml:space="preserve"> Public Notice, DA 21-346, at 3-5 </w:t>
      </w:r>
      <w:r w:rsidR="00367255">
        <w:rPr>
          <w:sz w:val="20"/>
        </w:rPr>
        <w:t xml:space="preserve">(WCB 2021) </w:t>
      </w:r>
      <w:r w:rsidRPr="00F9021F" w:rsidR="00367255">
        <w:rPr>
          <w:sz w:val="20"/>
        </w:rPr>
        <w:t>(</w:t>
      </w:r>
      <w:r w:rsidR="00367255">
        <w:rPr>
          <w:sz w:val="20"/>
        </w:rPr>
        <w:t xml:space="preserve">both </w:t>
      </w:r>
      <w:r w:rsidRPr="00F9021F" w:rsidR="00367255">
        <w:rPr>
          <w:sz w:val="20"/>
        </w:rPr>
        <w:t xml:space="preserve">citing </w:t>
      </w:r>
      <w:r w:rsidRPr="00F9021F" w:rsidR="00367255">
        <w:rPr>
          <w:i/>
          <w:iCs/>
          <w:sz w:val="20"/>
        </w:rPr>
        <w:t>Hargray/ComSouth</w:t>
      </w:r>
      <w:r w:rsidRPr="00F9021F" w:rsidR="00367255">
        <w:rPr>
          <w:sz w:val="20"/>
        </w:rPr>
        <w:t xml:space="preserve"> </w:t>
      </w:r>
      <w:r w:rsidRPr="00367255" w:rsidR="00367255">
        <w:rPr>
          <w:sz w:val="20"/>
        </w:rPr>
        <w:t>Order</w:t>
      </w:r>
      <w:r w:rsidR="00367255">
        <w:rPr>
          <w:sz w:val="20"/>
        </w:rPr>
        <w:t xml:space="preserve">, </w:t>
      </w:r>
      <w:r w:rsidR="00F026BA">
        <w:rPr>
          <w:sz w:val="20"/>
        </w:rPr>
        <w:t>and granting Oak Hill Investor transactions subject to the condition</w:t>
      </w:r>
      <w:r w:rsidRPr="00F9021F">
        <w:rPr>
          <w:sz w:val="20"/>
        </w:rPr>
        <w:t>).</w:t>
      </w:r>
      <w:r>
        <w:rPr>
          <w:sz w:val="20"/>
        </w:rPr>
        <w:t xml:space="preserve"> </w:t>
      </w:r>
      <w:r w:rsidRPr="00F9021F">
        <w:rPr>
          <w:sz w:val="20"/>
        </w:rPr>
        <w:t xml:space="preserve"> </w:t>
      </w:r>
      <w:r w:rsidRPr="00E45D2D" w:rsidR="004470A5">
        <w:rPr>
          <w:snapToGrid w:val="0"/>
          <w:kern w:val="28"/>
          <w:sz w:val="20"/>
        </w:rPr>
        <w:t xml:space="preserve">If </w:t>
      </w:r>
      <w:r w:rsidR="004470A5">
        <w:rPr>
          <w:snapToGrid w:val="0"/>
          <w:kern w:val="28"/>
          <w:sz w:val="20"/>
        </w:rPr>
        <w:t>Climax</w:t>
      </w:r>
      <w:r w:rsidRPr="00E45D2D" w:rsidR="004470A5">
        <w:rPr>
          <w:snapToGrid w:val="0"/>
          <w:kern w:val="28"/>
          <w:sz w:val="20"/>
        </w:rPr>
        <w:t xml:space="preserve"> converts, the newly converted cost company’s operating expense would be capped at the average of the three previous years’ operating expense and combined with the inflation-adjusted operating expense data of any other affiliated cost companies.</w:t>
      </w:r>
      <w:r w:rsidRPr="00E45D2D" w:rsidR="004470A5">
        <w:rPr>
          <w:i/>
          <w:iCs/>
          <w:snapToGrid w:val="0"/>
          <w:kern w:val="28"/>
          <w:sz w:val="20"/>
        </w:rPr>
        <w:t xml:space="preserve"> </w:t>
      </w:r>
      <w:r w:rsidR="004470A5">
        <w:rPr>
          <w:i/>
          <w:iCs/>
          <w:snapToGrid w:val="0"/>
          <w:kern w:val="28"/>
          <w:sz w:val="20"/>
        </w:rPr>
        <w:t xml:space="preserve"> </w:t>
      </w:r>
      <w:r w:rsidRPr="004470A5" w:rsidR="004470A5">
        <w:rPr>
          <w:i/>
          <w:iCs/>
          <w:snapToGrid w:val="0"/>
          <w:kern w:val="28"/>
          <w:sz w:val="20"/>
        </w:rPr>
        <w:t xml:space="preserve">See </w:t>
      </w:r>
      <w:r w:rsidRPr="00E45D2D" w:rsidR="004470A5">
        <w:rPr>
          <w:i/>
          <w:iCs/>
          <w:snapToGrid w:val="0"/>
          <w:kern w:val="28"/>
          <w:sz w:val="20"/>
        </w:rPr>
        <w:t xml:space="preserve">Prairieburg Grant Public Notice </w:t>
      </w:r>
      <w:r w:rsidRPr="00E45D2D" w:rsidR="004470A5">
        <w:rPr>
          <w:snapToGrid w:val="0"/>
          <w:kern w:val="28"/>
          <w:sz w:val="20"/>
        </w:rPr>
        <w:t>at 1. and n.13.</w:t>
      </w:r>
      <w:r w:rsidRPr="00E45D2D" w:rsidR="004470A5">
        <w:rPr>
          <w:snapToGrid w:val="0"/>
          <w:kern w:val="28"/>
          <w:sz w:val="20"/>
          <w:vertAlign w:val="superscript"/>
        </w:rPr>
        <w:t xml:space="preserve">   </w:t>
      </w:r>
      <w:r w:rsidRPr="00E45D2D" w:rsidR="004470A5">
        <w:rPr>
          <w:sz w:val="20"/>
        </w:rPr>
        <w:t xml:space="preserve">If </w:t>
      </w:r>
      <w:r w:rsidR="004470A5">
        <w:rPr>
          <w:sz w:val="20"/>
        </w:rPr>
        <w:t>Climax</w:t>
      </w:r>
      <w:r w:rsidRPr="00E45D2D" w:rsidR="004470A5">
        <w:rPr>
          <w:sz w:val="20"/>
        </w:rPr>
        <w:t xml:space="preserve"> converts to a cost company, it must comply with the procedures we have adopted for such conversions.  </w:t>
      </w:r>
      <w:r w:rsidRPr="00E45D2D" w:rsidR="004470A5">
        <w:rPr>
          <w:i/>
          <w:iCs/>
          <w:sz w:val="20"/>
        </w:rPr>
        <w:t xml:space="preserve">See </w:t>
      </w:r>
      <w:r w:rsidRPr="00E45D2D" w:rsidR="004470A5">
        <w:rPr>
          <w:i/>
          <w:sz w:val="20"/>
        </w:rPr>
        <w:t>Average Schedule Grant Public Notice</w:t>
      </w:r>
      <w:r w:rsidRPr="00E45D2D" w:rsidR="004470A5">
        <w:rPr>
          <w:iCs/>
          <w:sz w:val="20"/>
        </w:rPr>
        <w:t>, 33 FCC Rcd at 6788, n.31;</w:t>
      </w:r>
      <w:r w:rsidRPr="00E45D2D" w:rsidR="004470A5">
        <w:rPr>
          <w:i/>
          <w:iCs/>
          <w:sz w:val="20"/>
        </w:rPr>
        <w:t xml:space="preserve"> Domestic Section 214 Application Granted Subject to Condition</w:t>
      </w:r>
      <w:r w:rsidRPr="00E45D2D" w:rsidR="004470A5">
        <w:rPr>
          <w:sz w:val="20"/>
        </w:rPr>
        <w:t>, WC Docket No. 18-129, Public Notice, 33 FCC Rcd 8087, 8089, n.15 (WCB 2018) (</w:t>
      </w:r>
      <w:r w:rsidRPr="00E45D2D" w:rsidR="004470A5">
        <w:rPr>
          <w:i/>
          <w:iCs/>
          <w:sz w:val="20"/>
        </w:rPr>
        <w:t>Hospers Grant PN</w:t>
      </w:r>
      <w:r w:rsidRPr="00E45D2D" w:rsidR="004470A5">
        <w:rPr>
          <w:sz w:val="20"/>
        </w:rPr>
        <w:t xml:space="preserve">) (granting, subject to the </w:t>
      </w:r>
      <w:r w:rsidRPr="00E45D2D" w:rsidR="004470A5">
        <w:rPr>
          <w:i/>
          <w:iCs/>
          <w:sz w:val="20"/>
        </w:rPr>
        <w:t xml:space="preserve">Hargray/ComSouth </w:t>
      </w:r>
      <w:r w:rsidRPr="00E45D2D" w:rsidR="004470A5">
        <w:rPr>
          <w:sz w:val="20"/>
        </w:rPr>
        <w:t>condition, the transfer of Hospers Telephone Exchange, Inc. d/b/a HTC Communications, an average schedule company, to Mutual Telephone Company of Sioux Center Iowa d/b/a Premier Communications, which owns both cost-based and fixed model-based support companies</w:t>
      </w:r>
      <w:r w:rsidRPr="00E45D2D" w:rsidR="004470A5">
        <w:rPr>
          <w:rFonts w:eastAsia="Calibri"/>
          <w:sz w:val="20"/>
        </w:rPr>
        <w:t xml:space="preserve">).  </w:t>
      </w:r>
      <w:r w:rsidRPr="00F9021F">
        <w:rPr>
          <w:sz w:val="20"/>
        </w:rPr>
        <w:t xml:space="preserve">We direct </w:t>
      </w:r>
      <w:r w:rsidR="00F026BA">
        <w:rPr>
          <w:sz w:val="20"/>
        </w:rPr>
        <w:t>the a</w:t>
      </w:r>
      <w:r w:rsidRPr="00F9021F">
        <w:rPr>
          <w:sz w:val="20"/>
        </w:rPr>
        <w:t xml:space="preserve">pplicants to submit in the domestic section 214 docket, </w:t>
      </w:r>
      <w:r w:rsidR="004470A5">
        <w:rPr>
          <w:sz w:val="20"/>
        </w:rPr>
        <w:t xml:space="preserve">WC Docket No. 21-377, </w:t>
      </w:r>
      <w:r w:rsidRPr="00F9021F">
        <w:rPr>
          <w:sz w:val="20"/>
        </w:rPr>
        <w:t xml:space="preserve">a notice that the proposed transaction has closed with the consummation date, and also provide a courtesy copy of the notice to </w:t>
      </w:r>
      <w:hyperlink r:id="rId2" w:history="1">
        <w:r w:rsidRPr="00F9021F">
          <w:rPr>
            <w:color w:val="0000FF"/>
            <w:sz w:val="20"/>
            <w:u w:val="single"/>
          </w:rPr>
          <w:t>hcinfo@usac.org</w:t>
        </w:r>
      </w:hyperlink>
      <w:r w:rsidRPr="00F9021F">
        <w:rPr>
          <w:sz w:val="20"/>
        </w:rPr>
        <w:t>. </w:t>
      </w:r>
    </w:p>
    <w:p w:rsidR="00FC6CBD" w:rsidP="00FC6CBD" w14:paraId="5E9F5AA2" w14:textId="77777777">
      <w:pPr>
        <w:pStyle w:val="FootnoteText"/>
        <w:spacing w:after="120"/>
        <w:rPr>
          <w:sz w:val="20"/>
        </w:rPr>
      </w:pPr>
    </w:p>
    <w:p w:rsidR="00FC6CBD" w:rsidP="00FC6CBD" w14:paraId="2264E7BF" w14:textId="77777777">
      <w:pPr>
        <w:pStyle w:val="FootnoteText"/>
        <w:spacing w:after="120"/>
        <w:rPr>
          <w:sz w:val="20"/>
        </w:rPr>
      </w:pPr>
    </w:p>
    <w:p w:rsidR="00FC6CBD" w:rsidP="00FC6CBD" w14:paraId="141B5DA3" w14:textId="77777777">
      <w:pPr>
        <w:pStyle w:val="FootnoteText"/>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3BB5677"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67D2B14D" w14:textId="77777777">
                <w:pPr>
                  <w:rPr>
                    <w:rFonts w:ascii="Arial" w:hAnsi="Arial"/>
                    <w:b/>
                  </w:rPr>
                </w:pPr>
                <w:r>
                  <w:rPr>
                    <w:rFonts w:ascii="Arial" w:hAnsi="Arial"/>
                    <w:b/>
                  </w:rPr>
                  <w:t>Federal Communications Commission</w:t>
                </w:r>
              </w:p>
              <w:p w:rsidR="00E7033D" w14:paraId="18E8D59B"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7574DBC"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54F0EED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6BA90338" w14:textId="77777777">
                <w:pPr>
                  <w:spacing w:before="40"/>
                  <w:jc w:val="right"/>
                  <w:rPr>
                    <w:rFonts w:ascii="Arial" w:hAnsi="Arial"/>
                    <w:b/>
                    <w:sz w:val="16"/>
                  </w:rPr>
                </w:pPr>
                <w:r>
                  <w:rPr>
                    <w:rFonts w:ascii="Arial" w:hAnsi="Arial"/>
                    <w:b/>
                    <w:sz w:val="16"/>
                  </w:rPr>
                  <w:t>News Media Information 202 / 418-0500</w:t>
                </w:r>
              </w:p>
              <w:p w:rsidR="00E7033D" w14:paraId="4DED6AB0"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2822B8C8" w14:textId="77777777">
                <w:pPr>
                  <w:jc w:val="right"/>
                </w:pPr>
              </w:p>
            </w:txbxContent>
          </v:textbox>
        </v:shape>
      </w:pict>
    </w:r>
  </w:p>
  <w:p w:rsidR="00E7033D" w14:paraId="3A089A1C"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F54641D"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0C86"/>
    <w:rsid w:val="0001135F"/>
    <w:rsid w:val="000113A2"/>
    <w:rsid w:val="0001280D"/>
    <w:rsid w:val="00017A3A"/>
    <w:rsid w:val="00040610"/>
    <w:rsid w:val="00041C01"/>
    <w:rsid w:val="000452C4"/>
    <w:rsid w:val="000534AC"/>
    <w:rsid w:val="00066D12"/>
    <w:rsid w:val="00070D65"/>
    <w:rsid w:val="00071BB6"/>
    <w:rsid w:val="000735C8"/>
    <w:rsid w:val="0008381D"/>
    <w:rsid w:val="00087205"/>
    <w:rsid w:val="000B4EDD"/>
    <w:rsid w:val="000B66D9"/>
    <w:rsid w:val="000D1A69"/>
    <w:rsid w:val="000D62AD"/>
    <w:rsid w:val="000F02F7"/>
    <w:rsid w:val="00101D0B"/>
    <w:rsid w:val="0013405D"/>
    <w:rsid w:val="001356E5"/>
    <w:rsid w:val="00140081"/>
    <w:rsid w:val="0014099A"/>
    <w:rsid w:val="00141388"/>
    <w:rsid w:val="00145575"/>
    <w:rsid w:val="00150FBE"/>
    <w:rsid w:val="0015217F"/>
    <w:rsid w:val="0016394A"/>
    <w:rsid w:val="00177F12"/>
    <w:rsid w:val="001A3813"/>
    <w:rsid w:val="001B69F9"/>
    <w:rsid w:val="001C2A13"/>
    <w:rsid w:val="001C4E34"/>
    <w:rsid w:val="001C5BDA"/>
    <w:rsid w:val="001F1E04"/>
    <w:rsid w:val="001F6762"/>
    <w:rsid w:val="0022449B"/>
    <w:rsid w:val="00242594"/>
    <w:rsid w:val="002519DF"/>
    <w:rsid w:val="00253247"/>
    <w:rsid w:val="00262E65"/>
    <w:rsid w:val="00285612"/>
    <w:rsid w:val="002B16FA"/>
    <w:rsid w:val="002C203E"/>
    <w:rsid w:val="002C22F3"/>
    <w:rsid w:val="002C27F4"/>
    <w:rsid w:val="002C47F7"/>
    <w:rsid w:val="002D09E2"/>
    <w:rsid w:val="002D136F"/>
    <w:rsid w:val="002D6F61"/>
    <w:rsid w:val="002E1FEF"/>
    <w:rsid w:val="002F6E56"/>
    <w:rsid w:val="0030157A"/>
    <w:rsid w:val="003064D6"/>
    <w:rsid w:val="0030742E"/>
    <w:rsid w:val="00346293"/>
    <w:rsid w:val="00353CB5"/>
    <w:rsid w:val="00365194"/>
    <w:rsid w:val="00367255"/>
    <w:rsid w:val="00376464"/>
    <w:rsid w:val="003855A0"/>
    <w:rsid w:val="00386FFF"/>
    <w:rsid w:val="003921C1"/>
    <w:rsid w:val="003945C4"/>
    <w:rsid w:val="00395A7A"/>
    <w:rsid w:val="003A18A0"/>
    <w:rsid w:val="003A443A"/>
    <w:rsid w:val="003B5CEE"/>
    <w:rsid w:val="003B786E"/>
    <w:rsid w:val="003C31D9"/>
    <w:rsid w:val="003F0ECD"/>
    <w:rsid w:val="003F311D"/>
    <w:rsid w:val="004077D0"/>
    <w:rsid w:val="00412DA6"/>
    <w:rsid w:val="004156F7"/>
    <w:rsid w:val="004175D7"/>
    <w:rsid w:val="00421301"/>
    <w:rsid w:val="004331D7"/>
    <w:rsid w:val="00433D8C"/>
    <w:rsid w:val="00434C96"/>
    <w:rsid w:val="004470A5"/>
    <w:rsid w:val="00450EEF"/>
    <w:rsid w:val="00460914"/>
    <w:rsid w:val="004609A4"/>
    <w:rsid w:val="00464E8A"/>
    <w:rsid w:val="00475BB6"/>
    <w:rsid w:val="004808FC"/>
    <w:rsid w:val="00482EB0"/>
    <w:rsid w:val="004913FF"/>
    <w:rsid w:val="004951AE"/>
    <w:rsid w:val="004A554E"/>
    <w:rsid w:val="004B7FB2"/>
    <w:rsid w:val="004C3AB0"/>
    <w:rsid w:val="004C5C4F"/>
    <w:rsid w:val="004C712F"/>
    <w:rsid w:val="004D6066"/>
    <w:rsid w:val="004E18D4"/>
    <w:rsid w:val="004F3603"/>
    <w:rsid w:val="004F6F64"/>
    <w:rsid w:val="00511202"/>
    <w:rsid w:val="005128D4"/>
    <w:rsid w:val="00522749"/>
    <w:rsid w:val="0052334B"/>
    <w:rsid w:val="005243E7"/>
    <w:rsid w:val="005320B5"/>
    <w:rsid w:val="0056058F"/>
    <w:rsid w:val="005932BA"/>
    <w:rsid w:val="005A13D0"/>
    <w:rsid w:val="005A64A7"/>
    <w:rsid w:val="005C403A"/>
    <w:rsid w:val="005C51CE"/>
    <w:rsid w:val="005D7355"/>
    <w:rsid w:val="0060024C"/>
    <w:rsid w:val="0060105E"/>
    <w:rsid w:val="0060106A"/>
    <w:rsid w:val="00604A3C"/>
    <w:rsid w:val="00604CFF"/>
    <w:rsid w:val="0061137C"/>
    <w:rsid w:val="00616221"/>
    <w:rsid w:val="006768CC"/>
    <w:rsid w:val="00691832"/>
    <w:rsid w:val="006B39BA"/>
    <w:rsid w:val="006B5C06"/>
    <w:rsid w:val="006B662C"/>
    <w:rsid w:val="006C32C8"/>
    <w:rsid w:val="006C32D6"/>
    <w:rsid w:val="006C591C"/>
    <w:rsid w:val="006E155C"/>
    <w:rsid w:val="006E3E11"/>
    <w:rsid w:val="006E5144"/>
    <w:rsid w:val="006E61ED"/>
    <w:rsid w:val="006E7452"/>
    <w:rsid w:val="006F4D60"/>
    <w:rsid w:val="00706D49"/>
    <w:rsid w:val="0071041E"/>
    <w:rsid w:val="00724722"/>
    <w:rsid w:val="00727E3E"/>
    <w:rsid w:val="00731C05"/>
    <w:rsid w:val="00733B9B"/>
    <w:rsid w:val="007569C5"/>
    <w:rsid w:val="00760269"/>
    <w:rsid w:val="00780F55"/>
    <w:rsid w:val="007942ED"/>
    <w:rsid w:val="007A43BD"/>
    <w:rsid w:val="007A56E2"/>
    <w:rsid w:val="007B2C2E"/>
    <w:rsid w:val="007B47A9"/>
    <w:rsid w:val="007C263F"/>
    <w:rsid w:val="007C30DA"/>
    <w:rsid w:val="007E5753"/>
    <w:rsid w:val="007E5FC3"/>
    <w:rsid w:val="007F7CA2"/>
    <w:rsid w:val="008042EC"/>
    <w:rsid w:val="00810DFF"/>
    <w:rsid w:val="00811ECF"/>
    <w:rsid w:val="00813C6D"/>
    <w:rsid w:val="00815098"/>
    <w:rsid w:val="00821491"/>
    <w:rsid w:val="00824765"/>
    <w:rsid w:val="00826444"/>
    <w:rsid w:val="0083331C"/>
    <w:rsid w:val="0083340A"/>
    <w:rsid w:val="0084778A"/>
    <w:rsid w:val="00853114"/>
    <w:rsid w:val="0085579D"/>
    <w:rsid w:val="00864397"/>
    <w:rsid w:val="0086691C"/>
    <w:rsid w:val="008675C7"/>
    <w:rsid w:val="0087554B"/>
    <w:rsid w:val="00877D35"/>
    <w:rsid w:val="00881DC6"/>
    <w:rsid w:val="008850E4"/>
    <w:rsid w:val="00890FC9"/>
    <w:rsid w:val="00895C4A"/>
    <w:rsid w:val="008C294A"/>
    <w:rsid w:val="008D2804"/>
    <w:rsid w:val="008E27B4"/>
    <w:rsid w:val="008F6981"/>
    <w:rsid w:val="00903154"/>
    <w:rsid w:val="00903DE0"/>
    <w:rsid w:val="009075DA"/>
    <w:rsid w:val="009101A4"/>
    <w:rsid w:val="00950639"/>
    <w:rsid w:val="00967409"/>
    <w:rsid w:val="009779A2"/>
    <w:rsid w:val="0098015F"/>
    <w:rsid w:val="009A0D7F"/>
    <w:rsid w:val="009A124E"/>
    <w:rsid w:val="009A2284"/>
    <w:rsid w:val="009A6CCF"/>
    <w:rsid w:val="009B0128"/>
    <w:rsid w:val="009B6797"/>
    <w:rsid w:val="009C3EC2"/>
    <w:rsid w:val="009E6916"/>
    <w:rsid w:val="00A11865"/>
    <w:rsid w:val="00A15248"/>
    <w:rsid w:val="00A172F6"/>
    <w:rsid w:val="00A2021A"/>
    <w:rsid w:val="00A233A3"/>
    <w:rsid w:val="00A25C41"/>
    <w:rsid w:val="00A26488"/>
    <w:rsid w:val="00A26ADD"/>
    <w:rsid w:val="00A34A3D"/>
    <w:rsid w:val="00A43AED"/>
    <w:rsid w:val="00A47815"/>
    <w:rsid w:val="00A55F2F"/>
    <w:rsid w:val="00A569E4"/>
    <w:rsid w:val="00A61D2B"/>
    <w:rsid w:val="00A64040"/>
    <w:rsid w:val="00A9279F"/>
    <w:rsid w:val="00A92C9E"/>
    <w:rsid w:val="00AB7DD7"/>
    <w:rsid w:val="00AC412B"/>
    <w:rsid w:val="00AC4928"/>
    <w:rsid w:val="00AC6A56"/>
    <w:rsid w:val="00AD0360"/>
    <w:rsid w:val="00AD440B"/>
    <w:rsid w:val="00AE4EB4"/>
    <w:rsid w:val="00B00CBF"/>
    <w:rsid w:val="00B02CE4"/>
    <w:rsid w:val="00B25A68"/>
    <w:rsid w:val="00B27435"/>
    <w:rsid w:val="00B335D6"/>
    <w:rsid w:val="00B55A93"/>
    <w:rsid w:val="00B605DD"/>
    <w:rsid w:val="00B66193"/>
    <w:rsid w:val="00B66987"/>
    <w:rsid w:val="00B73AED"/>
    <w:rsid w:val="00B908C9"/>
    <w:rsid w:val="00B958E7"/>
    <w:rsid w:val="00BB1D1A"/>
    <w:rsid w:val="00BB417E"/>
    <w:rsid w:val="00BC7555"/>
    <w:rsid w:val="00BF0B00"/>
    <w:rsid w:val="00C07680"/>
    <w:rsid w:val="00C117C2"/>
    <w:rsid w:val="00C32EC5"/>
    <w:rsid w:val="00C42F8A"/>
    <w:rsid w:val="00C53B04"/>
    <w:rsid w:val="00C53E5E"/>
    <w:rsid w:val="00C612FD"/>
    <w:rsid w:val="00C71A2E"/>
    <w:rsid w:val="00C749BC"/>
    <w:rsid w:val="00C75124"/>
    <w:rsid w:val="00C75DF3"/>
    <w:rsid w:val="00C82D34"/>
    <w:rsid w:val="00C8663D"/>
    <w:rsid w:val="00CA3252"/>
    <w:rsid w:val="00CB08EA"/>
    <w:rsid w:val="00CC1FB2"/>
    <w:rsid w:val="00CC2C01"/>
    <w:rsid w:val="00CD0AA5"/>
    <w:rsid w:val="00CE03DE"/>
    <w:rsid w:val="00CE235B"/>
    <w:rsid w:val="00CE26CC"/>
    <w:rsid w:val="00CE49B4"/>
    <w:rsid w:val="00CE7F62"/>
    <w:rsid w:val="00D024AA"/>
    <w:rsid w:val="00D04DB0"/>
    <w:rsid w:val="00D111DF"/>
    <w:rsid w:val="00D11786"/>
    <w:rsid w:val="00D252B2"/>
    <w:rsid w:val="00D30DAA"/>
    <w:rsid w:val="00D3174C"/>
    <w:rsid w:val="00D702F3"/>
    <w:rsid w:val="00D83C8D"/>
    <w:rsid w:val="00D95821"/>
    <w:rsid w:val="00DB59FD"/>
    <w:rsid w:val="00DC2D34"/>
    <w:rsid w:val="00DD0968"/>
    <w:rsid w:val="00DE3E77"/>
    <w:rsid w:val="00DF1AD9"/>
    <w:rsid w:val="00DF79F3"/>
    <w:rsid w:val="00E45D2D"/>
    <w:rsid w:val="00E54722"/>
    <w:rsid w:val="00E55A96"/>
    <w:rsid w:val="00E7033D"/>
    <w:rsid w:val="00E714D1"/>
    <w:rsid w:val="00E90A56"/>
    <w:rsid w:val="00EA268B"/>
    <w:rsid w:val="00EB2E3F"/>
    <w:rsid w:val="00EB4580"/>
    <w:rsid w:val="00EC0FDA"/>
    <w:rsid w:val="00EC3BF9"/>
    <w:rsid w:val="00EC3CCE"/>
    <w:rsid w:val="00ED40B2"/>
    <w:rsid w:val="00EE37C8"/>
    <w:rsid w:val="00EE3821"/>
    <w:rsid w:val="00EF0395"/>
    <w:rsid w:val="00F026BA"/>
    <w:rsid w:val="00F04273"/>
    <w:rsid w:val="00F05755"/>
    <w:rsid w:val="00F07E24"/>
    <w:rsid w:val="00F107E6"/>
    <w:rsid w:val="00F21B45"/>
    <w:rsid w:val="00F25C6B"/>
    <w:rsid w:val="00F3092F"/>
    <w:rsid w:val="00F5717B"/>
    <w:rsid w:val="00F65523"/>
    <w:rsid w:val="00F700CA"/>
    <w:rsid w:val="00F850B7"/>
    <w:rsid w:val="00F9021F"/>
    <w:rsid w:val="00FA546C"/>
    <w:rsid w:val="00FB729A"/>
    <w:rsid w:val="00FB7B8E"/>
    <w:rsid w:val="00FC3E30"/>
    <w:rsid w:val="00FC6CBD"/>
    <w:rsid w:val="00FD2559"/>
    <w:rsid w:val="00FF17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97B0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resources/tools/" TargetMode="External" /><Relationship Id="rId2" Type="http://schemas.openxmlformats.org/officeDocument/2006/relationships/hyperlink" Target="mailto:hcinfo@usac.org"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