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02F0EF8"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085E2148" w14:textId="3BE09F5E">
      <w:pPr>
        <w:jc w:val="right"/>
        <w:rPr>
          <w:b/>
          <w:szCs w:val="22"/>
        </w:rPr>
      </w:pPr>
      <w:bookmarkStart w:id="1" w:name="_Hlk26280526"/>
      <w:bookmarkStart w:id="2" w:name="_Hlk64383480"/>
      <w:bookmarkStart w:id="3" w:name="_Hlk83213970"/>
      <w:r>
        <w:rPr>
          <w:b/>
          <w:szCs w:val="22"/>
        </w:rPr>
        <w:t>DA 2</w:t>
      </w:r>
      <w:r w:rsidR="00E6637B">
        <w:rPr>
          <w:b/>
          <w:szCs w:val="22"/>
        </w:rPr>
        <w:t>1-</w:t>
      </w:r>
      <w:r w:rsidR="00CE5F56">
        <w:rPr>
          <w:b/>
          <w:szCs w:val="22"/>
        </w:rPr>
        <w:t>1443</w:t>
      </w:r>
    </w:p>
    <w:p w:rsidR="00E7033D" w14:paraId="1E2F6AD3" w14:textId="2BCCBCF7">
      <w:pPr>
        <w:spacing w:before="60"/>
        <w:jc w:val="right"/>
        <w:rPr>
          <w:b/>
          <w:szCs w:val="22"/>
        </w:rPr>
      </w:pPr>
      <w:r>
        <w:rPr>
          <w:b/>
          <w:szCs w:val="22"/>
        </w:rPr>
        <w:t>November</w:t>
      </w:r>
      <w:r w:rsidR="00DE4A42">
        <w:rPr>
          <w:b/>
          <w:szCs w:val="22"/>
        </w:rPr>
        <w:t xml:space="preserve"> </w:t>
      </w:r>
      <w:r w:rsidR="00831812">
        <w:rPr>
          <w:b/>
          <w:szCs w:val="22"/>
        </w:rPr>
        <w:t>17</w:t>
      </w:r>
      <w:r w:rsidR="00DB15FB">
        <w:rPr>
          <w:b/>
          <w:szCs w:val="22"/>
        </w:rPr>
        <w:t>,</w:t>
      </w:r>
      <w:r w:rsidR="008C294A">
        <w:rPr>
          <w:b/>
          <w:szCs w:val="22"/>
        </w:rPr>
        <w:t xml:space="preserve"> 202</w:t>
      </w:r>
      <w:r w:rsidR="0012329A">
        <w:rPr>
          <w:b/>
          <w:szCs w:val="22"/>
        </w:rPr>
        <w:t>1</w:t>
      </w:r>
    </w:p>
    <w:p w:rsidR="00E7033D" w14:paraId="1C21E5D0" w14:textId="77777777">
      <w:pPr>
        <w:tabs>
          <w:tab w:val="left" w:pos="5900"/>
        </w:tabs>
        <w:rPr>
          <w:szCs w:val="22"/>
        </w:rPr>
      </w:pPr>
      <w:r>
        <w:rPr>
          <w:szCs w:val="22"/>
        </w:rPr>
        <w:tab/>
      </w:r>
    </w:p>
    <w:p w:rsidR="00144E61" w:rsidP="006703D5" w14:paraId="5B7A292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831812" w:rsidP="0079688E" w14:paraId="7441E5A4" w14:textId="0F5245B4">
      <w:pPr>
        <w:jc w:val="center"/>
        <w:rPr>
          <w:b/>
          <w:bCs/>
          <w:caps/>
          <w:szCs w:val="22"/>
        </w:rPr>
      </w:pPr>
      <w:r w:rsidRPr="009B7836">
        <w:rPr>
          <w:b/>
          <w:bCs/>
          <w:caps/>
          <w:szCs w:val="22"/>
        </w:rPr>
        <w:t xml:space="preserve">TRANSFER OF CONTROL </w:t>
      </w:r>
      <w:r>
        <w:rPr>
          <w:b/>
          <w:bCs/>
          <w:caps/>
          <w:szCs w:val="22"/>
        </w:rPr>
        <w:t>OF</w:t>
      </w:r>
    </w:p>
    <w:p w:rsidR="000552F7" w:rsidRPr="000552F7" w:rsidP="0079688E" w14:paraId="0592FD45" w14:textId="33A16913">
      <w:pPr>
        <w:jc w:val="center"/>
        <w:rPr>
          <w:b/>
          <w:bCs/>
          <w:caps/>
          <w:szCs w:val="22"/>
        </w:rPr>
      </w:pPr>
      <w:bookmarkStart w:id="7" w:name="_Hlk83973973"/>
      <w:r w:rsidRPr="0079688E">
        <w:rPr>
          <w:b/>
          <w:bCs/>
          <w:caps/>
          <w:szCs w:val="22"/>
        </w:rPr>
        <w:t>Plant</w:t>
      </w:r>
      <w:r w:rsidR="00831812">
        <w:rPr>
          <w:b/>
          <w:bCs/>
          <w:caps/>
          <w:szCs w:val="22"/>
        </w:rPr>
        <w:t xml:space="preserve"> </w:t>
      </w:r>
      <w:r w:rsidRPr="0079688E">
        <w:rPr>
          <w:b/>
          <w:bCs/>
          <w:caps/>
          <w:szCs w:val="22"/>
        </w:rPr>
        <w:t>Telephone Company</w:t>
      </w:r>
      <w:r w:rsidR="001F7B57">
        <w:rPr>
          <w:b/>
          <w:bCs/>
          <w:caps/>
          <w:szCs w:val="22"/>
        </w:rPr>
        <w:t xml:space="preserve"> </w:t>
      </w:r>
      <w:r w:rsidR="00DE4A42">
        <w:rPr>
          <w:b/>
          <w:bCs/>
          <w:caps/>
          <w:szCs w:val="22"/>
        </w:rPr>
        <w:t xml:space="preserve">TO </w:t>
      </w:r>
      <w:bookmarkEnd w:id="4"/>
      <w:bookmarkEnd w:id="5"/>
      <w:bookmarkEnd w:id="6"/>
      <w:bookmarkEnd w:id="7"/>
      <w:r w:rsidRPr="0079688E">
        <w:rPr>
          <w:b/>
          <w:bCs/>
          <w:caps/>
          <w:szCs w:val="22"/>
        </w:rPr>
        <w:t>Worth Telecoms Holdings, LLC</w:t>
      </w:r>
    </w:p>
    <w:p w:rsidR="00086D74" w:rsidP="00AC303A" w14:paraId="54117D3C" w14:textId="77777777">
      <w:pPr>
        <w:jc w:val="center"/>
        <w:rPr>
          <w:b/>
          <w:bCs/>
          <w:szCs w:val="22"/>
        </w:rPr>
      </w:pPr>
    </w:p>
    <w:p w:rsidR="00E7033D" w14:paraId="0E29417B" w14:textId="5CBC53D1">
      <w:pPr>
        <w:jc w:val="center"/>
        <w:rPr>
          <w:b/>
          <w:szCs w:val="22"/>
        </w:rPr>
      </w:pPr>
      <w:r>
        <w:rPr>
          <w:b/>
          <w:szCs w:val="22"/>
        </w:rPr>
        <w:t>NON-</w:t>
      </w:r>
      <w:r w:rsidR="007F09A3">
        <w:rPr>
          <w:b/>
          <w:szCs w:val="22"/>
        </w:rPr>
        <w:t xml:space="preserve">STREAMLINED </w:t>
      </w:r>
      <w:r w:rsidR="006A1C8E">
        <w:rPr>
          <w:b/>
          <w:szCs w:val="22"/>
        </w:rPr>
        <w:t>PLEADING CYCLE ESTABLISHED</w:t>
      </w:r>
    </w:p>
    <w:p w:rsidR="00E7033D" w14:paraId="5FC1B411" w14:textId="77777777">
      <w:pPr>
        <w:jc w:val="center"/>
        <w:rPr>
          <w:b/>
          <w:szCs w:val="22"/>
        </w:rPr>
      </w:pPr>
      <w:r>
        <w:rPr>
          <w:b/>
          <w:szCs w:val="22"/>
        </w:rPr>
        <w:t xml:space="preserve"> </w:t>
      </w:r>
    </w:p>
    <w:p w:rsidR="00E7033D" w14:paraId="2525ECB5" w14:textId="77D8D19E">
      <w:pPr>
        <w:jc w:val="center"/>
        <w:rPr>
          <w:b/>
          <w:szCs w:val="22"/>
        </w:rPr>
      </w:pPr>
      <w:r>
        <w:rPr>
          <w:b/>
          <w:szCs w:val="22"/>
        </w:rPr>
        <w:t xml:space="preserve">WC Docket No. </w:t>
      </w:r>
      <w:r w:rsidRPr="00C53E5E" w:rsidR="00C53E5E">
        <w:rPr>
          <w:b/>
          <w:szCs w:val="22"/>
        </w:rPr>
        <w:t>21</w:t>
      </w:r>
      <w:r w:rsidRPr="00C53E5E">
        <w:rPr>
          <w:b/>
          <w:szCs w:val="22"/>
        </w:rPr>
        <w:t>-</w:t>
      </w:r>
      <w:r w:rsidR="00D55012">
        <w:rPr>
          <w:b/>
          <w:szCs w:val="22"/>
        </w:rPr>
        <w:t>4</w:t>
      </w:r>
      <w:r w:rsidR="0092185E">
        <w:rPr>
          <w:b/>
          <w:szCs w:val="22"/>
        </w:rPr>
        <w:t>32</w:t>
      </w:r>
    </w:p>
    <w:p w:rsidR="00FF411B" w14:paraId="3AF6B13F" w14:textId="77777777">
      <w:pPr>
        <w:jc w:val="center"/>
        <w:rPr>
          <w:b/>
          <w:szCs w:val="22"/>
        </w:rPr>
      </w:pPr>
    </w:p>
    <w:p w:rsidR="00E7033D" w14:paraId="24FAA165" w14:textId="73E81267">
      <w:pPr>
        <w:pStyle w:val="NoSpacing"/>
        <w:rPr>
          <w:b/>
          <w:szCs w:val="22"/>
        </w:rPr>
      </w:pPr>
      <w:r w:rsidRPr="005B2105">
        <w:rPr>
          <w:b/>
          <w:szCs w:val="22"/>
        </w:rPr>
        <w:t xml:space="preserve">Comments Due:  </w:t>
      </w:r>
      <w:r w:rsidR="00831812">
        <w:rPr>
          <w:b/>
          <w:szCs w:val="22"/>
        </w:rPr>
        <w:t>December 1</w:t>
      </w:r>
      <w:r w:rsidR="000D15E4">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3E0E5B8F" w14:textId="555611D3">
      <w:pPr>
        <w:pStyle w:val="NoSpacing"/>
        <w:rPr>
          <w:b/>
          <w:szCs w:val="22"/>
        </w:rPr>
      </w:pPr>
      <w:r>
        <w:rPr>
          <w:b/>
          <w:szCs w:val="22"/>
        </w:rPr>
        <w:t xml:space="preserve">Reply Comment Due: </w:t>
      </w:r>
      <w:r w:rsidR="009D25CE">
        <w:rPr>
          <w:b/>
          <w:szCs w:val="22"/>
        </w:rPr>
        <w:t xml:space="preserve"> </w:t>
      </w:r>
      <w:r w:rsidR="001F7B57">
        <w:rPr>
          <w:b/>
          <w:szCs w:val="22"/>
        </w:rPr>
        <w:t xml:space="preserve">December </w:t>
      </w:r>
      <w:r w:rsidR="00831812">
        <w:rPr>
          <w:b/>
          <w:szCs w:val="22"/>
        </w:rPr>
        <w:t>8,</w:t>
      </w:r>
      <w:r>
        <w:rPr>
          <w:b/>
          <w:szCs w:val="22"/>
        </w:rPr>
        <w:t xml:space="preserve"> 2021</w:t>
      </w:r>
      <w:r w:rsidR="00444548">
        <w:rPr>
          <w:b/>
          <w:szCs w:val="22"/>
        </w:rPr>
        <w:t xml:space="preserve"> </w:t>
      </w:r>
    </w:p>
    <w:bookmarkEnd w:id="1"/>
    <w:p w:rsidR="00760269" w:rsidRPr="005B2105" w:rsidP="00A92C9E" w14:paraId="47DB5BCF" w14:textId="77777777">
      <w:pPr>
        <w:tabs>
          <w:tab w:val="left" w:pos="6221"/>
        </w:tabs>
        <w:autoSpaceDE w:val="0"/>
        <w:autoSpaceDN w:val="0"/>
        <w:adjustRightInd w:val="0"/>
        <w:rPr>
          <w:szCs w:val="22"/>
        </w:rPr>
      </w:pPr>
    </w:p>
    <w:bookmarkEnd w:id="2"/>
    <w:p w:rsidR="00B64BBF" w:rsidP="00EA2ADC" w14:paraId="34098C9A" w14:textId="224219D1">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00AE5D62">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8" w:name="_Hlk88041024"/>
      <w:bookmarkStart w:id="9" w:name="_Hlk73713070"/>
      <w:bookmarkStart w:id="10" w:name="_Hlk67917977"/>
      <w:r w:rsidRPr="00EA2ADC" w:rsidR="00EA2ADC">
        <w:rPr>
          <w:szCs w:val="22"/>
        </w:rPr>
        <w:t>Sterling Family, LLC</w:t>
      </w:r>
      <w:r w:rsidR="002536AD">
        <w:rPr>
          <w:szCs w:val="22"/>
        </w:rPr>
        <w:t xml:space="preserve"> and</w:t>
      </w:r>
      <w:r w:rsidRPr="00EA2ADC" w:rsidR="00EA2ADC">
        <w:rPr>
          <w:szCs w:val="22"/>
        </w:rPr>
        <w:t xml:space="preserve"> Metzger Associates, LLC</w:t>
      </w:r>
      <w:bookmarkEnd w:id="8"/>
      <w:r w:rsidRPr="00EA2ADC" w:rsidR="00EA2ADC">
        <w:rPr>
          <w:szCs w:val="22"/>
        </w:rPr>
        <w:t>, and</w:t>
      </w:r>
      <w:r w:rsidR="00EA2ADC">
        <w:rPr>
          <w:szCs w:val="22"/>
        </w:rPr>
        <w:t xml:space="preserve"> </w:t>
      </w:r>
      <w:r w:rsidRPr="00EA2ADC" w:rsidR="00EA2ADC">
        <w:rPr>
          <w:szCs w:val="22"/>
        </w:rPr>
        <w:t>Worth Telecoms Holdings, LLC (Worth Telecoms</w:t>
      </w:r>
      <w:r>
        <w:rPr>
          <w:szCs w:val="22"/>
        </w:rPr>
        <w:t>)</w:t>
      </w:r>
      <w:r w:rsidRPr="00677101" w:rsidR="00677101">
        <w:rPr>
          <w:rFonts w:ascii="TimesNewRomanPSMT" w:hAnsi="TimesNewRomanPSMT" w:cs="TimesNewRomanPSMT"/>
          <w:sz w:val="24"/>
          <w:szCs w:val="24"/>
        </w:rPr>
        <w:t xml:space="preserve">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 xml:space="preserve">control of </w:t>
      </w:r>
      <w:r w:rsidRPr="00EA2ADC" w:rsidR="00EA2ADC">
        <w:rPr>
          <w:szCs w:val="22"/>
        </w:rPr>
        <w:t>Plant</w:t>
      </w:r>
      <w:r w:rsidR="00EA2ADC">
        <w:rPr>
          <w:szCs w:val="22"/>
        </w:rPr>
        <w:t xml:space="preserve"> </w:t>
      </w:r>
      <w:r w:rsidRPr="00EA2ADC" w:rsidR="00EA2ADC">
        <w:rPr>
          <w:szCs w:val="22"/>
        </w:rPr>
        <w:t>Telephone Company (Plant) and its</w:t>
      </w:r>
      <w:r w:rsidR="00EA2ADC">
        <w:rPr>
          <w:szCs w:val="22"/>
        </w:rPr>
        <w:t xml:space="preserve"> </w:t>
      </w:r>
      <w:r w:rsidRPr="00EA2ADC" w:rsidR="00EA2ADC">
        <w:rPr>
          <w:szCs w:val="22"/>
        </w:rPr>
        <w:t>wholly</w:t>
      </w:r>
      <w:r w:rsidR="00C8523B">
        <w:rPr>
          <w:szCs w:val="22"/>
        </w:rPr>
        <w:t>-</w:t>
      </w:r>
      <w:r w:rsidRPr="00EA2ADC" w:rsidR="00EA2ADC">
        <w:rPr>
          <w:szCs w:val="22"/>
        </w:rPr>
        <w:t>owned subsidiaries</w:t>
      </w:r>
      <w:r w:rsidR="001F7B57">
        <w:rPr>
          <w:szCs w:val="22"/>
        </w:rPr>
        <w:t>,</w:t>
      </w:r>
      <w:r w:rsidRPr="00EA2ADC" w:rsidR="00EA2ADC">
        <w:rPr>
          <w:szCs w:val="22"/>
        </w:rPr>
        <w:t xml:space="preserve"> Plant TiftNet, Inc. (TiftNet)</w:t>
      </w:r>
      <w:r w:rsidR="00EA2ADC">
        <w:rPr>
          <w:szCs w:val="22"/>
        </w:rPr>
        <w:t>,</w:t>
      </w:r>
      <w:r w:rsidRPr="00EA2ADC" w:rsidR="00EA2ADC">
        <w:rPr>
          <w:rFonts w:ascii="TimesNewRomanPSMT" w:hAnsi="TimesNewRomanPSMT" w:cs="TimesNewRomanPSMT"/>
          <w:sz w:val="24"/>
          <w:szCs w:val="24"/>
        </w:rPr>
        <w:t xml:space="preserve"> </w:t>
      </w:r>
      <w:r w:rsidRPr="00EA2ADC" w:rsidR="00EA2ADC">
        <w:rPr>
          <w:szCs w:val="22"/>
        </w:rPr>
        <w:t>Plant Long Distance Company</w:t>
      </w:r>
      <w:r w:rsidR="0079688E">
        <w:rPr>
          <w:szCs w:val="22"/>
        </w:rPr>
        <w:t xml:space="preserve"> </w:t>
      </w:r>
      <w:r w:rsidRPr="00EA2ADC" w:rsidR="00EA2ADC">
        <w:rPr>
          <w:szCs w:val="22"/>
        </w:rPr>
        <w:t>(PLDC), and Plant Telenet, Inc. (Telenet)</w:t>
      </w:r>
      <w:r w:rsidR="001F7B57">
        <w:rPr>
          <w:szCs w:val="22"/>
        </w:rPr>
        <w:t>,</w:t>
      </w:r>
      <w:r w:rsidRPr="00EA2ADC" w:rsidR="00EA2ADC">
        <w:rPr>
          <w:szCs w:val="22"/>
        </w:rPr>
        <w:t xml:space="preserve"> from</w:t>
      </w:r>
      <w:r w:rsidRPr="00AC0E74" w:rsidR="00AC0E74">
        <w:rPr>
          <w:color w:val="262626"/>
          <w:sz w:val="24"/>
          <w:szCs w:val="22"/>
        </w:rPr>
        <w:t xml:space="preserve"> </w:t>
      </w:r>
      <w:r w:rsidRPr="00EA2ADC" w:rsidR="002536AD">
        <w:rPr>
          <w:szCs w:val="22"/>
        </w:rPr>
        <w:t>Sterling Family, LLC</w:t>
      </w:r>
      <w:r w:rsidR="002536AD">
        <w:rPr>
          <w:szCs w:val="22"/>
        </w:rPr>
        <w:t xml:space="preserve"> and</w:t>
      </w:r>
      <w:r w:rsidRPr="00EA2ADC" w:rsidR="002536AD">
        <w:rPr>
          <w:szCs w:val="22"/>
        </w:rPr>
        <w:t xml:space="preserve"> Metzger Associates, LLC </w:t>
      </w:r>
      <w:r w:rsidR="00EA2ADC">
        <w:rPr>
          <w:szCs w:val="22"/>
        </w:rPr>
        <w:t xml:space="preserve">to </w:t>
      </w:r>
      <w:r w:rsidRPr="00EA2ADC" w:rsidR="00EA2ADC">
        <w:rPr>
          <w:szCs w:val="22"/>
        </w:rPr>
        <w:t>Worth Telecoms</w:t>
      </w:r>
      <w:r w:rsidR="00425FAF">
        <w:rPr>
          <w:szCs w:val="22"/>
        </w:rPr>
        <w:t>.</w:t>
      </w:r>
      <w:bookmarkStart w:id="11" w:name="_Hlk72758776"/>
      <w:bookmarkEnd w:id="9"/>
      <w:bookmarkEnd w:id="10"/>
      <w:r>
        <w:rPr>
          <w:rStyle w:val="FootnoteReference"/>
          <w:szCs w:val="22"/>
        </w:rPr>
        <w:footnoteReference w:id="3"/>
      </w:r>
      <w:bookmarkEnd w:id="11"/>
      <w:r w:rsidR="00FF44B1">
        <w:rPr>
          <w:szCs w:val="22"/>
        </w:rPr>
        <w:t xml:space="preserve"> </w:t>
      </w:r>
      <w:r>
        <w:rPr>
          <w:szCs w:val="22"/>
        </w:rPr>
        <w:t xml:space="preserve"> </w:t>
      </w:r>
    </w:p>
    <w:p w:rsidR="001F7B57" w:rsidP="00EA2ADC" w14:paraId="31881FEE" w14:textId="167CDCE4">
      <w:pPr>
        <w:autoSpaceDE w:val="0"/>
        <w:autoSpaceDN w:val="0"/>
        <w:adjustRightInd w:val="0"/>
        <w:spacing w:after="120"/>
        <w:ind w:firstLine="720"/>
        <w:rPr>
          <w:szCs w:val="22"/>
        </w:rPr>
      </w:pPr>
      <w:r w:rsidRPr="00E94D70">
        <w:rPr>
          <w:szCs w:val="22"/>
        </w:rPr>
        <w:t>Plant</w:t>
      </w:r>
      <w:r>
        <w:rPr>
          <w:szCs w:val="22"/>
        </w:rPr>
        <w:t>,</w:t>
      </w:r>
      <w:r w:rsidRPr="00E94D70">
        <w:rPr>
          <w:rFonts w:ascii="TimesNewRomanPSMT" w:hAnsi="TimesNewRomanPSMT" w:cs="TimesNewRomanPSMT"/>
          <w:sz w:val="24"/>
          <w:szCs w:val="24"/>
        </w:rPr>
        <w:t xml:space="preserve"> </w:t>
      </w:r>
      <w:r w:rsidRPr="00E94D70">
        <w:rPr>
          <w:szCs w:val="22"/>
        </w:rPr>
        <w:t>a Georgia corporation</w:t>
      </w:r>
      <w:r>
        <w:rPr>
          <w:szCs w:val="22"/>
        </w:rPr>
        <w:t xml:space="preserve"> and rural incumbent local exchange carrier (LEC), serves approximately 5,490 access lines in </w:t>
      </w:r>
      <w:r w:rsidRPr="00E94D70">
        <w:rPr>
          <w:szCs w:val="22"/>
        </w:rPr>
        <w:t>portions of</w:t>
      </w:r>
      <w:r w:rsidR="00730F00">
        <w:rPr>
          <w:szCs w:val="22"/>
        </w:rPr>
        <w:t xml:space="preserve"> </w:t>
      </w:r>
      <w:r w:rsidR="00355AF3">
        <w:rPr>
          <w:szCs w:val="22"/>
        </w:rPr>
        <w:t xml:space="preserve">the following </w:t>
      </w:r>
      <w:r w:rsidRPr="00E94D70">
        <w:rPr>
          <w:szCs w:val="22"/>
        </w:rPr>
        <w:t>counties in south central Georgia:</w:t>
      </w:r>
      <w:r w:rsidR="000E157E">
        <w:rPr>
          <w:szCs w:val="22"/>
        </w:rPr>
        <w:t xml:space="preserve"> </w:t>
      </w:r>
      <w:r w:rsidRPr="00E94D70">
        <w:rPr>
          <w:szCs w:val="22"/>
        </w:rPr>
        <w:t xml:space="preserve"> Atkinson, Colquitt, Cook,</w:t>
      </w:r>
      <w:r>
        <w:rPr>
          <w:szCs w:val="22"/>
        </w:rPr>
        <w:t xml:space="preserve"> </w:t>
      </w:r>
      <w:r w:rsidRPr="00E94D70">
        <w:rPr>
          <w:szCs w:val="22"/>
        </w:rPr>
        <w:t xml:space="preserve">Crisp, Dooly, Emanuel, Laurens, Montgomery, </w:t>
      </w:r>
      <w:r w:rsidR="00730F00">
        <w:rPr>
          <w:szCs w:val="22"/>
        </w:rPr>
        <w:t xml:space="preserve">Tift, </w:t>
      </w:r>
      <w:r w:rsidRPr="00E94D70">
        <w:rPr>
          <w:szCs w:val="22"/>
        </w:rPr>
        <w:t>Treutlen, Turner, and Worth.</w:t>
      </w:r>
      <w:r>
        <w:rPr>
          <w:rStyle w:val="FootnoteReference"/>
          <w:szCs w:val="22"/>
        </w:rPr>
        <w:footnoteReference w:id="4"/>
      </w:r>
      <w:r w:rsidRPr="00E94D70">
        <w:rPr>
          <w:szCs w:val="22"/>
        </w:rPr>
        <w:t xml:space="preserve"> </w:t>
      </w:r>
      <w:r>
        <w:rPr>
          <w:szCs w:val="22"/>
        </w:rPr>
        <w:t xml:space="preserve"> </w:t>
      </w:r>
      <w:r w:rsidRPr="00E94D70">
        <w:rPr>
          <w:szCs w:val="22"/>
        </w:rPr>
        <w:t>Telenet, PLDC</w:t>
      </w:r>
      <w:r w:rsidR="00231028">
        <w:rPr>
          <w:szCs w:val="22"/>
        </w:rPr>
        <w:t>,</w:t>
      </w:r>
      <w:r w:rsidRPr="00E94D70">
        <w:rPr>
          <w:szCs w:val="22"/>
        </w:rPr>
        <w:t xml:space="preserve"> and TiftNet are also Georgia corporations.</w:t>
      </w:r>
      <w:r>
        <w:rPr>
          <w:rStyle w:val="FootnoteReference"/>
          <w:szCs w:val="22"/>
        </w:rPr>
        <w:footnoteReference w:id="5"/>
      </w:r>
      <w:r w:rsidRPr="00E94D70">
        <w:rPr>
          <w:szCs w:val="22"/>
        </w:rPr>
        <w:t xml:space="preserve"> </w:t>
      </w:r>
      <w:r>
        <w:rPr>
          <w:szCs w:val="22"/>
        </w:rPr>
        <w:t xml:space="preserve"> </w:t>
      </w:r>
      <w:r w:rsidRPr="00E94D70" w:rsidR="007F3556">
        <w:rPr>
          <w:szCs w:val="22"/>
        </w:rPr>
        <w:t xml:space="preserve">Telenet is a </w:t>
      </w:r>
      <w:r w:rsidR="007F3556">
        <w:rPr>
          <w:szCs w:val="22"/>
        </w:rPr>
        <w:t>competitive LEC</w:t>
      </w:r>
      <w:r w:rsidRPr="00E94D70" w:rsidR="007F3556">
        <w:rPr>
          <w:szCs w:val="22"/>
        </w:rPr>
        <w:t xml:space="preserve"> and provides its service</w:t>
      </w:r>
      <w:r w:rsidR="007F3556">
        <w:rPr>
          <w:szCs w:val="22"/>
        </w:rPr>
        <w:t xml:space="preserve"> </w:t>
      </w:r>
      <w:r w:rsidRPr="00E94D70" w:rsidR="007F3556">
        <w:rPr>
          <w:szCs w:val="22"/>
        </w:rPr>
        <w:t>outside of the service area of Plant.</w:t>
      </w:r>
      <w:r>
        <w:rPr>
          <w:rStyle w:val="FootnoteReference"/>
          <w:szCs w:val="22"/>
        </w:rPr>
        <w:footnoteReference w:id="6"/>
      </w:r>
      <w:r w:rsidR="007F3556">
        <w:rPr>
          <w:szCs w:val="22"/>
        </w:rPr>
        <w:t xml:space="preserve">  </w:t>
      </w:r>
      <w:r w:rsidRPr="00E94D70">
        <w:rPr>
          <w:szCs w:val="22"/>
        </w:rPr>
        <w:t>PLDC is a reseller of long</w:t>
      </w:r>
      <w:r w:rsidR="000E157E">
        <w:rPr>
          <w:szCs w:val="22"/>
        </w:rPr>
        <w:t xml:space="preserve"> </w:t>
      </w:r>
      <w:r w:rsidRPr="00E94D70">
        <w:rPr>
          <w:szCs w:val="22"/>
        </w:rPr>
        <w:t>distance services operating in and around the</w:t>
      </w:r>
      <w:r>
        <w:rPr>
          <w:szCs w:val="22"/>
        </w:rPr>
        <w:t xml:space="preserve"> </w:t>
      </w:r>
      <w:r w:rsidRPr="00E94D70">
        <w:rPr>
          <w:szCs w:val="22"/>
        </w:rPr>
        <w:t>service area of Plant.</w:t>
      </w:r>
      <w:r>
        <w:rPr>
          <w:rStyle w:val="FootnoteReference"/>
          <w:szCs w:val="22"/>
        </w:rPr>
        <w:footnoteReference w:id="7"/>
      </w:r>
      <w:r w:rsidRPr="00E94D70">
        <w:rPr>
          <w:szCs w:val="22"/>
        </w:rPr>
        <w:t xml:space="preserve"> </w:t>
      </w:r>
      <w:r>
        <w:rPr>
          <w:szCs w:val="22"/>
        </w:rPr>
        <w:t xml:space="preserve"> </w:t>
      </w:r>
      <w:r w:rsidRPr="00E94D70">
        <w:rPr>
          <w:szCs w:val="22"/>
        </w:rPr>
        <w:t>TiftNet is a</w:t>
      </w:r>
      <w:r w:rsidR="002536AD">
        <w:rPr>
          <w:szCs w:val="22"/>
        </w:rPr>
        <w:t xml:space="preserve"> </w:t>
      </w:r>
      <w:r w:rsidRPr="00E94D70">
        <w:rPr>
          <w:szCs w:val="22"/>
        </w:rPr>
        <w:t xml:space="preserve">provider in Tifton, Georgia, </w:t>
      </w:r>
      <w:r w:rsidR="002536AD">
        <w:rPr>
          <w:szCs w:val="22"/>
        </w:rPr>
        <w:t xml:space="preserve">offering </w:t>
      </w:r>
      <w:r w:rsidRPr="00E94D70">
        <w:rPr>
          <w:szCs w:val="22"/>
        </w:rPr>
        <w:t>cable television service and Vo</w:t>
      </w:r>
      <w:r>
        <w:rPr>
          <w:szCs w:val="22"/>
        </w:rPr>
        <w:t xml:space="preserve">ice over Internet </w:t>
      </w:r>
      <w:r w:rsidR="00831812">
        <w:rPr>
          <w:szCs w:val="22"/>
        </w:rPr>
        <w:t>P</w:t>
      </w:r>
      <w:r>
        <w:rPr>
          <w:szCs w:val="22"/>
        </w:rPr>
        <w:t xml:space="preserve">rotocol (VoIP) </w:t>
      </w:r>
      <w:r w:rsidRPr="00E94D70">
        <w:rPr>
          <w:szCs w:val="22"/>
        </w:rPr>
        <w:t>services.</w:t>
      </w:r>
      <w:r>
        <w:rPr>
          <w:rStyle w:val="FootnoteReference"/>
          <w:szCs w:val="22"/>
        </w:rPr>
        <w:footnoteReference w:id="8"/>
      </w:r>
      <w:r w:rsidRPr="00E94D70">
        <w:rPr>
          <w:szCs w:val="22"/>
        </w:rPr>
        <w:t xml:space="preserve"> </w:t>
      </w:r>
      <w:r>
        <w:rPr>
          <w:szCs w:val="22"/>
        </w:rPr>
        <w:t xml:space="preserve"> </w:t>
      </w:r>
      <w:r w:rsidRPr="00E94D70">
        <w:rPr>
          <w:szCs w:val="22"/>
        </w:rPr>
        <w:t>TiftNet services are provided in an area outside of the service area of</w:t>
      </w:r>
      <w:r>
        <w:rPr>
          <w:szCs w:val="22"/>
        </w:rPr>
        <w:t xml:space="preserve"> Plant</w:t>
      </w:r>
      <w:r w:rsidRPr="00E94D70">
        <w:rPr>
          <w:szCs w:val="22"/>
        </w:rPr>
        <w:t>.</w:t>
      </w:r>
      <w:r>
        <w:rPr>
          <w:rStyle w:val="FootnoteReference"/>
          <w:szCs w:val="22"/>
        </w:rPr>
        <w:footnoteReference w:id="9"/>
      </w:r>
      <w:r>
        <w:rPr>
          <w:szCs w:val="22"/>
        </w:rPr>
        <w:t xml:space="preserve">  </w:t>
      </w:r>
    </w:p>
    <w:p w:rsidR="00801446" w:rsidP="00E94D70" w14:paraId="33B94DD8" w14:textId="344ABC5B">
      <w:pPr>
        <w:autoSpaceDE w:val="0"/>
        <w:autoSpaceDN w:val="0"/>
        <w:adjustRightInd w:val="0"/>
        <w:spacing w:after="120"/>
        <w:ind w:firstLine="720"/>
        <w:rPr>
          <w:szCs w:val="22"/>
        </w:rPr>
      </w:pPr>
      <w:r w:rsidRPr="00E94D70">
        <w:rPr>
          <w:szCs w:val="22"/>
        </w:rPr>
        <w:t>Worth Telecoms, a Delaware limited liability company, is a wholly</w:t>
      </w:r>
      <w:r w:rsidR="007F3556">
        <w:rPr>
          <w:szCs w:val="22"/>
        </w:rPr>
        <w:t>-</w:t>
      </w:r>
      <w:r w:rsidRPr="00E94D70">
        <w:rPr>
          <w:szCs w:val="22"/>
        </w:rPr>
        <w:t>owned subsidiary of</w:t>
      </w:r>
      <w:r>
        <w:rPr>
          <w:szCs w:val="22"/>
        </w:rPr>
        <w:t xml:space="preserve"> </w:t>
      </w:r>
      <w:r w:rsidRPr="00E94D70">
        <w:rPr>
          <w:szCs w:val="22"/>
        </w:rPr>
        <w:t>TruVista Communications, Inc.</w:t>
      </w:r>
      <w:r w:rsidR="00B841B9">
        <w:rPr>
          <w:szCs w:val="22"/>
        </w:rPr>
        <w:t xml:space="preserve"> (TruVista)</w:t>
      </w:r>
      <w:r w:rsidRPr="00E94D70">
        <w:rPr>
          <w:szCs w:val="22"/>
        </w:rPr>
        <w:t>, a South Carolina corporation</w:t>
      </w:r>
      <w:r w:rsidR="006F60CC">
        <w:rPr>
          <w:szCs w:val="22"/>
        </w:rPr>
        <w:t xml:space="preserve"> and telecommunications provider</w:t>
      </w:r>
      <w:r w:rsidRPr="00E94D70">
        <w:rPr>
          <w:szCs w:val="22"/>
        </w:rPr>
        <w:t>.</w:t>
      </w:r>
      <w:r>
        <w:rPr>
          <w:rStyle w:val="FootnoteReference"/>
          <w:szCs w:val="22"/>
        </w:rPr>
        <w:footnoteReference w:id="10"/>
      </w:r>
      <w:r>
        <w:rPr>
          <w:szCs w:val="22"/>
        </w:rPr>
        <w:t xml:space="preserve">  </w:t>
      </w:r>
      <w:r>
        <w:rPr>
          <w:szCs w:val="22"/>
        </w:rPr>
        <w:t>TruVista is an incumbent LEC in South Carolina, and is affiliated with the following providers:  Lockhart Telephone Company and Ridgeway Telephone Company, both incumbent LECs in South Carolina; TruVista Communications of Georgia, a competitive LEC in several counties in northeastern Georgia; Fairfield Communications, a competitive LEC in South Carolina</w:t>
      </w:r>
      <w:r w:rsidR="007F3556">
        <w:rPr>
          <w:szCs w:val="22"/>
        </w:rPr>
        <w:t>;</w:t>
      </w:r>
      <w:r>
        <w:rPr>
          <w:szCs w:val="22"/>
        </w:rPr>
        <w:t xml:space="preserve"> and Camden Corporate Investments and Chester Long Distance Services, </w:t>
      </w:r>
      <w:r w:rsidR="00831812">
        <w:rPr>
          <w:szCs w:val="22"/>
        </w:rPr>
        <w:t xml:space="preserve">both </w:t>
      </w:r>
      <w:r>
        <w:rPr>
          <w:szCs w:val="22"/>
        </w:rPr>
        <w:t>Internet and voice providers in South Carolina.</w:t>
      </w:r>
      <w:r w:rsidRPr="00801446">
        <w:rPr>
          <w:rStyle w:val="FootnoteReference"/>
          <w:szCs w:val="22"/>
        </w:rPr>
        <w:t xml:space="preserve"> </w:t>
      </w:r>
      <w:r>
        <w:rPr>
          <w:rStyle w:val="FootnoteReference"/>
          <w:szCs w:val="22"/>
        </w:rPr>
        <w:footnoteReference w:id="11"/>
      </w:r>
      <w:r>
        <w:rPr>
          <w:szCs w:val="22"/>
        </w:rPr>
        <w:t xml:space="preserve">  Applicants state that the Georgia service areas of TruVista and Plant </w:t>
      </w:r>
      <w:r w:rsidR="00F33BE0">
        <w:rPr>
          <w:szCs w:val="22"/>
        </w:rPr>
        <w:t xml:space="preserve">are </w:t>
      </w:r>
      <w:r w:rsidR="007F3556">
        <w:rPr>
          <w:szCs w:val="22"/>
        </w:rPr>
        <w:t>neither</w:t>
      </w:r>
      <w:r>
        <w:rPr>
          <w:szCs w:val="22"/>
        </w:rPr>
        <w:t xml:space="preserve"> overlapping </w:t>
      </w:r>
      <w:r w:rsidR="007F3556">
        <w:rPr>
          <w:szCs w:val="22"/>
        </w:rPr>
        <w:t>n</w:t>
      </w:r>
      <w:r>
        <w:rPr>
          <w:szCs w:val="22"/>
        </w:rPr>
        <w:t>or adjacent.</w:t>
      </w:r>
      <w:r>
        <w:rPr>
          <w:rStyle w:val="FootnoteReference"/>
          <w:szCs w:val="22"/>
        </w:rPr>
        <w:footnoteReference w:id="12"/>
      </w:r>
    </w:p>
    <w:p w:rsidR="00E94D70" w:rsidP="00E94D70" w14:paraId="096AF0A5" w14:textId="35ED9EB5">
      <w:pPr>
        <w:autoSpaceDE w:val="0"/>
        <w:autoSpaceDN w:val="0"/>
        <w:adjustRightInd w:val="0"/>
        <w:spacing w:after="120"/>
        <w:ind w:firstLine="720"/>
        <w:rPr>
          <w:szCs w:val="22"/>
        </w:rPr>
      </w:pPr>
      <w:r w:rsidRPr="00E94D70">
        <w:rPr>
          <w:szCs w:val="22"/>
        </w:rPr>
        <w:t>TruVista</w:t>
      </w:r>
      <w:r w:rsidR="00B841B9">
        <w:rPr>
          <w:szCs w:val="22"/>
        </w:rPr>
        <w:t xml:space="preserve">, </w:t>
      </w:r>
      <w:r w:rsidRPr="00E94D70">
        <w:rPr>
          <w:szCs w:val="22"/>
        </w:rPr>
        <w:t>a wholly</w:t>
      </w:r>
      <w:r w:rsidR="007F3556">
        <w:rPr>
          <w:szCs w:val="22"/>
        </w:rPr>
        <w:t>-</w:t>
      </w:r>
      <w:r w:rsidRPr="00E94D70">
        <w:rPr>
          <w:szCs w:val="22"/>
        </w:rPr>
        <w:t>owned subsidiary of York Telecoms Holdings US L.P.</w:t>
      </w:r>
      <w:r>
        <w:rPr>
          <w:szCs w:val="22"/>
        </w:rPr>
        <w:t xml:space="preserve"> </w:t>
      </w:r>
      <w:r w:rsidRPr="00E94D70">
        <w:rPr>
          <w:szCs w:val="22"/>
        </w:rPr>
        <w:t>(York), is an indirect subsidiary of iCON Infrastructure Partners IV (US AIV), L.P.</w:t>
      </w:r>
      <w:r w:rsidR="00B841B9">
        <w:rPr>
          <w:szCs w:val="22"/>
        </w:rPr>
        <w:t xml:space="preserve"> (iCon AIV), </w:t>
      </w:r>
      <w:r w:rsidRPr="00E94D70">
        <w:rPr>
          <w:szCs w:val="22"/>
        </w:rPr>
        <w:t>an</w:t>
      </w:r>
      <w:r>
        <w:rPr>
          <w:szCs w:val="22"/>
        </w:rPr>
        <w:t xml:space="preserve"> </w:t>
      </w:r>
      <w:r w:rsidRPr="00E94D70">
        <w:rPr>
          <w:szCs w:val="22"/>
        </w:rPr>
        <w:t xml:space="preserve">investment vehicle </w:t>
      </w:r>
      <w:r w:rsidR="00B841B9">
        <w:rPr>
          <w:szCs w:val="22"/>
        </w:rPr>
        <w:t xml:space="preserve">with England and </w:t>
      </w:r>
      <w:r w:rsidR="007920AC">
        <w:rPr>
          <w:szCs w:val="22"/>
        </w:rPr>
        <w:t>W</w:t>
      </w:r>
      <w:r w:rsidR="00B841B9">
        <w:rPr>
          <w:szCs w:val="22"/>
        </w:rPr>
        <w:t>ales citizenship</w:t>
      </w:r>
      <w:r w:rsidR="007920AC">
        <w:rPr>
          <w:szCs w:val="22"/>
        </w:rPr>
        <w:t xml:space="preserve">, and </w:t>
      </w:r>
      <w:r w:rsidR="006A20C5">
        <w:rPr>
          <w:szCs w:val="22"/>
        </w:rPr>
        <w:t xml:space="preserve">an </w:t>
      </w:r>
      <w:r w:rsidR="007920AC">
        <w:rPr>
          <w:szCs w:val="22"/>
        </w:rPr>
        <w:t xml:space="preserve">indirect subsidiary of iCon infrastructure LLP, </w:t>
      </w:r>
      <w:r w:rsidR="00851DBA">
        <w:rPr>
          <w:szCs w:val="22"/>
        </w:rPr>
        <w:t xml:space="preserve">(iCon Parent), </w:t>
      </w:r>
      <w:r w:rsidR="007920AC">
        <w:rPr>
          <w:szCs w:val="22"/>
        </w:rPr>
        <w:t>a United Kingdom entity (iCon Parent</w:t>
      </w:r>
      <w:r w:rsidR="00851DBA">
        <w:rPr>
          <w:szCs w:val="22"/>
        </w:rPr>
        <w:t xml:space="preserve">, </w:t>
      </w:r>
      <w:r w:rsidR="007920AC">
        <w:rPr>
          <w:szCs w:val="22"/>
        </w:rPr>
        <w:t>together with affiliated funds, the iCon IV Fund).</w:t>
      </w:r>
      <w:r>
        <w:rPr>
          <w:rStyle w:val="FootnoteReference"/>
          <w:szCs w:val="22"/>
        </w:rPr>
        <w:footnoteReference w:id="13"/>
      </w:r>
      <w:r w:rsidR="007920AC">
        <w:rPr>
          <w:szCs w:val="22"/>
        </w:rPr>
        <w:t xml:space="preserve">  </w:t>
      </w:r>
      <w:r w:rsidR="00B841B9">
        <w:rPr>
          <w:szCs w:val="22"/>
        </w:rPr>
        <w:t xml:space="preserve">iCon Infrastructure </w:t>
      </w:r>
      <w:r w:rsidR="007920AC">
        <w:rPr>
          <w:szCs w:val="22"/>
        </w:rPr>
        <w:t>P</w:t>
      </w:r>
      <w:r w:rsidR="00B841B9">
        <w:rPr>
          <w:szCs w:val="22"/>
        </w:rPr>
        <w:t>artners IV (US AIV-A), L.P. (iCon AIV-A), a Guernsey</w:t>
      </w:r>
      <w:r w:rsidR="007920AC">
        <w:rPr>
          <w:szCs w:val="22"/>
        </w:rPr>
        <w:t xml:space="preserve"> </w:t>
      </w:r>
      <w:r w:rsidR="00B841B9">
        <w:rPr>
          <w:szCs w:val="22"/>
        </w:rPr>
        <w:t>entity, holds an approximate 45% limited</w:t>
      </w:r>
      <w:r w:rsidR="007920AC">
        <w:rPr>
          <w:szCs w:val="22"/>
        </w:rPr>
        <w:t xml:space="preserve"> </w:t>
      </w:r>
      <w:r w:rsidR="00B841B9">
        <w:rPr>
          <w:szCs w:val="22"/>
        </w:rPr>
        <w:t>partner inte</w:t>
      </w:r>
      <w:r w:rsidR="007920AC">
        <w:rPr>
          <w:szCs w:val="22"/>
        </w:rPr>
        <w:t>re</w:t>
      </w:r>
      <w:r w:rsidR="00B841B9">
        <w:rPr>
          <w:szCs w:val="22"/>
        </w:rPr>
        <w:t>st in iCon AIV</w:t>
      </w:r>
      <w:r w:rsidR="007920AC">
        <w:rPr>
          <w:szCs w:val="22"/>
        </w:rPr>
        <w:t xml:space="preserve">, and iCon Infrastructure Management IV Limited (iCon IV GP), a Guernsey entity, hold a 100% voting interest in </w:t>
      </w:r>
      <w:r w:rsidR="00B841B9">
        <w:rPr>
          <w:szCs w:val="22"/>
        </w:rPr>
        <w:t xml:space="preserve">iCon AIV </w:t>
      </w:r>
      <w:r w:rsidR="007920AC">
        <w:rPr>
          <w:szCs w:val="22"/>
        </w:rPr>
        <w:t>as the general partner of iCon AIV and iCon AIV-A.</w:t>
      </w:r>
      <w:r>
        <w:rPr>
          <w:rStyle w:val="FootnoteReference"/>
          <w:szCs w:val="22"/>
        </w:rPr>
        <w:footnoteReference w:id="14"/>
      </w:r>
      <w:r w:rsidR="007920AC">
        <w:rPr>
          <w:szCs w:val="22"/>
        </w:rPr>
        <w:t xml:space="preserve">  The remaining approximate 55% interest in iCon AIV is held by the passive limited partner investors in the iCon IV Fund.</w:t>
      </w:r>
      <w:r>
        <w:rPr>
          <w:rStyle w:val="FootnoteReference"/>
          <w:szCs w:val="22"/>
        </w:rPr>
        <w:footnoteReference w:id="15"/>
      </w:r>
      <w:r w:rsidR="007920AC">
        <w:rPr>
          <w:szCs w:val="22"/>
        </w:rPr>
        <w:t xml:space="preserve">  </w:t>
      </w:r>
      <w:r w:rsidR="00DE5CD4">
        <w:rPr>
          <w:szCs w:val="22"/>
        </w:rPr>
        <w:t>T</w:t>
      </w:r>
      <w:r w:rsidR="007920AC">
        <w:rPr>
          <w:szCs w:val="22"/>
        </w:rPr>
        <w:t>he following individual</w:t>
      </w:r>
      <w:r w:rsidR="00851DBA">
        <w:rPr>
          <w:szCs w:val="22"/>
        </w:rPr>
        <w:t>s</w:t>
      </w:r>
      <w:r w:rsidR="007920AC">
        <w:rPr>
          <w:szCs w:val="22"/>
        </w:rPr>
        <w:t xml:space="preserve"> </w:t>
      </w:r>
      <w:r w:rsidR="00DE5CD4">
        <w:rPr>
          <w:szCs w:val="22"/>
        </w:rPr>
        <w:t xml:space="preserve">hold </w:t>
      </w:r>
      <w:r w:rsidR="007920AC">
        <w:rPr>
          <w:szCs w:val="22"/>
        </w:rPr>
        <w:t xml:space="preserve">a 10% </w:t>
      </w:r>
      <w:r w:rsidR="00851DBA">
        <w:rPr>
          <w:szCs w:val="22"/>
        </w:rPr>
        <w:t>or g</w:t>
      </w:r>
      <w:r w:rsidR="007920AC">
        <w:rPr>
          <w:szCs w:val="22"/>
        </w:rPr>
        <w:t>reater</w:t>
      </w:r>
      <w:r w:rsidR="00851DBA">
        <w:rPr>
          <w:szCs w:val="22"/>
        </w:rPr>
        <w:t xml:space="preserve"> </w:t>
      </w:r>
      <w:r w:rsidR="007920AC">
        <w:rPr>
          <w:szCs w:val="22"/>
        </w:rPr>
        <w:t>interest in iCon Parent:  Daniel Michael Agostino (11.066%</w:t>
      </w:r>
      <w:r w:rsidR="00DC4DD5">
        <w:rPr>
          <w:szCs w:val="22"/>
        </w:rPr>
        <w:t xml:space="preserve"> equity and </w:t>
      </w:r>
      <w:r w:rsidR="007920AC">
        <w:rPr>
          <w:szCs w:val="22"/>
        </w:rPr>
        <w:t>7.377% voting); Paul Richard Malan (39.747%</w:t>
      </w:r>
      <w:r w:rsidR="00DC4DD5">
        <w:rPr>
          <w:szCs w:val="22"/>
        </w:rPr>
        <w:t xml:space="preserve"> equity and </w:t>
      </w:r>
      <w:r w:rsidR="007920AC">
        <w:rPr>
          <w:szCs w:val="22"/>
        </w:rPr>
        <w:t xml:space="preserve">59.831% voting); </w:t>
      </w:r>
      <w:r w:rsidR="00DE5CD4">
        <w:rPr>
          <w:szCs w:val="22"/>
        </w:rPr>
        <w:t xml:space="preserve">and </w:t>
      </w:r>
      <w:r w:rsidR="00851DBA">
        <w:rPr>
          <w:szCs w:val="22"/>
        </w:rPr>
        <w:t>I</w:t>
      </w:r>
      <w:r w:rsidR="007920AC">
        <w:rPr>
          <w:szCs w:val="22"/>
        </w:rPr>
        <w:t>ain Ross Macleod (19.913%</w:t>
      </w:r>
      <w:r w:rsidR="00DC4DD5">
        <w:rPr>
          <w:szCs w:val="22"/>
        </w:rPr>
        <w:t xml:space="preserve"> equity and </w:t>
      </w:r>
      <w:r w:rsidR="007920AC">
        <w:rPr>
          <w:szCs w:val="22"/>
        </w:rPr>
        <w:t>13.276% v</w:t>
      </w:r>
      <w:r w:rsidR="00851DBA">
        <w:rPr>
          <w:szCs w:val="22"/>
        </w:rPr>
        <w:t>oting</w:t>
      </w:r>
      <w:r w:rsidR="007920AC">
        <w:rPr>
          <w:szCs w:val="22"/>
        </w:rPr>
        <w:t>).</w:t>
      </w:r>
      <w:r>
        <w:rPr>
          <w:rStyle w:val="FootnoteReference"/>
          <w:szCs w:val="22"/>
        </w:rPr>
        <w:footnoteReference w:id="16"/>
      </w:r>
      <w:r w:rsidR="007920AC">
        <w:rPr>
          <w:szCs w:val="22"/>
        </w:rPr>
        <w:t xml:space="preserve">  </w:t>
      </w:r>
    </w:p>
    <w:p w:rsidR="00A0487D" w:rsidP="00A0487D" w14:paraId="5E92B9C4" w14:textId="77EE692E">
      <w:pPr>
        <w:autoSpaceDE w:val="0"/>
        <w:autoSpaceDN w:val="0"/>
        <w:adjustRightInd w:val="0"/>
        <w:spacing w:after="120"/>
        <w:ind w:firstLine="720"/>
        <w:rPr>
          <w:szCs w:val="22"/>
        </w:rPr>
      </w:pPr>
      <w:r w:rsidRPr="00420C60">
        <w:rPr>
          <w:szCs w:val="22"/>
        </w:rPr>
        <w:t xml:space="preserve">Pursuant to the terms </w:t>
      </w:r>
      <w:r w:rsidRPr="00420C60" w:rsidR="007B035D">
        <w:rPr>
          <w:szCs w:val="22"/>
        </w:rPr>
        <w:t xml:space="preserve">of </w:t>
      </w:r>
      <w:r w:rsidRPr="00420C60">
        <w:rPr>
          <w:szCs w:val="22"/>
        </w:rPr>
        <w:t>the proposed transaction,</w:t>
      </w:r>
      <w:r>
        <w:rPr>
          <w:szCs w:val="22"/>
        </w:rPr>
        <w:t xml:space="preserve"> </w:t>
      </w:r>
      <w:r w:rsidRPr="00A0487D">
        <w:rPr>
          <w:szCs w:val="22"/>
        </w:rPr>
        <w:t>Worth Telecoms will acquire all of the outstanding equity interests in Plant.</w:t>
      </w:r>
      <w:r>
        <w:rPr>
          <w:rStyle w:val="FootnoteReference"/>
          <w:szCs w:val="22"/>
        </w:rPr>
        <w:footnoteReference w:id="17"/>
      </w:r>
      <w:r>
        <w:rPr>
          <w:szCs w:val="22"/>
        </w:rPr>
        <w:t xml:space="preserve">  </w:t>
      </w:r>
      <w:r w:rsidRPr="00A0487D">
        <w:rPr>
          <w:szCs w:val="22"/>
        </w:rPr>
        <w:t>As a result, Plant will become a direct, wholly</w:t>
      </w:r>
      <w:r w:rsidR="00DC4DD5">
        <w:rPr>
          <w:szCs w:val="22"/>
        </w:rPr>
        <w:t>-</w:t>
      </w:r>
      <w:r w:rsidRPr="00A0487D">
        <w:rPr>
          <w:szCs w:val="22"/>
        </w:rPr>
        <w:t>owned</w:t>
      </w:r>
      <w:r>
        <w:rPr>
          <w:szCs w:val="22"/>
        </w:rPr>
        <w:t xml:space="preserve"> </w:t>
      </w:r>
      <w:r w:rsidRPr="00A0487D">
        <w:rPr>
          <w:szCs w:val="22"/>
        </w:rPr>
        <w:t>subsidiary of Worth Telecoms.</w:t>
      </w:r>
      <w:r>
        <w:rPr>
          <w:rStyle w:val="FootnoteReference"/>
          <w:szCs w:val="22"/>
        </w:rPr>
        <w:footnoteReference w:id="18"/>
      </w:r>
      <w:r>
        <w:rPr>
          <w:szCs w:val="22"/>
        </w:rPr>
        <w:t xml:space="preserve">  </w:t>
      </w:r>
      <w:r w:rsidRPr="00A0487D">
        <w:rPr>
          <w:szCs w:val="22"/>
        </w:rPr>
        <w:t>TiftNet, PLDC,</w:t>
      </w:r>
      <w:r>
        <w:rPr>
          <w:szCs w:val="22"/>
        </w:rPr>
        <w:t xml:space="preserve"> </w:t>
      </w:r>
      <w:r w:rsidRPr="00A0487D">
        <w:rPr>
          <w:szCs w:val="22"/>
        </w:rPr>
        <w:t>and Telenet will remain subsidiaries of Plant and, therefore, will become indirect subsidiaries of</w:t>
      </w:r>
      <w:r>
        <w:rPr>
          <w:szCs w:val="22"/>
        </w:rPr>
        <w:t xml:space="preserve"> </w:t>
      </w:r>
      <w:r w:rsidRPr="00A0487D">
        <w:rPr>
          <w:szCs w:val="22"/>
        </w:rPr>
        <w:t>Worth Telecoms.</w:t>
      </w:r>
      <w:r>
        <w:rPr>
          <w:rStyle w:val="FootnoteReference"/>
          <w:szCs w:val="22"/>
        </w:rPr>
        <w:footnoteReference w:id="19"/>
      </w:r>
    </w:p>
    <w:p w:rsidR="006A20C5" w:rsidP="00A0487D" w14:paraId="1D2AA2FA" w14:textId="5A96EB01">
      <w:pPr>
        <w:autoSpaceDE w:val="0"/>
        <w:autoSpaceDN w:val="0"/>
        <w:adjustRightInd w:val="0"/>
        <w:spacing w:after="120"/>
        <w:ind w:firstLine="720"/>
        <w:rPr>
          <w:bCs/>
          <w:szCs w:val="22"/>
        </w:rPr>
      </w:pPr>
      <w:r w:rsidRPr="00B766F5">
        <w:rPr>
          <w:szCs w:val="22"/>
        </w:rPr>
        <w:t>Applicants</w:t>
      </w:r>
      <w:r w:rsidRPr="00B766F5">
        <w:rPr>
          <w:bCs/>
          <w:szCs w:val="22"/>
        </w:rPr>
        <w:t xml:space="preserve"> assert that a grant of the application would</w:t>
      </w:r>
      <w:r w:rsidR="000D371E">
        <w:rPr>
          <w:bCs/>
          <w:szCs w:val="22"/>
        </w:rPr>
        <w:t xml:space="preserve"> </w:t>
      </w:r>
      <w:r w:rsidRPr="00B766F5">
        <w:rPr>
          <w:bCs/>
          <w:szCs w:val="22"/>
        </w:rPr>
        <w:t>serve the public interest, convenience, and necessity.</w:t>
      </w:r>
      <w:r>
        <w:rPr>
          <w:rStyle w:val="FootnoteReference"/>
          <w:bCs/>
          <w:szCs w:val="22"/>
        </w:rPr>
        <w:footnoteReference w:id="20"/>
      </w:r>
      <w:r w:rsidRPr="00B766F5">
        <w:rPr>
          <w:bCs/>
          <w:szCs w:val="22"/>
        </w:rPr>
        <w:t xml:space="preserve"> </w:t>
      </w:r>
      <w:r w:rsidR="00A23622">
        <w:rPr>
          <w:bCs/>
          <w:szCs w:val="22"/>
        </w:rPr>
        <w:t xml:space="preserve"> </w:t>
      </w:r>
      <w:r w:rsidR="001D4D01">
        <w:rPr>
          <w:bCs/>
          <w:szCs w:val="22"/>
        </w:rPr>
        <w:t xml:space="preserve">They state that Worth </w:t>
      </w:r>
      <w:r w:rsidR="002536AD">
        <w:rPr>
          <w:bCs/>
          <w:szCs w:val="22"/>
        </w:rPr>
        <w:t>T</w:t>
      </w:r>
      <w:r w:rsidR="001D4D01">
        <w:rPr>
          <w:bCs/>
          <w:szCs w:val="22"/>
        </w:rPr>
        <w:t>elecoms anticipates that the proposed transaction will result in “substantial capital investments in Plant by TruVista, with the goal of continuing to advance Plant’s network migration to an upgraded fiber-based infrastructure provider,”</w:t>
      </w:r>
      <w:r>
        <w:rPr>
          <w:rStyle w:val="FootnoteReference"/>
          <w:bCs/>
          <w:szCs w:val="22"/>
        </w:rPr>
        <w:footnoteReference w:id="21"/>
      </w:r>
      <w:r w:rsidR="001D4D01">
        <w:rPr>
          <w:bCs/>
          <w:szCs w:val="22"/>
        </w:rPr>
        <w:t xml:space="preserve"> and that Plant’s customers will have access to services under the same terms and conditions as they currently receive and will have access to upgraded services.</w:t>
      </w:r>
      <w:r>
        <w:rPr>
          <w:rStyle w:val="FootnoteReference"/>
          <w:bCs/>
          <w:szCs w:val="22"/>
        </w:rPr>
        <w:footnoteReference w:id="22"/>
      </w:r>
      <w:r w:rsidR="001D4D01">
        <w:rPr>
          <w:bCs/>
          <w:szCs w:val="22"/>
        </w:rPr>
        <w:t xml:space="preserve">  </w:t>
      </w:r>
      <w:r w:rsidR="00A23622">
        <w:rPr>
          <w:bCs/>
          <w:szCs w:val="22"/>
        </w:rPr>
        <w:t>Worth Telecoms “acknowledges and accepts that it wil</w:t>
      </w:r>
      <w:r w:rsidR="001D4D01">
        <w:rPr>
          <w:bCs/>
          <w:szCs w:val="22"/>
        </w:rPr>
        <w:t xml:space="preserve">l </w:t>
      </w:r>
      <w:r w:rsidR="00A23622">
        <w:rPr>
          <w:bCs/>
          <w:szCs w:val="22"/>
        </w:rPr>
        <w:t>be required to fulfi</w:t>
      </w:r>
      <w:r w:rsidR="001D4D01">
        <w:rPr>
          <w:bCs/>
          <w:szCs w:val="22"/>
        </w:rPr>
        <w:t>l</w:t>
      </w:r>
      <w:r w:rsidR="00A23622">
        <w:rPr>
          <w:bCs/>
          <w:szCs w:val="22"/>
        </w:rPr>
        <w:t xml:space="preserve">l” Plant’s Universal Service </w:t>
      </w:r>
      <w:r w:rsidR="001D4D01">
        <w:rPr>
          <w:bCs/>
          <w:szCs w:val="22"/>
        </w:rPr>
        <w:t>F</w:t>
      </w:r>
      <w:r w:rsidR="00A23622">
        <w:rPr>
          <w:bCs/>
          <w:szCs w:val="22"/>
        </w:rPr>
        <w:t xml:space="preserve">und </w:t>
      </w:r>
      <w:r w:rsidR="001D4D01">
        <w:rPr>
          <w:bCs/>
          <w:szCs w:val="22"/>
        </w:rPr>
        <w:t xml:space="preserve">deployment </w:t>
      </w:r>
      <w:r w:rsidR="00A23622">
        <w:rPr>
          <w:bCs/>
          <w:szCs w:val="22"/>
        </w:rPr>
        <w:t>obligations upon consummation</w:t>
      </w:r>
      <w:r w:rsidR="001D4D01">
        <w:rPr>
          <w:bCs/>
          <w:szCs w:val="22"/>
        </w:rPr>
        <w:t xml:space="preserve"> </w:t>
      </w:r>
      <w:r w:rsidR="00A23622">
        <w:rPr>
          <w:bCs/>
          <w:szCs w:val="22"/>
        </w:rPr>
        <w:t>of the transaction.</w:t>
      </w:r>
      <w:r>
        <w:rPr>
          <w:rStyle w:val="FootnoteReference"/>
          <w:bCs/>
          <w:szCs w:val="22"/>
        </w:rPr>
        <w:footnoteReference w:id="23"/>
      </w:r>
      <w:r w:rsidR="00A23622">
        <w:rPr>
          <w:bCs/>
          <w:szCs w:val="22"/>
        </w:rPr>
        <w:t xml:space="preserve">  </w:t>
      </w:r>
      <w:r w:rsidRPr="004F4DC1" w:rsidR="00A23622">
        <w:rPr>
          <w:bCs/>
          <w:szCs w:val="22"/>
        </w:rPr>
        <w:t xml:space="preserve">Because the proposed transaction is more complex than </w:t>
      </w:r>
      <w:r w:rsidR="00A23622">
        <w:rPr>
          <w:bCs/>
          <w:szCs w:val="22"/>
        </w:rPr>
        <w:t>those accepted for streamlined treatment</w:t>
      </w:r>
      <w:r w:rsidRPr="004F4DC1" w:rsidR="00A23622">
        <w:rPr>
          <w:bCs/>
          <w:szCs w:val="22"/>
        </w:rPr>
        <w:t>, and in order to analyze whether the proposed transaction would serve the public interest, we accept the Application for non-streamlined processing.</w:t>
      </w:r>
      <w:r>
        <w:rPr>
          <w:bCs/>
          <w:szCs w:val="22"/>
          <w:vertAlign w:val="superscript"/>
        </w:rPr>
        <w:footnoteReference w:id="24"/>
      </w:r>
      <w:r w:rsidRPr="004F4DC1" w:rsidR="00A23622">
        <w:rPr>
          <w:bCs/>
          <w:szCs w:val="22"/>
        </w:rPr>
        <w:t xml:space="preserve">  </w:t>
      </w:r>
    </w:p>
    <w:p w:rsidR="006A20C5" w:rsidRPr="00904C8C" w:rsidP="006A20C5" w14:paraId="07BB0580" w14:textId="6FFF0FB9">
      <w:pPr>
        <w:autoSpaceDE w:val="0"/>
        <w:autoSpaceDN w:val="0"/>
        <w:adjustRightInd w:val="0"/>
        <w:spacing w:after="120"/>
        <w:ind w:firstLine="720"/>
        <w:rPr>
          <w:snapToGrid w:val="0"/>
          <w:kern w:val="28"/>
          <w:szCs w:val="22"/>
        </w:rPr>
      </w:pPr>
      <w:r w:rsidRPr="00904C8C">
        <w:rPr>
          <w:snapToGrid w:val="0"/>
          <w:kern w:val="28"/>
          <w:szCs w:val="22"/>
          <w:u w:val="single"/>
        </w:rPr>
        <w:t>Referral to Executive Branch Agencies</w:t>
      </w:r>
      <w:r w:rsidRPr="00904C8C">
        <w:rPr>
          <w:snapToGrid w:val="0"/>
          <w:kern w:val="28"/>
          <w:szCs w:val="22"/>
        </w:rPr>
        <w:t xml:space="preserve">.  Through this Public Notice, pursuant to Commission practice, the </w:t>
      </w:r>
      <w:r>
        <w:rPr>
          <w:snapToGrid w:val="0"/>
          <w:kern w:val="28"/>
          <w:szCs w:val="22"/>
        </w:rPr>
        <w:t>A</w:t>
      </w:r>
      <w:r w:rsidRPr="00904C8C">
        <w:rPr>
          <w:snapToGrid w:val="0"/>
          <w:kern w:val="28"/>
          <w:szCs w:val="22"/>
        </w:rPr>
        <w:t>pplication</w:t>
      </w:r>
      <w:r>
        <w:rPr>
          <w:snapToGrid w:val="0"/>
          <w:kern w:val="28"/>
          <w:szCs w:val="22"/>
        </w:rPr>
        <w:t xml:space="preserve"> is </w:t>
      </w:r>
      <w:r w:rsidRPr="00904C8C">
        <w:rPr>
          <w:snapToGrid w:val="0"/>
          <w:kern w:val="28"/>
          <w:szCs w:val="22"/>
        </w:rPr>
        <w:t xml:space="preserve">being referred to the relevant Executive Branch agencies for their views on any national security, law enforcement, foreign policy, or trade policy concerns related to the foreign ownership of the </w:t>
      </w:r>
      <w:r>
        <w:rPr>
          <w:snapToGrid w:val="0"/>
          <w:kern w:val="28"/>
          <w:szCs w:val="22"/>
        </w:rPr>
        <w:t>Applicants.</w:t>
      </w:r>
      <w:r>
        <w:rPr>
          <w:snapToGrid w:val="0"/>
          <w:kern w:val="28"/>
          <w:szCs w:val="22"/>
          <w:vertAlign w:val="superscript"/>
        </w:rPr>
        <w:footnoteReference w:id="25"/>
      </w:r>
    </w:p>
    <w:p w:rsidR="00CC009E" w:rsidP="00CC009E" w14:paraId="2F60977A" w14:textId="4EA0373B">
      <w:pPr>
        <w:ind w:left="720"/>
        <w:rPr>
          <w:szCs w:val="22"/>
        </w:rPr>
      </w:pPr>
      <w:r>
        <w:rPr>
          <w:szCs w:val="22"/>
        </w:rPr>
        <w:t>D</w:t>
      </w:r>
      <w:r w:rsidR="007F09A3">
        <w:rPr>
          <w:szCs w:val="22"/>
        </w:rPr>
        <w:t xml:space="preserve">omestic Section 214 Application Filed for the </w:t>
      </w:r>
      <w:r w:rsidR="00D00C86">
        <w:rPr>
          <w:szCs w:val="22"/>
        </w:rPr>
        <w:t>Transfer of Control of</w:t>
      </w:r>
      <w:r w:rsidR="007F09A3">
        <w:rPr>
          <w:szCs w:val="22"/>
        </w:rPr>
        <w:t xml:space="preserve"> </w:t>
      </w:r>
    </w:p>
    <w:p w:rsidR="00524D79" w:rsidP="00DE5CD4" w14:paraId="279FF837" w14:textId="10460B57">
      <w:pPr>
        <w:ind w:left="720"/>
        <w:rPr>
          <w:szCs w:val="22"/>
        </w:rPr>
      </w:pPr>
      <w:r w:rsidRPr="00A0487D">
        <w:rPr>
          <w:szCs w:val="22"/>
        </w:rPr>
        <w:t>Plant</w:t>
      </w:r>
      <w:r>
        <w:rPr>
          <w:szCs w:val="22"/>
        </w:rPr>
        <w:t xml:space="preserve"> </w:t>
      </w:r>
      <w:r w:rsidRPr="00A0487D">
        <w:rPr>
          <w:szCs w:val="22"/>
        </w:rPr>
        <w:t xml:space="preserve">Telephone Company </w:t>
      </w:r>
      <w:r w:rsidR="00E30231">
        <w:rPr>
          <w:szCs w:val="22"/>
        </w:rPr>
        <w:t>t</w:t>
      </w:r>
      <w:r w:rsidRPr="00A0487D">
        <w:rPr>
          <w:szCs w:val="22"/>
        </w:rPr>
        <w:t>o Worth Telecoms Holdings, L</w:t>
      </w:r>
      <w:r>
        <w:rPr>
          <w:szCs w:val="22"/>
        </w:rPr>
        <w:t>LC</w:t>
      </w:r>
      <w:r w:rsidRPr="00086D74" w:rsidR="00473955">
        <w:rPr>
          <w:szCs w:val="22"/>
        </w:rPr>
        <w:t xml:space="preserve">, </w:t>
      </w:r>
      <w:r w:rsidR="006A1C8E">
        <w:rPr>
          <w:szCs w:val="22"/>
        </w:rPr>
        <w:t xml:space="preserve">WC Docket No. </w:t>
      </w:r>
      <w:r w:rsidRPr="00C53E5E" w:rsidR="0012329A">
        <w:rPr>
          <w:szCs w:val="22"/>
        </w:rPr>
        <w:t>21-</w:t>
      </w:r>
      <w:r w:rsidR="008A792A">
        <w:rPr>
          <w:szCs w:val="22"/>
        </w:rPr>
        <w:t>4</w:t>
      </w:r>
      <w:r>
        <w:rPr>
          <w:szCs w:val="22"/>
        </w:rPr>
        <w:t>32</w:t>
      </w:r>
      <w:r w:rsidR="006A1C8E">
        <w:rPr>
          <w:szCs w:val="22"/>
        </w:rPr>
        <w:t xml:space="preserve"> (filed </w:t>
      </w:r>
      <w:r>
        <w:rPr>
          <w:szCs w:val="22"/>
        </w:rPr>
        <w:t>Nov</w:t>
      </w:r>
      <w:r w:rsidR="00851890">
        <w:rPr>
          <w:szCs w:val="22"/>
        </w:rPr>
        <w:t>.</w:t>
      </w:r>
      <w:r w:rsidR="00F57A04">
        <w:rPr>
          <w:szCs w:val="22"/>
        </w:rPr>
        <w:t xml:space="preserve"> </w:t>
      </w:r>
      <w:r>
        <w:rPr>
          <w:szCs w:val="22"/>
        </w:rPr>
        <w:t>4</w:t>
      </w:r>
      <w:r w:rsidR="006A1C8E">
        <w:rPr>
          <w:szCs w:val="22"/>
        </w:rPr>
        <w:t>, 202</w:t>
      </w:r>
      <w:r w:rsidR="0012329A">
        <w:rPr>
          <w:szCs w:val="22"/>
        </w:rPr>
        <w:t>1</w:t>
      </w:r>
      <w:r w:rsidR="006A1C8E">
        <w:rPr>
          <w:szCs w:val="22"/>
        </w:rPr>
        <w:t>).</w:t>
      </w:r>
    </w:p>
    <w:p w:rsidR="00D94C3B" w14:paraId="3F02281A" w14:textId="77777777">
      <w:pPr>
        <w:autoSpaceDE w:val="0"/>
        <w:autoSpaceDN w:val="0"/>
        <w:adjustRightInd w:val="0"/>
        <w:rPr>
          <w:b/>
          <w:szCs w:val="22"/>
          <w:u w:val="single"/>
        </w:rPr>
      </w:pPr>
    </w:p>
    <w:p w:rsidR="00E30231" w:rsidP="00E30231" w14:paraId="0F424279" w14:textId="77777777">
      <w:pPr>
        <w:autoSpaceDE w:val="0"/>
        <w:autoSpaceDN w:val="0"/>
        <w:adjustRightInd w:val="0"/>
        <w:rPr>
          <w:szCs w:val="22"/>
        </w:rPr>
      </w:pPr>
      <w:r>
        <w:rPr>
          <w:b/>
          <w:szCs w:val="22"/>
          <w:u w:val="single"/>
        </w:rPr>
        <w:t>GENERAL INFORMATION</w:t>
      </w:r>
    </w:p>
    <w:p w:rsidR="00E30231" w:rsidP="00E30231" w14:paraId="7BFCD5CC" w14:textId="77777777">
      <w:pPr>
        <w:autoSpaceDE w:val="0"/>
        <w:autoSpaceDN w:val="0"/>
        <w:adjustRightInd w:val="0"/>
        <w:rPr>
          <w:szCs w:val="22"/>
        </w:rPr>
      </w:pPr>
    </w:p>
    <w:p w:rsidR="00E30231" w:rsidRPr="004F4DC1" w:rsidP="00E30231" w14:paraId="2DA2FC01" w14:textId="77777777">
      <w:pPr>
        <w:autoSpaceDE w:val="0"/>
        <w:autoSpaceDN w:val="0"/>
        <w:adjustRightInd w:val="0"/>
        <w:spacing w:after="120"/>
        <w:ind w:firstLine="720"/>
        <w:rPr>
          <w:szCs w:val="22"/>
        </w:rPr>
      </w:pPr>
      <w:r w:rsidRPr="004F4DC1">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E30231" w:rsidRPr="004F4DC1" w:rsidP="00E30231" w14:paraId="60AA86CE" w14:textId="01A0698A">
      <w:pPr>
        <w:autoSpaceDE w:val="0"/>
        <w:autoSpaceDN w:val="0"/>
        <w:adjustRightInd w:val="0"/>
        <w:spacing w:after="120"/>
        <w:ind w:firstLine="720"/>
        <w:rPr>
          <w:szCs w:val="22"/>
        </w:rPr>
      </w:pPr>
      <w:r w:rsidRPr="004F4DC1">
        <w:rPr>
          <w:szCs w:val="22"/>
        </w:rPr>
        <w:t xml:space="preserve">Interested parties may file comments </w:t>
      </w:r>
      <w:r w:rsidRPr="004F4DC1">
        <w:rPr>
          <w:b/>
          <w:szCs w:val="22"/>
        </w:rPr>
        <w:t xml:space="preserve">on or before </w:t>
      </w:r>
      <w:r w:rsidR="00831812">
        <w:rPr>
          <w:b/>
          <w:szCs w:val="22"/>
        </w:rPr>
        <w:t>December 1</w:t>
      </w:r>
      <w:r w:rsidRPr="004F4DC1">
        <w:rPr>
          <w:b/>
          <w:szCs w:val="22"/>
        </w:rPr>
        <w:t>, 2021</w:t>
      </w:r>
      <w:r w:rsidRPr="004F4DC1">
        <w:rPr>
          <w:szCs w:val="22"/>
        </w:rPr>
        <w:t xml:space="preserve">, and reply comments </w:t>
      </w:r>
      <w:r w:rsidRPr="004F4DC1">
        <w:rPr>
          <w:b/>
          <w:szCs w:val="22"/>
        </w:rPr>
        <w:t xml:space="preserve">on or before </w:t>
      </w:r>
      <w:r>
        <w:rPr>
          <w:b/>
          <w:szCs w:val="22"/>
        </w:rPr>
        <w:t xml:space="preserve">December </w:t>
      </w:r>
      <w:r w:rsidR="00831812">
        <w:rPr>
          <w:b/>
          <w:szCs w:val="22"/>
        </w:rPr>
        <w:t>8</w:t>
      </w:r>
      <w:r w:rsidRPr="004F4DC1">
        <w:rPr>
          <w:b/>
          <w:szCs w:val="22"/>
        </w:rPr>
        <w:t>, 2021</w:t>
      </w:r>
      <w:r w:rsidRPr="004F4DC1">
        <w:rPr>
          <w:szCs w:val="22"/>
        </w:rPr>
        <w:t>.  Comments may be filed using the Commission’s Electronic Comment Filing System (ECFS) or by paper.  </w:t>
      </w:r>
    </w:p>
    <w:p w:rsidR="00E30231" w:rsidRPr="004F4DC1" w:rsidP="00E30231" w14:paraId="090281E1" w14:textId="77777777">
      <w:pPr>
        <w:numPr>
          <w:ilvl w:val="0"/>
          <w:numId w:val="20"/>
        </w:numPr>
        <w:autoSpaceDE w:val="0"/>
        <w:autoSpaceDN w:val="0"/>
        <w:adjustRightInd w:val="0"/>
        <w:spacing w:after="120"/>
        <w:rPr>
          <w:szCs w:val="22"/>
        </w:rPr>
      </w:pPr>
      <w:r w:rsidRPr="004F4DC1">
        <w:rPr>
          <w:szCs w:val="22"/>
        </w:rPr>
        <w:t>Electronic Filers:  Comments may be filed electronically by accessing ECFS at </w:t>
      </w:r>
      <w:hyperlink r:id="rId8" w:history="1">
        <w:r w:rsidRPr="004F4DC1">
          <w:rPr>
            <w:rStyle w:val="Hyperlink"/>
            <w:szCs w:val="22"/>
          </w:rPr>
          <w:t>http://apps.fcc.gov/ecfs/</w:t>
        </w:r>
      </w:hyperlink>
      <w:r w:rsidRPr="004F4DC1">
        <w:rPr>
          <w:szCs w:val="22"/>
          <w:u w:val="single"/>
        </w:rPr>
        <w:t xml:space="preserve"> </w:t>
      </w:r>
      <w:r w:rsidRPr="004F4DC1">
        <w:rPr>
          <w:szCs w:val="22"/>
        </w:rPr>
        <w:t>.</w:t>
      </w:r>
    </w:p>
    <w:p w:rsidR="00E30231" w:rsidRPr="004F4DC1" w:rsidP="00E30231" w14:paraId="403D3D93" w14:textId="77777777">
      <w:pPr>
        <w:numPr>
          <w:ilvl w:val="0"/>
          <w:numId w:val="21"/>
        </w:numPr>
        <w:tabs>
          <w:tab w:val="clear" w:pos="720"/>
        </w:tabs>
        <w:autoSpaceDE w:val="0"/>
        <w:autoSpaceDN w:val="0"/>
        <w:adjustRightInd w:val="0"/>
        <w:spacing w:after="120"/>
        <w:rPr>
          <w:szCs w:val="22"/>
        </w:rPr>
      </w:pPr>
      <w:r w:rsidRPr="004F4DC1">
        <w:rPr>
          <w:i/>
          <w:iCs/>
          <w:szCs w:val="22"/>
        </w:rPr>
        <w:t>Paper Filers</w:t>
      </w:r>
      <w:r w:rsidRPr="004F4DC1">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30231" w:rsidRPr="004F4DC1" w:rsidP="00E30231" w14:paraId="08700A05" w14:textId="77777777">
      <w:pPr>
        <w:numPr>
          <w:ilvl w:val="1"/>
          <w:numId w:val="21"/>
        </w:numPr>
        <w:autoSpaceDE w:val="0"/>
        <w:autoSpaceDN w:val="0"/>
        <w:adjustRightInd w:val="0"/>
        <w:spacing w:after="120"/>
        <w:rPr>
          <w:szCs w:val="22"/>
        </w:rPr>
      </w:pPr>
      <w:r w:rsidRPr="004F4DC1">
        <w:rPr>
          <w:szCs w:val="22"/>
        </w:rPr>
        <w:t>Filings can be sent by commercial overnight courier or by first-class or overnight U.S. Postal Service mail.</w:t>
      </w:r>
      <w:r>
        <w:rPr>
          <w:szCs w:val="22"/>
          <w:vertAlign w:val="superscript"/>
        </w:rPr>
        <w:footnoteReference w:id="26"/>
      </w:r>
      <w:r w:rsidRPr="004F4DC1">
        <w:rPr>
          <w:szCs w:val="22"/>
        </w:rPr>
        <w:t xml:space="preserve">  All filings must be addressed to the Commission’s Secretary, Office of the Secretary, Federal Communications Commission.</w:t>
      </w:r>
    </w:p>
    <w:p w:rsidR="00E30231" w:rsidRPr="004F4DC1" w:rsidP="00E30231" w14:paraId="4D3D1E95" w14:textId="77777777">
      <w:pPr>
        <w:numPr>
          <w:ilvl w:val="1"/>
          <w:numId w:val="21"/>
        </w:numPr>
        <w:autoSpaceDE w:val="0"/>
        <w:autoSpaceDN w:val="0"/>
        <w:adjustRightInd w:val="0"/>
        <w:spacing w:after="120"/>
        <w:rPr>
          <w:szCs w:val="22"/>
        </w:rPr>
      </w:pPr>
      <w:r w:rsidRPr="004F4DC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30231" w:rsidRPr="004F4DC1" w:rsidP="00E30231" w14:paraId="3CCB1FE2" w14:textId="77777777">
      <w:pPr>
        <w:autoSpaceDE w:val="0"/>
        <w:autoSpaceDN w:val="0"/>
        <w:adjustRightInd w:val="0"/>
        <w:spacing w:after="120"/>
        <w:ind w:firstLine="720"/>
        <w:rPr>
          <w:szCs w:val="22"/>
        </w:rPr>
      </w:pPr>
      <w:r w:rsidRPr="004F4DC1">
        <w:rPr>
          <w:szCs w:val="22"/>
        </w:rPr>
        <w:t>People with Disabilities:  We ask that requests for accommodations be made as soon as possible in order to allow the agency to satisfy such requests whenever possible.  Send an email to </w:t>
      </w:r>
      <w:hyperlink r:id="rId9" w:tgtFrame="_blank" w:history="1">
        <w:r w:rsidRPr="004F4DC1">
          <w:rPr>
            <w:rStyle w:val="Hyperlink"/>
            <w:szCs w:val="22"/>
          </w:rPr>
          <w:t>fcc504@fcc.gov</w:t>
        </w:r>
      </w:hyperlink>
      <w:r w:rsidRPr="004F4DC1">
        <w:rPr>
          <w:szCs w:val="22"/>
        </w:rPr>
        <w:t> or call the Consumer and Governmental Affairs Bureau at (202) 418-0530.</w:t>
      </w:r>
    </w:p>
    <w:p w:rsidR="00E30231" w:rsidRPr="004F4DC1" w:rsidP="00E30231" w14:paraId="5792EE34" w14:textId="77777777">
      <w:pPr>
        <w:autoSpaceDE w:val="0"/>
        <w:autoSpaceDN w:val="0"/>
        <w:adjustRightInd w:val="0"/>
        <w:spacing w:after="120"/>
        <w:ind w:firstLine="720"/>
        <w:rPr>
          <w:b/>
          <w:szCs w:val="22"/>
        </w:rPr>
      </w:pPr>
      <w:r w:rsidRPr="004F4DC1">
        <w:rPr>
          <w:b/>
          <w:szCs w:val="22"/>
        </w:rPr>
        <w:t>In addition, e-mail one copy of each pleading to each of the following:</w:t>
      </w:r>
    </w:p>
    <w:p w:rsidR="00E30231" w:rsidRPr="004F4DC1" w:rsidP="00E30231" w14:paraId="3AC91735" w14:textId="77777777">
      <w:pPr>
        <w:numPr>
          <w:ilvl w:val="0"/>
          <w:numId w:val="18"/>
        </w:numPr>
        <w:autoSpaceDE w:val="0"/>
        <w:autoSpaceDN w:val="0"/>
        <w:adjustRightInd w:val="0"/>
        <w:spacing w:after="120"/>
        <w:rPr>
          <w:szCs w:val="22"/>
        </w:rPr>
      </w:pPr>
      <w:r w:rsidRPr="004F4DC1">
        <w:rPr>
          <w:szCs w:val="22"/>
        </w:rPr>
        <w:t xml:space="preserve">Myrva Charles, Competition Policy Division, Wireline Competition Bureau, </w:t>
      </w:r>
      <w:hyperlink r:id="rId10" w:history="1">
        <w:r w:rsidRPr="004F4DC1">
          <w:rPr>
            <w:rStyle w:val="Hyperlink"/>
            <w:szCs w:val="22"/>
          </w:rPr>
          <w:t>myrva.charles@fcc.gov</w:t>
        </w:r>
      </w:hyperlink>
      <w:r w:rsidRPr="004F4DC1">
        <w:rPr>
          <w:szCs w:val="22"/>
        </w:rPr>
        <w:t>;</w:t>
      </w:r>
    </w:p>
    <w:p w:rsidR="00E30231" w:rsidP="00E30231" w14:paraId="4F8C2FAF" w14:textId="6A2DC55F">
      <w:pPr>
        <w:numPr>
          <w:ilvl w:val="0"/>
          <w:numId w:val="18"/>
        </w:numPr>
        <w:autoSpaceDE w:val="0"/>
        <w:autoSpaceDN w:val="0"/>
        <w:adjustRightInd w:val="0"/>
        <w:spacing w:after="120"/>
        <w:rPr>
          <w:szCs w:val="22"/>
        </w:rPr>
      </w:pPr>
      <w:r>
        <w:rPr>
          <w:szCs w:val="22"/>
        </w:rPr>
        <w:t>Jodie May</w:t>
      </w:r>
      <w:r w:rsidRPr="004F4DC1">
        <w:rPr>
          <w:szCs w:val="22"/>
        </w:rPr>
        <w:t xml:space="preserve">, Competition Policy Division, Wireline Competition Bureau, </w:t>
      </w:r>
      <w:hyperlink r:id="rId11" w:history="1">
        <w:r w:rsidRPr="002726B0" w:rsidR="00CF0E8A">
          <w:rPr>
            <w:rStyle w:val="Hyperlink"/>
            <w:szCs w:val="22"/>
          </w:rPr>
          <w:t>jodie.may@fcc.gov</w:t>
        </w:r>
      </w:hyperlink>
      <w:r w:rsidR="00CF0E8A">
        <w:rPr>
          <w:szCs w:val="22"/>
        </w:rPr>
        <w:t xml:space="preserve">; </w:t>
      </w:r>
    </w:p>
    <w:p w:rsidR="00E30231" w:rsidRPr="004F4DC1" w:rsidP="00E30231" w14:paraId="500E27D6" w14:textId="78F9B343">
      <w:pPr>
        <w:numPr>
          <w:ilvl w:val="0"/>
          <w:numId w:val="18"/>
        </w:numPr>
        <w:autoSpaceDE w:val="0"/>
        <w:autoSpaceDN w:val="0"/>
        <w:adjustRightInd w:val="0"/>
        <w:spacing w:after="120"/>
        <w:rPr>
          <w:szCs w:val="22"/>
        </w:rPr>
      </w:pPr>
      <w:r>
        <w:rPr>
          <w:szCs w:val="22"/>
        </w:rPr>
        <w:t>David Krech</w:t>
      </w:r>
      <w:r w:rsidRPr="00DD1374">
        <w:rPr>
          <w:szCs w:val="22"/>
        </w:rPr>
        <w:t xml:space="preserve">, Telecommunications and Analysis Division, International Bureau, </w:t>
      </w:r>
      <w:hyperlink r:id="rId12" w:history="1">
        <w:r w:rsidRPr="002726B0" w:rsidR="00CF0E8A">
          <w:rPr>
            <w:rStyle w:val="Hyperlink"/>
            <w:szCs w:val="22"/>
          </w:rPr>
          <w:t>david.krech@fcc.gov</w:t>
        </w:r>
      </w:hyperlink>
      <w:r w:rsidR="00CF0E8A">
        <w:rPr>
          <w:szCs w:val="22"/>
        </w:rPr>
        <w:t xml:space="preserve">; </w:t>
      </w:r>
      <w:r w:rsidRPr="004F4DC1">
        <w:rPr>
          <w:szCs w:val="22"/>
        </w:rPr>
        <w:t>and</w:t>
      </w:r>
    </w:p>
    <w:p w:rsidR="00E30231" w:rsidRPr="004F4DC1" w:rsidP="00E30231" w14:paraId="4A1B1FB9" w14:textId="6D877AF2">
      <w:pPr>
        <w:numPr>
          <w:ilvl w:val="0"/>
          <w:numId w:val="18"/>
        </w:numPr>
        <w:autoSpaceDE w:val="0"/>
        <w:autoSpaceDN w:val="0"/>
        <w:adjustRightInd w:val="0"/>
        <w:spacing w:after="120"/>
        <w:rPr>
          <w:szCs w:val="22"/>
        </w:rPr>
      </w:pPr>
      <w:r w:rsidRPr="004F4DC1">
        <w:rPr>
          <w:szCs w:val="22"/>
        </w:rPr>
        <w:t xml:space="preserve">Jim Bird, Office of General Counsel, </w:t>
      </w:r>
      <w:hyperlink r:id="rId13" w:history="1">
        <w:r w:rsidRPr="00BD2AE8">
          <w:rPr>
            <w:rStyle w:val="Hyperlink"/>
            <w:szCs w:val="22"/>
          </w:rPr>
          <w:t>jim.bird@fcc.gov</w:t>
        </w:r>
      </w:hyperlink>
    </w:p>
    <w:p w:rsidR="00E30231" w:rsidRPr="004F4DC1" w:rsidP="00E30231" w14:paraId="0D9CD407" w14:textId="77777777">
      <w:pPr>
        <w:autoSpaceDE w:val="0"/>
        <w:autoSpaceDN w:val="0"/>
        <w:adjustRightInd w:val="0"/>
        <w:spacing w:after="120"/>
        <w:ind w:firstLine="720"/>
        <w:rPr>
          <w:szCs w:val="22"/>
        </w:rPr>
      </w:pPr>
      <w:r w:rsidRPr="004F4DC1">
        <w:rPr>
          <w:szCs w:val="22"/>
        </w:rPr>
        <w:t xml:space="preserve">The proceeding in this Notice shall be treated as a “permit-but-disclose” proceeding in accordance with the Commission’s </w:t>
      </w:r>
      <w:r w:rsidRPr="004F4DC1">
        <w:rPr>
          <w:i/>
          <w:szCs w:val="22"/>
        </w:rPr>
        <w:t>ex parte</w:t>
      </w:r>
      <w:r w:rsidRPr="004F4DC1">
        <w:rPr>
          <w:szCs w:val="22"/>
        </w:rPr>
        <w:t xml:space="preserve"> rules.  Persons making </w:t>
      </w:r>
      <w:r w:rsidRPr="004F4DC1">
        <w:rPr>
          <w:i/>
          <w:szCs w:val="22"/>
        </w:rPr>
        <w:t>ex parte</w:t>
      </w:r>
      <w:r w:rsidRPr="004F4DC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F4DC1">
        <w:rPr>
          <w:i/>
          <w:szCs w:val="22"/>
        </w:rPr>
        <w:t>ex parte</w:t>
      </w:r>
      <w:r w:rsidRPr="004F4DC1">
        <w:rPr>
          <w:szCs w:val="22"/>
        </w:rPr>
        <w:t xml:space="preserve"> presentations are reminded that memoranda summarizing the presentation must (1) list all persons attending or otherwise participating in the meeting at which the </w:t>
      </w:r>
      <w:r w:rsidRPr="004F4DC1">
        <w:rPr>
          <w:i/>
          <w:szCs w:val="22"/>
        </w:rPr>
        <w:t>ex parte</w:t>
      </w:r>
      <w:r w:rsidRPr="004F4DC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4DC1">
        <w:rPr>
          <w:i/>
          <w:szCs w:val="22"/>
        </w:rPr>
        <w:t>ex parte</w:t>
      </w:r>
      <w:r w:rsidRPr="004F4DC1">
        <w:rPr>
          <w:szCs w:val="22"/>
        </w:rPr>
        <w:t xml:space="preserve"> meetings are deemed to be written </w:t>
      </w:r>
      <w:r w:rsidRPr="004F4DC1">
        <w:rPr>
          <w:i/>
          <w:szCs w:val="22"/>
        </w:rPr>
        <w:t>ex parte</w:t>
      </w:r>
      <w:r w:rsidRPr="004F4DC1">
        <w:rPr>
          <w:szCs w:val="22"/>
        </w:rPr>
        <w:t xml:space="preserve"> presentations and must be filed consistent with rule 1.1206(b), 47 CFR § 1.1206(b).  Participants in this proceeding should familiarize themselves with the Commission’s </w:t>
      </w:r>
      <w:r w:rsidRPr="004F4DC1">
        <w:rPr>
          <w:i/>
          <w:szCs w:val="22"/>
        </w:rPr>
        <w:t>ex parte</w:t>
      </w:r>
      <w:r w:rsidRPr="004F4DC1">
        <w:rPr>
          <w:szCs w:val="22"/>
        </w:rPr>
        <w:t xml:space="preserve"> rules.</w:t>
      </w:r>
    </w:p>
    <w:p w:rsidR="00E30231" w:rsidRPr="004F4DC1" w:rsidP="00E30231" w14:paraId="547EBF86" w14:textId="77777777">
      <w:pPr>
        <w:autoSpaceDE w:val="0"/>
        <w:autoSpaceDN w:val="0"/>
        <w:adjustRightInd w:val="0"/>
        <w:spacing w:after="120"/>
        <w:ind w:firstLine="720"/>
        <w:rPr>
          <w:szCs w:val="22"/>
        </w:rPr>
      </w:pPr>
      <w:r w:rsidRPr="004F4DC1">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7"/>
      </w:r>
      <w:r w:rsidRPr="004F4DC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30231" w:rsidRPr="004F4DC1" w:rsidP="00E30231" w14:paraId="1D864D40" w14:textId="367CD2D1">
      <w:pPr>
        <w:autoSpaceDE w:val="0"/>
        <w:autoSpaceDN w:val="0"/>
        <w:adjustRightInd w:val="0"/>
        <w:spacing w:after="120"/>
        <w:ind w:firstLine="720"/>
        <w:rPr>
          <w:szCs w:val="22"/>
        </w:rPr>
      </w:pPr>
      <w:r w:rsidRPr="004F4DC1">
        <w:rPr>
          <w:szCs w:val="22"/>
        </w:rPr>
        <w:t xml:space="preserve">For further information, please contact Myrva Charles at (202) 418-1506 or </w:t>
      </w:r>
      <w:r w:rsidR="00831812">
        <w:rPr>
          <w:szCs w:val="22"/>
        </w:rPr>
        <w:t>Jodie May</w:t>
      </w:r>
      <w:r w:rsidRPr="004F4DC1">
        <w:rPr>
          <w:szCs w:val="22"/>
        </w:rPr>
        <w:t xml:space="preserve"> at (202) 418-</w:t>
      </w:r>
      <w:r w:rsidR="00831812">
        <w:rPr>
          <w:szCs w:val="22"/>
        </w:rPr>
        <w:t>0913</w:t>
      </w:r>
      <w:r w:rsidRPr="004F4DC1">
        <w:rPr>
          <w:szCs w:val="22"/>
        </w:rPr>
        <w:t>.</w:t>
      </w:r>
    </w:p>
    <w:p w:rsidR="00E30231" w:rsidRPr="004F4DC1" w:rsidP="00E30231" w14:paraId="444E545C" w14:textId="77777777">
      <w:pPr>
        <w:autoSpaceDE w:val="0"/>
        <w:autoSpaceDN w:val="0"/>
        <w:adjustRightInd w:val="0"/>
        <w:rPr>
          <w:szCs w:val="22"/>
        </w:rPr>
      </w:pPr>
    </w:p>
    <w:p w:rsidR="00E30231" w:rsidP="00E30231" w14:paraId="0C072B89" w14:textId="77777777">
      <w:pPr>
        <w:autoSpaceDE w:val="0"/>
        <w:autoSpaceDN w:val="0"/>
        <w:adjustRightInd w:val="0"/>
        <w:jc w:val="center"/>
        <w:rPr>
          <w:color w:val="000000"/>
          <w:szCs w:val="22"/>
        </w:rPr>
      </w:pPr>
      <w:r w:rsidRPr="004F4DC1">
        <w:rPr>
          <w:b/>
          <w:szCs w:val="22"/>
        </w:rPr>
        <w:t>-FCC-</w:t>
      </w:r>
    </w:p>
    <w:p w:rsidR="00E30231" w:rsidP="00E30231" w14:paraId="0A1DDFA5" w14:textId="77777777">
      <w:pPr>
        <w:autoSpaceDE w:val="0"/>
        <w:autoSpaceDN w:val="0"/>
        <w:adjustRightInd w:val="0"/>
        <w:spacing w:after="120"/>
        <w:jc w:val="center"/>
        <w:rPr>
          <w:b/>
          <w:szCs w:val="22"/>
        </w:rPr>
      </w:pPr>
    </w:p>
    <w:p w:rsidR="00E30231" w:rsidP="00E30231" w14:paraId="37196B3F" w14:textId="77777777">
      <w:pPr>
        <w:autoSpaceDE w:val="0"/>
        <w:autoSpaceDN w:val="0"/>
        <w:adjustRightInd w:val="0"/>
        <w:jc w:val="center"/>
        <w:rPr>
          <w:b/>
          <w:szCs w:val="22"/>
        </w:rPr>
      </w:pPr>
    </w:p>
    <w:p w:rsidR="00E30231" w:rsidP="00E30231" w14:paraId="65343377" w14:textId="77777777">
      <w:pPr>
        <w:autoSpaceDE w:val="0"/>
        <w:autoSpaceDN w:val="0"/>
        <w:adjustRightInd w:val="0"/>
        <w:rPr>
          <w:color w:val="000000"/>
          <w:szCs w:val="22"/>
        </w:rPr>
      </w:pPr>
      <w:r w:rsidRPr="000E5955">
        <w:rPr>
          <w:color w:val="000000"/>
          <w:szCs w:val="22"/>
        </w:rPr>
        <w:t xml:space="preserve">  </w:t>
      </w:r>
    </w:p>
    <w:p w:rsidR="00E30231" w:rsidP="000629CF" w14:paraId="52F53AD1" w14:textId="77777777">
      <w:pPr>
        <w:autoSpaceDE w:val="0"/>
        <w:autoSpaceDN w:val="0"/>
        <w:adjustRightInd w:val="0"/>
        <w:spacing w:after="120"/>
        <w:ind w:firstLine="720"/>
        <w:rPr>
          <w:szCs w:val="22"/>
        </w:rPr>
      </w:pPr>
    </w:p>
    <w:p w:rsidR="00E30231" w:rsidP="000629CF" w14:paraId="7C02E4BC" w14:textId="77777777">
      <w:pPr>
        <w:autoSpaceDE w:val="0"/>
        <w:autoSpaceDN w:val="0"/>
        <w:adjustRightInd w:val="0"/>
        <w:spacing w:after="120"/>
        <w:ind w:firstLine="720"/>
        <w:rPr>
          <w:szCs w:val="22"/>
        </w:rPr>
      </w:pPr>
    </w:p>
    <w:p w:rsidR="00E30231" w:rsidP="000629CF" w14:paraId="32473F79" w14:textId="77777777">
      <w:pPr>
        <w:autoSpaceDE w:val="0"/>
        <w:autoSpaceDN w:val="0"/>
        <w:adjustRightInd w:val="0"/>
        <w:spacing w:after="120"/>
        <w:ind w:firstLine="720"/>
        <w:rPr>
          <w:szCs w:val="22"/>
        </w:rPr>
      </w:pPr>
    </w:p>
    <w:p w:rsidR="00E30231" w:rsidP="000629CF" w14:paraId="20678936" w14:textId="77777777">
      <w:pPr>
        <w:autoSpaceDE w:val="0"/>
        <w:autoSpaceDN w:val="0"/>
        <w:adjustRightInd w:val="0"/>
        <w:spacing w:after="120"/>
        <w:ind w:firstLine="720"/>
        <w:rPr>
          <w:szCs w:val="22"/>
        </w:rPr>
      </w:pPr>
    </w:p>
    <w:p w:rsidR="00E30231" w:rsidP="000629CF" w14:paraId="20B9B42F" w14:textId="77777777">
      <w:pPr>
        <w:autoSpaceDE w:val="0"/>
        <w:autoSpaceDN w:val="0"/>
        <w:adjustRightInd w:val="0"/>
        <w:spacing w:after="120"/>
        <w:ind w:firstLine="720"/>
        <w:rPr>
          <w:szCs w:val="22"/>
        </w:rPr>
      </w:pPr>
    </w:p>
    <w:p w:rsidR="00E7033D" w14:paraId="653DB259" w14:textId="77777777">
      <w:pPr>
        <w:autoSpaceDE w:val="0"/>
        <w:autoSpaceDN w:val="0"/>
        <w:adjustRightInd w:val="0"/>
        <w:rPr>
          <w:szCs w:val="22"/>
        </w:rPr>
      </w:pPr>
    </w:p>
    <w:bookmarkEnd w:id="3"/>
    <w:p w:rsidR="00E7033D" w14:paraId="319F787B" w14:textId="77777777">
      <w:pPr>
        <w:autoSpaceDE w:val="0"/>
        <w:autoSpaceDN w:val="0"/>
        <w:adjustRightInd w:val="0"/>
        <w:spacing w:after="120"/>
        <w:jc w:val="center"/>
        <w:rPr>
          <w:b/>
          <w:szCs w:val="22"/>
        </w:rPr>
      </w:pPr>
    </w:p>
    <w:p w:rsidR="00E7033D" w14:paraId="4DDDD7AE" w14:textId="77777777">
      <w:pPr>
        <w:autoSpaceDE w:val="0"/>
        <w:autoSpaceDN w:val="0"/>
        <w:adjustRightInd w:val="0"/>
        <w:jc w:val="center"/>
        <w:rPr>
          <w:b/>
          <w:szCs w:val="22"/>
        </w:rPr>
      </w:pPr>
    </w:p>
    <w:p w:rsidR="00524D79" w14:paraId="52A8159C"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4"/>
      <w:headerReference w:type="first" r:id="rId15"/>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8DE2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342D5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0BC79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597AF9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10FB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7BDABE" w14:textId="77777777"/>
  <w:p w:rsidR="005D4020" w14:paraId="43838D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2D99" w14:paraId="121E9C8B" w14:textId="77777777">
      <w:r>
        <w:separator/>
      </w:r>
    </w:p>
  </w:footnote>
  <w:footnote w:type="continuationSeparator" w:id="1">
    <w:p w:rsidR="00422D99" w14:paraId="298FF2C2" w14:textId="77777777">
      <w:r>
        <w:continuationSeparator/>
      </w:r>
    </w:p>
  </w:footnote>
  <w:footnote w:type="continuationNotice" w:id="2">
    <w:p w:rsidR="00422D99" w14:paraId="249DFA8B" w14:textId="77777777"/>
  </w:footnote>
  <w:footnote w:id="3">
    <w:p w:rsidR="005D4020" w:rsidRPr="00355AF3" w:rsidP="00C8523B" w14:paraId="6F71E2AF" w14:textId="093FD09C">
      <w:pPr>
        <w:spacing w:after="120"/>
        <w:rPr>
          <w:bCs/>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U.S.C. § 214; 47 CFR §§ 63.03-04. </w:t>
      </w:r>
      <w:r w:rsidR="001F7B57">
        <w:rPr>
          <w:sz w:val="20"/>
        </w:rPr>
        <w:t xml:space="preserve"> Joint Application of Sterling Family, LLC and Metzger Associates, LLC and Worth </w:t>
      </w:r>
      <w:r w:rsidR="000C2BFD">
        <w:rPr>
          <w:sz w:val="20"/>
        </w:rPr>
        <w:t>T</w:t>
      </w:r>
      <w:r w:rsidR="001F7B57">
        <w:rPr>
          <w:sz w:val="20"/>
        </w:rPr>
        <w:t xml:space="preserve">elecoms Holdings, LLC for Grant of Authority Pursuant to Section 214 of the Communications Act of 1934, as Amended, and Sections 63.04 and 63.24 of the Commission’s Rules to Transfer Control of Domestic and International Section 214 Authorization Holders to Worth Telecoms Holdings, LLC, WC Docket No. 21-432 (filed Nov. 4, 2021) (Application).  </w:t>
      </w:r>
      <w:r w:rsidRPr="000861C2" w:rsidR="000861C2">
        <w:rPr>
          <w:sz w:val="20"/>
        </w:rPr>
        <w:t xml:space="preserve">Applicants also filed applications for the transfer of authorizations associated with international services.  </w:t>
      </w:r>
      <w:r w:rsidRPr="00355AF3" w:rsidR="00C8523B">
        <w:rPr>
          <w:sz w:val="20"/>
        </w:rPr>
        <w:t>On November 10, 2021, Applicants filed a supplement to the</w:t>
      </w:r>
      <w:r w:rsidR="00097553">
        <w:rPr>
          <w:sz w:val="20"/>
        </w:rPr>
        <w:t xml:space="preserve"> </w:t>
      </w:r>
      <w:r w:rsidR="00087B6D">
        <w:rPr>
          <w:sz w:val="20"/>
        </w:rPr>
        <w:t>A</w:t>
      </w:r>
      <w:r w:rsidRPr="00355AF3" w:rsidR="00C8523B">
        <w:rPr>
          <w:sz w:val="20"/>
        </w:rPr>
        <w:t xml:space="preserve">pplication.  Letter from Patrick S. Campbell, Counsel for Worth Telecoms, to Marlene H. Dortch, Secretary, FCC, WC Docket No. 21-432, IB File No. ITC-T/C-202111104-00161 (filed Nov. 10, 2021) (Supplement).  </w:t>
      </w:r>
      <w:r w:rsidRPr="00355AF3" w:rsidR="000861C2">
        <w:rPr>
          <w:sz w:val="20"/>
        </w:rPr>
        <w:t>Any action on this domestic section 214 application is without prejudice to Commission action on other related, pending applications</w:t>
      </w:r>
      <w:r w:rsidRPr="00355AF3" w:rsidR="001F7B57">
        <w:rPr>
          <w:sz w:val="20"/>
        </w:rPr>
        <w:t>.</w:t>
      </w:r>
      <w:r w:rsidRPr="00355AF3">
        <w:rPr>
          <w:sz w:val="20"/>
        </w:rPr>
        <w:t xml:space="preserve"> </w:t>
      </w:r>
    </w:p>
  </w:footnote>
  <w:footnote w:id="4">
    <w:p w:rsidR="001F7B57" w:rsidRPr="00B841B9" w:rsidP="002536AD" w14:paraId="2A49F398" w14:textId="475DD9BA">
      <w:pPr>
        <w:pStyle w:val="FootnoteText"/>
        <w:spacing w:after="120"/>
        <w:rPr>
          <w:sz w:val="20"/>
        </w:rPr>
      </w:pPr>
      <w:r w:rsidRPr="002536AD">
        <w:rPr>
          <w:rStyle w:val="FootnoteReference"/>
          <w:sz w:val="20"/>
        </w:rPr>
        <w:footnoteRef/>
      </w:r>
      <w:r w:rsidRPr="002536AD">
        <w:rPr>
          <w:sz w:val="20"/>
        </w:rPr>
        <w:t xml:space="preserve"> </w:t>
      </w:r>
      <w:r w:rsidRPr="00355AF3">
        <w:rPr>
          <w:sz w:val="20"/>
        </w:rPr>
        <w:t xml:space="preserve">Application at </w:t>
      </w:r>
      <w:r w:rsidR="00A141F3">
        <w:rPr>
          <w:sz w:val="20"/>
        </w:rPr>
        <w:t>4</w:t>
      </w:r>
      <w:r w:rsidRPr="00355AF3">
        <w:rPr>
          <w:sz w:val="20"/>
        </w:rPr>
        <w:t>, 24</w:t>
      </w:r>
      <w:r w:rsidRPr="00355AF3" w:rsidR="00A210F8">
        <w:rPr>
          <w:sz w:val="20"/>
        </w:rPr>
        <w:t xml:space="preserve">; </w:t>
      </w:r>
      <w:r w:rsidRPr="00355AF3" w:rsidR="00C8523B">
        <w:rPr>
          <w:sz w:val="20"/>
        </w:rPr>
        <w:t>Supplement at 1-2.</w:t>
      </w:r>
      <w:r w:rsidR="00C8523B">
        <w:rPr>
          <w:sz w:val="20"/>
        </w:rPr>
        <w:t xml:space="preserve">  </w:t>
      </w:r>
    </w:p>
  </w:footnote>
  <w:footnote w:id="5">
    <w:p w:rsidR="00B841B9" w:rsidRPr="00B841B9" w:rsidP="002536AD" w14:paraId="70689891" w14:textId="76768FE8">
      <w:pPr>
        <w:pStyle w:val="FootnoteText"/>
        <w:spacing w:after="120"/>
        <w:rPr>
          <w:sz w:val="20"/>
        </w:rPr>
      </w:pPr>
      <w:r w:rsidRPr="00B841B9">
        <w:rPr>
          <w:rStyle w:val="FootnoteReference"/>
          <w:sz w:val="20"/>
        </w:rPr>
        <w:footnoteRef/>
      </w:r>
      <w:r w:rsidRPr="00B841B9">
        <w:rPr>
          <w:sz w:val="20"/>
        </w:rPr>
        <w:t xml:space="preserve"> </w:t>
      </w:r>
      <w:r w:rsidR="00831812">
        <w:rPr>
          <w:sz w:val="20"/>
        </w:rPr>
        <w:t xml:space="preserve">Application </w:t>
      </w:r>
      <w:r w:rsidRPr="00B841B9">
        <w:rPr>
          <w:sz w:val="20"/>
        </w:rPr>
        <w:t>at 5.</w:t>
      </w:r>
    </w:p>
  </w:footnote>
  <w:footnote w:id="6">
    <w:p w:rsidR="007F3556" w:rsidRPr="00B841B9" w:rsidP="007F3556" w14:paraId="3D2DD641" w14:textId="77777777">
      <w:pPr>
        <w:pStyle w:val="FootnoteText"/>
        <w:spacing w:after="120"/>
        <w:rPr>
          <w:sz w:val="20"/>
        </w:rPr>
      </w:pPr>
      <w:r w:rsidRPr="00B841B9">
        <w:rPr>
          <w:rStyle w:val="FootnoteReference"/>
          <w:sz w:val="20"/>
        </w:rPr>
        <w:footnoteRef/>
      </w:r>
      <w:r w:rsidRPr="00B841B9">
        <w:rPr>
          <w:sz w:val="20"/>
        </w:rPr>
        <w:t xml:space="preserve"> </w:t>
      </w:r>
      <w:r w:rsidRPr="00B841B9">
        <w:rPr>
          <w:i/>
          <w:iCs/>
          <w:sz w:val="20"/>
        </w:rPr>
        <w:t>Id</w:t>
      </w:r>
      <w:r w:rsidRPr="00B841B9">
        <w:rPr>
          <w:sz w:val="20"/>
        </w:rPr>
        <w:t>.</w:t>
      </w:r>
    </w:p>
  </w:footnote>
  <w:footnote w:id="7">
    <w:p w:rsidR="00B841B9" w:rsidRPr="00B841B9" w:rsidP="002536AD" w14:paraId="05F1946B" w14:textId="3D7BA13B">
      <w:pPr>
        <w:pStyle w:val="FootnoteText"/>
        <w:spacing w:after="120"/>
        <w:rPr>
          <w:sz w:val="20"/>
        </w:rPr>
      </w:pPr>
      <w:r w:rsidRPr="00B841B9">
        <w:rPr>
          <w:rStyle w:val="FootnoteReference"/>
          <w:sz w:val="20"/>
        </w:rPr>
        <w:footnoteRef/>
      </w:r>
      <w:r w:rsidRPr="00B841B9">
        <w:rPr>
          <w:sz w:val="20"/>
        </w:rPr>
        <w:t xml:space="preserve"> </w:t>
      </w:r>
      <w:r w:rsidRPr="00B841B9">
        <w:rPr>
          <w:i/>
          <w:iCs/>
          <w:sz w:val="20"/>
        </w:rPr>
        <w:t>Id</w:t>
      </w:r>
      <w:r w:rsidRPr="00B841B9">
        <w:rPr>
          <w:sz w:val="20"/>
        </w:rPr>
        <w:t xml:space="preserve">. </w:t>
      </w:r>
    </w:p>
  </w:footnote>
  <w:footnote w:id="8">
    <w:p w:rsidR="00B841B9" w:rsidRPr="00E30231" w:rsidP="002536AD" w14:paraId="3A574FBE" w14:textId="13F41370">
      <w:pPr>
        <w:pStyle w:val="FootnoteText"/>
        <w:spacing w:after="120"/>
        <w:rPr>
          <w:sz w:val="20"/>
        </w:rPr>
      </w:pPr>
      <w:r w:rsidRPr="00B841B9">
        <w:rPr>
          <w:rStyle w:val="FootnoteReference"/>
          <w:sz w:val="20"/>
        </w:rPr>
        <w:footnoteRef/>
      </w:r>
      <w:r w:rsidRPr="00B841B9">
        <w:rPr>
          <w:sz w:val="20"/>
        </w:rPr>
        <w:t xml:space="preserve"> </w:t>
      </w:r>
      <w:r w:rsidRPr="00E30231">
        <w:rPr>
          <w:i/>
          <w:iCs/>
          <w:sz w:val="20"/>
        </w:rPr>
        <w:t>Id</w:t>
      </w:r>
      <w:r w:rsidRPr="00E30231">
        <w:rPr>
          <w:sz w:val="20"/>
        </w:rPr>
        <w:t>.</w:t>
      </w:r>
    </w:p>
  </w:footnote>
  <w:footnote w:id="9">
    <w:p w:rsidR="00B841B9" w:rsidRPr="00E30231" w:rsidP="002536AD" w14:paraId="5EECED58" w14:textId="4D527DD2">
      <w:pPr>
        <w:pStyle w:val="FootnoteText"/>
        <w:spacing w:after="120"/>
        <w:rPr>
          <w:sz w:val="20"/>
        </w:rPr>
      </w:pPr>
      <w:r w:rsidRPr="00E30231">
        <w:rPr>
          <w:rStyle w:val="FootnoteReference"/>
          <w:sz w:val="20"/>
        </w:rPr>
        <w:footnoteRef/>
      </w:r>
      <w:r w:rsidRPr="00E30231">
        <w:rPr>
          <w:sz w:val="20"/>
        </w:rPr>
        <w:t xml:space="preserve"> </w:t>
      </w:r>
      <w:r w:rsidRPr="00E30231">
        <w:rPr>
          <w:i/>
          <w:iCs/>
          <w:sz w:val="20"/>
        </w:rPr>
        <w:t>Id</w:t>
      </w:r>
      <w:r w:rsidRPr="00E30231">
        <w:rPr>
          <w:sz w:val="20"/>
        </w:rPr>
        <w:t>.</w:t>
      </w:r>
    </w:p>
  </w:footnote>
  <w:footnote w:id="10">
    <w:p w:rsidR="006F60CC" w:rsidRPr="00E30231" w:rsidP="002536AD" w14:paraId="0A3D61EA" w14:textId="29779099">
      <w:pPr>
        <w:pStyle w:val="FootnoteText"/>
        <w:spacing w:after="120"/>
        <w:rPr>
          <w:sz w:val="20"/>
        </w:rPr>
      </w:pPr>
      <w:r w:rsidRPr="00E30231">
        <w:rPr>
          <w:rStyle w:val="FootnoteReference"/>
          <w:sz w:val="20"/>
        </w:rPr>
        <w:footnoteRef/>
      </w:r>
      <w:r w:rsidRPr="00E30231">
        <w:rPr>
          <w:sz w:val="20"/>
        </w:rPr>
        <w:t xml:space="preserve"> </w:t>
      </w:r>
      <w:r w:rsidRPr="00E30231">
        <w:rPr>
          <w:i/>
          <w:iCs/>
          <w:sz w:val="20"/>
        </w:rPr>
        <w:t>Id</w:t>
      </w:r>
      <w:r w:rsidRPr="00E30231">
        <w:rPr>
          <w:sz w:val="20"/>
        </w:rPr>
        <w:t>. at 3, 24.</w:t>
      </w:r>
    </w:p>
  </w:footnote>
  <w:footnote w:id="11">
    <w:p w:rsidR="00801446" w:rsidRPr="00E30231" w:rsidP="002536AD" w14:paraId="7CE7894E" w14:textId="0038DBDD">
      <w:pPr>
        <w:pStyle w:val="FootnoteText"/>
        <w:spacing w:after="120"/>
        <w:rPr>
          <w:sz w:val="20"/>
        </w:rPr>
      </w:pPr>
      <w:r w:rsidRPr="00E30231">
        <w:rPr>
          <w:rStyle w:val="FootnoteReference"/>
          <w:sz w:val="20"/>
        </w:rPr>
        <w:footnoteRef/>
      </w:r>
      <w:r w:rsidRPr="00E30231">
        <w:rPr>
          <w:sz w:val="20"/>
        </w:rPr>
        <w:t xml:space="preserve"> </w:t>
      </w:r>
      <w:r w:rsidRPr="00E30231">
        <w:rPr>
          <w:sz w:val="20"/>
        </w:rPr>
        <w:t>Supplement at 1-2 and Exh. A. (listing TruVista affiliates).</w:t>
      </w:r>
    </w:p>
  </w:footnote>
  <w:footnote w:id="12">
    <w:p w:rsidR="00801446" w:rsidRPr="00E30231" w:rsidP="002536AD" w14:paraId="76A5B183" w14:textId="76E869B1">
      <w:pPr>
        <w:pStyle w:val="FootnoteText"/>
        <w:spacing w:after="120"/>
        <w:rPr>
          <w:sz w:val="20"/>
        </w:rPr>
      </w:pPr>
      <w:r w:rsidRPr="00E30231">
        <w:rPr>
          <w:rStyle w:val="FootnoteReference"/>
          <w:sz w:val="20"/>
        </w:rPr>
        <w:footnoteRef/>
      </w:r>
      <w:r w:rsidRPr="00E30231">
        <w:rPr>
          <w:sz w:val="20"/>
        </w:rPr>
        <w:t xml:space="preserve"> </w:t>
      </w:r>
      <w:r w:rsidRPr="00E30231">
        <w:rPr>
          <w:i/>
          <w:iCs/>
          <w:sz w:val="20"/>
        </w:rPr>
        <w:t>Id</w:t>
      </w:r>
      <w:r w:rsidRPr="00E30231">
        <w:rPr>
          <w:sz w:val="20"/>
        </w:rPr>
        <w:t>. at 2 and Exh. B (Map of TruVista and Plant Telephone Company—Counties Served in Georgia).</w:t>
      </w:r>
    </w:p>
  </w:footnote>
  <w:footnote w:id="13">
    <w:p w:rsidR="006F60CC" w:rsidRPr="00E30231" w:rsidP="002536AD" w14:paraId="218037B5" w14:textId="6C50728F">
      <w:pPr>
        <w:pStyle w:val="FootnoteText"/>
        <w:spacing w:after="120"/>
        <w:rPr>
          <w:sz w:val="20"/>
        </w:rPr>
      </w:pPr>
      <w:r w:rsidRPr="00E30231">
        <w:rPr>
          <w:rStyle w:val="FootnoteReference"/>
          <w:sz w:val="20"/>
        </w:rPr>
        <w:footnoteRef/>
      </w:r>
      <w:r w:rsidRPr="00E30231">
        <w:rPr>
          <w:sz w:val="20"/>
        </w:rPr>
        <w:t xml:space="preserve"> </w:t>
      </w:r>
      <w:r w:rsidR="00831812">
        <w:rPr>
          <w:sz w:val="20"/>
        </w:rPr>
        <w:t>Application</w:t>
      </w:r>
      <w:r w:rsidRPr="00E30231">
        <w:rPr>
          <w:sz w:val="20"/>
        </w:rPr>
        <w:t xml:space="preserve"> at 18-21 and Exh. A (Post-Transaction Structure).</w:t>
      </w:r>
    </w:p>
  </w:footnote>
  <w:footnote w:id="14">
    <w:p w:rsidR="006F60CC" w:rsidRPr="00E30231" w:rsidP="002536AD" w14:paraId="721CF65A" w14:textId="05DCF534">
      <w:pPr>
        <w:pStyle w:val="FootnoteText"/>
        <w:spacing w:after="120"/>
        <w:rPr>
          <w:sz w:val="20"/>
        </w:rPr>
      </w:pPr>
      <w:r w:rsidRPr="00E30231">
        <w:rPr>
          <w:rStyle w:val="FootnoteReference"/>
          <w:sz w:val="20"/>
        </w:rPr>
        <w:footnoteRef/>
      </w:r>
      <w:r w:rsidRPr="00E30231">
        <w:rPr>
          <w:sz w:val="20"/>
        </w:rPr>
        <w:t xml:space="preserve"> </w:t>
      </w:r>
      <w:r w:rsidRPr="00E30231">
        <w:rPr>
          <w:i/>
          <w:iCs/>
          <w:sz w:val="20"/>
        </w:rPr>
        <w:t>Id</w:t>
      </w:r>
      <w:r w:rsidRPr="00E30231">
        <w:rPr>
          <w:sz w:val="20"/>
        </w:rPr>
        <w:t>.</w:t>
      </w:r>
    </w:p>
  </w:footnote>
  <w:footnote w:id="15">
    <w:p w:rsidR="006F60CC" w:rsidRPr="00E30231" w:rsidP="002536AD" w14:paraId="5AFC1E21" w14:textId="63D01709">
      <w:pPr>
        <w:pStyle w:val="FootnoteText"/>
        <w:spacing w:after="120"/>
        <w:rPr>
          <w:sz w:val="20"/>
        </w:rPr>
      </w:pPr>
      <w:r w:rsidRPr="00E30231">
        <w:rPr>
          <w:rStyle w:val="FootnoteReference"/>
          <w:sz w:val="20"/>
        </w:rPr>
        <w:footnoteRef/>
      </w:r>
      <w:r w:rsidRPr="00E30231">
        <w:rPr>
          <w:sz w:val="20"/>
        </w:rPr>
        <w:t xml:space="preserve"> </w:t>
      </w:r>
      <w:r w:rsidRPr="00E30231">
        <w:rPr>
          <w:i/>
          <w:iCs/>
          <w:sz w:val="20"/>
        </w:rPr>
        <w:t>Id</w:t>
      </w:r>
      <w:r w:rsidRPr="00E30231">
        <w:rPr>
          <w:sz w:val="20"/>
        </w:rPr>
        <w:t>.</w:t>
      </w:r>
    </w:p>
  </w:footnote>
  <w:footnote w:id="16">
    <w:p w:rsidR="006F60CC" w:rsidRPr="002536AD" w:rsidP="002536AD" w14:paraId="340E8F80" w14:textId="79865172">
      <w:pPr>
        <w:pStyle w:val="FootnoteText"/>
        <w:spacing w:after="120"/>
        <w:rPr>
          <w:i/>
          <w:iCs/>
          <w:sz w:val="20"/>
        </w:rPr>
      </w:pPr>
      <w:r w:rsidRPr="00A261E2">
        <w:rPr>
          <w:rStyle w:val="FootnoteReference"/>
          <w:sz w:val="20"/>
        </w:rPr>
        <w:footnoteRef/>
      </w:r>
      <w:r w:rsidRPr="006A20C5">
        <w:rPr>
          <w:sz w:val="20"/>
        </w:rPr>
        <w:t xml:space="preserve"> </w:t>
      </w:r>
      <w:r w:rsidR="002536AD">
        <w:rPr>
          <w:i/>
          <w:iCs/>
          <w:sz w:val="20"/>
        </w:rPr>
        <w:t>Id</w:t>
      </w:r>
      <w:r w:rsidR="002536AD">
        <w:rPr>
          <w:sz w:val="20"/>
        </w:rPr>
        <w:t xml:space="preserve">. </w:t>
      </w:r>
      <w:r w:rsidRPr="006A20C5">
        <w:rPr>
          <w:sz w:val="20"/>
        </w:rPr>
        <w:t>at 20-21.</w:t>
      </w:r>
      <w:r w:rsidR="00DC4DD5">
        <w:rPr>
          <w:sz w:val="20"/>
        </w:rPr>
        <w:t xml:space="preserve">  Messrs. Agostino and Macleod are citizens of the United Kingdom while Mr. Malan is a citizen of both the United Kingdom and Australia.  </w:t>
      </w:r>
      <w:r w:rsidR="00DC4DD5">
        <w:rPr>
          <w:i/>
          <w:iCs/>
          <w:sz w:val="20"/>
        </w:rPr>
        <w:t>Id.</w:t>
      </w:r>
    </w:p>
  </w:footnote>
  <w:footnote w:id="17">
    <w:p w:rsidR="006A20C5" w:rsidRPr="006A20C5" w:rsidP="002536AD" w14:paraId="034E3A92" w14:textId="53DF0626">
      <w:pPr>
        <w:pStyle w:val="FootnoteText"/>
        <w:spacing w:after="120"/>
        <w:rPr>
          <w:sz w:val="20"/>
        </w:rPr>
      </w:pPr>
      <w:r w:rsidRPr="006A20C5">
        <w:rPr>
          <w:rStyle w:val="FootnoteReference"/>
          <w:sz w:val="20"/>
        </w:rPr>
        <w:footnoteRef/>
      </w:r>
      <w:r w:rsidRPr="006A20C5">
        <w:rPr>
          <w:sz w:val="20"/>
        </w:rPr>
        <w:t xml:space="preserve"> </w:t>
      </w:r>
      <w:r w:rsidRPr="006A20C5">
        <w:rPr>
          <w:i/>
          <w:iCs/>
          <w:sz w:val="20"/>
        </w:rPr>
        <w:t>Id</w:t>
      </w:r>
      <w:r w:rsidRPr="006A20C5">
        <w:rPr>
          <w:sz w:val="20"/>
        </w:rPr>
        <w:t>. at 7.</w:t>
      </w:r>
    </w:p>
  </w:footnote>
  <w:footnote w:id="18">
    <w:p w:rsidR="006A20C5" w:rsidRPr="006A20C5" w:rsidP="002536AD" w14:paraId="2E6990F7" w14:textId="5E572041">
      <w:pPr>
        <w:pStyle w:val="FootnoteText"/>
        <w:spacing w:after="120"/>
        <w:rPr>
          <w:sz w:val="20"/>
        </w:rPr>
      </w:pPr>
      <w:r w:rsidRPr="006A20C5">
        <w:rPr>
          <w:rStyle w:val="FootnoteReference"/>
          <w:sz w:val="20"/>
        </w:rPr>
        <w:footnoteRef/>
      </w:r>
      <w:r w:rsidRPr="006A20C5">
        <w:rPr>
          <w:sz w:val="20"/>
        </w:rPr>
        <w:t xml:space="preserve"> </w:t>
      </w:r>
      <w:r w:rsidRPr="006A20C5">
        <w:rPr>
          <w:i/>
          <w:iCs/>
          <w:sz w:val="20"/>
        </w:rPr>
        <w:t>Id</w:t>
      </w:r>
      <w:r w:rsidRPr="006A20C5">
        <w:rPr>
          <w:sz w:val="20"/>
        </w:rPr>
        <w:t>.</w:t>
      </w:r>
    </w:p>
  </w:footnote>
  <w:footnote w:id="19">
    <w:p w:rsidR="006A20C5" w:rsidRPr="006A20C5" w:rsidP="002536AD" w14:paraId="140F946F" w14:textId="1F19BF78">
      <w:pPr>
        <w:pStyle w:val="FootnoteText"/>
        <w:spacing w:after="120"/>
        <w:rPr>
          <w:sz w:val="20"/>
        </w:rPr>
      </w:pPr>
      <w:r w:rsidRPr="006A20C5">
        <w:rPr>
          <w:rStyle w:val="FootnoteReference"/>
          <w:sz w:val="20"/>
        </w:rPr>
        <w:footnoteRef/>
      </w:r>
      <w:r w:rsidRPr="006A20C5">
        <w:rPr>
          <w:sz w:val="20"/>
        </w:rPr>
        <w:t xml:space="preserve"> </w:t>
      </w:r>
      <w:r w:rsidRPr="006A20C5">
        <w:rPr>
          <w:i/>
          <w:iCs/>
          <w:sz w:val="20"/>
        </w:rPr>
        <w:t>Id</w:t>
      </w:r>
      <w:r w:rsidRPr="006A20C5">
        <w:rPr>
          <w:sz w:val="20"/>
        </w:rPr>
        <w:t>.</w:t>
      </w:r>
    </w:p>
  </w:footnote>
  <w:footnote w:id="20">
    <w:p w:rsidR="00DC4DD5" w:rsidRPr="002536AD" w:rsidP="002536AD" w14:paraId="5E63BFEA" w14:textId="0A072D97">
      <w:pPr>
        <w:pStyle w:val="FootnoteText"/>
        <w:spacing w:after="120"/>
        <w:rPr>
          <w:sz w:val="20"/>
        </w:rPr>
      </w:pPr>
      <w:r w:rsidRPr="002536AD">
        <w:rPr>
          <w:rStyle w:val="FootnoteReference"/>
          <w:sz w:val="20"/>
        </w:rPr>
        <w:footnoteRef/>
      </w:r>
      <w:r w:rsidRPr="002536AD">
        <w:rPr>
          <w:sz w:val="20"/>
        </w:rPr>
        <w:t xml:space="preserve"> </w:t>
      </w:r>
      <w:r w:rsidR="00A261E2">
        <w:rPr>
          <w:i/>
          <w:iCs/>
          <w:sz w:val="20"/>
        </w:rPr>
        <w:t xml:space="preserve">Id. </w:t>
      </w:r>
      <w:r w:rsidRPr="002536AD" w:rsidR="00DE5CD4">
        <w:rPr>
          <w:sz w:val="20"/>
        </w:rPr>
        <w:t>at 7-9.</w:t>
      </w:r>
    </w:p>
  </w:footnote>
  <w:footnote w:id="21">
    <w:p w:rsidR="001D4D01" w:rsidRPr="00A261E2" w:rsidP="002536AD" w14:paraId="54F00575" w14:textId="055D139F">
      <w:pPr>
        <w:pStyle w:val="FootnoteText"/>
        <w:spacing w:after="120"/>
        <w:rPr>
          <w:sz w:val="20"/>
        </w:rPr>
      </w:pPr>
      <w:r w:rsidRPr="00DE5CD4">
        <w:rPr>
          <w:rStyle w:val="FootnoteReference"/>
          <w:sz w:val="20"/>
        </w:rPr>
        <w:footnoteRef/>
      </w:r>
      <w:r w:rsidRPr="00DE5CD4">
        <w:rPr>
          <w:sz w:val="20"/>
        </w:rPr>
        <w:t xml:space="preserve"> </w:t>
      </w:r>
      <w:r w:rsidRPr="00A261E2" w:rsidR="006A20C5">
        <w:rPr>
          <w:i/>
          <w:iCs/>
          <w:sz w:val="20"/>
        </w:rPr>
        <w:t>Id</w:t>
      </w:r>
      <w:r w:rsidRPr="00A261E2" w:rsidR="006A20C5">
        <w:rPr>
          <w:sz w:val="20"/>
        </w:rPr>
        <w:t>.</w:t>
      </w:r>
      <w:r w:rsidRPr="00A261E2">
        <w:rPr>
          <w:sz w:val="20"/>
        </w:rPr>
        <w:t xml:space="preserve"> at 8.</w:t>
      </w:r>
    </w:p>
  </w:footnote>
  <w:footnote w:id="22">
    <w:p w:rsidR="001D4D01" w:rsidRPr="006A20C5" w:rsidP="002536AD" w14:paraId="1E07C38F" w14:textId="668CBB9C">
      <w:pPr>
        <w:pStyle w:val="FootnoteText"/>
        <w:spacing w:after="120"/>
        <w:rPr>
          <w:sz w:val="20"/>
        </w:rPr>
      </w:pPr>
      <w:r w:rsidRPr="00DE5CD4">
        <w:rPr>
          <w:rStyle w:val="FootnoteReference"/>
          <w:sz w:val="20"/>
        </w:rPr>
        <w:footnoteRef/>
      </w:r>
      <w:r w:rsidRPr="006A20C5">
        <w:rPr>
          <w:sz w:val="20"/>
        </w:rPr>
        <w:t xml:space="preserve"> </w:t>
      </w:r>
      <w:r w:rsidRPr="006A20C5">
        <w:rPr>
          <w:i/>
          <w:iCs/>
          <w:sz w:val="20"/>
        </w:rPr>
        <w:t>Id</w:t>
      </w:r>
      <w:r w:rsidRPr="006A20C5">
        <w:rPr>
          <w:sz w:val="20"/>
        </w:rPr>
        <w:t>. at 8-9.</w:t>
      </w:r>
    </w:p>
  </w:footnote>
  <w:footnote w:id="23">
    <w:p w:rsidR="001D4D01" w:rsidRPr="006A20C5" w:rsidP="002536AD" w14:paraId="71AD0716" w14:textId="00D4595D">
      <w:pPr>
        <w:pStyle w:val="FootnoteText"/>
        <w:spacing w:after="120"/>
        <w:rPr>
          <w:sz w:val="20"/>
        </w:rPr>
      </w:pPr>
      <w:r w:rsidRPr="006A20C5">
        <w:rPr>
          <w:rStyle w:val="FootnoteReference"/>
          <w:sz w:val="20"/>
        </w:rPr>
        <w:footnoteRef/>
      </w:r>
      <w:r w:rsidRPr="006A20C5">
        <w:rPr>
          <w:sz w:val="20"/>
        </w:rPr>
        <w:t xml:space="preserve"> </w:t>
      </w:r>
      <w:r w:rsidRPr="006A20C5">
        <w:rPr>
          <w:sz w:val="20"/>
        </w:rPr>
        <w:t>Supplement at 2</w:t>
      </w:r>
      <w:r w:rsidR="00433CEE">
        <w:rPr>
          <w:sz w:val="20"/>
        </w:rPr>
        <w:t xml:space="preserve"> (citing </w:t>
      </w:r>
      <w:r w:rsidRPr="00433CEE" w:rsidR="00433CEE">
        <w:rPr>
          <w:i/>
          <w:iCs/>
          <w:sz w:val="20"/>
        </w:rPr>
        <w:t>Wireline Competition Bureau Announces Support Amounts Offered to Rate-of-</w:t>
      </w:r>
      <w:r w:rsidR="00433CEE">
        <w:rPr>
          <w:i/>
          <w:iCs/>
          <w:sz w:val="20"/>
        </w:rPr>
        <w:t>R</w:t>
      </w:r>
      <w:r w:rsidRPr="00433CEE" w:rsidR="00433CEE">
        <w:rPr>
          <w:i/>
          <w:iCs/>
          <w:sz w:val="20"/>
        </w:rPr>
        <w:t>eturn Carriers to Expand Rural Broadband</w:t>
      </w:r>
      <w:r w:rsidR="00433CEE">
        <w:rPr>
          <w:sz w:val="20"/>
        </w:rPr>
        <w:t>, WC Docket No. 10-90, Public Notice, 31 FCC Rcd 8641 (WCB 2016))</w:t>
      </w:r>
      <w:r w:rsidRPr="006A20C5">
        <w:rPr>
          <w:sz w:val="20"/>
        </w:rPr>
        <w:t>.</w:t>
      </w:r>
    </w:p>
  </w:footnote>
  <w:footnote w:id="24">
    <w:p w:rsidR="00A23622" w:rsidRPr="006A20C5" w:rsidP="00C8523B" w14:paraId="434ABC3C" w14:textId="668CBB9C">
      <w:pPr>
        <w:pStyle w:val="FootnoteText"/>
        <w:spacing w:after="120"/>
        <w:rPr>
          <w:sz w:val="20"/>
        </w:rPr>
      </w:pPr>
      <w:r w:rsidRPr="006A20C5">
        <w:rPr>
          <w:rStyle w:val="FootnoteReference"/>
          <w:sz w:val="20"/>
        </w:rPr>
        <w:footnoteRef/>
      </w:r>
      <w:r w:rsidRPr="006A20C5">
        <w:rPr>
          <w:sz w:val="20"/>
        </w:rPr>
        <w:t xml:space="preserve"> </w:t>
      </w:r>
      <w:r w:rsidRPr="006A20C5">
        <w:rPr>
          <w:sz w:val="20"/>
        </w:rPr>
        <w:t>47 CFR § 63.03(c)(1)(v).</w:t>
      </w:r>
    </w:p>
  </w:footnote>
  <w:footnote w:id="25">
    <w:p w:rsidR="006A20C5" w:rsidP="002536AD" w14:paraId="2CCEA737" w14:textId="5AB2A0DA">
      <w:pPr>
        <w:pStyle w:val="FootnoteText"/>
        <w:spacing w:after="120"/>
      </w:pPr>
      <w:r w:rsidRPr="006A20C5">
        <w:rPr>
          <w:rStyle w:val="FootnoteReference"/>
          <w:sz w:val="20"/>
        </w:rPr>
        <w:footnoteRef/>
      </w:r>
      <w:r w:rsidRPr="006A20C5">
        <w:rPr>
          <w:sz w:val="20"/>
        </w:rPr>
        <w:t xml:space="preserve"> </w:t>
      </w:r>
      <w:r w:rsidRPr="002536AD" w:rsidR="002536AD">
        <w:rPr>
          <w:color w:val="000000"/>
          <w:sz w:val="20"/>
        </w:rPr>
        <w:t xml:space="preserve">47 CFR § 1.40001.  </w:t>
      </w:r>
      <w:r w:rsidRPr="006A20C5">
        <w:rPr>
          <w:i/>
          <w:iCs/>
          <w:sz w:val="20"/>
        </w:rPr>
        <w:t>See Process Reform for Executive Branch Review of Certain FCC Applications and Petitions Involving Foreign Ownership,</w:t>
      </w:r>
      <w:r w:rsidRPr="006A20C5">
        <w:rPr>
          <w:sz w:val="20"/>
        </w:rPr>
        <w:t xml:space="preserve"> IB Docket 16-155, Report and Order, 35 FCC Rcd 10927 (2020), Erratum (Appendix B — Final Rules), DA 20-1404 (OMD/IB rel. Nov. 27, 2020).  </w:t>
      </w:r>
      <w:r w:rsidRPr="006A20C5">
        <w:rPr>
          <w:i/>
          <w:iCs/>
          <w:sz w:val="20"/>
        </w:rPr>
        <w:t>See also Rules and Policies on Foreign Participation in the U.S. Telecommunications Market; Market Entry and Regulation of Foreign-</w:t>
      </w:r>
      <w:r w:rsidRPr="00E73929">
        <w:rPr>
          <w:i/>
          <w:iCs/>
          <w:sz w:val="20"/>
        </w:rPr>
        <w:t xml:space="preserve"> Affiliated Entities</w:t>
      </w:r>
      <w:r w:rsidRPr="00E73929">
        <w:rPr>
          <w:sz w:val="20"/>
        </w:rPr>
        <w:t>, IB Docket Nos. 97-142 and 95-22, Report and Order and Order on Reconsideration, 12 FCC Rcd 23891, 23918-19, paras. 61-63 (1997) (</w:t>
      </w:r>
      <w:r w:rsidRPr="00E73929">
        <w:rPr>
          <w:i/>
          <w:iCs/>
          <w:sz w:val="20"/>
        </w:rPr>
        <w:t>Foreign Participation Order</w:t>
      </w:r>
      <w:r w:rsidRPr="00E73929">
        <w:rPr>
          <w:sz w:val="20"/>
        </w:rPr>
        <w:t>), recon. denied, 15 FCC Rcd 18158 (2000).</w:t>
      </w:r>
      <w:r>
        <w:rPr>
          <w:sz w:val="20"/>
        </w:rPr>
        <w:t xml:space="preserve">  On November 16, 2021, Applicants withdrew their request for the Commission to exclude the Application from referral to the Executive Branch agencies.  Letter from Patrick S. Campbell, Counsel for Worth Telecoms, to Marlene H. Dortch, Secretary, FCC, WC Docket No. 21-432, IB File No. ITC-T/C-202111104-00161 (filed Nov. 16, 2021) (citing Application at 9-13).</w:t>
      </w:r>
    </w:p>
  </w:footnote>
  <w:footnote w:id="26">
    <w:p w:rsidR="00E30231" w:rsidRPr="00563402" w:rsidP="00E30231" w14:paraId="1EA7456F" w14:textId="77777777">
      <w:pPr>
        <w:pStyle w:val="FootnoteText"/>
        <w:spacing w:after="120"/>
        <w:rPr>
          <w:sz w:val="20"/>
          <w:u w:val="single"/>
        </w:rPr>
      </w:pPr>
      <w:r w:rsidRPr="00233EA3">
        <w:rPr>
          <w:rStyle w:val="FootnoteReference"/>
          <w:sz w:val="20"/>
        </w:rPr>
        <w:footnoteRef/>
      </w:r>
      <w:r w:rsidRPr="00233EA3">
        <w:rPr>
          <w:sz w:val="20"/>
        </w:rPr>
        <w:t xml:space="preserve"> </w:t>
      </w:r>
      <w:r w:rsidRPr="00233EA3">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563402">
        <w:rPr>
          <w:rFonts w:eastAsia="Calibri"/>
          <w:i/>
          <w:iCs/>
          <w:sz w:val="20"/>
        </w:rPr>
        <w:t>See FCC Announces Closure of FCC Headquarters Open Window and Change in Hand-Delivery Policy</w:t>
      </w:r>
      <w:r w:rsidRPr="00563402">
        <w:rPr>
          <w:rFonts w:eastAsia="Calibri"/>
          <w:sz w:val="20"/>
        </w:rPr>
        <w:t>, Public Notice, 35 FCC Rcd 2788 (OS 2020).</w:t>
      </w:r>
    </w:p>
    <w:p w:rsidR="00E30231" w:rsidRPr="00DD1374" w:rsidP="00E30231" w14:paraId="121F67B4" w14:textId="77777777">
      <w:pPr>
        <w:pStyle w:val="FootnoteText"/>
        <w:spacing w:after="120"/>
        <w:rPr>
          <w:sz w:val="20"/>
          <w:u w:val="single"/>
        </w:rPr>
      </w:pPr>
    </w:p>
  </w:footnote>
  <w:footnote w:id="27">
    <w:p w:rsidR="00E30231" w:rsidRPr="00233EA3" w:rsidP="00E30231" w14:paraId="59DA1697" w14:textId="77777777">
      <w:pPr>
        <w:pStyle w:val="FootnoteText"/>
        <w:tabs>
          <w:tab w:val="clear" w:pos="720"/>
        </w:tabs>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B3539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CA59E30" w14:textId="77777777">
                <w:pPr>
                  <w:rPr>
                    <w:rFonts w:ascii="Arial" w:hAnsi="Arial"/>
                    <w:b/>
                  </w:rPr>
                </w:pPr>
                <w:r>
                  <w:rPr>
                    <w:rFonts w:ascii="Arial" w:hAnsi="Arial"/>
                    <w:b/>
                  </w:rPr>
                  <w:t>Federal Communications Commission</w:t>
                </w:r>
              </w:p>
              <w:p w:rsidR="005D4020" w14:paraId="38B26789" w14:textId="77777777">
                <w:pPr>
                  <w:rPr>
                    <w:rFonts w:ascii="Arial" w:hAnsi="Arial"/>
                    <w:b/>
                  </w:rPr>
                </w:pPr>
                <w:r>
                  <w:rPr>
                    <w:rFonts w:ascii="Arial" w:hAnsi="Arial"/>
                    <w:b/>
                  </w:rPr>
                  <w:t>45 L St., N.E.</w:t>
                </w:r>
              </w:p>
              <w:p w:rsidR="005D4020" w14:paraId="2F3AD34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9B3D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EED2FA0" w14:textId="77777777">
                <w:pPr>
                  <w:spacing w:before="40"/>
                  <w:jc w:val="right"/>
                  <w:rPr>
                    <w:rFonts w:ascii="Arial" w:hAnsi="Arial"/>
                    <w:b/>
                    <w:sz w:val="16"/>
                  </w:rPr>
                </w:pPr>
                <w:r>
                  <w:rPr>
                    <w:rFonts w:ascii="Arial" w:hAnsi="Arial"/>
                    <w:b/>
                    <w:sz w:val="16"/>
                  </w:rPr>
                  <w:t>News Media Information 202 / 418-0500</w:t>
                </w:r>
              </w:p>
              <w:p w:rsidR="005D4020" w14:paraId="4C48FC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718BDA4" w14:textId="77777777">
                <w:pPr>
                  <w:jc w:val="right"/>
                  <w:rPr>
                    <w:rFonts w:ascii="Arial" w:hAnsi="Arial"/>
                    <w:b/>
                    <w:sz w:val="16"/>
                  </w:rPr>
                </w:pPr>
              </w:p>
              <w:p w:rsidR="005D4020" w14:paraId="7B3007E1" w14:textId="77777777">
                <w:pPr>
                  <w:jc w:val="right"/>
                </w:pPr>
              </w:p>
            </w:txbxContent>
          </v:textbox>
        </v:shape>
      </w:pict>
    </w:r>
  </w:p>
  <w:p w:rsidR="005D4020" w14:paraId="3CA62D9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89B65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1825"/>
    <w:rsid w:val="0000440C"/>
    <w:rsid w:val="000064CD"/>
    <w:rsid w:val="00006E89"/>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52F7"/>
    <w:rsid w:val="000563FA"/>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5231"/>
    <w:rsid w:val="000861C2"/>
    <w:rsid w:val="00086D16"/>
    <w:rsid w:val="00086D74"/>
    <w:rsid w:val="00087205"/>
    <w:rsid w:val="000874BE"/>
    <w:rsid w:val="0008758B"/>
    <w:rsid w:val="00087B6D"/>
    <w:rsid w:val="00091A3E"/>
    <w:rsid w:val="00092A4E"/>
    <w:rsid w:val="00093D99"/>
    <w:rsid w:val="000946FB"/>
    <w:rsid w:val="0009534A"/>
    <w:rsid w:val="00097553"/>
    <w:rsid w:val="00097AB0"/>
    <w:rsid w:val="000A0A5A"/>
    <w:rsid w:val="000A24AA"/>
    <w:rsid w:val="000A4F8C"/>
    <w:rsid w:val="000B1C31"/>
    <w:rsid w:val="000B210F"/>
    <w:rsid w:val="000B3146"/>
    <w:rsid w:val="000B48A6"/>
    <w:rsid w:val="000B4EDD"/>
    <w:rsid w:val="000B5635"/>
    <w:rsid w:val="000B6839"/>
    <w:rsid w:val="000C2BFD"/>
    <w:rsid w:val="000C7CA4"/>
    <w:rsid w:val="000D15E4"/>
    <w:rsid w:val="000D371E"/>
    <w:rsid w:val="000D3A8B"/>
    <w:rsid w:val="000D3C50"/>
    <w:rsid w:val="000D7E4D"/>
    <w:rsid w:val="000E0084"/>
    <w:rsid w:val="000E01DF"/>
    <w:rsid w:val="000E14B7"/>
    <w:rsid w:val="000E157E"/>
    <w:rsid w:val="000E35A7"/>
    <w:rsid w:val="000E3BD4"/>
    <w:rsid w:val="000E538C"/>
    <w:rsid w:val="000E5955"/>
    <w:rsid w:val="000E7B60"/>
    <w:rsid w:val="000F02F7"/>
    <w:rsid w:val="000F233E"/>
    <w:rsid w:val="000F467E"/>
    <w:rsid w:val="000F5E94"/>
    <w:rsid w:val="00100ED3"/>
    <w:rsid w:val="001019E2"/>
    <w:rsid w:val="00101D0B"/>
    <w:rsid w:val="00110761"/>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7617"/>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4997"/>
    <w:rsid w:val="001C5D07"/>
    <w:rsid w:val="001C62E7"/>
    <w:rsid w:val="001C78FB"/>
    <w:rsid w:val="001D10A0"/>
    <w:rsid w:val="001D4D01"/>
    <w:rsid w:val="001E06DD"/>
    <w:rsid w:val="001E16CA"/>
    <w:rsid w:val="001E2274"/>
    <w:rsid w:val="001E382D"/>
    <w:rsid w:val="001E5573"/>
    <w:rsid w:val="001E659B"/>
    <w:rsid w:val="001E7604"/>
    <w:rsid w:val="001E78CB"/>
    <w:rsid w:val="001F024C"/>
    <w:rsid w:val="001F1508"/>
    <w:rsid w:val="001F6762"/>
    <w:rsid w:val="001F7B57"/>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31028"/>
    <w:rsid w:val="00233EA3"/>
    <w:rsid w:val="00240B49"/>
    <w:rsid w:val="00241CB2"/>
    <w:rsid w:val="0024326F"/>
    <w:rsid w:val="0024736A"/>
    <w:rsid w:val="0025247F"/>
    <w:rsid w:val="00253247"/>
    <w:rsid w:val="002536AD"/>
    <w:rsid w:val="002606A8"/>
    <w:rsid w:val="0026090D"/>
    <w:rsid w:val="002620B5"/>
    <w:rsid w:val="00262C25"/>
    <w:rsid w:val="00262E65"/>
    <w:rsid w:val="002634E5"/>
    <w:rsid w:val="002646E7"/>
    <w:rsid w:val="00266135"/>
    <w:rsid w:val="002666BC"/>
    <w:rsid w:val="00266D63"/>
    <w:rsid w:val="00267BF2"/>
    <w:rsid w:val="00272142"/>
    <w:rsid w:val="002726B0"/>
    <w:rsid w:val="0027576A"/>
    <w:rsid w:val="0028149F"/>
    <w:rsid w:val="00283536"/>
    <w:rsid w:val="0028397D"/>
    <w:rsid w:val="00283C07"/>
    <w:rsid w:val="0028555C"/>
    <w:rsid w:val="00287432"/>
    <w:rsid w:val="002914B9"/>
    <w:rsid w:val="00296D68"/>
    <w:rsid w:val="00297F1D"/>
    <w:rsid w:val="002A105A"/>
    <w:rsid w:val="002A1D13"/>
    <w:rsid w:val="002A23EF"/>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D9F"/>
    <w:rsid w:val="002F4E17"/>
    <w:rsid w:val="002F528E"/>
    <w:rsid w:val="002F6D28"/>
    <w:rsid w:val="003003FD"/>
    <w:rsid w:val="0030523C"/>
    <w:rsid w:val="00305D86"/>
    <w:rsid w:val="00306AAD"/>
    <w:rsid w:val="0031156F"/>
    <w:rsid w:val="00312CE1"/>
    <w:rsid w:val="00313546"/>
    <w:rsid w:val="00315D50"/>
    <w:rsid w:val="00315FCD"/>
    <w:rsid w:val="0031636F"/>
    <w:rsid w:val="00321F97"/>
    <w:rsid w:val="00325988"/>
    <w:rsid w:val="0032625B"/>
    <w:rsid w:val="003330D8"/>
    <w:rsid w:val="00334E6C"/>
    <w:rsid w:val="0033631D"/>
    <w:rsid w:val="00337E04"/>
    <w:rsid w:val="00337F0B"/>
    <w:rsid w:val="00340881"/>
    <w:rsid w:val="00345CA2"/>
    <w:rsid w:val="003479C9"/>
    <w:rsid w:val="00351689"/>
    <w:rsid w:val="00351B30"/>
    <w:rsid w:val="00351D1D"/>
    <w:rsid w:val="00353CB5"/>
    <w:rsid w:val="00355AF3"/>
    <w:rsid w:val="003632CF"/>
    <w:rsid w:val="00364590"/>
    <w:rsid w:val="00365194"/>
    <w:rsid w:val="00367E50"/>
    <w:rsid w:val="00370A7F"/>
    <w:rsid w:val="00371142"/>
    <w:rsid w:val="00371AAB"/>
    <w:rsid w:val="00372CA2"/>
    <w:rsid w:val="003768D4"/>
    <w:rsid w:val="0037705C"/>
    <w:rsid w:val="003811C7"/>
    <w:rsid w:val="003817EB"/>
    <w:rsid w:val="00384632"/>
    <w:rsid w:val="003855A0"/>
    <w:rsid w:val="0038696D"/>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198A"/>
    <w:rsid w:val="003C23FE"/>
    <w:rsid w:val="003C4A02"/>
    <w:rsid w:val="003C7229"/>
    <w:rsid w:val="003D0E88"/>
    <w:rsid w:val="003D0F8F"/>
    <w:rsid w:val="003D14F4"/>
    <w:rsid w:val="003D4F94"/>
    <w:rsid w:val="003E1784"/>
    <w:rsid w:val="003E187A"/>
    <w:rsid w:val="003E32AC"/>
    <w:rsid w:val="003E3AD7"/>
    <w:rsid w:val="003E5630"/>
    <w:rsid w:val="003E58EC"/>
    <w:rsid w:val="003E6571"/>
    <w:rsid w:val="003F0A56"/>
    <w:rsid w:val="003F0ECD"/>
    <w:rsid w:val="003F16BE"/>
    <w:rsid w:val="003F1D04"/>
    <w:rsid w:val="003F2CD4"/>
    <w:rsid w:val="0040062D"/>
    <w:rsid w:val="004009DE"/>
    <w:rsid w:val="004015DA"/>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CEE"/>
    <w:rsid w:val="00433D8C"/>
    <w:rsid w:val="00434899"/>
    <w:rsid w:val="00434C96"/>
    <w:rsid w:val="004354F6"/>
    <w:rsid w:val="0043596D"/>
    <w:rsid w:val="00436B4A"/>
    <w:rsid w:val="00440989"/>
    <w:rsid w:val="004419B5"/>
    <w:rsid w:val="00444548"/>
    <w:rsid w:val="00447DD5"/>
    <w:rsid w:val="0045030A"/>
    <w:rsid w:val="004503EA"/>
    <w:rsid w:val="00452843"/>
    <w:rsid w:val="00453399"/>
    <w:rsid w:val="0045717F"/>
    <w:rsid w:val="00460914"/>
    <w:rsid w:val="004609A4"/>
    <w:rsid w:val="00462C6F"/>
    <w:rsid w:val="00462D8F"/>
    <w:rsid w:val="00464E8A"/>
    <w:rsid w:val="00466B9F"/>
    <w:rsid w:val="00473955"/>
    <w:rsid w:val="00476938"/>
    <w:rsid w:val="00476EFB"/>
    <w:rsid w:val="004808FC"/>
    <w:rsid w:val="00482EB0"/>
    <w:rsid w:val="00483B1B"/>
    <w:rsid w:val="00485D13"/>
    <w:rsid w:val="004913FF"/>
    <w:rsid w:val="00492290"/>
    <w:rsid w:val="00492A28"/>
    <w:rsid w:val="004951AE"/>
    <w:rsid w:val="00496253"/>
    <w:rsid w:val="004962B9"/>
    <w:rsid w:val="004A4D05"/>
    <w:rsid w:val="004A51C9"/>
    <w:rsid w:val="004A684C"/>
    <w:rsid w:val="004A7357"/>
    <w:rsid w:val="004B4999"/>
    <w:rsid w:val="004B49CC"/>
    <w:rsid w:val="004B666C"/>
    <w:rsid w:val="004C071B"/>
    <w:rsid w:val="004C0C77"/>
    <w:rsid w:val="004C0CEF"/>
    <w:rsid w:val="004C16DE"/>
    <w:rsid w:val="004C1A64"/>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2887"/>
    <w:rsid w:val="004F3603"/>
    <w:rsid w:val="004F3CEC"/>
    <w:rsid w:val="004F4DC1"/>
    <w:rsid w:val="004F4FA1"/>
    <w:rsid w:val="004F686B"/>
    <w:rsid w:val="004F6F64"/>
    <w:rsid w:val="00501221"/>
    <w:rsid w:val="00501D17"/>
    <w:rsid w:val="00501F06"/>
    <w:rsid w:val="00504BF5"/>
    <w:rsid w:val="00505DA1"/>
    <w:rsid w:val="00507B82"/>
    <w:rsid w:val="005107DF"/>
    <w:rsid w:val="005226C6"/>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84E"/>
    <w:rsid w:val="00557B2D"/>
    <w:rsid w:val="0056058F"/>
    <w:rsid w:val="00563402"/>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5B0B"/>
    <w:rsid w:val="00647C67"/>
    <w:rsid w:val="00647C99"/>
    <w:rsid w:val="00650544"/>
    <w:rsid w:val="0065288F"/>
    <w:rsid w:val="00653610"/>
    <w:rsid w:val="00653BD6"/>
    <w:rsid w:val="00654B1F"/>
    <w:rsid w:val="00656369"/>
    <w:rsid w:val="00656777"/>
    <w:rsid w:val="0065693D"/>
    <w:rsid w:val="00663300"/>
    <w:rsid w:val="00663975"/>
    <w:rsid w:val="006703D5"/>
    <w:rsid w:val="0067115F"/>
    <w:rsid w:val="00671BA9"/>
    <w:rsid w:val="0067335F"/>
    <w:rsid w:val="00676321"/>
    <w:rsid w:val="006768CC"/>
    <w:rsid w:val="00677101"/>
    <w:rsid w:val="00677DF3"/>
    <w:rsid w:val="0068067C"/>
    <w:rsid w:val="00680868"/>
    <w:rsid w:val="00684AB3"/>
    <w:rsid w:val="006876EF"/>
    <w:rsid w:val="006902CD"/>
    <w:rsid w:val="00690EA9"/>
    <w:rsid w:val="00691832"/>
    <w:rsid w:val="00693C2C"/>
    <w:rsid w:val="006945FA"/>
    <w:rsid w:val="00695785"/>
    <w:rsid w:val="00697832"/>
    <w:rsid w:val="00697AFE"/>
    <w:rsid w:val="006A156E"/>
    <w:rsid w:val="006A19A2"/>
    <w:rsid w:val="006A1C8E"/>
    <w:rsid w:val="006A1F64"/>
    <w:rsid w:val="006A20C5"/>
    <w:rsid w:val="006B0FB5"/>
    <w:rsid w:val="006B3480"/>
    <w:rsid w:val="006B36F1"/>
    <w:rsid w:val="006B3829"/>
    <w:rsid w:val="006B5C06"/>
    <w:rsid w:val="006B6400"/>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7452"/>
    <w:rsid w:val="006F2F1F"/>
    <w:rsid w:val="006F3441"/>
    <w:rsid w:val="006F4360"/>
    <w:rsid w:val="006F4B1B"/>
    <w:rsid w:val="006F4D60"/>
    <w:rsid w:val="006F60CC"/>
    <w:rsid w:val="00702B72"/>
    <w:rsid w:val="00703543"/>
    <w:rsid w:val="0070514A"/>
    <w:rsid w:val="007052BE"/>
    <w:rsid w:val="007067E2"/>
    <w:rsid w:val="00706D49"/>
    <w:rsid w:val="0071041E"/>
    <w:rsid w:val="00710BAB"/>
    <w:rsid w:val="007124C8"/>
    <w:rsid w:val="00712BB0"/>
    <w:rsid w:val="00714887"/>
    <w:rsid w:val="00721062"/>
    <w:rsid w:val="00721165"/>
    <w:rsid w:val="007218B2"/>
    <w:rsid w:val="00724722"/>
    <w:rsid w:val="00730F00"/>
    <w:rsid w:val="00733B9B"/>
    <w:rsid w:val="007349C4"/>
    <w:rsid w:val="007413DA"/>
    <w:rsid w:val="00741682"/>
    <w:rsid w:val="0074294F"/>
    <w:rsid w:val="00744022"/>
    <w:rsid w:val="007451E0"/>
    <w:rsid w:val="00746FDA"/>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904D9"/>
    <w:rsid w:val="007915C7"/>
    <w:rsid w:val="007920AC"/>
    <w:rsid w:val="00795D2F"/>
    <w:rsid w:val="007961F5"/>
    <w:rsid w:val="0079688E"/>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06B3"/>
    <w:rsid w:val="007D16B0"/>
    <w:rsid w:val="007D2657"/>
    <w:rsid w:val="007D2E71"/>
    <w:rsid w:val="007D3B8F"/>
    <w:rsid w:val="007E0464"/>
    <w:rsid w:val="007E051A"/>
    <w:rsid w:val="007E44C2"/>
    <w:rsid w:val="007E47B5"/>
    <w:rsid w:val="007E64BB"/>
    <w:rsid w:val="007F09A3"/>
    <w:rsid w:val="007F23AB"/>
    <w:rsid w:val="007F2C43"/>
    <w:rsid w:val="007F3556"/>
    <w:rsid w:val="0080023C"/>
    <w:rsid w:val="0080055D"/>
    <w:rsid w:val="00801446"/>
    <w:rsid w:val="00801A6E"/>
    <w:rsid w:val="0080285A"/>
    <w:rsid w:val="00803625"/>
    <w:rsid w:val="008046AD"/>
    <w:rsid w:val="00804B53"/>
    <w:rsid w:val="008052CD"/>
    <w:rsid w:val="00805DF1"/>
    <w:rsid w:val="00807040"/>
    <w:rsid w:val="0081066B"/>
    <w:rsid w:val="0081108D"/>
    <w:rsid w:val="00813C6D"/>
    <w:rsid w:val="0081531F"/>
    <w:rsid w:val="00817CEC"/>
    <w:rsid w:val="00821491"/>
    <w:rsid w:val="00824E65"/>
    <w:rsid w:val="00830915"/>
    <w:rsid w:val="00831812"/>
    <w:rsid w:val="00831D30"/>
    <w:rsid w:val="0083237E"/>
    <w:rsid w:val="0083473B"/>
    <w:rsid w:val="0083618B"/>
    <w:rsid w:val="0084125A"/>
    <w:rsid w:val="008440EE"/>
    <w:rsid w:val="0084563E"/>
    <w:rsid w:val="0084778A"/>
    <w:rsid w:val="00850A62"/>
    <w:rsid w:val="0085101A"/>
    <w:rsid w:val="00851095"/>
    <w:rsid w:val="00851890"/>
    <w:rsid w:val="00851DBA"/>
    <w:rsid w:val="00853114"/>
    <w:rsid w:val="008531EF"/>
    <w:rsid w:val="0085536D"/>
    <w:rsid w:val="0085579D"/>
    <w:rsid w:val="0085683B"/>
    <w:rsid w:val="00856944"/>
    <w:rsid w:val="0086028D"/>
    <w:rsid w:val="0086691C"/>
    <w:rsid w:val="008675C7"/>
    <w:rsid w:val="00873C90"/>
    <w:rsid w:val="0087554B"/>
    <w:rsid w:val="00875725"/>
    <w:rsid w:val="00876374"/>
    <w:rsid w:val="00876629"/>
    <w:rsid w:val="0087685F"/>
    <w:rsid w:val="00877062"/>
    <w:rsid w:val="00877D35"/>
    <w:rsid w:val="00880FF4"/>
    <w:rsid w:val="00883F28"/>
    <w:rsid w:val="008850A3"/>
    <w:rsid w:val="00885F0B"/>
    <w:rsid w:val="00893308"/>
    <w:rsid w:val="00895561"/>
    <w:rsid w:val="00895EC3"/>
    <w:rsid w:val="00897B0A"/>
    <w:rsid w:val="008A5AB2"/>
    <w:rsid w:val="008A65A6"/>
    <w:rsid w:val="008A6CDA"/>
    <w:rsid w:val="008A792A"/>
    <w:rsid w:val="008A793A"/>
    <w:rsid w:val="008B3267"/>
    <w:rsid w:val="008B3835"/>
    <w:rsid w:val="008C0750"/>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4C8C"/>
    <w:rsid w:val="009075DA"/>
    <w:rsid w:val="009101A4"/>
    <w:rsid w:val="00912D13"/>
    <w:rsid w:val="00913852"/>
    <w:rsid w:val="009161AD"/>
    <w:rsid w:val="009203E9"/>
    <w:rsid w:val="009211C4"/>
    <w:rsid w:val="0092185E"/>
    <w:rsid w:val="009229B6"/>
    <w:rsid w:val="009236BF"/>
    <w:rsid w:val="00923C8F"/>
    <w:rsid w:val="00923E4D"/>
    <w:rsid w:val="00925BF1"/>
    <w:rsid w:val="00930B30"/>
    <w:rsid w:val="0093491F"/>
    <w:rsid w:val="00934E85"/>
    <w:rsid w:val="009375A4"/>
    <w:rsid w:val="0094117D"/>
    <w:rsid w:val="0094457C"/>
    <w:rsid w:val="00950639"/>
    <w:rsid w:val="00952A95"/>
    <w:rsid w:val="0095318C"/>
    <w:rsid w:val="009558A7"/>
    <w:rsid w:val="00956255"/>
    <w:rsid w:val="00956DAA"/>
    <w:rsid w:val="00957B02"/>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1905"/>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4216"/>
    <w:rsid w:val="009F4470"/>
    <w:rsid w:val="009F4826"/>
    <w:rsid w:val="009F52E2"/>
    <w:rsid w:val="00A00CAA"/>
    <w:rsid w:val="00A01C9F"/>
    <w:rsid w:val="00A02787"/>
    <w:rsid w:val="00A0487D"/>
    <w:rsid w:val="00A07D0B"/>
    <w:rsid w:val="00A07DE6"/>
    <w:rsid w:val="00A11865"/>
    <w:rsid w:val="00A132F3"/>
    <w:rsid w:val="00A141F3"/>
    <w:rsid w:val="00A14FAC"/>
    <w:rsid w:val="00A15248"/>
    <w:rsid w:val="00A210F8"/>
    <w:rsid w:val="00A229F0"/>
    <w:rsid w:val="00A23622"/>
    <w:rsid w:val="00A25AB6"/>
    <w:rsid w:val="00A25C41"/>
    <w:rsid w:val="00A261E2"/>
    <w:rsid w:val="00A30C04"/>
    <w:rsid w:val="00A326BD"/>
    <w:rsid w:val="00A3545A"/>
    <w:rsid w:val="00A36DEA"/>
    <w:rsid w:val="00A37CD0"/>
    <w:rsid w:val="00A4148C"/>
    <w:rsid w:val="00A4540E"/>
    <w:rsid w:val="00A47815"/>
    <w:rsid w:val="00A54F94"/>
    <w:rsid w:val="00A55BA1"/>
    <w:rsid w:val="00A55F2F"/>
    <w:rsid w:val="00A569E4"/>
    <w:rsid w:val="00A64552"/>
    <w:rsid w:val="00A64935"/>
    <w:rsid w:val="00A66CB5"/>
    <w:rsid w:val="00A77271"/>
    <w:rsid w:val="00A778FF"/>
    <w:rsid w:val="00A8041F"/>
    <w:rsid w:val="00A824AF"/>
    <w:rsid w:val="00A83FF7"/>
    <w:rsid w:val="00A8490B"/>
    <w:rsid w:val="00A85921"/>
    <w:rsid w:val="00A92C9E"/>
    <w:rsid w:val="00A93650"/>
    <w:rsid w:val="00A964BE"/>
    <w:rsid w:val="00A9705F"/>
    <w:rsid w:val="00AA1CE3"/>
    <w:rsid w:val="00AA4037"/>
    <w:rsid w:val="00AA461C"/>
    <w:rsid w:val="00AA50FB"/>
    <w:rsid w:val="00AA662F"/>
    <w:rsid w:val="00AA79C4"/>
    <w:rsid w:val="00AB06F8"/>
    <w:rsid w:val="00AB2A9E"/>
    <w:rsid w:val="00AB582C"/>
    <w:rsid w:val="00AB670F"/>
    <w:rsid w:val="00AB6787"/>
    <w:rsid w:val="00AC0E74"/>
    <w:rsid w:val="00AC115E"/>
    <w:rsid w:val="00AC303A"/>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15C7"/>
    <w:rsid w:val="00B64BBF"/>
    <w:rsid w:val="00B66A71"/>
    <w:rsid w:val="00B71C43"/>
    <w:rsid w:val="00B72F45"/>
    <w:rsid w:val="00B73211"/>
    <w:rsid w:val="00B73AED"/>
    <w:rsid w:val="00B760D7"/>
    <w:rsid w:val="00B766F5"/>
    <w:rsid w:val="00B82819"/>
    <w:rsid w:val="00B83A8F"/>
    <w:rsid w:val="00B841B9"/>
    <w:rsid w:val="00B853D5"/>
    <w:rsid w:val="00B856DD"/>
    <w:rsid w:val="00B908C9"/>
    <w:rsid w:val="00B91444"/>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67B7"/>
    <w:rsid w:val="00BB7CEB"/>
    <w:rsid w:val="00BC0F23"/>
    <w:rsid w:val="00BC5C0C"/>
    <w:rsid w:val="00BC7555"/>
    <w:rsid w:val="00BC7673"/>
    <w:rsid w:val="00BD2520"/>
    <w:rsid w:val="00BD2AE8"/>
    <w:rsid w:val="00BD3278"/>
    <w:rsid w:val="00BD5AFA"/>
    <w:rsid w:val="00BD5F83"/>
    <w:rsid w:val="00BD6372"/>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35C48"/>
    <w:rsid w:val="00C36424"/>
    <w:rsid w:val="00C3643D"/>
    <w:rsid w:val="00C3705B"/>
    <w:rsid w:val="00C37D69"/>
    <w:rsid w:val="00C404CF"/>
    <w:rsid w:val="00C405A1"/>
    <w:rsid w:val="00C4446E"/>
    <w:rsid w:val="00C457A2"/>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523B"/>
    <w:rsid w:val="00C8763B"/>
    <w:rsid w:val="00C9019A"/>
    <w:rsid w:val="00C9095A"/>
    <w:rsid w:val="00C92FC9"/>
    <w:rsid w:val="00C9414E"/>
    <w:rsid w:val="00C950B4"/>
    <w:rsid w:val="00C95E2A"/>
    <w:rsid w:val="00CA3644"/>
    <w:rsid w:val="00CA5169"/>
    <w:rsid w:val="00CB08EA"/>
    <w:rsid w:val="00CB177E"/>
    <w:rsid w:val="00CB5D7D"/>
    <w:rsid w:val="00CC009E"/>
    <w:rsid w:val="00CC3AF5"/>
    <w:rsid w:val="00CC3DC6"/>
    <w:rsid w:val="00CC559F"/>
    <w:rsid w:val="00CC55D9"/>
    <w:rsid w:val="00CC70CB"/>
    <w:rsid w:val="00CD2030"/>
    <w:rsid w:val="00CD20C1"/>
    <w:rsid w:val="00CD2AF6"/>
    <w:rsid w:val="00CD3CBE"/>
    <w:rsid w:val="00CD5614"/>
    <w:rsid w:val="00CD636C"/>
    <w:rsid w:val="00CD711A"/>
    <w:rsid w:val="00CE03DE"/>
    <w:rsid w:val="00CE3D85"/>
    <w:rsid w:val="00CE49B4"/>
    <w:rsid w:val="00CE5F56"/>
    <w:rsid w:val="00CF0E8A"/>
    <w:rsid w:val="00CF1452"/>
    <w:rsid w:val="00CF6960"/>
    <w:rsid w:val="00D00C86"/>
    <w:rsid w:val="00D02269"/>
    <w:rsid w:val="00D04963"/>
    <w:rsid w:val="00D04DB0"/>
    <w:rsid w:val="00D04EFD"/>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2D5A"/>
    <w:rsid w:val="00D4304C"/>
    <w:rsid w:val="00D443D8"/>
    <w:rsid w:val="00D4618E"/>
    <w:rsid w:val="00D47918"/>
    <w:rsid w:val="00D531D5"/>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4067"/>
    <w:rsid w:val="00D75D75"/>
    <w:rsid w:val="00D767D0"/>
    <w:rsid w:val="00D815EA"/>
    <w:rsid w:val="00D81CDC"/>
    <w:rsid w:val="00D84FE2"/>
    <w:rsid w:val="00D84FE8"/>
    <w:rsid w:val="00D8568B"/>
    <w:rsid w:val="00D85A2E"/>
    <w:rsid w:val="00D866F3"/>
    <w:rsid w:val="00D918DB"/>
    <w:rsid w:val="00D937FF"/>
    <w:rsid w:val="00D94C3B"/>
    <w:rsid w:val="00D94FDC"/>
    <w:rsid w:val="00D95C45"/>
    <w:rsid w:val="00D9655B"/>
    <w:rsid w:val="00DA1392"/>
    <w:rsid w:val="00DA2683"/>
    <w:rsid w:val="00DA26DF"/>
    <w:rsid w:val="00DA2A23"/>
    <w:rsid w:val="00DA2C92"/>
    <w:rsid w:val="00DB15FB"/>
    <w:rsid w:val="00DB44F3"/>
    <w:rsid w:val="00DB59FD"/>
    <w:rsid w:val="00DB6614"/>
    <w:rsid w:val="00DC097A"/>
    <w:rsid w:val="00DC3A1A"/>
    <w:rsid w:val="00DC441A"/>
    <w:rsid w:val="00DC44A0"/>
    <w:rsid w:val="00DC4DD5"/>
    <w:rsid w:val="00DC5921"/>
    <w:rsid w:val="00DC5BDD"/>
    <w:rsid w:val="00DD0493"/>
    <w:rsid w:val="00DD0968"/>
    <w:rsid w:val="00DD1374"/>
    <w:rsid w:val="00DD1676"/>
    <w:rsid w:val="00DD17EF"/>
    <w:rsid w:val="00DD2629"/>
    <w:rsid w:val="00DD61CB"/>
    <w:rsid w:val="00DE12DE"/>
    <w:rsid w:val="00DE1DB8"/>
    <w:rsid w:val="00DE20B1"/>
    <w:rsid w:val="00DE2494"/>
    <w:rsid w:val="00DE32C1"/>
    <w:rsid w:val="00DE39A5"/>
    <w:rsid w:val="00DE3FF0"/>
    <w:rsid w:val="00DE4457"/>
    <w:rsid w:val="00DE4A42"/>
    <w:rsid w:val="00DE5CD4"/>
    <w:rsid w:val="00DE684E"/>
    <w:rsid w:val="00DE6E3F"/>
    <w:rsid w:val="00DE79C9"/>
    <w:rsid w:val="00DE7D59"/>
    <w:rsid w:val="00DF18C1"/>
    <w:rsid w:val="00DF1AD9"/>
    <w:rsid w:val="00DF21C9"/>
    <w:rsid w:val="00DF3C71"/>
    <w:rsid w:val="00DF538D"/>
    <w:rsid w:val="00DF6BB3"/>
    <w:rsid w:val="00DF7567"/>
    <w:rsid w:val="00E01584"/>
    <w:rsid w:val="00E040D8"/>
    <w:rsid w:val="00E042F4"/>
    <w:rsid w:val="00E04732"/>
    <w:rsid w:val="00E100F3"/>
    <w:rsid w:val="00E10C0C"/>
    <w:rsid w:val="00E11A1D"/>
    <w:rsid w:val="00E16D19"/>
    <w:rsid w:val="00E201EE"/>
    <w:rsid w:val="00E20DF3"/>
    <w:rsid w:val="00E21D8E"/>
    <w:rsid w:val="00E22E53"/>
    <w:rsid w:val="00E23AF4"/>
    <w:rsid w:val="00E27089"/>
    <w:rsid w:val="00E27AAE"/>
    <w:rsid w:val="00E30231"/>
    <w:rsid w:val="00E30C1D"/>
    <w:rsid w:val="00E31619"/>
    <w:rsid w:val="00E34FAC"/>
    <w:rsid w:val="00E36408"/>
    <w:rsid w:val="00E36A37"/>
    <w:rsid w:val="00E417E3"/>
    <w:rsid w:val="00E43799"/>
    <w:rsid w:val="00E43A72"/>
    <w:rsid w:val="00E43F64"/>
    <w:rsid w:val="00E44FE7"/>
    <w:rsid w:val="00E54722"/>
    <w:rsid w:val="00E547F0"/>
    <w:rsid w:val="00E55A96"/>
    <w:rsid w:val="00E577F2"/>
    <w:rsid w:val="00E60D00"/>
    <w:rsid w:val="00E63C52"/>
    <w:rsid w:val="00E6637B"/>
    <w:rsid w:val="00E67D1E"/>
    <w:rsid w:val="00E7033D"/>
    <w:rsid w:val="00E72AC8"/>
    <w:rsid w:val="00E73929"/>
    <w:rsid w:val="00E75584"/>
    <w:rsid w:val="00E77B59"/>
    <w:rsid w:val="00E80ED9"/>
    <w:rsid w:val="00E84DF2"/>
    <w:rsid w:val="00E84F99"/>
    <w:rsid w:val="00E86FCB"/>
    <w:rsid w:val="00E87A1A"/>
    <w:rsid w:val="00E90A56"/>
    <w:rsid w:val="00E92F16"/>
    <w:rsid w:val="00E945E7"/>
    <w:rsid w:val="00E94D70"/>
    <w:rsid w:val="00E95F43"/>
    <w:rsid w:val="00E96201"/>
    <w:rsid w:val="00EA27A2"/>
    <w:rsid w:val="00EA28AA"/>
    <w:rsid w:val="00EA2ADC"/>
    <w:rsid w:val="00EA38D5"/>
    <w:rsid w:val="00EA5DC9"/>
    <w:rsid w:val="00EA7EFB"/>
    <w:rsid w:val="00EB0DD8"/>
    <w:rsid w:val="00EB2E3F"/>
    <w:rsid w:val="00EB30DB"/>
    <w:rsid w:val="00EB4B17"/>
    <w:rsid w:val="00EB7EF3"/>
    <w:rsid w:val="00EC068E"/>
    <w:rsid w:val="00EC0FDA"/>
    <w:rsid w:val="00EC3BF9"/>
    <w:rsid w:val="00EC3CCE"/>
    <w:rsid w:val="00EC4D3D"/>
    <w:rsid w:val="00EC53D2"/>
    <w:rsid w:val="00EC7ADB"/>
    <w:rsid w:val="00ED01C1"/>
    <w:rsid w:val="00ED2A13"/>
    <w:rsid w:val="00ED30EF"/>
    <w:rsid w:val="00ED40B2"/>
    <w:rsid w:val="00ED4E9F"/>
    <w:rsid w:val="00ED6A08"/>
    <w:rsid w:val="00EE0450"/>
    <w:rsid w:val="00EE37C8"/>
    <w:rsid w:val="00EE7A85"/>
    <w:rsid w:val="00EF45D4"/>
    <w:rsid w:val="00EF59CB"/>
    <w:rsid w:val="00F016FA"/>
    <w:rsid w:val="00F02173"/>
    <w:rsid w:val="00F03319"/>
    <w:rsid w:val="00F048D9"/>
    <w:rsid w:val="00F04E22"/>
    <w:rsid w:val="00F05755"/>
    <w:rsid w:val="00F061D8"/>
    <w:rsid w:val="00F07AB9"/>
    <w:rsid w:val="00F125FF"/>
    <w:rsid w:val="00F12E9C"/>
    <w:rsid w:val="00F13E8E"/>
    <w:rsid w:val="00F2181D"/>
    <w:rsid w:val="00F22A55"/>
    <w:rsid w:val="00F23F94"/>
    <w:rsid w:val="00F24030"/>
    <w:rsid w:val="00F242B0"/>
    <w:rsid w:val="00F242B2"/>
    <w:rsid w:val="00F25C6B"/>
    <w:rsid w:val="00F270D4"/>
    <w:rsid w:val="00F3092F"/>
    <w:rsid w:val="00F30EA4"/>
    <w:rsid w:val="00F33BE0"/>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35C9"/>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9B5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
    <w:name w:val="Unresolved Mention"/>
    <w:basedOn w:val="DefaultParagraphFont"/>
    <w:rsid w:val="0046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jodie.may@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