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58DD5FF1"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AD440B" w:rsidRPr="00AD440B" w:rsidP="00AD440B" w14:paraId="3FB69428" w14:textId="0869D606">
      <w:pPr>
        <w:widowControl w:val="0"/>
        <w:jc w:val="right"/>
        <w:rPr>
          <w:b/>
          <w:snapToGrid w:val="0"/>
          <w:kern w:val="28"/>
          <w:sz w:val="24"/>
        </w:rPr>
      </w:pPr>
      <w:bookmarkStart w:id="1" w:name="_Hlk26280526"/>
      <w:bookmarkStart w:id="2" w:name="_Hlk64383480"/>
      <w:r w:rsidRPr="00AD440B">
        <w:rPr>
          <w:b/>
          <w:snapToGrid w:val="0"/>
          <w:kern w:val="28"/>
          <w:sz w:val="24"/>
        </w:rPr>
        <w:t>DA 21-</w:t>
      </w:r>
      <w:r w:rsidR="0023051A">
        <w:rPr>
          <w:b/>
          <w:snapToGrid w:val="0"/>
          <w:kern w:val="28"/>
          <w:sz w:val="24"/>
        </w:rPr>
        <w:t>1460</w:t>
      </w:r>
    </w:p>
    <w:p w:rsidR="00AD440B" w:rsidRPr="00AD440B" w:rsidP="00AD440B" w14:paraId="5A5E9780" w14:textId="77777777">
      <w:pPr>
        <w:widowControl w:val="0"/>
        <w:spacing w:before="60"/>
        <w:jc w:val="right"/>
        <w:rPr>
          <w:b/>
          <w:snapToGrid w:val="0"/>
          <w:kern w:val="28"/>
          <w:sz w:val="24"/>
        </w:rPr>
      </w:pPr>
      <w:r w:rsidRPr="00AD440B">
        <w:rPr>
          <w:b/>
          <w:snapToGrid w:val="0"/>
          <w:kern w:val="28"/>
          <w:sz w:val="24"/>
        </w:rPr>
        <w:t xml:space="preserve">Released:  </w:t>
      </w:r>
      <w:r w:rsidR="00F74277">
        <w:rPr>
          <w:b/>
          <w:snapToGrid w:val="0"/>
          <w:kern w:val="28"/>
          <w:sz w:val="24"/>
        </w:rPr>
        <w:t xml:space="preserve">November </w:t>
      </w:r>
      <w:r w:rsidR="00B822B3">
        <w:rPr>
          <w:b/>
          <w:snapToGrid w:val="0"/>
          <w:kern w:val="28"/>
          <w:sz w:val="24"/>
        </w:rPr>
        <w:t>19</w:t>
      </w:r>
      <w:r w:rsidRPr="00AD440B">
        <w:rPr>
          <w:b/>
          <w:snapToGrid w:val="0"/>
          <w:kern w:val="28"/>
          <w:sz w:val="24"/>
        </w:rPr>
        <w:t>, 2021</w:t>
      </w:r>
    </w:p>
    <w:p w:rsidR="00AD440B" w:rsidRPr="00AD440B" w:rsidP="00AD440B" w14:paraId="79E6E296" w14:textId="77777777">
      <w:pPr>
        <w:widowControl w:val="0"/>
        <w:spacing w:before="60"/>
        <w:jc w:val="center"/>
        <w:rPr>
          <w:b/>
          <w:snapToGrid w:val="0"/>
          <w:kern w:val="28"/>
          <w:sz w:val="24"/>
        </w:rPr>
      </w:pPr>
    </w:p>
    <w:p w:rsidR="00AD440B" w:rsidRPr="007560E9" w:rsidP="005642A9" w14:paraId="298F9392" w14:textId="77777777">
      <w:pPr>
        <w:jc w:val="center"/>
        <w:rPr>
          <w:b/>
          <w:bCs/>
          <w:szCs w:val="22"/>
        </w:rPr>
      </w:pPr>
      <w:r w:rsidRPr="00AD440B">
        <w:rPr>
          <w:b/>
          <w:bCs/>
          <w:szCs w:val="22"/>
        </w:rPr>
        <w:t xml:space="preserve">DOMESTIC </w:t>
      </w:r>
      <w:r w:rsidRPr="00AD440B">
        <w:rPr>
          <w:b/>
          <w:bCs/>
          <w:caps/>
          <w:szCs w:val="22"/>
        </w:rPr>
        <w:t>SECTION</w:t>
      </w:r>
      <w:r w:rsidRPr="00AD440B">
        <w:rPr>
          <w:b/>
          <w:bCs/>
          <w:szCs w:val="22"/>
        </w:rPr>
        <w:t xml:space="preserve"> 214 APPLICATION FILED FOR THE </w:t>
      </w:r>
      <w:r w:rsidRPr="00520655" w:rsidR="00520655">
        <w:rPr>
          <w:b/>
          <w:bCs/>
          <w:caps/>
          <w:szCs w:val="22"/>
        </w:rPr>
        <w:t>TRANSFER OF CONTROL OF Peerless Network, Inc</w:t>
      </w:r>
      <w:r w:rsidRPr="00F74277" w:rsidR="00F74277">
        <w:rPr>
          <w:b/>
          <w:bCs/>
          <w:caps/>
          <w:szCs w:val="22"/>
        </w:rPr>
        <w:t>.</w:t>
      </w:r>
      <w:r w:rsidR="00F74277">
        <w:rPr>
          <w:b/>
          <w:bCs/>
          <w:caps/>
          <w:szCs w:val="22"/>
        </w:rPr>
        <w:t xml:space="preserve"> TO </w:t>
      </w:r>
      <w:r w:rsidRPr="00520655" w:rsidR="00520655">
        <w:rPr>
          <w:b/>
          <w:bCs/>
          <w:caps/>
          <w:szCs w:val="22"/>
        </w:rPr>
        <w:t>OpenMarket Inc.</w:t>
      </w:r>
    </w:p>
    <w:p w:rsidR="00AD440B" w:rsidRPr="00AD440B" w:rsidP="005642A9" w14:paraId="041D2448" w14:textId="77777777">
      <w:pPr>
        <w:jc w:val="center"/>
        <w:rPr>
          <w:b/>
          <w:bCs/>
          <w:szCs w:val="22"/>
        </w:rPr>
      </w:pPr>
      <w:r w:rsidRPr="00AD440B">
        <w:rPr>
          <w:b/>
          <w:bCs/>
          <w:caps/>
          <w:szCs w:val="22"/>
        </w:rPr>
        <w:t xml:space="preserve"> </w:t>
      </w:r>
    </w:p>
    <w:p w:rsidR="00AD440B" w:rsidRPr="00AD440B" w:rsidP="005642A9" w14:paraId="6D058245" w14:textId="77777777">
      <w:pPr>
        <w:jc w:val="center"/>
        <w:rPr>
          <w:b/>
          <w:szCs w:val="22"/>
        </w:rPr>
      </w:pPr>
      <w:r>
        <w:rPr>
          <w:b/>
          <w:szCs w:val="22"/>
        </w:rPr>
        <w:t>NON-</w:t>
      </w:r>
      <w:r w:rsidRPr="00AD440B" w:rsidR="00DF1F6F">
        <w:rPr>
          <w:b/>
          <w:szCs w:val="22"/>
        </w:rPr>
        <w:t>STREAMLINED PLEADING CYCLE ESTABLISHED</w:t>
      </w:r>
    </w:p>
    <w:p w:rsidR="00AD440B" w:rsidRPr="00AD440B" w:rsidP="005642A9" w14:paraId="0763800A" w14:textId="77777777">
      <w:pPr>
        <w:widowControl w:val="0"/>
        <w:jc w:val="center"/>
        <w:rPr>
          <w:b/>
          <w:snapToGrid w:val="0"/>
          <w:kern w:val="28"/>
          <w:sz w:val="24"/>
        </w:rPr>
      </w:pPr>
    </w:p>
    <w:p w:rsidR="00AD440B" w:rsidRPr="00AD440B" w:rsidP="005642A9" w14:paraId="0F33B390" w14:textId="77777777">
      <w:pPr>
        <w:widowControl w:val="0"/>
        <w:jc w:val="center"/>
        <w:rPr>
          <w:b/>
          <w:snapToGrid w:val="0"/>
          <w:kern w:val="28"/>
          <w:szCs w:val="22"/>
        </w:rPr>
      </w:pPr>
      <w:r w:rsidRPr="00AD440B">
        <w:rPr>
          <w:b/>
          <w:snapToGrid w:val="0"/>
          <w:kern w:val="28"/>
          <w:szCs w:val="22"/>
        </w:rPr>
        <w:t>WC Docket No. 21-</w:t>
      </w:r>
      <w:r w:rsidR="00F74277">
        <w:rPr>
          <w:b/>
          <w:snapToGrid w:val="0"/>
          <w:kern w:val="28"/>
          <w:szCs w:val="22"/>
        </w:rPr>
        <w:t>43</w:t>
      </w:r>
      <w:r w:rsidR="008B68C2">
        <w:rPr>
          <w:b/>
          <w:snapToGrid w:val="0"/>
          <w:kern w:val="28"/>
          <w:szCs w:val="22"/>
        </w:rPr>
        <w:t>4</w:t>
      </w:r>
    </w:p>
    <w:p w:rsidR="00AD440B" w:rsidRPr="00AD440B" w:rsidP="00AD440B" w14:paraId="4D7C4A11" w14:textId="77777777">
      <w:pPr>
        <w:widowControl w:val="0"/>
        <w:spacing w:before="60"/>
        <w:jc w:val="center"/>
        <w:rPr>
          <w:b/>
          <w:snapToGrid w:val="0"/>
          <w:kern w:val="28"/>
          <w:szCs w:val="22"/>
        </w:rPr>
      </w:pPr>
    </w:p>
    <w:p w:rsidR="00AD440B" w:rsidRPr="00AD440B" w:rsidP="00AD440B" w14:paraId="34325534" w14:textId="77777777">
      <w:pPr>
        <w:rPr>
          <w:b/>
          <w:szCs w:val="22"/>
        </w:rPr>
      </w:pPr>
      <w:r w:rsidRPr="00AD440B">
        <w:rPr>
          <w:b/>
          <w:szCs w:val="22"/>
        </w:rPr>
        <w:t xml:space="preserve">Comments Due:  </w:t>
      </w:r>
      <w:r w:rsidR="00B822B3">
        <w:rPr>
          <w:b/>
          <w:szCs w:val="22"/>
        </w:rPr>
        <w:t>December 3</w:t>
      </w:r>
      <w:r w:rsidRPr="00AD440B">
        <w:rPr>
          <w:b/>
          <w:szCs w:val="22"/>
        </w:rPr>
        <w:t xml:space="preserve">, 2021 </w:t>
      </w:r>
    </w:p>
    <w:p w:rsidR="00AD440B" w:rsidRPr="00AD440B" w:rsidP="00AD440B" w14:paraId="09FB7C5E" w14:textId="77777777">
      <w:pPr>
        <w:rPr>
          <w:b/>
          <w:szCs w:val="22"/>
        </w:rPr>
      </w:pPr>
      <w:r w:rsidRPr="00AD440B">
        <w:rPr>
          <w:b/>
          <w:szCs w:val="22"/>
        </w:rPr>
        <w:t xml:space="preserve">Reply Comment Due:  </w:t>
      </w:r>
      <w:r w:rsidR="0049273F">
        <w:rPr>
          <w:b/>
          <w:szCs w:val="22"/>
        </w:rPr>
        <w:t>December</w:t>
      </w:r>
      <w:r w:rsidR="00F74277">
        <w:rPr>
          <w:b/>
          <w:szCs w:val="22"/>
        </w:rPr>
        <w:t xml:space="preserve"> </w:t>
      </w:r>
      <w:r w:rsidR="00B822B3">
        <w:rPr>
          <w:b/>
          <w:szCs w:val="22"/>
        </w:rPr>
        <w:t>10</w:t>
      </w:r>
      <w:r w:rsidRPr="00AD440B">
        <w:rPr>
          <w:b/>
          <w:szCs w:val="22"/>
        </w:rPr>
        <w:t xml:space="preserve">, 2021 </w:t>
      </w:r>
    </w:p>
    <w:p w:rsidR="00AD440B" w:rsidRPr="00AD440B" w:rsidP="00AD440B" w14:paraId="0FDED8C6" w14:textId="77777777">
      <w:pPr>
        <w:rPr>
          <w:b/>
          <w:szCs w:val="22"/>
        </w:rPr>
      </w:pPr>
    </w:p>
    <w:p w:rsidR="00AD440B" w:rsidRPr="00AD440B" w:rsidP="00C5694E" w14:paraId="732EE75D" w14:textId="77777777">
      <w:pPr>
        <w:autoSpaceDE w:val="0"/>
        <w:autoSpaceDN w:val="0"/>
        <w:adjustRightInd w:val="0"/>
        <w:spacing w:after="120"/>
        <w:ind w:firstLine="720"/>
        <w:rPr>
          <w:szCs w:val="22"/>
        </w:rPr>
      </w:pPr>
      <w:r w:rsidRPr="00AD440B">
        <w:rPr>
          <w:szCs w:val="22"/>
        </w:rPr>
        <w:t>By this Public Notice, the Wireline Competition Bureau</w:t>
      </w:r>
      <w:r w:rsidR="00023687">
        <w:rPr>
          <w:szCs w:val="22"/>
        </w:rPr>
        <w:t xml:space="preserve"> </w:t>
      </w:r>
      <w:r w:rsidRPr="00AD440B">
        <w:rPr>
          <w:szCs w:val="22"/>
        </w:rPr>
        <w:t>seeks comment from interested parties on an application</w:t>
      </w:r>
      <w:r>
        <w:rPr>
          <w:rStyle w:val="FootnoteReference"/>
          <w:szCs w:val="22"/>
        </w:rPr>
        <w:footnoteReference w:id="3"/>
      </w:r>
      <w:r w:rsidRPr="00AD440B">
        <w:rPr>
          <w:szCs w:val="22"/>
        </w:rPr>
        <w:t xml:space="preserve"> filed by </w:t>
      </w:r>
      <w:r w:rsidRPr="00520655" w:rsidR="00520655">
        <w:rPr>
          <w:szCs w:val="22"/>
        </w:rPr>
        <w:t>Peerless Network Holdings, Inc. (Peerless Holdings), Peerless Network,</w:t>
      </w:r>
      <w:r w:rsidR="00520655">
        <w:rPr>
          <w:szCs w:val="22"/>
        </w:rPr>
        <w:t xml:space="preserve"> </w:t>
      </w:r>
      <w:r w:rsidRPr="00520655" w:rsidR="00520655">
        <w:rPr>
          <w:szCs w:val="22"/>
        </w:rPr>
        <w:t>Inc. (PNI), and OpenMarket Inc.</w:t>
      </w:r>
      <w:r w:rsidR="00520655">
        <w:rPr>
          <w:szCs w:val="22"/>
        </w:rPr>
        <w:t xml:space="preserve"> </w:t>
      </w:r>
      <w:r w:rsidRPr="00520655" w:rsidR="00520655">
        <w:rPr>
          <w:szCs w:val="22"/>
        </w:rPr>
        <w:t>(OpenMarket</w:t>
      </w:r>
      <w:r w:rsidRPr="00AD440B">
        <w:rPr>
          <w:szCs w:val="22"/>
        </w:rPr>
        <w:t>) (together, Applicants), pursuant to section 214 of the Communications Act of 1934, as amended, and sections 63.03-04 of the Commission’s rules, requesting</w:t>
      </w:r>
      <w:r w:rsidR="004F67BD">
        <w:rPr>
          <w:szCs w:val="22"/>
        </w:rPr>
        <w:t xml:space="preserve"> consent</w:t>
      </w:r>
      <w:r w:rsidRPr="00AD440B">
        <w:rPr>
          <w:szCs w:val="22"/>
        </w:rPr>
        <w:t xml:space="preserve"> </w:t>
      </w:r>
      <w:r w:rsidR="003537C7">
        <w:rPr>
          <w:szCs w:val="22"/>
        </w:rPr>
        <w:t>to</w:t>
      </w:r>
      <w:r w:rsidRPr="00520655" w:rsidR="00520655">
        <w:rPr>
          <w:szCs w:val="22"/>
        </w:rPr>
        <w:t xml:space="preserve"> transfer control of </w:t>
      </w:r>
      <w:r w:rsidR="00E3436C">
        <w:rPr>
          <w:szCs w:val="22"/>
        </w:rPr>
        <w:t>PNI</w:t>
      </w:r>
      <w:r w:rsidRPr="00520655" w:rsidR="00520655">
        <w:rPr>
          <w:szCs w:val="22"/>
        </w:rPr>
        <w:t xml:space="preserve"> </w:t>
      </w:r>
      <w:r w:rsidR="00066EEF">
        <w:rPr>
          <w:szCs w:val="22"/>
        </w:rPr>
        <w:t xml:space="preserve">from the shareholders of Peerless Holdings </w:t>
      </w:r>
      <w:r w:rsidRPr="00520655" w:rsidR="00520655">
        <w:rPr>
          <w:szCs w:val="22"/>
        </w:rPr>
        <w:t>to OpenMarket</w:t>
      </w:r>
      <w:r w:rsidRPr="00AD440B">
        <w:rPr>
          <w:szCs w:val="22"/>
        </w:rPr>
        <w:t>.</w:t>
      </w:r>
      <w:r>
        <w:rPr>
          <w:szCs w:val="22"/>
          <w:vertAlign w:val="superscript"/>
        </w:rPr>
        <w:footnoteReference w:id="4"/>
      </w:r>
      <w:r w:rsidRPr="00AD440B">
        <w:rPr>
          <w:szCs w:val="22"/>
        </w:rPr>
        <w:t xml:space="preserve">  </w:t>
      </w:r>
    </w:p>
    <w:p w:rsidR="004C060E" w:rsidP="00C5694E" w14:paraId="696EC6E8" w14:textId="77777777">
      <w:pPr>
        <w:widowControl w:val="0"/>
        <w:spacing w:after="120"/>
        <w:ind w:firstLine="720"/>
        <w:rPr>
          <w:snapToGrid w:val="0"/>
          <w:kern w:val="28"/>
          <w:szCs w:val="22"/>
        </w:rPr>
      </w:pPr>
      <w:r>
        <w:rPr>
          <w:snapToGrid w:val="0"/>
          <w:kern w:val="28"/>
          <w:szCs w:val="22"/>
        </w:rPr>
        <w:t>Peerless Holdings</w:t>
      </w:r>
      <w:r w:rsidR="00066EEF">
        <w:rPr>
          <w:snapToGrid w:val="0"/>
          <w:kern w:val="28"/>
          <w:szCs w:val="22"/>
        </w:rPr>
        <w:t xml:space="preserve"> </w:t>
      </w:r>
      <w:r w:rsidR="00B63631">
        <w:rPr>
          <w:snapToGrid w:val="0"/>
          <w:kern w:val="28"/>
          <w:szCs w:val="22"/>
        </w:rPr>
        <w:t xml:space="preserve">does not </w:t>
      </w:r>
      <w:r w:rsidR="00066EEF">
        <w:rPr>
          <w:snapToGrid w:val="0"/>
          <w:kern w:val="28"/>
          <w:szCs w:val="22"/>
        </w:rPr>
        <w:t xml:space="preserve">itself </w:t>
      </w:r>
      <w:r w:rsidR="00B63631">
        <w:rPr>
          <w:snapToGrid w:val="0"/>
          <w:kern w:val="28"/>
          <w:szCs w:val="22"/>
        </w:rPr>
        <w:t xml:space="preserve">provide telecommunications services but is a holding company that </w:t>
      </w:r>
      <w:r>
        <w:rPr>
          <w:snapToGrid w:val="0"/>
          <w:kern w:val="28"/>
          <w:szCs w:val="22"/>
        </w:rPr>
        <w:t xml:space="preserve">wholly-owns </w:t>
      </w:r>
      <w:r w:rsidR="00442F68">
        <w:rPr>
          <w:snapToGrid w:val="0"/>
          <w:kern w:val="28"/>
          <w:szCs w:val="22"/>
        </w:rPr>
        <w:t>PNI</w:t>
      </w:r>
      <w:r w:rsidRPr="00442F68" w:rsidR="00442F68">
        <w:rPr>
          <w:snapToGrid w:val="0"/>
          <w:kern w:val="28"/>
          <w:szCs w:val="22"/>
        </w:rPr>
        <w:t>,</w:t>
      </w:r>
      <w:r w:rsidR="00794A59">
        <w:rPr>
          <w:snapToGrid w:val="0"/>
          <w:kern w:val="28"/>
          <w:szCs w:val="22"/>
        </w:rPr>
        <w:t xml:space="preserve"> which, together with its subsidiaries, provides </w:t>
      </w:r>
      <w:r w:rsidRPr="00442F68" w:rsidR="00442F68">
        <w:rPr>
          <w:snapToGrid w:val="0"/>
          <w:kern w:val="28"/>
          <w:szCs w:val="22"/>
        </w:rPr>
        <w:t>competitive local exchange carrier</w:t>
      </w:r>
      <w:r w:rsidR="00442F68">
        <w:rPr>
          <w:snapToGrid w:val="0"/>
          <w:kern w:val="28"/>
          <w:szCs w:val="22"/>
        </w:rPr>
        <w:t xml:space="preserve"> </w:t>
      </w:r>
      <w:r w:rsidR="00B63631">
        <w:rPr>
          <w:snapToGrid w:val="0"/>
          <w:kern w:val="28"/>
          <w:szCs w:val="22"/>
        </w:rPr>
        <w:t>service</w:t>
      </w:r>
      <w:r w:rsidR="00794A59">
        <w:rPr>
          <w:snapToGrid w:val="0"/>
          <w:kern w:val="28"/>
          <w:szCs w:val="22"/>
        </w:rPr>
        <w:t>s</w:t>
      </w:r>
      <w:r w:rsidR="00B63631">
        <w:rPr>
          <w:snapToGrid w:val="0"/>
          <w:kern w:val="28"/>
          <w:szCs w:val="22"/>
        </w:rPr>
        <w:t xml:space="preserve"> </w:t>
      </w:r>
      <w:r w:rsidRPr="00442F68" w:rsidR="00442F68">
        <w:rPr>
          <w:snapToGrid w:val="0"/>
          <w:kern w:val="28"/>
          <w:szCs w:val="22"/>
        </w:rPr>
        <w:t>in 49 states and the District of Columbia</w:t>
      </w:r>
      <w:r w:rsidR="007560E9">
        <w:rPr>
          <w:snapToGrid w:val="0"/>
          <w:kern w:val="28"/>
          <w:szCs w:val="22"/>
        </w:rPr>
        <w:t>.</w:t>
      </w:r>
      <w:r>
        <w:rPr>
          <w:rStyle w:val="FootnoteReference"/>
          <w:snapToGrid w:val="0"/>
          <w:kern w:val="28"/>
          <w:szCs w:val="22"/>
        </w:rPr>
        <w:footnoteReference w:id="5"/>
      </w:r>
      <w:r>
        <w:rPr>
          <w:snapToGrid w:val="0"/>
          <w:kern w:val="28"/>
          <w:szCs w:val="22"/>
        </w:rPr>
        <w:t xml:space="preserve">  </w:t>
      </w:r>
    </w:p>
    <w:p w:rsidR="00F96022" w:rsidRPr="00F96022" w:rsidP="00C5694E" w14:paraId="59D19051" w14:textId="77777777">
      <w:pPr>
        <w:spacing w:after="120"/>
        <w:ind w:firstLine="720"/>
        <w:rPr>
          <w:rFonts w:eastAsia="Arial"/>
          <w:szCs w:val="22"/>
        </w:rPr>
      </w:pPr>
      <w:r w:rsidRPr="00442F68">
        <w:rPr>
          <w:snapToGrid w:val="0"/>
          <w:kern w:val="28"/>
          <w:szCs w:val="22"/>
        </w:rPr>
        <w:t>OpenMarket</w:t>
      </w:r>
      <w:r w:rsidR="00066EEF">
        <w:rPr>
          <w:snapToGrid w:val="0"/>
          <w:kern w:val="28"/>
          <w:szCs w:val="22"/>
        </w:rPr>
        <w:t>, a Michigan corporation</w:t>
      </w:r>
      <w:r w:rsidR="00525F5A">
        <w:rPr>
          <w:snapToGrid w:val="0"/>
          <w:kern w:val="28"/>
          <w:szCs w:val="22"/>
        </w:rPr>
        <w:t xml:space="preserve"> that </w:t>
      </w:r>
      <w:r w:rsidR="00066EEF">
        <w:rPr>
          <w:snapToGrid w:val="0"/>
          <w:kern w:val="28"/>
          <w:szCs w:val="22"/>
        </w:rPr>
        <w:t>does not offer domestic telecommunications services</w:t>
      </w:r>
      <w:r w:rsidR="000055BD">
        <w:rPr>
          <w:snapToGrid w:val="0"/>
          <w:kern w:val="28"/>
          <w:szCs w:val="22"/>
        </w:rPr>
        <w:t>,</w:t>
      </w:r>
      <w:r w:rsidR="004C060E">
        <w:rPr>
          <w:snapToGrid w:val="0"/>
          <w:kern w:val="28"/>
          <w:szCs w:val="22"/>
        </w:rPr>
        <w:t xml:space="preserve"> is indirectly wholly-owned by Infobip </w:t>
      </w:r>
      <w:r w:rsidR="0025685D">
        <w:rPr>
          <w:snapToGrid w:val="0"/>
          <w:kern w:val="28"/>
          <w:szCs w:val="22"/>
        </w:rPr>
        <w:t>Limited</w:t>
      </w:r>
      <w:r w:rsidR="00E44D41">
        <w:rPr>
          <w:snapToGrid w:val="0"/>
          <w:kern w:val="28"/>
          <w:szCs w:val="22"/>
        </w:rPr>
        <w:t xml:space="preserve">, a United Kingdom entity, which, in turn, is wholly-owned by Infobip </w:t>
      </w:r>
      <w:r w:rsidR="004C060E">
        <w:rPr>
          <w:snapToGrid w:val="0"/>
          <w:kern w:val="28"/>
          <w:szCs w:val="22"/>
        </w:rPr>
        <w:t>Holdings Limited</w:t>
      </w:r>
      <w:r w:rsidR="00E44D41">
        <w:rPr>
          <w:snapToGrid w:val="0"/>
          <w:kern w:val="28"/>
          <w:szCs w:val="22"/>
        </w:rPr>
        <w:t xml:space="preserve"> (Infobip Holdings)</w:t>
      </w:r>
      <w:r w:rsidR="004C060E">
        <w:rPr>
          <w:snapToGrid w:val="0"/>
          <w:kern w:val="28"/>
          <w:szCs w:val="22"/>
        </w:rPr>
        <w:t xml:space="preserve">, a Cayman </w:t>
      </w:r>
      <w:r w:rsidR="0025685D">
        <w:rPr>
          <w:snapToGrid w:val="0"/>
          <w:kern w:val="28"/>
          <w:szCs w:val="22"/>
        </w:rPr>
        <w:t xml:space="preserve">Islands </w:t>
      </w:r>
      <w:r w:rsidR="004C060E">
        <w:rPr>
          <w:snapToGrid w:val="0"/>
          <w:kern w:val="28"/>
          <w:szCs w:val="22"/>
        </w:rPr>
        <w:t>entity</w:t>
      </w:r>
      <w:r w:rsidR="00E44D41">
        <w:rPr>
          <w:snapToGrid w:val="0"/>
          <w:kern w:val="28"/>
          <w:szCs w:val="22"/>
        </w:rPr>
        <w:t>.</w:t>
      </w:r>
      <w:r>
        <w:rPr>
          <w:rStyle w:val="FootnoteReference"/>
          <w:snapToGrid w:val="0"/>
          <w:kern w:val="28"/>
          <w:szCs w:val="22"/>
        </w:rPr>
        <w:footnoteReference w:id="6"/>
      </w:r>
      <w:r w:rsidR="00E44D41">
        <w:rPr>
          <w:snapToGrid w:val="0"/>
          <w:kern w:val="28"/>
          <w:szCs w:val="22"/>
        </w:rPr>
        <w:t xml:space="preserve">  The following entity</w:t>
      </w:r>
      <w:r w:rsidR="00995CCC">
        <w:rPr>
          <w:snapToGrid w:val="0"/>
          <w:kern w:val="28"/>
          <w:szCs w:val="22"/>
        </w:rPr>
        <w:t xml:space="preserve"> and</w:t>
      </w:r>
      <w:r w:rsidR="00E44D41">
        <w:rPr>
          <w:snapToGrid w:val="0"/>
          <w:kern w:val="28"/>
          <w:szCs w:val="22"/>
        </w:rPr>
        <w:t xml:space="preserve"> </w:t>
      </w:r>
      <w:r w:rsidR="00525F5A">
        <w:rPr>
          <w:snapToGrid w:val="0"/>
          <w:kern w:val="28"/>
          <w:szCs w:val="22"/>
        </w:rPr>
        <w:t xml:space="preserve">individuals </w:t>
      </w:r>
      <w:r w:rsidR="00E44D41">
        <w:rPr>
          <w:snapToGrid w:val="0"/>
          <w:kern w:val="28"/>
          <w:szCs w:val="22"/>
        </w:rPr>
        <w:t xml:space="preserve">own Infobip Holdings:  </w:t>
      </w:r>
      <w:r w:rsidRPr="00F96022" w:rsidR="00483B91">
        <w:rPr>
          <w:snapToGrid w:val="0"/>
          <w:kern w:val="28"/>
          <w:szCs w:val="22"/>
        </w:rPr>
        <w:t xml:space="preserve">OEP IB MidCo L.P. </w:t>
      </w:r>
      <w:r w:rsidR="00995CCC">
        <w:rPr>
          <w:snapToGrid w:val="0"/>
          <w:kern w:val="28"/>
          <w:szCs w:val="22"/>
        </w:rPr>
        <w:t>(</w:t>
      </w:r>
      <w:r w:rsidRPr="00995CCC" w:rsidR="00995CCC">
        <w:rPr>
          <w:snapToGrid w:val="0"/>
          <w:kern w:val="28"/>
          <w:szCs w:val="22"/>
        </w:rPr>
        <w:t xml:space="preserve">OEP IB MidCo </w:t>
      </w:r>
      <w:r w:rsidR="00995CCC">
        <w:rPr>
          <w:snapToGrid w:val="0"/>
          <w:kern w:val="28"/>
          <w:szCs w:val="22"/>
        </w:rPr>
        <w:t xml:space="preserve">) </w:t>
      </w:r>
      <w:r w:rsidRPr="00F96022" w:rsidR="00483B91">
        <w:rPr>
          <w:snapToGrid w:val="0"/>
          <w:kern w:val="28"/>
          <w:szCs w:val="22"/>
        </w:rPr>
        <w:t>(15.55%</w:t>
      </w:r>
      <w:r w:rsidRPr="00F96022">
        <w:rPr>
          <w:snapToGrid w:val="0"/>
          <w:kern w:val="28"/>
          <w:szCs w:val="22"/>
        </w:rPr>
        <w:t xml:space="preserve"> equity and 33.33% voting</w:t>
      </w:r>
      <w:r w:rsidR="00973264">
        <w:rPr>
          <w:snapToGrid w:val="0"/>
          <w:kern w:val="28"/>
          <w:szCs w:val="22"/>
        </w:rPr>
        <w:t>, Cayman Islands citizenship</w:t>
      </w:r>
      <w:r w:rsidRPr="00F96022" w:rsidR="00483B91">
        <w:rPr>
          <w:snapToGrid w:val="0"/>
          <w:kern w:val="28"/>
          <w:szCs w:val="22"/>
        </w:rPr>
        <w:t>);</w:t>
      </w:r>
      <w:r>
        <w:rPr>
          <w:rStyle w:val="FootnoteReference"/>
          <w:snapToGrid w:val="0"/>
          <w:kern w:val="28"/>
          <w:szCs w:val="22"/>
        </w:rPr>
        <w:footnoteReference w:id="7"/>
      </w:r>
      <w:r w:rsidRPr="00F96022" w:rsidR="00483B91">
        <w:rPr>
          <w:snapToGrid w:val="0"/>
          <w:kern w:val="28"/>
          <w:szCs w:val="22"/>
        </w:rPr>
        <w:t xml:space="preserve"> Silvio Kuti</w:t>
      </w:r>
      <w:r w:rsidRPr="00F96022">
        <w:rPr>
          <w:rFonts w:eastAsia="Arial"/>
          <w:szCs w:val="22"/>
        </w:rPr>
        <w:t>ć (49.66% equity and 16.67% voting</w:t>
      </w:r>
      <w:r w:rsidR="00973264">
        <w:rPr>
          <w:rFonts w:eastAsia="Arial"/>
          <w:szCs w:val="22"/>
        </w:rPr>
        <w:t>, Croatian and Italian citizenship</w:t>
      </w:r>
      <w:r w:rsidRPr="00F96022">
        <w:rPr>
          <w:rFonts w:eastAsia="Arial"/>
          <w:szCs w:val="22"/>
        </w:rPr>
        <w:t>); I</w:t>
      </w:r>
      <w:r w:rsidR="00973264">
        <w:rPr>
          <w:rFonts w:eastAsia="Arial"/>
          <w:szCs w:val="22"/>
        </w:rPr>
        <w:t>z</w:t>
      </w:r>
      <w:r w:rsidRPr="00F96022">
        <w:rPr>
          <w:rFonts w:eastAsia="Arial"/>
          <w:szCs w:val="22"/>
        </w:rPr>
        <w:t>abel Jelenić (21.28% equity and 16.67% voting</w:t>
      </w:r>
      <w:r w:rsidR="006006B4">
        <w:rPr>
          <w:rFonts w:eastAsia="Arial"/>
          <w:szCs w:val="22"/>
        </w:rPr>
        <w:t>, Croatian citizenship</w:t>
      </w:r>
      <w:r w:rsidRPr="00F96022">
        <w:rPr>
          <w:rFonts w:eastAsia="Arial"/>
          <w:szCs w:val="22"/>
        </w:rPr>
        <w:t xml:space="preserve">); </w:t>
      </w:r>
      <w:r w:rsidR="00FA5938">
        <w:rPr>
          <w:rFonts w:eastAsia="Arial"/>
          <w:szCs w:val="22"/>
        </w:rPr>
        <w:t xml:space="preserve">and </w:t>
      </w:r>
      <w:r w:rsidRPr="00F96022">
        <w:rPr>
          <w:rFonts w:eastAsia="Arial"/>
          <w:szCs w:val="22"/>
        </w:rPr>
        <w:t>Roberto Kutić (12.52% equity and 16.67% voting</w:t>
      </w:r>
      <w:r w:rsidR="006006B4">
        <w:rPr>
          <w:rFonts w:eastAsia="Arial"/>
          <w:szCs w:val="22"/>
        </w:rPr>
        <w:t>, Croatian and Italian citizenship</w:t>
      </w:r>
      <w:r w:rsidRPr="00F96022">
        <w:rPr>
          <w:rFonts w:eastAsia="Arial"/>
          <w:szCs w:val="22"/>
        </w:rPr>
        <w:t>)</w:t>
      </w:r>
      <w:r w:rsidR="00B822B3">
        <w:rPr>
          <w:rFonts w:eastAsia="Arial"/>
          <w:szCs w:val="22"/>
        </w:rPr>
        <w:t>.</w:t>
      </w:r>
      <w:r>
        <w:rPr>
          <w:rStyle w:val="FootnoteReference"/>
          <w:rFonts w:eastAsia="Arial"/>
          <w:szCs w:val="22"/>
        </w:rPr>
        <w:footnoteReference w:id="8"/>
      </w:r>
      <w:r w:rsidR="00B02DB5">
        <w:rPr>
          <w:rFonts w:eastAsia="Arial"/>
          <w:szCs w:val="22"/>
        </w:rPr>
        <w:t xml:space="preserve">  Applicants state that </w:t>
      </w:r>
      <w:r w:rsidR="00066EEF">
        <w:rPr>
          <w:rFonts w:eastAsia="Arial"/>
          <w:szCs w:val="22"/>
        </w:rPr>
        <w:t xml:space="preserve">no owner of a 10% or greater interest in </w:t>
      </w:r>
      <w:r w:rsidRPr="00B02DB5" w:rsidR="00B02DB5">
        <w:rPr>
          <w:rFonts w:eastAsia="Arial"/>
          <w:szCs w:val="22"/>
        </w:rPr>
        <w:t>OpenMarket</w:t>
      </w:r>
      <w:r w:rsidR="00066EEF">
        <w:rPr>
          <w:rFonts w:eastAsia="Arial"/>
          <w:szCs w:val="22"/>
        </w:rPr>
        <w:t xml:space="preserve"> has an interest of 10% or greater in any domestic telecommunications service provider</w:t>
      </w:r>
      <w:r w:rsidRPr="00B02DB5" w:rsidR="00B02DB5">
        <w:rPr>
          <w:rFonts w:eastAsia="Arial"/>
          <w:szCs w:val="22"/>
        </w:rPr>
        <w:t>.</w:t>
      </w:r>
      <w:r>
        <w:rPr>
          <w:rStyle w:val="FootnoteReference"/>
          <w:rFonts w:eastAsia="Arial"/>
          <w:szCs w:val="22"/>
        </w:rPr>
        <w:footnoteReference w:id="9"/>
      </w:r>
      <w:r w:rsidRPr="00B02DB5" w:rsidR="00B02DB5">
        <w:rPr>
          <w:rFonts w:eastAsia="Arial"/>
          <w:szCs w:val="22"/>
        </w:rPr>
        <w:t xml:space="preserve"> </w:t>
      </w:r>
    </w:p>
    <w:p w:rsidR="00F90999" w:rsidP="00C5694E" w14:paraId="579A4BB1" w14:textId="77777777">
      <w:pPr>
        <w:widowControl w:val="0"/>
        <w:spacing w:after="120"/>
        <w:ind w:firstLine="720"/>
        <w:rPr>
          <w:snapToGrid w:val="0"/>
          <w:kern w:val="28"/>
          <w:szCs w:val="22"/>
        </w:rPr>
      </w:pPr>
      <w:r w:rsidRPr="00500229">
        <w:rPr>
          <w:snapToGrid w:val="0"/>
          <w:kern w:val="28"/>
          <w:szCs w:val="22"/>
        </w:rPr>
        <w:t>Pursuant to the terms of the proposed transaction</w:t>
      </w:r>
      <w:r>
        <w:rPr>
          <w:snapToGrid w:val="0"/>
          <w:kern w:val="28"/>
          <w:szCs w:val="22"/>
        </w:rPr>
        <w:t xml:space="preserve">, </w:t>
      </w:r>
      <w:r w:rsidR="001220B9">
        <w:rPr>
          <w:snapToGrid w:val="0"/>
          <w:kern w:val="28"/>
          <w:szCs w:val="22"/>
        </w:rPr>
        <w:t xml:space="preserve">OpenMarket will acquire </w:t>
      </w:r>
      <w:r w:rsidRPr="00500229">
        <w:rPr>
          <w:snapToGrid w:val="0"/>
          <w:kern w:val="28"/>
          <w:szCs w:val="22"/>
        </w:rPr>
        <w:t>Peerless Holdings</w:t>
      </w:r>
      <w:r w:rsidR="004C060E">
        <w:rPr>
          <w:snapToGrid w:val="0"/>
          <w:kern w:val="28"/>
          <w:szCs w:val="22"/>
        </w:rPr>
        <w:t>.</w:t>
      </w:r>
      <w:r>
        <w:rPr>
          <w:rStyle w:val="FootnoteReference"/>
          <w:snapToGrid w:val="0"/>
          <w:kern w:val="28"/>
          <w:szCs w:val="22"/>
        </w:rPr>
        <w:footnoteReference w:id="10"/>
      </w:r>
      <w:r w:rsidR="004C060E">
        <w:rPr>
          <w:snapToGrid w:val="0"/>
          <w:kern w:val="28"/>
          <w:szCs w:val="22"/>
        </w:rPr>
        <w:t xml:space="preserve">  </w:t>
      </w:r>
      <w:r w:rsidR="006006B4">
        <w:rPr>
          <w:snapToGrid w:val="0"/>
          <w:kern w:val="28"/>
          <w:szCs w:val="22"/>
        </w:rPr>
        <w:t>The acquisition will occur through a merger of a special purpose subsidiary of OpenMarket with and into Peerless Holdings, with Peerless Holdings as the surviving entity.</w:t>
      </w:r>
      <w:r>
        <w:rPr>
          <w:rStyle w:val="FootnoteReference"/>
          <w:snapToGrid w:val="0"/>
          <w:kern w:val="28"/>
          <w:szCs w:val="22"/>
        </w:rPr>
        <w:footnoteReference w:id="11"/>
      </w:r>
      <w:r w:rsidR="006006B4">
        <w:rPr>
          <w:snapToGrid w:val="0"/>
          <w:kern w:val="28"/>
          <w:szCs w:val="22"/>
        </w:rPr>
        <w:t xml:space="preserve">  </w:t>
      </w:r>
      <w:r w:rsidR="004C060E">
        <w:rPr>
          <w:snapToGrid w:val="0"/>
          <w:kern w:val="28"/>
          <w:szCs w:val="22"/>
        </w:rPr>
        <w:t>F</w:t>
      </w:r>
      <w:r w:rsidR="001220B9">
        <w:rPr>
          <w:snapToGrid w:val="0"/>
          <w:kern w:val="28"/>
          <w:szCs w:val="22"/>
        </w:rPr>
        <w:t xml:space="preserve">ollowing the consummation of the </w:t>
      </w:r>
      <w:r w:rsidR="00525F5A">
        <w:rPr>
          <w:snapToGrid w:val="0"/>
          <w:kern w:val="28"/>
          <w:szCs w:val="22"/>
        </w:rPr>
        <w:t xml:space="preserve">proposed </w:t>
      </w:r>
      <w:r w:rsidR="001220B9">
        <w:rPr>
          <w:snapToGrid w:val="0"/>
          <w:kern w:val="28"/>
          <w:szCs w:val="22"/>
        </w:rPr>
        <w:t>transaction, Peerless Holdings</w:t>
      </w:r>
      <w:r w:rsidRPr="00500229">
        <w:rPr>
          <w:snapToGrid w:val="0"/>
          <w:kern w:val="28"/>
          <w:szCs w:val="22"/>
        </w:rPr>
        <w:t xml:space="preserve"> will </w:t>
      </w:r>
      <w:r w:rsidR="0009371C">
        <w:rPr>
          <w:snapToGrid w:val="0"/>
          <w:kern w:val="28"/>
          <w:szCs w:val="22"/>
        </w:rPr>
        <w:t>be</w:t>
      </w:r>
      <w:r w:rsidRPr="00500229">
        <w:rPr>
          <w:snapToGrid w:val="0"/>
          <w:kern w:val="28"/>
          <w:szCs w:val="22"/>
        </w:rPr>
        <w:t xml:space="preserve"> </w:t>
      </w:r>
      <w:r w:rsidR="0009371C">
        <w:rPr>
          <w:snapToGrid w:val="0"/>
          <w:kern w:val="28"/>
          <w:szCs w:val="22"/>
        </w:rPr>
        <w:t xml:space="preserve">directly </w:t>
      </w:r>
      <w:r w:rsidRPr="00500229">
        <w:rPr>
          <w:snapToGrid w:val="0"/>
          <w:kern w:val="28"/>
          <w:szCs w:val="22"/>
        </w:rPr>
        <w:t>wholly</w:t>
      </w:r>
      <w:r w:rsidR="001220B9">
        <w:rPr>
          <w:snapToGrid w:val="0"/>
          <w:kern w:val="28"/>
          <w:szCs w:val="22"/>
        </w:rPr>
        <w:t>-</w:t>
      </w:r>
      <w:r w:rsidRPr="00500229">
        <w:rPr>
          <w:snapToGrid w:val="0"/>
          <w:kern w:val="28"/>
          <w:szCs w:val="22"/>
        </w:rPr>
        <w:t xml:space="preserve">owned </w:t>
      </w:r>
      <w:r w:rsidR="0009371C">
        <w:rPr>
          <w:snapToGrid w:val="0"/>
          <w:kern w:val="28"/>
          <w:szCs w:val="22"/>
        </w:rPr>
        <w:t xml:space="preserve">by </w:t>
      </w:r>
      <w:r w:rsidRPr="00500229">
        <w:rPr>
          <w:snapToGrid w:val="0"/>
          <w:kern w:val="28"/>
          <w:szCs w:val="22"/>
        </w:rPr>
        <w:t>OpenMarket, and PNI will be</w:t>
      </w:r>
      <w:r w:rsidR="004C060E">
        <w:rPr>
          <w:snapToGrid w:val="0"/>
          <w:kern w:val="28"/>
          <w:szCs w:val="22"/>
        </w:rPr>
        <w:t xml:space="preserve"> </w:t>
      </w:r>
      <w:r w:rsidRPr="00500229">
        <w:rPr>
          <w:snapToGrid w:val="0"/>
          <w:kern w:val="28"/>
          <w:szCs w:val="22"/>
        </w:rPr>
        <w:t>indirectly wholly</w:t>
      </w:r>
      <w:r w:rsidR="001220B9">
        <w:rPr>
          <w:snapToGrid w:val="0"/>
          <w:kern w:val="28"/>
          <w:szCs w:val="22"/>
        </w:rPr>
        <w:t>-</w:t>
      </w:r>
      <w:r w:rsidRPr="00500229">
        <w:rPr>
          <w:snapToGrid w:val="0"/>
          <w:kern w:val="28"/>
          <w:szCs w:val="22"/>
        </w:rPr>
        <w:t xml:space="preserve">owned </w:t>
      </w:r>
      <w:r w:rsidR="0009371C">
        <w:rPr>
          <w:snapToGrid w:val="0"/>
          <w:kern w:val="28"/>
          <w:szCs w:val="22"/>
        </w:rPr>
        <w:t xml:space="preserve">by </w:t>
      </w:r>
      <w:r w:rsidRPr="00500229">
        <w:rPr>
          <w:snapToGrid w:val="0"/>
          <w:kern w:val="28"/>
          <w:szCs w:val="22"/>
        </w:rPr>
        <w:t>OpenMarket</w:t>
      </w:r>
      <w:r w:rsidR="001640A4">
        <w:rPr>
          <w:snapToGrid w:val="0"/>
          <w:kern w:val="28"/>
          <w:szCs w:val="22"/>
        </w:rPr>
        <w:t>.</w:t>
      </w:r>
      <w:r>
        <w:rPr>
          <w:rStyle w:val="FootnoteReference"/>
          <w:snapToGrid w:val="0"/>
          <w:kern w:val="28"/>
          <w:szCs w:val="22"/>
        </w:rPr>
        <w:footnoteReference w:id="12"/>
      </w:r>
      <w:r w:rsidR="001640A4">
        <w:rPr>
          <w:snapToGrid w:val="0"/>
          <w:kern w:val="28"/>
          <w:szCs w:val="22"/>
        </w:rPr>
        <w:t xml:space="preserve">  </w:t>
      </w:r>
    </w:p>
    <w:p w:rsidR="00AD440B" w:rsidP="00C5694E" w14:paraId="55569E17" w14:textId="77777777">
      <w:pPr>
        <w:widowControl w:val="0"/>
        <w:spacing w:after="120"/>
        <w:ind w:firstLine="720"/>
        <w:rPr>
          <w:bCs/>
          <w:szCs w:val="22"/>
        </w:rPr>
      </w:pPr>
      <w:r w:rsidRPr="00977584">
        <w:rPr>
          <w:bCs/>
          <w:szCs w:val="22"/>
        </w:rPr>
        <w:t>Applicants assert that a grant of the application would serve the public interest,</w:t>
      </w:r>
      <w:r w:rsidR="00F90999">
        <w:rPr>
          <w:bCs/>
          <w:szCs w:val="22"/>
        </w:rPr>
        <w:t xml:space="preserve"> </w:t>
      </w:r>
      <w:r w:rsidRPr="00977584">
        <w:rPr>
          <w:bCs/>
          <w:szCs w:val="22"/>
        </w:rPr>
        <w:t>convenience, and necessity.</w:t>
      </w:r>
      <w:r>
        <w:rPr>
          <w:rStyle w:val="FootnoteReference"/>
          <w:bCs/>
          <w:szCs w:val="22"/>
        </w:rPr>
        <w:footnoteReference w:id="13"/>
      </w:r>
      <w:r w:rsidRPr="00977584">
        <w:rPr>
          <w:bCs/>
          <w:szCs w:val="22"/>
        </w:rPr>
        <w:t xml:space="preserve">  </w:t>
      </w:r>
      <w:r w:rsidR="006608D0">
        <w:rPr>
          <w:bCs/>
          <w:szCs w:val="22"/>
        </w:rPr>
        <w:t xml:space="preserve">Applicants </w:t>
      </w:r>
      <w:r w:rsidR="00794A59">
        <w:rPr>
          <w:bCs/>
          <w:szCs w:val="22"/>
        </w:rPr>
        <w:t xml:space="preserve">state </w:t>
      </w:r>
      <w:r w:rsidR="006608D0">
        <w:rPr>
          <w:bCs/>
          <w:szCs w:val="22"/>
        </w:rPr>
        <w:t xml:space="preserve">that the proposed transaction </w:t>
      </w:r>
      <w:r w:rsidR="006006B4">
        <w:rPr>
          <w:bCs/>
          <w:szCs w:val="22"/>
        </w:rPr>
        <w:t xml:space="preserve">will be seamless to customers, not eliminate competition, and </w:t>
      </w:r>
      <w:r w:rsidR="006608D0">
        <w:rPr>
          <w:bCs/>
          <w:szCs w:val="22"/>
        </w:rPr>
        <w:t>“</w:t>
      </w:r>
      <w:r w:rsidRPr="006608D0" w:rsidR="006608D0">
        <w:rPr>
          <w:bCs/>
          <w:szCs w:val="22"/>
        </w:rPr>
        <w:t>will strengthen the financial</w:t>
      </w:r>
      <w:r w:rsidR="006608D0">
        <w:rPr>
          <w:bCs/>
          <w:szCs w:val="22"/>
        </w:rPr>
        <w:t xml:space="preserve"> </w:t>
      </w:r>
      <w:r w:rsidRPr="006608D0" w:rsidR="006608D0">
        <w:rPr>
          <w:bCs/>
          <w:szCs w:val="22"/>
        </w:rPr>
        <w:t>position of PNI by providing access to capital from new funding sources enabling accelerated</w:t>
      </w:r>
      <w:r w:rsidR="006608D0">
        <w:rPr>
          <w:bCs/>
          <w:szCs w:val="22"/>
        </w:rPr>
        <w:t xml:space="preserve"> </w:t>
      </w:r>
      <w:r w:rsidRPr="006608D0" w:rsidR="006608D0">
        <w:rPr>
          <w:bCs/>
          <w:szCs w:val="22"/>
        </w:rPr>
        <w:t>investment in the company’s network and the deployment of expanded services to customers</w:t>
      </w:r>
      <w:r w:rsidRPr="00863D10" w:rsidR="00863D10">
        <w:rPr>
          <w:bCs/>
          <w:szCs w:val="22"/>
        </w:rPr>
        <w:t>.</w:t>
      </w:r>
      <w:r w:rsidR="00863D10">
        <w:rPr>
          <w:bCs/>
          <w:szCs w:val="22"/>
          <w:vertAlign w:val="superscript"/>
        </w:rPr>
        <w:t>”</w:t>
      </w:r>
      <w:r>
        <w:rPr>
          <w:rStyle w:val="FootnoteReference"/>
          <w:bCs/>
          <w:szCs w:val="22"/>
        </w:rPr>
        <w:footnoteReference w:id="14"/>
      </w:r>
      <w:r w:rsidR="006006B4">
        <w:rPr>
          <w:bCs/>
          <w:szCs w:val="22"/>
          <w:vertAlign w:val="superscript"/>
        </w:rPr>
        <w:t xml:space="preserve"> </w:t>
      </w:r>
    </w:p>
    <w:p w:rsidR="00633F11" w:rsidP="00C5694E" w14:paraId="76FBBB8F" w14:textId="77777777">
      <w:pPr>
        <w:widowControl w:val="0"/>
        <w:spacing w:after="120"/>
        <w:ind w:firstLine="720"/>
        <w:rPr>
          <w:bCs/>
          <w:szCs w:val="22"/>
        </w:rPr>
      </w:pPr>
      <w:r>
        <w:rPr>
          <w:bCs/>
          <w:szCs w:val="22"/>
        </w:rPr>
        <w:t>Applicant</w:t>
      </w:r>
      <w:r w:rsidR="00525F5A">
        <w:rPr>
          <w:bCs/>
          <w:szCs w:val="22"/>
        </w:rPr>
        <w:t>s</w:t>
      </w:r>
      <w:r>
        <w:rPr>
          <w:bCs/>
          <w:szCs w:val="22"/>
        </w:rPr>
        <w:t xml:space="preserve"> do not request streamlined processing for the Application, and </w:t>
      </w:r>
      <w:r w:rsidRPr="00F90999" w:rsidR="00F90999">
        <w:rPr>
          <w:bCs/>
          <w:szCs w:val="22"/>
        </w:rPr>
        <w:t xml:space="preserve">we accept </w:t>
      </w:r>
      <w:r>
        <w:rPr>
          <w:bCs/>
          <w:szCs w:val="22"/>
        </w:rPr>
        <w:t xml:space="preserve">it </w:t>
      </w:r>
      <w:r w:rsidRPr="00F90999" w:rsidR="00F90999">
        <w:rPr>
          <w:bCs/>
          <w:szCs w:val="22"/>
        </w:rPr>
        <w:t>for non-streamlined processing</w:t>
      </w:r>
      <w:r>
        <w:rPr>
          <w:bCs/>
          <w:szCs w:val="22"/>
        </w:rPr>
        <w:t xml:space="preserve"> under the Commission’s rules</w:t>
      </w:r>
      <w:r w:rsidRPr="00F90999" w:rsidR="00F90999">
        <w:rPr>
          <w:bCs/>
          <w:szCs w:val="22"/>
        </w:rPr>
        <w:t>.</w:t>
      </w:r>
      <w:r>
        <w:rPr>
          <w:bCs/>
          <w:szCs w:val="22"/>
          <w:vertAlign w:val="superscript"/>
        </w:rPr>
        <w:footnoteReference w:id="15"/>
      </w:r>
    </w:p>
    <w:p w:rsidR="00633F11" w:rsidRPr="00904C8C" w:rsidP="00633F11" w14:paraId="325749AC" w14:textId="77777777">
      <w:pPr>
        <w:autoSpaceDE w:val="0"/>
        <w:autoSpaceDN w:val="0"/>
        <w:adjustRightInd w:val="0"/>
        <w:spacing w:after="120"/>
        <w:ind w:firstLine="720"/>
        <w:rPr>
          <w:snapToGrid w:val="0"/>
          <w:kern w:val="28"/>
          <w:szCs w:val="22"/>
        </w:rPr>
      </w:pPr>
      <w:r w:rsidRPr="00904C8C">
        <w:rPr>
          <w:snapToGrid w:val="0"/>
          <w:kern w:val="28"/>
          <w:szCs w:val="22"/>
          <w:u w:val="single"/>
        </w:rPr>
        <w:t>Referral to Executive Branch Agencies</w:t>
      </w:r>
      <w:r w:rsidRPr="00904C8C">
        <w:rPr>
          <w:snapToGrid w:val="0"/>
          <w:kern w:val="28"/>
          <w:szCs w:val="22"/>
        </w:rPr>
        <w:t xml:space="preserve">.  Through this Public Notice, pursuant to Commission practice, the </w:t>
      </w:r>
      <w:r>
        <w:rPr>
          <w:snapToGrid w:val="0"/>
          <w:kern w:val="28"/>
          <w:szCs w:val="22"/>
        </w:rPr>
        <w:t>A</w:t>
      </w:r>
      <w:r w:rsidRPr="00904C8C">
        <w:rPr>
          <w:snapToGrid w:val="0"/>
          <w:kern w:val="28"/>
          <w:szCs w:val="22"/>
        </w:rPr>
        <w:t>pplication</w:t>
      </w:r>
      <w:r>
        <w:rPr>
          <w:snapToGrid w:val="0"/>
          <w:kern w:val="28"/>
          <w:szCs w:val="22"/>
        </w:rPr>
        <w:t xml:space="preserve"> </w:t>
      </w:r>
      <w:r w:rsidR="00694552">
        <w:rPr>
          <w:snapToGrid w:val="0"/>
          <w:kern w:val="28"/>
          <w:szCs w:val="22"/>
        </w:rPr>
        <w:t xml:space="preserve">and the associated international application, ITC-T/C-20211108-00165, are </w:t>
      </w:r>
      <w:r w:rsidRPr="00904C8C">
        <w:rPr>
          <w:snapToGrid w:val="0"/>
          <w:kern w:val="28"/>
          <w:szCs w:val="22"/>
        </w:rPr>
        <w:t xml:space="preserve">being referred to the relevant Executive Branch agencies for their views on any national security, law enforcement, foreign policy, or trade policy concerns related to the foreign ownership of the </w:t>
      </w:r>
      <w:r>
        <w:rPr>
          <w:snapToGrid w:val="0"/>
          <w:kern w:val="28"/>
          <w:szCs w:val="22"/>
        </w:rPr>
        <w:t>Applicants.</w:t>
      </w:r>
      <w:r>
        <w:rPr>
          <w:snapToGrid w:val="0"/>
          <w:kern w:val="28"/>
          <w:szCs w:val="22"/>
          <w:vertAlign w:val="superscript"/>
        </w:rPr>
        <w:footnoteReference w:id="16"/>
      </w:r>
    </w:p>
    <w:p w:rsidR="00F90999" w:rsidRPr="00F90999" w:rsidP="00C5694E" w14:paraId="59B2148A" w14:textId="77777777">
      <w:pPr>
        <w:widowControl w:val="0"/>
        <w:spacing w:after="120"/>
        <w:ind w:firstLine="720"/>
        <w:rPr>
          <w:bCs/>
          <w:szCs w:val="22"/>
        </w:rPr>
      </w:pPr>
      <w:r w:rsidRPr="00F90999">
        <w:rPr>
          <w:bCs/>
          <w:szCs w:val="22"/>
        </w:rPr>
        <w:t xml:space="preserve">  </w:t>
      </w:r>
    </w:p>
    <w:p w:rsidR="00B02DB5" w:rsidP="00F90999" w14:paraId="1FCACFCC" w14:textId="77777777">
      <w:pPr>
        <w:ind w:left="720"/>
        <w:rPr>
          <w:szCs w:val="22"/>
        </w:rPr>
      </w:pPr>
      <w:r w:rsidRPr="00977584">
        <w:rPr>
          <w:szCs w:val="22"/>
        </w:rPr>
        <w:t xml:space="preserve">Domestic Section 214 Application Filed for </w:t>
      </w:r>
      <w:r w:rsidRPr="001640A4" w:rsidR="001640A4">
        <w:rPr>
          <w:szCs w:val="22"/>
        </w:rPr>
        <w:t xml:space="preserve">Transfer </w:t>
      </w:r>
      <w:r w:rsidR="001640A4">
        <w:rPr>
          <w:szCs w:val="22"/>
        </w:rPr>
        <w:t>o</w:t>
      </w:r>
      <w:r w:rsidRPr="001640A4" w:rsidR="001640A4">
        <w:rPr>
          <w:szCs w:val="22"/>
        </w:rPr>
        <w:t xml:space="preserve">f Control </w:t>
      </w:r>
      <w:r w:rsidR="001640A4">
        <w:rPr>
          <w:szCs w:val="22"/>
        </w:rPr>
        <w:t>o</w:t>
      </w:r>
      <w:r w:rsidRPr="001640A4" w:rsidR="001640A4">
        <w:rPr>
          <w:szCs w:val="22"/>
        </w:rPr>
        <w:t xml:space="preserve">f </w:t>
      </w:r>
    </w:p>
    <w:p w:rsidR="00AD440B" w:rsidRPr="00AD440B" w:rsidP="00B02DB5" w14:paraId="42927A89" w14:textId="77777777">
      <w:pPr>
        <w:ind w:left="720"/>
        <w:rPr>
          <w:szCs w:val="22"/>
        </w:rPr>
      </w:pPr>
      <w:r w:rsidRPr="001640A4">
        <w:rPr>
          <w:szCs w:val="22"/>
        </w:rPr>
        <w:t xml:space="preserve">Peerless Network, Inc. </w:t>
      </w:r>
      <w:r>
        <w:rPr>
          <w:szCs w:val="22"/>
        </w:rPr>
        <w:t>t</w:t>
      </w:r>
      <w:r w:rsidRPr="001640A4">
        <w:rPr>
          <w:szCs w:val="22"/>
        </w:rPr>
        <w:t>o Open</w:t>
      </w:r>
      <w:r w:rsidR="00F90999">
        <w:rPr>
          <w:szCs w:val="22"/>
        </w:rPr>
        <w:t>M</w:t>
      </w:r>
      <w:r w:rsidRPr="001640A4">
        <w:rPr>
          <w:szCs w:val="22"/>
        </w:rPr>
        <w:t>arket Inc</w:t>
      </w:r>
      <w:r>
        <w:rPr>
          <w:szCs w:val="22"/>
        </w:rPr>
        <w:t>.</w:t>
      </w:r>
      <w:r w:rsidRPr="00977584" w:rsidR="00DF1F6F">
        <w:rPr>
          <w:szCs w:val="22"/>
        </w:rPr>
        <w:t xml:space="preserve">, WC Docket </w:t>
      </w:r>
      <w:r w:rsidRPr="00AD440B" w:rsidR="00DF1F6F">
        <w:rPr>
          <w:szCs w:val="22"/>
        </w:rPr>
        <w:t>No. 21-4</w:t>
      </w:r>
      <w:r w:rsidR="00977584">
        <w:rPr>
          <w:szCs w:val="22"/>
        </w:rPr>
        <w:t>3</w:t>
      </w:r>
      <w:r w:rsidR="006577CA">
        <w:rPr>
          <w:szCs w:val="22"/>
        </w:rPr>
        <w:t>4</w:t>
      </w:r>
      <w:r w:rsidRPr="00AD440B" w:rsidR="00DF1F6F">
        <w:rPr>
          <w:szCs w:val="22"/>
        </w:rPr>
        <w:t xml:space="preserve"> (filed </w:t>
      </w:r>
      <w:r w:rsidR="00977584">
        <w:rPr>
          <w:szCs w:val="22"/>
        </w:rPr>
        <w:t>Nov</w:t>
      </w:r>
      <w:r w:rsidRPr="00AD440B" w:rsidR="00DF1F6F">
        <w:rPr>
          <w:szCs w:val="22"/>
        </w:rPr>
        <w:t xml:space="preserve">. </w:t>
      </w:r>
      <w:r w:rsidR="00977584">
        <w:rPr>
          <w:szCs w:val="22"/>
        </w:rPr>
        <w:t>5</w:t>
      </w:r>
      <w:r w:rsidRPr="00AD440B" w:rsidR="00DF1F6F">
        <w:rPr>
          <w:szCs w:val="22"/>
        </w:rPr>
        <w:t>, 2021).</w:t>
      </w:r>
    </w:p>
    <w:p w:rsidR="00AD440B" w:rsidRPr="00AD440B" w:rsidP="00AD440B" w14:paraId="0873A0CE" w14:textId="77777777">
      <w:pPr>
        <w:widowControl w:val="0"/>
        <w:rPr>
          <w:snapToGrid w:val="0"/>
          <w:kern w:val="28"/>
          <w:szCs w:val="22"/>
        </w:rPr>
      </w:pPr>
    </w:p>
    <w:p w:rsidR="00AD440B" w:rsidRPr="00AD440B" w:rsidP="00AD440B" w14:paraId="56ECB9CE" w14:textId="77777777">
      <w:pPr>
        <w:autoSpaceDE w:val="0"/>
        <w:autoSpaceDN w:val="0"/>
        <w:adjustRightInd w:val="0"/>
        <w:rPr>
          <w:szCs w:val="22"/>
        </w:rPr>
      </w:pPr>
      <w:r w:rsidRPr="00AD440B">
        <w:rPr>
          <w:b/>
          <w:szCs w:val="22"/>
          <w:u w:val="single"/>
        </w:rPr>
        <w:t>GENERAL INFORMATION</w:t>
      </w:r>
    </w:p>
    <w:p w:rsidR="00AD440B" w:rsidRPr="00AD440B" w:rsidP="00AD440B" w14:paraId="52A0EBCD" w14:textId="77777777">
      <w:pPr>
        <w:autoSpaceDE w:val="0"/>
        <w:autoSpaceDN w:val="0"/>
        <w:adjustRightInd w:val="0"/>
        <w:rPr>
          <w:szCs w:val="22"/>
        </w:rPr>
      </w:pPr>
    </w:p>
    <w:p w:rsidR="00B822B3" w:rsidRPr="00B822B3" w:rsidP="00B822B3" w14:paraId="0282FAC2" w14:textId="77777777">
      <w:pPr>
        <w:autoSpaceDE w:val="0"/>
        <w:autoSpaceDN w:val="0"/>
        <w:adjustRightInd w:val="0"/>
        <w:spacing w:after="120"/>
        <w:ind w:firstLine="720"/>
        <w:rPr>
          <w:szCs w:val="22"/>
        </w:rPr>
      </w:pPr>
      <w:r w:rsidRPr="00B822B3">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B822B3" w:rsidRPr="00B822B3" w:rsidP="00B822B3" w14:paraId="75DA8B70" w14:textId="77777777">
      <w:pPr>
        <w:autoSpaceDE w:val="0"/>
        <w:autoSpaceDN w:val="0"/>
        <w:adjustRightInd w:val="0"/>
        <w:spacing w:after="120"/>
        <w:ind w:firstLine="720"/>
        <w:rPr>
          <w:szCs w:val="22"/>
        </w:rPr>
      </w:pPr>
      <w:r w:rsidRPr="00B822B3">
        <w:rPr>
          <w:szCs w:val="22"/>
        </w:rPr>
        <w:t xml:space="preserve">Interested parties may file comments </w:t>
      </w:r>
      <w:r w:rsidRPr="00B822B3">
        <w:rPr>
          <w:b/>
          <w:szCs w:val="22"/>
        </w:rPr>
        <w:t xml:space="preserve">on or before </w:t>
      </w:r>
      <w:r>
        <w:rPr>
          <w:b/>
          <w:szCs w:val="22"/>
        </w:rPr>
        <w:t>December 3</w:t>
      </w:r>
      <w:r w:rsidRPr="00B822B3">
        <w:rPr>
          <w:b/>
          <w:szCs w:val="22"/>
        </w:rPr>
        <w:t>, 2021</w:t>
      </w:r>
      <w:r w:rsidRPr="00B822B3">
        <w:rPr>
          <w:szCs w:val="22"/>
        </w:rPr>
        <w:t xml:space="preserve">, and reply comments </w:t>
      </w:r>
      <w:r w:rsidRPr="00B822B3">
        <w:rPr>
          <w:b/>
          <w:szCs w:val="22"/>
        </w:rPr>
        <w:t xml:space="preserve">on or before </w:t>
      </w:r>
      <w:r>
        <w:rPr>
          <w:b/>
          <w:szCs w:val="22"/>
        </w:rPr>
        <w:t>December 10</w:t>
      </w:r>
      <w:r w:rsidRPr="00B822B3">
        <w:rPr>
          <w:b/>
          <w:szCs w:val="22"/>
        </w:rPr>
        <w:t>, 2021</w:t>
      </w:r>
      <w:r w:rsidRPr="00B822B3">
        <w:rPr>
          <w:szCs w:val="22"/>
        </w:rPr>
        <w:t>.  Comments may be filed using the Commission’s Electronic Comment Filing System (ECFS) or by paper.</w:t>
      </w:r>
    </w:p>
    <w:p w:rsidR="00B822B3" w:rsidRPr="00B822B3" w:rsidP="00B822B3" w14:paraId="5C2432E9" w14:textId="77777777">
      <w:pPr>
        <w:numPr>
          <w:ilvl w:val="0"/>
          <w:numId w:val="20"/>
        </w:numPr>
        <w:autoSpaceDE w:val="0"/>
        <w:autoSpaceDN w:val="0"/>
        <w:adjustRightInd w:val="0"/>
        <w:spacing w:after="120"/>
        <w:rPr>
          <w:szCs w:val="22"/>
        </w:rPr>
      </w:pPr>
      <w:r w:rsidRPr="00B822B3">
        <w:rPr>
          <w:szCs w:val="22"/>
        </w:rPr>
        <w:t>Electronic Filers:  Comments may be filed electronically by accessing ECFS at</w:t>
      </w:r>
      <w:r w:rsidR="00DD03E0">
        <w:rPr>
          <w:szCs w:val="22"/>
        </w:rPr>
        <w:t xml:space="preserve"> </w:t>
      </w:r>
      <w:hyperlink r:id="rId8" w:history="1">
        <w:r w:rsidRPr="00B822B3" w:rsidR="00DD03E0">
          <w:rPr>
            <w:rStyle w:val="Hyperlink"/>
            <w:szCs w:val="22"/>
          </w:rPr>
          <w:t>http://apps.fcc.gov/ecfs/</w:t>
        </w:r>
      </w:hyperlink>
      <w:r w:rsidRPr="00B822B3">
        <w:rPr>
          <w:szCs w:val="22"/>
          <w:u w:val="single"/>
        </w:rPr>
        <w:t xml:space="preserve"> </w:t>
      </w:r>
      <w:r w:rsidRPr="00B822B3">
        <w:rPr>
          <w:szCs w:val="22"/>
        </w:rPr>
        <w:t>.</w:t>
      </w:r>
    </w:p>
    <w:p w:rsidR="00B822B3" w:rsidRPr="00B822B3" w:rsidP="00B822B3" w14:paraId="73C202B6" w14:textId="77777777">
      <w:pPr>
        <w:numPr>
          <w:ilvl w:val="0"/>
          <w:numId w:val="21"/>
        </w:numPr>
        <w:tabs>
          <w:tab w:val="clear" w:pos="720"/>
        </w:tabs>
        <w:autoSpaceDE w:val="0"/>
        <w:autoSpaceDN w:val="0"/>
        <w:adjustRightInd w:val="0"/>
        <w:spacing w:after="120"/>
        <w:rPr>
          <w:szCs w:val="22"/>
        </w:rPr>
      </w:pPr>
      <w:r w:rsidRPr="00B822B3">
        <w:rPr>
          <w:i/>
          <w:iCs/>
          <w:szCs w:val="22"/>
        </w:rPr>
        <w:t>Paper Filers</w:t>
      </w:r>
      <w:r w:rsidRPr="00B822B3">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822B3" w:rsidRPr="00B822B3" w:rsidP="00B822B3" w14:paraId="74EEF9CC" w14:textId="77777777">
      <w:pPr>
        <w:numPr>
          <w:ilvl w:val="1"/>
          <w:numId w:val="21"/>
        </w:numPr>
        <w:autoSpaceDE w:val="0"/>
        <w:autoSpaceDN w:val="0"/>
        <w:adjustRightInd w:val="0"/>
        <w:spacing w:after="120"/>
        <w:rPr>
          <w:szCs w:val="22"/>
        </w:rPr>
      </w:pPr>
      <w:r w:rsidRPr="00B822B3">
        <w:rPr>
          <w:szCs w:val="22"/>
        </w:rPr>
        <w:t>Filings can be sent by commercial overnight courier or by first-class or overnight U.S. Postal Service mail.</w:t>
      </w:r>
      <w:r>
        <w:rPr>
          <w:szCs w:val="22"/>
          <w:vertAlign w:val="superscript"/>
        </w:rPr>
        <w:footnoteReference w:id="17"/>
      </w:r>
      <w:r w:rsidRPr="00B822B3">
        <w:rPr>
          <w:szCs w:val="22"/>
        </w:rPr>
        <w:t xml:space="preserve">  All filings must be addressed to the Commission’s Secretary, Office of the Secretary, Federal Communications Commission.</w:t>
      </w:r>
    </w:p>
    <w:p w:rsidR="00B822B3" w:rsidRPr="00B822B3" w:rsidP="00B822B3" w14:paraId="0EF206B7" w14:textId="77777777">
      <w:pPr>
        <w:numPr>
          <w:ilvl w:val="1"/>
          <w:numId w:val="21"/>
        </w:numPr>
        <w:autoSpaceDE w:val="0"/>
        <w:autoSpaceDN w:val="0"/>
        <w:adjustRightInd w:val="0"/>
        <w:spacing w:after="120"/>
        <w:rPr>
          <w:szCs w:val="22"/>
        </w:rPr>
      </w:pPr>
      <w:r w:rsidRPr="00B822B3">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B822B3" w:rsidRPr="00B822B3" w:rsidP="00B822B3" w14:paraId="75F85AD7" w14:textId="77777777">
      <w:pPr>
        <w:autoSpaceDE w:val="0"/>
        <w:autoSpaceDN w:val="0"/>
        <w:adjustRightInd w:val="0"/>
        <w:spacing w:after="120"/>
        <w:ind w:firstLine="720"/>
        <w:rPr>
          <w:szCs w:val="22"/>
        </w:rPr>
      </w:pPr>
      <w:r w:rsidRPr="00B822B3">
        <w:rPr>
          <w:szCs w:val="22"/>
        </w:rPr>
        <w:t>People with Disabilities:  We ask that requests for accommodations be made as soon as possible in order to allow the agency to satisfy such requests whenever possible.  Send an email to </w:t>
      </w:r>
      <w:hyperlink r:id="rId9" w:tgtFrame="_blank" w:history="1">
        <w:r w:rsidRPr="00B822B3">
          <w:rPr>
            <w:rStyle w:val="Hyperlink"/>
            <w:szCs w:val="22"/>
          </w:rPr>
          <w:t>fcc504@fcc.gov</w:t>
        </w:r>
      </w:hyperlink>
      <w:r w:rsidRPr="00B822B3">
        <w:rPr>
          <w:szCs w:val="22"/>
        </w:rPr>
        <w:t> or call the Consumer and Governmental Affairs Bureau at (202) 418-0530.</w:t>
      </w:r>
    </w:p>
    <w:p w:rsidR="00AD440B" w:rsidRPr="00AD440B" w:rsidP="00AD440B" w14:paraId="53C1EB6E"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AD440B" w:rsidRPr="00AD440B" w:rsidP="00AD440B" w14:paraId="5171C895" w14:textId="77777777">
      <w:pPr>
        <w:widowControl w:val="0"/>
        <w:numPr>
          <w:ilvl w:val="0"/>
          <w:numId w:val="18"/>
        </w:numPr>
        <w:autoSpaceDE w:val="0"/>
        <w:autoSpaceDN w:val="0"/>
        <w:adjustRightInd w:val="0"/>
        <w:spacing w:after="120"/>
        <w:rPr>
          <w:szCs w:val="22"/>
        </w:rPr>
      </w:pPr>
      <w:r>
        <w:rPr>
          <w:szCs w:val="22"/>
        </w:rPr>
        <w:t>Myrva Charles</w:t>
      </w:r>
      <w:r w:rsidRPr="00AD440B" w:rsidR="00DF1F6F">
        <w:rPr>
          <w:szCs w:val="22"/>
        </w:rPr>
        <w:t xml:space="preserve">, Competition Policy Division, Wireline Competition Bureau,  </w:t>
      </w:r>
      <w:hyperlink r:id="rId10" w:history="1">
        <w:r w:rsidRPr="00E3147A">
          <w:rPr>
            <w:rStyle w:val="Hyperlink"/>
            <w:szCs w:val="22"/>
          </w:rPr>
          <w:t>myrva.charles@fcc.gov</w:t>
        </w:r>
      </w:hyperlink>
      <w:r w:rsidRPr="00AD440B" w:rsidR="00DF1F6F">
        <w:rPr>
          <w:szCs w:val="22"/>
        </w:rPr>
        <w:t>;</w:t>
      </w:r>
    </w:p>
    <w:p w:rsidR="00F90999" w:rsidP="00F90999" w14:paraId="1528CC01" w14:textId="77777777">
      <w:pPr>
        <w:widowControl w:val="0"/>
        <w:numPr>
          <w:ilvl w:val="0"/>
          <w:numId w:val="18"/>
        </w:numPr>
        <w:autoSpaceDE w:val="0"/>
        <w:autoSpaceDN w:val="0"/>
        <w:adjustRightInd w:val="0"/>
        <w:spacing w:after="120"/>
        <w:rPr>
          <w:szCs w:val="22"/>
        </w:rPr>
      </w:pPr>
      <w:r w:rsidRPr="00AD440B">
        <w:rPr>
          <w:szCs w:val="22"/>
        </w:rPr>
        <w:t xml:space="preserve">Gregory Kwan, Competition Policy Division, Wireline Competition Bureau, </w:t>
      </w:r>
      <w:hyperlink r:id="rId11" w:history="1">
        <w:r w:rsidRPr="00AD440B">
          <w:rPr>
            <w:color w:val="0000FF"/>
            <w:szCs w:val="22"/>
            <w:u w:val="single"/>
          </w:rPr>
          <w:t>gregory.kwan@fcc.gov</w:t>
        </w:r>
      </w:hyperlink>
      <w:r w:rsidRPr="00746D47">
        <w:rPr>
          <w:szCs w:val="22"/>
        </w:rPr>
        <w:t xml:space="preserve">; </w:t>
      </w:r>
    </w:p>
    <w:p w:rsidR="00F90999" w:rsidP="00F90999" w14:paraId="59270DF7" w14:textId="77777777">
      <w:pPr>
        <w:widowControl w:val="0"/>
        <w:numPr>
          <w:ilvl w:val="0"/>
          <w:numId w:val="18"/>
        </w:numPr>
        <w:autoSpaceDE w:val="0"/>
        <w:autoSpaceDN w:val="0"/>
        <w:adjustRightInd w:val="0"/>
        <w:spacing w:after="120"/>
        <w:rPr>
          <w:szCs w:val="22"/>
        </w:rPr>
      </w:pPr>
      <w:r w:rsidRPr="00F90999">
        <w:rPr>
          <w:szCs w:val="22"/>
        </w:rPr>
        <w:t xml:space="preserve">David Krech, Telecommunications and Analysis Division, International Bureau, </w:t>
      </w:r>
      <w:hyperlink r:id="rId12" w:history="1">
        <w:r w:rsidRPr="00DE46D9">
          <w:rPr>
            <w:rStyle w:val="Hyperlink"/>
            <w:szCs w:val="22"/>
          </w:rPr>
          <w:t>david.krech@fcc.gov</w:t>
        </w:r>
      </w:hyperlink>
      <w:r w:rsidRPr="00F90999">
        <w:rPr>
          <w:szCs w:val="22"/>
        </w:rPr>
        <w:t>; and</w:t>
      </w:r>
    </w:p>
    <w:p w:rsidR="00AD440B" w:rsidRPr="00F90999" w:rsidP="00F90999" w14:paraId="4A4FA122" w14:textId="77777777">
      <w:pPr>
        <w:widowControl w:val="0"/>
        <w:numPr>
          <w:ilvl w:val="0"/>
          <w:numId w:val="18"/>
        </w:numPr>
        <w:autoSpaceDE w:val="0"/>
        <w:autoSpaceDN w:val="0"/>
        <w:adjustRightInd w:val="0"/>
        <w:spacing w:after="120"/>
        <w:rPr>
          <w:szCs w:val="22"/>
        </w:rPr>
      </w:pPr>
      <w:r w:rsidRPr="00F90999">
        <w:rPr>
          <w:szCs w:val="22"/>
        </w:rPr>
        <w:t xml:space="preserve">Jim Bird, Office of General Counsel, </w:t>
      </w:r>
      <w:hyperlink r:id="rId13" w:history="1">
        <w:r w:rsidRPr="00F90999">
          <w:rPr>
            <w:color w:val="0000FF"/>
            <w:szCs w:val="22"/>
            <w:u w:val="single"/>
          </w:rPr>
          <w:t>jim.bird@fcc.gov</w:t>
        </w:r>
      </w:hyperlink>
      <w:r w:rsidRPr="00F90999">
        <w:rPr>
          <w:szCs w:val="22"/>
        </w:rPr>
        <w:t>.</w:t>
      </w:r>
    </w:p>
    <w:p w:rsidR="00B822B3" w:rsidRPr="004F4DC1" w:rsidP="00B822B3" w14:paraId="6BE57E79" w14:textId="77777777">
      <w:pPr>
        <w:autoSpaceDE w:val="0"/>
        <w:autoSpaceDN w:val="0"/>
        <w:adjustRightInd w:val="0"/>
        <w:spacing w:after="120"/>
        <w:ind w:firstLine="720"/>
        <w:rPr>
          <w:szCs w:val="22"/>
        </w:rPr>
      </w:pPr>
      <w:r w:rsidRPr="004F4DC1">
        <w:rPr>
          <w:szCs w:val="22"/>
        </w:rPr>
        <w:t xml:space="preserve">The proceeding in this Notice shall be treated as a “permit-but-disclose” proceeding in accordance with the Commission’s </w:t>
      </w:r>
      <w:r w:rsidRPr="004F4DC1">
        <w:rPr>
          <w:i/>
          <w:szCs w:val="22"/>
        </w:rPr>
        <w:t>ex parte</w:t>
      </w:r>
      <w:r w:rsidRPr="004F4DC1">
        <w:rPr>
          <w:szCs w:val="22"/>
        </w:rPr>
        <w:t xml:space="preserve"> rules.  Persons making </w:t>
      </w:r>
      <w:r w:rsidRPr="004F4DC1">
        <w:rPr>
          <w:i/>
          <w:szCs w:val="22"/>
        </w:rPr>
        <w:t>ex parte</w:t>
      </w:r>
      <w:r w:rsidRPr="004F4DC1">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F4DC1">
        <w:rPr>
          <w:i/>
          <w:szCs w:val="22"/>
        </w:rPr>
        <w:t>ex parte</w:t>
      </w:r>
      <w:r w:rsidRPr="004F4DC1">
        <w:rPr>
          <w:szCs w:val="22"/>
        </w:rPr>
        <w:t xml:space="preserve"> presentations are reminded that memoranda summarizing the presentation must (1) list all persons attending or otherwise participating in the meeting at which the </w:t>
      </w:r>
      <w:r w:rsidRPr="004F4DC1">
        <w:rPr>
          <w:i/>
          <w:szCs w:val="22"/>
        </w:rPr>
        <w:t>ex parte</w:t>
      </w:r>
      <w:r w:rsidRPr="004F4DC1">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4DC1">
        <w:rPr>
          <w:i/>
          <w:szCs w:val="22"/>
        </w:rPr>
        <w:t>ex parte</w:t>
      </w:r>
      <w:r w:rsidRPr="004F4DC1">
        <w:rPr>
          <w:szCs w:val="22"/>
        </w:rPr>
        <w:t xml:space="preserve"> meetings are deemed to be written </w:t>
      </w:r>
      <w:r w:rsidRPr="004F4DC1">
        <w:rPr>
          <w:i/>
          <w:szCs w:val="22"/>
        </w:rPr>
        <w:t>ex parte</w:t>
      </w:r>
      <w:r w:rsidRPr="004F4DC1">
        <w:rPr>
          <w:szCs w:val="22"/>
        </w:rPr>
        <w:t xml:space="preserve"> presentations and must be filed consistent with rule 1.1206(b), 47 CFR § 1.1206(b).  Participants in this proceeding should familiarize themselves with the Commission’s </w:t>
      </w:r>
      <w:r w:rsidRPr="004F4DC1">
        <w:rPr>
          <w:i/>
          <w:szCs w:val="22"/>
        </w:rPr>
        <w:t>ex parte</w:t>
      </w:r>
      <w:r w:rsidRPr="004F4DC1">
        <w:rPr>
          <w:szCs w:val="22"/>
        </w:rPr>
        <w:t xml:space="preserve"> rules.</w:t>
      </w:r>
    </w:p>
    <w:p w:rsidR="00B822B3" w:rsidRPr="004F4DC1" w:rsidP="00B822B3" w14:paraId="5E31E217" w14:textId="77777777">
      <w:pPr>
        <w:autoSpaceDE w:val="0"/>
        <w:autoSpaceDN w:val="0"/>
        <w:adjustRightInd w:val="0"/>
        <w:spacing w:after="120"/>
        <w:ind w:firstLine="720"/>
        <w:rPr>
          <w:szCs w:val="22"/>
        </w:rPr>
      </w:pPr>
      <w:r w:rsidRPr="004F4DC1">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8"/>
      </w:r>
      <w:r w:rsidRPr="004F4DC1">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822B3" w:rsidRPr="004F4DC1" w:rsidP="00B822B3" w14:paraId="3ABB6931" w14:textId="77777777">
      <w:pPr>
        <w:autoSpaceDE w:val="0"/>
        <w:autoSpaceDN w:val="0"/>
        <w:adjustRightInd w:val="0"/>
        <w:spacing w:after="120"/>
        <w:ind w:firstLine="720"/>
        <w:rPr>
          <w:szCs w:val="22"/>
        </w:rPr>
      </w:pPr>
      <w:r w:rsidRPr="004F4DC1">
        <w:rPr>
          <w:szCs w:val="22"/>
        </w:rPr>
        <w:t>For further information, please contact Myrva Charles at (202) 418-1506 or Gregory Kwan at (202)</w:t>
      </w:r>
      <w:r>
        <w:rPr>
          <w:szCs w:val="22"/>
        </w:rPr>
        <w:t xml:space="preserve"> </w:t>
      </w:r>
      <w:r w:rsidRPr="004F4DC1">
        <w:rPr>
          <w:szCs w:val="22"/>
        </w:rPr>
        <w:t>418-1191.</w:t>
      </w:r>
    </w:p>
    <w:p w:rsidR="00AD440B" w:rsidRPr="00AD440B" w:rsidP="00AD440B" w14:paraId="42BF58AA" w14:textId="77777777">
      <w:pPr>
        <w:autoSpaceDE w:val="0"/>
        <w:autoSpaceDN w:val="0"/>
        <w:adjustRightInd w:val="0"/>
        <w:spacing w:after="120"/>
        <w:ind w:firstLine="720"/>
        <w:rPr>
          <w:szCs w:val="22"/>
        </w:rPr>
      </w:pPr>
    </w:p>
    <w:p w:rsidR="00AD440B" w:rsidRPr="00AD440B" w:rsidP="00AD440B" w14:paraId="41B93FC2" w14:textId="77777777">
      <w:pPr>
        <w:autoSpaceDE w:val="0"/>
        <w:autoSpaceDN w:val="0"/>
        <w:adjustRightInd w:val="0"/>
        <w:rPr>
          <w:szCs w:val="22"/>
        </w:rPr>
      </w:pPr>
    </w:p>
    <w:p w:rsidR="00E7033D" w:rsidRPr="00AD440B" w:rsidP="00AD440B" w14:paraId="7ACFD2AF" w14:textId="77777777">
      <w:pPr>
        <w:autoSpaceDE w:val="0"/>
        <w:autoSpaceDN w:val="0"/>
        <w:adjustRightInd w:val="0"/>
        <w:jc w:val="center"/>
        <w:rPr>
          <w:color w:val="000000"/>
          <w:szCs w:val="22"/>
        </w:rPr>
      </w:pPr>
      <w:r w:rsidRPr="00AD440B">
        <w:rPr>
          <w:b/>
          <w:szCs w:val="22"/>
        </w:rPr>
        <w:t>FCC</w:t>
      </w:r>
      <w:bookmarkEnd w:id="1"/>
      <w:bookmarkEnd w:id="2"/>
    </w:p>
    <w:p w:rsidR="00524D79" w14:paraId="11D28248"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7F6E1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053632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30DDF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063966F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EA5E3D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D223852" w14:textId="77777777"/>
  <w:p w:rsidR="005D4020" w14:paraId="54D788D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384D" w14:paraId="53DCBDA0" w14:textId="77777777">
      <w:r>
        <w:separator/>
      </w:r>
    </w:p>
  </w:footnote>
  <w:footnote w:type="continuationSeparator" w:id="1">
    <w:p w:rsidR="00EF384D" w14:paraId="43926C53" w14:textId="77777777">
      <w:r>
        <w:continuationSeparator/>
      </w:r>
    </w:p>
  </w:footnote>
  <w:footnote w:type="continuationNotice" w:id="2">
    <w:p w:rsidR="00EF384D" w14:paraId="6CEBB579" w14:textId="77777777"/>
  </w:footnote>
  <w:footnote w:id="3">
    <w:p w:rsidR="001220B9" w:rsidRPr="00B822B3" w:rsidP="00C5694E" w14:paraId="314FD2AE" w14:textId="77777777">
      <w:pPr>
        <w:pStyle w:val="FootnoteText"/>
        <w:spacing w:after="120"/>
        <w:rPr>
          <w:sz w:val="20"/>
        </w:rPr>
      </w:pPr>
      <w:r w:rsidRPr="00B822B3">
        <w:rPr>
          <w:rStyle w:val="FootnoteReference"/>
          <w:sz w:val="20"/>
        </w:rPr>
        <w:footnoteRef/>
      </w:r>
      <w:r w:rsidRPr="00B822B3">
        <w:rPr>
          <w:sz w:val="20"/>
        </w:rPr>
        <w:t xml:space="preserve"> Application of Peerless Network Holdings, Inc., Peerless Network, Inc, and OpenMarket, Inc. for Consent to Transfer Control of Domestic Authority </w:t>
      </w:r>
      <w:r w:rsidRPr="00B822B3" w:rsidR="00604DE5">
        <w:rPr>
          <w:sz w:val="20"/>
        </w:rPr>
        <w:t>Pursuant to Section 214 of the Communications Act, as Amended, WC Docket No. 21-434 (filed Nov. 5, 2021) (Application).</w:t>
      </w:r>
    </w:p>
  </w:footnote>
  <w:footnote w:id="4">
    <w:p w:rsidR="00AD440B" w:rsidRPr="00B822B3" w:rsidP="00C5694E" w14:paraId="5E5219FA" w14:textId="77777777">
      <w:pPr>
        <w:spacing w:after="120"/>
        <w:rPr>
          <w:bCs/>
          <w:sz w:val="20"/>
        </w:rPr>
      </w:pPr>
      <w:r w:rsidRPr="00B822B3">
        <w:rPr>
          <w:rStyle w:val="FootnoteReference"/>
          <w:sz w:val="20"/>
        </w:rPr>
        <w:footnoteRef/>
      </w:r>
      <w:r w:rsidRPr="00B822B3">
        <w:rPr>
          <w:sz w:val="20"/>
        </w:rPr>
        <w:t xml:space="preserve"> </w:t>
      </w:r>
      <w:r w:rsidRPr="00B822B3">
        <w:rPr>
          <w:i/>
          <w:sz w:val="20"/>
        </w:rPr>
        <w:t>See</w:t>
      </w:r>
      <w:r w:rsidRPr="00B822B3">
        <w:rPr>
          <w:sz w:val="20"/>
        </w:rPr>
        <w:t xml:space="preserve"> 47 U.S.C. § 214; 47 CFR §§ 63.03-04.  </w:t>
      </w:r>
      <w:r w:rsidRPr="00B822B3" w:rsidR="00977584">
        <w:rPr>
          <w:sz w:val="20"/>
        </w:rPr>
        <w:t>Applicants also filed applications for the transfer of authorizations associated with international services.  Any action on this domestic section 214 application is without prejudice to Commission action on other related, pending applications</w:t>
      </w:r>
      <w:r w:rsidRPr="00B822B3" w:rsidR="006D0C58">
        <w:rPr>
          <w:bCs/>
          <w:sz w:val="20"/>
        </w:rPr>
        <w:t>.</w:t>
      </w:r>
    </w:p>
  </w:footnote>
  <w:footnote w:id="5">
    <w:p w:rsidR="00F90999" w:rsidRPr="0009371C" w:rsidP="00C5694E" w14:paraId="0EBB7194" w14:textId="77777777">
      <w:pPr>
        <w:pStyle w:val="FootnoteText"/>
        <w:spacing w:after="120"/>
        <w:rPr>
          <w:sz w:val="20"/>
        </w:rPr>
      </w:pPr>
      <w:r w:rsidRPr="00B822B3">
        <w:rPr>
          <w:rStyle w:val="FootnoteReference"/>
          <w:sz w:val="20"/>
        </w:rPr>
        <w:footnoteRef/>
      </w:r>
      <w:r w:rsidRPr="00B822B3">
        <w:rPr>
          <w:sz w:val="20"/>
        </w:rPr>
        <w:t xml:space="preserve"> </w:t>
      </w:r>
      <w:r w:rsidRPr="00B822B3" w:rsidR="00220D8C">
        <w:rPr>
          <w:sz w:val="20"/>
        </w:rPr>
        <w:t>Application at 1-2.</w:t>
      </w:r>
      <w:r w:rsidR="00B63631">
        <w:rPr>
          <w:sz w:val="20"/>
        </w:rPr>
        <w:t xml:space="preserve">  Both Peerless Holdings and PNI are Delaware corporations.</w:t>
      </w:r>
      <w:r w:rsidR="0009371C">
        <w:rPr>
          <w:sz w:val="20"/>
        </w:rPr>
        <w:t xml:space="preserve">  </w:t>
      </w:r>
      <w:r w:rsidR="00DB252B">
        <w:rPr>
          <w:i/>
          <w:iCs/>
          <w:sz w:val="20"/>
        </w:rPr>
        <w:t xml:space="preserve">Id.  </w:t>
      </w:r>
      <w:r w:rsidR="0009371C">
        <w:rPr>
          <w:sz w:val="20"/>
        </w:rPr>
        <w:t>Applicants provide a list of PNI’s subsidiaries</w:t>
      </w:r>
      <w:r w:rsidR="00E55338">
        <w:rPr>
          <w:sz w:val="20"/>
        </w:rPr>
        <w:t xml:space="preserve"> in the Application</w:t>
      </w:r>
      <w:r w:rsidR="0009371C">
        <w:rPr>
          <w:sz w:val="20"/>
        </w:rPr>
        <w:t xml:space="preserve">.  </w:t>
      </w:r>
      <w:r w:rsidR="0009371C">
        <w:rPr>
          <w:i/>
          <w:iCs/>
          <w:sz w:val="20"/>
        </w:rPr>
        <w:t>Id.</w:t>
      </w:r>
      <w:r w:rsidR="0009371C">
        <w:rPr>
          <w:sz w:val="20"/>
        </w:rPr>
        <w:t xml:space="preserve"> at Exh. D (Subsidiaries of Peerless Network Inc. that Provi</w:t>
      </w:r>
      <w:r w:rsidR="00066EEF">
        <w:rPr>
          <w:sz w:val="20"/>
        </w:rPr>
        <w:t>d</w:t>
      </w:r>
      <w:r w:rsidR="0009371C">
        <w:rPr>
          <w:sz w:val="20"/>
        </w:rPr>
        <w:t>e U.S. Domestic Telecommunications Services).</w:t>
      </w:r>
    </w:p>
  </w:footnote>
  <w:footnote w:id="6">
    <w:p w:rsidR="00220D8C" w:rsidRPr="00B822B3" w:rsidP="00C5694E" w14:paraId="4800E181" w14:textId="77777777">
      <w:pPr>
        <w:pStyle w:val="FootnoteText"/>
        <w:spacing w:after="120"/>
        <w:rPr>
          <w:sz w:val="20"/>
        </w:rPr>
      </w:pPr>
      <w:r w:rsidRPr="00B822B3">
        <w:rPr>
          <w:rStyle w:val="FootnoteReference"/>
          <w:sz w:val="20"/>
        </w:rPr>
        <w:footnoteRef/>
      </w:r>
      <w:r w:rsidRPr="00B822B3">
        <w:rPr>
          <w:sz w:val="20"/>
        </w:rPr>
        <w:t xml:space="preserve"> </w:t>
      </w:r>
      <w:r w:rsidRPr="00B822B3" w:rsidR="00B822B3">
        <w:rPr>
          <w:sz w:val="20"/>
        </w:rPr>
        <w:t xml:space="preserve">Applicants provide </w:t>
      </w:r>
      <w:r w:rsidR="005642A9">
        <w:rPr>
          <w:sz w:val="20"/>
        </w:rPr>
        <w:t xml:space="preserve">further </w:t>
      </w:r>
      <w:r w:rsidRPr="00B822B3" w:rsidR="00B822B3">
        <w:rPr>
          <w:sz w:val="20"/>
        </w:rPr>
        <w:t xml:space="preserve">information on indirect entities and general partners within the ownership chain of OpenMarket.  </w:t>
      </w:r>
      <w:r w:rsidRPr="00B822B3" w:rsidR="00B822B3">
        <w:rPr>
          <w:i/>
          <w:iCs/>
          <w:sz w:val="20"/>
        </w:rPr>
        <w:t xml:space="preserve">See </w:t>
      </w:r>
      <w:r w:rsidRPr="00B822B3" w:rsidR="00B822B3">
        <w:rPr>
          <w:sz w:val="20"/>
        </w:rPr>
        <w:t>Application at 8-11 and Exh. C (Post-Transaction Ow</w:t>
      </w:r>
      <w:r w:rsidR="00831EAD">
        <w:rPr>
          <w:sz w:val="20"/>
        </w:rPr>
        <w:t>n</w:t>
      </w:r>
      <w:r w:rsidRPr="00B822B3" w:rsidR="00B822B3">
        <w:rPr>
          <w:sz w:val="20"/>
        </w:rPr>
        <w:t>ership).</w:t>
      </w:r>
    </w:p>
  </w:footnote>
  <w:footnote w:id="7">
    <w:p w:rsidR="00F96022" w:rsidRPr="00CD3D3F" w:rsidP="00C5694E" w14:paraId="64D7E82E" w14:textId="77777777">
      <w:pPr>
        <w:pStyle w:val="FootnoteText"/>
        <w:spacing w:after="120"/>
        <w:rPr>
          <w:sz w:val="20"/>
        </w:rPr>
      </w:pPr>
      <w:r w:rsidRPr="00B822B3">
        <w:rPr>
          <w:rStyle w:val="FootnoteReference"/>
          <w:sz w:val="20"/>
        </w:rPr>
        <w:footnoteRef/>
      </w:r>
      <w:r w:rsidRPr="00B822B3">
        <w:rPr>
          <w:sz w:val="20"/>
        </w:rPr>
        <w:t xml:space="preserve"> </w:t>
      </w:r>
      <w:r w:rsidR="003537C7">
        <w:rPr>
          <w:sz w:val="20"/>
        </w:rPr>
        <w:t>Application</w:t>
      </w:r>
      <w:r w:rsidRPr="00B822B3" w:rsidR="00995CCC">
        <w:rPr>
          <w:i/>
          <w:iCs/>
          <w:sz w:val="20"/>
        </w:rPr>
        <w:t xml:space="preserve"> </w:t>
      </w:r>
      <w:r w:rsidRPr="00B822B3" w:rsidR="00995CCC">
        <w:rPr>
          <w:sz w:val="20"/>
        </w:rPr>
        <w:t>at 10 and Exh. C.  Applicants state</w:t>
      </w:r>
      <w:r w:rsidR="00A13999">
        <w:rPr>
          <w:sz w:val="20"/>
        </w:rPr>
        <w:t xml:space="preserve"> </w:t>
      </w:r>
      <w:r w:rsidRPr="00B822B3" w:rsidR="00995CCC">
        <w:rPr>
          <w:sz w:val="20"/>
        </w:rPr>
        <w:t xml:space="preserve">that </w:t>
      </w:r>
      <w:r w:rsidR="00D5385D">
        <w:rPr>
          <w:sz w:val="20"/>
        </w:rPr>
        <w:t xml:space="preserve">the ultimate general partner controlling </w:t>
      </w:r>
      <w:r w:rsidRPr="00B822B3" w:rsidR="00995CCC">
        <w:rPr>
          <w:sz w:val="20"/>
        </w:rPr>
        <w:t>OEP IB MidCo</w:t>
      </w:r>
      <w:r w:rsidR="00D5385D">
        <w:rPr>
          <w:sz w:val="20"/>
        </w:rPr>
        <w:t xml:space="preserve"> is OEP VII GP, L.L.C. (OEP VII GP), a Cayman entity</w:t>
      </w:r>
      <w:r w:rsidR="00024E55">
        <w:rPr>
          <w:sz w:val="20"/>
        </w:rPr>
        <w:t>, which, in turn,</w:t>
      </w:r>
      <w:r w:rsidR="00D5385D">
        <w:rPr>
          <w:sz w:val="20"/>
        </w:rPr>
        <w:t xml:space="preserve"> is co-owned by Richard Cashin and David Han, each </w:t>
      </w:r>
      <w:r w:rsidR="006006B4">
        <w:rPr>
          <w:sz w:val="20"/>
        </w:rPr>
        <w:t xml:space="preserve">a </w:t>
      </w:r>
      <w:r w:rsidR="00D5385D">
        <w:rPr>
          <w:sz w:val="20"/>
        </w:rPr>
        <w:t xml:space="preserve">U.S. citizen holding 50% of OEP VII GP. </w:t>
      </w:r>
      <w:r w:rsidR="00CD3D3F">
        <w:rPr>
          <w:sz w:val="20"/>
        </w:rPr>
        <w:t xml:space="preserve"> </w:t>
      </w:r>
      <w:r w:rsidR="00CD3D3F">
        <w:rPr>
          <w:i/>
          <w:iCs/>
          <w:sz w:val="20"/>
        </w:rPr>
        <w:t xml:space="preserve">Id. </w:t>
      </w:r>
      <w:r w:rsidR="00CD3D3F">
        <w:rPr>
          <w:sz w:val="20"/>
        </w:rPr>
        <w:t>at 11 and Exh. C.</w:t>
      </w:r>
    </w:p>
  </w:footnote>
  <w:footnote w:id="8">
    <w:p w:rsidR="00F96022" w:rsidRPr="000055BD" w:rsidP="00C5694E" w14:paraId="49F31024" w14:textId="77777777">
      <w:pPr>
        <w:spacing w:after="120"/>
        <w:rPr>
          <w:sz w:val="20"/>
        </w:rPr>
      </w:pPr>
      <w:r w:rsidRPr="000055BD">
        <w:rPr>
          <w:rStyle w:val="FootnoteReference"/>
          <w:sz w:val="20"/>
        </w:rPr>
        <w:footnoteRef/>
      </w:r>
      <w:r w:rsidRPr="000055BD">
        <w:rPr>
          <w:sz w:val="20"/>
        </w:rPr>
        <w:t xml:space="preserve"> </w:t>
      </w:r>
      <w:r w:rsidRPr="000055BD" w:rsidR="00B822B3">
        <w:rPr>
          <w:i/>
          <w:iCs/>
          <w:sz w:val="20"/>
        </w:rPr>
        <w:t>Id</w:t>
      </w:r>
      <w:r w:rsidRPr="000055BD" w:rsidR="00CD3D3F">
        <w:rPr>
          <w:i/>
          <w:iCs/>
          <w:sz w:val="20"/>
        </w:rPr>
        <w:t xml:space="preserve">. </w:t>
      </w:r>
      <w:r w:rsidRPr="000055BD" w:rsidR="00CD3D3F">
        <w:rPr>
          <w:sz w:val="20"/>
        </w:rPr>
        <w:t>at 8-9</w:t>
      </w:r>
      <w:r w:rsidRPr="000055BD" w:rsidR="00B822B3">
        <w:rPr>
          <w:i/>
          <w:iCs/>
          <w:sz w:val="20"/>
        </w:rPr>
        <w:t>.</w:t>
      </w:r>
      <w:r w:rsidRPr="000055BD" w:rsidR="00005806">
        <w:rPr>
          <w:sz w:val="20"/>
        </w:rPr>
        <w:t xml:space="preserve">  Infobip Holdings is managed by its board of directors, which currently has </w:t>
      </w:r>
      <w:r w:rsidRPr="000055BD" w:rsidR="00024E55">
        <w:rPr>
          <w:sz w:val="20"/>
        </w:rPr>
        <w:t xml:space="preserve">the following </w:t>
      </w:r>
      <w:r w:rsidRPr="000055BD" w:rsidR="00005806">
        <w:rPr>
          <w:sz w:val="20"/>
        </w:rPr>
        <w:t>six</w:t>
      </w:r>
      <w:r w:rsidRPr="000055BD" w:rsidR="00024E55">
        <w:rPr>
          <w:sz w:val="20"/>
        </w:rPr>
        <w:t xml:space="preserve"> m</w:t>
      </w:r>
      <w:r w:rsidRPr="000055BD" w:rsidR="00005806">
        <w:rPr>
          <w:sz w:val="20"/>
        </w:rPr>
        <w:t>embers</w:t>
      </w:r>
      <w:r w:rsidRPr="000055BD" w:rsidR="00024E55">
        <w:rPr>
          <w:sz w:val="20"/>
        </w:rPr>
        <w:t xml:space="preserve">, each holding a 16.67% voting interest:  Silvio Kutić, Roberto Kutić, Izabel Jelenić, Mario Baburić, </w:t>
      </w:r>
      <w:r w:rsidRPr="000055BD" w:rsidR="006006B4">
        <w:rPr>
          <w:sz w:val="20"/>
        </w:rPr>
        <w:t xml:space="preserve">(Croatian citizenship), </w:t>
      </w:r>
      <w:r w:rsidRPr="000055BD" w:rsidR="00024E55">
        <w:rPr>
          <w:sz w:val="20"/>
        </w:rPr>
        <w:t>Ante Kušurin,</w:t>
      </w:r>
      <w:r w:rsidRPr="000055BD" w:rsidR="006006B4">
        <w:rPr>
          <w:sz w:val="20"/>
        </w:rPr>
        <w:t>(Croatian citizenship),</w:t>
      </w:r>
      <w:r w:rsidRPr="000055BD" w:rsidR="00024E55">
        <w:rPr>
          <w:sz w:val="20"/>
        </w:rPr>
        <w:t xml:space="preserve"> and Paul Carl Schorr IV</w:t>
      </w:r>
      <w:r w:rsidRPr="000055BD" w:rsidR="006006B4">
        <w:rPr>
          <w:sz w:val="20"/>
        </w:rPr>
        <w:t xml:space="preserve"> (U.S. citizenship)</w:t>
      </w:r>
      <w:r w:rsidRPr="000055BD" w:rsidR="00024E55">
        <w:rPr>
          <w:sz w:val="20"/>
        </w:rPr>
        <w:t xml:space="preserve">. </w:t>
      </w:r>
      <w:r w:rsidRPr="000055BD" w:rsidR="00005806">
        <w:rPr>
          <w:sz w:val="20"/>
        </w:rPr>
        <w:t xml:space="preserve"> </w:t>
      </w:r>
      <w:r w:rsidRPr="000055BD" w:rsidR="00DB252B">
        <w:rPr>
          <w:i/>
          <w:iCs/>
          <w:sz w:val="20"/>
        </w:rPr>
        <w:t xml:space="preserve">Id.  </w:t>
      </w:r>
    </w:p>
  </w:footnote>
  <w:footnote w:id="9">
    <w:p w:rsidR="00B02DB5" w:rsidRPr="000055BD" w:rsidP="00C5694E" w14:paraId="0CBF1058" w14:textId="77777777">
      <w:pPr>
        <w:pStyle w:val="FootnoteText"/>
        <w:spacing w:after="120"/>
        <w:rPr>
          <w:iCs/>
          <w:sz w:val="20"/>
        </w:rPr>
      </w:pPr>
      <w:r w:rsidRPr="000055BD">
        <w:rPr>
          <w:rStyle w:val="FootnoteReference"/>
          <w:sz w:val="20"/>
        </w:rPr>
        <w:footnoteRef/>
      </w:r>
      <w:r w:rsidRPr="000055BD">
        <w:rPr>
          <w:sz w:val="20"/>
        </w:rPr>
        <w:t xml:space="preserve"> </w:t>
      </w:r>
      <w:r w:rsidRPr="000055BD">
        <w:rPr>
          <w:i/>
          <w:sz w:val="20"/>
        </w:rPr>
        <w:t xml:space="preserve">Id. </w:t>
      </w:r>
      <w:r w:rsidRPr="000055BD">
        <w:rPr>
          <w:iCs/>
          <w:sz w:val="20"/>
        </w:rPr>
        <w:t>at 5 and 17.</w:t>
      </w:r>
    </w:p>
  </w:footnote>
  <w:footnote w:id="10">
    <w:p w:rsidR="006006B4" w:rsidRPr="000055BD" w14:paraId="18E2BC97" w14:textId="77777777">
      <w:pPr>
        <w:pStyle w:val="FootnoteText"/>
        <w:rPr>
          <w:sz w:val="20"/>
        </w:rPr>
      </w:pPr>
      <w:r w:rsidRPr="000055BD">
        <w:rPr>
          <w:rStyle w:val="FootnoteReference"/>
          <w:sz w:val="20"/>
        </w:rPr>
        <w:footnoteRef/>
      </w:r>
      <w:r w:rsidRPr="000055BD">
        <w:rPr>
          <w:sz w:val="20"/>
        </w:rPr>
        <w:t xml:space="preserve"> </w:t>
      </w:r>
      <w:r w:rsidRPr="000055BD">
        <w:rPr>
          <w:i/>
          <w:iCs/>
          <w:sz w:val="20"/>
        </w:rPr>
        <w:t>Id</w:t>
      </w:r>
      <w:r w:rsidRPr="000055BD">
        <w:rPr>
          <w:sz w:val="20"/>
        </w:rPr>
        <w:t>. at 3.</w:t>
      </w:r>
    </w:p>
  </w:footnote>
  <w:footnote w:id="11">
    <w:p w:rsidR="006006B4" w:rsidRPr="000055BD" w14:paraId="4D699E4F" w14:textId="77777777">
      <w:pPr>
        <w:pStyle w:val="FootnoteText"/>
        <w:rPr>
          <w:sz w:val="20"/>
        </w:rPr>
      </w:pPr>
      <w:r w:rsidRPr="000055BD">
        <w:rPr>
          <w:rStyle w:val="FootnoteReference"/>
          <w:sz w:val="20"/>
        </w:rPr>
        <w:footnoteRef/>
      </w:r>
      <w:r w:rsidRPr="000055BD">
        <w:rPr>
          <w:sz w:val="20"/>
        </w:rPr>
        <w:t xml:space="preserve"> </w:t>
      </w:r>
      <w:r w:rsidRPr="000055BD">
        <w:rPr>
          <w:i/>
          <w:iCs/>
          <w:sz w:val="20"/>
        </w:rPr>
        <w:t>Id</w:t>
      </w:r>
      <w:r w:rsidRPr="000055BD">
        <w:rPr>
          <w:sz w:val="20"/>
        </w:rPr>
        <w:t>.</w:t>
      </w:r>
    </w:p>
  </w:footnote>
  <w:footnote w:id="12">
    <w:p w:rsidR="00F90999" w:rsidRPr="000055BD" w:rsidP="00C5694E" w14:paraId="67EB120A" w14:textId="77777777">
      <w:pPr>
        <w:pStyle w:val="FootnoteText"/>
        <w:spacing w:after="120"/>
        <w:rPr>
          <w:sz w:val="20"/>
        </w:rPr>
      </w:pPr>
      <w:r w:rsidRPr="000055BD">
        <w:rPr>
          <w:rStyle w:val="FootnoteReference"/>
          <w:sz w:val="20"/>
        </w:rPr>
        <w:footnoteRef/>
      </w:r>
      <w:r w:rsidRPr="000055BD">
        <w:rPr>
          <w:sz w:val="20"/>
        </w:rPr>
        <w:t xml:space="preserve"> </w:t>
      </w:r>
      <w:r w:rsidRPr="000055BD" w:rsidR="00465177">
        <w:rPr>
          <w:i/>
          <w:iCs/>
          <w:sz w:val="20"/>
        </w:rPr>
        <w:t xml:space="preserve">Id. </w:t>
      </w:r>
      <w:r w:rsidRPr="000055BD" w:rsidR="00465177">
        <w:rPr>
          <w:sz w:val="20"/>
        </w:rPr>
        <w:t>at 3.</w:t>
      </w:r>
    </w:p>
  </w:footnote>
  <w:footnote w:id="13">
    <w:p w:rsidR="00F90999" w:rsidRPr="000055BD" w:rsidP="00C5694E" w14:paraId="40200591" w14:textId="77777777">
      <w:pPr>
        <w:pStyle w:val="FootnoteText"/>
        <w:spacing w:after="120"/>
        <w:rPr>
          <w:sz w:val="20"/>
        </w:rPr>
      </w:pPr>
      <w:r w:rsidRPr="000055BD">
        <w:rPr>
          <w:rStyle w:val="FootnoteReference"/>
          <w:sz w:val="20"/>
        </w:rPr>
        <w:footnoteRef/>
      </w:r>
      <w:r w:rsidRPr="000055BD">
        <w:rPr>
          <w:sz w:val="20"/>
        </w:rPr>
        <w:t xml:space="preserve"> </w:t>
      </w:r>
      <w:r w:rsidRPr="000055BD" w:rsidR="006608D0">
        <w:rPr>
          <w:i/>
          <w:iCs/>
          <w:sz w:val="20"/>
        </w:rPr>
        <w:t xml:space="preserve">Id. </w:t>
      </w:r>
      <w:r w:rsidRPr="000055BD" w:rsidR="006608D0">
        <w:rPr>
          <w:sz w:val="20"/>
        </w:rPr>
        <w:t>at 3-5.</w:t>
      </w:r>
    </w:p>
  </w:footnote>
  <w:footnote w:id="14">
    <w:p w:rsidR="006608D0" w:rsidRPr="000055BD" w:rsidP="00C5694E" w14:paraId="27824FCA" w14:textId="77777777">
      <w:pPr>
        <w:pStyle w:val="FootnoteText"/>
        <w:spacing w:after="120"/>
        <w:rPr>
          <w:iCs/>
          <w:sz w:val="20"/>
        </w:rPr>
      </w:pPr>
      <w:r w:rsidRPr="000055BD">
        <w:rPr>
          <w:rStyle w:val="FootnoteReference"/>
          <w:sz w:val="20"/>
        </w:rPr>
        <w:footnoteRef/>
      </w:r>
      <w:r w:rsidRPr="000055BD">
        <w:rPr>
          <w:sz w:val="20"/>
        </w:rPr>
        <w:t xml:space="preserve"> </w:t>
      </w:r>
      <w:r w:rsidRPr="000055BD">
        <w:rPr>
          <w:i/>
          <w:sz w:val="20"/>
        </w:rPr>
        <w:t xml:space="preserve">Id. </w:t>
      </w:r>
      <w:r w:rsidRPr="000055BD">
        <w:rPr>
          <w:iCs/>
          <w:sz w:val="20"/>
        </w:rPr>
        <w:t>at 4.</w:t>
      </w:r>
    </w:p>
  </w:footnote>
  <w:footnote w:id="15">
    <w:p w:rsidR="00F90999" w:rsidRPr="00772DCC" w:rsidP="00C5694E" w14:paraId="4D3BB021" w14:textId="77777777">
      <w:pPr>
        <w:pStyle w:val="FootnoteText"/>
        <w:spacing w:after="120"/>
        <w:rPr>
          <w:sz w:val="20"/>
        </w:rPr>
      </w:pPr>
      <w:r w:rsidRPr="00B822B3">
        <w:rPr>
          <w:rStyle w:val="FootnoteReference"/>
          <w:sz w:val="20"/>
        </w:rPr>
        <w:footnoteRef/>
      </w:r>
      <w:r w:rsidRPr="00B822B3">
        <w:rPr>
          <w:sz w:val="20"/>
        </w:rPr>
        <w:t xml:space="preserve"> </w:t>
      </w:r>
      <w:r w:rsidRPr="00B822B3">
        <w:rPr>
          <w:sz w:val="20"/>
        </w:rPr>
        <w:t>47 CFR § 63.03(c)(1)(v).</w:t>
      </w:r>
    </w:p>
  </w:footnote>
  <w:footnote w:id="16">
    <w:p w:rsidR="00633F11" w:rsidP="00633F11" w14:paraId="05E0C13A" w14:textId="77777777">
      <w:pPr>
        <w:pStyle w:val="FootnoteText"/>
        <w:spacing w:after="120"/>
      </w:pPr>
      <w:r w:rsidRPr="006A20C5">
        <w:rPr>
          <w:rStyle w:val="FootnoteReference"/>
          <w:sz w:val="20"/>
        </w:rPr>
        <w:footnoteRef/>
      </w:r>
      <w:r w:rsidRPr="006A20C5">
        <w:rPr>
          <w:sz w:val="20"/>
        </w:rPr>
        <w:t xml:space="preserve"> </w:t>
      </w:r>
      <w:r w:rsidRPr="002536AD">
        <w:rPr>
          <w:color w:val="000000"/>
          <w:sz w:val="20"/>
        </w:rPr>
        <w:t xml:space="preserve">47 CFR § 1.40001.  </w:t>
      </w:r>
      <w:r w:rsidRPr="006A20C5">
        <w:rPr>
          <w:i/>
          <w:iCs/>
          <w:sz w:val="20"/>
        </w:rPr>
        <w:t>See Process Reform for Executive Branch Review of Certain FCC Applications and Petitions Involving Foreign Ownership,</w:t>
      </w:r>
      <w:r w:rsidRPr="006A20C5">
        <w:rPr>
          <w:sz w:val="20"/>
        </w:rPr>
        <w:t xml:space="preserve"> IB Docket 16-155, Report and Order, 35 FCC Rcd 10927 (2020), Erratum (Appendix B — Final Rules), DA 20-1404 (OMD/IB rel. Nov. 27, 2020).  </w:t>
      </w:r>
      <w:r w:rsidRPr="006A20C5">
        <w:rPr>
          <w:i/>
          <w:iCs/>
          <w:sz w:val="20"/>
        </w:rPr>
        <w:t>See also Rules and Policies on Foreign Participation in the U.S. Telecommunications Market; Market Entry and Regulation of Foreign-</w:t>
      </w:r>
      <w:r w:rsidRPr="00E73929">
        <w:rPr>
          <w:i/>
          <w:iCs/>
          <w:sz w:val="20"/>
        </w:rPr>
        <w:t xml:space="preserve"> Affiliated Entities</w:t>
      </w:r>
      <w:r w:rsidRPr="00E73929">
        <w:rPr>
          <w:sz w:val="20"/>
        </w:rPr>
        <w:t>, IB Docket Nos. 97-142 and 95-22, Report and Order and Order on Reconsideration, 12 FCC Rcd 23891, 23918-19, paras. 61-63 (1997) (</w:t>
      </w:r>
      <w:r w:rsidRPr="00E73929">
        <w:rPr>
          <w:i/>
          <w:iCs/>
          <w:sz w:val="20"/>
        </w:rPr>
        <w:t>Foreign Participation Order</w:t>
      </w:r>
      <w:r w:rsidRPr="00E73929">
        <w:rPr>
          <w:sz w:val="20"/>
        </w:rPr>
        <w:t>), recon. denied, 15 FCC Rcd 18158 (2000).</w:t>
      </w:r>
      <w:r>
        <w:rPr>
          <w:sz w:val="20"/>
        </w:rPr>
        <w:t xml:space="preserve">  </w:t>
      </w:r>
    </w:p>
  </w:footnote>
  <w:footnote w:id="17">
    <w:p w:rsidR="00B822B3" w:rsidRPr="00DD1374" w:rsidP="00B822B3" w14:paraId="1A617C61" w14:textId="77777777">
      <w:pPr>
        <w:pStyle w:val="FootnoteText"/>
        <w:spacing w:after="120"/>
        <w:rPr>
          <w:sz w:val="20"/>
          <w:u w:val="single"/>
        </w:rPr>
      </w:pPr>
      <w:r w:rsidRPr="00233EA3">
        <w:rPr>
          <w:rStyle w:val="FootnoteReference"/>
          <w:sz w:val="20"/>
        </w:rPr>
        <w:footnoteRef/>
      </w:r>
      <w:r w:rsidRPr="00233EA3">
        <w:rPr>
          <w:sz w:val="20"/>
        </w:rPr>
        <w:t xml:space="preserve"> </w:t>
      </w:r>
      <w:r w:rsidRPr="00233EA3">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Pr>
          <w:sz w:val="20"/>
        </w:rPr>
        <w:t xml:space="preserve"> </w:t>
      </w:r>
      <w:r w:rsidRPr="00233EA3">
        <w:rPr>
          <w:sz w:val="20"/>
        </w:rPr>
        <w:t xml:space="preserve"> </w:t>
      </w:r>
      <w:r w:rsidRPr="00563402">
        <w:rPr>
          <w:rFonts w:eastAsia="Calibri"/>
          <w:i/>
          <w:iCs/>
          <w:sz w:val="20"/>
        </w:rPr>
        <w:t>See FCC Announces Closure of FCC Headquarters Open Window and Change in Hand-Delivery Policy</w:t>
      </w:r>
      <w:r w:rsidRPr="00563402">
        <w:rPr>
          <w:rFonts w:eastAsia="Calibri"/>
          <w:sz w:val="20"/>
        </w:rPr>
        <w:t>, Public Notice, 35 FCC Rcd 2788 (OS 2020).</w:t>
      </w:r>
    </w:p>
  </w:footnote>
  <w:footnote w:id="18">
    <w:p w:rsidR="00B822B3" w:rsidRPr="00233EA3" w:rsidP="00B822B3" w14:paraId="28ED5275" w14:textId="77777777">
      <w:pPr>
        <w:pStyle w:val="FootnoteText"/>
        <w:tabs>
          <w:tab w:val="clear" w:pos="720"/>
        </w:tabs>
        <w:spacing w:after="120"/>
        <w:rPr>
          <w:sz w:val="20"/>
        </w:rPr>
      </w:pPr>
      <w:r w:rsidRPr="00233EA3">
        <w:rPr>
          <w:rStyle w:val="FootnoteReference"/>
          <w:sz w:val="20"/>
        </w:rPr>
        <w:footnoteRef/>
      </w:r>
      <w:r w:rsidRPr="00233EA3">
        <w:rPr>
          <w:sz w:val="20"/>
        </w:rPr>
        <w:t xml:space="preserve"> </w:t>
      </w:r>
      <w:r w:rsidRPr="00233EA3">
        <w:rPr>
          <w:i/>
          <w:sz w:val="20"/>
        </w:rPr>
        <w:t>See</w:t>
      </w:r>
      <w:r w:rsidRPr="00233EA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599E6A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7A1C8557" w14:textId="77777777">
                <w:pPr>
                  <w:rPr>
                    <w:rFonts w:ascii="Arial" w:hAnsi="Arial"/>
                    <w:b/>
                  </w:rPr>
                </w:pPr>
                <w:r>
                  <w:rPr>
                    <w:rFonts w:ascii="Arial" w:hAnsi="Arial"/>
                    <w:b/>
                  </w:rPr>
                  <w:t>Federal Communications Commission</w:t>
                </w:r>
              </w:p>
              <w:p w:rsidR="005D4020" w14:paraId="33345989" w14:textId="77777777">
                <w:pPr>
                  <w:rPr>
                    <w:rFonts w:ascii="Arial" w:hAnsi="Arial"/>
                    <w:b/>
                  </w:rPr>
                </w:pPr>
                <w:r>
                  <w:rPr>
                    <w:rFonts w:ascii="Arial" w:hAnsi="Arial"/>
                    <w:b/>
                  </w:rPr>
                  <w:t>45 L St., N.E.</w:t>
                </w:r>
              </w:p>
              <w:p w:rsidR="005D4020" w14:paraId="7A5BAB37"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1C331FB7"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6E3D3A20" w14:textId="77777777">
                <w:pPr>
                  <w:spacing w:before="40"/>
                  <w:jc w:val="right"/>
                  <w:rPr>
                    <w:rFonts w:ascii="Arial" w:hAnsi="Arial"/>
                    <w:b/>
                    <w:sz w:val="16"/>
                  </w:rPr>
                </w:pPr>
                <w:r>
                  <w:rPr>
                    <w:rFonts w:ascii="Arial" w:hAnsi="Arial"/>
                    <w:b/>
                    <w:sz w:val="16"/>
                  </w:rPr>
                  <w:t>News Media Information 202 / 418-0500</w:t>
                </w:r>
              </w:p>
              <w:p w:rsidR="005D4020" w14:paraId="3DEBCD91"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1A3A1BE7" w14:textId="77777777">
                <w:pPr>
                  <w:jc w:val="right"/>
                  <w:rPr>
                    <w:rFonts w:ascii="Arial" w:hAnsi="Arial"/>
                    <w:b/>
                    <w:sz w:val="16"/>
                  </w:rPr>
                </w:pPr>
              </w:p>
              <w:p w:rsidR="005D4020" w14:paraId="424D39CB" w14:textId="77777777">
                <w:pPr>
                  <w:jc w:val="right"/>
                </w:pPr>
              </w:p>
            </w:txbxContent>
          </v:textbox>
        </v:shape>
      </w:pict>
    </w:r>
  </w:p>
  <w:p w:rsidR="005D4020" w14:paraId="7054710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BD527E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0E6506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6"/>
  </w:num>
  <w:num w:numId="13">
    <w:abstractNumId w:val="8"/>
  </w:num>
  <w:num w:numId="14">
    <w:abstractNumId w:val="14"/>
  </w:num>
  <w:num w:numId="15">
    <w:abstractNumId w:val="0"/>
  </w:num>
  <w:num w:numId="16">
    <w:abstractNumId w:val="19"/>
  </w:num>
  <w:num w:numId="17">
    <w:abstractNumId w:val="5"/>
  </w:num>
  <w:num w:numId="18">
    <w:abstractNumId w:val="16"/>
  </w:num>
  <w:num w:numId="19">
    <w:abstractNumId w:val="4"/>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55BD"/>
    <w:rsid w:val="00005806"/>
    <w:rsid w:val="000064CD"/>
    <w:rsid w:val="0001023F"/>
    <w:rsid w:val="000103C1"/>
    <w:rsid w:val="0001135F"/>
    <w:rsid w:val="0001280D"/>
    <w:rsid w:val="00015C00"/>
    <w:rsid w:val="0001608E"/>
    <w:rsid w:val="00017A3A"/>
    <w:rsid w:val="00023687"/>
    <w:rsid w:val="00024494"/>
    <w:rsid w:val="00024E55"/>
    <w:rsid w:val="00025A42"/>
    <w:rsid w:val="00026F70"/>
    <w:rsid w:val="00027342"/>
    <w:rsid w:val="000330E3"/>
    <w:rsid w:val="00035419"/>
    <w:rsid w:val="00035F32"/>
    <w:rsid w:val="00040610"/>
    <w:rsid w:val="00040B01"/>
    <w:rsid w:val="00040BA0"/>
    <w:rsid w:val="00040DAF"/>
    <w:rsid w:val="00041B38"/>
    <w:rsid w:val="00041C01"/>
    <w:rsid w:val="0004575B"/>
    <w:rsid w:val="00050A3A"/>
    <w:rsid w:val="000534AC"/>
    <w:rsid w:val="000575E7"/>
    <w:rsid w:val="00057881"/>
    <w:rsid w:val="00057E12"/>
    <w:rsid w:val="000629CF"/>
    <w:rsid w:val="000639C7"/>
    <w:rsid w:val="00063CA5"/>
    <w:rsid w:val="00064C7D"/>
    <w:rsid w:val="000656F9"/>
    <w:rsid w:val="0006624C"/>
    <w:rsid w:val="00066D12"/>
    <w:rsid w:val="00066EEF"/>
    <w:rsid w:val="00073173"/>
    <w:rsid w:val="000735C8"/>
    <w:rsid w:val="00075D57"/>
    <w:rsid w:val="00080F60"/>
    <w:rsid w:val="0008381D"/>
    <w:rsid w:val="00086D16"/>
    <w:rsid w:val="00087205"/>
    <w:rsid w:val="00092A4E"/>
    <w:rsid w:val="00092D4F"/>
    <w:rsid w:val="0009371C"/>
    <w:rsid w:val="000946FB"/>
    <w:rsid w:val="0009534A"/>
    <w:rsid w:val="00097AB0"/>
    <w:rsid w:val="000A24AA"/>
    <w:rsid w:val="000A2EEF"/>
    <w:rsid w:val="000B0795"/>
    <w:rsid w:val="000B1C31"/>
    <w:rsid w:val="000B3146"/>
    <w:rsid w:val="000B390D"/>
    <w:rsid w:val="000B48A6"/>
    <w:rsid w:val="000B4DD2"/>
    <w:rsid w:val="000B4EDD"/>
    <w:rsid w:val="000B5635"/>
    <w:rsid w:val="000B6839"/>
    <w:rsid w:val="000C7CA4"/>
    <w:rsid w:val="000D3A8B"/>
    <w:rsid w:val="000D7E4D"/>
    <w:rsid w:val="000E14B7"/>
    <w:rsid w:val="000E1546"/>
    <w:rsid w:val="000E35A7"/>
    <w:rsid w:val="000E538C"/>
    <w:rsid w:val="000E5955"/>
    <w:rsid w:val="000F02F7"/>
    <w:rsid w:val="000F2267"/>
    <w:rsid w:val="000F233E"/>
    <w:rsid w:val="000F467E"/>
    <w:rsid w:val="000F5E94"/>
    <w:rsid w:val="00100ED3"/>
    <w:rsid w:val="001019E2"/>
    <w:rsid w:val="00101D0B"/>
    <w:rsid w:val="001150BA"/>
    <w:rsid w:val="00117529"/>
    <w:rsid w:val="001220B9"/>
    <w:rsid w:val="001226CB"/>
    <w:rsid w:val="0012329A"/>
    <w:rsid w:val="0012437D"/>
    <w:rsid w:val="00125A5E"/>
    <w:rsid w:val="00126DDB"/>
    <w:rsid w:val="00131952"/>
    <w:rsid w:val="00132963"/>
    <w:rsid w:val="0013405D"/>
    <w:rsid w:val="00134FFC"/>
    <w:rsid w:val="001356E5"/>
    <w:rsid w:val="0014084C"/>
    <w:rsid w:val="00140DCF"/>
    <w:rsid w:val="00141388"/>
    <w:rsid w:val="00142ED5"/>
    <w:rsid w:val="00144E61"/>
    <w:rsid w:val="001470F0"/>
    <w:rsid w:val="001513B4"/>
    <w:rsid w:val="0015217F"/>
    <w:rsid w:val="00156EA3"/>
    <w:rsid w:val="00161A99"/>
    <w:rsid w:val="001640A4"/>
    <w:rsid w:val="00176BD0"/>
    <w:rsid w:val="00176CC4"/>
    <w:rsid w:val="00187617"/>
    <w:rsid w:val="00191986"/>
    <w:rsid w:val="001947E9"/>
    <w:rsid w:val="00194E1E"/>
    <w:rsid w:val="001A00A7"/>
    <w:rsid w:val="001A1254"/>
    <w:rsid w:val="001A2DFA"/>
    <w:rsid w:val="001A3813"/>
    <w:rsid w:val="001A3E67"/>
    <w:rsid w:val="001A47EC"/>
    <w:rsid w:val="001A5568"/>
    <w:rsid w:val="001B0EB7"/>
    <w:rsid w:val="001B2C26"/>
    <w:rsid w:val="001B47CE"/>
    <w:rsid w:val="001B4C2F"/>
    <w:rsid w:val="001B69F9"/>
    <w:rsid w:val="001B6EFA"/>
    <w:rsid w:val="001C3C98"/>
    <w:rsid w:val="001C5D07"/>
    <w:rsid w:val="001C78FB"/>
    <w:rsid w:val="001D10A0"/>
    <w:rsid w:val="001D3F27"/>
    <w:rsid w:val="001E16CA"/>
    <w:rsid w:val="001E2274"/>
    <w:rsid w:val="001E382D"/>
    <w:rsid w:val="001E659B"/>
    <w:rsid w:val="001E7604"/>
    <w:rsid w:val="001F024C"/>
    <w:rsid w:val="001F1508"/>
    <w:rsid w:val="001F270F"/>
    <w:rsid w:val="001F6762"/>
    <w:rsid w:val="0020342F"/>
    <w:rsid w:val="00207926"/>
    <w:rsid w:val="00213D04"/>
    <w:rsid w:val="00214441"/>
    <w:rsid w:val="00215D21"/>
    <w:rsid w:val="0021680F"/>
    <w:rsid w:val="00220D8C"/>
    <w:rsid w:val="002217F0"/>
    <w:rsid w:val="00221E35"/>
    <w:rsid w:val="002223D3"/>
    <w:rsid w:val="00222993"/>
    <w:rsid w:val="0022329B"/>
    <w:rsid w:val="002233EF"/>
    <w:rsid w:val="00223E8C"/>
    <w:rsid w:val="0022449B"/>
    <w:rsid w:val="00225F62"/>
    <w:rsid w:val="0023051A"/>
    <w:rsid w:val="002308A9"/>
    <w:rsid w:val="00230D61"/>
    <w:rsid w:val="00233EA3"/>
    <w:rsid w:val="00240B49"/>
    <w:rsid w:val="00241CB2"/>
    <w:rsid w:val="002431AD"/>
    <w:rsid w:val="0024326F"/>
    <w:rsid w:val="00247F94"/>
    <w:rsid w:val="0025247F"/>
    <w:rsid w:val="00253247"/>
    <w:rsid w:val="002536AD"/>
    <w:rsid w:val="0025685D"/>
    <w:rsid w:val="00257DD2"/>
    <w:rsid w:val="002606A8"/>
    <w:rsid w:val="0026090D"/>
    <w:rsid w:val="00262C25"/>
    <w:rsid w:val="00262E65"/>
    <w:rsid w:val="00263100"/>
    <w:rsid w:val="00263433"/>
    <w:rsid w:val="00266135"/>
    <w:rsid w:val="002666BC"/>
    <w:rsid w:val="00266D63"/>
    <w:rsid w:val="00267BF2"/>
    <w:rsid w:val="00272142"/>
    <w:rsid w:val="002766EA"/>
    <w:rsid w:val="0028149F"/>
    <w:rsid w:val="0028397D"/>
    <w:rsid w:val="0028555C"/>
    <w:rsid w:val="00287432"/>
    <w:rsid w:val="00297F1D"/>
    <w:rsid w:val="002A03A5"/>
    <w:rsid w:val="002A1D13"/>
    <w:rsid w:val="002A30D9"/>
    <w:rsid w:val="002A7BD3"/>
    <w:rsid w:val="002B16FA"/>
    <w:rsid w:val="002B1948"/>
    <w:rsid w:val="002B1EF7"/>
    <w:rsid w:val="002B26A1"/>
    <w:rsid w:val="002B34DB"/>
    <w:rsid w:val="002B6B43"/>
    <w:rsid w:val="002C0122"/>
    <w:rsid w:val="002C203E"/>
    <w:rsid w:val="002C22F3"/>
    <w:rsid w:val="002C27F4"/>
    <w:rsid w:val="002D09E2"/>
    <w:rsid w:val="002D0BB2"/>
    <w:rsid w:val="002D11BE"/>
    <w:rsid w:val="002D4A00"/>
    <w:rsid w:val="002D4CB4"/>
    <w:rsid w:val="002D65CC"/>
    <w:rsid w:val="002D6F61"/>
    <w:rsid w:val="002E0BAF"/>
    <w:rsid w:val="002E2A6F"/>
    <w:rsid w:val="002E363F"/>
    <w:rsid w:val="002E4894"/>
    <w:rsid w:val="002F4E17"/>
    <w:rsid w:val="00301FDC"/>
    <w:rsid w:val="0030523C"/>
    <w:rsid w:val="00305C90"/>
    <w:rsid w:val="00305D86"/>
    <w:rsid w:val="00306AAD"/>
    <w:rsid w:val="0031156F"/>
    <w:rsid w:val="00312CE1"/>
    <w:rsid w:val="00313546"/>
    <w:rsid w:val="00315D50"/>
    <w:rsid w:val="00315FCD"/>
    <w:rsid w:val="0031636F"/>
    <w:rsid w:val="00317BC8"/>
    <w:rsid w:val="00321F97"/>
    <w:rsid w:val="00325988"/>
    <w:rsid w:val="00325E35"/>
    <w:rsid w:val="0032625B"/>
    <w:rsid w:val="00334E6C"/>
    <w:rsid w:val="0033631D"/>
    <w:rsid w:val="00340881"/>
    <w:rsid w:val="00342311"/>
    <w:rsid w:val="00345CA2"/>
    <w:rsid w:val="00346DCF"/>
    <w:rsid w:val="003471AE"/>
    <w:rsid w:val="003479C9"/>
    <w:rsid w:val="00351689"/>
    <w:rsid w:val="00351D1D"/>
    <w:rsid w:val="003537C7"/>
    <w:rsid w:val="00353CB5"/>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BEF"/>
    <w:rsid w:val="003A2CE0"/>
    <w:rsid w:val="003A37E8"/>
    <w:rsid w:val="003A580D"/>
    <w:rsid w:val="003A7B39"/>
    <w:rsid w:val="003B43C3"/>
    <w:rsid w:val="003B5CEE"/>
    <w:rsid w:val="003C1B11"/>
    <w:rsid w:val="003C23FE"/>
    <w:rsid w:val="003C4A02"/>
    <w:rsid w:val="003C7229"/>
    <w:rsid w:val="003D0F8F"/>
    <w:rsid w:val="003D4F94"/>
    <w:rsid w:val="003E1784"/>
    <w:rsid w:val="003E187A"/>
    <w:rsid w:val="003E3AD7"/>
    <w:rsid w:val="003E5630"/>
    <w:rsid w:val="003E58EC"/>
    <w:rsid w:val="003E6571"/>
    <w:rsid w:val="003F0ECD"/>
    <w:rsid w:val="003F16BE"/>
    <w:rsid w:val="003F1D04"/>
    <w:rsid w:val="003F2CD4"/>
    <w:rsid w:val="0040580F"/>
    <w:rsid w:val="004076BA"/>
    <w:rsid w:val="004077D0"/>
    <w:rsid w:val="00417052"/>
    <w:rsid w:val="00420995"/>
    <w:rsid w:val="00422B16"/>
    <w:rsid w:val="00425FAF"/>
    <w:rsid w:val="0042603C"/>
    <w:rsid w:val="004272E4"/>
    <w:rsid w:val="00430AC0"/>
    <w:rsid w:val="004331D7"/>
    <w:rsid w:val="00433C0D"/>
    <w:rsid w:val="00433D8C"/>
    <w:rsid w:val="00434899"/>
    <w:rsid w:val="00434C96"/>
    <w:rsid w:val="004354F6"/>
    <w:rsid w:val="0043596D"/>
    <w:rsid w:val="00436B4A"/>
    <w:rsid w:val="00440989"/>
    <w:rsid w:val="00442F68"/>
    <w:rsid w:val="00444548"/>
    <w:rsid w:val="004503EA"/>
    <w:rsid w:val="00450CDD"/>
    <w:rsid w:val="00452843"/>
    <w:rsid w:val="0045717F"/>
    <w:rsid w:val="00460914"/>
    <w:rsid w:val="004609A4"/>
    <w:rsid w:val="00462D8F"/>
    <w:rsid w:val="00464E8A"/>
    <w:rsid w:val="00465177"/>
    <w:rsid w:val="00466B9F"/>
    <w:rsid w:val="00473955"/>
    <w:rsid w:val="00476EFB"/>
    <w:rsid w:val="004808FC"/>
    <w:rsid w:val="00482EB0"/>
    <w:rsid w:val="00483B1B"/>
    <w:rsid w:val="00483B91"/>
    <w:rsid w:val="00485D13"/>
    <w:rsid w:val="004913FF"/>
    <w:rsid w:val="00492290"/>
    <w:rsid w:val="0049273F"/>
    <w:rsid w:val="00492A28"/>
    <w:rsid w:val="004951AE"/>
    <w:rsid w:val="004A2B9C"/>
    <w:rsid w:val="004A4D05"/>
    <w:rsid w:val="004A51C9"/>
    <w:rsid w:val="004A684C"/>
    <w:rsid w:val="004A7357"/>
    <w:rsid w:val="004A7E1B"/>
    <w:rsid w:val="004B24F3"/>
    <w:rsid w:val="004B49CC"/>
    <w:rsid w:val="004B666C"/>
    <w:rsid w:val="004C060E"/>
    <w:rsid w:val="004C0C77"/>
    <w:rsid w:val="004C0CEF"/>
    <w:rsid w:val="004C219F"/>
    <w:rsid w:val="004C22B8"/>
    <w:rsid w:val="004C2516"/>
    <w:rsid w:val="004C3DB0"/>
    <w:rsid w:val="004C712F"/>
    <w:rsid w:val="004D4610"/>
    <w:rsid w:val="004D53C3"/>
    <w:rsid w:val="004D5A7C"/>
    <w:rsid w:val="004D67B7"/>
    <w:rsid w:val="004D74A5"/>
    <w:rsid w:val="004E5AE8"/>
    <w:rsid w:val="004E6AC6"/>
    <w:rsid w:val="004E74EE"/>
    <w:rsid w:val="004F1F83"/>
    <w:rsid w:val="004F2447"/>
    <w:rsid w:val="004F3603"/>
    <w:rsid w:val="004F3CEC"/>
    <w:rsid w:val="004F4DC1"/>
    <w:rsid w:val="004F67BD"/>
    <w:rsid w:val="004F686B"/>
    <w:rsid w:val="004F6F64"/>
    <w:rsid w:val="00500229"/>
    <w:rsid w:val="00501D17"/>
    <w:rsid w:val="00501F06"/>
    <w:rsid w:val="00504BF5"/>
    <w:rsid w:val="00505DA1"/>
    <w:rsid w:val="005107DF"/>
    <w:rsid w:val="00512AD6"/>
    <w:rsid w:val="00520655"/>
    <w:rsid w:val="005226C6"/>
    <w:rsid w:val="00524D79"/>
    <w:rsid w:val="00525F5A"/>
    <w:rsid w:val="00526561"/>
    <w:rsid w:val="005273AB"/>
    <w:rsid w:val="005320B5"/>
    <w:rsid w:val="00533917"/>
    <w:rsid w:val="005351FF"/>
    <w:rsid w:val="00535877"/>
    <w:rsid w:val="00536ED2"/>
    <w:rsid w:val="005473A6"/>
    <w:rsid w:val="005505CE"/>
    <w:rsid w:val="00551202"/>
    <w:rsid w:val="00551ADB"/>
    <w:rsid w:val="005524B6"/>
    <w:rsid w:val="0055684E"/>
    <w:rsid w:val="0056058F"/>
    <w:rsid w:val="00563402"/>
    <w:rsid w:val="005642A9"/>
    <w:rsid w:val="0056467B"/>
    <w:rsid w:val="00567286"/>
    <w:rsid w:val="00573CA8"/>
    <w:rsid w:val="00576111"/>
    <w:rsid w:val="00576EDE"/>
    <w:rsid w:val="00577DC4"/>
    <w:rsid w:val="00580DBD"/>
    <w:rsid w:val="00581792"/>
    <w:rsid w:val="0059084B"/>
    <w:rsid w:val="00592F09"/>
    <w:rsid w:val="005932BA"/>
    <w:rsid w:val="00597ABB"/>
    <w:rsid w:val="005A13D0"/>
    <w:rsid w:val="005A1873"/>
    <w:rsid w:val="005A24CD"/>
    <w:rsid w:val="005A256B"/>
    <w:rsid w:val="005A3E2A"/>
    <w:rsid w:val="005A56D4"/>
    <w:rsid w:val="005A64A7"/>
    <w:rsid w:val="005B2105"/>
    <w:rsid w:val="005B2E8A"/>
    <w:rsid w:val="005B376F"/>
    <w:rsid w:val="005B4CA6"/>
    <w:rsid w:val="005B535C"/>
    <w:rsid w:val="005B57F1"/>
    <w:rsid w:val="005C0AE1"/>
    <w:rsid w:val="005C2ADB"/>
    <w:rsid w:val="005C342C"/>
    <w:rsid w:val="005C3E2F"/>
    <w:rsid w:val="005C403A"/>
    <w:rsid w:val="005C44C6"/>
    <w:rsid w:val="005C5C55"/>
    <w:rsid w:val="005C740F"/>
    <w:rsid w:val="005C7DC4"/>
    <w:rsid w:val="005D1D34"/>
    <w:rsid w:val="005D4020"/>
    <w:rsid w:val="005D55CB"/>
    <w:rsid w:val="005D6BD0"/>
    <w:rsid w:val="005D7F49"/>
    <w:rsid w:val="005E1BF3"/>
    <w:rsid w:val="005E40DD"/>
    <w:rsid w:val="005E6383"/>
    <w:rsid w:val="005E65C4"/>
    <w:rsid w:val="005E7A72"/>
    <w:rsid w:val="005E7C21"/>
    <w:rsid w:val="005F020F"/>
    <w:rsid w:val="005F0281"/>
    <w:rsid w:val="005F06C4"/>
    <w:rsid w:val="005F090A"/>
    <w:rsid w:val="005F189F"/>
    <w:rsid w:val="005F2812"/>
    <w:rsid w:val="005F73CF"/>
    <w:rsid w:val="006006B4"/>
    <w:rsid w:val="00600B5F"/>
    <w:rsid w:val="0060105E"/>
    <w:rsid w:val="0060106A"/>
    <w:rsid w:val="00603E1E"/>
    <w:rsid w:val="00604A3C"/>
    <w:rsid w:val="00604CFF"/>
    <w:rsid w:val="00604DE5"/>
    <w:rsid w:val="00604FA2"/>
    <w:rsid w:val="0061117C"/>
    <w:rsid w:val="0061137C"/>
    <w:rsid w:val="00611B99"/>
    <w:rsid w:val="00611CD9"/>
    <w:rsid w:val="00611E7B"/>
    <w:rsid w:val="00616221"/>
    <w:rsid w:val="00617F31"/>
    <w:rsid w:val="00622967"/>
    <w:rsid w:val="006244D8"/>
    <w:rsid w:val="00626D16"/>
    <w:rsid w:val="00633290"/>
    <w:rsid w:val="0063378A"/>
    <w:rsid w:val="00633F11"/>
    <w:rsid w:val="00635062"/>
    <w:rsid w:val="00636679"/>
    <w:rsid w:val="00637ECE"/>
    <w:rsid w:val="006420D0"/>
    <w:rsid w:val="00642643"/>
    <w:rsid w:val="00642F32"/>
    <w:rsid w:val="00647C67"/>
    <w:rsid w:val="00650544"/>
    <w:rsid w:val="00650A50"/>
    <w:rsid w:val="00653610"/>
    <w:rsid w:val="00654B1F"/>
    <w:rsid w:val="00656777"/>
    <w:rsid w:val="0065693D"/>
    <w:rsid w:val="006577CA"/>
    <w:rsid w:val="006608D0"/>
    <w:rsid w:val="00663300"/>
    <w:rsid w:val="00663975"/>
    <w:rsid w:val="006639BB"/>
    <w:rsid w:val="006676FB"/>
    <w:rsid w:val="006703D5"/>
    <w:rsid w:val="0067115F"/>
    <w:rsid w:val="006768CC"/>
    <w:rsid w:val="00677DF3"/>
    <w:rsid w:val="0068067C"/>
    <w:rsid w:val="00680868"/>
    <w:rsid w:val="00682194"/>
    <w:rsid w:val="00685DC7"/>
    <w:rsid w:val="006876EF"/>
    <w:rsid w:val="00690EA9"/>
    <w:rsid w:val="00691832"/>
    <w:rsid w:val="00693C2C"/>
    <w:rsid w:val="00693D1A"/>
    <w:rsid w:val="00694552"/>
    <w:rsid w:val="0069455A"/>
    <w:rsid w:val="00695785"/>
    <w:rsid w:val="00697832"/>
    <w:rsid w:val="006A156E"/>
    <w:rsid w:val="006A19A2"/>
    <w:rsid w:val="006A1C8E"/>
    <w:rsid w:val="006A1F64"/>
    <w:rsid w:val="006A20C5"/>
    <w:rsid w:val="006B3480"/>
    <w:rsid w:val="006B36F1"/>
    <w:rsid w:val="006B4DB5"/>
    <w:rsid w:val="006B5C06"/>
    <w:rsid w:val="006B6400"/>
    <w:rsid w:val="006C146A"/>
    <w:rsid w:val="006C211E"/>
    <w:rsid w:val="006C277B"/>
    <w:rsid w:val="006C2DC7"/>
    <w:rsid w:val="006C32C8"/>
    <w:rsid w:val="006C3309"/>
    <w:rsid w:val="006C4F3D"/>
    <w:rsid w:val="006C591C"/>
    <w:rsid w:val="006D0C58"/>
    <w:rsid w:val="006D4FB7"/>
    <w:rsid w:val="006E099D"/>
    <w:rsid w:val="006E3B3B"/>
    <w:rsid w:val="006E3E11"/>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71A"/>
    <w:rsid w:val="00714887"/>
    <w:rsid w:val="00721062"/>
    <w:rsid w:val="00721165"/>
    <w:rsid w:val="00724722"/>
    <w:rsid w:val="00733B9B"/>
    <w:rsid w:val="007349C4"/>
    <w:rsid w:val="007413DA"/>
    <w:rsid w:val="00741682"/>
    <w:rsid w:val="0074294F"/>
    <w:rsid w:val="00744022"/>
    <w:rsid w:val="00746D47"/>
    <w:rsid w:val="00746FDA"/>
    <w:rsid w:val="00753889"/>
    <w:rsid w:val="007560E9"/>
    <w:rsid w:val="00756775"/>
    <w:rsid w:val="007569C5"/>
    <w:rsid w:val="00760269"/>
    <w:rsid w:val="00760571"/>
    <w:rsid w:val="007631B9"/>
    <w:rsid w:val="0076331F"/>
    <w:rsid w:val="0077017E"/>
    <w:rsid w:val="00771214"/>
    <w:rsid w:val="00772DCC"/>
    <w:rsid w:val="0077396E"/>
    <w:rsid w:val="00774E30"/>
    <w:rsid w:val="007758B4"/>
    <w:rsid w:val="00775CD4"/>
    <w:rsid w:val="00777B41"/>
    <w:rsid w:val="00777F32"/>
    <w:rsid w:val="00780F55"/>
    <w:rsid w:val="007904D9"/>
    <w:rsid w:val="00790DDF"/>
    <w:rsid w:val="007915C7"/>
    <w:rsid w:val="00794A59"/>
    <w:rsid w:val="00796E19"/>
    <w:rsid w:val="00796E54"/>
    <w:rsid w:val="00797794"/>
    <w:rsid w:val="007A2155"/>
    <w:rsid w:val="007A22C8"/>
    <w:rsid w:val="007A41CD"/>
    <w:rsid w:val="007A4B45"/>
    <w:rsid w:val="007B1EAE"/>
    <w:rsid w:val="007B4269"/>
    <w:rsid w:val="007B4D1E"/>
    <w:rsid w:val="007B4DB8"/>
    <w:rsid w:val="007B7204"/>
    <w:rsid w:val="007C2014"/>
    <w:rsid w:val="007C263F"/>
    <w:rsid w:val="007C4108"/>
    <w:rsid w:val="007D03E3"/>
    <w:rsid w:val="007D2657"/>
    <w:rsid w:val="007D2E71"/>
    <w:rsid w:val="007D31F7"/>
    <w:rsid w:val="007D3B8F"/>
    <w:rsid w:val="007E0464"/>
    <w:rsid w:val="007E051A"/>
    <w:rsid w:val="007E44C2"/>
    <w:rsid w:val="007E47B5"/>
    <w:rsid w:val="007E64BB"/>
    <w:rsid w:val="007F23AB"/>
    <w:rsid w:val="007F5ECC"/>
    <w:rsid w:val="0080023C"/>
    <w:rsid w:val="0080055D"/>
    <w:rsid w:val="00803625"/>
    <w:rsid w:val="00804B53"/>
    <w:rsid w:val="008052CD"/>
    <w:rsid w:val="00805DF1"/>
    <w:rsid w:val="00807040"/>
    <w:rsid w:val="0081108D"/>
    <w:rsid w:val="00813C6D"/>
    <w:rsid w:val="0081531F"/>
    <w:rsid w:val="00817B2E"/>
    <w:rsid w:val="00817CEC"/>
    <w:rsid w:val="00821491"/>
    <w:rsid w:val="00824E65"/>
    <w:rsid w:val="0082798B"/>
    <w:rsid w:val="00830404"/>
    <w:rsid w:val="00830915"/>
    <w:rsid w:val="00831D30"/>
    <w:rsid w:val="00831EAD"/>
    <w:rsid w:val="0083237E"/>
    <w:rsid w:val="0083618B"/>
    <w:rsid w:val="0084125A"/>
    <w:rsid w:val="0084563E"/>
    <w:rsid w:val="0084778A"/>
    <w:rsid w:val="00850A62"/>
    <w:rsid w:val="0085101A"/>
    <w:rsid w:val="00851095"/>
    <w:rsid w:val="00853114"/>
    <w:rsid w:val="0085536D"/>
    <w:rsid w:val="0085579D"/>
    <w:rsid w:val="00856944"/>
    <w:rsid w:val="008629CF"/>
    <w:rsid w:val="00863D10"/>
    <w:rsid w:val="008650A4"/>
    <w:rsid w:val="0086691C"/>
    <w:rsid w:val="008675C7"/>
    <w:rsid w:val="0087216D"/>
    <w:rsid w:val="00873C90"/>
    <w:rsid w:val="0087554B"/>
    <w:rsid w:val="00876629"/>
    <w:rsid w:val="0087685F"/>
    <w:rsid w:val="00877D35"/>
    <w:rsid w:val="0088076F"/>
    <w:rsid w:val="00882F9F"/>
    <w:rsid w:val="008850A3"/>
    <w:rsid w:val="00893308"/>
    <w:rsid w:val="00895561"/>
    <w:rsid w:val="00895EC3"/>
    <w:rsid w:val="008A16BE"/>
    <w:rsid w:val="008A5AB2"/>
    <w:rsid w:val="008A65A6"/>
    <w:rsid w:val="008A6CDA"/>
    <w:rsid w:val="008B3835"/>
    <w:rsid w:val="008B68C2"/>
    <w:rsid w:val="008C0750"/>
    <w:rsid w:val="008C1C7C"/>
    <w:rsid w:val="008C294A"/>
    <w:rsid w:val="008C297A"/>
    <w:rsid w:val="008C2DCD"/>
    <w:rsid w:val="008C58D7"/>
    <w:rsid w:val="008C5968"/>
    <w:rsid w:val="008C679F"/>
    <w:rsid w:val="008C7CA7"/>
    <w:rsid w:val="008D11F6"/>
    <w:rsid w:val="008D16FB"/>
    <w:rsid w:val="008D2804"/>
    <w:rsid w:val="008D29D5"/>
    <w:rsid w:val="008D51DE"/>
    <w:rsid w:val="008D5CEF"/>
    <w:rsid w:val="008E0514"/>
    <w:rsid w:val="008E27B4"/>
    <w:rsid w:val="008E3218"/>
    <w:rsid w:val="008E416A"/>
    <w:rsid w:val="008E6F5B"/>
    <w:rsid w:val="008E7011"/>
    <w:rsid w:val="008F1B26"/>
    <w:rsid w:val="008F1B9F"/>
    <w:rsid w:val="008F438E"/>
    <w:rsid w:val="008F6981"/>
    <w:rsid w:val="0090059F"/>
    <w:rsid w:val="00901488"/>
    <w:rsid w:val="00903154"/>
    <w:rsid w:val="00903330"/>
    <w:rsid w:val="00903DE0"/>
    <w:rsid w:val="00904C8C"/>
    <w:rsid w:val="009075DA"/>
    <w:rsid w:val="009101A4"/>
    <w:rsid w:val="00912D13"/>
    <w:rsid w:val="00913852"/>
    <w:rsid w:val="009161AD"/>
    <w:rsid w:val="00916E5A"/>
    <w:rsid w:val="009211C4"/>
    <w:rsid w:val="009236BF"/>
    <w:rsid w:val="00931EDD"/>
    <w:rsid w:val="0093491F"/>
    <w:rsid w:val="00937497"/>
    <w:rsid w:val="009375A4"/>
    <w:rsid w:val="0094117D"/>
    <w:rsid w:val="00950639"/>
    <w:rsid w:val="00951B8C"/>
    <w:rsid w:val="0095318C"/>
    <w:rsid w:val="009558A7"/>
    <w:rsid w:val="00956255"/>
    <w:rsid w:val="00960857"/>
    <w:rsid w:val="00963F91"/>
    <w:rsid w:val="00966264"/>
    <w:rsid w:val="00967D3C"/>
    <w:rsid w:val="0097049D"/>
    <w:rsid w:val="00973264"/>
    <w:rsid w:val="0097409F"/>
    <w:rsid w:val="0097560B"/>
    <w:rsid w:val="00976736"/>
    <w:rsid w:val="0097746C"/>
    <w:rsid w:val="00977584"/>
    <w:rsid w:val="00977B5C"/>
    <w:rsid w:val="0098015F"/>
    <w:rsid w:val="00980592"/>
    <w:rsid w:val="00980EF3"/>
    <w:rsid w:val="0098437F"/>
    <w:rsid w:val="00990455"/>
    <w:rsid w:val="0099352F"/>
    <w:rsid w:val="00995176"/>
    <w:rsid w:val="00995CCC"/>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7836"/>
    <w:rsid w:val="009C209E"/>
    <w:rsid w:val="009C27E9"/>
    <w:rsid w:val="009C2C26"/>
    <w:rsid w:val="009C3304"/>
    <w:rsid w:val="009C3EC2"/>
    <w:rsid w:val="009C5CEB"/>
    <w:rsid w:val="009C7BE4"/>
    <w:rsid w:val="009D0C5A"/>
    <w:rsid w:val="009D25CE"/>
    <w:rsid w:val="009E1797"/>
    <w:rsid w:val="009E312D"/>
    <w:rsid w:val="009E32BA"/>
    <w:rsid w:val="009E4467"/>
    <w:rsid w:val="009F4216"/>
    <w:rsid w:val="009F4470"/>
    <w:rsid w:val="009F52E2"/>
    <w:rsid w:val="00A00CAA"/>
    <w:rsid w:val="00A02787"/>
    <w:rsid w:val="00A07DE6"/>
    <w:rsid w:val="00A11865"/>
    <w:rsid w:val="00A132F3"/>
    <w:rsid w:val="00A13999"/>
    <w:rsid w:val="00A14FAC"/>
    <w:rsid w:val="00A15248"/>
    <w:rsid w:val="00A229F0"/>
    <w:rsid w:val="00A25AB6"/>
    <w:rsid w:val="00A25C41"/>
    <w:rsid w:val="00A26754"/>
    <w:rsid w:val="00A30C04"/>
    <w:rsid w:val="00A326BD"/>
    <w:rsid w:val="00A3545A"/>
    <w:rsid w:val="00A36DEA"/>
    <w:rsid w:val="00A37CD0"/>
    <w:rsid w:val="00A40BE6"/>
    <w:rsid w:val="00A4540E"/>
    <w:rsid w:val="00A47815"/>
    <w:rsid w:val="00A51B89"/>
    <w:rsid w:val="00A5232C"/>
    <w:rsid w:val="00A55BA1"/>
    <w:rsid w:val="00A55F2F"/>
    <w:rsid w:val="00A569E4"/>
    <w:rsid w:val="00A64935"/>
    <w:rsid w:val="00A8041F"/>
    <w:rsid w:val="00A824AF"/>
    <w:rsid w:val="00A826F0"/>
    <w:rsid w:val="00A85921"/>
    <w:rsid w:val="00A92C9E"/>
    <w:rsid w:val="00A930EF"/>
    <w:rsid w:val="00A964BE"/>
    <w:rsid w:val="00A9705F"/>
    <w:rsid w:val="00AA1CE3"/>
    <w:rsid w:val="00AA461C"/>
    <w:rsid w:val="00AA4B44"/>
    <w:rsid w:val="00AA50FB"/>
    <w:rsid w:val="00AA662F"/>
    <w:rsid w:val="00AA79C4"/>
    <w:rsid w:val="00AB02DD"/>
    <w:rsid w:val="00AB2A9E"/>
    <w:rsid w:val="00AB582C"/>
    <w:rsid w:val="00AB6787"/>
    <w:rsid w:val="00AC4CEF"/>
    <w:rsid w:val="00AC7FFC"/>
    <w:rsid w:val="00AD0360"/>
    <w:rsid w:val="00AD2147"/>
    <w:rsid w:val="00AD440B"/>
    <w:rsid w:val="00AE16BD"/>
    <w:rsid w:val="00AE4EB4"/>
    <w:rsid w:val="00AF04F4"/>
    <w:rsid w:val="00AF16FC"/>
    <w:rsid w:val="00AF1A8C"/>
    <w:rsid w:val="00AF26B2"/>
    <w:rsid w:val="00AF3506"/>
    <w:rsid w:val="00AF43D8"/>
    <w:rsid w:val="00AF6905"/>
    <w:rsid w:val="00B001EF"/>
    <w:rsid w:val="00B00CBF"/>
    <w:rsid w:val="00B00F51"/>
    <w:rsid w:val="00B01C67"/>
    <w:rsid w:val="00B02CE4"/>
    <w:rsid w:val="00B02DB5"/>
    <w:rsid w:val="00B04549"/>
    <w:rsid w:val="00B04DDD"/>
    <w:rsid w:val="00B11E8B"/>
    <w:rsid w:val="00B252B2"/>
    <w:rsid w:val="00B25C3B"/>
    <w:rsid w:val="00B30941"/>
    <w:rsid w:val="00B309DB"/>
    <w:rsid w:val="00B32670"/>
    <w:rsid w:val="00B32A8C"/>
    <w:rsid w:val="00B33058"/>
    <w:rsid w:val="00B335D6"/>
    <w:rsid w:val="00B3405E"/>
    <w:rsid w:val="00B402EF"/>
    <w:rsid w:val="00B43A08"/>
    <w:rsid w:val="00B500E9"/>
    <w:rsid w:val="00B506FC"/>
    <w:rsid w:val="00B50FF2"/>
    <w:rsid w:val="00B52C92"/>
    <w:rsid w:val="00B5576C"/>
    <w:rsid w:val="00B55A93"/>
    <w:rsid w:val="00B565D8"/>
    <w:rsid w:val="00B56CE1"/>
    <w:rsid w:val="00B56E1B"/>
    <w:rsid w:val="00B63631"/>
    <w:rsid w:val="00B66A71"/>
    <w:rsid w:val="00B71C43"/>
    <w:rsid w:val="00B72F45"/>
    <w:rsid w:val="00B73211"/>
    <w:rsid w:val="00B73AED"/>
    <w:rsid w:val="00B822B3"/>
    <w:rsid w:val="00B82819"/>
    <w:rsid w:val="00B83A8F"/>
    <w:rsid w:val="00B856DD"/>
    <w:rsid w:val="00B908C9"/>
    <w:rsid w:val="00B91444"/>
    <w:rsid w:val="00B934A6"/>
    <w:rsid w:val="00B9373D"/>
    <w:rsid w:val="00B93BD0"/>
    <w:rsid w:val="00B958E7"/>
    <w:rsid w:val="00B959A1"/>
    <w:rsid w:val="00B95CFB"/>
    <w:rsid w:val="00B95D6D"/>
    <w:rsid w:val="00BA3B7D"/>
    <w:rsid w:val="00BA42C4"/>
    <w:rsid w:val="00BA45FE"/>
    <w:rsid w:val="00BA47A9"/>
    <w:rsid w:val="00BA496C"/>
    <w:rsid w:val="00BA6803"/>
    <w:rsid w:val="00BB0D72"/>
    <w:rsid w:val="00BB1216"/>
    <w:rsid w:val="00BB16F2"/>
    <w:rsid w:val="00BB24EB"/>
    <w:rsid w:val="00BB6E77"/>
    <w:rsid w:val="00BB7CEB"/>
    <w:rsid w:val="00BC0F23"/>
    <w:rsid w:val="00BC0FAE"/>
    <w:rsid w:val="00BC7555"/>
    <w:rsid w:val="00BD2520"/>
    <w:rsid w:val="00BD3278"/>
    <w:rsid w:val="00BD5AFA"/>
    <w:rsid w:val="00BD5F83"/>
    <w:rsid w:val="00BD6631"/>
    <w:rsid w:val="00BE0364"/>
    <w:rsid w:val="00BE063A"/>
    <w:rsid w:val="00BE0C24"/>
    <w:rsid w:val="00BE1FC9"/>
    <w:rsid w:val="00BE4C7C"/>
    <w:rsid w:val="00BF0B00"/>
    <w:rsid w:val="00BF3E2A"/>
    <w:rsid w:val="00BF4558"/>
    <w:rsid w:val="00BF6489"/>
    <w:rsid w:val="00BF741B"/>
    <w:rsid w:val="00C001B1"/>
    <w:rsid w:val="00C0243B"/>
    <w:rsid w:val="00C100C9"/>
    <w:rsid w:val="00C117C2"/>
    <w:rsid w:val="00C11939"/>
    <w:rsid w:val="00C11C1B"/>
    <w:rsid w:val="00C126E9"/>
    <w:rsid w:val="00C14AD9"/>
    <w:rsid w:val="00C152B5"/>
    <w:rsid w:val="00C16EC5"/>
    <w:rsid w:val="00C16F28"/>
    <w:rsid w:val="00C219A5"/>
    <w:rsid w:val="00C229D8"/>
    <w:rsid w:val="00C23407"/>
    <w:rsid w:val="00C24812"/>
    <w:rsid w:val="00C35C48"/>
    <w:rsid w:val="00C35F85"/>
    <w:rsid w:val="00C3643D"/>
    <w:rsid w:val="00C3705B"/>
    <w:rsid w:val="00C37D69"/>
    <w:rsid w:val="00C404CF"/>
    <w:rsid w:val="00C405A1"/>
    <w:rsid w:val="00C4446E"/>
    <w:rsid w:val="00C4607F"/>
    <w:rsid w:val="00C53E5E"/>
    <w:rsid w:val="00C5694E"/>
    <w:rsid w:val="00C60F32"/>
    <w:rsid w:val="00C612FD"/>
    <w:rsid w:val="00C64B14"/>
    <w:rsid w:val="00C64DFC"/>
    <w:rsid w:val="00C662A2"/>
    <w:rsid w:val="00C70494"/>
    <w:rsid w:val="00C72423"/>
    <w:rsid w:val="00C744C3"/>
    <w:rsid w:val="00C749BC"/>
    <w:rsid w:val="00C75DF3"/>
    <w:rsid w:val="00C769FB"/>
    <w:rsid w:val="00C76B61"/>
    <w:rsid w:val="00C76C0E"/>
    <w:rsid w:val="00C76CCF"/>
    <w:rsid w:val="00C80742"/>
    <w:rsid w:val="00C81DA7"/>
    <w:rsid w:val="00C822F5"/>
    <w:rsid w:val="00C82D34"/>
    <w:rsid w:val="00C84A4A"/>
    <w:rsid w:val="00C8763B"/>
    <w:rsid w:val="00C9095A"/>
    <w:rsid w:val="00C9414E"/>
    <w:rsid w:val="00C950B4"/>
    <w:rsid w:val="00CA009D"/>
    <w:rsid w:val="00CA3644"/>
    <w:rsid w:val="00CA5169"/>
    <w:rsid w:val="00CB08EA"/>
    <w:rsid w:val="00CB5D7D"/>
    <w:rsid w:val="00CC3DC6"/>
    <w:rsid w:val="00CC70CB"/>
    <w:rsid w:val="00CD20C1"/>
    <w:rsid w:val="00CD3CBE"/>
    <w:rsid w:val="00CD3D3F"/>
    <w:rsid w:val="00CD5614"/>
    <w:rsid w:val="00CD711A"/>
    <w:rsid w:val="00CE03DE"/>
    <w:rsid w:val="00CE3D85"/>
    <w:rsid w:val="00CE49B4"/>
    <w:rsid w:val="00CF1452"/>
    <w:rsid w:val="00CF569B"/>
    <w:rsid w:val="00CF6960"/>
    <w:rsid w:val="00D00C86"/>
    <w:rsid w:val="00D02269"/>
    <w:rsid w:val="00D04963"/>
    <w:rsid w:val="00D04DB0"/>
    <w:rsid w:val="00D05475"/>
    <w:rsid w:val="00D111DF"/>
    <w:rsid w:val="00D130E3"/>
    <w:rsid w:val="00D13A95"/>
    <w:rsid w:val="00D1542F"/>
    <w:rsid w:val="00D209FB"/>
    <w:rsid w:val="00D22738"/>
    <w:rsid w:val="00D23CB9"/>
    <w:rsid w:val="00D252B2"/>
    <w:rsid w:val="00D261C4"/>
    <w:rsid w:val="00D30DAA"/>
    <w:rsid w:val="00D313A3"/>
    <w:rsid w:val="00D343D8"/>
    <w:rsid w:val="00D347E0"/>
    <w:rsid w:val="00D34AD8"/>
    <w:rsid w:val="00D359B7"/>
    <w:rsid w:val="00D42D5A"/>
    <w:rsid w:val="00D4304C"/>
    <w:rsid w:val="00D443D8"/>
    <w:rsid w:val="00D4618E"/>
    <w:rsid w:val="00D47918"/>
    <w:rsid w:val="00D51137"/>
    <w:rsid w:val="00D5385D"/>
    <w:rsid w:val="00D553EC"/>
    <w:rsid w:val="00D55FB1"/>
    <w:rsid w:val="00D566DE"/>
    <w:rsid w:val="00D56FEF"/>
    <w:rsid w:val="00D57071"/>
    <w:rsid w:val="00D64667"/>
    <w:rsid w:val="00D64788"/>
    <w:rsid w:val="00D668AD"/>
    <w:rsid w:val="00D674A6"/>
    <w:rsid w:val="00D7063B"/>
    <w:rsid w:val="00D70AD3"/>
    <w:rsid w:val="00D75D75"/>
    <w:rsid w:val="00D767D0"/>
    <w:rsid w:val="00D81CDC"/>
    <w:rsid w:val="00D84FE8"/>
    <w:rsid w:val="00D8568B"/>
    <w:rsid w:val="00D85A2E"/>
    <w:rsid w:val="00D918DB"/>
    <w:rsid w:val="00D937FF"/>
    <w:rsid w:val="00D94C3B"/>
    <w:rsid w:val="00D94FDC"/>
    <w:rsid w:val="00D9655B"/>
    <w:rsid w:val="00DA1392"/>
    <w:rsid w:val="00DA2683"/>
    <w:rsid w:val="00DA26DF"/>
    <w:rsid w:val="00DA2A23"/>
    <w:rsid w:val="00DA2C92"/>
    <w:rsid w:val="00DB0CA1"/>
    <w:rsid w:val="00DB15FB"/>
    <w:rsid w:val="00DB252B"/>
    <w:rsid w:val="00DB59FD"/>
    <w:rsid w:val="00DB6614"/>
    <w:rsid w:val="00DC097A"/>
    <w:rsid w:val="00DC3A1A"/>
    <w:rsid w:val="00DC441A"/>
    <w:rsid w:val="00DC5921"/>
    <w:rsid w:val="00DC5BDD"/>
    <w:rsid w:val="00DC6D92"/>
    <w:rsid w:val="00DD03E0"/>
    <w:rsid w:val="00DD0493"/>
    <w:rsid w:val="00DD0968"/>
    <w:rsid w:val="00DD1374"/>
    <w:rsid w:val="00DD1676"/>
    <w:rsid w:val="00DD17EF"/>
    <w:rsid w:val="00DD2629"/>
    <w:rsid w:val="00DD4757"/>
    <w:rsid w:val="00DE03F3"/>
    <w:rsid w:val="00DE12DE"/>
    <w:rsid w:val="00DE1DB8"/>
    <w:rsid w:val="00DE2494"/>
    <w:rsid w:val="00DE39A5"/>
    <w:rsid w:val="00DE3FF0"/>
    <w:rsid w:val="00DE4457"/>
    <w:rsid w:val="00DE46D9"/>
    <w:rsid w:val="00DE4EC0"/>
    <w:rsid w:val="00DE684E"/>
    <w:rsid w:val="00DE79C9"/>
    <w:rsid w:val="00DF18C1"/>
    <w:rsid w:val="00DF1AD9"/>
    <w:rsid w:val="00DF1F6F"/>
    <w:rsid w:val="00DF21C9"/>
    <w:rsid w:val="00DF3C71"/>
    <w:rsid w:val="00DF538D"/>
    <w:rsid w:val="00DF635A"/>
    <w:rsid w:val="00DF6BB3"/>
    <w:rsid w:val="00E042F4"/>
    <w:rsid w:val="00E04732"/>
    <w:rsid w:val="00E100F3"/>
    <w:rsid w:val="00E10C0C"/>
    <w:rsid w:val="00E11A1D"/>
    <w:rsid w:val="00E16D19"/>
    <w:rsid w:val="00E201EE"/>
    <w:rsid w:val="00E20DF3"/>
    <w:rsid w:val="00E21D8E"/>
    <w:rsid w:val="00E22E53"/>
    <w:rsid w:val="00E23AF4"/>
    <w:rsid w:val="00E27AAE"/>
    <w:rsid w:val="00E30C1D"/>
    <w:rsid w:val="00E3147A"/>
    <w:rsid w:val="00E31619"/>
    <w:rsid w:val="00E3436C"/>
    <w:rsid w:val="00E34FAC"/>
    <w:rsid w:val="00E36408"/>
    <w:rsid w:val="00E36A37"/>
    <w:rsid w:val="00E417E3"/>
    <w:rsid w:val="00E43799"/>
    <w:rsid w:val="00E43A72"/>
    <w:rsid w:val="00E43F64"/>
    <w:rsid w:val="00E44D41"/>
    <w:rsid w:val="00E54722"/>
    <w:rsid w:val="00E547F0"/>
    <w:rsid w:val="00E55338"/>
    <w:rsid w:val="00E55A96"/>
    <w:rsid w:val="00E577F2"/>
    <w:rsid w:val="00E63C52"/>
    <w:rsid w:val="00E6637B"/>
    <w:rsid w:val="00E67D1E"/>
    <w:rsid w:val="00E7033D"/>
    <w:rsid w:val="00E73929"/>
    <w:rsid w:val="00E84DF2"/>
    <w:rsid w:val="00E84F99"/>
    <w:rsid w:val="00E86FCB"/>
    <w:rsid w:val="00E87A1A"/>
    <w:rsid w:val="00E90A56"/>
    <w:rsid w:val="00E92F16"/>
    <w:rsid w:val="00EA27A2"/>
    <w:rsid w:val="00EA28AA"/>
    <w:rsid w:val="00EA4948"/>
    <w:rsid w:val="00EA5DC9"/>
    <w:rsid w:val="00EA7EFB"/>
    <w:rsid w:val="00EB0DD8"/>
    <w:rsid w:val="00EB2E3F"/>
    <w:rsid w:val="00EB30DB"/>
    <w:rsid w:val="00EB4B17"/>
    <w:rsid w:val="00EC0FDA"/>
    <w:rsid w:val="00EC1C4E"/>
    <w:rsid w:val="00EC3BF9"/>
    <w:rsid w:val="00EC3CCE"/>
    <w:rsid w:val="00EC4D3D"/>
    <w:rsid w:val="00EC7ADB"/>
    <w:rsid w:val="00ED2A13"/>
    <w:rsid w:val="00ED40B2"/>
    <w:rsid w:val="00ED4E9F"/>
    <w:rsid w:val="00ED6A08"/>
    <w:rsid w:val="00ED7BC9"/>
    <w:rsid w:val="00EE0450"/>
    <w:rsid w:val="00EE37C8"/>
    <w:rsid w:val="00EE7A85"/>
    <w:rsid w:val="00EF384D"/>
    <w:rsid w:val="00EF45D4"/>
    <w:rsid w:val="00EF59CB"/>
    <w:rsid w:val="00F016FA"/>
    <w:rsid w:val="00F02173"/>
    <w:rsid w:val="00F048D9"/>
    <w:rsid w:val="00F04E22"/>
    <w:rsid w:val="00F05755"/>
    <w:rsid w:val="00F072B8"/>
    <w:rsid w:val="00F0788B"/>
    <w:rsid w:val="00F125FF"/>
    <w:rsid w:val="00F12E9C"/>
    <w:rsid w:val="00F13E8E"/>
    <w:rsid w:val="00F2171A"/>
    <w:rsid w:val="00F22A55"/>
    <w:rsid w:val="00F23F94"/>
    <w:rsid w:val="00F24030"/>
    <w:rsid w:val="00F242B0"/>
    <w:rsid w:val="00F242B2"/>
    <w:rsid w:val="00F257E5"/>
    <w:rsid w:val="00F25C6B"/>
    <w:rsid w:val="00F270D4"/>
    <w:rsid w:val="00F27F09"/>
    <w:rsid w:val="00F3092F"/>
    <w:rsid w:val="00F30EA4"/>
    <w:rsid w:val="00F3488E"/>
    <w:rsid w:val="00F36FF9"/>
    <w:rsid w:val="00F3762F"/>
    <w:rsid w:val="00F41DFE"/>
    <w:rsid w:val="00F43CCF"/>
    <w:rsid w:val="00F4490B"/>
    <w:rsid w:val="00F45138"/>
    <w:rsid w:val="00F451CB"/>
    <w:rsid w:val="00F51F08"/>
    <w:rsid w:val="00F54AF5"/>
    <w:rsid w:val="00F57A04"/>
    <w:rsid w:val="00F60353"/>
    <w:rsid w:val="00F644CD"/>
    <w:rsid w:val="00F65523"/>
    <w:rsid w:val="00F6664A"/>
    <w:rsid w:val="00F7052D"/>
    <w:rsid w:val="00F737C1"/>
    <w:rsid w:val="00F74277"/>
    <w:rsid w:val="00F768B9"/>
    <w:rsid w:val="00F80D9C"/>
    <w:rsid w:val="00F825B6"/>
    <w:rsid w:val="00F90999"/>
    <w:rsid w:val="00F96022"/>
    <w:rsid w:val="00FA093F"/>
    <w:rsid w:val="00FA3E37"/>
    <w:rsid w:val="00FA3F76"/>
    <w:rsid w:val="00FA546C"/>
    <w:rsid w:val="00FA5938"/>
    <w:rsid w:val="00FA76F1"/>
    <w:rsid w:val="00FB15A3"/>
    <w:rsid w:val="00FB2DB4"/>
    <w:rsid w:val="00FB729A"/>
    <w:rsid w:val="00FC3E30"/>
    <w:rsid w:val="00FC4B01"/>
    <w:rsid w:val="00FC55AB"/>
    <w:rsid w:val="00FC74B1"/>
    <w:rsid w:val="00FD107E"/>
    <w:rsid w:val="00FD40F2"/>
    <w:rsid w:val="00FD5090"/>
    <w:rsid w:val="00FD5B6B"/>
    <w:rsid w:val="00FD7085"/>
    <w:rsid w:val="00FE2544"/>
    <w:rsid w:val="00FE2E20"/>
    <w:rsid w:val="00FE41D5"/>
    <w:rsid w:val="00FE43B3"/>
    <w:rsid w:val="00FE48E3"/>
    <w:rsid w:val="00FE6F2D"/>
    <w:rsid w:val="00FF1466"/>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7719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6D0C58"/>
    <w:rPr>
      <w:color w:val="605E5C"/>
      <w:shd w:val="clear" w:color="auto" w:fill="E1DFDD"/>
    </w:rPr>
  </w:style>
  <w:style w:type="character" w:customStyle="1" w:styleId="UnresolvedMention">
    <w:name w:val="Unresolved Mention"/>
    <w:rsid w:val="00977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gregory.kwan@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