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602F0EF8" w14:textId="77777777">
      <w:pPr>
        <w:pStyle w:val="Header"/>
        <w:tabs>
          <w:tab w:val="clear" w:pos="4320"/>
          <w:tab w:val="clear" w:pos="8640"/>
        </w:tabs>
        <w:rPr>
          <w:szCs w:val="22"/>
        </w:rPr>
        <w:sectPr w:rsidSect="00970801">
          <w:footerReference w:type="even" r:id="rId5"/>
          <w:footerReference w:type="default" r:id="rId6"/>
          <w:headerReference w:type="first" r:id="rId7"/>
          <w:pgSz w:w="12240" w:h="15840" w:code="1"/>
          <w:pgMar w:top="720" w:right="720" w:bottom="144" w:left="720" w:header="720" w:footer="1440" w:gutter="0"/>
          <w:cols w:space="720"/>
          <w:titlePg/>
        </w:sectPr>
      </w:pPr>
      <w:r>
        <w:rPr>
          <w:szCs w:val="22"/>
        </w:rPr>
        <w:t xml:space="preserve"> </w:t>
      </w:r>
      <w:r w:rsidR="002914B9">
        <w:rPr>
          <w:szCs w:val="22"/>
        </w:rPr>
        <w:t xml:space="preserve"> </w:t>
      </w:r>
      <w:r w:rsidR="00FF1466">
        <w:rPr>
          <w:szCs w:val="22"/>
        </w:rPr>
        <w:t xml:space="preserve">  </w:t>
      </w:r>
    </w:p>
    <w:p w:rsidR="00E7033D" w14:paraId="085E2148" w14:textId="7EAF6CB2">
      <w:pPr>
        <w:jc w:val="right"/>
        <w:rPr>
          <w:b/>
          <w:szCs w:val="22"/>
        </w:rPr>
      </w:pPr>
      <w:bookmarkStart w:id="1" w:name="_Hlk26280526"/>
      <w:bookmarkStart w:id="2" w:name="_Hlk64383480"/>
      <w:bookmarkStart w:id="3" w:name="_Hlk83213970"/>
      <w:r>
        <w:rPr>
          <w:b/>
          <w:szCs w:val="22"/>
        </w:rPr>
        <w:t>DA 2</w:t>
      </w:r>
      <w:r w:rsidR="00E6637B">
        <w:rPr>
          <w:b/>
          <w:szCs w:val="22"/>
        </w:rPr>
        <w:t>1-</w:t>
      </w:r>
      <w:r w:rsidR="00FF3625">
        <w:rPr>
          <w:b/>
          <w:szCs w:val="22"/>
        </w:rPr>
        <w:t>1473</w:t>
      </w:r>
    </w:p>
    <w:p w:rsidR="00E7033D" w14:paraId="1E2F6AD3" w14:textId="26E38B85">
      <w:pPr>
        <w:spacing w:before="60"/>
        <w:jc w:val="right"/>
        <w:rPr>
          <w:b/>
          <w:szCs w:val="22"/>
        </w:rPr>
      </w:pPr>
      <w:r>
        <w:rPr>
          <w:b/>
          <w:szCs w:val="22"/>
        </w:rPr>
        <w:t>November</w:t>
      </w:r>
      <w:r w:rsidR="00DE4A42">
        <w:rPr>
          <w:b/>
          <w:szCs w:val="22"/>
        </w:rPr>
        <w:t xml:space="preserve"> </w:t>
      </w:r>
      <w:r w:rsidR="005614FA">
        <w:rPr>
          <w:b/>
          <w:szCs w:val="22"/>
        </w:rPr>
        <w:t>24</w:t>
      </w:r>
      <w:r w:rsidR="00DB15FB">
        <w:rPr>
          <w:b/>
          <w:szCs w:val="22"/>
        </w:rPr>
        <w:t>,</w:t>
      </w:r>
      <w:r w:rsidR="008C294A">
        <w:rPr>
          <w:b/>
          <w:szCs w:val="22"/>
        </w:rPr>
        <w:t xml:space="preserve"> 202</w:t>
      </w:r>
      <w:r w:rsidR="0012329A">
        <w:rPr>
          <w:b/>
          <w:szCs w:val="22"/>
        </w:rPr>
        <w:t>1</w:t>
      </w:r>
    </w:p>
    <w:p w:rsidR="00E7033D" w14:paraId="1C21E5D0" w14:textId="77777777">
      <w:pPr>
        <w:tabs>
          <w:tab w:val="left" w:pos="5900"/>
        </w:tabs>
        <w:rPr>
          <w:szCs w:val="22"/>
        </w:rPr>
      </w:pPr>
      <w:r>
        <w:rPr>
          <w:szCs w:val="22"/>
        </w:rPr>
        <w:tab/>
      </w:r>
    </w:p>
    <w:p w:rsidR="00144E61" w:rsidP="006703D5" w14:paraId="5B7A2923" w14:textId="77777777">
      <w:pPr>
        <w:jc w:val="center"/>
        <w:rPr>
          <w:b/>
          <w:bCs/>
          <w:szCs w:val="22"/>
        </w:rPr>
      </w:pPr>
      <w:bookmarkStart w:id="4" w:name="_Hlk519509475"/>
      <w:bookmarkStart w:id="5" w:name="_Hlk502044717"/>
      <w:bookmarkStart w:id="6" w:name="_Hlk516578398"/>
      <w:r>
        <w:rPr>
          <w:b/>
          <w:bCs/>
          <w:szCs w:val="22"/>
        </w:rPr>
        <w:t xml:space="preserve">DOMESTIC </w:t>
      </w:r>
      <w:r>
        <w:rPr>
          <w:b/>
          <w:bCs/>
          <w:caps/>
          <w:szCs w:val="22"/>
        </w:rPr>
        <w:t>SECTION</w:t>
      </w:r>
      <w:r>
        <w:rPr>
          <w:b/>
          <w:bCs/>
          <w:szCs w:val="22"/>
        </w:rPr>
        <w:t xml:space="preserve"> 214 APPLICATION FILED FOR THE </w:t>
      </w:r>
    </w:p>
    <w:p w:rsidR="00BD529E" w:rsidP="000552F7" w14:paraId="3556E5AE" w14:textId="4E795EE4">
      <w:pPr>
        <w:jc w:val="center"/>
        <w:rPr>
          <w:b/>
          <w:bCs/>
          <w:caps/>
          <w:szCs w:val="22"/>
        </w:rPr>
      </w:pPr>
      <w:r w:rsidRPr="009B7836">
        <w:rPr>
          <w:b/>
          <w:bCs/>
          <w:caps/>
          <w:szCs w:val="22"/>
        </w:rPr>
        <w:t>TRANSFER OF CONTROL OF</w:t>
      </w:r>
      <w:bookmarkStart w:id="7" w:name="_Hlk83973973"/>
      <w:r w:rsidR="001149F9">
        <w:rPr>
          <w:b/>
          <w:bCs/>
          <w:caps/>
          <w:szCs w:val="22"/>
        </w:rPr>
        <w:t xml:space="preserve"> </w:t>
      </w:r>
    </w:p>
    <w:p w:rsidR="00BD529E" w:rsidP="000552F7" w14:paraId="4DF339E5" w14:textId="0C0E3E29">
      <w:pPr>
        <w:jc w:val="center"/>
        <w:rPr>
          <w:b/>
          <w:bCs/>
          <w:caps/>
          <w:szCs w:val="22"/>
        </w:rPr>
      </w:pPr>
      <w:r>
        <w:rPr>
          <w:b/>
          <w:bCs/>
          <w:caps/>
          <w:szCs w:val="22"/>
        </w:rPr>
        <w:t xml:space="preserve">IPC NETWORK SERVICES, INC. </w:t>
      </w:r>
    </w:p>
    <w:p w:rsidR="000552F7" w:rsidRPr="000552F7" w:rsidP="00BD529E" w14:paraId="0592FD45" w14:textId="741E898F">
      <w:pPr>
        <w:jc w:val="center"/>
        <w:rPr>
          <w:b/>
          <w:bCs/>
          <w:caps/>
          <w:szCs w:val="22"/>
        </w:rPr>
      </w:pPr>
      <w:r>
        <w:rPr>
          <w:b/>
          <w:bCs/>
          <w:caps/>
          <w:szCs w:val="22"/>
        </w:rPr>
        <w:t>FROM CCP II FINCO</w:t>
      </w:r>
      <w:r w:rsidR="003F6DFC">
        <w:rPr>
          <w:b/>
          <w:bCs/>
          <w:caps/>
          <w:szCs w:val="22"/>
        </w:rPr>
        <w:t>, LLC</w:t>
      </w:r>
      <w:r>
        <w:rPr>
          <w:b/>
          <w:bCs/>
          <w:caps/>
          <w:szCs w:val="22"/>
        </w:rPr>
        <w:t xml:space="preserve"> TO HUMMINGBIRD CIRCLE, LLC </w:t>
      </w:r>
      <w:bookmarkEnd w:id="4"/>
      <w:bookmarkEnd w:id="5"/>
      <w:bookmarkEnd w:id="6"/>
      <w:bookmarkEnd w:id="7"/>
    </w:p>
    <w:p w:rsidR="00086D74" w:rsidP="00AC303A" w14:paraId="54117D3C" w14:textId="77777777">
      <w:pPr>
        <w:jc w:val="center"/>
        <w:rPr>
          <w:b/>
          <w:bCs/>
          <w:szCs w:val="22"/>
        </w:rPr>
      </w:pPr>
    </w:p>
    <w:p w:rsidR="00E7033D" w14:paraId="0E29417B" w14:textId="322E239F">
      <w:pPr>
        <w:jc w:val="center"/>
        <w:rPr>
          <w:b/>
          <w:szCs w:val="22"/>
        </w:rPr>
      </w:pPr>
      <w:r>
        <w:rPr>
          <w:b/>
          <w:szCs w:val="22"/>
        </w:rPr>
        <w:t>NON-</w:t>
      </w:r>
      <w:r w:rsidR="00D539C6">
        <w:rPr>
          <w:b/>
          <w:szCs w:val="22"/>
        </w:rPr>
        <w:t xml:space="preserve">STREAMLINED </w:t>
      </w:r>
      <w:r w:rsidR="006A1C8E">
        <w:rPr>
          <w:b/>
          <w:szCs w:val="22"/>
        </w:rPr>
        <w:t>PLEADING CYCLE ESTABLISHED</w:t>
      </w:r>
    </w:p>
    <w:p w:rsidR="00E7033D" w14:paraId="5FC1B411" w14:textId="77777777">
      <w:pPr>
        <w:jc w:val="center"/>
        <w:rPr>
          <w:b/>
          <w:szCs w:val="22"/>
        </w:rPr>
      </w:pPr>
      <w:r>
        <w:rPr>
          <w:b/>
          <w:szCs w:val="22"/>
        </w:rPr>
        <w:t xml:space="preserve"> </w:t>
      </w:r>
    </w:p>
    <w:p w:rsidR="00E7033D" w14:paraId="2525ECB5" w14:textId="5073F5AA">
      <w:pPr>
        <w:jc w:val="center"/>
        <w:rPr>
          <w:b/>
          <w:szCs w:val="22"/>
        </w:rPr>
      </w:pPr>
      <w:r>
        <w:rPr>
          <w:b/>
          <w:szCs w:val="22"/>
        </w:rPr>
        <w:t xml:space="preserve">WC Docket No. </w:t>
      </w:r>
      <w:r w:rsidRPr="00C53E5E" w:rsidR="00C53E5E">
        <w:rPr>
          <w:b/>
          <w:szCs w:val="22"/>
        </w:rPr>
        <w:t>21</w:t>
      </w:r>
      <w:r w:rsidRPr="00C53E5E">
        <w:rPr>
          <w:b/>
          <w:szCs w:val="22"/>
        </w:rPr>
        <w:t>-</w:t>
      </w:r>
      <w:r w:rsidR="00D55012">
        <w:rPr>
          <w:b/>
          <w:szCs w:val="22"/>
        </w:rPr>
        <w:t>4</w:t>
      </w:r>
      <w:r w:rsidR="00FB5D4F">
        <w:rPr>
          <w:b/>
          <w:szCs w:val="22"/>
        </w:rPr>
        <w:t>36</w:t>
      </w:r>
    </w:p>
    <w:p w:rsidR="00FF411B" w14:paraId="3AF6B13F" w14:textId="77777777">
      <w:pPr>
        <w:jc w:val="center"/>
        <w:rPr>
          <w:b/>
          <w:szCs w:val="22"/>
        </w:rPr>
      </w:pPr>
    </w:p>
    <w:p w:rsidR="00E7033D" w14:paraId="24FAA165" w14:textId="6FD69C9F">
      <w:pPr>
        <w:pStyle w:val="NoSpacing"/>
        <w:rPr>
          <w:b/>
          <w:szCs w:val="22"/>
        </w:rPr>
      </w:pPr>
      <w:r w:rsidRPr="005B2105">
        <w:rPr>
          <w:b/>
          <w:szCs w:val="22"/>
        </w:rPr>
        <w:t xml:space="preserve">Comments Due:  </w:t>
      </w:r>
      <w:r w:rsidR="004C33D2">
        <w:rPr>
          <w:b/>
          <w:szCs w:val="22"/>
        </w:rPr>
        <w:t>Dec</w:t>
      </w:r>
      <w:r w:rsidR="00D55012">
        <w:rPr>
          <w:b/>
          <w:szCs w:val="22"/>
        </w:rPr>
        <w:t>ember</w:t>
      </w:r>
      <w:r w:rsidR="00592F09">
        <w:rPr>
          <w:b/>
          <w:szCs w:val="22"/>
        </w:rPr>
        <w:t xml:space="preserve"> </w:t>
      </w:r>
      <w:r w:rsidR="005614FA">
        <w:rPr>
          <w:b/>
          <w:szCs w:val="22"/>
        </w:rPr>
        <w:t>8</w:t>
      </w:r>
      <w:r w:rsidR="000D15E4">
        <w:rPr>
          <w:b/>
          <w:szCs w:val="22"/>
        </w:rPr>
        <w:t>,</w:t>
      </w:r>
      <w:r w:rsidRPr="005B2105">
        <w:rPr>
          <w:b/>
          <w:szCs w:val="22"/>
        </w:rPr>
        <w:t xml:space="preserve"> 202</w:t>
      </w:r>
      <w:r w:rsidR="00DB15FB">
        <w:rPr>
          <w:b/>
          <w:szCs w:val="22"/>
        </w:rPr>
        <w:t>1</w:t>
      </w:r>
      <w:r w:rsidR="00D04963">
        <w:rPr>
          <w:b/>
          <w:szCs w:val="22"/>
        </w:rPr>
        <w:t xml:space="preserve"> </w:t>
      </w:r>
    </w:p>
    <w:p w:rsidR="00FF411B" w:rsidRPr="005B2105" w14:paraId="3E0E5B8F" w14:textId="2FD5F17B">
      <w:pPr>
        <w:pStyle w:val="NoSpacing"/>
        <w:rPr>
          <w:b/>
          <w:szCs w:val="22"/>
        </w:rPr>
      </w:pPr>
      <w:r>
        <w:rPr>
          <w:b/>
          <w:szCs w:val="22"/>
        </w:rPr>
        <w:t xml:space="preserve">Reply Comment Due: </w:t>
      </w:r>
      <w:r w:rsidR="009D25CE">
        <w:rPr>
          <w:b/>
          <w:szCs w:val="22"/>
        </w:rPr>
        <w:t xml:space="preserve"> </w:t>
      </w:r>
      <w:r w:rsidR="001149F9">
        <w:rPr>
          <w:b/>
          <w:szCs w:val="22"/>
        </w:rPr>
        <w:t>December</w:t>
      </w:r>
      <w:r w:rsidR="00FC11BE">
        <w:rPr>
          <w:b/>
          <w:szCs w:val="22"/>
        </w:rPr>
        <w:t xml:space="preserve"> </w:t>
      </w:r>
      <w:r w:rsidR="005614FA">
        <w:rPr>
          <w:b/>
          <w:szCs w:val="22"/>
        </w:rPr>
        <w:t>15</w:t>
      </w:r>
      <w:r>
        <w:rPr>
          <w:b/>
          <w:szCs w:val="22"/>
        </w:rPr>
        <w:t>, 2021</w:t>
      </w:r>
      <w:r w:rsidR="00444548">
        <w:rPr>
          <w:b/>
          <w:szCs w:val="22"/>
        </w:rPr>
        <w:t xml:space="preserve"> </w:t>
      </w:r>
    </w:p>
    <w:bookmarkEnd w:id="1"/>
    <w:p w:rsidR="00760269" w:rsidRPr="005B2105" w:rsidP="00A92C9E" w14:paraId="47DB5BCF" w14:textId="77777777">
      <w:pPr>
        <w:tabs>
          <w:tab w:val="left" w:pos="6221"/>
        </w:tabs>
        <w:autoSpaceDE w:val="0"/>
        <w:autoSpaceDN w:val="0"/>
        <w:adjustRightInd w:val="0"/>
        <w:rPr>
          <w:szCs w:val="22"/>
        </w:rPr>
      </w:pPr>
    </w:p>
    <w:bookmarkEnd w:id="2"/>
    <w:p w:rsidR="00B64BBF" w:rsidP="00677101" w14:paraId="34098C9A" w14:textId="19735216">
      <w:pPr>
        <w:autoSpaceDE w:val="0"/>
        <w:autoSpaceDN w:val="0"/>
        <w:adjustRightInd w:val="0"/>
        <w:spacing w:after="120"/>
        <w:ind w:firstLine="720"/>
        <w:rPr>
          <w:szCs w:val="22"/>
        </w:rPr>
      </w:pPr>
      <w:r w:rsidRPr="00CD711A">
        <w:rPr>
          <w:szCs w:val="22"/>
        </w:rPr>
        <w:t>By this Public Notice, the Wireline Competition Bureau</w:t>
      </w:r>
      <w:r w:rsidR="000F467E">
        <w:rPr>
          <w:szCs w:val="22"/>
        </w:rPr>
        <w:t xml:space="preserve"> </w:t>
      </w:r>
      <w:r w:rsidR="00AE5D62">
        <w:rPr>
          <w:szCs w:val="22"/>
        </w:rPr>
        <w:t xml:space="preserve">(Bureau) </w:t>
      </w:r>
      <w:r w:rsidRPr="00CD711A">
        <w:rPr>
          <w:szCs w:val="22"/>
        </w:rPr>
        <w:t xml:space="preserve">seeks comment from interested parties on </w:t>
      </w:r>
      <w:r w:rsidR="00DF3C71">
        <w:rPr>
          <w:szCs w:val="22"/>
        </w:rPr>
        <w:t xml:space="preserve">an </w:t>
      </w:r>
      <w:r w:rsidRPr="00CD711A">
        <w:rPr>
          <w:szCs w:val="22"/>
        </w:rPr>
        <w:t xml:space="preserve">application </w:t>
      </w:r>
      <w:r w:rsidR="00617F31">
        <w:rPr>
          <w:szCs w:val="22"/>
        </w:rPr>
        <w:t xml:space="preserve">filed by </w:t>
      </w:r>
      <w:bookmarkStart w:id="8" w:name="_Hlk73713070"/>
      <w:bookmarkStart w:id="9" w:name="_Hlk67917977"/>
      <w:r w:rsidR="001B5D21">
        <w:rPr>
          <w:szCs w:val="22"/>
        </w:rPr>
        <w:t>CCP II Finco, LLC (CCP II Finco)</w:t>
      </w:r>
      <w:r w:rsidR="009B7F33">
        <w:rPr>
          <w:szCs w:val="22"/>
        </w:rPr>
        <w:t xml:space="preserve">, </w:t>
      </w:r>
      <w:r w:rsidR="00295FB5">
        <w:rPr>
          <w:szCs w:val="22"/>
        </w:rPr>
        <w:t>Hummingbird Circle, LLC (</w:t>
      </w:r>
      <w:r w:rsidR="00930D9F">
        <w:rPr>
          <w:szCs w:val="22"/>
        </w:rPr>
        <w:t>H</w:t>
      </w:r>
      <w:r w:rsidR="00295FB5">
        <w:rPr>
          <w:szCs w:val="22"/>
        </w:rPr>
        <w:t xml:space="preserve">ummingbird Circle), </w:t>
      </w:r>
      <w:r w:rsidR="00930D9F">
        <w:rPr>
          <w:szCs w:val="22"/>
        </w:rPr>
        <w:t xml:space="preserve">Strategic Value Partners, LLC (SVP), and IPC Corp. (together, Applicants), </w:t>
      </w:r>
      <w:r w:rsidRPr="00CD711A" w:rsidR="0020342F">
        <w:rPr>
          <w:szCs w:val="22"/>
        </w:rPr>
        <w:t>pursuant to section 214 of the Communications Act of 1934, as amended, and sections 63.03-04 of the Commission’s rules</w:t>
      </w:r>
      <w:r w:rsidR="00702B72">
        <w:rPr>
          <w:szCs w:val="22"/>
        </w:rPr>
        <w:t xml:space="preserve">, requesting consent to transfer </w:t>
      </w:r>
      <w:r w:rsidR="0040062D">
        <w:rPr>
          <w:szCs w:val="22"/>
        </w:rPr>
        <w:t>control of</w:t>
      </w:r>
      <w:r w:rsidR="009B7F33">
        <w:rPr>
          <w:szCs w:val="22"/>
        </w:rPr>
        <w:t xml:space="preserve"> IPC Network Services</w:t>
      </w:r>
      <w:r w:rsidR="00930D9F">
        <w:rPr>
          <w:szCs w:val="22"/>
        </w:rPr>
        <w:t>, Inc.</w:t>
      </w:r>
      <w:r w:rsidR="009B7F33">
        <w:rPr>
          <w:szCs w:val="22"/>
        </w:rPr>
        <w:t xml:space="preserve"> </w:t>
      </w:r>
      <w:r w:rsidR="00930D9F">
        <w:rPr>
          <w:szCs w:val="22"/>
        </w:rPr>
        <w:t>(</w:t>
      </w:r>
      <w:bookmarkStart w:id="10" w:name="_Hlk88460094"/>
      <w:r w:rsidR="00930D9F">
        <w:rPr>
          <w:szCs w:val="22"/>
        </w:rPr>
        <w:t>IPC Network Services</w:t>
      </w:r>
      <w:bookmarkEnd w:id="10"/>
      <w:r w:rsidR="00930D9F">
        <w:rPr>
          <w:szCs w:val="22"/>
        </w:rPr>
        <w:t xml:space="preserve">) </w:t>
      </w:r>
      <w:r w:rsidR="009B7F33">
        <w:rPr>
          <w:szCs w:val="22"/>
        </w:rPr>
        <w:t>from CCP II Finco to Hummingbird Circle.</w:t>
      </w:r>
      <w:bookmarkStart w:id="11" w:name="_Hlk72758776"/>
      <w:bookmarkEnd w:id="8"/>
      <w:bookmarkEnd w:id="9"/>
      <w:r>
        <w:rPr>
          <w:rStyle w:val="FootnoteReference"/>
          <w:szCs w:val="22"/>
        </w:rPr>
        <w:footnoteReference w:id="3"/>
      </w:r>
      <w:bookmarkEnd w:id="11"/>
      <w:r w:rsidR="00FF44B1">
        <w:rPr>
          <w:szCs w:val="22"/>
        </w:rPr>
        <w:t xml:space="preserve"> </w:t>
      </w:r>
      <w:r>
        <w:rPr>
          <w:szCs w:val="22"/>
        </w:rPr>
        <w:t xml:space="preserve"> </w:t>
      </w:r>
    </w:p>
    <w:p w:rsidR="00B86022" w:rsidRPr="00785F8C" w:rsidP="00071AE2" w14:paraId="256C4098" w14:textId="46561B57">
      <w:pPr>
        <w:autoSpaceDE w:val="0"/>
        <w:autoSpaceDN w:val="0"/>
        <w:adjustRightInd w:val="0"/>
        <w:spacing w:after="120"/>
        <w:ind w:firstLine="720"/>
        <w:rPr>
          <w:szCs w:val="22"/>
        </w:rPr>
      </w:pPr>
      <w:r w:rsidRPr="00785F8C">
        <w:rPr>
          <w:szCs w:val="22"/>
        </w:rPr>
        <w:t xml:space="preserve">IPC Network Services, a New York corporation, is a </w:t>
      </w:r>
      <w:r w:rsidRPr="00785F8C" w:rsidR="00930D9F">
        <w:rPr>
          <w:szCs w:val="22"/>
        </w:rPr>
        <w:t>subsidiar</w:t>
      </w:r>
      <w:r w:rsidRPr="00785F8C">
        <w:rPr>
          <w:szCs w:val="22"/>
        </w:rPr>
        <w:t>y</w:t>
      </w:r>
      <w:r w:rsidRPr="00785F8C" w:rsidR="00930D9F">
        <w:rPr>
          <w:szCs w:val="22"/>
        </w:rPr>
        <w:t xml:space="preserve"> of IPC Corp., a Delaware corporation</w:t>
      </w:r>
      <w:r w:rsidRPr="00785F8C" w:rsidR="003D3EEF">
        <w:rPr>
          <w:szCs w:val="22"/>
        </w:rPr>
        <w:t xml:space="preserve"> (</w:t>
      </w:r>
      <w:r w:rsidRPr="00785F8C" w:rsidR="00E66033">
        <w:rPr>
          <w:szCs w:val="22"/>
        </w:rPr>
        <w:t>IPC Network Service,</w:t>
      </w:r>
      <w:r w:rsidRPr="00785F8C" w:rsidR="003D3EEF">
        <w:rPr>
          <w:szCs w:val="22"/>
        </w:rPr>
        <w:t xml:space="preserve"> </w:t>
      </w:r>
      <w:r w:rsidRPr="00785F8C" w:rsidR="00785F8C">
        <w:rPr>
          <w:szCs w:val="22"/>
        </w:rPr>
        <w:t xml:space="preserve">it’s affiliate, </w:t>
      </w:r>
      <w:r w:rsidR="007278DA">
        <w:rPr>
          <w:szCs w:val="22"/>
        </w:rPr>
        <w:t>IPC Systems,</w:t>
      </w:r>
      <w:r w:rsidRPr="00785F8C" w:rsidR="00E66033">
        <w:rPr>
          <w:szCs w:val="22"/>
        </w:rPr>
        <w:t xml:space="preserve"> </w:t>
      </w:r>
      <w:r w:rsidRPr="00785F8C" w:rsidR="003D3EEF">
        <w:rPr>
          <w:szCs w:val="22"/>
        </w:rPr>
        <w:t>together with IPC Corp, IPC)</w:t>
      </w:r>
      <w:r w:rsidRPr="00785F8C" w:rsidR="00930D9F">
        <w:rPr>
          <w:szCs w:val="22"/>
        </w:rPr>
        <w:t>.</w:t>
      </w:r>
      <w:r>
        <w:rPr>
          <w:rStyle w:val="FootnoteReference"/>
          <w:szCs w:val="22"/>
        </w:rPr>
        <w:footnoteReference w:id="4"/>
      </w:r>
      <w:r w:rsidRPr="00785F8C" w:rsidR="00930D9F">
        <w:rPr>
          <w:szCs w:val="22"/>
        </w:rPr>
        <w:t xml:space="preserve">  </w:t>
      </w:r>
      <w:r w:rsidRPr="00785F8C" w:rsidR="004E735B">
        <w:rPr>
          <w:szCs w:val="22"/>
        </w:rPr>
        <w:t>IPC Network Services</w:t>
      </w:r>
      <w:r w:rsidRPr="00785F8C">
        <w:rPr>
          <w:szCs w:val="22"/>
        </w:rPr>
        <w:t xml:space="preserve"> </w:t>
      </w:r>
      <w:r w:rsidRPr="00785F8C" w:rsidR="00A703DC">
        <w:rPr>
          <w:szCs w:val="22"/>
        </w:rPr>
        <w:t xml:space="preserve">is authorized to </w:t>
      </w:r>
      <w:r w:rsidRPr="00785F8C" w:rsidR="009D4304">
        <w:rPr>
          <w:szCs w:val="22"/>
        </w:rPr>
        <w:t xml:space="preserve">provide </w:t>
      </w:r>
      <w:r w:rsidRPr="00785F8C" w:rsidR="00930D9F">
        <w:rPr>
          <w:szCs w:val="22"/>
        </w:rPr>
        <w:t xml:space="preserve">competitive telecommunications services in </w:t>
      </w:r>
      <w:r w:rsidRPr="00785F8C" w:rsidR="009D4304">
        <w:rPr>
          <w:szCs w:val="22"/>
        </w:rPr>
        <w:t>Arizona, California, Colorado, Connecticut, Delaware, the District of Columbia, Florida, Georgia, Illinois, Indiana, Massachusetts, Maryland, Michigan, Minnesota, Missouri, Montana, New Hampshire, North Carolina, New Jersey, New Mexico, Nevada, New York, Ohio, Oklahoma, Oregon, Pennsylvania, South Carolina, Tennessee, Texas, Virginia, Washington, and Wisconsin.</w:t>
      </w:r>
      <w:r>
        <w:rPr>
          <w:rStyle w:val="FootnoteReference"/>
          <w:szCs w:val="22"/>
        </w:rPr>
        <w:footnoteReference w:id="5"/>
      </w:r>
      <w:r w:rsidRPr="00785F8C" w:rsidR="009D4304">
        <w:rPr>
          <w:szCs w:val="22"/>
        </w:rPr>
        <w:t xml:space="preserve">  </w:t>
      </w:r>
    </w:p>
    <w:p w:rsidR="00691F85" w:rsidP="009D4304" w14:paraId="3348B855" w14:textId="7C6B01E1">
      <w:pPr>
        <w:autoSpaceDE w:val="0"/>
        <w:autoSpaceDN w:val="0"/>
        <w:adjustRightInd w:val="0"/>
        <w:spacing w:after="120"/>
        <w:ind w:firstLine="720"/>
        <w:rPr>
          <w:szCs w:val="22"/>
        </w:rPr>
      </w:pPr>
      <w:r>
        <w:rPr>
          <w:szCs w:val="22"/>
        </w:rPr>
        <w:t xml:space="preserve">IPC Parent Holdings, LLC (IPC LLC), a Delaware limited liability company, is currently the indirect parent of IPC Corp.  </w:t>
      </w:r>
      <w:r w:rsidRPr="004C393A" w:rsidR="004C393A">
        <w:rPr>
          <w:szCs w:val="22"/>
        </w:rPr>
        <w:t>CCP II Finco</w:t>
      </w:r>
      <w:r w:rsidR="00071AE2">
        <w:rPr>
          <w:szCs w:val="22"/>
        </w:rPr>
        <w:t xml:space="preserve">, </w:t>
      </w:r>
      <w:r w:rsidRPr="004C393A" w:rsidR="004C393A">
        <w:rPr>
          <w:szCs w:val="22"/>
        </w:rPr>
        <w:t>a Delaware limited liability company</w:t>
      </w:r>
      <w:r w:rsidR="0067024C">
        <w:rPr>
          <w:szCs w:val="22"/>
        </w:rPr>
        <w:t xml:space="preserve"> that </w:t>
      </w:r>
      <w:r w:rsidRPr="004C393A" w:rsidR="004C393A">
        <w:rPr>
          <w:szCs w:val="22"/>
        </w:rPr>
        <w:t>is ultimately controlled by Jeffrey Aronson</w:t>
      </w:r>
      <w:r w:rsidR="00C04D1A">
        <w:rPr>
          <w:szCs w:val="22"/>
        </w:rPr>
        <w:t xml:space="preserve">, a </w:t>
      </w:r>
      <w:r w:rsidRPr="0099434F" w:rsidR="00C04D1A">
        <w:rPr>
          <w:szCs w:val="22"/>
        </w:rPr>
        <w:t>U.S. citizen</w:t>
      </w:r>
      <w:r w:rsidR="00823FB9">
        <w:rPr>
          <w:szCs w:val="22"/>
        </w:rPr>
        <w:t>,</w:t>
      </w:r>
      <w:r w:rsidRPr="004C393A" w:rsidR="004C393A">
        <w:rPr>
          <w:szCs w:val="22"/>
        </w:rPr>
        <w:t xml:space="preserve"> and is affiliated with Centerbridge Partners, </w:t>
      </w:r>
      <w:r w:rsidRPr="004C393A" w:rsidR="004C393A">
        <w:rPr>
          <w:szCs w:val="22"/>
        </w:rPr>
        <w:t>L.P., an investment management firm</w:t>
      </w:r>
      <w:r w:rsidR="0067024C">
        <w:rPr>
          <w:szCs w:val="22"/>
        </w:rPr>
        <w:t>,</w:t>
      </w:r>
      <w:r>
        <w:rPr>
          <w:rStyle w:val="FootnoteReference"/>
          <w:szCs w:val="22"/>
        </w:rPr>
        <w:footnoteReference w:id="6"/>
      </w:r>
      <w:r w:rsidR="004C393A">
        <w:rPr>
          <w:szCs w:val="22"/>
        </w:rPr>
        <w:t xml:space="preserve"> </w:t>
      </w:r>
      <w:r w:rsidR="0067024C">
        <w:rPr>
          <w:szCs w:val="22"/>
        </w:rPr>
        <w:t xml:space="preserve">currently holds approximately 53% of the voting and economic interest in IPC LLC and indirect control of </w:t>
      </w:r>
      <w:r w:rsidR="00AB4FF6">
        <w:rPr>
          <w:szCs w:val="22"/>
        </w:rPr>
        <w:t>IPC Network Services</w:t>
      </w:r>
      <w:r w:rsidR="0067024C">
        <w:rPr>
          <w:szCs w:val="22"/>
        </w:rPr>
        <w:t>.</w:t>
      </w:r>
      <w:r>
        <w:rPr>
          <w:rStyle w:val="FootnoteReference"/>
          <w:szCs w:val="22"/>
        </w:rPr>
        <w:footnoteReference w:id="7"/>
      </w:r>
      <w:r w:rsidR="0067024C">
        <w:rPr>
          <w:szCs w:val="22"/>
        </w:rPr>
        <w:t xml:space="preserve">  </w:t>
      </w:r>
      <w:r w:rsidR="00D879B4">
        <w:rPr>
          <w:szCs w:val="22"/>
        </w:rPr>
        <w:t xml:space="preserve">Applicants state that </w:t>
      </w:r>
      <w:r w:rsidR="0067024C">
        <w:rPr>
          <w:szCs w:val="22"/>
        </w:rPr>
        <w:t>CCP II Finco does not provide telecommunications services.</w:t>
      </w:r>
      <w:r>
        <w:rPr>
          <w:rStyle w:val="FootnoteReference"/>
          <w:szCs w:val="22"/>
        </w:rPr>
        <w:footnoteReference w:id="8"/>
      </w:r>
      <w:r w:rsidR="0067024C">
        <w:rPr>
          <w:szCs w:val="22"/>
        </w:rPr>
        <w:t xml:space="preserve">  </w:t>
      </w:r>
    </w:p>
    <w:p w:rsidR="00DB154D" w:rsidP="007C7FAB" w14:paraId="62120B39" w14:textId="7820C964">
      <w:pPr>
        <w:autoSpaceDE w:val="0"/>
        <w:autoSpaceDN w:val="0"/>
        <w:adjustRightInd w:val="0"/>
        <w:spacing w:after="120"/>
        <w:ind w:firstLine="720"/>
        <w:rPr>
          <w:szCs w:val="22"/>
        </w:rPr>
      </w:pPr>
      <w:r>
        <w:rPr>
          <w:szCs w:val="22"/>
        </w:rPr>
        <w:t>Hummingbird Circle</w:t>
      </w:r>
      <w:r w:rsidR="005A6E99">
        <w:rPr>
          <w:szCs w:val="22"/>
        </w:rPr>
        <w:t>,</w:t>
      </w:r>
      <w:r>
        <w:rPr>
          <w:szCs w:val="22"/>
        </w:rPr>
        <w:t xml:space="preserve"> a Delaware limited liability company</w:t>
      </w:r>
      <w:r w:rsidR="005A6E99">
        <w:rPr>
          <w:szCs w:val="22"/>
        </w:rPr>
        <w:t>,</w:t>
      </w:r>
      <w:r>
        <w:rPr>
          <w:szCs w:val="22"/>
        </w:rPr>
        <w:t xml:space="preserve"> has been established as a special purpose acquisition vehicle for purposes of the proposed transaction.</w:t>
      </w:r>
      <w:r>
        <w:rPr>
          <w:rStyle w:val="FootnoteReference"/>
          <w:szCs w:val="22"/>
        </w:rPr>
        <w:footnoteReference w:id="9"/>
      </w:r>
      <w:r>
        <w:rPr>
          <w:szCs w:val="22"/>
        </w:rPr>
        <w:t xml:space="preserve">  Applicants state</w:t>
      </w:r>
      <w:r w:rsidR="00E74D40">
        <w:rPr>
          <w:szCs w:val="22"/>
        </w:rPr>
        <w:t xml:space="preserve"> that</w:t>
      </w:r>
      <w:r>
        <w:rPr>
          <w:szCs w:val="22"/>
        </w:rPr>
        <w:t>, at closing, Hummingbird Circle will be controlled by certain funds and accounts managed by SVP</w:t>
      </w:r>
      <w:r w:rsidR="007C7FAB">
        <w:rPr>
          <w:szCs w:val="22"/>
        </w:rPr>
        <w:t>, a</w:t>
      </w:r>
      <w:r w:rsidR="001A6AFE">
        <w:rPr>
          <w:szCs w:val="22"/>
        </w:rPr>
        <w:t>n</w:t>
      </w:r>
      <w:r w:rsidR="007C7FAB">
        <w:rPr>
          <w:szCs w:val="22"/>
        </w:rPr>
        <w:t xml:space="preserve"> investment </w:t>
      </w:r>
      <w:r w:rsidR="001A6AFE">
        <w:rPr>
          <w:szCs w:val="22"/>
        </w:rPr>
        <w:t>entity</w:t>
      </w:r>
      <w:r>
        <w:rPr>
          <w:szCs w:val="22"/>
        </w:rPr>
        <w:t>.</w:t>
      </w:r>
      <w:r>
        <w:rPr>
          <w:rStyle w:val="FootnoteReference"/>
          <w:szCs w:val="22"/>
        </w:rPr>
        <w:footnoteReference w:id="10"/>
      </w:r>
      <w:r>
        <w:rPr>
          <w:szCs w:val="22"/>
        </w:rPr>
        <w:t xml:space="preserve">  </w:t>
      </w:r>
      <w:r w:rsidR="004679C0">
        <w:rPr>
          <w:szCs w:val="22"/>
        </w:rPr>
        <w:t>Victor Khosla, a U.S. citizen, will hold a controlling aggregate 60% indirect voting and equity interest in</w:t>
      </w:r>
      <w:r w:rsidR="00AB4FF6">
        <w:rPr>
          <w:szCs w:val="22"/>
        </w:rPr>
        <w:t xml:space="preserve"> IPC Network Services</w:t>
      </w:r>
      <w:r w:rsidR="004679C0">
        <w:rPr>
          <w:szCs w:val="22"/>
        </w:rPr>
        <w:t xml:space="preserve"> thru various intermediate </w:t>
      </w:r>
      <w:r w:rsidR="00796872">
        <w:rPr>
          <w:szCs w:val="22"/>
        </w:rPr>
        <w:t xml:space="preserve">U.S., Cayman Islands, and Netherlands </w:t>
      </w:r>
      <w:r w:rsidR="004679C0">
        <w:rPr>
          <w:szCs w:val="22"/>
        </w:rPr>
        <w:t>holding companies.</w:t>
      </w:r>
      <w:r>
        <w:rPr>
          <w:rStyle w:val="FootnoteReference"/>
          <w:szCs w:val="22"/>
        </w:rPr>
        <w:footnoteReference w:id="11"/>
      </w:r>
      <w:r w:rsidR="004679C0">
        <w:rPr>
          <w:szCs w:val="22"/>
        </w:rPr>
        <w:t xml:space="preserve">  </w:t>
      </w:r>
      <w:r w:rsidR="0065014F">
        <w:rPr>
          <w:szCs w:val="22"/>
        </w:rPr>
        <w:t xml:space="preserve">According to Applicants, </w:t>
      </w:r>
      <w:r w:rsidR="00AB4FF6">
        <w:rPr>
          <w:szCs w:val="22"/>
        </w:rPr>
        <w:t>n</w:t>
      </w:r>
      <w:r>
        <w:rPr>
          <w:szCs w:val="22"/>
        </w:rPr>
        <w:t>either Hummingbird Circle, the funds owning Hummingbird Circle, SVP, or SVP’s portfolio of companies provide telecommunications services.</w:t>
      </w:r>
      <w:r>
        <w:rPr>
          <w:rStyle w:val="FootnoteReference"/>
          <w:szCs w:val="22"/>
        </w:rPr>
        <w:footnoteReference w:id="12"/>
      </w:r>
      <w:r>
        <w:rPr>
          <w:szCs w:val="22"/>
        </w:rPr>
        <w:t xml:space="preserve"> </w:t>
      </w:r>
      <w:r w:rsidR="00DA627C">
        <w:rPr>
          <w:szCs w:val="22"/>
        </w:rPr>
        <w:t xml:space="preserve"> </w:t>
      </w:r>
      <w:r w:rsidR="00ED2F84">
        <w:rPr>
          <w:szCs w:val="22"/>
        </w:rPr>
        <w:t xml:space="preserve"> </w:t>
      </w:r>
      <w:r w:rsidR="00982686">
        <w:rPr>
          <w:szCs w:val="22"/>
        </w:rPr>
        <w:t xml:space="preserve">  </w:t>
      </w:r>
    </w:p>
    <w:p w:rsidR="00190D2B" w:rsidP="00D302A2" w14:paraId="2DC83B9C" w14:textId="76CDA42F">
      <w:pPr>
        <w:autoSpaceDE w:val="0"/>
        <w:autoSpaceDN w:val="0"/>
        <w:adjustRightInd w:val="0"/>
        <w:spacing w:after="120"/>
        <w:ind w:firstLine="720"/>
        <w:rPr>
          <w:szCs w:val="22"/>
        </w:rPr>
      </w:pPr>
      <w:r w:rsidRPr="00420C60">
        <w:rPr>
          <w:szCs w:val="22"/>
        </w:rPr>
        <w:t xml:space="preserve">Pursuant to the terms </w:t>
      </w:r>
      <w:r w:rsidRPr="00420C60" w:rsidR="007B035D">
        <w:rPr>
          <w:szCs w:val="22"/>
        </w:rPr>
        <w:t xml:space="preserve">of </w:t>
      </w:r>
      <w:r w:rsidRPr="00420C60">
        <w:rPr>
          <w:szCs w:val="22"/>
        </w:rPr>
        <w:t xml:space="preserve">the proposed transaction, </w:t>
      </w:r>
      <w:r w:rsidR="00520D29">
        <w:rPr>
          <w:szCs w:val="22"/>
        </w:rPr>
        <w:t xml:space="preserve">CCP II Finco and Hummingbird Circle are parties to a </w:t>
      </w:r>
      <w:r w:rsidR="0065014F">
        <w:rPr>
          <w:szCs w:val="22"/>
        </w:rPr>
        <w:t xml:space="preserve">two-step </w:t>
      </w:r>
      <w:r w:rsidR="00520D29">
        <w:rPr>
          <w:szCs w:val="22"/>
        </w:rPr>
        <w:t>restructuring agreement.</w:t>
      </w:r>
      <w:r>
        <w:rPr>
          <w:rStyle w:val="FootnoteReference"/>
          <w:szCs w:val="22"/>
        </w:rPr>
        <w:footnoteReference w:id="13"/>
      </w:r>
      <w:r w:rsidR="00520D29">
        <w:rPr>
          <w:szCs w:val="22"/>
        </w:rPr>
        <w:t xml:space="preserve">  </w:t>
      </w:r>
      <w:r w:rsidR="0065014F">
        <w:rPr>
          <w:szCs w:val="22"/>
        </w:rPr>
        <w:t xml:space="preserve">In the first step, </w:t>
      </w:r>
      <w:r w:rsidR="00520D29">
        <w:rPr>
          <w:szCs w:val="22"/>
        </w:rPr>
        <w:t>Applicants state</w:t>
      </w:r>
      <w:r w:rsidR="0065014F">
        <w:rPr>
          <w:szCs w:val="22"/>
        </w:rPr>
        <w:t xml:space="preserve"> tha</w:t>
      </w:r>
      <w:r w:rsidR="004679C0">
        <w:rPr>
          <w:szCs w:val="22"/>
        </w:rPr>
        <w:t>t they</w:t>
      </w:r>
      <w:r w:rsidR="0065014F">
        <w:rPr>
          <w:szCs w:val="22"/>
        </w:rPr>
        <w:t xml:space="preserve"> completed a </w:t>
      </w:r>
      <w:r w:rsidRPr="00684E77" w:rsidR="00520D29">
        <w:rPr>
          <w:i/>
          <w:iCs/>
          <w:szCs w:val="22"/>
        </w:rPr>
        <w:t>pro forma</w:t>
      </w:r>
      <w:r w:rsidR="00520D29">
        <w:rPr>
          <w:szCs w:val="22"/>
        </w:rPr>
        <w:t xml:space="preserve"> transaction on October 1, 2021</w:t>
      </w:r>
      <w:r w:rsidR="00796872">
        <w:rPr>
          <w:szCs w:val="22"/>
        </w:rPr>
        <w:t>,</w:t>
      </w:r>
      <w:r w:rsidR="0065014F">
        <w:rPr>
          <w:szCs w:val="22"/>
        </w:rPr>
        <w:t xml:space="preserve"> under which</w:t>
      </w:r>
      <w:r w:rsidR="00520D29">
        <w:rPr>
          <w:szCs w:val="22"/>
        </w:rPr>
        <w:t xml:space="preserve"> </w:t>
      </w:r>
      <w:r w:rsidR="0065014F">
        <w:rPr>
          <w:szCs w:val="22"/>
        </w:rPr>
        <w:t>they</w:t>
      </w:r>
      <w:r w:rsidR="00520D29">
        <w:rPr>
          <w:szCs w:val="22"/>
        </w:rPr>
        <w:t xml:space="preserve"> refinanced IPC’s first lien</w:t>
      </w:r>
      <w:r w:rsidR="0065014F">
        <w:rPr>
          <w:szCs w:val="22"/>
        </w:rPr>
        <w:t xml:space="preserve"> debt</w:t>
      </w:r>
      <w:r w:rsidR="00520D29">
        <w:rPr>
          <w:szCs w:val="22"/>
        </w:rPr>
        <w:t>, injected $125 million of new capital into IPC, and converted IPC’s existing second lien debt into reorganized equity and a new convertible note</w:t>
      </w:r>
      <w:r w:rsidR="004D7FB5">
        <w:rPr>
          <w:szCs w:val="22"/>
        </w:rPr>
        <w:t xml:space="preserve"> (Note)</w:t>
      </w:r>
      <w:r w:rsidR="00520D29">
        <w:rPr>
          <w:szCs w:val="22"/>
        </w:rPr>
        <w:t>.</w:t>
      </w:r>
      <w:r>
        <w:rPr>
          <w:rStyle w:val="FootnoteReference"/>
          <w:szCs w:val="22"/>
        </w:rPr>
        <w:footnoteReference w:id="14"/>
      </w:r>
      <w:r w:rsidR="00697895">
        <w:rPr>
          <w:szCs w:val="22"/>
        </w:rPr>
        <w:t xml:space="preserve"> </w:t>
      </w:r>
      <w:r w:rsidR="00520D29">
        <w:rPr>
          <w:szCs w:val="22"/>
        </w:rPr>
        <w:t xml:space="preserve"> </w:t>
      </w:r>
      <w:r w:rsidR="0035470A">
        <w:rPr>
          <w:szCs w:val="22"/>
        </w:rPr>
        <w:t>As a result, CCP II Finco currently holds approximately 53% of the equity and voting rights of IPC LLC, and Hummingbird Circle holds the remaining approximate 47% and the Note.</w:t>
      </w:r>
      <w:r>
        <w:rPr>
          <w:rStyle w:val="FootnoteReference"/>
          <w:szCs w:val="22"/>
        </w:rPr>
        <w:footnoteReference w:id="15"/>
      </w:r>
      <w:r w:rsidR="0035470A">
        <w:rPr>
          <w:szCs w:val="22"/>
        </w:rPr>
        <w:t xml:space="preserve">  </w:t>
      </w:r>
      <w:r w:rsidR="00C405CA">
        <w:rPr>
          <w:szCs w:val="22"/>
        </w:rPr>
        <w:t>In the second st</w:t>
      </w:r>
      <w:r w:rsidR="00F87141">
        <w:rPr>
          <w:szCs w:val="22"/>
        </w:rPr>
        <w:t>ep</w:t>
      </w:r>
      <w:r w:rsidR="00C405CA">
        <w:rPr>
          <w:szCs w:val="22"/>
        </w:rPr>
        <w:t xml:space="preserve">, </w:t>
      </w:r>
      <w:r w:rsidR="0067024C">
        <w:rPr>
          <w:szCs w:val="22"/>
        </w:rPr>
        <w:t>which Applicants are pursuing through the Application, Hummingbird Circle seeks to convert the Note into equity, which, when</w:t>
      </w:r>
      <w:r w:rsidR="00D879B4">
        <w:rPr>
          <w:szCs w:val="22"/>
        </w:rPr>
        <w:t xml:space="preserve"> </w:t>
      </w:r>
      <w:r w:rsidR="0067024C">
        <w:rPr>
          <w:szCs w:val="22"/>
        </w:rPr>
        <w:t>combined with the equity Hu</w:t>
      </w:r>
      <w:r w:rsidR="00D879B4">
        <w:rPr>
          <w:szCs w:val="22"/>
        </w:rPr>
        <w:t>m</w:t>
      </w:r>
      <w:r w:rsidR="0067024C">
        <w:rPr>
          <w:szCs w:val="22"/>
        </w:rPr>
        <w:t>ming</w:t>
      </w:r>
      <w:r w:rsidR="00D879B4">
        <w:rPr>
          <w:szCs w:val="22"/>
        </w:rPr>
        <w:t>bird</w:t>
      </w:r>
      <w:r w:rsidR="0067024C">
        <w:rPr>
          <w:szCs w:val="22"/>
        </w:rPr>
        <w:t xml:space="preserve"> Circle currently holds, </w:t>
      </w:r>
      <w:r w:rsidR="00D879B4">
        <w:rPr>
          <w:szCs w:val="22"/>
        </w:rPr>
        <w:t xml:space="preserve">will result in Hummingbird Circle holding a 60% interest in IPC LLC, which will in turn provide it with indirect control of </w:t>
      </w:r>
      <w:r w:rsidR="00E66033">
        <w:rPr>
          <w:szCs w:val="22"/>
        </w:rPr>
        <w:t>IPC Network Services</w:t>
      </w:r>
      <w:r w:rsidR="00D879B4">
        <w:rPr>
          <w:szCs w:val="22"/>
        </w:rPr>
        <w:t>.</w:t>
      </w:r>
      <w:r>
        <w:rPr>
          <w:rStyle w:val="FootnoteReference"/>
          <w:szCs w:val="22"/>
        </w:rPr>
        <w:footnoteReference w:id="16"/>
      </w:r>
      <w:r w:rsidR="00697895">
        <w:rPr>
          <w:szCs w:val="22"/>
        </w:rPr>
        <w:t xml:space="preserve"> </w:t>
      </w:r>
      <w:r w:rsidR="00C405CA">
        <w:rPr>
          <w:szCs w:val="22"/>
        </w:rPr>
        <w:t xml:space="preserve"> </w:t>
      </w:r>
      <w:r w:rsidR="00D879B4">
        <w:rPr>
          <w:szCs w:val="22"/>
        </w:rPr>
        <w:t>CCP II Finco will hold the remaining 40% interest in IPC LLC.</w:t>
      </w:r>
      <w:r>
        <w:rPr>
          <w:rStyle w:val="FootnoteReference"/>
          <w:szCs w:val="22"/>
        </w:rPr>
        <w:footnoteReference w:id="17"/>
      </w:r>
      <w:r w:rsidR="00D879B4">
        <w:rPr>
          <w:szCs w:val="22"/>
        </w:rPr>
        <w:t xml:space="preserve">  </w:t>
      </w:r>
      <w:r w:rsidR="00C405CA">
        <w:rPr>
          <w:szCs w:val="22"/>
        </w:rPr>
        <w:t xml:space="preserve"> </w:t>
      </w:r>
      <w:r w:rsidR="00697895">
        <w:rPr>
          <w:szCs w:val="22"/>
        </w:rPr>
        <w:t xml:space="preserve"> </w:t>
      </w:r>
    </w:p>
    <w:p w:rsidR="00C405CA" w:rsidP="004F6114" w14:paraId="6890D889" w14:textId="3C467115">
      <w:pPr>
        <w:autoSpaceDE w:val="0"/>
        <w:autoSpaceDN w:val="0"/>
        <w:adjustRightInd w:val="0"/>
        <w:spacing w:after="120"/>
        <w:ind w:firstLine="720"/>
        <w:rPr>
          <w:szCs w:val="22"/>
        </w:rPr>
      </w:pPr>
      <w:r w:rsidRPr="00B766F5">
        <w:rPr>
          <w:szCs w:val="22"/>
        </w:rPr>
        <w:t>Applicants</w:t>
      </w:r>
      <w:r w:rsidRPr="00B766F5">
        <w:rPr>
          <w:bCs/>
          <w:szCs w:val="22"/>
        </w:rPr>
        <w:t xml:space="preserve"> assert that a grant of the </w:t>
      </w:r>
      <w:r w:rsidR="003967B3">
        <w:rPr>
          <w:bCs/>
          <w:szCs w:val="22"/>
        </w:rPr>
        <w:t>A</w:t>
      </w:r>
      <w:r w:rsidRPr="00B766F5">
        <w:rPr>
          <w:bCs/>
          <w:szCs w:val="22"/>
        </w:rPr>
        <w:t>pplication would</w:t>
      </w:r>
      <w:r>
        <w:rPr>
          <w:bCs/>
          <w:szCs w:val="22"/>
        </w:rPr>
        <w:t xml:space="preserve"> </w:t>
      </w:r>
      <w:r w:rsidRPr="00B766F5">
        <w:rPr>
          <w:bCs/>
          <w:szCs w:val="22"/>
        </w:rPr>
        <w:t>serve the public interest, convenience, and necessity.</w:t>
      </w:r>
      <w:r>
        <w:rPr>
          <w:rStyle w:val="FootnoteReference"/>
          <w:bCs/>
          <w:szCs w:val="22"/>
        </w:rPr>
        <w:footnoteReference w:id="18"/>
      </w:r>
      <w:r w:rsidRPr="00B766F5">
        <w:rPr>
          <w:bCs/>
          <w:szCs w:val="22"/>
        </w:rPr>
        <w:t xml:space="preserve"> </w:t>
      </w:r>
      <w:r>
        <w:rPr>
          <w:bCs/>
          <w:szCs w:val="22"/>
        </w:rPr>
        <w:t xml:space="preserve"> </w:t>
      </w:r>
      <w:r w:rsidR="00A21103">
        <w:rPr>
          <w:bCs/>
          <w:szCs w:val="22"/>
        </w:rPr>
        <w:t xml:space="preserve">Applicants state that the proposed transaction will not </w:t>
      </w:r>
      <w:r w:rsidR="0076580B">
        <w:rPr>
          <w:bCs/>
          <w:szCs w:val="22"/>
        </w:rPr>
        <w:t xml:space="preserve">result in a loss of a competitive provider and will not </w:t>
      </w:r>
      <w:r w:rsidR="00A21103">
        <w:rPr>
          <w:bCs/>
          <w:szCs w:val="22"/>
        </w:rPr>
        <w:t xml:space="preserve">adversely affect customers </w:t>
      </w:r>
      <w:r w:rsidR="008639E4">
        <w:rPr>
          <w:bCs/>
          <w:szCs w:val="22"/>
        </w:rPr>
        <w:t xml:space="preserve">because </w:t>
      </w:r>
      <w:r w:rsidR="00A21103">
        <w:rPr>
          <w:szCs w:val="22"/>
        </w:rPr>
        <w:t>“</w:t>
      </w:r>
      <w:r w:rsidR="004649E9">
        <w:rPr>
          <w:szCs w:val="22"/>
        </w:rPr>
        <w:t xml:space="preserve">customers will continue to receive the same services under the same rates, terms, and conditions – and under the </w:t>
      </w:r>
      <w:r w:rsidR="004F6114">
        <w:rPr>
          <w:szCs w:val="22"/>
        </w:rPr>
        <w:t>same IPC brand name as existed prior to the proposed transaction’s close.</w:t>
      </w:r>
      <w:r w:rsidR="00A21103">
        <w:rPr>
          <w:szCs w:val="22"/>
        </w:rPr>
        <w:t>”</w:t>
      </w:r>
      <w:r>
        <w:rPr>
          <w:rStyle w:val="FootnoteReference"/>
          <w:szCs w:val="22"/>
        </w:rPr>
        <w:footnoteReference w:id="19"/>
      </w:r>
      <w:r w:rsidR="004F6114">
        <w:rPr>
          <w:szCs w:val="22"/>
        </w:rPr>
        <w:t xml:space="preserve">  </w:t>
      </w:r>
      <w:r w:rsidR="00213F24">
        <w:rPr>
          <w:szCs w:val="22"/>
        </w:rPr>
        <w:t>Applicants further state that the transaction will: (1) “inject much needed capital</w:t>
      </w:r>
      <w:r w:rsidR="00697EEC">
        <w:rPr>
          <w:szCs w:val="22"/>
        </w:rPr>
        <w:t>, which is necessary to ensure the continued operations of IPC and the uninterrupted provision of service</w:t>
      </w:r>
      <w:r w:rsidR="003D19A5">
        <w:rPr>
          <w:szCs w:val="22"/>
        </w:rPr>
        <w:t>”</w:t>
      </w:r>
      <w:r w:rsidR="00697EEC">
        <w:rPr>
          <w:szCs w:val="22"/>
        </w:rPr>
        <w:t xml:space="preserve"> to </w:t>
      </w:r>
      <w:r w:rsidR="003D19A5">
        <w:rPr>
          <w:szCs w:val="22"/>
        </w:rPr>
        <w:t>IPC Network Services’</w:t>
      </w:r>
      <w:r w:rsidR="00697EEC">
        <w:rPr>
          <w:szCs w:val="22"/>
        </w:rPr>
        <w:t xml:space="preserve"> existing customers; (2) “further reduce IPC’s outstanding debt obligations”; (3) create a “more financially sound company that has increased flexibility and a more competitive position”; and (4) </w:t>
      </w:r>
      <w:r w:rsidR="00385DDF">
        <w:rPr>
          <w:szCs w:val="22"/>
        </w:rPr>
        <w:t xml:space="preserve">expand services </w:t>
      </w:r>
      <w:r w:rsidR="00F008A7">
        <w:rPr>
          <w:szCs w:val="22"/>
        </w:rPr>
        <w:t>to more customers.</w:t>
      </w:r>
      <w:r>
        <w:rPr>
          <w:rStyle w:val="FootnoteReference"/>
          <w:szCs w:val="22"/>
        </w:rPr>
        <w:footnoteReference w:id="20"/>
      </w:r>
    </w:p>
    <w:p w:rsidR="008C0A98" w:rsidP="008C0A98" w14:paraId="3A53DD12" w14:textId="77777777">
      <w:pPr>
        <w:autoSpaceDE w:val="0"/>
        <w:autoSpaceDN w:val="0"/>
        <w:adjustRightInd w:val="0"/>
        <w:ind w:firstLine="720"/>
        <w:rPr>
          <w:b/>
          <w:bCs/>
          <w:szCs w:val="22"/>
        </w:rPr>
      </w:pPr>
      <w:r>
        <w:rPr>
          <w:szCs w:val="22"/>
        </w:rPr>
        <w:t xml:space="preserve">In light of the multiple applications pending before the Commission with respect to this transaction and the public interest review associated with them, </w:t>
      </w:r>
      <w:r w:rsidR="004679C0">
        <w:rPr>
          <w:szCs w:val="22"/>
        </w:rPr>
        <w:t>we accept the A</w:t>
      </w:r>
      <w:r>
        <w:rPr>
          <w:szCs w:val="22"/>
        </w:rPr>
        <w:t xml:space="preserve">pplication </w:t>
      </w:r>
      <w:r w:rsidR="004679C0">
        <w:rPr>
          <w:szCs w:val="22"/>
        </w:rPr>
        <w:t>for non-streamlined processing</w:t>
      </w:r>
      <w:r>
        <w:rPr>
          <w:szCs w:val="22"/>
        </w:rPr>
        <w:t>.</w:t>
      </w:r>
      <w:r>
        <w:rPr>
          <w:rStyle w:val="FootnoteReference"/>
          <w:szCs w:val="22"/>
        </w:rPr>
        <w:footnoteReference w:id="21"/>
      </w:r>
      <w:r w:rsidRPr="00A80FA2">
        <w:rPr>
          <w:szCs w:val="22"/>
        </w:rPr>
        <w:t xml:space="preserve">  </w:t>
      </w:r>
      <w:r w:rsidRPr="00A80FA2">
        <w:rPr>
          <w:b/>
          <w:bCs/>
          <w:szCs w:val="22"/>
        </w:rPr>
        <w:t xml:space="preserve"> </w:t>
      </w:r>
    </w:p>
    <w:p w:rsidR="008C0A98" w:rsidRPr="008C0A98" w:rsidP="008C0A98" w14:paraId="596226B3" w14:textId="77777777">
      <w:pPr>
        <w:autoSpaceDE w:val="0"/>
        <w:autoSpaceDN w:val="0"/>
        <w:adjustRightInd w:val="0"/>
        <w:ind w:firstLine="720"/>
        <w:rPr>
          <w:b/>
          <w:bCs/>
          <w:sz w:val="16"/>
          <w:szCs w:val="16"/>
        </w:rPr>
      </w:pPr>
    </w:p>
    <w:p w:rsidR="0065014F" w:rsidRPr="00062BAA" w:rsidP="008C0A98" w14:paraId="3A879FB1" w14:textId="38D00076">
      <w:pPr>
        <w:autoSpaceDE w:val="0"/>
        <w:autoSpaceDN w:val="0"/>
        <w:adjustRightInd w:val="0"/>
        <w:ind w:firstLine="720"/>
        <w:rPr>
          <w:snapToGrid w:val="0"/>
          <w:kern w:val="28"/>
          <w:szCs w:val="22"/>
        </w:rPr>
      </w:pPr>
      <w:r w:rsidRPr="00062BAA">
        <w:rPr>
          <w:snapToGrid w:val="0"/>
          <w:kern w:val="28"/>
          <w:szCs w:val="22"/>
          <w:u w:val="single"/>
        </w:rPr>
        <w:t>Referral to Executive Branch Agencies</w:t>
      </w:r>
      <w:r w:rsidRPr="00062BAA">
        <w:rPr>
          <w:snapToGrid w:val="0"/>
          <w:kern w:val="28"/>
          <w:szCs w:val="22"/>
        </w:rPr>
        <w:t xml:space="preserve">.  Through this Public Notice, pursuant to Commission practice, the Application and the associated international application, </w:t>
      </w:r>
      <w:r w:rsidRPr="00062BAA" w:rsidR="00062BAA">
        <w:rPr>
          <w:color w:val="201F1E"/>
          <w:szCs w:val="22"/>
          <w:shd w:val="clear" w:color="auto" w:fill="FFFFFF"/>
        </w:rPr>
        <w:t>ITC-T/C-20211105-00179</w:t>
      </w:r>
      <w:r w:rsidRPr="00062BAA" w:rsidR="00062BAA">
        <w:rPr>
          <w:snapToGrid w:val="0"/>
          <w:kern w:val="28"/>
          <w:szCs w:val="22"/>
        </w:rPr>
        <w:t>,</w:t>
      </w:r>
      <w:r w:rsidRPr="00062BAA">
        <w:rPr>
          <w:snapToGrid w:val="0"/>
          <w:kern w:val="28"/>
          <w:szCs w:val="22"/>
        </w:rPr>
        <w:t xml:space="preserve"> are being referred to the relevant Executive Branch agencies for their views on any national security, law enforcement, foreign policy, or trade policy concerns related to the foreign ownership of the Applicants.</w:t>
      </w:r>
      <w:r>
        <w:rPr>
          <w:snapToGrid w:val="0"/>
          <w:kern w:val="28"/>
          <w:szCs w:val="22"/>
          <w:vertAlign w:val="superscript"/>
        </w:rPr>
        <w:footnoteReference w:id="22"/>
      </w:r>
    </w:p>
    <w:p w:rsidR="00684E77" w:rsidRPr="008C0A98" w:rsidP="008C0A98" w14:paraId="37C14654" w14:textId="77777777">
      <w:pPr>
        <w:autoSpaceDE w:val="0"/>
        <w:autoSpaceDN w:val="0"/>
        <w:adjustRightInd w:val="0"/>
        <w:ind w:firstLine="720"/>
        <w:rPr>
          <w:b/>
          <w:bCs/>
          <w:szCs w:val="22"/>
        </w:rPr>
      </w:pPr>
    </w:p>
    <w:p w:rsidR="00CC009E" w:rsidP="00CC009E" w14:paraId="2F60977A" w14:textId="77777777">
      <w:pPr>
        <w:ind w:left="720"/>
        <w:rPr>
          <w:szCs w:val="22"/>
        </w:rPr>
      </w:pPr>
      <w:r>
        <w:rPr>
          <w:szCs w:val="22"/>
        </w:rPr>
        <w:t xml:space="preserve">Domestic Section 214 Application Filed for the </w:t>
      </w:r>
      <w:r w:rsidR="00D00C86">
        <w:rPr>
          <w:szCs w:val="22"/>
        </w:rPr>
        <w:t>Transfer of Control of</w:t>
      </w:r>
      <w:r>
        <w:rPr>
          <w:szCs w:val="22"/>
        </w:rPr>
        <w:t xml:space="preserve"> </w:t>
      </w:r>
    </w:p>
    <w:p w:rsidR="008C0A98" w:rsidP="00795D2F" w14:paraId="67A53CCA" w14:textId="295A8656">
      <w:pPr>
        <w:ind w:left="720"/>
        <w:rPr>
          <w:szCs w:val="22"/>
        </w:rPr>
      </w:pPr>
      <w:r>
        <w:rPr>
          <w:szCs w:val="22"/>
        </w:rPr>
        <w:t>IPC Network Services, Inc. from CCP II Finco</w:t>
      </w:r>
      <w:r w:rsidR="0065014F">
        <w:rPr>
          <w:szCs w:val="22"/>
        </w:rPr>
        <w:t>, LLC</w:t>
      </w:r>
      <w:r>
        <w:rPr>
          <w:szCs w:val="22"/>
        </w:rPr>
        <w:t xml:space="preserve"> to Hummingbird Circle, LLC</w:t>
      </w:r>
      <w:r w:rsidRPr="00086D74" w:rsidR="00473955">
        <w:rPr>
          <w:szCs w:val="22"/>
        </w:rPr>
        <w:t xml:space="preserve">, </w:t>
      </w:r>
    </w:p>
    <w:p w:rsidR="00524D79" w:rsidP="00795D2F" w14:paraId="279FF837" w14:textId="3E734830">
      <w:pPr>
        <w:ind w:left="720"/>
        <w:rPr>
          <w:szCs w:val="22"/>
        </w:rPr>
      </w:pPr>
      <w:r>
        <w:rPr>
          <w:szCs w:val="22"/>
        </w:rPr>
        <w:t xml:space="preserve">WC Docket No. </w:t>
      </w:r>
      <w:r w:rsidRPr="00C53E5E" w:rsidR="0012329A">
        <w:rPr>
          <w:szCs w:val="22"/>
        </w:rPr>
        <w:t>21-</w:t>
      </w:r>
      <w:r w:rsidR="008A792A">
        <w:rPr>
          <w:szCs w:val="22"/>
        </w:rPr>
        <w:t>4</w:t>
      </w:r>
      <w:r w:rsidR="0065014F">
        <w:rPr>
          <w:szCs w:val="22"/>
        </w:rPr>
        <w:t>36</w:t>
      </w:r>
      <w:r>
        <w:rPr>
          <w:szCs w:val="22"/>
        </w:rPr>
        <w:t xml:space="preserve"> (filed </w:t>
      </w:r>
      <w:r w:rsidR="00FB5D4F">
        <w:rPr>
          <w:szCs w:val="22"/>
        </w:rPr>
        <w:t>Nov</w:t>
      </w:r>
      <w:r w:rsidR="001149F9">
        <w:rPr>
          <w:szCs w:val="22"/>
        </w:rPr>
        <w:t xml:space="preserve"> 5</w:t>
      </w:r>
      <w:r>
        <w:rPr>
          <w:szCs w:val="22"/>
        </w:rPr>
        <w:t>, 202</w:t>
      </w:r>
      <w:r w:rsidR="0012329A">
        <w:rPr>
          <w:szCs w:val="22"/>
        </w:rPr>
        <w:t>1</w:t>
      </w:r>
      <w:r>
        <w:rPr>
          <w:szCs w:val="22"/>
        </w:rPr>
        <w:t>).</w:t>
      </w:r>
    </w:p>
    <w:p w:rsidR="00D94C3B" w14:paraId="3F02281A" w14:textId="77777777">
      <w:pPr>
        <w:autoSpaceDE w:val="0"/>
        <w:autoSpaceDN w:val="0"/>
        <w:adjustRightInd w:val="0"/>
        <w:rPr>
          <w:b/>
          <w:szCs w:val="22"/>
          <w:u w:val="single"/>
        </w:rPr>
      </w:pPr>
    </w:p>
    <w:p w:rsidR="00E7033D" w14:paraId="50C94A48" w14:textId="0B24D84D">
      <w:pPr>
        <w:autoSpaceDE w:val="0"/>
        <w:autoSpaceDN w:val="0"/>
        <w:adjustRightInd w:val="0"/>
        <w:rPr>
          <w:szCs w:val="22"/>
        </w:rPr>
      </w:pPr>
      <w:r>
        <w:rPr>
          <w:b/>
          <w:szCs w:val="22"/>
          <w:u w:val="single"/>
        </w:rPr>
        <w:t>GENERAL INFORMATION</w:t>
      </w:r>
    </w:p>
    <w:p w:rsidR="00E7033D" w14:paraId="55338804" w14:textId="77777777">
      <w:pPr>
        <w:autoSpaceDE w:val="0"/>
        <w:autoSpaceDN w:val="0"/>
        <w:adjustRightInd w:val="0"/>
        <w:rPr>
          <w:szCs w:val="22"/>
        </w:rPr>
      </w:pPr>
    </w:p>
    <w:p w:rsidR="00916457" w:rsidRPr="004F4DC1" w:rsidP="00916457" w14:paraId="56D2C589" w14:textId="77777777">
      <w:pPr>
        <w:autoSpaceDE w:val="0"/>
        <w:autoSpaceDN w:val="0"/>
        <w:adjustRightInd w:val="0"/>
        <w:spacing w:after="120"/>
        <w:ind w:firstLine="720"/>
        <w:rPr>
          <w:szCs w:val="22"/>
        </w:rPr>
      </w:pPr>
      <w:r w:rsidRPr="004F4DC1">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916457" w:rsidRPr="004F4DC1" w:rsidP="00916457" w14:paraId="6EF0EF02" w14:textId="1CAD9B4D">
      <w:pPr>
        <w:autoSpaceDE w:val="0"/>
        <w:autoSpaceDN w:val="0"/>
        <w:adjustRightInd w:val="0"/>
        <w:spacing w:after="120"/>
        <w:ind w:firstLine="720"/>
        <w:rPr>
          <w:szCs w:val="22"/>
        </w:rPr>
      </w:pPr>
      <w:r w:rsidRPr="004F4DC1">
        <w:rPr>
          <w:szCs w:val="22"/>
        </w:rPr>
        <w:t xml:space="preserve">Interested parties may file comments </w:t>
      </w:r>
      <w:r w:rsidRPr="004F4DC1">
        <w:rPr>
          <w:b/>
          <w:szCs w:val="22"/>
        </w:rPr>
        <w:t xml:space="preserve">on or before </w:t>
      </w:r>
      <w:r w:rsidR="004C33D2">
        <w:rPr>
          <w:b/>
          <w:szCs w:val="22"/>
        </w:rPr>
        <w:t>Decem</w:t>
      </w:r>
      <w:r>
        <w:rPr>
          <w:b/>
          <w:szCs w:val="22"/>
        </w:rPr>
        <w:t xml:space="preserve">ber </w:t>
      </w:r>
      <w:r w:rsidR="005614FA">
        <w:rPr>
          <w:b/>
          <w:szCs w:val="22"/>
        </w:rPr>
        <w:t>8</w:t>
      </w:r>
      <w:r w:rsidRPr="004F4DC1">
        <w:rPr>
          <w:b/>
          <w:szCs w:val="22"/>
        </w:rPr>
        <w:t>, 2021</w:t>
      </w:r>
      <w:r w:rsidRPr="004F4DC1">
        <w:rPr>
          <w:szCs w:val="22"/>
        </w:rPr>
        <w:t xml:space="preserve">, and reply comments </w:t>
      </w:r>
      <w:r w:rsidRPr="004F4DC1">
        <w:rPr>
          <w:b/>
          <w:szCs w:val="22"/>
        </w:rPr>
        <w:t xml:space="preserve">on or before </w:t>
      </w:r>
      <w:r w:rsidR="004C33D2">
        <w:rPr>
          <w:b/>
          <w:szCs w:val="22"/>
        </w:rPr>
        <w:t>Decem</w:t>
      </w:r>
      <w:r>
        <w:rPr>
          <w:b/>
          <w:szCs w:val="22"/>
        </w:rPr>
        <w:t xml:space="preserve">ber </w:t>
      </w:r>
      <w:r w:rsidR="005614FA">
        <w:rPr>
          <w:b/>
          <w:szCs w:val="22"/>
        </w:rPr>
        <w:t>15</w:t>
      </w:r>
      <w:r w:rsidRPr="004F4DC1">
        <w:rPr>
          <w:b/>
          <w:szCs w:val="22"/>
        </w:rPr>
        <w:t>, 2021</w:t>
      </w:r>
      <w:r w:rsidRPr="004F4DC1">
        <w:rPr>
          <w:szCs w:val="22"/>
        </w:rPr>
        <w:t>.  Comments may be filed using the Commission’s Electronic Comment Filing System (ECFS) or by paper.  </w:t>
      </w:r>
    </w:p>
    <w:p w:rsidR="00916457" w:rsidRPr="004F4DC1" w:rsidP="00916457" w14:paraId="2C0E228E" w14:textId="77777777">
      <w:pPr>
        <w:numPr>
          <w:ilvl w:val="0"/>
          <w:numId w:val="20"/>
        </w:numPr>
        <w:autoSpaceDE w:val="0"/>
        <w:autoSpaceDN w:val="0"/>
        <w:adjustRightInd w:val="0"/>
        <w:spacing w:after="120"/>
        <w:rPr>
          <w:szCs w:val="22"/>
        </w:rPr>
      </w:pPr>
      <w:r w:rsidRPr="004F4DC1">
        <w:rPr>
          <w:szCs w:val="22"/>
        </w:rPr>
        <w:t>Electronic Filers:  Comments may be filed electronically by accessing ECFS at </w:t>
      </w:r>
      <w:hyperlink r:id="rId8" w:history="1">
        <w:r w:rsidRPr="004F4DC1">
          <w:rPr>
            <w:rStyle w:val="Hyperlink"/>
            <w:szCs w:val="22"/>
          </w:rPr>
          <w:t>http://apps.fcc.gov/ecfs/</w:t>
        </w:r>
      </w:hyperlink>
      <w:r w:rsidRPr="004F4DC1">
        <w:rPr>
          <w:szCs w:val="22"/>
          <w:u w:val="single"/>
        </w:rPr>
        <w:t xml:space="preserve"> </w:t>
      </w:r>
      <w:r w:rsidRPr="004F4DC1">
        <w:rPr>
          <w:szCs w:val="22"/>
        </w:rPr>
        <w:t>.</w:t>
      </w:r>
    </w:p>
    <w:p w:rsidR="00916457" w:rsidRPr="004F4DC1" w:rsidP="00916457" w14:paraId="35505AC2" w14:textId="77777777">
      <w:pPr>
        <w:numPr>
          <w:ilvl w:val="0"/>
          <w:numId w:val="21"/>
        </w:numPr>
        <w:tabs>
          <w:tab w:val="clear" w:pos="720"/>
        </w:tabs>
        <w:autoSpaceDE w:val="0"/>
        <w:autoSpaceDN w:val="0"/>
        <w:adjustRightInd w:val="0"/>
        <w:spacing w:after="120"/>
        <w:rPr>
          <w:szCs w:val="22"/>
        </w:rPr>
      </w:pPr>
      <w:r w:rsidRPr="004F4DC1">
        <w:rPr>
          <w:i/>
          <w:iCs/>
          <w:szCs w:val="22"/>
        </w:rPr>
        <w:t>Paper Filers</w:t>
      </w:r>
      <w:r w:rsidRPr="004F4DC1">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916457" w:rsidRPr="004F4DC1" w:rsidP="00916457" w14:paraId="66B68EA7" w14:textId="77777777">
      <w:pPr>
        <w:numPr>
          <w:ilvl w:val="1"/>
          <w:numId w:val="21"/>
        </w:numPr>
        <w:autoSpaceDE w:val="0"/>
        <w:autoSpaceDN w:val="0"/>
        <w:adjustRightInd w:val="0"/>
        <w:spacing w:after="120"/>
        <w:rPr>
          <w:szCs w:val="22"/>
        </w:rPr>
      </w:pPr>
      <w:r w:rsidRPr="004F4DC1">
        <w:rPr>
          <w:szCs w:val="22"/>
        </w:rPr>
        <w:t>Filings can be sent by commercial overnight courier or by first-class or overnight U.S. Postal Service mail.</w:t>
      </w:r>
      <w:r>
        <w:rPr>
          <w:szCs w:val="22"/>
          <w:vertAlign w:val="superscript"/>
        </w:rPr>
        <w:footnoteReference w:id="23"/>
      </w:r>
      <w:r w:rsidRPr="004F4DC1">
        <w:rPr>
          <w:szCs w:val="22"/>
        </w:rPr>
        <w:t xml:space="preserve">  All filings must be addressed to the Commission’s Secretary, Office of the Secretary, Federal Communications Commission.</w:t>
      </w:r>
    </w:p>
    <w:p w:rsidR="00916457" w:rsidRPr="004F4DC1" w:rsidP="00916457" w14:paraId="048B9621" w14:textId="77777777">
      <w:pPr>
        <w:numPr>
          <w:ilvl w:val="1"/>
          <w:numId w:val="21"/>
        </w:numPr>
        <w:autoSpaceDE w:val="0"/>
        <w:autoSpaceDN w:val="0"/>
        <w:adjustRightInd w:val="0"/>
        <w:spacing w:after="120"/>
        <w:rPr>
          <w:szCs w:val="22"/>
        </w:rPr>
      </w:pPr>
      <w:r w:rsidRPr="004F4DC1">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916457" w:rsidRPr="004F4DC1" w:rsidP="00916457" w14:paraId="7A0B3452" w14:textId="77777777">
      <w:pPr>
        <w:autoSpaceDE w:val="0"/>
        <w:autoSpaceDN w:val="0"/>
        <w:adjustRightInd w:val="0"/>
        <w:spacing w:after="120"/>
        <w:ind w:firstLine="720"/>
        <w:rPr>
          <w:szCs w:val="22"/>
        </w:rPr>
      </w:pPr>
      <w:r w:rsidRPr="004F4DC1">
        <w:rPr>
          <w:szCs w:val="22"/>
        </w:rPr>
        <w:t>People with Disabilities:  We ask that requests for accommodations be made as soon as possible in order to allow the agency to satisfy such requests whenever possible.  Send an email to </w:t>
      </w:r>
      <w:hyperlink r:id="rId9" w:tgtFrame="_blank" w:history="1">
        <w:r w:rsidRPr="004F4DC1">
          <w:rPr>
            <w:rStyle w:val="Hyperlink"/>
            <w:szCs w:val="22"/>
          </w:rPr>
          <w:t>fcc504@fcc.gov</w:t>
        </w:r>
      </w:hyperlink>
      <w:r w:rsidRPr="004F4DC1">
        <w:rPr>
          <w:szCs w:val="22"/>
        </w:rPr>
        <w:t> or call the Consumer and Governmental Affairs Bureau at (202) 418-0530.</w:t>
      </w:r>
    </w:p>
    <w:p w:rsidR="00916457" w:rsidRPr="004F4DC1" w:rsidP="00916457" w14:paraId="1AE320CE" w14:textId="77777777">
      <w:pPr>
        <w:autoSpaceDE w:val="0"/>
        <w:autoSpaceDN w:val="0"/>
        <w:adjustRightInd w:val="0"/>
        <w:spacing w:after="120"/>
        <w:ind w:firstLine="720"/>
        <w:rPr>
          <w:b/>
          <w:szCs w:val="22"/>
        </w:rPr>
      </w:pPr>
      <w:r w:rsidRPr="004F4DC1">
        <w:rPr>
          <w:b/>
          <w:szCs w:val="22"/>
        </w:rPr>
        <w:t>In addition, e-mail one copy of each pleading to each of the following:</w:t>
      </w:r>
    </w:p>
    <w:p w:rsidR="00916457" w:rsidRPr="004F4DC1" w:rsidP="00916457" w14:paraId="166E51C9" w14:textId="71592FDD">
      <w:pPr>
        <w:numPr>
          <w:ilvl w:val="0"/>
          <w:numId w:val="18"/>
        </w:numPr>
        <w:autoSpaceDE w:val="0"/>
        <w:autoSpaceDN w:val="0"/>
        <w:adjustRightInd w:val="0"/>
        <w:spacing w:after="120"/>
        <w:rPr>
          <w:szCs w:val="22"/>
        </w:rPr>
      </w:pPr>
      <w:r>
        <w:rPr>
          <w:szCs w:val="22"/>
        </w:rPr>
        <w:t>Tracey Wilson</w:t>
      </w:r>
      <w:r w:rsidRPr="004F4DC1">
        <w:rPr>
          <w:szCs w:val="22"/>
        </w:rPr>
        <w:t xml:space="preserve">, Competition Policy Division, Wireline Competition Bureau, </w:t>
      </w:r>
      <w:hyperlink r:id="rId10" w:history="1">
        <w:r w:rsidRPr="007A2850">
          <w:rPr>
            <w:rStyle w:val="Hyperlink"/>
            <w:szCs w:val="22"/>
          </w:rPr>
          <w:t>tracey.wilson@fcc.gov</w:t>
        </w:r>
      </w:hyperlink>
      <w:r w:rsidRPr="004F4DC1">
        <w:rPr>
          <w:szCs w:val="22"/>
        </w:rPr>
        <w:t>;</w:t>
      </w:r>
    </w:p>
    <w:p w:rsidR="00916457" w:rsidP="00916457" w14:paraId="2144426B" w14:textId="57B6109D">
      <w:pPr>
        <w:numPr>
          <w:ilvl w:val="0"/>
          <w:numId w:val="18"/>
        </w:numPr>
        <w:autoSpaceDE w:val="0"/>
        <w:autoSpaceDN w:val="0"/>
        <w:adjustRightInd w:val="0"/>
        <w:spacing w:after="120"/>
        <w:rPr>
          <w:szCs w:val="22"/>
        </w:rPr>
      </w:pPr>
      <w:r>
        <w:rPr>
          <w:szCs w:val="22"/>
        </w:rPr>
        <w:t>Dennis Johnson</w:t>
      </w:r>
      <w:r w:rsidRPr="004F4DC1">
        <w:rPr>
          <w:szCs w:val="22"/>
        </w:rPr>
        <w:t xml:space="preserve">, Competition Policy Division, Wireline Competition Bureau, </w:t>
      </w:r>
      <w:hyperlink r:id="rId11" w:history="1">
        <w:r w:rsidRPr="00207772">
          <w:rPr>
            <w:rStyle w:val="Hyperlink"/>
            <w:szCs w:val="22"/>
          </w:rPr>
          <w:t>dennis.johnson@fcc.gov</w:t>
        </w:r>
      </w:hyperlink>
      <w:r w:rsidRPr="004F4DC1">
        <w:rPr>
          <w:szCs w:val="22"/>
        </w:rPr>
        <w:t xml:space="preserve">; </w:t>
      </w:r>
    </w:p>
    <w:p w:rsidR="00916457" w:rsidRPr="004F4DC1" w:rsidP="00916457" w14:paraId="52B4D7C4" w14:textId="3C17EB02">
      <w:pPr>
        <w:numPr>
          <w:ilvl w:val="0"/>
          <w:numId w:val="18"/>
        </w:numPr>
        <w:autoSpaceDE w:val="0"/>
        <w:autoSpaceDN w:val="0"/>
        <w:adjustRightInd w:val="0"/>
        <w:spacing w:after="120"/>
        <w:rPr>
          <w:szCs w:val="22"/>
        </w:rPr>
      </w:pPr>
      <w:r>
        <w:rPr>
          <w:szCs w:val="22"/>
        </w:rPr>
        <w:t>David Krech</w:t>
      </w:r>
      <w:r w:rsidRPr="00DD1374">
        <w:rPr>
          <w:szCs w:val="22"/>
        </w:rPr>
        <w:t xml:space="preserve">, Telecommunications and Analysis Division, International Bureau, </w:t>
      </w:r>
      <w:hyperlink r:id="rId12" w:history="1">
        <w:r w:rsidRPr="00916457">
          <w:rPr>
            <w:rStyle w:val="Hyperlink"/>
            <w:szCs w:val="22"/>
          </w:rPr>
          <w:t>daivd.krech@fcc.gov</w:t>
        </w:r>
      </w:hyperlink>
      <w:r w:rsidRPr="00DD1374">
        <w:rPr>
          <w:szCs w:val="22"/>
        </w:rPr>
        <w:t xml:space="preserve">; </w:t>
      </w:r>
      <w:r w:rsidRPr="004F4DC1">
        <w:rPr>
          <w:szCs w:val="22"/>
        </w:rPr>
        <w:t>and</w:t>
      </w:r>
    </w:p>
    <w:p w:rsidR="00916457" w:rsidRPr="004F4DC1" w:rsidP="00916457" w14:paraId="7EC64C52" w14:textId="77777777">
      <w:pPr>
        <w:numPr>
          <w:ilvl w:val="0"/>
          <w:numId w:val="18"/>
        </w:numPr>
        <w:autoSpaceDE w:val="0"/>
        <w:autoSpaceDN w:val="0"/>
        <w:adjustRightInd w:val="0"/>
        <w:spacing w:after="120"/>
        <w:rPr>
          <w:szCs w:val="22"/>
        </w:rPr>
      </w:pPr>
      <w:r w:rsidRPr="004F4DC1">
        <w:rPr>
          <w:szCs w:val="22"/>
        </w:rPr>
        <w:t xml:space="preserve">Jim Bird, Office of General Counsel, </w:t>
      </w:r>
      <w:hyperlink r:id="rId13" w:history="1">
        <w:r w:rsidRPr="004F4DC1">
          <w:rPr>
            <w:rStyle w:val="Hyperlink"/>
            <w:szCs w:val="22"/>
          </w:rPr>
          <w:t>jim.bird@fcc.gov</w:t>
        </w:r>
      </w:hyperlink>
    </w:p>
    <w:p w:rsidR="00916457" w:rsidRPr="004F4DC1" w:rsidP="00916457" w14:paraId="186AE8FE" w14:textId="77777777">
      <w:pPr>
        <w:autoSpaceDE w:val="0"/>
        <w:autoSpaceDN w:val="0"/>
        <w:adjustRightInd w:val="0"/>
        <w:spacing w:after="120"/>
        <w:ind w:firstLine="720"/>
        <w:rPr>
          <w:szCs w:val="22"/>
        </w:rPr>
      </w:pPr>
      <w:r w:rsidRPr="004F4DC1">
        <w:rPr>
          <w:szCs w:val="22"/>
        </w:rPr>
        <w:t xml:space="preserve">The proceeding in this Notice shall be treated as a “permit-but-disclose” proceeding in accordance with the Commission’s </w:t>
      </w:r>
      <w:r w:rsidRPr="004F4DC1">
        <w:rPr>
          <w:i/>
          <w:szCs w:val="22"/>
        </w:rPr>
        <w:t>ex parte</w:t>
      </w:r>
      <w:r w:rsidRPr="004F4DC1">
        <w:rPr>
          <w:szCs w:val="22"/>
        </w:rPr>
        <w:t xml:space="preserve"> rules.  Persons making </w:t>
      </w:r>
      <w:r w:rsidRPr="004F4DC1">
        <w:rPr>
          <w:i/>
          <w:szCs w:val="22"/>
        </w:rPr>
        <w:t>ex parte</w:t>
      </w:r>
      <w:r w:rsidRPr="004F4DC1">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4F4DC1">
        <w:rPr>
          <w:i/>
          <w:szCs w:val="22"/>
        </w:rPr>
        <w:t>ex parte</w:t>
      </w:r>
      <w:r w:rsidRPr="004F4DC1">
        <w:rPr>
          <w:szCs w:val="22"/>
        </w:rPr>
        <w:t xml:space="preserve"> presentations are reminded that memoranda summarizing the presentation must (1) list all persons attending or otherwise participating in the meeting at which the </w:t>
      </w:r>
      <w:r w:rsidRPr="004F4DC1">
        <w:rPr>
          <w:i/>
          <w:szCs w:val="22"/>
        </w:rPr>
        <w:t>ex parte</w:t>
      </w:r>
      <w:r w:rsidRPr="004F4DC1">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F4DC1">
        <w:rPr>
          <w:i/>
          <w:szCs w:val="22"/>
        </w:rPr>
        <w:t>ex parte</w:t>
      </w:r>
      <w:r w:rsidRPr="004F4DC1">
        <w:rPr>
          <w:szCs w:val="22"/>
        </w:rPr>
        <w:t xml:space="preserve"> meetings are deemed to be written </w:t>
      </w:r>
      <w:r w:rsidRPr="004F4DC1">
        <w:rPr>
          <w:i/>
          <w:szCs w:val="22"/>
        </w:rPr>
        <w:t>ex parte</w:t>
      </w:r>
      <w:r w:rsidRPr="004F4DC1">
        <w:rPr>
          <w:szCs w:val="22"/>
        </w:rPr>
        <w:t xml:space="preserve"> presentations and must be filed consistent with rule 1.1206(b), 47 CFR § 1.1206(b).  Participants in this proceeding should familiarize themselves with the Commission’s </w:t>
      </w:r>
      <w:r w:rsidRPr="004F4DC1">
        <w:rPr>
          <w:i/>
          <w:szCs w:val="22"/>
        </w:rPr>
        <w:t>ex parte</w:t>
      </w:r>
      <w:r w:rsidRPr="004F4DC1">
        <w:rPr>
          <w:szCs w:val="22"/>
        </w:rPr>
        <w:t xml:space="preserve"> rules.</w:t>
      </w:r>
    </w:p>
    <w:p w:rsidR="00916457" w:rsidRPr="004F4DC1" w:rsidP="00916457" w14:paraId="58790DD9" w14:textId="77777777">
      <w:pPr>
        <w:autoSpaceDE w:val="0"/>
        <w:autoSpaceDN w:val="0"/>
        <w:adjustRightInd w:val="0"/>
        <w:spacing w:after="120"/>
        <w:ind w:firstLine="720"/>
        <w:rPr>
          <w:szCs w:val="22"/>
        </w:rPr>
      </w:pPr>
      <w:r w:rsidRPr="004F4DC1">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24"/>
      </w:r>
      <w:r w:rsidRPr="004F4DC1">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916457" w:rsidRPr="004F4DC1" w:rsidP="00916457" w14:paraId="371512CD" w14:textId="49E737D5">
      <w:pPr>
        <w:autoSpaceDE w:val="0"/>
        <w:autoSpaceDN w:val="0"/>
        <w:adjustRightInd w:val="0"/>
        <w:spacing w:after="120"/>
        <w:ind w:firstLine="720"/>
        <w:rPr>
          <w:szCs w:val="22"/>
        </w:rPr>
      </w:pPr>
      <w:r w:rsidRPr="004F4DC1">
        <w:rPr>
          <w:szCs w:val="22"/>
        </w:rPr>
        <w:t xml:space="preserve">For further information, please contact </w:t>
      </w:r>
      <w:r w:rsidR="00FF3625">
        <w:rPr>
          <w:szCs w:val="22"/>
        </w:rPr>
        <w:t>Tracey Wilson</w:t>
      </w:r>
      <w:r w:rsidRPr="004F4DC1">
        <w:rPr>
          <w:szCs w:val="22"/>
        </w:rPr>
        <w:t xml:space="preserve"> at (202) 418-1</w:t>
      </w:r>
      <w:r w:rsidR="00FF3625">
        <w:rPr>
          <w:szCs w:val="22"/>
        </w:rPr>
        <w:t>394</w:t>
      </w:r>
      <w:r w:rsidRPr="004F4DC1">
        <w:rPr>
          <w:szCs w:val="22"/>
        </w:rPr>
        <w:t xml:space="preserve"> or </w:t>
      </w:r>
      <w:r>
        <w:rPr>
          <w:szCs w:val="22"/>
        </w:rPr>
        <w:t>Dennis Johnson</w:t>
      </w:r>
      <w:r w:rsidRPr="004F4DC1">
        <w:rPr>
          <w:szCs w:val="22"/>
        </w:rPr>
        <w:t xml:space="preserve"> at (202) 418-</w:t>
      </w:r>
      <w:r>
        <w:rPr>
          <w:szCs w:val="22"/>
        </w:rPr>
        <w:t>0809</w:t>
      </w:r>
      <w:r w:rsidRPr="004F4DC1">
        <w:rPr>
          <w:szCs w:val="22"/>
        </w:rPr>
        <w:t>.</w:t>
      </w:r>
    </w:p>
    <w:p w:rsidR="00916457" w:rsidRPr="004F4DC1" w:rsidP="00916457" w14:paraId="3E7F1B90" w14:textId="77777777">
      <w:pPr>
        <w:autoSpaceDE w:val="0"/>
        <w:autoSpaceDN w:val="0"/>
        <w:adjustRightInd w:val="0"/>
        <w:rPr>
          <w:szCs w:val="22"/>
        </w:rPr>
      </w:pPr>
    </w:p>
    <w:p w:rsidR="00916457" w:rsidP="00916457" w14:paraId="2D513C07" w14:textId="77777777">
      <w:pPr>
        <w:autoSpaceDE w:val="0"/>
        <w:autoSpaceDN w:val="0"/>
        <w:adjustRightInd w:val="0"/>
        <w:jc w:val="center"/>
        <w:rPr>
          <w:color w:val="000000"/>
          <w:szCs w:val="22"/>
        </w:rPr>
      </w:pPr>
      <w:r w:rsidRPr="004F4DC1">
        <w:rPr>
          <w:b/>
          <w:szCs w:val="22"/>
        </w:rPr>
        <w:t>-FCC-</w:t>
      </w:r>
    </w:p>
    <w:p w:rsidR="00916457" w:rsidP="000629CF" w14:paraId="67CCF668" w14:textId="77777777">
      <w:pPr>
        <w:autoSpaceDE w:val="0"/>
        <w:autoSpaceDN w:val="0"/>
        <w:adjustRightInd w:val="0"/>
        <w:spacing w:after="120"/>
        <w:ind w:firstLine="720"/>
        <w:rPr>
          <w:szCs w:val="22"/>
        </w:rPr>
      </w:pPr>
    </w:p>
    <w:bookmarkEnd w:id="3"/>
    <w:p w:rsidR="00524D79" w14:paraId="52A8159C" w14:textId="100E18C3">
      <w:pPr>
        <w:autoSpaceDE w:val="0"/>
        <w:autoSpaceDN w:val="0"/>
        <w:adjustRightInd w:val="0"/>
        <w:rPr>
          <w:color w:val="000000"/>
          <w:szCs w:val="22"/>
        </w:rPr>
      </w:pPr>
      <w:r w:rsidRPr="000E5955">
        <w:rPr>
          <w:color w:val="000000"/>
          <w:szCs w:val="22"/>
        </w:rPr>
        <w:t xml:space="preserve"> </w:t>
      </w:r>
    </w:p>
    <w:sectPr w:rsidSect="00970801">
      <w:footerReference w:type="default" r:id="rId14"/>
      <w:headerReference w:type="first" r:id="rId15"/>
      <w:type w:val="continuous"/>
      <w:pgSz w:w="12240" w:h="15840" w:code="1"/>
      <w:pgMar w:top="1500" w:right="1720" w:bottom="144"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598DE2C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4020" w14:paraId="3342D5E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00BC790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4020" w14:paraId="597AF9B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7310FB0B"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D4020" w14:paraId="6D7BDABE" w14:textId="77777777"/>
  <w:p w:rsidR="005D4020" w14:paraId="43838DB4"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6214A" w14:paraId="5C9D8863" w14:textId="77777777">
      <w:r>
        <w:separator/>
      </w:r>
    </w:p>
  </w:footnote>
  <w:footnote w:type="continuationSeparator" w:id="1">
    <w:p w:rsidR="00B6214A" w14:paraId="0FA4D07B" w14:textId="77777777">
      <w:r>
        <w:continuationSeparator/>
      </w:r>
    </w:p>
  </w:footnote>
  <w:footnote w:type="continuationNotice" w:id="2">
    <w:p w:rsidR="00B6214A" w14:paraId="3D7C1D01" w14:textId="77777777"/>
  </w:footnote>
  <w:footnote w:id="3">
    <w:p w:rsidR="005D4020" w:rsidRPr="00796872" w:rsidP="00B52C8F" w14:paraId="6F71E2AF" w14:textId="62FB4683">
      <w:pPr>
        <w:spacing w:after="120"/>
        <w:rPr>
          <w:bCs/>
          <w:sz w:val="20"/>
        </w:rPr>
      </w:pPr>
      <w:r w:rsidRPr="00796872">
        <w:rPr>
          <w:rStyle w:val="FootnoteReference"/>
          <w:sz w:val="20"/>
        </w:rPr>
        <w:footnoteRef/>
      </w:r>
      <w:r w:rsidRPr="00796872">
        <w:rPr>
          <w:sz w:val="20"/>
        </w:rPr>
        <w:t xml:space="preserve"> </w:t>
      </w:r>
      <w:r w:rsidRPr="00796872">
        <w:rPr>
          <w:i/>
          <w:sz w:val="20"/>
        </w:rPr>
        <w:t>See</w:t>
      </w:r>
      <w:r w:rsidRPr="00796872">
        <w:rPr>
          <w:sz w:val="20"/>
        </w:rPr>
        <w:t xml:space="preserve"> 47 U.S.C. § 214; 47 CFR §§ 63.03-04. </w:t>
      </w:r>
      <w:r w:rsidRPr="00796872" w:rsidR="00397B8A">
        <w:rPr>
          <w:sz w:val="20"/>
        </w:rPr>
        <w:t xml:space="preserve"> Joint Application for Consent to Transfer Control of IPC Systems</w:t>
      </w:r>
      <w:r w:rsidRPr="00796872" w:rsidR="001C1C9C">
        <w:rPr>
          <w:sz w:val="20"/>
        </w:rPr>
        <w:t>, Inc., and IPC Network Services, Inc., Pursuant to Section 214 of the Communications Act of 1934, As Amended, WC Docket No. 21-436 (filed Nov. 5, 2021)</w:t>
      </w:r>
      <w:r w:rsidR="003967B3">
        <w:rPr>
          <w:sz w:val="20"/>
        </w:rPr>
        <w:t xml:space="preserve"> (Application)</w:t>
      </w:r>
      <w:r w:rsidRPr="00796872" w:rsidR="001C1C9C">
        <w:rPr>
          <w:sz w:val="20"/>
        </w:rPr>
        <w:t xml:space="preserve">.  </w:t>
      </w:r>
      <w:r w:rsidRPr="00796872" w:rsidR="000861C2">
        <w:rPr>
          <w:sz w:val="20"/>
        </w:rPr>
        <w:t xml:space="preserve">Applicants also filed </w:t>
      </w:r>
      <w:r w:rsidRPr="00796872" w:rsidR="008C0A98">
        <w:rPr>
          <w:sz w:val="20"/>
        </w:rPr>
        <w:t xml:space="preserve">an </w:t>
      </w:r>
      <w:r w:rsidRPr="00796872" w:rsidR="000861C2">
        <w:rPr>
          <w:sz w:val="20"/>
        </w:rPr>
        <w:t xml:space="preserve">application for the transfer of </w:t>
      </w:r>
      <w:r w:rsidRPr="00796872" w:rsidR="00690B00">
        <w:rPr>
          <w:sz w:val="20"/>
        </w:rPr>
        <w:t>control of IPC Systems, Inc. (IPC Systems)</w:t>
      </w:r>
      <w:r w:rsidRPr="00796872" w:rsidR="000861C2">
        <w:rPr>
          <w:sz w:val="20"/>
        </w:rPr>
        <w:t xml:space="preserve"> </w:t>
      </w:r>
      <w:r w:rsidRPr="00796872" w:rsidR="00690B00">
        <w:rPr>
          <w:sz w:val="20"/>
        </w:rPr>
        <w:t xml:space="preserve">and its authorizations </w:t>
      </w:r>
      <w:r w:rsidRPr="00796872" w:rsidR="000861C2">
        <w:rPr>
          <w:sz w:val="20"/>
        </w:rPr>
        <w:t xml:space="preserve">associated with international services. </w:t>
      </w:r>
      <w:r w:rsidRPr="00796872" w:rsidR="001C1C9C">
        <w:rPr>
          <w:sz w:val="20"/>
        </w:rPr>
        <w:t xml:space="preserve"> </w:t>
      </w:r>
      <w:r w:rsidRPr="00062BAA" w:rsidR="00062BAA">
        <w:rPr>
          <w:i/>
          <w:iCs/>
          <w:sz w:val="20"/>
          <w:bdr w:val="none" w:sz="0" w:space="0" w:color="auto" w:frame="1"/>
          <w:shd w:val="clear" w:color="auto" w:fill="FFFFFF"/>
        </w:rPr>
        <w:t>See</w:t>
      </w:r>
      <w:r w:rsidRPr="00062BAA" w:rsidR="00062BAA">
        <w:rPr>
          <w:sz w:val="20"/>
          <w:bdr w:val="none" w:sz="0" w:space="0" w:color="auto" w:frame="1"/>
          <w:shd w:val="clear" w:color="auto" w:fill="FFFFFF"/>
        </w:rPr>
        <w:t> ITC-T/C-20211105-00179.</w:t>
      </w:r>
      <w:r w:rsidR="00062BAA">
        <w:rPr>
          <w:rFonts w:ascii="Calibri" w:hAnsi="Calibri" w:cs="Calibri"/>
          <w:color w:val="FF0000"/>
          <w:szCs w:val="22"/>
          <w:bdr w:val="none" w:sz="0" w:space="0" w:color="auto" w:frame="1"/>
          <w:shd w:val="clear" w:color="auto" w:fill="FFFFFF"/>
        </w:rPr>
        <w:t xml:space="preserve">  </w:t>
      </w:r>
      <w:r w:rsidRPr="00796872" w:rsidR="000861C2">
        <w:rPr>
          <w:sz w:val="20"/>
        </w:rPr>
        <w:t>Any action on this domestic section 214 application is without prejudice to Commission action on other related, pending applications</w:t>
      </w:r>
      <w:r w:rsidRPr="00796872" w:rsidR="0065014F">
        <w:rPr>
          <w:sz w:val="20"/>
        </w:rPr>
        <w:t>.</w:t>
      </w:r>
      <w:r w:rsidRPr="00796872">
        <w:rPr>
          <w:sz w:val="20"/>
        </w:rPr>
        <w:t xml:space="preserve"> </w:t>
      </w:r>
    </w:p>
  </w:footnote>
  <w:footnote w:id="4">
    <w:p w:rsidR="00930D9F" w:rsidRPr="00796872" w:rsidP="004679C0" w14:paraId="56A997A4" w14:textId="77777777">
      <w:pPr>
        <w:spacing w:after="120"/>
        <w:rPr>
          <w:sz w:val="20"/>
        </w:rPr>
      </w:pPr>
      <w:r w:rsidRPr="00796872">
        <w:rPr>
          <w:rStyle w:val="FootnoteReference"/>
          <w:sz w:val="20"/>
        </w:rPr>
        <w:footnoteRef/>
      </w:r>
      <w:r w:rsidRPr="00796872">
        <w:rPr>
          <w:sz w:val="20"/>
        </w:rPr>
        <w:t xml:space="preserve"> Application at 2. </w:t>
      </w:r>
    </w:p>
  </w:footnote>
  <w:footnote w:id="5">
    <w:p w:rsidR="009D4304" w:rsidRPr="00796872" w:rsidP="009D4304" w14:paraId="30696083" w14:textId="10E04CD1">
      <w:pPr>
        <w:autoSpaceDE w:val="0"/>
        <w:autoSpaceDN w:val="0"/>
        <w:adjustRightInd w:val="0"/>
        <w:spacing w:after="120"/>
        <w:rPr>
          <w:sz w:val="20"/>
        </w:rPr>
      </w:pPr>
      <w:r w:rsidRPr="00796872">
        <w:rPr>
          <w:rStyle w:val="FootnoteReference"/>
          <w:sz w:val="20"/>
        </w:rPr>
        <w:footnoteRef/>
      </w:r>
      <w:r w:rsidRPr="00796872">
        <w:rPr>
          <w:sz w:val="20"/>
        </w:rPr>
        <w:t xml:space="preserve"> </w:t>
      </w:r>
      <w:r w:rsidRPr="00796872" w:rsidR="00A703DC">
        <w:rPr>
          <w:sz w:val="20"/>
        </w:rPr>
        <w:t xml:space="preserve">Application at 20.  IPC Systems holds international section 214 authority, and Applicants state that together with </w:t>
      </w:r>
      <w:r w:rsidRPr="00796872" w:rsidR="001A6AFE">
        <w:rPr>
          <w:sz w:val="20"/>
        </w:rPr>
        <w:t xml:space="preserve">their </w:t>
      </w:r>
      <w:r w:rsidRPr="00796872" w:rsidR="00A703DC">
        <w:rPr>
          <w:sz w:val="20"/>
        </w:rPr>
        <w:t xml:space="preserve">parent company, IPC Corp., IPC Systems and IPC Network </w:t>
      </w:r>
      <w:r w:rsidRPr="00796872" w:rsidR="001A6AFE">
        <w:rPr>
          <w:sz w:val="20"/>
        </w:rPr>
        <w:t>S</w:t>
      </w:r>
      <w:r w:rsidRPr="00796872" w:rsidR="00A703DC">
        <w:rPr>
          <w:sz w:val="20"/>
        </w:rPr>
        <w:t xml:space="preserve">ervices primarily provide ‘specialized technology solutions and maintenance to financial institutions and global enterprises: as a component of these services, certain resold point-to-point private line or IP-based point-to-point connectivity is provided.”   </w:t>
      </w:r>
      <w:r w:rsidRPr="00796872" w:rsidR="00A703DC">
        <w:rPr>
          <w:i/>
          <w:iCs/>
          <w:sz w:val="20"/>
        </w:rPr>
        <w:t>Id</w:t>
      </w:r>
      <w:r w:rsidRPr="00796872" w:rsidR="00A703DC">
        <w:rPr>
          <w:sz w:val="20"/>
        </w:rPr>
        <w:t>. at 4.</w:t>
      </w:r>
    </w:p>
  </w:footnote>
  <w:footnote w:id="6">
    <w:p w:rsidR="00BF4D93" w:rsidRPr="00796872" w14:paraId="63325896" w14:textId="66C6FF34">
      <w:pPr>
        <w:pStyle w:val="FootnoteText"/>
        <w:rPr>
          <w:sz w:val="20"/>
        </w:rPr>
      </w:pPr>
      <w:r w:rsidRPr="00796872">
        <w:rPr>
          <w:rStyle w:val="FootnoteReference"/>
          <w:sz w:val="20"/>
        </w:rPr>
        <w:footnoteRef/>
      </w:r>
      <w:r w:rsidRPr="00796872">
        <w:rPr>
          <w:sz w:val="20"/>
        </w:rPr>
        <w:t xml:space="preserve"> </w:t>
      </w:r>
      <w:r w:rsidRPr="00796872" w:rsidR="004679C0">
        <w:rPr>
          <w:i/>
          <w:iCs/>
          <w:sz w:val="20"/>
        </w:rPr>
        <w:t>Id.</w:t>
      </w:r>
      <w:r w:rsidRPr="00796872" w:rsidR="00EA6B25">
        <w:rPr>
          <w:sz w:val="20"/>
        </w:rPr>
        <w:t xml:space="preserve"> at 4. </w:t>
      </w:r>
    </w:p>
  </w:footnote>
  <w:footnote w:id="7">
    <w:p w:rsidR="0067024C" w:rsidRPr="00796872" w14:paraId="7CAD5186" w14:textId="63910D0D">
      <w:pPr>
        <w:pStyle w:val="FootnoteText"/>
        <w:rPr>
          <w:sz w:val="20"/>
        </w:rPr>
      </w:pPr>
      <w:r w:rsidRPr="00796872">
        <w:rPr>
          <w:rStyle w:val="FootnoteReference"/>
          <w:sz w:val="20"/>
        </w:rPr>
        <w:footnoteRef/>
      </w:r>
      <w:r w:rsidRPr="00796872">
        <w:rPr>
          <w:sz w:val="20"/>
        </w:rPr>
        <w:t xml:space="preserve"> </w:t>
      </w:r>
      <w:r w:rsidRPr="00796872">
        <w:rPr>
          <w:i/>
          <w:iCs/>
          <w:sz w:val="20"/>
        </w:rPr>
        <w:t>Id</w:t>
      </w:r>
      <w:r w:rsidRPr="00796872">
        <w:rPr>
          <w:sz w:val="20"/>
        </w:rPr>
        <w:t>.</w:t>
      </w:r>
    </w:p>
  </w:footnote>
  <w:footnote w:id="8">
    <w:p w:rsidR="0067024C" w:rsidRPr="00796872" w:rsidP="0067024C" w14:paraId="176EABD9" w14:textId="76FD8316">
      <w:pPr>
        <w:pStyle w:val="FootnoteText"/>
        <w:rPr>
          <w:sz w:val="20"/>
        </w:rPr>
      </w:pPr>
      <w:r w:rsidRPr="00796872">
        <w:rPr>
          <w:rStyle w:val="FootnoteReference"/>
          <w:sz w:val="20"/>
        </w:rPr>
        <w:footnoteRef/>
      </w:r>
      <w:r w:rsidRPr="00796872">
        <w:rPr>
          <w:sz w:val="20"/>
        </w:rPr>
        <w:t xml:space="preserve"> </w:t>
      </w:r>
      <w:r w:rsidRPr="00796872">
        <w:rPr>
          <w:i/>
          <w:iCs/>
          <w:sz w:val="20"/>
        </w:rPr>
        <w:t>Id.</w:t>
      </w:r>
      <w:r w:rsidRPr="00796872">
        <w:rPr>
          <w:sz w:val="20"/>
        </w:rPr>
        <w:t xml:space="preserve"> at 5.  CCP II Finco is affiliated with Ligado Networks, LLC and its subsidiaries that provide mobile satellite services (MSS) and </w:t>
      </w:r>
      <w:r w:rsidRPr="00796872" w:rsidR="00D879B4">
        <w:rPr>
          <w:sz w:val="20"/>
        </w:rPr>
        <w:t>other</w:t>
      </w:r>
      <w:r w:rsidRPr="00796872">
        <w:rPr>
          <w:sz w:val="20"/>
        </w:rPr>
        <w:t xml:space="preserve"> services to customers throughout the United States.  </w:t>
      </w:r>
      <w:r w:rsidRPr="00796872">
        <w:rPr>
          <w:i/>
          <w:iCs/>
          <w:sz w:val="20"/>
        </w:rPr>
        <w:t>Id</w:t>
      </w:r>
      <w:r w:rsidRPr="00796872">
        <w:rPr>
          <w:sz w:val="20"/>
        </w:rPr>
        <w:t>. at 20.</w:t>
      </w:r>
    </w:p>
  </w:footnote>
  <w:footnote w:id="9">
    <w:p w:rsidR="00A20A65" w:rsidRPr="00796872" w14:paraId="23E0D468" w14:textId="58433765">
      <w:pPr>
        <w:pStyle w:val="FootnoteText"/>
        <w:rPr>
          <w:sz w:val="20"/>
        </w:rPr>
      </w:pPr>
      <w:r w:rsidRPr="00796872">
        <w:rPr>
          <w:rStyle w:val="FootnoteReference"/>
          <w:sz w:val="20"/>
        </w:rPr>
        <w:footnoteRef/>
      </w:r>
      <w:r w:rsidRPr="00796872">
        <w:rPr>
          <w:sz w:val="20"/>
        </w:rPr>
        <w:t xml:space="preserve"> </w:t>
      </w:r>
      <w:r w:rsidRPr="00796872" w:rsidR="00024A58">
        <w:rPr>
          <w:i/>
          <w:iCs/>
          <w:sz w:val="20"/>
        </w:rPr>
        <w:t>Id.</w:t>
      </w:r>
      <w:r w:rsidRPr="00796872" w:rsidR="00024A58">
        <w:rPr>
          <w:sz w:val="20"/>
        </w:rPr>
        <w:t xml:space="preserve"> at 5. </w:t>
      </w:r>
    </w:p>
  </w:footnote>
  <w:footnote w:id="10">
    <w:p w:rsidR="00A20A65" w:rsidRPr="00796872" w14:paraId="19BF6B62" w14:textId="5AA10614">
      <w:pPr>
        <w:pStyle w:val="FootnoteText"/>
        <w:rPr>
          <w:sz w:val="20"/>
        </w:rPr>
      </w:pPr>
      <w:r w:rsidRPr="00796872">
        <w:rPr>
          <w:rStyle w:val="FootnoteReference"/>
          <w:sz w:val="20"/>
        </w:rPr>
        <w:footnoteRef/>
      </w:r>
      <w:r w:rsidRPr="00796872">
        <w:rPr>
          <w:sz w:val="20"/>
        </w:rPr>
        <w:t xml:space="preserve"> </w:t>
      </w:r>
      <w:r w:rsidRPr="00796872" w:rsidR="00E74D40">
        <w:rPr>
          <w:i/>
          <w:iCs/>
          <w:sz w:val="20"/>
        </w:rPr>
        <w:t>Id.</w:t>
      </w:r>
      <w:r w:rsidRPr="00796872" w:rsidR="00E74D40">
        <w:rPr>
          <w:sz w:val="20"/>
        </w:rPr>
        <w:t xml:space="preserve"> </w:t>
      </w:r>
    </w:p>
  </w:footnote>
  <w:footnote w:id="11">
    <w:p w:rsidR="004679C0" w:rsidRPr="00796872" w:rsidP="004679C0" w14:paraId="5294666A" w14:textId="1B5789C8">
      <w:pPr>
        <w:pStyle w:val="FootnoteText"/>
        <w:rPr>
          <w:sz w:val="20"/>
        </w:rPr>
      </w:pPr>
      <w:r w:rsidRPr="00796872">
        <w:rPr>
          <w:rStyle w:val="FootnoteReference"/>
          <w:sz w:val="20"/>
        </w:rPr>
        <w:footnoteRef/>
      </w:r>
      <w:r w:rsidRPr="00796872">
        <w:rPr>
          <w:sz w:val="20"/>
        </w:rPr>
        <w:t xml:space="preserve"> </w:t>
      </w:r>
      <w:r w:rsidRPr="00796872">
        <w:rPr>
          <w:i/>
          <w:iCs/>
          <w:sz w:val="20"/>
        </w:rPr>
        <w:t>Id</w:t>
      </w:r>
      <w:r w:rsidRPr="00796872">
        <w:rPr>
          <w:sz w:val="20"/>
        </w:rPr>
        <w:t xml:space="preserve">. at 10-16, Exhibit B (Applicants’ Post-Closing Disclosable Interest Holder Ownership Structure).  Millbrook Holdings V-A LLC, a Delaware entity, will hold a 14% voting interest and equity interest in </w:t>
      </w:r>
      <w:r w:rsidR="00ED3913">
        <w:rPr>
          <w:sz w:val="20"/>
        </w:rPr>
        <w:t>IPC Network Services</w:t>
      </w:r>
      <w:r w:rsidRPr="00796872">
        <w:rPr>
          <w:sz w:val="20"/>
        </w:rPr>
        <w:t xml:space="preserve">.  Applicants state that no other entity ultimately controls a 10% or greater interest in Hummingbird Circle.  </w:t>
      </w:r>
      <w:r w:rsidRPr="00796872">
        <w:rPr>
          <w:i/>
          <w:iCs/>
          <w:sz w:val="20"/>
        </w:rPr>
        <w:t>Id</w:t>
      </w:r>
      <w:r w:rsidRPr="00796872">
        <w:rPr>
          <w:sz w:val="20"/>
        </w:rPr>
        <w:t>.</w:t>
      </w:r>
    </w:p>
  </w:footnote>
  <w:footnote w:id="12">
    <w:p w:rsidR="00024A58" w:rsidRPr="00796872" w14:paraId="07990B92" w14:textId="3346E575">
      <w:pPr>
        <w:pStyle w:val="FootnoteText"/>
        <w:rPr>
          <w:sz w:val="20"/>
        </w:rPr>
      </w:pPr>
      <w:r w:rsidRPr="00796872">
        <w:rPr>
          <w:rStyle w:val="FootnoteReference"/>
          <w:sz w:val="20"/>
        </w:rPr>
        <w:footnoteRef/>
      </w:r>
      <w:r w:rsidRPr="00796872">
        <w:rPr>
          <w:sz w:val="20"/>
        </w:rPr>
        <w:t xml:space="preserve"> </w:t>
      </w:r>
      <w:r w:rsidRPr="00796872">
        <w:rPr>
          <w:i/>
          <w:iCs/>
          <w:sz w:val="20"/>
        </w:rPr>
        <w:t>Id.</w:t>
      </w:r>
    </w:p>
  </w:footnote>
  <w:footnote w:id="13">
    <w:p w:rsidR="00697895" w:rsidRPr="00796872" w14:paraId="0506FB3B" w14:textId="77ADE4D0">
      <w:pPr>
        <w:pStyle w:val="FootnoteText"/>
        <w:rPr>
          <w:sz w:val="20"/>
        </w:rPr>
      </w:pPr>
      <w:r w:rsidRPr="00796872">
        <w:rPr>
          <w:rStyle w:val="FootnoteReference"/>
          <w:sz w:val="20"/>
        </w:rPr>
        <w:footnoteRef/>
      </w:r>
      <w:r w:rsidRPr="00796872">
        <w:rPr>
          <w:sz w:val="20"/>
        </w:rPr>
        <w:t xml:space="preserve"> </w:t>
      </w:r>
      <w:r w:rsidRPr="00796872" w:rsidR="000E64BF">
        <w:rPr>
          <w:i/>
          <w:iCs/>
          <w:sz w:val="20"/>
        </w:rPr>
        <w:t>Id.</w:t>
      </w:r>
      <w:r w:rsidRPr="00796872" w:rsidR="003D6772">
        <w:rPr>
          <w:sz w:val="20"/>
        </w:rPr>
        <w:t xml:space="preserve"> at 2-3.</w:t>
      </w:r>
    </w:p>
  </w:footnote>
  <w:footnote w:id="14">
    <w:p w:rsidR="00697895" w:rsidRPr="00796872" w14:paraId="4B34EC52" w14:textId="0066BB52">
      <w:pPr>
        <w:pStyle w:val="FootnoteText"/>
        <w:rPr>
          <w:sz w:val="20"/>
        </w:rPr>
      </w:pPr>
      <w:r w:rsidRPr="00796872">
        <w:rPr>
          <w:rStyle w:val="FootnoteReference"/>
          <w:sz w:val="20"/>
        </w:rPr>
        <w:footnoteRef/>
      </w:r>
      <w:r w:rsidRPr="00796872">
        <w:rPr>
          <w:sz w:val="20"/>
        </w:rPr>
        <w:t xml:space="preserve"> </w:t>
      </w:r>
      <w:r w:rsidRPr="00796872" w:rsidR="00AE3A54">
        <w:rPr>
          <w:i/>
          <w:iCs/>
          <w:sz w:val="20"/>
        </w:rPr>
        <w:t>Id.</w:t>
      </w:r>
      <w:r w:rsidRPr="00796872" w:rsidR="00AE3A54">
        <w:rPr>
          <w:sz w:val="20"/>
        </w:rPr>
        <w:t xml:space="preserve"> </w:t>
      </w:r>
    </w:p>
  </w:footnote>
  <w:footnote w:id="15">
    <w:p w:rsidR="004D7FB5" w:rsidRPr="00796872" w14:paraId="6669BA8F" w14:textId="488C522F">
      <w:pPr>
        <w:pStyle w:val="FootnoteText"/>
        <w:rPr>
          <w:sz w:val="20"/>
        </w:rPr>
      </w:pPr>
      <w:r w:rsidRPr="00796872">
        <w:rPr>
          <w:rStyle w:val="FootnoteReference"/>
          <w:sz w:val="20"/>
        </w:rPr>
        <w:footnoteRef/>
      </w:r>
      <w:r w:rsidRPr="00796872">
        <w:rPr>
          <w:sz w:val="20"/>
        </w:rPr>
        <w:t xml:space="preserve"> </w:t>
      </w:r>
      <w:r w:rsidRPr="00796872">
        <w:rPr>
          <w:i/>
          <w:iCs/>
          <w:sz w:val="20"/>
        </w:rPr>
        <w:t>Id.</w:t>
      </w:r>
      <w:r w:rsidRPr="00796872">
        <w:rPr>
          <w:sz w:val="20"/>
        </w:rPr>
        <w:t xml:space="preserve"> at 3. </w:t>
      </w:r>
    </w:p>
  </w:footnote>
  <w:footnote w:id="16">
    <w:p w:rsidR="00697895" w:rsidRPr="00796872" w14:paraId="27CF83A6" w14:textId="084D6B37">
      <w:pPr>
        <w:pStyle w:val="FootnoteText"/>
        <w:rPr>
          <w:sz w:val="20"/>
        </w:rPr>
      </w:pPr>
      <w:r w:rsidRPr="00796872">
        <w:rPr>
          <w:rStyle w:val="FootnoteReference"/>
          <w:sz w:val="20"/>
        </w:rPr>
        <w:footnoteRef/>
      </w:r>
      <w:r w:rsidRPr="00796872">
        <w:rPr>
          <w:sz w:val="20"/>
        </w:rPr>
        <w:t xml:space="preserve"> </w:t>
      </w:r>
      <w:r w:rsidRPr="00796872" w:rsidR="00AE3A54">
        <w:rPr>
          <w:i/>
          <w:iCs/>
          <w:sz w:val="20"/>
        </w:rPr>
        <w:t>Id.</w:t>
      </w:r>
      <w:r w:rsidRPr="00796872" w:rsidR="00AE3A54">
        <w:rPr>
          <w:sz w:val="20"/>
        </w:rPr>
        <w:t xml:space="preserve"> at</w:t>
      </w:r>
      <w:r w:rsidRPr="00796872" w:rsidR="004679C0">
        <w:rPr>
          <w:sz w:val="20"/>
        </w:rPr>
        <w:t xml:space="preserve"> </w:t>
      </w:r>
      <w:r w:rsidRPr="00796872" w:rsidR="00D879B4">
        <w:rPr>
          <w:sz w:val="20"/>
        </w:rPr>
        <w:t>2-3,</w:t>
      </w:r>
      <w:r w:rsidRPr="00796872" w:rsidR="00AE3A54">
        <w:rPr>
          <w:sz w:val="20"/>
        </w:rPr>
        <w:t xml:space="preserve"> 6. </w:t>
      </w:r>
    </w:p>
  </w:footnote>
  <w:footnote w:id="17">
    <w:p w:rsidR="00D879B4" w:rsidRPr="00796872" w14:paraId="088BCEE7" w14:textId="08B3B882">
      <w:pPr>
        <w:pStyle w:val="FootnoteText"/>
        <w:rPr>
          <w:sz w:val="20"/>
        </w:rPr>
      </w:pPr>
      <w:r w:rsidRPr="00796872">
        <w:rPr>
          <w:rStyle w:val="FootnoteReference"/>
          <w:sz w:val="20"/>
        </w:rPr>
        <w:footnoteRef/>
      </w:r>
      <w:r w:rsidRPr="00796872">
        <w:rPr>
          <w:sz w:val="20"/>
        </w:rPr>
        <w:t xml:space="preserve"> </w:t>
      </w:r>
      <w:r w:rsidRPr="00796872">
        <w:rPr>
          <w:i/>
          <w:iCs/>
          <w:sz w:val="20"/>
        </w:rPr>
        <w:t>Id</w:t>
      </w:r>
      <w:r w:rsidRPr="00796872">
        <w:rPr>
          <w:sz w:val="20"/>
        </w:rPr>
        <w:t>. at 5-6.</w:t>
      </w:r>
    </w:p>
  </w:footnote>
  <w:footnote w:id="18">
    <w:p w:rsidR="00035A81" w:rsidRPr="00796872" w14:paraId="0D27ECB6" w14:textId="33A36F34">
      <w:pPr>
        <w:pStyle w:val="FootnoteText"/>
        <w:rPr>
          <w:sz w:val="20"/>
        </w:rPr>
      </w:pPr>
      <w:r w:rsidRPr="00796872">
        <w:rPr>
          <w:rStyle w:val="FootnoteReference"/>
          <w:sz w:val="20"/>
        </w:rPr>
        <w:footnoteRef/>
      </w:r>
      <w:r w:rsidRPr="00796872">
        <w:rPr>
          <w:sz w:val="20"/>
        </w:rPr>
        <w:t xml:space="preserve"> </w:t>
      </w:r>
      <w:r w:rsidRPr="00796872" w:rsidR="004377F8">
        <w:rPr>
          <w:i/>
          <w:iCs/>
          <w:sz w:val="20"/>
        </w:rPr>
        <w:t>Id.</w:t>
      </w:r>
      <w:r w:rsidRPr="00796872" w:rsidR="004377F8">
        <w:rPr>
          <w:sz w:val="20"/>
        </w:rPr>
        <w:t xml:space="preserve"> at 7. </w:t>
      </w:r>
    </w:p>
  </w:footnote>
  <w:footnote w:id="19">
    <w:p w:rsidR="00225237" w:rsidRPr="00796872" w14:paraId="77B36E89" w14:textId="28D192F9">
      <w:pPr>
        <w:pStyle w:val="FootnoteText"/>
        <w:rPr>
          <w:sz w:val="20"/>
        </w:rPr>
      </w:pPr>
      <w:r w:rsidRPr="00796872">
        <w:rPr>
          <w:rStyle w:val="FootnoteReference"/>
          <w:sz w:val="20"/>
        </w:rPr>
        <w:footnoteRef/>
      </w:r>
      <w:r w:rsidRPr="00796872">
        <w:rPr>
          <w:sz w:val="20"/>
        </w:rPr>
        <w:t xml:space="preserve"> </w:t>
      </w:r>
      <w:r w:rsidRPr="00796872" w:rsidR="00C34474">
        <w:rPr>
          <w:i/>
          <w:iCs/>
          <w:sz w:val="20"/>
        </w:rPr>
        <w:t>Id.</w:t>
      </w:r>
    </w:p>
  </w:footnote>
  <w:footnote w:id="20">
    <w:p w:rsidR="00F008A7" w:rsidRPr="00796872" w14:paraId="579BA194" w14:textId="65803475">
      <w:pPr>
        <w:pStyle w:val="FootnoteText"/>
        <w:rPr>
          <w:sz w:val="20"/>
        </w:rPr>
      </w:pPr>
      <w:r w:rsidRPr="00796872">
        <w:rPr>
          <w:rStyle w:val="FootnoteReference"/>
          <w:sz w:val="20"/>
        </w:rPr>
        <w:footnoteRef/>
      </w:r>
      <w:r w:rsidRPr="00796872">
        <w:rPr>
          <w:sz w:val="20"/>
        </w:rPr>
        <w:t xml:space="preserve"> </w:t>
      </w:r>
      <w:r w:rsidRPr="00796872">
        <w:rPr>
          <w:i/>
          <w:iCs/>
          <w:sz w:val="20"/>
        </w:rPr>
        <w:t>Id</w:t>
      </w:r>
      <w:r w:rsidRPr="00796872">
        <w:rPr>
          <w:sz w:val="20"/>
        </w:rPr>
        <w:t>.</w:t>
      </w:r>
    </w:p>
  </w:footnote>
  <w:footnote w:id="21">
    <w:p w:rsidR="006560EF" w:rsidRPr="00796872" w:rsidP="006560EF" w14:paraId="22A98A33" w14:textId="77777777">
      <w:pPr>
        <w:pStyle w:val="FootnoteText"/>
        <w:rPr>
          <w:sz w:val="20"/>
        </w:rPr>
      </w:pPr>
      <w:r w:rsidRPr="00796872">
        <w:rPr>
          <w:rStyle w:val="FootnoteReference"/>
          <w:sz w:val="20"/>
        </w:rPr>
        <w:footnoteRef/>
      </w:r>
      <w:r w:rsidRPr="00796872">
        <w:rPr>
          <w:sz w:val="20"/>
        </w:rPr>
        <w:t xml:space="preserve"> 47 CFR § 63.03.</w:t>
      </w:r>
    </w:p>
  </w:footnote>
  <w:footnote w:id="22">
    <w:p w:rsidR="0065014F" w:rsidRPr="00796872" w:rsidP="0065014F" w14:paraId="00062DEF" w14:textId="77777777">
      <w:pPr>
        <w:pStyle w:val="FootnoteText"/>
        <w:spacing w:after="120"/>
        <w:rPr>
          <w:sz w:val="20"/>
        </w:rPr>
      </w:pPr>
      <w:r w:rsidRPr="00796872">
        <w:rPr>
          <w:rStyle w:val="FootnoteReference"/>
          <w:sz w:val="20"/>
        </w:rPr>
        <w:footnoteRef/>
      </w:r>
      <w:r w:rsidRPr="00796872">
        <w:rPr>
          <w:sz w:val="20"/>
        </w:rPr>
        <w:t xml:space="preserve"> </w:t>
      </w:r>
      <w:r w:rsidRPr="00796872">
        <w:rPr>
          <w:color w:val="000000"/>
          <w:sz w:val="20"/>
        </w:rPr>
        <w:t xml:space="preserve">47 CFR § 1.40001.  </w:t>
      </w:r>
      <w:r w:rsidRPr="00796872">
        <w:rPr>
          <w:i/>
          <w:iCs/>
          <w:sz w:val="20"/>
        </w:rPr>
        <w:t>See Process Reform for Executive Branch Review of Certain FCC Applications and Petitions Involving Foreign Ownership,</w:t>
      </w:r>
      <w:r w:rsidRPr="00796872">
        <w:rPr>
          <w:sz w:val="20"/>
        </w:rPr>
        <w:t xml:space="preserve"> IB Docket 16-155, Report and Order, 35 FCC Rcd 10927 (2020), Erratum (Appendix B — Final Rules), DA 20-1404 (OMD/IB rel. Nov. 27, 2020).  </w:t>
      </w:r>
      <w:r w:rsidRPr="00796872">
        <w:rPr>
          <w:i/>
          <w:iCs/>
          <w:sz w:val="20"/>
        </w:rPr>
        <w:t>See also Rules and Policies on Foreign Participation in the U.S. Telecommunications Market; Market Entry and Regulation of Foreign- Affiliated Entities</w:t>
      </w:r>
      <w:r w:rsidRPr="00796872">
        <w:rPr>
          <w:sz w:val="20"/>
        </w:rPr>
        <w:t>, IB Docket Nos. 97-142 and 95-22, Report and Order and Order on Reconsideration, 12 FCC Rcd 23891, 23918-19, paras. 61-63 (1997) (</w:t>
      </w:r>
      <w:r w:rsidRPr="00796872">
        <w:rPr>
          <w:i/>
          <w:iCs/>
          <w:sz w:val="20"/>
        </w:rPr>
        <w:t>Foreign Participation Order</w:t>
      </w:r>
      <w:r w:rsidRPr="00796872">
        <w:rPr>
          <w:sz w:val="20"/>
        </w:rPr>
        <w:t xml:space="preserve">), recon. denied, 15 FCC Rcd 18158 (2000).  </w:t>
      </w:r>
    </w:p>
  </w:footnote>
  <w:footnote w:id="23">
    <w:p w:rsidR="00916457" w:rsidRPr="00796872" w:rsidP="00916457" w14:paraId="51BC2722" w14:textId="45A5C8DD">
      <w:pPr>
        <w:pStyle w:val="FootnoteText"/>
        <w:spacing w:after="120"/>
        <w:rPr>
          <w:sz w:val="20"/>
          <w:u w:val="single"/>
        </w:rPr>
      </w:pPr>
      <w:r w:rsidRPr="00796872">
        <w:rPr>
          <w:rStyle w:val="FootnoteReference"/>
          <w:sz w:val="20"/>
        </w:rPr>
        <w:footnoteRef/>
      </w:r>
      <w:r w:rsidRPr="00796872">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796872">
        <w:rPr>
          <w:rFonts w:eastAsia="Calibri"/>
          <w:i/>
          <w:iCs/>
          <w:sz w:val="20"/>
        </w:rPr>
        <w:t>See FCC Announces Closure of FCC Headquarters Open Window and Change in Hand-Delivery Policy</w:t>
      </w:r>
      <w:r w:rsidRPr="00796872">
        <w:rPr>
          <w:rFonts w:eastAsia="Calibri"/>
          <w:sz w:val="20"/>
        </w:rPr>
        <w:t>, Public Notice, 35 FCC Rcd 2788 (OS 2020).</w:t>
      </w:r>
    </w:p>
  </w:footnote>
  <w:footnote w:id="24">
    <w:p w:rsidR="00916457" w:rsidRPr="00796872" w:rsidP="00916457" w14:paraId="3A363252" w14:textId="77777777">
      <w:pPr>
        <w:pStyle w:val="FootnoteText"/>
        <w:tabs>
          <w:tab w:val="clear" w:pos="720"/>
        </w:tabs>
        <w:spacing w:after="120"/>
        <w:rPr>
          <w:sz w:val="20"/>
        </w:rPr>
      </w:pPr>
      <w:r w:rsidRPr="00796872">
        <w:rPr>
          <w:rStyle w:val="FootnoteReference"/>
          <w:sz w:val="20"/>
        </w:rPr>
        <w:footnoteRef/>
      </w:r>
      <w:r w:rsidRPr="00796872">
        <w:rPr>
          <w:sz w:val="20"/>
        </w:rPr>
        <w:t xml:space="preserve"> </w:t>
      </w:r>
      <w:r w:rsidRPr="00796872">
        <w:rPr>
          <w:i/>
          <w:sz w:val="20"/>
        </w:rPr>
        <w:t>See</w:t>
      </w:r>
      <w:r w:rsidRPr="00796872">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2CB3539B"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D4020" w14:paraId="3CA59E30" w14:textId="77777777">
                <w:pPr>
                  <w:rPr>
                    <w:rFonts w:ascii="Arial" w:hAnsi="Arial"/>
                    <w:b/>
                  </w:rPr>
                </w:pPr>
                <w:r>
                  <w:rPr>
                    <w:rFonts w:ascii="Arial" w:hAnsi="Arial"/>
                    <w:b/>
                  </w:rPr>
                  <w:t>Federal Communications Commission</w:t>
                </w:r>
              </w:p>
              <w:p w:rsidR="005D4020" w14:paraId="38B26789" w14:textId="77777777">
                <w:pPr>
                  <w:rPr>
                    <w:rFonts w:ascii="Arial" w:hAnsi="Arial"/>
                    <w:b/>
                  </w:rPr>
                </w:pPr>
                <w:r>
                  <w:rPr>
                    <w:rFonts w:ascii="Arial" w:hAnsi="Arial"/>
                    <w:b/>
                  </w:rPr>
                  <w:t>45 L St., N.E.</w:t>
                </w:r>
              </w:p>
              <w:p w:rsidR="005D4020" w14:paraId="2F3AD347" w14:textId="77777777">
                <w:pPr>
                  <w:rPr>
                    <w:rFonts w:ascii="Arial" w:hAnsi="Arial"/>
                    <w:sz w:val="24"/>
                  </w:rPr>
                </w:pPr>
                <w:r>
                  <w:rPr>
                    <w:rFonts w:ascii="Arial" w:hAnsi="Arial"/>
                    <w:b/>
                  </w:rPr>
                  <w:t>Washington, D.C. 20554</w:t>
                </w:r>
              </w:p>
            </w:txbxContent>
          </v:textbox>
        </v:shape>
      </w:pict>
    </w:r>
    <w:r w:rsidR="006A1C8E">
      <w:rPr>
        <w:rFonts w:ascii="News Gothic MT" w:hAnsi="News Gothic MT"/>
        <w:b/>
        <w:kern w:val="28"/>
        <w:sz w:val="96"/>
      </w:rPr>
      <w:t>PUBLIC NOTICE</w:t>
    </w:r>
  </w:p>
  <w:p w:rsidR="005D4020" w14:paraId="769B3DFE"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D4020" w14:paraId="5EED2FA0" w14:textId="77777777">
                <w:pPr>
                  <w:spacing w:before="40"/>
                  <w:jc w:val="right"/>
                  <w:rPr>
                    <w:rFonts w:ascii="Arial" w:hAnsi="Arial"/>
                    <w:b/>
                    <w:sz w:val="16"/>
                  </w:rPr>
                </w:pPr>
                <w:r>
                  <w:rPr>
                    <w:rFonts w:ascii="Arial" w:hAnsi="Arial"/>
                    <w:b/>
                    <w:sz w:val="16"/>
                  </w:rPr>
                  <w:t>News Media Information 202 / 418-0500</w:t>
                </w:r>
              </w:p>
              <w:p w:rsidR="005D4020" w14:paraId="4C48FCD8"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D4020" w14:paraId="2718BDA4" w14:textId="77777777">
                <w:pPr>
                  <w:jc w:val="right"/>
                  <w:rPr>
                    <w:rFonts w:ascii="Arial" w:hAnsi="Arial"/>
                    <w:b/>
                    <w:sz w:val="16"/>
                  </w:rPr>
                </w:pPr>
              </w:p>
              <w:p w:rsidR="005D4020" w14:paraId="7B3007E1" w14:textId="77777777">
                <w:pPr>
                  <w:jc w:val="right"/>
                </w:pPr>
              </w:p>
            </w:txbxContent>
          </v:textbox>
        </v:shape>
      </w:pict>
    </w:r>
  </w:p>
  <w:p w:rsidR="005D4020" w14:paraId="3CA62D90"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3789B65D"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8"/>
  </w:num>
  <w:num w:numId="14">
    <w:abstractNumId w:val="13"/>
  </w:num>
  <w:num w:numId="15">
    <w:abstractNumId w:val="0"/>
  </w:num>
  <w:num w:numId="16">
    <w:abstractNumId w:val="18"/>
  </w:num>
  <w:num w:numId="17">
    <w:abstractNumId w:val="5"/>
  </w:num>
  <w:num w:numId="18">
    <w:abstractNumId w:val="15"/>
  </w:num>
  <w:num w:numId="19">
    <w:abstractNumId w:val="4"/>
  </w:num>
  <w:num w:numId="20">
    <w:abstractNumId w:val="2"/>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440C"/>
    <w:rsid w:val="000064CD"/>
    <w:rsid w:val="00006E89"/>
    <w:rsid w:val="0001023F"/>
    <w:rsid w:val="0001135F"/>
    <w:rsid w:val="0001280D"/>
    <w:rsid w:val="00014CAC"/>
    <w:rsid w:val="00015C00"/>
    <w:rsid w:val="0001608E"/>
    <w:rsid w:val="00017A3A"/>
    <w:rsid w:val="00017A76"/>
    <w:rsid w:val="00024494"/>
    <w:rsid w:val="00024A58"/>
    <w:rsid w:val="00025A42"/>
    <w:rsid w:val="00026F70"/>
    <w:rsid w:val="00027342"/>
    <w:rsid w:val="000330E3"/>
    <w:rsid w:val="00035419"/>
    <w:rsid w:val="00035A81"/>
    <w:rsid w:val="00035F32"/>
    <w:rsid w:val="00040610"/>
    <w:rsid w:val="00040BA0"/>
    <w:rsid w:val="00040DAF"/>
    <w:rsid w:val="00041B38"/>
    <w:rsid w:val="00041BDA"/>
    <w:rsid w:val="00041C01"/>
    <w:rsid w:val="000443A2"/>
    <w:rsid w:val="0004575B"/>
    <w:rsid w:val="00050A3A"/>
    <w:rsid w:val="00052263"/>
    <w:rsid w:val="000534AC"/>
    <w:rsid w:val="000552F7"/>
    <w:rsid w:val="000563FA"/>
    <w:rsid w:val="000575E7"/>
    <w:rsid w:val="00057881"/>
    <w:rsid w:val="00057E12"/>
    <w:rsid w:val="000629CF"/>
    <w:rsid w:val="00062BAA"/>
    <w:rsid w:val="000639C7"/>
    <w:rsid w:val="00063A64"/>
    <w:rsid w:val="00063CA5"/>
    <w:rsid w:val="00064C7D"/>
    <w:rsid w:val="000656F9"/>
    <w:rsid w:val="0006624C"/>
    <w:rsid w:val="00066D12"/>
    <w:rsid w:val="00066EA4"/>
    <w:rsid w:val="00071365"/>
    <w:rsid w:val="00071AE2"/>
    <w:rsid w:val="00073173"/>
    <w:rsid w:val="000735C8"/>
    <w:rsid w:val="00075D57"/>
    <w:rsid w:val="00080F60"/>
    <w:rsid w:val="0008381D"/>
    <w:rsid w:val="000861C2"/>
    <w:rsid w:val="00086D16"/>
    <w:rsid w:val="00086D74"/>
    <w:rsid w:val="00087205"/>
    <w:rsid w:val="000874BE"/>
    <w:rsid w:val="0008758B"/>
    <w:rsid w:val="00091A3E"/>
    <w:rsid w:val="00092A4E"/>
    <w:rsid w:val="000932D0"/>
    <w:rsid w:val="00093D99"/>
    <w:rsid w:val="000946FB"/>
    <w:rsid w:val="0009534A"/>
    <w:rsid w:val="00097AB0"/>
    <w:rsid w:val="000A0A5A"/>
    <w:rsid w:val="000A24AA"/>
    <w:rsid w:val="000A4F8C"/>
    <w:rsid w:val="000B1C31"/>
    <w:rsid w:val="000B210F"/>
    <w:rsid w:val="000B3146"/>
    <w:rsid w:val="000B48A6"/>
    <w:rsid w:val="000B4EDD"/>
    <w:rsid w:val="000B5635"/>
    <w:rsid w:val="000B6839"/>
    <w:rsid w:val="000C7CA4"/>
    <w:rsid w:val="000D15E4"/>
    <w:rsid w:val="000D371E"/>
    <w:rsid w:val="000D3A8B"/>
    <w:rsid w:val="000D3C50"/>
    <w:rsid w:val="000D7E4D"/>
    <w:rsid w:val="000E0084"/>
    <w:rsid w:val="000E01DF"/>
    <w:rsid w:val="000E14B7"/>
    <w:rsid w:val="000E35A7"/>
    <w:rsid w:val="000E3BD4"/>
    <w:rsid w:val="000E538C"/>
    <w:rsid w:val="000E5955"/>
    <w:rsid w:val="000E64BF"/>
    <w:rsid w:val="000E7B60"/>
    <w:rsid w:val="000F02F7"/>
    <w:rsid w:val="000F233E"/>
    <w:rsid w:val="000F467E"/>
    <w:rsid w:val="000F5E94"/>
    <w:rsid w:val="00100ED3"/>
    <w:rsid w:val="001019E2"/>
    <w:rsid w:val="00101D0B"/>
    <w:rsid w:val="00110761"/>
    <w:rsid w:val="001149F9"/>
    <w:rsid w:val="00114C6D"/>
    <w:rsid w:val="001150BA"/>
    <w:rsid w:val="00117529"/>
    <w:rsid w:val="001226CB"/>
    <w:rsid w:val="0012329A"/>
    <w:rsid w:val="0012437D"/>
    <w:rsid w:val="00126DDB"/>
    <w:rsid w:val="00131952"/>
    <w:rsid w:val="0013405D"/>
    <w:rsid w:val="00134FFC"/>
    <w:rsid w:val="001356E5"/>
    <w:rsid w:val="0014084C"/>
    <w:rsid w:val="00140FBD"/>
    <w:rsid w:val="00141388"/>
    <w:rsid w:val="00142ED5"/>
    <w:rsid w:val="001431BA"/>
    <w:rsid w:val="00144E61"/>
    <w:rsid w:val="001470F0"/>
    <w:rsid w:val="001513B4"/>
    <w:rsid w:val="0015217F"/>
    <w:rsid w:val="00156EA3"/>
    <w:rsid w:val="00161A99"/>
    <w:rsid w:val="00162B94"/>
    <w:rsid w:val="00166631"/>
    <w:rsid w:val="00173750"/>
    <w:rsid w:val="00176BD0"/>
    <w:rsid w:val="00187617"/>
    <w:rsid w:val="00190D2B"/>
    <w:rsid w:val="001922F5"/>
    <w:rsid w:val="00192F58"/>
    <w:rsid w:val="00194E1E"/>
    <w:rsid w:val="0019727C"/>
    <w:rsid w:val="001A00A7"/>
    <w:rsid w:val="001A261E"/>
    <w:rsid w:val="001A2DFA"/>
    <w:rsid w:val="001A3813"/>
    <w:rsid w:val="001A3E67"/>
    <w:rsid w:val="001A47EC"/>
    <w:rsid w:val="001A5568"/>
    <w:rsid w:val="001A5C40"/>
    <w:rsid w:val="001A6AFE"/>
    <w:rsid w:val="001B2B0C"/>
    <w:rsid w:val="001B2C26"/>
    <w:rsid w:val="001B2E57"/>
    <w:rsid w:val="001B4C2F"/>
    <w:rsid w:val="001B5D21"/>
    <w:rsid w:val="001B69F9"/>
    <w:rsid w:val="001B6EFA"/>
    <w:rsid w:val="001C1C9C"/>
    <w:rsid w:val="001C3C98"/>
    <w:rsid w:val="001C4997"/>
    <w:rsid w:val="001C5D07"/>
    <w:rsid w:val="001C62E7"/>
    <w:rsid w:val="001C78FB"/>
    <w:rsid w:val="001D10A0"/>
    <w:rsid w:val="001D63C0"/>
    <w:rsid w:val="001E06DD"/>
    <w:rsid w:val="001E16CA"/>
    <w:rsid w:val="001E2274"/>
    <w:rsid w:val="001E382D"/>
    <w:rsid w:val="001E5573"/>
    <w:rsid w:val="001E659B"/>
    <w:rsid w:val="001E7604"/>
    <w:rsid w:val="001E78CB"/>
    <w:rsid w:val="001F024C"/>
    <w:rsid w:val="001F1508"/>
    <w:rsid w:val="001F6762"/>
    <w:rsid w:val="002001A3"/>
    <w:rsid w:val="00201453"/>
    <w:rsid w:val="0020342F"/>
    <w:rsid w:val="00207772"/>
    <w:rsid w:val="00212846"/>
    <w:rsid w:val="00213140"/>
    <w:rsid w:val="00213D04"/>
    <w:rsid w:val="00213F24"/>
    <w:rsid w:val="00213FCD"/>
    <w:rsid w:val="00214441"/>
    <w:rsid w:val="00215D21"/>
    <w:rsid w:val="0021680F"/>
    <w:rsid w:val="002217F0"/>
    <w:rsid w:val="00221E35"/>
    <w:rsid w:val="002223D3"/>
    <w:rsid w:val="00222993"/>
    <w:rsid w:val="00222D16"/>
    <w:rsid w:val="0022329B"/>
    <w:rsid w:val="002233EF"/>
    <w:rsid w:val="00223E8C"/>
    <w:rsid w:val="0022449B"/>
    <w:rsid w:val="00225237"/>
    <w:rsid w:val="00225F62"/>
    <w:rsid w:val="002308A9"/>
    <w:rsid w:val="00230D61"/>
    <w:rsid w:val="00240B49"/>
    <w:rsid w:val="00241CB2"/>
    <w:rsid w:val="0024326F"/>
    <w:rsid w:val="0024736A"/>
    <w:rsid w:val="0025247F"/>
    <w:rsid w:val="00253247"/>
    <w:rsid w:val="002606A8"/>
    <w:rsid w:val="0026090D"/>
    <w:rsid w:val="002620B5"/>
    <w:rsid w:val="00262C25"/>
    <w:rsid w:val="00262E65"/>
    <w:rsid w:val="002634E5"/>
    <w:rsid w:val="002646E7"/>
    <w:rsid w:val="00266135"/>
    <w:rsid w:val="002666BC"/>
    <w:rsid w:val="00266D63"/>
    <w:rsid w:val="00267BF2"/>
    <w:rsid w:val="00272142"/>
    <w:rsid w:val="0027576A"/>
    <w:rsid w:val="0028149F"/>
    <w:rsid w:val="00283536"/>
    <w:rsid w:val="0028397D"/>
    <w:rsid w:val="00283C07"/>
    <w:rsid w:val="0028555C"/>
    <w:rsid w:val="00287432"/>
    <w:rsid w:val="00290DDD"/>
    <w:rsid w:val="002914B9"/>
    <w:rsid w:val="00295FB5"/>
    <w:rsid w:val="00296D68"/>
    <w:rsid w:val="00297F1D"/>
    <w:rsid w:val="002A105A"/>
    <w:rsid w:val="002A1D13"/>
    <w:rsid w:val="002A23EF"/>
    <w:rsid w:val="002A30D9"/>
    <w:rsid w:val="002A4AC0"/>
    <w:rsid w:val="002A6B9C"/>
    <w:rsid w:val="002A7AB1"/>
    <w:rsid w:val="002A7BD3"/>
    <w:rsid w:val="002B16FA"/>
    <w:rsid w:val="002B1948"/>
    <w:rsid w:val="002B1EF7"/>
    <w:rsid w:val="002B26A1"/>
    <w:rsid w:val="002B34DB"/>
    <w:rsid w:val="002B6B43"/>
    <w:rsid w:val="002B7893"/>
    <w:rsid w:val="002C0122"/>
    <w:rsid w:val="002C203E"/>
    <w:rsid w:val="002C22F3"/>
    <w:rsid w:val="002C27F4"/>
    <w:rsid w:val="002D09E2"/>
    <w:rsid w:val="002D11BE"/>
    <w:rsid w:val="002D4A00"/>
    <w:rsid w:val="002D4CB4"/>
    <w:rsid w:val="002D65CC"/>
    <w:rsid w:val="002D6F61"/>
    <w:rsid w:val="002E0BAF"/>
    <w:rsid w:val="002E2A6F"/>
    <w:rsid w:val="002E363F"/>
    <w:rsid w:val="002E4894"/>
    <w:rsid w:val="002E7F9C"/>
    <w:rsid w:val="002F4D9F"/>
    <w:rsid w:val="002F4E17"/>
    <w:rsid w:val="002F528E"/>
    <w:rsid w:val="002F6D28"/>
    <w:rsid w:val="003003FD"/>
    <w:rsid w:val="0030523C"/>
    <w:rsid w:val="00305D86"/>
    <w:rsid w:val="00306AAD"/>
    <w:rsid w:val="0031156F"/>
    <w:rsid w:val="00312CE1"/>
    <w:rsid w:val="00313546"/>
    <w:rsid w:val="003145C9"/>
    <w:rsid w:val="00315D50"/>
    <w:rsid w:val="00315FCD"/>
    <w:rsid w:val="0031636F"/>
    <w:rsid w:val="00321F97"/>
    <w:rsid w:val="00325988"/>
    <w:rsid w:val="0032625B"/>
    <w:rsid w:val="003269ED"/>
    <w:rsid w:val="003330D8"/>
    <w:rsid w:val="00334E6C"/>
    <w:rsid w:val="0033631D"/>
    <w:rsid w:val="00337E04"/>
    <w:rsid w:val="00337F0B"/>
    <w:rsid w:val="00340881"/>
    <w:rsid w:val="00345CA2"/>
    <w:rsid w:val="003479C9"/>
    <w:rsid w:val="00351689"/>
    <w:rsid w:val="00351B30"/>
    <w:rsid w:val="00351D1D"/>
    <w:rsid w:val="00353CB5"/>
    <w:rsid w:val="0035470A"/>
    <w:rsid w:val="003632CF"/>
    <w:rsid w:val="00364590"/>
    <w:rsid w:val="00365194"/>
    <w:rsid w:val="00367E50"/>
    <w:rsid w:val="00370A7F"/>
    <w:rsid w:val="00371142"/>
    <w:rsid w:val="00371AAB"/>
    <w:rsid w:val="00372CA2"/>
    <w:rsid w:val="003768D4"/>
    <w:rsid w:val="0037705C"/>
    <w:rsid w:val="003811C7"/>
    <w:rsid w:val="003817EB"/>
    <w:rsid w:val="00384632"/>
    <w:rsid w:val="003855A0"/>
    <w:rsid w:val="00385DDF"/>
    <w:rsid w:val="00387294"/>
    <w:rsid w:val="003879D0"/>
    <w:rsid w:val="00387BBE"/>
    <w:rsid w:val="0039175A"/>
    <w:rsid w:val="00395294"/>
    <w:rsid w:val="00395A7A"/>
    <w:rsid w:val="003967B3"/>
    <w:rsid w:val="00396D92"/>
    <w:rsid w:val="00397022"/>
    <w:rsid w:val="00397B8A"/>
    <w:rsid w:val="003A0227"/>
    <w:rsid w:val="003A0E99"/>
    <w:rsid w:val="003A18A0"/>
    <w:rsid w:val="003A1D67"/>
    <w:rsid w:val="003A1DFF"/>
    <w:rsid w:val="003A2957"/>
    <w:rsid w:val="003A2BEF"/>
    <w:rsid w:val="003A2CE0"/>
    <w:rsid w:val="003A580D"/>
    <w:rsid w:val="003A7B39"/>
    <w:rsid w:val="003B066D"/>
    <w:rsid w:val="003B43C3"/>
    <w:rsid w:val="003B58CC"/>
    <w:rsid w:val="003B5CEE"/>
    <w:rsid w:val="003C02DD"/>
    <w:rsid w:val="003C23FE"/>
    <w:rsid w:val="003C4A02"/>
    <w:rsid w:val="003C7229"/>
    <w:rsid w:val="003D0E88"/>
    <w:rsid w:val="003D0F8F"/>
    <w:rsid w:val="003D14F4"/>
    <w:rsid w:val="003D19A5"/>
    <w:rsid w:val="003D3EEF"/>
    <w:rsid w:val="003D4F94"/>
    <w:rsid w:val="003D6772"/>
    <w:rsid w:val="003E1784"/>
    <w:rsid w:val="003E187A"/>
    <w:rsid w:val="003E32AC"/>
    <w:rsid w:val="003E3AD7"/>
    <w:rsid w:val="003E5630"/>
    <w:rsid w:val="003E58EC"/>
    <w:rsid w:val="003E6571"/>
    <w:rsid w:val="003F0ECD"/>
    <w:rsid w:val="003F16BE"/>
    <w:rsid w:val="003F1D04"/>
    <w:rsid w:val="003F2CD4"/>
    <w:rsid w:val="003F6DFC"/>
    <w:rsid w:val="0040062D"/>
    <w:rsid w:val="004009DE"/>
    <w:rsid w:val="004015DA"/>
    <w:rsid w:val="0040580F"/>
    <w:rsid w:val="004076BA"/>
    <w:rsid w:val="004077D0"/>
    <w:rsid w:val="0041359A"/>
    <w:rsid w:val="00417052"/>
    <w:rsid w:val="00420995"/>
    <w:rsid w:val="00420C60"/>
    <w:rsid w:val="00422B16"/>
    <w:rsid w:val="00422D99"/>
    <w:rsid w:val="00425FAF"/>
    <w:rsid w:val="0042603C"/>
    <w:rsid w:val="004272E4"/>
    <w:rsid w:val="00430AC0"/>
    <w:rsid w:val="004331D7"/>
    <w:rsid w:val="0043320A"/>
    <w:rsid w:val="00433D8C"/>
    <w:rsid w:val="00434899"/>
    <w:rsid w:val="00434C96"/>
    <w:rsid w:val="004354F6"/>
    <w:rsid w:val="0043596D"/>
    <w:rsid w:val="00436B4A"/>
    <w:rsid w:val="004377F8"/>
    <w:rsid w:val="00440989"/>
    <w:rsid w:val="004419B5"/>
    <w:rsid w:val="00444548"/>
    <w:rsid w:val="00447DD5"/>
    <w:rsid w:val="0045030A"/>
    <w:rsid w:val="004503EA"/>
    <w:rsid w:val="00450F18"/>
    <w:rsid w:val="00452843"/>
    <w:rsid w:val="00453399"/>
    <w:rsid w:val="0045717F"/>
    <w:rsid w:val="00460437"/>
    <w:rsid w:val="00460914"/>
    <w:rsid w:val="004609A4"/>
    <w:rsid w:val="00462D8F"/>
    <w:rsid w:val="004649E9"/>
    <w:rsid w:val="00464E8A"/>
    <w:rsid w:val="00466B9F"/>
    <w:rsid w:val="004679C0"/>
    <w:rsid w:val="00473955"/>
    <w:rsid w:val="00474809"/>
    <w:rsid w:val="00476938"/>
    <w:rsid w:val="00476EFB"/>
    <w:rsid w:val="004808FC"/>
    <w:rsid w:val="00481D3B"/>
    <w:rsid w:val="00482EB0"/>
    <w:rsid w:val="00483B1B"/>
    <w:rsid w:val="00485D13"/>
    <w:rsid w:val="004913FF"/>
    <w:rsid w:val="00492290"/>
    <w:rsid w:val="00492A28"/>
    <w:rsid w:val="004951AE"/>
    <w:rsid w:val="00496253"/>
    <w:rsid w:val="004962B9"/>
    <w:rsid w:val="004A4D05"/>
    <w:rsid w:val="004A51C9"/>
    <w:rsid w:val="004A684C"/>
    <w:rsid w:val="004A7357"/>
    <w:rsid w:val="004B4999"/>
    <w:rsid w:val="004B49CC"/>
    <w:rsid w:val="004B666C"/>
    <w:rsid w:val="004C071B"/>
    <w:rsid w:val="004C0C77"/>
    <w:rsid w:val="004C0CEF"/>
    <w:rsid w:val="004C16DE"/>
    <w:rsid w:val="004C1A64"/>
    <w:rsid w:val="004C1E92"/>
    <w:rsid w:val="004C219F"/>
    <w:rsid w:val="004C22B8"/>
    <w:rsid w:val="004C2516"/>
    <w:rsid w:val="004C33D2"/>
    <w:rsid w:val="004C393A"/>
    <w:rsid w:val="004C3DB0"/>
    <w:rsid w:val="004C712F"/>
    <w:rsid w:val="004D4610"/>
    <w:rsid w:val="004D53C3"/>
    <w:rsid w:val="004D5A7C"/>
    <w:rsid w:val="004D67B7"/>
    <w:rsid w:val="004D74A5"/>
    <w:rsid w:val="004D7FB5"/>
    <w:rsid w:val="004E00F1"/>
    <w:rsid w:val="004E5AE8"/>
    <w:rsid w:val="004E6AC6"/>
    <w:rsid w:val="004E735B"/>
    <w:rsid w:val="004E74EE"/>
    <w:rsid w:val="004F2447"/>
    <w:rsid w:val="004F2887"/>
    <w:rsid w:val="004F3603"/>
    <w:rsid w:val="004F3CEC"/>
    <w:rsid w:val="004F4DC1"/>
    <w:rsid w:val="004F4FA1"/>
    <w:rsid w:val="004F6114"/>
    <w:rsid w:val="004F686B"/>
    <w:rsid w:val="004F6F64"/>
    <w:rsid w:val="00501221"/>
    <w:rsid w:val="00501D17"/>
    <w:rsid w:val="00501F06"/>
    <w:rsid w:val="00504BF5"/>
    <w:rsid w:val="00505DA1"/>
    <w:rsid w:val="00507B82"/>
    <w:rsid w:val="005107DF"/>
    <w:rsid w:val="00520D29"/>
    <w:rsid w:val="005226C6"/>
    <w:rsid w:val="00524D79"/>
    <w:rsid w:val="00526561"/>
    <w:rsid w:val="00526C79"/>
    <w:rsid w:val="005273AB"/>
    <w:rsid w:val="005320B5"/>
    <w:rsid w:val="005326BF"/>
    <w:rsid w:val="00532A5C"/>
    <w:rsid w:val="00532A67"/>
    <w:rsid w:val="00533917"/>
    <w:rsid w:val="00535877"/>
    <w:rsid w:val="00536ED2"/>
    <w:rsid w:val="00543EFC"/>
    <w:rsid w:val="00545D2F"/>
    <w:rsid w:val="005473A6"/>
    <w:rsid w:val="005505CE"/>
    <w:rsid w:val="00551202"/>
    <w:rsid w:val="00551A5E"/>
    <w:rsid w:val="00551ADB"/>
    <w:rsid w:val="005524B6"/>
    <w:rsid w:val="0055684E"/>
    <w:rsid w:val="00557B2D"/>
    <w:rsid w:val="005600A5"/>
    <w:rsid w:val="0056058F"/>
    <w:rsid w:val="005614FA"/>
    <w:rsid w:val="0056467B"/>
    <w:rsid w:val="00567286"/>
    <w:rsid w:val="00573CA8"/>
    <w:rsid w:val="005800B5"/>
    <w:rsid w:val="00580DBD"/>
    <w:rsid w:val="00581792"/>
    <w:rsid w:val="0059084B"/>
    <w:rsid w:val="00592BAA"/>
    <w:rsid w:val="00592F09"/>
    <w:rsid w:val="005932BA"/>
    <w:rsid w:val="00596585"/>
    <w:rsid w:val="00597ABB"/>
    <w:rsid w:val="005A13D0"/>
    <w:rsid w:val="005A24CD"/>
    <w:rsid w:val="005A256B"/>
    <w:rsid w:val="005A3DF7"/>
    <w:rsid w:val="005A3E2A"/>
    <w:rsid w:val="005A56D4"/>
    <w:rsid w:val="005A64A7"/>
    <w:rsid w:val="005A6E99"/>
    <w:rsid w:val="005B2105"/>
    <w:rsid w:val="005B2E8A"/>
    <w:rsid w:val="005B376F"/>
    <w:rsid w:val="005B4CA6"/>
    <w:rsid w:val="005B57F1"/>
    <w:rsid w:val="005C0AE1"/>
    <w:rsid w:val="005C29D2"/>
    <w:rsid w:val="005C2ADB"/>
    <w:rsid w:val="005C342C"/>
    <w:rsid w:val="005C3E2F"/>
    <w:rsid w:val="005C403A"/>
    <w:rsid w:val="005C44C6"/>
    <w:rsid w:val="005C452B"/>
    <w:rsid w:val="005C5C55"/>
    <w:rsid w:val="005C740F"/>
    <w:rsid w:val="005C7DC4"/>
    <w:rsid w:val="005D4020"/>
    <w:rsid w:val="005D55CB"/>
    <w:rsid w:val="005D6BD0"/>
    <w:rsid w:val="005D77E0"/>
    <w:rsid w:val="005D7F49"/>
    <w:rsid w:val="005E1BF3"/>
    <w:rsid w:val="005E2B7D"/>
    <w:rsid w:val="005E40DD"/>
    <w:rsid w:val="005E65C4"/>
    <w:rsid w:val="005E701E"/>
    <w:rsid w:val="005E780F"/>
    <w:rsid w:val="005E7A72"/>
    <w:rsid w:val="005E7C21"/>
    <w:rsid w:val="005F06C4"/>
    <w:rsid w:val="005F090A"/>
    <w:rsid w:val="005F189F"/>
    <w:rsid w:val="005F2812"/>
    <w:rsid w:val="005F6167"/>
    <w:rsid w:val="005F6B0D"/>
    <w:rsid w:val="005F71A4"/>
    <w:rsid w:val="005F73CF"/>
    <w:rsid w:val="00600B5F"/>
    <w:rsid w:val="0060105E"/>
    <w:rsid w:val="0060106A"/>
    <w:rsid w:val="00603E1E"/>
    <w:rsid w:val="00604A3C"/>
    <w:rsid w:val="00604CFF"/>
    <w:rsid w:val="00606AB7"/>
    <w:rsid w:val="00607E74"/>
    <w:rsid w:val="0061117C"/>
    <w:rsid w:val="0061137C"/>
    <w:rsid w:val="00611B99"/>
    <w:rsid w:val="00611CD9"/>
    <w:rsid w:val="00611E7B"/>
    <w:rsid w:val="00616221"/>
    <w:rsid w:val="00617F31"/>
    <w:rsid w:val="00622967"/>
    <w:rsid w:val="00625B38"/>
    <w:rsid w:val="00626819"/>
    <w:rsid w:val="00626D16"/>
    <w:rsid w:val="0063162B"/>
    <w:rsid w:val="00633290"/>
    <w:rsid w:val="00634D23"/>
    <w:rsid w:val="00635062"/>
    <w:rsid w:val="00636679"/>
    <w:rsid w:val="0063770C"/>
    <w:rsid w:val="006378A6"/>
    <w:rsid w:val="00637ECE"/>
    <w:rsid w:val="006420D0"/>
    <w:rsid w:val="00642643"/>
    <w:rsid w:val="00642F32"/>
    <w:rsid w:val="00647C67"/>
    <w:rsid w:val="00647C99"/>
    <w:rsid w:val="0065014F"/>
    <w:rsid w:val="00650544"/>
    <w:rsid w:val="0065288F"/>
    <w:rsid w:val="00653610"/>
    <w:rsid w:val="00654B1F"/>
    <w:rsid w:val="006560EF"/>
    <w:rsid w:val="00656369"/>
    <w:rsid w:val="00656777"/>
    <w:rsid w:val="0065693D"/>
    <w:rsid w:val="00663300"/>
    <w:rsid w:val="00663975"/>
    <w:rsid w:val="0067024C"/>
    <w:rsid w:val="006703D5"/>
    <w:rsid w:val="0067115F"/>
    <w:rsid w:val="00671775"/>
    <w:rsid w:val="00671BA9"/>
    <w:rsid w:val="0067335F"/>
    <w:rsid w:val="00676321"/>
    <w:rsid w:val="006768CC"/>
    <w:rsid w:val="00677101"/>
    <w:rsid w:val="00677DF3"/>
    <w:rsid w:val="0068067C"/>
    <w:rsid w:val="00680868"/>
    <w:rsid w:val="00684AB3"/>
    <w:rsid w:val="00684E77"/>
    <w:rsid w:val="006876EF"/>
    <w:rsid w:val="006902CD"/>
    <w:rsid w:val="00690B00"/>
    <w:rsid w:val="00690EA9"/>
    <w:rsid w:val="00691832"/>
    <w:rsid w:val="00691F85"/>
    <w:rsid w:val="00693C2C"/>
    <w:rsid w:val="006945FA"/>
    <w:rsid w:val="00695785"/>
    <w:rsid w:val="00697832"/>
    <w:rsid w:val="00697895"/>
    <w:rsid w:val="00697AFE"/>
    <w:rsid w:val="00697EEC"/>
    <w:rsid w:val="006A156E"/>
    <w:rsid w:val="006A19A2"/>
    <w:rsid w:val="006A1C8E"/>
    <w:rsid w:val="006A1F64"/>
    <w:rsid w:val="006B0FB5"/>
    <w:rsid w:val="006B3003"/>
    <w:rsid w:val="006B3480"/>
    <w:rsid w:val="006B36F1"/>
    <w:rsid w:val="006B3829"/>
    <w:rsid w:val="006B5C06"/>
    <w:rsid w:val="006B6400"/>
    <w:rsid w:val="006C146A"/>
    <w:rsid w:val="006C211E"/>
    <w:rsid w:val="006C277B"/>
    <w:rsid w:val="006C2DC7"/>
    <w:rsid w:val="006C32C8"/>
    <w:rsid w:val="006C36D8"/>
    <w:rsid w:val="006C4834"/>
    <w:rsid w:val="006C4F3D"/>
    <w:rsid w:val="006C591C"/>
    <w:rsid w:val="006D00CF"/>
    <w:rsid w:val="006D15A7"/>
    <w:rsid w:val="006D4FB7"/>
    <w:rsid w:val="006D53C5"/>
    <w:rsid w:val="006D6A7F"/>
    <w:rsid w:val="006E014D"/>
    <w:rsid w:val="006E099D"/>
    <w:rsid w:val="006E3B3B"/>
    <w:rsid w:val="006E3E11"/>
    <w:rsid w:val="006E4682"/>
    <w:rsid w:val="006E4EF0"/>
    <w:rsid w:val="006E61ED"/>
    <w:rsid w:val="006E643F"/>
    <w:rsid w:val="006E7452"/>
    <w:rsid w:val="006F2F1F"/>
    <w:rsid w:val="006F3441"/>
    <w:rsid w:val="006F4360"/>
    <w:rsid w:val="006F4B1B"/>
    <w:rsid w:val="006F4D60"/>
    <w:rsid w:val="00702B72"/>
    <w:rsid w:val="00703543"/>
    <w:rsid w:val="0070514A"/>
    <w:rsid w:val="007052BE"/>
    <w:rsid w:val="007067E2"/>
    <w:rsid w:val="00706D49"/>
    <w:rsid w:val="0071041E"/>
    <w:rsid w:val="00710BAB"/>
    <w:rsid w:val="007124C8"/>
    <w:rsid w:val="0071282B"/>
    <w:rsid w:val="00712BB0"/>
    <w:rsid w:val="00714887"/>
    <w:rsid w:val="0072018A"/>
    <w:rsid w:val="00721062"/>
    <w:rsid w:val="00721165"/>
    <w:rsid w:val="007218B2"/>
    <w:rsid w:val="00724722"/>
    <w:rsid w:val="007278DA"/>
    <w:rsid w:val="00733B9B"/>
    <w:rsid w:val="007349C4"/>
    <w:rsid w:val="007413DA"/>
    <w:rsid w:val="00741682"/>
    <w:rsid w:val="0074294F"/>
    <w:rsid w:val="00744022"/>
    <w:rsid w:val="007451E0"/>
    <w:rsid w:val="00746FDA"/>
    <w:rsid w:val="00753889"/>
    <w:rsid w:val="00756775"/>
    <w:rsid w:val="007569C5"/>
    <w:rsid w:val="00760269"/>
    <w:rsid w:val="00760571"/>
    <w:rsid w:val="00761003"/>
    <w:rsid w:val="007619F0"/>
    <w:rsid w:val="007631B9"/>
    <w:rsid w:val="0076331F"/>
    <w:rsid w:val="0076519E"/>
    <w:rsid w:val="0076580B"/>
    <w:rsid w:val="0077017E"/>
    <w:rsid w:val="00771214"/>
    <w:rsid w:val="00774E30"/>
    <w:rsid w:val="007758B4"/>
    <w:rsid w:val="00775CD4"/>
    <w:rsid w:val="00777B41"/>
    <w:rsid w:val="00777F32"/>
    <w:rsid w:val="00780F55"/>
    <w:rsid w:val="00782549"/>
    <w:rsid w:val="0078531A"/>
    <w:rsid w:val="00785F8C"/>
    <w:rsid w:val="007904D9"/>
    <w:rsid w:val="007915C7"/>
    <w:rsid w:val="00795D2F"/>
    <w:rsid w:val="007961F5"/>
    <w:rsid w:val="00796872"/>
    <w:rsid w:val="00796E19"/>
    <w:rsid w:val="00796E54"/>
    <w:rsid w:val="00797794"/>
    <w:rsid w:val="007A16B6"/>
    <w:rsid w:val="007A2155"/>
    <w:rsid w:val="007A2850"/>
    <w:rsid w:val="007A41CD"/>
    <w:rsid w:val="007A4B45"/>
    <w:rsid w:val="007B035D"/>
    <w:rsid w:val="007B1EAE"/>
    <w:rsid w:val="007B4269"/>
    <w:rsid w:val="007B4D1E"/>
    <w:rsid w:val="007B4DB8"/>
    <w:rsid w:val="007B7204"/>
    <w:rsid w:val="007C18B5"/>
    <w:rsid w:val="007C2014"/>
    <w:rsid w:val="007C263F"/>
    <w:rsid w:val="007C4108"/>
    <w:rsid w:val="007C7788"/>
    <w:rsid w:val="007C7FAB"/>
    <w:rsid w:val="007D03E3"/>
    <w:rsid w:val="007D06B3"/>
    <w:rsid w:val="007D16B0"/>
    <w:rsid w:val="007D2657"/>
    <w:rsid w:val="007D2E71"/>
    <w:rsid w:val="007D3B8F"/>
    <w:rsid w:val="007E0464"/>
    <w:rsid w:val="007E051A"/>
    <w:rsid w:val="007E44C2"/>
    <w:rsid w:val="007E47B5"/>
    <w:rsid w:val="007E64BB"/>
    <w:rsid w:val="007F23AB"/>
    <w:rsid w:val="007F2C43"/>
    <w:rsid w:val="0080023C"/>
    <w:rsid w:val="0080055D"/>
    <w:rsid w:val="00801A6E"/>
    <w:rsid w:val="0080285A"/>
    <w:rsid w:val="00803625"/>
    <w:rsid w:val="00804B53"/>
    <w:rsid w:val="008052CD"/>
    <w:rsid w:val="00805DF1"/>
    <w:rsid w:val="00807040"/>
    <w:rsid w:val="0081066B"/>
    <w:rsid w:val="0081108D"/>
    <w:rsid w:val="00813C6D"/>
    <w:rsid w:val="0081531F"/>
    <w:rsid w:val="00817CEC"/>
    <w:rsid w:val="00821491"/>
    <w:rsid w:val="00823FB9"/>
    <w:rsid w:val="00824E65"/>
    <w:rsid w:val="00830915"/>
    <w:rsid w:val="00831D30"/>
    <w:rsid w:val="0083237E"/>
    <w:rsid w:val="0083473B"/>
    <w:rsid w:val="0083618B"/>
    <w:rsid w:val="0084125A"/>
    <w:rsid w:val="008440EE"/>
    <w:rsid w:val="0084563E"/>
    <w:rsid w:val="0084778A"/>
    <w:rsid w:val="00850A62"/>
    <w:rsid w:val="0085101A"/>
    <w:rsid w:val="00851095"/>
    <w:rsid w:val="00851890"/>
    <w:rsid w:val="00853114"/>
    <w:rsid w:val="008531EF"/>
    <w:rsid w:val="0085536D"/>
    <w:rsid w:val="0085579D"/>
    <w:rsid w:val="0085683B"/>
    <w:rsid w:val="00856944"/>
    <w:rsid w:val="0086028D"/>
    <w:rsid w:val="008639E4"/>
    <w:rsid w:val="0086691C"/>
    <w:rsid w:val="008675C7"/>
    <w:rsid w:val="0087096E"/>
    <w:rsid w:val="00873C90"/>
    <w:rsid w:val="0087554B"/>
    <w:rsid w:val="00875725"/>
    <w:rsid w:val="00876374"/>
    <w:rsid w:val="00876629"/>
    <w:rsid w:val="0087685F"/>
    <w:rsid w:val="00877062"/>
    <w:rsid w:val="00877D35"/>
    <w:rsid w:val="00880FF4"/>
    <w:rsid w:val="00883F28"/>
    <w:rsid w:val="008850A3"/>
    <w:rsid w:val="00893308"/>
    <w:rsid w:val="00895561"/>
    <w:rsid w:val="00895EC3"/>
    <w:rsid w:val="008A5AB2"/>
    <w:rsid w:val="008A65A6"/>
    <w:rsid w:val="008A6CDA"/>
    <w:rsid w:val="008A792A"/>
    <w:rsid w:val="008A793A"/>
    <w:rsid w:val="008B3267"/>
    <w:rsid w:val="008B3835"/>
    <w:rsid w:val="008C0750"/>
    <w:rsid w:val="008C0A98"/>
    <w:rsid w:val="008C1C7C"/>
    <w:rsid w:val="008C294A"/>
    <w:rsid w:val="008C297A"/>
    <w:rsid w:val="008C2DCD"/>
    <w:rsid w:val="008C583E"/>
    <w:rsid w:val="008C58D7"/>
    <w:rsid w:val="008C5968"/>
    <w:rsid w:val="008C679F"/>
    <w:rsid w:val="008C7CA7"/>
    <w:rsid w:val="008D038B"/>
    <w:rsid w:val="008D11F6"/>
    <w:rsid w:val="008D16FB"/>
    <w:rsid w:val="008D1AA4"/>
    <w:rsid w:val="008D2804"/>
    <w:rsid w:val="008D2974"/>
    <w:rsid w:val="008D3823"/>
    <w:rsid w:val="008D3B24"/>
    <w:rsid w:val="008D51DE"/>
    <w:rsid w:val="008D5CEF"/>
    <w:rsid w:val="008E0514"/>
    <w:rsid w:val="008E27B4"/>
    <w:rsid w:val="008E3218"/>
    <w:rsid w:val="008E416A"/>
    <w:rsid w:val="008E6985"/>
    <w:rsid w:val="008F1B26"/>
    <w:rsid w:val="008F1B9F"/>
    <w:rsid w:val="008F438E"/>
    <w:rsid w:val="008F43EC"/>
    <w:rsid w:val="008F6981"/>
    <w:rsid w:val="0090059F"/>
    <w:rsid w:val="00903154"/>
    <w:rsid w:val="00903330"/>
    <w:rsid w:val="00903DE0"/>
    <w:rsid w:val="009075DA"/>
    <w:rsid w:val="009101A4"/>
    <w:rsid w:val="00912D13"/>
    <w:rsid w:val="00913852"/>
    <w:rsid w:val="009161AD"/>
    <w:rsid w:val="00916457"/>
    <w:rsid w:val="009203E9"/>
    <w:rsid w:val="009211C4"/>
    <w:rsid w:val="009229B6"/>
    <w:rsid w:val="009236BF"/>
    <w:rsid w:val="00923C8F"/>
    <w:rsid w:val="00923E4D"/>
    <w:rsid w:val="00925BF1"/>
    <w:rsid w:val="00930B30"/>
    <w:rsid w:val="00930D9F"/>
    <w:rsid w:val="0093491F"/>
    <w:rsid w:val="00934E85"/>
    <w:rsid w:val="009375A4"/>
    <w:rsid w:val="0094117D"/>
    <w:rsid w:val="0094457C"/>
    <w:rsid w:val="00950639"/>
    <w:rsid w:val="00952A95"/>
    <w:rsid w:val="0095318C"/>
    <w:rsid w:val="009558A7"/>
    <w:rsid w:val="00956255"/>
    <w:rsid w:val="00956DAA"/>
    <w:rsid w:val="00957B02"/>
    <w:rsid w:val="00960857"/>
    <w:rsid w:val="00963F91"/>
    <w:rsid w:val="00966264"/>
    <w:rsid w:val="0097049D"/>
    <w:rsid w:val="00970801"/>
    <w:rsid w:val="0097409F"/>
    <w:rsid w:val="0097560B"/>
    <w:rsid w:val="00976531"/>
    <w:rsid w:val="00976736"/>
    <w:rsid w:val="0097746C"/>
    <w:rsid w:val="00977B5C"/>
    <w:rsid w:val="0098015F"/>
    <w:rsid w:val="00980592"/>
    <w:rsid w:val="00980EF3"/>
    <w:rsid w:val="00981905"/>
    <w:rsid w:val="00982686"/>
    <w:rsid w:val="0098437F"/>
    <w:rsid w:val="00990455"/>
    <w:rsid w:val="0099352F"/>
    <w:rsid w:val="0099434F"/>
    <w:rsid w:val="00995176"/>
    <w:rsid w:val="00995831"/>
    <w:rsid w:val="00995A0A"/>
    <w:rsid w:val="009A068F"/>
    <w:rsid w:val="009A0D7F"/>
    <w:rsid w:val="009A124E"/>
    <w:rsid w:val="009A1ACB"/>
    <w:rsid w:val="009A338B"/>
    <w:rsid w:val="009A3C32"/>
    <w:rsid w:val="009A41E5"/>
    <w:rsid w:val="009A483F"/>
    <w:rsid w:val="009A503B"/>
    <w:rsid w:val="009A53C3"/>
    <w:rsid w:val="009A5BAA"/>
    <w:rsid w:val="009A7B5B"/>
    <w:rsid w:val="009B0128"/>
    <w:rsid w:val="009B0757"/>
    <w:rsid w:val="009B097E"/>
    <w:rsid w:val="009B0EA1"/>
    <w:rsid w:val="009B12A3"/>
    <w:rsid w:val="009B18C4"/>
    <w:rsid w:val="009B1CCF"/>
    <w:rsid w:val="009B1D14"/>
    <w:rsid w:val="009B2319"/>
    <w:rsid w:val="009B267F"/>
    <w:rsid w:val="009B2852"/>
    <w:rsid w:val="009B37E0"/>
    <w:rsid w:val="009B5191"/>
    <w:rsid w:val="009B55BF"/>
    <w:rsid w:val="009B6797"/>
    <w:rsid w:val="009B7836"/>
    <w:rsid w:val="009B7AAB"/>
    <w:rsid w:val="009B7F33"/>
    <w:rsid w:val="009C209E"/>
    <w:rsid w:val="009C2C26"/>
    <w:rsid w:val="009C3304"/>
    <w:rsid w:val="009C3EC2"/>
    <w:rsid w:val="009C4B1E"/>
    <w:rsid w:val="009C5CEB"/>
    <w:rsid w:val="009C7BE4"/>
    <w:rsid w:val="009D25CE"/>
    <w:rsid w:val="009D4304"/>
    <w:rsid w:val="009E1797"/>
    <w:rsid w:val="009E312D"/>
    <w:rsid w:val="009E32BA"/>
    <w:rsid w:val="009E4467"/>
    <w:rsid w:val="009F124A"/>
    <w:rsid w:val="009F4216"/>
    <w:rsid w:val="009F4470"/>
    <w:rsid w:val="009F4826"/>
    <w:rsid w:val="009F52E2"/>
    <w:rsid w:val="00A00CAA"/>
    <w:rsid w:val="00A012B0"/>
    <w:rsid w:val="00A01C9F"/>
    <w:rsid w:val="00A02787"/>
    <w:rsid w:val="00A07D0B"/>
    <w:rsid w:val="00A07DE6"/>
    <w:rsid w:val="00A11865"/>
    <w:rsid w:val="00A132F3"/>
    <w:rsid w:val="00A14FAC"/>
    <w:rsid w:val="00A15248"/>
    <w:rsid w:val="00A20A65"/>
    <w:rsid w:val="00A21103"/>
    <w:rsid w:val="00A229F0"/>
    <w:rsid w:val="00A25AB6"/>
    <w:rsid w:val="00A25C41"/>
    <w:rsid w:val="00A30C04"/>
    <w:rsid w:val="00A326BD"/>
    <w:rsid w:val="00A33AF8"/>
    <w:rsid w:val="00A3545A"/>
    <w:rsid w:val="00A36DEA"/>
    <w:rsid w:val="00A37CD0"/>
    <w:rsid w:val="00A4148C"/>
    <w:rsid w:val="00A4540E"/>
    <w:rsid w:val="00A46BF1"/>
    <w:rsid w:val="00A47815"/>
    <w:rsid w:val="00A54F94"/>
    <w:rsid w:val="00A55BA1"/>
    <w:rsid w:val="00A55F2F"/>
    <w:rsid w:val="00A569E4"/>
    <w:rsid w:val="00A64552"/>
    <w:rsid w:val="00A64935"/>
    <w:rsid w:val="00A703DC"/>
    <w:rsid w:val="00A77271"/>
    <w:rsid w:val="00A778FF"/>
    <w:rsid w:val="00A8041F"/>
    <w:rsid w:val="00A80FA2"/>
    <w:rsid w:val="00A824AF"/>
    <w:rsid w:val="00A83FF7"/>
    <w:rsid w:val="00A8490B"/>
    <w:rsid w:val="00A85921"/>
    <w:rsid w:val="00A92C9E"/>
    <w:rsid w:val="00A93650"/>
    <w:rsid w:val="00A964BE"/>
    <w:rsid w:val="00A9705F"/>
    <w:rsid w:val="00AA1CE3"/>
    <w:rsid w:val="00AA4037"/>
    <w:rsid w:val="00AA461C"/>
    <w:rsid w:val="00AA50FB"/>
    <w:rsid w:val="00AA662F"/>
    <w:rsid w:val="00AA79C4"/>
    <w:rsid w:val="00AB2A9E"/>
    <w:rsid w:val="00AB4FF6"/>
    <w:rsid w:val="00AB582C"/>
    <w:rsid w:val="00AB670F"/>
    <w:rsid w:val="00AB6787"/>
    <w:rsid w:val="00AB7376"/>
    <w:rsid w:val="00AC0E74"/>
    <w:rsid w:val="00AC115E"/>
    <w:rsid w:val="00AC303A"/>
    <w:rsid w:val="00AC44D0"/>
    <w:rsid w:val="00AC4CEF"/>
    <w:rsid w:val="00AC7FFC"/>
    <w:rsid w:val="00AD0360"/>
    <w:rsid w:val="00AD1243"/>
    <w:rsid w:val="00AD2147"/>
    <w:rsid w:val="00AD3DA0"/>
    <w:rsid w:val="00AE092A"/>
    <w:rsid w:val="00AE16BD"/>
    <w:rsid w:val="00AE3A54"/>
    <w:rsid w:val="00AE4EB4"/>
    <w:rsid w:val="00AE5D62"/>
    <w:rsid w:val="00AF04F4"/>
    <w:rsid w:val="00AF0F64"/>
    <w:rsid w:val="00AF16FC"/>
    <w:rsid w:val="00AF1A8C"/>
    <w:rsid w:val="00AF26B2"/>
    <w:rsid w:val="00AF3506"/>
    <w:rsid w:val="00AF43D8"/>
    <w:rsid w:val="00AF6905"/>
    <w:rsid w:val="00B001EF"/>
    <w:rsid w:val="00B00CBF"/>
    <w:rsid w:val="00B00F51"/>
    <w:rsid w:val="00B018A2"/>
    <w:rsid w:val="00B01C67"/>
    <w:rsid w:val="00B02CE4"/>
    <w:rsid w:val="00B04549"/>
    <w:rsid w:val="00B04DDD"/>
    <w:rsid w:val="00B067F2"/>
    <w:rsid w:val="00B11E8B"/>
    <w:rsid w:val="00B16298"/>
    <w:rsid w:val="00B2405C"/>
    <w:rsid w:val="00B252B2"/>
    <w:rsid w:val="00B264F4"/>
    <w:rsid w:val="00B30941"/>
    <w:rsid w:val="00B309DB"/>
    <w:rsid w:val="00B32670"/>
    <w:rsid w:val="00B32A8C"/>
    <w:rsid w:val="00B33058"/>
    <w:rsid w:val="00B335D6"/>
    <w:rsid w:val="00B3405E"/>
    <w:rsid w:val="00B35CA6"/>
    <w:rsid w:val="00B41743"/>
    <w:rsid w:val="00B4331E"/>
    <w:rsid w:val="00B43A08"/>
    <w:rsid w:val="00B47A2B"/>
    <w:rsid w:val="00B500E9"/>
    <w:rsid w:val="00B506FC"/>
    <w:rsid w:val="00B50FF2"/>
    <w:rsid w:val="00B52C8F"/>
    <w:rsid w:val="00B52C92"/>
    <w:rsid w:val="00B54EB1"/>
    <w:rsid w:val="00B5576C"/>
    <w:rsid w:val="00B55A93"/>
    <w:rsid w:val="00B565D8"/>
    <w:rsid w:val="00B56E1B"/>
    <w:rsid w:val="00B601EA"/>
    <w:rsid w:val="00B615C7"/>
    <w:rsid w:val="00B6214A"/>
    <w:rsid w:val="00B64BBF"/>
    <w:rsid w:val="00B66A71"/>
    <w:rsid w:val="00B71C43"/>
    <w:rsid w:val="00B72F45"/>
    <w:rsid w:val="00B73211"/>
    <w:rsid w:val="00B73AED"/>
    <w:rsid w:val="00B74835"/>
    <w:rsid w:val="00B760D7"/>
    <w:rsid w:val="00B766F5"/>
    <w:rsid w:val="00B82819"/>
    <w:rsid w:val="00B83A8F"/>
    <w:rsid w:val="00B853D5"/>
    <w:rsid w:val="00B856DD"/>
    <w:rsid w:val="00B86022"/>
    <w:rsid w:val="00B908C9"/>
    <w:rsid w:val="00B91444"/>
    <w:rsid w:val="00B934A6"/>
    <w:rsid w:val="00B9373D"/>
    <w:rsid w:val="00B93BD0"/>
    <w:rsid w:val="00B958E7"/>
    <w:rsid w:val="00B97F9B"/>
    <w:rsid w:val="00BA42C4"/>
    <w:rsid w:val="00BA45FE"/>
    <w:rsid w:val="00BA47A9"/>
    <w:rsid w:val="00BA58D3"/>
    <w:rsid w:val="00BA6803"/>
    <w:rsid w:val="00BB0D72"/>
    <w:rsid w:val="00BB1216"/>
    <w:rsid w:val="00BB16F2"/>
    <w:rsid w:val="00BB24EB"/>
    <w:rsid w:val="00BB67B7"/>
    <w:rsid w:val="00BB7CEB"/>
    <w:rsid w:val="00BC0F23"/>
    <w:rsid w:val="00BC48FC"/>
    <w:rsid w:val="00BC5C0C"/>
    <w:rsid w:val="00BC7555"/>
    <w:rsid w:val="00BC7673"/>
    <w:rsid w:val="00BD2520"/>
    <w:rsid w:val="00BD3278"/>
    <w:rsid w:val="00BD529E"/>
    <w:rsid w:val="00BD5AFA"/>
    <w:rsid w:val="00BD5F83"/>
    <w:rsid w:val="00BD6631"/>
    <w:rsid w:val="00BE0364"/>
    <w:rsid w:val="00BE063A"/>
    <w:rsid w:val="00BE1FC9"/>
    <w:rsid w:val="00BE4C7C"/>
    <w:rsid w:val="00BF0B00"/>
    <w:rsid w:val="00BF3E2A"/>
    <w:rsid w:val="00BF4558"/>
    <w:rsid w:val="00BF4D93"/>
    <w:rsid w:val="00BF741B"/>
    <w:rsid w:val="00C001B1"/>
    <w:rsid w:val="00C04D1A"/>
    <w:rsid w:val="00C100C9"/>
    <w:rsid w:val="00C117C2"/>
    <w:rsid w:val="00C11939"/>
    <w:rsid w:val="00C11C1B"/>
    <w:rsid w:val="00C152B5"/>
    <w:rsid w:val="00C16F28"/>
    <w:rsid w:val="00C219A5"/>
    <w:rsid w:val="00C229D8"/>
    <w:rsid w:val="00C232BA"/>
    <w:rsid w:val="00C24812"/>
    <w:rsid w:val="00C26493"/>
    <w:rsid w:val="00C34474"/>
    <w:rsid w:val="00C35C48"/>
    <w:rsid w:val="00C3643D"/>
    <w:rsid w:val="00C3705B"/>
    <w:rsid w:val="00C37D69"/>
    <w:rsid w:val="00C404CF"/>
    <w:rsid w:val="00C405A1"/>
    <w:rsid w:val="00C405CA"/>
    <w:rsid w:val="00C4446E"/>
    <w:rsid w:val="00C457A2"/>
    <w:rsid w:val="00C4607F"/>
    <w:rsid w:val="00C53E5E"/>
    <w:rsid w:val="00C56D70"/>
    <w:rsid w:val="00C60F32"/>
    <w:rsid w:val="00C612FD"/>
    <w:rsid w:val="00C632A2"/>
    <w:rsid w:val="00C64B14"/>
    <w:rsid w:val="00C64DFC"/>
    <w:rsid w:val="00C70494"/>
    <w:rsid w:val="00C72423"/>
    <w:rsid w:val="00C725D0"/>
    <w:rsid w:val="00C744C3"/>
    <w:rsid w:val="00C749BC"/>
    <w:rsid w:val="00C75DF3"/>
    <w:rsid w:val="00C76B61"/>
    <w:rsid w:val="00C76C0E"/>
    <w:rsid w:val="00C76CCF"/>
    <w:rsid w:val="00C80742"/>
    <w:rsid w:val="00C81DA7"/>
    <w:rsid w:val="00C82D34"/>
    <w:rsid w:val="00C84A4A"/>
    <w:rsid w:val="00C8763B"/>
    <w:rsid w:val="00C9019A"/>
    <w:rsid w:val="00C9095A"/>
    <w:rsid w:val="00C92FC9"/>
    <w:rsid w:val="00C9414E"/>
    <w:rsid w:val="00C950B4"/>
    <w:rsid w:val="00C95E2A"/>
    <w:rsid w:val="00C97CA9"/>
    <w:rsid w:val="00CA3212"/>
    <w:rsid w:val="00CA3644"/>
    <w:rsid w:val="00CA5169"/>
    <w:rsid w:val="00CB08EA"/>
    <w:rsid w:val="00CB5D7D"/>
    <w:rsid w:val="00CC009E"/>
    <w:rsid w:val="00CC3AF5"/>
    <w:rsid w:val="00CC3DC6"/>
    <w:rsid w:val="00CC559F"/>
    <w:rsid w:val="00CC55D9"/>
    <w:rsid w:val="00CC70CB"/>
    <w:rsid w:val="00CD20C1"/>
    <w:rsid w:val="00CD2AF6"/>
    <w:rsid w:val="00CD3CBE"/>
    <w:rsid w:val="00CD5614"/>
    <w:rsid w:val="00CD636C"/>
    <w:rsid w:val="00CD711A"/>
    <w:rsid w:val="00CE03DE"/>
    <w:rsid w:val="00CE3D85"/>
    <w:rsid w:val="00CE49B4"/>
    <w:rsid w:val="00CF1452"/>
    <w:rsid w:val="00CF6960"/>
    <w:rsid w:val="00D00C86"/>
    <w:rsid w:val="00D02269"/>
    <w:rsid w:val="00D04963"/>
    <w:rsid w:val="00D04DB0"/>
    <w:rsid w:val="00D04EFD"/>
    <w:rsid w:val="00D05475"/>
    <w:rsid w:val="00D07883"/>
    <w:rsid w:val="00D111DF"/>
    <w:rsid w:val="00D130E3"/>
    <w:rsid w:val="00D13A95"/>
    <w:rsid w:val="00D209FB"/>
    <w:rsid w:val="00D22738"/>
    <w:rsid w:val="00D23CB9"/>
    <w:rsid w:val="00D252B2"/>
    <w:rsid w:val="00D254AE"/>
    <w:rsid w:val="00D27078"/>
    <w:rsid w:val="00D302A2"/>
    <w:rsid w:val="00D30DAA"/>
    <w:rsid w:val="00D313A3"/>
    <w:rsid w:val="00D3337A"/>
    <w:rsid w:val="00D343D8"/>
    <w:rsid w:val="00D347E0"/>
    <w:rsid w:val="00D34AD8"/>
    <w:rsid w:val="00D359B7"/>
    <w:rsid w:val="00D41FCC"/>
    <w:rsid w:val="00D42D5A"/>
    <w:rsid w:val="00D4304C"/>
    <w:rsid w:val="00D443D8"/>
    <w:rsid w:val="00D4618E"/>
    <w:rsid w:val="00D47918"/>
    <w:rsid w:val="00D531D5"/>
    <w:rsid w:val="00D539C6"/>
    <w:rsid w:val="00D55012"/>
    <w:rsid w:val="00D553EC"/>
    <w:rsid w:val="00D55FB1"/>
    <w:rsid w:val="00D566DE"/>
    <w:rsid w:val="00D56FEF"/>
    <w:rsid w:val="00D57071"/>
    <w:rsid w:val="00D62ED1"/>
    <w:rsid w:val="00D62FEA"/>
    <w:rsid w:val="00D63B7C"/>
    <w:rsid w:val="00D64667"/>
    <w:rsid w:val="00D64788"/>
    <w:rsid w:val="00D65C7F"/>
    <w:rsid w:val="00D668AD"/>
    <w:rsid w:val="00D674A6"/>
    <w:rsid w:val="00D7063B"/>
    <w:rsid w:val="00D74067"/>
    <w:rsid w:val="00D75614"/>
    <w:rsid w:val="00D75D75"/>
    <w:rsid w:val="00D767D0"/>
    <w:rsid w:val="00D77850"/>
    <w:rsid w:val="00D815EA"/>
    <w:rsid w:val="00D81CDC"/>
    <w:rsid w:val="00D84FE2"/>
    <w:rsid w:val="00D84FE8"/>
    <w:rsid w:val="00D8568B"/>
    <w:rsid w:val="00D85A2E"/>
    <w:rsid w:val="00D866F3"/>
    <w:rsid w:val="00D879B4"/>
    <w:rsid w:val="00D918DB"/>
    <w:rsid w:val="00D937FF"/>
    <w:rsid w:val="00D94C3B"/>
    <w:rsid w:val="00D94FDC"/>
    <w:rsid w:val="00D95C45"/>
    <w:rsid w:val="00D9655B"/>
    <w:rsid w:val="00DA1392"/>
    <w:rsid w:val="00DA2683"/>
    <w:rsid w:val="00DA26DF"/>
    <w:rsid w:val="00DA2A23"/>
    <w:rsid w:val="00DA2C92"/>
    <w:rsid w:val="00DA627C"/>
    <w:rsid w:val="00DB154D"/>
    <w:rsid w:val="00DB15FB"/>
    <w:rsid w:val="00DB44F3"/>
    <w:rsid w:val="00DB59FD"/>
    <w:rsid w:val="00DB6614"/>
    <w:rsid w:val="00DC097A"/>
    <w:rsid w:val="00DC3A1A"/>
    <w:rsid w:val="00DC441A"/>
    <w:rsid w:val="00DC44A0"/>
    <w:rsid w:val="00DC5921"/>
    <w:rsid w:val="00DC5BDD"/>
    <w:rsid w:val="00DC5E24"/>
    <w:rsid w:val="00DC6304"/>
    <w:rsid w:val="00DD0493"/>
    <w:rsid w:val="00DD0968"/>
    <w:rsid w:val="00DD1374"/>
    <w:rsid w:val="00DD1676"/>
    <w:rsid w:val="00DD17EF"/>
    <w:rsid w:val="00DD2629"/>
    <w:rsid w:val="00DD61CB"/>
    <w:rsid w:val="00DE12DE"/>
    <w:rsid w:val="00DE1DB8"/>
    <w:rsid w:val="00DE20B1"/>
    <w:rsid w:val="00DE2494"/>
    <w:rsid w:val="00DE32C1"/>
    <w:rsid w:val="00DE39A5"/>
    <w:rsid w:val="00DE3FF0"/>
    <w:rsid w:val="00DE4457"/>
    <w:rsid w:val="00DE4A42"/>
    <w:rsid w:val="00DE684E"/>
    <w:rsid w:val="00DE6E3F"/>
    <w:rsid w:val="00DE79C9"/>
    <w:rsid w:val="00DE7D59"/>
    <w:rsid w:val="00DF082B"/>
    <w:rsid w:val="00DF18C1"/>
    <w:rsid w:val="00DF1AD9"/>
    <w:rsid w:val="00DF21C9"/>
    <w:rsid w:val="00DF3C71"/>
    <w:rsid w:val="00DF538D"/>
    <w:rsid w:val="00DF6BB3"/>
    <w:rsid w:val="00DF7567"/>
    <w:rsid w:val="00E01584"/>
    <w:rsid w:val="00E040D8"/>
    <w:rsid w:val="00E042F4"/>
    <w:rsid w:val="00E04732"/>
    <w:rsid w:val="00E05B9F"/>
    <w:rsid w:val="00E100F3"/>
    <w:rsid w:val="00E10C0C"/>
    <w:rsid w:val="00E11A1D"/>
    <w:rsid w:val="00E16D19"/>
    <w:rsid w:val="00E201EE"/>
    <w:rsid w:val="00E20DF3"/>
    <w:rsid w:val="00E21D8E"/>
    <w:rsid w:val="00E22E53"/>
    <w:rsid w:val="00E23AF4"/>
    <w:rsid w:val="00E27089"/>
    <w:rsid w:val="00E27AAE"/>
    <w:rsid w:val="00E30C1D"/>
    <w:rsid w:val="00E31619"/>
    <w:rsid w:val="00E34FAC"/>
    <w:rsid w:val="00E35CBB"/>
    <w:rsid w:val="00E36408"/>
    <w:rsid w:val="00E36A37"/>
    <w:rsid w:val="00E417E3"/>
    <w:rsid w:val="00E43799"/>
    <w:rsid w:val="00E43A72"/>
    <w:rsid w:val="00E43F64"/>
    <w:rsid w:val="00E44FE7"/>
    <w:rsid w:val="00E506B2"/>
    <w:rsid w:val="00E54722"/>
    <w:rsid w:val="00E547F0"/>
    <w:rsid w:val="00E55A96"/>
    <w:rsid w:val="00E577F2"/>
    <w:rsid w:val="00E60D00"/>
    <w:rsid w:val="00E63C52"/>
    <w:rsid w:val="00E66033"/>
    <w:rsid w:val="00E6637B"/>
    <w:rsid w:val="00E67287"/>
    <w:rsid w:val="00E67D1E"/>
    <w:rsid w:val="00E7033D"/>
    <w:rsid w:val="00E72AC8"/>
    <w:rsid w:val="00E74D40"/>
    <w:rsid w:val="00E75584"/>
    <w:rsid w:val="00E77B59"/>
    <w:rsid w:val="00E80ED9"/>
    <w:rsid w:val="00E84DF2"/>
    <w:rsid w:val="00E84F99"/>
    <w:rsid w:val="00E86FCB"/>
    <w:rsid w:val="00E87A1A"/>
    <w:rsid w:val="00E90A56"/>
    <w:rsid w:val="00E92F16"/>
    <w:rsid w:val="00E945E7"/>
    <w:rsid w:val="00E95F43"/>
    <w:rsid w:val="00E96201"/>
    <w:rsid w:val="00EA27A2"/>
    <w:rsid w:val="00EA28AA"/>
    <w:rsid w:val="00EA38D5"/>
    <w:rsid w:val="00EA5DC9"/>
    <w:rsid w:val="00EA6B25"/>
    <w:rsid w:val="00EA7EFB"/>
    <w:rsid w:val="00EB0DD8"/>
    <w:rsid w:val="00EB2E3F"/>
    <w:rsid w:val="00EB30DB"/>
    <w:rsid w:val="00EB4B17"/>
    <w:rsid w:val="00EB7C0F"/>
    <w:rsid w:val="00EB7EF3"/>
    <w:rsid w:val="00EC068E"/>
    <w:rsid w:val="00EC0FDA"/>
    <w:rsid w:val="00EC3BF9"/>
    <w:rsid w:val="00EC3CCE"/>
    <w:rsid w:val="00EC4D3D"/>
    <w:rsid w:val="00EC53D2"/>
    <w:rsid w:val="00EC7ADB"/>
    <w:rsid w:val="00ED01C1"/>
    <w:rsid w:val="00ED2A13"/>
    <w:rsid w:val="00ED2F84"/>
    <w:rsid w:val="00ED30EF"/>
    <w:rsid w:val="00ED3913"/>
    <w:rsid w:val="00ED40B2"/>
    <w:rsid w:val="00ED45E1"/>
    <w:rsid w:val="00ED4E9F"/>
    <w:rsid w:val="00ED6A08"/>
    <w:rsid w:val="00EE0450"/>
    <w:rsid w:val="00EE37C8"/>
    <w:rsid w:val="00EE7A85"/>
    <w:rsid w:val="00EF45D4"/>
    <w:rsid w:val="00EF59CB"/>
    <w:rsid w:val="00F008A7"/>
    <w:rsid w:val="00F016FA"/>
    <w:rsid w:val="00F02173"/>
    <w:rsid w:val="00F03319"/>
    <w:rsid w:val="00F048D9"/>
    <w:rsid w:val="00F04E22"/>
    <w:rsid w:val="00F05755"/>
    <w:rsid w:val="00F07AB9"/>
    <w:rsid w:val="00F125FF"/>
    <w:rsid w:val="00F12E9C"/>
    <w:rsid w:val="00F13E8E"/>
    <w:rsid w:val="00F2181D"/>
    <w:rsid w:val="00F22A55"/>
    <w:rsid w:val="00F23F94"/>
    <w:rsid w:val="00F24030"/>
    <w:rsid w:val="00F242B0"/>
    <w:rsid w:val="00F242B2"/>
    <w:rsid w:val="00F25C6B"/>
    <w:rsid w:val="00F270D4"/>
    <w:rsid w:val="00F3092F"/>
    <w:rsid w:val="00F30EA4"/>
    <w:rsid w:val="00F3488E"/>
    <w:rsid w:val="00F36FF9"/>
    <w:rsid w:val="00F3762F"/>
    <w:rsid w:val="00F41DB4"/>
    <w:rsid w:val="00F41DFE"/>
    <w:rsid w:val="00F43CCF"/>
    <w:rsid w:val="00F4490B"/>
    <w:rsid w:val="00F451CB"/>
    <w:rsid w:val="00F54AF5"/>
    <w:rsid w:val="00F5712B"/>
    <w:rsid w:val="00F57A04"/>
    <w:rsid w:val="00F644CD"/>
    <w:rsid w:val="00F65523"/>
    <w:rsid w:val="00F6664A"/>
    <w:rsid w:val="00F7052D"/>
    <w:rsid w:val="00F71244"/>
    <w:rsid w:val="00F737C1"/>
    <w:rsid w:val="00F768B9"/>
    <w:rsid w:val="00F80D9C"/>
    <w:rsid w:val="00F825B6"/>
    <w:rsid w:val="00F87141"/>
    <w:rsid w:val="00F92697"/>
    <w:rsid w:val="00F92D90"/>
    <w:rsid w:val="00F962E5"/>
    <w:rsid w:val="00FA06A9"/>
    <w:rsid w:val="00FA093F"/>
    <w:rsid w:val="00FA0AE0"/>
    <w:rsid w:val="00FA3E37"/>
    <w:rsid w:val="00FA546C"/>
    <w:rsid w:val="00FA76F1"/>
    <w:rsid w:val="00FB15A3"/>
    <w:rsid w:val="00FB2497"/>
    <w:rsid w:val="00FB5D4F"/>
    <w:rsid w:val="00FB729A"/>
    <w:rsid w:val="00FC11BE"/>
    <w:rsid w:val="00FC21C6"/>
    <w:rsid w:val="00FC3E30"/>
    <w:rsid w:val="00FC4B01"/>
    <w:rsid w:val="00FC55AB"/>
    <w:rsid w:val="00FC726E"/>
    <w:rsid w:val="00FC74B1"/>
    <w:rsid w:val="00FD107E"/>
    <w:rsid w:val="00FD40F2"/>
    <w:rsid w:val="00FD5090"/>
    <w:rsid w:val="00FD5B6B"/>
    <w:rsid w:val="00FD6DE3"/>
    <w:rsid w:val="00FD7085"/>
    <w:rsid w:val="00FE2544"/>
    <w:rsid w:val="00FE3F21"/>
    <w:rsid w:val="00FE41D5"/>
    <w:rsid w:val="00FE43B3"/>
    <w:rsid w:val="00FE48E3"/>
    <w:rsid w:val="00FE6F2D"/>
    <w:rsid w:val="00FE7BB1"/>
    <w:rsid w:val="00FF0769"/>
    <w:rsid w:val="00FF1466"/>
    <w:rsid w:val="00FF3625"/>
    <w:rsid w:val="00FF411B"/>
    <w:rsid w:val="00FF44B1"/>
    <w:rsid w:val="00FF4F9E"/>
    <w:rsid w:val="00FF6AD9"/>
    <w:rsid w:val="00FF70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09B53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paragraph" w:customStyle="1" w:styleId="xmsonormal">
    <w:name w:val="x_msonormal"/>
    <w:basedOn w:val="Normal"/>
    <w:rsid w:val="00782549"/>
    <w:pPr>
      <w:spacing w:before="100" w:beforeAutospacing="1" w:after="100" w:afterAutospacing="1"/>
    </w:pPr>
    <w:rPr>
      <w:sz w:val="24"/>
      <w:szCs w:val="24"/>
    </w:rPr>
  </w:style>
  <w:style w:type="character" w:customStyle="1" w:styleId="UnresolvedMention15">
    <w:name w:val="Unresolved Mention15"/>
    <w:rsid w:val="008531EF"/>
    <w:rPr>
      <w:color w:val="605E5C"/>
      <w:shd w:val="clear" w:color="auto" w:fill="E1DFDD"/>
    </w:rPr>
  </w:style>
  <w:style w:type="character" w:customStyle="1" w:styleId="markedcontent">
    <w:name w:val="markedcontent"/>
    <w:basedOn w:val="DefaultParagraphFont"/>
    <w:rsid w:val="00F2181D"/>
  </w:style>
  <w:style w:type="character" w:customStyle="1" w:styleId="UnresolvedMention16">
    <w:name w:val="Unresolved Mention16"/>
    <w:rsid w:val="006B3829"/>
    <w:rPr>
      <w:color w:val="605E5C"/>
      <w:shd w:val="clear" w:color="auto" w:fill="E1DFDD"/>
    </w:rPr>
  </w:style>
  <w:style w:type="character" w:customStyle="1" w:styleId="UnresolvedMention">
    <w:name w:val="Unresolved Mention"/>
    <w:rsid w:val="00FB5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tracey.wilson@fcc.gov" TargetMode="External" /><Relationship Id="rId11" Type="http://schemas.openxmlformats.org/officeDocument/2006/relationships/hyperlink" Target="mailto:dennis.johnson@fcc.gov" TargetMode="External" /><Relationship Id="rId12" Type="http://schemas.openxmlformats.org/officeDocument/2006/relationships/hyperlink" Target="mailto:david.krech@fcc.gov" TargetMode="External" /><Relationship Id="rId13" Type="http://schemas.openxmlformats.org/officeDocument/2006/relationships/hyperlink" Target="mailto:jim.bird@fcc.gov" TargetMode="External" /><Relationship Id="rId14" Type="http://schemas.openxmlformats.org/officeDocument/2006/relationships/footer" Target="footer3.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