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515FF" w:rsidRPr="009A620F" w:rsidP="005515FF" w14:paraId="06FEEF54" w14:textId="029DE535">
      <w:pPr>
        <w:jc w:val="right"/>
        <w:rPr>
          <w:b/>
          <w:snapToGrid/>
          <w:szCs w:val="22"/>
        </w:rPr>
      </w:pPr>
      <w:r w:rsidRPr="009A620F">
        <w:rPr>
          <w:b/>
          <w:szCs w:val="22"/>
        </w:rPr>
        <w:t>DA 21</w:t>
      </w:r>
      <w:r w:rsidRPr="009A620F" w:rsidR="009A620F">
        <w:rPr>
          <w:b/>
          <w:szCs w:val="22"/>
        </w:rPr>
        <w:t>-1476</w:t>
      </w:r>
    </w:p>
    <w:p w:rsidR="005515FF" w:rsidRPr="005D6879" w:rsidP="005515FF" w14:paraId="7D302A8D" w14:textId="13172DD0">
      <w:pPr>
        <w:spacing w:before="60"/>
        <w:jc w:val="right"/>
        <w:rPr>
          <w:b/>
          <w:szCs w:val="22"/>
        </w:rPr>
      </w:pPr>
      <w:r w:rsidRPr="005D6879">
        <w:rPr>
          <w:b/>
          <w:szCs w:val="22"/>
        </w:rPr>
        <w:t>November 29</w:t>
      </w:r>
      <w:r w:rsidRPr="005D6879">
        <w:rPr>
          <w:b/>
          <w:szCs w:val="22"/>
        </w:rPr>
        <w:t>, 2021</w:t>
      </w:r>
    </w:p>
    <w:p w:rsidR="005515FF" w:rsidRPr="005D6879" w:rsidP="005515FF" w14:paraId="3BDD568A" w14:textId="77777777">
      <w:pPr>
        <w:spacing w:before="60"/>
        <w:jc w:val="right"/>
        <w:rPr>
          <w:b/>
          <w:szCs w:val="22"/>
        </w:rPr>
      </w:pPr>
    </w:p>
    <w:p w:rsidR="00D07879" w:rsidP="005515FF" w14:paraId="7AC570EE" w14:textId="6061F23C">
      <w:pPr>
        <w:jc w:val="center"/>
        <w:outlineLvl w:val="0"/>
        <w:rPr>
          <w:b/>
          <w:szCs w:val="22"/>
        </w:rPr>
      </w:pPr>
      <w:bookmarkStart w:id="0" w:name="TOChere"/>
      <w:r w:rsidRPr="005D6879">
        <w:rPr>
          <w:b/>
          <w:szCs w:val="22"/>
        </w:rPr>
        <w:t xml:space="preserve">MEDIA BUREAU </w:t>
      </w:r>
      <w:r w:rsidR="005D6879">
        <w:rPr>
          <w:b/>
          <w:szCs w:val="22"/>
        </w:rPr>
        <w:t xml:space="preserve">IDENTIFIES GROUPS OF MUTUALLY EXCLUSIVE APPLICATIONS SUBMITTED IN THE NOVEMBER 2021, FILING WINDOW FOR NEW NONCOMMERCIAL </w:t>
      </w:r>
      <w:r w:rsidR="00AA6B29">
        <w:rPr>
          <w:b/>
          <w:szCs w:val="22"/>
        </w:rPr>
        <w:t xml:space="preserve">EDUCATIONAL </w:t>
      </w:r>
      <w:r w:rsidR="005D6879">
        <w:rPr>
          <w:b/>
          <w:szCs w:val="22"/>
        </w:rPr>
        <w:t xml:space="preserve">FM STATIONS </w:t>
      </w:r>
    </w:p>
    <w:p w:rsidR="00D07879" w:rsidP="005515FF" w14:paraId="6C8BABAC" w14:textId="77777777">
      <w:pPr>
        <w:jc w:val="center"/>
        <w:outlineLvl w:val="0"/>
        <w:rPr>
          <w:b/>
          <w:szCs w:val="22"/>
        </w:rPr>
      </w:pPr>
    </w:p>
    <w:p w:rsidR="005515FF" w:rsidRPr="005D6879" w:rsidP="005515FF" w14:paraId="354DB497" w14:textId="038A5280">
      <w:pPr>
        <w:jc w:val="center"/>
        <w:outlineLvl w:val="0"/>
        <w:rPr>
          <w:b/>
          <w:szCs w:val="22"/>
        </w:rPr>
      </w:pPr>
      <w:r>
        <w:rPr>
          <w:b/>
          <w:szCs w:val="22"/>
        </w:rPr>
        <w:t xml:space="preserve">OPENS WINDOW TO ACCEPT SETTLEMENTS AND TECHNICAL AMENDMENTS </w:t>
      </w:r>
    </w:p>
    <w:p w:rsidR="005515FF" w:rsidRPr="005D6879" w:rsidP="005515FF" w14:paraId="0115D123" w14:textId="77777777">
      <w:pPr>
        <w:outlineLvl w:val="0"/>
        <w:rPr>
          <w:b/>
          <w:szCs w:val="22"/>
        </w:rPr>
      </w:pPr>
    </w:p>
    <w:p w:rsidR="0091196C" w:rsidRPr="00B165F5" w:rsidP="00B165F5" w14:paraId="16559083" w14:textId="22C0C134">
      <w:pPr>
        <w:jc w:val="center"/>
        <w:outlineLvl w:val="0"/>
        <w:rPr>
          <w:bCs/>
          <w:szCs w:val="22"/>
        </w:rPr>
      </w:pPr>
      <w:r w:rsidRPr="005D6879">
        <w:rPr>
          <w:bCs/>
          <w:szCs w:val="22"/>
        </w:rPr>
        <w:t>MB Docket No. 20-343</w:t>
      </w:r>
    </w:p>
    <w:p w:rsidR="005D6879" w:rsidP="0091196C" w14:paraId="470160B4" w14:textId="4D7ED8F2">
      <w:pPr>
        <w:jc w:val="center"/>
        <w:outlineLvl w:val="0"/>
        <w:rPr>
          <w:b/>
          <w:szCs w:val="22"/>
        </w:rPr>
      </w:pPr>
      <w:r w:rsidRPr="005D6879">
        <w:rPr>
          <w:b/>
          <w:szCs w:val="22"/>
        </w:rPr>
        <w:t xml:space="preserve"> </w:t>
      </w:r>
    </w:p>
    <w:p w:rsidR="006C3614" w:rsidP="006C3614" w14:paraId="36716367" w14:textId="77777777">
      <w:pPr>
        <w:widowControl/>
        <w:autoSpaceDE w:val="0"/>
        <w:autoSpaceDN w:val="0"/>
        <w:adjustRightInd w:val="0"/>
        <w:ind w:firstLine="720"/>
        <w:rPr>
          <w:bCs/>
          <w:szCs w:val="22"/>
        </w:rPr>
      </w:pPr>
      <w:r>
        <w:rPr>
          <w:bCs/>
          <w:szCs w:val="22"/>
        </w:rPr>
        <w:t>The filing window for applications for new noncommercial educational (NCE) FM new station construction permits closed</w:t>
      </w:r>
      <w:r>
        <w:rPr>
          <w:szCs w:val="22"/>
        </w:rPr>
        <w:t xml:space="preserve"> on Tuesday, November 9, 2021</w:t>
      </w:r>
      <w:r>
        <w:rPr>
          <w:bCs/>
          <w:szCs w:val="22"/>
        </w:rPr>
        <w:t>.</w:t>
      </w:r>
      <w:r>
        <w:rPr>
          <w:rStyle w:val="FootnoteReference"/>
          <w:bCs/>
          <w:szCs w:val="22"/>
        </w:rPr>
        <w:footnoteReference w:id="3"/>
      </w:r>
      <w:r>
        <w:rPr>
          <w:bCs/>
          <w:szCs w:val="22"/>
        </w:rPr>
        <w:t xml:space="preserve"> </w:t>
      </w:r>
      <w:r w:rsidR="00C01570">
        <w:rPr>
          <w:snapToGrid/>
          <w:color w:val="2E2E2E"/>
          <w:kern w:val="0"/>
          <w:szCs w:val="22"/>
        </w:rPr>
        <w:t xml:space="preserve"> </w:t>
      </w:r>
      <w:r>
        <w:rPr>
          <w:snapToGrid/>
          <w:color w:val="2E2E2E"/>
          <w:kern w:val="0"/>
          <w:szCs w:val="22"/>
        </w:rPr>
        <w:t>T</w:t>
      </w:r>
      <w:r w:rsidR="00C01570">
        <w:rPr>
          <w:snapToGrid/>
          <w:color w:val="2E2E2E"/>
          <w:kern w:val="0"/>
          <w:szCs w:val="22"/>
        </w:rPr>
        <w:t xml:space="preserve">he Media </w:t>
      </w:r>
      <w:r w:rsidR="00252632">
        <w:rPr>
          <w:snapToGrid/>
          <w:color w:val="2E2E2E"/>
          <w:kern w:val="0"/>
          <w:szCs w:val="22"/>
        </w:rPr>
        <w:t xml:space="preserve">Bureau (Bureau) </w:t>
      </w:r>
      <w:r w:rsidRPr="0091196C" w:rsidR="00C01570">
        <w:rPr>
          <w:snapToGrid/>
          <w:color w:val="2E2E2E"/>
          <w:kern w:val="0"/>
          <w:szCs w:val="22"/>
        </w:rPr>
        <w:t>received</w:t>
      </w:r>
      <w:r w:rsidR="00C01570">
        <w:rPr>
          <w:snapToGrid/>
          <w:color w:val="2E2E2E"/>
          <w:kern w:val="0"/>
          <w:szCs w:val="22"/>
        </w:rPr>
        <w:t xml:space="preserve"> </w:t>
      </w:r>
      <w:r w:rsidRPr="00B22D16" w:rsidR="00C01570">
        <w:rPr>
          <w:snapToGrid/>
          <w:color w:val="2E2E2E"/>
          <w:kern w:val="0"/>
          <w:szCs w:val="22"/>
        </w:rPr>
        <w:t>1,2</w:t>
      </w:r>
      <w:r w:rsidRPr="00B22D16" w:rsidR="00684676">
        <w:rPr>
          <w:snapToGrid/>
          <w:color w:val="2E2E2E"/>
          <w:kern w:val="0"/>
          <w:szCs w:val="22"/>
        </w:rPr>
        <w:t>82</w:t>
      </w:r>
      <w:r w:rsidRPr="0091196C" w:rsidR="00C01570">
        <w:rPr>
          <w:snapToGrid/>
          <w:color w:val="2E2E2E"/>
          <w:kern w:val="0"/>
          <w:szCs w:val="22"/>
        </w:rPr>
        <w:t xml:space="preserve"> </w:t>
      </w:r>
      <w:r>
        <w:rPr>
          <w:snapToGrid/>
          <w:color w:val="2E2E2E"/>
          <w:kern w:val="0"/>
          <w:szCs w:val="22"/>
        </w:rPr>
        <w:t>applications for new NCE FM stations during the window.</w:t>
      </w:r>
      <w:r w:rsidR="00252632">
        <w:rPr>
          <w:snapToGrid/>
          <w:color w:val="2E2E2E"/>
          <w:kern w:val="0"/>
          <w:szCs w:val="22"/>
        </w:rPr>
        <w:t xml:space="preserve">  The </w:t>
      </w:r>
      <w:r w:rsidR="00252632">
        <w:rPr>
          <w:bCs/>
          <w:szCs w:val="22"/>
        </w:rPr>
        <w:t xml:space="preserve">Bureau staff has reviewed the applications to identify </w:t>
      </w:r>
      <w:r w:rsidR="0017527A">
        <w:rPr>
          <w:bCs/>
          <w:szCs w:val="22"/>
        </w:rPr>
        <w:t>(1)</w:t>
      </w:r>
      <w:r w:rsidR="00FA479F">
        <w:rPr>
          <w:bCs/>
          <w:szCs w:val="22"/>
        </w:rPr>
        <w:t xml:space="preserve"> applications that must be dismissed </w:t>
      </w:r>
      <w:r w:rsidR="0029082F">
        <w:rPr>
          <w:bCs/>
          <w:szCs w:val="22"/>
        </w:rPr>
        <w:t xml:space="preserve">due to filing </w:t>
      </w:r>
      <w:r w:rsidR="00FA479F">
        <w:rPr>
          <w:bCs/>
          <w:szCs w:val="22"/>
        </w:rPr>
        <w:t xml:space="preserve">in excess of the </w:t>
      </w:r>
      <w:r w:rsidR="0029082F">
        <w:rPr>
          <w:bCs/>
          <w:szCs w:val="22"/>
        </w:rPr>
        <w:t>10</w:t>
      </w:r>
      <w:r w:rsidR="009E107D">
        <w:rPr>
          <w:bCs/>
          <w:szCs w:val="22"/>
        </w:rPr>
        <w:t>-</w:t>
      </w:r>
      <w:r w:rsidR="00FA479F">
        <w:rPr>
          <w:bCs/>
          <w:szCs w:val="22"/>
        </w:rPr>
        <w:t xml:space="preserve">application </w:t>
      </w:r>
      <w:r w:rsidR="0029082F">
        <w:rPr>
          <w:bCs/>
          <w:szCs w:val="22"/>
        </w:rPr>
        <w:t>limit</w:t>
      </w:r>
      <w:r w:rsidR="00FA479F">
        <w:rPr>
          <w:bCs/>
          <w:szCs w:val="22"/>
        </w:rPr>
        <w:t>;</w:t>
      </w:r>
      <w:r>
        <w:rPr>
          <w:rStyle w:val="FootnoteReference"/>
          <w:bCs/>
          <w:szCs w:val="22"/>
        </w:rPr>
        <w:footnoteReference w:id="4"/>
      </w:r>
      <w:r w:rsidR="0017527A">
        <w:rPr>
          <w:bCs/>
          <w:szCs w:val="22"/>
        </w:rPr>
        <w:t xml:space="preserve"> (2) singletons, which are applications that are not mutually exclusive (MX) with any other application filed in the window</w:t>
      </w:r>
      <w:r w:rsidR="0045124D">
        <w:rPr>
          <w:bCs/>
          <w:szCs w:val="22"/>
        </w:rPr>
        <w:t>, and can be accepted for filing</w:t>
      </w:r>
      <w:r w:rsidR="00FE627B">
        <w:rPr>
          <w:bCs/>
          <w:szCs w:val="22"/>
        </w:rPr>
        <w:t>;</w:t>
      </w:r>
      <w:r>
        <w:rPr>
          <w:rStyle w:val="FootnoteReference"/>
          <w:bCs/>
          <w:szCs w:val="22"/>
        </w:rPr>
        <w:footnoteReference w:id="5"/>
      </w:r>
      <w:r w:rsidR="0017527A">
        <w:rPr>
          <w:bCs/>
          <w:szCs w:val="22"/>
        </w:rPr>
        <w:t xml:space="preserve"> </w:t>
      </w:r>
      <w:r>
        <w:rPr>
          <w:bCs/>
          <w:szCs w:val="22"/>
        </w:rPr>
        <w:t>(3) singletons with</w:t>
      </w:r>
      <w:r w:rsidR="00C179E2">
        <w:rPr>
          <w:bCs/>
          <w:szCs w:val="22"/>
        </w:rPr>
        <w:t xml:space="preserve"> acceptability </w:t>
      </w:r>
      <w:r w:rsidR="00CD4699">
        <w:rPr>
          <w:bCs/>
          <w:szCs w:val="22"/>
        </w:rPr>
        <w:t>defects;</w:t>
      </w:r>
      <w:r>
        <w:rPr>
          <w:rStyle w:val="FootnoteReference"/>
          <w:bCs/>
          <w:szCs w:val="22"/>
        </w:rPr>
        <w:footnoteReference w:id="6"/>
      </w:r>
      <w:r>
        <w:rPr>
          <w:bCs/>
          <w:szCs w:val="22"/>
        </w:rPr>
        <w:t xml:space="preserve"> </w:t>
      </w:r>
      <w:r w:rsidR="0017527A">
        <w:rPr>
          <w:bCs/>
          <w:szCs w:val="22"/>
        </w:rPr>
        <w:t xml:space="preserve">and (3) </w:t>
      </w:r>
      <w:r w:rsidR="00252632">
        <w:rPr>
          <w:bCs/>
          <w:szCs w:val="22"/>
        </w:rPr>
        <w:t>mutually exclusive (MX) groups of applications</w:t>
      </w:r>
      <w:r w:rsidR="0017527A">
        <w:rPr>
          <w:bCs/>
          <w:szCs w:val="22"/>
        </w:rPr>
        <w:t>.</w:t>
      </w:r>
      <w:r>
        <w:rPr>
          <w:rStyle w:val="FootnoteReference"/>
          <w:bCs/>
          <w:szCs w:val="22"/>
        </w:rPr>
        <w:footnoteReference w:id="7"/>
      </w:r>
      <w:r w:rsidR="00252632">
        <w:rPr>
          <w:bCs/>
          <w:szCs w:val="22"/>
        </w:rPr>
        <w:t xml:space="preserve"> </w:t>
      </w:r>
    </w:p>
    <w:p w:rsidR="005405BD" w:rsidP="006C3614" w14:paraId="10CF1EF5" w14:textId="6C9BF776">
      <w:pPr>
        <w:widowControl/>
        <w:autoSpaceDE w:val="0"/>
        <w:autoSpaceDN w:val="0"/>
        <w:adjustRightInd w:val="0"/>
        <w:ind w:firstLine="720"/>
        <w:rPr>
          <w:bCs/>
          <w:szCs w:val="22"/>
        </w:rPr>
      </w:pPr>
      <w:r>
        <w:rPr>
          <w:bCs/>
          <w:szCs w:val="22"/>
        </w:rPr>
        <w:t xml:space="preserve"> </w:t>
      </w:r>
    </w:p>
    <w:p w:rsidR="009E14C0" w:rsidP="00FA479F" w14:paraId="63B48708" w14:textId="5E36D271">
      <w:pPr>
        <w:widowControl/>
        <w:autoSpaceDE w:val="0"/>
        <w:autoSpaceDN w:val="0"/>
        <w:adjustRightInd w:val="0"/>
        <w:ind w:firstLine="720"/>
        <w:rPr>
          <w:bCs/>
          <w:szCs w:val="22"/>
        </w:rPr>
      </w:pPr>
      <w:bookmarkStart w:id="1" w:name="_Hlk88224264"/>
      <w:r>
        <w:rPr>
          <w:bCs/>
          <w:szCs w:val="22"/>
        </w:rPr>
        <w:t xml:space="preserve">To </w:t>
      </w:r>
      <w:r w:rsidR="000A59E5">
        <w:rPr>
          <w:bCs/>
          <w:szCs w:val="22"/>
        </w:rPr>
        <w:t xml:space="preserve">provide </w:t>
      </w:r>
      <w:r>
        <w:rPr>
          <w:bCs/>
          <w:szCs w:val="22"/>
        </w:rPr>
        <w:t xml:space="preserve">staff time to review the applications </w:t>
      </w:r>
      <w:r w:rsidR="000A59E5">
        <w:rPr>
          <w:bCs/>
          <w:szCs w:val="22"/>
        </w:rPr>
        <w:t>and</w:t>
      </w:r>
      <w:r>
        <w:rPr>
          <w:bCs/>
          <w:szCs w:val="22"/>
        </w:rPr>
        <w:t xml:space="preserve"> identify singletons and MX groups,</w:t>
      </w:r>
      <w:r>
        <w:rPr>
          <w:bCs/>
          <w:szCs w:val="22"/>
        </w:rPr>
        <w:t xml:space="preserve"> the Bureau </w:t>
      </w:r>
      <w:r>
        <w:rPr>
          <w:bCs/>
          <w:szCs w:val="22"/>
        </w:rPr>
        <w:t xml:space="preserve">previously </w:t>
      </w:r>
      <w:r>
        <w:rPr>
          <w:bCs/>
          <w:szCs w:val="22"/>
        </w:rPr>
        <w:t xml:space="preserve">announced </w:t>
      </w:r>
      <w:bookmarkEnd w:id="1"/>
      <w:r>
        <w:rPr>
          <w:bCs/>
          <w:szCs w:val="22"/>
        </w:rPr>
        <w:t>a temporary freeze on the filing of any amendments to NCE FM new station applications submitted in the November 2021, filing window.</w:t>
      </w:r>
      <w:r>
        <w:rPr>
          <w:rStyle w:val="FootnoteReference"/>
          <w:bCs/>
          <w:szCs w:val="22"/>
        </w:rPr>
        <w:footnoteReference w:id="8"/>
      </w:r>
      <w:r>
        <w:rPr>
          <w:bCs/>
          <w:szCs w:val="22"/>
        </w:rPr>
        <w:t xml:space="preserve">  This temporary freeze</w:t>
      </w:r>
      <w:r w:rsidR="008D26F5">
        <w:rPr>
          <w:bCs/>
          <w:szCs w:val="22"/>
        </w:rPr>
        <w:t xml:space="preserve"> </w:t>
      </w:r>
      <w:r w:rsidRPr="00923E8B">
        <w:rPr>
          <w:bCs/>
          <w:szCs w:val="22"/>
        </w:rPr>
        <w:t>ends</w:t>
      </w:r>
      <w:r w:rsidRPr="00923E8B" w:rsidR="008D26F5">
        <w:t xml:space="preserve"> at </w:t>
      </w:r>
      <w:r w:rsidRPr="00923E8B" w:rsidR="00A56310">
        <w:t>6</w:t>
      </w:r>
      <w:r w:rsidRPr="00923E8B" w:rsidR="008D26F5">
        <w:t>:00 pm EST on Monday, November 29, 2021</w:t>
      </w:r>
      <w:r w:rsidR="008D26F5">
        <w:t>.</w:t>
      </w:r>
      <w:r>
        <w:rPr>
          <w:rStyle w:val="FootnoteReference"/>
        </w:rPr>
        <w:footnoteReference w:id="9"/>
      </w:r>
      <w:r>
        <w:rPr>
          <w:bCs/>
          <w:szCs w:val="22"/>
        </w:rPr>
        <w:t xml:space="preserve">  </w:t>
      </w:r>
    </w:p>
    <w:p w:rsidR="005405BD" w:rsidP="00FA479F" w14:paraId="500C0AEC" w14:textId="77777777">
      <w:pPr>
        <w:widowControl/>
        <w:autoSpaceDE w:val="0"/>
        <w:autoSpaceDN w:val="0"/>
        <w:adjustRightInd w:val="0"/>
        <w:ind w:firstLine="720"/>
        <w:rPr>
          <w:bCs/>
          <w:szCs w:val="22"/>
        </w:rPr>
      </w:pPr>
    </w:p>
    <w:p w:rsidR="00FA479F" w:rsidP="00FA479F" w14:paraId="45986B0B" w14:textId="2C0D77D2">
      <w:pPr>
        <w:widowControl/>
        <w:autoSpaceDE w:val="0"/>
        <w:autoSpaceDN w:val="0"/>
        <w:adjustRightInd w:val="0"/>
        <w:ind w:firstLine="720"/>
        <w:rPr>
          <w:snapToGrid/>
          <w:color w:val="2E2E2E"/>
          <w:kern w:val="0"/>
          <w:szCs w:val="22"/>
        </w:rPr>
      </w:pPr>
      <w:r>
        <w:rPr>
          <w:b/>
          <w:szCs w:val="22"/>
        </w:rPr>
        <w:t xml:space="preserve">MX Groups.  </w:t>
      </w:r>
      <w:r>
        <w:rPr>
          <w:bCs/>
          <w:szCs w:val="22"/>
        </w:rPr>
        <w:t>The</w:t>
      </w:r>
      <w:r w:rsidR="0017527A">
        <w:rPr>
          <w:bCs/>
          <w:szCs w:val="22"/>
        </w:rPr>
        <w:t xml:space="preserve"> Bureau has identified </w:t>
      </w:r>
      <w:r w:rsidRPr="00B22D16" w:rsidR="00D67DFB">
        <w:rPr>
          <w:bCs/>
          <w:szCs w:val="22"/>
        </w:rPr>
        <w:t>2</w:t>
      </w:r>
      <w:r w:rsidRPr="00B22D16" w:rsidR="00B22D16">
        <w:rPr>
          <w:bCs/>
          <w:szCs w:val="22"/>
        </w:rPr>
        <w:t>31</w:t>
      </w:r>
      <w:r w:rsidR="0017527A">
        <w:rPr>
          <w:bCs/>
          <w:szCs w:val="22"/>
        </w:rPr>
        <w:t xml:space="preserve"> MX groups, comprising </w:t>
      </w:r>
      <w:r w:rsidRPr="00B22D16" w:rsidR="0017527A">
        <w:rPr>
          <w:bCs/>
          <w:szCs w:val="22"/>
        </w:rPr>
        <w:t>8</w:t>
      </w:r>
      <w:r w:rsidRPr="00B22D16" w:rsidR="00D67DFB">
        <w:rPr>
          <w:bCs/>
          <w:szCs w:val="22"/>
        </w:rPr>
        <w:t>8</w:t>
      </w:r>
      <w:r w:rsidRPr="00B22D16" w:rsidR="00B22D16">
        <w:rPr>
          <w:bCs/>
          <w:szCs w:val="22"/>
        </w:rPr>
        <w:t>3</w:t>
      </w:r>
      <w:r w:rsidR="0017527A">
        <w:rPr>
          <w:bCs/>
          <w:szCs w:val="22"/>
        </w:rPr>
        <w:t xml:space="preserve"> applications.</w:t>
      </w:r>
      <w:r>
        <w:rPr>
          <w:bCs/>
          <w:szCs w:val="22"/>
        </w:rPr>
        <w:t xml:space="preserve">  The MX groups</w:t>
      </w:r>
      <w:r w:rsidR="009015C5">
        <w:rPr>
          <w:bCs/>
          <w:szCs w:val="22"/>
        </w:rPr>
        <w:t>, and the applications contained within each MX group,</w:t>
      </w:r>
      <w:r>
        <w:rPr>
          <w:bCs/>
          <w:szCs w:val="22"/>
        </w:rPr>
        <w:t xml:space="preserve"> are listed in Attachment A.  If </w:t>
      </w:r>
      <w:r>
        <w:rPr>
          <w:snapToGrid/>
          <w:color w:val="2E2E2E"/>
          <w:kern w:val="0"/>
          <w:szCs w:val="22"/>
        </w:rPr>
        <w:t>a</w:t>
      </w:r>
      <w:r w:rsidRPr="00FA479F">
        <w:rPr>
          <w:snapToGrid/>
          <w:color w:val="2E2E2E"/>
          <w:kern w:val="0"/>
          <w:szCs w:val="22"/>
        </w:rPr>
        <w:t>n applicant believes any application has been erroneously included</w:t>
      </w:r>
      <w:r>
        <w:rPr>
          <w:snapToGrid/>
          <w:color w:val="2E2E2E"/>
          <w:kern w:val="0"/>
          <w:szCs w:val="22"/>
        </w:rPr>
        <w:t>,</w:t>
      </w:r>
      <w:r w:rsidRPr="00FA479F">
        <w:rPr>
          <w:snapToGrid/>
          <w:color w:val="2E2E2E"/>
          <w:kern w:val="0"/>
          <w:szCs w:val="22"/>
        </w:rPr>
        <w:t xml:space="preserve"> or excluded</w:t>
      </w:r>
      <w:r>
        <w:rPr>
          <w:snapToGrid/>
          <w:color w:val="2E2E2E"/>
          <w:kern w:val="0"/>
          <w:szCs w:val="22"/>
        </w:rPr>
        <w:t>,</w:t>
      </w:r>
      <w:r w:rsidRPr="00FA479F">
        <w:rPr>
          <w:snapToGrid/>
          <w:color w:val="2E2E2E"/>
          <w:kern w:val="0"/>
          <w:szCs w:val="22"/>
        </w:rPr>
        <w:t xml:space="preserve"> from one of the</w:t>
      </w:r>
      <w:r>
        <w:rPr>
          <w:snapToGrid/>
          <w:color w:val="2E2E2E"/>
          <w:kern w:val="0"/>
          <w:szCs w:val="22"/>
        </w:rPr>
        <w:t xml:space="preserve"> MX</w:t>
      </w:r>
      <w:r w:rsidRPr="00FA479F">
        <w:rPr>
          <w:snapToGrid/>
          <w:color w:val="2E2E2E"/>
          <w:kern w:val="0"/>
          <w:szCs w:val="22"/>
        </w:rPr>
        <w:t xml:space="preserve"> groups listed in Attachment A</w:t>
      </w:r>
      <w:r>
        <w:rPr>
          <w:snapToGrid/>
          <w:color w:val="2E2E2E"/>
          <w:kern w:val="0"/>
          <w:szCs w:val="22"/>
        </w:rPr>
        <w:t>, it</w:t>
      </w:r>
      <w:r w:rsidRPr="00FA479F">
        <w:rPr>
          <w:snapToGrid/>
          <w:color w:val="2E2E2E"/>
          <w:kern w:val="0"/>
          <w:szCs w:val="22"/>
        </w:rPr>
        <w:t xml:space="preserve"> should </w:t>
      </w:r>
      <w:r w:rsidR="009E107D">
        <w:rPr>
          <w:snapToGrid/>
          <w:color w:val="2E2E2E"/>
          <w:kern w:val="0"/>
          <w:szCs w:val="22"/>
        </w:rPr>
        <w:t>notify</w:t>
      </w:r>
      <w:r w:rsidRPr="00FA479F">
        <w:rPr>
          <w:snapToGrid/>
          <w:color w:val="2E2E2E"/>
          <w:kern w:val="0"/>
          <w:szCs w:val="22"/>
        </w:rPr>
        <w:t xml:space="preserve"> the Audio Division </w:t>
      </w:r>
      <w:r w:rsidR="005F0EC8">
        <w:rPr>
          <w:snapToGrid/>
          <w:color w:val="2E2E2E"/>
          <w:kern w:val="0"/>
          <w:szCs w:val="22"/>
        </w:rPr>
        <w:t xml:space="preserve">(Division) </w:t>
      </w:r>
      <w:r w:rsidR="00D67DFB">
        <w:rPr>
          <w:snapToGrid/>
          <w:color w:val="2E2E2E"/>
          <w:kern w:val="0"/>
          <w:szCs w:val="22"/>
        </w:rPr>
        <w:t xml:space="preserve">as soon as possible, and </w:t>
      </w:r>
      <w:r w:rsidRPr="00FA479F">
        <w:rPr>
          <w:snapToGrid/>
          <w:color w:val="2E2E2E"/>
          <w:kern w:val="0"/>
          <w:szCs w:val="22"/>
        </w:rPr>
        <w:t xml:space="preserve">within </w:t>
      </w:r>
      <w:r w:rsidR="009E7126">
        <w:rPr>
          <w:snapToGrid/>
          <w:color w:val="2E2E2E"/>
          <w:kern w:val="0"/>
          <w:szCs w:val="22"/>
        </w:rPr>
        <w:t>10</w:t>
      </w:r>
      <w:r w:rsidRPr="00FA479F">
        <w:rPr>
          <w:snapToGrid/>
          <w:color w:val="2E2E2E"/>
          <w:kern w:val="0"/>
          <w:szCs w:val="22"/>
        </w:rPr>
        <w:t xml:space="preserve"> days.</w:t>
      </w:r>
    </w:p>
    <w:p w:rsidR="005405BD" w:rsidP="00FA479F" w14:paraId="50DF6F37" w14:textId="26BA7084">
      <w:pPr>
        <w:widowControl/>
        <w:autoSpaceDE w:val="0"/>
        <w:autoSpaceDN w:val="0"/>
        <w:adjustRightInd w:val="0"/>
        <w:ind w:firstLine="720"/>
        <w:rPr>
          <w:snapToGrid/>
          <w:color w:val="2E2E2E"/>
          <w:kern w:val="0"/>
          <w:szCs w:val="22"/>
        </w:rPr>
      </w:pPr>
    </w:p>
    <w:p w:rsidR="005405BD" w:rsidRPr="00D67DFB" w:rsidP="00FA479F" w14:paraId="597B4222" w14:textId="197460F2">
      <w:pPr>
        <w:widowControl/>
        <w:autoSpaceDE w:val="0"/>
        <w:autoSpaceDN w:val="0"/>
        <w:adjustRightInd w:val="0"/>
        <w:ind w:firstLine="720"/>
        <w:rPr>
          <w:snapToGrid/>
          <w:color w:val="2E2E2E"/>
          <w:kern w:val="0"/>
          <w:szCs w:val="22"/>
        </w:rPr>
      </w:pPr>
      <w:r w:rsidRPr="0093217B">
        <w:rPr>
          <w:b/>
          <w:bCs/>
          <w:snapToGrid/>
          <w:color w:val="2E2E2E"/>
          <w:kern w:val="0"/>
          <w:szCs w:val="22"/>
        </w:rPr>
        <w:t>Dismissed MX Applications</w:t>
      </w:r>
      <w:r w:rsidRPr="0093217B">
        <w:rPr>
          <w:snapToGrid/>
          <w:color w:val="2E2E2E"/>
          <w:kern w:val="0"/>
          <w:szCs w:val="22"/>
        </w:rPr>
        <w:t>.</w:t>
      </w:r>
      <w:r>
        <w:rPr>
          <w:snapToGrid/>
          <w:color w:val="2E2E2E"/>
          <w:kern w:val="0"/>
          <w:szCs w:val="22"/>
        </w:rPr>
        <w:t xml:space="preserve">  The Bureau does not generally </w:t>
      </w:r>
      <w:r w:rsidR="007B0522">
        <w:rPr>
          <w:snapToGrid/>
          <w:color w:val="2E2E2E"/>
          <w:kern w:val="0"/>
          <w:szCs w:val="22"/>
        </w:rPr>
        <w:t xml:space="preserve">review the MX applications for </w:t>
      </w:r>
      <w:r w:rsidR="00211A61">
        <w:rPr>
          <w:snapToGrid/>
          <w:color w:val="2E2E2E"/>
          <w:kern w:val="0"/>
          <w:szCs w:val="22"/>
        </w:rPr>
        <w:t xml:space="preserve">acceptability </w:t>
      </w:r>
      <w:r w:rsidR="007B0522">
        <w:rPr>
          <w:snapToGrid/>
          <w:color w:val="2E2E2E"/>
          <w:kern w:val="0"/>
          <w:szCs w:val="22"/>
        </w:rPr>
        <w:t>defects at this stage</w:t>
      </w:r>
      <w:r w:rsidR="00286611">
        <w:rPr>
          <w:snapToGrid/>
          <w:color w:val="2E2E2E"/>
          <w:kern w:val="0"/>
          <w:szCs w:val="22"/>
        </w:rPr>
        <w:t xml:space="preserve">.  In </w:t>
      </w:r>
      <w:r w:rsidR="00A20598">
        <w:rPr>
          <w:snapToGrid/>
          <w:color w:val="2E2E2E"/>
          <w:kern w:val="0"/>
          <w:szCs w:val="22"/>
        </w:rPr>
        <w:t>ascertaining</w:t>
      </w:r>
      <w:r w:rsidR="00A20598">
        <w:rPr>
          <w:snapToGrid/>
          <w:color w:val="2E2E2E"/>
          <w:kern w:val="0"/>
          <w:szCs w:val="22"/>
        </w:rPr>
        <w:t xml:space="preserve"> </w:t>
      </w:r>
      <w:r w:rsidR="00286611">
        <w:rPr>
          <w:snapToGrid/>
          <w:color w:val="2E2E2E"/>
          <w:kern w:val="0"/>
          <w:szCs w:val="22"/>
        </w:rPr>
        <w:t xml:space="preserve">the MX groups, however, the Bureau </w:t>
      </w:r>
      <w:r w:rsidR="00A20598">
        <w:rPr>
          <w:snapToGrid/>
          <w:color w:val="2E2E2E"/>
          <w:kern w:val="0"/>
          <w:szCs w:val="22"/>
        </w:rPr>
        <w:t>identified</w:t>
      </w:r>
      <w:r w:rsidR="00286611">
        <w:rPr>
          <w:snapToGrid/>
          <w:color w:val="2E2E2E"/>
          <w:kern w:val="0"/>
          <w:szCs w:val="22"/>
        </w:rPr>
        <w:t xml:space="preserve"> </w:t>
      </w:r>
      <w:r w:rsidRPr="00B22D16" w:rsidR="00286611">
        <w:rPr>
          <w:snapToGrid/>
          <w:color w:val="2E2E2E"/>
          <w:kern w:val="0"/>
          <w:szCs w:val="22"/>
        </w:rPr>
        <w:t>13</w:t>
      </w:r>
      <w:r w:rsidR="00286611">
        <w:rPr>
          <w:snapToGrid/>
          <w:color w:val="2E2E2E"/>
          <w:kern w:val="0"/>
          <w:szCs w:val="22"/>
        </w:rPr>
        <w:t xml:space="preserve"> applications with numerous significant and egregious technical defects.  These </w:t>
      </w:r>
      <w:r w:rsidRPr="00B22D16" w:rsidR="00286611">
        <w:rPr>
          <w:snapToGrid/>
          <w:color w:val="2E2E2E"/>
          <w:kern w:val="0"/>
          <w:szCs w:val="22"/>
        </w:rPr>
        <w:t>13</w:t>
      </w:r>
      <w:r w:rsidR="00286611">
        <w:rPr>
          <w:snapToGrid/>
          <w:color w:val="2E2E2E"/>
          <w:kern w:val="0"/>
          <w:szCs w:val="22"/>
        </w:rPr>
        <w:t xml:space="preserve"> MX applications, </w:t>
      </w:r>
      <w:r w:rsidR="00A20598">
        <w:rPr>
          <w:snapToGrid/>
          <w:color w:val="2E2E2E"/>
          <w:kern w:val="0"/>
          <w:szCs w:val="22"/>
        </w:rPr>
        <w:t>listed</w:t>
      </w:r>
      <w:r w:rsidR="00056D60">
        <w:rPr>
          <w:snapToGrid/>
          <w:color w:val="2E2E2E"/>
          <w:kern w:val="0"/>
          <w:szCs w:val="22"/>
        </w:rPr>
        <w:t xml:space="preserve"> </w:t>
      </w:r>
      <w:r w:rsidR="00286611">
        <w:rPr>
          <w:snapToGrid/>
          <w:color w:val="2E2E2E"/>
          <w:kern w:val="0"/>
          <w:szCs w:val="22"/>
        </w:rPr>
        <w:t>in Attachment B, are dismissed.</w:t>
      </w:r>
      <w:r>
        <w:rPr>
          <w:rStyle w:val="FootnoteReference"/>
          <w:snapToGrid/>
          <w:kern w:val="0"/>
          <w:szCs w:val="22"/>
        </w:rPr>
        <w:footnoteReference w:id="10"/>
      </w:r>
      <w:r w:rsidR="00286611">
        <w:rPr>
          <w:snapToGrid/>
          <w:color w:val="2E2E2E"/>
          <w:kern w:val="0"/>
          <w:szCs w:val="22"/>
        </w:rPr>
        <w:t xml:space="preserve">  </w:t>
      </w:r>
      <w:r w:rsidR="00E20B8E">
        <w:rPr>
          <w:snapToGrid/>
          <w:color w:val="2E2E2E"/>
          <w:kern w:val="0"/>
          <w:szCs w:val="22"/>
        </w:rPr>
        <w:t>Each</w:t>
      </w:r>
      <w:r w:rsidR="00286611">
        <w:rPr>
          <w:snapToGrid/>
          <w:color w:val="2E2E2E"/>
          <w:kern w:val="0"/>
          <w:szCs w:val="22"/>
        </w:rPr>
        <w:t xml:space="preserve"> applicant</w:t>
      </w:r>
      <w:r w:rsidR="00211A61">
        <w:rPr>
          <w:snapToGrid/>
          <w:color w:val="2E2E2E"/>
          <w:kern w:val="0"/>
          <w:szCs w:val="22"/>
        </w:rPr>
        <w:t xml:space="preserve"> </w:t>
      </w:r>
      <w:r w:rsidR="00286611">
        <w:rPr>
          <w:snapToGrid/>
          <w:color w:val="2E2E2E"/>
          <w:kern w:val="0"/>
          <w:szCs w:val="22"/>
        </w:rPr>
        <w:t>ha</w:t>
      </w:r>
      <w:r w:rsidR="00E20B8E">
        <w:rPr>
          <w:snapToGrid/>
          <w:color w:val="2E2E2E"/>
          <w:kern w:val="0"/>
          <w:szCs w:val="22"/>
        </w:rPr>
        <w:t>s</w:t>
      </w:r>
      <w:r w:rsidR="00286611">
        <w:rPr>
          <w:snapToGrid/>
          <w:color w:val="2E2E2E"/>
          <w:kern w:val="0"/>
          <w:szCs w:val="22"/>
        </w:rPr>
        <w:t xml:space="preserve"> one opportunity to file </w:t>
      </w:r>
      <w:r w:rsidR="00E20B8E">
        <w:rPr>
          <w:snapToGrid/>
          <w:color w:val="2E2E2E"/>
          <w:kern w:val="0"/>
          <w:szCs w:val="22"/>
        </w:rPr>
        <w:t xml:space="preserve">a </w:t>
      </w:r>
      <w:r w:rsidR="00286611">
        <w:rPr>
          <w:snapToGrid/>
          <w:color w:val="2E2E2E"/>
          <w:kern w:val="0"/>
          <w:szCs w:val="22"/>
        </w:rPr>
        <w:t xml:space="preserve">minor curative amendment and petition for reconsideration, requesting reinstatement of the application </w:t>
      </w:r>
      <w:r w:rsidR="00286611">
        <w:rPr>
          <w:i/>
          <w:iCs/>
          <w:snapToGrid/>
          <w:color w:val="2E2E2E"/>
          <w:kern w:val="0"/>
          <w:szCs w:val="22"/>
        </w:rPr>
        <w:t>nunc pro tunc.</w:t>
      </w:r>
      <w:r>
        <w:rPr>
          <w:rStyle w:val="FootnoteReference"/>
          <w:i/>
          <w:iCs/>
          <w:snapToGrid/>
          <w:kern w:val="0"/>
          <w:szCs w:val="22"/>
        </w:rPr>
        <w:footnoteReference w:id="11"/>
      </w:r>
      <w:r w:rsidR="00286611">
        <w:rPr>
          <w:i/>
          <w:iCs/>
          <w:snapToGrid/>
          <w:color w:val="2E2E2E"/>
          <w:kern w:val="0"/>
          <w:szCs w:val="22"/>
        </w:rPr>
        <w:t xml:space="preserve">  </w:t>
      </w:r>
      <w:r w:rsidR="00286611">
        <w:rPr>
          <w:snapToGrid/>
          <w:color w:val="2E2E2E"/>
          <w:kern w:val="0"/>
          <w:szCs w:val="22"/>
        </w:rPr>
        <w:t>Any amendments and petition</w:t>
      </w:r>
      <w:r w:rsidR="00E20B8E">
        <w:rPr>
          <w:snapToGrid/>
          <w:color w:val="2E2E2E"/>
          <w:kern w:val="0"/>
          <w:szCs w:val="22"/>
        </w:rPr>
        <w:t>s</w:t>
      </w:r>
      <w:r w:rsidR="00286611">
        <w:rPr>
          <w:snapToGrid/>
          <w:color w:val="2E2E2E"/>
          <w:kern w:val="0"/>
          <w:szCs w:val="22"/>
        </w:rPr>
        <w:t xml:space="preserve"> for reconsideration must be filed within 30 days of the dismissals.  In order for an application to be reinstated, the amendment must correct all the application defects, </w:t>
      </w:r>
      <w:r w:rsidR="00D441CA">
        <w:rPr>
          <w:snapToGrid/>
          <w:color w:val="2E2E2E"/>
          <w:kern w:val="0"/>
          <w:szCs w:val="22"/>
        </w:rPr>
        <w:t xml:space="preserve">including those not identified in Attachment B, </w:t>
      </w:r>
      <w:r w:rsidR="00286611">
        <w:rPr>
          <w:snapToGrid/>
          <w:color w:val="2E2E2E"/>
          <w:kern w:val="0"/>
          <w:szCs w:val="22"/>
        </w:rPr>
        <w:t xml:space="preserve">propose only minor changes, comply with all </w:t>
      </w:r>
      <w:r w:rsidR="00E20B8E">
        <w:rPr>
          <w:snapToGrid/>
          <w:color w:val="2E2E2E"/>
          <w:kern w:val="0"/>
          <w:szCs w:val="22"/>
        </w:rPr>
        <w:t xml:space="preserve">the Commission’s </w:t>
      </w:r>
      <w:r w:rsidR="00286611">
        <w:rPr>
          <w:snapToGrid/>
          <w:color w:val="2E2E2E"/>
          <w:kern w:val="0"/>
          <w:szCs w:val="22"/>
        </w:rPr>
        <w:t xml:space="preserve">relevant rules, and not create any new application conflicts.  </w:t>
      </w:r>
    </w:p>
    <w:p w:rsidR="00FE627B" w:rsidP="00FA479F" w14:paraId="59B67802" w14:textId="7007D449">
      <w:pPr>
        <w:widowControl/>
        <w:autoSpaceDE w:val="0"/>
        <w:autoSpaceDN w:val="0"/>
        <w:adjustRightInd w:val="0"/>
        <w:ind w:firstLine="720"/>
        <w:rPr>
          <w:snapToGrid/>
          <w:color w:val="2E2E2E"/>
          <w:kern w:val="0"/>
          <w:szCs w:val="22"/>
        </w:rPr>
      </w:pPr>
    </w:p>
    <w:p w:rsidR="00B63D49" w:rsidP="006503E5" w14:paraId="7F9994E8" w14:textId="064DEC25">
      <w:pPr>
        <w:widowControl/>
        <w:autoSpaceDE w:val="0"/>
        <w:autoSpaceDN w:val="0"/>
        <w:adjustRightInd w:val="0"/>
        <w:ind w:firstLine="720"/>
        <w:rPr>
          <w:snapToGrid/>
          <w:color w:val="2E2E2E"/>
          <w:kern w:val="0"/>
          <w:szCs w:val="22"/>
        </w:rPr>
      </w:pPr>
      <w:r>
        <w:rPr>
          <w:b/>
          <w:bCs/>
          <w:snapToGrid/>
          <w:color w:val="2E2E2E"/>
          <w:kern w:val="0"/>
          <w:szCs w:val="22"/>
        </w:rPr>
        <w:t xml:space="preserve">Settlement Period.  </w:t>
      </w:r>
      <w:r w:rsidR="00FE627B">
        <w:rPr>
          <w:snapToGrid/>
          <w:color w:val="2E2E2E"/>
          <w:kern w:val="0"/>
          <w:szCs w:val="22"/>
        </w:rPr>
        <w:t>By this Public Notice, the Bureau also announces</w:t>
      </w:r>
      <w:r w:rsidR="00592CC6">
        <w:rPr>
          <w:snapToGrid/>
          <w:color w:val="2E2E2E"/>
          <w:kern w:val="0"/>
          <w:szCs w:val="22"/>
        </w:rPr>
        <w:t xml:space="preserve"> a 60-day period beginning with the release of this Public Notice and </w:t>
      </w:r>
      <w:r w:rsidRPr="00502939" w:rsidR="00592CC6">
        <w:rPr>
          <w:snapToGrid/>
          <w:color w:val="2E2E2E"/>
          <w:kern w:val="0"/>
          <w:szCs w:val="22"/>
        </w:rPr>
        <w:t xml:space="preserve">ending January </w:t>
      </w:r>
      <w:r w:rsidRPr="00502939" w:rsidR="009F3EF4">
        <w:rPr>
          <w:snapToGrid/>
          <w:color w:val="2E2E2E"/>
          <w:kern w:val="0"/>
          <w:szCs w:val="22"/>
        </w:rPr>
        <w:t>28, 2022, for</w:t>
      </w:r>
      <w:r w:rsidR="009F3EF4">
        <w:rPr>
          <w:snapToGrid/>
          <w:color w:val="2E2E2E"/>
          <w:kern w:val="0"/>
          <w:szCs w:val="22"/>
        </w:rPr>
        <w:t xml:space="preserve"> </w:t>
      </w:r>
      <w:r w:rsidR="009F3EF4">
        <w:rPr>
          <w:szCs w:val="22"/>
        </w:rPr>
        <w:t>MX</w:t>
      </w:r>
      <w:r w:rsidRPr="005D6879" w:rsidR="009F3EF4">
        <w:rPr>
          <w:szCs w:val="22"/>
        </w:rPr>
        <w:t xml:space="preserve"> applicants to enter into and file settlement agreements and</w:t>
      </w:r>
      <w:r w:rsidR="00020EF5">
        <w:rPr>
          <w:szCs w:val="22"/>
        </w:rPr>
        <w:t>/or</w:t>
      </w:r>
      <w:r w:rsidRPr="005D6879" w:rsidR="009F3EF4">
        <w:rPr>
          <w:szCs w:val="22"/>
        </w:rPr>
        <w:t xml:space="preserve"> to submit technical amendments to </w:t>
      </w:r>
      <w:r w:rsidR="00493A8B">
        <w:rPr>
          <w:szCs w:val="22"/>
        </w:rPr>
        <w:t xml:space="preserve">resolve conflicts and </w:t>
      </w:r>
      <w:r w:rsidRPr="005D6879" w:rsidR="009F3EF4">
        <w:rPr>
          <w:szCs w:val="22"/>
        </w:rPr>
        <w:t xml:space="preserve">expedite the grant of applications filed in the recent </w:t>
      </w:r>
      <w:r w:rsidR="009F3EF4">
        <w:rPr>
          <w:szCs w:val="22"/>
        </w:rPr>
        <w:t>NCE</w:t>
      </w:r>
      <w:r w:rsidRPr="005D6879" w:rsidR="009F3EF4">
        <w:rPr>
          <w:szCs w:val="22"/>
        </w:rPr>
        <w:t xml:space="preserve"> FM window</w:t>
      </w:r>
      <w:r w:rsidR="00453DB9">
        <w:rPr>
          <w:szCs w:val="22"/>
        </w:rPr>
        <w:t>.</w:t>
      </w:r>
      <w:r w:rsidR="00FE0BF7">
        <w:rPr>
          <w:rStyle w:val="FootnoteReference"/>
          <w:snapToGrid/>
          <w:kern w:val="0"/>
          <w:szCs w:val="22"/>
        </w:rPr>
        <w:t xml:space="preserve"> </w:t>
      </w:r>
      <w:r w:rsidRPr="005D6879" w:rsidR="009F3EF4">
        <w:rPr>
          <w:szCs w:val="22"/>
        </w:rPr>
        <w:t xml:space="preserve">  This filing opportunity is limited to settlement agreements, which may include requests to dismiss applications filed in the window, and/or engineering amendments that resolve all technical conflicts between at least one application and all other </w:t>
      </w:r>
      <w:r w:rsidR="006A28EA">
        <w:rPr>
          <w:szCs w:val="22"/>
        </w:rPr>
        <w:t xml:space="preserve">MX </w:t>
      </w:r>
      <w:r w:rsidRPr="005D6879" w:rsidR="009F3EF4">
        <w:rPr>
          <w:szCs w:val="22"/>
        </w:rPr>
        <w:t xml:space="preserve">applications filed in the window.  </w:t>
      </w:r>
      <w:r w:rsidR="009F3EF4">
        <w:rPr>
          <w:rStyle w:val="documentbody1"/>
          <w:rFonts w:ascii="Times New Roman" w:hAnsi="Times New Roman"/>
          <w:sz w:val="22"/>
          <w:szCs w:val="22"/>
        </w:rPr>
        <w:t>The requirements</w:t>
      </w:r>
      <w:r w:rsidR="001E0D0E">
        <w:rPr>
          <w:rStyle w:val="documentbody1"/>
          <w:rFonts w:ascii="Times New Roman" w:hAnsi="Times New Roman"/>
          <w:sz w:val="22"/>
          <w:szCs w:val="22"/>
        </w:rPr>
        <w:t xml:space="preserve"> </w:t>
      </w:r>
      <w:r w:rsidR="009F3EF4">
        <w:rPr>
          <w:rStyle w:val="documentbody1"/>
          <w:rFonts w:ascii="Times New Roman" w:hAnsi="Times New Roman"/>
          <w:sz w:val="22"/>
          <w:szCs w:val="22"/>
        </w:rPr>
        <w:t>and procedures for filing settlement agreements and technical amendments are explained below.</w:t>
      </w:r>
      <w:r w:rsidR="00FE627B">
        <w:rPr>
          <w:snapToGrid/>
          <w:color w:val="2E2E2E"/>
          <w:kern w:val="0"/>
          <w:szCs w:val="22"/>
        </w:rPr>
        <w:t xml:space="preserve"> </w:t>
      </w:r>
      <w:r w:rsidR="00230B7B">
        <w:rPr>
          <w:snapToGrid/>
          <w:color w:val="2E2E2E"/>
          <w:kern w:val="0"/>
          <w:szCs w:val="22"/>
        </w:rPr>
        <w:t xml:space="preserve"> </w:t>
      </w:r>
    </w:p>
    <w:p w:rsidR="00B63D49" w:rsidP="006503E5" w14:paraId="0EEF5FDE" w14:textId="77777777">
      <w:pPr>
        <w:widowControl/>
        <w:autoSpaceDE w:val="0"/>
        <w:autoSpaceDN w:val="0"/>
        <w:adjustRightInd w:val="0"/>
        <w:ind w:firstLine="720"/>
        <w:rPr>
          <w:snapToGrid/>
          <w:color w:val="2E2E2E"/>
          <w:kern w:val="0"/>
          <w:szCs w:val="22"/>
        </w:rPr>
      </w:pPr>
    </w:p>
    <w:p w:rsidR="006503E5" w:rsidP="006503E5" w14:paraId="6561CFA8" w14:textId="4E08CC52">
      <w:pPr>
        <w:widowControl/>
        <w:autoSpaceDE w:val="0"/>
        <w:autoSpaceDN w:val="0"/>
        <w:adjustRightInd w:val="0"/>
        <w:ind w:firstLine="720"/>
        <w:rPr>
          <w:rStyle w:val="documentbody1"/>
          <w:rFonts w:ascii="Times New Roman" w:hAnsi="Times New Roman"/>
          <w:color w:val="000000"/>
          <w:sz w:val="22"/>
          <w:szCs w:val="22"/>
        </w:rPr>
      </w:pPr>
      <w:r w:rsidRPr="005D6879">
        <w:rPr>
          <w:rStyle w:val="documentbody1"/>
          <w:rFonts w:ascii="Times New Roman" w:hAnsi="Times New Roman"/>
          <w:color w:val="000000"/>
          <w:sz w:val="22"/>
          <w:szCs w:val="22"/>
        </w:rPr>
        <w:t>The Bureau will expedite the processing of all complete and rule-compliant settlement agreements and technical amendments</w:t>
      </w:r>
      <w:r w:rsidR="001E0D0E">
        <w:rPr>
          <w:rStyle w:val="documentbody1"/>
          <w:rFonts w:ascii="Times New Roman" w:hAnsi="Times New Roman"/>
          <w:color w:val="000000"/>
          <w:sz w:val="22"/>
          <w:szCs w:val="22"/>
        </w:rPr>
        <w:t xml:space="preserve"> that are filed </w:t>
      </w:r>
      <w:r w:rsidRPr="00502939" w:rsidR="001E0D0E">
        <w:rPr>
          <w:rStyle w:val="documentbody1"/>
          <w:rFonts w:ascii="Times New Roman" w:hAnsi="Times New Roman"/>
          <w:color w:val="000000"/>
          <w:sz w:val="22"/>
          <w:szCs w:val="22"/>
        </w:rPr>
        <w:t>by January 28, 202</w:t>
      </w:r>
      <w:r w:rsidRPr="00502939">
        <w:rPr>
          <w:rStyle w:val="documentbody1"/>
          <w:rFonts w:ascii="Times New Roman" w:hAnsi="Times New Roman"/>
          <w:color w:val="000000"/>
          <w:sz w:val="22"/>
          <w:szCs w:val="22"/>
        </w:rPr>
        <w:t>2</w:t>
      </w:r>
      <w:r w:rsidRPr="00502939" w:rsidR="001E0D0E">
        <w:rPr>
          <w:rStyle w:val="documentbody1"/>
          <w:rFonts w:ascii="Times New Roman" w:hAnsi="Times New Roman"/>
          <w:color w:val="000000"/>
          <w:sz w:val="22"/>
          <w:szCs w:val="22"/>
        </w:rPr>
        <w:t>.</w:t>
      </w:r>
      <w:r>
        <w:rPr>
          <w:rStyle w:val="FootnoteReference"/>
          <w:szCs w:val="22"/>
        </w:rPr>
        <w:footnoteReference w:id="12"/>
      </w:r>
      <w:r w:rsidRPr="00502939" w:rsidR="00453DB9">
        <w:rPr>
          <w:rStyle w:val="documentbody1"/>
          <w:rFonts w:ascii="Times New Roman" w:hAnsi="Times New Roman"/>
          <w:color w:val="000000"/>
          <w:sz w:val="22"/>
          <w:szCs w:val="22"/>
        </w:rPr>
        <w:t xml:space="preserve">  </w:t>
      </w:r>
      <w:r w:rsidRPr="00502939" w:rsidR="00DF1520">
        <w:rPr>
          <w:rStyle w:val="documentbody1"/>
          <w:rFonts w:ascii="Times New Roman" w:hAnsi="Times New Roman"/>
          <w:color w:val="000000"/>
          <w:sz w:val="22"/>
          <w:szCs w:val="22"/>
        </w:rPr>
        <w:t>Applicants</w:t>
      </w:r>
      <w:r w:rsidR="00DF1520">
        <w:rPr>
          <w:rStyle w:val="documentbody1"/>
          <w:rFonts w:ascii="Times New Roman" w:hAnsi="Times New Roman"/>
          <w:color w:val="000000"/>
          <w:sz w:val="22"/>
          <w:szCs w:val="22"/>
        </w:rPr>
        <w:t xml:space="preserve"> in </w:t>
      </w:r>
      <w:r w:rsidR="00453DB9">
        <w:rPr>
          <w:rStyle w:val="documentbody1"/>
          <w:rFonts w:ascii="Times New Roman" w:hAnsi="Times New Roman"/>
          <w:color w:val="000000"/>
          <w:sz w:val="22"/>
          <w:szCs w:val="22"/>
        </w:rPr>
        <w:t xml:space="preserve">MX groups, which </w:t>
      </w:r>
      <w:r w:rsidR="00DF1520">
        <w:rPr>
          <w:rStyle w:val="documentbody1"/>
          <w:rFonts w:ascii="Times New Roman" w:hAnsi="Times New Roman"/>
          <w:color w:val="000000"/>
          <w:sz w:val="22"/>
          <w:szCs w:val="22"/>
        </w:rPr>
        <w:t>have not submitted settlements or technical amendments during this period,</w:t>
      </w:r>
      <w:r w:rsidR="00453DB9">
        <w:rPr>
          <w:rStyle w:val="documentbody1"/>
          <w:rFonts w:ascii="Times New Roman" w:hAnsi="Times New Roman"/>
          <w:color w:val="000000"/>
          <w:sz w:val="22"/>
          <w:szCs w:val="22"/>
        </w:rPr>
        <w:t xml:space="preserve"> will proceed to a comparative analysis.</w:t>
      </w:r>
      <w:r>
        <w:rPr>
          <w:rStyle w:val="FootnoteReference"/>
          <w:szCs w:val="22"/>
        </w:rPr>
        <w:footnoteReference w:id="13"/>
      </w:r>
      <w:r>
        <w:rPr>
          <w:rStyle w:val="documentbody1"/>
          <w:rFonts w:ascii="Times New Roman" w:hAnsi="Times New Roman"/>
          <w:color w:val="000000"/>
          <w:sz w:val="22"/>
          <w:szCs w:val="22"/>
        </w:rPr>
        <w:t xml:space="preserve">  If applicants in any of the MX groups identified in Attachment A are still </w:t>
      </w:r>
      <w:r>
        <w:rPr>
          <w:rStyle w:val="documentbody1"/>
          <w:rFonts w:ascii="Times New Roman" w:hAnsi="Times New Roman"/>
          <w:color w:val="000000"/>
          <w:sz w:val="22"/>
          <w:szCs w:val="22"/>
        </w:rPr>
        <w:t xml:space="preserve">negotiating a settlement </w:t>
      </w:r>
      <w:r w:rsidRPr="00502939">
        <w:rPr>
          <w:rStyle w:val="documentbody1"/>
          <w:rFonts w:ascii="Times New Roman" w:hAnsi="Times New Roman"/>
          <w:color w:val="000000"/>
          <w:sz w:val="22"/>
          <w:szCs w:val="22"/>
        </w:rPr>
        <w:t>after January 28, 2022, the</w:t>
      </w:r>
      <w:r>
        <w:rPr>
          <w:rStyle w:val="documentbody1"/>
          <w:rFonts w:ascii="Times New Roman" w:hAnsi="Times New Roman"/>
          <w:color w:val="000000"/>
          <w:sz w:val="22"/>
          <w:szCs w:val="22"/>
        </w:rPr>
        <w:t xml:space="preserve">y should advise the Division </w:t>
      </w:r>
      <w:r w:rsidR="005F0EC8">
        <w:rPr>
          <w:rStyle w:val="documentbody1"/>
          <w:rFonts w:ascii="Times New Roman" w:hAnsi="Times New Roman"/>
          <w:color w:val="000000"/>
          <w:sz w:val="22"/>
          <w:szCs w:val="22"/>
        </w:rPr>
        <w:t>of this fact so the Division can</w:t>
      </w:r>
      <w:r>
        <w:rPr>
          <w:rStyle w:val="documentbody1"/>
          <w:rFonts w:ascii="Times New Roman" w:hAnsi="Times New Roman"/>
          <w:color w:val="000000"/>
          <w:sz w:val="22"/>
          <w:szCs w:val="22"/>
        </w:rPr>
        <w:t xml:space="preserve"> withhold further </w:t>
      </w:r>
      <w:r w:rsidR="005F0EC8">
        <w:rPr>
          <w:rStyle w:val="documentbody1"/>
          <w:rFonts w:ascii="Times New Roman" w:hAnsi="Times New Roman"/>
          <w:color w:val="000000"/>
          <w:sz w:val="22"/>
          <w:szCs w:val="22"/>
        </w:rPr>
        <w:t xml:space="preserve">comparative </w:t>
      </w:r>
      <w:r>
        <w:rPr>
          <w:rStyle w:val="documentbody1"/>
          <w:rFonts w:ascii="Times New Roman" w:hAnsi="Times New Roman"/>
          <w:color w:val="000000"/>
          <w:sz w:val="22"/>
          <w:szCs w:val="22"/>
        </w:rPr>
        <w:t>processing</w:t>
      </w:r>
      <w:r w:rsidR="002D1B96">
        <w:rPr>
          <w:rStyle w:val="documentbody1"/>
          <w:rFonts w:ascii="Times New Roman" w:hAnsi="Times New Roman"/>
          <w:color w:val="000000"/>
          <w:sz w:val="22"/>
          <w:szCs w:val="22"/>
        </w:rPr>
        <w:t>.</w:t>
      </w:r>
      <w:r>
        <w:rPr>
          <w:rStyle w:val="FootnoteReference"/>
          <w:szCs w:val="22"/>
        </w:rPr>
        <w:footnoteReference w:id="14"/>
      </w:r>
    </w:p>
    <w:p w:rsidR="001E0D0E" w:rsidRPr="00B63D49" w:rsidP="00B63D49" w14:paraId="26834F3E" w14:textId="6264CDE0">
      <w:pPr>
        <w:widowControl/>
        <w:autoSpaceDE w:val="0"/>
        <w:autoSpaceDN w:val="0"/>
        <w:adjustRightInd w:val="0"/>
        <w:ind w:firstLine="720"/>
        <w:rPr>
          <w:snapToGrid/>
          <w:color w:val="2E2E2E"/>
          <w:kern w:val="0"/>
          <w:szCs w:val="22"/>
        </w:rPr>
      </w:pPr>
      <w:r>
        <w:rPr>
          <w:rStyle w:val="documentbody1"/>
          <w:rFonts w:ascii="Times New Roman" w:hAnsi="Times New Roman"/>
          <w:color w:val="000000"/>
          <w:sz w:val="22"/>
          <w:szCs w:val="22"/>
        </w:rPr>
        <w:t xml:space="preserve"> </w:t>
      </w:r>
    </w:p>
    <w:p w:rsidR="005D6879" w:rsidRPr="005D6879" w:rsidP="00B83C99" w14:paraId="51C9CAD9" w14:textId="6CCFD86D">
      <w:pPr>
        <w:ind w:firstLine="720"/>
        <w:rPr>
          <w:b/>
          <w:szCs w:val="22"/>
        </w:rPr>
      </w:pPr>
      <w:r w:rsidRPr="005405BD">
        <w:rPr>
          <w:bCs/>
          <w:szCs w:val="22"/>
          <w:u w:val="single"/>
        </w:rPr>
        <w:t>Settlement Agreements.</w:t>
      </w:r>
      <w:r w:rsidRPr="005D6879">
        <w:rPr>
          <w:b/>
          <w:szCs w:val="22"/>
        </w:rPr>
        <w:t xml:space="preserve">  </w:t>
      </w:r>
      <w:r w:rsidRPr="005D6879">
        <w:rPr>
          <w:szCs w:val="22"/>
        </w:rPr>
        <w:t xml:space="preserve">Applicants may resolve technical conflicts through two methods: settlements and/or technical amendments.  </w:t>
      </w:r>
      <w:r w:rsidRPr="005D6879">
        <w:rPr>
          <w:rStyle w:val="documentbody1"/>
          <w:rFonts w:ascii="Times New Roman" w:hAnsi="Times New Roman"/>
          <w:color w:val="000000"/>
          <w:sz w:val="22"/>
          <w:szCs w:val="22"/>
        </w:rPr>
        <w:t xml:space="preserve">A settlement must propose the grant of at least one technically acceptable application within a group of mutually exclusive applications and must not create </w:t>
      </w:r>
      <w:r w:rsidRPr="00B83C99">
        <w:rPr>
          <w:rStyle w:val="documentbody1"/>
          <w:rFonts w:ascii="Times New Roman" w:hAnsi="Times New Roman"/>
          <w:i/>
          <w:iCs/>
          <w:color w:val="000000"/>
          <w:sz w:val="22"/>
          <w:szCs w:val="22"/>
        </w:rPr>
        <w:t>any</w:t>
      </w:r>
      <w:r w:rsidRPr="005D6879">
        <w:rPr>
          <w:rStyle w:val="documentbody1"/>
          <w:rFonts w:ascii="Times New Roman" w:hAnsi="Times New Roman"/>
          <w:color w:val="000000"/>
          <w:sz w:val="22"/>
          <w:szCs w:val="22"/>
        </w:rPr>
        <w:t xml:space="preserve"> new application conflicts.</w:t>
      </w:r>
      <w:r>
        <w:rPr>
          <w:rStyle w:val="FootnoteReference"/>
          <w:color w:val="000000"/>
          <w:szCs w:val="22"/>
        </w:rPr>
        <w:footnoteReference w:id="15"/>
      </w:r>
      <w:r w:rsidRPr="005D6879">
        <w:rPr>
          <w:rStyle w:val="documentbody1"/>
          <w:rFonts w:ascii="Times New Roman" w:hAnsi="Times New Roman"/>
          <w:color w:val="000000"/>
          <w:sz w:val="22"/>
          <w:szCs w:val="22"/>
        </w:rPr>
        <w:t xml:space="preserve">  If a settlement involves more than one group, the Bureau will expeditiously process the settlement request only if each group satisfies the requirements set forth in this Public Notice.  For example, w</w:t>
      </w:r>
      <w:r w:rsidRPr="005D6879">
        <w:rPr>
          <w:szCs w:val="22"/>
        </w:rPr>
        <w:t>e will not accept a settlement in which an applicant promises to withdraw from one proceeding in return for the promise of a competing applicant to withdraw from another proceeding, unless the proposed dismissals result in grantable singleton applications in each group.</w:t>
      </w:r>
      <w:r>
        <w:rPr>
          <w:rStyle w:val="FootnoteReference"/>
          <w:szCs w:val="22"/>
        </w:rPr>
        <w:footnoteReference w:id="16"/>
      </w:r>
      <w:r w:rsidRPr="005D6879">
        <w:rPr>
          <w:szCs w:val="22"/>
        </w:rPr>
        <w:t xml:space="preserve">  </w:t>
      </w:r>
      <w:r w:rsidRPr="005D6879">
        <w:rPr>
          <w:rStyle w:val="documentbody1"/>
          <w:rFonts w:ascii="Times New Roman" w:hAnsi="Times New Roman"/>
          <w:color w:val="000000"/>
          <w:sz w:val="22"/>
          <w:szCs w:val="22"/>
        </w:rPr>
        <w:t>Universal settlements</w:t>
      </w:r>
      <w:r w:rsidR="000334C6">
        <w:rPr>
          <w:rStyle w:val="documentbody1"/>
          <w:rFonts w:ascii="Times New Roman" w:hAnsi="Times New Roman"/>
          <w:color w:val="000000"/>
          <w:sz w:val="22"/>
          <w:szCs w:val="22"/>
        </w:rPr>
        <w:t>, which resolve the claims of all applications within an MX group,</w:t>
      </w:r>
      <w:r w:rsidRPr="005D6879">
        <w:rPr>
          <w:rStyle w:val="documentbody1"/>
          <w:rFonts w:ascii="Times New Roman" w:hAnsi="Times New Roman"/>
          <w:color w:val="000000"/>
          <w:sz w:val="22"/>
          <w:szCs w:val="22"/>
        </w:rPr>
        <w:t xml:space="preserve"> are encouraged</w:t>
      </w:r>
      <w:r w:rsidR="000334C6">
        <w:rPr>
          <w:rStyle w:val="documentbody1"/>
          <w:rFonts w:ascii="Times New Roman" w:hAnsi="Times New Roman"/>
          <w:color w:val="000000"/>
          <w:sz w:val="22"/>
          <w:szCs w:val="22"/>
        </w:rPr>
        <w:t>,</w:t>
      </w:r>
      <w:r w:rsidRPr="005D6879">
        <w:rPr>
          <w:rStyle w:val="documentbody1"/>
          <w:rFonts w:ascii="Times New Roman" w:hAnsi="Times New Roman"/>
          <w:color w:val="000000"/>
          <w:sz w:val="22"/>
          <w:szCs w:val="22"/>
        </w:rPr>
        <w:t xml:space="preserve"> but not required.     </w:t>
      </w:r>
    </w:p>
    <w:p w:rsidR="005D6879" w:rsidRPr="005D6879" w:rsidP="005D6879" w14:paraId="4577D0DB" w14:textId="77777777">
      <w:pPr>
        <w:rPr>
          <w:szCs w:val="22"/>
        </w:rPr>
      </w:pPr>
    </w:p>
    <w:p w:rsidR="005D6879" w:rsidRPr="005D6879" w:rsidP="00B83C99" w14:paraId="20943C39" w14:textId="0C1E0FBD">
      <w:pPr>
        <w:ind w:firstLine="720"/>
        <w:rPr>
          <w:color w:val="000000"/>
          <w:szCs w:val="22"/>
        </w:rPr>
      </w:pPr>
      <w:r w:rsidRPr="005D6879">
        <w:rPr>
          <w:color w:val="000000"/>
          <w:szCs w:val="22"/>
        </w:rPr>
        <w:t xml:space="preserve">Applicants entering into agreements to procure the removal of a conflict between applications by amendment or dismissal of an application must ensure that their settlement agreements comply with the </w:t>
      </w:r>
      <w:bookmarkStart w:id="2" w:name="FN[FN4]"/>
      <w:bookmarkEnd w:id="2"/>
      <w:r w:rsidRPr="005D6879">
        <w:rPr>
          <w:color w:val="000000"/>
          <w:szCs w:val="22"/>
        </w:rPr>
        <w:t xml:space="preserve">pertinent requirements of </w:t>
      </w:r>
      <w:r w:rsidR="000334C6">
        <w:rPr>
          <w:color w:val="000000"/>
          <w:szCs w:val="22"/>
        </w:rPr>
        <w:t>s</w:t>
      </w:r>
      <w:r w:rsidRPr="005D6879">
        <w:rPr>
          <w:color w:val="000000"/>
          <w:szCs w:val="22"/>
        </w:rPr>
        <w:t xml:space="preserve">ection 73.3525 of the Commission's </w:t>
      </w:r>
      <w:r w:rsidR="00B83C99">
        <w:rPr>
          <w:color w:val="000000"/>
          <w:szCs w:val="22"/>
        </w:rPr>
        <w:t>r</w:t>
      </w:r>
      <w:r w:rsidRPr="005D6879">
        <w:rPr>
          <w:color w:val="000000"/>
          <w:szCs w:val="22"/>
        </w:rPr>
        <w:t>ules, including the reimbursement restrictions.</w:t>
      </w:r>
      <w:bookmarkStart w:id="3" w:name="FN[FN5]"/>
      <w:bookmarkEnd w:id="3"/>
      <w:r>
        <w:rPr>
          <w:rStyle w:val="FootnoteReference"/>
          <w:color w:val="000000"/>
          <w:szCs w:val="22"/>
        </w:rPr>
        <w:footnoteReference w:id="17"/>
      </w:r>
      <w:r w:rsidRPr="005D6879">
        <w:rPr>
          <w:color w:val="000000"/>
          <w:szCs w:val="22"/>
        </w:rPr>
        <w:t xml:space="preserve">  Specifically, parties must file with the FCC:</w:t>
      </w:r>
    </w:p>
    <w:p w:rsidR="005D6879" w:rsidRPr="005D6879" w:rsidP="005D6879" w14:paraId="71D7284D" w14:textId="77777777">
      <w:pPr>
        <w:rPr>
          <w:color w:val="000000"/>
          <w:szCs w:val="22"/>
        </w:rPr>
      </w:pPr>
      <w:bookmarkStart w:id="4" w:name="sp_1511_11721"/>
      <w:bookmarkStart w:id="5" w:name="SDU_11721"/>
      <w:bookmarkStart w:id="6" w:name="citeas((Cite_as:_21_F.C.C.R._11720,_*117"/>
      <w:bookmarkEnd w:id="4"/>
      <w:bookmarkEnd w:id="5"/>
      <w:bookmarkEnd w:id="6"/>
    </w:p>
    <w:p w:rsidR="005D6879" w:rsidRPr="005D6879" w:rsidP="005D6879" w14:paraId="66320AC1" w14:textId="77777777">
      <w:pPr>
        <w:ind w:firstLine="720"/>
        <w:rPr>
          <w:szCs w:val="22"/>
        </w:rPr>
      </w:pPr>
      <w:r w:rsidRPr="005D6879">
        <w:rPr>
          <w:color w:val="000000"/>
          <w:szCs w:val="22"/>
        </w:rPr>
        <w:t>1.  A copy of their settlement agreement and any ancillary agreement(s);</w:t>
      </w:r>
    </w:p>
    <w:p w:rsidR="005D6879" w:rsidRPr="005D6879" w:rsidP="005D6879" w14:paraId="28D386D3" w14:textId="77777777">
      <w:pPr>
        <w:ind w:firstLine="720"/>
        <w:rPr>
          <w:color w:val="000000"/>
          <w:szCs w:val="22"/>
        </w:rPr>
      </w:pPr>
      <w:r w:rsidRPr="005D6879">
        <w:rPr>
          <w:color w:val="000000"/>
          <w:szCs w:val="22"/>
        </w:rPr>
        <w:t>2.  A joint request for approval of such agreement; and</w:t>
      </w:r>
    </w:p>
    <w:p w:rsidR="005D6879" w:rsidRPr="005D6879" w:rsidP="005D6879" w14:paraId="55E81807" w14:textId="77777777">
      <w:pPr>
        <w:ind w:firstLine="720"/>
        <w:rPr>
          <w:color w:val="000000"/>
          <w:szCs w:val="22"/>
        </w:rPr>
      </w:pPr>
      <w:r w:rsidRPr="005D6879">
        <w:rPr>
          <w:color w:val="000000"/>
          <w:szCs w:val="22"/>
        </w:rPr>
        <w:t>3.  An affidavit of each party to the agreement setting forth:</w:t>
      </w:r>
    </w:p>
    <w:p w:rsidR="005D6879" w:rsidRPr="005D6879" w:rsidP="005D6879" w14:paraId="43EEBA68" w14:textId="77777777">
      <w:pPr>
        <w:ind w:left="720" w:firstLine="720"/>
        <w:rPr>
          <w:color w:val="000000"/>
          <w:szCs w:val="22"/>
        </w:rPr>
      </w:pPr>
      <w:r w:rsidRPr="005D6879">
        <w:rPr>
          <w:color w:val="000000"/>
          <w:szCs w:val="22"/>
        </w:rPr>
        <w:t>(a) The reasons why it is considered that such agreement is in the public interest;</w:t>
      </w:r>
    </w:p>
    <w:p w:rsidR="005D6879" w:rsidRPr="005D6879" w:rsidP="005D6879" w14:paraId="3871F6E8" w14:textId="77777777">
      <w:pPr>
        <w:ind w:left="1440"/>
        <w:rPr>
          <w:color w:val="000000"/>
          <w:szCs w:val="22"/>
        </w:rPr>
      </w:pPr>
      <w:r w:rsidRPr="005D6879">
        <w:rPr>
          <w:color w:val="000000"/>
          <w:szCs w:val="22"/>
        </w:rPr>
        <w:t>(b) A statement that its application was not filed for the purpose of reaching or carrying out such agreement;</w:t>
      </w:r>
    </w:p>
    <w:p w:rsidR="005D6879" w:rsidRPr="005D6879" w:rsidP="005D6879" w14:paraId="0719F4EE" w14:textId="77777777">
      <w:pPr>
        <w:ind w:left="1440"/>
        <w:rPr>
          <w:color w:val="000000"/>
          <w:szCs w:val="22"/>
        </w:rPr>
      </w:pPr>
      <w:r w:rsidRPr="005D6879">
        <w:rPr>
          <w:color w:val="000000"/>
          <w:szCs w:val="22"/>
        </w:rPr>
        <w:t>(c) A certification that neither the applicant nor its principals has received any money or other consideration in excess of the legitimate and prudent expenses of the applicant;</w:t>
      </w:r>
      <w:r>
        <w:rPr>
          <w:rStyle w:val="FootnoteReference"/>
          <w:color w:val="000000"/>
          <w:szCs w:val="22"/>
        </w:rPr>
        <w:footnoteReference w:id="18"/>
      </w:r>
    </w:p>
    <w:p w:rsidR="005D6879" w:rsidRPr="005D6879" w:rsidP="005D6879" w14:paraId="09D60F5A" w14:textId="77777777">
      <w:pPr>
        <w:ind w:left="720" w:firstLine="720"/>
        <w:rPr>
          <w:color w:val="000000"/>
          <w:szCs w:val="22"/>
        </w:rPr>
      </w:pPr>
      <w:r w:rsidRPr="005D6879">
        <w:rPr>
          <w:color w:val="000000"/>
          <w:szCs w:val="22"/>
        </w:rPr>
        <w:t>(d) The exact nature and amount of any consideration paid or promised;</w:t>
      </w:r>
    </w:p>
    <w:p w:rsidR="005D6879" w:rsidRPr="005D6879" w:rsidP="005D6879" w14:paraId="7417AEB5" w14:textId="77777777">
      <w:pPr>
        <w:ind w:left="720" w:firstLine="720"/>
        <w:rPr>
          <w:color w:val="000000"/>
          <w:szCs w:val="22"/>
        </w:rPr>
      </w:pPr>
      <w:r w:rsidRPr="005D6879">
        <w:rPr>
          <w:color w:val="000000"/>
          <w:szCs w:val="22"/>
        </w:rPr>
        <w:t>(e) An itemized accounting of the expenses for which it seeks reimbursement; and</w:t>
      </w:r>
    </w:p>
    <w:p w:rsidR="005D6879" w:rsidRPr="005D6879" w:rsidP="005D6879" w14:paraId="4B964CBD" w14:textId="77777777">
      <w:pPr>
        <w:ind w:left="1440"/>
        <w:rPr>
          <w:color w:val="000000"/>
          <w:szCs w:val="22"/>
        </w:rPr>
      </w:pPr>
      <w:r w:rsidRPr="005D6879">
        <w:rPr>
          <w:color w:val="000000"/>
          <w:szCs w:val="22"/>
        </w:rPr>
        <w:t>(f) The terms of any oral agreement relating to the dismissal or withdrawal of its application.</w:t>
      </w:r>
      <w:r>
        <w:rPr>
          <w:rStyle w:val="FootnoteReference"/>
          <w:color w:val="000000"/>
          <w:szCs w:val="22"/>
        </w:rPr>
        <w:footnoteReference w:id="19"/>
      </w:r>
    </w:p>
    <w:p w:rsidR="005D6879" w:rsidRPr="005D6879" w:rsidP="005D6879" w14:paraId="600AD995" w14:textId="77777777">
      <w:pPr>
        <w:rPr>
          <w:szCs w:val="22"/>
        </w:rPr>
      </w:pPr>
    </w:p>
    <w:p w:rsidR="005D6879" w:rsidRPr="005D6879" w:rsidP="00B83C99" w14:paraId="1B4A0AB0" w14:textId="18FCC1E9">
      <w:pPr>
        <w:ind w:firstLine="720"/>
        <w:rPr>
          <w:szCs w:val="22"/>
        </w:rPr>
      </w:pPr>
      <w:r w:rsidRPr="005D6879">
        <w:rPr>
          <w:color w:val="000000"/>
          <w:szCs w:val="22"/>
        </w:rPr>
        <w:t>Applicants that unilaterally dismiss their application without having entered into a settlement agreement with another applicant must nevertheless still submit an affidavit as to whether or not consideration has been promised to or received by such applicant in connection with their dismissal.</w:t>
      </w:r>
      <w:r>
        <w:rPr>
          <w:rStyle w:val="FootnoteReference"/>
          <w:color w:val="000000"/>
          <w:szCs w:val="22"/>
        </w:rPr>
        <w:footnoteReference w:id="20"/>
      </w:r>
      <w:r w:rsidRPr="005D6879">
        <w:rPr>
          <w:color w:val="000000"/>
          <w:szCs w:val="22"/>
        </w:rPr>
        <w:t xml:space="preserve">  </w:t>
      </w:r>
      <w:r w:rsidRPr="005D6879">
        <w:rPr>
          <w:szCs w:val="22"/>
        </w:rPr>
        <w:t xml:space="preserve">A request for dismissal of an application cannot cure a violation of the </w:t>
      </w:r>
      <w:r w:rsidR="008F2F86">
        <w:rPr>
          <w:szCs w:val="22"/>
        </w:rPr>
        <w:t>10</w:t>
      </w:r>
      <w:r w:rsidRPr="005D6879">
        <w:rPr>
          <w:szCs w:val="22"/>
        </w:rPr>
        <w:t>-application limit on NCE FM new station applications filed by any party during the window.</w:t>
      </w:r>
      <w:r>
        <w:rPr>
          <w:rStyle w:val="FootnoteReference"/>
          <w:szCs w:val="22"/>
        </w:rPr>
        <w:footnoteReference w:id="21"/>
      </w:r>
      <w:r w:rsidRPr="005D6879">
        <w:rPr>
          <w:szCs w:val="22"/>
        </w:rPr>
        <w:t xml:space="preserve">  </w:t>
      </w:r>
    </w:p>
    <w:p w:rsidR="005D6879" w:rsidRPr="005D6879" w:rsidP="005D6879" w14:paraId="170D4F56" w14:textId="77777777">
      <w:pPr>
        <w:rPr>
          <w:b/>
          <w:szCs w:val="22"/>
        </w:rPr>
      </w:pPr>
      <w:bookmarkStart w:id="7" w:name="FN[FN8]"/>
      <w:bookmarkStart w:id="8" w:name="73.3525b5"/>
      <w:bookmarkEnd w:id="7"/>
      <w:bookmarkEnd w:id="8"/>
    </w:p>
    <w:p w:rsidR="005D6879" w:rsidP="00C74CE4" w14:paraId="1C363843" w14:textId="5702E6AC">
      <w:pPr>
        <w:ind w:firstLine="720"/>
        <w:rPr>
          <w:rStyle w:val="documentbody1"/>
          <w:rFonts w:ascii="Times New Roman" w:hAnsi="Times New Roman"/>
          <w:color w:val="000000"/>
          <w:sz w:val="22"/>
          <w:szCs w:val="22"/>
        </w:rPr>
      </w:pPr>
      <w:r w:rsidRPr="005405BD">
        <w:rPr>
          <w:bCs/>
          <w:szCs w:val="22"/>
          <w:u w:val="single"/>
        </w:rPr>
        <w:t>Technical Amendments.</w:t>
      </w:r>
      <w:r w:rsidRPr="005D6879">
        <w:rPr>
          <w:b/>
          <w:szCs w:val="22"/>
        </w:rPr>
        <w:t xml:space="preserve">  </w:t>
      </w:r>
      <w:r w:rsidRPr="005D6879">
        <w:rPr>
          <w:szCs w:val="22"/>
        </w:rPr>
        <w:t>Acceptable technical amendments will resolve all conflicts between at least one application and all other applications filed in the window.</w:t>
      </w:r>
      <w:r>
        <w:rPr>
          <w:rStyle w:val="FootnoteReference"/>
          <w:szCs w:val="22"/>
        </w:rPr>
        <w:footnoteReference w:id="22"/>
      </w:r>
      <w:r w:rsidRPr="005D6879">
        <w:rPr>
          <w:szCs w:val="22"/>
        </w:rPr>
        <w:t xml:space="preserve">  </w:t>
      </w:r>
      <w:r w:rsidRPr="005D6879">
        <w:rPr>
          <w:rStyle w:val="documentbody1"/>
          <w:rFonts w:ascii="Times New Roman" w:hAnsi="Times New Roman"/>
          <w:color w:val="000000"/>
          <w:sz w:val="22"/>
          <w:szCs w:val="22"/>
        </w:rPr>
        <w:t xml:space="preserve">Only minor engineering amendments, </w:t>
      </w:r>
      <w:r w:rsidRPr="005D6879">
        <w:rPr>
          <w:rStyle w:val="documentbody1"/>
          <w:rFonts w:ascii="Times New Roman" w:hAnsi="Times New Roman"/>
          <w:i/>
          <w:color w:val="000000"/>
          <w:sz w:val="22"/>
          <w:szCs w:val="22"/>
        </w:rPr>
        <w:t>e.g</w:t>
      </w:r>
      <w:r w:rsidRPr="005D6879">
        <w:rPr>
          <w:rStyle w:val="documentbody1"/>
          <w:rFonts w:ascii="Times New Roman" w:hAnsi="Times New Roman"/>
          <w:color w:val="000000"/>
          <w:sz w:val="22"/>
          <w:szCs w:val="22"/>
        </w:rPr>
        <w:t>., amendments specifying an adjacent channel, a new transmitter site, lower power, modified directional pattern, etc., will be accepted.</w:t>
      </w:r>
      <w:r>
        <w:rPr>
          <w:rStyle w:val="FootnoteReference"/>
          <w:color w:val="000000"/>
          <w:szCs w:val="22"/>
        </w:rPr>
        <w:footnoteReference w:id="23"/>
      </w:r>
      <w:r w:rsidRPr="005D6879">
        <w:rPr>
          <w:rStyle w:val="documentbody1"/>
          <w:rFonts w:ascii="Times New Roman" w:hAnsi="Times New Roman"/>
          <w:color w:val="000000"/>
          <w:sz w:val="22"/>
          <w:szCs w:val="22"/>
        </w:rPr>
        <w:t xml:space="preserve">  Amended applications must specify rule-compliant facilities.  </w:t>
      </w:r>
      <w:r w:rsidRPr="00E96BE8" w:rsidR="00E96BE8">
        <w:t>Applications that are amended and create any new application conflicts, or that worsen any existing conflicts (such as increasing existing overlap)</w:t>
      </w:r>
      <w:r w:rsidR="00036EAE">
        <w:t>,</w:t>
      </w:r>
      <w:r w:rsidRPr="00E96BE8" w:rsidR="00E96BE8">
        <w:t xml:space="preserve"> will be dismissed.</w:t>
      </w:r>
      <w:r w:rsidR="00E96BE8">
        <w:rPr>
          <w:rStyle w:val="documentbody1"/>
          <w:color w:val="000000"/>
        </w:rPr>
        <w:t xml:space="preserve">  </w:t>
      </w:r>
      <w:r w:rsidRPr="005D6879">
        <w:rPr>
          <w:rStyle w:val="documentbody1"/>
          <w:rFonts w:ascii="Times New Roman" w:hAnsi="Times New Roman"/>
          <w:color w:val="000000"/>
          <w:sz w:val="22"/>
          <w:szCs w:val="22"/>
        </w:rPr>
        <w:t>Applicants may file technical amendments as part of a settlement agreement or unilaterally.  Applicants are encouraged to file technical amendments promptly.  These amendments will be processed under the NCE first-come, first-served cut-off rule.</w:t>
      </w:r>
      <w:r>
        <w:rPr>
          <w:rStyle w:val="FootnoteReference"/>
          <w:color w:val="000000"/>
          <w:szCs w:val="22"/>
        </w:rPr>
        <w:footnoteReference w:id="24"/>
      </w:r>
    </w:p>
    <w:p w:rsidR="00C74CE4" w:rsidRPr="005D6879" w:rsidP="00C74CE4" w14:paraId="222B0541" w14:textId="77777777">
      <w:pPr>
        <w:ind w:firstLine="720"/>
        <w:rPr>
          <w:rStyle w:val="documentbody1"/>
          <w:rFonts w:ascii="Times New Roman" w:hAnsi="Times New Roman"/>
          <w:color w:val="000000"/>
          <w:sz w:val="22"/>
          <w:szCs w:val="22"/>
        </w:rPr>
      </w:pPr>
    </w:p>
    <w:p w:rsidR="00020EF5" w:rsidRPr="005D6879" w:rsidP="009E4850" w14:paraId="779EB009" w14:textId="39CC6278">
      <w:pPr>
        <w:ind w:firstLine="720"/>
        <w:rPr>
          <w:color w:val="000000"/>
          <w:szCs w:val="22"/>
        </w:rPr>
      </w:pPr>
      <w:r w:rsidRPr="005D6879">
        <w:rPr>
          <w:rStyle w:val="documentbody1"/>
          <w:rFonts w:ascii="Times New Roman" w:hAnsi="Times New Roman"/>
          <w:color w:val="000000"/>
          <w:sz w:val="22"/>
          <w:szCs w:val="22"/>
        </w:rPr>
        <w:t>Applicants filing coordinated technical amendments as part of a settlement agreement must cross-reference all such filings in each amendment.  As noted previously, an a</w:t>
      </w:r>
      <w:r w:rsidRPr="005D6879">
        <w:rPr>
          <w:color w:val="000000"/>
          <w:szCs w:val="22"/>
        </w:rPr>
        <w:t>pplicant that unilaterally files an engineering amendment without having entered into a settlement agreement with any other applicant must nevertheless submit an affidavit as to whether or not consideration has been promised to or received by such applicant in connection with its engineering amendment.</w:t>
      </w:r>
      <w:r>
        <w:rPr>
          <w:rStyle w:val="FootnoteReference"/>
          <w:color w:val="000000"/>
          <w:szCs w:val="22"/>
        </w:rPr>
        <w:footnoteReference w:id="25"/>
      </w:r>
    </w:p>
    <w:p w:rsidR="005D6879" w:rsidRPr="005D6879" w:rsidP="005D6879" w14:paraId="49BFB514" w14:textId="77777777">
      <w:pPr>
        <w:rPr>
          <w:szCs w:val="22"/>
        </w:rPr>
      </w:pPr>
      <w:bookmarkStart w:id="9" w:name="73.3564e"/>
      <w:bookmarkEnd w:id="9"/>
      <w:r w:rsidRPr="005D6879">
        <w:rPr>
          <w:szCs w:val="22"/>
        </w:rPr>
        <w:t xml:space="preserve">     </w:t>
      </w:r>
    </w:p>
    <w:p w:rsidR="006134A2" w:rsidP="00B83C99" w14:paraId="08F5FFEB" w14:textId="0215913C">
      <w:pPr>
        <w:ind w:firstLine="720"/>
        <w:rPr>
          <w:bCs/>
          <w:szCs w:val="22"/>
        </w:rPr>
      </w:pPr>
      <w:r w:rsidRPr="005D6879">
        <w:rPr>
          <w:rStyle w:val="Strong"/>
          <w:color w:val="000000"/>
          <w:szCs w:val="22"/>
        </w:rPr>
        <w:t>Filing Procedures.</w:t>
      </w:r>
      <w:r w:rsidRPr="005D6879">
        <w:rPr>
          <w:rStyle w:val="documentbody1"/>
          <w:rFonts w:ascii="Times New Roman" w:hAnsi="Times New Roman"/>
          <w:color w:val="000000"/>
          <w:sz w:val="22"/>
          <w:szCs w:val="22"/>
        </w:rPr>
        <w:t xml:space="preserve">  Joint requests for approval of a settlement</w:t>
      </w:r>
      <w:r w:rsidR="00DE2C8A">
        <w:rPr>
          <w:rStyle w:val="documentbody1"/>
          <w:rFonts w:ascii="Times New Roman" w:hAnsi="Times New Roman"/>
          <w:color w:val="000000"/>
          <w:sz w:val="22"/>
          <w:szCs w:val="22"/>
        </w:rPr>
        <w:t>, and the above-referenced documents required by section 73.3525 of the rules</w:t>
      </w:r>
      <w:r w:rsidR="00303AFA">
        <w:rPr>
          <w:rStyle w:val="documentbody1"/>
          <w:rFonts w:ascii="Times New Roman" w:hAnsi="Times New Roman"/>
          <w:color w:val="000000"/>
          <w:sz w:val="22"/>
          <w:szCs w:val="22"/>
        </w:rPr>
        <w:t xml:space="preserve"> (the Settlement Package)</w:t>
      </w:r>
      <w:r w:rsidR="002A1544">
        <w:rPr>
          <w:rStyle w:val="documentbody1"/>
          <w:rFonts w:ascii="Times New Roman" w:hAnsi="Times New Roman"/>
          <w:color w:val="000000"/>
          <w:sz w:val="22"/>
          <w:szCs w:val="22"/>
        </w:rPr>
        <w:t>,</w:t>
      </w:r>
      <w:r w:rsidR="00DE2C8A">
        <w:rPr>
          <w:rStyle w:val="documentbody1"/>
          <w:rFonts w:ascii="Times New Roman" w:hAnsi="Times New Roman"/>
          <w:color w:val="000000"/>
          <w:sz w:val="22"/>
          <w:szCs w:val="22"/>
        </w:rPr>
        <w:t xml:space="preserve"> must be submitted in the form of an amendment to </w:t>
      </w:r>
      <w:r w:rsidR="00303AFA">
        <w:rPr>
          <w:rStyle w:val="documentbody1"/>
          <w:rFonts w:ascii="Times New Roman" w:hAnsi="Times New Roman"/>
          <w:color w:val="000000"/>
          <w:sz w:val="22"/>
          <w:szCs w:val="22"/>
        </w:rPr>
        <w:t xml:space="preserve">one </w:t>
      </w:r>
      <w:r w:rsidR="005418CE">
        <w:rPr>
          <w:rStyle w:val="documentbody1"/>
          <w:rFonts w:ascii="Times New Roman" w:hAnsi="Times New Roman"/>
          <w:color w:val="000000"/>
          <w:sz w:val="22"/>
          <w:szCs w:val="22"/>
        </w:rPr>
        <w:t xml:space="preserve">(or more) </w:t>
      </w:r>
      <w:r w:rsidR="00303AFA">
        <w:rPr>
          <w:rStyle w:val="documentbody1"/>
          <w:rFonts w:ascii="Times New Roman" w:hAnsi="Times New Roman"/>
          <w:color w:val="000000"/>
          <w:sz w:val="22"/>
          <w:szCs w:val="22"/>
        </w:rPr>
        <w:t xml:space="preserve">of </w:t>
      </w:r>
      <w:r w:rsidR="00DE2C8A">
        <w:rPr>
          <w:rStyle w:val="documentbody1"/>
          <w:rFonts w:ascii="Times New Roman" w:hAnsi="Times New Roman"/>
          <w:color w:val="000000"/>
          <w:sz w:val="22"/>
          <w:szCs w:val="22"/>
        </w:rPr>
        <w:t xml:space="preserve">the </w:t>
      </w:r>
      <w:r w:rsidR="00CE25A2">
        <w:rPr>
          <w:rStyle w:val="documentbody1"/>
          <w:rFonts w:ascii="Times New Roman" w:hAnsi="Times New Roman"/>
          <w:color w:val="000000"/>
          <w:sz w:val="22"/>
          <w:szCs w:val="22"/>
        </w:rPr>
        <w:t xml:space="preserve">applicants’ pending </w:t>
      </w:r>
      <w:r w:rsidRPr="00613EED" w:rsidR="00CE25A2">
        <w:rPr>
          <w:bCs/>
          <w:szCs w:val="22"/>
        </w:rPr>
        <w:t>FCC Form 2100, Schedule 340</w:t>
      </w:r>
      <w:r w:rsidRPr="00613EED" w:rsidR="00CE25A2">
        <w:rPr>
          <w:szCs w:val="22"/>
          <w:shd w:val="clear" w:color="auto" w:fill="FFFFFF"/>
        </w:rPr>
        <w:t>, Noncommercial Educational Station for Reserved Channel Construction Permit Application</w:t>
      </w:r>
      <w:r w:rsidR="00CE25A2">
        <w:rPr>
          <w:szCs w:val="22"/>
          <w:shd w:val="clear" w:color="auto" w:fill="FFFFFF"/>
        </w:rPr>
        <w:t>s</w:t>
      </w:r>
      <w:r w:rsidRPr="00613EED" w:rsidR="00CE25A2">
        <w:rPr>
          <w:szCs w:val="22"/>
          <w:shd w:val="clear" w:color="auto" w:fill="FFFFFF"/>
        </w:rPr>
        <w:t xml:space="preserve"> (Schedule 340) </w:t>
      </w:r>
      <w:r w:rsidRPr="00613EED" w:rsidR="00CE25A2">
        <w:rPr>
          <w:bCs/>
          <w:szCs w:val="22"/>
        </w:rPr>
        <w:t xml:space="preserve">in the </w:t>
      </w:r>
      <w:r w:rsidR="00CE25A2">
        <w:rPr>
          <w:bCs/>
          <w:szCs w:val="22"/>
        </w:rPr>
        <w:t xml:space="preserve">Bureau’s </w:t>
      </w:r>
      <w:r w:rsidRPr="00613EED" w:rsidR="00CE25A2">
        <w:rPr>
          <w:bCs/>
          <w:szCs w:val="22"/>
        </w:rPr>
        <w:t>Licensing and Management System (LMS)</w:t>
      </w:r>
      <w:r w:rsidR="00CE25A2">
        <w:rPr>
          <w:bCs/>
          <w:szCs w:val="22"/>
        </w:rPr>
        <w:t>.</w:t>
      </w:r>
      <w:r w:rsidR="005E418A">
        <w:rPr>
          <w:bCs/>
          <w:szCs w:val="22"/>
        </w:rPr>
        <w:t xml:space="preserve">  </w:t>
      </w:r>
      <w:r w:rsidR="00303AFA">
        <w:rPr>
          <w:bCs/>
          <w:szCs w:val="22"/>
        </w:rPr>
        <w:t xml:space="preserve">Specifically, </w:t>
      </w:r>
      <w:r w:rsidR="0072371C">
        <w:rPr>
          <w:bCs/>
          <w:szCs w:val="22"/>
        </w:rPr>
        <w:t xml:space="preserve">the Settlement Package </w:t>
      </w:r>
      <w:r w:rsidR="003A0815">
        <w:rPr>
          <w:bCs/>
          <w:szCs w:val="22"/>
        </w:rPr>
        <w:t xml:space="preserve">should be filed by </w:t>
      </w:r>
      <w:r w:rsidR="00A16D1B">
        <w:rPr>
          <w:bCs/>
          <w:szCs w:val="22"/>
        </w:rPr>
        <w:t>the</w:t>
      </w:r>
      <w:r w:rsidR="003A0815">
        <w:rPr>
          <w:bCs/>
          <w:szCs w:val="22"/>
        </w:rPr>
        <w:t xml:space="preserve"> applicant</w:t>
      </w:r>
      <w:r w:rsidR="00A16D1B">
        <w:rPr>
          <w:bCs/>
          <w:szCs w:val="22"/>
        </w:rPr>
        <w:t xml:space="preserve">(s) whose application will survive/continue to be </w:t>
      </w:r>
      <w:r w:rsidR="003A0815">
        <w:rPr>
          <w:bCs/>
          <w:szCs w:val="22"/>
        </w:rPr>
        <w:t xml:space="preserve"> </w:t>
      </w:r>
      <w:r w:rsidR="00A16D1B">
        <w:rPr>
          <w:bCs/>
          <w:szCs w:val="22"/>
        </w:rPr>
        <w:t>processed, pursuant to terms of the settlement agreement.</w:t>
      </w:r>
      <w:r>
        <w:rPr>
          <w:rStyle w:val="FootnoteReference"/>
          <w:bCs/>
          <w:szCs w:val="22"/>
        </w:rPr>
        <w:footnoteReference w:id="26"/>
      </w:r>
      <w:r w:rsidR="00A16D1B">
        <w:rPr>
          <w:bCs/>
          <w:szCs w:val="22"/>
        </w:rPr>
        <w:t xml:space="preserve">  </w:t>
      </w:r>
      <w:r w:rsidR="0072371C">
        <w:rPr>
          <w:bCs/>
          <w:szCs w:val="22"/>
        </w:rPr>
        <w:t>The designated applicant</w:t>
      </w:r>
      <w:r w:rsidR="00A16D1B">
        <w:rPr>
          <w:bCs/>
          <w:szCs w:val="22"/>
        </w:rPr>
        <w:t>(s)</w:t>
      </w:r>
      <w:r w:rsidR="0072371C">
        <w:rPr>
          <w:bCs/>
          <w:szCs w:val="22"/>
        </w:rPr>
        <w:t xml:space="preserve"> should label the Settlement Package, attached as an amendment to the </w:t>
      </w:r>
      <w:r w:rsidR="0069658C">
        <w:rPr>
          <w:bCs/>
          <w:szCs w:val="22"/>
        </w:rPr>
        <w:t xml:space="preserve">pending </w:t>
      </w:r>
      <w:r w:rsidR="0072371C">
        <w:rPr>
          <w:bCs/>
          <w:szCs w:val="22"/>
        </w:rPr>
        <w:t>Schedule 340, as “Settlement Agreement”</w:t>
      </w:r>
      <w:r w:rsidR="00195F0C">
        <w:rPr>
          <w:bCs/>
          <w:szCs w:val="22"/>
        </w:rPr>
        <w:t xml:space="preserve"> for easy identification by Bureau staff.</w:t>
      </w:r>
      <w:r>
        <w:rPr>
          <w:bCs/>
          <w:szCs w:val="22"/>
        </w:rPr>
        <w:t xml:space="preserve">  The Settlement Package should include a cover page detailing the following:</w:t>
      </w:r>
    </w:p>
    <w:p w:rsidR="006134A2" w:rsidP="00B83C99" w14:paraId="21D6CB76" w14:textId="77777777">
      <w:pPr>
        <w:ind w:firstLine="720"/>
        <w:rPr>
          <w:bCs/>
          <w:szCs w:val="22"/>
        </w:rPr>
      </w:pPr>
    </w:p>
    <w:p w:rsidR="006134A2" w:rsidP="006134A2" w14:paraId="209CCFAB" w14:textId="2D89E98E">
      <w:pPr>
        <w:pStyle w:val="ListParagraph"/>
        <w:numPr>
          <w:ilvl w:val="0"/>
          <w:numId w:val="22"/>
        </w:numPr>
        <w:rPr>
          <w:bCs/>
          <w:szCs w:val="22"/>
        </w:rPr>
      </w:pPr>
      <w:r>
        <w:rPr>
          <w:bCs/>
          <w:szCs w:val="22"/>
        </w:rPr>
        <w:t xml:space="preserve">The LMS file numbers and Facility Identification Numbers of </w:t>
      </w:r>
      <w:r>
        <w:rPr>
          <w:bCs/>
          <w:i/>
          <w:iCs/>
          <w:szCs w:val="22"/>
        </w:rPr>
        <w:t xml:space="preserve">all </w:t>
      </w:r>
      <w:r>
        <w:rPr>
          <w:bCs/>
          <w:szCs w:val="22"/>
        </w:rPr>
        <w:t>of the other applications that are parties to the particular settlement agreement</w:t>
      </w:r>
      <w:r w:rsidR="00787E73">
        <w:rPr>
          <w:bCs/>
          <w:szCs w:val="22"/>
        </w:rPr>
        <w:t>;</w:t>
      </w:r>
    </w:p>
    <w:p w:rsidR="006134A2" w:rsidP="006134A2" w14:paraId="13FD0A15" w14:textId="1ED1B9D7">
      <w:pPr>
        <w:pStyle w:val="ListParagraph"/>
        <w:numPr>
          <w:ilvl w:val="0"/>
          <w:numId w:val="22"/>
        </w:numPr>
        <w:rPr>
          <w:bCs/>
          <w:szCs w:val="22"/>
        </w:rPr>
      </w:pPr>
      <w:r w:rsidRPr="006134A2">
        <w:rPr>
          <w:bCs/>
          <w:szCs w:val="22"/>
        </w:rPr>
        <w:t xml:space="preserve"> </w:t>
      </w:r>
      <w:r w:rsidR="00AD27E9">
        <w:rPr>
          <w:bCs/>
          <w:szCs w:val="22"/>
        </w:rPr>
        <w:t xml:space="preserve">A brief description of the </w:t>
      </w:r>
      <w:r w:rsidR="003A0815">
        <w:rPr>
          <w:bCs/>
          <w:szCs w:val="22"/>
        </w:rPr>
        <w:t xml:space="preserve">basic </w:t>
      </w:r>
      <w:r w:rsidR="00AD27E9">
        <w:rPr>
          <w:bCs/>
          <w:szCs w:val="22"/>
        </w:rPr>
        <w:t xml:space="preserve">terms of the </w:t>
      </w:r>
      <w:r w:rsidR="00195F0C">
        <w:rPr>
          <w:bCs/>
          <w:szCs w:val="22"/>
        </w:rPr>
        <w:t>settlement agreement</w:t>
      </w:r>
      <w:r w:rsidR="003A0815">
        <w:rPr>
          <w:bCs/>
          <w:szCs w:val="22"/>
        </w:rPr>
        <w:t xml:space="preserve"> (referencing any applications that are being dismissed or technically amended and </w:t>
      </w:r>
      <w:r w:rsidR="00787E73">
        <w:rPr>
          <w:bCs/>
          <w:szCs w:val="22"/>
        </w:rPr>
        <w:t>the</w:t>
      </w:r>
      <w:r w:rsidR="003A0815">
        <w:rPr>
          <w:bCs/>
          <w:szCs w:val="22"/>
        </w:rPr>
        <w:t xml:space="preserve"> application(s)</w:t>
      </w:r>
      <w:r w:rsidR="00787E73">
        <w:rPr>
          <w:bCs/>
          <w:szCs w:val="22"/>
        </w:rPr>
        <w:t xml:space="preserve"> which</w:t>
      </w:r>
      <w:r w:rsidR="003A0815">
        <w:rPr>
          <w:bCs/>
          <w:szCs w:val="22"/>
        </w:rPr>
        <w:t xml:space="preserve"> will </w:t>
      </w:r>
      <w:r w:rsidR="00787E73">
        <w:rPr>
          <w:bCs/>
          <w:szCs w:val="22"/>
        </w:rPr>
        <w:t xml:space="preserve">survive and </w:t>
      </w:r>
      <w:r w:rsidR="003A0815">
        <w:rPr>
          <w:bCs/>
          <w:szCs w:val="22"/>
        </w:rPr>
        <w:t xml:space="preserve">continue to </w:t>
      </w:r>
      <w:r w:rsidR="00787E73">
        <w:rPr>
          <w:bCs/>
          <w:szCs w:val="22"/>
        </w:rPr>
        <w:t>be processed);</w:t>
      </w:r>
      <w:r w:rsidR="003A0815">
        <w:rPr>
          <w:bCs/>
          <w:szCs w:val="22"/>
        </w:rPr>
        <w:t xml:space="preserve"> </w:t>
      </w:r>
      <w:r w:rsidR="00195F0C">
        <w:rPr>
          <w:bCs/>
          <w:szCs w:val="22"/>
        </w:rPr>
        <w:t xml:space="preserve"> </w:t>
      </w:r>
    </w:p>
    <w:p w:rsidR="000E7421" w:rsidRPr="006134A2" w:rsidP="00833B2A" w14:paraId="16F8E10A" w14:textId="6CA19BFA">
      <w:pPr>
        <w:pStyle w:val="ListParagraph"/>
        <w:numPr>
          <w:ilvl w:val="0"/>
          <w:numId w:val="22"/>
        </w:numPr>
        <w:rPr>
          <w:bCs/>
          <w:szCs w:val="22"/>
        </w:rPr>
      </w:pPr>
      <w:r w:rsidRPr="006134A2">
        <w:rPr>
          <w:bCs/>
          <w:szCs w:val="22"/>
        </w:rPr>
        <w:t xml:space="preserve"> </w:t>
      </w:r>
      <w:r w:rsidR="006134A2">
        <w:rPr>
          <w:bCs/>
          <w:szCs w:val="22"/>
        </w:rPr>
        <w:t>R</w:t>
      </w:r>
      <w:r w:rsidRPr="006134A2" w:rsidR="00CE25A2">
        <w:rPr>
          <w:bCs/>
          <w:szCs w:val="22"/>
        </w:rPr>
        <w:t>eference</w:t>
      </w:r>
      <w:r w:rsidR="006134A2">
        <w:rPr>
          <w:bCs/>
          <w:szCs w:val="22"/>
        </w:rPr>
        <w:t>s</w:t>
      </w:r>
      <w:r w:rsidRPr="006134A2" w:rsidR="00CE25A2">
        <w:rPr>
          <w:bCs/>
          <w:szCs w:val="22"/>
        </w:rPr>
        <w:t xml:space="preserve"> </w:t>
      </w:r>
      <w:r w:rsidR="006134A2">
        <w:rPr>
          <w:bCs/>
          <w:szCs w:val="22"/>
        </w:rPr>
        <w:t xml:space="preserve">to </w:t>
      </w:r>
      <w:r w:rsidRPr="006134A2" w:rsidR="00CE25A2">
        <w:rPr>
          <w:bCs/>
          <w:szCs w:val="22"/>
        </w:rPr>
        <w:t xml:space="preserve">any </w:t>
      </w:r>
      <w:r w:rsidRPr="006134A2" w:rsidR="009E4850">
        <w:rPr>
          <w:bCs/>
          <w:szCs w:val="22"/>
        </w:rPr>
        <w:t xml:space="preserve">technical </w:t>
      </w:r>
      <w:r w:rsidRPr="006134A2" w:rsidR="00CE25A2">
        <w:rPr>
          <w:bCs/>
          <w:szCs w:val="22"/>
        </w:rPr>
        <w:t xml:space="preserve">application amendments filed in conjunction with the settlement agreement.  </w:t>
      </w:r>
    </w:p>
    <w:p w:rsidR="000E7421" w:rsidP="00B83C99" w14:paraId="35A1022F" w14:textId="77777777">
      <w:pPr>
        <w:ind w:firstLine="720"/>
        <w:rPr>
          <w:bCs/>
          <w:szCs w:val="22"/>
        </w:rPr>
      </w:pPr>
    </w:p>
    <w:p w:rsidR="00DE2C8A" w:rsidP="00B83C99" w14:paraId="43D4056C" w14:textId="7DF38A9D">
      <w:pPr>
        <w:ind w:firstLine="720"/>
        <w:rPr>
          <w:rStyle w:val="documentbody1"/>
          <w:rFonts w:ascii="Times New Roman" w:hAnsi="Times New Roman"/>
          <w:color w:val="000000"/>
          <w:sz w:val="22"/>
          <w:szCs w:val="22"/>
        </w:rPr>
      </w:pPr>
      <w:r>
        <w:rPr>
          <w:bCs/>
          <w:szCs w:val="22"/>
        </w:rPr>
        <w:t>Technical</w:t>
      </w:r>
      <w:r w:rsidR="00CE25A2">
        <w:rPr>
          <w:bCs/>
          <w:szCs w:val="22"/>
        </w:rPr>
        <w:t xml:space="preserve"> application amendments must also be filed electronically on Schedule 340 through LMS.</w:t>
      </w:r>
      <w:r w:rsidR="002A1544">
        <w:rPr>
          <w:bCs/>
          <w:szCs w:val="22"/>
        </w:rPr>
        <w:t xml:space="preserve">  Paper filed amendments and settlements will not be considered.  </w:t>
      </w:r>
      <w:r w:rsidR="002A1544">
        <w:rPr>
          <w:rStyle w:val="documentbody1"/>
          <w:rFonts w:ascii="Times New Roman" w:hAnsi="Times New Roman"/>
          <w:color w:val="000000"/>
          <w:sz w:val="22"/>
          <w:szCs w:val="22"/>
        </w:rPr>
        <w:t>A</w:t>
      </w:r>
      <w:r w:rsidRPr="005D6879" w:rsidR="002A1544">
        <w:rPr>
          <w:rStyle w:val="documentbody1"/>
          <w:rFonts w:ascii="Times New Roman" w:hAnsi="Times New Roman"/>
          <w:color w:val="000000"/>
          <w:sz w:val="22"/>
          <w:szCs w:val="22"/>
        </w:rPr>
        <w:t xml:space="preserve">pplicants are encouraged to deliver a courtesy copy of the </w:t>
      </w:r>
      <w:r w:rsidR="005418CE">
        <w:rPr>
          <w:rStyle w:val="documentbody1"/>
          <w:rFonts w:ascii="Times New Roman" w:hAnsi="Times New Roman"/>
          <w:color w:val="000000"/>
          <w:sz w:val="22"/>
          <w:szCs w:val="22"/>
        </w:rPr>
        <w:t>S</w:t>
      </w:r>
      <w:r w:rsidRPr="005D6879" w:rsidR="002A1544">
        <w:rPr>
          <w:rStyle w:val="documentbody1"/>
          <w:rFonts w:ascii="Times New Roman" w:hAnsi="Times New Roman"/>
          <w:color w:val="000000"/>
          <w:sz w:val="22"/>
          <w:szCs w:val="22"/>
        </w:rPr>
        <w:t xml:space="preserve">ettlement </w:t>
      </w:r>
      <w:r w:rsidR="005418CE">
        <w:rPr>
          <w:rStyle w:val="documentbody1"/>
          <w:rFonts w:ascii="Times New Roman" w:hAnsi="Times New Roman"/>
          <w:color w:val="000000"/>
          <w:sz w:val="22"/>
          <w:szCs w:val="22"/>
        </w:rPr>
        <w:t>Package</w:t>
      </w:r>
      <w:r w:rsidRPr="005D6879" w:rsidR="002A1544">
        <w:rPr>
          <w:rStyle w:val="documentbody1"/>
          <w:rFonts w:ascii="Times New Roman" w:hAnsi="Times New Roman"/>
          <w:color w:val="000000"/>
          <w:sz w:val="22"/>
          <w:szCs w:val="22"/>
        </w:rPr>
        <w:t xml:space="preserve"> </w:t>
      </w:r>
      <w:r w:rsidR="002A1544">
        <w:rPr>
          <w:rStyle w:val="documentbody1"/>
          <w:rFonts w:ascii="Times New Roman" w:hAnsi="Times New Roman"/>
          <w:color w:val="000000"/>
          <w:sz w:val="22"/>
          <w:szCs w:val="22"/>
        </w:rPr>
        <w:t>via email to</w:t>
      </w:r>
      <w:r w:rsidR="00E512EC">
        <w:rPr>
          <w:rStyle w:val="documentbody1"/>
          <w:rFonts w:ascii="Times New Roman" w:hAnsi="Times New Roman"/>
          <w:color w:val="000000"/>
          <w:sz w:val="22"/>
          <w:szCs w:val="22"/>
        </w:rPr>
        <w:t xml:space="preserve"> James Bradshaw, </w:t>
      </w:r>
      <w:hyperlink r:id="rId5" w:history="1">
        <w:r w:rsidRPr="00424EA4" w:rsidR="00E512EC">
          <w:rPr>
            <w:rStyle w:val="Hyperlink"/>
            <w:szCs w:val="22"/>
          </w:rPr>
          <w:t>James.Bradshaw@fcc.gov</w:t>
        </w:r>
      </w:hyperlink>
      <w:r w:rsidR="00E512EC">
        <w:rPr>
          <w:rStyle w:val="documentbody1"/>
          <w:rFonts w:ascii="Times New Roman" w:hAnsi="Times New Roman"/>
          <w:color w:val="000000"/>
          <w:sz w:val="22"/>
          <w:szCs w:val="22"/>
        </w:rPr>
        <w:t xml:space="preserve"> and Arthur Doak, </w:t>
      </w:r>
      <w:hyperlink r:id="rId6" w:history="1">
        <w:r w:rsidRPr="00424EA4" w:rsidR="00E512EC">
          <w:rPr>
            <w:rStyle w:val="Hyperlink"/>
            <w:szCs w:val="22"/>
          </w:rPr>
          <w:t>Arthur.Doak@fcc.gov</w:t>
        </w:r>
      </w:hyperlink>
      <w:r w:rsidR="00E512EC">
        <w:rPr>
          <w:rStyle w:val="documentbody1"/>
          <w:rFonts w:ascii="Times New Roman" w:hAnsi="Times New Roman"/>
          <w:color w:val="000000"/>
          <w:sz w:val="22"/>
          <w:szCs w:val="22"/>
        </w:rPr>
        <w:t xml:space="preserve">. </w:t>
      </w:r>
      <w:r w:rsidRPr="005D6879" w:rsidR="002A1544">
        <w:rPr>
          <w:rStyle w:val="documentbody1"/>
          <w:rFonts w:ascii="Times New Roman" w:hAnsi="Times New Roman"/>
          <w:color w:val="000000"/>
          <w:sz w:val="22"/>
          <w:szCs w:val="22"/>
        </w:rPr>
        <w:t xml:space="preserve">   </w:t>
      </w:r>
      <w:r w:rsidR="002A1544">
        <w:rPr>
          <w:bCs/>
          <w:szCs w:val="22"/>
        </w:rPr>
        <w:t xml:space="preserve"> </w:t>
      </w:r>
    </w:p>
    <w:p w:rsidR="00DE2C8A" w:rsidP="00B83C99" w14:paraId="47CD4011" w14:textId="77777777">
      <w:pPr>
        <w:ind w:firstLine="720"/>
        <w:rPr>
          <w:rStyle w:val="documentbody1"/>
          <w:rFonts w:ascii="Times New Roman" w:hAnsi="Times New Roman"/>
          <w:color w:val="000000"/>
          <w:sz w:val="22"/>
          <w:szCs w:val="22"/>
        </w:rPr>
      </w:pPr>
    </w:p>
    <w:p w:rsidR="005D6879" w:rsidP="00CE25A2" w14:paraId="399B299B" w14:textId="2D3296AC">
      <w:pPr>
        <w:ind w:firstLine="720"/>
        <w:rPr>
          <w:szCs w:val="22"/>
        </w:rPr>
      </w:pPr>
      <w:r w:rsidRPr="00613EED">
        <w:rPr>
          <w:szCs w:val="22"/>
        </w:rPr>
        <w:t xml:space="preserve">For </w:t>
      </w:r>
      <w:r>
        <w:rPr>
          <w:szCs w:val="22"/>
        </w:rPr>
        <w:t xml:space="preserve">assistance </w:t>
      </w:r>
      <w:r w:rsidRPr="00613EED">
        <w:rPr>
          <w:szCs w:val="22"/>
        </w:rPr>
        <w:t xml:space="preserve">logging into LMS or accessing </w:t>
      </w:r>
      <w:r>
        <w:rPr>
          <w:szCs w:val="22"/>
        </w:rPr>
        <w:t xml:space="preserve">the </w:t>
      </w:r>
      <w:r w:rsidRPr="00613EED">
        <w:rPr>
          <w:szCs w:val="22"/>
        </w:rPr>
        <w:t xml:space="preserve">Schedule 340, please contact the Commission at (877) 480-3201 (Option 2), Monday-Friday, 8:00 am-6:00 pm EST, or submit a request online at </w:t>
      </w:r>
      <w:hyperlink r:id="rId7" w:history="1">
        <w:r w:rsidRPr="00613EED">
          <w:rPr>
            <w:rStyle w:val="Hyperlink"/>
            <w:color w:val="auto"/>
            <w:szCs w:val="22"/>
          </w:rPr>
          <w:t>https://www.fccprod.service-now.com/auls?id=esupport</w:t>
        </w:r>
      </w:hyperlink>
      <w:r w:rsidRPr="00613EED">
        <w:rPr>
          <w:szCs w:val="22"/>
        </w:rPr>
        <w:t>.</w:t>
      </w:r>
      <w:r w:rsidRPr="00613EED">
        <w:rPr>
          <w:szCs w:val="22"/>
        </w:rPr>
        <w:tab/>
      </w:r>
    </w:p>
    <w:p w:rsidR="005D6879" w:rsidP="005D6879" w14:paraId="10980045" w14:textId="64C7C553">
      <w:pPr>
        <w:rPr>
          <w:color w:val="000000"/>
          <w:szCs w:val="22"/>
        </w:rPr>
      </w:pPr>
    </w:p>
    <w:p w:rsidR="00B83C99" w:rsidP="00B83C99" w14:paraId="4F7FB18B" w14:textId="77777777">
      <w:pPr>
        <w:ind w:firstLine="720"/>
        <w:outlineLvl w:val="0"/>
        <w:rPr>
          <w:szCs w:val="22"/>
        </w:rPr>
      </w:pPr>
      <w:r>
        <w:rPr>
          <w:szCs w:val="22"/>
          <w:shd w:val="clear" w:color="auto" w:fill="FFFFFF"/>
        </w:rPr>
        <w:t xml:space="preserve">For additional information, please contact </w:t>
      </w:r>
      <w:r>
        <w:rPr>
          <w:szCs w:val="22"/>
        </w:rPr>
        <w:t>Amy Van de Kerckhove, Amy.Vandekerckhove@fcc.gov; Arthur Doak, Arthur.Doak@fcc.gov; Rodolfo Bonacci, Rodolfo.Bonacci@fcc.gov; or Lisa Scanlan, Lisa.Scanlan@fcc.gov, of the Media Bureau, Audio Division, (202) 418-2700.  Direct press inquiries to Janice Wise, Janice.Wise@fcc.gov, (202) 418-8165.</w:t>
      </w:r>
    </w:p>
    <w:p w:rsidR="005D6879" w:rsidRPr="005D6879" w:rsidP="005D6879" w14:paraId="11159502" w14:textId="77777777">
      <w:pPr>
        <w:rPr>
          <w:szCs w:val="22"/>
        </w:rPr>
      </w:pPr>
    </w:p>
    <w:p w:rsidR="005D6879" w:rsidRPr="005D6879" w:rsidP="005D6879" w14:paraId="040234FD" w14:textId="77777777">
      <w:pPr>
        <w:jc w:val="center"/>
        <w:rPr>
          <w:b/>
          <w:szCs w:val="22"/>
        </w:rPr>
      </w:pPr>
      <w:r w:rsidRPr="005D6879">
        <w:rPr>
          <w:b/>
          <w:szCs w:val="22"/>
        </w:rPr>
        <w:t>- FCC -</w:t>
      </w:r>
    </w:p>
    <w:p w:rsidR="005D6879" w:rsidP="005515FF" w14:paraId="748EAB16" w14:textId="77777777">
      <w:pPr>
        <w:jc w:val="center"/>
        <w:outlineLvl w:val="0"/>
        <w:rPr>
          <w:bCs/>
          <w:szCs w:val="22"/>
        </w:rPr>
      </w:pPr>
    </w:p>
    <w:p w:rsidR="005515FF" w:rsidP="005515FF" w14:paraId="7E6EF26B" w14:textId="77777777">
      <w:pPr>
        <w:jc w:val="center"/>
        <w:outlineLvl w:val="0"/>
        <w:rPr>
          <w:bCs/>
          <w:szCs w:val="22"/>
        </w:rPr>
      </w:pPr>
    </w:p>
    <w:bookmarkEnd w:id="0"/>
    <w:p w:rsidR="00757307" w:rsidRPr="00564D59" w:rsidP="00757307" w14:paraId="22E2A69D" w14:textId="537AFD0E">
      <w:pPr>
        <w:jc w:val="center"/>
        <w:rPr>
          <w:b/>
          <w:szCs w:val="22"/>
        </w:rPr>
      </w:pPr>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84B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9B6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5DC072"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F7393" w14:paraId="76ACA669" w14:textId="77777777">
    <w:pPr>
      <w:spacing w:before="140" w:line="100" w:lineRule="exact"/>
      <w:rPr>
        <w:sz w:val="10"/>
      </w:rPr>
    </w:pPr>
  </w:p>
  <w:p w:rsidR="006F7393" w14:paraId="5878F18B" w14:textId="77777777">
    <w:pPr>
      <w:suppressAutoHyphens/>
      <w:spacing w:line="227" w:lineRule="auto"/>
    </w:pPr>
  </w:p>
  <w:p w:rsidR="006F7393" w14:paraId="32D754D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64AE8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5A36" w14:paraId="144C7E75" w14:textId="77777777">
      <w:r>
        <w:separator/>
      </w:r>
    </w:p>
  </w:footnote>
  <w:footnote w:type="continuationSeparator" w:id="1">
    <w:p w:rsidR="005D5A36" w14:paraId="5F942E5E" w14:textId="77777777">
      <w:pPr>
        <w:rPr>
          <w:sz w:val="20"/>
        </w:rPr>
      </w:pPr>
      <w:r>
        <w:rPr>
          <w:sz w:val="20"/>
        </w:rPr>
        <w:t xml:space="preserve">(Continued from previous page)  </w:t>
      </w:r>
      <w:r>
        <w:rPr>
          <w:sz w:val="20"/>
        </w:rPr>
        <w:separator/>
      </w:r>
    </w:p>
  </w:footnote>
  <w:footnote w:type="continuationNotice" w:id="2">
    <w:p w:rsidR="005D5A36" w14:paraId="399DCBBC" w14:textId="77777777">
      <w:pPr>
        <w:rPr>
          <w:sz w:val="20"/>
        </w:rPr>
      </w:pPr>
      <w:r>
        <w:rPr>
          <w:sz w:val="20"/>
        </w:rPr>
        <w:t>(continued….)</w:t>
      </w:r>
    </w:p>
  </w:footnote>
  <w:footnote w:id="3">
    <w:p w:rsidR="00A23EBD" w:rsidRPr="00A23EBD" w:rsidP="00C179E2" w14:paraId="105A40FA" w14:textId="57EA0FC2">
      <w:pPr>
        <w:pStyle w:val="FootnoteText"/>
      </w:pPr>
      <w:r w:rsidRPr="000F255E">
        <w:rPr>
          <w:rStyle w:val="FootnoteReference"/>
          <w:sz w:val="20"/>
        </w:rPr>
        <w:footnoteRef/>
      </w:r>
      <w:r>
        <w:rPr>
          <w:i/>
          <w:iCs/>
        </w:rPr>
        <w:t xml:space="preserve"> See</w:t>
      </w:r>
      <w:r w:rsidR="009F3EF4">
        <w:rPr>
          <w:i/>
          <w:iCs/>
        </w:rPr>
        <w:t xml:space="preserve"> </w:t>
      </w:r>
      <w:r>
        <w:rPr>
          <w:i/>
          <w:iCs/>
        </w:rPr>
        <w:t>Media Bureau Announces NCE FM New Station Application Filing Window; Window Open from November 2, 2021, to November 9, 2021</w:t>
      </w:r>
      <w:r>
        <w:t>, Public Notice, MB Docket No. 20-343, DA No. 21-463 (April 21, 2021).</w:t>
      </w:r>
      <w:r w:rsidRPr="000F255E">
        <w:t xml:space="preserve">  The window was available for FM reserved band (channels 201-220) proposals.</w:t>
      </w:r>
      <w:r w:rsidRPr="000F255E">
        <w:rPr>
          <w:i/>
          <w:iCs/>
        </w:rPr>
        <w:t xml:space="preserve"> </w:t>
      </w:r>
      <w:r w:rsidR="000C4CC8">
        <w:rPr>
          <w:i/>
          <w:iCs/>
        </w:rPr>
        <w:t xml:space="preserve"> </w:t>
      </w:r>
      <w:r w:rsidRPr="000F255E">
        <w:rPr>
          <w:i/>
          <w:iCs/>
        </w:rPr>
        <w:t xml:space="preserve">See </w:t>
      </w:r>
      <w:r w:rsidRPr="000F255E">
        <w:t xml:space="preserve">47 CFR § 73.501.   </w:t>
      </w:r>
    </w:p>
  </w:footnote>
  <w:footnote w:id="4">
    <w:p w:rsidR="0029082F" w:rsidP="00C179E2" w14:paraId="657F8871" w14:textId="672465C3">
      <w:pPr>
        <w:pStyle w:val="FootnoteText"/>
      </w:pPr>
      <w:r>
        <w:rPr>
          <w:rStyle w:val="FootnoteReference"/>
        </w:rPr>
        <w:footnoteRef/>
      </w:r>
      <w:r>
        <w:t xml:space="preserve"> </w:t>
      </w:r>
      <w:r>
        <w:rPr>
          <w:i/>
          <w:iCs/>
        </w:rPr>
        <w:t xml:space="preserve">See </w:t>
      </w:r>
      <w:r>
        <w:t xml:space="preserve">47 CFR </w:t>
      </w:r>
      <w:r w:rsidRPr="000F255E">
        <w:rPr>
          <w:color w:val="010101"/>
        </w:rPr>
        <w:t>§</w:t>
      </w:r>
      <w:r>
        <w:rPr>
          <w:color w:val="010101"/>
        </w:rPr>
        <w:t xml:space="preserve"> 73.503(</w:t>
      </w:r>
      <w:r w:rsidR="00930B0F">
        <w:rPr>
          <w:color w:val="010101"/>
        </w:rPr>
        <w:t>g</w:t>
      </w:r>
      <w:r>
        <w:rPr>
          <w:color w:val="010101"/>
        </w:rPr>
        <w:t xml:space="preserve">); </w:t>
      </w:r>
      <w:r>
        <w:rPr>
          <w:i/>
          <w:iCs/>
        </w:rPr>
        <w:t>Media Bureau Announces NCE FM New Station Filing Procedures and Requirements for November 2-9, 2021, Window; Limited Application Filing Freeze to Commence on October 5, 2021</w:t>
      </w:r>
      <w:r>
        <w:t>, Public Notice, MB Docket No. 20-343, DA No. 21-885</w:t>
      </w:r>
      <w:r w:rsidR="00874D7A">
        <w:t xml:space="preserve"> (July 23, 2021) (July Procedures Notice)</w:t>
      </w:r>
      <w:r>
        <w:rPr>
          <w:i/>
          <w:iCs/>
        </w:rPr>
        <w:t xml:space="preserve"> </w:t>
      </w:r>
      <w:r>
        <w:t xml:space="preserve">(explaining that if </w:t>
      </w:r>
      <w:r w:rsidRPr="00613EED">
        <w:rPr>
          <w:szCs w:val="22"/>
          <w:shd w:val="clear" w:color="auto" w:fill="FFFFFF"/>
        </w:rPr>
        <w:t xml:space="preserve"> </w:t>
      </w:r>
      <w:r>
        <w:rPr>
          <w:szCs w:val="22"/>
          <w:shd w:val="clear" w:color="auto" w:fill="FFFFFF"/>
        </w:rPr>
        <w:t>“</w:t>
      </w:r>
      <w:r w:rsidRPr="00613EED">
        <w:rPr>
          <w:szCs w:val="22"/>
          <w:shd w:val="clear" w:color="auto" w:fill="FFFFFF"/>
        </w:rPr>
        <w:t>it is determined that any party to an application has an attributable interest in more than 10 applications, the Bureau will retain the 10 applications that were filed first — based on the date of application receipt — and dismiss all other applications</w:t>
      </w:r>
      <w:r>
        <w:rPr>
          <w:szCs w:val="22"/>
          <w:shd w:val="clear" w:color="auto" w:fill="FFFFFF"/>
        </w:rPr>
        <w:t>.”</w:t>
      </w:r>
      <w:r w:rsidR="00C179E2">
        <w:rPr>
          <w:szCs w:val="22"/>
          <w:shd w:val="clear" w:color="auto" w:fill="FFFFFF"/>
        </w:rPr>
        <w:t>).</w:t>
      </w:r>
    </w:p>
  </w:footnote>
  <w:footnote w:id="5">
    <w:p w:rsidR="00C179E2" w:rsidRPr="00C179E2" w14:paraId="3BF2AF70" w14:textId="466280F6">
      <w:pPr>
        <w:pStyle w:val="FootnoteText"/>
      </w:pPr>
      <w:r>
        <w:rPr>
          <w:rStyle w:val="FootnoteReference"/>
        </w:rPr>
        <w:footnoteRef/>
      </w:r>
      <w:r>
        <w:t xml:space="preserve"> The rule compl</w:t>
      </w:r>
      <w:r w:rsidR="002848F2">
        <w:t>ia</w:t>
      </w:r>
      <w:r>
        <w:t xml:space="preserve">nt singleton applications have been, or will be, accepted for filing.  The acceptance for filing of these singletons starts the 30-day period for filing petitions to deny. </w:t>
      </w:r>
      <w:r w:rsidR="00DD60AE">
        <w:t xml:space="preserve"> </w:t>
      </w:r>
      <w:r>
        <w:rPr>
          <w:i/>
          <w:iCs/>
        </w:rPr>
        <w:t xml:space="preserve">See </w:t>
      </w:r>
      <w:r>
        <w:t>47 CFR § 73.7004.</w:t>
      </w:r>
    </w:p>
  </w:footnote>
  <w:footnote w:id="6">
    <w:p w:rsidR="00CD4699" w:rsidP="00C179E2" w14:paraId="56C35AC1" w14:textId="434673F0">
      <w:pPr>
        <w:pStyle w:val="FootnoteText"/>
      </w:pPr>
      <w:r>
        <w:rPr>
          <w:rStyle w:val="FootnoteReference"/>
        </w:rPr>
        <w:footnoteRef/>
      </w:r>
      <w:r>
        <w:t xml:space="preserve"> </w:t>
      </w:r>
      <w:r>
        <w:rPr>
          <w:szCs w:val="22"/>
        </w:rPr>
        <w:t>The</w:t>
      </w:r>
      <w:r w:rsidRPr="00613EED">
        <w:rPr>
          <w:szCs w:val="22"/>
        </w:rPr>
        <w:t xml:space="preserve"> Bureau review</w:t>
      </w:r>
      <w:r>
        <w:rPr>
          <w:szCs w:val="22"/>
        </w:rPr>
        <w:t>s</w:t>
      </w:r>
      <w:r w:rsidRPr="00613EED">
        <w:rPr>
          <w:szCs w:val="22"/>
        </w:rPr>
        <w:t xml:space="preserve"> all applications for compliance with the relevant technical and legal rules and dismiss</w:t>
      </w:r>
      <w:r>
        <w:rPr>
          <w:szCs w:val="22"/>
        </w:rPr>
        <w:t>es</w:t>
      </w:r>
      <w:r w:rsidRPr="00613EED">
        <w:rPr>
          <w:szCs w:val="22"/>
        </w:rPr>
        <w:t xml:space="preserve"> any application that is unacceptable for filing.</w:t>
      </w:r>
      <w:r>
        <w:rPr>
          <w:szCs w:val="22"/>
        </w:rPr>
        <w:t xml:space="preserve">  </w:t>
      </w:r>
      <w:r w:rsidRPr="00613EED">
        <w:rPr>
          <w:szCs w:val="22"/>
        </w:rPr>
        <w:t xml:space="preserve">A dismissed applicant </w:t>
      </w:r>
      <w:r w:rsidR="00592CC6">
        <w:rPr>
          <w:szCs w:val="22"/>
        </w:rPr>
        <w:t>has</w:t>
      </w:r>
      <w:r w:rsidRPr="00613EED">
        <w:rPr>
          <w:szCs w:val="22"/>
        </w:rPr>
        <w:t xml:space="preserve"> </w:t>
      </w:r>
      <w:r w:rsidRPr="00613EED">
        <w:rPr>
          <w:i/>
          <w:iCs/>
          <w:szCs w:val="22"/>
        </w:rPr>
        <w:t>one</w:t>
      </w:r>
      <w:r w:rsidRPr="00613EED">
        <w:rPr>
          <w:szCs w:val="22"/>
        </w:rPr>
        <w:t xml:space="preserve"> opportunity to file a minor curative amendment to its application and a petition for reconsideration, requesting reinstatement of the application </w:t>
      </w:r>
      <w:r w:rsidRPr="00613EED">
        <w:rPr>
          <w:i/>
          <w:iCs/>
          <w:szCs w:val="22"/>
        </w:rPr>
        <w:t>nunc pro tun</w:t>
      </w:r>
      <w:r>
        <w:rPr>
          <w:i/>
          <w:iCs/>
          <w:szCs w:val="22"/>
        </w:rPr>
        <w:t xml:space="preserve">c.  </w:t>
      </w:r>
      <w:r w:rsidRPr="00A12D2F">
        <w:rPr>
          <w:i/>
          <w:iCs/>
        </w:rPr>
        <w:t xml:space="preserve">See Commission States Future Policy on Incomplete and Patently Defective AM and FM Construction Permit Applications, </w:t>
      </w:r>
      <w:r w:rsidRPr="00A12D2F">
        <w:t>Public Notice, 56 RR 2d 776 (1984); 47 CFR § 1.106.</w:t>
      </w:r>
      <w:r>
        <w:t xml:space="preserve">  </w:t>
      </w:r>
      <w:r w:rsidRPr="00613EED">
        <w:rPr>
          <w:szCs w:val="22"/>
        </w:rPr>
        <w:t>The amendment and petition for reconsideration must be filed within 30 days of the dismissal of the application</w:t>
      </w:r>
      <w:r>
        <w:rPr>
          <w:szCs w:val="22"/>
        </w:rPr>
        <w:t xml:space="preserve">.  Any </w:t>
      </w:r>
      <w:r w:rsidRPr="00613EED">
        <w:rPr>
          <w:szCs w:val="22"/>
        </w:rPr>
        <w:t xml:space="preserve">such amendment must propose minor changes and comply with all relevant rules.  </w:t>
      </w:r>
    </w:p>
  </w:footnote>
  <w:footnote w:id="7">
    <w:p w:rsidR="00252632" w:rsidP="00C179E2" w14:paraId="0CA0D40D" w14:textId="44FB4EC7">
      <w:pPr>
        <w:pStyle w:val="FootnoteText"/>
      </w:pPr>
      <w:r>
        <w:rPr>
          <w:rStyle w:val="FootnoteReference"/>
        </w:rPr>
        <w:footnoteRef/>
      </w:r>
      <w:r>
        <w:t xml:space="preserve"> </w:t>
      </w:r>
      <w:r w:rsidRPr="00613EED">
        <w:rPr>
          <w:szCs w:val="22"/>
          <w:shd w:val="clear" w:color="auto" w:fill="FFFFFF"/>
        </w:rPr>
        <w:t xml:space="preserve">Conflicting NCE FM applications, which cannot all be granted consistent with the Commission's technical rules, are considered mutually exclusive. </w:t>
      </w:r>
      <w:r w:rsidR="00020EF5">
        <w:rPr>
          <w:szCs w:val="22"/>
          <w:shd w:val="clear" w:color="auto" w:fill="FFFFFF"/>
        </w:rPr>
        <w:t xml:space="preserve"> </w:t>
      </w:r>
      <w:r w:rsidRPr="00613EED">
        <w:rPr>
          <w:szCs w:val="22"/>
          <w:shd w:val="clear" w:color="auto" w:fill="FFFFFF"/>
        </w:rPr>
        <w:t xml:space="preserve">A MX group consists of all applications which are MX to at least one other application in the group.   </w:t>
      </w:r>
      <w:r w:rsidRPr="00613EED">
        <w:rPr>
          <w:bCs/>
          <w:szCs w:val="22"/>
        </w:rPr>
        <w:t xml:space="preserve"> </w:t>
      </w:r>
    </w:p>
  </w:footnote>
  <w:footnote w:id="8">
    <w:p w:rsidR="009E14C0" w14:paraId="120B2193" w14:textId="4346366F">
      <w:pPr>
        <w:pStyle w:val="FootnoteText"/>
      </w:pPr>
      <w:r>
        <w:rPr>
          <w:rStyle w:val="FootnoteReference"/>
        </w:rPr>
        <w:footnoteRef/>
      </w:r>
      <w:r>
        <w:t xml:space="preserve"> </w:t>
      </w:r>
      <w:r>
        <w:rPr>
          <w:i/>
          <w:iCs/>
        </w:rPr>
        <w:t>See Media Bureau Announces Close of NCE FM New Station Filing Window and Temporary Filing Freeze on Applications Submitted in the November 2021, Filing Window</w:t>
      </w:r>
      <w:r>
        <w:t>, Public Notice, MB Docket No. 20-343, DA 21-1408 (Nov. 10, 2021).</w:t>
      </w:r>
      <w:r>
        <w:rPr>
          <w:i/>
          <w:iCs/>
        </w:rPr>
        <w:t xml:space="preserve"> </w:t>
      </w:r>
      <w:r>
        <w:t xml:space="preserve">  </w:t>
      </w:r>
    </w:p>
  </w:footnote>
  <w:footnote w:id="9">
    <w:p w:rsidR="008D26F5" w:rsidRPr="008D26F5" w14:paraId="792BAFF1" w14:textId="0274B31B">
      <w:pPr>
        <w:pStyle w:val="FootnoteText"/>
      </w:pPr>
      <w:r>
        <w:rPr>
          <w:rStyle w:val="FootnoteReference"/>
        </w:rPr>
        <w:footnoteRef/>
      </w:r>
      <w:r>
        <w:t xml:space="preserve"> </w:t>
      </w:r>
      <w:r>
        <w:rPr>
          <w:i/>
          <w:iCs/>
        </w:rPr>
        <w:t xml:space="preserve">Id.  </w:t>
      </w:r>
    </w:p>
  </w:footnote>
  <w:footnote w:id="10">
    <w:p w:rsidR="00F232A1" w14:paraId="620C9819" w14:textId="4A9B3B3E">
      <w:pPr>
        <w:pStyle w:val="FootnoteText"/>
      </w:pPr>
      <w:r>
        <w:rPr>
          <w:rStyle w:val="FootnoteReference"/>
        </w:rPr>
        <w:footnoteRef/>
      </w:r>
      <w:r>
        <w:t xml:space="preserve"> The specific application defects are explained in Attachment B.</w:t>
      </w:r>
    </w:p>
  </w:footnote>
  <w:footnote w:id="11">
    <w:p w:rsidR="00286611" w:rsidRPr="00286611" w14:paraId="181A3551" w14:textId="4179E0C2">
      <w:pPr>
        <w:pStyle w:val="FootnoteText"/>
      </w:pPr>
      <w:r>
        <w:rPr>
          <w:rStyle w:val="FootnoteReference"/>
        </w:rPr>
        <w:footnoteRef/>
      </w:r>
      <w:r>
        <w:t xml:space="preserve"> </w:t>
      </w:r>
      <w:r>
        <w:rPr>
          <w:i/>
          <w:iCs/>
        </w:rPr>
        <w:t xml:space="preserve">See supra </w:t>
      </w:r>
      <w:r>
        <w:t>note 4.</w:t>
      </w:r>
    </w:p>
  </w:footnote>
  <w:footnote w:id="12">
    <w:p w:rsidR="001E0D0E" w:rsidRPr="00020EF5" w:rsidP="001E0D0E" w14:paraId="34F43B66" w14:textId="665C004B">
      <w:pPr>
        <w:spacing w:after="120"/>
        <w:rPr>
          <w:sz w:val="20"/>
        </w:rPr>
      </w:pPr>
      <w:r w:rsidRPr="009F3EF4">
        <w:rPr>
          <w:rStyle w:val="FootnoteReference"/>
          <w:sz w:val="20"/>
        </w:rPr>
        <w:footnoteRef/>
      </w:r>
      <w:r w:rsidRPr="009F3EF4">
        <w:rPr>
          <w:sz w:val="20"/>
        </w:rPr>
        <w:t xml:space="preserve"> Although the Commission’s </w:t>
      </w:r>
      <w:r w:rsidR="007D49B9">
        <w:rPr>
          <w:sz w:val="20"/>
        </w:rPr>
        <w:t>r</w:t>
      </w:r>
      <w:r w:rsidRPr="009F3EF4">
        <w:rPr>
          <w:sz w:val="20"/>
        </w:rPr>
        <w:t>ules permit parties to settle at any time (</w:t>
      </w:r>
      <w:r w:rsidRPr="009F3EF4">
        <w:rPr>
          <w:i/>
          <w:sz w:val="20"/>
        </w:rPr>
        <w:t xml:space="preserve">see </w:t>
      </w:r>
      <w:r w:rsidRPr="009F3EF4">
        <w:rPr>
          <w:sz w:val="20"/>
        </w:rPr>
        <w:t xml:space="preserve">47 </w:t>
      </w:r>
      <w:r>
        <w:rPr>
          <w:sz w:val="20"/>
        </w:rPr>
        <w:t>CFR</w:t>
      </w:r>
      <w:r w:rsidRPr="009F3EF4">
        <w:rPr>
          <w:sz w:val="20"/>
        </w:rPr>
        <w:t xml:space="preserve"> § 73.7003(d)</w:t>
      </w:r>
      <w:r>
        <w:rPr>
          <w:sz w:val="20"/>
        </w:rPr>
        <w:t>)</w:t>
      </w:r>
      <w:r w:rsidRPr="009F3EF4">
        <w:rPr>
          <w:sz w:val="20"/>
        </w:rPr>
        <w:t xml:space="preserve">, we encourage applicants to take advantage of this limited opportunity to enter into settlements.  The present window for settlements will provide an opportunity to promptly resolve groups of mutually exclusive applications and permit the expeditious authorization of new broadcast service to these applicants.  </w:t>
      </w:r>
    </w:p>
  </w:footnote>
  <w:footnote w:id="13">
    <w:p w:rsidR="001851D1" w:rsidRPr="001851D1" w14:paraId="53ABD875" w14:textId="337FC479">
      <w:pPr>
        <w:pStyle w:val="FootnoteText"/>
      </w:pPr>
      <w:r>
        <w:rPr>
          <w:rStyle w:val="FootnoteReference"/>
        </w:rPr>
        <w:footnoteRef/>
      </w:r>
      <w:r w:rsidR="001A3AB6">
        <w:t xml:space="preserve"> The </w:t>
      </w:r>
      <w:r w:rsidRPr="00613EED" w:rsidR="001A3AB6">
        <w:rPr>
          <w:szCs w:val="22"/>
          <w:shd w:val="clear" w:color="auto" w:fill="FFFFFF"/>
        </w:rPr>
        <w:t xml:space="preserve">Commission's </w:t>
      </w:r>
      <w:r w:rsidR="001A3AB6">
        <w:rPr>
          <w:szCs w:val="22"/>
          <w:shd w:val="clear" w:color="auto" w:fill="FFFFFF"/>
        </w:rPr>
        <w:t xml:space="preserve">comparative </w:t>
      </w:r>
      <w:r w:rsidRPr="00613EED" w:rsidR="001A3AB6">
        <w:rPr>
          <w:szCs w:val="22"/>
          <w:shd w:val="clear" w:color="auto" w:fill="FFFFFF"/>
        </w:rPr>
        <w:t>analysis of MX NCE FM applications generally consists of three main components: (1) for MX groups in which NCE FM applicants propose service to different communities, a threshold fair distribution study pursuant to Section 307(b) of the Communications Act of 1934, as</w:t>
      </w:r>
      <w:r w:rsidR="001A3AB6">
        <w:rPr>
          <w:szCs w:val="22"/>
          <w:shd w:val="clear" w:color="auto" w:fill="FFFFFF"/>
        </w:rPr>
        <w:t xml:space="preserve"> amended</w:t>
      </w:r>
      <w:r w:rsidR="001A3AB6">
        <w:rPr>
          <w:i/>
          <w:iCs/>
        </w:rPr>
        <w:t xml:space="preserve"> </w:t>
      </w:r>
      <w:r w:rsidR="001A3AB6">
        <w:t xml:space="preserve">(47 U.S.C. § 307(b); 47 CFR § 73.7002); (2) </w:t>
      </w:r>
      <w:r w:rsidRPr="00613EED" w:rsidR="001A3AB6">
        <w:rPr>
          <w:szCs w:val="22"/>
          <w:shd w:val="clear" w:color="auto" w:fill="FFFFFF"/>
        </w:rPr>
        <w:t>a point system analysis for MX applications proposing to serve the same community, or application conflicts not resolved under the Section 307(b) analysis</w:t>
      </w:r>
      <w:r w:rsidR="004B4BE4">
        <w:rPr>
          <w:szCs w:val="22"/>
          <w:shd w:val="clear" w:color="auto" w:fill="FFFFFF"/>
        </w:rPr>
        <w:t xml:space="preserve"> (</w:t>
      </w:r>
      <w:r w:rsidRPr="004768D7" w:rsidR="004B4BE4">
        <w:t>47 CFR § 73.7003</w:t>
      </w:r>
      <w:r w:rsidR="004B4BE4">
        <w:t xml:space="preserve">); and (3) if necessary, a tie-breaker </w:t>
      </w:r>
      <w:r w:rsidR="00D12BFE">
        <w:t>determination, based on application provided data and certifications</w:t>
      </w:r>
      <w:r w:rsidR="00056D60">
        <w:t xml:space="preserve"> (47 CFR </w:t>
      </w:r>
      <w:r w:rsidRPr="004768D7" w:rsidR="00170AB6">
        <w:t xml:space="preserve">§ </w:t>
      </w:r>
      <w:r w:rsidR="00056D60">
        <w:t>73.700</w:t>
      </w:r>
      <w:r w:rsidR="00170AB6">
        <w:t>3(c))</w:t>
      </w:r>
      <w:r w:rsidR="00D12BFE">
        <w:t>.</w:t>
      </w:r>
    </w:p>
  </w:footnote>
  <w:footnote w:id="14">
    <w:p w:rsidR="007D49B9" w:rsidRPr="007D49B9" w14:paraId="5558E068" w14:textId="24FD666F">
      <w:pPr>
        <w:pStyle w:val="FootnoteText"/>
      </w:pPr>
      <w:r>
        <w:rPr>
          <w:rStyle w:val="FootnoteReference"/>
        </w:rPr>
        <w:footnoteRef/>
      </w:r>
      <w:r>
        <w:t xml:space="preserve"> </w:t>
      </w:r>
      <w:r>
        <w:rPr>
          <w:i/>
          <w:iCs/>
        </w:rPr>
        <w:t xml:space="preserve">See </w:t>
      </w:r>
      <w:r>
        <w:t>47 CFR § 73.7003(d)</w:t>
      </w:r>
      <w:r w:rsidR="005F0EC8">
        <w:t xml:space="preserve"> (“the Commission will withhold further comparative processing for a reasonable period upon such notification.”).</w:t>
      </w:r>
    </w:p>
  </w:footnote>
  <w:footnote w:id="15">
    <w:p w:rsidR="005D6879" w:rsidRPr="00020EF5" w:rsidP="00020EF5" w14:paraId="56DB0EC9" w14:textId="0A9D59AA">
      <w:pPr>
        <w:spacing w:after="120"/>
        <w:rPr>
          <w:sz w:val="20"/>
        </w:rPr>
      </w:pPr>
      <w:r w:rsidRPr="00B83C99">
        <w:rPr>
          <w:rStyle w:val="FootnoteReference"/>
          <w:sz w:val="20"/>
        </w:rPr>
        <w:footnoteRef/>
      </w:r>
      <w:r w:rsidRPr="00B83C99">
        <w:rPr>
          <w:sz w:val="20"/>
        </w:rPr>
        <w:t xml:space="preserve"> We will process any settlement achieved through technical amendment(s) and/or dismissal(s)</w:t>
      </w:r>
      <w:r w:rsidR="00020EF5">
        <w:rPr>
          <w:sz w:val="20"/>
        </w:rPr>
        <w:t>,</w:t>
      </w:r>
      <w:r w:rsidRPr="00B83C99">
        <w:rPr>
          <w:sz w:val="20"/>
        </w:rPr>
        <w:t xml:space="preserve"> which results in our ability to grant at least one singleton application.  </w:t>
      </w:r>
      <w:r w:rsidRPr="00B83C99">
        <w:rPr>
          <w:rStyle w:val="documentbody1"/>
          <w:rFonts w:ascii="Times New Roman" w:hAnsi="Times New Roman"/>
          <w:color w:val="000000"/>
          <w:sz w:val="20"/>
          <w:szCs w:val="20"/>
        </w:rPr>
        <w:t xml:space="preserve">In the event that the staff determines that a settlement complies with the Commission's </w:t>
      </w:r>
      <w:r w:rsidR="00020EF5">
        <w:rPr>
          <w:rStyle w:val="documentbody1"/>
          <w:rFonts w:ascii="Times New Roman" w:hAnsi="Times New Roman"/>
          <w:color w:val="000000"/>
          <w:sz w:val="20"/>
          <w:szCs w:val="20"/>
        </w:rPr>
        <w:t>r</w:t>
      </w:r>
      <w:r w:rsidRPr="00B83C99">
        <w:rPr>
          <w:rStyle w:val="documentbody1"/>
          <w:rFonts w:ascii="Times New Roman" w:hAnsi="Times New Roman"/>
          <w:color w:val="000000"/>
          <w:sz w:val="20"/>
          <w:szCs w:val="20"/>
        </w:rPr>
        <w:t xml:space="preserve">ules, we will issue a Public Notice accepting for filing all applications proposed for grant pursuant to the settlement.  Petitions to deny these applications may be filed within </w:t>
      </w:r>
      <w:r w:rsidR="000334C6">
        <w:rPr>
          <w:rStyle w:val="documentbody1"/>
          <w:rFonts w:ascii="Times New Roman" w:hAnsi="Times New Roman"/>
          <w:color w:val="000000"/>
          <w:sz w:val="20"/>
          <w:szCs w:val="20"/>
        </w:rPr>
        <w:t>30</w:t>
      </w:r>
      <w:r w:rsidRPr="00B83C99">
        <w:rPr>
          <w:rStyle w:val="documentbody1"/>
          <w:rFonts w:ascii="Times New Roman" w:hAnsi="Times New Roman"/>
          <w:color w:val="000000"/>
          <w:sz w:val="20"/>
          <w:szCs w:val="20"/>
        </w:rPr>
        <w:t xml:space="preserve"> days of this subsequent Public Notice.</w:t>
      </w:r>
      <w:r w:rsidRPr="00B83C99">
        <w:rPr>
          <w:sz w:val="20"/>
        </w:rPr>
        <w:t xml:space="preserve">  </w:t>
      </w:r>
    </w:p>
  </w:footnote>
  <w:footnote w:id="16">
    <w:p w:rsidR="005D6879" w:rsidP="000334C6" w14:paraId="393E3077" w14:textId="37F6D9D4">
      <w:pPr>
        <w:pStyle w:val="FootnoteText"/>
        <w:spacing w:after="0"/>
      </w:pPr>
      <w:r>
        <w:rPr>
          <w:rStyle w:val="FootnoteReference"/>
        </w:rPr>
        <w:footnoteRef/>
      </w:r>
      <w:r>
        <w:t xml:space="preserve"> </w:t>
      </w:r>
      <w:r>
        <w:rPr>
          <w:i/>
        </w:rPr>
        <w:t>See, e.g., Reexamination of the Comparative Standards for Noncommercial Educational Applicants</w:t>
      </w:r>
      <w:r>
        <w:t>, Memorandum Opinion and Order, 16 FCC Rcd 5074</w:t>
      </w:r>
      <w:r w:rsidR="00020EF5">
        <w:t xml:space="preserve">, </w:t>
      </w:r>
      <w:r w:rsidR="00FF5594">
        <w:t>5107,</w:t>
      </w:r>
      <w:r>
        <w:t xml:space="preserve"> </w:t>
      </w:r>
      <w:r w:rsidR="00020EF5">
        <w:t>para.</w:t>
      </w:r>
      <w:r>
        <w:t xml:space="preserve"> 98 (2001</w:t>
      </w:r>
      <w:r w:rsidR="000334C6">
        <w:t>).</w:t>
      </w:r>
    </w:p>
  </w:footnote>
  <w:footnote w:id="17">
    <w:p w:rsidR="005D6879" w:rsidRPr="003E4B3E" w:rsidP="003E4B3E" w14:paraId="2B1D0D9F" w14:textId="77777777">
      <w:pPr>
        <w:pStyle w:val="FootnoteText"/>
      </w:pPr>
    </w:p>
    <w:p w:rsidR="005D6879" w:rsidRPr="003E4B3E" w:rsidP="003E4B3E" w14:paraId="67EEDABA" w14:textId="5DB59DA5">
      <w:pPr>
        <w:pStyle w:val="FootnoteText"/>
      </w:pPr>
      <w:r w:rsidRPr="003E4B3E">
        <w:rPr>
          <w:rStyle w:val="FootnoteReference"/>
          <w:sz w:val="20"/>
        </w:rPr>
        <w:footnoteRef/>
      </w:r>
      <w:r w:rsidRPr="003E4B3E">
        <w:t xml:space="preserve"> 47 C</w:t>
      </w:r>
      <w:r w:rsidRPr="003E4B3E" w:rsidR="00B83C99">
        <w:t>FR</w:t>
      </w:r>
      <w:r w:rsidRPr="003E4B3E">
        <w:t xml:space="preserve"> § 73.3525.</w:t>
      </w:r>
    </w:p>
  </w:footnote>
  <w:footnote w:id="18">
    <w:p w:rsidR="005D6879" w:rsidRPr="003E4B3E" w:rsidP="003E4B3E" w14:paraId="514A0DCD" w14:textId="484335F4">
      <w:pPr>
        <w:pStyle w:val="FootnoteText"/>
        <w:spacing w:after="0"/>
      </w:pPr>
      <w:r w:rsidRPr="003E4B3E">
        <w:rPr>
          <w:rStyle w:val="FootnoteReference"/>
          <w:sz w:val="20"/>
        </w:rPr>
        <w:footnoteRef/>
      </w:r>
      <w:r w:rsidRPr="003E4B3E">
        <w:t xml:space="preserve"> “Legitimate and prudent expenses” are those expenses reasonably incurred by an applicant in preparing, filing, prosecuting, and settling its application for which reimbursement is being sought.  47 </w:t>
      </w:r>
      <w:r w:rsidRPr="003E4B3E" w:rsidR="00B83C99">
        <w:t>C</w:t>
      </w:r>
      <w:r w:rsidRPr="003E4B3E">
        <w:t>FR § 73.3525(</w:t>
      </w:r>
      <w:r w:rsidR="00AB174F">
        <w:t>h</w:t>
      </w:r>
      <w:r w:rsidRPr="003E4B3E">
        <w:t xml:space="preserve">). </w:t>
      </w:r>
    </w:p>
  </w:footnote>
  <w:footnote w:id="19">
    <w:p w:rsidR="005D6879" w:rsidRPr="003E4B3E" w:rsidP="003E4B3E" w14:paraId="21005175" w14:textId="77777777">
      <w:pPr>
        <w:pStyle w:val="FootnoteText"/>
        <w:spacing w:after="0"/>
      </w:pPr>
    </w:p>
    <w:p w:rsidR="005D6879" w:rsidP="003E4B3E" w14:paraId="09E7A9B9" w14:textId="7973C2ED">
      <w:pPr>
        <w:pStyle w:val="FootnoteText"/>
        <w:spacing w:after="0"/>
      </w:pPr>
      <w:r w:rsidRPr="003E4B3E">
        <w:rPr>
          <w:rStyle w:val="FootnoteReference"/>
          <w:sz w:val="20"/>
        </w:rPr>
        <w:footnoteRef/>
      </w:r>
      <w:r w:rsidRPr="003E4B3E">
        <w:t xml:space="preserve"> </w:t>
      </w:r>
      <w:r w:rsidRPr="003E4B3E">
        <w:rPr>
          <w:i/>
        </w:rPr>
        <w:t>See</w:t>
      </w:r>
      <w:r w:rsidRPr="003E4B3E">
        <w:t xml:space="preserve"> 47 C.F.R. § 73.3525(a).  Affidavits </w:t>
      </w:r>
      <w:r w:rsidR="005D32A6">
        <w:t>must</w:t>
      </w:r>
      <w:r w:rsidRPr="003E4B3E">
        <w:t xml:space="preserve"> be executed by the applicant, permittee, or licensee, if an individual; a partner having personal knowledge of the facts, if a partnership; or an officer having personal knowledge of the facts, if a corporation or association.  </w:t>
      </w:r>
      <w:r w:rsidRPr="003E4B3E">
        <w:rPr>
          <w:i/>
        </w:rPr>
        <w:t xml:space="preserve">See </w:t>
      </w:r>
      <w:r w:rsidRPr="003E4B3E">
        <w:t>47 C</w:t>
      </w:r>
      <w:r w:rsidRPr="003E4B3E" w:rsidR="002A4A39">
        <w:t>FR</w:t>
      </w:r>
      <w:r w:rsidRPr="003E4B3E">
        <w:t xml:space="preserve"> § 73.3525(f).  </w:t>
      </w:r>
    </w:p>
    <w:p w:rsidR="005D32A6" w:rsidRPr="003E4B3E" w:rsidP="003E4B3E" w14:paraId="6909FA40" w14:textId="77777777">
      <w:pPr>
        <w:pStyle w:val="FootnoteText"/>
        <w:spacing w:after="0"/>
      </w:pPr>
    </w:p>
  </w:footnote>
  <w:footnote w:id="20">
    <w:p w:rsidR="005D6879" w:rsidRPr="003E4B3E" w:rsidP="003E4B3E" w14:paraId="6163F744" w14:textId="0991F9A9">
      <w:pPr>
        <w:pStyle w:val="FootnoteText"/>
      </w:pPr>
      <w:r w:rsidRPr="003E4B3E">
        <w:rPr>
          <w:rStyle w:val="FootnoteReference"/>
          <w:sz w:val="20"/>
        </w:rPr>
        <w:footnoteRef/>
      </w:r>
      <w:r w:rsidRPr="003E4B3E">
        <w:t xml:space="preserve"> </w:t>
      </w:r>
      <w:r w:rsidRPr="003E4B3E">
        <w:rPr>
          <w:i/>
        </w:rPr>
        <w:t>See</w:t>
      </w:r>
      <w:r w:rsidRPr="003E4B3E">
        <w:t xml:space="preserve"> 47 CFR § 73.3525(</w:t>
      </w:r>
      <w:r w:rsidR="007A72E9">
        <w:t>b</w:t>
      </w:r>
      <w:r w:rsidRPr="003E4B3E">
        <w:t xml:space="preserve">).     </w:t>
      </w:r>
    </w:p>
  </w:footnote>
  <w:footnote w:id="21">
    <w:p w:rsidR="008F2F86" w:rsidRPr="003E4B3E" w:rsidP="003E4B3E" w14:paraId="4D98BB05" w14:textId="2C4CC8D7">
      <w:pPr>
        <w:pStyle w:val="FootnoteText"/>
      </w:pPr>
      <w:r w:rsidRPr="003E4B3E">
        <w:rPr>
          <w:rStyle w:val="FootnoteReference"/>
          <w:sz w:val="20"/>
        </w:rPr>
        <w:footnoteRef/>
      </w:r>
      <w:r w:rsidRPr="003E4B3E">
        <w:t xml:space="preserve"> </w:t>
      </w:r>
      <w:r w:rsidRPr="003E4B3E">
        <w:rPr>
          <w:i/>
          <w:iCs/>
        </w:rPr>
        <w:t>See supra</w:t>
      </w:r>
      <w:r w:rsidRPr="003E4B3E">
        <w:t xml:space="preserve"> note </w:t>
      </w:r>
      <w:r w:rsidR="005D32A6">
        <w:t>2</w:t>
      </w:r>
      <w:r w:rsidRPr="003E4B3E">
        <w:t xml:space="preserve">. </w:t>
      </w:r>
    </w:p>
  </w:footnote>
  <w:footnote w:id="22">
    <w:p w:rsidR="00C74CE4" w14:paraId="4ED55C2D" w14:textId="31125D69">
      <w:pPr>
        <w:pStyle w:val="FootnoteText"/>
      </w:pPr>
      <w:r>
        <w:rPr>
          <w:rStyle w:val="FootnoteReference"/>
        </w:rPr>
        <w:footnoteRef/>
      </w:r>
      <w:r>
        <w:t xml:space="preserve"> A technical amendment is one in which an applicant removes itself from the MX group to achieve a grant by making minor engineering changes to its own application, without affecting the viability of any of the other applicants to compete for a second station.</w:t>
      </w:r>
    </w:p>
  </w:footnote>
  <w:footnote w:id="23">
    <w:p w:rsidR="005D6879" w:rsidP="005D6879" w14:paraId="29CCDB0A" w14:textId="3130144A">
      <w:pPr>
        <w:pStyle w:val="FootnoteText"/>
      </w:pPr>
      <w:r>
        <w:rPr>
          <w:rStyle w:val="FootnoteReference"/>
        </w:rPr>
        <w:footnoteRef/>
      </w:r>
      <w:r>
        <w:t xml:space="preserve"> </w:t>
      </w:r>
      <w:r>
        <w:rPr>
          <w:i/>
        </w:rPr>
        <w:t xml:space="preserve">See </w:t>
      </w:r>
      <w:r>
        <w:t>47 CFR § 73.3573.</w:t>
      </w:r>
    </w:p>
  </w:footnote>
  <w:footnote w:id="24">
    <w:p w:rsidR="005D6879" w:rsidP="00B64659" w14:paraId="03EA28F4" w14:textId="524395BA">
      <w:pPr>
        <w:pStyle w:val="FootnoteText"/>
      </w:pPr>
      <w:r>
        <w:rPr>
          <w:rStyle w:val="FootnoteReference"/>
        </w:rPr>
        <w:footnoteRef/>
      </w:r>
      <w:r>
        <w:t xml:space="preserve"> </w:t>
      </w:r>
      <w:r w:rsidR="00F906C0">
        <w:rPr>
          <w:i/>
        </w:rPr>
        <w:t>Id.</w:t>
      </w:r>
      <w:r>
        <w:t xml:space="preserve"> § 73.3573(e).</w:t>
      </w:r>
    </w:p>
  </w:footnote>
  <w:footnote w:id="25">
    <w:p w:rsidR="005D6879" w:rsidP="00B64659" w14:paraId="16BE0915" w14:textId="27E878A3">
      <w:pPr>
        <w:pStyle w:val="FootnoteText"/>
        <w:spacing w:after="0"/>
      </w:pPr>
      <w:r>
        <w:rPr>
          <w:rStyle w:val="FootnoteReference"/>
        </w:rPr>
        <w:footnoteRef/>
      </w:r>
      <w:r>
        <w:t xml:space="preserve"> </w:t>
      </w:r>
      <w:r>
        <w:rPr>
          <w:i/>
        </w:rPr>
        <w:t>See</w:t>
      </w:r>
      <w:r>
        <w:t xml:space="preserve"> 47 CFR § 73.3525(c). </w:t>
      </w:r>
    </w:p>
  </w:footnote>
  <w:footnote w:id="26">
    <w:p w:rsidR="005E6BDD" w14:paraId="216656CB" w14:textId="13F4876A">
      <w:pPr>
        <w:pStyle w:val="FootnoteText"/>
      </w:pPr>
      <w:r>
        <w:rPr>
          <w:rStyle w:val="FootnoteReference"/>
        </w:rPr>
        <w:footnoteRef/>
      </w:r>
      <w:r>
        <w:t xml:space="preserve"> If more than one application in the MX group will survive</w:t>
      </w:r>
      <w:r w:rsidR="008F0135">
        <w:t>/continue to be processed pursuant to the terms of the settlement agreement</w:t>
      </w:r>
      <w:r>
        <w:t xml:space="preserve">, the Settlement Package should also be filed as an amendment to these additional </w:t>
      </w:r>
      <w:r w:rsidR="008F0135">
        <w:t xml:space="preserve">Schedule 340 </w:t>
      </w:r>
      <w:r>
        <w:t>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14:paraId="06784AE3" w14:textId="77F15A33">
    <w:pPr>
      <w:pStyle w:val="Header"/>
      <w:rPr>
        <w:sz w:val="24"/>
        <w:szCs w:val="24"/>
      </w:rPr>
    </w:pPr>
    <w:r w:rsidRPr="00C37A2D">
      <w:rPr>
        <w:sz w:val="24"/>
        <w:szCs w:val="24"/>
      </w:rPr>
      <w:tab/>
      <w:t>Federal Communications Commission</w:t>
    </w:r>
    <w:r w:rsidRPr="00C37A2D">
      <w:rPr>
        <w:sz w:val="24"/>
        <w:szCs w:val="24"/>
      </w:rPr>
      <w:tab/>
    </w:r>
    <w:r w:rsidR="006E5C64">
      <w:rPr>
        <w:sz w:val="24"/>
        <w:szCs w:val="24"/>
      </w:rPr>
      <w:t>DA 21</w:t>
    </w:r>
    <w:r>
      <w:rPr>
        <w:sz w:val="24"/>
        <w:szCs w:val="24"/>
      </w:rPr>
      <w:t>-</w:t>
    </w:r>
    <w:r w:rsidR="009A620F">
      <w:rPr>
        <w:sz w:val="24"/>
        <w:szCs w:val="24"/>
      </w:rPr>
      <w:t>1476</w:t>
    </w:r>
  </w:p>
  <w:p w:rsidR="006F7393" w14:paraId="4FDDA94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05B4C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14:paraId="104F443A"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C82B6B" w:rsidP="00C37A2D" w14:paraId="4BF91938"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rPr>
                              <w:rFonts w:ascii="Arial" w:hAnsi="Arial"/>
                              <w:b/>
                            </w:rPr>
                          </w:pPr>
                          <w:r>
                            <w:rPr>
                              <w:rFonts w:ascii="Arial" w:hAnsi="Arial"/>
                              <w:b/>
                            </w:rPr>
                            <w:t>Federal Communications Commission</w:t>
                          </w:r>
                        </w:p>
                        <w:p w:rsidR="00360E76" w:rsidP="00360E76" w14:textId="77777777">
                          <w:pPr>
                            <w:rPr>
                              <w:rFonts w:ascii="Arial" w:hAnsi="Arial"/>
                              <w:b/>
                            </w:rPr>
                          </w:pPr>
                          <w:r>
                            <w:rPr>
                              <w:rFonts w:ascii="Arial" w:hAnsi="Arial"/>
                              <w:b/>
                            </w:rPr>
                            <w:t>45 L St., N.E.</w:t>
                          </w:r>
                        </w:p>
                        <w:p w:rsidR="00C82B6B" w:rsidP="00C82B6B"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14:paraId="2FE0B763" w14:textId="77777777">
                    <w:pPr>
                      <w:rPr>
                        <w:rFonts w:ascii="Arial" w:hAnsi="Arial"/>
                        <w:b/>
                      </w:rPr>
                    </w:pPr>
                    <w:r>
                      <w:rPr>
                        <w:rFonts w:ascii="Arial" w:hAnsi="Arial"/>
                        <w:b/>
                      </w:rPr>
                      <w:t>Federal Communications Commission</w:t>
                    </w:r>
                  </w:p>
                  <w:p w:rsidR="00360E76" w:rsidP="00360E76" w14:paraId="27C44AA7" w14:textId="77777777">
                    <w:pPr>
                      <w:rPr>
                        <w:rFonts w:ascii="Arial" w:hAnsi="Arial"/>
                        <w:b/>
                      </w:rPr>
                    </w:pPr>
                    <w:r>
                      <w:rPr>
                        <w:rFonts w:ascii="Arial" w:hAnsi="Arial"/>
                        <w:b/>
                      </w:rPr>
                      <w:t>45 L St., N.E.</w:t>
                    </w:r>
                  </w:p>
                  <w:p w:rsidR="00C82B6B" w:rsidP="00C82B6B" w14:paraId="1765D685"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spacing w:before="40"/>
                            <w:jc w:val="right"/>
                            <w:rPr>
                              <w:rFonts w:ascii="Arial" w:hAnsi="Arial"/>
                              <w:b/>
                              <w:sz w:val="16"/>
                            </w:rPr>
                          </w:pPr>
                          <w:r>
                            <w:rPr>
                              <w:rFonts w:ascii="Arial" w:hAnsi="Arial"/>
                              <w:b/>
                              <w:sz w:val="16"/>
                            </w:rPr>
                            <w:t>News Media Information: 202-418-0500</w:t>
                          </w:r>
                        </w:p>
                        <w:p w:rsidR="00C82B6B" w:rsidP="00C82B6B" w14:textId="77777777">
                          <w:pPr>
                            <w:jc w:val="right"/>
                            <w:rPr>
                              <w:rFonts w:ascii="Arial" w:hAnsi="Arial"/>
                              <w:b/>
                              <w:sz w:val="16"/>
                            </w:rPr>
                          </w:pPr>
                          <w:r>
                            <w:rPr>
                              <w:rFonts w:ascii="Arial" w:hAnsi="Arial"/>
                              <w:b/>
                              <w:sz w:val="16"/>
                            </w:rPr>
                            <w:t>Internet: www.fcc.gov</w:t>
                          </w:r>
                        </w:p>
                        <w:p w:rsidR="00C82B6B" w:rsidP="00C82B6B" w14:textId="77777777">
                          <w:pPr>
                            <w:jc w:val="right"/>
                            <w:rPr>
                              <w:rFonts w:ascii="Arial" w:hAnsi="Arial"/>
                              <w:b/>
                              <w:sz w:val="16"/>
                            </w:rPr>
                          </w:pPr>
                          <w:r>
                            <w:rPr>
                              <w:rFonts w:ascii="Arial" w:hAnsi="Arial"/>
                              <w:b/>
                              <w:sz w:val="16"/>
                            </w:rPr>
                            <w:t>TTY: 888-835-5322</w:t>
                          </w:r>
                        </w:p>
                        <w:p w:rsidR="00C82B6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14:paraId="07B34B57" w14:textId="77777777">
                    <w:pPr>
                      <w:spacing w:before="40"/>
                      <w:jc w:val="right"/>
                      <w:rPr>
                        <w:rFonts w:ascii="Arial" w:hAnsi="Arial"/>
                        <w:b/>
                        <w:sz w:val="16"/>
                      </w:rPr>
                    </w:pPr>
                    <w:r>
                      <w:rPr>
                        <w:rFonts w:ascii="Arial" w:hAnsi="Arial"/>
                        <w:b/>
                        <w:sz w:val="16"/>
                      </w:rPr>
                      <w:t>News Media Information: 202-418-0500</w:t>
                    </w:r>
                  </w:p>
                  <w:p w:rsidR="00C82B6B" w:rsidP="00C82B6B" w14:paraId="045E0E71" w14:textId="77777777">
                    <w:pPr>
                      <w:jc w:val="right"/>
                      <w:rPr>
                        <w:rFonts w:ascii="Arial" w:hAnsi="Arial"/>
                        <w:b/>
                        <w:sz w:val="16"/>
                      </w:rPr>
                    </w:pPr>
                    <w:r>
                      <w:rPr>
                        <w:rFonts w:ascii="Arial" w:hAnsi="Arial"/>
                        <w:b/>
                        <w:sz w:val="16"/>
                      </w:rPr>
                      <w:t>Internet: www.fcc.gov</w:t>
                    </w:r>
                  </w:p>
                  <w:p w:rsidR="00C82B6B" w:rsidP="00C82B6B" w14:paraId="275CC39E" w14:textId="77777777">
                    <w:pPr>
                      <w:jc w:val="right"/>
                      <w:rPr>
                        <w:rFonts w:ascii="Arial" w:hAnsi="Arial"/>
                        <w:b/>
                        <w:sz w:val="16"/>
                      </w:rPr>
                    </w:pPr>
                    <w:r>
                      <w:rPr>
                        <w:rFonts w:ascii="Arial" w:hAnsi="Arial"/>
                        <w:b/>
                        <w:sz w:val="16"/>
                      </w:rPr>
                      <w:t>TTY: 888-835-5322</w:t>
                    </w:r>
                  </w:p>
                  <w:p w:rsidR="00C82B6B" w:rsidP="00C82B6B" w14:paraId="2CC95193" w14:textId="77777777">
                    <w:pPr>
                      <w:jc w:val="right"/>
                    </w:pPr>
                  </w:p>
                </w:txbxContent>
              </v:textbox>
            </v:shape>
          </w:pict>
        </mc:Fallback>
      </mc:AlternateContent>
    </w:r>
  </w:p>
  <w:p w:rsidR="006F7393" w:rsidRPr="00C82B6B" w:rsidP="00C37A2D" w14:paraId="2E49635E"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202E73"/>
    <w:multiLevelType w:val="hybridMultilevel"/>
    <w:tmpl w:val="A860EF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DED6284"/>
    <w:multiLevelType w:val="hybridMultilevel"/>
    <w:tmpl w:val="77B49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D83AA9"/>
    <w:multiLevelType w:val="hybridMultilevel"/>
    <w:tmpl w:val="613CB8D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2247BD8"/>
    <w:multiLevelType w:val="hybridMultilevel"/>
    <w:tmpl w:val="AC1C3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CE02565"/>
    <w:multiLevelType w:val="hybridMultilevel"/>
    <w:tmpl w:val="77068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F0860EA"/>
    <w:multiLevelType w:val="hybridMultilevel"/>
    <w:tmpl w:val="74EE46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623E3509"/>
    <w:multiLevelType w:val="hybridMultilevel"/>
    <w:tmpl w:val="E7483546"/>
    <w:lvl w:ilvl="0">
      <w:start w:val="1"/>
      <w:numFmt w:val="bullet"/>
      <w:lvlText w:val="-"/>
      <w:lvlJc w:val="left"/>
      <w:pPr>
        <w:ind w:left="1080" w:hanging="360"/>
      </w:pPr>
      <w:rPr>
        <w:rFonts w:ascii="Times New Roman" w:eastAsia="Times New Roman" w:hAnsi="Times New Roman" w:cs="Times New Roman" w:hint="default"/>
        <w:color w:val="3D3D3D"/>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27A2B2B"/>
    <w:multiLevelType w:val="hybridMultilevel"/>
    <w:tmpl w:val="728E55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8"/>
  </w:num>
  <w:num w:numId="4">
    <w:abstractNumId w:val="13"/>
  </w:num>
  <w:num w:numId="5">
    <w:abstractNumId w:val="7"/>
  </w:num>
  <w:num w:numId="6">
    <w:abstractNumId w:val="1"/>
  </w:num>
  <w:num w:numId="7">
    <w:abstractNumId w:val="14"/>
  </w:num>
  <w:num w:numId="8">
    <w:abstractNumId w:val="9"/>
  </w:num>
  <w:num w:numId="9">
    <w:abstractNumId w:val="11"/>
  </w:num>
  <w:num w:numId="10">
    <w:abstractNumId w:val="17"/>
  </w:num>
  <w:num w:numId="11">
    <w:abstractNumId w:val="3"/>
  </w:num>
  <w:num w:numId="12">
    <w:abstractNumId w:val="15"/>
    <w:lvlOverride w:ilvl="0">
      <w:startOverride w:val="1"/>
    </w:lvlOverride>
  </w:num>
  <w:num w:numId="13">
    <w:abstractNumId w:val="0"/>
  </w:num>
  <w:num w:numId="14">
    <w:abstractNumId w:val="15"/>
    <w:lvlOverride w:ilvl="0">
      <w:startOverride w:val="1"/>
    </w:lvlOverride>
  </w:num>
  <w:num w:numId="15">
    <w:abstractNumId w:val="10"/>
  </w:num>
  <w:num w:numId="16">
    <w:abstractNumId w:val="18"/>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0252C"/>
    <w:rsid w:val="000046E0"/>
    <w:rsid w:val="0000620F"/>
    <w:rsid w:val="0001019D"/>
    <w:rsid w:val="00011512"/>
    <w:rsid w:val="00013A4E"/>
    <w:rsid w:val="00014C4E"/>
    <w:rsid w:val="000206CF"/>
    <w:rsid w:val="00020EF5"/>
    <w:rsid w:val="000334C6"/>
    <w:rsid w:val="00036EAE"/>
    <w:rsid w:val="00040303"/>
    <w:rsid w:val="00040AD1"/>
    <w:rsid w:val="000452D8"/>
    <w:rsid w:val="00046325"/>
    <w:rsid w:val="00050B63"/>
    <w:rsid w:val="00056D60"/>
    <w:rsid w:val="00057542"/>
    <w:rsid w:val="00057D7C"/>
    <w:rsid w:val="000601D5"/>
    <w:rsid w:val="00060F68"/>
    <w:rsid w:val="00070226"/>
    <w:rsid w:val="00070B5B"/>
    <w:rsid w:val="00071AB1"/>
    <w:rsid w:val="00072C0E"/>
    <w:rsid w:val="00075EB9"/>
    <w:rsid w:val="00080F44"/>
    <w:rsid w:val="00081168"/>
    <w:rsid w:val="0008249E"/>
    <w:rsid w:val="000856BF"/>
    <w:rsid w:val="00090AF8"/>
    <w:rsid w:val="000934DB"/>
    <w:rsid w:val="00096C6B"/>
    <w:rsid w:val="000A05FD"/>
    <w:rsid w:val="000A1AB2"/>
    <w:rsid w:val="000A52B4"/>
    <w:rsid w:val="000A55CF"/>
    <w:rsid w:val="000A59E5"/>
    <w:rsid w:val="000C1C4F"/>
    <w:rsid w:val="000C27AE"/>
    <w:rsid w:val="000C4CC8"/>
    <w:rsid w:val="000C7074"/>
    <w:rsid w:val="000C71DD"/>
    <w:rsid w:val="000D10D9"/>
    <w:rsid w:val="000D3404"/>
    <w:rsid w:val="000D5789"/>
    <w:rsid w:val="000E3657"/>
    <w:rsid w:val="000E4796"/>
    <w:rsid w:val="000E7421"/>
    <w:rsid w:val="000E7969"/>
    <w:rsid w:val="000F1D5A"/>
    <w:rsid w:val="000F255E"/>
    <w:rsid w:val="000F55E3"/>
    <w:rsid w:val="000F56C9"/>
    <w:rsid w:val="000F5C1D"/>
    <w:rsid w:val="000F5CD8"/>
    <w:rsid w:val="000F5D36"/>
    <w:rsid w:val="000F7291"/>
    <w:rsid w:val="000F7948"/>
    <w:rsid w:val="000F7F01"/>
    <w:rsid w:val="00100DF5"/>
    <w:rsid w:val="001013CD"/>
    <w:rsid w:val="001038B6"/>
    <w:rsid w:val="00110EFD"/>
    <w:rsid w:val="0011152B"/>
    <w:rsid w:val="00114458"/>
    <w:rsid w:val="0012286A"/>
    <w:rsid w:val="0013419B"/>
    <w:rsid w:val="00140AE5"/>
    <w:rsid w:val="001430C3"/>
    <w:rsid w:val="00143FD6"/>
    <w:rsid w:val="001449B3"/>
    <w:rsid w:val="0014764F"/>
    <w:rsid w:val="00150A04"/>
    <w:rsid w:val="001544A8"/>
    <w:rsid w:val="001555F2"/>
    <w:rsid w:val="00160FE1"/>
    <w:rsid w:val="00161E1E"/>
    <w:rsid w:val="0016458D"/>
    <w:rsid w:val="001674D5"/>
    <w:rsid w:val="00167B1D"/>
    <w:rsid w:val="0017026C"/>
    <w:rsid w:val="00170AB6"/>
    <w:rsid w:val="0017527A"/>
    <w:rsid w:val="00181C00"/>
    <w:rsid w:val="001829E9"/>
    <w:rsid w:val="00184564"/>
    <w:rsid w:val="001851D1"/>
    <w:rsid w:val="001900EE"/>
    <w:rsid w:val="00192F8C"/>
    <w:rsid w:val="00193A8F"/>
    <w:rsid w:val="00195F0C"/>
    <w:rsid w:val="001A0599"/>
    <w:rsid w:val="001A0AE0"/>
    <w:rsid w:val="001A14C4"/>
    <w:rsid w:val="001A14E2"/>
    <w:rsid w:val="001A15D5"/>
    <w:rsid w:val="001A1843"/>
    <w:rsid w:val="001A3AB6"/>
    <w:rsid w:val="001A4DD0"/>
    <w:rsid w:val="001A4E68"/>
    <w:rsid w:val="001A594F"/>
    <w:rsid w:val="001A6D14"/>
    <w:rsid w:val="001B10D2"/>
    <w:rsid w:val="001B3FD2"/>
    <w:rsid w:val="001B5E96"/>
    <w:rsid w:val="001B7EB7"/>
    <w:rsid w:val="001D03F4"/>
    <w:rsid w:val="001D4913"/>
    <w:rsid w:val="001D65D2"/>
    <w:rsid w:val="001E0D0E"/>
    <w:rsid w:val="001E2DB8"/>
    <w:rsid w:val="001E57FF"/>
    <w:rsid w:val="001F0DD4"/>
    <w:rsid w:val="001F351B"/>
    <w:rsid w:val="001F6CD0"/>
    <w:rsid w:val="001F70C2"/>
    <w:rsid w:val="0020154A"/>
    <w:rsid w:val="002030CB"/>
    <w:rsid w:val="002040A4"/>
    <w:rsid w:val="00211A61"/>
    <w:rsid w:val="00212659"/>
    <w:rsid w:val="00216928"/>
    <w:rsid w:val="002203EF"/>
    <w:rsid w:val="00221D22"/>
    <w:rsid w:val="00222FA6"/>
    <w:rsid w:val="00224E0C"/>
    <w:rsid w:val="00230B7B"/>
    <w:rsid w:val="00241AB7"/>
    <w:rsid w:val="00242CF4"/>
    <w:rsid w:val="00244066"/>
    <w:rsid w:val="00247265"/>
    <w:rsid w:val="00247970"/>
    <w:rsid w:val="00252632"/>
    <w:rsid w:val="0025700F"/>
    <w:rsid w:val="00261C87"/>
    <w:rsid w:val="0026314B"/>
    <w:rsid w:val="00283CBE"/>
    <w:rsid w:val="002848F2"/>
    <w:rsid w:val="0028639A"/>
    <w:rsid w:val="00286611"/>
    <w:rsid w:val="002870FC"/>
    <w:rsid w:val="0028772B"/>
    <w:rsid w:val="00287F2B"/>
    <w:rsid w:val="0029082F"/>
    <w:rsid w:val="002942B8"/>
    <w:rsid w:val="00295601"/>
    <w:rsid w:val="00295B89"/>
    <w:rsid w:val="002A1544"/>
    <w:rsid w:val="002A4A39"/>
    <w:rsid w:val="002A4F7F"/>
    <w:rsid w:val="002A59C2"/>
    <w:rsid w:val="002B0F99"/>
    <w:rsid w:val="002B3502"/>
    <w:rsid w:val="002B3822"/>
    <w:rsid w:val="002B4D1D"/>
    <w:rsid w:val="002B527E"/>
    <w:rsid w:val="002B538F"/>
    <w:rsid w:val="002B79D6"/>
    <w:rsid w:val="002D1B96"/>
    <w:rsid w:val="002D383A"/>
    <w:rsid w:val="002D4CA5"/>
    <w:rsid w:val="002D56F2"/>
    <w:rsid w:val="002E1568"/>
    <w:rsid w:val="002E4AA3"/>
    <w:rsid w:val="002F11BD"/>
    <w:rsid w:val="002F5778"/>
    <w:rsid w:val="002F707C"/>
    <w:rsid w:val="00300926"/>
    <w:rsid w:val="00300DBB"/>
    <w:rsid w:val="00303AFA"/>
    <w:rsid w:val="0030511F"/>
    <w:rsid w:val="00305A01"/>
    <w:rsid w:val="00307248"/>
    <w:rsid w:val="0031517F"/>
    <w:rsid w:val="0032173F"/>
    <w:rsid w:val="003229CD"/>
    <w:rsid w:val="00323080"/>
    <w:rsid w:val="003273FB"/>
    <w:rsid w:val="00327456"/>
    <w:rsid w:val="00331385"/>
    <w:rsid w:val="003374B7"/>
    <w:rsid w:val="003378B0"/>
    <w:rsid w:val="003423D8"/>
    <w:rsid w:val="00342CC1"/>
    <w:rsid w:val="00347F6D"/>
    <w:rsid w:val="00354A05"/>
    <w:rsid w:val="00355BDB"/>
    <w:rsid w:val="00360A10"/>
    <w:rsid w:val="00360E76"/>
    <w:rsid w:val="0036407D"/>
    <w:rsid w:val="003652D5"/>
    <w:rsid w:val="00366B7F"/>
    <w:rsid w:val="00372D73"/>
    <w:rsid w:val="003737F8"/>
    <w:rsid w:val="00375D6F"/>
    <w:rsid w:val="00376187"/>
    <w:rsid w:val="00382B6E"/>
    <w:rsid w:val="00393CE6"/>
    <w:rsid w:val="003947F3"/>
    <w:rsid w:val="003A0815"/>
    <w:rsid w:val="003A1530"/>
    <w:rsid w:val="003A2CB2"/>
    <w:rsid w:val="003A362A"/>
    <w:rsid w:val="003A419A"/>
    <w:rsid w:val="003A71A6"/>
    <w:rsid w:val="003A7F17"/>
    <w:rsid w:val="003B1C66"/>
    <w:rsid w:val="003B35D9"/>
    <w:rsid w:val="003B4CAD"/>
    <w:rsid w:val="003C05F4"/>
    <w:rsid w:val="003C68E2"/>
    <w:rsid w:val="003C6AF0"/>
    <w:rsid w:val="003D13CE"/>
    <w:rsid w:val="003D147A"/>
    <w:rsid w:val="003D177F"/>
    <w:rsid w:val="003D1FBF"/>
    <w:rsid w:val="003D237D"/>
    <w:rsid w:val="003E31E3"/>
    <w:rsid w:val="003E4B09"/>
    <w:rsid w:val="003E4B3E"/>
    <w:rsid w:val="003E4DFE"/>
    <w:rsid w:val="003E54FB"/>
    <w:rsid w:val="003E7475"/>
    <w:rsid w:val="003E7EED"/>
    <w:rsid w:val="003F22CB"/>
    <w:rsid w:val="003F736B"/>
    <w:rsid w:val="003F75B6"/>
    <w:rsid w:val="003F7D5D"/>
    <w:rsid w:val="00405687"/>
    <w:rsid w:val="00407565"/>
    <w:rsid w:val="00416EF8"/>
    <w:rsid w:val="00420D7E"/>
    <w:rsid w:val="00422C7B"/>
    <w:rsid w:val="00423497"/>
    <w:rsid w:val="00424EA4"/>
    <w:rsid w:val="0042536A"/>
    <w:rsid w:val="004308EC"/>
    <w:rsid w:val="004309E4"/>
    <w:rsid w:val="004327CD"/>
    <w:rsid w:val="00433691"/>
    <w:rsid w:val="00433D2E"/>
    <w:rsid w:val="0043756B"/>
    <w:rsid w:val="004433D0"/>
    <w:rsid w:val="00445112"/>
    <w:rsid w:val="00447BB5"/>
    <w:rsid w:val="0045124D"/>
    <w:rsid w:val="00453DB9"/>
    <w:rsid w:val="00454024"/>
    <w:rsid w:val="00454FBA"/>
    <w:rsid w:val="0045756D"/>
    <w:rsid w:val="00461476"/>
    <w:rsid w:val="00467233"/>
    <w:rsid w:val="00472DF2"/>
    <w:rsid w:val="004768D7"/>
    <w:rsid w:val="0048374C"/>
    <w:rsid w:val="0048420C"/>
    <w:rsid w:val="004844EC"/>
    <w:rsid w:val="00485239"/>
    <w:rsid w:val="00487EA2"/>
    <w:rsid w:val="00493A8B"/>
    <w:rsid w:val="00497604"/>
    <w:rsid w:val="00497A33"/>
    <w:rsid w:val="00497D34"/>
    <w:rsid w:val="004A3251"/>
    <w:rsid w:val="004B1718"/>
    <w:rsid w:val="004B2413"/>
    <w:rsid w:val="004B4BE4"/>
    <w:rsid w:val="004B708F"/>
    <w:rsid w:val="004B76D4"/>
    <w:rsid w:val="004C5E6F"/>
    <w:rsid w:val="004C74C4"/>
    <w:rsid w:val="004C7E01"/>
    <w:rsid w:val="004D18BD"/>
    <w:rsid w:val="004D37F6"/>
    <w:rsid w:val="004D4E35"/>
    <w:rsid w:val="004D631A"/>
    <w:rsid w:val="004E4DA1"/>
    <w:rsid w:val="004E68A1"/>
    <w:rsid w:val="004F1616"/>
    <w:rsid w:val="004F4464"/>
    <w:rsid w:val="00502939"/>
    <w:rsid w:val="00504E75"/>
    <w:rsid w:val="0050556A"/>
    <w:rsid w:val="00506CC6"/>
    <w:rsid w:val="00507487"/>
    <w:rsid w:val="005100E8"/>
    <w:rsid w:val="005100FC"/>
    <w:rsid w:val="0051289D"/>
    <w:rsid w:val="00513E15"/>
    <w:rsid w:val="0051491A"/>
    <w:rsid w:val="005154F4"/>
    <w:rsid w:val="00525035"/>
    <w:rsid w:val="00534C8C"/>
    <w:rsid w:val="005405BD"/>
    <w:rsid w:val="005418CE"/>
    <w:rsid w:val="005515FF"/>
    <w:rsid w:val="00552BE3"/>
    <w:rsid w:val="0055614C"/>
    <w:rsid w:val="00556C58"/>
    <w:rsid w:val="005608EC"/>
    <w:rsid w:val="00561F3B"/>
    <w:rsid w:val="00564D59"/>
    <w:rsid w:val="00565DF6"/>
    <w:rsid w:val="0056640A"/>
    <w:rsid w:val="005720CC"/>
    <w:rsid w:val="005811B0"/>
    <w:rsid w:val="00581B82"/>
    <w:rsid w:val="0058411F"/>
    <w:rsid w:val="00584A04"/>
    <w:rsid w:val="00592CC6"/>
    <w:rsid w:val="005938AE"/>
    <w:rsid w:val="005A1C01"/>
    <w:rsid w:val="005A2F02"/>
    <w:rsid w:val="005A3CB3"/>
    <w:rsid w:val="005A58A2"/>
    <w:rsid w:val="005B1556"/>
    <w:rsid w:val="005C0FF2"/>
    <w:rsid w:val="005D32A6"/>
    <w:rsid w:val="005D5A36"/>
    <w:rsid w:val="005D6879"/>
    <w:rsid w:val="005D709F"/>
    <w:rsid w:val="005E00A6"/>
    <w:rsid w:val="005E12D9"/>
    <w:rsid w:val="005E2075"/>
    <w:rsid w:val="005E20E0"/>
    <w:rsid w:val="005E3A90"/>
    <w:rsid w:val="005E418A"/>
    <w:rsid w:val="005E6BDD"/>
    <w:rsid w:val="005F0EC8"/>
    <w:rsid w:val="005F0FBD"/>
    <w:rsid w:val="005F4248"/>
    <w:rsid w:val="005F4A7E"/>
    <w:rsid w:val="006037F3"/>
    <w:rsid w:val="00610626"/>
    <w:rsid w:val="00613359"/>
    <w:rsid w:val="006134A2"/>
    <w:rsid w:val="00613DDD"/>
    <w:rsid w:val="00613EED"/>
    <w:rsid w:val="00614374"/>
    <w:rsid w:val="006219EB"/>
    <w:rsid w:val="006257C4"/>
    <w:rsid w:val="00626CA2"/>
    <w:rsid w:val="00627191"/>
    <w:rsid w:val="00633D8C"/>
    <w:rsid w:val="00635C51"/>
    <w:rsid w:val="00636A65"/>
    <w:rsid w:val="00643076"/>
    <w:rsid w:val="006503E5"/>
    <w:rsid w:val="00650CD9"/>
    <w:rsid w:val="00654766"/>
    <w:rsid w:val="00662D93"/>
    <w:rsid w:val="00665E0B"/>
    <w:rsid w:val="0066645D"/>
    <w:rsid w:val="00667226"/>
    <w:rsid w:val="00675215"/>
    <w:rsid w:val="00676F7D"/>
    <w:rsid w:val="00681B21"/>
    <w:rsid w:val="00683775"/>
    <w:rsid w:val="00684676"/>
    <w:rsid w:val="0068482C"/>
    <w:rsid w:val="0068684A"/>
    <w:rsid w:val="0069233E"/>
    <w:rsid w:val="0069658C"/>
    <w:rsid w:val="00696C61"/>
    <w:rsid w:val="006A1A25"/>
    <w:rsid w:val="006A28EA"/>
    <w:rsid w:val="006A4DBA"/>
    <w:rsid w:val="006A7511"/>
    <w:rsid w:val="006A7D41"/>
    <w:rsid w:val="006B56FE"/>
    <w:rsid w:val="006C0392"/>
    <w:rsid w:val="006C18AD"/>
    <w:rsid w:val="006C249D"/>
    <w:rsid w:val="006C3614"/>
    <w:rsid w:val="006D307F"/>
    <w:rsid w:val="006D313F"/>
    <w:rsid w:val="006E163D"/>
    <w:rsid w:val="006E2755"/>
    <w:rsid w:val="006E276E"/>
    <w:rsid w:val="006E2E2A"/>
    <w:rsid w:val="006E2E87"/>
    <w:rsid w:val="006E5696"/>
    <w:rsid w:val="006E589B"/>
    <w:rsid w:val="006E5C64"/>
    <w:rsid w:val="006F0DC5"/>
    <w:rsid w:val="006F40DC"/>
    <w:rsid w:val="006F6AEB"/>
    <w:rsid w:val="006F7393"/>
    <w:rsid w:val="006F75B6"/>
    <w:rsid w:val="0070084D"/>
    <w:rsid w:val="007155F9"/>
    <w:rsid w:val="007172DC"/>
    <w:rsid w:val="0072371C"/>
    <w:rsid w:val="0073739C"/>
    <w:rsid w:val="00745706"/>
    <w:rsid w:val="00745F62"/>
    <w:rsid w:val="00746A21"/>
    <w:rsid w:val="00747295"/>
    <w:rsid w:val="00751640"/>
    <w:rsid w:val="00752750"/>
    <w:rsid w:val="0075666B"/>
    <w:rsid w:val="0075697F"/>
    <w:rsid w:val="00756CC8"/>
    <w:rsid w:val="00757307"/>
    <w:rsid w:val="00765C74"/>
    <w:rsid w:val="007819C9"/>
    <w:rsid w:val="00782D67"/>
    <w:rsid w:val="00784939"/>
    <w:rsid w:val="00785EE8"/>
    <w:rsid w:val="00787C59"/>
    <w:rsid w:val="00787E73"/>
    <w:rsid w:val="00790F45"/>
    <w:rsid w:val="00795804"/>
    <w:rsid w:val="0079582F"/>
    <w:rsid w:val="0079611B"/>
    <w:rsid w:val="007A3F87"/>
    <w:rsid w:val="007A5541"/>
    <w:rsid w:val="007A6655"/>
    <w:rsid w:val="007A72E9"/>
    <w:rsid w:val="007A79B9"/>
    <w:rsid w:val="007B0522"/>
    <w:rsid w:val="007B1E5E"/>
    <w:rsid w:val="007B2308"/>
    <w:rsid w:val="007B6801"/>
    <w:rsid w:val="007C13D9"/>
    <w:rsid w:val="007C2E5E"/>
    <w:rsid w:val="007D0802"/>
    <w:rsid w:val="007D2545"/>
    <w:rsid w:val="007D49B9"/>
    <w:rsid w:val="007D4DB3"/>
    <w:rsid w:val="007E0E23"/>
    <w:rsid w:val="007E4B2C"/>
    <w:rsid w:val="007E783A"/>
    <w:rsid w:val="007F0BA1"/>
    <w:rsid w:val="007F38C9"/>
    <w:rsid w:val="007F3BAA"/>
    <w:rsid w:val="00803518"/>
    <w:rsid w:val="00803B14"/>
    <w:rsid w:val="00803B15"/>
    <w:rsid w:val="0080419F"/>
    <w:rsid w:val="00804BE3"/>
    <w:rsid w:val="00805232"/>
    <w:rsid w:val="00811B43"/>
    <w:rsid w:val="008202FD"/>
    <w:rsid w:val="00821886"/>
    <w:rsid w:val="00824A01"/>
    <w:rsid w:val="008260AC"/>
    <w:rsid w:val="00833B2A"/>
    <w:rsid w:val="008424BB"/>
    <w:rsid w:val="00843679"/>
    <w:rsid w:val="00847A16"/>
    <w:rsid w:val="008523F5"/>
    <w:rsid w:val="00852AFF"/>
    <w:rsid w:val="008543EF"/>
    <w:rsid w:val="008550CF"/>
    <w:rsid w:val="008560FB"/>
    <w:rsid w:val="00856A38"/>
    <w:rsid w:val="0085743D"/>
    <w:rsid w:val="00857BC4"/>
    <w:rsid w:val="00864232"/>
    <w:rsid w:val="008647F9"/>
    <w:rsid w:val="00864E02"/>
    <w:rsid w:val="0086508B"/>
    <w:rsid w:val="008652D2"/>
    <w:rsid w:val="00866CF5"/>
    <w:rsid w:val="00870260"/>
    <w:rsid w:val="00874D7A"/>
    <w:rsid w:val="00875949"/>
    <w:rsid w:val="00877BC2"/>
    <w:rsid w:val="00892B83"/>
    <w:rsid w:val="008A2CFD"/>
    <w:rsid w:val="008A4273"/>
    <w:rsid w:val="008A53C5"/>
    <w:rsid w:val="008A6A97"/>
    <w:rsid w:val="008B012C"/>
    <w:rsid w:val="008C62E2"/>
    <w:rsid w:val="008C6B59"/>
    <w:rsid w:val="008D138D"/>
    <w:rsid w:val="008D21EA"/>
    <w:rsid w:val="008D26F5"/>
    <w:rsid w:val="008D3B75"/>
    <w:rsid w:val="008D497C"/>
    <w:rsid w:val="008D4D4A"/>
    <w:rsid w:val="008D74C8"/>
    <w:rsid w:val="008E3950"/>
    <w:rsid w:val="008E3D13"/>
    <w:rsid w:val="008E4FB8"/>
    <w:rsid w:val="008E68A2"/>
    <w:rsid w:val="008E6A8E"/>
    <w:rsid w:val="008F0135"/>
    <w:rsid w:val="008F11FD"/>
    <w:rsid w:val="008F2F86"/>
    <w:rsid w:val="008F3AEA"/>
    <w:rsid w:val="008F6674"/>
    <w:rsid w:val="008F6C40"/>
    <w:rsid w:val="009015C5"/>
    <w:rsid w:val="009027DD"/>
    <w:rsid w:val="00904144"/>
    <w:rsid w:val="00910DC7"/>
    <w:rsid w:val="0091196C"/>
    <w:rsid w:val="009206DA"/>
    <w:rsid w:val="00921998"/>
    <w:rsid w:val="00922139"/>
    <w:rsid w:val="00923522"/>
    <w:rsid w:val="00923E8B"/>
    <w:rsid w:val="00930B0F"/>
    <w:rsid w:val="00931A10"/>
    <w:rsid w:val="0093217B"/>
    <w:rsid w:val="009428F6"/>
    <w:rsid w:val="00955EEE"/>
    <w:rsid w:val="00960268"/>
    <w:rsid w:val="009629B3"/>
    <w:rsid w:val="00965D17"/>
    <w:rsid w:val="00967ED7"/>
    <w:rsid w:val="009723AD"/>
    <w:rsid w:val="00972A8F"/>
    <w:rsid w:val="009750F8"/>
    <w:rsid w:val="009751EF"/>
    <w:rsid w:val="00976D00"/>
    <w:rsid w:val="009822CA"/>
    <w:rsid w:val="00984F4F"/>
    <w:rsid w:val="00992480"/>
    <w:rsid w:val="00996E42"/>
    <w:rsid w:val="009A178A"/>
    <w:rsid w:val="009A4796"/>
    <w:rsid w:val="009A49BD"/>
    <w:rsid w:val="009A4B1D"/>
    <w:rsid w:val="009A5B24"/>
    <w:rsid w:val="009A620F"/>
    <w:rsid w:val="009B5FE5"/>
    <w:rsid w:val="009C2B58"/>
    <w:rsid w:val="009C30D3"/>
    <w:rsid w:val="009C404C"/>
    <w:rsid w:val="009C6424"/>
    <w:rsid w:val="009C6A8C"/>
    <w:rsid w:val="009D6FFB"/>
    <w:rsid w:val="009D762B"/>
    <w:rsid w:val="009E107D"/>
    <w:rsid w:val="009E14C0"/>
    <w:rsid w:val="009E1CDF"/>
    <w:rsid w:val="009E22D7"/>
    <w:rsid w:val="009E4850"/>
    <w:rsid w:val="009E7126"/>
    <w:rsid w:val="009F1264"/>
    <w:rsid w:val="009F3DE0"/>
    <w:rsid w:val="009F3EF4"/>
    <w:rsid w:val="009F55A2"/>
    <w:rsid w:val="009F7C5D"/>
    <w:rsid w:val="00A0225F"/>
    <w:rsid w:val="00A06A04"/>
    <w:rsid w:val="00A06E1C"/>
    <w:rsid w:val="00A12D2F"/>
    <w:rsid w:val="00A15C61"/>
    <w:rsid w:val="00A16BAB"/>
    <w:rsid w:val="00A16D1B"/>
    <w:rsid w:val="00A20598"/>
    <w:rsid w:val="00A21427"/>
    <w:rsid w:val="00A23EBD"/>
    <w:rsid w:val="00A34B57"/>
    <w:rsid w:val="00A34D4D"/>
    <w:rsid w:val="00A51BB9"/>
    <w:rsid w:val="00A5291B"/>
    <w:rsid w:val="00A536B0"/>
    <w:rsid w:val="00A56310"/>
    <w:rsid w:val="00A619BC"/>
    <w:rsid w:val="00A62903"/>
    <w:rsid w:val="00A638FD"/>
    <w:rsid w:val="00A73AD0"/>
    <w:rsid w:val="00A752DE"/>
    <w:rsid w:val="00A7610A"/>
    <w:rsid w:val="00A76475"/>
    <w:rsid w:val="00A821B1"/>
    <w:rsid w:val="00A83E0C"/>
    <w:rsid w:val="00A83FCA"/>
    <w:rsid w:val="00A840DF"/>
    <w:rsid w:val="00A8513F"/>
    <w:rsid w:val="00A90F3C"/>
    <w:rsid w:val="00A94804"/>
    <w:rsid w:val="00A94B87"/>
    <w:rsid w:val="00A97A5B"/>
    <w:rsid w:val="00AA2C5C"/>
    <w:rsid w:val="00AA42D1"/>
    <w:rsid w:val="00AA6B29"/>
    <w:rsid w:val="00AB174F"/>
    <w:rsid w:val="00AB2EED"/>
    <w:rsid w:val="00AB37FB"/>
    <w:rsid w:val="00AB49D1"/>
    <w:rsid w:val="00AB57C0"/>
    <w:rsid w:val="00AB70B2"/>
    <w:rsid w:val="00AC22DB"/>
    <w:rsid w:val="00AD27E9"/>
    <w:rsid w:val="00AD3946"/>
    <w:rsid w:val="00AD4C15"/>
    <w:rsid w:val="00AD536E"/>
    <w:rsid w:val="00AD644E"/>
    <w:rsid w:val="00AE2FD1"/>
    <w:rsid w:val="00AE7C14"/>
    <w:rsid w:val="00AF1288"/>
    <w:rsid w:val="00B061A1"/>
    <w:rsid w:val="00B150B5"/>
    <w:rsid w:val="00B165F5"/>
    <w:rsid w:val="00B16623"/>
    <w:rsid w:val="00B178C3"/>
    <w:rsid w:val="00B20BC5"/>
    <w:rsid w:val="00B22D16"/>
    <w:rsid w:val="00B237DB"/>
    <w:rsid w:val="00B25566"/>
    <w:rsid w:val="00B25997"/>
    <w:rsid w:val="00B26AB0"/>
    <w:rsid w:val="00B3009E"/>
    <w:rsid w:val="00B34CFF"/>
    <w:rsid w:val="00B36018"/>
    <w:rsid w:val="00B429DC"/>
    <w:rsid w:val="00B45B0E"/>
    <w:rsid w:val="00B46183"/>
    <w:rsid w:val="00B462BA"/>
    <w:rsid w:val="00B47E31"/>
    <w:rsid w:val="00B50133"/>
    <w:rsid w:val="00B5443A"/>
    <w:rsid w:val="00B55E92"/>
    <w:rsid w:val="00B56A72"/>
    <w:rsid w:val="00B6239E"/>
    <w:rsid w:val="00B63D49"/>
    <w:rsid w:val="00B64659"/>
    <w:rsid w:val="00B67BC1"/>
    <w:rsid w:val="00B7162A"/>
    <w:rsid w:val="00B73811"/>
    <w:rsid w:val="00B73A61"/>
    <w:rsid w:val="00B748F4"/>
    <w:rsid w:val="00B818FE"/>
    <w:rsid w:val="00B81C0C"/>
    <w:rsid w:val="00B8283F"/>
    <w:rsid w:val="00B83C99"/>
    <w:rsid w:val="00B92FE0"/>
    <w:rsid w:val="00B9485E"/>
    <w:rsid w:val="00B9492E"/>
    <w:rsid w:val="00B973E4"/>
    <w:rsid w:val="00BA130D"/>
    <w:rsid w:val="00BA1A80"/>
    <w:rsid w:val="00BA455A"/>
    <w:rsid w:val="00BA4874"/>
    <w:rsid w:val="00BB4FD5"/>
    <w:rsid w:val="00BC2306"/>
    <w:rsid w:val="00BC2F58"/>
    <w:rsid w:val="00BC3AD2"/>
    <w:rsid w:val="00BC52AD"/>
    <w:rsid w:val="00BD012E"/>
    <w:rsid w:val="00BE22E9"/>
    <w:rsid w:val="00BE2E8B"/>
    <w:rsid w:val="00BE346A"/>
    <w:rsid w:val="00BE5CF7"/>
    <w:rsid w:val="00BE6F59"/>
    <w:rsid w:val="00C01570"/>
    <w:rsid w:val="00C02180"/>
    <w:rsid w:val="00C03BB7"/>
    <w:rsid w:val="00C05AFD"/>
    <w:rsid w:val="00C077CE"/>
    <w:rsid w:val="00C10074"/>
    <w:rsid w:val="00C11C6E"/>
    <w:rsid w:val="00C16804"/>
    <w:rsid w:val="00C179E2"/>
    <w:rsid w:val="00C239D0"/>
    <w:rsid w:val="00C25EF3"/>
    <w:rsid w:val="00C26CF3"/>
    <w:rsid w:val="00C26DB5"/>
    <w:rsid w:val="00C316FF"/>
    <w:rsid w:val="00C324DA"/>
    <w:rsid w:val="00C33F41"/>
    <w:rsid w:val="00C368CA"/>
    <w:rsid w:val="00C37A2D"/>
    <w:rsid w:val="00C42F4B"/>
    <w:rsid w:val="00C44C4B"/>
    <w:rsid w:val="00C44D3F"/>
    <w:rsid w:val="00C45DE1"/>
    <w:rsid w:val="00C46C6C"/>
    <w:rsid w:val="00C4716E"/>
    <w:rsid w:val="00C4742B"/>
    <w:rsid w:val="00C50080"/>
    <w:rsid w:val="00C502B4"/>
    <w:rsid w:val="00C502C6"/>
    <w:rsid w:val="00C512DC"/>
    <w:rsid w:val="00C52DDC"/>
    <w:rsid w:val="00C53B13"/>
    <w:rsid w:val="00C54B9D"/>
    <w:rsid w:val="00C57BB4"/>
    <w:rsid w:val="00C62F1C"/>
    <w:rsid w:val="00C66530"/>
    <w:rsid w:val="00C66E73"/>
    <w:rsid w:val="00C7415F"/>
    <w:rsid w:val="00C745BE"/>
    <w:rsid w:val="00C74CE4"/>
    <w:rsid w:val="00C77EEF"/>
    <w:rsid w:val="00C802DA"/>
    <w:rsid w:val="00C82B6B"/>
    <w:rsid w:val="00C953A0"/>
    <w:rsid w:val="00CA0593"/>
    <w:rsid w:val="00CA1299"/>
    <w:rsid w:val="00CA18F0"/>
    <w:rsid w:val="00CA76AD"/>
    <w:rsid w:val="00CB163C"/>
    <w:rsid w:val="00CB23B1"/>
    <w:rsid w:val="00CC225E"/>
    <w:rsid w:val="00CC4431"/>
    <w:rsid w:val="00CC67C6"/>
    <w:rsid w:val="00CD0521"/>
    <w:rsid w:val="00CD4699"/>
    <w:rsid w:val="00CD6023"/>
    <w:rsid w:val="00CD7699"/>
    <w:rsid w:val="00CE25A2"/>
    <w:rsid w:val="00CE5A63"/>
    <w:rsid w:val="00CE74BF"/>
    <w:rsid w:val="00CF12ED"/>
    <w:rsid w:val="00CF3FFA"/>
    <w:rsid w:val="00CF4862"/>
    <w:rsid w:val="00CF497D"/>
    <w:rsid w:val="00CF623D"/>
    <w:rsid w:val="00CF7ECD"/>
    <w:rsid w:val="00D050C3"/>
    <w:rsid w:val="00D05FA0"/>
    <w:rsid w:val="00D07879"/>
    <w:rsid w:val="00D07C29"/>
    <w:rsid w:val="00D10FCA"/>
    <w:rsid w:val="00D1255A"/>
    <w:rsid w:val="00D12BFE"/>
    <w:rsid w:val="00D152FC"/>
    <w:rsid w:val="00D159BE"/>
    <w:rsid w:val="00D17CED"/>
    <w:rsid w:val="00D17EF5"/>
    <w:rsid w:val="00D21500"/>
    <w:rsid w:val="00D23823"/>
    <w:rsid w:val="00D23929"/>
    <w:rsid w:val="00D24972"/>
    <w:rsid w:val="00D2744A"/>
    <w:rsid w:val="00D33AF9"/>
    <w:rsid w:val="00D36F8C"/>
    <w:rsid w:val="00D426F7"/>
    <w:rsid w:val="00D438F0"/>
    <w:rsid w:val="00D441CA"/>
    <w:rsid w:val="00D442F7"/>
    <w:rsid w:val="00D44F1C"/>
    <w:rsid w:val="00D508C4"/>
    <w:rsid w:val="00D57D03"/>
    <w:rsid w:val="00D57F6A"/>
    <w:rsid w:val="00D64C89"/>
    <w:rsid w:val="00D65140"/>
    <w:rsid w:val="00D66EF5"/>
    <w:rsid w:val="00D67DFB"/>
    <w:rsid w:val="00D67FAC"/>
    <w:rsid w:val="00D732F9"/>
    <w:rsid w:val="00D73704"/>
    <w:rsid w:val="00D766B4"/>
    <w:rsid w:val="00D84757"/>
    <w:rsid w:val="00D85D13"/>
    <w:rsid w:val="00D919CC"/>
    <w:rsid w:val="00DA090D"/>
    <w:rsid w:val="00DA13DB"/>
    <w:rsid w:val="00DA1FBC"/>
    <w:rsid w:val="00DA2B85"/>
    <w:rsid w:val="00DA37CE"/>
    <w:rsid w:val="00DB00D2"/>
    <w:rsid w:val="00DB2ACD"/>
    <w:rsid w:val="00DC3F5E"/>
    <w:rsid w:val="00DC408B"/>
    <w:rsid w:val="00DC4DAE"/>
    <w:rsid w:val="00DC4FA6"/>
    <w:rsid w:val="00DC5AC8"/>
    <w:rsid w:val="00DC5E12"/>
    <w:rsid w:val="00DD2099"/>
    <w:rsid w:val="00DD2786"/>
    <w:rsid w:val="00DD27D9"/>
    <w:rsid w:val="00DD60AE"/>
    <w:rsid w:val="00DE0092"/>
    <w:rsid w:val="00DE1342"/>
    <w:rsid w:val="00DE2C8A"/>
    <w:rsid w:val="00DE4317"/>
    <w:rsid w:val="00DE5413"/>
    <w:rsid w:val="00DE6BA3"/>
    <w:rsid w:val="00DF1520"/>
    <w:rsid w:val="00DF2759"/>
    <w:rsid w:val="00DF5ADD"/>
    <w:rsid w:val="00DF641E"/>
    <w:rsid w:val="00E01F2A"/>
    <w:rsid w:val="00E03618"/>
    <w:rsid w:val="00E04DFA"/>
    <w:rsid w:val="00E10025"/>
    <w:rsid w:val="00E127F7"/>
    <w:rsid w:val="00E12D42"/>
    <w:rsid w:val="00E14C4B"/>
    <w:rsid w:val="00E1597F"/>
    <w:rsid w:val="00E20B8E"/>
    <w:rsid w:val="00E20C16"/>
    <w:rsid w:val="00E21B9F"/>
    <w:rsid w:val="00E245E9"/>
    <w:rsid w:val="00E512EC"/>
    <w:rsid w:val="00E5154B"/>
    <w:rsid w:val="00E52E81"/>
    <w:rsid w:val="00E577DA"/>
    <w:rsid w:val="00E6051D"/>
    <w:rsid w:val="00E6518F"/>
    <w:rsid w:val="00E66BE1"/>
    <w:rsid w:val="00E71A6D"/>
    <w:rsid w:val="00E71C91"/>
    <w:rsid w:val="00E71E31"/>
    <w:rsid w:val="00E73C5D"/>
    <w:rsid w:val="00E743FE"/>
    <w:rsid w:val="00E80BA3"/>
    <w:rsid w:val="00E8475E"/>
    <w:rsid w:val="00E849C2"/>
    <w:rsid w:val="00E87EA3"/>
    <w:rsid w:val="00E9034D"/>
    <w:rsid w:val="00E92098"/>
    <w:rsid w:val="00E941B9"/>
    <w:rsid w:val="00E94F9D"/>
    <w:rsid w:val="00E96A30"/>
    <w:rsid w:val="00E96BE8"/>
    <w:rsid w:val="00EA1045"/>
    <w:rsid w:val="00EA192C"/>
    <w:rsid w:val="00EA29FE"/>
    <w:rsid w:val="00EA3E6B"/>
    <w:rsid w:val="00EA59D8"/>
    <w:rsid w:val="00EA6CA5"/>
    <w:rsid w:val="00EB0ACB"/>
    <w:rsid w:val="00EB244F"/>
    <w:rsid w:val="00EC22FB"/>
    <w:rsid w:val="00ED340B"/>
    <w:rsid w:val="00ED5BE7"/>
    <w:rsid w:val="00ED6DE8"/>
    <w:rsid w:val="00ED7BFF"/>
    <w:rsid w:val="00EE2B35"/>
    <w:rsid w:val="00EE3D8D"/>
    <w:rsid w:val="00EE6473"/>
    <w:rsid w:val="00EE7942"/>
    <w:rsid w:val="00EF144C"/>
    <w:rsid w:val="00EF59E1"/>
    <w:rsid w:val="00EF5D8C"/>
    <w:rsid w:val="00F0533E"/>
    <w:rsid w:val="00F05D3A"/>
    <w:rsid w:val="00F062C6"/>
    <w:rsid w:val="00F10B85"/>
    <w:rsid w:val="00F113C4"/>
    <w:rsid w:val="00F154C1"/>
    <w:rsid w:val="00F15C9A"/>
    <w:rsid w:val="00F15D64"/>
    <w:rsid w:val="00F22C14"/>
    <w:rsid w:val="00F232A1"/>
    <w:rsid w:val="00F27C2E"/>
    <w:rsid w:val="00F30C0E"/>
    <w:rsid w:val="00F35F0D"/>
    <w:rsid w:val="00F37FA9"/>
    <w:rsid w:val="00F37FCE"/>
    <w:rsid w:val="00F41056"/>
    <w:rsid w:val="00F4183C"/>
    <w:rsid w:val="00F41B20"/>
    <w:rsid w:val="00F51979"/>
    <w:rsid w:val="00F57C3C"/>
    <w:rsid w:val="00F669C4"/>
    <w:rsid w:val="00F67855"/>
    <w:rsid w:val="00F70BC3"/>
    <w:rsid w:val="00F906C0"/>
    <w:rsid w:val="00F956E3"/>
    <w:rsid w:val="00F967CB"/>
    <w:rsid w:val="00FA3E94"/>
    <w:rsid w:val="00FA479F"/>
    <w:rsid w:val="00FA4966"/>
    <w:rsid w:val="00FA5E05"/>
    <w:rsid w:val="00FB0715"/>
    <w:rsid w:val="00FB3699"/>
    <w:rsid w:val="00FC35D1"/>
    <w:rsid w:val="00FC3708"/>
    <w:rsid w:val="00FC43E8"/>
    <w:rsid w:val="00FC458C"/>
    <w:rsid w:val="00FD0FFD"/>
    <w:rsid w:val="00FD1C40"/>
    <w:rsid w:val="00FD3382"/>
    <w:rsid w:val="00FD3E2C"/>
    <w:rsid w:val="00FD5950"/>
    <w:rsid w:val="00FD7F38"/>
    <w:rsid w:val="00FE0BF7"/>
    <w:rsid w:val="00FE1089"/>
    <w:rsid w:val="00FE28F5"/>
    <w:rsid w:val="00FE627B"/>
    <w:rsid w:val="00FE6609"/>
    <w:rsid w:val="00FE6C9C"/>
    <w:rsid w:val="00FF0E0D"/>
    <w:rsid w:val="00FF192B"/>
    <w:rsid w:val="00FF4F6C"/>
    <w:rsid w:val="00FF5594"/>
    <w:rsid w:val="00FF5920"/>
    <w:rsid w:val="00FF638C"/>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969C23"/>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autoRedefine/>
    <w:qFormat/>
    <w:rsid w:val="007A1E6D"/>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0">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unhideWhenUsed/>
    <w:rsid w:val="00C37A2D"/>
    <w:rPr>
      <w:sz w:val="20"/>
    </w:rPr>
  </w:style>
  <w:style w:type="character" w:customStyle="1" w:styleId="CommentTextChar">
    <w:name w:val="Comment Text Char"/>
    <w:basedOn w:val="DefaultParagraphFont"/>
    <w:link w:val="CommentText"/>
    <w:uiPriority w:val="99"/>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customStyle="1" w:styleId="UnresolvedMention">
    <w:name w:val="Unresolved Mention"/>
    <w:basedOn w:val="DefaultParagraphFont"/>
    <w:uiPriority w:val="99"/>
    <w:semiHidden/>
    <w:unhideWhenUsed/>
    <w:rsid w:val="006D307F"/>
    <w:rPr>
      <w:color w:val="605E5C"/>
      <w:shd w:val="clear" w:color="auto" w:fill="E1DFDD"/>
    </w:rPr>
  </w:style>
  <w:style w:type="character" w:styleId="Emphasis">
    <w:name w:val="Emphasis"/>
    <w:basedOn w:val="DefaultParagraphFont"/>
    <w:uiPriority w:val="20"/>
    <w:qFormat/>
    <w:rsid w:val="0000252C"/>
    <w:rPr>
      <w:i/>
      <w:iCs/>
    </w:rPr>
  </w:style>
  <w:style w:type="character" w:customStyle="1" w:styleId="FooterChar">
    <w:name w:val="Footer Char"/>
    <w:link w:val="Footer"/>
    <w:uiPriority w:val="99"/>
    <w:rsid w:val="004308EC"/>
    <w:rPr>
      <w:snapToGrid w:val="0"/>
      <w:kern w:val="28"/>
      <w:sz w:val="22"/>
    </w:rPr>
  </w:style>
  <w:style w:type="character" w:customStyle="1" w:styleId="FootnoteTextChar5Char">
    <w:name w:val="Footnote Text Char5 Char"/>
    <w:aliases w:val="Footnote Text Char1 Char Char Char Char Char,Footnote Text Char2 Char Char Char Char Char1 Char,Footnote Text Char2 Char1 Char Char1 Char,Footnote Text Char3 Char Char1 Char"/>
    <w:semiHidden/>
    <w:rsid w:val="004308EC"/>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4308EC"/>
    <w:rPr>
      <w:rFonts w:ascii="Times New Roman Bold" w:hAnsi="Times New Roman Bold"/>
      <w:b/>
      <w:caps/>
      <w:snapToGrid w:val="0"/>
      <w:kern w:val="28"/>
      <w:sz w:val="22"/>
    </w:rPr>
  </w:style>
  <w:style w:type="character" w:customStyle="1" w:styleId="cosearchterm">
    <w:name w:val="co_searchterm"/>
    <w:rsid w:val="004308EC"/>
  </w:style>
  <w:style w:type="paragraph" w:customStyle="1" w:styleId="Default">
    <w:name w:val="Default"/>
    <w:rsid w:val="004308EC"/>
    <w:pPr>
      <w:autoSpaceDE w:val="0"/>
      <w:autoSpaceDN w:val="0"/>
      <w:adjustRightInd w:val="0"/>
    </w:pPr>
    <w:rPr>
      <w:color w:val="000000"/>
      <w:sz w:val="24"/>
      <w:szCs w:val="24"/>
    </w:rPr>
  </w:style>
  <w:style w:type="paragraph" w:styleId="Revision">
    <w:name w:val="Revision"/>
    <w:hidden/>
    <w:uiPriority w:val="99"/>
    <w:semiHidden/>
    <w:rsid w:val="004308EC"/>
    <w:rPr>
      <w:snapToGrid w:val="0"/>
      <w:kern w:val="28"/>
      <w:sz w:val="22"/>
    </w:rPr>
  </w:style>
  <w:style w:type="character" w:customStyle="1" w:styleId="costarpage">
    <w:name w:val="co_starpage"/>
    <w:basedOn w:val="DefaultParagraphFont"/>
    <w:rsid w:val="004308EC"/>
  </w:style>
  <w:style w:type="character" w:customStyle="1" w:styleId="counderline">
    <w:name w:val="co_underline"/>
    <w:basedOn w:val="DefaultParagraphFont"/>
    <w:rsid w:val="004308EC"/>
  </w:style>
  <w:style w:type="character" w:styleId="Strong">
    <w:name w:val="Strong"/>
    <w:basedOn w:val="DefaultParagraphFont"/>
    <w:qFormat/>
    <w:rsid w:val="004308EC"/>
    <w:rPr>
      <w:b/>
      <w:bCs/>
    </w:rPr>
  </w:style>
  <w:style w:type="paragraph" w:styleId="ListParagraph">
    <w:name w:val="List Paragraph"/>
    <w:basedOn w:val="Normal"/>
    <w:uiPriority w:val="34"/>
    <w:qFormat/>
    <w:rsid w:val="00AF1288"/>
    <w:pPr>
      <w:ind w:left="720"/>
      <w:contextualSpacing/>
    </w:pPr>
  </w:style>
  <w:style w:type="paragraph" w:styleId="NormalWeb">
    <w:name w:val="Normal (Web)"/>
    <w:basedOn w:val="Normal"/>
    <w:uiPriority w:val="99"/>
    <w:unhideWhenUsed/>
    <w:rsid w:val="00581B82"/>
    <w:pPr>
      <w:widowControl/>
      <w:spacing w:before="100" w:beforeAutospacing="1" w:after="100" w:afterAutospacing="1"/>
    </w:pPr>
    <w:rPr>
      <w:snapToGrid/>
      <w:kern w:val="0"/>
      <w:sz w:val="24"/>
      <w:szCs w:val="24"/>
    </w:rPr>
  </w:style>
  <w:style w:type="character" w:customStyle="1" w:styleId="cf01">
    <w:name w:val="cf01"/>
    <w:basedOn w:val="DefaultParagraphFont"/>
    <w:rsid w:val="00581B82"/>
    <w:rPr>
      <w:rFonts w:ascii="Segoe UI" w:hAnsi="Segoe UI" w:cs="Segoe UI" w:hint="default"/>
      <w:sz w:val="18"/>
      <w:szCs w:val="18"/>
    </w:rPr>
  </w:style>
  <w:style w:type="character" w:customStyle="1" w:styleId="cf11">
    <w:name w:val="cf11"/>
    <w:basedOn w:val="DefaultParagraphFont"/>
    <w:rsid w:val="00581B82"/>
    <w:rPr>
      <w:rFonts w:ascii="Segoe UI" w:hAnsi="Segoe UI" w:cs="Segoe UI" w:hint="default"/>
      <w:sz w:val="18"/>
      <w:szCs w:val="18"/>
    </w:rPr>
  </w:style>
  <w:style w:type="character" w:customStyle="1" w:styleId="documentbody1">
    <w:name w:val="documentbody1"/>
    <w:basedOn w:val="DefaultParagraphFont"/>
    <w:rsid w:val="005D6879"/>
    <w:rPr>
      <w:rFonts w:ascii="Verdana" w:hAnsi="Verdana" w:hint="default"/>
      <w:sz w:val="19"/>
      <w:szCs w:val="19"/>
    </w:rPr>
  </w:style>
  <w:style w:type="paragraph" w:customStyle="1" w:styleId="Normal1">
    <w:name w:val="Normal1"/>
    <w:basedOn w:val="Normal"/>
    <w:rsid w:val="005D6879"/>
    <w:pPr>
      <w:widowControl/>
      <w:spacing w:before="100" w:beforeAutospacing="1" w:after="100" w:afterAutospacing="1"/>
    </w:pPr>
    <w:rPr>
      <w:rFonts w:ascii="Tahoma" w:hAnsi="Tahoma" w:cs="Verdana"/>
      <w:snapToGrid/>
      <w:color w:val="333333"/>
      <w:kern w:val="0"/>
      <w:sz w:val="18"/>
      <w:szCs w:val="18"/>
    </w:rPr>
  </w:style>
  <w:style w:type="paragraph" w:styleId="BodyText2">
    <w:name w:val="Body Text 2"/>
    <w:basedOn w:val="Normal"/>
    <w:link w:val="BodyText2Char"/>
    <w:rsid w:val="005D6879"/>
    <w:pPr>
      <w:widowControl/>
    </w:pPr>
    <w:rPr>
      <w:snapToGrid/>
      <w:color w:val="000000"/>
      <w:kern w:val="0"/>
    </w:rPr>
  </w:style>
  <w:style w:type="character" w:customStyle="1" w:styleId="BodyText2Char">
    <w:name w:val="Body Text 2 Char"/>
    <w:basedOn w:val="DefaultParagraphFont"/>
    <w:link w:val="BodyText2"/>
    <w:rsid w:val="005D687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radshaw@fcc.gov" TargetMode="External" /><Relationship Id="rId6" Type="http://schemas.openxmlformats.org/officeDocument/2006/relationships/hyperlink" Target="mailto:Arthur.Doak@fcc.gov" TargetMode="External" /><Relationship Id="rId7" Type="http://schemas.openxmlformats.org/officeDocument/2006/relationships/hyperlink" Target="https://www.fccprod.service-now.com/auls?id=esupport"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