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4C2EE3" w:rsidRPr="00516D94" w14:paraId="55665AB6" w14:textId="77777777">
      <w:pPr>
        <w:jc w:val="center"/>
        <w:rPr>
          <w:b/>
          <w:szCs w:val="22"/>
        </w:rPr>
      </w:pPr>
      <w:r w:rsidRPr="00516D94">
        <w:rPr>
          <w:b/>
          <w:kern w:val="0"/>
          <w:szCs w:val="22"/>
        </w:rPr>
        <w:t>Before</w:t>
      </w:r>
      <w:r w:rsidRPr="00516D94">
        <w:rPr>
          <w:b/>
          <w:szCs w:val="22"/>
        </w:rPr>
        <w:t xml:space="preserve"> the</w:t>
      </w:r>
    </w:p>
    <w:p w:rsidR="00921803" w:rsidRPr="00516D94" w:rsidP="00921803" w14:paraId="52B2E211" w14:textId="77777777">
      <w:pPr>
        <w:pStyle w:val="StyleBoldCentered"/>
        <w:rPr>
          <w:rFonts w:ascii="Times New Roman" w:hAnsi="Times New Roman"/>
        </w:rPr>
      </w:pPr>
      <w:r w:rsidRPr="00516D94">
        <w:rPr>
          <w:rFonts w:ascii="Times New Roman" w:hAnsi="Times New Roman"/>
        </w:rPr>
        <w:t>F</w:t>
      </w:r>
      <w:r w:rsidRPr="00516D94">
        <w:rPr>
          <w:rFonts w:ascii="Times New Roman" w:hAnsi="Times New Roman"/>
          <w:caps w:val="0"/>
        </w:rPr>
        <w:t>ederal Communications Commission</w:t>
      </w:r>
    </w:p>
    <w:p w:rsidR="004C2EE3" w:rsidRPr="00516D94" w:rsidP="00096D8C" w14:paraId="339779DF" w14:textId="77777777">
      <w:pPr>
        <w:pStyle w:val="StyleBoldCentered"/>
        <w:rPr>
          <w:rFonts w:ascii="Times New Roman" w:hAnsi="Times New Roman"/>
        </w:rPr>
      </w:pPr>
      <w:r w:rsidRPr="00516D94">
        <w:rPr>
          <w:rFonts w:ascii="Times New Roman" w:hAnsi="Times New Roman"/>
          <w:caps w:val="0"/>
        </w:rPr>
        <w:t>Washington, D.C. 20554</w:t>
      </w:r>
    </w:p>
    <w:p w:rsidR="004C2EE3" w:rsidRPr="00516D94" w:rsidP="0070224F" w14:paraId="552B35BB" w14:textId="77777777">
      <w:pPr>
        <w:rPr>
          <w:szCs w:val="22"/>
        </w:rPr>
      </w:pPr>
    </w:p>
    <w:p w:rsidR="004C2EE3" w:rsidRPr="00516D94" w:rsidP="0070224F" w14:paraId="75B918FA" w14:textId="77777777">
      <w:pPr>
        <w:rPr>
          <w:szCs w:val="22"/>
        </w:rPr>
      </w:pPr>
    </w:p>
    <w:tbl>
      <w:tblPr>
        <w:tblW w:w="9576" w:type="dxa"/>
        <w:tblLayout w:type="fixed"/>
        <w:tblLook w:val="0000"/>
      </w:tblPr>
      <w:tblGrid>
        <w:gridCol w:w="4698"/>
        <w:gridCol w:w="630"/>
        <w:gridCol w:w="4248"/>
      </w:tblGrid>
      <w:tr w14:paraId="1D0C70C5" w14:textId="77777777" w:rsidTr="00A35B92">
        <w:tblPrEx>
          <w:tblW w:w="9576" w:type="dxa"/>
          <w:tblLayout w:type="fixed"/>
          <w:tblLook w:val="0000"/>
        </w:tblPrEx>
        <w:tc>
          <w:tcPr>
            <w:tcW w:w="4698" w:type="dxa"/>
          </w:tcPr>
          <w:p w:rsidR="00A35B92" w:rsidRPr="00516D94" w:rsidP="00A35B92" w14:paraId="351D9934" w14:textId="7777777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516D94">
              <w:rPr>
                <w:spacing w:val="-2"/>
                <w:szCs w:val="22"/>
              </w:rPr>
              <w:t>In the Matter of</w:t>
            </w:r>
          </w:p>
          <w:p w:rsidR="00A35B92" w:rsidRPr="00516D94" w:rsidP="00A35B92" w14:paraId="4B8B3981" w14:textId="7777777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A35B92" w:rsidRPr="00516D94" w:rsidP="00A35B92" w14:paraId="3729ECFF" w14:textId="7777777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bookmarkStart w:id="0" w:name="_Hlk81503547"/>
            <w:r w:rsidRPr="00516D94">
              <w:rPr>
                <w:spacing w:val="-2"/>
                <w:szCs w:val="22"/>
              </w:rPr>
              <w:t>Resilient Networks</w:t>
            </w:r>
          </w:p>
          <w:bookmarkEnd w:id="0"/>
          <w:p w:rsidR="00A35B92" w:rsidRPr="00516D94" w:rsidP="00A35B92" w14:paraId="5E75B206" w14:textId="7777777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A35B92" w:rsidRPr="00516D94" w:rsidP="00A35B92" w14:paraId="643B83A4" w14:textId="77777777">
            <w:pPr>
              <w:tabs>
                <w:tab w:val="left" w:pos="1062"/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516D94">
              <w:rPr>
                <w:spacing w:val="-2"/>
                <w:szCs w:val="22"/>
              </w:rPr>
              <w:t>Amendments to Part 4 of the Commission’s Rules Concerning Disruptions to Communications</w:t>
            </w:r>
          </w:p>
          <w:p w:rsidR="00A35B92" w:rsidRPr="00516D94" w:rsidP="00A35B92" w14:paraId="5A362742" w14:textId="7777777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A35B92" w:rsidRPr="00516D94" w:rsidP="00A35B92" w14:paraId="6A8CF267" w14:textId="77777777">
            <w:pPr>
              <w:tabs>
                <w:tab w:val="left" w:pos="1062"/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516D94">
              <w:rPr>
                <w:spacing w:val="-2"/>
                <w:szCs w:val="22"/>
              </w:rPr>
              <w:t>New Part 4 of the Commission’s Rules Concerning Disruptions to Communications</w:t>
            </w:r>
          </w:p>
          <w:p w:rsidR="00A35B92" w:rsidRPr="00516D94" w:rsidP="00A35B92" w14:paraId="6F9D0FE6" w14:textId="4E552FF5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</w:tc>
        <w:tc>
          <w:tcPr>
            <w:tcW w:w="630" w:type="dxa"/>
          </w:tcPr>
          <w:p w:rsidR="00A35B92" w:rsidRPr="00516D94" w:rsidP="00A35B92" w14:paraId="3C3C5B0B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516D94">
              <w:rPr>
                <w:b/>
                <w:spacing w:val="-2"/>
                <w:szCs w:val="22"/>
              </w:rPr>
              <w:t>)</w:t>
            </w:r>
          </w:p>
          <w:p w:rsidR="00A35B92" w:rsidRPr="00516D94" w:rsidP="00A35B92" w14:paraId="727D97F9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516D94">
              <w:rPr>
                <w:b/>
                <w:spacing w:val="-2"/>
                <w:szCs w:val="22"/>
              </w:rPr>
              <w:t>)</w:t>
            </w:r>
          </w:p>
          <w:p w:rsidR="00A35B92" w:rsidRPr="00516D94" w:rsidP="00A35B92" w14:paraId="573C29A3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516D94">
              <w:rPr>
                <w:b/>
                <w:spacing w:val="-2"/>
                <w:szCs w:val="22"/>
              </w:rPr>
              <w:t>)</w:t>
            </w:r>
          </w:p>
          <w:p w:rsidR="00A35B92" w:rsidRPr="00516D94" w:rsidP="00A35B92" w14:paraId="3A16278F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516D94">
              <w:rPr>
                <w:b/>
                <w:spacing w:val="-2"/>
                <w:szCs w:val="22"/>
              </w:rPr>
              <w:t>)</w:t>
            </w:r>
          </w:p>
          <w:p w:rsidR="00A35B92" w:rsidRPr="00516D94" w:rsidP="00A35B92" w14:paraId="7EF86E84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516D94">
              <w:rPr>
                <w:b/>
                <w:spacing w:val="-2"/>
                <w:szCs w:val="22"/>
              </w:rPr>
              <w:t>)</w:t>
            </w:r>
          </w:p>
          <w:p w:rsidR="00A35B92" w:rsidRPr="00516D94" w:rsidP="00A35B92" w14:paraId="1BB4A86E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516D94">
              <w:rPr>
                <w:b/>
                <w:spacing w:val="-2"/>
                <w:szCs w:val="22"/>
              </w:rPr>
              <w:t>)</w:t>
            </w:r>
          </w:p>
          <w:p w:rsidR="00A35B92" w:rsidRPr="00516D94" w:rsidP="00A35B92" w14:paraId="7CAE3BC7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516D94">
              <w:rPr>
                <w:b/>
                <w:spacing w:val="-2"/>
                <w:szCs w:val="22"/>
              </w:rPr>
              <w:t>)</w:t>
            </w:r>
          </w:p>
          <w:p w:rsidR="00A35B92" w:rsidRPr="00516D94" w:rsidP="00A35B92" w14:paraId="43384DDC" w14:textId="7777777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516D94">
              <w:rPr>
                <w:spacing w:val="-2"/>
                <w:szCs w:val="22"/>
              </w:rPr>
              <w:t>)</w:t>
            </w:r>
          </w:p>
          <w:p w:rsidR="00A35B92" w:rsidRPr="00516D94" w:rsidP="00A35B92" w14:paraId="620FC178" w14:textId="7777777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516D94">
              <w:rPr>
                <w:spacing w:val="-2"/>
                <w:szCs w:val="22"/>
              </w:rPr>
              <w:t>)</w:t>
            </w:r>
          </w:p>
          <w:p w:rsidR="00A35B92" w:rsidRPr="00516D94" w:rsidP="00A35B92" w14:paraId="327ABDDF" w14:textId="7777777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</w:tc>
        <w:tc>
          <w:tcPr>
            <w:tcW w:w="4248" w:type="dxa"/>
          </w:tcPr>
          <w:p w:rsidR="00A35B92" w:rsidRPr="00516D94" w:rsidP="00A35B92" w14:paraId="294E6C8A" w14:textId="7777777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A35B92" w:rsidRPr="00516D94" w:rsidP="00A35B92" w14:paraId="40A6B044" w14:textId="77777777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  <w:szCs w:val="22"/>
              </w:rPr>
            </w:pPr>
          </w:p>
          <w:p w:rsidR="00A35B92" w:rsidRPr="00516D94" w:rsidP="00A35B92" w14:paraId="55C4FB24" w14:textId="77777777">
            <w:pPr>
              <w:tabs>
                <w:tab w:val="center" w:pos="4680"/>
              </w:tabs>
              <w:suppressAutoHyphens/>
              <w:rPr>
                <w:szCs w:val="22"/>
              </w:rPr>
            </w:pPr>
            <w:r w:rsidRPr="00516D94">
              <w:rPr>
                <w:spacing w:val="-2"/>
                <w:szCs w:val="22"/>
              </w:rPr>
              <w:t>PS Docket No. 21-346</w:t>
            </w:r>
          </w:p>
          <w:p w:rsidR="00A35B92" w:rsidRPr="00516D94" w:rsidP="00A35B92" w14:paraId="00E37723" w14:textId="7777777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F74C04" w:rsidRPr="00516D94" w:rsidP="00F74C04" w14:paraId="5B05D8AB" w14:textId="77777777">
            <w:pPr>
              <w:tabs>
                <w:tab w:val="left" w:pos="1062"/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516D94">
              <w:rPr>
                <w:spacing w:val="-2"/>
                <w:szCs w:val="22"/>
              </w:rPr>
              <w:t>PS Docket No. 15-80</w:t>
            </w:r>
          </w:p>
          <w:p w:rsidR="00A35B92" w:rsidRPr="00516D94" w:rsidP="00A35B92" w14:paraId="05B639F1" w14:textId="216C5005">
            <w:pPr>
              <w:tabs>
                <w:tab w:val="left" w:pos="1062"/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A35B92" w:rsidRPr="00516D94" w:rsidP="00A35B92" w14:paraId="3AD98DA2" w14:textId="7777777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A35B92" w:rsidRPr="00516D94" w:rsidP="00A35B92" w14:paraId="7DB5EF3B" w14:textId="77777777">
            <w:pPr>
              <w:tabs>
                <w:tab w:val="left" w:pos="1062"/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516D94">
              <w:rPr>
                <w:spacing w:val="-2"/>
                <w:szCs w:val="22"/>
              </w:rPr>
              <w:t>ET Docket No. 04-35</w:t>
            </w:r>
          </w:p>
          <w:p w:rsidR="00A35B92" w:rsidRPr="00516D94" w:rsidP="00A35B92" w14:paraId="770BDC39" w14:textId="117DFC8D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</w:tc>
      </w:tr>
    </w:tbl>
    <w:p w:rsidR="004C2EE3" w:rsidRPr="00516D94" w:rsidP="0070224F" w14:paraId="014EE500" w14:textId="77777777">
      <w:pPr>
        <w:rPr>
          <w:szCs w:val="22"/>
        </w:rPr>
      </w:pPr>
    </w:p>
    <w:p w:rsidR="008F39AD" w:rsidRPr="00516D94" w:rsidP="00384E8A" w14:paraId="4AB3E3A7" w14:textId="77777777">
      <w:pPr>
        <w:pStyle w:val="StyleBoldCentered"/>
        <w:rPr>
          <w:rFonts w:ascii="Times New Roman" w:hAnsi="Times New Roman"/>
          <w:spacing w:val="-2"/>
        </w:rPr>
      </w:pPr>
      <w:r w:rsidRPr="00516D94">
        <w:rPr>
          <w:rFonts w:ascii="Times New Roman" w:hAnsi="Times New Roman"/>
        </w:rPr>
        <w:t>ORDER</w:t>
      </w:r>
      <w:r w:rsidRPr="00516D94" w:rsidR="005D2D4A">
        <w:rPr>
          <w:rFonts w:ascii="Times New Roman" w:hAnsi="Times New Roman"/>
        </w:rPr>
        <w:t xml:space="preserve"> Granting </w:t>
      </w:r>
      <w:r w:rsidRPr="00516D94" w:rsidR="0088221B">
        <w:rPr>
          <w:rFonts w:ascii="Times New Roman" w:hAnsi="Times New Roman"/>
        </w:rPr>
        <w:t>extension of time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5"/>
        <w:gridCol w:w="5845"/>
      </w:tblGrid>
      <w:tr w14:paraId="3C2E5C0B" w14:textId="77777777" w:rsidTr="1D4652CE">
        <w:tblPrEx>
          <w:tblW w:w="0" w:type="auto"/>
          <w:tblInd w:w="-9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505" w:type="dxa"/>
          </w:tcPr>
          <w:p w:rsidR="00D748E0" w:rsidRPr="00516D94" w:rsidP="00133F79" w14:paraId="72314F6A" w14:textId="77777777">
            <w:pPr>
              <w:tabs>
                <w:tab w:val="left" w:pos="720"/>
                <w:tab w:val="right" w:pos="9360"/>
              </w:tabs>
              <w:suppressAutoHyphens/>
              <w:spacing w:line="227" w:lineRule="auto"/>
              <w:rPr>
                <w:b/>
                <w:spacing w:val="-2"/>
                <w:szCs w:val="22"/>
              </w:rPr>
            </w:pPr>
          </w:p>
        </w:tc>
        <w:tc>
          <w:tcPr>
            <w:tcW w:w="5845" w:type="dxa"/>
          </w:tcPr>
          <w:p w:rsidR="00D748E0" w:rsidRPr="00516D94" w:rsidP="00133F79" w14:paraId="68C08154" w14:textId="77777777">
            <w:pPr>
              <w:tabs>
                <w:tab w:val="left" w:pos="720"/>
                <w:tab w:val="right" w:pos="9360"/>
              </w:tabs>
              <w:suppressAutoHyphens/>
              <w:spacing w:line="227" w:lineRule="auto"/>
              <w:rPr>
                <w:b/>
                <w:spacing w:val="-2"/>
                <w:szCs w:val="22"/>
              </w:rPr>
            </w:pPr>
          </w:p>
        </w:tc>
      </w:tr>
    </w:tbl>
    <w:p w:rsidR="004C2EE3" w:rsidRPr="00516D94" w:rsidP="00133F79" w14:paraId="598DD462" w14:textId="67F75657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  <w:szCs w:val="22"/>
        </w:rPr>
      </w:pPr>
      <w:r w:rsidRPr="00516D94">
        <w:rPr>
          <w:b/>
          <w:spacing w:val="-2"/>
          <w:szCs w:val="22"/>
        </w:rPr>
        <w:t xml:space="preserve">Adopted:  </w:t>
      </w:r>
      <w:r w:rsidRPr="00516D94" w:rsidR="00251B3D">
        <w:rPr>
          <w:b/>
          <w:spacing w:val="-2"/>
          <w:szCs w:val="22"/>
        </w:rPr>
        <w:t xml:space="preserve">November </w:t>
      </w:r>
      <w:r w:rsidRPr="00516D94" w:rsidR="004C07EF">
        <w:rPr>
          <w:b/>
          <w:spacing w:val="-2"/>
          <w:szCs w:val="22"/>
        </w:rPr>
        <w:t>30</w:t>
      </w:r>
      <w:r w:rsidRPr="00516D94" w:rsidR="007311D7">
        <w:rPr>
          <w:b/>
          <w:spacing w:val="-2"/>
          <w:szCs w:val="22"/>
        </w:rPr>
        <w:t>, 2021</w:t>
      </w:r>
      <w:r w:rsidRPr="00516D94">
        <w:rPr>
          <w:b/>
          <w:spacing w:val="-2"/>
          <w:szCs w:val="22"/>
        </w:rPr>
        <w:tab/>
      </w:r>
      <w:r w:rsidRPr="00516D94" w:rsidR="00822CE0">
        <w:rPr>
          <w:b/>
          <w:spacing w:val="-2"/>
          <w:szCs w:val="22"/>
        </w:rPr>
        <w:t>Released</w:t>
      </w:r>
      <w:r w:rsidRPr="00516D94">
        <w:rPr>
          <w:b/>
          <w:spacing w:val="-2"/>
          <w:szCs w:val="22"/>
        </w:rPr>
        <w:t>:</w:t>
      </w:r>
      <w:r w:rsidRPr="00516D94" w:rsidR="00822CE0">
        <w:rPr>
          <w:b/>
          <w:spacing w:val="-2"/>
          <w:szCs w:val="22"/>
        </w:rPr>
        <w:t xml:space="preserve"> </w:t>
      </w:r>
      <w:r w:rsidRPr="00516D94">
        <w:rPr>
          <w:b/>
          <w:spacing w:val="-2"/>
          <w:szCs w:val="22"/>
        </w:rPr>
        <w:t xml:space="preserve"> </w:t>
      </w:r>
      <w:r w:rsidRPr="00516D94" w:rsidR="00251B3D">
        <w:rPr>
          <w:b/>
          <w:spacing w:val="-2"/>
          <w:szCs w:val="22"/>
        </w:rPr>
        <w:t xml:space="preserve">November </w:t>
      </w:r>
      <w:r w:rsidRPr="00516D94" w:rsidR="004C07EF">
        <w:rPr>
          <w:b/>
          <w:spacing w:val="-2"/>
          <w:szCs w:val="22"/>
        </w:rPr>
        <w:t>30</w:t>
      </w:r>
      <w:r w:rsidRPr="00516D94" w:rsidR="00251B3D">
        <w:rPr>
          <w:b/>
          <w:spacing w:val="-2"/>
          <w:szCs w:val="22"/>
        </w:rPr>
        <w:t>, 2021</w:t>
      </w:r>
    </w:p>
    <w:p w:rsidR="00822CE0" w:rsidRPr="00516D94" w14:paraId="31198AE5" w14:textId="77777777">
      <w:pPr>
        <w:rPr>
          <w:szCs w:val="22"/>
        </w:rPr>
      </w:pPr>
    </w:p>
    <w:p w:rsidR="00F548C2" w:rsidRPr="00516D94" w14:paraId="3A2BBD91" w14:textId="56566666">
      <w:pPr>
        <w:rPr>
          <w:b/>
          <w:spacing w:val="-2"/>
          <w:szCs w:val="22"/>
        </w:rPr>
      </w:pPr>
      <w:r w:rsidRPr="00516D94">
        <w:rPr>
          <w:b/>
          <w:spacing w:val="-2"/>
          <w:szCs w:val="22"/>
        </w:rPr>
        <w:t xml:space="preserve">Comment Date: </w:t>
      </w:r>
      <w:r w:rsidRPr="00516D94" w:rsidR="00485842">
        <w:rPr>
          <w:b/>
          <w:spacing w:val="-2"/>
          <w:szCs w:val="22"/>
        </w:rPr>
        <w:t>December 16, 2021</w:t>
      </w:r>
    </w:p>
    <w:p w:rsidR="007E334D" w:rsidRPr="00516D94" w14:paraId="3BF23E1F" w14:textId="6E5B32EB">
      <w:pPr>
        <w:rPr>
          <w:b/>
          <w:spacing w:val="-2"/>
          <w:szCs w:val="22"/>
        </w:rPr>
      </w:pPr>
      <w:r w:rsidRPr="00516D94">
        <w:rPr>
          <w:b/>
          <w:spacing w:val="-2"/>
          <w:szCs w:val="22"/>
        </w:rPr>
        <w:t xml:space="preserve">Reply Comment Date: </w:t>
      </w:r>
      <w:r w:rsidRPr="00516D94" w:rsidR="00C43497">
        <w:rPr>
          <w:b/>
          <w:spacing w:val="-2"/>
          <w:szCs w:val="22"/>
        </w:rPr>
        <w:t xml:space="preserve"> </w:t>
      </w:r>
      <w:r w:rsidRPr="00516D94" w:rsidR="00485842">
        <w:rPr>
          <w:b/>
          <w:spacing w:val="-2"/>
          <w:szCs w:val="22"/>
        </w:rPr>
        <w:t>January 14, 2022</w:t>
      </w:r>
    </w:p>
    <w:p w:rsidR="00D1657C" w:rsidRPr="00516D94" w14:paraId="5745F750" w14:textId="77777777">
      <w:pPr>
        <w:rPr>
          <w:szCs w:val="22"/>
        </w:rPr>
      </w:pPr>
    </w:p>
    <w:p w:rsidR="004C2EE3" w:rsidRPr="00516D94" w14:paraId="322D9FEA" w14:textId="16B840C4">
      <w:pPr>
        <w:rPr>
          <w:szCs w:val="22"/>
        </w:rPr>
      </w:pPr>
      <w:r w:rsidRPr="00516D94">
        <w:rPr>
          <w:szCs w:val="22"/>
        </w:rPr>
        <w:t xml:space="preserve">By </w:t>
      </w:r>
      <w:r w:rsidRPr="00516D94" w:rsidR="6E14E265">
        <w:rPr>
          <w:szCs w:val="22"/>
        </w:rPr>
        <w:t>the</w:t>
      </w:r>
      <w:r w:rsidRPr="00516D94" w:rsidR="0676AFBE">
        <w:rPr>
          <w:szCs w:val="22"/>
        </w:rPr>
        <w:t xml:space="preserve"> </w:t>
      </w:r>
      <w:r w:rsidRPr="00516D94" w:rsidR="220A1219">
        <w:rPr>
          <w:szCs w:val="22"/>
        </w:rPr>
        <w:t>Ch</w:t>
      </w:r>
      <w:r w:rsidRPr="00516D94" w:rsidR="00384E8A">
        <w:rPr>
          <w:szCs w:val="22"/>
        </w:rPr>
        <w:t>ief</w:t>
      </w:r>
      <w:r w:rsidRPr="00516D94" w:rsidR="11A9686D">
        <w:rPr>
          <w:szCs w:val="22"/>
        </w:rPr>
        <w:t xml:space="preserve">, </w:t>
      </w:r>
      <w:r w:rsidRPr="00516D94" w:rsidR="00651377">
        <w:rPr>
          <w:szCs w:val="22"/>
        </w:rPr>
        <w:t>Public Safety and Homeland Security Bureau</w:t>
      </w:r>
      <w:r w:rsidRPr="00516D94" w:rsidR="004C07EF">
        <w:rPr>
          <w:szCs w:val="22"/>
        </w:rPr>
        <w:t>:</w:t>
      </w:r>
    </w:p>
    <w:p w:rsidR="00822CE0" w:rsidRPr="00516D94" w14:paraId="1B5CA469" w14:textId="77777777">
      <w:pPr>
        <w:rPr>
          <w:spacing w:val="-2"/>
          <w:szCs w:val="22"/>
        </w:rPr>
      </w:pPr>
    </w:p>
    <w:p w:rsidR="792F4D9D" w:rsidRPr="00516D94" w:rsidP="1D4652CE" w14:paraId="4C1BFFCC" w14:textId="0229EE69">
      <w:pPr>
        <w:pStyle w:val="ListParagraph"/>
        <w:numPr>
          <w:ilvl w:val="0"/>
          <w:numId w:val="8"/>
        </w:numPr>
        <w:spacing w:after="240"/>
        <w:ind w:left="0" w:firstLine="720"/>
        <w:rPr>
          <w:szCs w:val="22"/>
        </w:rPr>
      </w:pPr>
      <w:r w:rsidRPr="00516D94">
        <w:rPr>
          <w:szCs w:val="22"/>
        </w:rPr>
        <w:t xml:space="preserve">By </w:t>
      </w:r>
      <w:r w:rsidRPr="00516D94" w:rsidR="004F41A5">
        <w:rPr>
          <w:szCs w:val="22"/>
        </w:rPr>
        <w:t xml:space="preserve">this Order, the </w:t>
      </w:r>
      <w:r w:rsidRPr="00516D94" w:rsidR="00400FFB">
        <w:rPr>
          <w:szCs w:val="22"/>
        </w:rPr>
        <w:t>Public Safety and Homeland Security Bureau</w:t>
      </w:r>
      <w:r w:rsidRPr="00516D94" w:rsidR="007E334D">
        <w:rPr>
          <w:szCs w:val="22"/>
        </w:rPr>
        <w:t xml:space="preserve"> </w:t>
      </w:r>
      <w:r w:rsidRPr="00516D94" w:rsidR="007D7D0D">
        <w:rPr>
          <w:szCs w:val="22"/>
        </w:rPr>
        <w:t>(</w:t>
      </w:r>
      <w:r w:rsidRPr="00516D94" w:rsidR="00400FFB">
        <w:rPr>
          <w:szCs w:val="22"/>
        </w:rPr>
        <w:t>PSHSB</w:t>
      </w:r>
      <w:r w:rsidRPr="00516D94" w:rsidR="007D7D0D">
        <w:rPr>
          <w:szCs w:val="22"/>
        </w:rPr>
        <w:t xml:space="preserve">) </w:t>
      </w:r>
      <w:r w:rsidRPr="00516D94" w:rsidR="004F41A5">
        <w:rPr>
          <w:szCs w:val="22"/>
        </w:rPr>
        <w:t>grant</w:t>
      </w:r>
      <w:r w:rsidRPr="00516D94">
        <w:rPr>
          <w:szCs w:val="22"/>
        </w:rPr>
        <w:t>s</w:t>
      </w:r>
      <w:r w:rsidRPr="00516D94" w:rsidR="004F41A5">
        <w:rPr>
          <w:szCs w:val="22"/>
        </w:rPr>
        <w:t xml:space="preserve"> a </w:t>
      </w:r>
      <w:r w:rsidRPr="00516D94" w:rsidR="007D7D0D">
        <w:rPr>
          <w:szCs w:val="22"/>
        </w:rPr>
        <w:t>M</w:t>
      </w:r>
      <w:r w:rsidRPr="00516D94" w:rsidR="004F41A5">
        <w:rPr>
          <w:szCs w:val="22"/>
        </w:rPr>
        <w:t xml:space="preserve">otion filed by the </w:t>
      </w:r>
      <w:r w:rsidRPr="00516D94">
        <w:rPr>
          <w:szCs w:val="22"/>
        </w:rPr>
        <w:t xml:space="preserve">Edison Electric Institute (EEI) </w:t>
      </w:r>
      <w:r w:rsidRPr="00516D94" w:rsidR="4AFA50DD">
        <w:rPr>
          <w:szCs w:val="22"/>
        </w:rPr>
        <w:t xml:space="preserve">seeking an extension of </w:t>
      </w:r>
      <w:r w:rsidRPr="00516D94" w:rsidR="006A12CF">
        <w:rPr>
          <w:szCs w:val="22"/>
        </w:rPr>
        <w:t>10 days</w:t>
      </w:r>
      <w:r w:rsidRPr="00516D94" w:rsidR="4AFA50DD">
        <w:rPr>
          <w:szCs w:val="22"/>
        </w:rPr>
        <w:t xml:space="preserve"> to file </w:t>
      </w:r>
      <w:r w:rsidRPr="00516D94" w:rsidR="00D7521F">
        <w:rPr>
          <w:szCs w:val="22"/>
        </w:rPr>
        <w:t xml:space="preserve">comments and </w:t>
      </w:r>
      <w:r w:rsidRPr="00516D94" w:rsidR="4AFA50DD">
        <w:rPr>
          <w:szCs w:val="22"/>
        </w:rPr>
        <w:t>reply comments in the above-captioned proceeding.</w:t>
      </w:r>
      <w:r>
        <w:rPr>
          <w:rStyle w:val="FootnoteReference"/>
          <w:sz w:val="22"/>
          <w:szCs w:val="22"/>
        </w:rPr>
        <w:footnoteReference w:id="3"/>
      </w:r>
      <w:r w:rsidRPr="00516D94" w:rsidR="6A301D5A">
        <w:rPr>
          <w:szCs w:val="22"/>
        </w:rPr>
        <w:t xml:space="preserve">  For the reasons stated below, </w:t>
      </w:r>
      <w:r w:rsidRPr="00516D94" w:rsidR="00D7521F">
        <w:rPr>
          <w:szCs w:val="22"/>
        </w:rPr>
        <w:t>PSHSB</w:t>
      </w:r>
      <w:r w:rsidRPr="00516D94" w:rsidR="007D7D0D">
        <w:rPr>
          <w:szCs w:val="22"/>
        </w:rPr>
        <w:t xml:space="preserve"> </w:t>
      </w:r>
      <w:r w:rsidRPr="00516D94" w:rsidR="6A301D5A">
        <w:rPr>
          <w:szCs w:val="22"/>
        </w:rPr>
        <w:t>find</w:t>
      </w:r>
      <w:r w:rsidRPr="00516D94" w:rsidR="007D7D0D">
        <w:rPr>
          <w:szCs w:val="22"/>
        </w:rPr>
        <w:t>s</w:t>
      </w:r>
      <w:r w:rsidRPr="00516D94" w:rsidR="6A301D5A">
        <w:rPr>
          <w:szCs w:val="22"/>
        </w:rPr>
        <w:t xml:space="preserve"> that </w:t>
      </w:r>
      <w:r w:rsidRPr="00516D94" w:rsidR="001D66B1">
        <w:rPr>
          <w:szCs w:val="22"/>
        </w:rPr>
        <w:t>EEI’s</w:t>
      </w:r>
      <w:r w:rsidRPr="00516D94" w:rsidR="00E259C3">
        <w:rPr>
          <w:szCs w:val="22"/>
        </w:rPr>
        <w:t xml:space="preserve"> request</w:t>
      </w:r>
      <w:r w:rsidRPr="00516D94" w:rsidR="001D66B1">
        <w:rPr>
          <w:szCs w:val="22"/>
        </w:rPr>
        <w:t xml:space="preserve"> </w:t>
      </w:r>
      <w:r w:rsidRPr="00516D94" w:rsidR="6A301D5A">
        <w:rPr>
          <w:szCs w:val="22"/>
        </w:rPr>
        <w:t>is war</w:t>
      </w:r>
      <w:r w:rsidRPr="00516D94" w:rsidR="7F18E23D">
        <w:rPr>
          <w:szCs w:val="22"/>
        </w:rPr>
        <w:t xml:space="preserve">ranted and </w:t>
      </w:r>
      <w:r w:rsidRPr="00516D94" w:rsidR="00E259C3">
        <w:rPr>
          <w:szCs w:val="22"/>
        </w:rPr>
        <w:t xml:space="preserve">thus </w:t>
      </w:r>
      <w:r w:rsidRPr="00516D94" w:rsidR="7F18E23D">
        <w:rPr>
          <w:szCs w:val="22"/>
        </w:rPr>
        <w:t>extend</w:t>
      </w:r>
      <w:r w:rsidRPr="00516D94" w:rsidR="009F4DDD">
        <w:rPr>
          <w:szCs w:val="22"/>
        </w:rPr>
        <w:t>s</w:t>
      </w:r>
      <w:r w:rsidRPr="00516D94" w:rsidR="7F18E23D">
        <w:rPr>
          <w:szCs w:val="22"/>
        </w:rPr>
        <w:t xml:space="preserve"> the </w:t>
      </w:r>
      <w:r w:rsidRPr="00516D94" w:rsidR="00D7521F">
        <w:rPr>
          <w:szCs w:val="22"/>
        </w:rPr>
        <w:t xml:space="preserve">comment </w:t>
      </w:r>
      <w:r w:rsidRPr="00516D94" w:rsidR="00E259C3">
        <w:rPr>
          <w:szCs w:val="22"/>
        </w:rPr>
        <w:t xml:space="preserve">and reply comment </w:t>
      </w:r>
      <w:r w:rsidRPr="00516D94" w:rsidR="00D7521F">
        <w:rPr>
          <w:szCs w:val="22"/>
        </w:rPr>
        <w:t>date</w:t>
      </w:r>
      <w:r w:rsidRPr="00516D94" w:rsidR="00E259C3">
        <w:rPr>
          <w:szCs w:val="22"/>
        </w:rPr>
        <w:t>s</w:t>
      </w:r>
      <w:r w:rsidRPr="00516D94" w:rsidR="00D7521F">
        <w:rPr>
          <w:szCs w:val="22"/>
        </w:rPr>
        <w:t xml:space="preserve"> to December 16, 2021 and January 14, 2022</w:t>
      </w:r>
      <w:r w:rsidRPr="00516D94" w:rsidR="00E259C3">
        <w:rPr>
          <w:szCs w:val="22"/>
        </w:rPr>
        <w:t>, respectively</w:t>
      </w:r>
      <w:r w:rsidRPr="00516D94" w:rsidR="7F18E23D">
        <w:rPr>
          <w:szCs w:val="22"/>
        </w:rPr>
        <w:t>.</w:t>
      </w:r>
    </w:p>
    <w:p w:rsidR="00080627" w:rsidRPr="00516D94" w:rsidP="00080627" w14:paraId="69312307" w14:textId="77777777">
      <w:pPr>
        <w:pStyle w:val="ListParagraph"/>
        <w:spacing w:after="240"/>
        <w:rPr>
          <w:szCs w:val="22"/>
        </w:rPr>
      </w:pPr>
    </w:p>
    <w:p w:rsidR="00E9556A" w:rsidRPr="00516D94" w:rsidP="00E9556A" w14:paraId="5C9F5DCA" w14:textId="1D2F4C7F">
      <w:pPr>
        <w:pStyle w:val="ListParagraph"/>
        <w:numPr>
          <w:ilvl w:val="0"/>
          <w:numId w:val="8"/>
        </w:numPr>
        <w:spacing w:after="240"/>
        <w:ind w:left="0" w:firstLine="720"/>
        <w:contextualSpacing w:val="0"/>
        <w:rPr>
          <w:szCs w:val="22"/>
        </w:rPr>
      </w:pPr>
      <w:r w:rsidRPr="00516D94">
        <w:rPr>
          <w:szCs w:val="22"/>
        </w:rPr>
        <w:t xml:space="preserve">On September 30, 2021, the Federal Communications Commission (Commission) adopted a </w:t>
      </w:r>
      <w:r w:rsidRPr="00516D94">
        <w:rPr>
          <w:iCs/>
          <w:szCs w:val="22"/>
        </w:rPr>
        <w:t xml:space="preserve">Notice of Proposed Rulemaking </w:t>
      </w:r>
      <w:r w:rsidRPr="00516D94">
        <w:rPr>
          <w:szCs w:val="22"/>
        </w:rPr>
        <w:t>seeking comment on proposed rules to improve communications reliability during disasters.</w:t>
      </w:r>
      <w:r>
        <w:rPr>
          <w:szCs w:val="22"/>
          <w:vertAlign w:val="superscript"/>
        </w:rPr>
        <w:footnoteReference w:id="4"/>
      </w:r>
      <w:r w:rsidRPr="00516D94">
        <w:rPr>
          <w:szCs w:val="22"/>
        </w:rPr>
        <w:t xml:space="preserve">  The </w:t>
      </w:r>
      <w:r w:rsidRPr="00516D94">
        <w:rPr>
          <w:iCs/>
          <w:szCs w:val="22"/>
        </w:rPr>
        <w:t xml:space="preserve">NPRM </w:t>
      </w:r>
      <w:r w:rsidRPr="00516D94">
        <w:rPr>
          <w:szCs w:val="22"/>
        </w:rPr>
        <w:t>seeks comment on the wireless industry's disaster response framework, the Commission’s network outage reporting rules, and strategies to reduce the impact of power outages on communications networks.</w:t>
      </w:r>
      <w:r>
        <w:rPr>
          <w:rStyle w:val="FootnoteReference"/>
          <w:sz w:val="22"/>
          <w:szCs w:val="22"/>
        </w:rPr>
        <w:footnoteReference w:id="5"/>
      </w:r>
      <w:r w:rsidRPr="00516D94">
        <w:rPr>
          <w:szCs w:val="22"/>
        </w:rPr>
        <w:t xml:space="preserve">  On November 5, 2021, the Office of the Federal Register published a summary of the </w:t>
      </w:r>
      <w:r w:rsidRPr="00516D94">
        <w:rPr>
          <w:iCs/>
          <w:szCs w:val="22"/>
        </w:rPr>
        <w:t>NPRM</w:t>
      </w:r>
      <w:r w:rsidRPr="00516D94" w:rsidR="0010234B">
        <w:rPr>
          <w:szCs w:val="22"/>
        </w:rPr>
        <w:t xml:space="preserve"> indicating that </w:t>
      </w:r>
      <w:r w:rsidRPr="00516D94">
        <w:rPr>
          <w:szCs w:val="22"/>
        </w:rPr>
        <w:t>comments must be filed on or before December 6, 2021 and reply comments must be filed on or before January 4, 2022.</w:t>
      </w:r>
      <w:r>
        <w:rPr>
          <w:rStyle w:val="FootnoteReference"/>
          <w:sz w:val="22"/>
          <w:szCs w:val="22"/>
        </w:rPr>
        <w:footnoteReference w:id="6"/>
      </w:r>
      <w:r w:rsidRPr="00516D94">
        <w:rPr>
          <w:szCs w:val="22"/>
        </w:rPr>
        <w:t xml:space="preserve"> </w:t>
      </w:r>
    </w:p>
    <w:p w:rsidR="00967868" w:rsidRPr="00516D94" w:rsidP="009F3773" w14:paraId="7D668B5C" w14:textId="5ACEE570">
      <w:pPr>
        <w:pStyle w:val="ListParagraph"/>
        <w:numPr>
          <w:ilvl w:val="0"/>
          <w:numId w:val="8"/>
        </w:numPr>
        <w:spacing w:after="240"/>
        <w:ind w:left="0" w:firstLine="720"/>
        <w:contextualSpacing w:val="0"/>
        <w:rPr>
          <w:szCs w:val="22"/>
        </w:rPr>
      </w:pPr>
      <w:r w:rsidRPr="00516D94">
        <w:rPr>
          <w:szCs w:val="22"/>
        </w:rPr>
        <w:t xml:space="preserve">On </w:t>
      </w:r>
      <w:r w:rsidRPr="00516D94" w:rsidR="0001468B">
        <w:rPr>
          <w:szCs w:val="22"/>
        </w:rPr>
        <w:t>November 19</w:t>
      </w:r>
      <w:r w:rsidRPr="00516D94">
        <w:rPr>
          <w:szCs w:val="22"/>
        </w:rPr>
        <w:t xml:space="preserve">, 2021, </w:t>
      </w:r>
      <w:r w:rsidRPr="00516D94" w:rsidR="000B542A">
        <w:rPr>
          <w:szCs w:val="22"/>
        </w:rPr>
        <w:t xml:space="preserve">EEI </w:t>
      </w:r>
      <w:r w:rsidRPr="00516D94">
        <w:rPr>
          <w:szCs w:val="22"/>
        </w:rPr>
        <w:t xml:space="preserve">filed </w:t>
      </w:r>
      <w:r w:rsidRPr="00516D94" w:rsidR="008550B1">
        <w:rPr>
          <w:szCs w:val="22"/>
        </w:rPr>
        <w:t>the</w:t>
      </w:r>
      <w:r w:rsidRPr="00516D94" w:rsidR="000B542A">
        <w:rPr>
          <w:szCs w:val="22"/>
        </w:rPr>
        <w:t xml:space="preserve"> </w:t>
      </w:r>
      <w:r w:rsidRPr="00516D94" w:rsidR="007D7D0D">
        <w:rPr>
          <w:szCs w:val="22"/>
        </w:rPr>
        <w:t>M</w:t>
      </w:r>
      <w:r w:rsidRPr="00516D94">
        <w:rPr>
          <w:szCs w:val="22"/>
        </w:rPr>
        <w:t>otion</w:t>
      </w:r>
      <w:r w:rsidRPr="00516D94" w:rsidR="008550B1">
        <w:rPr>
          <w:szCs w:val="22"/>
        </w:rPr>
        <w:t xml:space="preserve"> to request </w:t>
      </w:r>
      <w:r w:rsidRPr="00516D94">
        <w:rPr>
          <w:szCs w:val="22"/>
        </w:rPr>
        <w:t>a</w:t>
      </w:r>
      <w:r w:rsidRPr="00516D94" w:rsidR="007D5E93">
        <w:rPr>
          <w:szCs w:val="22"/>
        </w:rPr>
        <w:t xml:space="preserve"> </w:t>
      </w:r>
      <w:r w:rsidRPr="00516D94" w:rsidR="009841A6">
        <w:rPr>
          <w:szCs w:val="22"/>
        </w:rPr>
        <w:t>10</w:t>
      </w:r>
      <w:r w:rsidRPr="00516D94" w:rsidR="00153A26">
        <w:rPr>
          <w:szCs w:val="22"/>
        </w:rPr>
        <w:t>-</w:t>
      </w:r>
      <w:r w:rsidRPr="00516D94" w:rsidR="007D5E93">
        <w:rPr>
          <w:szCs w:val="22"/>
        </w:rPr>
        <w:t xml:space="preserve">day </w:t>
      </w:r>
      <w:r w:rsidRPr="00516D94" w:rsidR="005654E2">
        <w:rPr>
          <w:szCs w:val="22"/>
        </w:rPr>
        <w:t>extension of the</w:t>
      </w:r>
      <w:r w:rsidRPr="00516D94" w:rsidR="00221CA5">
        <w:rPr>
          <w:szCs w:val="22"/>
        </w:rPr>
        <w:t xml:space="preserve"> comment and</w:t>
      </w:r>
      <w:r w:rsidRPr="00516D94" w:rsidR="005654E2">
        <w:rPr>
          <w:szCs w:val="22"/>
        </w:rPr>
        <w:t xml:space="preserve"> </w:t>
      </w:r>
      <w:r w:rsidRPr="00516D94" w:rsidR="00012FD5">
        <w:rPr>
          <w:szCs w:val="22"/>
        </w:rPr>
        <w:t xml:space="preserve">reply </w:t>
      </w:r>
      <w:r w:rsidRPr="00516D94" w:rsidR="005654E2">
        <w:rPr>
          <w:szCs w:val="22"/>
        </w:rPr>
        <w:t>comment filing deadline</w:t>
      </w:r>
      <w:r w:rsidRPr="00516D94" w:rsidR="00221CA5">
        <w:rPr>
          <w:szCs w:val="22"/>
        </w:rPr>
        <w:t xml:space="preserve">s, </w:t>
      </w:r>
      <w:r w:rsidRPr="00516D94" w:rsidR="00F4205C">
        <w:rPr>
          <w:szCs w:val="22"/>
        </w:rPr>
        <w:t xml:space="preserve">to </w:t>
      </w:r>
      <w:r w:rsidRPr="00516D94" w:rsidR="00221CA5">
        <w:rPr>
          <w:szCs w:val="22"/>
        </w:rPr>
        <w:t>December 16, 2021 and January 14, 2022, respectively</w:t>
      </w:r>
      <w:r w:rsidRPr="00516D94">
        <w:rPr>
          <w:szCs w:val="22"/>
        </w:rPr>
        <w:t>.</w:t>
      </w:r>
      <w:r>
        <w:rPr>
          <w:rStyle w:val="FootnoteReference"/>
          <w:sz w:val="22"/>
          <w:szCs w:val="22"/>
        </w:rPr>
        <w:footnoteReference w:id="7"/>
      </w:r>
      <w:r w:rsidRPr="00516D94" w:rsidR="00642DCB">
        <w:rPr>
          <w:szCs w:val="22"/>
        </w:rPr>
        <w:t xml:space="preserve">  </w:t>
      </w:r>
      <w:r w:rsidRPr="00516D94" w:rsidR="00FB5EDC">
        <w:rPr>
          <w:szCs w:val="22"/>
        </w:rPr>
        <w:t xml:space="preserve">EEI states </w:t>
      </w:r>
      <w:r w:rsidRPr="00516D94" w:rsidR="00C412A9">
        <w:rPr>
          <w:szCs w:val="22"/>
        </w:rPr>
        <w:t xml:space="preserve">that </w:t>
      </w:r>
      <w:r w:rsidRPr="00516D94" w:rsidR="00BA28ED">
        <w:rPr>
          <w:szCs w:val="22"/>
        </w:rPr>
        <w:t xml:space="preserve">these </w:t>
      </w:r>
      <w:r w:rsidRPr="00516D94" w:rsidR="00C412A9">
        <w:rPr>
          <w:szCs w:val="22"/>
        </w:rPr>
        <w:t xml:space="preserve">deadlines should be extended </w:t>
      </w:r>
      <w:r w:rsidRPr="00516D94" w:rsidR="00D75A27">
        <w:rPr>
          <w:szCs w:val="22"/>
        </w:rPr>
        <w:t>“</w:t>
      </w:r>
      <w:r w:rsidRPr="00516D94" w:rsidR="00C412A9">
        <w:rPr>
          <w:szCs w:val="22"/>
        </w:rPr>
        <w:t xml:space="preserve">to ensure </w:t>
      </w:r>
      <w:r w:rsidRPr="00516D94" w:rsidR="00D75A27">
        <w:rPr>
          <w:szCs w:val="22"/>
        </w:rPr>
        <w:t xml:space="preserve">that </w:t>
      </w:r>
      <w:r w:rsidRPr="00516D94" w:rsidR="00012520">
        <w:rPr>
          <w:szCs w:val="22"/>
        </w:rPr>
        <w:t>there is sufficient time to conduct consultations with respective member companies to prepare reasoned comments and reply comments that meaningfully address the broad range of issues presented by the NPRM.”</w:t>
      </w:r>
      <w:r>
        <w:rPr>
          <w:rStyle w:val="FootnoteReference"/>
          <w:sz w:val="22"/>
          <w:szCs w:val="22"/>
        </w:rPr>
        <w:footnoteReference w:id="8"/>
      </w:r>
      <w:r w:rsidRPr="00516D94" w:rsidR="00FF3E2D">
        <w:rPr>
          <w:szCs w:val="22"/>
        </w:rPr>
        <w:t xml:space="preserve">  </w:t>
      </w:r>
      <w:r w:rsidRPr="00516D94" w:rsidR="00DE6872">
        <w:rPr>
          <w:szCs w:val="22"/>
        </w:rPr>
        <w:t xml:space="preserve">EEI notes that </w:t>
      </w:r>
      <w:r w:rsidRPr="00516D94" w:rsidR="001429DA">
        <w:rPr>
          <w:szCs w:val="22"/>
        </w:rPr>
        <w:t>November 25</w:t>
      </w:r>
      <w:r w:rsidRPr="00516D94" w:rsidR="00404FAA">
        <w:rPr>
          <w:szCs w:val="22"/>
        </w:rPr>
        <w:t>th</w:t>
      </w:r>
      <w:r w:rsidRPr="00516D94" w:rsidR="00531394">
        <w:rPr>
          <w:szCs w:val="22"/>
        </w:rPr>
        <w:t xml:space="preserve"> </w:t>
      </w:r>
      <w:r w:rsidRPr="00516D94" w:rsidR="00425E0E">
        <w:rPr>
          <w:szCs w:val="22"/>
        </w:rPr>
        <w:t>is the</w:t>
      </w:r>
      <w:r w:rsidRPr="00516D94" w:rsidR="00531394">
        <w:rPr>
          <w:szCs w:val="22"/>
        </w:rPr>
        <w:t xml:space="preserve"> Thanksgiving </w:t>
      </w:r>
      <w:r w:rsidRPr="00516D94" w:rsidR="00425E0E">
        <w:rPr>
          <w:szCs w:val="22"/>
        </w:rPr>
        <w:t xml:space="preserve">holiday </w:t>
      </w:r>
      <w:r w:rsidRPr="00516D94" w:rsidR="00531394">
        <w:rPr>
          <w:szCs w:val="22"/>
        </w:rPr>
        <w:t xml:space="preserve">and that </w:t>
      </w:r>
      <w:r w:rsidRPr="00516D94" w:rsidR="00BA1399">
        <w:rPr>
          <w:szCs w:val="22"/>
        </w:rPr>
        <w:t xml:space="preserve">that the </w:t>
      </w:r>
      <w:r w:rsidRPr="00516D94" w:rsidR="00531394">
        <w:rPr>
          <w:szCs w:val="22"/>
        </w:rPr>
        <w:t>Christmas and New Year’s holidays</w:t>
      </w:r>
      <w:r w:rsidRPr="00516D94" w:rsidR="00BA1399">
        <w:rPr>
          <w:szCs w:val="22"/>
        </w:rPr>
        <w:t xml:space="preserve"> </w:t>
      </w:r>
      <w:r w:rsidRPr="00516D94" w:rsidR="00D75A27">
        <w:rPr>
          <w:szCs w:val="22"/>
        </w:rPr>
        <w:t>are</w:t>
      </w:r>
      <w:r w:rsidRPr="00516D94" w:rsidR="00BA1399">
        <w:rPr>
          <w:szCs w:val="22"/>
        </w:rPr>
        <w:t xml:space="preserve"> on </w:t>
      </w:r>
      <w:r w:rsidRPr="00516D94" w:rsidR="00FF3E2D">
        <w:rPr>
          <w:szCs w:val="22"/>
        </w:rPr>
        <w:t>December</w:t>
      </w:r>
      <w:r w:rsidRPr="00516D94" w:rsidR="00BA1399">
        <w:rPr>
          <w:szCs w:val="22"/>
        </w:rPr>
        <w:t xml:space="preserve"> 25</w:t>
      </w:r>
      <w:r w:rsidRPr="00516D94" w:rsidR="00425E0E">
        <w:rPr>
          <w:szCs w:val="22"/>
        </w:rPr>
        <w:t>th</w:t>
      </w:r>
      <w:r w:rsidRPr="00516D94" w:rsidR="00BA1399">
        <w:rPr>
          <w:szCs w:val="22"/>
        </w:rPr>
        <w:t xml:space="preserve"> and January 1</w:t>
      </w:r>
      <w:r w:rsidRPr="00516D94" w:rsidR="00277E0E">
        <w:rPr>
          <w:szCs w:val="22"/>
        </w:rPr>
        <w:t>st</w:t>
      </w:r>
      <w:r w:rsidRPr="00516D94" w:rsidR="00D75A27">
        <w:rPr>
          <w:szCs w:val="22"/>
        </w:rPr>
        <w:t>, respectively,</w:t>
      </w:r>
      <w:r w:rsidRPr="00516D94" w:rsidR="00277E0E">
        <w:rPr>
          <w:szCs w:val="22"/>
        </w:rPr>
        <w:t xml:space="preserve"> and that </w:t>
      </w:r>
      <w:r w:rsidRPr="00516D94" w:rsidR="005C178E">
        <w:rPr>
          <w:szCs w:val="22"/>
        </w:rPr>
        <w:t>“</w:t>
      </w:r>
      <w:r w:rsidRPr="00516D94" w:rsidR="00277E0E">
        <w:rPr>
          <w:szCs w:val="22"/>
        </w:rPr>
        <w:t>this is</w:t>
      </w:r>
      <w:r w:rsidRPr="00516D94" w:rsidR="00BA1399">
        <w:rPr>
          <w:szCs w:val="22"/>
        </w:rPr>
        <w:t xml:space="preserve"> </w:t>
      </w:r>
      <w:r w:rsidRPr="00516D94" w:rsidR="00AD4CFC">
        <w:rPr>
          <w:szCs w:val="22"/>
        </w:rPr>
        <w:t>a period when many organizations are closed and vacations are taken.</w:t>
      </w:r>
      <w:r w:rsidRPr="00516D94" w:rsidR="00BB0351">
        <w:rPr>
          <w:szCs w:val="22"/>
        </w:rPr>
        <w:t>”</w:t>
      </w:r>
      <w:r>
        <w:rPr>
          <w:rStyle w:val="FootnoteReference"/>
          <w:sz w:val="22"/>
          <w:szCs w:val="22"/>
        </w:rPr>
        <w:footnoteReference w:id="9"/>
      </w:r>
      <w:r w:rsidRPr="00516D94" w:rsidR="00BB0351">
        <w:rPr>
          <w:szCs w:val="22"/>
        </w:rPr>
        <w:t xml:space="preserve">  EEI </w:t>
      </w:r>
      <w:r w:rsidRPr="00516D94" w:rsidR="005C178E">
        <w:rPr>
          <w:szCs w:val="22"/>
        </w:rPr>
        <w:t>states</w:t>
      </w:r>
      <w:r w:rsidRPr="00516D94" w:rsidR="00BB0351">
        <w:rPr>
          <w:szCs w:val="22"/>
        </w:rPr>
        <w:t xml:space="preserve"> </w:t>
      </w:r>
      <w:r w:rsidRPr="00516D94" w:rsidR="00FF3E2D">
        <w:rPr>
          <w:szCs w:val="22"/>
        </w:rPr>
        <w:t>that, without an extension, it would be challenging to “build industry consensus before submitting comments.”</w:t>
      </w:r>
      <w:r>
        <w:rPr>
          <w:rStyle w:val="FootnoteReference"/>
          <w:sz w:val="22"/>
          <w:szCs w:val="22"/>
        </w:rPr>
        <w:footnoteReference w:id="10"/>
      </w:r>
      <w:r w:rsidRPr="00516D94" w:rsidR="00E22D54">
        <w:rPr>
          <w:szCs w:val="22"/>
        </w:rPr>
        <w:t xml:space="preserve">  </w:t>
      </w:r>
      <w:r w:rsidRPr="00516D94" w:rsidR="00463E41">
        <w:rPr>
          <w:szCs w:val="22"/>
        </w:rPr>
        <w:t xml:space="preserve">EEI </w:t>
      </w:r>
      <w:r w:rsidRPr="00516D94" w:rsidR="00A92B2B">
        <w:rPr>
          <w:szCs w:val="22"/>
        </w:rPr>
        <w:t>contends</w:t>
      </w:r>
      <w:r w:rsidRPr="00516D94" w:rsidR="006D6672">
        <w:rPr>
          <w:szCs w:val="22"/>
        </w:rPr>
        <w:t xml:space="preserve"> </w:t>
      </w:r>
      <w:r w:rsidRPr="00516D94" w:rsidR="00A34694">
        <w:rPr>
          <w:szCs w:val="22"/>
        </w:rPr>
        <w:t xml:space="preserve">that </w:t>
      </w:r>
      <w:r w:rsidRPr="00516D94" w:rsidR="00A92B2B">
        <w:rPr>
          <w:szCs w:val="22"/>
        </w:rPr>
        <w:t>an</w:t>
      </w:r>
      <w:r w:rsidRPr="00516D94" w:rsidR="00FF3E2D">
        <w:rPr>
          <w:szCs w:val="22"/>
        </w:rPr>
        <w:t xml:space="preserve"> </w:t>
      </w:r>
      <w:r w:rsidRPr="00516D94" w:rsidR="00833EC9">
        <w:rPr>
          <w:szCs w:val="22"/>
        </w:rPr>
        <w:t xml:space="preserve">extension of </w:t>
      </w:r>
      <w:r w:rsidRPr="00516D94" w:rsidR="00FF3E2D">
        <w:rPr>
          <w:szCs w:val="22"/>
        </w:rPr>
        <w:t>10</w:t>
      </w:r>
      <w:r w:rsidRPr="00516D94" w:rsidR="00833EC9">
        <w:rPr>
          <w:szCs w:val="22"/>
        </w:rPr>
        <w:t xml:space="preserve"> days will not result in </w:t>
      </w:r>
      <w:r w:rsidRPr="00516D94" w:rsidR="00E22D54">
        <w:rPr>
          <w:szCs w:val="22"/>
        </w:rPr>
        <w:t>any meaningful delay in the proceeding and will result in more focused and better reasoned comments</w:t>
      </w:r>
      <w:r w:rsidRPr="00516D94" w:rsidR="00833EC9">
        <w:rPr>
          <w:szCs w:val="22"/>
        </w:rPr>
        <w:t>.</w:t>
      </w:r>
      <w:r>
        <w:rPr>
          <w:rStyle w:val="FootnoteReference"/>
          <w:sz w:val="22"/>
          <w:szCs w:val="22"/>
        </w:rPr>
        <w:footnoteReference w:id="11"/>
      </w:r>
      <w:r w:rsidRPr="00516D94" w:rsidR="00833EC9">
        <w:rPr>
          <w:szCs w:val="22"/>
        </w:rPr>
        <w:t xml:space="preserve">  </w:t>
      </w:r>
      <w:r w:rsidRPr="00516D94" w:rsidR="00C75C9E">
        <w:rPr>
          <w:szCs w:val="22"/>
        </w:rPr>
        <w:t xml:space="preserve">EEI </w:t>
      </w:r>
      <w:r w:rsidRPr="00516D94" w:rsidR="003F57A1">
        <w:rPr>
          <w:szCs w:val="22"/>
        </w:rPr>
        <w:t>represents</w:t>
      </w:r>
      <w:r w:rsidRPr="00516D94" w:rsidR="00C75C9E">
        <w:rPr>
          <w:szCs w:val="22"/>
        </w:rPr>
        <w:t xml:space="preserve"> that CTIA, NCTA - The Internet and Television Association, and </w:t>
      </w:r>
      <w:r w:rsidRPr="00516D94" w:rsidR="00C75C9E">
        <w:rPr>
          <w:szCs w:val="22"/>
        </w:rPr>
        <w:t>USTelecom</w:t>
      </w:r>
      <w:r w:rsidRPr="00516D94" w:rsidR="00C75C9E">
        <w:rPr>
          <w:szCs w:val="22"/>
        </w:rPr>
        <w:t xml:space="preserve"> – The Broadband Association support the Motion and that the National Association of Broadcasters has no objections to it.</w:t>
      </w:r>
      <w:r>
        <w:rPr>
          <w:rStyle w:val="FootnoteReference"/>
          <w:sz w:val="22"/>
          <w:szCs w:val="22"/>
        </w:rPr>
        <w:footnoteReference w:id="12"/>
      </w:r>
      <w:r w:rsidRPr="00516D94" w:rsidR="00C75C9E">
        <w:rPr>
          <w:szCs w:val="22"/>
        </w:rPr>
        <w:t xml:space="preserve">  </w:t>
      </w:r>
      <w:r w:rsidRPr="00516D94" w:rsidR="004F4DFA">
        <w:rPr>
          <w:szCs w:val="22"/>
        </w:rPr>
        <w:t>No opposition</w:t>
      </w:r>
      <w:r w:rsidRPr="00516D94" w:rsidR="00055FCA">
        <w:rPr>
          <w:szCs w:val="22"/>
        </w:rPr>
        <w:t xml:space="preserve"> to the Motion</w:t>
      </w:r>
      <w:r w:rsidRPr="00516D94" w:rsidR="004F4DFA">
        <w:rPr>
          <w:szCs w:val="22"/>
        </w:rPr>
        <w:t xml:space="preserve"> has been filed.</w:t>
      </w:r>
    </w:p>
    <w:p w:rsidR="00417635" w:rsidRPr="00516D94" w:rsidP="00252C97" w14:paraId="61FD54B0" w14:textId="44117595">
      <w:pPr>
        <w:pStyle w:val="ListParagraph"/>
        <w:numPr>
          <w:ilvl w:val="0"/>
          <w:numId w:val="8"/>
        </w:numPr>
        <w:spacing w:after="240"/>
        <w:ind w:left="0" w:firstLine="720"/>
        <w:contextualSpacing w:val="0"/>
        <w:rPr>
          <w:szCs w:val="22"/>
        </w:rPr>
      </w:pPr>
      <w:r w:rsidRPr="00516D94">
        <w:rPr>
          <w:szCs w:val="22"/>
        </w:rPr>
        <w:t xml:space="preserve">We grant a </w:t>
      </w:r>
      <w:r w:rsidRPr="00516D94" w:rsidR="00221CA5">
        <w:rPr>
          <w:szCs w:val="22"/>
        </w:rPr>
        <w:t>10</w:t>
      </w:r>
      <w:r w:rsidRPr="00516D94" w:rsidR="00153A26">
        <w:rPr>
          <w:szCs w:val="22"/>
        </w:rPr>
        <w:t>-</w:t>
      </w:r>
      <w:r w:rsidRPr="00516D94" w:rsidR="00114E0D">
        <w:rPr>
          <w:szCs w:val="22"/>
        </w:rPr>
        <w:t>day</w:t>
      </w:r>
      <w:r w:rsidRPr="00516D94">
        <w:rPr>
          <w:szCs w:val="22"/>
        </w:rPr>
        <w:t xml:space="preserve"> extension of </w:t>
      </w:r>
      <w:r w:rsidRPr="00516D94" w:rsidR="003E2E2B">
        <w:rPr>
          <w:szCs w:val="22"/>
        </w:rPr>
        <w:t>time</w:t>
      </w:r>
      <w:r w:rsidRPr="00516D94" w:rsidR="00606919">
        <w:rPr>
          <w:szCs w:val="22"/>
        </w:rPr>
        <w:t xml:space="preserve"> to file </w:t>
      </w:r>
      <w:r w:rsidRPr="00516D94" w:rsidR="00221CA5">
        <w:rPr>
          <w:szCs w:val="22"/>
        </w:rPr>
        <w:t xml:space="preserve">comments and </w:t>
      </w:r>
      <w:r w:rsidRPr="00516D94" w:rsidR="00606919">
        <w:rPr>
          <w:szCs w:val="22"/>
        </w:rPr>
        <w:t>reply comments in th</w:t>
      </w:r>
      <w:r w:rsidRPr="00516D94" w:rsidR="007D5E93">
        <w:rPr>
          <w:szCs w:val="22"/>
        </w:rPr>
        <w:t>is</w:t>
      </w:r>
      <w:r w:rsidRPr="00516D94" w:rsidR="00606919">
        <w:rPr>
          <w:szCs w:val="22"/>
        </w:rPr>
        <w:t xml:space="preserve"> proceeding</w:t>
      </w:r>
      <w:r w:rsidRPr="00516D94" w:rsidR="00927CAB">
        <w:rPr>
          <w:szCs w:val="22"/>
        </w:rPr>
        <w:t>.</w:t>
      </w:r>
      <w:r w:rsidRPr="00516D94">
        <w:rPr>
          <w:szCs w:val="22"/>
        </w:rPr>
        <w:t xml:space="preserve">  </w:t>
      </w:r>
      <w:r w:rsidRPr="00516D94" w:rsidR="00A03B4D">
        <w:rPr>
          <w:szCs w:val="22"/>
        </w:rPr>
        <w:t xml:space="preserve">As set forth in </w:t>
      </w:r>
      <w:r w:rsidRPr="00516D94" w:rsidR="00E24AE5">
        <w:rPr>
          <w:szCs w:val="22"/>
        </w:rPr>
        <w:t>s</w:t>
      </w:r>
      <w:r w:rsidRPr="00516D94" w:rsidR="00A03B4D">
        <w:rPr>
          <w:szCs w:val="22"/>
        </w:rPr>
        <w:t>ection 1.46 of the Commission’s rules,</w:t>
      </w:r>
      <w:r>
        <w:rPr>
          <w:rStyle w:val="FootnoteReference"/>
          <w:sz w:val="22"/>
          <w:szCs w:val="22"/>
        </w:rPr>
        <w:footnoteReference w:id="13"/>
      </w:r>
      <w:r w:rsidRPr="00516D94" w:rsidR="00A03B4D">
        <w:rPr>
          <w:szCs w:val="22"/>
        </w:rPr>
        <w:t xml:space="preserve"> the Commission does not routinely grant extensions of time for filing comments.</w:t>
      </w:r>
      <w:r w:rsidRPr="00516D94" w:rsidR="001973B7">
        <w:rPr>
          <w:szCs w:val="22"/>
        </w:rPr>
        <w:t xml:space="preserve">  </w:t>
      </w:r>
      <w:r w:rsidRPr="00516D94" w:rsidR="00777282">
        <w:rPr>
          <w:szCs w:val="22"/>
        </w:rPr>
        <w:t xml:space="preserve">In this case, however, </w:t>
      </w:r>
      <w:r w:rsidRPr="00516D94" w:rsidR="00833EC9">
        <w:rPr>
          <w:szCs w:val="22"/>
        </w:rPr>
        <w:t>the extension is</w:t>
      </w:r>
      <w:r w:rsidRPr="00516D94" w:rsidR="003E310A">
        <w:rPr>
          <w:szCs w:val="22"/>
        </w:rPr>
        <w:t xml:space="preserve"> unopposed,</w:t>
      </w:r>
      <w:r w:rsidRPr="00516D94" w:rsidR="00833EC9">
        <w:rPr>
          <w:szCs w:val="22"/>
        </w:rPr>
        <w:t xml:space="preserve"> limited to only</w:t>
      </w:r>
      <w:r w:rsidRPr="00516D94" w:rsidR="003E310A">
        <w:rPr>
          <w:szCs w:val="22"/>
        </w:rPr>
        <w:t xml:space="preserve"> ten</w:t>
      </w:r>
      <w:r w:rsidRPr="00516D94" w:rsidR="00833EC9">
        <w:rPr>
          <w:szCs w:val="22"/>
        </w:rPr>
        <w:t xml:space="preserve"> days</w:t>
      </w:r>
      <w:r w:rsidRPr="00516D94" w:rsidR="003E310A">
        <w:rPr>
          <w:szCs w:val="22"/>
        </w:rPr>
        <w:t>,</w:t>
      </w:r>
      <w:r w:rsidRPr="00516D94" w:rsidR="00833EC9">
        <w:rPr>
          <w:szCs w:val="22"/>
        </w:rPr>
        <w:t xml:space="preserve"> and will allow </w:t>
      </w:r>
      <w:r w:rsidRPr="00516D94" w:rsidR="007E334D">
        <w:rPr>
          <w:szCs w:val="22"/>
        </w:rPr>
        <w:t xml:space="preserve">commenters sufficient time to file meaningful </w:t>
      </w:r>
      <w:r w:rsidRPr="00516D94" w:rsidR="003E310A">
        <w:rPr>
          <w:szCs w:val="22"/>
        </w:rPr>
        <w:t xml:space="preserve">comment and </w:t>
      </w:r>
      <w:r w:rsidRPr="00516D94" w:rsidR="007E334D">
        <w:rPr>
          <w:szCs w:val="22"/>
        </w:rPr>
        <w:t>reply comments given the intervening holidays</w:t>
      </w:r>
      <w:r w:rsidRPr="00516D94" w:rsidR="00911EF5">
        <w:rPr>
          <w:szCs w:val="22"/>
        </w:rPr>
        <w:t xml:space="preserve">.  </w:t>
      </w:r>
      <w:r w:rsidRPr="00516D94" w:rsidR="0050064E">
        <w:rPr>
          <w:szCs w:val="22"/>
        </w:rPr>
        <w:t xml:space="preserve">We therefore grant </w:t>
      </w:r>
      <w:r w:rsidRPr="00516D94" w:rsidR="007D5E93">
        <w:rPr>
          <w:szCs w:val="22"/>
        </w:rPr>
        <w:t xml:space="preserve">EEI’s </w:t>
      </w:r>
      <w:r w:rsidRPr="00516D94" w:rsidR="007E334D">
        <w:rPr>
          <w:szCs w:val="22"/>
        </w:rPr>
        <w:t xml:space="preserve">unopposed </w:t>
      </w:r>
      <w:r w:rsidRPr="00516D94" w:rsidR="007D5E93">
        <w:rPr>
          <w:szCs w:val="22"/>
        </w:rPr>
        <w:t xml:space="preserve">Motion </w:t>
      </w:r>
      <w:r w:rsidRPr="00516D94" w:rsidR="0050064E">
        <w:rPr>
          <w:szCs w:val="22"/>
        </w:rPr>
        <w:t xml:space="preserve">and extend the </w:t>
      </w:r>
      <w:r w:rsidRPr="00516D94" w:rsidR="003E310A">
        <w:rPr>
          <w:szCs w:val="22"/>
        </w:rPr>
        <w:t xml:space="preserve">comment and </w:t>
      </w:r>
      <w:r w:rsidRPr="00516D94" w:rsidR="0050064E">
        <w:rPr>
          <w:szCs w:val="22"/>
        </w:rPr>
        <w:t xml:space="preserve">reply comment </w:t>
      </w:r>
      <w:r w:rsidRPr="00516D94" w:rsidR="00A21BEE">
        <w:rPr>
          <w:szCs w:val="22"/>
        </w:rPr>
        <w:t>d</w:t>
      </w:r>
      <w:r w:rsidRPr="00516D94" w:rsidR="007D5E93">
        <w:rPr>
          <w:szCs w:val="22"/>
        </w:rPr>
        <w:t>eadline</w:t>
      </w:r>
      <w:r w:rsidRPr="00516D94" w:rsidR="003E310A">
        <w:rPr>
          <w:szCs w:val="22"/>
        </w:rPr>
        <w:t>s</w:t>
      </w:r>
      <w:r w:rsidRPr="00516D94" w:rsidR="007D5E93">
        <w:rPr>
          <w:szCs w:val="22"/>
        </w:rPr>
        <w:t xml:space="preserve"> </w:t>
      </w:r>
      <w:r w:rsidRPr="00516D94" w:rsidR="0050064E">
        <w:rPr>
          <w:szCs w:val="22"/>
        </w:rPr>
        <w:t>to</w:t>
      </w:r>
      <w:r w:rsidRPr="00516D94" w:rsidR="00253161">
        <w:rPr>
          <w:szCs w:val="22"/>
        </w:rPr>
        <w:t xml:space="preserve"> </w:t>
      </w:r>
      <w:r w:rsidRPr="00516D94" w:rsidR="003E310A">
        <w:rPr>
          <w:szCs w:val="22"/>
        </w:rPr>
        <w:t>December 16, 2021 and January 14, 2022, respectively.</w:t>
      </w:r>
    </w:p>
    <w:p w:rsidR="00354E9D" w:rsidRPr="00516D94" w:rsidP="00354E9D" w14:paraId="4EA6BEFA" w14:textId="4DAD9BD1">
      <w:pPr>
        <w:pStyle w:val="ListParagraph"/>
        <w:numPr>
          <w:ilvl w:val="0"/>
          <w:numId w:val="8"/>
        </w:numPr>
        <w:spacing w:after="240"/>
        <w:ind w:left="0" w:firstLine="720"/>
        <w:contextualSpacing w:val="0"/>
        <w:rPr>
          <w:szCs w:val="22"/>
        </w:rPr>
      </w:pPr>
      <w:r w:rsidRPr="00516D94">
        <w:rPr>
          <w:szCs w:val="22"/>
        </w:rPr>
        <w:t xml:space="preserve">Accordingly, </w:t>
      </w:r>
      <w:r w:rsidRPr="00516D94">
        <w:rPr>
          <w:b/>
          <w:bCs/>
          <w:szCs w:val="22"/>
        </w:rPr>
        <w:t>IT IS ORDERED</w:t>
      </w:r>
      <w:r w:rsidRPr="00516D94">
        <w:rPr>
          <w:szCs w:val="22"/>
        </w:rPr>
        <w:t xml:space="preserve"> that, pursuant to </w:t>
      </w:r>
      <w:r w:rsidRPr="00516D94" w:rsidR="00E24AE5">
        <w:rPr>
          <w:szCs w:val="22"/>
        </w:rPr>
        <w:t>s</w:t>
      </w:r>
      <w:r w:rsidRPr="00516D94" w:rsidR="002B4031">
        <w:rPr>
          <w:szCs w:val="22"/>
        </w:rPr>
        <w:t>ection 4(</w:t>
      </w:r>
      <w:r w:rsidRPr="00516D94" w:rsidR="002B4031">
        <w:rPr>
          <w:szCs w:val="22"/>
        </w:rPr>
        <w:t>i</w:t>
      </w:r>
      <w:r w:rsidRPr="00516D94" w:rsidR="002B4031">
        <w:rPr>
          <w:szCs w:val="22"/>
        </w:rPr>
        <w:t>)</w:t>
      </w:r>
      <w:r w:rsidRPr="00516D94" w:rsidR="004C07EF">
        <w:rPr>
          <w:szCs w:val="22"/>
        </w:rPr>
        <w:t>-(j)</w:t>
      </w:r>
      <w:r w:rsidRPr="00516D94" w:rsidR="002B4031">
        <w:rPr>
          <w:szCs w:val="22"/>
        </w:rPr>
        <w:t xml:space="preserve"> of the Communications Act of 1934, as amended, 47 U.S.C. § 154(</w:t>
      </w:r>
      <w:r w:rsidRPr="00516D94" w:rsidR="002B4031">
        <w:rPr>
          <w:szCs w:val="22"/>
        </w:rPr>
        <w:t>i</w:t>
      </w:r>
      <w:r w:rsidRPr="00516D94" w:rsidR="002B4031">
        <w:rPr>
          <w:szCs w:val="22"/>
        </w:rPr>
        <w:t>)</w:t>
      </w:r>
      <w:r w:rsidRPr="00516D94" w:rsidR="004C07EF">
        <w:rPr>
          <w:szCs w:val="22"/>
        </w:rPr>
        <w:t>-(j)</w:t>
      </w:r>
      <w:r w:rsidRPr="00516D94" w:rsidR="002B4031">
        <w:rPr>
          <w:szCs w:val="22"/>
        </w:rPr>
        <w:t xml:space="preserve">, and </w:t>
      </w:r>
      <w:r w:rsidRPr="00516D94" w:rsidR="00E24AE5">
        <w:rPr>
          <w:szCs w:val="22"/>
        </w:rPr>
        <w:t>s</w:t>
      </w:r>
      <w:r w:rsidRPr="00516D94" w:rsidR="002B4031">
        <w:rPr>
          <w:szCs w:val="22"/>
        </w:rPr>
        <w:t xml:space="preserve">ections </w:t>
      </w:r>
      <w:r w:rsidRPr="00516D94" w:rsidR="007E334D">
        <w:rPr>
          <w:szCs w:val="22"/>
        </w:rPr>
        <w:t>0.204, 0.</w:t>
      </w:r>
      <w:r w:rsidRPr="00516D94" w:rsidR="000C4B1A">
        <w:rPr>
          <w:szCs w:val="22"/>
        </w:rPr>
        <w:t>392</w:t>
      </w:r>
      <w:r w:rsidRPr="00516D94" w:rsidR="007E334D">
        <w:rPr>
          <w:szCs w:val="22"/>
        </w:rPr>
        <w:t>, and 1.46 of the Commission’s rules, 47 CFR §§ 0.204, 0.</w:t>
      </w:r>
      <w:r w:rsidRPr="00516D94" w:rsidR="000C4B1A">
        <w:rPr>
          <w:szCs w:val="22"/>
        </w:rPr>
        <w:t>392</w:t>
      </w:r>
      <w:r w:rsidRPr="00516D94" w:rsidR="007E334D">
        <w:rPr>
          <w:szCs w:val="22"/>
        </w:rPr>
        <w:t>, 1.46,</w:t>
      </w:r>
      <w:r w:rsidRPr="00516D94" w:rsidR="002B4031">
        <w:rPr>
          <w:szCs w:val="22"/>
        </w:rPr>
        <w:t xml:space="preserve"> the Motion for Extension of Time filed by </w:t>
      </w:r>
      <w:r w:rsidRPr="00516D94" w:rsidR="007D5E93">
        <w:rPr>
          <w:szCs w:val="22"/>
        </w:rPr>
        <w:t xml:space="preserve">EEI </w:t>
      </w:r>
      <w:r w:rsidRPr="00516D94" w:rsidR="002B4031">
        <w:rPr>
          <w:szCs w:val="22"/>
        </w:rPr>
        <w:t xml:space="preserve">is </w:t>
      </w:r>
      <w:r w:rsidRPr="00516D94" w:rsidR="002B4031">
        <w:rPr>
          <w:b/>
          <w:bCs/>
          <w:szCs w:val="22"/>
        </w:rPr>
        <w:t>GRANTED</w:t>
      </w:r>
      <w:r w:rsidRPr="00516D94" w:rsidR="007D5E93">
        <w:rPr>
          <w:b/>
          <w:bCs/>
          <w:szCs w:val="22"/>
        </w:rPr>
        <w:t>.</w:t>
      </w:r>
    </w:p>
    <w:p w:rsidR="00320042" w:rsidRPr="00516D94" w:rsidP="00354E9D" w14:paraId="6DF94AE5" w14:textId="692D474E">
      <w:pPr>
        <w:pStyle w:val="ListParagraph"/>
        <w:numPr>
          <w:ilvl w:val="0"/>
          <w:numId w:val="8"/>
        </w:numPr>
        <w:spacing w:after="240"/>
        <w:ind w:left="0" w:firstLine="720"/>
        <w:contextualSpacing w:val="0"/>
        <w:rPr>
          <w:szCs w:val="22"/>
        </w:rPr>
      </w:pPr>
      <w:r w:rsidRPr="00516D94">
        <w:rPr>
          <w:b/>
          <w:bCs/>
          <w:szCs w:val="22"/>
        </w:rPr>
        <w:t>IT IS FURTHER ORDERED</w:t>
      </w:r>
      <w:r w:rsidRPr="00516D94">
        <w:rPr>
          <w:szCs w:val="22"/>
        </w:rPr>
        <w:t xml:space="preserve"> that </w:t>
      </w:r>
      <w:r w:rsidRPr="00516D94" w:rsidR="3DD12C09">
        <w:rPr>
          <w:szCs w:val="22"/>
        </w:rPr>
        <w:t xml:space="preserve">the </w:t>
      </w:r>
      <w:r w:rsidRPr="00516D94" w:rsidR="117798B1">
        <w:rPr>
          <w:szCs w:val="22"/>
        </w:rPr>
        <w:t>date</w:t>
      </w:r>
      <w:r w:rsidRPr="00516D94" w:rsidR="3DD12C09">
        <w:rPr>
          <w:szCs w:val="22"/>
        </w:rPr>
        <w:t xml:space="preserve"> to file </w:t>
      </w:r>
      <w:r w:rsidRPr="00516D94" w:rsidR="000C49B9">
        <w:rPr>
          <w:szCs w:val="22"/>
        </w:rPr>
        <w:t xml:space="preserve">comments and </w:t>
      </w:r>
      <w:r w:rsidRPr="00516D94" w:rsidR="3DD12C09">
        <w:rPr>
          <w:szCs w:val="22"/>
        </w:rPr>
        <w:t xml:space="preserve">reply comments in </w:t>
      </w:r>
      <w:r w:rsidRPr="00516D94" w:rsidR="007E334D">
        <w:rPr>
          <w:szCs w:val="22"/>
        </w:rPr>
        <w:t xml:space="preserve">response to the </w:t>
      </w:r>
      <w:r w:rsidRPr="00516D94" w:rsidR="000C49B9">
        <w:rPr>
          <w:szCs w:val="22"/>
        </w:rPr>
        <w:t>NPRM</w:t>
      </w:r>
      <w:r w:rsidRPr="00516D94" w:rsidR="007E334D">
        <w:rPr>
          <w:i/>
          <w:iCs/>
          <w:szCs w:val="22"/>
        </w:rPr>
        <w:t xml:space="preserve"> </w:t>
      </w:r>
      <w:r w:rsidRPr="00516D94" w:rsidR="3DD12C09">
        <w:rPr>
          <w:b/>
          <w:bCs/>
          <w:szCs w:val="22"/>
        </w:rPr>
        <w:t>ARE EXTENDED</w:t>
      </w:r>
      <w:r w:rsidRPr="00516D94" w:rsidR="3DD12C09">
        <w:rPr>
          <w:szCs w:val="22"/>
        </w:rPr>
        <w:t xml:space="preserve"> to </w:t>
      </w:r>
      <w:r w:rsidRPr="00516D94" w:rsidR="000C49B9">
        <w:rPr>
          <w:szCs w:val="22"/>
        </w:rPr>
        <w:t>December 16, 2021 and January 14, 2022, respectively.</w:t>
      </w: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0"/>
        <w:gridCol w:w="5040"/>
      </w:tblGrid>
      <w:tr w14:paraId="766470DB" w14:textId="77777777" w:rsidTr="0062065B">
        <w:tblPrEx>
          <w:tblW w:w="963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590" w:type="dxa"/>
          </w:tcPr>
          <w:p w:rsidR="00320042" w:rsidRPr="00516D94" w:rsidP="00320042" w14:paraId="0FBB1760" w14:textId="77777777">
            <w:pPr>
              <w:rPr>
                <w:szCs w:val="22"/>
              </w:rPr>
            </w:pPr>
          </w:p>
        </w:tc>
        <w:tc>
          <w:tcPr>
            <w:tcW w:w="5040" w:type="dxa"/>
          </w:tcPr>
          <w:p w:rsidR="00320042" w:rsidRPr="00516D94" w:rsidP="00320042" w14:paraId="177C6BCF" w14:textId="77777777">
            <w:pPr>
              <w:rPr>
                <w:szCs w:val="22"/>
              </w:rPr>
            </w:pPr>
            <w:r w:rsidRPr="00516D94">
              <w:rPr>
                <w:szCs w:val="22"/>
              </w:rPr>
              <w:t>FEDERAL COMMUNICATIONS COMMISSION</w:t>
            </w:r>
          </w:p>
          <w:p w:rsidR="00320042" w:rsidRPr="00516D94" w:rsidP="00320042" w14:paraId="1B40A4F1" w14:textId="77777777">
            <w:pPr>
              <w:rPr>
                <w:szCs w:val="22"/>
              </w:rPr>
            </w:pPr>
          </w:p>
          <w:p w:rsidR="00320042" w:rsidRPr="00516D94" w:rsidP="00320042" w14:paraId="1A0462A2" w14:textId="77777777">
            <w:pPr>
              <w:rPr>
                <w:szCs w:val="22"/>
              </w:rPr>
            </w:pPr>
          </w:p>
          <w:p w:rsidR="00320042" w:rsidRPr="00516D94" w:rsidP="00320042" w14:paraId="3548935B" w14:textId="77777777">
            <w:pPr>
              <w:rPr>
                <w:szCs w:val="22"/>
              </w:rPr>
            </w:pPr>
          </w:p>
          <w:p w:rsidR="00215D1A" w:rsidRPr="00516D94" w:rsidP="00320042" w14:paraId="3C49CDDF" w14:textId="77777777">
            <w:pPr>
              <w:rPr>
                <w:szCs w:val="22"/>
              </w:rPr>
            </w:pPr>
          </w:p>
          <w:p w:rsidR="003D59C2" w:rsidRPr="00516D94" w:rsidP="00320042" w14:paraId="766BA63F" w14:textId="17134BFE">
            <w:pPr>
              <w:rPr>
                <w:szCs w:val="22"/>
              </w:rPr>
            </w:pPr>
            <w:r w:rsidRPr="00516D94">
              <w:rPr>
                <w:szCs w:val="22"/>
              </w:rPr>
              <w:t>Lisa M. Fowlkes</w:t>
            </w:r>
          </w:p>
          <w:p w:rsidR="007E334D" w:rsidRPr="00516D94" w:rsidP="007D5E93" w14:paraId="1AD5AE9B" w14:textId="77777777">
            <w:pPr>
              <w:rPr>
                <w:szCs w:val="22"/>
              </w:rPr>
            </w:pPr>
            <w:r w:rsidRPr="00516D94">
              <w:rPr>
                <w:szCs w:val="22"/>
              </w:rPr>
              <w:t>Ch</w:t>
            </w:r>
            <w:r w:rsidRPr="00516D94" w:rsidR="007D5E93">
              <w:rPr>
                <w:szCs w:val="22"/>
              </w:rPr>
              <w:t>ief</w:t>
            </w:r>
          </w:p>
          <w:p w:rsidR="00046763" w:rsidRPr="00516D94" w:rsidP="007D5E93" w14:paraId="1298438F" w14:textId="51116B80">
            <w:pPr>
              <w:rPr>
                <w:szCs w:val="22"/>
              </w:rPr>
            </w:pPr>
            <w:r w:rsidRPr="00516D94">
              <w:rPr>
                <w:szCs w:val="22"/>
              </w:rPr>
              <w:t>Public Safety and Homeland Security Bureau</w:t>
            </w:r>
          </w:p>
        </w:tc>
      </w:tr>
    </w:tbl>
    <w:p w:rsidR="00320042" w:rsidRPr="00516D94" w:rsidP="00320042" w14:paraId="064A6C56" w14:textId="77777777">
      <w:pPr>
        <w:spacing w:after="240"/>
        <w:rPr>
          <w:szCs w:val="22"/>
        </w:rPr>
      </w:pPr>
    </w:p>
    <w:p w:rsidR="00320042" w:rsidRPr="00516D94" w:rsidP="00320042" w14:paraId="702ACC92" w14:textId="77777777">
      <w:pPr>
        <w:spacing w:after="240"/>
        <w:rPr>
          <w:szCs w:val="22"/>
        </w:rPr>
      </w:pPr>
    </w:p>
    <w:sectPr w:rsidSect="0055614C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519F5788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68EDE81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7308" w14:paraId="6935B950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25FB5" w14:paraId="4D133317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5BA84DED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B59A7" w14:paraId="2B3D1EBA" w14:textId="77777777">
      <w:r>
        <w:separator/>
      </w:r>
    </w:p>
  </w:footnote>
  <w:footnote w:type="continuationSeparator" w:id="1">
    <w:p w:rsidR="00DB59A7" w:rsidP="00C721AC" w14:paraId="74B4BC87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DB59A7" w:rsidP="00C721AC" w14:paraId="35937C31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1D4652CE" w:rsidRPr="00516D94" w:rsidP="1D4652CE" w14:paraId="0B097EAE" w14:textId="26CF72DF">
      <w:pPr>
        <w:pStyle w:val="FootnoteText"/>
      </w:pPr>
      <w:r w:rsidRPr="00516D94">
        <w:rPr>
          <w:rStyle w:val="FootnoteReference"/>
        </w:rPr>
        <w:footnoteRef/>
      </w:r>
      <w:r w:rsidRPr="00516D94">
        <w:t xml:space="preserve"> Motion</w:t>
      </w:r>
      <w:r w:rsidRPr="00516D94" w:rsidR="00E53C25">
        <w:t xml:space="preserve"> of Edison Electric Institute</w:t>
      </w:r>
      <w:r w:rsidRPr="00516D94">
        <w:t xml:space="preserve"> </w:t>
      </w:r>
      <w:r w:rsidRPr="00516D94" w:rsidR="00BE4EC3">
        <w:t xml:space="preserve">for </w:t>
      </w:r>
      <w:r w:rsidRPr="00516D94">
        <w:t>Extension of Time</w:t>
      </w:r>
      <w:r w:rsidRPr="00516D94" w:rsidR="00BE4EC3">
        <w:t>,</w:t>
      </w:r>
      <w:r w:rsidRPr="00516D94" w:rsidR="009D431D">
        <w:t xml:space="preserve"> </w:t>
      </w:r>
      <w:r w:rsidRPr="00516D94" w:rsidR="009B4B0D">
        <w:t>PS</w:t>
      </w:r>
      <w:r w:rsidRPr="00516D94" w:rsidR="008F1F39">
        <w:t xml:space="preserve"> Docket Nos. </w:t>
      </w:r>
      <w:r w:rsidRPr="00516D94" w:rsidR="009B4B0D">
        <w:t>21</w:t>
      </w:r>
      <w:r w:rsidRPr="00516D94" w:rsidR="008F1F39">
        <w:t>-</w:t>
      </w:r>
      <w:r w:rsidRPr="00516D94" w:rsidR="009B4B0D">
        <w:t>346</w:t>
      </w:r>
      <w:r w:rsidRPr="00516D94" w:rsidR="008F1F39">
        <w:t xml:space="preserve"> and </w:t>
      </w:r>
      <w:r w:rsidRPr="00516D94" w:rsidR="009B4B0D">
        <w:t>15</w:t>
      </w:r>
      <w:r w:rsidRPr="00516D94" w:rsidR="008F1F39">
        <w:t>-</w:t>
      </w:r>
      <w:r w:rsidRPr="00516D94" w:rsidR="009B4B0D">
        <w:t>80</w:t>
      </w:r>
      <w:r w:rsidRPr="00516D94" w:rsidR="008F1F39">
        <w:t xml:space="preserve">, </w:t>
      </w:r>
      <w:r w:rsidRPr="00516D94" w:rsidR="009B4B0D">
        <w:t>ET</w:t>
      </w:r>
      <w:r w:rsidRPr="00516D94" w:rsidR="008F1F39">
        <w:t xml:space="preserve"> Docket No. </w:t>
      </w:r>
      <w:r w:rsidRPr="00516D94" w:rsidR="009B4B0D">
        <w:t>04</w:t>
      </w:r>
      <w:r w:rsidRPr="00516D94" w:rsidR="008F1F39">
        <w:t>-</w:t>
      </w:r>
      <w:r w:rsidRPr="00516D94" w:rsidR="009B4B0D">
        <w:t>35</w:t>
      </w:r>
      <w:r w:rsidRPr="00516D94" w:rsidR="003D75EB">
        <w:t xml:space="preserve"> </w:t>
      </w:r>
      <w:r w:rsidRPr="00516D94">
        <w:t xml:space="preserve">(filed </w:t>
      </w:r>
      <w:r w:rsidRPr="00516D94" w:rsidR="008F11AA">
        <w:t>Nov</w:t>
      </w:r>
      <w:r w:rsidRPr="00516D94">
        <w:t xml:space="preserve">. </w:t>
      </w:r>
      <w:r w:rsidRPr="00516D94" w:rsidR="008F11AA">
        <w:t>19</w:t>
      </w:r>
      <w:r w:rsidRPr="00516D94">
        <w:t>, 2021)</w:t>
      </w:r>
      <w:r w:rsidRPr="00516D94" w:rsidR="00D64A09">
        <w:t>,</w:t>
      </w:r>
      <w:r w:rsidRPr="00516D94" w:rsidR="007847B0">
        <w:t xml:space="preserve"> </w:t>
      </w:r>
      <w:r w:rsidRPr="00516D94" w:rsidR="008060AF">
        <w:t xml:space="preserve">https://ecfsapi.fcc.gov/file/1119849613742/EEI%20Motion%20for%20Extension%20of%20Time%20--%20FCC%20Resilient%20Networks%20NPRM%20PS%20Docket%20Nos.%2021-346%2015-80%20and%20ET%20Docket%20No.%2004-35.pdf </w:t>
      </w:r>
      <w:r w:rsidRPr="00516D94" w:rsidR="00D64A09">
        <w:t>(Motion)</w:t>
      </w:r>
      <w:r w:rsidRPr="00516D94" w:rsidR="008060AF">
        <w:t>.</w:t>
      </w:r>
    </w:p>
    <w:bookmarkStart w:id="1" w:name="_1fob9te" w:colFirst="0" w:colLast="0"/>
    <w:bookmarkEnd w:id="1"/>
  </w:footnote>
  <w:footnote w:id="4">
    <w:p w:rsidR="00E9556A" w:rsidRPr="00516D94" w:rsidP="00E9556A" w14:paraId="64D2CCED" w14:textId="0DC7FE2B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sz w:val="20"/>
        </w:rPr>
      </w:pPr>
      <w:r w:rsidRPr="00516D94">
        <w:rPr>
          <w:sz w:val="20"/>
          <w:vertAlign w:val="superscript"/>
        </w:rPr>
        <w:footnoteRef/>
      </w:r>
      <w:r w:rsidRPr="00516D94">
        <w:rPr>
          <w:sz w:val="20"/>
        </w:rPr>
        <w:t xml:space="preserve"> </w:t>
      </w:r>
      <w:r w:rsidRPr="00516D94">
        <w:rPr>
          <w:i/>
          <w:sz w:val="20"/>
        </w:rPr>
        <w:t>Resilient Networks</w:t>
      </w:r>
      <w:r w:rsidRPr="00516D94">
        <w:rPr>
          <w:iCs/>
          <w:sz w:val="20"/>
        </w:rPr>
        <w:t xml:space="preserve">; </w:t>
      </w:r>
      <w:r w:rsidRPr="00516D94">
        <w:rPr>
          <w:i/>
          <w:sz w:val="20"/>
        </w:rPr>
        <w:t>Amendments to Part 4 of the Commission’s Rules Concerning Disruptions to Communications</w:t>
      </w:r>
      <w:r w:rsidRPr="00516D94">
        <w:rPr>
          <w:iCs/>
          <w:sz w:val="20"/>
        </w:rPr>
        <w:t xml:space="preserve">; </w:t>
      </w:r>
      <w:r w:rsidRPr="00516D94">
        <w:rPr>
          <w:i/>
          <w:sz w:val="20"/>
        </w:rPr>
        <w:t>New Part 4 of the Commission’s Rules Concerning Disruptions to Communications</w:t>
      </w:r>
      <w:r w:rsidRPr="00516D94">
        <w:rPr>
          <w:iCs/>
          <w:sz w:val="20"/>
        </w:rPr>
        <w:t>,</w:t>
      </w:r>
      <w:r w:rsidRPr="00516D94">
        <w:rPr>
          <w:i/>
          <w:sz w:val="20"/>
        </w:rPr>
        <w:t xml:space="preserve"> </w:t>
      </w:r>
      <w:r w:rsidRPr="00516D94">
        <w:rPr>
          <w:iCs/>
          <w:sz w:val="20"/>
        </w:rPr>
        <w:t>PS Docket Nos. 21-346 and 15</w:t>
      </w:r>
      <w:r w:rsidRPr="00516D94">
        <w:rPr>
          <w:iCs/>
          <w:sz w:val="20"/>
        </w:rPr>
        <w:noBreakHyphen/>
        <w:t xml:space="preserve">80; ET Docket No. 04-35, </w:t>
      </w:r>
      <w:r w:rsidRPr="00516D94">
        <w:rPr>
          <w:sz w:val="20"/>
        </w:rPr>
        <w:t xml:space="preserve">Notice of Proposed Rulemaking, </w:t>
      </w:r>
      <w:r w:rsidRPr="00516D94" w:rsidR="00126B31">
        <w:rPr>
          <w:sz w:val="20"/>
        </w:rPr>
        <w:t>FCC 21-99</w:t>
      </w:r>
      <w:r w:rsidRPr="00516D94" w:rsidR="00537644">
        <w:rPr>
          <w:sz w:val="20"/>
        </w:rPr>
        <w:t xml:space="preserve">, </w:t>
      </w:r>
      <w:r w:rsidRPr="00516D94" w:rsidR="00F56EE1">
        <w:rPr>
          <w:sz w:val="20"/>
          <w:shd w:val="clear" w:color="auto" w:fill="FFFFFF"/>
        </w:rPr>
        <w:t xml:space="preserve">2021 WL </w:t>
      </w:r>
      <w:r w:rsidRPr="00516D94" w:rsidR="00836CE1">
        <w:rPr>
          <w:sz w:val="20"/>
          <w:shd w:val="clear" w:color="auto" w:fill="FFFFFF"/>
        </w:rPr>
        <w:t xml:space="preserve">4735497 </w:t>
      </w:r>
      <w:r w:rsidRPr="00516D94">
        <w:rPr>
          <w:sz w:val="20"/>
        </w:rPr>
        <w:t>(</w:t>
      </w:r>
      <w:r w:rsidRPr="00516D94" w:rsidR="005B4759">
        <w:rPr>
          <w:sz w:val="20"/>
        </w:rPr>
        <w:t>2021</w:t>
      </w:r>
      <w:r w:rsidRPr="00516D94">
        <w:rPr>
          <w:sz w:val="20"/>
        </w:rPr>
        <w:t>)</w:t>
      </w:r>
      <w:r w:rsidRPr="00516D94" w:rsidR="00E0319A">
        <w:rPr>
          <w:sz w:val="20"/>
        </w:rPr>
        <w:t xml:space="preserve"> </w:t>
      </w:r>
      <w:r w:rsidRPr="00516D94" w:rsidR="00F335B9">
        <w:rPr>
          <w:sz w:val="20"/>
        </w:rPr>
        <w:t>(NPRM)</w:t>
      </w:r>
      <w:r w:rsidRPr="00516D94">
        <w:rPr>
          <w:sz w:val="20"/>
        </w:rPr>
        <w:t xml:space="preserve">. </w:t>
      </w:r>
    </w:p>
  </w:footnote>
  <w:footnote w:id="5">
    <w:p w:rsidR="00C45695" w:rsidRPr="00516D94" w14:paraId="2FB5302E" w14:textId="498890AC">
      <w:pPr>
        <w:pStyle w:val="FootnoteText"/>
      </w:pPr>
      <w:r w:rsidRPr="00516D94">
        <w:rPr>
          <w:rStyle w:val="FootnoteReference"/>
        </w:rPr>
        <w:footnoteRef/>
      </w:r>
      <w:r w:rsidRPr="00516D94">
        <w:t xml:space="preserve"> </w:t>
      </w:r>
      <w:r w:rsidRPr="00516D94">
        <w:rPr>
          <w:i/>
          <w:iCs/>
        </w:rPr>
        <w:t>Id.</w:t>
      </w:r>
    </w:p>
  </w:footnote>
  <w:footnote w:id="6">
    <w:p w:rsidR="00C45695" w:rsidRPr="00516D94" w:rsidP="00C45695" w14:paraId="3B863956" w14:textId="77777777">
      <w:pPr>
        <w:pStyle w:val="FootnoteText"/>
      </w:pPr>
      <w:r w:rsidRPr="00516D94">
        <w:rPr>
          <w:rStyle w:val="FootnoteReference"/>
        </w:rPr>
        <w:footnoteRef/>
      </w:r>
      <w:r w:rsidRPr="00516D94">
        <w:t xml:space="preserve"> </w:t>
      </w:r>
      <w:r w:rsidRPr="00516D94">
        <w:rPr>
          <w:i/>
          <w:iCs/>
        </w:rPr>
        <w:t>See Public Safety and Homeland Security Bureau Announces Comment and Reply Comment Dates for the Notice of Proposed Rulemaking on Resilient Networks</w:t>
      </w:r>
      <w:r w:rsidRPr="00516D94">
        <w:t xml:space="preserve">, </w:t>
      </w:r>
      <w:r w:rsidRPr="00516D94">
        <w:rPr>
          <w:i/>
          <w:iCs/>
        </w:rPr>
        <w:t xml:space="preserve"> </w:t>
      </w:r>
      <w:r w:rsidRPr="00516D94">
        <w:rPr>
          <w:iCs/>
        </w:rPr>
        <w:t>PS Docket Nos. 21-346 and 15</w:t>
      </w:r>
      <w:r w:rsidRPr="00516D94">
        <w:rPr>
          <w:iCs/>
        </w:rPr>
        <w:noBreakHyphen/>
        <w:t xml:space="preserve">80; ET Docket No. 04-35, </w:t>
      </w:r>
      <w:r w:rsidRPr="00516D94">
        <w:t>Public Notice, DA 21-1388, 2021 WL 5179565 (PSHSB Nov. 5, 2021)</w:t>
      </w:r>
    </w:p>
  </w:footnote>
  <w:footnote w:id="7">
    <w:p w:rsidR="00AF3491" w:rsidRPr="00516D94" w14:paraId="6AF52CC2" w14:textId="6DE02AB5">
      <w:pPr>
        <w:pStyle w:val="FootnoteText"/>
      </w:pPr>
      <w:r w:rsidRPr="00516D94">
        <w:rPr>
          <w:rStyle w:val="FootnoteReference"/>
        </w:rPr>
        <w:footnoteRef/>
      </w:r>
      <w:r w:rsidRPr="00516D94">
        <w:t xml:space="preserve"> </w:t>
      </w:r>
      <w:r w:rsidRPr="00516D94" w:rsidR="00FB0D7C">
        <w:t xml:space="preserve">Motion at 1. </w:t>
      </w:r>
    </w:p>
  </w:footnote>
  <w:footnote w:id="8">
    <w:p w:rsidR="00EB4ECF" w:rsidRPr="00516D94" w:rsidP="00EB4ECF" w14:paraId="5D204406" w14:textId="77777777">
      <w:pPr>
        <w:pStyle w:val="FootnoteText"/>
      </w:pPr>
      <w:r w:rsidRPr="00516D94">
        <w:rPr>
          <w:rStyle w:val="FootnoteReference"/>
        </w:rPr>
        <w:footnoteRef/>
      </w:r>
      <w:r w:rsidRPr="00516D94">
        <w:t xml:space="preserve"> </w:t>
      </w:r>
      <w:r w:rsidRPr="00516D94">
        <w:rPr>
          <w:i/>
          <w:iCs/>
        </w:rPr>
        <w:t xml:space="preserve">Id. </w:t>
      </w:r>
      <w:r w:rsidRPr="00516D94">
        <w:t>at 2.</w:t>
      </w:r>
    </w:p>
  </w:footnote>
  <w:footnote w:id="9">
    <w:p w:rsidR="00277E0E" w:rsidRPr="00516D94" w14:paraId="59BF61EE" w14:textId="3BA9964F">
      <w:pPr>
        <w:pStyle w:val="FootnoteText"/>
      </w:pPr>
      <w:r w:rsidRPr="00516D94">
        <w:rPr>
          <w:rStyle w:val="FootnoteReference"/>
        </w:rPr>
        <w:footnoteRef/>
      </w:r>
      <w:r w:rsidRPr="00516D94">
        <w:t xml:space="preserve"> </w:t>
      </w:r>
      <w:r w:rsidRPr="00516D94" w:rsidR="00192FBC">
        <w:rPr>
          <w:i/>
          <w:iCs/>
        </w:rPr>
        <w:t>Id.</w:t>
      </w:r>
      <w:r w:rsidRPr="00516D94" w:rsidR="00192FBC">
        <w:t xml:space="preserve"> at 3.</w:t>
      </w:r>
    </w:p>
  </w:footnote>
  <w:footnote w:id="10">
    <w:p w:rsidR="00402C56" w:rsidRPr="00516D94" w14:paraId="000F5C3F" w14:textId="18135A02">
      <w:pPr>
        <w:pStyle w:val="FootnoteText"/>
      </w:pPr>
      <w:r w:rsidRPr="00516D94">
        <w:rPr>
          <w:rStyle w:val="FootnoteReference"/>
        </w:rPr>
        <w:footnoteRef/>
      </w:r>
      <w:r w:rsidRPr="00516D94">
        <w:t xml:space="preserve"> </w:t>
      </w:r>
      <w:r w:rsidRPr="00516D94">
        <w:rPr>
          <w:i/>
          <w:iCs/>
        </w:rPr>
        <w:t>Id.</w:t>
      </w:r>
      <w:r w:rsidRPr="00516D94">
        <w:t xml:space="preserve"> </w:t>
      </w:r>
    </w:p>
  </w:footnote>
  <w:footnote w:id="11">
    <w:p w:rsidR="00833EC9" w:rsidRPr="00516D94" w14:paraId="7AD789FA" w14:textId="34659B92">
      <w:pPr>
        <w:pStyle w:val="FootnoteText"/>
      </w:pPr>
      <w:r w:rsidRPr="00516D94">
        <w:rPr>
          <w:rStyle w:val="FootnoteReference"/>
        </w:rPr>
        <w:footnoteRef/>
      </w:r>
      <w:r w:rsidRPr="00516D94">
        <w:t xml:space="preserve"> </w:t>
      </w:r>
      <w:r w:rsidRPr="00516D94">
        <w:rPr>
          <w:i/>
          <w:iCs/>
        </w:rPr>
        <w:t>Id</w:t>
      </w:r>
      <w:r w:rsidRPr="00516D94">
        <w:t>.</w:t>
      </w:r>
    </w:p>
  </w:footnote>
  <w:footnote w:id="12">
    <w:p w:rsidR="00A32989" w:rsidRPr="00516D94" w14:paraId="689CDF36" w14:textId="54D80B98">
      <w:pPr>
        <w:pStyle w:val="FootnoteText"/>
      </w:pPr>
      <w:r w:rsidRPr="00516D94">
        <w:rPr>
          <w:rStyle w:val="FootnoteReference"/>
        </w:rPr>
        <w:footnoteRef/>
      </w:r>
      <w:r w:rsidRPr="00516D94">
        <w:t xml:space="preserve"> </w:t>
      </w:r>
      <w:r w:rsidRPr="00516D94">
        <w:rPr>
          <w:i/>
          <w:iCs/>
        </w:rPr>
        <w:t>Id.</w:t>
      </w:r>
      <w:r w:rsidRPr="00516D94">
        <w:t xml:space="preserve"> at </w:t>
      </w:r>
      <w:r w:rsidRPr="00516D94" w:rsidR="00B76A8C">
        <w:t>n.</w:t>
      </w:r>
      <w:r w:rsidRPr="00516D94" w:rsidR="004A2AFC">
        <w:t>3.</w:t>
      </w:r>
    </w:p>
  </w:footnote>
  <w:footnote w:id="13">
    <w:p w:rsidR="00A03B4D" w:rsidRPr="00516D94" w14:paraId="54E8518D" w14:textId="77777777">
      <w:pPr>
        <w:pStyle w:val="FootnoteText"/>
      </w:pPr>
      <w:r w:rsidRPr="00516D94">
        <w:rPr>
          <w:rStyle w:val="FootnoteReference"/>
        </w:rPr>
        <w:footnoteRef/>
      </w:r>
      <w:r w:rsidRPr="00516D94">
        <w:t xml:space="preserve"> 47 CFR § 1.46.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64FD5358" w14:textId="1683E472">
    <w:pPr>
      <w:pStyle w:val="Header"/>
      <w:rPr>
        <w:b w:val="0"/>
      </w:rPr>
    </w:pPr>
    <w:r>
      <w:tab/>
    </w:r>
    <w:r>
      <w:t>Federal Communications Commission</w:t>
    </w:r>
    <w:r>
      <w:tab/>
    </w:r>
    <w:r w:rsidR="00D50105">
      <w:t>DA 21-</w:t>
    </w:r>
    <w:r w:rsidR="003E2FDB">
      <w:t>1483</w:t>
    </w:r>
  </w:p>
  <w:p w:rsidR="00D25FB5" w14:paraId="65734E54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 w14:paraId="1390D3EB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17C5C511" w14:textId="35370AA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>
      <w:tab/>
    </w:r>
    <w:r>
      <w:t>Federal Communications Commission</w:t>
    </w:r>
    <w:r>
      <w:tab/>
    </w:r>
    <w:r w:rsidR="005623E5">
      <w:t>DA 21-</w:t>
    </w:r>
    <w:r w:rsidR="00923FE2">
      <w:t>1483</w:t>
    </w:r>
  </w:p>
  <w:p w:rsidR="00384E8A" w:rsidP="00810B6F" w14:paraId="1925C929" w14:textId="77777777">
    <w:pPr>
      <w:pStyle w:val="Header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A5C4D01C"/>
    <w:multiLevelType w:val="hybridMultilevel"/>
    <w:tmpl w:val="72464833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19287472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b w:val="0"/>
        <w:bCs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4320"/>
        </w:tabs>
        <w:ind w:left="432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5040"/>
        </w:tabs>
        <w:ind w:left="504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760"/>
        </w:tabs>
        <w:ind w:left="504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6120"/>
        </w:tabs>
        <w:ind w:left="576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840"/>
        </w:tabs>
        <w:ind w:left="6480" w:firstLine="0"/>
      </w:pPr>
    </w:lvl>
  </w:abstractNum>
  <w:abstractNum w:abstractNumId="5">
    <w:nsid w:val="2A344EB0"/>
    <w:multiLevelType w:val="multilevel"/>
    <w:tmpl w:val="134E1D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 w:val="0"/>
        <w:bCs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lowerRoman"/>
      <w:lvlText w:val="(%5)"/>
      <w:lvlJc w:val="left"/>
      <w:pPr>
        <w:tabs>
          <w:tab w:val="num" w:pos="4320"/>
        </w:tabs>
        <w:ind w:left="4320" w:hanging="720"/>
      </w:pPr>
    </w:lvl>
    <w:lvl w:ilvl="5">
      <w:start w:val="1"/>
      <w:numFmt w:val="lowerLetter"/>
      <w:lvlText w:val="(%6)"/>
      <w:lvlJc w:val="left"/>
      <w:pPr>
        <w:tabs>
          <w:tab w:val="num" w:pos="5040"/>
        </w:tabs>
        <w:ind w:left="5040" w:hanging="720"/>
      </w:pPr>
    </w:lvl>
    <w:lvl w:ilvl="6">
      <w:start w:val="1"/>
      <w:numFmt w:val="lowerRoman"/>
      <w:lvlText w:val="(%7)"/>
      <w:lvlJc w:val="left"/>
      <w:pPr>
        <w:tabs>
          <w:tab w:val="num" w:pos="5760"/>
        </w:tabs>
        <w:ind w:left="5040" w:firstLine="0"/>
      </w:p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</w:lvl>
  </w:abstractNum>
  <w:abstractNum w:abstractNumId="6">
    <w:nsid w:val="2D56967B"/>
    <w:multiLevelType w:val="hybridMultilevel"/>
    <w:tmpl w:val="E0669B26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7">
    <w:nsid w:val="49F04A25"/>
    <w:multiLevelType w:val="hybridMultilevel"/>
    <w:tmpl w:val="5706140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8B"/>
    <w:rsid w:val="000027FE"/>
    <w:rsid w:val="00012520"/>
    <w:rsid w:val="00012FD5"/>
    <w:rsid w:val="000144B8"/>
    <w:rsid w:val="0001468B"/>
    <w:rsid w:val="00034E4B"/>
    <w:rsid w:val="00035CC2"/>
    <w:rsid w:val="00036039"/>
    <w:rsid w:val="00037F90"/>
    <w:rsid w:val="00046763"/>
    <w:rsid w:val="00055FCA"/>
    <w:rsid w:val="00066110"/>
    <w:rsid w:val="00070F6B"/>
    <w:rsid w:val="00080627"/>
    <w:rsid w:val="00084F7C"/>
    <w:rsid w:val="000851DE"/>
    <w:rsid w:val="000875BF"/>
    <w:rsid w:val="000909FF"/>
    <w:rsid w:val="00094BFB"/>
    <w:rsid w:val="00096D8C"/>
    <w:rsid w:val="000A0415"/>
    <w:rsid w:val="000B2C42"/>
    <w:rsid w:val="000B2C47"/>
    <w:rsid w:val="000B542A"/>
    <w:rsid w:val="000B71D3"/>
    <w:rsid w:val="000C0B65"/>
    <w:rsid w:val="000C16A6"/>
    <w:rsid w:val="000C49B9"/>
    <w:rsid w:val="000C4B1A"/>
    <w:rsid w:val="000D4025"/>
    <w:rsid w:val="000E05FE"/>
    <w:rsid w:val="000E0827"/>
    <w:rsid w:val="000E3D42"/>
    <w:rsid w:val="00100339"/>
    <w:rsid w:val="0010138B"/>
    <w:rsid w:val="0010234B"/>
    <w:rsid w:val="001115D7"/>
    <w:rsid w:val="00114E0D"/>
    <w:rsid w:val="00120A03"/>
    <w:rsid w:val="0012145E"/>
    <w:rsid w:val="00122BD5"/>
    <w:rsid w:val="00126B31"/>
    <w:rsid w:val="00133F79"/>
    <w:rsid w:val="00135BB6"/>
    <w:rsid w:val="0013791A"/>
    <w:rsid w:val="001429DA"/>
    <w:rsid w:val="0014324F"/>
    <w:rsid w:val="00145E88"/>
    <w:rsid w:val="00153A26"/>
    <w:rsid w:val="00160902"/>
    <w:rsid w:val="0016410E"/>
    <w:rsid w:val="001643A0"/>
    <w:rsid w:val="001847BB"/>
    <w:rsid w:val="00192B57"/>
    <w:rsid w:val="00192FBC"/>
    <w:rsid w:val="00194A66"/>
    <w:rsid w:val="001973B7"/>
    <w:rsid w:val="001D66B1"/>
    <w:rsid w:val="001D6BCF"/>
    <w:rsid w:val="001E01CA"/>
    <w:rsid w:val="001F11C3"/>
    <w:rsid w:val="002008A6"/>
    <w:rsid w:val="00205F8D"/>
    <w:rsid w:val="002072BC"/>
    <w:rsid w:val="00215D1A"/>
    <w:rsid w:val="00215EF5"/>
    <w:rsid w:val="002160CB"/>
    <w:rsid w:val="002178FF"/>
    <w:rsid w:val="00221CA5"/>
    <w:rsid w:val="002221F0"/>
    <w:rsid w:val="00223815"/>
    <w:rsid w:val="00230266"/>
    <w:rsid w:val="00231D84"/>
    <w:rsid w:val="0024695A"/>
    <w:rsid w:val="0025092A"/>
    <w:rsid w:val="00251B3D"/>
    <w:rsid w:val="002522DD"/>
    <w:rsid w:val="00252C97"/>
    <w:rsid w:val="00253161"/>
    <w:rsid w:val="00255D9E"/>
    <w:rsid w:val="00256908"/>
    <w:rsid w:val="00275CF5"/>
    <w:rsid w:val="00277E0E"/>
    <w:rsid w:val="0028301F"/>
    <w:rsid w:val="00285017"/>
    <w:rsid w:val="002873F1"/>
    <w:rsid w:val="002900C1"/>
    <w:rsid w:val="002A004C"/>
    <w:rsid w:val="002A2D2E"/>
    <w:rsid w:val="002A617D"/>
    <w:rsid w:val="002B119D"/>
    <w:rsid w:val="002B4031"/>
    <w:rsid w:val="002C00E8"/>
    <w:rsid w:val="002C37C5"/>
    <w:rsid w:val="002C7519"/>
    <w:rsid w:val="002D742F"/>
    <w:rsid w:val="00304DD7"/>
    <w:rsid w:val="00307A0B"/>
    <w:rsid w:val="00320042"/>
    <w:rsid w:val="00343749"/>
    <w:rsid w:val="00347B31"/>
    <w:rsid w:val="00350A0F"/>
    <w:rsid w:val="00354E9D"/>
    <w:rsid w:val="003624D1"/>
    <w:rsid w:val="003660ED"/>
    <w:rsid w:val="00372132"/>
    <w:rsid w:val="00373380"/>
    <w:rsid w:val="003820AD"/>
    <w:rsid w:val="00384E8A"/>
    <w:rsid w:val="0038660E"/>
    <w:rsid w:val="00390411"/>
    <w:rsid w:val="00391FDF"/>
    <w:rsid w:val="003A109C"/>
    <w:rsid w:val="003A1A8C"/>
    <w:rsid w:val="003A1FA0"/>
    <w:rsid w:val="003B0550"/>
    <w:rsid w:val="003B694F"/>
    <w:rsid w:val="003C63A0"/>
    <w:rsid w:val="003D016F"/>
    <w:rsid w:val="003D26EF"/>
    <w:rsid w:val="003D59C2"/>
    <w:rsid w:val="003D75EB"/>
    <w:rsid w:val="003E2E2B"/>
    <w:rsid w:val="003E2FDB"/>
    <w:rsid w:val="003E310A"/>
    <w:rsid w:val="003E74AB"/>
    <w:rsid w:val="003E75B1"/>
    <w:rsid w:val="003E75C4"/>
    <w:rsid w:val="003E7AC3"/>
    <w:rsid w:val="003F171C"/>
    <w:rsid w:val="003F57A1"/>
    <w:rsid w:val="00400FFB"/>
    <w:rsid w:val="00402C56"/>
    <w:rsid w:val="004036ED"/>
    <w:rsid w:val="004048B8"/>
    <w:rsid w:val="00404FAA"/>
    <w:rsid w:val="00406B4D"/>
    <w:rsid w:val="00412FC5"/>
    <w:rsid w:val="00417635"/>
    <w:rsid w:val="00420DFB"/>
    <w:rsid w:val="00422276"/>
    <w:rsid w:val="00424178"/>
    <w:rsid w:val="004242F1"/>
    <w:rsid w:val="00425E0E"/>
    <w:rsid w:val="00432919"/>
    <w:rsid w:val="0043797A"/>
    <w:rsid w:val="00445A00"/>
    <w:rsid w:val="00450AD2"/>
    <w:rsid w:val="00451B0F"/>
    <w:rsid w:val="00453D49"/>
    <w:rsid w:val="0045578A"/>
    <w:rsid w:val="00460404"/>
    <w:rsid w:val="00462A4A"/>
    <w:rsid w:val="00463E41"/>
    <w:rsid w:val="00464AA8"/>
    <w:rsid w:val="00466452"/>
    <w:rsid w:val="00475569"/>
    <w:rsid w:val="00485842"/>
    <w:rsid w:val="004A2AFC"/>
    <w:rsid w:val="004B014B"/>
    <w:rsid w:val="004B5844"/>
    <w:rsid w:val="004C07EF"/>
    <w:rsid w:val="004C1A7C"/>
    <w:rsid w:val="004C2EE3"/>
    <w:rsid w:val="004C5414"/>
    <w:rsid w:val="004D3B56"/>
    <w:rsid w:val="004E39E8"/>
    <w:rsid w:val="004E4A22"/>
    <w:rsid w:val="004F41A5"/>
    <w:rsid w:val="004F4DFA"/>
    <w:rsid w:val="0050064E"/>
    <w:rsid w:val="00503D6F"/>
    <w:rsid w:val="0050466B"/>
    <w:rsid w:val="00511968"/>
    <w:rsid w:val="00516D94"/>
    <w:rsid w:val="00531340"/>
    <w:rsid w:val="00531394"/>
    <w:rsid w:val="00537644"/>
    <w:rsid w:val="0055614C"/>
    <w:rsid w:val="00561B82"/>
    <w:rsid w:val="005623E5"/>
    <w:rsid w:val="005654E2"/>
    <w:rsid w:val="00565894"/>
    <w:rsid w:val="00566D06"/>
    <w:rsid w:val="005763BB"/>
    <w:rsid w:val="005955A9"/>
    <w:rsid w:val="005A25BA"/>
    <w:rsid w:val="005A7266"/>
    <w:rsid w:val="005A7885"/>
    <w:rsid w:val="005B1E02"/>
    <w:rsid w:val="005B4759"/>
    <w:rsid w:val="005C178E"/>
    <w:rsid w:val="005C3076"/>
    <w:rsid w:val="005C4F71"/>
    <w:rsid w:val="005D2D4A"/>
    <w:rsid w:val="005E14C2"/>
    <w:rsid w:val="005E4766"/>
    <w:rsid w:val="005E6667"/>
    <w:rsid w:val="005F33A5"/>
    <w:rsid w:val="00606919"/>
    <w:rsid w:val="00606B99"/>
    <w:rsid w:val="00607BA5"/>
    <w:rsid w:val="0061180A"/>
    <w:rsid w:val="0062065B"/>
    <w:rsid w:val="00622988"/>
    <w:rsid w:val="00622E89"/>
    <w:rsid w:val="0062605C"/>
    <w:rsid w:val="00626EB6"/>
    <w:rsid w:val="00627A1B"/>
    <w:rsid w:val="00630002"/>
    <w:rsid w:val="006423F8"/>
    <w:rsid w:val="00642DCB"/>
    <w:rsid w:val="00651377"/>
    <w:rsid w:val="00655D03"/>
    <w:rsid w:val="00662021"/>
    <w:rsid w:val="0066348D"/>
    <w:rsid w:val="00683388"/>
    <w:rsid w:val="00683F84"/>
    <w:rsid w:val="00697BF2"/>
    <w:rsid w:val="006A12CF"/>
    <w:rsid w:val="006A68BD"/>
    <w:rsid w:val="006A6A81"/>
    <w:rsid w:val="006B0C42"/>
    <w:rsid w:val="006B5115"/>
    <w:rsid w:val="006C2C69"/>
    <w:rsid w:val="006D5856"/>
    <w:rsid w:val="006D6672"/>
    <w:rsid w:val="006D756B"/>
    <w:rsid w:val="006F6627"/>
    <w:rsid w:val="006F7393"/>
    <w:rsid w:val="006F7D92"/>
    <w:rsid w:val="0070224F"/>
    <w:rsid w:val="00710A7D"/>
    <w:rsid w:val="00711410"/>
    <w:rsid w:val="007115F7"/>
    <w:rsid w:val="00713361"/>
    <w:rsid w:val="00714930"/>
    <w:rsid w:val="007150D7"/>
    <w:rsid w:val="00720C02"/>
    <w:rsid w:val="0072471A"/>
    <w:rsid w:val="007265FB"/>
    <w:rsid w:val="007311D7"/>
    <w:rsid w:val="0073315A"/>
    <w:rsid w:val="007343B1"/>
    <w:rsid w:val="00736B16"/>
    <w:rsid w:val="00764492"/>
    <w:rsid w:val="00764F2A"/>
    <w:rsid w:val="007665FB"/>
    <w:rsid w:val="00777282"/>
    <w:rsid w:val="007847B0"/>
    <w:rsid w:val="00784CD7"/>
    <w:rsid w:val="00785689"/>
    <w:rsid w:val="0079754B"/>
    <w:rsid w:val="007A1E6D"/>
    <w:rsid w:val="007A62B9"/>
    <w:rsid w:val="007B0EB2"/>
    <w:rsid w:val="007B39BB"/>
    <w:rsid w:val="007C24A3"/>
    <w:rsid w:val="007C2508"/>
    <w:rsid w:val="007C43DF"/>
    <w:rsid w:val="007D5E93"/>
    <w:rsid w:val="007D76F1"/>
    <w:rsid w:val="007D7D0D"/>
    <w:rsid w:val="007E334D"/>
    <w:rsid w:val="007E5CCA"/>
    <w:rsid w:val="007F63B6"/>
    <w:rsid w:val="007F6FB9"/>
    <w:rsid w:val="008060AF"/>
    <w:rsid w:val="00807ABF"/>
    <w:rsid w:val="00810B6F"/>
    <w:rsid w:val="00822CE0"/>
    <w:rsid w:val="008269ED"/>
    <w:rsid w:val="00827A4B"/>
    <w:rsid w:val="00832AFA"/>
    <w:rsid w:val="00833EC9"/>
    <w:rsid w:val="008350D7"/>
    <w:rsid w:val="00836CE1"/>
    <w:rsid w:val="00841AB1"/>
    <w:rsid w:val="00854D33"/>
    <w:rsid w:val="008550B1"/>
    <w:rsid w:val="00861FD6"/>
    <w:rsid w:val="00863286"/>
    <w:rsid w:val="00863B07"/>
    <w:rsid w:val="0087344F"/>
    <w:rsid w:val="0088079C"/>
    <w:rsid w:val="0088221B"/>
    <w:rsid w:val="00897545"/>
    <w:rsid w:val="008A15B4"/>
    <w:rsid w:val="008B4096"/>
    <w:rsid w:val="008C0250"/>
    <w:rsid w:val="008C0C31"/>
    <w:rsid w:val="008C4EC4"/>
    <w:rsid w:val="008C68F1"/>
    <w:rsid w:val="008C78DB"/>
    <w:rsid w:val="008D5A9B"/>
    <w:rsid w:val="008E75B0"/>
    <w:rsid w:val="008F0456"/>
    <w:rsid w:val="008F11AA"/>
    <w:rsid w:val="008F1F39"/>
    <w:rsid w:val="008F39AD"/>
    <w:rsid w:val="00905BF6"/>
    <w:rsid w:val="0091089B"/>
    <w:rsid w:val="00911EF5"/>
    <w:rsid w:val="00921702"/>
    <w:rsid w:val="00921803"/>
    <w:rsid w:val="00923FE2"/>
    <w:rsid w:val="0092583F"/>
    <w:rsid w:val="00926503"/>
    <w:rsid w:val="00927CAB"/>
    <w:rsid w:val="009313B9"/>
    <w:rsid w:val="00947970"/>
    <w:rsid w:val="00951114"/>
    <w:rsid w:val="00952C9B"/>
    <w:rsid w:val="0095780D"/>
    <w:rsid w:val="00963F0B"/>
    <w:rsid w:val="0096665C"/>
    <w:rsid w:val="00966F5A"/>
    <w:rsid w:val="00967868"/>
    <w:rsid w:val="009726D8"/>
    <w:rsid w:val="00976324"/>
    <w:rsid w:val="009806DA"/>
    <w:rsid w:val="009841A6"/>
    <w:rsid w:val="0098547F"/>
    <w:rsid w:val="009966BD"/>
    <w:rsid w:val="009971D4"/>
    <w:rsid w:val="009A5B3E"/>
    <w:rsid w:val="009B4B0D"/>
    <w:rsid w:val="009B794B"/>
    <w:rsid w:val="009C1EF1"/>
    <w:rsid w:val="009C65EF"/>
    <w:rsid w:val="009D39AB"/>
    <w:rsid w:val="009D431D"/>
    <w:rsid w:val="009D7308"/>
    <w:rsid w:val="009E1C8A"/>
    <w:rsid w:val="009F3773"/>
    <w:rsid w:val="009F45E8"/>
    <w:rsid w:val="009F4DDD"/>
    <w:rsid w:val="009F76DB"/>
    <w:rsid w:val="00A03B4D"/>
    <w:rsid w:val="00A21BEE"/>
    <w:rsid w:val="00A27D5D"/>
    <w:rsid w:val="00A32989"/>
    <w:rsid w:val="00A32C3B"/>
    <w:rsid w:val="00A34694"/>
    <w:rsid w:val="00A35B92"/>
    <w:rsid w:val="00A42B32"/>
    <w:rsid w:val="00A42D9B"/>
    <w:rsid w:val="00A43B37"/>
    <w:rsid w:val="00A45F4F"/>
    <w:rsid w:val="00A600A9"/>
    <w:rsid w:val="00A6503B"/>
    <w:rsid w:val="00A71DAE"/>
    <w:rsid w:val="00A77379"/>
    <w:rsid w:val="00A82107"/>
    <w:rsid w:val="00A85B38"/>
    <w:rsid w:val="00A91AA9"/>
    <w:rsid w:val="00A92B2B"/>
    <w:rsid w:val="00A9777E"/>
    <w:rsid w:val="00AA55B7"/>
    <w:rsid w:val="00AA5B9E"/>
    <w:rsid w:val="00AB2407"/>
    <w:rsid w:val="00AB53DF"/>
    <w:rsid w:val="00AC2AFC"/>
    <w:rsid w:val="00AC6061"/>
    <w:rsid w:val="00AD1FBC"/>
    <w:rsid w:val="00AD4CFC"/>
    <w:rsid w:val="00AE3306"/>
    <w:rsid w:val="00AE5ED0"/>
    <w:rsid w:val="00AF051B"/>
    <w:rsid w:val="00AF3491"/>
    <w:rsid w:val="00AF367C"/>
    <w:rsid w:val="00AF57F9"/>
    <w:rsid w:val="00B00B87"/>
    <w:rsid w:val="00B0238F"/>
    <w:rsid w:val="00B06277"/>
    <w:rsid w:val="00B07E5C"/>
    <w:rsid w:val="00B30045"/>
    <w:rsid w:val="00B34697"/>
    <w:rsid w:val="00B34F5A"/>
    <w:rsid w:val="00B353A5"/>
    <w:rsid w:val="00B539EC"/>
    <w:rsid w:val="00B5774D"/>
    <w:rsid w:val="00B6512B"/>
    <w:rsid w:val="00B726AD"/>
    <w:rsid w:val="00B737E3"/>
    <w:rsid w:val="00B75CA2"/>
    <w:rsid w:val="00B75E12"/>
    <w:rsid w:val="00B76A8C"/>
    <w:rsid w:val="00B811F7"/>
    <w:rsid w:val="00B815BC"/>
    <w:rsid w:val="00B84A4E"/>
    <w:rsid w:val="00BA0E6C"/>
    <w:rsid w:val="00BA1399"/>
    <w:rsid w:val="00BA22EC"/>
    <w:rsid w:val="00BA28ED"/>
    <w:rsid w:val="00BA5DC6"/>
    <w:rsid w:val="00BA6196"/>
    <w:rsid w:val="00BB02D0"/>
    <w:rsid w:val="00BB0351"/>
    <w:rsid w:val="00BC090B"/>
    <w:rsid w:val="00BC4E7D"/>
    <w:rsid w:val="00BC5471"/>
    <w:rsid w:val="00BC6D8C"/>
    <w:rsid w:val="00BD4186"/>
    <w:rsid w:val="00BE0820"/>
    <w:rsid w:val="00BE4EC3"/>
    <w:rsid w:val="00BF322E"/>
    <w:rsid w:val="00BF332C"/>
    <w:rsid w:val="00BF48DD"/>
    <w:rsid w:val="00BF7FF4"/>
    <w:rsid w:val="00C00F7A"/>
    <w:rsid w:val="00C1019E"/>
    <w:rsid w:val="00C114D6"/>
    <w:rsid w:val="00C13273"/>
    <w:rsid w:val="00C25BE5"/>
    <w:rsid w:val="00C3284C"/>
    <w:rsid w:val="00C34006"/>
    <w:rsid w:val="00C36B4C"/>
    <w:rsid w:val="00C412A9"/>
    <w:rsid w:val="00C426B1"/>
    <w:rsid w:val="00C43497"/>
    <w:rsid w:val="00C44C97"/>
    <w:rsid w:val="00C45695"/>
    <w:rsid w:val="00C47E45"/>
    <w:rsid w:val="00C545B4"/>
    <w:rsid w:val="00C61EDE"/>
    <w:rsid w:val="00C61FC6"/>
    <w:rsid w:val="00C63B15"/>
    <w:rsid w:val="00C66160"/>
    <w:rsid w:val="00C721AC"/>
    <w:rsid w:val="00C72C1D"/>
    <w:rsid w:val="00C75C9E"/>
    <w:rsid w:val="00C76BA0"/>
    <w:rsid w:val="00C77144"/>
    <w:rsid w:val="00C81FFE"/>
    <w:rsid w:val="00C8654C"/>
    <w:rsid w:val="00C907D5"/>
    <w:rsid w:val="00C90D6A"/>
    <w:rsid w:val="00CA247E"/>
    <w:rsid w:val="00CA3497"/>
    <w:rsid w:val="00CA6D21"/>
    <w:rsid w:val="00CB66FD"/>
    <w:rsid w:val="00CC72B6"/>
    <w:rsid w:val="00CD3E93"/>
    <w:rsid w:val="00CF0C4F"/>
    <w:rsid w:val="00CF1FE5"/>
    <w:rsid w:val="00CF2ED1"/>
    <w:rsid w:val="00D0218D"/>
    <w:rsid w:val="00D037B3"/>
    <w:rsid w:val="00D1657C"/>
    <w:rsid w:val="00D25FB5"/>
    <w:rsid w:val="00D2706D"/>
    <w:rsid w:val="00D2748B"/>
    <w:rsid w:val="00D44223"/>
    <w:rsid w:val="00D44C43"/>
    <w:rsid w:val="00D50105"/>
    <w:rsid w:val="00D615E7"/>
    <w:rsid w:val="00D64A09"/>
    <w:rsid w:val="00D748E0"/>
    <w:rsid w:val="00D7521F"/>
    <w:rsid w:val="00D75A27"/>
    <w:rsid w:val="00D77BEA"/>
    <w:rsid w:val="00D80D7B"/>
    <w:rsid w:val="00D82ABE"/>
    <w:rsid w:val="00D96B01"/>
    <w:rsid w:val="00D9796D"/>
    <w:rsid w:val="00D97F45"/>
    <w:rsid w:val="00DA2529"/>
    <w:rsid w:val="00DB130A"/>
    <w:rsid w:val="00DB2EBB"/>
    <w:rsid w:val="00DB4BCD"/>
    <w:rsid w:val="00DB59A7"/>
    <w:rsid w:val="00DC10A1"/>
    <w:rsid w:val="00DC655F"/>
    <w:rsid w:val="00DD0B59"/>
    <w:rsid w:val="00DD3EE9"/>
    <w:rsid w:val="00DD7EBD"/>
    <w:rsid w:val="00DE0072"/>
    <w:rsid w:val="00DE6872"/>
    <w:rsid w:val="00DE714F"/>
    <w:rsid w:val="00DF62B6"/>
    <w:rsid w:val="00E0319A"/>
    <w:rsid w:val="00E044CE"/>
    <w:rsid w:val="00E05C90"/>
    <w:rsid w:val="00E07225"/>
    <w:rsid w:val="00E139BF"/>
    <w:rsid w:val="00E20129"/>
    <w:rsid w:val="00E22D54"/>
    <w:rsid w:val="00E23988"/>
    <w:rsid w:val="00E24AE5"/>
    <w:rsid w:val="00E259C3"/>
    <w:rsid w:val="00E47B08"/>
    <w:rsid w:val="00E5283F"/>
    <w:rsid w:val="00E52A5A"/>
    <w:rsid w:val="00E53C25"/>
    <w:rsid w:val="00E53C3A"/>
    <w:rsid w:val="00E5409F"/>
    <w:rsid w:val="00E606F8"/>
    <w:rsid w:val="00E7536A"/>
    <w:rsid w:val="00E76B7F"/>
    <w:rsid w:val="00E76FA7"/>
    <w:rsid w:val="00E834F6"/>
    <w:rsid w:val="00E9556A"/>
    <w:rsid w:val="00EA6E73"/>
    <w:rsid w:val="00EB4ECF"/>
    <w:rsid w:val="00EC27BE"/>
    <w:rsid w:val="00ED1591"/>
    <w:rsid w:val="00ED4416"/>
    <w:rsid w:val="00EE2667"/>
    <w:rsid w:val="00EE6488"/>
    <w:rsid w:val="00F021FA"/>
    <w:rsid w:val="00F05AA3"/>
    <w:rsid w:val="00F1154A"/>
    <w:rsid w:val="00F219F2"/>
    <w:rsid w:val="00F23481"/>
    <w:rsid w:val="00F24154"/>
    <w:rsid w:val="00F335B9"/>
    <w:rsid w:val="00F4205C"/>
    <w:rsid w:val="00F42186"/>
    <w:rsid w:val="00F52A2A"/>
    <w:rsid w:val="00F5306C"/>
    <w:rsid w:val="00F54881"/>
    <w:rsid w:val="00F548C2"/>
    <w:rsid w:val="00F56EE1"/>
    <w:rsid w:val="00F61280"/>
    <w:rsid w:val="00F62E97"/>
    <w:rsid w:val="00F64209"/>
    <w:rsid w:val="00F74C04"/>
    <w:rsid w:val="00F81BEA"/>
    <w:rsid w:val="00F84451"/>
    <w:rsid w:val="00F93BF5"/>
    <w:rsid w:val="00F96034"/>
    <w:rsid w:val="00F9659F"/>
    <w:rsid w:val="00FB0D7C"/>
    <w:rsid w:val="00FB2326"/>
    <w:rsid w:val="00FB5E03"/>
    <w:rsid w:val="00FB5EDC"/>
    <w:rsid w:val="00FB6EC3"/>
    <w:rsid w:val="00FD1BA2"/>
    <w:rsid w:val="00FE1969"/>
    <w:rsid w:val="00FE3BA5"/>
    <w:rsid w:val="00FF3E2D"/>
    <w:rsid w:val="00FF4D7E"/>
    <w:rsid w:val="0381718B"/>
    <w:rsid w:val="0431EDAB"/>
    <w:rsid w:val="0676AFBE"/>
    <w:rsid w:val="07C64FF1"/>
    <w:rsid w:val="082044C7"/>
    <w:rsid w:val="0AC7E460"/>
    <w:rsid w:val="0BB7C7F4"/>
    <w:rsid w:val="0DF302FE"/>
    <w:rsid w:val="0EAD6F9B"/>
    <w:rsid w:val="117798B1"/>
    <w:rsid w:val="11A9686D"/>
    <w:rsid w:val="13467C3B"/>
    <w:rsid w:val="1375BACC"/>
    <w:rsid w:val="151B822F"/>
    <w:rsid w:val="186DE03C"/>
    <w:rsid w:val="1CD0020C"/>
    <w:rsid w:val="1D4652CE"/>
    <w:rsid w:val="220A1219"/>
    <w:rsid w:val="242C1C4A"/>
    <w:rsid w:val="25919645"/>
    <w:rsid w:val="26910469"/>
    <w:rsid w:val="2B8AEBDB"/>
    <w:rsid w:val="2D94F80D"/>
    <w:rsid w:val="32AB3F96"/>
    <w:rsid w:val="36224B64"/>
    <w:rsid w:val="3B565D40"/>
    <w:rsid w:val="3DD12C09"/>
    <w:rsid w:val="3EA3605C"/>
    <w:rsid w:val="3FD1CB9D"/>
    <w:rsid w:val="407E772A"/>
    <w:rsid w:val="458048C9"/>
    <w:rsid w:val="482C98B3"/>
    <w:rsid w:val="4AF6F531"/>
    <w:rsid w:val="4AFA50DD"/>
    <w:rsid w:val="4B643975"/>
    <w:rsid w:val="540D3696"/>
    <w:rsid w:val="56C1DAE1"/>
    <w:rsid w:val="579AAF0F"/>
    <w:rsid w:val="5FC13B9E"/>
    <w:rsid w:val="6482242F"/>
    <w:rsid w:val="65FE0625"/>
    <w:rsid w:val="66F42875"/>
    <w:rsid w:val="6799D686"/>
    <w:rsid w:val="6A273DD0"/>
    <w:rsid w:val="6A301D5A"/>
    <w:rsid w:val="6E14E265"/>
    <w:rsid w:val="78F1BAF0"/>
    <w:rsid w:val="792F4D9D"/>
    <w:rsid w:val="7AED5C8E"/>
    <w:rsid w:val="7B5602B3"/>
    <w:rsid w:val="7F18E23D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E1FE307"/>
  <w15:chartTrackingRefBased/>
  <w15:docId w15:val="{5C76AFEF-D8BB-41B0-8B3C-A74E50BB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left" w:pos="5760"/>
      </w:tabs>
      <w:spacing w:after="120"/>
      <w:ind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left" w:pos="6480"/>
      </w:tabs>
      <w:spacing w:after="120"/>
      <w:ind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rsid w:val="000E3D42"/>
    <w:pPr>
      <w:spacing w:after="120"/>
    </w:pPr>
  </w:style>
  <w:style w:type="character" w:styleId="FootnoteReference">
    <w:name w:val="footnote reference"/>
    <w:uiPriority w:val="99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7308"/>
    <w:rPr>
      <w:snapToGrid w:val="0"/>
      <w:kern w:val="28"/>
      <w:sz w:val="22"/>
    </w:rPr>
  </w:style>
  <w:style w:type="table" w:styleId="TableGrid">
    <w:name w:val="Table Grid"/>
    <w:basedOn w:val="TableNormal"/>
    <w:rsid w:val="00D74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3A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0D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07A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927C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27CAB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rsid w:val="005E66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666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E6667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5E6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6667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C76BA0"/>
    <w:rPr>
      <w:snapToGrid w:val="0"/>
      <w:kern w:val="28"/>
      <w:sz w:val="22"/>
    </w:rPr>
  </w:style>
  <w:style w:type="paragraph" w:customStyle="1" w:styleId="Default">
    <w:name w:val="Default"/>
    <w:rsid w:val="00833E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556A"/>
  </w:style>
  <w:style w:type="character" w:customStyle="1" w:styleId="UnresolvedMention">
    <w:name w:val="Unresolved Mention"/>
    <w:basedOn w:val="DefaultParagraphFont"/>
    <w:rsid w:val="00806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