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3F4DE0" w14:paraId="7DDC0D1D" w14:textId="77777777">
      <w:pPr>
        <w:widowControl/>
        <w:jc w:val="center"/>
        <w:rPr>
          <w:b/>
        </w:rPr>
      </w:pPr>
      <w:r w:rsidRPr="0070224F">
        <w:rPr>
          <w:rFonts w:ascii="Times New Roman Bold" w:hAnsi="Times New Roman Bold"/>
          <w:b/>
          <w:kern w:val="0"/>
          <w:szCs w:val="22"/>
        </w:rPr>
        <w:t>Before</w:t>
      </w:r>
      <w:r>
        <w:rPr>
          <w:b/>
        </w:rPr>
        <w:t xml:space="preserve"> the</w:t>
      </w:r>
    </w:p>
    <w:p w:rsidR="00921803" w:rsidP="003F4DE0" w14:paraId="7DF018C7" w14:textId="77777777">
      <w:pPr>
        <w:pStyle w:val="StyleBoldCentered"/>
        <w:widowControl/>
      </w:pPr>
      <w:r>
        <w:t>F</w:t>
      </w:r>
      <w:r>
        <w:rPr>
          <w:caps w:val="0"/>
        </w:rPr>
        <w:t>ederal Communications Commission</w:t>
      </w:r>
    </w:p>
    <w:p w:rsidR="004C2EE3" w:rsidP="006178AD" w14:paraId="7EF3853F" w14:textId="70E79F36">
      <w:pPr>
        <w:pStyle w:val="StyleBoldCentered"/>
        <w:widowControl/>
        <w:tabs>
          <w:tab w:val="center" w:pos="4680"/>
          <w:tab w:val="left" w:pos="6480"/>
          <w:tab w:val="left" w:pos="7396"/>
        </w:tabs>
        <w:jc w:val="left"/>
      </w:pPr>
      <w:r>
        <w:rPr>
          <w:caps w:val="0"/>
        </w:rPr>
        <w:tab/>
      </w:r>
      <w:r w:rsidR="00810B6F">
        <w:rPr>
          <w:caps w:val="0"/>
        </w:rPr>
        <w:t>Washington, D.C. 20554</w:t>
      </w:r>
      <w:r>
        <w:rPr>
          <w:caps w:val="0"/>
        </w:rPr>
        <w:tab/>
      </w:r>
      <w:r>
        <w:rPr>
          <w:caps w:val="0"/>
        </w:rPr>
        <w:tab/>
      </w:r>
    </w:p>
    <w:p w:rsidR="004C2EE3" w:rsidP="003F4DE0" w14:paraId="78CEF92F" w14:textId="77777777">
      <w:pPr>
        <w:widowControl/>
      </w:pPr>
    </w:p>
    <w:tbl>
      <w:tblPr>
        <w:tblW w:w="0" w:type="auto"/>
        <w:tblLayout w:type="fixed"/>
        <w:tblLook w:val="0000"/>
      </w:tblPr>
      <w:tblGrid>
        <w:gridCol w:w="4698"/>
        <w:gridCol w:w="630"/>
        <w:gridCol w:w="4248"/>
      </w:tblGrid>
      <w:tr w14:paraId="2812F149" w14:textId="77777777">
        <w:tblPrEx>
          <w:tblW w:w="0" w:type="auto"/>
          <w:tblLayout w:type="fixed"/>
          <w:tblLook w:val="0000"/>
        </w:tblPrEx>
        <w:tc>
          <w:tcPr>
            <w:tcW w:w="4698" w:type="dxa"/>
          </w:tcPr>
          <w:p w:rsidR="004C2EE3" w:rsidP="003F4DE0" w14:paraId="373A83A6" w14:textId="2BA36BA5">
            <w:pPr>
              <w:widowControl/>
              <w:tabs>
                <w:tab w:val="center" w:pos="4680"/>
              </w:tabs>
              <w:suppressAutoHyphens/>
              <w:rPr>
                <w:spacing w:val="-2"/>
              </w:rPr>
            </w:pPr>
            <w:r>
              <w:rPr>
                <w:spacing w:val="-2"/>
              </w:rPr>
              <w:t xml:space="preserve">In </w:t>
            </w:r>
            <w:r w:rsidR="00C105E8">
              <w:rPr>
                <w:spacing w:val="-2"/>
              </w:rPr>
              <w:t>the Matter of</w:t>
            </w:r>
          </w:p>
          <w:p w:rsidR="004C2EE3" w:rsidP="003F4DE0" w14:paraId="5AD94FA5" w14:textId="77777777">
            <w:pPr>
              <w:widowControl/>
              <w:tabs>
                <w:tab w:val="center" w:pos="4680"/>
              </w:tabs>
              <w:suppressAutoHyphens/>
              <w:rPr>
                <w:spacing w:val="-2"/>
              </w:rPr>
            </w:pPr>
          </w:p>
          <w:p w:rsidR="004C2EE3" w:rsidRPr="007B5485" w:rsidP="003F4DE0" w14:paraId="5DD14CB3" w14:textId="070A4F11">
            <w:pPr>
              <w:widowControl/>
              <w:tabs>
                <w:tab w:val="center" w:pos="4680"/>
              </w:tabs>
              <w:suppressAutoHyphens/>
              <w:rPr>
                <w:bCs/>
                <w:spacing w:val="-2"/>
              </w:rPr>
            </w:pPr>
            <w:r>
              <w:rPr>
                <w:bCs/>
                <w:spacing w:val="-2"/>
              </w:rPr>
              <w:t>Gray Television</w:t>
            </w:r>
            <w:r w:rsidR="00DB02FE">
              <w:rPr>
                <w:bCs/>
                <w:spacing w:val="-2"/>
              </w:rPr>
              <w:t xml:space="preserve"> Licensee</w:t>
            </w:r>
            <w:r w:rsidR="004625BF">
              <w:rPr>
                <w:bCs/>
                <w:spacing w:val="-2"/>
              </w:rPr>
              <w:t>,</w:t>
            </w:r>
            <w:r w:rsidR="00DB02FE">
              <w:rPr>
                <w:bCs/>
                <w:spacing w:val="-2"/>
              </w:rPr>
              <w:t xml:space="preserve"> LLC, dba WJHG-TV</w:t>
            </w:r>
          </w:p>
          <w:p w:rsidR="00B14E41" w:rsidP="003F4DE0" w14:paraId="0424FBE6" w14:textId="77777777">
            <w:pPr>
              <w:widowControl/>
              <w:tabs>
                <w:tab w:val="center" w:pos="4680"/>
              </w:tabs>
              <w:suppressAutoHyphens/>
              <w:rPr>
                <w:spacing w:val="-2"/>
              </w:rPr>
            </w:pPr>
          </w:p>
          <w:p w:rsidR="004C31FD" w:rsidP="003F4DE0" w14:paraId="1A1410E2" w14:textId="004A329D">
            <w:pPr>
              <w:widowControl/>
              <w:tabs>
                <w:tab w:val="center" w:pos="4680"/>
              </w:tabs>
              <w:suppressAutoHyphens/>
              <w:rPr>
                <w:spacing w:val="-2"/>
              </w:rPr>
            </w:pPr>
            <w:r>
              <w:rPr>
                <w:spacing w:val="-2"/>
              </w:rPr>
              <w:t xml:space="preserve">Licensee of Station </w:t>
            </w:r>
            <w:r w:rsidR="00DB02FE">
              <w:rPr>
                <w:spacing w:val="-2"/>
              </w:rPr>
              <w:t>WJHG-TV</w:t>
            </w:r>
          </w:p>
          <w:p w:rsidR="005D6E94" w:rsidRPr="007115F7" w:rsidP="003F4DE0" w14:paraId="65F49D86" w14:textId="7A3E7B35">
            <w:pPr>
              <w:widowControl/>
              <w:tabs>
                <w:tab w:val="center" w:pos="4680"/>
              </w:tabs>
              <w:suppressAutoHyphens/>
              <w:rPr>
                <w:spacing w:val="-2"/>
              </w:rPr>
            </w:pPr>
            <w:r>
              <w:rPr>
                <w:spacing w:val="-2"/>
              </w:rPr>
              <w:t xml:space="preserve">Panama City, Florida </w:t>
            </w:r>
          </w:p>
        </w:tc>
        <w:tc>
          <w:tcPr>
            <w:tcW w:w="630" w:type="dxa"/>
          </w:tcPr>
          <w:p w:rsidR="004C2EE3" w:rsidP="003F4DE0" w14:paraId="744C0620" w14:textId="77777777">
            <w:pPr>
              <w:widowControl/>
              <w:tabs>
                <w:tab w:val="center" w:pos="4680"/>
              </w:tabs>
              <w:suppressAutoHyphens/>
              <w:rPr>
                <w:b/>
                <w:spacing w:val="-2"/>
              </w:rPr>
            </w:pPr>
            <w:r>
              <w:rPr>
                <w:b/>
                <w:spacing w:val="-2"/>
              </w:rPr>
              <w:t>)</w:t>
            </w:r>
          </w:p>
          <w:p w:rsidR="004C2EE3" w:rsidP="003F4DE0" w14:paraId="239401C6" w14:textId="77777777">
            <w:pPr>
              <w:widowControl/>
              <w:tabs>
                <w:tab w:val="center" w:pos="4680"/>
              </w:tabs>
              <w:suppressAutoHyphens/>
              <w:rPr>
                <w:b/>
                <w:spacing w:val="-2"/>
              </w:rPr>
            </w:pPr>
            <w:r>
              <w:rPr>
                <w:b/>
                <w:spacing w:val="-2"/>
              </w:rPr>
              <w:t>)</w:t>
            </w:r>
          </w:p>
          <w:p w:rsidR="004C2EE3" w:rsidP="003F4DE0" w14:paraId="0014BE0F" w14:textId="77777777">
            <w:pPr>
              <w:widowControl/>
              <w:tabs>
                <w:tab w:val="center" w:pos="4680"/>
              </w:tabs>
              <w:suppressAutoHyphens/>
              <w:rPr>
                <w:b/>
                <w:spacing w:val="-2"/>
              </w:rPr>
            </w:pPr>
            <w:r>
              <w:rPr>
                <w:b/>
                <w:spacing w:val="-2"/>
              </w:rPr>
              <w:t>)</w:t>
            </w:r>
          </w:p>
          <w:p w:rsidR="004C2EE3" w:rsidP="003F4DE0" w14:paraId="36CBF09C" w14:textId="77777777">
            <w:pPr>
              <w:widowControl/>
              <w:tabs>
                <w:tab w:val="center" w:pos="4680"/>
              </w:tabs>
              <w:suppressAutoHyphens/>
              <w:rPr>
                <w:b/>
                <w:spacing w:val="-2"/>
              </w:rPr>
            </w:pPr>
            <w:r>
              <w:rPr>
                <w:b/>
                <w:spacing w:val="-2"/>
              </w:rPr>
              <w:t>)</w:t>
            </w:r>
          </w:p>
          <w:p w:rsidR="004C2EE3" w:rsidP="003F4DE0" w14:paraId="48DA5C20" w14:textId="77777777">
            <w:pPr>
              <w:widowControl/>
              <w:tabs>
                <w:tab w:val="center" w:pos="4680"/>
              </w:tabs>
              <w:suppressAutoHyphens/>
              <w:rPr>
                <w:b/>
                <w:spacing w:val="-2"/>
              </w:rPr>
            </w:pPr>
            <w:r>
              <w:rPr>
                <w:b/>
                <w:spacing w:val="-2"/>
              </w:rPr>
              <w:t>)</w:t>
            </w:r>
          </w:p>
          <w:p w:rsidR="004C2EE3" w:rsidP="003F4DE0" w14:paraId="35025693" w14:textId="46196329">
            <w:pPr>
              <w:widowControl/>
              <w:tabs>
                <w:tab w:val="center" w:pos="4680"/>
              </w:tabs>
              <w:suppressAutoHyphens/>
              <w:rPr>
                <w:spacing w:val="-2"/>
              </w:rPr>
            </w:pPr>
            <w:r>
              <w:rPr>
                <w:b/>
                <w:spacing w:val="-2"/>
              </w:rPr>
              <w:t>)</w:t>
            </w:r>
          </w:p>
        </w:tc>
        <w:tc>
          <w:tcPr>
            <w:tcW w:w="4248" w:type="dxa"/>
          </w:tcPr>
          <w:p w:rsidR="004C2EE3" w:rsidP="003F4DE0" w14:paraId="35C01D4B" w14:textId="77777777">
            <w:pPr>
              <w:widowControl/>
              <w:tabs>
                <w:tab w:val="center" w:pos="4680"/>
              </w:tabs>
              <w:suppressAutoHyphens/>
              <w:rPr>
                <w:spacing w:val="-2"/>
              </w:rPr>
            </w:pPr>
          </w:p>
          <w:p w:rsidR="004C2EE3" w:rsidP="003F4DE0" w14:paraId="2630A28F" w14:textId="77777777">
            <w:pPr>
              <w:pStyle w:val="TOAHeading"/>
              <w:widowControl/>
              <w:tabs>
                <w:tab w:val="center" w:pos="4680"/>
                <w:tab w:val="clear" w:pos="9360"/>
              </w:tabs>
              <w:rPr>
                <w:spacing w:val="-2"/>
              </w:rPr>
            </w:pPr>
          </w:p>
          <w:p w:rsidR="004C2EE3" w:rsidP="003F4DE0" w14:paraId="32D91966" w14:textId="08889D35">
            <w:pPr>
              <w:widowControl/>
              <w:tabs>
                <w:tab w:val="center" w:pos="4680"/>
              </w:tabs>
              <w:suppressAutoHyphens/>
              <w:rPr>
                <w:spacing w:val="-2"/>
              </w:rPr>
            </w:pPr>
            <w:r>
              <w:rPr>
                <w:spacing w:val="-2"/>
              </w:rPr>
              <w:t>Facility ID No.</w:t>
            </w:r>
            <w:r w:rsidR="000C54E3">
              <w:rPr>
                <w:spacing w:val="-2"/>
              </w:rPr>
              <w:t xml:space="preserve">: </w:t>
            </w:r>
            <w:r>
              <w:rPr>
                <w:spacing w:val="-2"/>
              </w:rPr>
              <w:t xml:space="preserve"> </w:t>
            </w:r>
            <w:r w:rsidRPr="00DB02FE" w:rsidR="00DB02FE">
              <w:rPr>
                <w:spacing w:val="-2"/>
              </w:rPr>
              <w:t>73136</w:t>
            </w:r>
          </w:p>
          <w:p w:rsidR="004C31FD" w:rsidP="003F4DE0" w14:paraId="4DB0228A" w14:textId="77E516D3">
            <w:pPr>
              <w:widowControl/>
              <w:tabs>
                <w:tab w:val="center" w:pos="4680"/>
              </w:tabs>
              <w:suppressAutoHyphens/>
              <w:rPr>
                <w:spacing w:val="-2"/>
              </w:rPr>
            </w:pPr>
            <w:r>
              <w:rPr>
                <w:spacing w:val="-2"/>
              </w:rPr>
              <w:t>NAL/Acct. No.</w:t>
            </w:r>
            <w:r w:rsidR="000C54E3">
              <w:rPr>
                <w:spacing w:val="-2"/>
              </w:rPr>
              <w:t xml:space="preserve">: </w:t>
            </w:r>
            <w:r>
              <w:rPr>
                <w:spacing w:val="-2"/>
              </w:rPr>
              <w:t xml:space="preserve"> </w:t>
            </w:r>
            <w:r w:rsidRPr="00727C88" w:rsidR="00727C88">
              <w:rPr>
                <w:spacing w:val="-2"/>
              </w:rPr>
              <w:t>202141420028</w:t>
            </w:r>
          </w:p>
          <w:p w:rsidR="004C31FD" w:rsidP="003F4DE0" w14:paraId="7929E2B8" w14:textId="30ACFA8C">
            <w:pPr>
              <w:widowControl/>
              <w:tabs>
                <w:tab w:val="center" w:pos="4680"/>
              </w:tabs>
              <w:suppressAutoHyphens/>
              <w:rPr>
                <w:spacing w:val="-2"/>
              </w:rPr>
            </w:pPr>
            <w:r>
              <w:rPr>
                <w:spacing w:val="-2"/>
              </w:rPr>
              <w:t xml:space="preserve">FRN: </w:t>
            </w:r>
            <w:r w:rsidR="000C54E3">
              <w:rPr>
                <w:spacing w:val="-2"/>
              </w:rPr>
              <w:t xml:space="preserve"> </w:t>
            </w:r>
            <w:r w:rsidRPr="00DB02FE" w:rsidR="00DB02FE">
              <w:rPr>
                <w:spacing w:val="-2"/>
              </w:rPr>
              <w:t>0018223693</w:t>
            </w:r>
            <w:r w:rsidRPr="00DB02FE" w:rsidR="00DB02FE">
              <w:rPr>
                <w:spacing w:val="-2"/>
              </w:rPr>
              <w:t xml:space="preserve"> </w:t>
            </w:r>
          </w:p>
          <w:p w:rsidR="004C31FD" w:rsidP="003F4DE0" w14:paraId="56EB9DD6" w14:textId="6E5E8464">
            <w:pPr>
              <w:widowControl/>
              <w:tabs>
                <w:tab w:val="center" w:pos="4680"/>
              </w:tabs>
              <w:suppressAutoHyphens/>
              <w:rPr>
                <w:spacing w:val="-2"/>
              </w:rPr>
            </w:pPr>
            <w:r>
              <w:rPr>
                <w:spacing w:val="-2"/>
              </w:rPr>
              <w:t xml:space="preserve">LMS </w:t>
            </w:r>
            <w:r>
              <w:rPr>
                <w:spacing w:val="-2"/>
              </w:rPr>
              <w:t>File No.</w:t>
            </w:r>
            <w:r w:rsidR="000C54E3">
              <w:rPr>
                <w:spacing w:val="-2"/>
              </w:rPr>
              <w:t xml:space="preserve">: </w:t>
            </w:r>
            <w:r>
              <w:rPr>
                <w:spacing w:val="-2"/>
              </w:rPr>
              <w:t xml:space="preserve"> </w:t>
            </w:r>
            <w:bookmarkStart w:id="0" w:name="_Hlk85049268"/>
            <w:r w:rsidRPr="00DB02FE" w:rsidR="00DB02FE">
              <w:rPr>
                <w:spacing w:val="-2"/>
              </w:rPr>
              <w:t>0000123387</w:t>
            </w:r>
            <w:bookmarkEnd w:id="0"/>
            <w:r w:rsidRPr="00DB02FE" w:rsidR="00DB02FE">
              <w:rPr>
                <w:spacing w:val="-2"/>
              </w:rPr>
              <w:t xml:space="preserve"> </w:t>
            </w:r>
          </w:p>
        </w:tc>
      </w:tr>
    </w:tbl>
    <w:p w:rsidR="004C2EE3" w:rsidP="003F4DE0" w14:paraId="79BF4F7D" w14:textId="77777777">
      <w:pPr>
        <w:widowControl/>
      </w:pPr>
    </w:p>
    <w:p w:rsidR="004C31FD" w:rsidP="003F4DE0" w14:paraId="29B3CAFB" w14:textId="069F2BBA">
      <w:pPr>
        <w:pStyle w:val="StyleBoldCentered"/>
        <w:widowControl/>
      </w:pPr>
      <w:r>
        <w:t>NOTICE OF APPARENT LIABILITY FOR FORFEITURE</w:t>
      </w:r>
      <w:r w:rsidR="006178AD">
        <w:t xml:space="preserve"> and </w:t>
      </w:r>
      <w:r w:rsidR="00FE0AE1">
        <w:t>ADMONISHMENT</w:t>
      </w:r>
    </w:p>
    <w:p w:rsidR="004C2EE3" w:rsidP="003F4DE0" w14:paraId="717EB8F3" w14:textId="77777777">
      <w:pPr>
        <w:widowControl/>
        <w:tabs>
          <w:tab w:val="left" w:pos="-720"/>
        </w:tabs>
        <w:suppressAutoHyphens/>
        <w:spacing w:line="227" w:lineRule="auto"/>
        <w:rPr>
          <w:spacing w:val="-2"/>
        </w:rPr>
      </w:pPr>
    </w:p>
    <w:p w:rsidR="004C2EE3" w:rsidP="003F4DE0" w14:paraId="258A4434" w14:textId="2D6A1A5E">
      <w:pPr>
        <w:widowControl/>
        <w:tabs>
          <w:tab w:val="left" w:pos="720"/>
          <w:tab w:val="right" w:pos="9360"/>
        </w:tabs>
        <w:suppressAutoHyphens/>
        <w:spacing w:line="227" w:lineRule="auto"/>
        <w:rPr>
          <w:spacing w:val="-2"/>
        </w:rPr>
      </w:pPr>
      <w:r>
        <w:rPr>
          <w:b/>
          <w:spacing w:val="-2"/>
        </w:rPr>
        <w:t xml:space="preserve">Adopted:  </w:t>
      </w:r>
      <w:r w:rsidR="00F234DF">
        <w:rPr>
          <w:b/>
          <w:spacing w:val="-2"/>
        </w:rPr>
        <w:t>November 30,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234DF">
        <w:rPr>
          <w:b/>
          <w:spacing w:val="-2"/>
        </w:rPr>
        <w:t>December 1, 2021</w:t>
      </w:r>
    </w:p>
    <w:p w:rsidR="00822CE0" w:rsidP="003F4DE0" w14:paraId="44675788" w14:textId="77777777">
      <w:pPr>
        <w:widowControl/>
      </w:pPr>
    </w:p>
    <w:p w:rsidR="004C2EE3" w:rsidP="003F4DE0" w14:paraId="4B95D1AD" w14:textId="77777777">
      <w:pPr>
        <w:widowControl/>
        <w:rPr>
          <w:spacing w:val="-2"/>
        </w:rPr>
      </w:pPr>
      <w:r>
        <w:t xml:space="preserve">By </w:t>
      </w:r>
      <w:r w:rsidR="004E4A22">
        <w:t>the</w:t>
      </w:r>
      <w:r w:rsidR="002A2D2E">
        <w:t xml:space="preserve"> </w:t>
      </w:r>
      <w:r w:rsidR="004C31FD">
        <w:rPr>
          <w:spacing w:val="-2"/>
        </w:rPr>
        <w:t>Chief, Video Division, Media Bureau:</w:t>
      </w:r>
    </w:p>
    <w:p w:rsidR="00822CE0" w:rsidP="003F4DE0" w14:paraId="4D99A872" w14:textId="77777777">
      <w:pPr>
        <w:widowControl/>
        <w:rPr>
          <w:spacing w:val="-2"/>
        </w:rPr>
      </w:pPr>
    </w:p>
    <w:p w:rsidR="00412FC5" w:rsidP="003F4DE0" w14:paraId="1AE00C03" w14:textId="77777777">
      <w:pPr>
        <w:pStyle w:val="Heading1"/>
        <w:widowControl/>
      </w:pPr>
      <w:r>
        <w:t>INTRODUCTION</w:t>
      </w:r>
    </w:p>
    <w:p w:rsidR="008612AB" w:rsidP="008612AB" w14:paraId="18EFB4B4" w14:textId="7DE66039">
      <w:pPr>
        <w:pStyle w:val="ParaNum"/>
        <w:widowControl/>
        <w:tabs>
          <w:tab w:val="clear" w:pos="1080"/>
          <w:tab w:val="num" w:pos="1440"/>
        </w:tabs>
      </w:pPr>
      <w:r>
        <w:t>The Media Bureau</w:t>
      </w:r>
      <w:r w:rsidR="005A364D">
        <w:t xml:space="preserve"> (Bureau)</w:t>
      </w:r>
      <w:r>
        <w:t xml:space="preserve"> has before it the application (Application)</w:t>
      </w:r>
      <w:r>
        <w:rPr>
          <w:rStyle w:val="FootnoteReference"/>
        </w:rPr>
        <w:footnoteReference w:id="3"/>
      </w:r>
      <w:r>
        <w:t xml:space="preserve"> of </w:t>
      </w:r>
      <w:r w:rsidR="00156590">
        <w:t>Gray Television Licensee, LLC, dba WJHG-TV</w:t>
      </w:r>
      <w:r>
        <w:t xml:space="preserve"> (Licensee), for renewal of </w:t>
      </w:r>
      <w:r w:rsidR="00D57CBE">
        <w:t xml:space="preserve">its </w:t>
      </w:r>
      <w:r>
        <w:t xml:space="preserve">license for </w:t>
      </w:r>
      <w:r w:rsidR="00156590">
        <w:t>WJHG-TV</w:t>
      </w:r>
      <w:r w:rsidR="00714C07">
        <w:t>,</w:t>
      </w:r>
      <w:r w:rsidR="00156590">
        <w:t xml:space="preserve"> Panama City, Florida</w:t>
      </w:r>
      <w:r w:rsidR="004F7FAF">
        <w:t xml:space="preserve"> </w:t>
      </w:r>
      <w:r>
        <w:t xml:space="preserve">(Station).  In this </w:t>
      </w:r>
      <w:r w:rsidRPr="004C31FD">
        <w:rPr>
          <w:i/>
        </w:rPr>
        <w:t xml:space="preserve">Notice of Apparent Liability for Forfeiture </w:t>
      </w:r>
      <w:r w:rsidR="00FE0AE1">
        <w:rPr>
          <w:i/>
        </w:rPr>
        <w:t xml:space="preserve">and Admonishment </w:t>
      </w:r>
      <w:r w:rsidRPr="00E92BFB">
        <w:rPr>
          <w:iCs/>
        </w:rPr>
        <w:t>(</w:t>
      </w:r>
      <w:r w:rsidRPr="004C31FD">
        <w:rPr>
          <w:i/>
        </w:rPr>
        <w:t>NAL</w:t>
      </w:r>
      <w:r w:rsidR="00FE0AE1">
        <w:rPr>
          <w:i/>
        </w:rPr>
        <w:t xml:space="preserve"> and Admonishment</w:t>
      </w:r>
      <w:r w:rsidRPr="00E92BFB">
        <w:rPr>
          <w:iCs/>
        </w:rPr>
        <w:t>)</w:t>
      </w:r>
      <w:r>
        <w:t>, we find the Licensee apparently willfully</w:t>
      </w:r>
      <w:r w:rsidR="00E50509">
        <w:t xml:space="preserve"> and/or repeatedly</w:t>
      </w:r>
      <w:r>
        <w:t xml:space="preserve"> violated the </w:t>
      </w:r>
      <w:r w:rsidR="00EA0773">
        <w:t>Commission’s rules (Rules)</w:t>
      </w:r>
      <w:r w:rsidR="00F5556E">
        <w:t xml:space="preserve"> </w:t>
      </w:r>
      <w:r>
        <w:t xml:space="preserve">by failing to timely file </w:t>
      </w:r>
      <w:r w:rsidRPr="00AA6D20" w:rsidR="00AA6D20">
        <w:t>the Station’s quarterly TV issues/programs lists in violation of section 73.3526(e)(11)(i).</w:t>
      </w:r>
      <w:r>
        <w:rPr>
          <w:vertAlign w:val="superscript"/>
        </w:rPr>
        <w:footnoteReference w:id="4"/>
      </w:r>
      <w:r>
        <w:t xml:space="preserve">  Based upon our review of the facts and circumstances before us, we conclude that the Licensee is apparently liable for a monetary forfeiture in the amount </w:t>
      </w:r>
      <w:r w:rsidRPr="00D35133">
        <w:t xml:space="preserve">of </w:t>
      </w:r>
      <w:r w:rsidRPr="00760074" w:rsidR="004625BF">
        <w:t>six</w:t>
      </w:r>
      <w:r w:rsidRPr="00760074" w:rsidR="00463A98">
        <w:t xml:space="preserve"> </w:t>
      </w:r>
      <w:r w:rsidRPr="00760074">
        <w:t>thousand dollars ($</w:t>
      </w:r>
      <w:r w:rsidRPr="00760074" w:rsidR="004625BF">
        <w:t>6</w:t>
      </w:r>
      <w:r w:rsidRPr="00760074">
        <w:t>,000)</w:t>
      </w:r>
      <w:r w:rsidRPr="004625BF">
        <w:t>.</w:t>
      </w:r>
      <w:r>
        <w:t xml:space="preserve">  </w:t>
      </w:r>
      <w:r w:rsidRPr="003F000A" w:rsidR="003F000A">
        <w:t xml:space="preserve">We also find that the Licensee apparently willfully violated </w:t>
      </w:r>
      <w:r>
        <w:t>s</w:t>
      </w:r>
      <w:r w:rsidRPr="003F000A" w:rsidR="003F000A">
        <w:t>ection 73.</w:t>
      </w:r>
      <w:r w:rsidR="003F000A">
        <w:t>670</w:t>
      </w:r>
      <w:r w:rsidRPr="003F000A" w:rsidR="003F000A">
        <w:t>(b) of the Rules</w:t>
      </w:r>
      <w:r>
        <w:t xml:space="preserve"> by failing to comply with the limits on commercial matter in Children’s programming and we </w:t>
      </w:r>
      <w:r w:rsidRPr="003F000A">
        <w:t>hereby admonish the Licensee for this violatio</w:t>
      </w:r>
      <w:r>
        <w:t>n</w:t>
      </w:r>
      <w:r w:rsidR="00025F37">
        <w:t>.</w:t>
      </w:r>
      <w:r>
        <w:rPr>
          <w:rStyle w:val="FootnoteReference"/>
        </w:rPr>
        <w:footnoteReference w:id="5"/>
      </w:r>
      <w:r w:rsidR="00025F37">
        <w:t xml:space="preserve">  </w:t>
      </w:r>
    </w:p>
    <w:p w:rsidR="005005A5" w:rsidP="003F4DE0" w14:paraId="59E83F9F" w14:textId="77777777">
      <w:pPr>
        <w:pStyle w:val="Heading1"/>
        <w:widowControl/>
      </w:pPr>
      <w:r>
        <w:t>BACKGROUND</w:t>
      </w:r>
    </w:p>
    <w:p w:rsidR="008570F8" w:rsidRPr="00310ACA" w:rsidP="003F4DE0" w14:paraId="693E6F4A" w14:textId="30458081">
      <w:pPr>
        <w:pStyle w:val="ParaNum"/>
        <w:widowControl/>
        <w:tabs>
          <w:tab w:val="clear" w:pos="1080"/>
          <w:tab w:val="num" w:pos="1440"/>
        </w:tabs>
      </w:pPr>
      <w:bookmarkStart w:id="1" w:name="_Hlk60913847"/>
      <w:r w:rsidRPr="00C70247">
        <w:rPr>
          <w:szCs w:val="22"/>
        </w:rPr>
        <w:t>S</w:t>
      </w:r>
      <w:r w:rsidRPr="00B277C6">
        <w:rPr>
          <w:szCs w:val="22"/>
        </w:rPr>
        <w:t>ection</w:t>
      </w:r>
      <w:r>
        <w:rPr>
          <w:szCs w:val="22"/>
        </w:rPr>
        <w:t xml:space="preserve"> 73.3526(e)(11)(i) of the Rules requires every commercial television licensee to place in its Online Public Inspection File (OPIF), on a quarterly basis, a list </w:t>
      </w:r>
      <w:r w:rsidR="002E4A9A">
        <w:rPr>
          <w:szCs w:val="22"/>
        </w:rPr>
        <w:t xml:space="preserve">(TV issues/programs list) </w:t>
      </w:r>
      <w:r>
        <w:rPr>
          <w:szCs w:val="22"/>
        </w:rPr>
        <w:t>that details programs that have provided the station’s most significant treatment of community issues during the preceding three month period and must include a brief narrative of the issues addressed, as well as the time, date, duration, and title of each program in which the issues were treated.</w:t>
      </w:r>
      <w:r>
        <w:rPr>
          <w:rStyle w:val="FootnoteReference"/>
          <w:szCs w:val="22"/>
        </w:rPr>
        <w:footnoteReference w:id="6"/>
      </w:r>
      <w:r>
        <w:rPr>
          <w:szCs w:val="22"/>
        </w:rPr>
        <w:t xml:space="preserve">  TV issues/programs lists must be placed in the </w:t>
      </w:r>
      <w:r w:rsidR="00455E06">
        <w:rPr>
          <w:szCs w:val="22"/>
        </w:rPr>
        <w:t xml:space="preserve">station’s </w:t>
      </w:r>
      <w:r>
        <w:rPr>
          <w:szCs w:val="22"/>
        </w:rPr>
        <w:t>OPIF by the tenth day of the succeeding calendar quarter and copies must be retained until final action on the station’s next license renewal application.</w:t>
      </w:r>
      <w:r>
        <w:rPr>
          <w:rStyle w:val="FootnoteReference"/>
          <w:szCs w:val="22"/>
        </w:rPr>
        <w:footnoteReference w:id="7"/>
      </w:r>
    </w:p>
    <w:p w:rsidR="005D048E" w:rsidP="00727C88" w14:paraId="6FF52122" w14:textId="0D372FDB">
      <w:pPr>
        <w:pStyle w:val="ParaNum"/>
        <w:widowControl/>
      </w:pPr>
      <w:r>
        <w:rPr>
          <w:rFonts w:eastAsia="Calibri"/>
        </w:rPr>
        <w:t xml:space="preserve">In addition, Congress directed the Commission in 1990 to create rules that, </w:t>
      </w:r>
      <w:r w:rsidRPr="00B9046A">
        <w:rPr>
          <w:rFonts w:eastAsia="Calibri"/>
          <w:i/>
          <w:iCs/>
        </w:rPr>
        <w:t>inter alia</w:t>
      </w:r>
      <w:r w:rsidRPr="00AA3FCC">
        <w:rPr>
          <w:rFonts w:eastAsia="Calibri"/>
        </w:rPr>
        <w:t>,</w:t>
      </w:r>
      <w:r>
        <w:rPr>
          <w:rFonts w:eastAsia="Calibri"/>
        </w:rPr>
        <w:t xml:space="preserve"> limit the amount of commercial matter that commercial television stations may air during children’s programming.</w:t>
      </w:r>
      <w:r>
        <w:rPr>
          <w:rStyle w:val="FootnoteReference"/>
          <w:rFonts w:eastAsia="Calibri"/>
          <w:sz w:val="22"/>
          <w:szCs w:val="22"/>
        </w:rPr>
        <w:footnoteReference w:id="8"/>
      </w:r>
      <w:r>
        <w:rPr>
          <w:rFonts w:eastAsia="Calibri"/>
        </w:rPr>
        <w:t xml:space="preserve">  Pursuant to this mandate, the Commission adopted section </w:t>
      </w:r>
      <w:r w:rsidRPr="006C68D5">
        <w:rPr>
          <w:rFonts w:eastAsia="Calibri"/>
        </w:rPr>
        <w:t>73.</w:t>
      </w:r>
      <w:r>
        <w:rPr>
          <w:rFonts w:eastAsia="Calibri"/>
        </w:rPr>
        <w:t>670</w:t>
      </w:r>
      <w:r w:rsidRPr="006C68D5">
        <w:rPr>
          <w:rFonts w:eastAsia="Calibri"/>
        </w:rPr>
        <w:t xml:space="preserve"> of the Rules</w:t>
      </w:r>
      <w:r>
        <w:rPr>
          <w:rFonts w:eastAsia="Calibri"/>
        </w:rPr>
        <w:t xml:space="preserve">, which limits the amount of </w:t>
      </w:r>
      <w:r w:rsidRPr="00D86DDE">
        <w:rPr>
          <w:rFonts w:eastAsia="Calibri"/>
        </w:rPr>
        <w:t>commercial mat</w:t>
      </w:r>
      <w:r>
        <w:rPr>
          <w:rFonts w:eastAsia="Calibri"/>
        </w:rPr>
        <w:t>ter</w:t>
      </w:r>
      <w:r w:rsidRPr="00D86DDE">
        <w:rPr>
          <w:rFonts w:eastAsia="Calibri"/>
        </w:rPr>
        <w:t xml:space="preserve"> </w:t>
      </w:r>
      <w:r>
        <w:rPr>
          <w:rFonts w:eastAsia="Calibri"/>
        </w:rPr>
        <w:t>that</w:t>
      </w:r>
      <w:r w:rsidRPr="00D86DDE">
        <w:rPr>
          <w:rFonts w:eastAsia="Calibri"/>
        </w:rPr>
        <w:t xml:space="preserve"> may be aired during children</w:t>
      </w:r>
      <w:r>
        <w:rPr>
          <w:rFonts w:eastAsia="Calibri"/>
        </w:rPr>
        <w:t>’</w:t>
      </w:r>
      <w:r w:rsidRPr="00D86DDE">
        <w:rPr>
          <w:rFonts w:eastAsia="Calibri"/>
        </w:rPr>
        <w:t>s programming to 10.5 minutes per hour on weekends and 12 minutes per hour on weekdays.</w:t>
      </w:r>
      <w:r>
        <w:rPr>
          <w:rStyle w:val="FootnoteReference"/>
          <w:rFonts w:eastAsia="Calibri"/>
          <w:sz w:val="22"/>
          <w:szCs w:val="22"/>
        </w:rPr>
        <w:footnoteReference w:id="9"/>
      </w:r>
      <w:r>
        <w:rPr>
          <w:rFonts w:eastAsia="Calibri"/>
        </w:rPr>
        <w:t xml:space="preserve">  </w:t>
      </w:r>
      <w:r>
        <w:t xml:space="preserve">In furtherance of the CTA’s underlying purpose to protect children from excessive and inappropriate commercial messages, section </w:t>
      </w:r>
      <w:bookmarkStart w:id="2" w:name="_Hlk88049182"/>
      <w:r>
        <w:t>73.670(b) of the Rules</w:t>
      </w:r>
      <w:bookmarkEnd w:id="2"/>
      <w:r>
        <w:t xml:space="preserve"> restricts the </w:t>
      </w:r>
      <w:r w:rsidRPr="00400CBB">
        <w:t>display of Internet web addresses during programming directed at children ages 12 and under.</w:t>
      </w:r>
      <w:r>
        <w:rPr>
          <w:rStyle w:val="FootnoteReference"/>
          <w:sz w:val="22"/>
          <w:szCs w:val="22"/>
        </w:rPr>
        <w:footnoteReference w:id="10"/>
      </w:r>
      <w:r>
        <w:t xml:space="preserve">   </w:t>
      </w:r>
    </w:p>
    <w:p w:rsidR="005D048E" w:rsidRPr="00310ACA" w:rsidP="00310ACA" w14:paraId="755F9C1E" w14:textId="7690B539">
      <w:pPr>
        <w:pStyle w:val="ParaNum"/>
        <w:rPr>
          <w:rFonts w:eastAsia="Calibri"/>
        </w:rPr>
      </w:pPr>
      <w:r>
        <w:t xml:space="preserve">Specifically, </w:t>
      </w:r>
      <w:r w:rsidR="00310ACA">
        <w:t>s</w:t>
      </w:r>
      <w:r>
        <w:t xml:space="preserve">ection 73.670(b) permits the display of Internet website addresses during program material or promotional material not counted as commercial time </w:t>
      </w:r>
      <w:r w:rsidRPr="00400CBB">
        <w:rPr>
          <w:i/>
          <w:iCs/>
        </w:rPr>
        <w:t>only</w:t>
      </w:r>
      <w:r>
        <w:t xml:space="preserve"> if it meets the following four prong test:  (1) the website offers a substantial amount of </w:t>
      </w:r>
      <w:r w:rsidRPr="00AA3FCC">
        <w:t>bona fide</w:t>
      </w:r>
      <w:r>
        <w:rPr>
          <w:i/>
          <w:iCs/>
        </w:rPr>
        <w:t xml:space="preserve"> </w:t>
      </w:r>
      <w:r>
        <w:t>program-related or other noncommercial content; (2) the website is not primarily intended for commercial purposes, including either e-commerce or advertising; (3) the website’s home page and other menu pages are clearly labeled to distinguish the noncommercial from the commercial sections; and (4) the page of the website to which viewers are directed by the website address is not used for e-commerce, advertising, or other commercial purposes (</w:t>
      </w:r>
      <w:r w:rsidRPr="00B37A3C">
        <w:t>e.g.,</w:t>
      </w:r>
      <w:r>
        <w:t xml:space="preserve"> contains no links labeled “store” and no links to another page with commercial material).</w:t>
      </w:r>
      <w:r>
        <w:rPr>
          <w:rStyle w:val="FootnoteReference"/>
          <w:sz w:val="22"/>
          <w:szCs w:val="22"/>
        </w:rPr>
        <w:footnoteReference w:id="11"/>
      </w:r>
    </w:p>
    <w:p w:rsidR="009C4B91" w:rsidRPr="00C6451A" w:rsidP="003F4DE0" w14:paraId="231BDBF5" w14:textId="0A84EB7D">
      <w:pPr>
        <w:pStyle w:val="ParaNum"/>
        <w:widowControl/>
        <w:tabs>
          <w:tab w:val="clear" w:pos="1080"/>
          <w:tab w:val="num" w:pos="1440"/>
        </w:tabs>
      </w:pPr>
      <w:r>
        <w:t xml:space="preserve">On </w:t>
      </w:r>
      <w:r w:rsidR="00156590">
        <w:t>October 1, 2020</w:t>
      </w:r>
      <w:r>
        <w:t xml:space="preserve">, the Licensee filed its </w:t>
      </w:r>
      <w:r w:rsidR="009F74C3">
        <w:t>Application</w:t>
      </w:r>
      <w:r>
        <w:t xml:space="preserve">.  </w:t>
      </w:r>
      <w:r w:rsidRPr="00113F6B">
        <w:t xml:space="preserve">A staff inspection of the Station’s OPIF revealed that the Licensee </w:t>
      </w:r>
      <w:r w:rsidR="000702AE">
        <w:t>failed to upload</w:t>
      </w:r>
      <w:r w:rsidR="00032849">
        <w:t xml:space="preserve"> some </w:t>
      </w:r>
      <w:r w:rsidR="00B50E9E">
        <w:t xml:space="preserve">copies </w:t>
      </w:r>
      <w:r w:rsidR="00032849">
        <w:t xml:space="preserve">of </w:t>
      </w:r>
      <w:r w:rsidRPr="00113F6B">
        <w:t xml:space="preserve">its TV issues/programs lists </w:t>
      </w:r>
      <w:r w:rsidR="00004353">
        <w:t>by</w:t>
      </w:r>
      <w:r w:rsidRPr="00A6018A" w:rsidR="00004353">
        <w:t xml:space="preserve"> </w:t>
      </w:r>
      <w:r w:rsidRPr="00A6018A" w:rsidR="00113F6B">
        <w:t>the deadline established in section 73.3526(e)(11)(i)</w:t>
      </w:r>
      <w:r w:rsidR="00451357">
        <w:t xml:space="preserve"> of the Rules</w:t>
      </w:r>
      <w:r w:rsidRPr="00A6018A" w:rsidR="00113F6B">
        <w:t>.</w:t>
      </w:r>
      <w:r>
        <w:rPr>
          <w:rStyle w:val="FootnoteReference"/>
        </w:rPr>
        <w:footnoteReference w:id="12"/>
      </w:r>
      <w:r w:rsidR="00113F6B">
        <w:t xml:space="preserve">  </w:t>
      </w:r>
      <w:r w:rsidRPr="00760074" w:rsidR="00B053DA">
        <w:t xml:space="preserve">Specifically, it uploaded </w:t>
      </w:r>
      <w:r w:rsidRPr="00760074" w:rsidR="00EF42FF">
        <w:t>two</w:t>
      </w:r>
      <w:r w:rsidRPr="00760074" w:rsidR="00B053DA">
        <w:t xml:space="preserve"> lists more than one year late,  </w:t>
      </w:r>
      <w:r w:rsidRPr="00760074" w:rsidR="001E2E1A">
        <w:t xml:space="preserve">and seven </w:t>
      </w:r>
      <w:r w:rsidRPr="00760074" w:rsidR="00B053DA">
        <w:t>lists between one month and one year late</w:t>
      </w:r>
      <w:r w:rsidR="001E2E1A">
        <w:t>.</w:t>
      </w:r>
      <w:r>
        <w:t xml:space="preserve">  </w:t>
      </w:r>
      <w:r w:rsidRPr="00760074">
        <w:t>The Licensee did not provide any explanation for its failure to upload these TV issues/programs lists in a timely manner.</w:t>
      </w:r>
      <w:r w:rsidR="00207DC3">
        <w:t xml:space="preserve">  In addition, </w:t>
      </w:r>
      <w:r w:rsidR="007B2A14">
        <w:t xml:space="preserve">the Licensee disclosed in its Application that </w:t>
      </w:r>
      <w:r w:rsidR="00207DC3">
        <w:t xml:space="preserve">the Station broadcast </w:t>
      </w:r>
      <w:r w:rsidRPr="00596BA3" w:rsidR="00207DC3">
        <w:t>the URL address for the website “www.lazytown.com” during the closing credits of an episode of the children’s program “</w:t>
      </w:r>
      <w:r w:rsidRPr="00596BA3" w:rsidR="00207DC3">
        <w:t>LazyTown</w:t>
      </w:r>
      <w:r w:rsidRPr="00596BA3" w:rsidR="00207DC3">
        <w:t>”</w:t>
      </w:r>
      <w:r w:rsidR="00207DC3">
        <w:t xml:space="preserve"> </w:t>
      </w:r>
      <w:r w:rsidR="007B2A14">
        <w:t xml:space="preserve">that aired </w:t>
      </w:r>
      <w:r w:rsidR="00207DC3">
        <w:t>on October 12, 2013</w:t>
      </w:r>
      <w:r w:rsidR="007B2A14">
        <w:t xml:space="preserve">, which is a violation of section </w:t>
      </w:r>
      <w:r w:rsidRPr="007B2A14" w:rsidR="007B2A14">
        <w:t>73.670(b) of the Rules</w:t>
      </w:r>
      <w:r w:rsidR="00207DC3">
        <w:t>.</w:t>
      </w:r>
      <w:r>
        <w:rPr>
          <w:rStyle w:val="FootnoteReference"/>
        </w:rPr>
        <w:footnoteReference w:id="13"/>
      </w:r>
      <w:r w:rsidR="00C24D76">
        <w:t xml:space="preserve">  </w:t>
      </w:r>
      <w:r w:rsidRPr="00A5765C" w:rsidR="00C24D76">
        <w:rPr>
          <w:rFonts w:eastAsia="Calibri"/>
          <w:szCs w:val="22"/>
        </w:rPr>
        <w:t xml:space="preserve">The Licensee states the program was part of the educational and informational programming block supplied to </w:t>
      </w:r>
      <w:r w:rsidR="00C24D76">
        <w:rPr>
          <w:rFonts w:eastAsia="Calibri"/>
          <w:szCs w:val="22"/>
        </w:rPr>
        <w:t xml:space="preserve">it and other </w:t>
      </w:r>
      <w:r w:rsidRPr="00A5765C" w:rsidR="00C24D76">
        <w:rPr>
          <w:rFonts w:eastAsia="Calibri"/>
          <w:szCs w:val="22"/>
        </w:rPr>
        <w:t>NBC affiliates by Sprout.</w:t>
      </w:r>
      <w:r>
        <w:rPr>
          <w:rStyle w:val="FootnoteReference"/>
          <w:rFonts w:eastAsia="Calibri"/>
          <w:sz w:val="22"/>
          <w:szCs w:val="22"/>
        </w:rPr>
        <w:footnoteReference w:id="14"/>
      </w:r>
      <w:r w:rsidRPr="00A5765C" w:rsidR="00C24D76">
        <w:rPr>
          <w:rFonts w:eastAsia="Calibri"/>
          <w:szCs w:val="22"/>
        </w:rPr>
        <w:t xml:space="preserve"> </w:t>
      </w:r>
      <w:r w:rsidR="00C24D76">
        <w:rPr>
          <w:rFonts w:eastAsia="Calibri"/>
          <w:szCs w:val="22"/>
        </w:rPr>
        <w:t xml:space="preserve"> NBC notified its affiliates that </w:t>
      </w:r>
      <w:r w:rsidRPr="00A5765C" w:rsidR="00C24D76">
        <w:rPr>
          <w:rFonts w:eastAsia="Calibri"/>
          <w:szCs w:val="22"/>
        </w:rPr>
        <w:t xml:space="preserve">the website address </w:t>
      </w:r>
      <w:r w:rsidR="00C24D76">
        <w:rPr>
          <w:rFonts w:eastAsia="Calibri"/>
          <w:szCs w:val="22"/>
        </w:rPr>
        <w:t xml:space="preserve">was </w:t>
      </w:r>
      <w:r w:rsidRPr="00A5765C" w:rsidR="00C24D76">
        <w:rPr>
          <w:rFonts w:eastAsia="Calibri"/>
          <w:szCs w:val="22"/>
        </w:rPr>
        <w:t>“inadvertent</w:t>
      </w:r>
      <w:r w:rsidR="00C24D76">
        <w:rPr>
          <w:rFonts w:eastAsia="Calibri"/>
          <w:szCs w:val="22"/>
        </w:rPr>
        <w:t>ly included</w:t>
      </w:r>
      <w:r w:rsidRPr="00A5765C" w:rsidR="00C24D76">
        <w:rPr>
          <w:rFonts w:eastAsia="Calibri"/>
          <w:szCs w:val="22"/>
        </w:rPr>
        <w:t xml:space="preserve">” and “fleeting.” </w:t>
      </w:r>
      <w:r w:rsidR="00C24D76">
        <w:rPr>
          <w:rFonts w:eastAsia="Calibri"/>
          <w:szCs w:val="22"/>
        </w:rPr>
        <w:t xml:space="preserve"> </w:t>
      </w:r>
      <w:r w:rsidRPr="00A5765C" w:rsidR="00C24D76">
        <w:rPr>
          <w:rFonts w:eastAsia="Calibri"/>
          <w:szCs w:val="22"/>
        </w:rPr>
        <w:t xml:space="preserve">The Licensee </w:t>
      </w:r>
      <w:r w:rsidR="00C24D76">
        <w:rPr>
          <w:rFonts w:eastAsia="Calibri"/>
          <w:szCs w:val="22"/>
        </w:rPr>
        <w:t xml:space="preserve">notes </w:t>
      </w:r>
      <w:r w:rsidRPr="00A5765C" w:rsidR="00C24D76">
        <w:rPr>
          <w:rFonts w:eastAsia="Calibri"/>
          <w:szCs w:val="22"/>
        </w:rPr>
        <w:t xml:space="preserve">that NBC </w:t>
      </w:r>
      <w:r w:rsidR="00C24D76">
        <w:rPr>
          <w:rFonts w:eastAsia="Calibri"/>
          <w:szCs w:val="22"/>
        </w:rPr>
        <w:t>stated it</w:t>
      </w:r>
      <w:r w:rsidRPr="00A5765C" w:rsidR="00C24D76">
        <w:rPr>
          <w:rFonts w:eastAsia="Calibri"/>
          <w:szCs w:val="22"/>
        </w:rPr>
        <w:t xml:space="preserve"> </w:t>
      </w:r>
      <w:r w:rsidR="00C24D76">
        <w:rPr>
          <w:rFonts w:eastAsia="Calibri"/>
          <w:szCs w:val="22"/>
        </w:rPr>
        <w:t>was</w:t>
      </w:r>
      <w:r w:rsidRPr="00A5765C" w:rsidR="00C24D76">
        <w:rPr>
          <w:rFonts w:eastAsia="Calibri"/>
          <w:szCs w:val="22"/>
        </w:rPr>
        <w:t xml:space="preserve"> working with Sprout to</w:t>
      </w:r>
      <w:r w:rsidR="00C24D76">
        <w:rPr>
          <w:rFonts w:eastAsia="Calibri"/>
          <w:szCs w:val="22"/>
        </w:rPr>
        <w:t xml:space="preserve"> prevent future incidents.</w:t>
      </w:r>
      <w:r>
        <w:rPr>
          <w:rStyle w:val="FootnoteReference"/>
          <w:rFonts w:eastAsia="Calibri"/>
          <w:sz w:val="22"/>
          <w:szCs w:val="22"/>
        </w:rPr>
        <w:footnoteReference w:id="15"/>
      </w:r>
    </w:p>
    <w:bookmarkEnd w:id="1"/>
    <w:p w:rsidR="00AD6D78" w:rsidP="003F4DE0" w14:paraId="7A515AF9" w14:textId="77777777">
      <w:pPr>
        <w:pStyle w:val="Heading1"/>
        <w:widowControl/>
      </w:pPr>
      <w:r>
        <w:t>DISCUSSION</w:t>
      </w:r>
    </w:p>
    <w:p w:rsidR="00AD6D78" w:rsidP="003F4DE0" w14:paraId="1E1BFD44" w14:textId="30B5ADD0">
      <w:pPr>
        <w:pStyle w:val="ParaNum"/>
        <w:widowControl/>
        <w:tabs>
          <w:tab w:val="clear" w:pos="1080"/>
          <w:tab w:val="num" w:pos="1440"/>
        </w:tabs>
      </w:pPr>
      <w:r w:rsidRPr="00A20203">
        <w:rPr>
          <w:i/>
        </w:rPr>
        <w:t xml:space="preserve">Proposed Forfeiture.  </w:t>
      </w:r>
      <w:r w:rsidRPr="00A20203" w:rsidR="00A20203">
        <w:rPr>
          <w:iCs/>
        </w:rPr>
        <w:t xml:space="preserve">We </w:t>
      </w:r>
      <w:r w:rsidRPr="00A20203" w:rsidR="00A20203">
        <w:rPr>
          <w:szCs w:val="22"/>
        </w:rPr>
        <w:t>find</w:t>
      </w:r>
      <w:r w:rsidRPr="00A20203" w:rsidR="00A20203">
        <w:rPr>
          <w:iCs/>
        </w:rPr>
        <w:t xml:space="preserve"> that the Licensee is apparently liable for a forfeiture in the amount of </w:t>
      </w:r>
      <w:r w:rsidRPr="00760074" w:rsidR="009B7578">
        <w:t>$</w:t>
      </w:r>
      <w:r w:rsidRPr="00760074" w:rsidR="004625BF">
        <w:t>6</w:t>
      </w:r>
      <w:r w:rsidRPr="00760074" w:rsidR="009B7578">
        <w:t>,000</w:t>
      </w:r>
      <w:r w:rsidRPr="00A20203" w:rsidR="00A20203">
        <w:rPr>
          <w:iCs/>
        </w:rPr>
        <w:t>.</w:t>
      </w:r>
      <w:r>
        <w:rPr>
          <w:vertAlign w:val="superscript"/>
        </w:rPr>
        <w:footnoteReference w:id="16"/>
      </w:r>
      <w:r w:rsidRPr="00A20203" w:rsidR="00A20203">
        <w:rPr>
          <w:iCs/>
        </w:rPr>
        <w:t xml:space="preserve">  The </w:t>
      </w:r>
      <w:r w:rsidRPr="00A20203" w:rsidR="00A20203">
        <w:rPr>
          <w:szCs w:val="22"/>
        </w:rPr>
        <w:t>Licensee</w:t>
      </w:r>
      <w:r w:rsidRPr="00A20203" w:rsidR="00A20203">
        <w:rPr>
          <w:iCs/>
        </w:rPr>
        <w:t xml:space="preserve"> failed to upload in a timely manner to the Station’s OPIF copies of the </w:t>
      </w:r>
      <w:r w:rsidRPr="00A20203" w:rsidR="00A20203">
        <w:rPr>
          <w:iCs/>
        </w:rPr>
        <w:t xml:space="preserve">Station’s TV issue/programs lists for </w:t>
      </w:r>
      <w:r w:rsidR="00B11897">
        <w:rPr>
          <w:iCs/>
        </w:rPr>
        <w:t>nine</w:t>
      </w:r>
      <w:r w:rsidRPr="00A20203" w:rsidR="00A20203">
        <w:rPr>
          <w:iCs/>
        </w:rPr>
        <w:t xml:space="preserve"> quarters</w:t>
      </w:r>
      <w:r w:rsidR="00496BE3">
        <w:rPr>
          <w:i/>
        </w:rPr>
        <w:t>.</w:t>
      </w:r>
      <w:r w:rsidRPr="00A20203" w:rsidR="00A20203">
        <w:rPr>
          <w:iCs/>
        </w:rPr>
        <w:t xml:space="preserve"> </w:t>
      </w:r>
      <w:r w:rsidR="00BB55BB">
        <w:rPr>
          <w:iCs/>
        </w:rPr>
        <w:t xml:space="preserve"> </w:t>
      </w:r>
      <w:r w:rsidRPr="00A20203" w:rsidR="00A20203">
        <w:rPr>
          <w:iCs/>
        </w:rPr>
        <w:t>These late filings constitute an apparent willful and/or repeated violation of section 73.3526(e)(11)(i) of the Rules.</w:t>
      </w:r>
      <w:r>
        <w:rPr>
          <w:vertAlign w:val="superscript"/>
        </w:rPr>
        <w:footnoteReference w:id="17"/>
      </w:r>
      <w:r w:rsidR="00207DC3">
        <w:rPr>
          <w:iCs/>
        </w:rPr>
        <w:t xml:space="preserve">  </w:t>
      </w:r>
      <w:r w:rsidR="00207DC3">
        <w:t xml:space="preserve">In addition, the Licensee’s display of a URL for a website during its children’s programming constitutes a violation of section 73.670(b) of the </w:t>
      </w:r>
      <w:r w:rsidR="008E5CFE">
        <w:t>R</w:t>
      </w:r>
      <w:r w:rsidR="00207DC3">
        <w:t>ules.</w:t>
      </w:r>
      <w:r>
        <w:rPr>
          <w:rStyle w:val="FootnoteReference"/>
        </w:rPr>
        <w:footnoteReference w:id="18"/>
      </w:r>
      <w:r w:rsidR="00207DC3">
        <w:t xml:space="preserve"> </w:t>
      </w:r>
    </w:p>
    <w:p w:rsidR="00683768" w:rsidP="003F4DE0" w14:paraId="24EA2D3C" w14:textId="4CD03096">
      <w:pPr>
        <w:pStyle w:val="ParaNum"/>
        <w:widowControl/>
        <w:tabs>
          <w:tab w:val="clear" w:pos="1080"/>
          <w:tab w:val="num" w:pos="1440"/>
        </w:tabs>
      </w:pPr>
      <w:r>
        <w:t xml:space="preserve">Pursuant to section 503(b)(1)(B) of the </w:t>
      </w:r>
      <w:r w:rsidR="00A21E18">
        <w:t xml:space="preserve">Communications </w:t>
      </w:r>
      <w:r>
        <w:t>Act</w:t>
      </w:r>
      <w:r w:rsidR="00A21E18">
        <w:t xml:space="preserve"> of 1934</w:t>
      </w:r>
      <w:r w:rsidR="00AD6D78">
        <w:t>,</w:t>
      </w:r>
      <w:r w:rsidR="00A21E18">
        <w:t xml:space="preserve"> as amended (Act),</w:t>
      </w:r>
      <w:r w:rsidR="00AD6D78">
        <w:t xml:space="preserve"> a person who is found to have willfully</w:t>
      </w:r>
      <w:r>
        <w:t xml:space="preserve"> and/or repeatedly failed to comply with any provision of the Act or any rule</w:t>
      </w:r>
      <w:r w:rsidR="00A840F0">
        <w:t>, regulation, or order issued by the Commission, shall be liable to the United States for a forfeiture penalty.</w:t>
      </w:r>
      <w:r>
        <w:rPr>
          <w:rStyle w:val="FootnoteReference"/>
        </w:rPr>
        <w:footnoteReference w:id="19"/>
      </w:r>
      <w:r w:rsidR="00A840F0">
        <w:t xml:space="preserve">  Section 312(f)(1) of the Act defines willful as “the conscious and deliberate commission or omission of [any] act, irrespective of any intent to violate” the law.</w:t>
      </w:r>
      <w:r>
        <w:rPr>
          <w:rStyle w:val="FootnoteReference"/>
        </w:rPr>
        <w:footnoteReference w:id="20"/>
      </w:r>
      <w:r w:rsidR="00A840F0">
        <w:t xml:space="preserve">  The legislative history to section 312(f)(1) of the Act clarifies that this definition of willful applies to both section 312 and 503(b) of the Act,</w:t>
      </w:r>
      <w:r>
        <w:rPr>
          <w:rStyle w:val="FootnoteReference"/>
        </w:rPr>
        <w:footnoteReference w:id="21"/>
      </w:r>
      <w:r w:rsidR="00A840F0">
        <w:t xml:space="preserve"> </w:t>
      </w:r>
      <w:r w:rsidR="000201CD">
        <w:t>and the Commission has so interpreted the term in the section 503(b) context.</w:t>
      </w:r>
      <w:r>
        <w:rPr>
          <w:rStyle w:val="FootnoteReference"/>
        </w:rPr>
        <w:footnoteReference w:id="22"/>
      </w:r>
      <w:r w:rsidR="000201CD">
        <w:t xml:space="preserve">  Section </w:t>
      </w:r>
      <w:r w:rsidR="00460B95">
        <w:t>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23"/>
      </w:r>
    </w:p>
    <w:p w:rsidR="00460B95" w:rsidP="003F4DE0" w14:paraId="556CE944" w14:textId="20095B30">
      <w:pPr>
        <w:pStyle w:val="ParaNum"/>
        <w:widowControl/>
        <w:tabs>
          <w:tab w:val="clear" w:pos="1080"/>
          <w:tab w:val="num" w:pos="1440"/>
        </w:tabs>
      </w:pPr>
      <w:r>
        <w:t xml:space="preserve">The Commission’s </w:t>
      </w:r>
      <w:r w:rsidRPr="00460B95">
        <w:rPr>
          <w:i/>
          <w:iCs/>
        </w:rPr>
        <w:t>Forfeiture Policy Statement</w:t>
      </w:r>
      <w:r>
        <w:t xml:space="preserve"> and section 1.80(b)</w:t>
      </w:r>
      <w:r w:rsidR="00FA55B4">
        <w:t>(</w:t>
      </w:r>
      <w:r w:rsidR="00717FD2">
        <w:t>10</w:t>
      </w:r>
      <w:r w:rsidR="00FA55B4">
        <w:t>)</w:t>
      </w:r>
      <w:r>
        <w:t xml:space="preserve"> of the Rules establish a base forfeiture amount of</w:t>
      </w:r>
      <w:r w:rsidR="00050CE6">
        <w:t xml:space="preserve"> $10,000 for public file violations</w:t>
      </w:r>
      <w:r w:rsidRPr="001A745C" w:rsidR="00C45D5F">
        <w:t>.</w:t>
      </w:r>
      <w:r>
        <w:rPr>
          <w:rStyle w:val="FootnoteReference"/>
        </w:rPr>
        <w:footnoteReference w:id="24"/>
      </w:r>
      <w:r w:rsidR="004244D5">
        <w:t xml:space="preserve">  In determining the appropriate forfeiture amount, we may adjust the base amount upward or downward by considering the fact</w:t>
      </w:r>
      <w:r w:rsidR="00C63F0C">
        <w:t>or</w:t>
      </w:r>
      <w:r w:rsidR="004244D5">
        <w:t>s enumerated in section 503(b)(2)(</w:t>
      </w:r>
      <w:r w:rsidR="00C70247">
        <w:t>E</w:t>
      </w:r>
      <w:r w:rsidR="004244D5">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25"/>
      </w:r>
    </w:p>
    <w:p w:rsidR="006B0F55" w:rsidRPr="00310ACA" w:rsidP="00D56631" w14:paraId="48426DF1" w14:textId="38A9ED74">
      <w:pPr>
        <w:pStyle w:val="ParaNum"/>
        <w:widowControl/>
        <w:tabs>
          <w:tab w:val="clear" w:pos="1080"/>
          <w:tab w:val="num" w:pos="1440"/>
        </w:tabs>
        <w:rPr>
          <w:snapToGrid/>
          <w:kern w:val="0"/>
        </w:rPr>
      </w:pPr>
      <w:r w:rsidRPr="001A2F1A">
        <w:rPr>
          <w:szCs w:val="22"/>
        </w:rPr>
        <w:t xml:space="preserve">In this </w:t>
      </w:r>
      <w:r w:rsidRPr="00D56631">
        <w:t>case</w:t>
      </w:r>
      <w:r w:rsidRPr="001A2F1A">
        <w:rPr>
          <w:szCs w:val="22"/>
        </w:rPr>
        <w:t xml:space="preserve">, the Licensee failed to </w:t>
      </w:r>
      <w:r w:rsidR="00173AFD">
        <w:t xml:space="preserve">timely </w:t>
      </w:r>
      <w:r w:rsidRPr="00E90B6D" w:rsidR="00173AFD">
        <w:t xml:space="preserve">upload to its </w:t>
      </w:r>
      <w:r w:rsidR="00173AFD">
        <w:t>OPIF</w:t>
      </w:r>
      <w:r w:rsidRPr="00613CA6" w:rsidR="00173AFD">
        <w:t xml:space="preserve"> TV issue/programs lists for </w:t>
      </w:r>
      <w:r w:rsidR="007B2C4E">
        <w:t>nine</w:t>
      </w:r>
      <w:r w:rsidRPr="00613CA6" w:rsidR="00173AFD">
        <w:t xml:space="preserve"> quarters, </w:t>
      </w:r>
      <w:r w:rsidRPr="00760074" w:rsidR="00173AFD">
        <w:rPr>
          <w:iCs/>
        </w:rPr>
        <w:t xml:space="preserve">including filing </w:t>
      </w:r>
      <w:r w:rsidRPr="00760074" w:rsidR="007D2DE4">
        <w:rPr>
          <w:iCs/>
        </w:rPr>
        <w:t xml:space="preserve">two </w:t>
      </w:r>
      <w:r w:rsidRPr="00760074" w:rsidR="00173AFD">
        <w:rPr>
          <w:iCs/>
        </w:rPr>
        <w:t xml:space="preserve">reports over </w:t>
      </w:r>
      <w:r w:rsidRPr="00760074" w:rsidR="00B74FCE">
        <w:rPr>
          <w:iCs/>
        </w:rPr>
        <w:t xml:space="preserve">one </w:t>
      </w:r>
      <w:r w:rsidRPr="00760074" w:rsidR="00173AFD">
        <w:rPr>
          <w:iCs/>
        </w:rPr>
        <w:t>year late</w:t>
      </w:r>
      <w:r w:rsidRPr="007D2DE4" w:rsidR="007D2DE4">
        <w:rPr>
          <w:iCs/>
        </w:rPr>
        <w:t>,</w:t>
      </w:r>
      <w:r w:rsidRPr="00400174">
        <w:rPr>
          <w:szCs w:val="22"/>
        </w:rPr>
        <w:t xml:space="preserve"> </w:t>
      </w:r>
      <w:r w:rsidRPr="00556C12" w:rsidR="00457800">
        <w:rPr>
          <w:szCs w:val="22"/>
        </w:rPr>
        <w:t>in violation of</w:t>
      </w:r>
      <w:r w:rsidRPr="00556C12">
        <w:rPr>
          <w:szCs w:val="22"/>
        </w:rPr>
        <w:t xml:space="preserve"> section 73.35</w:t>
      </w:r>
      <w:r w:rsidRPr="00E91E02" w:rsidR="00457800">
        <w:rPr>
          <w:szCs w:val="22"/>
        </w:rPr>
        <w:t>26</w:t>
      </w:r>
      <w:r w:rsidRPr="0038516A" w:rsidR="001A00F6">
        <w:rPr>
          <w:iCs/>
        </w:rPr>
        <w:t xml:space="preserve">(e)(11)(i) of the </w:t>
      </w:r>
      <w:r w:rsidRPr="003A3E20" w:rsidR="001A00F6">
        <w:rPr>
          <w:iCs/>
        </w:rPr>
        <w:t>Rules.</w:t>
      </w:r>
      <w:r>
        <w:rPr>
          <w:vertAlign w:val="superscript"/>
        </w:rPr>
        <w:footnoteReference w:id="26"/>
      </w:r>
      <w:r w:rsidRPr="007D2DE4">
        <w:rPr>
          <w:szCs w:val="22"/>
        </w:rPr>
        <w:t xml:space="preserve">  </w:t>
      </w:r>
      <w:r w:rsidRPr="00760074">
        <w:rPr>
          <w:szCs w:val="22"/>
        </w:rPr>
        <w:t xml:space="preserve">The Licensee did not provide an explanation for </w:t>
      </w:r>
      <w:r w:rsidRPr="00760074" w:rsidR="00A84CD2">
        <w:rPr>
          <w:szCs w:val="22"/>
        </w:rPr>
        <w:t>its repeated failure</w:t>
      </w:r>
      <w:r w:rsidRPr="00760074" w:rsidR="001F63B8">
        <w:rPr>
          <w:szCs w:val="22"/>
        </w:rPr>
        <w:t xml:space="preserve"> to timely upload its TV issue/programs lists</w:t>
      </w:r>
      <w:r w:rsidRPr="00760074">
        <w:rPr>
          <w:szCs w:val="22"/>
        </w:rPr>
        <w:t>.</w:t>
      </w:r>
      <w:r w:rsidRPr="001A2F1A">
        <w:rPr>
          <w:szCs w:val="22"/>
        </w:rPr>
        <w:t xml:space="preserve">  Taking into consideration all of the factors required by section 503(b)(2)(E) of the Act and the </w:t>
      </w:r>
      <w:r w:rsidRPr="001A2F1A">
        <w:rPr>
          <w:i/>
          <w:iCs/>
          <w:szCs w:val="22"/>
        </w:rPr>
        <w:t>Forfeiture Policy Statement</w:t>
      </w:r>
      <w:r w:rsidRPr="001A2F1A">
        <w:rPr>
          <w:szCs w:val="22"/>
        </w:rPr>
        <w:t xml:space="preserve">, </w:t>
      </w:r>
      <w:r w:rsidRPr="00760074">
        <w:rPr>
          <w:szCs w:val="22"/>
        </w:rPr>
        <w:t xml:space="preserve">we </w:t>
      </w:r>
      <w:r w:rsidRPr="00760074" w:rsidR="00CC09E9">
        <w:rPr>
          <w:szCs w:val="22"/>
        </w:rPr>
        <w:t xml:space="preserve">find that </w:t>
      </w:r>
      <w:r w:rsidRPr="00760074" w:rsidR="005704E4">
        <w:rPr>
          <w:szCs w:val="22"/>
        </w:rPr>
        <w:t xml:space="preserve">under the facts of this case </w:t>
      </w:r>
      <w:r w:rsidRPr="00760074" w:rsidR="002600C3">
        <w:rPr>
          <w:szCs w:val="22"/>
        </w:rPr>
        <w:t>a</w:t>
      </w:r>
      <w:r w:rsidRPr="00760074" w:rsidR="00F309BE">
        <w:rPr>
          <w:szCs w:val="22"/>
        </w:rPr>
        <w:t xml:space="preserve"> forfeiture </w:t>
      </w:r>
      <w:r w:rsidRPr="00760074" w:rsidR="002600C3">
        <w:rPr>
          <w:szCs w:val="22"/>
        </w:rPr>
        <w:t>in the amount of</w:t>
      </w:r>
      <w:r w:rsidRPr="00760074" w:rsidR="00F309BE">
        <w:rPr>
          <w:szCs w:val="22"/>
        </w:rPr>
        <w:t xml:space="preserve"> </w:t>
      </w:r>
      <w:r w:rsidRPr="00760074" w:rsidR="00AF6FD3">
        <w:t>$</w:t>
      </w:r>
      <w:r w:rsidRPr="00760074" w:rsidR="007B2C4E">
        <w:t>6</w:t>
      </w:r>
      <w:r w:rsidRPr="00760074" w:rsidR="00AF6FD3">
        <w:t>,000</w:t>
      </w:r>
      <w:r w:rsidRPr="00760074" w:rsidR="002600C3">
        <w:t xml:space="preserve"> is appropriate </w:t>
      </w:r>
      <w:r w:rsidRPr="00760074" w:rsidR="005B6B47">
        <w:t>for the Licensee’s apparent failure to timely upload its TV issues/programs lists.</w:t>
      </w:r>
    </w:p>
    <w:p w:rsidR="00C24D76" w:rsidP="00310ACA" w14:paraId="770DC2EA" w14:textId="4B4E8207">
      <w:pPr>
        <w:pStyle w:val="ParaNum"/>
        <w:widowControl/>
        <w:tabs>
          <w:tab w:val="clear" w:pos="1080"/>
          <w:tab w:val="num" w:pos="1440"/>
        </w:tabs>
        <w:rPr>
          <w:color w:val="010101"/>
          <w:szCs w:val="22"/>
        </w:rPr>
      </w:pPr>
      <w:r w:rsidRPr="00FA258E">
        <w:rPr>
          <w:i/>
          <w:iCs/>
        </w:rPr>
        <w:t>Admonishment</w:t>
      </w:r>
      <w:r>
        <w:t xml:space="preserve">.  </w:t>
      </w:r>
      <w:r>
        <w:t>With respect to the Licensee’s display of commercial matter during the program “</w:t>
      </w:r>
      <w:r>
        <w:t>LazyTown</w:t>
      </w:r>
      <w:r>
        <w:t xml:space="preserve">,” </w:t>
      </w:r>
      <w:r>
        <w:rPr>
          <w:rFonts w:eastAsia="Calibri"/>
          <w:szCs w:val="22"/>
        </w:rPr>
        <w:t>e</w:t>
      </w:r>
      <w:r>
        <w:rPr>
          <w:szCs w:val="22"/>
        </w:rPr>
        <w:t xml:space="preserve">ven though the website address was displayed for only a short duration (estimated at one-half of one second), the display of a website address during program material </w:t>
      </w:r>
      <w:r w:rsidRPr="00B40652">
        <w:rPr>
          <w:szCs w:val="22"/>
        </w:rPr>
        <w:t xml:space="preserve">that does </w:t>
      </w:r>
      <w:r w:rsidRPr="00B40652">
        <w:rPr>
          <w:szCs w:val="22"/>
        </w:rPr>
        <w:t>not comply with the four-prong test</w:t>
      </w:r>
      <w:r>
        <w:rPr>
          <w:szCs w:val="22"/>
        </w:rPr>
        <w:t xml:space="preserve"> – for any period of time – is a violation of section </w:t>
      </w:r>
      <w:bookmarkStart w:id="3" w:name="_Hlk89089610"/>
      <w:r>
        <w:rPr>
          <w:szCs w:val="22"/>
        </w:rPr>
        <w:t>73.670(b</w:t>
      </w:r>
      <w:bookmarkEnd w:id="3"/>
      <w:r>
        <w:rPr>
          <w:szCs w:val="22"/>
        </w:rPr>
        <w:t>).</w:t>
      </w:r>
      <w:r>
        <w:rPr>
          <w:rStyle w:val="FootnoteReference"/>
          <w:sz w:val="22"/>
          <w:szCs w:val="22"/>
        </w:rPr>
        <w:footnoteReference w:id="27"/>
      </w:r>
      <w:r>
        <w:rPr>
          <w:szCs w:val="22"/>
        </w:rPr>
        <w:t xml:space="preserve">  </w:t>
      </w:r>
      <w:r>
        <w:rPr>
          <w:color w:val="010101"/>
          <w:szCs w:val="22"/>
        </w:rPr>
        <w:t>In particular, the website did not meet the fourth prong of the test because the top of the homepage of the website contained content of a commercial nature in the form of a link labeled “shop.”</w:t>
      </w:r>
      <w:r>
        <w:rPr>
          <w:rStyle w:val="FootnoteReference"/>
          <w:color w:val="010101"/>
          <w:sz w:val="22"/>
          <w:szCs w:val="22"/>
        </w:rPr>
        <w:t xml:space="preserve"> </w:t>
      </w:r>
      <w:r>
        <w:rPr>
          <w:rStyle w:val="FootnoteReference"/>
          <w:color w:val="010101"/>
          <w:sz w:val="22"/>
          <w:szCs w:val="22"/>
        </w:rPr>
        <w:footnoteReference w:id="28"/>
      </w:r>
      <w:r>
        <w:rPr>
          <w:color w:val="010101"/>
          <w:szCs w:val="22"/>
        </w:rPr>
        <w:t xml:space="preserve">  </w:t>
      </w:r>
      <w:r>
        <w:rPr>
          <w:szCs w:val="22"/>
        </w:rPr>
        <w:t>Furthermore, although the website address was only displayed during the closing credits, the Commission has specifically stated that closing credits are considered to be part of television programming material and are subject to the website address rule</w:t>
      </w:r>
      <w:r>
        <w:rPr>
          <w:color w:val="010101"/>
          <w:szCs w:val="22"/>
        </w:rPr>
        <w:t>.</w:t>
      </w:r>
      <w:r>
        <w:rPr>
          <w:rStyle w:val="FootnoteReference"/>
          <w:color w:val="010101"/>
          <w:sz w:val="22"/>
          <w:szCs w:val="22"/>
        </w:rPr>
        <w:footnoteReference w:id="29"/>
      </w:r>
      <w:r>
        <w:rPr>
          <w:color w:val="010101"/>
          <w:szCs w:val="22"/>
        </w:rPr>
        <w:t xml:space="preserve">  </w:t>
      </w:r>
      <w:r>
        <w:rPr>
          <w:szCs w:val="22"/>
        </w:rPr>
        <w:t>Licensee has provided n</w:t>
      </w:r>
      <w:r>
        <w:rPr>
          <w:color w:val="010101"/>
          <w:szCs w:val="22"/>
        </w:rPr>
        <w:t>o evidence demonstrating that the website complies with the four-prong test set forth in section 73.670(b) and, upon our prior examination of the website, we have concluded that it does not comply.</w:t>
      </w:r>
      <w:r>
        <w:rPr>
          <w:rStyle w:val="FootnoteReference"/>
          <w:color w:val="010101"/>
          <w:sz w:val="22"/>
          <w:szCs w:val="22"/>
        </w:rPr>
        <w:footnoteReference w:id="30"/>
      </w:r>
      <w:r>
        <w:rPr>
          <w:color w:val="010101"/>
          <w:szCs w:val="22"/>
        </w:rPr>
        <w:t xml:space="preserve">  </w:t>
      </w:r>
    </w:p>
    <w:p w:rsidR="00C24D76" w:rsidP="00310ACA" w14:paraId="65FB73FB" w14:textId="77777777">
      <w:pPr>
        <w:pStyle w:val="ParaNum"/>
        <w:widowControl/>
        <w:tabs>
          <w:tab w:val="clear" w:pos="1080"/>
          <w:tab w:val="num" w:pos="1440"/>
        </w:tabs>
        <w:rPr>
          <w:color w:val="010101"/>
          <w:szCs w:val="22"/>
        </w:rPr>
      </w:pPr>
      <w:r>
        <w:rPr>
          <w:szCs w:val="22"/>
        </w:rPr>
        <w:t xml:space="preserve">We note </w:t>
      </w:r>
      <w:r w:rsidRPr="00310ACA">
        <w:rPr>
          <w:iCs/>
        </w:rPr>
        <w:t>that</w:t>
      </w:r>
      <w:r>
        <w:rPr>
          <w:szCs w:val="22"/>
        </w:rPr>
        <w:t xml:space="preserve"> while the commercial matter may have been inserted into the program by the Station’s television network or program supplier (</w:t>
      </w:r>
      <w:r w:rsidRPr="004C3895">
        <w:rPr>
          <w:szCs w:val="22"/>
        </w:rPr>
        <w:t>i.e.</w:t>
      </w:r>
      <w:r>
        <w:rPr>
          <w:i/>
          <w:szCs w:val="22"/>
        </w:rPr>
        <w:t>,</w:t>
      </w:r>
      <w:r>
        <w:rPr>
          <w:szCs w:val="22"/>
        </w:rPr>
        <w:t xml:space="preserve"> NBC Network and/or Sprout), this does not relieve the Station of responsibility for material it broadcasts.  In this regard, the Commission has consistently held that reliance on a program’s source or producer for compliance with our Rules and</w:t>
      </w:r>
      <w:r>
        <w:rPr>
          <w:color w:val="000000"/>
          <w:szCs w:val="22"/>
        </w:rPr>
        <w:t xml:space="preserve"> policies will not excuse or mitigate violations which do occur.</w:t>
      </w:r>
      <w:r>
        <w:rPr>
          <w:rStyle w:val="FootnoteReference"/>
          <w:color w:val="000000"/>
          <w:sz w:val="22"/>
          <w:szCs w:val="22"/>
        </w:rPr>
        <w:footnoteReference w:id="31"/>
      </w:r>
      <w:r>
        <w:rPr>
          <w:color w:val="000000"/>
          <w:szCs w:val="22"/>
        </w:rPr>
        <w:t xml:space="preserve">  Although corrective actions may have been taken to prevent future violations, this does not relieve the Station from liability for violations that have already occurred.</w:t>
      </w:r>
      <w:r>
        <w:rPr>
          <w:rStyle w:val="FootnoteReference"/>
          <w:color w:val="000000"/>
          <w:sz w:val="22"/>
          <w:szCs w:val="22"/>
        </w:rPr>
        <w:footnoteReference w:id="32"/>
      </w:r>
      <w:r>
        <w:rPr>
          <w:color w:val="000000"/>
          <w:szCs w:val="22"/>
        </w:rPr>
        <w:t xml:space="preserve">  Licensee in fact acknowledges that it is responsible for airing this material.</w:t>
      </w:r>
      <w:r>
        <w:rPr>
          <w:rStyle w:val="FootnoteReference"/>
          <w:color w:val="000000"/>
          <w:sz w:val="22"/>
          <w:szCs w:val="22"/>
        </w:rPr>
        <w:footnoteReference w:id="33"/>
      </w:r>
      <w:r>
        <w:rPr>
          <w:color w:val="000000"/>
          <w:szCs w:val="22"/>
        </w:rPr>
        <w:t xml:space="preserve">  </w:t>
      </w:r>
    </w:p>
    <w:p w:rsidR="00207DC3" w:rsidRPr="00310ACA" w:rsidP="00310ACA" w14:paraId="6A07403A" w14:textId="3E37FF3E">
      <w:pPr>
        <w:pStyle w:val="ParaNum"/>
        <w:widowControl/>
        <w:tabs>
          <w:tab w:val="clear" w:pos="1080"/>
          <w:tab w:val="num" w:pos="1440"/>
        </w:tabs>
        <w:rPr>
          <w:rFonts w:eastAsia="Calibri"/>
          <w:szCs w:val="22"/>
        </w:rPr>
      </w:pPr>
      <w:r w:rsidRPr="006C68D5">
        <w:rPr>
          <w:rFonts w:eastAsia="Calibri"/>
          <w:szCs w:val="22"/>
        </w:rPr>
        <w:t xml:space="preserve">While </w:t>
      </w:r>
      <w:r w:rsidRPr="00310ACA">
        <w:rPr>
          <w:iCs/>
        </w:rPr>
        <w:t>we</w:t>
      </w:r>
      <w:r w:rsidRPr="006C68D5">
        <w:rPr>
          <w:rFonts w:eastAsia="Calibri"/>
          <w:szCs w:val="22"/>
        </w:rPr>
        <w:t xml:space="preserve"> do not rule out more severe sanctions for similar violations of this nature in the future, we have determined that an admonition</w:t>
      </w:r>
      <w:r w:rsidR="00B7662F">
        <w:rPr>
          <w:rFonts w:eastAsia="Calibri"/>
          <w:szCs w:val="22"/>
        </w:rPr>
        <w:t xml:space="preserve"> for the Station’s violation of the section 73.670(b) of the Rules</w:t>
      </w:r>
      <w:r w:rsidRPr="006C68D5">
        <w:rPr>
          <w:rFonts w:eastAsia="Calibri"/>
          <w:szCs w:val="22"/>
        </w:rPr>
        <w:t xml:space="preserve"> is appropriate at this time.  Therefore, based upon the facts and circumstances before us, w</w:t>
      </w:r>
      <w:bookmarkStart w:id="4" w:name="SR;1376"/>
      <w:bookmarkEnd w:id="4"/>
      <w:r w:rsidRPr="006C68D5">
        <w:rPr>
          <w:rFonts w:eastAsia="Calibri"/>
          <w:szCs w:val="22"/>
        </w:rPr>
        <w:t xml:space="preserve">e </w:t>
      </w:r>
      <w:r w:rsidRPr="00310ACA">
        <w:rPr>
          <w:rFonts w:eastAsia="Calibri"/>
          <w:bCs/>
          <w:szCs w:val="22"/>
        </w:rPr>
        <w:t xml:space="preserve">admonish </w:t>
      </w:r>
      <w:r w:rsidRPr="006C68D5">
        <w:rPr>
          <w:rFonts w:eastAsia="Calibri"/>
          <w:szCs w:val="22"/>
        </w:rPr>
        <w:t>the Station for its violation of section 73.6</w:t>
      </w:r>
      <w:r>
        <w:rPr>
          <w:rFonts w:eastAsia="Calibri"/>
          <w:szCs w:val="22"/>
        </w:rPr>
        <w:t>70(b</w:t>
      </w:r>
      <w:r w:rsidRPr="006C68D5">
        <w:rPr>
          <w:rFonts w:eastAsia="Calibri"/>
          <w:szCs w:val="22"/>
        </w:rPr>
        <w:t>) of the Rules.</w:t>
      </w:r>
      <w:r>
        <w:rPr>
          <w:rFonts w:eastAsia="Calibri"/>
          <w:szCs w:val="22"/>
          <w:vertAlign w:val="superscript"/>
        </w:rPr>
        <w:footnoteReference w:id="34"/>
      </w:r>
      <w:r w:rsidRPr="006C68D5">
        <w:rPr>
          <w:rFonts w:eastAsia="Calibri"/>
          <w:szCs w:val="22"/>
        </w:rPr>
        <w:t xml:space="preserve">  We remind the Licensee that the Commission expects </w:t>
      </w:r>
      <w:r w:rsidRPr="00057BDC">
        <w:rPr>
          <w:rFonts w:eastAsia="Calibri"/>
          <w:szCs w:val="22"/>
        </w:rPr>
        <w:t>all commercial television licensees to comply with the limits on commercial matter, including the display of website addresses, during children’s programming</w:t>
      </w:r>
      <w:r>
        <w:rPr>
          <w:rFonts w:eastAsia="Calibri"/>
          <w:szCs w:val="22"/>
        </w:rPr>
        <w:t>.</w:t>
      </w:r>
    </w:p>
    <w:p w:rsidR="00991DB0" w:rsidP="00D56631" w14:paraId="6F3A2898" w14:textId="45859C57">
      <w:pPr>
        <w:pStyle w:val="ParaNum"/>
        <w:widowControl/>
        <w:tabs>
          <w:tab w:val="clear" w:pos="1080"/>
          <w:tab w:val="num" w:pos="1440"/>
        </w:tabs>
        <w:rPr>
          <w:snapToGrid/>
          <w:kern w:val="0"/>
        </w:rPr>
      </w:pPr>
      <w:r>
        <w:rPr>
          <w:i/>
        </w:rPr>
        <w:t>License Renewal Application.</w:t>
      </w:r>
      <w:r>
        <w:t xml:space="preserve">  In evaluating an application for license renewal, the Commission’s decision is governed by section 309(k) of the Act.</w:t>
      </w:r>
      <w:r>
        <w:rPr>
          <w:rStyle w:val="FootnoteReference"/>
          <w:rFonts w:cstheme="minorBidi"/>
        </w:rPr>
        <w:footnoteReference w:id="35"/>
      </w:r>
      <w:r>
        <w:t xml:space="preserve">  That section provides that if, upon consideration of the application and pleadings, we find that: </w:t>
      </w:r>
      <w:r w:rsidR="006C6C13">
        <w:t xml:space="preserve"> </w:t>
      </w:r>
      <w:r>
        <w:t>(1)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Fonts w:cstheme="minorBidi"/>
        </w:rPr>
        <w:footnoteReference w:id="36"/>
      </w:r>
      <w:r>
        <w:t xml:space="preserve"> </w:t>
      </w:r>
      <w:r>
        <w:rPr>
          <w:i/>
        </w:rPr>
        <w:t xml:space="preserve"> </w:t>
      </w:r>
      <w:r>
        <w:t>If, however, the licensee fails to meet that standard, the Commission may deny the application</w:t>
      </w:r>
      <w:r w:rsidR="008C30D4">
        <w:t>—</w:t>
      </w:r>
      <w:r>
        <w:t>after notice and opportunity for a hearing under section 309(e) of the Act</w:t>
      </w:r>
      <w:r w:rsidR="004F7E20">
        <w:t>—</w:t>
      </w:r>
      <w:r>
        <w:t xml:space="preserve">or grant the </w:t>
      </w:r>
      <w:r>
        <w:t xml:space="preserve">application “on terms and conditions </w:t>
      </w:r>
      <w:r w:rsidR="005D1CB5">
        <w:t xml:space="preserve">as </w:t>
      </w:r>
      <w:r>
        <w:t>are appropriate, including renewal for a term less than the maximum otherwise permitted.”</w:t>
      </w:r>
      <w:r>
        <w:rPr>
          <w:rStyle w:val="FootnoteReference"/>
          <w:rFonts w:cstheme="minorBidi"/>
        </w:rPr>
        <w:footnoteReference w:id="37"/>
      </w:r>
      <w:r>
        <w:t xml:space="preserve"> </w:t>
      </w:r>
    </w:p>
    <w:p w:rsidR="001F6F2C" w:rsidRPr="00683723" w:rsidP="003F4DE0" w14:paraId="39A086C1" w14:textId="472C4B76">
      <w:pPr>
        <w:pStyle w:val="ParaNum"/>
        <w:widowControl/>
        <w:tabs>
          <w:tab w:val="clear" w:pos="1080"/>
          <w:tab w:val="num" w:pos="1440"/>
        </w:tabs>
        <w:rPr>
          <w:szCs w:val="22"/>
        </w:rPr>
      </w:pPr>
      <w:r w:rsidRPr="00683723">
        <w:rPr>
          <w:szCs w:val="22"/>
        </w:rPr>
        <w:t>We find that the Licensee’s apparent violation of section</w:t>
      </w:r>
      <w:r w:rsidR="00207DC3">
        <w:rPr>
          <w:szCs w:val="22"/>
        </w:rPr>
        <w:t>s</w:t>
      </w:r>
      <w:r w:rsidRPr="00683723">
        <w:rPr>
          <w:szCs w:val="22"/>
        </w:rPr>
        <w:t xml:space="preserve"> </w:t>
      </w:r>
      <w:r w:rsidR="00B933D8">
        <w:rPr>
          <w:szCs w:val="22"/>
        </w:rPr>
        <w:t>73.3526</w:t>
      </w:r>
      <w:r w:rsidR="00451357">
        <w:rPr>
          <w:szCs w:val="22"/>
        </w:rPr>
        <w:t>(e)(11)(i)</w:t>
      </w:r>
      <w:r w:rsidR="00207DC3">
        <w:rPr>
          <w:szCs w:val="22"/>
        </w:rPr>
        <w:t xml:space="preserve"> and 73.670(b)</w:t>
      </w:r>
      <w:r w:rsidRPr="00683723">
        <w:rPr>
          <w:szCs w:val="22"/>
        </w:rPr>
        <w:t xml:space="preserve"> of the Rules </w:t>
      </w:r>
      <w:r>
        <w:rPr>
          <w:szCs w:val="22"/>
        </w:rPr>
        <w:t>do</w:t>
      </w:r>
      <w:r w:rsidRPr="00683723">
        <w:rPr>
          <w:szCs w:val="22"/>
        </w:rPr>
        <w:t xml:space="preserve"> not constitute “serious violation</w:t>
      </w:r>
      <w:r w:rsidR="00207DC3">
        <w:rPr>
          <w:szCs w:val="22"/>
        </w:rPr>
        <w:t>[s]</w:t>
      </w:r>
      <w:r w:rsidRPr="00683723">
        <w:rPr>
          <w:szCs w:val="22"/>
        </w:rPr>
        <w:t>” warranting designation of the Application for evidentiary hearing.  Moreover, we find no evidence of violations that, when considered together, constitute a pattern of abuse.</w:t>
      </w:r>
      <w:r>
        <w:rPr>
          <w:rStyle w:val="FootnoteReference"/>
          <w:sz w:val="22"/>
          <w:szCs w:val="22"/>
        </w:rPr>
        <w:footnoteReference w:id="38"/>
      </w:r>
      <w:r w:rsidRPr="00683723">
        <w:rPr>
          <w:szCs w:val="22"/>
        </w:rPr>
        <w:t xml:space="preserve">  </w:t>
      </w:r>
      <w:r w:rsidRPr="00683723">
        <w:rPr>
          <w:spacing w:val="-2"/>
          <w:szCs w:val="22"/>
        </w:rPr>
        <w:t>Further, based on our review of the Application, we find that the</w:t>
      </w:r>
      <w:r w:rsidRPr="00683723">
        <w:rPr>
          <w:szCs w:val="22"/>
        </w:rPr>
        <w:t xml:space="preserve"> Station served the public interest, convenience, and necessity during the subject license term.  We will therefore grant the Application by separate action upon the conclusion of this forfeiture proceeding if there are no issues other than th</w:t>
      </w:r>
      <w:r w:rsidR="00C023AE">
        <w:rPr>
          <w:szCs w:val="22"/>
        </w:rPr>
        <w:t>ose set fo</w:t>
      </w:r>
      <w:r w:rsidR="0081682B">
        <w:rPr>
          <w:szCs w:val="22"/>
        </w:rPr>
        <w:t xml:space="preserve">rth in this </w:t>
      </w:r>
      <w:r w:rsidRPr="00C60B1C" w:rsidR="0081682B">
        <w:rPr>
          <w:i/>
          <w:iCs/>
          <w:szCs w:val="22"/>
        </w:rPr>
        <w:t>NAL</w:t>
      </w:r>
      <w:r w:rsidR="00FE0AE1">
        <w:rPr>
          <w:i/>
          <w:iCs/>
          <w:szCs w:val="22"/>
        </w:rPr>
        <w:t xml:space="preserve"> and Admonishment</w:t>
      </w:r>
      <w:r w:rsidRPr="00683723">
        <w:rPr>
          <w:szCs w:val="22"/>
        </w:rPr>
        <w:t xml:space="preserve"> that would preclude grant of the Application.</w:t>
      </w:r>
    </w:p>
    <w:p w:rsidR="006E568E" w:rsidP="003F4DE0" w14:paraId="055F1C4D" w14:textId="77777777">
      <w:pPr>
        <w:pStyle w:val="Heading1"/>
        <w:widowControl/>
      </w:pPr>
      <w:r>
        <w:t>ORDERING CLAUSES</w:t>
      </w:r>
    </w:p>
    <w:p w:rsidR="006E568E" w:rsidP="003F4DE0" w14:paraId="2CCD640E" w14:textId="260CAEB9">
      <w:pPr>
        <w:pStyle w:val="ParaNum"/>
        <w:widowControl/>
        <w:tabs>
          <w:tab w:val="clear" w:pos="1080"/>
          <w:tab w:val="num" w:pos="1440"/>
        </w:tabs>
      </w:pPr>
      <w:r w:rsidRPr="00C70247">
        <w:rPr>
          <w:szCs w:val="22"/>
        </w:rPr>
        <w:t>Accordingly</w:t>
      </w:r>
      <w:r>
        <w:t xml:space="preserve">, </w:t>
      </w:r>
      <w:r w:rsidRPr="007B5485">
        <w:rPr>
          <w:b/>
          <w:bCs/>
        </w:rPr>
        <w:t>IT IS ORDERED</w:t>
      </w:r>
      <w:r>
        <w:t>, pursuant to section 503(b) of the Communications Act of 1934, as amended,</w:t>
      </w:r>
      <w:r w:rsidR="00140CB0">
        <w:t xml:space="preserve"> 47 U.S.C. § 503(b),</w:t>
      </w:r>
      <w:r>
        <w:t xml:space="preserve"> and section</w:t>
      </w:r>
      <w:r w:rsidR="00140CB0">
        <w:t>s</w:t>
      </w:r>
      <w:r>
        <w:t xml:space="preserve"> 1.80</w:t>
      </w:r>
      <w:r w:rsidR="00140CB0">
        <w:t xml:space="preserve"> and 0.283</w:t>
      </w:r>
      <w:r w:rsidR="005A1242">
        <w:t>(d)</w:t>
      </w:r>
      <w:r>
        <w:t xml:space="preserve"> of the Commission’s rules, </w:t>
      </w:r>
      <w:bookmarkStart w:id="6" w:name="_Hlk89085623"/>
      <w:r w:rsidR="00140CB0">
        <w:t>47 CFR §§ 1.80 and 0.283</w:t>
      </w:r>
      <w:bookmarkEnd w:id="6"/>
      <w:r w:rsidR="00140CB0">
        <w:t xml:space="preserve">, </w:t>
      </w:r>
      <w:r>
        <w:t xml:space="preserve">that </w:t>
      </w:r>
      <w:r w:rsidR="004625BF">
        <w:t>Gray Television Licensee, LLC</w:t>
      </w:r>
      <w:r>
        <w:t>,</w:t>
      </w:r>
      <w:r w:rsidR="004625BF">
        <w:t xml:space="preserve"> dba WJHG-TV,</w:t>
      </w:r>
      <w:r>
        <w:t xml:space="preserve"> is hereby </w:t>
      </w:r>
      <w:r w:rsidRPr="007B5485">
        <w:rPr>
          <w:b/>
          <w:bCs/>
        </w:rPr>
        <w:t>NOTIFIED</w:t>
      </w:r>
      <w:r>
        <w:t xml:space="preserve"> of its </w:t>
      </w:r>
      <w:r w:rsidRPr="007B5485">
        <w:rPr>
          <w:b/>
          <w:bCs/>
        </w:rPr>
        <w:t>APPARENT LIABILITY FOR FORFEITURE</w:t>
      </w:r>
      <w:r>
        <w:t xml:space="preserve"> in the amount of </w:t>
      </w:r>
      <w:r w:rsidRPr="00760074" w:rsidR="004625BF">
        <w:t>six</w:t>
      </w:r>
      <w:r w:rsidRPr="00760074" w:rsidR="00DF7F38">
        <w:t xml:space="preserve"> </w:t>
      </w:r>
      <w:r w:rsidRPr="00760074" w:rsidR="00BB34AC">
        <w:t>thousand</w:t>
      </w:r>
      <w:r w:rsidRPr="00760074" w:rsidR="00613CA6">
        <w:t xml:space="preserve"> dollars</w:t>
      </w:r>
      <w:r w:rsidRPr="00760074">
        <w:t xml:space="preserve"> ($</w:t>
      </w:r>
      <w:r w:rsidRPr="00760074" w:rsidR="004625BF">
        <w:t>6</w:t>
      </w:r>
      <w:r w:rsidRPr="00760074" w:rsidR="00C70247">
        <w:t>,</w:t>
      </w:r>
      <w:r w:rsidRPr="00760074" w:rsidR="00613CA6">
        <w:t>000</w:t>
      </w:r>
      <w:r w:rsidRPr="00760074">
        <w:t>)</w:t>
      </w:r>
      <w:r>
        <w:t xml:space="preserve"> for its apparent</w:t>
      </w:r>
      <w:r w:rsidR="00140CB0">
        <w:t xml:space="preserve"> and/or</w:t>
      </w:r>
      <w:r>
        <w:t xml:space="preserve"> willful violation of </w:t>
      </w:r>
      <w:r w:rsidRPr="00683723" w:rsidR="00D62056">
        <w:rPr>
          <w:szCs w:val="22"/>
        </w:rPr>
        <w:t xml:space="preserve">section </w:t>
      </w:r>
      <w:r w:rsidR="00D62056">
        <w:rPr>
          <w:szCs w:val="22"/>
        </w:rPr>
        <w:t>73.3526</w:t>
      </w:r>
      <w:r w:rsidR="00451357">
        <w:rPr>
          <w:szCs w:val="22"/>
        </w:rPr>
        <w:t>(e)(11)(i)</w:t>
      </w:r>
      <w:r>
        <w:t xml:space="preserve"> of the Commission’s rules</w:t>
      </w:r>
      <w:r w:rsidR="00140CB0">
        <w:t xml:space="preserve">, </w:t>
      </w:r>
      <w:r w:rsidRPr="003A4F0E" w:rsidR="00554F85">
        <w:t>47 CFR §</w:t>
      </w:r>
      <w:r w:rsidRPr="001D5FFB" w:rsidR="00554F85">
        <w:t xml:space="preserve"> 73.3526</w:t>
      </w:r>
      <w:r w:rsidR="00451357">
        <w:t>(e)(11)(i)</w:t>
      </w:r>
      <w:r w:rsidRPr="001A745C" w:rsidR="00554F85">
        <w:t>.</w:t>
      </w:r>
    </w:p>
    <w:p w:rsidR="00FE0AE1" w:rsidRPr="00FA258E" w:rsidP="003F4DE0" w14:paraId="3E033433" w14:textId="73C2998D">
      <w:pPr>
        <w:pStyle w:val="ParaNum"/>
        <w:widowControl/>
        <w:tabs>
          <w:tab w:val="clear" w:pos="1080"/>
          <w:tab w:val="num" w:pos="1440"/>
        </w:tabs>
      </w:pPr>
      <w:r w:rsidRPr="00FA258E">
        <w:rPr>
          <w:b/>
          <w:bCs/>
        </w:rPr>
        <w:t>IT IS FURTHER ORDERED</w:t>
      </w:r>
      <w:r>
        <w:t xml:space="preserve"> that </w:t>
      </w:r>
      <w:r w:rsidRPr="00FE0AE1">
        <w:t>Gray Television Licensee, LLC, dba WJHG-TV</w:t>
      </w:r>
      <w:r>
        <w:t>,</w:t>
      </w:r>
      <w:r w:rsidRPr="00FE0AE1">
        <w:t xml:space="preserve"> </w:t>
      </w:r>
      <w:r w:rsidRPr="00FA258E">
        <w:rPr>
          <w:b/>
          <w:bCs/>
        </w:rPr>
        <w:t>IS ADMONISHED</w:t>
      </w:r>
      <w:r w:rsidRPr="00FE0AE1">
        <w:t xml:space="preserve"> for apparent willful of section 73.670(b</w:t>
      </w:r>
      <w:r>
        <w:t>)</w:t>
      </w:r>
      <w:r w:rsidRPr="00FE0AE1">
        <w:t xml:space="preserve"> of the</w:t>
      </w:r>
      <w:r>
        <w:t xml:space="preserve"> Commission’s r</w:t>
      </w:r>
      <w:r w:rsidRPr="00FE0AE1">
        <w:t>ules</w:t>
      </w:r>
      <w:r>
        <w:t xml:space="preserve">, 47 CFR </w:t>
      </w:r>
      <w:r w:rsidRPr="00FE0AE1">
        <w:t>73.670(b</w:t>
      </w:r>
      <w:r>
        <w:t>).</w:t>
      </w:r>
    </w:p>
    <w:p w:rsidR="006E568E" w:rsidP="003F4DE0" w14:paraId="5E843BC2" w14:textId="61FCE5A7">
      <w:pPr>
        <w:pStyle w:val="ParaNum"/>
        <w:widowControl/>
        <w:tabs>
          <w:tab w:val="clear" w:pos="1080"/>
          <w:tab w:val="num" w:pos="1440"/>
        </w:tabs>
      </w:pPr>
      <w:r w:rsidRPr="007B5485">
        <w:rPr>
          <w:b/>
          <w:bCs/>
        </w:rPr>
        <w:t>IT IS FURTHER ORDERED</w:t>
      </w:r>
      <w:r w:rsidR="00DC653B">
        <w:t xml:space="preserve"> that</w:t>
      </w:r>
      <w:r>
        <w:t xml:space="preserve">, </w:t>
      </w:r>
      <w:r w:rsidRPr="00C70247">
        <w:rPr>
          <w:szCs w:val="22"/>
        </w:rPr>
        <w:t>pursuant</w:t>
      </w:r>
      <w:r>
        <w:t xml:space="preserve"> to section 1.80</w:t>
      </w:r>
      <w:r w:rsidR="00C468A9">
        <w:t xml:space="preserve"> of the Commission’s rules, </w:t>
      </w:r>
      <w:r w:rsidR="00140CB0">
        <w:t xml:space="preserve">47 CFR § 1.80, </w:t>
      </w:r>
      <w:r w:rsidR="00C468A9">
        <w:t xml:space="preserve">within thirty (30) days of the release date of this </w:t>
      </w:r>
      <w:r w:rsidRPr="00C468A9" w:rsidR="00C468A9">
        <w:rPr>
          <w:i/>
        </w:rPr>
        <w:t>NAL</w:t>
      </w:r>
      <w:r w:rsidR="00FE0AE1">
        <w:rPr>
          <w:i/>
        </w:rPr>
        <w:t xml:space="preserve"> and Admonishment</w:t>
      </w:r>
      <w:r w:rsidR="00C468A9">
        <w:t xml:space="preserve">, </w:t>
      </w:r>
      <w:r w:rsidRPr="004625BF" w:rsidR="004625BF">
        <w:t>Gray Television Licensee, LLC, dba WJHG-TV</w:t>
      </w:r>
      <w:r w:rsidR="00C468A9">
        <w:t xml:space="preserve">, </w:t>
      </w:r>
      <w:r w:rsidRPr="007B5485" w:rsidR="00C468A9">
        <w:rPr>
          <w:b/>
          <w:bCs/>
        </w:rPr>
        <w:t>SHALL PAY</w:t>
      </w:r>
      <w:r w:rsidR="00C468A9">
        <w:t xml:space="preserve"> the full amount of the proposed forfeiture or </w:t>
      </w:r>
      <w:r w:rsidRPr="007B5485" w:rsidR="00C468A9">
        <w:rPr>
          <w:b/>
          <w:bCs/>
        </w:rPr>
        <w:t>SHALL FILE</w:t>
      </w:r>
      <w:r w:rsidR="00C468A9">
        <w:t xml:space="preserve"> a written statement seeking reduction or cancellation of the proposed forfeiture.</w:t>
      </w:r>
      <w:r w:rsidR="00FE0AE1">
        <w:t xml:space="preserve">  </w:t>
      </w:r>
    </w:p>
    <w:p w:rsidR="00613CA6" w:rsidRPr="00BE3744" w:rsidP="003F4DE0" w14:paraId="0754AC9A" w14:textId="77777777">
      <w:pPr>
        <w:pStyle w:val="ParaNum"/>
        <w:widowControl/>
        <w:tabs>
          <w:tab w:val="clear" w:pos="1080"/>
          <w:tab w:val="num" w:pos="1440"/>
        </w:tabs>
        <w:rPr>
          <w:szCs w:val="22"/>
        </w:rPr>
      </w:pPr>
      <w:r w:rsidRPr="00514C8E">
        <w:rPr>
          <w:szCs w:val="22"/>
        </w:rPr>
        <w:t>Payment of the forfeiture must be made by credit card, ACH (Automated Clearing House) debit from a bank account using the Commission’s Fee Filer (the Commission’s online payment system),</w:t>
      </w:r>
      <w:r>
        <w:rPr>
          <w:rStyle w:val="FootnoteReference"/>
          <w:sz w:val="22"/>
          <w:szCs w:val="22"/>
        </w:rPr>
        <w:footnoteReference w:id="39"/>
      </w:r>
      <w:r w:rsidRPr="00514C8E">
        <w:rPr>
          <w:szCs w:val="22"/>
        </w:rPr>
        <w:t xml:space="preserve"> or by wire transfer.  The Commission no longer accepts forfeiture payments by check or money order.  Below are instructions that payors should follow based on the form of payment selected:</w:t>
      </w:r>
      <w:r>
        <w:rPr>
          <w:rStyle w:val="FootnoteReference"/>
          <w:sz w:val="22"/>
          <w:szCs w:val="22"/>
        </w:rPr>
        <w:footnoteReference w:id="40"/>
      </w:r>
      <w:r w:rsidRPr="00514C8E">
        <w:rPr>
          <w:szCs w:val="22"/>
        </w:rPr>
        <w:t xml:space="preserve"> </w:t>
      </w:r>
    </w:p>
    <w:p w:rsidR="00613CA6" w:rsidRPr="00514C8E" w:rsidP="003F4DE0" w14:paraId="566E52B5" w14:textId="77777777">
      <w:pPr>
        <w:widowControl/>
        <w:numPr>
          <w:ilvl w:val="0"/>
          <w:numId w:val="11"/>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w:t>
      </w:r>
      <w:r w:rsidRPr="00514C8E">
        <w:rPr>
          <w:szCs w:val="22"/>
        </w:rPr>
        <w:t>type code), and enter in block number 11 the FRN(s) captioned above (Payor FRN).</w:t>
      </w:r>
      <w:r>
        <w:rPr>
          <w:rStyle w:val="FootnoteReference"/>
          <w:sz w:val="22"/>
          <w:szCs w:val="22"/>
        </w:rPr>
        <w:footnoteReference w:id="41"/>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613CA6" w:rsidRPr="00514C8E" w:rsidP="003F4DE0" w14:paraId="6167BD86" w14:textId="77777777">
      <w:pPr>
        <w:widowControl/>
        <w:numPr>
          <w:ilvl w:val="0"/>
          <w:numId w:val="11"/>
        </w:numPr>
        <w:spacing w:after="120"/>
        <w:rPr>
          <w:b/>
          <w:szCs w:val="22"/>
        </w:rPr>
      </w:pPr>
      <w:r w:rsidRPr="00514C8E">
        <w:rPr>
          <w:szCs w:val="22"/>
        </w:rPr>
        <w:t xml:space="preserve">Payment by credit card must be made by using the Commission’s Fee Filer website at </w:t>
      </w:r>
      <w:hyperlink r:id="rId7" w:history="1">
        <w:r w:rsidRPr="00514C8E">
          <w:rPr>
            <w:rStyle w:val="Hyperlink"/>
            <w:szCs w:val="22"/>
          </w:rPr>
          <w:t>https://apps.fcc.gov/FeeFiler/login.cfm</w:t>
        </w:r>
      </w:hyperlink>
      <w:r w:rsidRPr="00514C8E">
        <w:rPr>
          <w:szCs w:val="22"/>
        </w:rPr>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w:t>
      </w:r>
    </w:p>
    <w:p w:rsidR="00613CA6" w:rsidRPr="00BE3744" w:rsidP="003F4DE0" w14:paraId="63DE9A5D" w14:textId="77777777">
      <w:pPr>
        <w:widowControl/>
        <w:numPr>
          <w:ilvl w:val="0"/>
          <w:numId w:val="11"/>
        </w:numPr>
        <w:spacing w:after="120"/>
        <w:rPr>
          <w:spacing w:val="-2"/>
          <w:szCs w:val="22"/>
        </w:rPr>
      </w:pPr>
      <w:r w:rsidRPr="00514C8E">
        <w:rPr>
          <w:szCs w:val="22"/>
        </w:rPr>
        <w:t xml:space="preserve">Payment by ACH must be made by using the Commission’s Fee Filer website at </w:t>
      </w:r>
      <w:hyperlink r:id="rId7" w:history="1">
        <w:r w:rsidRPr="00514C8E">
          <w:rPr>
            <w:rStyle w:val="Hyperlink"/>
            <w:szCs w:val="22"/>
          </w:rPr>
          <w:t>https://apps.fcc.gov/FeeFiler/login.cfm</w:t>
        </w:r>
      </w:hyperlink>
      <w:r w:rsidRPr="00514C8E">
        <w:rPr>
          <w:szCs w:val="22"/>
        </w:rPr>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613CA6" w:rsidP="003F4DE0" w14:paraId="6DD4D612" w14:textId="227B159D">
      <w:pPr>
        <w:pStyle w:val="ParaNum"/>
        <w:widowControl/>
        <w:tabs>
          <w:tab w:val="clear" w:pos="1080"/>
          <w:tab w:val="num" w:pos="1440"/>
        </w:tabs>
        <w:rPr>
          <w:szCs w:val="22"/>
        </w:rPr>
      </w:pPr>
      <w:r w:rsidRPr="00514C8E">
        <w:rPr>
          <w:szCs w:val="22"/>
        </w:rPr>
        <w:t xml:space="preserve">The </w:t>
      </w:r>
      <w:r w:rsidRPr="00C70247">
        <w:rPr>
          <w:szCs w:val="22"/>
        </w:rPr>
        <w:t>written</w:t>
      </w:r>
      <w:r>
        <w:rPr>
          <w:szCs w:val="22"/>
        </w:rPr>
        <w:t xml:space="preserve"> </w:t>
      </w:r>
      <w:r w:rsidRPr="00514C8E">
        <w:rPr>
          <w:szCs w:val="22"/>
        </w:rPr>
        <w:t>response</w:t>
      </w:r>
      <w:r>
        <w:rPr>
          <w:szCs w:val="22"/>
        </w:rPr>
        <w:t xml:space="preserve"> seeking reduction or cancellation of the proposed forfeiture</w:t>
      </w:r>
      <w:r w:rsidRPr="00514C8E">
        <w:rPr>
          <w:szCs w:val="22"/>
        </w:rPr>
        <w:t xml:space="preserve">, if any, must </w:t>
      </w:r>
      <w:r w:rsidRPr="00525F98">
        <w:rPr>
          <w:szCs w:val="22"/>
        </w:rPr>
        <w:t>include a detailed factual statement supported by appropriate documentation and affidavits pursuant to sections 1.16 and 1.80(</w:t>
      </w:r>
      <w:r w:rsidR="00E91C28">
        <w:rPr>
          <w:szCs w:val="22"/>
        </w:rPr>
        <w:t>g</w:t>
      </w:r>
      <w:r w:rsidRPr="00525F98">
        <w:rPr>
          <w:szCs w:val="22"/>
        </w:rPr>
        <w:t xml:space="preserve">)(3) of the </w:t>
      </w:r>
      <w:r w:rsidR="00BB5BF4">
        <w:rPr>
          <w:szCs w:val="22"/>
        </w:rPr>
        <w:t>R</w:t>
      </w:r>
      <w:r w:rsidRPr="00525F98">
        <w:rPr>
          <w:szCs w:val="22"/>
        </w:rPr>
        <w:t>ules</w:t>
      </w:r>
      <w:r>
        <w:rPr>
          <w:szCs w:val="22"/>
        </w:rPr>
        <w:t>.</w:t>
      </w:r>
      <w:r>
        <w:rPr>
          <w:rStyle w:val="FootnoteReference"/>
          <w:szCs w:val="22"/>
        </w:rPr>
        <w:footnoteReference w:id="42"/>
      </w:r>
      <w:r>
        <w:rPr>
          <w:szCs w:val="22"/>
        </w:rPr>
        <w:t xml:space="preserve">  The written response must </w:t>
      </w:r>
      <w:r w:rsidRPr="00514C8E">
        <w:rPr>
          <w:szCs w:val="22"/>
        </w:rPr>
        <w:t xml:space="preserve">be </w:t>
      </w:r>
      <w:r>
        <w:rPr>
          <w:szCs w:val="22"/>
        </w:rPr>
        <w:t>filed with the</w:t>
      </w:r>
      <w:r w:rsidRPr="00514C8E">
        <w:rPr>
          <w:szCs w:val="22"/>
        </w:rPr>
        <w:t xml:space="preserve"> Office of the Secretary, Federal Communications Commission, </w:t>
      </w:r>
      <w:r>
        <w:rPr>
          <w:szCs w:val="22"/>
        </w:rPr>
        <w:t>45 L Street, NE</w:t>
      </w:r>
      <w:r w:rsidRPr="00514C8E">
        <w:rPr>
          <w:szCs w:val="22"/>
        </w:rPr>
        <w:t xml:space="preserve">, Washington, DC 20554, ATTN:  Barbara A. Kreisman, Chief, Video Division, Media Bureau, and </w:t>
      </w:r>
      <w:r w:rsidRPr="00285A1A">
        <w:rPr>
          <w:b/>
          <w:bCs/>
          <w:szCs w:val="22"/>
        </w:rPr>
        <w:t>MUST INCLUDE</w:t>
      </w:r>
      <w:r w:rsidRPr="00514C8E">
        <w:rPr>
          <w:szCs w:val="22"/>
        </w:rPr>
        <w:t xml:space="preserve"> the NAL/Acct. No. referenced above.  A courtesy copy </w:t>
      </w:r>
      <w:r>
        <w:rPr>
          <w:szCs w:val="22"/>
        </w:rPr>
        <w:t xml:space="preserve">should also be </w:t>
      </w:r>
      <w:r w:rsidRPr="00514C8E">
        <w:rPr>
          <w:szCs w:val="22"/>
        </w:rPr>
        <w:t xml:space="preserve">emailed to </w:t>
      </w:r>
      <w:hyperlink r:id="rId8" w:history="1">
        <w:r w:rsidR="00F1480F">
          <w:rPr>
            <w:rStyle w:val="Hyperlink"/>
            <w:szCs w:val="22"/>
          </w:rPr>
          <w:t>VideoRenewals</w:t>
        </w:r>
        <w:r w:rsidRPr="00B251CC" w:rsidR="00F1480F">
          <w:rPr>
            <w:rStyle w:val="Hyperlink"/>
            <w:szCs w:val="22"/>
          </w:rPr>
          <w:t>@fcc.gov</w:t>
        </w:r>
      </w:hyperlink>
      <w:r w:rsidRPr="00514C8E">
        <w:rPr>
          <w:szCs w:val="22"/>
        </w:rPr>
        <w:t xml:space="preserve"> </w:t>
      </w:r>
      <w:r>
        <w:rPr>
          <w:szCs w:val="22"/>
        </w:rPr>
        <w:t>to</w:t>
      </w:r>
      <w:r w:rsidRPr="00514C8E">
        <w:rPr>
          <w:szCs w:val="22"/>
        </w:rPr>
        <w:t xml:space="preserve"> assist in processing the response.</w:t>
      </w:r>
    </w:p>
    <w:p w:rsidR="00613CA6" w:rsidRPr="00FB1AC6" w:rsidP="003F4DE0" w14:paraId="19256D26" w14:textId="4F5CE6F5">
      <w:pPr>
        <w:widowControl/>
        <w:numPr>
          <w:ilvl w:val="0"/>
          <w:numId w:val="11"/>
        </w:numPr>
        <w:spacing w:after="120"/>
        <w:rPr>
          <w:szCs w:val="22"/>
        </w:rPr>
      </w:pPr>
      <w:r w:rsidRPr="00FB1AC6">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p>
    <w:p w:rsidR="00613CA6" w:rsidRPr="00FB1AC6" w:rsidP="003F4DE0" w14:paraId="4BD900FA" w14:textId="77777777">
      <w:pPr>
        <w:widowControl/>
        <w:numPr>
          <w:ilvl w:val="1"/>
          <w:numId w:val="11"/>
        </w:numPr>
        <w:spacing w:after="120"/>
        <w:rPr>
          <w:szCs w:val="22"/>
        </w:rPr>
      </w:pPr>
      <w:r w:rsidRPr="000C4D69">
        <w:t xml:space="preserve">Commercial overnight mail (other than U.S. Postal Service Express Mail and Priority Mail) must be sent to 9050 Junction Drive, Annapolis Junction, MD 20701. </w:t>
      </w:r>
    </w:p>
    <w:p w:rsidR="00613CA6" w:rsidRPr="002B1B16" w:rsidP="003F4DE0" w14:paraId="5F075D2C" w14:textId="05734E62">
      <w:pPr>
        <w:widowControl/>
        <w:numPr>
          <w:ilvl w:val="1"/>
          <w:numId w:val="11"/>
        </w:numPr>
        <w:spacing w:after="120"/>
        <w:rPr>
          <w:szCs w:val="22"/>
        </w:rPr>
      </w:pPr>
      <w:r w:rsidRPr="000C4D69">
        <w:t xml:space="preserve">Postal Service first-class, Express, and Priority mail must be addressed to 45 </w:t>
      </w:r>
      <w:r>
        <w:t>L Street,</w:t>
      </w:r>
      <w:r w:rsidRPr="000C4D69">
        <w:t xml:space="preserve"> </w:t>
      </w:r>
      <w:r>
        <w:t>NE</w:t>
      </w:r>
      <w:r w:rsidRPr="000C4D69">
        <w:t>, Washington</w:t>
      </w:r>
      <w:r>
        <w:t>,</w:t>
      </w:r>
      <w:r w:rsidRPr="000C4D69">
        <w:t xml:space="preserve"> DC 20554</w:t>
      </w:r>
      <w:r>
        <w:t>.</w:t>
      </w:r>
    </w:p>
    <w:p w:rsidR="001D48A1" w:rsidRPr="006608E7" w:rsidP="006608E7" w14:paraId="151E424C" w14:textId="10FC98E5">
      <w:pPr>
        <w:widowControl/>
        <w:numPr>
          <w:ilvl w:val="1"/>
          <w:numId w:val="11"/>
        </w:numPr>
        <w:spacing w:after="120"/>
        <w:rPr>
          <w:snapToGrid/>
          <w:color w:val="000000"/>
          <w:szCs w:val="22"/>
        </w:rPr>
      </w:pPr>
      <w:r w:rsidRPr="00CC3710">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43"/>
      </w:r>
      <w:r w:rsidRPr="00CC3710">
        <w:rPr>
          <w:snapToGrid/>
          <w:color w:val="000000"/>
          <w:szCs w:val="22"/>
        </w:rPr>
        <w:t xml:space="preserve">  </w:t>
      </w:r>
    </w:p>
    <w:p w:rsidR="00613CA6" w:rsidRPr="00514C8E" w:rsidP="003F4DE0" w14:paraId="388E3F78" w14:textId="08649113">
      <w:pPr>
        <w:pStyle w:val="ParaNum"/>
        <w:widowControl/>
        <w:tabs>
          <w:tab w:val="clear" w:pos="1080"/>
          <w:tab w:val="num" w:pos="1440"/>
        </w:tabs>
        <w:rPr>
          <w:szCs w:val="22"/>
        </w:rPr>
      </w:pPr>
      <w:r w:rsidRPr="00A57F8D">
        <w:rPr>
          <w:szCs w:val="22"/>
        </w:rPr>
        <w:t>The Commission will</w:t>
      </w:r>
      <w:r w:rsidRPr="003A4F0E">
        <w:rPr>
          <w:i/>
          <w:iCs/>
          <w:szCs w:val="22"/>
        </w:rPr>
        <w:t xml:space="preserve"> </w:t>
      </w:r>
      <w:r w:rsidRPr="00514C8E">
        <w:rPr>
          <w:szCs w:val="22"/>
        </w:rPr>
        <w:t xml:space="preserve">not consider reducing or canceling a forfeiture in response to a claim of inability to pay unless the respondent submits: </w:t>
      </w:r>
      <w:r>
        <w:rPr>
          <w:szCs w:val="22"/>
        </w:rPr>
        <w:t xml:space="preserve"> </w:t>
      </w:r>
      <w:r w:rsidRPr="00514C8E">
        <w:rPr>
          <w:szCs w:val="22"/>
        </w:rPr>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w:t>
      </w:r>
      <w:r w:rsidRPr="00514C8E">
        <w:rPr>
          <w:szCs w:val="22"/>
        </w:rPr>
        <w:t>reference to the financial documentation submitted.</w:t>
      </w:r>
      <w:r>
        <w:rPr>
          <w:szCs w:val="22"/>
        </w:rPr>
        <w:t xml:space="preserve">  </w:t>
      </w:r>
      <w:r w:rsidRPr="00615530">
        <w:rPr>
          <w:szCs w:val="22"/>
        </w:rPr>
        <w:t>Inability to pay, however, is only one of several factors that the Commission will consider in determining the appropriate forfeiture, and we have discretion to not reduce or cancel the forfeiture if other prongs of 47 U.S.C. § 503(b)(2)(E) support that result</w:t>
      </w:r>
      <w:r>
        <w:rPr>
          <w:szCs w:val="22"/>
        </w:rPr>
        <w:t>.</w:t>
      </w:r>
      <w:r>
        <w:rPr>
          <w:rStyle w:val="FootnoteReference"/>
          <w:szCs w:val="22"/>
        </w:rPr>
        <w:footnoteReference w:id="44"/>
      </w:r>
      <w:r w:rsidRPr="00514C8E">
        <w:rPr>
          <w:szCs w:val="22"/>
        </w:rPr>
        <w:t xml:space="preserve">  </w:t>
      </w:r>
    </w:p>
    <w:p w:rsidR="00613CA6" w:rsidRPr="00133D4D" w:rsidP="003F4DE0" w14:paraId="7C23DFFB" w14:textId="0A35925E">
      <w:pPr>
        <w:pStyle w:val="ParaNum"/>
        <w:widowControl/>
        <w:tabs>
          <w:tab w:val="clear" w:pos="1080"/>
          <w:tab w:val="num" w:pos="1440"/>
        </w:tabs>
        <w:rPr>
          <w:szCs w:val="22"/>
        </w:rPr>
      </w:pPr>
      <w:r w:rsidRPr="00133D4D">
        <w:t>Requests</w:t>
      </w:r>
      <w:r w:rsidRPr="00514C8E">
        <w:rPr>
          <w:szCs w:val="22"/>
        </w:rPr>
        <w:t xml:space="preserve"> for full payment of the forfeiture proposed in this </w:t>
      </w:r>
      <w:r w:rsidRPr="00514C8E">
        <w:rPr>
          <w:i/>
          <w:szCs w:val="22"/>
        </w:rPr>
        <w:t>NAL</w:t>
      </w:r>
      <w:r w:rsidR="00FE0AE1">
        <w:rPr>
          <w:i/>
          <w:szCs w:val="22"/>
        </w:rPr>
        <w:t xml:space="preserve"> and Admonishment</w:t>
      </w:r>
      <w:r w:rsidRPr="00514C8E">
        <w:rPr>
          <w:szCs w:val="22"/>
        </w:rPr>
        <w:t xml:space="preserve"> under the installment plan should be sent to:  Associate Managing Director-Financial Operations, </w:t>
      </w:r>
      <w:r>
        <w:rPr>
          <w:szCs w:val="22"/>
        </w:rPr>
        <w:t>45 L</w:t>
      </w:r>
      <w:r w:rsidRPr="00514C8E">
        <w:rPr>
          <w:szCs w:val="22"/>
        </w:rPr>
        <w:t xml:space="preserve"> Street, </w:t>
      </w:r>
      <w:r>
        <w:rPr>
          <w:szCs w:val="22"/>
        </w:rPr>
        <w:t>NE</w:t>
      </w:r>
      <w:r w:rsidRPr="00514C8E">
        <w:rPr>
          <w:szCs w:val="22"/>
        </w:rPr>
        <w:t>, Washington, DC 20554.</w:t>
      </w:r>
      <w:r>
        <w:rPr>
          <w:szCs w:val="22"/>
          <w:vertAlign w:val="superscript"/>
        </w:rPr>
        <w:footnoteReference w:id="45"/>
      </w:r>
      <w:r w:rsidRPr="00514C8E">
        <w:rPr>
          <w:szCs w:val="22"/>
        </w:rPr>
        <w:t xml:space="preserve">  Questions regarding payment procedures should be directed to the Financial Operations Group Help Desk by phone, 1-877-480-3201</w:t>
      </w:r>
      <w:r>
        <w:rPr>
          <w:szCs w:val="22"/>
        </w:rPr>
        <w:t xml:space="preserve"> (option #6)</w:t>
      </w:r>
      <w:r w:rsidRPr="00514C8E">
        <w:rPr>
          <w:szCs w:val="22"/>
        </w:rPr>
        <w:t>, or by e-mail</w:t>
      </w:r>
      <w:r>
        <w:rPr>
          <w:szCs w:val="22"/>
        </w:rPr>
        <w:t xml:space="preserve"> at </w:t>
      </w:r>
      <w:hyperlink r:id="rId9" w:history="1">
        <w:r w:rsidRPr="00722A2D" w:rsidR="003C0F6E">
          <w:rPr>
            <w:rStyle w:val="Hyperlink"/>
            <w:szCs w:val="22"/>
          </w:rPr>
          <w:t>ARINQUIRIES@fcc.gov</w:t>
        </w:r>
      </w:hyperlink>
      <w:r w:rsidRPr="00514C8E">
        <w:rPr>
          <w:szCs w:val="22"/>
        </w:rPr>
        <w:t>.</w:t>
      </w:r>
    </w:p>
    <w:p w:rsidR="00755427" w:rsidP="003F4DE0" w14:paraId="286697AD" w14:textId="66745925">
      <w:pPr>
        <w:pStyle w:val="ParaNum"/>
        <w:keepNext/>
        <w:widowControl/>
        <w:tabs>
          <w:tab w:val="clear" w:pos="1080"/>
          <w:tab w:val="num" w:pos="1440"/>
        </w:tabs>
      </w:pPr>
      <w:r w:rsidRPr="007B5485">
        <w:rPr>
          <w:b/>
          <w:bCs/>
        </w:rPr>
        <w:t>IT IS FURTHER ORDERED</w:t>
      </w:r>
      <w:r>
        <w:t xml:space="preserve">, that copies of this </w:t>
      </w:r>
      <w:r w:rsidRPr="00755427">
        <w:rPr>
          <w:i/>
        </w:rPr>
        <w:t>NAL</w:t>
      </w:r>
      <w:r w:rsidR="00FE0AE1">
        <w:rPr>
          <w:i/>
        </w:rPr>
        <w:t xml:space="preserve"> and Admonishment</w:t>
      </w:r>
      <w:r>
        <w:t xml:space="preserve"> shall be sent</w:t>
      </w:r>
      <w:r w:rsidR="00133D4D">
        <w:t>,</w:t>
      </w:r>
      <w:r>
        <w:t xml:space="preserve"> by First Class and Certified Mail, Return Receipt Requested, to </w:t>
      </w:r>
      <w:r w:rsidRPr="006608E7" w:rsidR="006608E7">
        <w:t xml:space="preserve">Gray Television Licensee, LLC, </w:t>
      </w:r>
      <w:r w:rsidR="004625BF">
        <w:t xml:space="preserve">dba WJHG-TV, </w:t>
      </w:r>
      <w:r w:rsidRPr="006608E7" w:rsidR="006608E7">
        <w:t>4370 Peachtree Road NE, Atlanta, GA 30319, and to its counsel, Joan Stewart, Esq., Wiley Rein LL</w:t>
      </w:r>
      <w:r w:rsidR="00F1480F">
        <w:t>P</w:t>
      </w:r>
      <w:r w:rsidRPr="006608E7" w:rsidR="006608E7">
        <w:t xml:space="preserve">, 1776 K Street, NW, Washington, DC, 20006. </w:t>
      </w:r>
    </w:p>
    <w:p w:rsidR="00133D4D" w:rsidP="003F4DE0" w14:paraId="41D20ECE" w14:textId="77777777">
      <w:pPr>
        <w:keepNext/>
        <w:widowControl/>
      </w:pPr>
      <w:r>
        <w:tab/>
      </w:r>
      <w:r>
        <w:tab/>
      </w:r>
      <w:r>
        <w:tab/>
      </w:r>
      <w:r>
        <w:tab/>
      </w:r>
      <w:r>
        <w:tab/>
      </w:r>
      <w:r>
        <w:tab/>
        <w:t>FEDERAL COMMUNICATIONS COMMISSION</w:t>
      </w:r>
    </w:p>
    <w:p w:rsidR="00133D4D" w:rsidP="003F4DE0" w14:paraId="328EC0D0" w14:textId="77777777">
      <w:pPr>
        <w:keepNext/>
        <w:widowControl/>
      </w:pPr>
    </w:p>
    <w:p w:rsidR="00133D4D" w:rsidP="003F4DE0" w14:paraId="2987CC72" w14:textId="77777777">
      <w:pPr>
        <w:keepNext/>
        <w:widowControl/>
      </w:pPr>
    </w:p>
    <w:p w:rsidR="00133D4D" w:rsidP="003F4DE0" w14:paraId="59BB05EF" w14:textId="77777777">
      <w:pPr>
        <w:keepNext/>
        <w:widowControl/>
      </w:pPr>
    </w:p>
    <w:p w:rsidR="00133D4D" w:rsidP="003F4DE0" w14:paraId="76DF7777" w14:textId="77777777">
      <w:pPr>
        <w:keepNext/>
        <w:widowControl/>
      </w:pPr>
    </w:p>
    <w:p w:rsidR="00133D4D" w:rsidP="003F4DE0" w14:paraId="75F701AB" w14:textId="77777777">
      <w:pPr>
        <w:keepNext/>
        <w:widowControl/>
      </w:pPr>
      <w:r>
        <w:tab/>
      </w:r>
      <w:r>
        <w:tab/>
      </w:r>
      <w:r>
        <w:tab/>
      </w:r>
      <w:r>
        <w:tab/>
      </w:r>
      <w:r>
        <w:tab/>
      </w:r>
      <w:r>
        <w:tab/>
        <w:t xml:space="preserve">Barbara A. Kreisman </w:t>
      </w:r>
    </w:p>
    <w:p w:rsidR="00133D4D" w:rsidP="003F4DE0" w14:paraId="2007FDA0" w14:textId="77777777">
      <w:pPr>
        <w:keepNext/>
        <w:widowControl/>
      </w:pPr>
      <w:r>
        <w:tab/>
      </w:r>
      <w:r>
        <w:tab/>
      </w:r>
      <w:r>
        <w:tab/>
      </w:r>
      <w:r>
        <w:tab/>
      </w:r>
      <w:r>
        <w:tab/>
      </w:r>
      <w:r>
        <w:tab/>
        <w:t>Chief, Video Division</w:t>
      </w:r>
    </w:p>
    <w:p w:rsidR="00133D4D" w:rsidRPr="00AA63F4" w:rsidP="003F4DE0" w14:paraId="6D99AA61" w14:textId="77777777">
      <w:pPr>
        <w:keepNext/>
        <w:widowControl/>
        <w:ind w:left="3600" w:firstLine="720"/>
      </w:pPr>
      <w:r>
        <w:t>Media Bureau</w:t>
      </w:r>
    </w:p>
    <w:p w:rsidR="005005A5" w:rsidRPr="004C31FD" w:rsidP="003F4DE0" w14:paraId="5654D2DA" w14:textId="77777777">
      <w:pPr>
        <w:pStyle w:val="ParaNum"/>
        <w:keepNext/>
        <w:widowControl/>
        <w:numPr>
          <w:ilvl w:val="0"/>
          <w:numId w:val="0"/>
        </w:numPr>
      </w:pP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1024" w14:paraId="764B365E" w14:textId="723FE51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435F0" w14:paraId="6F684979" w14:textId="77777777">
      <w:r>
        <w:separator/>
      </w:r>
    </w:p>
  </w:footnote>
  <w:footnote w:type="continuationSeparator" w:id="1">
    <w:p w:rsidR="006435F0" w:rsidP="00C721AC" w14:paraId="7FCD7D50" w14:textId="77777777">
      <w:pPr>
        <w:spacing w:before="120"/>
        <w:rPr>
          <w:sz w:val="20"/>
        </w:rPr>
      </w:pPr>
      <w:r>
        <w:rPr>
          <w:sz w:val="20"/>
        </w:rPr>
        <w:t xml:space="preserve">(Continued from previous page)  </w:t>
      </w:r>
      <w:r>
        <w:rPr>
          <w:sz w:val="20"/>
        </w:rPr>
        <w:separator/>
      </w:r>
    </w:p>
  </w:footnote>
  <w:footnote w:type="continuationNotice" w:id="2">
    <w:p w:rsidR="006435F0" w:rsidP="00C721AC" w14:paraId="7A41E5E5" w14:textId="77777777">
      <w:pPr>
        <w:jc w:val="right"/>
        <w:rPr>
          <w:sz w:val="20"/>
        </w:rPr>
      </w:pPr>
      <w:r>
        <w:rPr>
          <w:sz w:val="20"/>
        </w:rPr>
        <w:t>(continued….)</w:t>
      </w:r>
    </w:p>
  </w:footnote>
  <w:footnote w:id="3">
    <w:p w:rsidR="00FB595B" w:rsidP="00FB595B" w14:paraId="429BF7ED" w14:textId="2A35FCFA">
      <w:pPr>
        <w:pStyle w:val="FootnoteText"/>
        <w:widowControl w:val="0"/>
      </w:pPr>
      <w:r>
        <w:rPr>
          <w:rStyle w:val="FootnoteReference"/>
        </w:rPr>
        <w:footnoteRef/>
      </w:r>
      <w:r>
        <w:t xml:space="preserve"> </w:t>
      </w:r>
      <w:r w:rsidR="00455E06">
        <w:t xml:space="preserve">LMS </w:t>
      </w:r>
      <w:r>
        <w:t xml:space="preserve">File No. </w:t>
      </w:r>
      <w:r w:rsidRPr="00156590" w:rsidR="00156590">
        <w:t>0000123387</w:t>
      </w:r>
      <w:r w:rsidR="00802F1F">
        <w:t xml:space="preserve"> (</w:t>
      </w:r>
      <w:r w:rsidR="00A80760">
        <w:t xml:space="preserve">amended </w:t>
      </w:r>
      <w:r w:rsidR="00173260">
        <w:t xml:space="preserve">on </w:t>
      </w:r>
      <w:r w:rsidR="00A80760">
        <w:t>December 7, 2020</w:t>
      </w:r>
      <w:r w:rsidR="00802F1F">
        <w:t>)</w:t>
      </w:r>
      <w:r>
        <w:t>.</w:t>
      </w:r>
      <w:r w:rsidR="00C713B7">
        <w:t xml:space="preserve">  </w:t>
      </w:r>
      <w:r w:rsidR="00156590">
        <w:t>WJHG-TV</w:t>
      </w:r>
      <w:r w:rsidR="00BD4134">
        <w:t xml:space="preserve"> is a </w:t>
      </w:r>
      <w:r w:rsidRPr="00760074" w:rsidR="007238E6">
        <w:t>full</w:t>
      </w:r>
      <w:r w:rsidRPr="00760074" w:rsidR="00156590">
        <w:t>-</w:t>
      </w:r>
      <w:r w:rsidRPr="00760074" w:rsidR="007238E6">
        <w:t>power</w:t>
      </w:r>
      <w:r w:rsidR="00BD4134">
        <w:t xml:space="preserve"> television station.</w:t>
      </w:r>
    </w:p>
  </w:footnote>
  <w:footnote w:id="4">
    <w:p w:rsidR="00AA6D20" w:rsidP="00AA6D20" w14:paraId="00D3F6E9" w14:textId="14B29BFA">
      <w:pPr>
        <w:pStyle w:val="FootnoteText"/>
      </w:pPr>
      <w:r>
        <w:rPr>
          <w:rStyle w:val="FootnoteReference"/>
        </w:rPr>
        <w:footnoteRef/>
      </w:r>
      <w:r>
        <w:t xml:space="preserve"> </w:t>
      </w:r>
      <w:r w:rsidRPr="008247A4">
        <w:t>47 CFR § 73.3526(e)(11)(i)</w:t>
      </w:r>
      <w:r>
        <w:t>.</w:t>
      </w:r>
      <w:r w:rsidR="00025F37">
        <w:t xml:space="preserve"> </w:t>
      </w:r>
    </w:p>
  </w:footnote>
  <w:footnote w:id="5">
    <w:p w:rsidR="008612AB" w14:paraId="024DAF5B" w14:textId="76DDAC9F">
      <w:pPr>
        <w:pStyle w:val="FootnoteText"/>
      </w:pPr>
      <w:r>
        <w:rPr>
          <w:rStyle w:val="FootnoteReference"/>
        </w:rPr>
        <w:footnoteRef/>
      </w:r>
      <w:r>
        <w:t xml:space="preserve"> 47 CFR </w:t>
      </w:r>
      <w:r w:rsidRPr="008247A4">
        <w:t>§</w:t>
      </w:r>
      <w:r>
        <w:t xml:space="preserve"> 73.670(b).</w:t>
      </w:r>
    </w:p>
  </w:footnote>
  <w:footnote w:id="6">
    <w:p w:rsidR="002E4A9A" w:rsidRPr="00F56084" w14:paraId="173CE006" w14:textId="6E3AAAD3">
      <w:pPr>
        <w:pStyle w:val="FootnoteText"/>
      </w:pPr>
      <w:r>
        <w:rPr>
          <w:rStyle w:val="FootnoteReference"/>
        </w:rPr>
        <w:footnoteRef/>
      </w:r>
      <w:r>
        <w:t xml:space="preserve"> </w:t>
      </w:r>
      <w:r w:rsidRPr="008247A4" w:rsidR="00E91E02">
        <w:t>47 CFR § 73.3526(e)(11)(i</w:t>
      </w:r>
      <w:r w:rsidRPr="00E91E02" w:rsidR="00E91E02">
        <w:t>)</w:t>
      </w:r>
      <w:r w:rsidRPr="0038516A" w:rsidR="00E91E02">
        <w:t>.</w:t>
      </w:r>
      <w:r w:rsidRPr="00760074" w:rsidR="00334464">
        <w:t xml:space="preserve">  </w:t>
      </w:r>
      <w:r w:rsidRPr="00E91E02" w:rsidR="0055403B">
        <w:t>F</w:t>
      </w:r>
      <w:r w:rsidRPr="0055403B" w:rsidR="0055403B">
        <w:t xml:space="preserve">ull power (commercial and noncommercial) and Class A television broadcasters have been required to upload various public file documents to their OPIF, including TV issues/programs lists, since 2012 and have been required to utilize the OPIF for the entirety of the current license term.  </w:t>
      </w:r>
      <w:r w:rsidRPr="00DF6CF5" w:rsidR="0055403B">
        <w:rPr>
          <w:i/>
          <w:iCs/>
        </w:rPr>
        <w:t>See Standardized and Enhanced Disclosure Requirements for Television Broadcast Licensee Public Interest Obligations, Extension of the Filing Requirement for Children's Television Programming Report</w:t>
      </w:r>
      <w:r w:rsidRPr="0055403B" w:rsidR="0055403B">
        <w:t xml:space="preserve">, Second Report and Order, 27 FCC </w:t>
      </w:r>
      <w:r w:rsidRPr="0055403B" w:rsidR="0055403B">
        <w:t>Rcd</w:t>
      </w:r>
      <w:r w:rsidRPr="0055403B" w:rsidR="0055403B">
        <w:t xml:space="preserve"> 4535 (2012); </w:t>
      </w:r>
      <w:r w:rsidRPr="00DF6CF5" w:rsidR="0055403B">
        <w:rPr>
          <w:i/>
          <w:iCs/>
        </w:rPr>
        <w:t>Effective Date Announced for Online Publication of Broadcast Television Public Inspection Files</w:t>
      </w:r>
      <w:r w:rsidRPr="0055403B" w:rsidR="0055403B">
        <w:t xml:space="preserve">, Public Notice, 27 FCC </w:t>
      </w:r>
      <w:r w:rsidRPr="0055403B" w:rsidR="0055403B">
        <w:t>Rcd</w:t>
      </w:r>
      <w:r w:rsidRPr="0055403B" w:rsidR="0055403B">
        <w:t xml:space="preserve"> 7478 (2012) (announcing an effective date of August 2, 2012, for, </w:t>
      </w:r>
      <w:r w:rsidRPr="007707C4" w:rsidR="0055403B">
        <w:rPr>
          <w:i/>
          <w:iCs/>
        </w:rPr>
        <w:t>inter alia</w:t>
      </w:r>
      <w:r w:rsidRPr="0055403B" w:rsidR="0055403B">
        <w:t>, the requirement that television stations begin to post new TV issues/programs lists to their OPIF).</w:t>
      </w:r>
    </w:p>
  </w:footnote>
  <w:footnote w:id="7">
    <w:p w:rsidR="009C4B91" w:rsidP="009C4B91" w14:paraId="7ED21B45" w14:textId="7C278679">
      <w:pPr>
        <w:spacing w:after="120"/>
        <w:rPr>
          <w:sz w:val="20"/>
        </w:rPr>
      </w:pPr>
      <w:r>
        <w:rPr>
          <w:rStyle w:val="FootnoteReference"/>
        </w:rPr>
        <w:footnoteRef/>
      </w:r>
      <w:r>
        <w:rPr>
          <w:sz w:val="20"/>
        </w:rPr>
        <w:t xml:space="preserve"> </w:t>
      </w:r>
      <w:r w:rsidR="00463A98">
        <w:rPr>
          <w:i/>
          <w:iCs/>
          <w:snapToGrid/>
          <w:kern w:val="0"/>
          <w:sz w:val="20"/>
        </w:rPr>
        <w:t>Id</w:t>
      </w:r>
      <w:r w:rsidRPr="007B5485">
        <w:rPr>
          <w:snapToGrid/>
          <w:kern w:val="0"/>
          <w:sz w:val="20"/>
        </w:rPr>
        <w:t>.</w:t>
      </w:r>
    </w:p>
  </w:footnote>
  <w:footnote w:id="8">
    <w:p w:rsidR="005D048E" w:rsidRPr="00310ACA" w:rsidP="005D048E" w14:paraId="1DFC52A6" w14:textId="77777777">
      <w:pPr>
        <w:pStyle w:val="FootnoteText"/>
      </w:pPr>
      <w:r>
        <w:rPr>
          <w:rStyle w:val="FootnoteReference"/>
        </w:rPr>
        <w:footnoteRef/>
      </w:r>
      <w:r>
        <w:t xml:space="preserve"> </w:t>
      </w:r>
      <w:r w:rsidRPr="00310ACA">
        <w:t xml:space="preserve">Children’s Television Act of 1990 (CTA), Pub. L. No. 101-437, 104 Stat. 996-1000, </w:t>
      </w:r>
      <w:r w:rsidRPr="00310ACA">
        <w:rPr>
          <w:i/>
          <w:iCs/>
        </w:rPr>
        <w:t>codified at</w:t>
      </w:r>
      <w:r w:rsidRPr="00310ACA">
        <w:t xml:space="preserve"> 47 U.S.C. §§ 303a, 303b, and 394.</w:t>
      </w:r>
    </w:p>
  </w:footnote>
  <w:footnote w:id="9">
    <w:p w:rsidR="005D048E" w:rsidRPr="00310ACA" w:rsidP="005D048E" w14:paraId="73FB6BCA" w14:textId="77777777">
      <w:pPr>
        <w:pStyle w:val="FootnoteText"/>
      </w:pPr>
      <w:r w:rsidRPr="00310ACA">
        <w:rPr>
          <w:rStyle w:val="FootnoteReference"/>
        </w:rPr>
        <w:footnoteRef/>
      </w:r>
      <w:r w:rsidRPr="00310ACA">
        <w:t xml:space="preserve"> 47 CFR § 73.670(a).</w:t>
      </w:r>
    </w:p>
  </w:footnote>
  <w:footnote w:id="10">
    <w:p w:rsidR="005D048E" w:rsidRPr="00310ACA" w:rsidP="00BB0099" w14:paraId="0F631B26" w14:textId="77777777">
      <w:pPr>
        <w:autoSpaceDE w:val="0"/>
        <w:autoSpaceDN w:val="0"/>
        <w:adjustRightInd w:val="0"/>
        <w:spacing w:after="120"/>
        <w:rPr>
          <w:rFonts w:eastAsiaTheme="minorEastAsia"/>
          <w:sz w:val="20"/>
        </w:rPr>
      </w:pPr>
      <w:r w:rsidRPr="00310ACA">
        <w:rPr>
          <w:rStyle w:val="FootnoteReference"/>
        </w:rPr>
        <w:footnoteRef/>
      </w:r>
      <w:r w:rsidRPr="00310ACA">
        <w:rPr>
          <w:sz w:val="20"/>
        </w:rPr>
        <w:t xml:space="preserve"> </w:t>
      </w:r>
      <w:r w:rsidRPr="00310ACA">
        <w:rPr>
          <w:i/>
          <w:sz w:val="20"/>
        </w:rPr>
        <w:t>See</w:t>
      </w:r>
      <w:r w:rsidRPr="00310ACA">
        <w:rPr>
          <w:i/>
          <w:iCs/>
          <w:color w:val="000000"/>
          <w:sz w:val="20"/>
        </w:rPr>
        <w:t xml:space="preserve"> Children’s Television Obligations of Digital Television Broadcasters</w:t>
      </w:r>
      <w:r w:rsidRPr="00310ACA">
        <w:rPr>
          <w:color w:val="000000"/>
          <w:sz w:val="20"/>
        </w:rPr>
        <w:t>, Report and Order and Further Notice of Proposed Rulemaking</w:t>
      </w:r>
      <w:r w:rsidRPr="00310ACA">
        <w:rPr>
          <w:iCs/>
          <w:sz w:val="20"/>
        </w:rPr>
        <w:t>,</w:t>
      </w:r>
      <w:r w:rsidRPr="00310ACA">
        <w:rPr>
          <w:sz w:val="20"/>
        </w:rPr>
        <w:t xml:space="preserve"> 19 FCC </w:t>
      </w:r>
      <w:r w:rsidRPr="00310ACA">
        <w:rPr>
          <w:sz w:val="20"/>
        </w:rPr>
        <w:t>Rcd</w:t>
      </w:r>
      <w:r w:rsidRPr="00310ACA">
        <w:rPr>
          <w:sz w:val="20"/>
        </w:rPr>
        <w:t xml:space="preserve"> 22943, 22961-62, paras. 50-52 (2004); </w:t>
      </w:r>
      <w:r w:rsidRPr="00310ACA">
        <w:rPr>
          <w:rFonts w:eastAsiaTheme="minorEastAsia"/>
          <w:i/>
          <w:iCs/>
          <w:color w:val="000000"/>
          <w:sz w:val="20"/>
        </w:rPr>
        <w:t>aff’d in part, amended in part</w:t>
      </w:r>
      <w:r w:rsidRPr="00310ACA">
        <w:rPr>
          <w:rFonts w:eastAsiaTheme="minorEastAsia"/>
          <w:color w:val="000000"/>
          <w:sz w:val="20"/>
        </w:rPr>
        <w:t xml:space="preserve">, Second Order on Reconsideration and Second Report and Order, </w:t>
      </w:r>
      <w:hyperlink r:id="rId1" w:anchor="co_pp_sp_4493_11077" w:history="1">
        <w:r w:rsidRPr="00310ACA">
          <w:rPr>
            <w:rFonts w:eastAsiaTheme="minorEastAsia"/>
            <w:sz w:val="20"/>
          </w:rPr>
          <w:t xml:space="preserve">21 FCC </w:t>
        </w:r>
        <w:r w:rsidRPr="00310ACA">
          <w:rPr>
            <w:rFonts w:eastAsiaTheme="minorEastAsia"/>
            <w:sz w:val="20"/>
          </w:rPr>
          <w:t>Rcd</w:t>
        </w:r>
        <w:r w:rsidRPr="00310ACA">
          <w:rPr>
            <w:rFonts w:eastAsiaTheme="minorEastAsia"/>
            <w:sz w:val="20"/>
          </w:rPr>
          <w:t xml:space="preserve"> 11065, 11077-78, paras. 29-32 (2006)</w:t>
        </w:r>
      </w:hyperlink>
      <w:r w:rsidRPr="00310ACA">
        <w:rPr>
          <w:rFonts w:eastAsiaTheme="minorEastAsia"/>
          <w:sz w:val="20"/>
        </w:rPr>
        <w:t xml:space="preserve"> (</w:t>
      </w:r>
      <w:r w:rsidRPr="00310ACA">
        <w:rPr>
          <w:rFonts w:eastAsiaTheme="minorEastAsia"/>
          <w:i/>
          <w:iCs/>
          <w:sz w:val="20"/>
        </w:rPr>
        <w:t>2006 Order on Reconsideration</w:t>
      </w:r>
      <w:r w:rsidRPr="00310ACA">
        <w:rPr>
          <w:rFonts w:eastAsiaTheme="minorEastAsia"/>
          <w:sz w:val="20"/>
        </w:rPr>
        <w:t xml:space="preserve">); </w:t>
      </w:r>
      <w:r w:rsidRPr="00310ACA">
        <w:rPr>
          <w:rFonts w:eastAsiaTheme="minorEastAsia"/>
          <w:i/>
          <w:iCs/>
          <w:sz w:val="20"/>
        </w:rPr>
        <w:t>see also</w:t>
      </w:r>
      <w:r w:rsidRPr="00310ACA">
        <w:rPr>
          <w:rFonts w:eastAsiaTheme="minorEastAsia"/>
          <w:sz w:val="20"/>
        </w:rPr>
        <w:t xml:space="preserve"> </w:t>
      </w:r>
      <w:hyperlink r:id="rId2" w:anchor="co_pp_a83b000018c76" w:history="1">
        <w:r w:rsidRPr="00310ACA">
          <w:rPr>
            <w:rFonts w:eastAsiaTheme="minorEastAsia"/>
            <w:sz w:val="20"/>
          </w:rPr>
          <w:t>47 CFR § 73.670(b)</w:t>
        </w:r>
      </w:hyperlink>
      <w:r w:rsidRPr="00310ACA">
        <w:rPr>
          <w:rFonts w:eastAsiaTheme="minorEastAsia"/>
          <w:sz w:val="20"/>
        </w:rPr>
        <w:t xml:space="preserve">, </w:t>
      </w:r>
      <w:hyperlink r:id="rId2" w:anchor="co_pp_4b24000003ba5" w:history="1">
        <w:r w:rsidRPr="00310ACA">
          <w:rPr>
            <w:rFonts w:eastAsiaTheme="minorEastAsia"/>
            <w:sz w:val="20"/>
          </w:rPr>
          <w:t>(c)</w:t>
        </w:r>
      </w:hyperlink>
      <w:r w:rsidRPr="00310ACA">
        <w:rPr>
          <w:rFonts w:eastAsiaTheme="minorEastAsia"/>
          <w:sz w:val="20"/>
        </w:rPr>
        <w:t xml:space="preserve">, and </w:t>
      </w:r>
      <w:hyperlink r:id="rId2" w:anchor="co_pp_5ba1000067d06" w:history="1">
        <w:r w:rsidRPr="00310ACA">
          <w:rPr>
            <w:rFonts w:eastAsiaTheme="minorEastAsia"/>
            <w:sz w:val="20"/>
          </w:rPr>
          <w:t>(d)</w:t>
        </w:r>
      </w:hyperlink>
      <w:r w:rsidRPr="00310ACA">
        <w:rPr>
          <w:sz w:val="20"/>
        </w:rPr>
        <w:t>.</w:t>
      </w:r>
    </w:p>
  </w:footnote>
  <w:footnote w:id="11">
    <w:p w:rsidR="005D048E" w:rsidRPr="00310ACA" w:rsidP="00BB0099" w14:paraId="68153088" w14:textId="77777777">
      <w:pPr>
        <w:spacing w:after="120"/>
        <w:rPr>
          <w:sz w:val="20"/>
        </w:rPr>
      </w:pPr>
      <w:r w:rsidRPr="00310ACA">
        <w:rPr>
          <w:rStyle w:val="FootnoteReference"/>
        </w:rPr>
        <w:footnoteRef/>
      </w:r>
      <w:r w:rsidRPr="00310ACA">
        <w:rPr>
          <w:sz w:val="20"/>
        </w:rPr>
        <w:t xml:space="preserve"> </w:t>
      </w:r>
      <w:r w:rsidRPr="00310ACA">
        <w:rPr>
          <w:i/>
          <w:sz w:val="20"/>
        </w:rPr>
        <w:t>See</w:t>
      </w:r>
      <w:r w:rsidRPr="00310ACA">
        <w:rPr>
          <w:sz w:val="20"/>
        </w:rPr>
        <w:t xml:space="preserve"> 47 CFR § 73.670(b).    </w:t>
      </w:r>
    </w:p>
  </w:footnote>
  <w:footnote w:id="12">
    <w:p w:rsidR="00113F6B" w:rsidRPr="00310ACA" w:rsidP="00113F6B" w14:paraId="4B34FF32" w14:textId="40E77FD6">
      <w:pPr>
        <w:pStyle w:val="FootnoteText"/>
      </w:pPr>
      <w:r w:rsidRPr="00310ACA">
        <w:rPr>
          <w:rStyle w:val="FootnoteReference"/>
        </w:rPr>
        <w:footnoteRef/>
      </w:r>
      <w:r w:rsidRPr="00310ACA">
        <w:t xml:space="preserve"> </w:t>
      </w:r>
      <w:r w:rsidRPr="00310ACA" w:rsidR="00FF661D">
        <w:rPr>
          <w:i/>
          <w:iCs/>
        </w:rPr>
        <w:t>Id.</w:t>
      </w:r>
      <w:r w:rsidRPr="00310ACA" w:rsidR="00E53C83">
        <w:t xml:space="preserve">  </w:t>
      </w:r>
      <w:r w:rsidRPr="00310ACA" w:rsidR="0015656C">
        <w:t xml:space="preserve">The </w:t>
      </w:r>
      <w:r w:rsidRPr="00310ACA" w:rsidR="00444419">
        <w:t>s</w:t>
      </w:r>
      <w:r w:rsidRPr="00310ACA" w:rsidR="0015656C">
        <w:t xml:space="preserve">taff inspection </w:t>
      </w:r>
      <w:r w:rsidRPr="00310ACA" w:rsidR="005D048E">
        <w:t>wa</w:t>
      </w:r>
      <w:r w:rsidRPr="00310ACA" w:rsidR="0015656C">
        <w:t xml:space="preserve">s </w:t>
      </w:r>
      <w:r w:rsidRPr="00310ACA" w:rsidR="00C94260">
        <w:t>generally consistent with the Licensee’s disclosures in its Application.</w:t>
      </w:r>
    </w:p>
  </w:footnote>
  <w:footnote w:id="13">
    <w:p w:rsidR="00207DC3" w:rsidP="00207DC3" w14:paraId="309C1F02" w14:textId="16CB302F">
      <w:pPr>
        <w:pStyle w:val="FootnoteText"/>
      </w:pPr>
      <w:r w:rsidRPr="00310ACA">
        <w:rPr>
          <w:rStyle w:val="FootnoteReference"/>
        </w:rPr>
        <w:footnoteRef/>
      </w:r>
      <w:r w:rsidRPr="00310ACA">
        <w:t xml:space="preserve"> </w:t>
      </w:r>
      <w:r w:rsidRPr="00310ACA">
        <w:rPr>
          <w:i/>
          <w:iCs/>
        </w:rPr>
        <w:t>See</w:t>
      </w:r>
      <w:r w:rsidRPr="00310ACA">
        <w:t xml:space="preserve"> Application at Amended </w:t>
      </w:r>
      <w:r w:rsidRPr="00310ACA">
        <w:t>Exh</w:t>
      </w:r>
      <w:r>
        <w:t>., Commercial Limits Disclosure (</w:t>
      </w:r>
      <w:r w:rsidR="00C24D76">
        <w:t>Disclosure</w:t>
      </w:r>
      <w:r>
        <w:t>)</w:t>
      </w:r>
      <w:r w:rsidR="007B2A14">
        <w:t xml:space="preserve">; </w:t>
      </w:r>
      <w:r w:rsidRPr="009E6208" w:rsidR="007B2A14">
        <w:t>47 CFR § 73.670(b).</w:t>
      </w:r>
    </w:p>
  </w:footnote>
  <w:footnote w:id="14">
    <w:p w:rsidR="00C24D76" w:rsidP="00C24D76" w14:paraId="4434D987" w14:textId="01A18C80">
      <w:pPr>
        <w:pStyle w:val="FootnoteText"/>
      </w:pPr>
      <w:r>
        <w:rPr>
          <w:rStyle w:val="FootnoteReference"/>
        </w:rPr>
        <w:footnoteRef/>
      </w:r>
      <w:r>
        <w:t xml:space="preserve"> </w:t>
      </w:r>
      <w:r w:rsidRPr="00AD00DA">
        <w:rPr>
          <w:i/>
          <w:iCs/>
        </w:rPr>
        <w:t>Id</w:t>
      </w:r>
      <w:r>
        <w:t xml:space="preserve">. </w:t>
      </w:r>
    </w:p>
  </w:footnote>
  <w:footnote w:id="15">
    <w:p w:rsidR="00C24D76" w:rsidP="00C24D76" w14:paraId="3A89F1C0" w14:textId="2B4F6A4F">
      <w:pPr>
        <w:pStyle w:val="FootnoteText"/>
      </w:pPr>
      <w:r>
        <w:rPr>
          <w:rStyle w:val="FootnoteReference"/>
        </w:rPr>
        <w:footnoteRef/>
      </w:r>
      <w:r>
        <w:t xml:space="preserve"> </w:t>
      </w:r>
      <w:r>
        <w:rPr>
          <w:i/>
          <w:iCs/>
        </w:rPr>
        <w:t>Id.</w:t>
      </w:r>
      <w:r>
        <w:t xml:space="preserve">  </w:t>
      </w:r>
    </w:p>
  </w:footnote>
  <w:footnote w:id="16">
    <w:p w:rsidR="00A20203" w:rsidP="00A20203" w14:paraId="63A0466A" w14:textId="49563372">
      <w:pPr>
        <w:pStyle w:val="FootnoteText"/>
      </w:pPr>
      <w:r>
        <w:rPr>
          <w:rStyle w:val="FootnoteReference"/>
        </w:rPr>
        <w:footnoteRef/>
      </w:r>
      <w:r>
        <w:t xml:space="preserve"> Our action today addresses </w:t>
      </w:r>
      <w:r w:rsidR="00686344">
        <w:t xml:space="preserve">known </w:t>
      </w:r>
      <w:r>
        <w:t xml:space="preserve">apparent violations from the date the prior license renewal application was granted through the adoption date of this item.  Any violations that </w:t>
      </w:r>
      <w:r w:rsidR="00686344">
        <w:t xml:space="preserve">are discovered or </w:t>
      </w:r>
      <w:r>
        <w:t xml:space="preserve">may occur following the adoption date of this item and prior to the grant of the current </w:t>
      </w:r>
      <w:r w:rsidR="007D0EB5">
        <w:t>A</w:t>
      </w:r>
      <w:r>
        <w:t>pplication would be separate violations and potentially subject to additional Commission action.</w:t>
      </w:r>
    </w:p>
  </w:footnote>
  <w:footnote w:id="17">
    <w:p w:rsidR="00A20203" w:rsidP="00A20203" w14:paraId="16BA2E52" w14:textId="77777777">
      <w:pPr>
        <w:pStyle w:val="FootnoteText"/>
        <w:widowControl w:val="0"/>
      </w:pPr>
      <w:r>
        <w:rPr>
          <w:rStyle w:val="FootnoteReference"/>
        </w:rPr>
        <w:footnoteRef/>
      </w:r>
      <w:r>
        <w:t xml:space="preserve"> </w:t>
      </w:r>
      <w:r>
        <w:rPr>
          <w:i/>
          <w:iCs/>
        </w:rPr>
        <w:t>See</w:t>
      </w:r>
      <w:r>
        <w:t xml:space="preserve"> 47 CFR § 73.3526(e)(11)(i).  </w:t>
      </w:r>
    </w:p>
  </w:footnote>
  <w:footnote w:id="18">
    <w:p w:rsidR="00207DC3" w14:paraId="22F44F31" w14:textId="01B9316E">
      <w:pPr>
        <w:pStyle w:val="FootnoteText"/>
      </w:pPr>
      <w:r>
        <w:rPr>
          <w:rStyle w:val="FootnoteReference"/>
        </w:rPr>
        <w:footnoteRef/>
      </w:r>
      <w:r>
        <w:t xml:space="preserve"> </w:t>
      </w:r>
      <w:r w:rsidRPr="009E6208">
        <w:t>47 CFR § 73.670(b).</w:t>
      </w:r>
    </w:p>
  </w:footnote>
  <w:footnote w:id="19">
    <w:p w:rsidR="00A840F0" w14:paraId="29962CFC" w14:textId="199FF70F">
      <w:pPr>
        <w:pStyle w:val="FootnoteText"/>
      </w:pPr>
      <w:r>
        <w:rPr>
          <w:rStyle w:val="FootnoteReference"/>
        </w:rPr>
        <w:footnoteRef/>
      </w:r>
      <w:r>
        <w:t xml:space="preserve"> </w:t>
      </w:r>
      <w:r w:rsidR="00280881">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w:t>
      </w:r>
      <w:r w:rsidR="00A46B9D">
        <w:t>2</w:t>
      </w:r>
      <w:r>
        <w:t>).</w:t>
      </w:r>
    </w:p>
  </w:footnote>
  <w:footnote w:id="20">
    <w:p w:rsidR="00A840F0" w14:paraId="6C143B4D" w14:textId="5243C03A">
      <w:pPr>
        <w:pStyle w:val="FootnoteText"/>
      </w:pPr>
      <w:r>
        <w:rPr>
          <w:rStyle w:val="FootnoteReference"/>
        </w:rPr>
        <w:footnoteRef/>
      </w:r>
      <w:r>
        <w:t xml:space="preserve"> 47 U.S.C. </w:t>
      </w:r>
      <w:r w:rsidRPr="00B229D5">
        <w:t>§</w:t>
      </w:r>
      <w:r>
        <w:t xml:space="preserve"> 312(f)(1).</w:t>
      </w:r>
    </w:p>
  </w:footnote>
  <w:footnote w:id="21">
    <w:p w:rsidR="00A840F0" w14:paraId="07A97540" w14:textId="28D5B139">
      <w:pPr>
        <w:pStyle w:val="FootnoteText"/>
      </w:pPr>
      <w:r>
        <w:rPr>
          <w:rStyle w:val="FootnoteReference"/>
        </w:rPr>
        <w:footnoteRef/>
      </w:r>
      <w:r>
        <w:t xml:space="preserve"> </w:t>
      </w:r>
      <w:r w:rsidRPr="007B5485" w:rsidR="000201CD">
        <w:rPr>
          <w:i/>
          <w:iCs/>
        </w:rPr>
        <w:t>See</w:t>
      </w:r>
      <w:r w:rsidR="000201CD">
        <w:t xml:space="preserve"> H.R. Rep. No. 97-765, </w:t>
      </w:r>
      <w:r w:rsidR="00280881">
        <w:t>at 51</w:t>
      </w:r>
      <w:r w:rsidR="000201CD">
        <w:t xml:space="preserve"> (1982)</w:t>
      </w:r>
      <w:r w:rsidR="00280881">
        <w:t xml:space="preserve"> (Conf. Rep.)</w:t>
      </w:r>
      <w:r w:rsidR="000201CD">
        <w:t>.</w:t>
      </w:r>
    </w:p>
  </w:footnote>
  <w:footnote w:id="22">
    <w:p w:rsidR="000201CD" w14:paraId="2BD393A0" w14:textId="4D145A9B">
      <w:pPr>
        <w:pStyle w:val="FootnoteText"/>
      </w:pPr>
      <w:r>
        <w:rPr>
          <w:rStyle w:val="FootnoteReference"/>
        </w:rPr>
        <w:footnoteRef/>
      </w:r>
      <w:r>
        <w:t xml:space="preserve"> </w:t>
      </w:r>
      <w:r w:rsidRPr="007B3858">
        <w:rPr>
          <w:i/>
          <w:iCs/>
        </w:rPr>
        <w:t xml:space="preserve">See </w:t>
      </w:r>
      <w:r w:rsidRPr="007B3858" w:rsidR="007B3858">
        <w:rPr>
          <w:i/>
          <w:iCs/>
        </w:rPr>
        <w:t>Southern California Broadcasting Co.</w:t>
      </w:r>
      <w:r w:rsidRPr="007B3858" w:rsidR="007B3858">
        <w:t xml:space="preserve">, Memorandum Opinion and Order, 6 FCC </w:t>
      </w:r>
      <w:r w:rsidRPr="007B3858" w:rsidR="007B3858">
        <w:t>Rcd</w:t>
      </w:r>
      <w:r w:rsidRPr="007B3858" w:rsidR="007B3858">
        <w:t xml:space="preserve"> 4387, 4388</w:t>
      </w:r>
      <w:r w:rsidR="00C70247">
        <w:t>,</w:t>
      </w:r>
      <w:r w:rsidRPr="007B3858" w:rsidR="007B3858">
        <w:t xml:space="preserve"> </w:t>
      </w:r>
      <w:r w:rsidRPr="00C70247" w:rsidR="00C70247">
        <w:t>para. 5 (1991)</w:t>
      </w:r>
      <w:r w:rsidR="005D1DBA">
        <w:t xml:space="preserve"> (</w:t>
      </w:r>
      <w:r w:rsidR="005D1DBA">
        <w:rPr>
          <w:i/>
          <w:iCs/>
        </w:rPr>
        <w:t>Southern California</w:t>
      </w:r>
      <w:r w:rsidR="005D1DBA">
        <w:t>)</w:t>
      </w:r>
      <w:r w:rsidRPr="00C70247" w:rsidR="00C70247">
        <w:t xml:space="preserve">, recon. denied, 7 FCC </w:t>
      </w:r>
      <w:r w:rsidRPr="00C70247" w:rsidR="00C70247">
        <w:t>Rcd</w:t>
      </w:r>
      <w:r w:rsidRPr="00C70247" w:rsidR="00C70247">
        <w:t xml:space="preserve"> 3454 (1992).</w:t>
      </w:r>
    </w:p>
  </w:footnote>
  <w:footnote w:id="23">
    <w:p w:rsidR="00460B95" w14:paraId="72B77227" w14:textId="3E6EFEF6">
      <w:pPr>
        <w:pStyle w:val="FootnoteText"/>
      </w:pPr>
      <w:r>
        <w:rPr>
          <w:rStyle w:val="FootnoteReference"/>
        </w:rPr>
        <w:footnoteRef/>
      </w:r>
      <w:r>
        <w:t xml:space="preserve"> 47 U.S.C. </w:t>
      </w:r>
      <w:r w:rsidRPr="00B229D5">
        <w:t>§</w:t>
      </w:r>
      <w:r>
        <w:t xml:space="preserve"> 312(f)(2).</w:t>
      </w:r>
    </w:p>
  </w:footnote>
  <w:footnote w:id="24">
    <w:p w:rsidR="00066831" w:rsidP="00066831" w14:paraId="5B91AE07" w14:textId="77777777">
      <w:pPr>
        <w:pStyle w:val="FootnoteText"/>
      </w:pPr>
      <w:r>
        <w:rPr>
          <w:rStyle w:val="FootnoteReference"/>
        </w:rPr>
        <w:footnoteRef/>
      </w:r>
      <w:r>
        <w:t xml:space="preserve"> </w:t>
      </w:r>
      <w:r w:rsidRPr="00460B95">
        <w:rPr>
          <w:i/>
          <w:iCs/>
        </w:rPr>
        <w:t>See Forfeiture Policy Statement and Amendment of Section 1.80 of the Rules to Incorporate the Forfeiture Guidelines</w:t>
      </w:r>
      <w:r>
        <w:t xml:space="preserve">, Report and Order, 12 FCC </w:t>
      </w:r>
      <w:r>
        <w:t>Rcd</w:t>
      </w:r>
      <w:r>
        <w:t xml:space="preserve"> 17087, 17113-15 (1997) (</w:t>
      </w:r>
      <w:r w:rsidRPr="00C5139E">
        <w:rPr>
          <w:i/>
          <w:iCs/>
        </w:rPr>
        <w:t>Forfeiture Policy Statement</w:t>
      </w:r>
      <w:r>
        <w:t xml:space="preserve">), </w:t>
      </w:r>
      <w:r w:rsidRPr="004244D5">
        <w:rPr>
          <w:i/>
          <w:iCs/>
        </w:rPr>
        <w:t>recon. denied</w:t>
      </w:r>
      <w:r>
        <w:t xml:space="preserve">, 15 FCC </w:t>
      </w:r>
      <w:r>
        <w:t>Rcd</w:t>
      </w:r>
      <w:r>
        <w:t xml:space="preserve"> 303 (1999); 47 CFR </w:t>
      </w:r>
      <w:r w:rsidRPr="00B229D5">
        <w:t>§</w:t>
      </w:r>
      <w:r>
        <w:t xml:space="preserve"> 1.80(b), paragraph (b)(10), Table 1. </w:t>
      </w:r>
    </w:p>
  </w:footnote>
  <w:footnote w:id="25">
    <w:p w:rsidR="004244D5" w14:paraId="1D20C0E2" w14:textId="71857CE4">
      <w:pPr>
        <w:pStyle w:val="FootnoteText"/>
      </w:pPr>
      <w:r>
        <w:rPr>
          <w:rStyle w:val="FootnoteReference"/>
        </w:rPr>
        <w:footnoteRef/>
      </w:r>
      <w:r>
        <w:t xml:space="preserve"> 47 U.S.C. </w:t>
      </w:r>
      <w:r w:rsidRPr="00B229D5">
        <w:t>§</w:t>
      </w:r>
      <w:r>
        <w:t xml:space="preserve"> 503(b)(2)(</w:t>
      </w:r>
      <w:r w:rsidR="00C70247">
        <w:t>E</w:t>
      </w:r>
      <w:r>
        <w:t>)</w:t>
      </w:r>
      <w:r w:rsidR="00C70247">
        <w:t>.</w:t>
      </w:r>
      <w:r>
        <w:t xml:space="preserve"> </w:t>
      </w:r>
      <w:r w:rsidR="00C70247">
        <w:t xml:space="preserve"> </w:t>
      </w:r>
      <w:r w:rsidR="00C70247">
        <w:rPr>
          <w:i/>
          <w:iCs/>
        </w:rPr>
        <w:t>S</w:t>
      </w:r>
      <w:r w:rsidRPr="003A791F" w:rsidR="00C70247">
        <w:rPr>
          <w:i/>
          <w:iCs/>
        </w:rPr>
        <w:t xml:space="preserve">ee </w:t>
      </w:r>
      <w:r w:rsidRPr="003A791F">
        <w:rPr>
          <w:i/>
          <w:iCs/>
        </w:rPr>
        <w:t>also</w:t>
      </w:r>
      <w:r>
        <w:t xml:space="preserve"> </w:t>
      </w:r>
      <w:r w:rsidRPr="007B5485" w:rsidR="00DC653B">
        <w:rPr>
          <w:i/>
          <w:iCs/>
        </w:rPr>
        <w:t>Forfeiture Policy Statement</w:t>
      </w:r>
      <w:r w:rsidR="00DC653B">
        <w:t xml:space="preserve">, 12 FCC </w:t>
      </w:r>
      <w:r w:rsidR="00DC653B">
        <w:t>Rcd</w:t>
      </w:r>
      <w:r w:rsidR="00DC653B">
        <w:t xml:space="preserve"> at 17100-01; 47 CFR </w:t>
      </w:r>
      <w:r w:rsidRPr="00B229D5" w:rsidR="00DC653B">
        <w:t>§</w:t>
      </w:r>
      <w:r w:rsidR="00DC653B">
        <w:t xml:space="preserve"> 1.80(b)</w:t>
      </w:r>
      <w:r w:rsidR="00B277C6">
        <w:t>(</w:t>
      </w:r>
      <w:r w:rsidR="00587729">
        <w:t>10</w:t>
      </w:r>
      <w:r w:rsidR="00B277C6">
        <w:t>);</w:t>
      </w:r>
      <w:r w:rsidR="00DC653B">
        <w:t xml:space="preserve"> </w:t>
      </w:r>
      <w:r w:rsidR="00B277C6">
        <w:t xml:space="preserve">47 CFR </w:t>
      </w:r>
      <w:r w:rsidRPr="00B229D5" w:rsidR="00B277C6">
        <w:t>§</w:t>
      </w:r>
      <w:r w:rsidR="00B277C6">
        <w:t xml:space="preserve"> 1.80(b),</w:t>
      </w:r>
      <w:r w:rsidR="00DC653B">
        <w:t xml:space="preserve"> paragraph (b)(</w:t>
      </w:r>
      <w:r w:rsidR="00587729">
        <w:t>10</w:t>
      </w:r>
      <w:r w:rsidR="00DC653B">
        <w:t xml:space="preserve">), </w:t>
      </w:r>
      <w:r w:rsidR="00523232">
        <w:t>Table 3</w:t>
      </w:r>
      <w:r w:rsidR="00DC653B">
        <w:t>.</w:t>
      </w:r>
    </w:p>
  </w:footnote>
  <w:footnote w:id="26">
    <w:p w:rsidR="001A00F6" w:rsidP="001A00F6" w14:paraId="1FED21F3" w14:textId="77777777">
      <w:pPr>
        <w:pStyle w:val="FootnoteText"/>
        <w:widowControl w:val="0"/>
      </w:pPr>
      <w:r>
        <w:rPr>
          <w:rStyle w:val="FootnoteReference"/>
        </w:rPr>
        <w:footnoteRef/>
      </w:r>
      <w:r>
        <w:t xml:space="preserve"> </w:t>
      </w:r>
      <w:r>
        <w:rPr>
          <w:i/>
          <w:iCs/>
        </w:rPr>
        <w:t>See</w:t>
      </w:r>
      <w:r>
        <w:t xml:space="preserve"> 47 CFR § 73.3526(e)(11)(i).  </w:t>
      </w:r>
    </w:p>
  </w:footnote>
  <w:footnote w:id="27">
    <w:p w:rsidR="00C24D76" w:rsidRPr="005B6BA3" w:rsidP="00C24D76" w14:paraId="0E386EB1" w14:textId="6AB29ED7">
      <w:pPr>
        <w:pStyle w:val="FootnoteText"/>
      </w:pPr>
      <w:r>
        <w:rPr>
          <w:rStyle w:val="FootnoteReference"/>
        </w:rPr>
        <w:footnoteRef/>
      </w:r>
      <w:r>
        <w:t xml:space="preserve"> </w:t>
      </w:r>
      <w:r w:rsidRPr="005B6BA3">
        <w:rPr>
          <w:i/>
          <w:iCs/>
        </w:rPr>
        <w:t>See, e.g</w:t>
      </w:r>
      <w:r>
        <w:rPr>
          <w:i/>
          <w:iCs/>
        </w:rPr>
        <w:t>.</w:t>
      </w:r>
      <w:r w:rsidRPr="005B6BA3">
        <w:rPr>
          <w:i/>
          <w:iCs/>
        </w:rPr>
        <w:t>, Tribune Broadcasting Oklahoma City License, LLC</w:t>
      </w:r>
      <w:r>
        <w:t xml:space="preserve">, Admonishment Letter, </w:t>
      </w:r>
      <w:r w:rsidRPr="00B5626A">
        <w:t xml:space="preserve">30 FCC </w:t>
      </w:r>
      <w:r w:rsidRPr="00B5626A">
        <w:t>Rcd</w:t>
      </w:r>
      <w:r w:rsidRPr="00B5626A">
        <w:t xml:space="preserve"> 14512 </w:t>
      </w:r>
      <w:r>
        <w:t xml:space="preserve">(MB 2015) </w:t>
      </w:r>
      <w:r w:rsidR="008E5CFE">
        <w:t>(</w:t>
      </w:r>
      <w:r w:rsidRPr="008E5CFE" w:rsidR="008E5CFE">
        <w:rPr>
          <w:i/>
          <w:iCs/>
        </w:rPr>
        <w:t>Tribune</w:t>
      </w:r>
      <w:r w:rsidR="008E5CFE">
        <w:t xml:space="preserve">) </w:t>
      </w:r>
      <w:r>
        <w:t>(</w:t>
      </w:r>
      <w:r w:rsidRPr="0009502F">
        <w:t>admonishing station for broadcasting this same</w:t>
      </w:r>
      <w:r>
        <w:t xml:space="preserve"> “</w:t>
      </w:r>
      <w:hyperlink r:id="rId3" w:history="1">
        <w:r w:rsidRPr="00D550E0">
          <w:rPr>
            <w:rStyle w:val="Hyperlink"/>
          </w:rPr>
          <w:t>www.lazytown.com</w:t>
        </w:r>
      </w:hyperlink>
      <w:r>
        <w:t xml:space="preserve">” </w:t>
      </w:r>
      <w:r w:rsidRPr="0009502F">
        <w:t>material</w:t>
      </w:r>
      <w:r>
        <w:t xml:space="preserve"> on October 12, 2013).</w:t>
      </w:r>
    </w:p>
  </w:footnote>
  <w:footnote w:id="28">
    <w:p w:rsidR="00C24D76" w:rsidP="00C24D76" w14:paraId="25FB339A" w14:textId="77777777">
      <w:pPr>
        <w:pStyle w:val="FootnoteText"/>
      </w:pPr>
      <w:r>
        <w:rPr>
          <w:rStyle w:val="FootnoteReference"/>
        </w:rPr>
        <w:footnoteRef/>
      </w:r>
      <w:r>
        <w:t xml:space="preserve"> </w:t>
      </w:r>
      <w:r w:rsidRPr="00A241F4">
        <w:rPr>
          <w:i/>
        </w:rPr>
        <w:t>See e.g.,</w:t>
      </w:r>
      <w:r w:rsidRPr="00A241F4">
        <w:t xml:space="preserve"> </w:t>
      </w:r>
      <w:r w:rsidRPr="00A241F4">
        <w:rPr>
          <w:i/>
        </w:rPr>
        <w:t>Orlando Hearst Television, Inc.</w:t>
      </w:r>
      <w:r w:rsidRPr="00A241F4">
        <w:t xml:space="preserve">, Admonishment Letter, 29 FCC </w:t>
      </w:r>
      <w:r w:rsidRPr="00A241F4">
        <w:t>Rcd</w:t>
      </w:r>
      <w:r w:rsidRPr="00A241F4">
        <w:t xml:space="preserve"> 9634, 9635 (MB 2014).</w:t>
      </w:r>
      <w:r>
        <w:t xml:space="preserve">  </w:t>
      </w:r>
    </w:p>
  </w:footnote>
  <w:footnote w:id="29">
    <w:p w:rsidR="00C24D76" w:rsidP="00BB0099" w14:paraId="30F75EBD" w14:textId="77777777">
      <w:pPr>
        <w:pStyle w:val="FootnoteText"/>
        <w:keepLines/>
      </w:pPr>
      <w:r>
        <w:rPr>
          <w:rStyle w:val="FootnoteReference"/>
        </w:rPr>
        <w:footnoteRef/>
      </w:r>
      <w:r>
        <w:t xml:space="preserve"> </w:t>
      </w:r>
      <w:r>
        <w:rPr>
          <w:i/>
        </w:rPr>
        <w:t>2006 Order on Reconsideration</w:t>
      </w:r>
      <w:r>
        <w:t xml:space="preserve">, 21 FCC </w:t>
      </w:r>
      <w:r>
        <w:t>Rcd</w:t>
      </w:r>
      <w:r>
        <w:t xml:space="preserve"> at</w:t>
      </w:r>
      <w:r>
        <w:rPr>
          <w:i/>
        </w:rPr>
        <w:t xml:space="preserve"> </w:t>
      </w:r>
      <w:r>
        <w:t>11080, para. 36.</w:t>
      </w:r>
    </w:p>
  </w:footnote>
  <w:footnote w:id="30">
    <w:p w:rsidR="00C24D76" w:rsidP="00C24D76" w14:paraId="1CFA42C4" w14:textId="0F8B8E0B">
      <w:pPr>
        <w:pStyle w:val="FootnoteText"/>
      </w:pPr>
      <w:r>
        <w:rPr>
          <w:rStyle w:val="FootnoteReference"/>
        </w:rPr>
        <w:footnoteRef/>
      </w:r>
      <w:r>
        <w:t xml:space="preserve"> </w:t>
      </w:r>
      <w:r>
        <w:rPr>
          <w:i/>
        </w:rPr>
        <w:t>See Tribune,</w:t>
      </w:r>
      <w:r>
        <w:rPr>
          <w:iCs/>
        </w:rPr>
        <w:t xml:space="preserve"> </w:t>
      </w:r>
      <w:r w:rsidR="008E5CFE">
        <w:rPr>
          <w:iCs/>
        </w:rPr>
        <w:t>30</w:t>
      </w:r>
      <w:r>
        <w:rPr>
          <w:iCs/>
        </w:rPr>
        <w:t xml:space="preserve"> FCC at 14513</w:t>
      </w:r>
      <w:r>
        <w:t xml:space="preserve"> (noting that the </w:t>
      </w:r>
      <w:r w:rsidRPr="00B5626A">
        <w:t xml:space="preserve">website did not meet the </w:t>
      </w:r>
      <w:r>
        <w:t xml:space="preserve">test’s </w:t>
      </w:r>
      <w:r w:rsidRPr="00B5626A">
        <w:t>fourth prong because the top of the</w:t>
      </w:r>
      <w:r>
        <w:t xml:space="preserve"> website’s</w:t>
      </w:r>
      <w:r w:rsidRPr="00B5626A">
        <w:t xml:space="preserve"> homepage contained content of a commercial nature in the form of a link labeled “shop”</w:t>
      </w:r>
      <w:r>
        <w:t xml:space="preserve">).  </w:t>
      </w:r>
    </w:p>
  </w:footnote>
  <w:footnote w:id="31">
    <w:p w:rsidR="00C24D76" w:rsidP="00BB0099" w14:paraId="47E02555" w14:textId="77777777">
      <w:pPr>
        <w:pStyle w:val="FootnoteText"/>
        <w:keepLines/>
      </w:pPr>
      <w:r>
        <w:rPr>
          <w:rStyle w:val="FootnoteReference"/>
        </w:rPr>
        <w:footnoteRef/>
      </w:r>
      <w:r>
        <w:t xml:space="preserve"> </w:t>
      </w:r>
      <w:r>
        <w:rPr>
          <w:i/>
        </w:rPr>
        <w:t>See, e.g., Max Television of Syracuse, L.P.</w:t>
      </w:r>
      <w:r>
        <w:t xml:space="preserve">, Memorandum Opinion and Order, 13 FCC </w:t>
      </w:r>
      <w:r>
        <w:t>Rcd</w:t>
      </w:r>
      <w:r>
        <w:t xml:space="preserve"> 10105, 10108, para.7 (MMB 1997) (imposing forfeiture for violations of 73.670 and rejecting argument that licensee was not liable for excessive commercial material that had been inserted into children’s programming by program producer or distributor).</w:t>
      </w:r>
    </w:p>
  </w:footnote>
  <w:footnote w:id="32">
    <w:p w:rsidR="00C24D76" w:rsidP="00BB0099" w14:paraId="7D04F655" w14:textId="77777777">
      <w:pPr>
        <w:pStyle w:val="FootnoteText"/>
        <w:keepLines/>
      </w:pPr>
      <w:r>
        <w:rPr>
          <w:rStyle w:val="FootnoteReference"/>
        </w:rPr>
        <w:footnoteRef/>
      </w:r>
      <w:r>
        <w:t xml:space="preserve"> </w:t>
      </w:r>
      <w:r>
        <w:rPr>
          <w:i/>
        </w:rPr>
        <w:t>See International Broadcasting Corp.</w:t>
      </w:r>
      <w:r>
        <w:t>, Memorandum Opinion and Order, 19 FCC 2d 793, 794, para. 5 (1969) (imposing forfeiture and declining to credit as mitigation corrective action following a violation because doing so would “tend to encourage remedial rather than preventive action”).</w:t>
      </w:r>
    </w:p>
  </w:footnote>
  <w:footnote w:id="33">
    <w:p w:rsidR="00C24D76" w:rsidP="00C24D76" w14:paraId="426B0D85" w14:textId="77777777">
      <w:pPr>
        <w:pStyle w:val="FootnoteText"/>
      </w:pPr>
      <w:r>
        <w:rPr>
          <w:rStyle w:val="FootnoteReference"/>
        </w:rPr>
        <w:footnoteRef/>
      </w:r>
      <w:r>
        <w:t xml:space="preserve"> Application at Disclosure. </w:t>
      </w:r>
    </w:p>
  </w:footnote>
  <w:footnote w:id="34">
    <w:p w:rsidR="00C24D76" w:rsidRPr="005F1D98" w:rsidP="00C24D76" w14:paraId="1FF27DDC" w14:textId="77777777">
      <w:pPr>
        <w:pStyle w:val="FootnoteText"/>
        <w:tabs>
          <w:tab w:val="left" w:pos="2830"/>
        </w:tabs>
      </w:pPr>
      <w:r w:rsidRPr="005F1D98">
        <w:rPr>
          <w:rStyle w:val="FootnoteReference"/>
        </w:rPr>
        <w:footnoteRef/>
      </w:r>
      <w:r w:rsidRPr="005F1D98">
        <w:t xml:space="preserve"> This admonishment is issued pursuant sections 1.80 and 0.283(d) of the </w:t>
      </w:r>
      <w:r>
        <w:t>R</w:t>
      </w:r>
      <w:r w:rsidRPr="005F1D98">
        <w:t>ules, 47 CFR §§ 1.80 and 0.283.</w:t>
      </w:r>
    </w:p>
  </w:footnote>
  <w:footnote w:id="35">
    <w:p w:rsidR="00991DB0" w:rsidP="00991DB0" w14:paraId="6236BB39" w14:textId="77777777">
      <w:pPr>
        <w:pStyle w:val="Footer"/>
        <w:spacing w:after="120"/>
        <w:rPr>
          <w:rFonts w:asciiTheme="minorHAnsi" w:eastAsiaTheme="minorHAnsi" w:hAnsiTheme="minorHAnsi" w:cstheme="minorBidi"/>
          <w:sz w:val="20"/>
          <w:szCs w:val="22"/>
        </w:rPr>
      </w:pPr>
      <w:r>
        <w:rPr>
          <w:rStyle w:val="FootnoteReference"/>
          <w:rFonts w:cstheme="minorBidi"/>
        </w:rPr>
        <w:footnoteRef/>
      </w:r>
      <w:r>
        <w:rPr>
          <w:i/>
          <w:sz w:val="20"/>
        </w:rPr>
        <w:t xml:space="preserve"> </w:t>
      </w:r>
      <w:r>
        <w:rPr>
          <w:sz w:val="20"/>
        </w:rPr>
        <w:t>47 U.S.C. § 309(k).</w:t>
      </w:r>
    </w:p>
  </w:footnote>
  <w:footnote w:id="36">
    <w:p w:rsidR="00991DB0" w:rsidP="00991DB0" w14:paraId="68B95AA9" w14:textId="77777777">
      <w:pPr>
        <w:pStyle w:val="Footer"/>
        <w:spacing w:after="120"/>
        <w:rPr>
          <w:sz w:val="20"/>
        </w:rPr>
      </w:pPr>
      <w:r>
        <w:rPr>
          <w:rStyle w:val="FootnoteReference"/>
          <w:rFonts w:cstheme="minorBidi"/>
        </w:rPr>
        <w:footnoteRef/>
      </w:r>
      <w:r>
        <w:rPr>
          <w:sz w:val="20"/>
        </w:rPr>
        <w:t xml:space="preserve"> 47 U.S.C. § 309(k)(1).  </w:t>
      </w:r>
    </w:p>
  </w:footnote>
  <w:footnote w:id="37">
    <w:p w:rsidR="00991DB0" w:rsidP="00991DB0" w14:paraId="29D8073F" w14:textId="77777777">
      <w:pPr>
        <w:pStyle w:val="Footer"/>
        <w:spacing w:after="120"/>
        <w:rPr>
          <w:sz w:val="20"/>
        </w:rPr>
      </w:pPr>
      <w:r>
        <w:rPr>
          <w:rStyle w:val="FootnoteReference"/>
          <w:rFonts w:cstheme="minorBidi"/>
        </w:rPr>
        <w:footnoteRef/>
      </w:r>
      <w:r>
        <w:rPr>
          <w:sz w:val="20"/>
        </w:rPr>
        <w:t xml:space="preserve"> 47 U.S.C. §§ 309(k)(2), 309(k)(3).</w:t>
      </w:r>
    </w:p>
  </w:footnote>
  <w:footnote w:id="38">
    <w:p w:rsidR="001F6F2C" w:rsidRPr="00132193" w:rsidP="001F6F2C" w14:paraId="5E5E71ED" w14:textId="03EC8F55">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4F47C6">
        <w:rPr>
          <w:sz w:val="20"/>
        </w:rPr>
        <w:t>’</w:t>
      </w:r>
      <w:r w:rsidRPr="00132193">
        <w:rPr>
          <w:sz w:val="20"/>
        </w:rPr>
        <w:t xml:space="preserv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sidR="00E56185">
        <w:rPr>
          <w:sz w:val="20"/>
        </w:rPr>
        <w:t>“</w:t>
      </w:r>
      <w:r w:rsidRPr="00132193">
        <w:rPr>
          <w:sz w:val="20"/>
        </w:rPr>
        <w:t>the number, nature and extent</w:t>
      </w:r>
      <w:r w:rsidR="00E56185">
        <w:rPr>
          <w:sz w:val="20"/>
        </w:rPr>
        <w:t>”</w:t>
      </w:r>
      <w:r w:rsidRPr="00132193">
        <w:rPr>
          <w:sz w:val="20"/>
        </w:rPr>
        <w:t xml:space="preserve"> of the violations indicate that </w:t>
      </w:r>
      <w:r w:rsidR="00E56185">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w:t>
      </w:r>
      <w:r w:rsidR="009006C5">
        <w:rPr>
          <w:sz w:val="20"/>
        </w:rPr>
        <w:t>s</w:t>
      </w:r>
      <w:r w:rsidRPr="00132193">
        <w:rPr>
          <w:sz w:val="20"/>
        </w:rPr>
        <w:t xml:space="preserve">. </w:t>
      </w:r>
      <w:r w:rsidR="009006C5">
        <w:rPr>
          <w:sz w:val="20"/>
        </w:rPr>
        <w:t>10-</w:t>
      </w:r>
      <w:r w:rsidRPr="00132193">
        <w:rPr>
          <w:sz w:val="20"/>
        </w:rPr>
        <w:t>11.</w:t>
      </w:r>
      <w:r>
        <w:rPr>
          <w:sz w:val="20"/>
        </w:rPr>
        <w:t xml:space="preserve">  </w:t>
      </w:r>
      <w:r w:rsidRPr="00132193">
        <w:rPr>
          <w:i/>
          <w:sz w:val="20"/>
        </w:rPr>
        <w:t>See also C</w:t>
      </w:r>
      <w:r>
        <w:rPr>
          <w:i/>
          <w:sz w:val="20"/>
        </w:rPr>
        <w:t>enter</w:t>
      </w:r>
      <w:r w:rsidRPr="00132193">
        <w:rPr>
          <w:i/>
          <w:sz w:val="20"/>
        </w:rPr>
        <w:t xml:space="preserve"> for Study and Application of Black Econ</w:t>
      </w:r>
      <w:r w:rsidR="00E171F7">
        <w:rPr>
          <w:i/>
          <w:sz w:val="20"/>
        </w:rPr>
        <w:t>omic</w:t>
      </w:r>
      <w:r w:rsidRPr="00132193">
        <w:rPr>
          <w:i/>
          <w:sz w:val="20"/>
        </w:rPr>
        <w:t xml:space="preserve"> Dev</w:t>
      </w:r>
      <w:r w:rsidR="00E171F7">
        <w:rPr>
          <w:i/>
          <w:sz w:val="20"/>
        </w:rPr>
        <w:t>elopment</w:t>
      </w:r>
      <w:r w:rsidRPr="00132193">
        <w:rPr>
          <w:sz w:val="20"/>
        </w:rPr>
        <w:t xml:space="preserve">, Hearing Designation Order, </w:t>
      </w:r>
      <w:bookmarkStart w:id="5" w:name="_Hlk88571362"/>
      <w:r w:rsidRPr="00132193">
        <w:rPr>
          <w:sz w:val="20"/>
        </w:rPr>
        <w:t xml:space="preserve">6 FCC </w:t>
      </w:r>
      <w:r w:rsidRPr="00132193">
        <w:rPr>
          <w:sz w:val="20"/>
        </w:rPr>
        <w:t>Rcd</w:t>
      </w:r>
      <w:r w:rsidRPr="00132193">
        <w:rPr>
          <w:sz w:val="20"/>
        </w:rPr>
        <w:t xml:space="preserve"> 4622</w:t>
      </w:r>
      <w:bookmarkEnd w:id="5"/>
      <w:r w:rsidRPr="00132193">
        <w:rPr>
          <w:sz w:val="20"/>
        </w:rPr>
        <w:t xml:space="preserve"> (1991)</w:t>
      </w:r>
      <w:r>
        <w:rPr>
          <w:sz w:val="20"/>
        </w:rPr>
        <w:t>;</w:t>
      </w:r>
      <w:r w:rsidRPr="00132193">
        <w:rPr>
          <w:sz w:val="20"/>
        </w:rPr>
        <w:t xml:space="preserve"> </w:t>
      </w:r>
      <w:r w:rsidRPr="00132193">
        <w:rPr>
          <w:i/>
          <w:sz w:val="20"/>
        </w:rPr>
        <w:t>Calvary Educ</w:t>
      </w:r>
      <w:r w:rsidR="00E171F7">
        <w:rPr>
          <w:i/>
          <w:sz w:val="20"/>
        </w:rPr>
        <w:t>ational</w:t>
      </w:r>
      <w:r w:rsidRPr="00132193">
        <w:rPr>
          <w:i/>
          <w:sz w:val="20"/>
        </w:rPr>
        <w:t xml:space="preserve"> Broad</w:t>
      </w:r>
      <w:r w:rsidR="00E171F7">
        <w:rPr>
          <w:i/>
          <w:sz w:val="20"/>
        </w:rPr>
        <w:t>casting</w:t>
      </w:r>
      <w:r w:rsidRPr="00132193">
        <w:rPr>
          <w:i/>
          <w:sz w:val="20"/>
        </w:rPr>
        <w:t xml:space="preserve"> Network, Inc</w:t>
      </w:r>
      <w:r w:rsidRPr="00132193">
        <w:rPr>
          <w:sz w:val="20"/>
        </w:rPr>
        <w:t xml:space="preserve">., Hearing Designation Order, 7 FCC </w:t>
      </w:r>
      <w:r w:rsidRPr="00132193">
        <w:rPr>
          <w:sz w:val="20"/>
        </w:rPr>
        <w:t>Rcd</w:t>
      </w:r>
      <w:r w:rsidRPr="00132193">
        <w:rPr>
          <w:sz w:val="20"/>
        </w:rPr>
        <w:t xml:space="preserve"> 4037 (1992).</w:t>
      </w:r>
    </w:p>
  </w:footnote>
  <w:footnote w:id="39">
    <w:p w:rsidR="00613CA6" w:rsidRPr="00514C8E" w:rsidP="00613CA6" w14:paraId="766928C3" w14:textId="77777777">
      <w:pPr>
        <w:pStyle w:val="FootnoteText"/>
      </w:pPr>
      <w:r w:rsidRPr="00514C8E">
        <w:rPr>
          <w:rStyle w:val="FootnoteReference"/>
        </w:rPr>
        <w:footnoteRef/>
      </w:r>
      <w:r w:rsidRPr="00514C8E">
        <w:t xml:space="preserve"> Payments made using the Commission’s Fee Filer system do not require the submission of an FCC Form 159.</w:t>
      </w:r>
    </w:p>
  </w:footnote>
  <w:footnote w:id="40">
    <w:p w:rsidR="00613CA6" w:rsidRPr="00514C8E" w:rsidP="00613CA6" w14:paraId="3B4DA64B"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4" w:history="1">
        <w:r w:rsidRPr="00514C8E">
          <w:rPr>
            <w:rStyle w:val="Hyperlink"/>
          </w:rPr>
          <w:t>ARINQUIRIES@fcc.gov</w:t>
        </w:r>
      </w:hyperlink>
      <w:r w:rsidRPr="00514C8E">
        <w:t xml:space="preserve">.  </w:t>
      </w:r>
    </w:p>
  </w:footnote>
  <w:footnote w:id="41">
    <w:p w:rsidR="00613CA6" w:rsidRPr="00514C8E" w:rsidP="00613CA6" w14:paraId="2CF162FD" w14:textId="77777777">
      <w:pPr>
        <w:pStyle w:val="FootnoteText"/>
      </w:pPr>
      <w:r w:rsidRPr="00514C8E">
        <w:rPr>
          <w:rStyle w:val="FootnoteReference"/>
        </w:rPr>
        <w:footnoteRef/>
      </w:r>
      <w:r w:rsidRPr="00514C8E">
        <w:t xml:space="preserve"> Instructions for completing the form may be obtained at </w:t>
      </w:r>
      <w:hyperlink r:id="rId5" w:history="1">
        <w:r w:rsidRPr="00514C8E">
          <w:rPr>
            <w:rStyle w:val="Hyperlink"/>
          </w:rPr>
          <w:t>https://www.fcc.gov/Forms/Form159/159.pdf</w:t>
        </w:r>
      </w:hyperlink>
      <w:r w:rsidRPr="00514C8E">
        <w:t xml:space="preserve">. </w:t>
      </w:r>
    </w:p>
  </w:footnote>
  <w:footnote w:id="42">
    <w:p w:rsidR="00613CA6" w:rsidP="00613CA6" w14:paraId="436F5249" w14:textId="5377B00F">
      <w:pPr>
        <w:pStyle w:val="FootnoteText"/>
      </w:pPr>
      <w:r>
        <w:rPr>
          <w:rStyle w:val="FootnoteReference"/>
        </w:rPr>
        <w:footnoteRef/>
      </w:r>
      <w:r>
        <w:t xml:space="preserve"> 47 CFR §§ 1.16 and 1.80(</w:t>
      </w:r>
      <w:r w:rsidR="00E91C28">
        <w:t>g</w:t>
      </w:r>
      <w:r>
        <w:t>)(3).</w:t>
      </w:r>
    </w:p>
  </w:footnote>
  <w:footnote w:id="43">
    <w:p w:rsidR="004D5A2E" w:rsidRPr="00815718" w:rsidP="004D5A2E" w14:paraId="53A91AA3" w14:textId="77777777">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44">
    <w:p w:rsidR="00613CA6" w:rsidP="00613CA6" w14:paraId="4AA69F5A" w14:textId="77777777">
      <w:pPr>
        <w:pStyle w:val="FootnoteText"/>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 w:id="45">
    <w:p w:rsidR="00613CA6" w:rsidRPr="004B33E9" w:rsidP="00613CA6" w14:paraId="753C2153"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21935A" w14:textId="68A0008C">
    <w:pPr>
      <w:pStyle w:val="Header"/>
      <w:rPr>
        <w:b w:val="0"/>
      </w:rPr>
    </w:pPr>
    <w:r>
      <w:tab/>
    </w:r>
    <w:r>
      <w:t>Federal Communications Commission</w:t>
    </w:r>
    <w:r>
      <w:tab/>
    </w:r>
    <w:r w:rsidR="00F13980">
      <w:t>DA</w:t>
    </w:r>
    <w:r w:rsidR="00B151CD">
      <w:t xml:space="preserve"> 21</w:t>
    </w:r>
    <w:r w:rsidR="00F13980">
      <w:t>-</w:t>
    </w:r>
    <w:r w:rsidR="00F234DF">
      <w:t>1489</w:t>
    </w:r>
  </w:p>
  <w:p w:rsidR="00D25FB5" w14:paraId="451E92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0D9AD5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94044A" w14:textId="0ADE7FC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4C31FD">
      <w:rPr>
        <w:spacing w:val="-2"/>
      </w:rPr>
      <w:t>DA 2</w:t>
    </w:r>
    <w:r w:rsidR="00386109">
      <w:rPr>
        <w:spacing w:val="-2"/>
      </w:rPr>
      <w:t>1</w:t>
    </w:r>
    <w:r w:rsidR="004C31FD">
      <w:rPr>
        <w:spacing w:val="-2"/>
      </w:rPr>
      <w:t>-</w:t>
    </w:r>
    <w:r w:rsidR="00F234DF">
      <w:rPr>
        <w:spacing w:val="-2"/>
      </w:rPr>
      <w:t>1489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3A7F1B"/>
    <w:multiLevelType w:val="hybridMultilevel"/>
    <w:tmpl w:val="FAA4286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1182925"/>
    <w:multiLevelType w:val="singleLevel"/>
    <w:tmpl w:val="1C368390"/>
    <w:lvl w:ilvl="0">
      <w:start w:val="1"/>
      <w:numFmt w:val="decimal"/>
      <w:pStyle w:val="ParaNum"/>
      <w:lvlText w:val="%1."/>
      <w:lvlJc w:val="left"/>
      <w:pPr>
        <w:tabs>
          <w:tab w:val="num" w:pos="1080"/>
        </w:tabs>
        <w:ind w:left="0" w:firstLine="720"/>
      </w:pPr>
      <w:rPr>
        <w:i w:val="0"/>
        <w:iCs w:val="0"/>
      </w:rPr>
    </w:lvl>
  </w:abstractNum>
  <w:num w:numId="1">
    <w:abstractNumId w:val="3"/>
  </w:num>
  <w:num w:numId="2">
    <w:abstractNumId w:val="11"/>
  </w:num>
  <w:num w:numId="3">
    <w:abstractNumId w:val="6"/>
  </w:num>
  <w:num w:numId="4">
    <w:abstractNumId w:val="9"/>
  </w:num>
  <w:num w:numId="5">
    <w:abstractNumId w:val="4"/>
  </w:num>
  <w:num w:numId="6">
    <w:abstractNumId w:val="2"/>
  </w:num>
  <w:num w:numId="7">
    <w:abstractNumId w:val="10"/>
  </w:num>
  <w:num w:numId="8">
    <w:abstractNumId w:val="0"/>
  </w:num>
  <w:num w:numId="9">
    <w:abstractNumId w:val="11"/>
  </w:num>
  <w:num w:numId="10">
    <w:abstractNumId w:val="8"/>
    <w:lvlOverride w:ilvl="0">
      <w:startOverride w:val="1"/>
    </w:lvlOverride>
  </w:num>
  <w:num w:numId="11">
    <w:abstractNumId w:val="5"/>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11"/>
    <w:lvlOverride w:ilvl="0">
      <w:startOverride w:val="1"/>
    </w:lvlOverride>
  </w:num>
  <w:num w:numId="32">
    <w:abstractNumId w:val="11"/>
  </w:num>
  <w:num w:numId="33">
    <w:abstractNumId w:val="11"/>
  </w:num>
  <w:num w:numId="34">
    <w:abstractNumId w:val="8"/>
  </w:num>
  <w:num w:numId="35">
    <w:abstractNumId w:val="11"/>
    <w:lvlOverride w:ilvl="0">
      <w:startOverride w:val="1"/>
    </w:lvlOverride>
  </w:num>
  <w:num w:numId="36">
    <w:abstractNumId w:val="1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num>
  <w:num w:numId="39">
    <w:abstractNumId w:val="11"/>
  </w:num>
  <w:num w:numId="40">
    <w:abstractNumId w:val="11"/>
  </w:num>
  <w:num w:numId="41">
    <w:abstractNumId w:val="11"/>
  </w:num>
  <w:num w:numId="42">
    <w:abstractNumId w:val="11"/>
  </w:num>
  <w:num w:numId="43">
    <w:abstractNumId w:val="1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04353"/>
    <w:rsid w:val="0000569A"/>
    <w:rsid w:val="00012B24"/>
    <w:rsid w:val="00013F4F"/>
    <w:rsid w:val="000201CD"/>
    <w:rsid w:val="00021BAB"/>
    <w:rsid w:val="00025F37"/>
    <w:rsid w:val="00032849"/>
    <w:rsid w:val="00036039"/>
    <w:rsid w:val="00037F90"/>
    <w:rsid w:val="000403A0"/>
    <w:rsid w:val="00044830"/>
    <w:rsid w:val="00047397"/>
    <w:rsid w:val="00050491"/>
    <w:rsid w:val="00050CE6"/>
    <w:rsid w:val="000516CC"/>
    <w:rsid w:val="000548F4"/>
    <w:rsid w:val="0005772A"/>
    <w:rsid w:val="00057BDC"/>
    <w:rsid w:val="00066831"/>
    <w:rsid w:val="000702AE"/>
    <w:rsid w:val="00075886"/>
    <w:rsid w:val="00080263"/>
    <w:rsid w:val="0008168D"/>
    <w:rsid w:val="00081904"/>
    <w:rsid w:val="00082E28"/>
    <w:rsid w:val="000859C2"/>
    <w:rsid w:val="000875BF"/>
    <w:rsid w:val="000933FD"/>
    <w:rsid w:val="0009396D"/>
    <w:rsid w:val="0009502F"/>
    <w:rsid w:val="000951E8"/>
    <w:rsid w:val="00096D8C"/>
    <w:rsid w:val="000A41AA"/>
    <w:rsid w:val="000A744F"/>
    <w:rsid w:val="000B056B"/>
    <w:rsid w:val="000B574B"/>
    <w:rsid w:val="000B6780"/>
    <w:rsid w:val="000C0B65"/>
    <w:rsid w:val="000C4D69"/>
    <w:rsid w:val="000C54E3"/>
    <w:rsid w:val="000C68E9"/>
    <w:rsid w:val="000E05FE"/>
    <w:rsid w:val="000E1859"/>
    <w:rsid w:val="000E1B50"/>
    <w:rsid w:val="000E3D42"/>
    <w:rsid w:val="000E4121"/>
    <w:rsid w:val="000E679C"/>
    <w:rsid w:val="000E73E1"/>
    <w:rsid w:val="000F2711"/>
    <w:rsid w:val="000F2D91"/>
    <w:rsid w:val="000F7BF2"/>
    <w:rsid w:val="00102720"/>
    <w:rsid w:val="001031AE"/>
    <w:rsid w:val="00113F6B"/>
    <w:rsid w:val="00115779"/>
    <w:rsid w:val="00115963"/>
    <w:rsid w:val="00116710"/>
    <w:rsid w:val="00121AC8"/>
    <w:rsid w:val="0012277D"/>
    <w:rsid w:val="00122BD5"/>
    <w:rsid w:val="001233A7"/>
    <w:rsid w:val="00123740"/>
    <w:rsid w:val="00126D35"/>
    <w:rsid w:val="00132193"/>
    <w:rsid w:val="00132264"/>
    <w:rsid w:val="00133D4D"/>
    <w:rsid w:val="00133F79"/>
    <w:rsid w:val="00134596"/>
    <w:rsid w:val="0013643A"/>
    <w:rsid w:val="00140CB0"/>
    <w:rsid w:val="0014500F"/>
    <w:rsid w:val="00150F8D"/>
    <w:rsid w:val="001521FF"/>
    <w:rsid w:val="00152F36"/>
    <w:rsid w:val="00153E25"/>
    <w:rsid w:val="00154F74"/>
    <w:rsid w:val="00156407"/>
    <w:rsid w:val="0015656C"/>
    <w:rsid w:val="00156590"/>
    <w:rsid w:val="00160D15"/>
    <w:rsid w:val="00164D50"/>
    <w:rsid w:val="0016560F"/>
    <w:rsid w:val="001675B3"/>
    <w:rsid w:val="0017037A"/>
    <w:rsid w:val="001728BF"/>
    <w:rsid w:val="00173260"/>
    <w:rsid w:val="00173AFD"/>
    <w:rsid w:val="001751B6"/>
    <w:rsid w:val="0018161A"/>
    <w:rsid w:val="001913B2"/>
    <w:rsid w:val="00194A66"/>
    <w:rsid w:val="00195F03"/>
    <w:rsid w:val="001978D2"/>
    <w:rsid w:val="001A00F6"/>
    <w:rsid w:val="001A22B6"/>
    <w:rsid w:val="001A2F1A"/>
    <w:rsid w:val="001A5BD8"/>
    <w:rsid w:val="001A745C"/>
    <w:rsid w:val="001C1AF4"/>
    <w:rsid w:val="001C1CE2"/>
    <w:rsid w:val="001C3E0C"/>
    <w:rsid w:val="001C4E76"/>
    <w:rsid w:val="001D3B51"/>
    <w:rsid w:val="001D3B6C"/>
    <w:rsid w:val="001D48A1"/>
    <w:rsid w:val="001D5C38"/>
    <w:rsid w:val="001D5FFB"/>
    <w:rsid w:val="001D6BCF"/>
    <w:rsid w:val="001D6E5A"/>
    <w:rsid w:val="001E003D"/>
    <w:rsid w:val="001E01CA"/>
    <w:rsid w:val="001E1069"/>
    <w:rsid w:val="001E2E1A"/>
    <w:rsid w:val="001E7364"/>
    <w:rsid w:val="001E74E6"/>
    <w:rsid w:val="001F2581"/>
    <w:rsid w:val="001F2958"/>
    <w:rsid w:val="001F2DBC"/>
    <w:rsid w:val="001F48F2"/>
    <w:rsid w:val="001F63B8"/>
    <w:rsid w:val="001F6F2C"/>
    <w:rsid w:val="0020746E"/>
    <w:rsid w:val="00207DC3"/>
    <w:rsid w:val="002100C2"/>
    <w:rsid w:val="002114D6"/>
    <w:rsid w:val="00211FA7"/>
    <w:rsid w:val="00214D71"/>
    <w:rsid w:val="00215D3C"/>
    <w:rsid w:val="00221AAA"/>
    <w:rsid w:val="00224D81"/>
    <w:rsid w:val="0023019E"/>
    <w:rsid w:val="002305C5"/>
    <w:rsid w:val="00231BA3"/>
    <w:rsid w:val="00233272"/>
    <w:rsid w:val="00237F2E"/>
    <w:rsid w:val="0024465A"/>
    <w:rsid w:val="00246D01"/>
    <w:rsid w:val="00253E64"/>
    <w:rsid w:val="00260019"/>
    <w:rsid w:val="002600C3"/>
    <w:rsid w:val="002705D7"/>
    <w:rsid w:val="00272182"/>
    <w:rsid w:val="00275CF5"/>
    <w:rsid w:val="00280881"/>
    <w:rsid w:val="0028301F"/>
    <w:rsid w:val="00285017"/>
    <w:rsid w:val="0028536E"/>
    <w:rsid w:val="00285A1A"/>
    <w:rsid w:val="00287FF4"/>
    <w:rsid w:val="00297256"/>
    <w:rsid w:val="002A2C9C"/>
    <w:rsid w:val="002A2D2E"/>
    <w:rsid w:val="002A6F26"/>
    <w:rsid w:val="002B1B16"/>
    <w:rsid w:val="002B643E"/>
    <w:rsid w:val="002B74C9"/>
    <w:rsid w:val="002C00E8"/>
    <w:rsid w:val="002D26B9"/>
    <w:rsid w:val="002D3680"/>
    <w:rsid w:val="002D6317"/>
    <w:rsid w:val="002D672C"/>
    <w:rsid w:val="002D7CFB"/>
    <w:rsid w:val="002E01BA"/>
    <w:rsid w:val="002E0B43"/>
    <w:rsid w:val="002E4A9A"/>
    <w:rsid w:val="002F5598"/>
    <w:rsid w:val="002F6734"/>
    <w:rsid w:val="002F7629"/>
    <w:rsid w:val="002F7734"/>
    <w:rsid w:val="002F7B74"/>
    <w:rsid w:val="00305500"/>
    <w:rsid w:val="00305790"/>
    <w:rsid w:val="00306A0A"/>
    <w:rsid w:val="00310ACA"/>
    <w:rsid w:val="0031584C"/>
    <w:rsid w:val="003264CD"/>
    <w:rsid w:val="00327E31"/>
    <w:rsid w:val="003316F9"/>
    <w:rsid w:val="0033344E"/>
    <w:rsid w:val="00334464"/>
    <w:rsid w:val="0033733F"/>
    <w:rsid w:val="00337BE5"/>
    <w:rsid w:val="00343749"/>
    <w:rsid w:val="003549BB"/>
    <w:rsid w:val="003559E2"/>
    <w:rsid w:val="00362AF6"/>
    <w:rsid w:val="00362F7E"/>
    <w:rsid w:val="003660ED"/>
    <w:rsid w:val="00374170"/>
    <w:rsid w:val="0038516A"/>
    <w:rsid w:val="00385AB0"/>
    <w:rsid w:val="00386109"/>
    <w:rsid w:val="003876C2"/>
    <w:rsid w:val="003936F1"/>
    <w:rsid w:val="00393DC9"/>
    <w:rsid w:val="003942B0"/>
    <w:rsid w:val="00397327"/>
    <w:rsid w:val="003A341B"/>
    <w:rsid w:val="003A3E20"/>
    <w:rsid w:val="003A4390"/>
    <w:rsid w:val="003A4F0E"/>
    <w:rsid w:val="003A5539"/>
    <w:rsid w:val="003A5B68"/>
    <w:rsid w:val="003A791F"/>
    <w:rsid w:val="003B0550"/>
    <w:rsid w:val="003B4B5C"/>
    <w:rsid w:val="003B694F"/>
    <w:rsid w:val="003B6DDD"/>
    <w:rsid w:val="003B7F6A"/>
    <w:rsid w:val="003C0F6E"/>
    <w:rsid w:val="003C4A9D"/>
    <w:rsid w:val="003C6ED0"/>
    <w:rsid w:val="003D1513"/>
    <w:rsid w:val="003D310A"/>
    <w:rsid w:val="003D4DD1"/>
    <w:rsid w:val="003D5948"/>
    <w:rsid w:val="003E1EF4"/>
    <w:rsid w:val="003E6FDA"/>
    <w:rsid w:val="003F000A"/>
    <w:rsid w:val="003F171C"/>
    <w:rsid w:val="003F4DE0"/>
    <w:rsid w:val="003F78ED"/>
    <w:rsid w:val="00400174"/>
    <w:rsid w:val="00400CBB"/>
    <w:rsid w:val="00405028"/>
    <w:rsid w:val="00411A10"/>
    <w:rsid w:val="00412FC5"/>
    <w:rsid w:val="004138FE"/>
    <w:rsid w:val="00422276"/>
    <w:rsid w:val="00422571"/>
    <w:rsid w:val="00423C8E"/>
    <w:rsid w:val="004242F1"/>
    <w:rsid w:val="004244D5"/>
    <w:rsid w:val="004347BF"/>
    <w:rsid w:val="00437E88"/>
    <w:rsid w:val="004437C4"/>
    <w:rsid w:val="00443EA1"/>
    <w:rsid w:val="00444419"/>
    <w:rsid w:val="00445A00"/>
    <w:rsid w:val="00446496"/>
    <w:rsid w:val="00451357"/>
    <w:rsid w:val="00451754"/>
    <w:rsid w:val="00451B0F"/>
    <w:rsid w:val="00455E06"/>
    <w:rsid w:val="00457800"/>
    <w:rsid w:val="004601E5"/>
    <w:rsid w:val="00460B95"/>
    <w:rsid w:val="004625BF"/>
    <w:rsid w:val="00462783"/>
    <w:rsid w:val="00463A98"/>
    <w:rsid w:val="00463B0D"/>
    <w:rsid w:val="00475253"/>
    <w:rsid w:val="004759AC"/>
    <w:rsid w:val="00475B63"/>
    <w:rsid w:val="004828C2"/>
    <w:rsid w:val="00483566"/>
    <w:rsid w:val="00483F74"/>
    <w:rsid w:val="00484BF3"/>
    <w:rsid w:val="004852A8"/>
    <w:rsid w:val="00486C17"/>
    <w:rsid w:val="00490A96"/>
    <w:rsid w:val="0049145B"/>
    <w:rsid w:val="00496BE3"/>
    <w:rsid w:val="004971F4"/>
    <w:rsid w:val="004A4713"/>
    <w:rsid w:val="004B30F9"/>
    <w:rsid w:val="004B33E9"/>
    <w:rsid w:val="004B3B9B"/>
    <w:rsid w:val="004C2EE3"/>
    <w:rsid w:val="004C31FD"/>
    <w:rsid w:val="004C3895"/>
    <w:rsid w:val="004C44C7"/>
    <w:rsid w:val="004D47A6"/>
    <w:rsid w:val="004D5A2E"/>
    <w:rsid w:val="004E423E"/>
    <w:rsid w:val="004E4A22"/>
    <w:rsid w:val="004E7DC7"/>
    <w:rsid w:val="004F0E0D"/>
    <w:rsid w:val="004F2BAB"/>
    <w:rsid w:val="004F4772"/>
    <w:rsid w:val="004F47C6"/>
    <w:rsid w:val="004F6EDA"/>
    <w:rsid w:val="004F7E20"/>
    <w:rsid w:val="004F7FAF"/>
    <w:rsid w:val="005005A5"/>
    <w:rsid w:val="005025F0"/>
    <w:rsid w:val="00511968"/>
    <w:rsid w:val="005123A9"/>
    <w:rsid w:val="00514C8E"/>
    <w:rsid w:val="00517D28"/>
    <w:rsid w:val="00523232"/>
    <w:rsid w:val="00525F98"/>
    <w:rsid w:val="00526690"/>
    <w:rsid w:val="00532618"/>
    <w:rsid w:val="00533066"/>
    <w:rsid w:val="0053318A"/>
    <w:rsid w:val="005534E5"/>
    <w:rsid w:val="0055403B"/>
    <w:rsid w:val="00554B47"/>
    <w:rsid w:val="00554F85"/>
    <w:rsid w:val="00555239"/>
    <w:rsid w:val="0055614C"/>
    <w:rsid w:val="00556C12"/>
    <w:rsid w:val="00557A9F"/>
    <w:rsid w:val="00561024"/>
    <w:rsid w:val="00566D06"/>
    <w:rsid w:val="005704E4"/>
    <w:rsid w:val="00572138"/>
    <w:rsid w:val="00577BBB"/>
    <w:rsid w:val="0058268C"/>
    <w:rsid w:val="00583F51"/>
    <w:rsid w:val="005844FD"/>
    <w:rsid w:val="00587729"/>
    <w:rsid w:val="00595A0F"/>
    <w:rsid w:val="00595F53"/>
    <w:rsid w:val="00596640"/>
    <w:rsid w:val="00596BA3"/>
    <w:rsid w:val="005A1242"/>
    <w:rsid w:val="005A364D"/>
    <w:rsid w:val="005A4504"/>
    <w:rsid w:val="005A50D3"/>
    <w:rsid w:val="005A66D1"/>
    <w:rsid w:val="005B1F77"/>
    <w:rsid w:val="005B28C4"/>
    <w:rsid w:val="005B44D4"/>
    <w:rsid w:val="005B6B47"/>
    <w:rsid w:val="005B6BA3"/>
    <w:rsid w:val="005B7C01"/>
    <w:rsid w:val="005C311F"/>
    <w:rsid w:val="005C3F34"/>
    <w:rsid w:val="005D048E"/>
    <w:rsid w:val="005D196A"/>
    <w:rsid w:val="005D1A89"/>
    <w:rsid w:val="005D1CB5"/>
    <w:rsid w:val="005D1DBA"/>
    <w:rsid w:val="005D3E77"/>
    <w:rsid w:val="005D451C"/>
    <w:rsid w:val="005D6E94"/>
    <w:rsid w:val="005E14C2"/>
    <w:rsid w:val="005E6AAB"/>
    <w:rsid w:val="005F1D98"/>
    <w:rsid w:val="005F3BE5"/>
    <w:rsid w:val="00600EE1"/>
    <w:rsid w:val="00607BA5"/>
    <w:rsid w:val="0061180A"/>
    <w:rsid w:val="006136FB"/>
    <w:rsid w:val="00613CA6"/>
    <w:rsid w:val="00615530"/>
    <w:rsid w:val="006178AD"/>
    <w:rsid w:val="006224AD"/>
    <w:rsid w:val="00626211"/>
    <w:rsid w:val="00626EB6"/>
    <w:rsid w:val="0063190B"/>
    <w:rsid w:val="00631A31"/>
    <w:rsid w:val="006334C6"/>
    <w:rsid w:val="0063758E"/>
    <w:rsid w:val="006435F0"/>
    <w:rsid w:val="00645ECA"/>
    <w:rsid w:val="0065280D"/>
    <w:rsid w:val="00655D03"/>
    <w:rsid w:val="006608E7"/>
    <w:rsid w:val="006632A2"/>
    <w:rsid w:val="00665B14"/>
    <w:rsid w:val="00672901"/>
    <w:rsid w:val="00677CE7"/>
    <w:rsid w:val="0068064A"/>
    <w:rsid w:val="00682450"/>
    <w:rsid w:val="00683388"/>
    <w:rsid w:val="00683723"/>
    <w:rsid w:val="00683768"/>
    <w:rsid w:val="00683F84"/>
    <w:rsid w:val="00685857"/>
    <w:rsid w:val="00686344"/>
    <w:rsid w:val="0069350D"/>
    <w:rsid w:val="00694BD3"/>
    <w:rsid w:val="00695AE4"/>
    <w:rsid w:val="006A0D5E"/>
    <w:rsid w:val="006A4F00"/>
    <w:rsid w:val="006A6A81"/>
    <w:rsid w:val="006A794E"/>
    <w:rsid w:val="006B0F55"/>
    <w:rsid w:val="006B1C5E"/>
    <w:rsid w:val="006B3EEE"/>
    <w:rsid w:val="006B44F2"/>
    <w:rsid w:val="006B6625"/>
    <w:rsid w:val="006B6A7B"/>
    <w:rsid w:val="006C1085"/>
    <w:rsid w:val="006C3256"/>
    <w:rsid w:val="006C57E4"/>
    <w:rsid w:val="006C5E2E"/>
    <w:rsid w:val="006C68D5"/>
    <w:rsid w:val="006C6C13"/>
    <w:rsid w:val="006C6C1C"/>
    <w:rsid w:val="006D1801"/>
    <w:rsid w:val="006D2A1E"/>
    <w:rsid w:val="006E0C0F"/>
    <w:rsid w:val="006E0E99"/>
    <w:rsid w:val="006E1C81"/>
    <w:rsid w:val="006E568E"/>
    <w:rsid w:val="006F2DD0"/>
    <w:rsid w:val="006F53E6"/>
    <w:rsid w:val="006F7393"/>
    <w:rsid w:val="006F77A1"/>
    <w:rsid w:val="0070224F"/>
    <w:rsid w:val="00706364"/>
    <w:rsid w:val="007115F7"/>
    <w:rsid w:val="00712A8B"/>
    <w:rsid w:val="00712F76"/>
    <w:rsid w:val="00714C07"/>
    <w:rsid w:val="00715DCA"/>
    <w:rsid w:val="00717FD2"/>
    <w:rsid w:val="007209FD"/>
    <w:rsid w:val="00722A2D"/>
    <w:rsid w:val="007232E3"/>
    <w:rsid w:val="007238E6"/>
    <w:rsid w:val="00727C88"/>
    <w:rsid w:val="00750001"/>
    <w:rsid w:val="00755427"/>
    <w:rsid w:val="007565AC"/>
    <w:rsid w:val="00760074"/>
    <w:rsid w:val="00763492"/>
    <w:rsid w:val="007653F5"/>
    <w:rsid w:val="007707C4"/>
    <w:rsid w:val="00770A66"/>
    <w:rsid w:val="007763C6"/>
    <w:rsid w:val="007804E6"/>
    <w:rsid w:val="00785689"/>
    <w:rsid w:val="00786315"/>
    <w:rsid w:val="0079754B"/>
    <w:rsid w:val="007A1E6D"/>
    <w:rsid w:val="007A2FE5"/>
    <w:rsid w:val="007A3030"/>
    <w:rsid w:val="007A4D7C"/>
    <w:rsid w:val="007A6ED2"/>
    <w:rsid w:val="007B0EB2"/>
    <w:rsid w:val="007B2A14"/>
    <w:rsid w:val="007B2C4E"/>
    <w:rsid w:val="007B36D8"/>
    <w:rsid w:val="007B3858"/>
    <w:rsid w:val="007B5485"/>
    <w:rsid w:val="007D0EB5"/>
    <w:rsid w:val="007D2DE4"/>
    <w:rsid w:val="007D3063"/>
    <w:rsid w:val="007D5D82"/>
    <w:rsid w:val="007E047A"/>
    <w:rsid w:val="007E15CF"/>
    <w:rsid w:val="007E741E"/>
    <w:rsid w:val="007F20F1"/>
    <w:rsid w:val="007F33A3"/>
    <w:rsid w:val="007F61CC"/>
    <w:rsid w:val="007F79AF"/>
    <w:rsid w:val="00802A85"/>
    <w:rsid w:val="00802F1F"/>
    <w:rsid w:val="00810B6F"/>
    <w:rsid w:val="00812F93"/>
    <w:rsid w:val="00815718"/>
    <w:rsid w:val="0081682B"/>
    <w:rsid w:val="008214E9"/>
    <w:rsid w:val="00822561"/>
    <w:rsid w:val="00822CE0"/>
    <w:rsid w:val="008247A4"/>
    <w:rsid w:val="00824E7E"/>
    <w:rsid w:val="00841AB1"/>
    <w:rsid w:val="00847188"/>
    <w:rsid w:val="00851FB3"/>
    <w:rsid w:val="008547FA"/>
    <w:rsid w:val="00854F30"/>
    <w:rsid w:val="008570F8"/>
    <w:rsid w:val="0085785E"/>
    <w:rsid w:val="008612AB"/>
    <w:rsid w:val="0086250D"/>
    <w:rsid w:val="00865911"/>
    <w:rsid w:val="00876162"/>
    <w:rsid w:val="008771FE"/>
    <w:rsid w:val="00883EB4"/>
    <w:rsid w:val="0089144F"/>
    <w:rsid w:val="0089487D"/>
    <w:rsid w:val="00895E8C"/>
    <w:rsid w:val="008A147B"/>
    <w:rsid w:val="008B31D4"/>
    <w:rsid w:val="008B3519"/>
    <w:rsid w:val="008B3C1F"/>
    <w:rsid w:val="008B4B61"/>
    <w:rsid w:val="008B7C0E"/>
    <w:rsid w:val="008C1D30"/>
    <w:rsid w:val="008C30D4"/>
    <w:rsid w:val="008C30DA"/>
    <w:rsid w:val="008C4640"/>
    <w:rsid w:val="008C68F1"/>
    <w:rsid w:val="008C7873"/>
    <w:rsid w:val="008D255B"/>
    <w:rsid w:val="008D68F3"/>
    <w:rsid w:val="008E23FF"/>
    <w:rsid w:val="008E5CFE"/>
    <w:rsid w:val="008E5F93"/>
    <w:rsid w:val="008F0498"/>
    <w:rsid w:val="0090005F"/>
    <w:rsid w:val="0090044C"/>
    <w:rsid w:val="009006C5"/>
    <w:rsid w:val="00901F28"/>
    <w:rsid w:val="00905C12"/>
    <w:rsid w:val="00913F05"/>
    <w:rsid w:val="00921803"/>
    <w:rsid w:val="00921FD9"/>
    <w:rsid w:val="00926503"/>
    <w:rsid w:val="00936EE1"/>
    <w:rsid w:val="00941BB5"/>
    <w:rsid w:val="00943555"/>
    <w:rsid w:val="009439D7"/>
    <w:rsid w:val="00944683"/>
    <w:rsid w:val="00950951"/>
    <w:rsid w:val="0095392C"/>
    <w:rsid w:val="00960A99"/>
    <w:rsid w:val="009635BE"/>
    <w:rsid w:val="0096746C"/>
    <w:rsid w:val="009726D8"/>
    <w:rsid w:val="00980AE0"/>
    <w:rsid w:val="00980BC9"/>
    <w:rsid w:val="00981272"/>
    <w:rsid w:val="00981ED5"/>
    <w:rsid w:val="009827B9"/>
    <w:rsid w:val="00986ADC"/>
    <w:rsid w:val="00991DB0"/>
    <w:rsid w:val="00992736"/>
    <w:rsid w:val="0099482F"/>
    <w:rsid w:val="00997026"/>
    <w:rsid w:val="00997B74"/>
    <w:rsid w:val="009A03BE"/>
    <w:rsid w:val="009A4440"/>
    <w:rsid w:val="009A6B30"/>
    <w:rsid w:val="009A7EB2"/>
    <w:rsid w:val="009B0F52"/>
    <w:rsid w:val="009B40F5"/>
    <w:rsid w:val="009B747D"/>
    <w:rsid w:val="009B7578"/>
    <w:rsid w:val="009C1BEC"/>
    <w:rsid w:val="009C29F9"/>
    <w:rsid w:val="009C398B"/>
    <w:rsid w:val="009C42D6"/>
    <w:rsid w:val="009C4B91"/>
    <w:rsid w:val="009D0013"/>
    <w:rsid w:val="009D0499"/>
    <w:rsid w:val="009D523E"/>
    <w:rsid w:val="009D7308"/>
    <w:rsid w:val="009E6208"/>
    <w:rsid w:val="009E6FD3"/>
    <w:rsid w:val="009F029B"/>
    <w:rsid w:val="009F74C3"/>
    <w:rsid w:val="009F76DB"/>
    <w:rsid w:val="00A000B1"/>
    <w:rsid w:val="00A024D6"/>
    <w:rsid w:val="00A025E8"/>
    <w:rsid w:val="00A06AB2"/>
    <w:rsid w:val="00A16621"/>
    <w:rsid w:val="00A20203"/>
    <w:rsid w:val="00A21E18"/>
    <w:rsid w:val="00A241F4"/>
    <w:rsid w:val="00A27D0B"/>
    <w:rsid w:val="00A31281"/>
    <w:rsid w:val="00A325F0"/>
    <w:rsid w:val="00A32C3B"/>
    <w:rsid w:val="00A360E6"/>
    <w:rsid w:val="00A404E4"/>
    <w:rsid w:val="00A40578"/>
    <w:rsid w:val="00A45F4F"/>
    <w:rsid w:val="00A46B9D"/>
    <w:rsid w:val="00A50BDA"/>
    <w:rsid w:val="00A563AB"/>
    <w:rsid w:val="00A57367"/>
    <w:rsid w:val="00A5765C"/>
    <w:rsid w:val="00A57F8D"/>
    <w:rsid w:val="00A600A9"/>
    <w:rsid w:val="00A6018A"/>
    <w:rsid w:val="00A61B56"/>
    <w:rsid w:val="00A628EB"/>
    <w:rsid w:val="00A65CB5"/>
    <w:rsid w:val="00A67575"/>
    <w:rsid w:val="00A73F37"/>
    <w:rsid w:val="00A76FE0"/>
    <w:rsid w:val="00A80760"/>
    <w:rsid w:val="00A840F0"/>
    <w:rsid w:val="00A84CD2"/>
    <w:rsid w:val="00A8798E"/>
    <w:rsid w:val="00A9550E"/>
    <w:rsid w:val="00AA0E23"/>
    <w:rsid w:val="00AA0FFF"/>
    <w:rsid w:val="00AA1F0E"/>
    <w:rsid w:val="00AA3E1F"/>
    <w:rsid w:val="00AA3FCC"/>
    <w:rsid w:val="00AA5496"/>
    <w:rsid w:val="00AA55B7"/>
    <w:rsid w:val="00AA5B9E"/>
    <w:rsid w:val="00AA63F4"/>
    <w:rsid w:val="00AA6D20"/>
    <w:rsid w:val="00AB2407"/>
    <w:rsid w:val="00AB53DF"/>
    <w:rsid w:val="00AB6661"/>
    <w:rsid w:val="00AC20C3"/>
    <w:rsid w:val="00AC34A7"/>
    <w:rsid w:val="00AC4452"/>
    <w:rsid w:val="00AD00DA"/>
    <w:rsid w:val="00AD09A6"/>
    <w:rsid w:val="00AD1BAF"/>
    <w:rsid w:val="00AD4F5B"/>
    <w:rsid w:val="00AD5B02"/>
    <w:rsid w:val="00AD630F"/>
    <w:rsid w:val="00AD6D78"/>
    <w:rsid w:val="00AF084D"/>
    <w:rsid w:val="00AF269C"/>
    <w:rsid w:val="00AF2CDA"/>
    <w:rsid w:val="00AF6FD3"/>
    <w:rsid w:val="00B01033"/>
    <w:rsid w:val="00B05297"/>
    <w:rsid w:val="00B053DA"/>
    <w:rsid w:val="00B07006"/>
    <w:rsid w:val="00B07E5C"/>
    <w:rsid w:val="00B11897"/>
    <w:rsid w:val="00B13DC7"/>
    <w:rsid w:val="00B14E41"/>
    <w:rsid w:val="00B151CD"/>
    <w:rsid w:val="00B1752D"/>
    <w:rsid w:val="00B21D0F"/>
    <w:rsid w:val="00B229D5"/>
    <w:rsid w:val="00B251CC"/>
    <w:rsid w:val="00B277C6"/>
    <w:rsid w:val="00B27AAE"/>
    <w:rsid w:val="00B374A8"/>
    <w:rsid w:val="00B37A3C"/>
    <w:rsid w:val="00B40652"/>
    <w:rsid w:val="00B411B9"/>
    <w:rsid w:val="00B41FE2"/>
    <w:rsid w:val="00B47986"/>
    <w:rsid w:val="00B50E9E"/>
    <w:rsid w:val="00B5626A"/>
    <w:rsid w:val="00B578AE"/>
    <w:rsid w:val="00B57C0B"/>
    <w:rsid w:val="00B60B86"/>
    <w:rsid w:val="00B60DD3"/>
    <w:rsid w:val="00B64609"/>
    <w:rsid w:val="00B64FE7"/>
    <w:rsid w:val="00B65685"/>
    <w:rsid w:val="00B66BA5"/>
    <w:rsid w:val="00B72A45"/>
    <w:rsid w:val="00B74FCE"/>
    <w:rsid w:val="00B751D8"/>
    <w:rsid w:val="00B75CEE"/>
    <w:rsid w:val="00B76256"/>
    <w:rsid w:val="00B7662F"/>
    <w:rsid w:val="00B807C3"/>
    <w:rsid w:val="00B811F7"/>
    <w:rsid w:val="00B82B80"/>
    <w:rsid w:val="00B85F41"/>
    <w:rsid w:val="00B9046A"/>
    <w:rsid w:val="00B9069F"/>
    <w:rsid w:val="00B91813"/>
    <w:rsid w:val="00B926FA"/>
    <w:rsid w:val="00B933D8"/>
    <w:rsid w:val="00B96BF9"/>
    <w:rsid w:val="00B97556"/>
    <w:rsid w:val="00BA09A9"/>
    <w:rsid w:val="00BA5DC6"/>
    <w:rsid w:val="00BA6196"/>
    <w:rsid w:val="00BB0099"/>
    <w:rsid w:val="00BB05ED"/>
    <w:rsid w:val="00BB0DCB"/>
    <w:rsid w:val="00BB2186"/>
    <w:rsid w:val="00BB34AC"/>
    <w:rsid w:val="00BB4EA9"/>
    <w:rsid w:val="00BB55BB"/>
    <w:rsid w:val="00BB5BF4"/>
    <w:rsid w:val="00BC336D"/>
    <w:rsid w:val="00BC3485"/>
    <w:rsid w:val="00BC37B4"/>
    <w:rsid w:val="00BC5A10"/>
    <w:rsid w:val="00BC5CC8"/>
    <w:rsid w:val="00BC6D8C"/>
    <w:rsid w:val="00BD4134"/>
    <w:rsid w:val="00BD5FF6"/>
    <w:rsid w:val="00BD6F82"/>
    <w:rsid w:val="00BE0EAB"/>
    <w:rsid w:val="00BE3744"/>
    <w:rsid w:val="00BE3F58"/>
    <w:rsid w:val="00BE7B8E"/>
    <w:rsid w:val="00BF3460"/>
    <w:rsid w:val="00BF54B7"/>
    <w:rsid w:val="00BF5DEF"/>
    <w:rsid w:val="00C01FE0"/>
    <w:rsid w:val="00C023AE"/>
    <w:rsid w:val="00C0534B"/>
    <w:rsid w:val="00C05619"/>
    <w:rsid w:val="00C105E8"/>
    <w:rsid w:val="00C10AE6"/>
    <w:rsid w:val="00C14299"/>
    <w:rsid w:val="00C177D9"/>
    <w:rsid w:val="00C24D76"/>
    <w:rsid w:val="00C34006"/>
    <w:rsid w:val="00C35B10"/>
    <w:rsid w:val="00C35BF7"/>
    <w:rsid w:val="00C36142"/>
    <w:rsid w:val="00C36B4C"/>
    <w:rsid w:val="00C3704A"/>
    <w:rsid w:val="00C418A8"/>
    <w:rsid w:val="00C426B1"/>
    <w:rsid w:val="00C44228"/>
    <w:rsid w:val="00C459FE"/>
    <w:rsid w:val="00C45D5F"/>
    <w:rsid w:val="00C468A9"/>
    <w:rsid w:val="00C510D5"/>
    <w:rsid w:val="00C5139E"/>
    <w:rsid w:val="00C53C61"/>
    <w:rsid w:val="00C53E8D"/>
    <w:rsid w:val="00C60B1C"/>
    <w:rsid w:val="00C61E87"/>
    <w:rsid w:val="00C63F0C"/>
    <w:rsid w:val="00C6451A"/>
    <w:rsid w:val="00C66160"/>
    <w:rsid w:val="00C70247"/>
    <w:rsid w:val="00C713B7"/>
    <w:rsid w:val="00C721AC"/>
    <w:rsid w:val="00C75432"/>
    <w:rsid w:val="00C80013"/>
    <w:rsid w:val="00C8078F"/>
    <w:rsid w:val="00C84C5A"/>
    <w:rsid w:val="00C85256"/>
    <w:rsid w:val="00C875F9"/>
    <w:rsid w:val="00C90D6A"/>
    <w:rsid w:val="00C94260"/>
    <w:rsid w:val="00CA1E21"/>
    <w:rsid w:val="00CA247E"/>
    <w:rsid w:val="00CA2C55"/>
    <w:rsid w:val="00CA6D21"/>
    <w:rsid w:val="00CB1A54"/>
    <w:rsid w:val="00CB2C60"/>
    <w:rsid w:val="00CB2DB4"/>
    <w:rsid w:val="00CB4311"/>
    <w:rsid w:val="00CB44E1"/>
    <w:rsid w:val="00CB74BB"/>
    <w:rsid w:val="00CC09E9"/>
    <w:rsid w:val="00CC3710"/>
    <w:rsid w:val="00CC6F61"/>
    <w:rsid w:val="00CC72B6"/>
    <w:rsid w:val="00CD00F3"/>
    <w:rsid w:val="00CD08EA"/>
    <w:rsid w:val="00CD338E"/>
    <w:rsid w:val="00CD49B6"/>
    <w:rsid w:val="00CE21AC"/>
    <w:rsid w:val="00CF3990"/>
    <w:rsid w:val="00D0218D"/>
    <w:rsid w:val="00D032D8"/>
    <w:rsid w:val="00D066A9"/>
    <w:rsid w:val="00D07ED6"/>
    <w:rsid w:val="00D14944"/>
    <w:rsid w:val="00D14EE7"/>
    <w:rsid w:val="00D17789"/>
    <w:rsid w:val="00D224CE"/>
    <w:rsid w:val="00D229CD"/>
    <w:rsid w:val="00D25FB5"/>
    <w:rsid w:val="00D262F1"/>
    <w:rsid w:val="00D278C5"/>
    <w:rsid w:val="00D3446D"/>
    <w:rsid w:val="00D35133"/>
    <w:rsid w:val="00D42AC2"/>
    <w:rsid w:val="00D44223"/>
    <w:rsid w:val="00D52330"/>
    <w:rsid w:val="00D52894"/>
    <w:rsid w:val="00D550E0"/>
    <w:rsid w:val="00D56631"/>
    <w:rsid w:val="00D566D0"/>
    <w:rsid w:val="00D576C3"/>
    <w:rsid w:val="00D57CBE"/>
    <w:rsid w:val="00D62056"/>
    <w:rsid w:val="00D62A32"/>
    <w:rsid w:val="00D64BEF"/>
    <w:rsid w:val="00D71688"/>
    <w:rsid w:val="00D73E9F"/>
    <w:rsid w:val="00D837DF"/>
    <w:rsid w:val="00D84059"/>
    <w:rsid w:val="00D86DDE"/>
    <w:rsid w:val="00D876AE"/>
    <w:rsid w:val="00D93439"/>
    <w:rsid w:val="00D94367"/>
    <w:rsid w:val="00DA23B7"/>
    <w:rsid w:val="00DA2529"/>
    <w:rsid w:val="00DA2883"/>
    <w:rsid w:val="00DA6571"/>
    <w:rsid w:val="00DA76DC"/>
    <w:rsid w:val="00DB02FE"/>
    <w:rsid w:val="00DB130A"/>
    <w:rsid w:val="00DB2EBB"/>
    <w:rsid w:val="00DC10A1"/>
    <w:rsid w:val="00DC1352"/>
    <w:rsid w:val="00DC54AE"/>
    <w:rsid w:val="00DC653B"/>
    <w:rsid w:val="00DC655F"/>
    <w:rsid w:val="00DC6958"/>
    <w:rsid w:val="00DD0B59"/>
    <w:rsid w:val="00DD283C"/>
    <w:rsid w:val="00DD7EBD"/>
    <w:rsid w:val="00DE2470"/>
    <w:rsid w:val="00DE463B"/>
    <w:rsid w:val="00DF536F"/>
    <w:rsid w:val="00DF62B6"/>
    <w:rsid w:val="00DF6737"/>
    <w:rsid w:val="00DF6CF5"/>
    <w:rsid w:val="00DF7F38"/>
    <w:rsid w:val="00E05813"/>
    <w:rsid w:val="00E06799"/>
    <w:rsid w:val="00E07225"/>
    <w:rsid w:val="00E171F7"/>
    <w:rsid w:val="00E264D1"/>
    <w:rsid w:val="00E31422"/>
    <w:rsid w:val="00E34FCD"/>
    <w:rsid w:val="00E4245D"/>
    <w:rsid w:val="00E45AB6"/>
    <w:rsid w:val="00E50509"/>
    <w:rsid w:val="00E51DE3"/>
    <w:rsid w:val="00E51F41"/>
    <w:rsid w:val="00E53C83"/>
    <w:rsid w:val="00E5409F"/>
    <w:rsid w:val="00E56185"/>
    <w:rsid w:val="00E56B0C"/>
    <w:rsid w:val="00E601B4"/>
    <w:rsid w:val="00E647A9"/>
    <w:rsid w:val="00E64973"/>
    <w:rsid w:val="00E65059"/>
    <w:rsid w:val="00E657DF"/>
    <w:rsid w:val="00E66539"/>
    <w:rsid w:val="00E70A41"/>
    <w:rsid w:val="00E7114E"/>
    <w:rsid w:val="00E73B43"/>
    <w:rsid w:val="00E82A90"/>
    <w:rsid w:val="00E90B6D"/>
    <w:rsid w:val="00E9126C"/>
    <w:rsid w:val="00E91C28"/>
    <w:rsid w:val="00E91E02"/>
    <w:rsid w:val="00E92BFB"/>
    <w:rsid w:val="00E92DBA"/>
    <w:rsid w:val="00E94A6D"/>
    <w:rsid w:val="00E96B41"/>
    <w:rsid w:val="00EA0773"/>
    <w:rsid w:val="00EA4EF2"/>
    <w:rsid w:val="00EA6E08"/>
    <w:rsid w:val="00EA6F69"/>
    <w:rsid w:val="00EB1E9F"/>
    <w:rsid w:val="00EB3B68"/>
    <w:rsid w:val="00EB3BD6"/>
    <w:rsid w:val="00EB44EF"/>
    <w:rsid w:val="00EB4A1A"/>
    <w:rsid w:val="00EC0471"/>
    <w:rsid w:val="00EC2275"/>
    <w:rsid w:val="00EC27F4"/>
    <w:rsid w:val="00EC346E"/>
    <w:rsid w:val="00EC653D"/>
    <w:rsid w:val="00EC66C8"/>
    <w:rsid w:val="00EC7716"/>
    <w:rsid w:val="00ED4F3B"/>
    <w:rsid w:val="00ED5804"/>
    <w:rsid w:val="00ED69B3"/>
    <w:rsid w:val="00EE6488"/>
    <w:rsid w:val="00EE6D6D"/>
    <w:rsid w:val="00EE77C3"/>
    <w:rsid w:val="00EF2A9D"/>
    <w:rsid w:val="00EF42FF"/>
    <w:rsid w:val="00EF4FD4"/>
    <w:rsid w:val="00EF5CCE"/>
    <w:rsid w:val="00F021FA"/>
    <w:rsid w:val="00F025CB"/>
    <w:rsid w:val="00F13980"/>
    <w:rsid w:val="00F13B89"/>
    <w:rsid w:val="00F1480F"/>
    <w:rsid w:val="00F14ECC"/>
    <w:rsid w:val="00F1781E"/>
    <w:rsid w:val="00F234DF"/>
    <w:rsid w:val="00F309BE"/>
    <w:rsid w:val="00F33F80"/>
    <w:rsid w:val="00F36CC9"/>
    <w:rsid w:val="00F41263"/>
    <w:rsid w:val="00F4384E"/>
    <w:rsid w:val="00F51661"/>
    <w:rsid w:val="00F54669"/>
    <w:rsid w:val="00F5556E"/>
    <w:rsid w:val="00F56084"/>
    <w:rsid w:val="00F62BDC"/>
    <w:rsid w:val="00F62E97"/>
    <w:rsid w:val="00F64209"/>
    <w:rsid w:val="00F71458"/>
    <w:rsid w:val="00F714E0"/>
    <w:rsid w:val="00F757AA"/>
    <w:rsid w:val="00F81E59"/>
    <w:rsid w:val="00F849F8"/>
    <w:rsid w:val="00F86CA7"/>
    <w:rsid w:val="00F87A98"/>
    <w:rsid w:val="00F901ED"/>
    <w:rsid w:val="00F93BF5"/>
    <w:rsid w:val="00F94B14"/>
    <w:rsid w:val="00F97D4F"/>
    <w:rsid w:val="00FA258E"/>
    <w:rsid w:val="00FA2E9E"/>
    <w:rsid w:val="00FA55B4"/>
    <w:rsid w:val="00FA63C1"/>
    <w:rsid w:val="00FB08A7"/>
    <w:rsid w:val="00FB0BB2"/>
    <w:rsid w:val="00FB1AC6"/>
    <w:rsid w:val="00FB38AF"/>
    <w:rsid w:val="00FB4DD6"/>
    <w:rsid w:val="00FB54D7"/>
    <w:rsid w:val="00FB595B"/>
    <w:rsid w:val="00FC20E6"/>
    <w:rsid w:val="00FC3D25"/>
    <w:rsid w:val="00FC4C03"/>
    <w:rsid w:val="00FC4CB9"/>
    <w:rsid w:val="00FD2FC8"/>
    <w:rsid w:val="00FD339F"/>
    <w:rsid w:val="00FE0AE1"/>
    <w:rsid w:val="00FE2E1B"/>
    <w:rsid w:val="00FE30F0"/>
    <w:rsid w:val="00FE6820"/>
    <w:rsid w:val="00FE7697"/>
    <w:rsid w:val="00FF1287"/>
    <w:rsid w:val="00FF1C89"/>
    <w:rsid w:val="00FF59E4"/>
    <w:rsid w:val="00FF66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74AD63"/>
  <w15:chartTrackingRefBased/>
  <w15:docId w15:val="{435E6610-DBB0-488E-B008-FF18D50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character" w:styleId="PlaceholderText">
    <w:name w:val="Placeholder Text"/>
    <w:basedOn w:val="DefaultParagraphFont"/>
    <w:uiPriority w:val="99"/>
    <w:semiHidden/>
    <w:rsid w:val="004F2BAB"/>
    <w:rPr>
      <w:color w:val="808080"/>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82A90"/>
  </w:style>
  <w:style w:type="character" w:customStyle="1" w:styleId="ParaNumChar">
    <w:name w:val="ParaNum Char"/>
    <w:link w:val="ParaNum"/>
    <w:rsid w:val="00DE2470"/>
    <w:rPr>
      <w:snapToGrid w:val="0"/>
      <w:kern w:val="28"/>
      <w:sz w:val="22"/>
    </w:rPr>
  </w:style>
  <w:style w:type="paragraph" w:styleId="ListParagraph">
    <w:name w:val="List Paragraph"/>
    <w:basedOn w:val="Normal"/>
    <w:uiPriority w:val="34"/>
    <w:qFormat/>
    <w:rsid w:val="005A66D1"/>
    <w:pPr>
      <w:widowControl/>
      <w:ind w:left="720"/>
    </w:pPr>
    <w:rPr>
      <w:rFonts w:ascii="Calibri" w:hAnsi="Calibri" w:eastAsiaTheme="minorHAns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videorenewals@fcc.gov"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www.westlaw.com/Link/Document/FullText?findType=Y&amp;serNum=2010389879&amp;pubNum=0004493&amp;originatingDoc=I7a908101ade311e590d4edf60ce7d742&amp;refType=CA&amp;fi=co_pp_sp_4493_11077&amp;originationContext=document&amp;vr=3.0&amp;rs=cblt1.0&amp;transitionType=DocumentItem&amp;contextData=(sc.Search)" TargetMode="External" /><Relationship Id="rId2" Type="http://schemas.openxmlformats.org/officeDocument/2006/relationships/hyperlink" Target="http://www.westlaw.com/Link/Document/FullText?findType=L&amp;pubNum=1000547&amp;cite=47CFRS73.670&amp;originatingDoc=I7a908101ade311e590d4edf60ce7d742&amp;refType=RB&amp;originationContext=document&amp;vr=3.0&amp;rs=cblt1.0&amp;transitionType=DocumentItem&amp;contextData=(sc.Search)" TargetMode="External" /><Relationship Id="rId3" Type="http://schemas.openxmlformats.org/officeDocument/2006/relationships/hyperlink" Target="http://www.lazytown.com" TargetMode="External" /><Relationship Id="rId4" Type="http://schemas.openxmlformats.org/officeDocument/2006/relationships/hyperlink" Target="mailto:ARINQUIRIES@fcc.gov" TargetMode="External" /><Relationship Id="rId5"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