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57E4C" w:rsidRPr="00A57E4C" w:rsidP="00A57E4C" w14:paraId="142B3E95" w14:textId="5E6E5849">
      <w:pPr>
        <w:jc w:val="right"/>
        <w:rPr>
          <w:rFonts w:eastAsia="Calibri"/>
          <w:b/>
          <w:bCs/>
          <w:sz w:val="22"/>
          <w:szCs w:val="22"/>
        </w:rPr>
      </w:pPr>
      <w:bookmarkStart w:id="0" w:name="_Hlk80884443"/>
      <w:r w:rsidRPr="00A57E4C">
        <w:rPr>
          <w:rFonts w:eastAsia="Calibri"/>
          <w:b/>
          <w:bCs/>
          <w:sz w:val="22"/>
          <w:szCs w:val="22"/>
        </w:rPr>
        <w:t>DA 21-</w:t>
      </w:r>
      <w:r w:rsidR="00304A5D">
        <w:rPr>
          <w:rFonts w:eastAsia="Calibri"/>
          <w:b/>
          <w:bCs/>
          <w:sz w:val="22"/>
          <w:szCs w:val="22"/>
        </w:rPr>
        <w:t>1490</w:t>
      </w:r>
    </w:p>
    <w:p w:rsidR="00A57E4C" w:rsidRPr="00A57E4C" w:rsidP="00A57E4C" w14:paraId="5A0C9EE9" w14:textId="5EE08538">
      <w:pPr>
        <w:jc w:val="right"/>
        <w:rPr>
          <w:rFonts w:eastAsia="Calibri"/>
          <w:b/>
          <w:bCs/>
          <w:sz w:val="22"/>
          <w:szCs w:val="22"/>
        </w:rPr>
      </w:pPr>
      <w:r w:rsidRPr="00A57E4C">
        <w:rPr>
          <w:rFonts w:eastAsia="Calibri"/>
          <w:b/>
          <w:bCs/>
          <w:sz w:val="22"/>
          <w:szCs w:val="22"/>
        </w:rPr>
        <w:t xml:space="preserve">Released:  </w:t>
      </w:r>
      <w:r w:rsidR="00304A5D">
        <w:rPr>
          <w:rFonts w:eastAsia="Calibri"/>
          <w:b/>
          <w:bCs/>
          <w:sz w:val="22"/>
          <w:szCs w:val="22"/>
        </w:rPr>
        <w:t>December 1, 2021</w:t>
      </w:r>
    </w:p>
    <w:p w:rsidR="00A57E4C" w:rsidRPr="00A57E4C" w:rsidP="00A57E4C" w14:paraId="3139471B" w14:textId="77777777">
      <w:pPr>
        <w:rPr>
          <w:rFonts w:eastAsia="Calibri"/>
          <w:sz w:val="22"/>
          <w:szCs w:val="22"/>
        </w:rPr>
      </w:pPr>
    </w:p>
    <w:p w:rsidR="006C68D5" w:rsidRPr="006C68D5" w:rsidP="006C68D5" w14:paraId="690AFAA9" w14:textId="4E4789F6">
      <w:pPr>
        <w:rPr>
          <w:rFonts w:eastAsia="Calibri"/>
          <w:sz w:val="22"/>
          <w:szCs w:val="22"/>
        </w:rPr>
      </w:pPr>
      <w:bookmarkStart w:id="1" w:name="_Hlk84491805"/>
      <w:r>
        <w:rPr>
          <w:rFonts w:eastAsia="Calibri"/>
          <w:sz w:val="22"/>
          <w:szCs w:val="22"/>
        </w:rPr>
        <w:t xml:space="preserve">Gray Television Licensee, LLC </w:t>
      </w:r>
    </w:p>
    <w:p w:rsidR="006C68D5" w:rsidRPr="006C68D5" w:rsidP="006C68D5" w14:paraId="653F0D8B" w14:textId="30EB04BA">
      <w:pPr>
        <w:rPr>
          <w:rFonts w:eastAsia="Calibri"/>
          <w:sz w:val="22"/>
          <w:szCs w:val="22"/>
        </w:rPr>
      </w:pPr>
      <w:r>
        <w:rPr>
          <w:rFonts w:eastAsia="Calibri"/>
          <w:sz w:val="22"/>
          <w:szCs w:val="22"/>
        </w:rPr>
        <w:t>4370 Peachtree Road NE</w:t>
      </w:r>
    </w:p>
    <w:p w:rsidR="006C68D5" w:rsidRPr="006C68D5" w:rsidP="006C68D5" w14:paraId="3EF779C5" w14:textId="3F1C65A8">
      <w:pPr>
        <w:rPr>
          <w:rFonts w:eastAsia="Calibri"/>
          <w:sz w:val="22"/>
          <w:szCs w:val="22"/>
        </w:rPr>
      </w:pPr>
      <w:r w:rsidRPr="00A4578B">
        <w:rPr>
          <w:rFonts w:eastAsia="Calibri"/>
          <w:sz w:val="22"/>
          <w:szCs w:val="22"/>
        </w:rPr>
        <w:t>Atlanta, GA 30319</w:t>
      </w:r>
      <w:bookmarkEnd w:id="1"/>
    </w:p>
    <w:p w:rsidR="006C68D5" w:rsidRPr="006C68D5" w:rsidP="006C68D5" w14:paraId="3707401A" w14:textId="77777777">
      <w:pPr>
        <w:rPr>
          <w:rFonts w:eastAsia="Calibri"/>
          <w:sz w:val="22"/>
          <w:szCs w:val="22"/>
        </w:rPr>
      </w:pPr>
    </w:p>
    <w:p w:rsidR="006C68D5" w:rsidRPr="006C68D5" w:rsidP="006C68D5" w14:paraId="2C32EE80" w14:textId="43EC963D">
      <w:pPr>
        <w:rPr>
          <w:rFonts w:eastAsia="Calibri"/>
          <w:sz w:val="22"/>
          <w:szCs w:val="22"/>
        </w:rPr>
      </w:pPr>
      <w:r w:rsidRPr="006C68D5">
        <w:rPr>
          <w:rFonts w:eastAsia="Calibri"/>
          <w:i/>
          <w:iCs/>
          <w:sz w:val="22"/>
          <w:szCs w:val="22"/>
        </w:rPr>
        <w:t xml:space="preserve">                                                                                                 </w:t>
      </w:r>
      <w:r w:rsidRPr="006C68D5">
        <w:rPr>
          <w:rFonts w:eastAsia="Calibri"/>
          <w:sz w:val="22"/>
          <w:szCs w:val="22"/>
        </w:rPr>
        <w:t xml:space="preserve">Re:  </w:t>
      </w:r>
      <w:r w:rsidR="00A4578B">
        <w:rPr>
          <w:rFonts w:eastAsia="Calibri"/>
          <w:sz w:val="22"/>
          <w:szCs w:val="22"/>
        </w:rPr>
        <w:t>WITN-TV</w:t>
      </w:r>
      <w:r w:rsidRPr="006C68D5">
        <w:rPr>
          <w:rFonts w:eastAsia="Calibri"/>
          <w:sz w:val="22"/>
          <w:szCs w:val="22"/>
        </w:rPr>
        <w:t xml:space="preserve">, </w:t>
      </w:r>
      <w:r w:rsidR="00A4578B">
        <w:rPr>
          <w:rFonts w:eastAsia="Calibri"/>
          <w:sz w:val="22"/>
          <w:szCs w:val="22"/>
        </w:rPr>
        <w:t>Washington, NC</w:t>
      </w:r>
    </w:p>
    <w:p w:rsidR="006C68D5" w:rsidRPr="006C68D5" w:rsidP="006C68D5" w14:paraId="38F48229" w14:textId="4E63C707">
      <w:pPr>
        <w:rPr>
          <w:rFonts w:eastAsia="Calibri"/>
          <w:sz w:val="22"/>
          <w:szCs w:val="22"/>
        </w:rPr>
      </w:pPr>
      <w:r w:rsidRPr="006C68D5">
        <w:rPr>
          <w:rFonts w:eastAsia="Calibri"/>
          <w:sz w:val="22"/>
          <w:szCs w:val="22"/>
        </w:rPr>
        <w:t xml:space="preserve">        </w:t>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Facility ID No.:  </w:t>
      </w:r>
      <w:r w:rsidR="00A4578B">
        <w:rPr>
          <w:rFonts w:eastAsia="Calibri"/>
          <w:sz w:val="22"/>
          <w:szCs w:val="22"/>
        </w:rPr>
        <w:t>594</w:t>
      </w:r>
    </w:p>
    <w:p w:rsidR="006C68D5" w:rsidRPr="006C68D5" w:rsidP="006C68D5" w14:paraId="17323AAF" w14:textId="6B34BBE8">
      <w:pPr>
        <w:rPr>
          <w:rFonts w:eastAsia="Calibri"/>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FRN:  </w:t>
      </w:r>
      <w:r w:rsidRPr="00A4578B" w:rsidR="00A4578B">
        <w:rPr>
          <w:rFonts w:eastAsia="Calibri"/>
          <w:sz w:val="22"/>
          <w:szCs w:val="22"/>
        </w:rPr>
        <w:t>0018223693</w:t>
      </w:r>
    </w:p>
    <w:p w:rsidR="006C68D5" w:rsidRPr="006C68D5" w:rsidP="006C68D5" w14:paraId="7D02129A" w14:textId="44FCBB7F">
      <w:pPr>
        <w:rPr>
          <w:rFonts w:eastAsia="Calibri"/>
          <w:i/>
          <w:iCs/>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LMS File No.:  </w:t>
      </w:r>
      <w:bookmarkStart w:id="2" w:name="_Hlk83987777"/>
      <w:r w:rsidRPr="00A4578B" w:rsidR="00A4578B">
        <w:rPr>
          <w:rFonts w:eastAsia="Calibri"/>
          <w:sz w:val="22"/>
          <w:szCs w:val="22"/>
        </w:rPr>
        <w:t>0000119815</w:t>
      </w:r>
      <w:bookmarkEnd w:id="2"/>
      <w:r w:rsidRPr="00A4578B" w:rsidR="00A4578B">
        <w:rPr>
          <w:rFonts w:eastAsia="Calibri"/>
          <w:sz w:val="22"/>
          <w:szCs w:val="22"/>
        </w:rPr>
        <w:t xml:space="preserve"> </w:t>
      </w:r>
    </w:p>
    <w:p w:rsidR="006C68D5" w:rsidRPr="006C68D5" w:rsidP="006C68D5" w14:paraId="5390A5A4" w14:textId="77777777">
      <w:pPr>
        <w:rPr>
          <w:rFonts w:eastAsia="Calibri"/>
          <w:sz w:val="22"/>
          <w:szCs w:val="22"/>
        </w:rPr>
      </w:pPr>
    </w:p>
    <w:p w:rsidR="006C68D5" w:rsidRPr="006C68D5" w:rsidP="006C68D5" w14:paraId="6F2F5C9E" w14:textId="77777777">
      <w:pPr>
        <w:spacing w:after="200"/>
        <w:rPr>
          <w:rFonts w:eastAsia="Calibri"/>
          <w:sz w:val="22"/>
          <w:szCs w:val="22"/>
        </w:rPr>
      </w:pPr>
      <w:r w:rsidRPr="006C68D5">
        <w:rPr>
          <w:rFonts w:eastAsia="Calibri"/>
          <w:sz w:val="22"/>
          <w:szCs w:val="22"/>
        </w:rPr>
        <w:t>Dear Licensee:</w:t>
      </w:r>
    </w:p>
    <w:p w:rsidR="006C68D5" w:rsidRPr="006C68D5" w:rsidP="006C68D5" w14:paraId="070103A7" w14:textId="15EA0671">
      <w:pPr>
        <w:spacing w:after="120"/>
        <w:ind w:firstLine="720"/>
        <w:rPr>
          <w:rFonts w:eastAsia="Calibri"/>
          <w:sz w:val="22"/>
          <w:szCs w:val="22"/>
        </w:rPr>
      </w:pPr>
      <w:r w:rsidRPr="006C68D5">
        <w:rPr>
          <w:rFonts w:eastAsia="Calibri"/>
          <w:sz w:val="22"/>
          <w:szCs w:val="22"/>
        </w:rPr>
        <w:t xml:space="preserve">This letter is in reference to the license renewal application (Application) for </w:t>
      </w:r>
      <w:r w:rsidRPr="00A614DA" w:rsidR="00A614DA">
        <w:rPr>
          <w:rFonts w:eastAsia="Calibri"/>
          <w:sz w:val="22"/>
          <w:szCs w:val="22"/>
        </w:rPr>
        <w:t>WITN-TV, Washington, N</w:t>
      </w:r>
      <w:r w:rsidR="00A614DA">
        <w:rPr>
          <w:rFonts w:eastAsia="Calibri"/>
          <w:sz w:val="22"/>
          <w:szCs w:val="22"/>
        </w:rPr>
        <w:t xml:space="preserve">orth </w:t>
      </w:r>
      <w:r w:rsidRPr="00A614DA" w:rsidR="00A614DA">
        <w:rPr>
          <w:rFonts w:eastAsia="Calibri"/>
          <w:sz w:val="22"/>
          <w:szCs w:val="22"/>
        </w:rPr>
        <w:t>C</w:t>
      </w:r>
      <w:r w:rsidR="00A614DA">
        <w:rPr>
          <w:rFonts w:eastAsia="Calibri"/>
          <w:sz w:val="22"/>
          <w:szCs w:val="22"/>
        </w:rPr>
        <w:t>arolina</w:t>
      </w:r>
      <w:r w:rsidRPr="00A614DA" w:rsidR="00A614DA">
        <w:rPr>
          <w:rFonts w:eastAsia="Calibri"/>
          <w:sz w:val="22"/>
          <w:szCs w:val="22"/>
        </w:rPr>
        <w:t xml:space="preserve"> </w:t>
      </w:r>
      <w:r w:rsidRPr="006C68D5">
        <w:rPr>
          <w:rFonts w:eastAsia="Calibri"/>
          <w:sz w:val="22"/>
          <w:szCs w:val="22"/>
        </w:rPr>
        <w:t xml:space="preserve">(Station), which is licensed to </w:t>
      </w:r>
      <w:r w:rsidR="00A614DA">
        <w:rPr>
          <w:rFonts w:eastAsia="Calibri"/>
          <w:sz w:val="22"/>
          <w:szCs w:val="22"/>
        </w:rPr>
        <w:t>Gray</w:t>
      </w:r>
      <w:r w:rsidRPr="006C68D5">
        <w:rPr>
          <w:rFonts w:eastAsia="Calibri"/>
          <w:sz w:val="22"/>
          <w:szCs w:val="22"/>
        </w:rPr>
        <w:t xml:space="preserve"> </w:t>
      </w:r>
      <w:r w:rsidRPr="00A614DA" w:rsidR="00A614DA">
        <w:rPr>
          <w:rFonts w:eastAsia="Calibri"/>
          <w:sz w:val="22"/>
          <w:szCs w:val="22"/>
        </w:rPr>
        <w:t xml:space="preserve">Television Licensee, </w:t>
      </w:r>
      <w:r w:rsidR="00B9046A">
        <w:rPr>
          <w:rFonts w:eastAsia="Calibri"/>
          <w:sz w:val="22"/>
          <w:szCs w:val="22"/>
        </w:rPr>
        <w:t>LLC</w:t>
      </w:r>
      <w:r w:rsidR="00AD5548">
        <w:rPr>
          <w:rFonts w:eastAsia="Calibri"/>
          <w:sz w:val="22"/>
          <w:szCs w:val="22"/>
        </w:rPr>
        <w:t>, dba WITN</w:t>
      </w:r>
      <w:r w:rsidRPr="00A614DA" w:rsidR="00A614DA">
        <w:rPr>
          <w:rFonts w:eastAsia="Calibri"/>
          <w:sz w:val="22"/>
          <w:szCs w:val="22"/>
        </w:rPr>
        <w:t xml:space="preserve"> </w:t>
      </w:r>
      <w:r w:rsidRPr="006C68D5">
        <w:rPr>
          <w:rFonts w:eastAsia="Calibri"/>
          <w:sz w:val="22"/>
          <w:szCs w:val="22"/>
        </w:rPr>
        <w:t>(Licensee).</w:t>
      </w:r>
      <w:r>
        <w:rPr>
          <w:rFonts w:eastAsia="Calibri"/>
          <w:sz w:val="22"/>
          <w:szCs w:val="22"/>
          <w:vertAlign w:val="superscript"/>
        </w:rPr>
        <w:footnoteReference w:id="3"/>
      </w:r>
      <w:r w:rsidRPr="006C68D5">
        <w:rPr>
          <w:rFonts w:eastAsia="Calibri"/>
          <w:sz w:val="22"/>
          <w:szCs w:val="22"/>
        </w:rPr>
        <w:t xml:space="preserve">  We hereby admonish the Station for its violation of section 73.</w:t>
      </w:r>
      <w:r w:rsidR="00572B96">
        <w:rPr>
          <w:rFonts w:eastAsia="Calibri"/>
          <w:sz w:val="22"/>
          <w:szCs w:val="22"/>
        </w:rPr>
        <w:t>670</w:t>
      </w:r>
      <w:r w:rsidRPr="006C68D5">
        <w:rPr>
          <w:rFonts w:eastAsia="Calibri"/>
          <w:sz w:val="22"/>
          <w:szCs w:val="22"/>
        </w:rPr>
        <w:t xml:space="preserve"> of the Commission’s rules (Rules).</w:t>
      </w:r>
      <w:r>
        <w:rPr>
          <w:rFonts w:eastAsia="Calibri"/>
          <w:sz w:val="22"/>
          <w:szCs w:val="22"/>
          <w:vertAlign w:val="superscript"/>
        </w:rPr>
        <w:footnoteReference w:id="4"/>
      </w:r>
      <w:r w:rsidRPr="006C68D5">
        <w:rPr>
          <w:rFonts w:eastAsia="Calibri"/>
          <w:sz w:val="22"/>
          <w:szCs w:val="22"/>
        </w:rPr>
        <w:t xml:space="preserve"> </w:t>
      </w:r>
    </w:p>
    <w:p w:rsidR="00E72B39" w:rsidP="006C68D5" w14:paraId="063A1830" w14:textId="183E4FBF">
      <w:pPr>
        <w:spacing w:after="120"/>
        <w:ind w:firstLine="720"/>
        <w:rPr>
          <w:sz w:val="22"/>
          <w:szCs w:val="22"/>
        </w:rPr>
      </w:pPr>
      <w:r>
        <w:rPr>
          <w:rFonts w:eastAsia="Calibri"/>
          <w:sz w:val="22"/>
          <w:szCs w:val="22"/>
        </w:rPr>
        <w:t xml:space="preserve">In 1990, Congress directed the Commission to </w:t>
      </w:r>
      <w:r w:rsidR="00A614DA">
        <w:rPr>
          <w:rFonts w:eastAsia="Calibri"/>
          <w:sz w:val="22"/>
          <w:szCs w:val="22"/>
        </w:rPr>
        <w:t>create</w:t>
      </w:r>
      <w:r>
        <w:rPr>
          <w:rFonts w:eastAsia="Calibri"/>
          <w:sz w:val="22"/>
          <w:szCs w:val="22"/>
        </w:rPr>
        <w:t xml:space="preserve"> rules that, </w:t>
      </w:r>
      <w:r w:rsidRPr="00292B47">
        <w:rPr>
          <w:rFonts w:eastAsia="Calibri"/>
          <w:i/>
          <w:sz w:val="22"/>
        </w:rPr>
        <w:t>inter alia</w:t>
      </w:r>
      <w:r w:rsidRPr="00AA3FCC">
        <w:rPr>
          <w:rFonts w:eastAsia="Calibri"/>
          <w:sz w:val="22"/>
          <w:szCs w:val="22"/>
        </w:rPr>
        <w:t>,</w:t>
      </w:r>
      <w:r>
        <w:rPr>
          <w:rFonts w:eastAsia="Calibri"/>
          <w:sz w:val="22"/>
          <w:szCs w:val="22"/>
        </w:rPr>
        <w:t xml:space="preserve"> limit the amount of commercial mat</w:t>
      </w:r>
      <w:r w:rsidR="005220DB">
        <w:rPr>
          <w:rFonts w:eastAsia="Calibri"/>
          <w:sz w:val="22"/>
          <w:szCs w:val="22"/>
        </w:rPr>
        <w:t>ter</w:t>
      </w:r>
      <w:r>
        <w:rPr>
          <w:rFonts w:eastAsia="Calibri"/>
          <w:sz w:val="22"/>
          <w:szCs w:val="22"/>
        </w:rPr>
        <w:t xml:space="preserve"> </w:t>
      </w:r>
      <w:r w:rsidR="0081293C">
        <w:rPr>
          <w:rFonts w:eastAsia="Calibri"/>
          <w:sz w:val="22"/>
          <w:szCs w:val="22"/>
        </w:rPr>
        <w:t xml:space="preserve">that </w:t>
      </w:r>
      <w:r>
        <w:rPr>
          <w:rFonts w:eastAsia="Calibri"/>
          <w:sz w:val="22"/>
          <w:szCs w:val="22"/>
        </w:rPr>
        <w:t>commercial television stations may air during children’s programming.</w:t>
      </w:r>
      <w:r>
        <w:rPr>
          <w:rStyle w:val="FootnoteReference"/>
          <w:rFonts w:eastAsia="Calibri"/>
          <w:sz w:val="22"/>
          <w:szCs w:val="22"/>
        </w:rPr>
        <w:footnoteReference w:id="5"/>
      </w:r>
      <w:r>
        <w:rPr>
          <w:rFonts w:eastAsia="Calibri"/>
          <w:sz w:val="22"/>
          <w:szCs w:val="22"/>
        </w:rPr>
        <w:t xml:space="preserve">  Pursuant to th</w:t>
      </w:r>
      <w:r w:rsidR="0081293C">
        <w:rPr>
          <w:rFonts w:eastAsia="Calibri"/>
          <w:sz w:val="22"/>
          <w:szCs w:val="22"/>
        </w:rPr>
        <w:t>is</w:t>
      </w:r>
      <w:r>
        <w:rPr>
          <w:rFonts w:eastAsia="Calibri"/>
          <w:sz w:val="22"/>
          <w:szCs w:val="22"/>
        </w:rPr>
        <w:t xml:space="preserve"> mandate, the Commission adopted </w:t>
      </w:r>
      <w:r w:rsidR="00D86DDE">
        <w:rPr>
          <w:rFonts w:eastAsia="Calibri"/>
          <w:sz w:val="22"/>
          <w:szCs w:val="22"/>
        </w:rPr>
        <w:t xml:space="preserve">section </w:t>
      </w:r>
      <w:r w:rsidRPr="006C68D5" w:rsidR="006C68D5">
        <w:rPr>
          <w:rFonts w:eastAsia="Calibri"/>
          <w:sz w:val="22"/>
          <w:szCs w:val="22"/>
        </w:rPr>
        <w:t>73.</w:t>
      </w:r>
      <w:r>
        <w:rPr>
          <w:rFonts w:eastAsia="Calibri"/>
          <w:sz w:val="22"/>
          <w:szCs w:val="22"/>
        </w:rPr>
        <w:t>670</w:t>
      </w:r>
      <w:r w:rsidRPr="006C68D5" w:rsidR="006C68D5">
        <w:rPr>
          <w:rFonts w:eastAsia="Calibri"/>
          <w:sz w:val="22"/>
          <w:szCs w:val="22"/>
        </w:rPr>
        <w:t xml:space="preserve"> of the Rules</w:t>
      </w:r>
      <w:r>
        <w:rPr>
          <w:rFonts w:eastAsia="Calibri"/>
          <w:sz w:val="22"/>
          <w:szCs w:val="22"/>
        </w:rPr>
        <w:t xml:space="preserve">, which limits the amount of </w:t>
      </w:r>
      <w:r w:rsidRPr="00D86DDE" w:rsidR="00D86DDE">
        <w:rPr>
          <w:rFonts w:eastAsia="Calibri"/>
          <w:sz w:val="22"/>
          <w:szCs w:val="22"/>
        </w:rPr>
        <w:t>commercial mat</w:t>
      </w:r>
      <w:r w:rsidR="004619FC">
        <w:rPr>
          <w:rFonts w:eastAsia="Calibri"/>
          <w:sz w:val="22"/>
          <w:szCs w:val="22"/>
        </w:rPr>
        <w:t>ter</w:t>
      </w:r>
      <w:r w:rsidRPr="00D86DDE" w:rsidR="00D86DDE">
        <w:rPr>
          <w:rFonts w:eastAsia="Calibri"/>
          <w:sz w:val="22"/>
          <w:szCs w:val="22"/>
        </w:rPr>
        <w:t xml:space="preserve"> </w:t>
      </w:r>
      <w:r w:rsidR="00AA3FCC">
        <w:rPr>
          <w:rFonts w:eastAsia="Calibri"/>
          <w:sz w:val="22"/>
          <w:szCs w:val="22"/>
        </w:rPr>
        <w:t>that</w:t>
      </w:r>
      <w:r w:rsidRPr="00D86DDE" w:rsidR="00D86DDE">
        <w:rPr>
          <w:rFonts w:eastAsia="Calibri"/>
          <w:sz w:val="22"/>
          <w:szCs w:val="22"/>
        </w:rPr>
        <w:t xml:space="preserve"> may be aired during children</w:t>
      </w:r>
      <w:r w:rsidR="00D86DDE">
        <w:rPr>
          <w:rFonts w:eastAsia="Calibri"/>
          <w:sz w:val="22"/>
          <w:szCs w:val="22"/>
        </w:rPr>
        <w:t>’</w:t>
      </w:r>
      <w:r w:rsidRPr="00D86DDE" w:rsidR="00D86DDE">
        <w:rPr>
          <w:rFonts w:eastAsia="Calibri"/>
          <w:sz w:val="22"/>
          <w:szCs w:val="22"/>
        </w:rPr>
        <w:t>s programming to 10.5 minutes per hour on weekends and 12 minutes per hour on weekdays.</w:t>
      </w:r>
      <w:r>
        <w:rPr>
          <w:rStyle w:val="FootnoteReference"/>
          <w:rFonts w:eastAsia="Calibri"/>
          <w:sz w:val="22"/>
          <w:szCs w:val="22"/>
        </w:rPr>
        <w:footnoteReference w:id="6"/>
      </w:r>
      <w:r>
        <w:rPr>
          <w:rFonts w:eastAsia="Calibri"/>
          <w:sz w:val="22"/>
          <w:szCs w:val="22"/>
        </w:rPr>
        <w:t xml:space="preserve">  </w:t>
      </w:r>
      <w:r w:rsidR="004619FC">
        <w:rPr>
          <w:sz w:val="22"/>
          <w:szCs w:val="22"/>
        </w:rPr>
        <w:t>In furtherance of the CTA’s underlying purpose to protect children from excessive and inappropriate commercial messages, section 73.670</w:t>
      </w:r>
      <w:r w:rsidR="00691574">
        <w:rPr>
          <w:sz w:val="22"/>
          <w:szCs w:val="22"/>
        </w:rPr>
        <w:t>(</w:t>
      </w:r>
      <w:r w:rsidR="00400CBB">
        <w:rPr>
          <w:sz w:val="22"/>
          <w:szCs w:val="22"/>
        </w:rPr>
        <w:t xml:space="preserve">b) </w:t>
      </w:r>
      <w:r w:rsidR="004619FC">
        <w:rPr>
          <w:sz w:val="22"/>
          <w:szCs w:val="22"/>
        </w:rPr>
        <w:t xml:space="preserve">of the Rules </w:t>
      </w:r>
      <w:r w:rsidR="002A2646">
        <w:rPr>
          <w:sz w:val="22"/>
          <w:szCs w:val="22"/>
        </w:rPr>
        <w:t>restrict</w:t>
      </w:r>
      <w:r w:rsidR="004619FC">
        <w:rPr>
          <w:sz w:val="22"/>
          <w:szCs w:val="22"/>
        </w:rPr>
        <w:t xml:space="preserve">s the </w:t>
      </w:r>
      <w:r w:rsidRPr="00400CBB" w:rsidR="004619FC">
        <w:rPr>
          <w:sz w:val="22"/>
          <w:szCs w:val="22"/>
        </w:rPr>
        <w:t>display of Internet web addresses during programming directed at children ages 12 and under.</w:t>
      </w:r>
      <w:r>
        <w:rPr>
          <w:rStyle w:val="FootnoteReference"/>
          <w:sz w:val="22"/>
          <w:szCs w:val="22"/>
        </w:rPr>
        <w:footnoteReference w:id="7"/>
      </w:r>
      <w:r w:rsidR="004619FC">
        <w:rPr>
          <w:sz w:val="22"/>
          <w:szCs w:val="22"/>
        </w:rPr>
        <w:t xml:space="preserve">   </w:t>
      </w:r>
    </w:p>
    <w:p w:rsidR="004619FC" w:rsidP="006C68D5" w14:paraId="56359DA2" w14:textId="27A91418">
      <w:pPr>
        <w:spacing w:after="120"/>
        <w:ind w:firstLine="720"/>
        <w:rPr>
          <w:rFonts w:eastAsia="Calibri"/>
          <w:sz w:val="22"/>
          <w:szCs w:val="22"/>
        </w:rPr>
      </w:pPr>
      <w:r>
        <w:rPr>
          <w:sz w:val="22"/>
          <w:szCs w:val="22"/>
        </w:rPr>
        <w:t xml:space="preserve">Specifically, </w:t>
      </w:r>
      <w:r w:rsidR="00085549">
        <w:rPr>
          <w:sz w:val="22"/>
          <w:szCs w:val="22"/>
        </w:rPr>
        <w:t>s</w:t>
      </w:r>
      <w:r>
        <w:rPr>
          <w:sz w:val="22"/>
          <w:szCs w:val="22"/>
        </w:rPr>
        <w:t xml:space="preserve">ection 73.670(b) permits the display of Internet website addresses during program material or promotional material not counted as commercial time </w:t>
      </w:r>
      <w:r w:rsidRPr="00400CBB">
        <w:rPr>
          <w:i/>
          <w:iCs/>
          <w:sz w:val="22"/>
          <w:szCs w:val="22"/>
        </w:rPr>
        <w:t>only</w:t>
      </w:r>
      <w:r>
        <w:rPr>
          <w:sz w:val="22"/>
          <w:szCs w:val="22"/>
        </w:rPr>
        <w:t xml:space="preserve"> if it meets the following four prong test:  (1) the website offers a substantial amount of </w:t>
      </w:r>
      <w:r w:rsidRPr="00AA3FCC">
        <w:rPr>
          <w:sz w:val="22"/>
          <w:szCs w:val="22"/>
        </w:rPr>
        <w:t>bona fide</w:t>
      </w:r>
      <w:r>
        <w:rPr>
          <w:i/>
          <w:iCs/>
          <w:sz w:val="22"/>
          <w:szCs w:val="22"/>
        </w:rPr>
        <w:t xml:space="preserve"> </w:t>
      </w:r>
      <w:r>
        <w:rPr>
          <w:sz w:val="22"/>
          <w:szCs w:val="22"/>
        </w:rPr>
        <w:t>program-related or other noncommercial content; (2) the website is not primarily intended for commercial purposes, including either e-commerce or advertising; (3) the website</w:t>
      </w:r>
      <w:r w:rsidR="00BC0F42">
        <w:rPr>
          <w:sz w:val="22"/>
          <w:szCs w:val="22"/>
        </w:rPr>
        <w:t>’</w:t>
      </w:r>
      <w:r>
        <w:rPr>
          <w:sz w:val="22"/>
          <w:szCs w:val="22"/>
        </w:rPr>
        <w:t>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867FE6">
        <w:rPr>
          <w:sz w:val="22"/>
        </w:rPr>
        <w:t>e.g</w:t>
      </w:r>
      <w:r w:rsidRPr="00867FE6" w:rsidR="00BC0F42">
        <w:rPr>
          <w:sz w:val="22"/>
        </w:rPr>
        <w:t>.</w:t>
      </w:r>
      <w:r>
        <w:rPr>
          <w:sz w:val="22"/>
          <w:szCs w:val="22"/>
        </w:rPr>
        <w:t>, contains no links labeled “store” and no links to another page with commercial material).</w:t>
      </w:r>
      <w:r>
        <w:rPr>
          <w:rStyle w:val="FootnoteReference"/>
          <w:sz w:val="22"/>
          <w:szCs w:val="22"/>
        </w:rPr>
        <w:footnoteReference w:id="8"/>
      </w:r>
    </w:p>
    <w:p w:rsidR="00052038" w:rsidP="00834E3D" w14:paraId="5175D311" w14:textId="2665B5A4">
      <w:pPr>
        <w:spacing w:after="120"/>
        <w:ind w:firstLine="720"/>
        <w:rPr>
          <w:rFonts w:eastAsia="Calibri"/>
          <w:sz w:val="22"/>
          <w:szCs w:val="22"/>
        </w:rPr>
      </w:pPr>
      <w:r w:rsidRPr="006C68D5">
        <w:rPr>
          <w:rFonts w:eastAsia="Calibri"/>
          <w:sz w:val="22"/>
          <w:szCs w:val="22"/>
        </w:rPr>
        <w:t xml:space="preserve">On </w:t>
      </w:r>
      <w:r w:rsidR="00151E6D">
        <w:rPr>
          <w:rFonts w:eastAsia="Calibri"/>
          <w:sz w:val="22"/>
          <w:szCs w:val="22"/>
        </w:rPr>
        <w:t>December 7</w:t>
      </w:r>
      <w:r w:rsidR="00A4578B">
        <w:rPr>
          <w:rFonts w:eastAsia="Calibri"/>
          <w:sz w:val="22"/>
          <w:szCs w:val="22"/>
        </w:rPr>
        <w:t>, 2020</w:t>
      </w:r>
      <w:r w:rsidRPr="006C68D5">
        <w:rPr>
          <w:rFonts w:eastAsia="Calibri"/>
          <w:sz w:val="22"/>
          <w:szCs w:val="22"/>
        </w:rPr>
        <w:t xml:space="preserve">, the Licensee </w:t>
      </w:r>
      <w:r w:rsidR="00151E6D">
        <w:rPr>
          <w:rFonts w:eastAsia="Calibri"/>
          <w:sz w:val="22"/>
          <w:szCs w:val="22"/>
        </w:rPr>
        <w:t xml:space="preserve">amended its Application to </w:t>
      </w:r>
      <w:r w:rsidR="00A5765C">
        <w:rPr>
          <w:rFonts w:eastAsia="Calibri"/>
          <w:sz w:val="22"/>
          <w:szCs w:val="22"/>
        </w:rPr>
        <w:t xml:space="preserve">disclose that, </w:t>
      </w:r>
      <w:r w:rsidRPr="00A5765C" w:rsidR="00A5765C">
        <w:rPr>
          <w:rFonts w:eastAsia="Calibri"/>
          <w:sz w:val="22"/>
          <w:szCs w:val="22"/>
        </w:rPr>
        <w:t>on</w:t>
      </w:r>
      <w:r w:rsidR="00123636">
        <w:rPr>
          <w:rFonts w:eastAsia="Calibri"/>
          <w:sz w:val="22"/>
          <w:szCs w:val="22"/>
        </w:rPr>
        <w:t xml:space="preserve"> </w:t>
      </w:r>
      <w:r w:rsidRPr="00A5765C" w:rsidR="00A5765C">
        <w:rPr>
          <w:rFonts w:eastAsia="Calibri"/>
          <w:sz w:val="22"/>
          <w:szCs w:val="22"/>
        </w:rPr>
        <w:t xml:space="preserve">October 12, 2013, the Station </w:t>
      </w:r>
      <w:r w:rsidR="00151E6D">
        <w:rPr>
          <w:rFonts w:eastAsia="Calibri"/>
          <w:sz w:val="22"/>
          <w:szCs w:val="22"/>
        </w:rPr>
        <w:t xml:space="preserve">had </w:t>
      </w:r>
      <w:r w:rsidRPr="00A5765C" w:rsidR="00A5765C">
        <w:rPr>
          <w:rFonts w:eastAsia="Calibri"/>
          <w:sz w:val="22"/>
          <w:szCs w:val="22"/>
        </w:rPr>
        <w:t xml:space="preserve">aired the URL address for the website </w:t>
      </w:r>
      <w:r w:rsidR="00337557">
        <w:rPr>
          <w:rFonts w:eastAsia="Calibri"/>
          <w:sz w:val="22"/>
          <w:szCs w:val="22"/>
        </w:rPr>
        <w:t>“</w:t>
      </w:r>
      <w:r w:rsidRPr="00A5765C" w:rsidR="00A5765C">
        <w:rPr>
          <w:rFonts w:eastAsia="Calibri"/>
          <w:sz w:val="22"/>
          <w:szCs w:val="22"/>
        </w:rPr>
        <w:t>www.lazytown.com</w:t>
      </w:r>
      <w:r w:rsidR="00337557">
        <w:rPr>
          <w:rFonts w:eastAsia="Calibri"/>
          <w:sz w:val="22"/>
          <w:szCs w:val="22"/>
        </w:rPr>
        <w:t>”</w:t>
      </w:r>
      <w:r w:rsidRPr="00A5765C" w:rsidR="00A5765C">
        <w:rPr>
          <w:rFonts w:eastAsia="Calibri"/>
          <w:sz w:val="22"/>
          <w:szCs w:val="22"/>
        </w:rPr>
        <w:t xml:space="preserve"> during </w:t>
      </w:r>
      <w:r w:rsidR="00EB5C13">
        <w:rPr>
          <w:rFonts w:eastAsia="Calibri"/>
          <w:sz w:val="22"/>
          <w:szCs w:val="22"/>
        </w:rPr>
        <w:t xml:space="preserve">the closing credits </w:t>
      </w:r>
      <w:r w:rsidRPr="00A5765C" w:rsidR="00A5765C">
        <w:rPr>
          <w:rFonts w:eastAsia="Calibri"/>
          <w:sz w:val="22"/>
          <w:szCs w:val="22"/>
        </w:rPr>
        <w:t xml:space="preserve">of </w:t>
      </w:r>
      <w:r w:rsidR="00EB5C13">
        <w:rPr>
          <w:rFonts w:eastAsia="Calibri"/>
          <w:sz w:val="22"/>
          <w:szCs w:val="22"/>
        </w:rPr>
        <w:t xml:space="preserve">an episode of </w:t>
      </w:r>
      <w:r w:rsidRPr="00A5765C" w:rsidR="00A5765C">
        <w:rPr>
          <w:rFonts w:eastAsia="Calibri"/>
          <w:sz w:val="22"/>
          <w:szCs w:val="22"/>
        </w:rPr>
        <w:t xml:space="preserve">the children’s program </w:t>
      </w:r>
      <w:r w:rsidR="00337557">
        <w:rPr>
          <w:rFonts w:eastAsia="Calibri"/>
          <w:sz w:val="22"/>
          <w:szCs w:val="22"/>
        </w:rPr>
        <w:t>“</w:t>
      </w:r>
      <w:r w:rsidRPr="00A5765C" w:rsidR="00A5765C">
        <w:rPr>
          <w:rFonts w:eastAsia="Calibri"/>
          <w:sz w:val="22"/>
          <w:szCs w:val="22"/>
        </w:rPr>
        <w:t>LazyTown</w:t>
      </w:r>
      <w:r w:rsidRPr="00A5765C" w:rsidR="00A5765C">
        <w:rPr>
          <w:rFonts w:eastAsia="Calibri"/>
          <w:sz w:val="22"/>
          <w:szCs w:val="22"/>
        </w:rPr>
        <w:t>.”</w:t>
      </w:r>
      <w:r>
        <w:rPr>
          <w:rStyle w:val="FootnoteReference"/>
          <w:rFonts w:eastAsia="Calibri"/>
          <w:sz w:val="22"/>
          <w:szCs w:val="22"/>
        </w:rPr>
        <w:footnoteReference w:id="9"/>
      </w:r>
      <w:r w:rsidRPr="00A5765C" w:rsidR="00A5765C">
        <w:rPr>
          <w:rFonts w:eastAsia="Calibri"/>
          <w:sz w:val="22"/>
          <w:szCs w:val="22"/>
        </w:rPr>
        <w:t xml:space="preserve">  The Licensee states the program was part of the educational and informational programming block supplied to </w:t>
      </w:r>
      <w:r w:rsidR="005B6BA3">
        <w:rPr>
          <w:rFonts w:eastAsia="Calibri"/>
          <w:sz w:val="22"/>
          <w:szCs w:val="22"/>
        </w:rPr>
        <w:t xml:space="preserve">it and other </w:t>
      </w:r>
      <w:r w:rsidRPr="00A5765C" w:rsidR="00A5765C">
        <w:rPr>
          <w:rFonts w:eastAsia="Calibri"/>
          <w:sz w:val="22"/>
          <w:szCs w:val="22"/>
        </w:rPr>
        <w:t>NBC affiliates by Sprout.</w:t>
      </w:r>
      <w:r>
        <w:rPr>
          <w:rStyle w:val="FootnoteReference"/>
          <w:rFonts w:eastAsia="Calibri"/>
          <w:sz w:val="22"/>
          <w:szCs w:val="22"/>
        </w:rPr>
        <w:footnoteReference w:id="10"/>
      </w:r>
      <w:r w:rsidRPr="00A5765C" w:rsidR="00A5765C">
        <w:rPr>
          <w:rFonts w:eastAsia="Calibri"/>
          <w:sz w:val="22"/>
          <w:szCs w:val="22"/>
        </w:rPr>
        <w:t xml:space="preserve"> </w:t>
      </w:r>
      <w:r w:rsidR="00125AD9">
        <w:rPr>
          <w:rFonts w:eastAsia="Calibri"/>
          <w:sz w:val="22"/>
          <w:szCs w:val="22"/>
        </w:rPr>
        <w:t xml:space="preserve"> </w:t>
      </w:r>
      <w:r w:rsidR="00EB5C13">
        <w:rPr>
          <w:rFonts w:eastAsia="Calibri"/>
          <w:sz w:val="22"/>
          <w:szCs w:val="22"/>
        </w:rPr>
        <w:t xml:space="preserve">NBC notified </w:t>
      </w:r>
      <w:r w:rsidR="005B6BA3">
        <w:rPr>
          <w:rFonts w:eastAsia="Calibri"/>
          <w:sz w:val="22"/>
          <w:szCs w:val="22"/>
        </w:rPr>
        <w:t xml:space="preserve">its </w:t>
      </w:r>
      <w:r w:rsidR="00EB5C13">
        <w:rPr>
          <w:rFonts w:eastAsia="Calibri"/>
          <w:sz w:val="22"/>
          <w:szCs w:val="22"/>
        </w:rPr>
        <w:t>affiliates</w:t>
      </w:r>
      <w:r w:rsidR="00F77B1D">
        <w:rPr>
          <w:rFonts w:eastAsia="Calibri"/>
          <w:sz w:val="22"/>
          <w:szCs w:val="22"/>
        </w:rPr>
        <w:t xml:space="preserve"> </w:t>
      </w:r>
      <w:r w:rsidR="00EB5C13">
        <w:rPr>
          <w:rFonts w:eastAsia="Calibri"/>
          <w:sz w:val="22"/>
          <w:szCs w:val="22"/>
        </w:rPr>
        <w:t xml:space="preserve">that </w:t>
      </w:r>
      <w:r w:rsidRPr="00A5765C" w:rsidR="00A5765C">
        <w:rPr>
          <w:rFonts w:eastAsia="Calibri"/>
          <w:sz w:val="22"/>
          <w:szCs w:val="22"/>
        </w:rPr>
        <w:t xml:space="preserve">the website address </w:t>
      </w:r>
      <w:r w:rsidR="00EB5C13">
        <w:rPr>
          <w:rFonts w:eastAsia="Calibri"/>
          <w:sz w:val="22"/>
          <w:szCs w:val="22"/>
        </w:rPr>
        <w:t xml:space="preserve">was </w:t>
      </w:r>
      <w:r w:rsidRPr="00A5765C" w:rsidR="00A5765C">
        <w:rPr>
          <w:rFonts w:eastAsia="Calibri"/>
          <w:sz w:val="22"/>
          <w:szCs w:val="22"/>
        </w:rPr>
        <w:t>“inadvertent</w:t>
      </w:r>
      <w:r w:rsidR="00F77B1D">
        <w:rPr>
          <w:rFonts w:eastAsia="Calibri"/>
          <w:sz w:val="22"/>
          <w:szCs w:val="22"/>
        </w:rPr>
        <w:t>ly included</w:t>
      </w:r>
      <w:r w:rsidRPr="00A5765C" w:rsidR="00A5765C">
        <w:rPr>
          <w:rFonts w:eastAsia="Calibri"/>
          <w:sz w:val="22"/>
          <w:szCs w:val="22"/>
        </w:rPr>
        <w:t xml:space="preserve">” and “fleeting.” </w:t>
      </w:r>
      <w:r w:rsidR="00EB5C13">
        <w:rPr>
          <w:rFonts w:eastAsia="Calibri"/>
          <w:sz w:val="22"/>
          <w:szCs w:val="22"/>
        </w:rPr>
        <w:t xml:space="preserve"> </w:t>
      </w:r>
      <w:r w:rsidRPr="00A5765C" w:rsidR="00A5765C">
        <w:rPr>
          <w:rFonts w:eastAsia="Calibri"/>
          <w:sz w:val="22"/>
          <w:szCs w:val="22"/>
        </w:rPr>
        <w:t xml:space="preserve">The Licensee </w:t>
      </w:r>
      <w:r w:rsidR="00EB5C13">
        <w:rPr>
          <w:rFonts w:eastAsia="Calibri"/>
          <w:sz w:val="22"/>
          <w:szCs w:val="22"/>
        </w:rPr>
        <w:t xml:space="preserve">notes </w:t>
      </w:r>
      <w:r w:rsidRPr="00A5765C" w:rsidR="00A5765C">
        <w:rPr>
          <w:rFonts w:eastAsia="Calibri"/>
          <w:sz w:val="22"/>
          <w:szCs w:val="22"/>
        </w:rPr>
        <w:t xml:space="preserve">that NBC </w:t>
      </w:r>
      <w:r w:rsidR="00EB5C13">
        <w:rPr>
          <w:rFonts w:eastAsia="Calibri"/>
          <w:sz w:val="22"/>
          <w:szCs w:val="22"/>
        </w:rPr>
        <w:t>stated it</w:t>
      </w:r>
      <w:r w:rsidRPr="00A5765C" w:rsidR="00A5765C">
        <w:rPr>
          <w:rFonts w:eastAsia="Calibri"/>
          <w:sz w:val="22"/>
          <w:szCs w:val="22"/>
        </w:rPr>
        <w:t xml:space="preserve"> </w:t>
      </w:r>
      <w:r w:rsidR="00F77B1D">
        <w:rPr>
          <w:rFonts w:eastAsia="Calibri"/>
          <w:sz w:val="22"/>
          <w:szCs w:val="22"/>
        </w:rPr>
        <w:t>was</w:t>
      </w:r>
      <w:r w:rsidRPr="00A5765C" w:rsidR="00A5765C">
        <w:rPr>
          <w:rFonts w:eastAsia="Calibri"/>
          <w:sz w:val="22"/>
          <w:szCs w:val="22"/>
        </w:rPr>
        <w:t xml:space="preserve"> working with Sprout to</w:t>
      </w:r>
      <w:r w:rsidR="00EB5C13">
        <w:rPr>
          <w:rFonts w:eastAsia="Calibri"/>
          <w:sz w:val="22"/>
          <w:szCs w:val="22"/>
        </w:rPr>
        <w:t xml:space="preserve"> prevent </w:t>
      </w:r>
      <w:r w:rsidR="005B6BA3">
        <w:rPr>
          <w:rFonts w:eastAsia="Calibri"/>
          <w:sz w:val="22"/>
          <w:szCs w:val="22"/>
        </w:rPr>
        <w:t xml:space="preserve">future </w:t>
      </w:r>
      <w:r w:rsidR="00EB5C13">
        <w:rPr>
          <w:rFonts w:eastAsia="Calibri"/>
          <w:sz w:val="22"/>
          <w:szCs w:val="22"/>
        </w:rPr>
        <w:t>incident</w:t>
      </w:r>
      <w:r w:rsidR="005B6BA3">
        <w:rPr>
          <w:rFonts w:eastAsia="Calibri"/>
          <w:sz w:val="22"/>
          <w:szCs w:val="22"/>
        </w:rPr>
        <w:t>s</w:t>
      </w:r>
      <w:r w:rsidR="00EB5C13">
        <w:rPr>
          <w:rFonts w:eastAsia="Calibri"/>
          <w:sz w:val="22"/>
          <w:szCs w:val="22"/>
        </w:rPr>
        <w:t>.</w:t>
      </w:r>
      <w:r>
        <w:rPr>
          <w:rStyle w:val="FootnoteReference"/>
          <w:rFonts w:eastAsia="Calibri"/>
          <w:sz w:val="22"/>
          <w:szCs w:val="22"/>
        </w:rPr>
        <w:footnoteReference w:id="11"/>
      </w:r>
      <w:r w:rsidR="00EB5C13">
        <w:rPr>
          <w:rFonts w:eastAsia="Calibri"/>
          <w:sz w:val="22"/>
          <w:szCs w:val="22"/>
        </w:rPr>
        <w:t xml:space="preserve"> </w:t>
      </w:r>
      <w:r w:rsidRPr="006C68D5">
        <w:rPr>
          <w:rFonts w:eastAsia="Calibri"/>
          <w:sz w:val="22"/>
          <w:szCs w:val="22"/>
        </w:rPr>
        <w:t xml:space="preserve"> </w:t>
      </w:r>
    </w:p>
    <w:p w:rsidR="000065A1" w:rsidP="00052038" w14:paraId="143D5D98" w14:textId="4C754521">
      <w:pPr>
        <w:spacing w:after="120"/>
        <w:ind w:firstLine="720"/>
        <w:rPr>
          <w:color w:val="010101"/>
          <w:sz w:val="22"/>
          <w:szCs w:val="22"/>
        </w:rPr>
      </w:pPr>
      <w:r>
        <w:rPr>
          <w:rFonts w:eastAsia="Calibri"/>
          <w:sz w:val="22"/>
          <w:szCs w:val="22"/>
        </w:rPr>
        <w:t xml:space="preserve">Airing this material </w:t>
      </w:r>
      <w:r w:rsidRPr="006C68D5" w:rsidR="006C68D5">
        <w:rPr>
          <w:rFonts w:eastAsia="Calibri"/>
          <w:sz w:val="22"/>
          <w:szCs w:val="22"/>
        </w:rPr>
        <w:t>constitutes a violation of section 73.6</w:t>
      </w:r>
      <w:r w:rsidR="004A2411">
        <w:rPr>
          <w:rFonts w:eastAsia="Calibri"/>
          <w:sz w:val="22"/>
          <w:szCs w:val="22"/>
        </w:rPr>
        <w:t>70</w:t>
      </w:r>
      <w:r w:rsidRPr="006C68D5" w:rsidR="006C68D5">
        <w:rPr>
          <w:rFonts w:eastAsia="Calibri"/>
          <w:sz w:val="22"/>
          <w:szCs w:val="22"/>
        </w:rPr>
        <w:t>(</w:t>
      </w:r>
      <w:r w:rsidR="003F098C">
        <w:rPr>
          <w:rFonts w:eastAsia="Calibri"/>
          <w:sz w:val="22"/>
          <w:szCs w:val="22"/>
        </w:rPr>
        <w:t>b</w:t>
      </w:r>
      <w:r w:rsidRPr="006C68D5" w:rsidR="006C68D5">
        <w:rPr>
          <w:rFonts w:eastAsia="Calibri"/>
          <w:sz w:val="22"/>
          <w:szCs w:val="22"/>
        </w:rPr>
        <w:t>)</w:t>
      </w:r>
      <w:r w:rsidR="00D732BB">
        <w:rPr>
          <w:rFonts w:eastAsia="Calibri"/>
          <w:sz w:val="22"/>
          <w:szCs w:val="22"/>
        </w:rPr>
        <w:t xml:space="preserve"> </w:t>
      </w:r>
      <w:r w:rsidRPr="006C68D5" w:rsidR="006C68D5">
        <w:rPr>
          <w:rFonts w:eastAsia="Calibri"/>
          <w:sz w:val="22"/>
          <w:szCs w:val="22"/>
        </w:rPr>
        <w:t>of the Rules.</w:t>
      </w:r>
      <w:r>
        <w:rPr>
          <w:rFonts w:eastAsia="Calibri"/>
          <w:sz w:val="22"/>
          <w:szCs w:val="22"/>
        </w:rPr>
        <w:t xml:space="preserve">  E</w:t>
      </w:r>
      <w:r>
        <w:rPr>
          <w:sz w:val="22"/>
          <w:szCs w:val="22"/>
        </w:rPr>
        <w:t>ven though the website address was displayed for only a short duration (estimated at one-half of one second), the display of a website address during program material</w:t>
      </w:r>
      <w:r w:rsidR="00B40652">
        <w:rPr>
          <w:sz w:val="22"/>
          <w:szCs w:val="22"/>
        </w:rPr>
        <w:t xml:space="preserve"> </w:t>
      </w:r>
      <w:r w:rsidRPr="00B40652" w:rsidR="00B40652">
        <w:rPr>
          <w:sz w:val="22"/>
          <w:szCs w:val="22"/>
        </w:rPr>
        <w:t>that does not comply with the four-prong test</w:t>
      </w:r>
      <w:r w:rsidR="00B40652">
        <w:rPr>
          <w:sz w:val="22"/>
          <w:szCs w:val="22"/>
        </w:rPr>
        <w:t xml:space="preserve"> –</w:t>
      </w:r>
      <w:r>
        <w:rPr>
          <w:sz w:val="22"/>
          <w:szCs w:val="22"/>
        </w:rPr>
        <w:t xml:space="preserve"> for any period of time</w:t>
      </w:r>
      <w:r w:rsidR="00B40652">
        <w:rPr>
          <w:sz w:val="22"/>
          <w:szCs w:val="22"/>
        </w:rPr>
        <w:t xml:space="preserve"> – </w:t>
      </w:r>
      <w:r>
        <w:rPr>
          <w:sz w:val="22"/>
          <w:szCs w:val="22"/>
        </w:rPr>
        <w:t xml:space="preserve">is a violation of </w:t>
      </w:r>
      <w:r w:rsidR="00537E24">
        <w:rPr>
          <w:sz w:val="22"/>
          <w:szCs w:val="22"/>
        </w:rPr>
        <w:t>s</w:t>
      </w:r>
      <w:r>
        <w:rPr>
          <w:sz w:val="22"/>
          <w:szCs w:val="22"/>
        </w:rPr>
        <w:t>ection 73.670(b).</w:t>
      </w:r>
      <w:r>
        <w:rPr>
          <w:rStyle w:val="FootnoteReference"/>
          <w:sz w:val="22"/>
          <w:szCs w:val="22"/>
        </w:rPr>
        <w:footnoteReference w:id="12"/>
      </w:r>
      <w:r>
        <w:rPr>
          <w:sz w:val="22"/>
          <w:szCs w:val="22"/>
        </w:rPr>
        <w:t xml:space="preserve">  </w:t>
      </w:r>
      <w:r w:rsidR="00B40652">
        <w:rPr>
          <w:color w:val="010101"/>
          <w:sz w:val="22"/>
          <w:szCs w:val="22"/>
        </w:rPr>
        <w:t>In particular, the website did not meet the fourth prong of the test because the top of the homepage of the website contained content of a commercial nature in the form of a link labeled “shop.”</w:t>
      </w:r>
      <w:r w:rsidR="00B40652">
        <w:rPr>
          <w:rStyle w:val="FootnoteReference"/>
          <w:color w:val="010101"/>
          <w:sz w:val="22"/>
          <w:szCs w:val="22"/>
        </w:rPr>
        <w:t xml:space="preserve"> </w:t>
      </w:r>
      <w:r>
        <w:rPr>
          <w:rStyle w:val="FootnoteReference"/>
          <w:color w:val="010101"/>
          <w:sz w:val="22"/>
          <w:szCs w:val="22"/>
        </w:rPr>
        <w:footnoteReference w:id="13"/>
      </w:r>
      <w:r w:rsidR="00B40652">
        <w:rPr>
          <w:color w:val="010101"/>
          <w:sz w:val="22"/>
          <w:szCs w:val="22"/>
        </w:rPr>
        <w:t xml:space="preserve">  </w:t>
      </w:r>
      <w:r w:rsidR="00B40652">
        <w:rPr>
          <w:sz w:val="22"/>
          <w:szCs w:val="22"/>
        </w:rPr>
        <w:t>Further</w:t>
      </w:r>
      <w:r w:rsidR="004F004E">
        <w:rPr>
          <w:sz w:val="22"/>
          <w:szCs w:val="22"/>
        </w:rPr>
        <w:t xml:space="preserve">more, although </w:t>
      </w:r>
      <w:r>
        <w:rPr>
          <w:sz w:val="22"/>
          <w:szCs w:val="22"/>
        </w:rPr>
        <w:t>the website address was only displayed during the closing credits, the Commission has specifically stated that closing credits are considered to be part of television programming material and are subject to the website address rule</w:t>
      </w:r>
      <w:r>
        <w:rPr>
          <w:color w:val="010101"/>
          <w:sz w:val="22"/>
          <w:szCs w:val="22"/>
        </w:rPr>
        <w:t>.</w:t>
      </w:r>
      <w:r>
        <w:rPr>
          <w:rStyle w:val="FootnoteReference"/>
          <w:color w:val="010101"/>
          <w:sz w:val="22"/>
          <w:szCs w:val="22"/>
        </w:rPr>
        <w:footnoteReference w:id="14"/>
      </w:r>
      <w:r>
        <w:rPr>
          <w:color w:val="010101"/>
          <w:sz w:val="22"/>
          <w:szCs w:val="22"/>
        </w:rPr>
        <w:t xml:space="preserve"> </w:t>
      </w:r>
      <w:r w:rsidR="00B40652">
        <w:rPr>
          <w:color w:val="010101"/>
          <w:sz w:val="22"/>
          <w:szCs w:val="22"/>
        </w:rPr>
        <w:t xml:space="preserve"> </w:t>
      </w:r>
      <w:r w:rsidR="00B40652">
        <w:rPr>
          <w:sz w:val="22"/>
          <w:szCs w:val="22"/>
        </w:rPr>
        <w:t>Licensee has provided n</w:t>
      </w:r>
      <w:r w:rsidR="00B40652">
        <w:rPr>
          <w:color w:val="010101"/>
          <w:sz w:val="22"/>
          <w:szCs w:val="22"/>
        </w:rPr>
        <w:t xml:space="preserve">o evidence demonstrating that the website complies with the four-prong test set forth in </w:t>
      </w:r>
      <w:r w:rsidR="00035CA4">
        <w:rPr>
          <w:color w:val="010101"/>
          <w:sz w:val="22"/>
          <w:szCs w:val="22"/>
        </w:rPr>
        <w:t>s</w:t>
      </w:r>
      <w:r w:rsidR="00B40652">
        <w:rPr>
          <w:color w:val="010101"/>
          <w:sz w:val="22"/>
          <w:szCs w:val="22"/>
        </w:rPr>
        <w:t>ection 73.670(b)</w:t>
      </w:r>
      <w:r>
        <w:rPr>
          <w:color w:val="010101"/>
          <w:sz w:val="22"/>
          <w:szCs w:val="22"/>
        </w:rPr>
        <w:t xml:space="preserve"> and, u</w:t>
      </w:r>
      <w:r w:rsidR="00B40652">
        <w:rPr>
          <w:color w:val="010101"/>
          <w:sz w:val="22"/>
          <w:szCs w:val="22"/>
        </w:rPr>
        <w:t xml:space="preserve">pon </w:t>
      </w:r>
      <w:r w:rsidR="004F004E">
        <w:rPr>
          <w:color w:val="010101"/>
          <w:sz w:val="22"/>
          <w:szCs w:val="22"/>
        </w:rPr>
        <w:t xml:space="preserve">our </w:t>
      </w:r>
      <w:r w:rsidR="00B40652">
        <w:rPr>
          <w:color w:val="010101"/>
          <w:sz w:val="22"/>
          <w:szCs w:val="22"/>
        </w:rPr>
        <w:t>prior examination of the website, we have concluded that it does not comply.</w:t>
      </w:r>
      <w:r>
        <w:rPr>
          <w:rStyle w:val="FootnoteReference"/>
          <w:color w:val="010101"/>
          <w:sz w:val="22"/>
          <w:szCs w:val="22"/>
        </w:rPr>
        <w:footnoteReference w:id="15"/>
      </w:r>
      <w:r w:rsidR="00B40652">
        <w:rPr>
          <w:color w:val="010101"/>
          <w:sz w:val="22"/>
          <w:szCs w:val="22"/>
        </w:rPr>
        <w:t xml:space="preserve">  </w:t>
      </w:r>
    </w:p>
    <w:p w:rsidR="000065A1" w:rsidP="00867FE6" w14:paraId="113C3A8E" w14:textId="57F16618">
      <w:pPr>
        <w:autoSpaceDE w:val="0"/>
        <w:autoSpaceDN w:val="0"/>
        <w:adjustRightInd w:val="0"/>
        <w:spacing w:after="240"/>
        <w:ind w:firstLine="720"/>
        <w:rPr>
          <w:color w:val="010101"/>
          <w:sz w:val="22"/>
          <w:szCs w:val="22"/>
        </w:rPr>
      </w:pPr>
      <w:r>
        <w:rPr>
          <w:sz w:val="22"/>
          <w:szCs w:val="22"/>
        </w:rPr>
        <w:t>We note that while the commercial matter may have been inserted into the program by the Station’s television network or program supplier (</w:t>
      </w:r>
      <w:r w:rsidRPr="00F861D1" w:rsidR="00F861D1">
        <w:rPr>
          <w:i/>
          <w:iCs/>
          <w:sz w:val="22"/>
          <w:szCs w:val="22"/>
        </w:rPr>
        <w:t>i.</w:t>
      </w:r>
      <w:r>
        <w:rPr>
          <w:i/>
          <w:sz w:val="22"/>
          <w:szCs w:val="22"/>
        </w:rPr>
        <w:t>e.,</w:t>
      </w:r>
      <w:r>
        <w:rPr>
          <w:sz w:val="22"/>
          <w:szCs w:val="22"/>
        </w:rPr>
        <w:t xml:space="preserve"> NBC Network </w:t>
      </w:r>
      <w:r w:rsidR="003F098C">
        <w:rPr>
          <w:sz w:val="22"/>
          <w:szCs w:val="22"/>
        </w:rPr>
        <w:t>and/</w:t>
      </w:r>
      <w:r>
        <w:rPr>
          <w:sz w:val="22"/>
          <w:szCs w:val="22"/>
        </w:rPr>
        <w:t xml:space="preserve">or Sprout), this does not relieve the Station of </w:t>
      </w:r>
      <w:r w:rsidR="00E83DD2">
        <w:rPr>
          <w:sz w:val="22"/>
          <w:szCs w:val="22"/>
        </w:rPr>
        <w:t>responsib</w:t>
      </w:r>
      <w:r>
        <w:rPr>
          <w:sz w:val="22"/>
          <w:szCs w:val="22"/>
        </w:rPr>
        <w:t xml:space="preserve">ility for </w:t>
      </w:r>
      <w:r w:rsidR="00E83DD2">
        <w:rPr>
          <w:sz w:val="22"/>
          <w:szCs w:val="22"/>
        </w:rPr>
        <w:t>material it broadcasts</w:t>
      </w:r>
      <w:r>
        <w:rPr>
          <w:sz w:val="22"/>
          <w:szCs w:val="22"/>
        </w:rPr>
        <w:t xml:space="preserve">.  In this regard, the Commission has consistently held that reliance on a program’s source or producer for compliance with our </w:t>
      </w:r>
      <w:r w:rsidR="00DD13D7">
        <w:rPr>
          <w:sz w:val="22"/>
          <w:szCs w:val="22"/>
        </w:rPr>
        <w:t>R</w:t>
      </w:r>
      <w:r>
        <w:rPr>
          <w:sz w:val="22"/>
          <w:szCs w:val="22"/>
        </w:rPr>
        <w:t>ules and</w:t>
      </w:r>
      <w:r>
        <w:rPr>
          <w:color w:val="000000"/>
          <w:sz w:val="22"/>
          <w:szCs w:val="22"/>
        </w:rPr>
        <w:t xml:space="preserve"> policies will not excuse or mitigate violations which do occur.</w:t>
      </w:r>
      <w:r>
        <w:rPr>
          <w:rStyle w:val="FootnoteReference"/>
          <w:color w:val="000000"/>
          <w:sz w:val="22"/>
          <w:szCs w:val="22"/>
        </w:rPr>
        <w:footnoteReference w:id="16"/>
      </w:r>
      <w:r>
        <w:rPr>
          <w:color w:val="000000"/>
          <w:sz w:val="22"/>
          <w:szCs w:val="22"/>
        </w:rPr>
        <w:t xml:space="preserve">  Although corrective actions may have been taken to </w:t>
      </w:r>
      <w:r>
        <w:rPr>
          <w:color w:val="000000"/>
          <w:sz w:val="22"/>
          <w:szCs w:val="22"/>
        </w:rPr>
        <w:t>prevent future violations, this does not relieve the Station from liability for violations that have already occurred.</w:t>
      </w:r>
      <w:r>
        <w:rPr>
          <w:rStyle w:val="FootnoteReference"/>
          <w:color w:val="000000"/>
          <w:sz w:val="22"/>
          <w:szCs w:val="22"/>
        </w:rPr>
        <w:footnoteReference w:id="17"/>
      </w:r>
      <w:r w:rsidR="00052038">
        <w:rPr>
          <w:color w:val="000000"/>
          <w:sz w:val="22"/>
          <w:szCs w:val="22"/>
        </w:rPr>
        <w:t xml:space="preserve">  Licensee </w:t>
      </w:r>
      <w:r w:rsidR="003F098C">
        <w:rPr>
          <w:color w:val="000000"/>
          <w:sz w:val="22"/>
          <w:szCs w:val="22"/>
        </w:rPr>
        <w:t xml:space="preserve">in fact </w:t>
      </w:r>
      <w:r w:rsidR="00052038">
        <w:rPr>
          <w:color w:val="000000"/>
          <w:sz w:val="22"/>
          <w:szCs w:val="22"/>
        </w:rPr>
        <w:t>acknowledges that it is responsible for airing this material.</w:t>
      </w:r>
      <w:r>
        <w:rPr>
          <w:rStyle w:val="FootnoteReference"/>
          <w:color w:val="000000"/>
          <w:sz w:val="22"/>
          <w:szCs w:val="22"/>
        </w:rPr>
        <w:footnoteReference w:id="18"/>
      </w:r>
      <w:r>
        <w:rPr>
          <w:color w:val="000000"/>
          <w:sz w:val="22"/>
          <w:szCs w:val="22"/>
        </w:rPr>
        <w:t xml:space="preserve">  </w:t>
      </w:r>
    </w:p>
    <w:p w:rsidR="006C68D5" w:rsidRPr="006C68D5" w:rsidP="006C68D5" w14:paraId="3D5613FB" w14:textId="4BAE047A">
      <w:pPr>
        <w:spacing w:after="120"/>
        <w:ind w:firstLine="720"/>
        <w:rPr>
          <w:rFonts w:eastAsia="Calibri"/>
          <w:sz w:val="22"/>
          <w:szCs w:val="22"/>
        </w:rPr>
      </w:pPr>
      <w:r w:rsidRPr="006C68D5">
        <w:rPr>
          <w:rFonts w:eastAsia="Calibri"/>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4" w:name="SR;1376"/>
      <w:bookmarkEnd w:id="4"/>
      <w:r w:rsidRPr="006C68D5">
        <w:rPr>
          <w:rFonts w:eastAsia="Calibri"/>
          <w:sz w:val="22"/>
          <w:szCs w:val="22"/>
        </w:rPr>
        <w:t xml:space="preserve">e </w:t>
      </w:r>
      <w:r w:rsidRPr="006C68D5">
        <w:rPr>
          <w:rFonts w:eastAsia="Calibri"/>
          <w:b/>
          <w:sz w:val="22"/>
          <w:szCs w:val="22"/>
        </w:rPr>
        <w:t>ADMONISH</w:t>
      </w:r>
      <w:r w:rsidRPr="006C68D5">
        <w:rPr>
          <w:rFonts w:eastAsia="Calibri"/>
          <w:sz w:val="22"/>
          <w:szCs w:val="22"/>
        </w:rPr>
        <w:t xml:space="preserve"> the Station for its violation of section 73.6</w:t>
      </w:r>
      <w:r w:rsidR="005B5AC0">
        <w:rPr>
          <w:rFonts w:eastAsia="Calibri"/>
          <w:sz w:val="22"/>
          <w:szCs w:val="22"/>
        </w:rPr>
        <w:t>70</w:t>
      </w:r>
      <w:r w:rsidR="00DD13D7">
        <w:rPr>
          <w:rFonts w:eastAsia="Calibri"/>
          <w:sz w:val="22"/>
          <w:szCs w:val="22"/>
        </w:rPr>
        <w:t>(b</w:t>
      </w:r>
      <w:r w:rsidRPr="006C68D5">
        <w:rPr>
          <w:rFonts w:eastAsia="Calibri"/>
          <w:sz w:val="22"/>
          <w:szCs w:val="22"/>
        </w:rPr>
        <w:t>) of the Rules.</w:t>
      </w:r>
      <w:r>
        <w:rPr>
          <w:rFonts w:eastAsia="Calibri"/>
          <w:sz w:val="22"/>
          <w:szCs w:val="22"/>
          <w:vertAlign w:val="superscript"/>
        </w:rPr>
        <w:footnoteReference w:id="19"/>
      </w:r>
      <w:r w:rsidRPr="006C68D5">
        <w:rPr>
          <w:rFonts w:eastAsia="Calibri"/>
          <w:sz w:val="22"/>
          <w:szCs w:val="22"/>
        </w:rPr>
        <w:t xml:space="preserve">  We remind the Licensee that the Commission expects </w:t>
      </w:r>
      <w:r w:rsidRPr="00057BDC" w:rsidR="00057BDC">
        <w:rPr>
          <w:rFonts w:eastAsia="Calibri"/>
          <w:sz w:val="22"/>
          <w:szCs w:val="22"/>
        </w:rPr>
        <w:t>all commercial television licensees to comply with the limits on commercial matter, including the display of website addresses, during children’s programming</w:t>
      </w:r>
    </w:p>
    <w:p w:rsidR="006C68D5" w:rsidRPr="006C68D5" w:rsidP="006C68D5" w14:paraId="2A494CB7" w14:textId="48B54F2A">
      <w:pPr>
        <w:spacing w:after="120"/>
        <w:ind w:firstLine="720"/>
        <w:rPr>
          <w:rFonts w:eastAsia="Calibri"/>
          <w:sz w:val="22"/>
          <w:szCs w:val="22"/>
        </w:rPr>
      </w:pPr>
      <w:r w:rsidRPr="006C68D5">
        <w:rPr>
          <w:rFonts w:eastAsia="Calibri"/>
          <w:sz w:val="22"/>
          <w:szCs w:val="22"/>
        </w:rPr>
        <w:t>In evaluating an application for license renewal, the Commission’s decision is governed by section 309(k) of the Communications Act of 1934, as amended (Act).</w:t>
      </w:r>
      <w:r>
        <w:rPr>
          <w:rFonts w:eastAsia="Calibri"/>
          <w:sz w:val="22"/>
          <w:szCs w:val="22"/>
          <w:vertAlign w:val="superscript"/>
        </w:rPr>
        <w:footnoteReference w:id="20"/>
      </w:r>
      <w:r w:rsidRPr="006C68D5">
        <w:rPr>
          <w:rFonts w:eastAsia="Calibri"/>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Fonts w:eastAsia="Calibri"/>
          <w:sz w:val="22"/>
          <w:szCs w:val="22"/>
          <w:vertAlign w:val="superscript"/>
        </w:rPr>
        <w:footnoteReference w:id="21"/>
      </w:r>
      <w:r w:rsidRPr="006C68D5">
        <w:rPr>
          <w:rFonts w:eastAsia="Calibri"/>
          <w:sz w:val="22"/>
          <w:szCs w:val="22"/>
        </w:rPr>
        <w:t xml:space="preserve"> </w:t>
      </w:r>
      <w:r w:rsidRPr="006C68D5">
        <w:rPr>
          <w:rFonts w:eastAsia="Calibri"/>
          <w:i/>
          <w:sz w:val="22"/>
          <w:szCs w:val="22"/>
        </w:rPr>
        <w:t xml:space="preserve"> </w:t>
      </w:r>
      <w:r w:rsidRPr="006C68D5">
        <w:rPr>
          <w:rFonts w:eastAsia="Calibri"/>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Fonts w:eastAsia="Calibri"/>
          <w:sz w:val="22"/>
          <w:szCs w:val="22"/>
          <w:vertAlign w:val="superscript"/>
        </w:rPr>
        <w:footnoteReference w:id="22"/>
      </w:r>
      <w:r w:rsidRPr="006C68D5">
        <w:rPr>
          <w:rFonts w:eastAsia="Calibri"/>
          <w:sz w:val="22"/>
          <w:szCs w:val="22"/>
        </w:rPr>
        <w:t xml:space="preserve">  We find that the Licensee’s apparent violation of section 73.</w:t>
      </w:r>
      <w:r w:rsidR="004B5121">
        <w:rPr>
          <w:rFonts w:eastAsia="Calibri"/>
          <w:sz w:val="22"/>
          <w:szCs w:val="22"/>
        </w:rPr>
        <w:t>760</w:t>
      </w:r>
      <w:r w:rsidRPr="006C68D5">
        <w:rPr>
          <w:rFonts w:eastAsia="Calibri"/>
          <w:sz w:val="22"/>
          <w:szCs w:val="22"/>
        </w:rPr>
        <w:t>(</w:t>
      </w:r>
      <w:r w:rsidR="00DD13D7">
        <w:rPr>
          <w:rFonts w:eastAsia="Calibri"/>
          <w:sz w:val="22"/>
          <w:szCs w:val="22"/>
        </w:rPr>
        <w:t>b</w:t>
      </w:r>
      <w:r w:rsidRPr="006C68D5">
        <w:rPr>
          <w:rFonts w:eastAsia="Calibri"/>
          <w:sz w:val="22"/>
          <w:szCs w:val="22"/>
        </w:rPr>
        <w:t xml:space="preserve">) of the Rules does not constitute a “serious violation” warranting designation of the Application for evidentiary hearing.  Moreover, we find no evidence of violations that, when considered together, constitute a pattern of abuse.  </w:t>
      </w:r>
      <w:r w:rsidRPr="006C68D5">
        <w:rPr>
          <w:rFonts w:eastAsia="Calibri"/>
          <w:spacing w:val="-2"/>
          <w:sz w:val="22"/>
          <w:szCs w:val="22"/>
        </w:rPr>
        <w:t>Further, based on our review of the Application, we find that the</w:t>
      </w:r>
      <w:r w:rsidRPr="006C68D5">
        <w:rPr>
          <w:rFonts w:eastAsia="Calibri"/>
          <w:sz w:val="22"/>
          <w:szCs w:val="22"/>
        </w:rPr>
        <w:t xml:space="preserve"> Station served the public interest, convenience, and necessity during the subject license term.  </w:t>
      </w:r>
    </w:p>
    <w:p w:rsidR="006C68D5" w:rsidRPr="00A57E4C" w:rsidP="00DB06A1" w14:paraId="0DC4A747" w14:textId="259F06C9">
      <w:pPr>
        <w:spacing w:after="120"/>
        <w:ind w:firstLine="720"/>
        <w:rPr>
          <w:rFonts w:eastAsia="Calibri"/>
          <w:sz w:val="22"/>
          <w:szCs w:val="22"/>
        </w:rPr>
      </w:pPr>
      <w:r w:rsidRPr="006C68D5">
        <w:rPr>
          <w:rFonts w:eastAsia="Calibri"/>
          <w:sz w:val="22"/>
          <w:szCs w:val="22"/>
        </w:rPr>
        <w:t xml:space="preserve">Accordingly, </w:t>
      </w:r>
      <w:r w:rsidRPr="006C68D5">
        <w:rPr>
          <w:rFonts w:eastAsia="Calibri"/>
          <w:b/>
          <w:sz w:val="22"/>
          <w:szCs w:val="22"/>
        </w:rPr>
        <w:t>IT IS ORDERED</w:t>
      </w:r>
      <w:r w:rsidRPr="006C68D5">
        <w:rPr>
          <w:rFonts w:eastAsia="Calibri"/>
          <w:sz w:val="22"/>
          <w:szCs w:val="22"/>
        </w:rPr>
        <w:t xml:space="preserve"> that the application for renewal of license of </w:t>
      </w:r>
      <w:r w:rsidR="00706122">
        <w:rPr>
          <w:rFonts w:eastAsia="Calibri"/>
          <w:sz w:val="22"/>
          <w:szCs w:val="22"/>
        </w:rPr>
        <w:t>WITN-TV</w:t>
      </w:r>
      <w:r w:rsidRPr="006C68D5">
        <w:rPr>
          <w:rFonts w:eastAsia="Calibri"/>
          <w:sz w:val="22"/>
          <w:szCs w:val="22"/>
        </w:rPr>
        <w:t xml:space="preserve">, </w:t>
      </w:r>
      <w:r w:rsidR="00706122">
        <w:rPr>
          <w:rFonts w:eastAsia="Calibri"/>
          <w:sz w:val="22"/>
          <w:szCs w:val="22"/>
        </w:rPr>
        <w:t>Washington, North Carolina,</w:t>
      </w:r>
      <w:r w:rsidRPr="006C68D5">
        <w:rPr>
          <w:rFonts w:eastAsia="Calibri"/>
          <w:sz w:val="22"/>
          <w:szCs w:val="22"/>
        </w:rPr>
        <w:t xml:space="preserve"> </w:t>
      </w:r>
      <w:r w:rsidRPr="006C68D5">
        <w:rPr>
          <w:rFonts w:eastAsia="Calibri"/>
          <w:b/>
          <w:bCs/>
          <w:sz w:val="22"/>
          <w:szCs w:val="22"/>
        </w:rPr>
        <w:t>IS GRANTED</w:t>
      </w:r>
      <w:r w:rsidRPr="006C68D5">
        <w:rPr>
          <w:rFonts w:eastAsia="Calibri"/>
          <w:sz w:val="22"/>
          <w:szCs w:val="22"/>
        </w:rPr>
        <w:t xml:space="preserve">.  </w:t>
      </w:r>
      <w:r w:rsidRPr="006C68D5">
        <w:rPr>
          <w:rFonts w:eastAsia="Calibri"/>
          <w:b/>
          <w:bCs/>
          <w:sz w:val="22"/>
          <w:szCs w:val="22"/>
        </w:rPr>
        <w:t>IT IS FURTHER ORDERED</w:t>
      </w:r>
      <w:r w:rsidRPr="006C68D5">
        <w:rPr>
          <w:rFonts w:eastAsia="Calibri"/>
          <w:sz w:val="22"/>
          <w:szCs w:val="22"/>
        </w:rPr>
        <w:t xml:space="preserve"> that copies of this </w:t>
      </w:r>
      <w:r w:rsidRPr="006C68D5">
        <w:rPr>
          <w:rFonts w:eastAsia="Calibri"/>
          <w:iCs/>
          <w:sz w:val="22"/>
          <w:szCs w:val="22"/>
        </w:rPr>
        <w:t>Letter</w:t>
      </w:r>
      <w:r w:rsidRPr="006C68D5">
        <w:rPr>
          <w:rFonts w:eastAsia="Calibri"/>
          <w:sz w:val="22"/>
          <w:szCs w:val="22"/>
        </w:rPr>
        <w:t xml:space="preserve"> shall be sent, </w:t>
      </w:r>
      <w:r w:rsidRPr="003F098C">
        <w:rPr>
          <w:rFonts w:eastAsia="Calibri"/>
          <w:sz w:val="22"/>
          <w:szCs w:val="22"/>
        </w:rPr>
        <w:t>by First Class and Certified Mail, Return Receipt Requested</w:t>
      </w:r>
      <w:r w:rsidRPr="006C68D5">
        <w:rPr>
          <w:rFonts w:eastAsia="Calibri"/>
          <w:sz w:val="22"/>
          <w:szCs w:val="22"/>
        </w:rPr>
        <w:t>, to</w:t>
      </w:r>
      <w:r w:rsidR="00DB06A1">
        <w:rPr>
          <w:rFonts w:eastAsia="Calibri"/>
          <w:sz w:val="22"/>
          <w:szCs w:val="22"/>
        </w:rPr>
        <w:t xml:space="preserve"> </w:t>
      </w:r>
      <w:r w:rsidRPr="00DB06A1" w:rsidR="00DB06A1">
        <w:rPr>
          <w:rFonts w:eastAsia="Calibri"/>
          <w:sz w:val="22"/>
          <w:szCs w:val="22"/>
        </w:rPr>
        <w:t>Gray Television Licensee, LLC</w:t>
      </w:r>
      <w:r w:rsidR="00DB06A1">
        <w:rPr>
          <w:rFonts w:eastAsia="Calibri"/>
          <w:sz w:val="22"/>
          <w:szCs w:val="22"/>
        </w:rPr>
        <w:t xml:space="preserve">, </w:t>
      </w:r>
      <w:r w:rsidRPr="00DB06A1" w:rsidR="00DB06A1">
        <w:rPr>
          <w:rFonts w:eastAsia="Calibri"/>
          <w:sz w:val="22"/>
          <w:szCs w:val="22"/>
        </w:rPr>
        <w:t>4370 Peachtree Road NE</w:t>
      </w:r>
      <w:r w:rsidR="00DB06A1">
        <w:rPr>
          <w:rFonts w:eastAsia="Calibri"/>
          <w:sz w:val="22"/>
          <w:szCs w:val="22"/>
        </w:rPr>
        <w:t xml:space="preserve">, </w:t>
      </w:r>
      <w:r w:rsidRPr="00DB06A1" w:rsidR="00DB06A1">
        <w:rPr>
          <w:rFonts w:eastAsia="Calibri"/>
          <w:sz w:val="22"/>
          <w:szCs w:val="22"/>
        </w:rPr>
        <w:t>Atlanta, GA 30319</w:t>
      </w:r>
      <w:r w:rsidRPr="006C68D5">
        <w:rPr>
          <w:rFonts w:eastAsia="Calibri"/>
          <w:sz w:val="22"/>
          <w:szCs w:val="22"/>
        </w:rPr>
        <w:t xml:space="preserve">, and to its </w:t>
      </w:r>
      <w:r w:rsidR="00E61C4F">
        <w:rPr>
          <w:rFonts w:eastAsia="Calibri"/>
          <w:sz w:val="22"/>
          <w:szCs w:val="22"/>
        </w:rPr>
        <w:t>counsel</w:t>
      </w:r>
      <w:r w:rsidRPr="006C68D5">
        <w:rPr>
          <w:rFonts w:eastAsia="Calibri"/>
          <w:sz w:val="22"/>
          <w:szCs w:val="22"/>
        </w:rPr>
        <w:t xml:space="preserve">, </w:t>
      </w:r>
      <w:r w:rsidR="00E61C4F">
        <w:rPr>
          <w:rFonts w:eastAsia="Calibri"/>
          <w:sz w:val="22"/>
          <w:szCs w:val="22"/>
        </w:rPr>
        <w:t>Joan Stewart, Esq., Wiley Rein LLC, 1776 K Street, NW</w:t>
      </w:r>
      <w:r w:rsidRPr="00E61C4F" w:rsidR="00E61C4F">
        <w:rPr>
          <w:rFonts w:eastAsia="Calibri"/>
          <w:sz w:val="22"/>
          <w:szCs w:val="22"/>
        </w:rPr>
        <w:t>, Washington</w:t>
      </w:r>
      <w:r w:rsidRPr="00E61C4F">
        <w:rPr>
          <w:rFonts w:eastAsia="Calibri"/>
          <w:sz w:val="22"/>
          <w:szCs w:val="22"/>
        </w:rPr>
        <w:t xml:space="preserve">, </w:t>
      </w:r>
      <w:r w:rsidRPr="00E61C4F" w:rsidR="00E61C4F">
        <w:rPr>
          <w:rFonts w:eastAsia="Calibri"/>
          <w:sz w:val="22"/>
          <w:szCs w:val="22"/>
        </w:rPr>
        <w:t>DC</w:t>
      </w:r>
      <w:r w:rsidRPr="00E61C4F">
        <w:rPr>
          <w:rFonts w:eastAsia="Calibri"/>
          <w:sz w:val="22"/>
          <w:szCs w:val="22"/>
        </w:rPr>
        <w:t xml:space="preserve">, </w:t>
      </w:r>
      <w:r w:rsidRPr="00E61C4F" w:rsidR="00E61C4F">
        <w:rPr>
          <w:rFonts w:eastAsia="Calibri"/>
          <w:sz w:val="22"/>
          <w:szCs w:val="22"/>
        </w:rPr>
        <w:t>20006</w:t>
      </w:r>
      <w:r w:rsidRPr="00E61C4F">
        <w:rPr>
          <w:rFonts w:eastAsia="Calibri"/>
          <w:sz w:val="22"/>
          <w:szCs w:val="22"/>
        </w:rPr>
        <w:t>.</w:t>
      </w:r>
    </w:p>
    <w:p w:rsidR="00A57E4C" w:rsidRPr="00A57E4C" w:rsidP="006C68D5" w14:paraId="09138695" w14:textId="3E1F261A">
      <w:pPr>
        <w:rPr>
          <w:rFonts w:eastAsia="Calibri"/>
          <w:sz w:val="22"/>
          <w:szCs w:val="22"/>
        </w:rPr>
      </w:pPr>
      <w:r w:rsidRPr="00A57E4C">
        <w:rPr>
          <w:rFonts w:eastAsia="Calibri"/>
          <w:i/>
          <w:iCs/>
          <w:sz w:val="22"/>
          <w:szCs w:val="22"/>
        </w:rPr>
        <w:t xml:space="preserve">                                                                                            </w:t>
      </w:r>
      <w:bookmarkStart w:id="5" w:name="_Hlk60913847"/>
    </w:p>
    <w:bookmarkEnd w:id="5"/>
    <w:p w:rsidR="00A57E4C" w:rsidRPr="00A57E4C" w:rsidP="00A57E4C" w14:paraId="308E116F"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Sincerely,</w:t>
      </w:r>
    </w:p>
    <w:p w:rsidR="00A57E4C" w:rsidRPr="00A57E4C" w:rsidP="00A57E4C" w14:paraId="553FAD49" w14:textId="77777777">
      <w:pPr>
        <w:ind w:firstLine="720"/>
        <w:rPr>
          <w:rFonts w:eastAsia="Calibri"/>
          <w:sz w:val="22"/>
          <w:szCs w:val="22"/>
        </w:rPr>
      </w:pPr>
    </w:p>
    <w:p w:rsidR="00A57E4C" w:rsidRPr="00A57E4C" w:rsidP="00A57E4C" w14:paraId="06E79AD2" w14:textId="0A6F40DA">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00351665">
        <w:rPr>
          <w:rFonts w:eastAsia="Calibri"/>
          <w:sz w:val="22"/>
          <w:szCs w:val="22"/>
        </w:rPr>
        <w:t>/s/</w:t>
      </w:r>
    </w:p>
    <w:p w:rsidR="00A57E4C" w:rsidRPr="00A57E4C" w:rsidP="00A57E4C" w14:paraId="7E2B20D5"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p>
    <w:p w:rsidR="00A57E4C" w:rsidRPr="00A57E4C" w:rsidP="00A57E4C" w14:paraId="57979492" w14:textId="77777777">
      <w:pPr>
        <w:ind w:left="5040" w:firstLine="720"/>
        <w:rPr>
          <w:rFonts w:eastAsia="Calibri"/>
          <w:sz w:val="22"/>
          <w:szCs w:val="22"/>
        </w:rPr>
      </w:pPr>
      <w:r w:rsidRPr="00A57E4C">
        <w:rPr>
          <w:rFonts w:eastAsia="Calibri"/>
          <w:sz w:val="22"/>
          <w:szCs w:val="22"/>
        </w:rPr>
        <w:t>Barbara A. Kreisman</w:t>
      </w:r>
    </w:p>
    <w:p w:rsidR="00A57E4C" w:rsidRPr="00A57E4C" w:rsidP="00A57E4C" w14:paraId="6D2B955B" w14:textId="77777777">
      <w:pPr>
        <w:ind w:left="5040" w:firstLine="720"/>
        <w:rPr>
          <w:rFonts w:eastAsia="Calibri"/>
          <w:sz w:val="22"/>
          <w:szCs w:val="22"/>
        </w:rPr>
      </w:pPr>
      <w:r w:rsidRPr="00A57E4C">
        <w:rPr>
          <w:rFonts w:eastAsia="Calibri"/>
          <w:sz w:val="22"/>
          <w:szCs w:val="22"/>
        </w:rPr>
        <w:t>Chief, Video Division</w:t>
      </w:r>
    </w:p>
    <w:p w:rsidR="00A57E4C" w:rsidRPr="00204CE3" w:rsidP="00850D44" w14:paraId="46606D10" w14:textId="34E277B9">
      <w:pPr>
        <w:ind w:left="5040" w:firstLine="720"/>
        <w:rPr>
          <w:sz w:val="22"/>
          <w:szCs w:val="22"/>
        </w:rPr>
      </w:pPr>
      <w:r w:rsidRPr="00A57E4C">
        <w:rPr>
          <w:rFonts w:eastAsia="Calibri"/>
          <w:sz w:val="22"/>
          <w:szCs w:val="22"/>
        </w:rPr>
        <w:t>Media Bureau</w:t>
      </w:r>
      <w:bookmarkEnd w:id="0"/>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665" w14:paraId="2AA993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29BD" w14:paraId="5FDE4C8E" w14:textId="77777777">
      <w:r>
        <w:separator/>
      </w:r>
    </w:p>
  </w:footnote>
  <w:footnote w:type="continuationSeparator" w:id="1">
    <w:p w:rsidR="000829BD" w14:paraId="221CAD18" w14:textId="77777777">
      <w:r>
        <w:continuationSeparator/>
      </w:r>
    </w:p>
  </w:footnote>
  <w:footnote w:type="continuationNotice" w:id="2">
    <w:p w:rsidR="000829BD" w14:paraId="79EF2CB2" w14:textId="77777777"/>
  </w:footnote>
  <w:footnote w:id="3">
    <w:p w:rsidR="006C68D5" w:rsidRPr="00AE28CB" w:rsidP="006C68D5" w14:paraId="76CA40D7" w14:textId="1CD1BCC1">
      <w:pPr>
        <w:pStyle w:val="FootnoteText"/>
        <w:spacing w:after="120"/>
      </w:pPr>
      <w:r w:rsidRPr="00AE28CB">
        <w:rPr>
          <w:rStyle w:val="FootnoteReference"/>
        </w:rPr>
        <w:footnoteRef/>
      </w:r>
      <w:r w:rsidRPr="00AE28CB">
        <w:t xml:space="preserve"> </w:t>
      </w:r>
      <w:r>
        <w:t xml:space="preserve">LMS </w:t>
      </w:r>
      <w:r w:rsidRPr="00AE28CB">
        <w:t xml:space="preserve">File No. </w:t>
      </w:r>
      <w:r w:rsidRPr="00A614DA" w:rsidR="00A614DA">
        <w:t>0000119815</w:t>
      </w:r>
      <w:r w:rsidR="004056B1">
        <w:t xml:space="preserve"> (</w:t>
      </w:r>
      <w:r w:rsidR="00EC66F2">
        <w:t xml:space="preserve">filed Aug. 3, 2020 and </w:t>
      </w:r>
      <w:r w:rsidR="004056B1">
        <w:t>a</w:t>
      </w:r>
      <w:r w:rsidR="00A614DA">
        <w:t xml:space="preserve">mended </w:t>
      </w:r>
      <w:r w:rsidR="00E92F08">
        <w:t>Dec. 7, 2020)</w:t>
      </w:r>
      <w:r w:rsidR="004056B1">
        <w:t xml:space="preserve">.  </w:t>
      </w:r>
      <w:r w:rsidR="00A614DA">
        <w:t xml:space="preserve">WITN-TV </w:t>
      </w:r>
      <w:r w:rsidRPr="00AE28CB">
        <w:t xml:space="preserve">is a </w:t>
      </w:r>
      <w:r w:rsidRPr="00A614DA">
        <w:t>full power</w:t>
      </w:r>
      <w:r w:rsidR="00A614DA">
        <w:t xml:space="preserve"> commercial</w:t>
      </w:r>
      <w:r w:rsidRPr="00AE28CB">
        <w:t xml:space="preserve"> television station.</w:t>
      </w:r>
    </w:p>
  </w:footnote>
  <w:footnote w:id="4">
    <w:p w:rsidR="006C68D5" w:rsidRPr="00AE28CB" w:rsidP="006C68D5" w14:paraId="482662E1" w14:textId="0A5422FD">
      <w:pPr>
        <w:pStyle w:val="FootnoteText"/>
        <w:tabs>
          <w:tab w:val="left" w:pos="2830"/>
        </w:tabs>
        <w:spacing w:after="120"/>
      </w:pPr>
      <w:r w:rsidRPr="00AE28CB">
        <w:rPr>
          <w:rStyle w:val="FootnoteReference"/>
        </w:rPr>
        <w:footnoteRef/>
      </w:r>
      <w:r w:rsidRPr="00AE28CB">
        <w:t xml:space="preserve"> </w:t>
      </w:r>
      <w:bookmarkStart w:id="3" w:name="_Hlk83980191"/>
      <w:r w:rsidRPr="00AE28CB">
        <w:t>47 CFR § 73.</w:t>
      </w:r>
      <w:r w:rsidR="00D86DDE">
        <w:t>670</w:t>
      </w:r>
      <w:r w:rsidRPr="004619FC">
        <w:t>.</w:t>
      </w:r>
      <w:bookmarkEnd w:id="3"/>
      <w:r w:rsidRPr="00AE28CB">
        <w:tab/>
      </w:r>
    </w:p>
  </w:footnote>
  <w:footnote w:id="5">
    <w:p w:rsidR="00D86DDE" w:rsidP="00D86DDE" w14:paraId="292D8BA3" w14:textId="505A9260">
      <w:pPr>
        <w:pStyle w:val="FootnoteText"/>
        <w:spacing w:after="120"/>
      </w:pPr>
      <w:r>
        <w:rPr>
          <w:rStyle w:val="FootnoteReference"/>
        </w:rPr>
        <w:footnoteRef/>
      </w:r>
      <w:r>
        <w:t xml:space="preserve"> </w:t>
      </w:r>
      <w:r w:rsidRPr="00841CAA" w:rsidR="00841CAA">
        <w:t>Children</w:t>
      </w:r>
      <w:r w:rsidR="00841CAA">
        <w:t>’</w:t>
      </w:r>
      <w:r w:rsidRPr="00841CAA" w:rsidR="00841CAA">
        <w:t>s Television Act of 1990 (</w:t>
      </w:r>
      <w:r w:rsidRPr="00FA7849" w:rsidR="00841CAA">
        <w:t>CTA</w:t>
      </w:r>
      <w:r w:rsidRPr="00841CAA" w:rsidR="00841CAA">
        <w:t xml:space="preserve">), Pub. L. No. 101-437, 104 Stat. 996-1000, </w:t>
      </w:r>
      <w:r w:rsidRPr="00841CAA" w:rsidR="00841CAA">
        <w:rPr>
          <w:i/>
          <w:iCs/>
        </w:rPr>
        <w:t>codified a</w:t>
      </w:r>
      <w:r w:rsidRPr="00FA7849" w:rsidR="00841CAA">
        <w:rPr>
          <w:i/>
          <w:iCs/>
        </w:rPr>
        <w:t>t</w:t>
      </w:r>
      <w:r w:rsidRPr="00841CAA" w:rsidR="00841CAA">
        <w:t xml:space="preserve"> 47 U.S.C. </w:t>
      </w:r>
      <w:r w:rsidR="00841CAA">
        <w:t>§§</w:t>
      </w:r>
      <w:r w:rsidRPr="00841CAA" w:rsidR="00841CAA">
        <w:t xml:space="preserve"> 303a, 303b</w:t>
      </w:r>
      <w:r w:rsidR="00841CAA">
        <w:t>,</w:t>
      </w:r>
      <w:r w:rsidRPr="00841CAA" w:rsidR="00841CAA">
        <w:t xml:space="preserve"> and 394</w:t>
      </w:r>
      <w:r w:rsidR="00841CAA">
        <w:t>.</w:t>
      </w:r>
    </w:p>
  </w:footnote>
  <w:footnote w:id="6">
    <w:p w:rsidR="00D86DDE" w:rsidP="00D86DDE" w14:paraId="0F1ADD7B" w14:textId="19ECB845">
      <w:pPr>
        <w:pStyle w:val="FootnoteText"/>
        <w:spacing w:after="120"/>
      </w:pPr>
      <w:r>
        <w:rPr>
          <w:rStyle w:val="FootnoteReference"/>
        </w:rPr>
        <w:footnoteRef/>
      </w:r>
      <w:r>
        <w:t xml:space="preserve"> </w:t>
      </w:r>
      <w:r w:rsidRPr="00D86DDE">
        <w:t>47 CFR § 73.</w:t>
      </w:r>
      <w:r>
        <w:t>670</w:t>
      </w:r>
      <w:r w:rsidRPr="00D86DDE">
        <w:t>(</w:t>
      </w:r>
      <w:r w:rsidR="004619FC">
        <w:t>a</w:t>
      </w:r>
      <w:r w:rsidRPr="004619FC">
        <w:t>).</w:t>
      </w:r>
    </w:p>
  </w:footnote>
  <w:footnote w:id="7">
    <w:p w:rsidR="004619FC" w:rsidRPr="00B65E38" w:rsidP="00867FE6" w14:paraId="0082ED1F" w14:textId="42F72CF7">
      <w:pPr>
        <w:pStyle w:val="FootnoteText"/>
        <w:spacing w:after="120"/>
        <w:rPr>
          <w:rFonts w:eastAsiaTheme="minorEastAsia"/>
        </w:rPr>
      </w:pPr>
      <w:r>
        <w:rPr>
          <w:rStyle w:val="FootnoteReference"/>
        </w:rPr>
        <w:footnoteRef/>
      </w:r>
      <w:r>
        <w:t xml:space="preserve"> </w:t>
      </w:r>
      <w:r w:rsidRPr="00B65E38">
        <w:rPr>
          <w:i/>
        </w:rPr>
        <w:t>See</w:t>
      </w:r>
      <w:r w:rsidRPr="00B65E38" w:rsidR="00B65E38">
        <w:rPr>
          <w:i/>
          <w:iCs/>
          <w:color w:val="000000"/>
        </w:rPr>
        <w:t xml:space="preserve"> Children’s</w:t>
      </w:r>
      <w:r w:rsidR="00B65E38">
        <w:rPr>
          <w:i/>
          <w:iCs/>
          <w:color w:val="000000"/>
        </w:rPr>
        <w:t xml:space="preserve"> Television Obligations of Digital Television Broadcasters</w:t>
      </w:r>
      <w:r w:rsidR="00B65E38">
        <w:rPr>
          <w:color w:val="000000"/>
        </w:rPr>
        <w:t xml:space="preserve">, </w:t>
      </w:r>
      <w:r w:rsidRPr="00867FE6" w:rsidR="00B65E38">
        <w:t>Report</w:t>
      </w:r>
      <w:r w:rsidR="00B65E38">
        <w:rPr>
          <w:color w:val="000000"/>
        </w:rPr>
        <w:t xml:space="preserve"> and Order and Further Notice of Proposed Rulemaking</w:t>
      </w:r>
      <w:r w:rsidRPr="008C0EA5" w:rsidR="00B65E38">
        <w:rPr>
          <w:iCs/>
        </w:rPr>
        <w:t>,</w:t>
      </w:r>
      <w:r w:rsidRPr="008C0EA5">
        <w:t xml:space="preserve"> 19 FCC </w:t>
      </w:r>
      <w:r w:rsidRPr="008C0EA5">
        <w:t>Rcd</w:t>
      </w:r>
      <w:r w:rsidRPr="008C0EA5">
        <w:t xml:space="preserve"> </w:t>
      </w:r>
      <w:r w:rsidRPr="008C0EA5" w:rsidR="00B65E38">
        <w:t xml:space="preserve">22943, </w:t>
      </w:r>
      <w:r w:rsidRPr="008C0EA5">
        <w:t>22961</w:t>
      </w:r>
      <w:r w:rsidRPr="008C0EA5" w:rsidR="00B65E38">
        <w:t xml:space="preserve">-62, </w:t>
      </w:r>
      <w:r w:rsidRPr="008C0EA5" w:rsidR="00227515">
        <w:t>paras.</w:t>
      </w:r>
      <w:r w:rsidRPr="008C0EA5">
        <w:t xml:space="preserve"> 50</w:t>
      </w:r>
      <w:r w:rsidRPr="008C0EA5" w:rsidR="00B65E38">
        <w:t>-52 (2004)</w:t>
      </w:r>
      <w:r w:rsidRPr="008C0EA5">
        <w:t xml:space="preserve">; </w:t>
      </w:r>
      <w:r w:rsidRPr="008C0EA5" w:rsidR="00B65E38">
        <w:rPr>
          <w:rFonts w:eastAsiaTheme="minorEastAsia"/>
          <w:i/>
          <w:iCs/>
          <w:color w:val="000000"/>
        </w:rPr>
        <w:t>aff’d</w:t>
      </w:r>
      <w:r w:rsidRPr="00B65E38" w:rsidR="00B65E38">
        <w:rPr>
          <w:rFonts w:eastAsiaTheme="minorEastAsia"/>
          <w:i/>
          <w:iCs/>
          <w:color w:val="000000"/>
        </w:rPr>
        <w:t xml:space="preserve"> in part, amended in part</w:t>
      </w:r>
      <w:r w:rsidRPr="00B65E38" w:rsidR="00B65E38">
        <w:rPr>
          <w:rFonts w:eastAsiaTheme="minorEastAsia"/>
          <w:color w:val="000000"/>
        </w:rPr>
        <w:t xml:space="preserve">, Second Order on Reconsideration and Second Report and Order, </w:t>
      </w:r>
      <w:hyperlink r:id="rId1" w:anchor="co_pp_sp_4493_11077" w:history="1">
        <w:r w:rsidRPr="00B65E38" w:rsidR="00B65E38">
          <w:rPr>
            <w:rFonts w:eastAsiaTheme="minorEastAsia"/>
          </w:rPr>
          <w:t xml:space="preserve">21 FCC </w:t>
        </w:r>
        <w:r w:rsidRPr="00B65E38" w:rsidR="00B65E38">
          <w:rPr>
            <w:rFonts w:eastAsiaTheme="minorEastAsia"/>
          </w:rPr>
          <w:t>Rcd</w:t>
        </w:r>
        <w:r w:rsidRPr="00B65E38" w:rsidR="00B65E38">
          <w:rPr>
            <w:rFonts w:eastAsiaTheme="minorEastAsia"/>
          </w:rPr>
          <w:t xml:space="preserve"> 11065, 11077-78, </w:t>
        </w:r>
        <w:r w:rsidR="008C0EA5">
          <w:rPr>
            <w:rFonts w:eastAsiaTheme="minorEastAsia"/>
          </w:rPr>
          <w:t>paras.</w:t>
        </w:r>
        <w:r w:rsidRPr="00B65E38" w:rsidR="00B65E38">
          <w:rPr>
            <w:rFonts w:eastAsiaTheme="minorEastAsia"/>
          </w:rPr>
          <w:t xml:space="preserve"> 29-32 (2006)</w:t>
        </w:r>
      </w:hyperlink>
      <w:r w:rsidRPr="00B65E38" w:rsidR="00B65E38">
        <w:rPr>
          <w:rFonts w:eastAsiaTheme="minorEastAsia"/>
        </w:rPr>
        <w:t xml:space="preserve"> (</w:t>
      </w:r>
      <w:r w:rsidRPr="00B65E38" w:rsidR="00B65E38">
        <w:rPr>
          <w:rFonts w:eastAsiaTheme="minorEastAsia"/>
          <w:i/>
          <w:iCs/>
        </w:rPr>
        <w:t>2006 Order on Reconsideration</w:t>
      </w:r>
      <w:r w:rsidRPr="00B65E38" w:rsidR="00B65E38">
        <w:rPr>
          <w:rFonts w:eastAsiaTheme="minorEastAsia"/>
        </w:rPr>
        <w:t xml:space="preserve">); </w:t>
      </w:r>
      <w:r w:rsidRPr="00B65E38" w:rsidR="00B65E38">
        <w:rPr>
          <w:rFonts w:eastAsiaTheme="minorEastAsia"/>
          <w:i/>
          <w:iCs/>
        </w:rPr>
        <w:t>see also</w:t>
      </w:r>
      <w:r w:rsidRPr="00B65E38" w:rsidR="00B65E38">
        <w:rPr>
          <w:rFonts w:eastAsiaTheme="minorEastAsia"/>
        </w:rPr>
        <w:t xml:space="preserve"> </w:t>
      </w:r>
      <w:hyperlink r:id="rId2" w:anchor="co_pp_a83b000018c76" w:history="1">
        <w:r w:rsidRPr="00B65E38" w:rsidR="00B65E38">
          <w:rPr>
            <w:rFonts w:eastAsiaTheme="minorEastAsia"/>
          </w:rPr>
          <w:t>47 CFR § 73.670(b)</w:t>
        </w:r>
      </w:hyperlink>
      <w:r w:rsidRPr="00B65E38" w:rsidR="00B65E38">
        <w:rPr>
          <w:rFonts w:eastAsiaTheme="minorEastAsia"/>
        </w:rPr>
        <w:t xml:space="preserve">, </w:t>
      </w:r>
      <w:hyperlink r:id="rId2" w:anchor="co_pp_4b24000003ba5" w:history="1">
        <w:r w:rsidRPr="00B65E38" w:rsidR="00B65E38">
          <w:rPr>
            <w:rFonts w:eastAsiaTheme="minorEastAsia"/>
          </w:rPr>
          <w:t>(c)</w:t>
        </w:r>
      </w:hyperlink>
      <w:r w:rsidRPr="00B65E38" w:rsidR="00B65E38">
        <w:rPr>
          <w:rFonts w:eastAsiaTheme="minorEastAsia"/>
        </w:rPr>
        <w:t xml:space="preserve">, and </w:t>
      </w:r>
      <w:hyperlink r:id="rId2" w:anchor="co_pp_5ba1000067d06" w:history="1">
        <w:r w:rsidRPr="00B65E38" w:rsidR="00B65E38">
          <w:rPr>
            <w:rFonts w:eastAsiaTheme="minorEastAsia"/>
          </w:rPr>
          <w:t>(d)</w:t>
        </w:r>
      </w:hyperlink>
      <w:r w:rsidRPr="00B65E38">
        <w:t>.</w:t>
      </w:r>
    </w:p>
  </w:footnote>
  <w:footnote w:id="8">
    <w:p w:rsidR="004619FC" w:rsidP="00867FE6" w14:paraId="39ABDA8A" w14:textId="411FA2A4">
      <w:pPr>
        <w:spacing w:after="120"/>
      </w:pPr>
      <w:r>
        <w:rPr>
          <w:rStyle w:val="FootnoteReference"/>
        </w:rPr>
        <w:footnoteRef/>
      </w:r>
      <w:r>
        <w:t xml:space="preserve"> </w:t>
      </w:r>
      <w:r>
        <w:rPr>
          <w:i/>
        </w:rPr>
        <w:t>See</w:t>
      </w:r>
      <w:r>
        <w:t xml:space="preserve"> 47 CFR § 73.670(b).    </w:t>
      </w:r>
    </w:p>
  </w:footnote>
  <w:footnote w:id="9">
    <w:p w:rsidR="00A5765C" w:rsidP="004F004E" w14:paraId="768029EB" w14:textId="24B280C1">
      <w:pPr>
        <w:pStyle w:val="FootnoteText"/>
        <w:spacing w:after="120"/>
      </w:pPr>
      <w:r>
        <w:rPr>
          <w:rStyle w:val="FootnoteReference"/>
        </w:rPr>
        <w:footnoteRef/>
      </w:r>
      <w:r>
        <w:t xml:space="preserve"> </w:t>
      </w:r>
      <w:r w:rsidR="004F004E">
        <w:t>Application</w:t>
      </w:r>
      <w:r w:rsidR="009D1892">
        <w:t>,</w:t>
      </w:r>
      <w:r w:rsidR="002719E2">
        <w:t xml:space="preserve"> as amended</w:t>
      </w:r>
      <w:r w:rsidR="009D1892">
        <w:t>,</w:t>
      </w:r>
      <w:r w:rsidR="002719E2">
        <w:t xml:space="preserve"> </w:t>
      </w:r>
      <w:r w:rsidR="004F004E">
        <w:t xml:space="preserve">at </w:t>
      </w:r>
      <w:r w:rsidR="00452716">
        <w:t>Attach</w:t>
      </w:r>
      <w:r w:rsidR="004F004E">
        <w:t xml:space="preserve">. </w:t>
      </w:r>
      <w:r w:rsidR="00452716">
        <w:t xml:space="preserve">Commercial Limit Disclosure </w:t>
      </w:r>
      <w:r w:rsidR="00052038">
        <w:t xml:space="preserve">(Disclosure) </w:t>
      </w:r>
      <w:r w:rsidR="004F004E">
        <w:t>(</w:t>
      </w:r>
      <w:r w:rsidR="002719E2">
        <w:t xml:space="preserve">acknowledging failure to </w:t>
      </w:r>
      <w:r w:rsidR="004F004E">
        <w:t xml:space="preserve">disclose this overage in </w:t>
      </w:r>
      <w:r w:rsidR="00452716">
        <w:t>the Ap</w:t>
      </w:r>
      <w:r w:rsidR="004F004E">
        <w:t>plication as originally filed, but not</w:t>
      </w:r>
      <w:r w:rsidR="002719E2">
        <w:t>ing</w:t>
      </w:r>
      <w:r w:rsidR="004F004E">
        <w:t xml:space="preserve"> the Station’s public file contain</w:t>
      </w:r>
      <w:r w:rsidR="002719E2">
        <w:t>ed</w:t>
      </w:r>
      <w:r w:rsidR="004F004E">
        <w:t xml:space="preserve"> notice of this overage</w:t>
      </w:r>
      <w:r w:rsidR="001676F0">
        <w:t xml:space="preserve">; </w:t>
      </w:r>
      <w:r w:rsidR="004F004E">
        <w:t>Licensee</w:t>
      </w:r>
      <w:r w:rsidR="002719E2">
        <w:t xml:space="preserve"> had</w:t>
      </w:r>
      <w:r w:rsidR="004F004E">
        <w:t xml:space="preserve"> overlooked</w:t>
      </w:r>
      <w:r w:rsidR="00452716">
        <w:t xml:space="preserve"> </w:t>
      </w:r>
      <w:r w:rsidR="001676F0">
        <w:t xml:space="preserve">this notice </w:t>
      </w:r>
      <w:r w:rsidR="004F004E">
        <w:t xml:space="preserve">when preparing the </w:t>
      </w:r>
      <w:r w:rsidR="00452716">
        <w:t>A</w:t>
      </w:r>
      <w:r w:rsidR="004F004E">
        <w:t>pplication).</w:t>
      </w:r>
    </w:p>
  </w:footnote>
  <w:footnote w:id="10">
    <w:p w:rsidR="00CB2DF6" w:rsidP="00CB2DF6" w14:paraId="638BE185" w14:textId="73D024B0">
      <w:pPr>
        <w:pStyle w:val="FootnoteText"/>
        <w:spacing w:after="120"/>
      </w:pPr>
      <w:r>
        <w:rPr>
          <w:rStyle w:val="FootnoteReference"/>
        </w:rPr>
        <w:footnoteRef/>
      </w:r>
      <w:r>
        <w:t xml:space="preserve"> </w:t>
      </w:r>
      <w:r w:rsidRPr="00AD00DA" w:rsidR="00AD00DA">
        <w:rPr>
          <w:i/>
          <w:iCs/>
        </w:rPr>
        <w:t>Id</w:t>
      </w:r>
      <w:r w:rsidR="00AD00DA">
        <w:t xml:space="preserve">.  </w:t>
      </w:r>
      <w:r w:rsidR="000449D7">
        <w:t xml:space="preserve">Licensee, an NBC affiliate, </w:t>
      </w:r>
      <w:r w:rsidR="001A30E4">
        <w:t xml:space="preserve">identified the target audience for </w:t>
      </w:r>
      <w:r w:rsidR="000449D7">
        <w:t>“</w:t>
      </w:r>
      <w:r w:rsidR="000449D7">
        <w:t>Laz</w:t>
      </w:r>
      <w:r w:rsidR="00A3434B">
        <w:t>y</w:t>
      </w:r>
      <w:r w:rsidR="000449D7">
        <w:t>Town</w:t>
      </w:r>
      <w:r w:rsidR="000449D7">
        <w:t xml:space="preserve">” programming </w:t>
      </w:r>
      <w:r w:rsidR="001A30E4">
        <w:t xml:space="preserve">as </w:t>
      </w:r>
      <w:r w:rsidRPr="000449D7" w:rsidR="000449D7">
        <w:t>preschool</w:t>
      </w:r>
      <w:r w:rsidR="001A30E4">
        <w:t>ers</w:t>
      </w:r>
      <w:r w:rsidR="000449D7">
        <w:t xml:space="preserve">.  </w:t>
      </w:r>
      <w:r w:rsidR="001676F0">
        <w:t xml:space="preserve">Licensee </w:t>
      </w:r>
      <w:r w:rsidR="000449D7">
        <w:t>Children’s Television Programing Report</w:t>
      </w:r>
      <w:r w:rsidR="001676F0">
        <w:t xml:space="preserve"> for WITN-TV</w:t>
      </w:r>
      <w:r w:rsidR="000449D7">
        <w:t xml:space="preserve">, LMS File No. </w:t>
      </w:r>
      <w:r w:rsidRPr="000449D7" w:rsidR="000449D7">
        <w:t>CPR-149517</w:t>
      </w:r>
      <w:r w:rsidR="000449D7">
        <w:t xml:space="preserve"> (filed Jan. 8, 2014).</w:t>
      </w:r>
    </w:p>
  </w:footnote>
  <w:footnote w:id="11">
    <w:p w:rsidR="00834E3D" w:rsidP="00834E3D" w14:paraId="2A82901E" w14:textId="49339BAF">
      <w:pPr>
        <w:pStyle w:val="FootnoteText"/>
        <w:spacing w:after="120"/>
      </w:pPr>
      <w:r>
        <w:rPr>
          <w:rStyle w:val="FootnoteReference"/>
        </w:rPr>
        <w:footnoteRef/>
      </w:r>
      <w:r>
        <w:t xml:space="preserve"> </w:t>
      </w:r>
      <w:r w:rsidR="00AD00DA">
        <w:t xml:space="preserve">Disclosure.  </w:t>
      </w:r>
    </w:p>
  </w:footnote>
  <w:footnote w:id="12">
    <w:p w:rsidR="005B6BA3" w:rsidRPr="005B6BA3" w:rsidP="005B6BA3" w14:paraId="6E3E5F0A" w14:textId="3B578613">
      <w:pPr>
        <w:pStyle w:val="FootnoteText"/>
        <w:spacing w:after="120"/>
      </w:pPr>
      <w:r>
        <w:rPr>
          <w:rStyle w:val="FootnoteReference"/>
        </w:rPr>
        <w:footnoteRef/>
      </w:r>
      <w:r>
        <w:t xml:space="preserve"> </w:t>
      </w:r>
      <w:r w:rsidRPr="005B6BA3">
        <w:rPr>
          <w:i/>
          <w:iCs/>
        </w:rPr>
        <w:t>See, e.g</w:t>
      </w:r>
      <w:r w:rsidR="007045E2">
        <w:rPr>
          <w:i/>
          <w:iCs/>
        </w:rPr>
        <w:t>.</w:t>
      </w:r>
      <w:r w:rsidRPr="005B6BA3">
        <w:rPr>
          <w:i/>
          <w:iCs/>
        </w:rPr>
        <w:t>, Tribune Broadcasting Oklahoma City License, LLC</w:t>
      </w:r>
      <w:r>
        <w:t xml:space="preserve">, Admonishment Letter, </w:t>
      </w:r>
      <w:r w:rsidRPr="00B5626A" w:rsidR="00B5626A">
        <w:t xml:space="preserve">30 FCC </w:t>
      </w:r>
      <w:r w:rsidRPr="00B5626A" w:rsidR="00B5626A">
        <w:t>Rcd</w:t>
      </w:r>
      <w:r w:rsidRPr="00B5626A" w:rsidR="00B5626A">
        <w:t xml:space="preserve"> 14512 </w:t>
      </w:r>
      <w:r>
        <w:t>(MB 2015)</w:t>
      </w:r>
      <w:r w:rsidR="0009502F">
        <w:t xml:space="preserve"> </w:t>
      </w:r>
      <w:r w:rsidR="00AD5548">
        <w:t>(</w:t>
      </w:r>
      <w:r w:rsidRPr="00AD5548" w:rsidR="00AD5548">
        <w:rPr>
          <w:i/>
          <w:iCs/>
        </w:rPr>
        <w:t>Tribune</w:t>
      </w:r>
      <w:r w:rsidR="00AD5548">
        <w:t xml:space="preserve">) </w:t>
      </w:r>
      <w:r w:rsidR="0009502F">
        <w:t>(</w:t>
      </w:r>
      <w:r w:rsidRPr="0009502F" w:rsidR="0009502F">
        <w:t>admonishing station for broadcasting this same</w:t>
      </w:r>
      <w:r w:rsidR="0009502F">
        <w:t xml:space="preserve"> “</w:t>
      </w:r>
      <w:hyperlink r:id="rId3" w:history="1">
        <w:r w:rsidRPr="00D550E0" w:rsidR="0009502F">
          <w:rPr>
            <w:rStyle w:val="Hyperlink"/>
          </w:rPr>
          <w:t>www.lazytown.com</w:t>
        </w:r>
      </w:hyperlink>
      <w:r w:rsidR="0009502F">
        <w:t xml:space="preserve">” </w:t>
      </w:r>
      <w:r w:rsidRPr="0009502F" w:rsidR="0009502F">
        <w:t>material</w:t>
      </w:r>
      <w:r w:rsidR="0009502F">
        <w:t xml:space="preserve"> on October 12, 2013).</w:t>
      </w:r>
    </w:p>
  </w:footnote>
  <w:footnote w:id="13">
    <w:p w:rsidR="00B40652" w:rsidP="00B40652" w14:paraId="4095AAEF" w14:textId="42E956CE">
      <w:pPr>
        <w:pStyle w:val="FootnoteText"/>
        <w:spacing w:after="120"/>
      </w:pPr>
      <w:r>
        <w:rPr>
          <w:rStyle w:val="FootnoteReference"/>
        </w:rPr>
        <w:footnoteRef/>
      </w:r>
      <w:r>
        <w:t xml:space="preserve"> </w:t>
      </w:r>
      <w:r w:rsidRPr="00A241F4">
        <w:rPr>
          <w:i/>
        </w:rPr>
        <w:t>See e.g.,</w:t>
      </w:r>
      <w:r w:rsidRPr="00A241F4">
        <w:t xml:space="preserve"> </w:t>
      </w:r>
      <w:r w:rsidRPr="00A241F4">
        <w:rPr>
          <w:i/>
        </w:rPr>
        <w:t>Orlando Hearst Television, Inc.</w:t>
      </w:r>
      <w:r w:rsidRPr="00A241F4">
        <w:t xml:space="preserve">, Admonishment Letter, 29 FCC </w:t>
      </w:r>
      <w:r w:rsidRPr="00A241F4">
        <w:t>Rcd</w:t>
      </w:r>
      <w:r w:rsidRPr="00A241F4">
        <w:t xml:space="preserve"> 9634</w:t>
      </w:r>
      <w:r w:rsidRPr="00A241F4" w:rsidR="00A241F4">
        <w:t>, 9635</w:t>
      </w:r>
      <w:r w:rsidRPr="00A241F4">
        <w:t xml:space="preserve"> (</w:t>
      </w:r>
      <w:r w:rsidRPr="00A241F4" w:rsidR="002A2646">
        <w:t xml:space="preserve">MB </w:t>
      </w:r>
      <w:r w:rsidRPr="00A241F4">
        <w:t>2014).</w:t>
      </w:r>
      <w:r>
        <w:t xml:space="preserve">  </w:t>
      </w:r>
    </w:p>
  </w:footnote>
  <w:footnote w:id="14">
    <w:p w:rsidR="000065A1" w:rsidP="00867FE6" w14:paraId="52956557" w14:textId="11C53201">
      <w:pPr>
        <w:pStyle w:val="FootnoteText"/>
        <w:keepLines/>
        <w:spacing w:after="120"/>
      </w:pPr>
      <w:r>
        <w:rPr>
          <w:rStyle w:val="FootnoteReference"/>
        </w:rPr>
        <w:footnoteRef/>
      </w:r>
      <w:r>
        <w:t xml:space="preserve"> </w:t>
      </w:r>
      <w:r>
        <w:rPr>
          <w:i/>
        </w:rPr>
        <w:t>2006 Order on Reconsideration</w:t>
      </w:r>
      <w:r>
        <w:t xml:space="preserve">, 21 FCC </w:t>
      </w:r>
      <w:r>
        <w:t>Rcd</w:t>
      </w:r>
      <w:r>
        <w:t xml:space="preserve"> at</w:t>
      </w:r>
      <w:r>
        <w:rPr>
          <w:i/>
        </w:rPr>
        <w:t xml:space="preserve"> </w:t>
      </w:r>
      <w:r>
        <w:t>11080</w:t>
      </w:r>
      <w:r w:rsidR="003336D0">
        <w:t>, para.</w:t>
      </w:r>
      <w:r>
        <w:t xml:space="preserve"> 36.</w:t>
      </w:r>
    </w:p>
  </w:footnote>
  <w:footnote w:id="15">
    <w:p w:rsidR="00B40652" w:rsidP="00B40652" w14:paraId="08527BB8" w14:textId="18830DB1">
      <w:pPr>
        <w:pStyle w:val="FootnoteText"/>
        <w:spacing w:after="120"/>
      </w:pPr>
      <w:r>
        <w:rPr>
          <w:rStyle w:val="FootnoteReference"/>
        </w:rPr>
        <w:footnoteRef/>
      </w:r>
      <w:r>
        <w:t xml:space="preserve"> </w:t>
      </w:r>
      <w:r>
        <w:rPr>
          <w:i/>
        </w:rPr>
        <w:t xml:space="preserve">See </w:t>
      </w:r>
      <w:r w:rsidR="000A1012">
        <w:rPr>
          <w:i/>
        </w:rPr>
        <w:t>Tribune,</w:t>
      </w:r>
      <w:r w:rsidR="000A1012">
        <w:rPr>
          <w:iCs/>
        </w:rPr>
        <w:t xml:space="preserve"> </w:t>
      </w:r>
      <w:r w:rsidR="00AD5548">
        <w:rPr>
          <w:iCs/>
        </w:rPr>
        <w:t>30</w:t>
      </w:r>
      <w:r w:rsidR="000A1012">
        <w:rPr>
          <w:iCs/>
        </w:rPr>
        <w:t xml:space="preserve"> FCC</w:t>
      </w:r>
      <w:r>
        <w:rPr>
          <w:iCs/>
        </w:rPr>
        <w:t xml:space="preserve"> at 14513</w:t>
      </w:r>
      <w:r>
        <w:t xml:space="preserve"> (noting that </w:t>
      </w:r>
      <w:r w:rsidR="008375D3">
        <w:t xml:space="preserve">the </w:t>
      </w:r>
      <w:r w:rsidRPr="00B5626A">
        <w:t xml:space="preserve">website did not meet the </w:t>
      </w:r>
      <w:r w:rsidR="008375D3">
        <w:t xml:space="preserve">test’s </w:t>
      </w:r>
      <w:r w:rsidRPr="00B5626A">
        <w:t>fourth prong because the top of the</w:t>
      </w:r>
      <w:r w:rsidR="008375D3">
        <w:t xml:space="preserve"> website’s</w:t>
      </w:r>
      <w:r w:rsidRPr="00B5626A">
        <w:t xml:space="preserve"> homepage contained content of a commercial nature in the form of a link labeled “shop”</w:t>
      </w:r>
      <w:r>
        <w:t xml:space="preserve">).  </w:t>
      </w:r>
    </w:p>
  </w:footnote>
  <w:footnote w:id="16">
    <w:p w:rsidR="000065A1" w:rsidP="00867FE6" w14:paraId="485D8E00" w14:textId="73FB2AA0">
      <w:pPr>
        <w:pStyle w:val="FootnoteText"/>
        <w:keepLines/>
        <w:spacing w:after="120"/>
      </w:pPr>
      <w:r>
        <w:rPr>
          <w:rStyle w:val="FootnoteReference"/>
        </w:rPr>
        <w:footnoteRef/>
      </w:r>
      <w:r>
        <w:t xml:space="preserve"> </w:t>
      </w:r>
      <w:r>
        <w:rPr>
          <w:i/>
        </w:rPr>
        <w:t>See, e.g.,</w:t>
      </w:r>
      <w:r w:rsidR="003F098C">
        <w:rPr>
          <w:i/>
        </w:rPr>
        <w:t xml:space="preserve"> </w:t>
      </w:r>
      <w:r>
        <w:rPr>
          <w:i/>
        </w:rPr>
        <w:t>Max Television of Syracuse, L.P.</w:t>
      </w:r>
      <w:r>
        <w:t xml:space="preserve">, </w:t>
      </w:r>
      <w:r w:rsidR="00030F92">
        <w:t xml:space="preserve">Memorandum Opinion and Order, </w:t>
      </w:r>
      <w:r w:rsidR="004A60CF">
        <w:t>13</w:t>
      </w:r>
      <w:r w:rsidR="00030F92">
        <w:t xml:space="preserve"> FCC </w:t>
      </w:r>
      <w:r w:rsidR="00030F92">
        <w:t>Rcd</w:t>
      </w:r>
      <w:r w:rsidR="00030F92">
        <w:t xml:space="preserve"> </w:t>
      </w:r>
      <w:r w:rsidR="004A60CF">
        <w:t>10105</w:t>
      </w:r>
      <w:r w:rsidR="00030F92">
        <w:t>, 10108</w:t>
      </w:r>
      <w:r w:rsidR="004A60CF">
        <w:t>,</w:t>
      </w:r>
      <w:r w:rsidR="00030F92">
        <w:t xml:space="preserve"> para.7 (MMB 1997)</w:t>
      </w:r>
      <w:r w:rsidR="004A60CF">
        <w:t xml:space="preserve"> (imposing forfeiture for violations of 73.670 and rejecting argument that licensee was not liable for excessive commercial material</w:t>
      </w:r>
      <w:r w:rsidR="00E05ED3">
        <w:t xml:space="preserve"> that had been inserted into children’s programming b</w:t>
      </w:r>
      <w:r w:rsidR="004A60CF">
        <w:t>y program producer or distributor)</w:t>
      </w:r>
      <w:r>
        <w:t>.</w:t>
      </w:r>
    </w:p>
  </w:footnote>
  <w:footnote w:id="17">
    <w:p w:rsidR="000065A1" w:rsidP="00867FE6" w14:paraId="481D7635" w14:textId="714440A6">
      <w:pPr>
        <w:pStyle w:val="FootnoteText"/>
        <w:keepLines/>
        <w:spacing w:after="120"/>
      </w:pPr>
      <w:r>
        <w:rPr>
          <w:rStyle w:val="FootnoteReference"/>
        </w:rPr>
        <w:footnoteRef/>
      </w:r>
      <w:r>
        <w:t xml:space="preserve"> </w:t>
      </w:r>
      <w:r>
        <w:rPr>
          <w:i/>
        </w:rPr>
        <w:t>See International Broadcasting Corp.</w:t>
      </w:r>
      <w:r>
        <w:t>, Memorandum Opinion and Order</w:t>
      </w:r>
      <w:r w:rsidR="00C85C2F">
        <w:t>,</w:t>
      </w:r>
      <w:r>
        <w:t xml:space="preserve"> 19 FCC 2d 793, 794</w:t>
      </w:r>
      <w:r w:rsidR="00C85C2F">
        <w:t>, para. 5</w:t>
      </w:r>
      <w:r>
        <w:t xml:space="preserve"> (1969) (</w:t>
      </w:r>
      <w:r w:rsidR="00C85C2F">
        <w:t xml:space="preserve">imposing forfeiture and </w:t>
      </w:r>
      <w:r w:rsidR="005B6BA3">
        <w:t>declining to credit</w:t>
      </w:r>
      <w:r w:rsidR="00D67033">
        <w:t xml:space="preserve"> as mitigation </w:t>
      </w:r>
      <w:r>
        <w:t>corrective action following a violation</w:t>
      </w:r>
      <w:r w:rsidR="005B6BA3">
        <w:t xml:space="preserve"> because doing so</w:t>
      </w:r>
      <w:r>
        <w:t xml:space="preserve"> would “tend to encourage remedial rather than preventive action”).</w:t>
      </w:r>
    </w:p>
  </w:footnote>
  <w:footnote w:id="18">
    <w:p w:rsidR="00052038" w:rsidP="00771545" w14:paraId="28CDD6D7" w14:textId="7CAD280E">
      <w:pPr>
        <w:pStyle w:val="FootnoteText"/>
        <w:spacing w:after="120"/>
      </w:pPr>
      <w:r>
        <w:rPr>
          <w:rStyle w:val="FootnoteReference"/>
        </w:rPr>
        <w:footnoteRef/>
      </w:r>
      <w:r>
        <w:t xml:space="preserve"> Application at Disclosure. </w:t>
      </w:r>
    </w:p>
  </w:footnote>
  <w:footnote w:id="19">
    <w:p w:rsidR="006C68D5" w:rsidRPr="005F1D98" w:rsidP="006C68D5" w14:paraId="372004F1" w14:textId="77777777">
      <w:pPr>
        <w:pStyle w:val="FootnoteText"/>
        <w:tabs>
          <w:tab w:val="left" w:pos="2830"/>
        </w:tabs>
        <w:spacing w:after="120"/>
      </w:pPr>
      <w:r w:rsidRPr="005F1D98">
        <w:rPr>
          <w:rStyle w:val="FootnoteReference"/>
        </w:rPr>
        <w:footnoteRef/>
      </w:r>
      <w:r w:rsidRPr="005F1D98">
        <w:t xml:space="preserve"> This admonishment is issued pursuant sections 1.80 and 0.283(d) of the </w:t>
      </w:r>
      <w:r>
        <w:t>R</w:t>
      </w:r>
      <w:r w:rsidRPr="005F1D98">
        <w:t>ules, 47 CFR §§ 1.80 and 0.283.</w:t>
      </w:r>
    </w:p>
  </w:footnote>
  <w:footnote w:id="20">
    <w:p w:rsidR="006C68D5" w:rsidRPr="005F1D98" w:rsidP="006C68D5" w14:paraId="626A5223" w14:textId="77777777">
      <w:pPr>
        <w:pStyle w:val="FootnoteText"/>
        <w:tabs>
          <w:tab w:val="left" w:pos="2830"/>
        </w:tabs>
        <w:spacing w:after="120"/>
      </w:pPr>
      <w:r w:rsidRPr="005F1D98">
        <w:rPr>
          <w:rStyle w:val="FootnoteReference"/>
        </w:rPr>
        <w:footnoteRef/>
      </w:r>
      <w:r w:rsidRPr="005F1D98">
        <w:rPr>
          <w:i/>
        </w:rPr>
        <w:t xml:space="preserve"> </w:t>
      </w:r>
      <w:r w:rsidRPr="005F1D98">
        <w:t>47 U.S.C. § 309(k).</w:t>
      </w:r>
    </w:p>
  </w:footnote>
  <w:footnote w:id="21">
    <w:p w:rsidR="006C68D5" w:rsidRPr="005F1D98" w:rsidP="006C68D5" w14:paraId="23DDF896" w14:textId="77777777">
      <w:pPr>
        <w:pStyle w:val="FootnoteText"/>
        <w:tabs>
          <w:tab w:val="left" w:pos="2830"/>
        </w:tabs>
        <w:spacing w:after="120"/>
      </w:pPr>
      <w:r w:rsidRPr="005F1D98">
        <w:rPr>
          <w:rStyle w:val="FootnoteReference"/>
        </w:rPr>
        <w:footnoteRef/>
      </w:r>
      <w:r w:rsidRPr="005F1D98">
        <w:t xml:space="preserve"> 47 U.S.C. § 309(k)(1).  </w:t>
      </w:r>
    </w:p>
  </w:footnote>
  <w:footnote w:id="22">
    <w:p w:rsidR="006C68D5" w:rsidP="006C68D5" w14:paraId="15964D3D" w14:textId="77777777">
      <w:pPr>
        <w:pStyle w:val="FootnoteText"/>
        <w:tabs>
          <w:tab w:val="left" w:pos="2830"/>
        </w:tabs>
        <w:spacing w:after="120"/>
      </w:pPr>
      <w:r w:rsidRPr="005F1D98">
        <w:rPr>
          <w:rStyle w:val="FootnoteReference"/>
        </w:rPr>
        <w:footnoteRef/>
      </w:r>
      <w:r w:rsidRPr="005F1D98">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2F56C9" w14:textId="2EA4B33E">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E21234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351665" w14:paraId="5A3568F9" w14:textId="391EAFAD">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C"/>
    <w:rsid w:val="000065A1"/>
    <w:rsid w:val="000147F5"/>
    <w:rsid w:val="00030F92"/>
    <w:rsid w:val="00035CA4"/>
    <w:rsid w:val="00035EA3"/>
    <w:rsid w:val="000449D7"/>
    <w:rsid w:val="00052038"/>
    <w:rsid w:val="00057BDC"/>
    <w:rsid w:val="000829BD"/>
    <w:rsid w:val="00085549"/>
    <w:rsid w:val="0009502F"/>
    <w:rsid w:val="000A1012"/>
    <w:rsid w:val="000E5FFE"/>
    <w:rsid w:val="00123636"/>
    <w:rsid w:val="00125AD9"/>
    <w:rsid w:val="001333F1"/>
    <w:rsid w:val="00151E6D"/>
    <w:rsid w:val="001676F0"/>
    <w:rsid w:val="001A2540"/>
    <w:rsid w:val="001A30E4"/>
    <w:rsid w:val="001C315E"/>
    <w:rsid w:val="00204CE3"/>
    <w:rsid w:val="0022450E"/>
    <w:rsid w:val="00227515"/>
    <w:rsid w:val="002719E2"/>
    <w:rsid w:val="00292B47"/>
    <w:rsid w:val="002A2646"/>
    <w:rsid w:val="002B54DB"/>
    <w:rsid w:val="002C6A56"/>
    <w:rsid w:val="002E03D1"/>
    <w:rsid w:val="00304A5D"/>
    <w:rsid w:val="003336D0"/>
    <w:rsid w:val="00337557"/>
    <w:rsid w:val="00351665"/>
    <w:rsid w:val="003A692A"/>
    <w:rsid w:val="003F098C"/>
    <w:rsid w:val="003F63AF"/>
    <w:rsid w:val="00400CBB"/>
    <w:rsid w:val="004056B1"/>
    <w:rsid w:val="00423BB1"/>
    <w:rsid w:val="00434FD9"/>
    <w:rsid w:val="00452716"/>
    <w:rsid w:val="00453643"/>
    <w:rsid w:val="004619FC"/>
    <w:rsid w:val="00491191"/>
    <w:rsid w:val="00492FAC"/>
    <w:rsid w:val="004A2411"/>
    <w:rsid w:val="004A60CF"/>
    <w:rsid w:val="004B5121"/>
    <w:rsid w:val="004C307F"/>
    <w:rsid w:val="004D3B53"/>
    <w:rsid w:val="004F004E"/>
    <w:rsid w:val="005220DB"/>
    <w:rsid w:val="00537E24"/>
    <w:rsid w:val="00572B96"/>
    <w:rsid w:val="005B5AC0"/>
    <w:rsid w:val="005B6BA3"/>
    <w:rsid w:val="005F1D98"/>
    <w:rsid w:val="00691574"/>
    <w:rsid w:val="006C68D5"/>
    <w:rsid w:val="006D3C08"/>
    <w:rsid w:val="007045E2"/>
    <w:rsid w:val="00706122"/>
    <w:rsid w:val="00771545"/>
    <w:rsid w:val="007B2C15"/>
    <w:rsid w:val="0081293C"/>
    <w:rsid w:val="00834E3D"/>
    <w:rsid w:val="008375D3"/>
    <w:rsid w:val="00841CAA"/>
    <w:rsid w:val="00850D44"/>
    <w:rsid w:val="008529B7"/>
    <w:rsid w:val="00867FE6"/>
    <w:rsid w:val="008A3DB9"/>
    <w:rsid w:val="008C0EA5"/>
    <w:rsid w:val="008C4CBA"/>
    <w:rsid w:val="00910726"/>
    <w:rsid w:val="009B1E74"/>
    <w:rsid w:val="009D1892"/>
    <w:rsid w:val="009D46FD"/>
    <w:rsid w:val="009D7F60"/>
    <w:rsid w:val="009F7785"/>
    <w:rsid w:val="00A241F4"/>
    <w:rsid w:val="00A2438C"/>
    <w:rsid w:val="00A3434B"/>
    <w:rsid w:val="00A4578B"/>
    <w:rsid w:val="00A572DB"/>
    <w:rsid w:val="00A5765C"/>
    <w:rsid w:val="00A57E4C"/>
    <w:rsid w:val="00A614DA"/>
    <w:rsid w:val="00AA3FCC"/>
    <w:rsid w:val="00AD00DA"/>
    <w:rsid w:val="00AD5548"/>
    <w:rsid w:val="00AE28CB"/>
    <w:rsid w:val="00B0200D"/>
    <w:rsid w:val="00B40652"/>
    <w:rsid w:val="00B5626A"/>
    <w:rsid w:val="00B65E38"/>
    <w:rsid w:val="00B9046A"/>
    <w:rsid w:val="00BC0F42"/>
    <w:rsid w:val="00C528E3"/>
    <w:rsid w:val="00C85C2F"/>
    <w:rsid w:val="00C86307"/>
    <w:rsid w:val="00CB2DF6"/>
    <w:rsid w:val="00CF34E5"/>
    <w:rsid w:val="00D239EB"/>
    <w:rsid w:val="00D3117B"/>
    <w:rsid w:val="00D35A38"/>
    <w:rsid w:val="00D550E0"/>
    <w:rsid w:val="00D661C6"/>
    <w:rsid w:val="00D67033"/>
    <w:rsid w:val="00D732BB"/>
    <w:rsid w:val="00D75207"/>
    <w:rsid w:val="00D86DDE"/>
    <w:rsid w:val="00D91B77"/>
    <w:rsid w:val="00DB06A1"/>
    <w:rsid w:val="00DD13D7"/>
    <w:rsid w:val="00E05ED3"/>
    <w:rsid w:val="00E13196"/>
    <w:rsid w:val="00E61C4F"/>
    <w:rsid w:val="00E72B39"/>
    <w:rsid w:val="00E83DD2"/>
    <w:rsid w:val="00E90E1A"/>
    <w:rsid w:val="00E92F08"/>
    <w:rsid w:val="00EB5C13"/>
    <w:rsid w:val="00EC66F2"/>
    <w:rsid w:val="00F11BEF"/>
    <w:rsid w:val="00F20CEC"/>
    <w:rsid w:val="00F52F98"/>
    <w:rsid w:val="00F53023"/>
    <w:rsid w:val="00F56234"/>
    <w:rsid w:val="00F77B1D"/>
    <w:rsid w:val="00F861D1"/>
    <w:rsid w:val="00FA7849"/>
    <w:rsid w:val="00FD47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E24A5C"/>
  <w15:chartTrackingRefBased/>
  <w15:docId w15:val="{7FC57A3C-E9DC-403D-8962-3A099A9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unhideWhenUsed/>
    <w:rsid w:val="00A57E4C"/>
  </w:style>
  <w:style w:type="character" w:customStyle="1" w:styleId="FootnoteTextChar">
    <w:name w:val="Footnote Text Char"/>
    <w:basedOn w:val="DefaultParagraphFont"/>
    <w:link w:val="FootnoteText"/>
    <w:semiHidden/>
    <w:rsid w:val="00A57E4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A57E4C"/>
    <w:rPr>
      <w:vertAlign w:val="superscript"/>
    </w:rPr>
  </w:style>
  <w:style w:type="paragraph" w:styleId="BalloonText">
    <w:name w:val="Balloon Text"/>
    <w:basedOn w:val="Normal"/>
    <w:link w:val="BalloonTextChar"/>
    <w:uiPriority w:val="99"/>
    <w:semiHidden/>
    <w:unhideWhenUsed/>
    <w:rsid w:val="00351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5"/>
    <w:rPr>
      <w:rFonts w:ascii="Segoe UI" w:hAnsi="Segoe UI" w:cs="Segoe UI"/>
      <w:sz w:val="18"/>
      <w:szCs w:val="18"/>
    </w:rPr>
  </w:style>
  <w:style w:type="character" w:styleId="CommentReference">
    <w:name w:val="annotation reference"/>
    <w:basedOn w:val="DefaultParagraphFont"/>
    <w:uiPriority w:val="99"/>
    <w:semiHidden/>
    <w:unhideWhenUsed/>
    <w:rsid w:val="00351665"/>
    <w:rPr>
      <w:sz w:val="16"/>
      <w:szCs w:val="16"/>
    </w:rPr>
  </w:style>
  <w:style w:type="paragraph" w:styleId="CommentText">
    <w:name w:val="annotation text"/>
    <w:basedOn w:val="Normal"/>
    <w:link w:val="CommentTextChar"/>
    <w:uiPriority w:val="99"/>
    <w:semiHidden/>
    <w:unhideWhenUsed/>
    <w:rsid w:val="00351665"/>
  </w:style>
  <w:style w:type="character" w:customStyle="1" w:styleId="CommentTextChar">
    <w:name w:val="Comment Text Char"/>
    <w:basedOn w:val="DefaultParagraphFont"/>
    <w:link w:val="CommentText"/>
    <w:uiPriority w:val="99"/>
    <w:semiHidden/>
    <w:rsid w:val="00351665"/>
  </w:style>
  <w:style w:type="paragraph" w:styleId="CommentSubject">
    <w:name w:val="annotation subject"/>
    <w:basedOn w:val="CommentText"/>
    <w:next w:val="CommentText"/>
    <w:link w:val="CommentSubjectChar"/>
    <w:uiPriority w:val="99"/>
    <w:semiHidden/>
    <w:unhideWhenUsed/>
    <w:rsid w:val="00351665"/>
    <w:rPr>
      <w:b/>
      <w:bCs/>
    </w:rPr>
  </w:style>
  <w:style w:type="character" w:customStyle="1" w:styleId="CommentSubjectChar">
    <w:name w:val="Comment Subject Char"/>
    <w:basedOn w:val="CommentTextChar"/>
    <w:link w:val="CommentSubject"/>
    <w:uiPriority w:val="99"/>
    <w:semiHidden/>
    <w:rsid w:val="00351665"/>
    <w:rPr>
      <w:b/>
      <w:bCs/>
    </w:rPr>
  </w:style>
  <w:style w:type="character" w:customStyle="1" w:styleId="FooterChar">
    <w:name w:val="Footer Char"/>
    <w:basedOn w:val="DefaultParagraphFont"/>
    <w:link w:val="Footer"/>
    <w:uiPriority w:val="99"/>
    <w:rsid w:val="00351665"/>
  </w:style>
  <w:style w:type="character" w:styleId="Hyperlink">
    <w:name w:val="Hyperlink"/>
    <w:rsid w:val="000065A1"/>
    <w:rPr>
      <w:color w:val="0000FF"/>
      <w:u w:val="single"/>
    </w:rPr>
  </w:style>
  <w:style w:type="character" w:customStyle="1" w:styleId="UnresolvedMention">
    <w:name w:val="Unresolved Mention"/>
    <w:basedOn w:val="DefaultParagraphFont"/>
    <w:uiPriority w:val="99"/>
    <w:semiHidden/>
    <w:unhideWhenUsed/>
    <w:rsid w:val="00095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Y&amp;serNum=2010389879&amp;pubNum=0004493&amp;originatingDoc=I7a908101ade311e590d4edf60ce7d742&amp;refType=CA&amp;fi=co_pp_sp_4493_11077&amp;originationContext=document&amp;vr=3.0&amp;rs=cblt1.0&amp;transitionType=DocumentItem&amp;contextData=(sc.Search)" TargetMode="External" /><Relationship Id="rId2" Type="http://schemas.openxmlformats.org/officeDocument/2006/relationships/hyperlink" Target="http://www.westlaw.com/Link/Document/FullText?findType=L&amp;pubNum=1000547&amp;cite=47CFRS73.670&amp;originatingDoc=I7a908101ade311e590d4edf60ce7d742&amp;refType=RB&amp;originationContext=document&amp;vr=3.0&amp;rs=cblt1.0&amp;transitionType=DocumentItem&amp;contextData=(sc.Search)" TargetMode="External" /><Relationship Id="rId3" Type="http://schemas.openxmlformats.org/officeDocument/2006/relationships/hyperlink" Target="http://www.lazytown.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