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E77DBA" w14:textId="77777777">
      <w:pPr>
        <w:pStyle w:val="StyleBoldCentered"/>
      </w:pPr>
      <w:r>
        <w:t>F</w:t>
      </w:r>
      <w:r>
        <w:rPr>
          <w:caps w:val="0"/>
        </w:rPr>
        <w:t>ederal Communications Commission</w:t>
      </w:r>
    </w:p>
    <w:p w:rsidR="004C2EE3" w:rsidP="00096D8C" w14:paraId="1DCF4627" w14:textId="77777777">
      <w:pPr>
        <w:pStyle w:val="StyleBoldCentered"/>
      </w:pPr>
      <w:r>
        <w:rPr>
          <w:caps w:val="0"/>
        </w:rPr>
        <w:t>Washington, D.C. 20554</w:t>
      </w:r>
    </w:p>
    <w:p w:rsidR="004C2EE3" w:rsidP="0070224F" w14:paraId="33C30A21" w14:textId="77777777"/>
    <w:p w:rsidR="004C2EE3" w:rsidP="0070224F" w14:paraId="5C686429" w14:textId="77777777"/>
    <w:tbl>
      <w:tblPr>
        <w:tblW w:w="0" w:type="auto"/>
        <w:tblLayout w:type="fixed"/>
        <w:tblLook w:val="0000"/>
      </w:tblPr>
      <w:tblGrid>
        <w:gridCol w:w="4698"/>
        <w:gridCol w:w="630"/>
        <w:gridCol w:w="4248"/>
      </w:tblGrid>
      <w:tr w14:paraId="2FA16C5E" w14:textId="77777777">
        <w:tblPrEx>
          <w:tblW w:w="0" w:type="auto"/>
          <w:tblLayout w:type="fixed"/>
          <w:tblLook w:val="0000"/>
        </w:tblPrEx>
        <w:tc>
          <w:tcPr>
            <w:tcW w:w="4698" w:type="dxa"/>
          </w:tcPr>
          <w:p w:rsidR="004C2EE3" w14:paraId="2BD7605F" w14:textId="77777777">
            <w:pPr>
              <w:tabs>
                <w:tab w:val="center" w:pos="4680"/>
              </w:tabs>
              <w:suppressAutoHyphens/>
              <w:rPr>
                <w:spacing w:val="-2"/>
              </w:rPr>
            </w:pPr>
            <w:r>
              <w:rPr>
                <w:spacing w:val="-2"/>
              </w:rPr>
              <w:t>In the Matter of</w:t>
            </w:r>
          </w:p>
          <w:p w:rsidR="004C2EE3" w14:paraId="0098F070" w14:textId="77777777">
            <w:pPr>
              <w:tabs>
                <w:tab w:val="center" w:pos="4680"/>
              </w:tabs>
              <w:suppressAutoHyphens/>
              <w:rPr>
                <w:spacing w:val="-2"/>
              </w:rPr>
            </w:pPr>
          </w:p>
          <w:p w:rsidR="0024695A" w:rsidP="007115F7" w14:paraId="4339BE2D" w14:textId="1F13B04F">
            <w:pPr>
              <w:tabs>
                <w:tab w:val="center" w:pos="4680"/>
              </w:tabs>
              <w:suppressAutoHyphens/>
              <w:rPr>
                <w:spacing w:val="-2"/>
              </w:rPr>
            </w:pPr>
            <w:r>
              <w:rPr>
                <w:spacing w:val="-2"/>
              </w:rPr>
              <w:t>Expanding Flexible Use of the 3.7 to 4.2 GHz Band</w:t>
            </w:r>
          </w:p>
          <w:p w:rsidR="00B70DA7" w:rsidP="007115F7" w14:paraId="515F935A" w14:textId="77777777">
            <w:pPr>
              <w:tabs>
                <w:tab w:val="center" w:pos="4680"/>
              </w:tabs>
              <w:suppressAutoHyphens/>
              <w:rPr>
                <w:spacing w:val="-2"/>
              </w:rPr>
            </w:pPr>
          </w:p>
          <w:p w:rsidR="00DB4BCD" w:rsidP="007115F7" w14:paraId="3BF7476C" w14:textId="77777777">
            <w:pPr>
              <w:tabs>
                <w:tab w:val="center" w:pos="4680"/>
              </w:tabs>
              <w:suppressAutoHyphens/>
              <w:rPr>
                <w:spacing w:val="-2"/>
              </w:rPr>
            </w:pPr>
            <w:r>
              <w:rPr>
                <w:spacing w:val="-2"/>
              </w:rPr>
              <w:t>International Bureau Releases Preliminary List of</w:t>
            </w:r>
          </w:p>
          <w:p w:rsidR="00C63ED7" w:rsidP="007115F7" w14:paraId="35F527A2" w14:textId="77777777">
            <w:pPr>
              <w:tabs>
                <w:tab w:val="center" w:pos="4680"/>
              </w:tabs>
              <w:suppressAutoHyphens/>
              <w:rPr>
                <w:spacing w:val="-2"/>
              </w:rPr>
            </w:pPr>
            <w:r>
              <w:rPr>
                <w:spacing w:val="-2"/>
              </w:rPr>
              <w:t>Incumbent Earth Stations in the 3.7-4.2 GHz Band</w:t>
            </w:r>
          </w:p>
          <w:p w:rsidR="00C63ED7" w:rsidRPr="007115F7" w:rsidP="007115F7" w14:paraId="1941A6D7" w14:textId="14D0CE74">
            <w:pPr>
              <w:tabs>
                <w:tab w:val="center" w:pos="4680"/>
              </w:tabs>
              <w:suppressAutoHyphens/>
              <w:rPr>
                <w:spacing w:val="-2"/>
              </w:rPr>
            </w:pPr>
            <w:r>
              <w:rPr>
                <w:spacing w:val="-2"/>
              </w:rPr>
              <w:t>In the Contiguous United States</w:t>
            </w:r>
          </w:p>
        </w:tc>
        <w:tc>
          <w:tcPr>
            <w:tcW w:w="630" w:type="dxa"/>
          </w:tcPr>
          <w:p w:rsidR="004C2EE3" w14:paraId="06AA3C35" w14:textId="77777777">
            <w:pPr>
              <w:tabs>
                <w:tab w:val="center" w:pos="4680"/>
              </w:tabs>
              <w:suppressAutoHyphens/>
              <w:rPr>
                <w:b/>
                <w:spacing w:val="-2"/>
              </w:rPr>
            </w:pPr>
            <w:r>
              <w:rPr>
                <w:b/>
                <w:spacing w:val="-2"/>
              </w:rPr>
              <w:t>)</w:t>
            </w:r>
          </w:p>
          <w:p w:rsidR="004C2EE3" w14:paraId="4BD47646" w14:textId="77777777">
            <w:pPr>
              <w:tabs>
                <w:tab w:val="center" w:pos="4680"/>
              </w:tabs>
              <w:suppressAutoHyphens/>
              <w:rPr>
                <w:b/>
                <w:spacing w:val="-2"/>
              </w:rPr>
            </w:pPr>
            <w:r>
              <w:rPr>
                <w:b/>
                <w:spacing w:val="-2"/>
              </w:rPr>
              <w:t>)</w:t>
            </w:r>
          </w:p>
          <w:p w:rsidR="004C2EE3" w14:paraId="30CA3E09" w14:textId="77777777">
            <w:pPr>
              <w:tabs>
                <w:tab w:val="center" w:pos="4680"/>
              </w:tabs>
              <w:suppressAutoHyphens/>
              <w:rPr>
                <w:b/>
                <w:spacing w:val="-2"/>
              </w:rPr>
            </w:pPr>
            <w:r>
              <w:rPr>
                <w:b/>
                <w:spacing w:val="-2"/>
              </w:rPr>
              <w:t>)</w:t>
            </w:r>
          </w:p>
          <w:p w:rsidR="004C2EE3" w14:paraId="59BABA9B" w14:textId="77777777">
            <w:pPr>
              <w:tabs>
                <w:tab w:val="center" w:pos="4680"/>
              </w:tabs>
              <w:suppressAutoHyphens/>
              <w:rPr>
                <w:b/>
                <w:spacing w:val="-2"/>
              </w:rPr>
            </w:pPr>
            <w:r>
              <w:rPr>
                <w:b/>
                <w:spacing w:val="-2"/>
              </w:rPr>
              <w:t>)</w:t>
            </w:r>
          </w:p>
          <w:p w:rsidR="004C2EE3" w14:paraId="6B95B641" w14:textId="77777777">
            <w:pPr>
              <w:tabs>
                <w:tab w:val="center" w:pos="4680"/>
              </w:tabs>
              <w:suppressAutoHyphens/>
              <w:rPr>
                <w:b/>
                <w:spacing w:val="-2"/>
              </w:rPr>
            </w:pPr>
            <w:r>
              <w:rPr>
                <w:b/>
                <w:spacing w:val="-2"/>
              </w:rPr>
              <w:t>)</w:t>
            </w:r>
          </w:p>
          <w:p w:rsidR="004C2EE3" w14:paraId="697DD5AB" w14:textId="77777777">
            <w:pPr>
              <w:tabs>
                <w:tab w:val="center" w:pos="4680"/>
              </w:tabs>
              <w:suppressAutoHyphens/>
              <w:rPr>
                <w:b/>
                <w:spacing w:val="-2"/>
              </w:rPr>
            </w:pPr>
            <w:r>
              <w:rPr>
                <w:b/>
                <w:spacing w:val="-2"/>
              </w:rPr>
              <w:t>)</w:t>
            </w:r>
          </w:p>
          <w:p w:rsidR="00C63ED7" w:rsidP="00C63ED7" w14:paraId="205FC53E" w14:textId="77777777">
            <w:pPr>
              <w:tabs>
                <w:tab w:val="center" w:pos="4680"/>
              </w:tabs>
              <w:suppressAutoHyphens/>
              <w:rPr>
                <w:b/>
                <w:spacing w:val="-2"/>
              </w:rPr>
            </w:pPr>
            <w:r>
              <w:rPr>
                <w:b/>
                <w:spacing w:val="-2"/>
              </w:rPr>
              <w:t>)</w:t>
            </w:r>
          </w:p>
          <w:p w:rsidR="00C63ED7" w:rsidP="00C63ED7" w14:paraId="151E9CF0" w14:textId="77777777">
            <w:pPr>
              <w:tabs>
                <w:tab w:val="center" w:pos="4680"/>
              </w:tabs>
              <w:suppressAutoHyphens/>
              <w:rPr>
                <w:b/>
                <w:spacing w:val="-2"/>
              </w:rPr>
            </w:pPr>
            <w:r>
              <w:rPr>
                <w:b/>
                <w:spacing w:val="-2"/>
              </w:rPr>
              <w:t>)</w:t>
            </w:r>
          </w:p>
          <w:p w:rsidR="004C2EE3" w:rsidP="00DB4BCD" w14:paraId="1B7AFD48" w14:textId="77777777">
            <w:pPr>
              <w:tabs>
                <w:tab w:val="center" w:pos="4680"/>
              </w:tabs>
              <w:suppressAutoHyphens/>
              <w:rPr>
                <w:spacing w:val="-2"/>
              </w:rPr>
            </w:pPr>
          </w:p>
        </w:tc>
        <w:tc>
          <w:tcPr>
            <w:tcW w:w="4248" w:type="dxa"/>
          </w:tcPr>
          <w:p w:rsidR="004C2EE3" w14:paraId="585365CE" w14:textId="77777777">
            <w:pPr>
              <w:tabs>
                <w:tab w:val="center" w:pos="4680"/>
              </w:tabs>
              <w:suppressAutoHyphens/>
              <w:rPr>
                <w:spacing w:val="-2"/>
              </w:rPr>
            </w:pPr>
          </w:p>
          <w:p w:rsidR="004C2EE3" w14:paraId="127587F3" w14:textId="77777777">
            <w:pPr>
              <w:pStyle w:val="TOAHeading"/>
              <w:tabs>
                <w:tab w:val="center" w:pos="4680"/>
                <w:tab w:val="clear" w:pos="9360"/>
              </w:tabs>
              <w:rPr>
                <w:spacing w:val="-2"/>
              </w:rPr>
            </w:pPr>
          </w:p>
          <w:p w:rsidR="004C2EE3" w14:paraId="41ED2F46" w14:textId="11731464">
            <w:pPr>
              <w:tabs>
                <w:tab w:val="center" w:pos="4680"/>
              </w:tabs>
              <w:suppressAutoHyphens/>
              <w:rPr>
                <w:spacing w:val="-2"/>
              </w:rPr>
            </w:pPr>
            <w:r>
              <w:rPr>
                <w:spacing w:val="-2"/>
              </w:rPr>
              <w:t>GN Docket No. 18-122</w:t>
            </w:r>
          </w:p>
          <w:p w:rsidR="00DB4BCD" w14:paraId="433B5A89" w14:textId="77777777">
            <w:pPr>
              <w:tabs>
                <w:tab w:val="center" w:pos="4680"/>
              </w:tabs>
              <w:suppressAutoHyphens/>
              <w:rPr>
                <w:spacing w:val="-2"/>
              </w:rPr>
            </w:pPr>
          </w:p>
          <w:p w:rsidR="00DB4BCD" w14:paraId="570D05E5" w14:textId="7DB2A1D5">
            <w:pPr>
              <w:tabs>
                <w:tab w:val="center" w:pos="4680"/>
              </w:tabs>
              <w:suppressAutoHyphens/>
              <w:rPr>
                <w:spacing w:val="-2"/>
              </w:rPr>
            </w:pPr>
            <w:r>
              <w:t>IB Docket No. 20-205</w:t>
            </w:r>
          </w:p>
          <w:p w:rsidR="00DB4BCD" w14:paraId="29A81103" w14:textId="7BFCAE77">
            <w:pPr>
              <w:tabs>
                <w:tab w:val="center" w:pos="4680"/>
              </w:tabs>
              <w:suppressAutoHyphens/>
              <w:rPr>
                <w:spacing w:val="-2"/>
              </w:rPr>
            </w:pPr>
          </w:p>
        </w:tc>
      </w:tr>
    </w:tbl>
    <w:p w:rsidR="004C2EE3" w:rsidP="0070224F" w14:paraId="5EC7288A" w14:textId="77777777"/>
    <w:p w:rsidR="00841AB1" w:rsidP="00F021FA" w14:paraId="196B2089" w14:textId="689420A4">
      <w:pPr>
        <w:pStyle w:val="StyleBoldCentered"/>
      </w:pPr>
      <w:r>
        <w:t>ORDER</w:t>
      </w:r>
    </w:p>
    <w:p w:rsidR="004C2EE3" w14:paraId="3DCBD88C" w14:textId="77777777">
      <w:pPr>
        <w:tabs>
          <w:tab w:val="left" w:pos="-720"/>
        </w:tabs>
        <w:suppressAutoHyphens/>
        <w:spacing w:line="227" w:lineRule="auto"/>
        <w:rPr>
          <w:spacing w:val="-2"/>
        </w:rPr>
      </w:pPr>
    </w:p>
    <w:p w:rsidR="00F42186" w:rsidP="00133F79" w14:paraId="7624208F" w14:textId="77777777">
      <w:pPr>
        <w:tabs>
          <w:tab w:val="left" w:pos="720"/>
          <w:tab w:val="right" w:pos="9360"/>
        </w:tabs>
        <w:suppressAutoHyphens/>
        <w:spacing w:line="227" w:lineRule="auto"/>
        <w:rPr>
          <w:b/>
          <w:spacing w:val="-2"/>
        </w:rPr>
      </w:pPr>
    </w:p>
    <w:p w:rsidR="004C2EE3" w:rsidP="00133F79" w14:paraId="6301F366" w14:textId="3905738B">
      <w:pPr>
        <w:tabs>
          <w:tab w:val="left" w:pos="720"/>
          <w:tab w:val="right" w:pos="9360"/>
        </w:tabs>
        <w:suppressAutoHyphens/>
        <w:spacing w:line="227" w:lineRule="auto"/>
        <w:rPr>
          <w:spacing w:val="-2"/>
        </w:rPr>
      </w:pPr>
      <w:r>
        <w:rPr>
          <w:b/>
          <w:spacing w:val="-2"/>
        </w:rPr>
        <w:t xml:space="preserve">Adopted:  </w:t>
      </w:r>
      <w:r w:rsidR="00086A7E">
        <w:rPr>
          <w:b/>
          <w:spacing w:val="-2"/>
        </w:rPr>
        <w:t xml:space="preserve">December </w:t>
      </w:r>
      <w:r w:rsidR="00FD39DE">
        <w:rPr>
          <w:b/>
          <w:spacing w:val="-2"/>
        </w:rPr>
        <w:t>1</w:t>
      </w:r>
      <w:r w:rsidR="007311D7">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86A7E">
        <w:rPr>
          <w:b/>
          <w:spacing w:val="-2"/>
        </w:rPr>
        <w:t xml:space="preserve">December </w:t>
      </w:r>
      <w:r w:rsidR="00FD39DE">
        <w:rPr>
          <w:b/>
          <w:spacing w:val="-2"/>
        </w:rPr>
        <w:t>1</w:t>
      </w:r>
      <w:r w:rsidR="007311D7">
        <w:rPr>
          <w:b/>
          <w:spacing w:val="-2"/>
        </w:rPr>
        <w:t>, 2021</w:t>
      </w:r>
    </w:p>
    <w:p w:rsidR="00822CE0" w14:paraId="5CE38E28" w14:textId="77777777"/>
    <w:p w:rsidR="004C2EE3" w14:paraId="20D18946" w14:textId="5C01BF3E">
      <w:r>
        <w:t xml:space="preserve">By </w:t>
      </w:r>
      <w:r w:rsidR="6E14E265">
        <w:t>the</w:t>
      </w:r>
      <w:r w:rsidR="0676AFBE">
        <w:t xml:space="preserve"> </w:t>
      </w:r>
      <w:r w:rsidR="00B70DA7">
        <w:t xml:space="preserve">Acting Chief, </w:t>
      </w:r>
      <w:r w:rsidR="00B70DA7">
        <w:rPr>
          <w:spacing w:val="-2"/>
        </w:rPr>
        <w:t>Wireless Telecommunications Bureau</w:t>
      </w:r>
      <w:r w:rsidR="0431EDAB">
        <w:t>:</w:t>
      </w:r>
    </w:p>
    <w:p w:rsidR="00822CE0" w14:paraId="218BF5C2" w14:textId="77777777">
      <w:pPr>
        <w:rPr>
          <w:spacing w:val="-2"/>
        </w:rPr>
      </w:pPr>
    </w:p>
    <w:p w:rsidR="004E4A91" w:rsidP="004E4A91" w14:paraId="4BF11A44" w14:textId="075A4413">
      <w:pPr>
        <w:pStyle w:val="ParaNum"/>
      </w:pPr>
      <w:r>
        <w:t>In this Order, the Wireless Telecommunications Bureau (Bureau) dismisses a</w:t>
      </w:r>
      <w:r w:rsidR="00CE4BCA">
        <w:t xml:space="preserve"> letter</w:t>
      </w:r>
      <w:r>
        <w:t xml:space="preserve"> request filed by PSSI </w:t>
      </w:r>
      <w:r w:rsidR="00F154FF">
        <w:t>Global Services</w:t>
      </w:r>
      <w:r w:rsidR="000C6793">
        <w:t>,</w:t>
      </w:r>
      <w:r w:rsidR="00F154FF">
        <w:t xml:space="preserve"> L</w:t>
      </w:r>
      <w:r w:rsidR="000C6793">
        <w:t>.</w:t>
      </w:r>
      <w:r w:rsidR="00F154FF">
        <w:t>L</w:t>
      </w:r>
      <w:r w:rsidR="000C6793">
        <w:t>.</w:t>
      </w:r>
      <w:r w:rsidR="00F154FF">
        <w:t>C</w:t>
      </w:r>
      <w:r w:rsidR="000C6793">
        <w:t>.</w:t>
      </w:r>
      <w:r w:rsidR="00F154FF">
        <w:t xml:space="preserve"> (PSSI) </w:t>
      </w:r>
      <w:r>
        <w:t xml:space="preserve">to modify a 2020 Public Notice that adopted </w:t>
      </w:r>
      <w:r w:rsidR="00F154FF">
        <w:t xml:space="preserve">the 3.7 GHz Transition Final Cost Category Schedule </w:t>
      </w:r>
      <w:r w:rsidR="00411854">
        <w:t xml:space="preserve">relating to relocation expenses </w:t>
      </w:r>
      <w:r w:rsidR="00F154FF">
        <w:t>for eligible incumbent</w:t>
      </w:r>
      <w:r w:rsidR="00513617">
        <w:t>s</w:t>
      </w:r>
      <w:r w:rsidR="00F154FF">
        <w:t xml:space="preserve"> </w:t>
      </w:r>
      <w:r w:rsidR="000C6793">
        <w:t>(</w:t>
      </w:r>
      <w:r w:rsidRPr="0010436D" w:rsidR="000C6793">
        <w:rPr>
          <w:i/>
          <w:iCs/>
        </w:rPr>
        <w:t>Final Cost Catalog</w:t>
      </w:r>
      <w:r w:rsidRPr="0010436D" w:rsidR="0010436D">
        <w:rPr>
          <w:i/>
          <w:iCs/>
        </w:rPr>
        <w:t xml:space="preserve"> Public Notice</w:t>
      </w:r>
      <w:r w:rsidR="000C6793">
        <w:t>)</w:t>
      </w:r>
      <w:r w:rsidR="00513617">
        <w:t xml:space="preserve"> as part of</w:t>
      </w:r>
      <w:r w:rsidR="00411854">
        <w:t xml:space="preserve"> the ongoing transition of the 3.7-4.2 GHz band (C-band)</w:t>
      </w:r>
      <w:r>
        <w:t>.</w:t>
      </w:r>
      <w:r>
        <w:rPr>
          <w:rStyle w:val="FootnoteReference"/>
        </w:rPr>
        <w:footnoteReference w:id="3"/>
      </w:r>
      <w:r>
        <w:t xml:space="preserve">  </w:t>
      </w:r>
      <w:r w:rsidR="000C6793">
        <w:t>PSSI</w:t>
      </w:r>
      <w:r>
        <w:t xml:space="preserve"> argues that </w:t>
      </w:r>
      <w:r w:rsidR="008A1556">
        <w:t xml:space="preserve">the </w:t>
      </w:r>
      <w:r w:rsidRPr="0010436D" w:rsidR="008A1556">
        <w:rPr>
          <w:i/>
          <w:iCs/>
        </w:rPr>
        <w:t>Final Cost Catalog Public Notice</w:t>
      </w:r>
      <w:r w:rsidR="008A1556">
        <w:t xml:space="preserve"> should be adjusted to take into account specific types of equipment relating to the transportable fixed earth stations (TFEs) that it operates</w:t>
      </w:r>
      <w:r>
        <w:t>.</w:t>
      </w:r>
      <w:r>
        <w:rPr>
          <w:rStyle w:val="FootnoteReference"/>
        </w:rPr>
        <w:footnoteReference w:id="4"/>
      </w:r>
      <w:r>
        <w:t xml:space="preserve">  As discussed below, the </w:t>
      </w:r>
      <w:r w:rsidRPr="000F0E71" w:rsidR="000C6793">
        <w:rPr>
          <w:i/>
          <w:iCs/>
        </w:rPr>
        <w:t>Final Cost Catalog</w:t>
      </w:r>
      <w:r w:rsidRPr="000F0E71" w:rsidR="000F0E71">
        <w:rPr>
          <w:i/>
          <w:iCs/>
        </w:rPr>
        <w:t xml:space="preserve"> Public Notice</w:t>
      </w:r>
      <w:r>
        <w:t xml:space="preserve"> </w:t>
      </w:r>
      <w:r w:rsidR="00411854">
        <w:t xml:space="preserve">establishes </w:t>
      </w:r>
      <w:r w:rsidRPr="008C4517" w:rsidR="00411854">
        <w:t>a cost category schedule</w:t>
      </w:r>
      <w:r w:rsidR="00411854">
        <w:t xml:space="preserve"> of the types of relocation expenses </w:t>
      </w:r>
      <w:r w:rsidRPr="008C4517" w:rsidR="00411854">
        <w:t xml:space="preserve">that incumbents </w:t>
      </w:r>
      <w:r w:rsidR="00411854">
        <w:t>are likely to</w:t>
      </w:r>
      <w:r w:rsidRPr="008C4517" w:rsidR="00411854">
        <w:t xml:space="preserve"> incur</w:t>
      </w:r>
      <w:r w:rsidR="00411854">
        <w:t xml:space="preserve"> and are presumptively reasonable</w:t>
      </w:r>
      <w:r>
        <w:t>.</w:t>
      </w:r>
      <w:r>
        <w:rPr>
          <w:rStyle w:val="FootnoteReference"/>
        </w:rPr>
        <w:footnoteReference w:id="5"/>
      </w:r>
      <w:r>
        <w:t xml:space="preserve">  </w:t>
      </w:r>
      <w:r>
        <w:rPr>
          <w:szCs w:val="22"/>
        </w:rPr>
        <w:t xml:space="preserve">Because </w:t>
      </w:r>
      <w:r w:rsidR="00393435">
        <w:rPr>
          <w:szCs w:val="22"/>
        </w:rPr>
        <w:t>PSSI’s</w:t>
      </w:r>
      <w:r w:rsidRPr="00E23CA2">
        <w:rPr>
          <w:szCs w:val="22"/>
        </w:rPr>
        <w:t xml:space="preserve"> </w:t>
      </w:r>
      <w:r w:rsidR="00F154FF">
        <w:rPr>
          <w:szCs w:val="22"/>
        </w:rPr>
        <w:t>request</w:t>
      </w:r>
      <w:r w:rsidRPr="00E23CA2">
        <w:rPr>
          <w:szCs w:val="22"/>
        </w:rPr>
        <w:t xml:space="preserve"> was filed </w:t>
      </w:r>
      <w:r w:rsidR="00393435">
        <w:rPr>
          <w:szCs w:val="22"/>
        </w:rPr>
        <w:t>nearly</w:t>
      </w:r>
      <w:r w:rsidR="00F154FF">
        <w:rPr>
          <w:szCs w:val="22"/>
        </w:rPr>
        <w:t xml:space="preserve"> a year</w:t>
      </w:r>
      <w:r w:rsidRPr="00E23CA2">
        <w:rPr>
          <w:szCs w:val="22"/>
        </w:rPr>
        <w:t xml:space="preserve"> after the </w:t>
      </w:r>
      <w:r w:rsidR="00513617">
        <w:rPr>
          <w:szCs w:val="22"/>
        </w:rPr>
        <w:t xml:space="preserve">applicable </w:t>
      </w:r>
      <w:r w:rsidRPr="00E23CA2">
        <w:rPr>
          <w:szCs w:val="22"/>
        </w:rPr>
        <w:t>deadline established in Section 405 of the Communications Act and the Commission’s rules</w:t>
      </w:r>
      <w:r w:rsidR="00F154FF">
        <w:rPr>
          <w:szCs w:val="22"/>
        </w:rPr>
        <w:t xml:space="preserve"> for the filing of petitions for reconsideration</w:t>
      </w:r>
      <w:r>
        <w:rPr>
          <w:rStyle w:val="FootnoteReference"/>
          <w:szCs w:val="22"/>
        </w:rPr>
        <w:footnoteReference w:id="6"/>
      </w:r>
      <w:r w:rsidR="00393435">
        <w:rPr>
          <w:szCs w:val="22"/>
        </w:rPr>
        <w:t xml:space="preserve"> </w:t>
      </w:r>
      <w:r w:rsidR="00513617">
        <w:rPr>
          <w:szCs w:val="22"/>
        </w:rPr>
        <w:t xml:space="preserve">with respect to </w:t>
      </w:r>
      <w:r w:rsidR="00393435">
        <w:rPr>
          <w:szCs w:val="22"/>
        </w:rPr>
        <w:t xml:space="preserve">the </w:t>
      </w:r>
      <w:r w:rsidRPr="00392FB9" w:rsidR="00393435">
        <w:rPr>
          <w:i/>
          <w:iCs/>
          <w:szCs w:val="22"/>
        </w:rPr>
        <w:t>Final Cost Catalog</w:t>
      </w:r>
      <w:r w:rsidRPr="00392FB9" w:rsidR="00392FB9">
        <w:rPr>
          <w:i/>
          <w:iCs/>
          <w:szCs w:val="22"/>
        </w:rPr>
        <w:t xml:space="preserve"> Public Notice</w:t>
      </w:r>
      <w:r>
        <w:rPr>
          <w:szCs w:val="22"/>
        </w:rPr>
        <w:t>,</w:t>
      </w:r>
      <w:r w:rsidRPr="00E23CA2">
        <w:rPr>
          <w:szCs w:val="22"/>
        </w:rPr>
        <w:t xml:space="preserve"> we dismiss this </w:t>
      </w:r>
      <w:r w:rsidR="00F154FF">
        <w:rPr>
          <w:szCs w:val="22"/>
        </w:rPr>
        <w:t>request</w:t>
      </w:r>
      <w:r w:rsidRPr="00E23CA2">
        <w:rPr>
          <w:szCs w:val="22"/>
        </w:rPr>
        <w:t xml:space="preserve"> as untimely.   </w:t>
      </w:r>
      <w:r w:rsidRPr="009375FB">
        <w:rPr>
          <w:szCs w:val="22"/>
        </w:rPr>
        <w:t xml:space="preserve">      </w:t>
      </w:r>
    </w:p>
    <w:p w:rsidR="004E4A91" w:rsidRPr="00F81AA3" w:rsidP="003770A7" w14:paraId="7FD4B77C" w14:textId="0768FADE">
      <w:pPr>
        <w:pStyle w:val="ParaNum"/>
        <w:widowControl/>
      </w:pPr>
      <w:r w:rsidRPr="00F81AA3">
        <w:t xml:space="preserve">In the </w:t>
      </w:r>
      <w:r w:rsidRPr="00F81AA3">
        <w:rPr>
          <w:i/>
          <w:iCs/>
        </w:rPr>
        <w:t>3.7 GHz Report and Order</w:t>
      </w:r>
      <w:r w:rsidRPr="00F81AA3">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 (</w:t>
      </w:r>
      <w:r w:rsidRPr="00F81AA3">
        <w:rPr>
          <w:i/>
          <w:iCs/>
        </w:rPr>
        <w:t>i.e</w:t>
      </w:r>
      <w:r w:rsidRPr="00F81AA3">
        <w:t>., 4.0-4.2 GHz).</w:t>
      </w:r>
      <w:r>
        <w:rPr>
          <w:sz w:val="24"/>
          <w:szCs w:val="24"/>
          <w:vertAlign w:val="superscript"/>
        </w:rPr>
        <w:footnoteReference w:id="7"/>
      </w:r>
      <w:r w:rsidRPr="00F81AA3">
        <w:t xml:space="preserve">  The </w:t>
      </w:r>
      <w:r w:rsidRPr="00F81AA3">
        <w:rPr>
          <w:i/>
          <w:iCs/>
        </w:rPr>
        <w:t xml:space="preserve">3.7 GHz Report and Order </w:t>
      </w:r>
      <w:r w:rsidRPr="00F81AA3">
        <w:t xml:space="preserve">established that new 3.7 GHz Service licensees would reimburse the reasonable, actual relocation costs of eligible </w:t>
      </w:r>
      <w:r w:rsidRPr="00F81AA3">
        <w:t>space station operators, incumbent earth station operators, and incumbent Fixed Service licensees (collectively, incumbents) to transition out of the band.</w:t>
      </w:r>
      <w:r>
        <w:rPr>
          <w:vertAlign w:val="superscript"/>
        </w:rPr>
        <w:footnoteReference w:id="8"/>
      </w:r>
      <w:r w:rsidRPr="00F81AA3">
        <w:t xml:space="preserve">  </w:t>
      </w:r>
    </w:p>
    <w:p w:rsidR="00F154FF" w:rsidP="004E4A91" w14:paraId="6697398E" w14:textId="7F35B591">
      <w:pPr>
        <w:pStyle w:val="ParaNum"/>
      </w:pPr>
      <w:r>
        <w:t xml:space="preserve">  </w:t>
      </w:r>
      <w:r>
        <w:t xml:space="preserve">To provide incumbents and new </w:t>
      </w:r>
      <w:r w:rsidRPr="00696BBE">
        <w:t xml:space="preserve">3.7 GHz Service </w:t>
      </w:r>
      <w:r>
        <w:t xml:space="preserve">licensees with a </w:t>
      </w:r>
      <w:r w:rsidRPr="008C4517">
        <w:t xml:space="preserve">range of </w:t>
      </w:r>
      <w:r w:rsidR="00CE4BCA">
        <w:t xml:space="preserve">presumptively </w:t>
      </w:r>
      <w:r w:rsidRPr="008C4517">
        <w:t>reasonable transition costs</w:t>
      </w:r>
      <w:r>
        <w:t xml:space="preserve">, the </w:t>
      </w:r>
      <w:r w:rsidRPr="008C4517">
        <w:rPr>
          <w:i/>
        </w:rPr>
        <w:t xml:space="preserve">3.7 GHz </w:t>
      </w:r>
      <w:r>
        <w:rPr>
          <w:i/>
        </w:rPr>
        <w:t>Report and Order</w:t>
      </w:r>
      <w:r w:rsidRPr="00845D15">
        <w:t xml:space="preserve"> </w:t>
      </w:r>
      <w:r w:rsidRPr="008C4517">
        <w:t>direct</w:t>
      </w:r>
      <w:r>
        <w:t>ed</w:t>
      </w:r>
      <w:r w:rsidRPr="008C4517">
        <w:t xml:space="preserve"> the Bureau to establish a cost category schedule</w:t>
      </w:r>
      <w:r>
        <w:t xml:space="preserve"> of the types of expenses </w:t>
      </w:r>
      <w:r w:rsidRPr="008C4517">
        <w:t xml:space="preserve">that incumbents </w:t>
      </w:r>
      <w:r>
        <w:t>are likely to</w:t>
      </w:r>
      <w:r w:rsidRPr="008C4517">
        <w:t xml:space="preserve"> incur.</w:t>
      </w:r>
      <w:r>
        <w:rPr>
          <w:rStyle w:val="FootnoteReference"/>
          <w:sz w:val="24"/>
          <w:szCs w:val="24"/>
        </w:rPr>
        <w:footnoteReference w:id="9"/>
      </w:r>
      <w:r w:rsidRPr="008C4517">
        <w:t xml:space="preserve">  </w:t>
      </w:r>
      <w:r>
        <w:t xml:space="preserve">The </w:t>
      </w:r>
      <w:r w:rsidRPr="008C4517">
        <w:rPr>
          <w:i/>
        </w:rPr>
        <w:t xml:space="preserve">3.7 GHz </w:t>
      </w:r>
      <w:r>
        <w:rPr>
          <w:i/>
        </w:rPr>
        <w:t>Report and Order</w:t>
      </w:r>
      <w:r>
        <w:t xml:space="preserve"> provided for the creation of a Relocation Payment Clearinghouse (Clearinghouse) to </w:t>
      </w:r>
      <w:r w:rsidRPr="007238F2">
        <w:t>oversee the cost-related aspects of the transition</w:t>
      </w:r>
      <w:r>
        <w:t>, including collecting relocation payments from overlay licensees and disbursing those payments to incumbents.</w:t>
      </w:r>
      <w:r>
        <w:rPr>
          <w:rStyle w:val="FootnoteReference"/>
          <w:szCs w:val="24"/>
        </w:rPr>
        <w:footnoteReference w:id="10"/>
      </w:r>
      <w:r>
        <w:t xml:space="preserve">  In determining the reasonableness of costs for which incumbents seek reimbursement, the </w:t>
      </w:r>
      <w:r w:rsidRPr="008C4517">
        <w:rPr>
          <w:i/>
        </w:rPr>
        <w:t xml:space="preserve">3.7 GHz </w:t>
      </w:r>
      <w:r>
        <w:rPr>
          <w:i/>
        </w:rPr>
        <w:t>Report and Order</w:t>
      </w:r>
      <w:r>
        <w:t xml:space="preserve"> </w:t>
      </w:r>
      <w:bookmarkStart w:id="3" w:name="_Hlk43730356"/>
      <w:r w:rsidRPr="001F31C6">
        <w:t>provided</w:t>
      </w:r>
      <w:bookmarkEnd w:id="3"/>
      <w:r>
        <w:t xml:space="preserve"> that the Clearinghouse </w:t>
      </w:r>
      <w:r w:rsidRPr="001F31C6">
        <w:t>would</w:t>
      </w:r>
      <w:r>
        <w:t xml:space="preserve"> presume as reasonable all </w:t>
      </w:r>
      <w:r w:rsidRPr="00237389">
        <w:t xml:space="preserve">submissions that fall within the estimated range of costs in the </w:t>
      </w:r>
      <w:r>
        <w:t xml:space="preserve">final </w:t>
      </w:r>
      <w:r w:rsidRPr="00237389">
        <w:t>cost category schedule.</w:t>
      </w:r>
      <w:r>
        <w:rPr>
          <w:rStyle w:val="FootnoteReference"/>
          <w:szCs w:val="24"/>
        </w:rPr>
        <w:footnoteReference w:id="11"/>
      </w:r>
      <w:r>
        <w:t xml:space="preserve">  Incumbent earth station operators, satellite operators, and Fixed Service licensees are not precluded, however, from obtaining reimbursement for their actual costs that </w:t>
      </w:r>
      <w:r w:rsidR="000541EC">
        <w:t xml:space="preserve">either fall outside of or </w:t>
      </w:r>
      <w:r>
        <w:t>exceed the amounts in the Cost Catalog, so long as those costs are reasonably necessary to the transition, and incumbents provide justification to the Clearinghouse.</w:t>
      </w:r>
      <w:r>
        <w:rPr>
          <w:rStyle w:val="FootnoteReference"/>
        </w:rPr>
        <w:footnoteReference w:id="12"/>
      </w:r>
    </w:p>
    <w:p w:rsidR="00F154FF" w:rsidP="00F154FF" w14:paraId="649767E1" w14:textId="08BF4D1D">
      <w:pPr>
        <w:pStyle w:val="ParaNum"/>
      </w:pPr>
      <w:r w:rsidRPr="00C25CC2">
        <w:t xml:space="preserve">The </w:t>
      </w:r>
      <w:r w:rsidRPr="00C25CC2">
        <w:rPr>
          <w:i/>
        </w:rPr>
        <w:t xml:space="preserve">3.7 GHz Report and Order </w:t>
      </w:r>
      <w:r w:rsidRPr="00C25CC2">
        <w:t xml:space="preserve">also established that incumbent earth station operators may </w:t>
      </w:r>
      <w:r w:rsidRPr="00153F8E">
        <w:t>accept either</w:t>
      </w:r>
      <w:r w:rsidRPr="00C25CC2">
        <w:t xml:space="preserve">: </w:t>
      </w:r>
      <w:r>
        <w:t xml:space="preserve"> </w:t>
      </w:r>
      <w:r w:rsidRPr="00C25CC2">
        <w:t xml:space="preserve">(1) reimbursement for their actual reasonable relocation costs </w:t>
      </w:r>
      <w:r>
        <w:t>to</w:t>
      </w:r>
      <w:r w:rsidRPr="00C25CC2">
        <w:t xml:space="preserve"> maintain satellite reception; or (2) a lump sum reimbursement “based on the average, estimated costs of relocating all of their incumbent earth stations” to the upper 200 megahertz of the C-band</w:t>
      </w:r>
      <w:r w:rsidRPr="00112B50">
        <w:t>.</w:t>
      </w:r>
      <w:r>
        <w:rPr>
          <w:vertAlign w:val="superscript"/>
        </w:rPr>
        <w:footnoteReference w:id="13"/>
      </w:r>
      <w:r w:rsidRPr="00112B50">
        <w:t xml:space="preserve">  </w:t>
      </w:r>
      <w:r w:rsidRPr="00C25CC2">
        <w:t xml:space="preserve">The </w:t>
      </w:r>
      <w:r w:rsidRPr="00C25CC2">
        <w:rPr>
          <w:i/>
        </w:rPr>
        <w:t xml:space="preserve">3.7 GHz Report and Order </w:t>
      </w:r>
      <w:r>
        <w:t>directed the Bureau to “</w:t>
      </w:r>
      <w:r w:rsidRPr="00730C24">
        <w:t>announce the lump sum that will</w:t>
      </w:r>
      <w:r>
        <w:t xml:space="preserve"> </w:t>
      </w:r>
      <w:r w:rsidRPr="00730C24">
        <w:t xml:space="preserve">be available per incumbent earth station </w:t>
      </w:r>
      <w:r w:rsidRPr="00730C24">
        <w:t>as well as the process for electing lump sum payments</w:t>
      </w:r>
      <w:r w:rsidRPr="006E7F2B">
        <w:t>” and provided that the Bureau should identify lump sum amounts for various classes of earth stations as appropriate.</w:t>
      </w:r>
      <w:r>
        <w:rPr>
          <w:vertAlign w:val="superscript"/>
        </w:rPr>
        <w:footnoteReference w:id="14"/>
      </w:r>
      <w:r w:rsidRPr="006E7F2B">
        <w:t xml:space="preserve"> </w:t>
      </w:r>
      <w:r>
        <w:t xml:space="preserve"> </w:t>
      </w:r>
    </w:p>
    <w:p w:rsidR="00F154FF" w:rsidP="00F154FF" w14:paraId="6DAEA66F" w14:textId="23955CC8">
      <w:pPr>
        <w:pStyle w:val="ParaNum"/>
      </w:pPr>
      <w:r>
        <w:t>T</w:t>
      </w:r>
      <w:r w:rsidRPr="008C4517">
        <w:t>he Commission engaged a third-party contractor</w:t>
      </w:r>
      <w:r>
        <w:t xml:space="preserve">, </w:t>
      </w:r>
      <w:r w:rsidRPr="002464D8">
        <w:t>RKF Engineering Solutions</w:t>
      </w:r>
      <w:r>
        <w:t>,</w:t>
      </w:r>
      <w:r w:rsidRPr="002464D8">
        <w:t xml:space="preserve"> LLC</w:t>
      </w:r>
      <w:r>
        <w:t xml:space="preserve"> (RKF),</w:t>
      </w:r>
      <w:r w:rsidRPr="008C4517">
        <w:t xml:space="preserve"> to </w:t>
      </w:r>
      <w:r>
        <w:t xml:space="preserve">assist in </w:t>
      </w:r>
      <w:r w:rsidRPr="008C4517">
        <w:t>identify</w:t>
      </w:r>
      <w:r>
        <w:t>ing</w:t>
      </w:r>
      <w:r w:rsidRPr="008C4517">
        <w:t xml:space="preserve"> </w:t>
      </w:r>
      <w:r w:rsidRPr="00F7517E">
        <w:t xml:space="preserve">the </w:t>
      </w:r>
      <w:r w:rsidRPr="008C4517">
        <w:t xml:space="preserve">costs </w:t>
      </w:r>
      <w:r>
        <w:t xml:space="preserve">that </w:t>
      </w:r>
      <w:r w:rsidRPr="008C4517">
        <w:t>incumbents might incur</w:t>
      </w:r>
      <w:r>
        <w:t>, developing a cost category schedule, and calculating the lump sum payment amounts</w:t>
      </w:r>
      <w:r w:rsidRPr="008C4517">
        <w:t xml:space="preserve">.  </w:t>
      </w:r>
      <w:r>
        <w:t>To compile the information needed to develop a cost cata</w:t>
      </w:r>
      <w:r w:rsidRPr="002B777E">
        <w:t>log</w:t>
      </w:r>
      <w:r>
        <w:t xml:space="preserve">, RKF considered the </w:t>
      </w:r>
      <w:r w:rsidRPr="008C4517">
        <w:rPr>
          <w:i/>
        </w:rPr>
        <w:t xml:space="preserve">3.7 GHz </w:t>
      </w:r>
      <w:r>
        <w:rPr>
          <w:i/>
        </w:rPr>
        <w:t xml:space="preserve">Report and </w:t>
      </w:r>
      <w:r w:rsidRPr="0058081A">
        <w:rPr>
          <w:i/>
        </w:rPr>
        <w:t>Order</w:t>
      </w:r>
      <w:r>
        <w:t xml:space="preserve">’s </w:t>
      </w:r>
      <w:r w:rsidRPr="0058081A">
        <w:t>initial</w:t>
      </w:r>
      <w:r w:rsidRPr="008C4517">
        <w:t xml:space="preserve"> </w:t>
      </w:r>
      <w:r>
        <w:t>relocation cost estimates, derived from comments and filings in the record</w:t>
      </w:r>
      <w:r w:rsidRPr="008C4517">
        <w:t>,</w:t>
      </w:r>
      <w:r>
        <w:rPr>
          <w:rStyle w:val="FootnoteReference"/>
          <w:szCs w:val="24"/>
        </w:rPr>
        <w:footnoteReference w:id="15"/>
      </w:r>
      <w:r>
        <w:t xml:space="preserve"> and</w:t>
      </w:r>
      <w:r w:rsidRPr="008C4517">
        <w:t xml:space="preserve"> </w:t>
      </w:r>
      <w:r w:rsidRPr="00E50AED">
        <w:t xml:space="preserve">it then </w:t>
      </w:r>
      <w:r>
        <w:t>conducted confidential</w:t>
      </w:r>
      <w:r w:rsidRPr="00B44CE4">
        <w:rPr>
          <w:rStyle w:val="CommentReference"/>
          <w:sz w:val="24"/>
          <w:szCs w:val="24"/>
        </w:rPr>
        <w:t xml:space="preserve"> </w:t>
      </w:r>
      <w:r>
        <w:t>interviews with a broad range of stakeholders, including satellite operators, earth station operators, Fixed Service licensees, and vendors.</w:t>
      </w:r>
      <w:r>
        <w:rPr>
          <w:rStyle w:val="FootnoteReference"/>
          <w:szCs w:val="24"/>
        </w:rPr>
        <w:footnoteReference w:id="16"/>
      </w:r>
      <w:r>
        <w:t xml:space="preserve">  </w:t>
      </w:r>
      <w:r w:rsidRPr="008C4517">
        <w:t xml:space="preserve">With </w:t>
      </w:r>
      <w:r w:rsidRPr="00272B19">
        <w:t xml:space="preserve">input </w:t>
      </w:r>
      <w:r>
        <w:t>from RKF</w:t>
      </w:r>
      <w:r w:rsidRPr="00685CCB">
        <w:t>,</w:t>
      </w:r>
      <w:r>
        <w:t xml:space="preserve"> </w:t>
      </w:r>
      <w:r w:rsidRPr="008C4517">
        <w:t>the Bureau developed</w:t>
      </w:r>
      <w:r>
        <w:t xml:space="preserve"> a preliminary c</w:t>
      </w:r>
      <w:r w:rsidRPr="008C4517">
        <w:t xml:space="preserve">ost </w:t>
      </w:r>
      <w:r>
        <w:t>c</w:t>
      </w:r>
      <w:r w:rsidRPr="008C4517">
        <w:t>atalog</w:t>
      </w:r>
      <w:r>
        <w:t>, which it released for public comment</w:t>
      </w:r>
      <w:r w:rsidR="000C2D80">
        <w:t xml:space="preserve"> on April 27, 2020</w:t>
      </w:r>
      <w:r w:rsidRPr="008C4517">
        <w:t>.</w:t>
      </w:r>
      <w:r>
        <w:rPr>
          <w:rStyle w:val="FootnoteReference"/>
          <w:szCs w:val="24"/>
        </w:rPr>
        <w:footnoteReference w:id="17"/>
      </w:r>
      <w:r w:rsidR="000C2D80">
        <w:t xml:space="preserve">  Comments on the preliminary cost catalog were due May 14, 2020.</w:t>
      </w:r>
      <w:r>
        <w:rPr>
          <w:rStyle w:val="FootnoteReference"/>
        </w:rPr>
        <w:footnoteReference w:id="18"/>
      </w:r>
      <w:r>
        <w:t xml:space="preserve">  The preliminary cost catalog included classes of earth stations for which the Bureau would establish lump sum payments.  After review of the record, the Bureau issued a public notice seeking further comment on a revised list of earth station classes, preliminary lump sum payment amounts, and the methodology for calculating those amounts.</w:t>
      </w:r>
      <w:r>
        <w:rPr>
          <w:rStyle w:val="FootnoteReference"/>
          <w:szCs w:val="24"/>
        </w:rPr>
        <w:footnoteReference w:id="19"/>
      </w:r>
      <w:r>
        <w:t xml:space="preserve">  After considering the comments in response to the </w:t>
      </w:r>
      <w:r w:rsidRPr="00C46F4D">
        <w:rPr>
          <w:i/>
        </w:rPr>
        <w:t>Cost Catalog Comment Public Notice</w:t>
      </w:r>
      <w:r w:rsidRPr="00C46F4D">
        <w:t xml:space="preserve"> </w:t>
      </w:r>
      <w:r>
        <w:t xml:space="preserve">and the </w:t>
      </w:r>
      <w:r w:rsidRPr="00C46F4D">
        <w:rPr>
          <w:i/>
        </w:rPr>
        <w:t>Lump Sum Comment Public Notice</w:t>
      </w:r>
      <w:r>
        <w:t>,</w:t>
      </w:r>
      <w:r>
        <w:rPr>
          <w:rStyle w:val="FootnoteReference"/>
        </w:rPr>
        <w:footnoteReference w:id="20"/>
      </w:r>
      <w:r>
        <w:t xml:space="preserve"> </w:t>
      </w:r>
      <w:r w:rsidR="00EB12F0">
        <w:t xml:space="preserve">on July 30, 2020, </w:t>
      </w:r>
      <w:r>
        <w:t xml:space="preserve">the Bureau released the </w:t>
      </w:r>
      <w:r w:rsidRPr="0010436D" w:rsidR="0010436D">
        <w:rPr>
          <w:i/>
          <w:iCs/>
        </w:rPr>
        <w:t>F</w:t>
      </w:r>
      <w:r w:rsidRPr="0010436D">
        <w:rPr>
          <w:i/>
          <w:iCs/>
        </w:rPr>
        <w:t>inal Cost Catalog</w:t>
      </w:r>
      <w:r w:rsidRPr="0010436D" w:rsidR="0010436D">
        <w:rPr>
          <w:i/>
          <w:iCs/>
        </w:rPr>
        <w:t xml:space="preserve"> Public Notice</w:t>
      </w:r>
      <w:r>
        <w:t>.</w:t>
      </w:r>
      <w:r>
        <w:rPr>
          <w:rStyle w:val="FootnoteReference"/>
        </w:rPr>
        <w:footnoteReference w:id="21"/>
      </w:r>
    </w:p>
    <w:p w:rsidR="004E4A91" w:rsidP="003770A7" w14:paraId="48463FAA" w14:textId="2C9A1B1A">
      <w:pPr>
        <w:pStyle w:val="ParaNum"/>
        <w:widowControl/>
      </w:pPr>
      <w:r>
        <w:t xml:space="preserve">On </w:t>
      </w:r>
      <w:r w:rsidR="0010436D">
        <w:t>July</w:t>
      </w:r>
      <w:r>
        <w:t xml:space="preserve"> </w:t>
      </w:r>
      <w:r w:rsidR="0010436D">
        <w:t>12</w:t>
      </w:r>
      <w:r>
        <w:t>, 20</w:t>
      </w:r>
      <w:r w:rsidR="00F154FF">
        <w:t>21</w:t>
      </w:r>
      <w:r>
        <w:t xml:space="preserve">, </w:t>
      </w:r>
      <w:r w:rsidR="00F154FF">
        <w:t>PSSI</w:t>
      </w:r>
      <w:r>
        <w:t xml:space="preserve"> filed the pending </w:t>
      </w:r>
      <w:r w:rsidR="00F154FF">
        <w:t>request</w:t>
      </w:r>
      <w:r w:rsidR="0018371B">
        <w:t>, in which it</w:t>
      </w:r>
      <w:r>
        <w:t xml:space="preserve"> </w:t>
      </w:r>
      <w:r w:rsidR="007755C9">
        <w:t xml:space="preserve">“seeks adjustment of the </w:t>
      </w:r>
      <w:r w:rsidRPr="0010436D" w:rsidR="000300A0">
        <w:rPr>
          <w:i/>
          <w:iCs/>
        </w:rPr>
        <w:t>Final Cost Catalog Public Notice</w:t>
      </w:r>
      <w:r w:rsidR="000300A0">
        <w:t xml:space="preserve"> </w:t>
      </w:r>
      <w:r w:rsidR="007755C9">
        <w:t xml:space="preserve">to account for four types of equipment” relating to </w:t>
      </w:r>
      <w:r w:rsidR="00DB0F7D">
        <w:t xml:space="preserve">the </w:t>
      </w:r>
      <w:r w:rsidR="006E5CD3">
        <w:t xml:space="preserve">transition of </w:t>
      </w:r>
      <w:r w:rsidR="007755C9">
        <w:t>TFEs</w:t>
      </w:r>
      <w:r w:rsidR="00DB0F7D">
        <w:t xml:space="preserve"> that it operates</w:t>
      </w:r>
      <w:r w:rsidR="007755C9">
        <w:t>:  feed assemblies; compression equipment; low-noise block downconverters; and testing equipment for use at live event sites.</w:t>
      </w:r>
      <w:r>
        <w:rPr>
          <w:rStyle w:val="FootnoteReference"/>
        </w:rPr>
        <w:footnoteReference w:id="22"/>
      </w:r>
      <w:r w:rsidR="007755C9">
        <w:t xml:space="preserve">  PSSI </w:t>
      </w:r>
      <w:r w:rsidR="000300A0">
        <w:t xml:space="preserve">indicates that it </w:t>
      </w:r>
      <w:r w:rsidR="00086A7E">
        <w:t xml:space="preserve">“will itself assume the responsibility for the turnkey migration of its earth stations” and </w:t>
      </w:r>
      <w:r w:rsidR="00411854">
        <w:t>directly</w:t>
      </w:r>
      <w:r w:rsidR="007755C9">
        <w:t xml:space="preserve"> submit all of its transition </w:t>
      </w:r>
      <w:r w:rsidR="00DB0F7D">
        <w:t xml:space="preserve">cost claims </w:t>
      </w:r>
      <w:r w:rsidR="007755C9">
        <w:t>to the Clearinghouse</w:t>
      </w:r>
      <w:r w:rsidR="00086A7E">
        <w:t>.</w:t>
      </w:r>
      <w:r>
        <w:rPr>
          <w:rStyle w:val="FootnoteReference"/>
        </w:rPr>
        <w:footnoteReference w:id="23"/>
      </w:r>
      <w:r w:rsidR="00A12B0B">
        <w:t xml:space="preserve">  </w:t>
      </w:r>
      <w:r w:rsidR="00086A7E">
        <w:t xml:space="preserve">PSSI </w:t>
      </w:r>
      <w:r w:rsidR="007755C9">
        <w:t xml:space="preserve">argues that the four categories of equipment mentioned above should be </w:t>
      </w:r>
      <w:r w:rsidR="007755C9">
        <w:t xml:space="preserve">specifically included in the </w:t>
      </w:r>
      <w:r w:rsidRPr="0010436D" w:rsidR="000300A0">
        <w:rPr>
          <w:i/>
          <w:iCs/>
        </w:rPr>
        <w:t>Final Cost Catalog Public Notice</w:t>
      </w:r>
      <w:r w:rsidR="000300A0">
        <w:t xml:space="preserve"> </w:t>
      </w:r>
      <w:r w:rsidR="007755C9">
        <w:t>as line items that would be presumptively reasonable for the transitioning of TFE systems.</w:t>
      </w:r>
      <w:r>
        <w:rPr>
          <w:rStyle w:val="FootnoteReference"/>
        </w:rPr>
        <w:footnoteReference w:id="24"/>
      </w:r>
      <w:r>
        <w:t xml:space="preserve">  </w:t>
      </w:r>
      <w:r w:rsidR="008D49C1">
        <w:t xml:space="preserve">   </w:t>
      </w:r>
    </w:p>
    <w:p w:rsidR="004E4A91" w:rsidP="004E4A91" w14:paraId="437CCF3B" w14:textId="596357B7">
      <w:pPr>
        <w:pStyle w:val="ParaNum"/>
      </w:pPr>
      <w:r>
        <w:t xml:space="preserve">We reject the PSSI letter request as an untimely petition for reconsideration of the </w:t>
      </w:r>
      <w:r w:rsidRPr="0010436D">
        <w:rPr>
          <w:i/>
          <w:iCs/>
        </w:rPr>
        <w:t>Final Cost Catalog Public Notice</w:t>
      </w:r>
      <w:r>
        <w:t xml:space="preserve">.  </w:t>
      </w:r>
      <w:r>
        <w:t>Under Section 405 of the Communications Act of 1934, any party in a proceeding may file a petition of reconsideration within 30 days of public notice of the decision.</w:t>
      </w:r>
      <w:r>
        <w:rPr>
          <w:rStyle w:val="FootnoteReference"/>
        </w:rPr>
        <w:footnoteReference w:id="25"/>
      </w:r>
      <w:r>
        <w:t xml:space="preserve">  The issue raised by </w:t>
      </w:r>
      <w:r w:rsidR="0010436D">
        <w:t xml:space="preserve">PSSI’s </w:t>
      </w:r>
      <w:r>
        <w:t xml:space="preserve">letter </w:t>
      </w:r>
      <w:r w:rsidR="0010436D">
        <w:t>request</w:t>
      </w:r>
      <w:r>
        <w:t>—</w:t>
      </w:r>
      <w:r w:rsidR="000C2D80">
        <w:t xml:space="preserve">the </w:t>
      </w:r>
      <w:r w:rsidR="000300A0">
        <w:t xml:space="preserve">types of </w:t>
      </w:r>
      <w:r w:rsidR="000541EC">
        <w:t xml:space="preserve">transition </w:t>
      </w:r>
      <w:r w:rsidR="000300A0">
        <w:t xml:space="preserve">expenses </w:t>
      </w:r>
      <w:r w:rsidRPr="008C4517" w:rsidR="000300A0">
        <w:t xml:space="preserve">that incumbents </w:t>
      </w:r>
      <w:r w:rsidR="000300A0">
        <w:t>are likely to</w:t>
      </w:r>
      <w:r w:rsidRPr="008C4517" w:rsidR="000300A0">
        <w:t xml:space="preserve"> incur</w:t>
      </w:r>
      <w:r w:rsidR="000300A0">
        <w:t xml:space="preserve"> </w:t>
      </w:r>
      <w:r w:rsidR="000541EC">
        <w:t>and should be identified as</w:t>
      </w:r>
      <w:r>
        <w:t xml:space="preserve"> presumptively reasonable </w:t>
      </w:r>
      <w:r>
        <w:t xml:space="preserve">—was decided in the </w:t>
      </w:r>
      <w:r w:rsidRPr="0010436D" w:rsidR="000F0E71">
        <w:rPr>
          <w:i/>
          <w:iCs/>
        </w:rPr>
        <w:t>Final Cost Catalog Public Notice</w:t>
      </w:r>
      <w:r w:rsidR="001546EA">
        <w:t xml:space="preserve">, which published in the Federal Register on </w:t>
      </w:r>
      <w:r w:rsidR="00CE4BCA">
        <w:t>August 4, 2020</w:t>
      </w:r>
      <w:r w:rsidR="001546EA">
        <w:t>, making the deadline for filing a petition for reconsideration September 3, 2020</w:t>
      </w:r>
      <w:r w:rsidR="00A53AEC">
        <w:t>.</w:t>
      </w:r>
      <w:r>
        <w:rPr>
          <w:rStyle w:val="FootnoteReference"/>
        </w:rPr>
        <w:footnoteReference w:id="26"/>
      </w:r>
      <w:r>
        <w:t xml:space="preserve">  </w:t>
      </w:r>
      <w:r>
        <w:t xml:space="preserve">We note that all earth station operators, including PSSI and other </w:t>
      </w:r>
      <w:r w:rsidR="00C86216">
        <w:t xml:space="preserve">incumbent </w:t>
      </w:r>
      <w:r>
        <w:t xml:space="preserve">TFE operators, had an opportunity to comment on and participate in development </w:t>
      </w:r>
      <w:r w:rsidR="00DB0F7D">
        <w:t xml:space="preserve">of the </w:t>
      </w:r>
      <w:r w:rsidRPr="0010436D" w:rsidR="00DB0F7D">
        <w:rPr>
          <w:i/>
          <w:iCs/>
        </w:rPr>
        <w:t>Final Cost Catalog Public Notice</w:t>
      </w:r>
      <w:r w:rsidR="00DB0F7D">
        <w:t xml:space="preserve"> and to file a </w:t>
      </w:r>
      <w:r w:rsidR="001546EA">
        <w:t xml:space="preserve">timely </w:t>
      </w:r>
      <w:r w:rsidR="00DB0F7D">
        <w:t xml:space="preserve">petition for reconsideration.  </w:t>
      </w:r>
      <w:r w:rsidR="001546EA">
        <w:t xml:space="preserve">Because PSSI’s letter request asks the Bureau to reconsider its determination in the </w:t>
      </w:r>
      <w:r w:rsidRPr="0010436D" w:rsidR="001546EA">
        <w:rPr>
          <w:i/>
          <w:iCs/>
        </w:rPr>
        <w:t>Final Cost Catalog Public Notice</w:t>
      </w:r>
      <w:r>
        <w:t xml:space="preserve">, the Bureau finds that </w:t>
      </w:r>
      <w:r w:rsidR="000F0E71">
        <w:t xml:space="preserve">PSSI’s </w:t>
      </w:r>
      <w:r w:rsidR="002B2030">
        <w:t>r</w:t>
      </w:r>
      <w:r w:rsidR="000F0E71">
        <w:t>equest</w:t>
      </w:r>
      <w:r>
        <w:t xml:space="preserve"> is </w:t>
      </w:r>
      <w:r w:rsidR="00DB0F7D">
        <w:t xml:space="preserve">an </w:t>
      </w:r>
      <w:r>
        <w:t xml:space="preserve">untimely </w:t>
      </w:r>
      <w:r w:rsidR="00DB0F7D">
        <w:t xml:space="preserve">petition for reconsideration </w:t>
      </w:r>
      <w:r>
        <w:t>and dismisses it on that basis.</w:t>
      </w:r>
      <w:r>
        <w:rPr>
          <w:rStyle w:val="FootnoteReference"/>
        </w:rPr>
        <w:footnoteReference w:id="27"/>
      </w:r>
      <w:r>
        <w:t xml:space="preserve">  </w:t>
      </w:r>
    </w:p>
    <w:p w:rsidR="004447D9" w:rsidP="004E4A91" w14:paraId="5E8DCF26" w14:textId="2A8064EB">
      <w:pPr>
        <w:pStyle w:val="ParaNum"/>
      </w:pPr>
      <w:r>
        <w:t xml:space="preserve">To the extent that PSSI believes the equipment it seeks to have included in the </w:t>
      </w:r>
      <w:r w:rsidRPr="0010436D">
        <w:rPr>
          <w:i/>
          <w:iCs/>
        </w:rPr>
        <w:t>Final Cost Catalog Public Notice</w:t>
      </w:r>
      <w:r>
        <w:t xml:space="preserve"> is </w:t>
      </w:r>
      <w:r w:rsidR="005B4EEC">
        <w:t xml:space="preserve">reasonable and </w:t>
      </w:r>
      <w:r>
        <w:t xml:space="preserve">necessary for </w:t>
      </w:r>
      <w:r>
        <w:t>the C-band</w:t>
      </w:r>
      <w:r>
        <w:t xml:space="preserve"> transition, </w:t>
      </w:r>
      <w:r w:rsidR="007755C9">
        <w:t>PSSI</w:t>
      </w:r>
      <w:r>
        <w:t xml:space="preserve"> is able to submit its actual costs for such claims with the Clearinghouse pursuant to the process set out in the </w:t>
      </w:r>
      <w:r w:rsidRPr="008C4517" w:rsidR="007755C9">
        <w:rPr>
          <w:i/>
        </w:rPr>
        <w:t xml:space="preserve">3.7 GHz </w:t>
      </w:r>
      <w:r w:rsidR="007755C9">
        <w:rPr>
          <w:i/>
        </w:rPr>
        <w:t>Report and Order.</w:t>
      </w:r>
      <w:r>
        <w:rPr>
          <w:rStyle w:val="FootnoteReference"/>
          <w:i/>
        </w:rPr>
        <w:footnoteReference w:id="28"/>
      </w:r>
      <w:r w:rsidR="007755C9">
        <w:rPr>
          <w:i/>
        </w:rPr>
        <w:t xml:space="preserve">  </w:t>
      </w:r>
      <w:r w:rsidR="008020FB">
        <w:t xml:space="preserve">This </w:t>
      </w:r>
      <w:r w:rsidRPr="008020FB" w:rsidR="008020FB">
        <w:rPr>
          <w:i/>
          <w:iCs/>
        </w:rPr>
        <w:t>Order</w:t>
      </w:r>
      <w:r w:rsidR="008020FB">
        <w:t xml:space="preserve"> is without prejudice to any determination of the reasonableness or necessity of PSSI’s claims, which would be addressed in the first instance by the Clearinghouse.  </w:t>
      </w:r>
      <w:r w:rsidR="007755C9">
        <w:rPr>
          <w:iCs/>
        </w:rPr>
        <w:t xml:space="preserve">If </w:t>
      </w:r>
      <w:r>
        <w:t>the</w:t>
      </w:r>
      <w:r w:rsidR="008020FB">
        <w:t xml:space="preserve"> </w:t>
      </w:r>
      <w:r>
        <w:t xml:space="preserve">Clearinghouse ultimately denies PSSI’s </w:t>
      </w:r>
      <w:r w:rsidR="00A96EA9">
        <w:t xml:space="preserve">submitted </w:t>
      </w:r>
      <w:r>
        <w:t xml:space="preserve">claims as not </w:t>
      </w:r>
      <w:r w:rsidR="005B4EEC">
        <w:t xml:space="preserve">reasonable or </w:t>
      </w:r>
      <w:r>
        <w:t xml:space="preserve">necessary for the </w:t>
      </w:r>
      <w:r>
        <w:t xml:space="preserve">C-band </w:t>
      </w:r>
      <w:r>
        <w:t xml:space="preserve">transition, the </w:t>
      </w:r>
      <w:r w:rsidRPr="008C4517" w:rsidR="007755C9">
        <w:rPr>
          <w:i/>
        </w:rPr>
        <w:t xml:space="preserve">3.7 GHz </w:t>
      </w:r>
      <w:r w:rsidR="007755C9">
        <w:rPr>
          <w:i/>
        </w:rPr>
        <w:t>Report and Order</w:t>
      </w:r>
      <w:r w:rsidR="007755C9">
        <w:t xml:space="preserve"> also</w:t>
      </w:r>
      <w:r>
        <w:t xml:space="preserve"> established a dispute resolution process pursuant to which PSSI could object to that </w:t>
      </w:r>
      <w:r>
        <w:t xml:space="preserve">Clearinghouse </w:t>
      </w:r>
      <w:r>
        <w:t xml:space="preserve">decision and </w:t>
      </w:r>
      <w:r w:rsidR="007755C9">
        <w:t xml:space="preserve">ultimately </w:t>
      </w:r>
      <w:r>
        <w:t xml:space="preserve">appeal to the </w:t>
      </w:r>
      <w:r w:rsidR="007755C9">
        <w:t>Bureau</w:t>
      </w:r>
      <w:r>
        <w:t>.</w:t>
      </w:r>
      <w:r>
        <w:rPr>
          <w:rStyle w:val="FootnoteReference"/>
        </w:rPr>
        <w:footnoteReference w:id="29"/>
      </w:r>
      <w:r>
        <w:t xml:space="preserve">  </w:t>
      </w:r>
    </w:p>
    <w:p w:rsidR="004447D9" w:rsidP="009F3791" w14:paraId="7BFD6105" w14:textId="39DE1323">
      <w:pPr>
        <w:pStyle w:val="ParaNum"/>
      </w:pPr>
      <w:r w:rsidRPr="00F425C2">
        <w:t>In anticipation of any such claims, we address here</w:t>
      </w:r>
      <w:r w:rsidR="00F425C2">
        <w:t xml:space="preserve"> </w:t>
      </w:r>
      <w:r w:rsidRPr="00F425C2">
        <w:t>P</w:t>
      </w:r>
      <w:r>
        <w:t>SSI</w:t>
      </w:r>
      <w:r w:rsidR="00792AD3">
        <w:t>’s</w:t>
      </w:r>
      <w:r>
        <w:t xml:space="preserve"> </w:t>
      </w:r>
      <w:r w:rsidR="00792AD3">
        <w:t xml:space="preserve">statement in its request </w:t>
      </w:r>
      <w:r>
        <w:t>that “from a legal perspective</w:t>
      </w:r>
      <w:r w:rsidR="00A53AEC">
        <w:t xml:space="preserve"> . . . </w:t>
      </w:r>
      <w:r>
        <w:t>the Commission is now estopped from denying PSSI inclusion of compressed equipment in the Cost Catalog and reimbursement for such equipment”</w:t>
      </w:r>
      <w:r w:rsidR="00792AD3">
        <w:t xml:space="preserve"> because in opposing </w:t>
      </w:r>
      <w:r w:rsidR="00792AD3">
        <w:t xml:space="preserve">PSSI’s judicial challenge to the </w:t>
      </w:r>
      <w:r w:rsidRPr="008C4517" w:rsidR="00792AD3">
        <w:rPr>
          <w:i/>
        </w:rPr>
        <w:t xml:space="preserve">3.7 GHz </w:t>
      </w:r>
      <w:r w:rsidR="00792AD3">
        <w:rPr>
          <w:i/>
        </w:rPr>
        <w:t>Report and Order</w:t>
      </w:r>
      <w:r w:rsidR="00792AD3">
        <w:t xml:space="preserve"> the Commission “specifically cited to [compression] equipment as preventing harm to PSSI.”</w:t>
      </w:r>
      <w:r>
        <w:rPr>
          <w:rStyle w:val="FootnoteReference"/>
        </w:rPr>
        <w:footnoteReference w:id="30"/>
      </w:r>
      <w:r>
        <w:t xml:space="preserve">  To the contrary, the Commission has never represented that PSSI</w:t>
      </w:r>
      <w:r w:rsidR="00E210A4">
        <w:t>—or any other incumbent</w:t>
      </w:r>
      <w:r w:rsidR="00A53AEC">
        <w:t>—</w:t>
      </w:r>
      <w:r>
        <w:t xml:space="preserve">would necessarily require or be reimbursed for any particular </w:t>
      </w:r>
      <w:r w:rsidR="005B4EEC">
        <w:t xml:space="preserve">equipment or </w:t>
      </w:r>
      <w:r>
        <w:t xml:space="preserve">upgrades.  The </w:t>
      </w:r>
      <w:r w:rsidRPr="008C4517">
        <w:rPr>
          <w:i/>
        </w:rPr>
        <w:t xml:space="preserve">3.7 GHz </w:t>
      </w:r>
      <w:r>
        <w:rPr>
          <w:i/>
        </w:rPr>
        <w:t>Report and Order</w:t>
      </w:r>
      <w:r>
        <w:t xml:space="preserve"> said incumbents would be entitled to reimbursement for “reasonable,” “prudent,” and “efficient” costs that are “necessitated by the relocation” to “continue </w:t>
      </w:r>
      <w:r w:rsidR="00A53AEC">
        <w:t>. . .</w:t>
      </w:r>
      <w:r>
        <w:t xml:space="preserve"> </w:t>
      </w:r>
      <w:r>
        <w:t>provid</w:t>
      </w:r>
      <w:r>
        <w:t>[</w:t>
      </w:r>
      <w:r>
        <w:t>ing</w:t>
      </w:r>
      <w:r>
        <w:t xml:space="preserve">] substantially the same </w:t>
      </w:r>
      <w:r w:rsidR="00817B7C">
        <w:t xml:space="preserve">or better </w:t>
      </w:r>
      <w:r>
        <w:t xml:space="preserve">service” after the transition, while cautioning that incumbents would </w:t>
      </w:r>
      <w:r w:rsidRPr="005B4EEC">
        <w:t>not</w:t>
      </w:r>
      <w:r>
        <w:t xml:space="preserve"> be reimbursed for costs that are not necessary to maintain comparable service.</w:t>
      </w:r>
      <w:r>
        <w:rPr>
          <w:rStyle w:val="FootnoteReference"/>
        </w:rPr>
        <w:footnoteReference w:id="31"/>
      </w:r>
      <w:r>
        <w:t>  PSSI quotes a</w:t>
      </w:r>
      <w:r w:rsidR="009F3791">
        <w:t xml:space="preserve">n earlier stay denial by the </w:t>
      </w:r>
      <w:r w:rsidR="00C3128F">
        <w:t xml:space="preserve">Bureau </w:t>
      </w:r>
      <w:r>
        <w:t xml:space="preserve">noting that </w:t>
      </w:r>
      <w:r w:rsidR="005B4EEC">
        <w:t xml:space="preserve">eligible </w:t>
      </w:r>
      <w:r>
        <w:t>space station operators will be able to “improve spectral efficiency” by “‘</w:t>
      </w:r>
      <w:r>
        <w:t>tak</w:t>
      </w:r>
      <w:r>
        <w:t>[</w:t>
      </w:r>
      <w:r>
        <w:t>ing</w:t>
      </w:r>
      <w:r>
        <w:t>] advantage of new technologies’ ‘such as improved data compression and modulation techniques.’”</w:t>
      </w:r>
      <w:r>
        <w:rPr>
          <w:rStyle w:val="FootnoteReference"/>
        </w:rPr>
        <w:footnoteReference w:id="32"/>
      </w:r>
      <w:r>
        <w:t xml:space="preserve">  </w:t>
      </w:r>
      <w:r w:rsidR="009F3791">
        <w:t>This</w:t>
      </w:r>
      <w:r>
        <w:t xml:space="preserve"> language simply acknowledg</w:t>
      </w:r>
      <w:r w:rsidR="009F3791">
        <w:t>ed</w:t>
      </w:r>
      <w:r>
        <w:t xml:space="preserve"> the role that compression equipment, </w:t>
      </w:r>
      <w:r w:rsidRPr="009F3791">
        <w:t>when reasonably necessary</w:t>
      </w:r>
      <w:r>
        <w:t xml:space="preserve">, could play in the </w:t>
      </w:r>
      <w:r w:rsidR="005B4EEC">
        <w:t xml:space="preserve">C-band </w:t>
      </w:r>
      <w:r>
        <w:t>transition.  PSSI</w:t>
      </w:r>
      <w:r w:rsidR="009F3791">
        <w:t xml:space="preserve"> similarly</w:t>
      </w:r>
      <w:r>
        <w:t xml:space="preserve"> </w:t>
      </w:r>
      <w:r w:rsidR="00017B43">
        <w:t xml:space="preserve">argues that </w:t>
      </w:r>
      <w:r>
        <w:t xml:space="preserve">the </w:t>
      </w:r>
      <w:r w:rsidR="009F3791">
        <w:t>D.C. Circuit</w:t>
      </w:r>
      <w:r>
        <w:t xml:space="preserve">’s decision </w:t>
      </w:r>
      <w:r w:rsidR="00C3128F">
        <w:t xml:space="preserve">upholding </w:t>
      </w:r>
      <w:r>
        <w:t xml:space="preserve">the </w:t>
      </w:r>
      <w:r w:rsidRPr="009F3791" w:rsidR="009F3791">
        <w:rPr>
          <w:i/>
        </w:rPr>
        <w:t>3.7 GHz Report and Order</w:t>
      </w:r>
      <w:r>
        <w:t xml:space="preserve"> “explain[ed] why data compression and other technology—which PSSI may install and be reimbursed for—would ensure that the remaining spectrum is adequate for satellite operators and their customers.”</w:t>
      </w:r>
      <w:r>
        <w:rPr>
          <w:rStyle w:val="FootnoteReference"/>
        </w:rPr>
        <w:footnoteReference w:id="33"/>
      </w:r>
      <w:r>
        <w:t xml:space="preserve">  </w:t>
      </w:r>
      <w:r w:rsidR="009F3791">
        <w:t>Contrary to PSSI’s assertion, th</w:t>
      </w:r>
      <w:r w:rsidR="005B4EEC">
        <w:t>e Court</w:t>
      </w:r>
      <w:r>
        <w:t xml:space="preserve"> </w:t>
      </w:r>
      <w:r w:rsidR="00017B43">
        <w:t xml:space="preserve">did </w:t>
      </w:r>
      <w:r>
        <w:t xml:space="preserve">not </w:t>
      </w:r>
      <w:r w:rsidR="00017B43">
        <w:t xml:space="preserve">find </w:t>
      </w:r>
      <w:r>
        <w:t xml:space="preserve">that PSSI is necessarily entitled to be reimbursed for </w:t>
      </w:r>
      <w:r w:rsidR="00017B43">
        <w:t xml:space="preserve">any </w:t>
      </w:r>
      <w:r>
        <w:t xml:space="preserve">compression </w:t>
      </w:r>
      <w:r w:rsidR="005B4EEC">
        <w:t>or</w:t>
      </w:r>
      <w:r>
        <w:t xml:space="preserve"> similar technology it wants, but rather </w:t>
      </w:r>
      <w:r w:rsidR="00017B43">
        <w:t xml:space="preserve">observed </w:t>
      </w:r>
      <w:r>
        <w:t>that</w:t>
      </w:r>
      <w:r w:rsidR="004C7784">
        <w:t xml:space="preserve"> under the Commission’s rules</w:t>
      </w:r>
      <w:r>
        <w:t xml:space="preserve"> PSSI is entitled to reimbursement to the extent necessary “to ensure</w:t>
      </w:r>
      <w:r w:rsidR="00F425C2">
        <w:t xml:space="preserve"> that</w:t>
      </w:r>
      <w:r>
        <w:t xml:space="preserve"> the remaining spectrum is adequate.”</w:t>
      </w:r>
      <w:r>
        <w:rPr>
          <w:rStyle w:val="FootnoteReference"/>
        </w:rPr>
        <w:footnoteReference w:id="34"/>
      </w:r>
      <w:r>
        <w:t xml:space="preserve">  Exactly what—if any—upgrades are </w:t>
      </w:r>
      <w:r w:rsidR="00F425C2">
        <w:t xml:space="preserve">necessary </w:t>
      </w:r>
      <w:r>
        <w:t xml:space="preserve">to ensure PSSI retains </w:t>
      </w:r>
      <w:r w:rsidR="00817B7C">
        <w:t xml:space="preserve">“substantially the same or better </w:t>
      </w:r>
      <w:r>
        <w:t>service</w:t>
      </w:r>
      <w:r w:rsidR="00817B7C">
        <w:t>”</w:t>
      </w:r>
      <w:r>
        <w:t xml:space="preserve"> after the transition is a fact-specific and highly technical issue that neither the Commission nor the Court purported to address.  </w:t>
      </w:r>
      <w:r w:rsidR="009F3791">
        <w:t>These</w:t>
      </w:r>
      <w:r>
        <w:t xml:space="preserve"> fact-intensive issues require a full and complete record before they are ripe for decision, and therefore are more appropriately addressed through the Clearinghouse review</w:t>
      </w:r>
      <w:r w:rsidR="009F3791">
        <w:t xml:space="preserve"> process </w:t>
      </w:r>
      <w:r w:rsidR="005B4EEC">
        <w:t xml:space="preserve">in the first instance, </w:t>
      </w:r>
      <w:r w:rsidR="009F3791">
        <w:t>and any subsequent appeal to the Bureau</w:t>
      </w:r>
      <w:r>
        <w:t>.</w:t>
      </w:r>
    </w:p>
    <w:p w:rsidR="004E4A91" w:rsidP="004E4A91" w14:paraId="05D88052" w14:textId="3DE06BA4">
      <w:pPr>
        <w:pStyle w:val="ParaNum"/>
        <w:keepLines/>
      </w:pPr>
      <w:r>
        <w:t xml:space="preserve">ACCORDINGLY, </w:t>
      </w:r>
      <w:bookmarkStart w:id="4" w:name="_Hlk530572438"/>
      <w:r w:rsidRPr="00CE6EED">
        <w:t>IT IS ORDERED</w:t>
      </w:r>
      <w:bookmarkEnd w:id="4"/>
      <w:r w:rsidRPr="00CE6EED">
        <w:t xml:space="preserve"> </w:t>
      </w:r>
      <w:r w:rsidRPr="008B3703">
        <w:t xml:space="preserve">pursuant to Sections 4(i), 4(j), 303(r), and </w:t>
      </w:r>
      <w:r>
        <w:t>405</w:t>
      </w:r>
      <w:r w:rsidRPr="008B3703">
        <w:t xml:space="preserve"> of the Communications Act of 1934, as amended,</w:t>
      </w:r>
      <w:r>
        <w:t xml:space="preserve"> 47 U.S.C. §§ 154(i), 154(j), 303(r), and 405, as well as delegated authority in Section 1.429(l) of the Commission’s rules, 47 CFR § 1.429(l),</w:t>
      </w:r>
      <w:r w:rsidRPr="008B3703">
        <w:t xml:space="preserve"> </w:t>
      </w:r>
      <w:r w:rsidRPr="00CE6EED">
        <w:t xml:space="preserve">that the </w:t>
      </w:r>
      <w:r w:rsidR="002B2030">
        <w:t>r</w:t>
      </w:r>
      <w:r w:rsidR="0010436D">
        <w:t>equest</w:t>
      </w:r>
      <w:r>
        <w:t xml:space="preserve"> filed by </w:t>
      </w:r>
      <w:r w:rsidR="0010436D">
        <w:t>PSSI Global Services, L.L.C.</w:t>
      </w:r>
      <w:r>
        <w:t xml:space="preserve"> on </w:t>
      </w:r>
      <w:r w:rsidR="0010436D">
        <w:t>July</w:t>
      </w:r>
      <w:r>
        <w:t xml:space="preserve"> </w:t>
      </w:r>
      <w:r w:rsidR="0010436D">
        <w:t>12</w:t>
      </w:r>
      <w:r>
        <w:t>, 20</w:t>
      </w:r>
      <w:r w:rsidR="0010436D">
        <w:t>21</w:t>
      </w:r>
      <w:r>
        <w:t xml:space="preserve"> </w:t>
      </w:r>
      <w:r w:rsidR="0010436D">
        <w:rPr>
          <w:szCs w:val="22"/>
        </w:rPr>
        <w:t>IS</w:t>
      </w:r>
      <w:r w:rsidRPr="00EB7EA4">
        <w:rPr>
          <w:szCs w:val="22"/>
        </w:rPr>
        <w:t xml:space="preserve"> </w:t>
      </w:r>
      <w:r>
        <w:rPr>
          <w:szCs w:val="22"/>
        </w:rPr>
        <w:t>DISMISSED</w:t>
      </w:r>
      <w:r>
        <w:t>.</w:t>
      </w:r>
    </w:p>
    <w:p w:rsidR="00320042" w:rsidP="00DB0F7D" w14:paraId="512E9797" w14:textId="41935193">
      <w:pPr>
        <w:pStyle w:val="ParaNum"/>
      </w:pPr>
      <w:r>
        <w:t xml:space="preserve">IT IS FURTHER ORDERED that this ORDER SHALL BE EFFECTIVE </w:t>
      </w:r>
      <w:r w:rsidR="0068582C">
        <w:t>upon release</w:t>
      </w:r>
      <w:r>
        <w: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040"/>
      </w:tblGrid>
      <w:tr w14:paraId="5EEEE44B" w14:textId="77777777" w:rsidTr="0062065B">
        <w:tblPrEx>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320042" w:rsidP="00320042" w14:paraId="037A5FBD" w14:textId="77777777"/>
        </w:tc>
        <w:tc>
          <w:tcPr>
            <w:tcW w:w="5040" w:type="dxa"/>
          </w:tcPr>
          <w:p w:rsidR="00DB0F7D" w:rsidP="00320042" w14:paraId="312F2AAA" w14:textId="77777777"/>
          <w:p w:rsidR="00320042" w:rsidP="00DB0F7D" w14:paraId="08B78E03" w14:textId="084A7EE8">
            <w:pPr>
              <w:ind w:left="-195"/>
            </w:pPr>
            <w:r>
              <w:t xml:space="preserve">   </w:t>
            </w:r>
            <w:r w:rsidRPr="00320042" w:rsidR="00563CB1">
              <w:t>FEDERAL COMMUNICATIONS COMMISSION</w:t>
            </w:r>
          </w:p>
          <w:p w:rsidR="00320042" w:rsidP="00320042" w14:paraId="04CFACFC" w14:textId="77777777"/>
          <w:p w:rsidR="00320042" w:rsidP="00320042" w14:paraId="2E2BF340" w14:textId="77777777"/>
          <w:p w:rsidR="00320042" w:rsidP="00320042" w14:paraId="671F9E76" w14:textId="77777777"/>
          <w:p w:rsidR="00215D1A" w:rsidP="00320042" w14:paraId="430F0842" w14:textId="77777777"/>
          <w:p w:rsidR="004E4A91" w:rsidP="004E4A91" w14:paraId="5B57AB37" w14:textId="77777777">
            <w:pPr>
              <w:rPr>
                <w:szCs w:val="22"/>
              </w:rPr>
            </w:pPr>
            <w:r>
              <w:rPr>
                <w:szCs w:val="22"/>
              </w:rPr>
              <w:t>Joel Taubenblatt</w:t>
            </w:r>
          </w:p>
          <w:p w:rsidR="00B737E3" w:rsidP="004E4A91" w14:paraId="6FCB2247" w14:textId="4D5040C9">
            <w:r>
              <w:rPr>
                <w:szCs w:val="22"/>
              </w:rPr>
              <w:t>Acting Chief, Wireless Telecommunications Bureau</w:t>
            </w:r>
          </w:p>
        </w:tc>
      </w:tr>
    </w:tbl>
    <w:p w:rsidR="00320042" w:rsidP="00320042" w14:paraId="0DB8FDAC" w14:textId="77777777">
      <w:pPr>
        <w:spacing w:after="240"/>
      </w:pPr>
    </w:p>
    <w:p w:rsidR="00320042" w:rsidRPr="001643A0" w:rsidP="00320042" w14:paraId="0CE85C98" w14:textId="77777777">
      <w:pPr>
        <w:spacing w:after="24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EA5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DE43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D534D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FBE387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C309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2111" w14:paraId="4EE46FC6" w14:textId="77777777">
      <w:r>
        <w:separator/>
      </w:r>
    </w:p>
  </w:footnote>
  <w:footnote w:type="continuationSeparator" w:id="1">
    <w:p w:rsidR="00ED2111" w:rsidP="00C721AC" w14:paraId="32DF4146" w14:textId="77777777">
      <w:pPr>
        <w:spacing w:before="120"/>
        <w:rPr>
          <w:sz w:val="20"/>
        </w:rPr>
      </w:pPr>
      <w:r>
        <w:rPr>
          <w:sz w:val="20"/>
        </w:rPr>
        <w:t xml:space="preserve">(Continued from previous page)  </w:t>
      </w:r>
      <w:r>
        <w:rPr>
          <w:sz w:val="20"/>
        </w:rPr>
        <w:separator/>
      </w:r>
    </w:p>
  </w:footnote>
  <w:footnote w:type="continuationNotice" w:id="2">
    <w:p w:rsidR="00ED2111" w:rsidP="00C721AC" w14:paraId="293C3559" w14:textId="77777777">
      <w:pPr>
        <w:jc w:val="right"/>
        <w:rPr>
          <w:sz w:val="20"/>
        </w:rPr>
      </w:pPr>
      <w:r>
        <w:rPr>
          <w:sz w:val="20"/>
        </w:rPr>
        <w:t>(continued….)</w:t>
      </w:r>
    </w:p>
  </w:footnote>
  <w:footnote w:id="3">
    <w:p w:rsidR="004E4A91" w:rsidRPr="00BD1819" w:rsidP="004E4A91" w14:paraId="17EA57B8" w14:textId="5CF9A778">
      <w:pPr>
        <w:pStyle w:val="FootnoteText"/>
      </w:pPr>
      <w:r>
        <w:rPr>
          <w:rStyle w:val="FootnoteReference"/>
        </w:rPr>
        <w:footnoteRef/>
      </w:r>
      <w:r>
        <w:t xml:space="preserve"> </w:t>
      </w:r>
      <w:r>
        <w:rPr>
          <w:i/>
        </w:rPr>
        <w:t xml:space="preserve">See </w:t>
      </w:r>
      <w:r w:rsidR="000C6793">
        <w:t>Letter from Stephen Díaz Gavin, counsel for PSSI Global Services, L.L.C., to Marlene H. Dortch, Secretary, FCC</w:t>
      </w:r>
      <w:r>
        <w:t>, GN Docket No. 1</w:t>
      </w:r>
      <w:r w:rsidR="000C6793">
        <w:t>8</w:t>
      </w:r>
      <w:r>
        <w:t>-</w:t>
      </w:r>
      <w:r w:rsidR="000C6793">
        <w:t>122, IB Docket No. 20-205</w:t>
      </w:r>
      <w:r>
        <w:t xml:space="preserve"> (filed </w:t>
      </w:r>
      <w:r w:rsidR="000C6793">
        <w:t>July</w:t>
      </w:r>
      <w:r>
        <w:t xml:space="preserve"> </w:t>
      </w:r>
      <w:r w:rsidR="000C6793">
        <w:t>12</w:t>
      </w:r>
      <w:r>
        <w:t>, 20</w:t>
      </w:r>
      <w:r w:rsidR="000C6793">
        <w:t>21</w:t>
      </w:r>
      <w:r>
        <w:t>) (</w:t>
      </w:r>
      <w:r w:rsidRPr="002A077E" w:rsidR="000C6793">
        <w:t>PSSI Request</w:t>
      </w:r>
      <w:r>
        <w:t xml:space="preserve">); </w:t>
      </w:r>
      <w:r w:rsidRPr="00F154FF" w:rsidR="00F154FF">
        <w:rPr>
          <w:i/>
          <w:iCs/>
        </w:rPr>
        <w:t>Wireless Telecommunications Bureau Releases Final Cost Category Schedule For 3.7-4.2 GHz Band Relocation Expenses And Announces Process And Deadline For Lump Sum Elections</w:t>
      </w:r>
      <w:r w:rsidR="00F154FF">
        <w:t xml:space="preserve">, 35 FCC </w:t>
      </w:r>
      <w:r w:rsidR="00F154FF">
        <w:t>Rcd</w:t>
      </w:r>
      <w:r w:rsidR="00F154FF">
        <w:t xml:space="preserve"> 7967 (2020) </w:t>
      </w:r>
      <w:r>
        <w:t>(</w:t>
      </w:r>
      <w:r w:rsidR="00F154FF">
        <w:rPr>
          <w:i/>
        </w:rPr>
        <w:t>Final Cost Catalog</w:t>
      </w:r>
      <w:r w:rsidR="0010436D">
        <w:rPr>
          <w:i/>
        </w:rPr>
        <w:t xml:space="preserve"> Public Notice</w:t>
      </w:r>
      <w:r>
        <w:t xml:space="preserve">).  </w:t>
      </w:r>
    </w:p>
  </w:footnote>
  <w:footnote w:id="4">
    <w:p w:rsidR="004E4A91" w:rsidRPr="00C356F5" w:rsidP="004E4A91" w14:paraId="1433FAA6" w14:textId="1B0BE83F">
      <w:pPr>
        <w:pStyle w:val="FootnoteText"/>
      </w:pPr>
      <w:r>
        <w:rPr>
          <w:rStyle w:val="FootnoteReference"/>
        </w:rPr>
        <w:footnoteRef/>
      </w:r>
      <w:r>
        <w:t xml:space="preserve"> </w:t>
      </w:r>
      <w:r>
        <w:rPr>
          <w:i/>
        </w:rPr>
        <w:t xml:space="preserve">See </w:t>
      </w:r>
      <w:r w:rsidRPr="002A077E" w:rsidR="002B2030">
        <w:t>PSSI Request</w:t>
      </w:r>
      <w:r w:rsidR="002B2030">
        <w:t xml:space="preserve"> </w:t>
      </w:r>
      <w:r>
        <w:t>at 1.</w:t>
      </w:r>
    </w:p>
  </w:footnote>
  <w:footnote w:id="5">
    <w:p w:rsidR="00241E8D" w14:paraId="30599FD0" w14:textId="4605856F">
      <w:pPr>
        <w:pStyle w:val="FootnoteText"/>
      </w:pPr>
      <w:r>
        <w:rPr>
          <w:rStyle w:val="FootnoteReference"/>
        </w:rPr>
        <w:footnoteRef/>
      </w:r>
      <w:r>
        <w:t xml:space="preserve"> </w:t>
      </w:r>
      <w:r w:rsidRPr="00241E8D">
        <w:rPr>
          <w:i/>
          <w:iCs/>
        </w:rPr>
        <w:t>See</w:t>
      </w:r>
      <w:r>
        <w:t xml:space="preserve"> </w:t>
      </w:r>
      <w:r>
        <w:rPr>
          <w:i/>
        </w:rPr>
        <w:t>Final Cost Catalog Public Notice.</w:t>
      </w:r>
    </w:p>
  </w:footnote>
  <w:footnote w:id="6">
    <w:p w:rsidR="009028C0" w14:paraId="27FA0BC3" w14:textId="3969A1EE">
      <w:pPr>
        <w:pStyle w:val="FootnoteText"/>
      </w:pPr>
      <w:r>
        <w:rPr>
          <w:rStyle w:val="FootnoteReference"/>
        </w:rPr>
        <w:footnoteRef/>
      </w:r>
      <w:r>
        <w:t xml:space="preserve"> 47 U.S.C. § 405(a).  </w:t>
      </w:r>
      <w:r>
        <w:rPr>
          <w:i/>
        </w:rPr>
        <w:t xml:space="preserve">See also </w:t>
      </w:r>
      <w:r>
        <w:t>47 C.F.R. § 1.429(d).</w:t>
      </w:r>
    </w:p>
  </w:footnote>
  <w:footnote w:id="7">
    <w:p w:rsidR="004E4A91" w:rsidRPr="007B2775" w:rsidP="004E4A91" w14:paraId="1E8FFB59" w14:textId="49F1069F">
      <w:pPr>
        <w:pStyle w:val="FootnoteText"/>
      </w:pPr>
      <w:r>
        <w:rPr>
          <w:rStyle w:val="FootnoteReference"/>
        </w:rPr>
        <w:footnoteRef/>
      </w:r>
      <w:r>
        <w:t xml:space="preserve"> </w:t>
      </w:r>
      <w:r w:rsidRPr="00B95F55" w:rsidR="00F018A4">
        <w:rPr>
          <w:i/>
          <w:iCs/>
        </w:rPr>
        <w:t>Expanding Flexible Use of the 3.7 to 4.2 GHz Band</w:t>
      </w:r>
      <w:r w:rsidR="00F018A4">
        <w:t xml:space="preserve">, GN Docket No. 18-122, Report and Order and Order of Proposed Modification, </w:t>
      </w:r>
      <w:r w:rsidRPr="008E618F" w:rsidR="00F018A4">
        <w:t xml:space="preserve">35 FCC </w:t>
      </w:r>
      <w:r w:rsidRPr="008E618F" w:rsidR="00F018A4">
        <w:t>Rcd</w:t>
      </w:r>
      <w:r w:rsidRPr="008E618F" w:rsidR="00F018A4">
        <w:t xml:space="preserve"> 2343, 2345</w:t>
      </w:r>
      <w:r w:rsidR="00F018A4">
        <w:t>, para. 4 (2020) (</w:t>
      </w:r>
      <w:r w:rsidRPr="000F48DE" w:rsidR="00F018A4">
        <w:rPr>
          <w:i/>
          <w:iCs/>
        </w:rPr>
        <w:t xml:space="preserve">3.7 GHz </w:t>
      </w:r>
      <w:r w:rsidR="00F018A4">
        <w:rPr>
          <w:i/>
          <w:iCs/>
        </w:rPr>
        <w:t>Report and Order</w:t>
      </w:r>
      <w:r w:rsidR="00F018A4">
        <w:t>).</w:t>
      </w:r>
    </w:p>
  </w:footnote>
  <w:footnote w:id="8">
    <w:p w:rsidR="004E4A91" w:rsidP="004E4A91" w14:paraId="14AA3D02" w14:textId="0795E17C">
      <w:pPr>
        <w:pStyle w:val="FootnoteText"/>
      </w:pPr>
      <w:r>
        <w:rPr>
          <w:rStyle w:val="FootnoteReference"/>
        </w:rPr>
        <w:footnoteRef/>
      </w:r>
      <w:r>
        <w:t xml:space="preserve"> </w:t>
      </w:r>
      <w:r>
        <w:rPr>
          <w:i/>
          <w:iCs/>
        </w:rPr>
        <w:t xml:space="preserve">Id. </w:t>
      </w:r>
      <w:r>
        <w:t xml:space="preserve">at 2391, 2465-66, paras. 111, 326; 47 CFR § 27.4.  The </w:t>
      </w:r>
      <w:r>
        <w:rPr>
          <w:i/>
          <w:iCs/>
        </w:rPr>
        <w:t xml:space="preserve">3.7 GHz Band Report and Order </w:t>
      </w:r>
      <w:r>
        <w:t xml:space="preserve">defined the incumbents that will be eligible to </w:t>
      </w:r>
      <w:bookmarkStart w:id="0" w:name="_Hlk43828054"/>
      <w:r>
        <w:t>be reimbursed for</w:t>
      </w:r>
      <w:bookmarkEnd w:id="0"/>
      <w:r>
        <w:t xml:space="preserve"> their reasonable relocation costs.  An eligible space station operator is defined as “an incumbent space station operator” that “must have demonstrated, no later than February 1, 2020, that it has an existing relationship to provide service via C-band satellite transmission to one or more incumbent earth stations in the contiguous United States.”  </w:t>
      </w:r>
      <w:r>
        <w:rPr>
          <w:i/>
          <w:iCs/>
        </w:rPr>
        <w:t xml:space="preserve">See </w:t>
      </w:r>
      <w:bookmarkStart w:id="1" w:name="_Hlk37840202"/>
      <w:r w:rsidR="005621BA">
        <w:rPr>
          <w:i/>
          <w:iCs/>
        </w:rPr>
        <w:t>3.7 GHz Report and Order</w:t>
      </w:r>
      <w:r w:rsidR="005621BA">
        <w:t xml:space="preserve">, 35 FCC </w:t>
      </w:r>
      <w:r w:rsidR="005621BA">
        <w:t>Rcd</w:t>
      </w:r>
      <w:r w:rsidR="005621BA">
        <w:rPr>
          <w:i/>
          <w:iCs/>
        </w:rPr>
        <w:t xml:space="preserve"> </w:t>
      </w:r>
      <w:r w:rsidR="005621BA">
        <w:t>at</w:t>
      </w:r>
      <w:r>
        <w:t xml:space="preserve"> 2426, para. 200; 47 CFR § 27.1411(b)(1)-(2).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at 2392, para. 116; 47 CFR §§ 25.138(c), 27.1411(b)(3).  Incumbent Fixed Service licensees are defined as “[i]</w:t>
      </w:r>
      <w:r>
        <w:t>ncumbent</w:t>
      </w:r>
      <w:r>
        <w:t xml:space="preserve"> licensees of point-to-point Fixed Service links that relocate out of the 3.7-4.2 GHz band by December 5, 2023.”  </w:t>
      </w:r>
      <w:r>
        <w:rPr>
          <w:i/>
          <w:iCs/>
        </w:rPr>
        <w:t>3.7 GHz Report and Order</w:t>
      </w:r>
      <w:r>
        <w:t xml:space="preserve">, 35 FCC </w:t>
      </w:r>
      <w:r>
        <w:t>Rcd</w:t>
      </w:r>
      <w:r>
        <w:rPr>
          <w:i/>
          <w:iCs/>
        </w:rPr>
        <w:t xml:space="preserve"> </w:t>
      </w:r>
      <w:r>
        <w:t xml:space="preserve">at 2465, para. 326.  </w:t>
      </w:r>
      <w:bookmarkEnd w:id="1"/>
      <w:r>
        <w:t xml:space="preserve">The </w:t>
      </w:r>
      <w:r>
        <w:rPr>
          <w:i/>
          <w:iCs/>
        </w:rPr>
        <w:t xml:space="preserve">3.7 GHz Band Report and Order </w:t>
      </w:r>
      <w:r>
        <w:t xml:space="preserve">provided for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they can demonstrate that the system modifications for which reimbursement is sought is a direct result of the C-band transition).  The process by which costs will be determined to be reimbursable is defined in 47 CFR § 25.1416.  The </w:t>
      </w:r>
      <w:r w:rsidRPr="003B6A37">
        <w:rPr>
          <w:i/>
        </w:rPr>
        <w:t xml:space="preserve">3.7 GHz Report and Order </w:t>
      </w:r>
      <w:r>
        <w:t xml:space="preserve">also established that incumbent FSS earth station operators may opt out of the formal relocation process and, in lieu of reimbursement, elect to receive a lump sum payment based on an amount to be announced by the Bureau.  </w:t>
      </w:r>
      <w:r>
        <w:rPr>
          <w:i/>
          <w:iCs/>
        </w:rPr>
        <w:t xml:space="preserve">3.7 GHz Report and </w:t>
      </w:r>
      <w:r w:rsidRPr="002E1558">
        <w:rPr>
          <w:i/>
          <w:iCs/>
        </w:rPr>
        <w:t>Order</w:t>
      </w:r>
      <w:r w:rsidRPr="002E1558">
        <w:t xml:space="preserve">, 35 FCC </w:t>
      </w:r>
      <w:r w:rsidRPr="002E1558">
        <w:t>Rcd</w:t>
      </w:r>
      <w:r>
        <w:t xml:space="preserve"> at 2427-28, paras. 202-03.  Earth station operators electing the lump sum are “responsible for performing any necessary actions” to accommodate the changes in the C-band. </w:t>
      </w:r>
      <w:r>
        <w:rPr>
          <w:i/>
          <w:iCs/>
        </w:rPr>
        <w:t>Id.</w:t>
      </w:r>
      <w:r>
        <w:t xml:space="preserve"> at 2428, para. 203.  </w:t>
      </w:r>
    </w:p>
  </w:footnote>
  <w:footnote w:id="9">
    <w:p w:rsidR="00F154FF" w:rsidP="00F154FF" w14:paraId="5895E55F" w14:textId="77777777">
      <w:pPr>
        <w:pStyle w:val="FootnoteText"/>
      </w:pPr>
      <w:r>
        <w:rPr>
          <w:rStyle w:val="FootnoteReference"/>
        </w:rPr>
        <w:footnoteRef/>
      </w:r>
      <w:r>
        <w:t xml:space="preserve"> </w:t>
      </w:r>
      <w:bookmarkStart w:id="2" w:name="_Hlk37840494"/>
      <w:r>
        <w:rPr>
          <w:i/>
          <w:iCs/>
        </w:rPr>
        <w:t xml:space="preserve">See </w:t>
      </w:r>
      <w:r w:rsidRPr="00587591">
        <w:rPr>
          <w:i/>
          <w:iCs/>
        </w:rPr>
        <w:t xml:space="preserve">3.7 GHz </w:t>
      </w:r>
      <w:r>
        <w:rPr>
          <w:i/>
          <w:iCs/>
        </w:rPr>
        <w:t>Report and Order</w:t>
      </w:r>
      <w:r>
        <w:t xml:space="preserve">, </w:t>
      </w:r>
      <w:r w:rsidRPr="008E618F">
        <w:t xml:space="preserve">35 FCC </w:t>
      </w:r>
      <w:r w:rsidRPr="008E618F">
        <w:t>Rcd</w:t>
      </w:r>
      <w:r>
        <w:rPr>
          <w:i/>
          <w:iCs/>
        </w:rPr>
        <w:t xml:space="preserve"> </w:t>
      </w:r>
      <w:r>
        <w:t xml:space="preserve">at 2448, para. 262 (directing Wireless Telecommunications Bureau to approve a cost category schedule); 47 CFR </w:t>
      </w:r>
      <w:r w:rsidRPr="005A61AE">
        <w:t>§ </w:t>
      </w:r>
      <w:r>
        <w:t>27.1416(a).</w:t>
      </w:r>
      <w:bookmarkEnd w:id="2"/>
    </w:p>
  </w:footnote>
  <w:footnote w:id="10">
    <w:p w:rsidR="00F154FF" w:rsidRPr="0036324F" w:rsidP="00F154FF" w14:paraId="098D53CB" w14:textId="77777777">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 xml:space="preserve">35 FCC </w:t>
      </w:r>
      <w:r w:rsidRPr="008E618F">
        <w:t>Rcd</w:t>
      </w:r>
      <w:r>
        <w:t xml:space="preserve"> at 2446, para. 255.</w:t>
      </w:r>
    </w:p>
  </w:footnote>
  <w:footnote w:id="11">
    <w:p w:rsidR="00F154FF" w:rsidP="00F154FF" w14:paraId="0DD443E7" w14:textId="77777777">
      <w:pPr>
        <w:pStyle w:val="FootnoteText"/>
      </w:pPr>
      <w:r>
        <w:rPr>
          <w:rStyle w:val="FootnoteReference"/>
        </w:rPr>
        <w:footnoteRef/>
      </w:r>
      <w:r>
        <w:t xml:space="preserve"> </w:t>
      </w:r>
      <w:r>
        <w:rPr>
          <w:i/>
          <w:iCs/>
        </w:rPr>
        <w:t xml:space="preserve">Id. </w:t>
      </w:r>
      <w:r>
        <w:t>at 2448, para. 262</w:t>
      </w:r>
      <w:r w:rsidRPr="006F2E2B">
        <w:t xml:space="preserve">; 47 CFR </w:t>
      </w:r>
      <w:r w:rsidRPr="005A61AE">
        <w:t>§ </w:t>
      </w:r>
      <w:r w:rsidRPr="006F2E2B">
        <w:t>27.1416(a)</w:t>
      </w:r>
      <w:r>
        <w:t>.</w:t>
      </w:r>
    </w:p>
  </w:footnote>
  <w:footnote w:id="12">
    <w:p w:rsidR="00F154FF" w:rsidRPr="008B7C93" w:rsidP="00F154FF" w14:paraId="233DAE64" w14:textId="77777777">
      <w:pPr>
        <w:pStyle w:val="FootnoteText"/>
      </w:pPr>
      <w:r>
        <w:rPr>
          <w:rStyle w:val="FootnoteReference"/>
        </w:rPr>
        <w:footnoteRef/>
      </w:r>
      <w:r>
        <w:t xml:space="preserve"> </w:t>
      </w:r>
      <w:r>
        <w:rPr>
          <w:i/>
          <w:iCs/>
        </w:rPr>
        <w:t xml:space="preserve">See </w:t>
      </w:r>
      <w:r w:rsidRPr="00587591">
        <w:rPr>
          <w:i/>
          <w:iCs/>
        </w:rPr>
        <w:t xml:space="preserve">3.7 GHz </w:t>
      </w:r>
      <w:r>
        <w:rPr>
          <w:i/>
          <w:iCs/>
        </w:rPr>
        <w:t>Report and Order</w:t>
      </w:r>
      <w:r>
        <w:t xml:space="preserve">, </w:t>
      </w:r>
      <w:r w:rsidRPr="008E618F">
        <w:t xml:space="preserve">35 FCC </w:t>
      </w:r>
      <w:r w:rsidRPr="008E618F">
        <w:t>Rcd</w:t>
      </w:r>
      <w:r>
        <w:rPr>
          <w:i/>
          <w:iCs/>
        </w:rPr>
        <w:t xml:space="preserve"> </w:t>
      </w:r>
      <w:r>
        <w:t>at 2447-48, paras. 260-62.</w:t>
      </w:r>
    </w:p>
  </w:footnote>
  <w:footnote w:id="13">
    <w:p w:rsidR="00F154FF" w:rsidP="00F154FF" w14:paraId="02AEE6B7" w14:textId="77777777">
      <w:pPr>
        <w:pStyle w:val="FootnoteText"/>
      </w:pPr>
      <w:r>
        <w:rPr>
          <w:rStyle w:val="FootnoteReference"/>
        </w:rPr>
        <w:footnoteRef/>
      </w:r>
      <w:r>
        <w:t xml:space="preserve"> </w:t>
      </w:r>
      <w:r>
        <w:rPr>
          <w:i/>
          <w:iCs/>
        </w:rPr>
        <w:t>Id.</w:t>
      </w:r>
      <w:r>
        <w:t xml:space="preserve"> at 2427-28, paras. 202-203.  </w:t>
      </w:r>
      <w:r>
        <w:rPr>
          <w:i/>
          <w:iCs/>
        </w:rPr>
        <w:t xml:space="preserve">But see id. </w:t>
      </w:r>
      <w:r>
        <w:t>at 2428, para. 204, n.550 (noting that “incumbent earth stations owners may not elect a lump sum payment for earth stations outside of the contiguous United States”).</w:t>
      </w:r>
    </w:p>
  </w:footnote>
  <w:footnote w:id="14">
    <w:p w:rsidR="00F154FF" w:rsidP="00F154FF" w14:paraId="0AD59A07" w14:textId="77777777">
      <w:pPr>
        <w:pStyle w:val="FootnoteText"/>
      </w:pPr>
      <w:r>
        <w:rPr>
          <w:rStyle w:val="FootnoteReference"/>
        </w:rPr>
        <w:footnoteRef/>
      </w:r>
      <w:r>
        <w:t xml:space="preserve"> </w:t>
      </w:r>
      <w:r>
        <w:rPr>
          <w:i/>
          <w:iCs/>
        </w:rPr>
        <w:t xml:space="preserve">See </w:t>
      </w:r>
      <w:r w:rsidRPr="00587591">
        <w:rPr>
          <w:i/>
          <w:iCs/>
        </w:rPr>
        <w:t>3.7 GHz</w:t>
      </w:r>
      <w:r>
        <w:rPr>
          <w:i/>
          <w:iCs/>
        </w:rPr>
        <w:t xml:space="preserve"> Report and Order</w:t>
      </w:r>
      <w:r>
        <w:t xml:space="preserve">, </w:t>
      </w:r>
      <w:r w:rsidRPr="008E618F">
        <w:t xml:space="preserve">35 FCC </w:t>
      </w:r>
      <w:r w:rsidRPr="008E618F">
        <w:t>Rcd</w:t>
      </w:r>
      <w:r>
        <w:rPr>
          <w:i/>
          <w:iCs/>
        </w:rPr>
        <w:t xml:space="preserve"> </w:t>
      </w:r>
      <w:r>
        <w:t>at 2428, para. 203.</w:t>
      </w:r>
    </w:p>
  </w:footnote>
  <w:footnote w:id="15">
    <w:p w:rsidR="00F154FF" w:rsidP="00F154FF" w14:paraId="3F82C414" w14:textId="77777777">
      <w:pPr>
        <w:pStyle w:val="FootnoteText"/>
      </w:pPr>
      <w:r>
        <w:rPr>
          <w:rStyle w:val="FootnoteReference"/>
        </w:rPr>
        <w:footnoteRef/>
      </w:r>
      <w:r>
        <w:t xml:space="preserve"> </w:t>
      </w:r>
      <w:r w:rsidRPr="00830EB0">
        <w:rPr>
          <w:i/>
        </w:rPr>
        <w:t xml:space="preserve">See </w:t>
      </w:r>
      <w:r>
        <w:rPr>
          <w:i/>
        </w:rPr>
        <w:t>id.</w:t>
      </w:r>
      <w:r w:rsidRPr="00830EB0">
        <w:rPr>
          <w:i/>
        </w:rPr>
        <w:t xml:space="preserve"> </w:t>
      </w:r>
      <w:r w:rsidRPr="00830EB0">
        <w:rPr>
          <w:iCs/>
        </w:rPr>
        <w:t xml:space="preserve">at </w:t>
      </w:r>
      <w:r>
        <w:rPr>
          <w:iCs/>
        </w:rPr>
        <w:t>2428-30</w:t>
      </w:r>
      <w:r w:rsidRPr="00830EB0">
        <w:rPr>
          <w:iCs/>
        </w:rPr>
        <w:t xml:space="preserve">, </w:t>
      </w:r>
      <w:r>
        <w:rPr>
          <w:iCs/>
        </w:rPr>
        <w:t xml:space="preserve">2465-66, </w:t>
      </w:r>
      <w:r w:rsidRPr="00830EB0">
        <w:rPr>
          <w:iCs/>
        </w:rPr>
        <w:t>paras. 206-10, 326-27</w:t>
      </w:r>
      <w:r w:rsidRPr="00830EB0">
        <w:t>.</w:t>
      </w:r>
    </w:p>
  </w:footnote>
  <w:footnote w:id="16">
    <w:p w:rsidR="00F154FF" w:rsidP="00F154FF" w14:paraId="16A91351" w14:textId="77777777">
      <w:pPr>
        <w:pStyle w:val="FootnoteText"/>
      </w:pPr>
      <w:r>
        <w:rPr>
          <w:rStyle w:val="FootnoteReference"/>
        </w:rPr>
        <w:footnoteRef/>
      </w:r>
      <w:r>
        <w:t xml:space="preserve"> </w:t>
      </w:r>
      <w:r>
        <w:rPr>
          <w:i/>
          <w:iCs/>
        </w:rPr>
        <w:t xml:space="preserve">See </w:t>
      </w:r>
      <w:r w:rsidRPr="006A425A">
        <w:rPr>
          <w:i/>
          <w:iCs/>
        </w:rPr>
        <w:t xml:space="preserve">Wireless Telecommunications Bureau </w:t>
      </w:r>
      <w:r>
        <w:rPr>
          <w:i/>
          <w:iCs/>
        </w:rPr>
        <w:t>Seeks Comment on Preliminary Cost Category Schedule for</w:t>
      </w:r>
      <w:r w:rsidRPr="006A425A">
        <w:rPr>
          <w:i/>
          <w:iCs/>
        </w:rPr>
        <w:t xml:space="preserve"> 3.7-4.2 GHz Band</w:t>
      </w:r>
      <w:r>
        <w:rPr>
          <w:i/>
          <w:iCs/>
        </w:rPr>
        <w:t xml:space="preserve"> Relocation Expenses</w:t>
      </w:r>
      <w:r w:rsidRPr="006A425A">
        <w:t xml:space="preserve">, </w:t>
      </w:r>
      <w:r>
        <w:t xml:space="preserve">GN Docket No. 18-122, </w:t>
      </w:r>
      <w:r w:rsidRPr="006A425A">
        <w:t xml:space="preserve">Public Notice, </w:t>
      </w:r>
      <w:r>
        <w:t xml:space="preserve">35 FCC </w:t>
      </w:r>
      <w:r>
        <w:t>Rcd</w:t>
      </w:r>
      <w:r>
        <w:t xml:space="preserve"> 4440, 4441</w:t>
      </w:r>
      <w:r w:rsidRPr="006A425A">
        <w:t xml:space="preserve"> (WTB 2020) (</w:t>
      </w:r>
      <w:r>
        <w:rPr>
          <w:i/>
          <w:iCs/>
        </w:rPr>
        <w:t xml:space="preserve">Cost Catalog Comment </w:t>
      </w:r>
      <w:r w:rsidRPr="006A425A">
        <w:rPr>
          <w:i/>
          <w:iCs/>
        </w:rPr>
        <w:t xml:space="preserve">Public </w:t>
      </w:r>
      <w:r w:rsidRPr="00C46F4D">
        <w:rPr>
          <w:i/>
          <w:iCs/>
        </w:rPr>
        <w:t>Notice</w:t>
      </w:r>
      <w:r w:rsidRPr="00C46F4D">
        <w:t>).</w:t>
      </w:r>
    </w:p>
  </w:footnote>
  <w:footnote w:id="17">
    <w:p w:rsidR="00F154FF" w:rsidRPr="006A425A" w:rsidP="00F154FF" w14:paraId="6F56CFBB" w14:textId="77777777">
      <w:pPr>
        <w:pStyle w:val="FootnoteText"/>
      </w:pPr>
      <w:r>
        <w:rPr>
          <w:rStyle w:val="FootnoteReference"/>
        </w:rPr>
        <w:footnoteRef/>
      </w:r>
      <w:r>
        <w:t xml:space="preserve"> </w:t>
      </w:r>
      <w:r>
        <w:rPr>
          <w:i/>
          <w:iCs/>
        </w:rPr>
        <w:t xml:space="preserve">Cost Catalog Comment </w:t>
      </w:r>
      <w:r w:rsidRPr="006A425A">
        <w:rPr>
          <w:i/>
          <w:iCs/>
        </w:rPr>
        <w:t>Public Notic</w:t>
      </w:r>
      <w:r>
        <w:rPr>
          <w:i/>
          <w:iCs/>
        </w:rPr>
        <w:t>e</w:t>
      </w:r>
      <w:r>
        <w:t xml:space="preserve">, Attach., 35 FCC </w:t>
      </w:r>
      <w:r>
        <w:t>Rcd</w:t>
      </w:r>
      <w:r>
        <w:t xml:space="preserve"> at 4444 (3.7 GHz Transition Preliminary Cost Category Schedule of Potential Expenses and Estimated Costs).</w:t>
      </w:r>
    </w:p>
  </w:footnote>
  <w:footnote w:id="18">
    <w:p w:rsidR="000C2D80" w:rsidRPr="005621BA" w14:paraId="3415173C" w14:textId="658A80F5">
      <w:pPr>
        <w:pStyle w:val="FootnoteText"/>
        <w:rPr>
          <w:i/>
          <w:iCs/>
        </w:rPr>
      </w:pPr>
      <w:r>
        <w:rPr>
          <w:rStyle w:val="FootnoteReference"/>
        </w:rPr>
        <w:footnoteRef/>
      </w:r>
      <w:r>
        <w:t xml:space="preserve"> </w:t>
      </w:r>
      <w:r>
        <w:rPr>
          <w:i/>
          <w:iCs/>
        </w:rPr>
        <w:t>See</w:t>
      </w:r>
      <w:r>
        <w:t xml:space="preserve"> </w:t>
      </w:r>
      <w:r w:rsidRPr="00B95F55">
        <w:rPr>
          <w:i/>
          <w:iCs/>
        </w:rPr>
        <w:t>Expanding Flexible Use of the 3.7 to 4.2 GHz Band</w:t>
      </w:r>
      <w:r>
        <w:t xml:space="preserve">, GN Docket No. 18-122, Order, </w:t>
      </w:r>
      <w:r w:rsidRPr="008E618F">
        <w:t xml:space="preserve">35 FCC </w:t>
      </w:r>
      <w:r w:rsidRPr="008E618F">
        <w:t>Rcd</w:t>
      </w:r>
      <w:r w:rsidRPr="008E618F">
        <w:t xml:space="preserve"> </w:t>
      </w:r>
      <w:r>
        <w:t>4819 (WTB 2020).</w:t>
      </w:r>
    </w:p>
  </w:footnote>
  <w:footnote w:id="19">
    <w:p w:rsidR="00F154FF" w:rsidP="00F154FF" w14:paraId="706C39CF" w14:textId="77777777">
      <w:pPr>
        <w:pStyle w:val="FootnoteText"/>
      </w:pPr>
      <w:r>
        <w:rPr>
          <w:rStyle w:val="FootnoteReference"/>
        </w:rPr>
        <w:footnoteRef/>
      </w:r>
      <w:r>
        <w:t xml:space="preserve"> </w:t>
      </w:r>
      <w:r w:rsidRPr="006A425A">
        <w:rPr>
          <w:i/>
          <w:iCs/>
        </w:rPr>
        <w:t>Wireless Telecommunications Bureau Seeks Comment on Optional Lump Sum Payments for 3.7-4.2 GHz Band Incumbent Earth Station Relocation</w:t>
      </w:r>
      <w:r>
        <w:t>,</w:t>
      </w:r>
      <w:r w:rsidRPr="006A425A">
        <w:t xml:space="preserve"> Public Notice, DA 20-</w:t>
      </w:r>
      <w:r w:rsidRPr="002D66F4">
        <w:t>586, at 1</w:t>
      </w:r>
      <w:r>
        <w:t>-5</w:t>
      </w:r>
      <w:r w:rsidRPr="002D66F4">
        <w:t xml:space="preserve"> (</w:t>
      </w:r>
      <w:r w:rsidRPr="006A425A">
        <w:t xml:space="preserve">WTB </w:t>
      </w:r>
      <w:r>
        <w:t>June 4</w:t>
      </w:r>
      <w:r w:rsidRPr="006A425A">
        <w:t>, 2020) (</w:t>
      </w:r>
      <w:r>
        <w:rPr>
          <w:i/>
          <w:iCs/>
        </w:rPr>
        <w:t xml:space="preserve">Lump Sum Comment </w:t>
      </w:r>
      <w:r w:rsidRPr="006A425A">
        <w:rPr>
          <w:i/>
          <w:iCs/>
        </w:rPr>
        <w:t>Public Notice</w:t>
      </w:r>
      <w:r w:rsidRPr="006A425A">
        <w:t>)</w:t>
      </w:r>
      <w:r>
        <w:t>.</w:t>
      </w:r>
    </w:p>
  </w:footnote>
  <w:footnote w:id="20">
    <w:p w:rsidR="00F154FF" w:rsidP="00F154FF" w14:paraId="02F2A43A" w14:textId="16B31C0A">
      <w:pPr>
        <w:pStyle w:val="FootnoteText"/>
      </w:pPr>
      <w:r>
        <w:rPr>
          <w:rStyle w:val="FootnoteReference"/>
        </w:rPr>
        <w:footnoteRef/>
      </w:r>
      <w:r>
        <w:t xml:space="preserve"> To the extent relevant, the Bureau </w:t>
      </w:r>
      <w:r w:rsidRPr="00083E8A">
        <w:t xml:space="preserve">also </w:t>
      </w:r>
      <w:r>
        <w:t xml:space="preserve">considered the preliminary Transition Plans filed by eligible satellite operators in assessing reasonable costs and lump sum amounts for the Cost Catalog.  </w:t>
      </w:r>
      <w:r>
        <w:rPr>
          <w:i/>
          <w:iCs/>
        </w:rPr>
        <w:t>See, e.g.</w:t>
      </w:r>
      <w:r>
        <w:t xml:space="preserve">, Letter from </w:t>
      </w:r>
      <w:r w:rsidRPr="005B3EB3">
        <w:t>Michelle V. Bryan</w:t>
      </w:r>
      <w:r>
        <w:t>,</w:t>
      </w:r>
      <w:r w:rsidRPr="005B3EB3">
        <w:t xml:space="preserve"> </w:t>
      </w:r>
      <w:r>
        <w:t xml:space="preserve">Secretary, Intelsat License LLC, and Executive Vice President, General Counsel, and Chief Administrative Officer, Intelsat US LLC, to Marlene H. Dortch, Secretary, FCC, </w:t>
      </w:r>
      <w:r w:rsidRPr="005B3EB3">
        <w:t>GN Docket Nos. 18-122</w:t>
      </w:r>
      <w:r>
        <w:t xml:space="preserve"> and</w:t>
      </w:r>
      <w:r w:rsidRPr="005B3EB3">
        <w:t xml:space="preserve"> 20-173</w:t>
      </w:r>
      <w:r>
        <w:t xml:space="preserve">, Attach. (filed June 19, 2020) (Intelsat Transition Plan); Letter from Brian D. Weimer, Counsel to SES </w:t>
      </w:r>
      <w:r>
        <w:t>Americom</w:t>
      </w:r>
      <w:r>
        <w:t xml:space="preserve">, Inc., to Marlene H. Dortch, Secretary, FCC, </w:t>
      </w:r>
      <w:r w:rsidRPr="005B3EB3">
        <w:t>GN Docket Nos. 18-122</w:t>
      </w:r>
      <w:r>
        <w:t xml:space="preserve"> and</w:t>
      </w:r>
      <w:r w:rsidRPr="005B3EB3">
        <w:t xml:space="preserve"> 20-173</w:t>
      </w:r>
      <w:r>
        <w:t xml:space="preserve">, Attach. (filed June 19, 2020) (SES Transition Plan).  </w:t>
      </w:r>
    </w:p>
  </w:footnote>
  <w:footnote w:id="21">
    <w:p w:rsidR="00F154FF" w14:paraId="7796FF9B" w14:textId="178EB56F">
      <w:pPr>
        <w:pStyle w:val="FootnoteText"/>
      </w:pPr>
      <w:r>
        <w:rPr>
          <w:rStyle w:val="FootnoteReference"/>
        </w:rPr>
        <w:footnoteRef/>
      </w:r>
      <w:r>
        <w:t xml:space="preserve"> </w:t>
      </w:r>
      <w:r w:rsidRPr="00DB0F7D" w:rsidR="00DB0F7D">
        <w:rPr>
          <w:i/>
          <w:iCs/>
        </w:rPr>
        <w:t>See</w:t>
      </w:r>
      <w:r w:rsidR="00DB0F7D">
        <w:t xml:space="preserve"> </w:t>
      </w:r>
      <w:r>
        <w:rPr>
          <w:i/>
        </w:rPr>
        <w:t>Final Cost Catalog</w:t>
      </w:r>
      <w:r w:rsidR="00392FB9">
        <w:rPr>
          <w:i/>
        </w:rPr>
        <w:t xml:space="preserve"> Public Notice</w:t>
      </w:r>
      <w:r>
        <w:t>.</w:t>
      </w:r>
      <w:r w:rsidR="00EB12F0">
        <w:t xml:space="preserve">  </w:t>
      </w:r>
      <w:r w:rsidR="00BA6413">
        <w:t>T</w:t>
      </w:r>
      <w:r w:rsidRPr="00FD22DB" w:rsidR="00EB12F0">
        <w:t xml:space="preserve">he </w:t>
      </w:r>
      <w:r w:rsidR="00EB12F0">
        <w:rPr>
          <w:i/>
        </w:rPr>
        <w:t>Final Cost Catalog Public Notice</w:t>
      </w:r>
      <w:r w:rsidRPr="00FD22DB" w:rsidR="00EB12F0">
        <w:t xml:space="preserve"> was published in the Federal Register on </w:t>
      </w:r>
      <w:r w:rsidRPr="00EB12F0" w:rsidR="00EB12F0">
        <w:t>August 4,</w:t>
      </w:r>
      <w:r w:rsidRPr="00FD22DB" w:rsidR="00EB12F0">
        <w:t xml:space="preserve"> 20</w:t>
      </w:r>
      <w:r w:rsidR="00EB12F0">
        <w:t>20</w:t>
      </w:r>
      <w:r w:rsidRPr="00FD22DB" w:rsidR="00EB12F0">
        <w:t xml:space="preserve">, </w:t>
      </w:r>
      <w:r w:rsidR="00BA6413">
        <w:t>making</w:t>
      </w:r>
      <w:r w:rsidRPr="00FD22DB" w:rsidR="00EB12F0">
        <w:t xml:space="preserve"> </w:t>
      </w:r>
      <w:r w:rsidR="00EB12F0">
        <w:t>any petitions for reconsideration</w:t>
      </w:r>
      <w:r w:rsidRPr="00FD22DB" w:rsidR="00EB12F0">
        <w:t xml:space="preserve"> due by </w:t>
      </w:r>
      <w:r w:rsidRPr="00EB12F0" w:rsidR="00EB12F0">
        <w:t>September 3</w:t>
      </w:r>
      <w:r w:rsidRPr="00FD22DB" w:rsidR="00EB12F0">
        <w:t>, 20</w:t>
      </w:r>
      <w:r w:rsidR="00EB12F0">
        <w:t>20</w:t>
      </w:r>
      <w:r w:rsidRPr="00FD22DB" w:rsidR="00EB12F0">
        <w:t xml:space="preserve">.  </w:t>
      </w:r>
      <w:r w:rsidRPr="00FD22DB" w:rsidR="00EB12F0">
        <w:rPr>
          <w:i/>
        </w:rPr>
        <w:t xml:space="preserve">See </w:t>
      </w:r>
      <w:r w:rsidRPr="00FD22DB" w:rsidR="00EB12F0">
        <w:t>8</w:t>
      </w:r>
      <w:r w:rsidR="00EB12F0">
        <w:t>5</w:t>
      </w:r>
      <w:r w:rsidRPr="00FD22DB" w:rsidR="00EB12F0">
        <w:t xml:space="preserve"> Fed. Reg. </w:t>
      </w:r>
      <w:r w:rsidR="00EB12F0">
        <w:t>47209</w:t>
      </w:r>
      <w:r w:rsidRPr="00FD22DB" w:rsidR="00EB12F0">
        <w:t xml:space="preserve"> (</w:t>
      </w:r>
      <w:r w:rsidR="00EB12F0">
        <w:t>August</w:t>
      </w:r>
      <w:r w:rsidRPr="00FD22DB" w:rsidR="00EB12F0">
        <w:t xml:space="preserve"> </w:t>
      </w:r>
      <w:r w:rsidR="00EB12F0">
        <w:t>4</w:t>
      </w:r>
      <w:r w:rsidRPr="00FD22DB" w:rsidR="00EB12F0">
        <w:t>, 20</w:t>
      </w:r>
      <w:r w:rsidR="00EB12F0">
        <w:t>20</w:t>
      </w:r>
      <w:r w:rsidRPr="00D550EA" w:rsidR="00EB12F0">
        <w:t>)</w:t>
      </w:r>
      <w:r w:rsidRPr="00F24FBC" w:rsidR="00EB12F0">
        <w:t>.</w:t>
      </w:r>
    </w:p>
  </w:footnote>
  <w:footnote w:id="22">
    <w:p w:rsidR="000300A0" w14:paraId="6AA78D7E" w14:textId="7A84F1E0">
      <w:pPr>
        <w:pStyle w:val="FootnoteText"/>
      </w:pPr>
      <w:r>
        <w:rPr>
          <w:rStyle w:val="FootnoteReference"/>
        </w:rPr>
        <w:footnoteRef/>
      </w:r>
      <w:r>
        <w:t xml:space="preserve"> </w:t>
      </w:r>
      <w:r w:rsidRPr="002A077E">
        <w:t>PSSI Request</w:t>
      </w:r>
      <w:r>
        <w:t xml:space="preserve"> at </w:t>
      </w:r>
      <w:r w:rsidR="00736847">
        <w:t>1</w:t>
      </w:r>
      <w:r>
        <w:t>.</w:t>
      </w:r>
    </w:p>
  </w:footnote>
  <w:footnote w:id="23">
    <w:p w:rsidR="00086A7E" w14:paraId="44069159" w14:textId="10FD4DFA">
      <w:pPr>
        <w:pStyle w:val="FootnoteText"/>
      </w:pPr>
      <w:r>
        <w:rPr>
          <w:rStyle w:val="FootnoteReference"/>
        </w:rPr>
        <w:footnoteRef/>
      </w:r>
      <w:r>
        <w:t xml:space="preserve"> </w:t>
      </w:r>
      <w:r w:rsidRPr="00776E24">
        <w:rPr>
          <w:i/>
          <w:iCs/>
        </w:rPr>
        <w:t>Id</w:t>
      </w:r>
      <w:r>
        <w:t>. at 1</w:t>
      </w:r>
      <w:r w:rsidR="002D5AA9">
        <w:t xml:space="preserve">, </w:t>
      </w:r>
      <w:r>
        <w:t>9.</w:t>
      </w:r>
      <w:r w:rsidR="002D5AA9">
        <w:t xml:space="preserve"> </w:t>
      </w:r>
      <w:r w:rsidR="006C55BE">
        <w:t xml:space="preserve"> </w:t>
      </w:r>
      <w:r w:rsidR="002D5AA9">
        <w:t xml:space="preserve">PSSI notes that it has entered into agreements with the incumbent space station operators that otherwise would be responsible for transitioning its TFEs, which is why PSSI will perform its own transition work and intends to file its transition cost claims directly with the Clearinghouse.  </w:t>
      </w:r>
      <w:r w:rsidRPr="000300A0" w:rsidR="002D5AA9">
        <w:rPr>
          <w:i/>
          <w:iCs/>
        </w:rPr>
        <w:t>Id</w:t>
      </w:r>
      <w:r w:rsidR="002D5AA9">
        <w:t xml:space="preserve">. at 1.  </w:t>
      </w:r>
      <w:r w:rsidRPr="00E87657" w:rsidR="002D5AA9">
        <w:rPr>
          <w:i/>
          <w:iCs/>
        </w:rPr>
        <w:t>See</w:t>
      </w:r>
      <w:r w:rsidR="002D5AA9">
        <w:t xml:space="preserve"> Letter from Robert C. Lamb, CEO, PSSI Global Services, LLC, and Hector M. Fortis Sanchez, Director of Regulatory and International Affairs, </w:t>
      </w:r>
      <w:r w:rsidR="002D5AA9">
        <w:t>Satelites</w:t>
      </w:r>
      <w:r w:rsidR="002D5AA9">
        <w:t xml:space="preserve"> </w:t>
      </w:r>
      <w:r w:rsidR="002D5AA9">
        <w:t>Mexicanos</w:t>
      </w:r>
      <w:r w:rsidR="002D5AA9">
        <w:t xml:space="preserve">, S.A. de C.V. d/b/a Eutelsat Americas, to Marlene H. Dortch, Secretary, FCC, GN Docket Nos. 18-122 and 20-173 (June 10, 2021); Letter from Stephen Díaz Gavin, Counsel to PSSI Global Services, LLC, and Brian D. Weimer, Counsel to SES </w:t>
      </w:r>
      <w:r w:rsidR="002D5AA9">
        <w:t>Americom</w:t>
      </w:r>
      <w:r w:rsidR="002D5AA9">
        <w:t>, Inc., to Marlene H. Dortch, Secretary, FCC, GN Docket Nos. 18-122 and 20-173 (June 18, 2021); Letter from Robert C. Lamb, CEO, PSSI Global Services, LLC, to Marlene H. Dortch, Secretary, FCC, GN Docket Nos. 18-122 and 20-173 (June 18, 2021).</w:t>
      </w:r>
    </w:p>
  </w:footnote>
  <w:footnote w:id="24">
    <w:p w:rsidR="004E4A91" w:rsidRPr="0035179D" w:rsidP="004E4A91" w14:paraId="77653D37" w14:textId="57CADFEC">
      <w:pPr>
        <w:pStyle w:val="FootnoteText"/>
      </w:pPr>
      <w:r>
        <w:rPr>
          <w:rStyle w:val="FootnoteReference"/>
        </w:rPr>
        <w:footnoteRef/>
      </w:r>
      <w:r>
        <w:t xml:space="preserve"> </w:t>
      </w:r>
      <w:r w:rsidRPr="002A077E" w:rsidR="002B2030">
        <w:t>PSSI Request</w:t>
      </w:r>
      <w:r w:rsidR="002B2030">
        <w:t xml:space="preserve"> </w:t>
      </w:r>
      <w:r>
        <w:t xml:space="preserve">at </w:t>
      </w:r>
      <w:r w:rsidR="00736847">
        <w:t>1, 9</w:t>
      </w:r>
      <w:r>
        <w:t>.</w:t>
      </w:r>
      <w:r w:rsidR="000300A0">
        <w:t xml:space="preserve">  </w:t>
      </w:r>
    </w:p>
  </w:footnote>
  <w:footnote w:id="25">
    <w:p w:rsidR="004E4A91" w:rsidRPr="002B564E" w:rsidP="004E4A91" w14:paraId="1723B7A8" w14:textId="77777777">
      <w:pPr>
        <w:pStyle w:val="FootnoteText"/>
      </w:pPr>
      <w:r>
        <w:rPr>
          <w:rStyle w:val="FootnoteReference"/>
        </w:rPr>
        <w:footnoteRef/>
      </w:r>
      <w:r>
        <w:t xml:space="preserve"> “</w:t>
      </w:r>
      <w:r w:rsidRPr="00F617F0">
        <w:t>A petition for reconsideration must be filed within thirty days from the date upon which public notice is given of the order, decision, report, or action complained of.</w:t>
      </w:r>
      <w:r>
        <w:t xml:space="preserve">”  47 U.S.C. § 405(a).  </w:t>
      </w:r>
      <w:r>
        <w:rPr>
          <w:i/>
        </w:rPr>
        <w:t xml:space="preserve">See also </w:t>
      </w:r>
      <w:r>
        <w:t>47 C.F.R. § 1.429(d).</w:t>
      </w:r>
    </w:p>
  </w:footnote>
  <w:footnote w:id="26">
    <w:p w:rsidR="004E4A91" w:rsidP="004E4A91" w14:paraId="5049633A" w14:textId="165551D8">
      <w:pPr>
        <w:pStyle w:val="FootnoteText"/>
      </w:pPr>
      <w:r>
        <w:rPr>
          <w:rStyle w:val="FootnoteReference"/>
        </w:rPr>
        <w:footnoteRef/>
      </w:r>
      <w:r>
        <w:t xml:space="preserve"> </w:t>
      </w:r>
      <w:r w:rsidR="002B2030">
        <w:rPr>
          <w:i/>
        </w:rPr>
        <w:t>Final Cost Catalog Public Notice</w:t>
      </w:r>
      <w:r w:rsidR="002B2030">
        <w:t xml:space="preserve">, 35 FCC </w:t>
      </w:r>
      <w:r w:rsidR="002B2030">
        <w:t>Rcd</w:t>
      </w:r>
      <w:r w:rsidR="002B2030">
        <w:t xml:space="preserve"> at </w:t>
      </w:r>
      <w:r w:rsidR="004E523E">
        <w:t>7969, para 5</w:t>
      </w:r>
      <w:r w:rsidR="002B2030">
        <w:t>.</w:t>
      </w:r>
    </w:p>
  </w:footnote>
  <w:footnote w:id="27">
    <w:p w:rsidR="004E4A91" w:rsidP="004E4A91" w14:paraId="39C172FB" w14:textId="77777777">
      <w:pPr>
        <w:pStyle w:val="FootnoteText"/>
      </w:pPr>
      <w:r>
        <w:rPr>
          <w:rStyle w:val="FootnoteReference"/>
        </w:rPr>
        <w:footnoteRef/>
      </w:r>
      <w:r>
        <w:t xml:space="preserve"> 47 CFR § 1.429(l)(5), (l)(9).  </w:t>
      </w:r>
    </w:p>
  </w:footnote>
  <w:footnote w:id="28">
    <w:p w:rsidR="00A37056" w:rsidRPr="002D5AA9" w14:paraId="11A2A90C" w14:textId="00390EE2">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 xml:space="preserve">35 FCC </w:t>
      </w:r>
      <w:r w:rsidRPr="008E618F">
        <w:t>Rcd</w:t>
      </w:r>
      <w:r>
        <w:t xml:space="preserve"> at 24</w:t>
      </w:r>
      <w:r w:rsidR="00E503E1">
        <w:t>47</w:t>
      </w:r>
      <w:r>
        <w:t xml:space="preserve">, para. </w:t>
      </w:r>
      <w:r w:rsidR="00E503E1">
        <w:t>260</w:t>
      </w:r>
      <w:r>
        <w:t>.</w:t>
      </w:r>
      <w:r w:rsidR="00456218">
        <w:t xml:space="preserve">  In recent correspondence, PSSI indicates that action on its letter request is needed before it can </w:t>
      </w:r>
      <w:r w:rsidR="00776E24">
        <w:t xml:space="preserve">obtain </w:t>
      </w:r>
      <w:r w:rsidR="00456218">
        <w:t>financ</w:t>
      </w:r>
      <w:r w:rsidR="00776E24">
        <w:t>ing</w:t>
      </w:r>
      <w:r w:rsidR="00456218">
        <w:t xml:space="preserve"> and order the equipment</w:t>
      </w:r>
      <w:r w:rsidR="00776E24">
        <w:t xml:space="preserve"> for which it plans to</w:t>
      </w:r>
      <w:r w:rsidR="00456218">
        <w:t xml:space="preserve"> seek </w:t>
      </w:r>
      <w:r w:rsidR="00776E24">
        <w:t xml:space="preserve">reimbursement, </w:t>
      </w:r>
      <w:r w:rsidR="002D5AA9">
        <w:t>and</w:t>
      </w:r>
      <w:r w:rsidR="00456218">
        <w:t xml:space="preserve"> submit any reimbursement </w:t>
      </w:r>
      <w:r w:rsidR="00776E24">
        <w:t xml:space="preserve">claims </w:t>
      </w:r>
      <w:r w:rsidR="00456218">
        <w:t xml:space="preserve">to the Clearinghouse.  Letter from Stephen Díaz Gavin, counsel for PSSI Global Services, L.L.C., to Marlene H. Dortch, Secretary, FCC, GN Docket No. 18-122, IB Docket No. 20-205 at 2 (filed Nov. 30, 2021).  </w:t>
      </w:r>
      <w:r w:rsidR="002D5AA9">
        <w:t xml:space="preserve">While the </w:t>
      </w:r>
      <w:r w:rsidRPr="00587591" w:rsidR="002D5AA9">
        <w:rPr>
          <w:i/>
          <w:iCs/>
        </w:rPr>
        <w:t xml:space="preserve">3.7 GHz </w:t>
      </w:r>
      <w:r w:rsidR="002D5AA9">
        <w:rPr>
          <w:i/>
          <w:iCs/>
        </w:rPr>
        <w:t>Report and Order</w:t>
      </w:r>
      <w:r w:rsidR="002D5AA9">
        <w:t xml:space="preserve"> does require that any relocation costs be reasonable and actual to be eligible for reimbursement, inclusion in the </w:t>
      </w:r>
      <w:r w:rsidR="00BF3663">
        <w:rPr>
          <w:i/>
        </w:rPr>
        <w:t>Final Cost Catalog Public Notice</w:t>
      </w:r>
      <w:r w:rsidR="00BF3663">
        <w:t xml:space="preserve"> </w:t>
      </w:r>
      <w:r w:rsidR="002D5AA9">
        <w:t xml:space="preserve">is not required for reimbursement.  </w:t>
      </w:r>
      <w:r w:rsidRPr="00587591" w:rsidR="002D5AA9">
        <w:rPr>
          <w:i/>
          <w:iCs/>
        </w:rPr>
        <w:t xml:space="preserve">3.7 GHz </w:t>
      </w:r>
      <w:r w:rsidR="002D5AA9">
        <w:rPr>
          <w:i/>
          <w:iCs/>
        </w:rPr>
        <w:t>Report and Order</w:t>
      </w:r>
      <w:r w:rsidR="002D5AA9">
        <w:t xml:space="preserve">, </w:t>
      </w:r>
      <w:r w:rsidRPr="008E618F" w:rsidR="002D5AA9">
        <w:t xml:space="preserve">35 FCC </w:t>
      </w:r>
      <w:r w:rsidRPr="008E618F" w:rsidR="002D5AA9">
        <w:t>Rcd</w:t>
      </w:r>
      <w:r w:rsidR="002D5AA9">
        <w:t xml:space="preserve"> at </w:t>
      </w:r>
      <w:r w:rsidR="00D736DE">
        <w:t>2447-48</w:t>
      </w:r>
      <w:r w:rsidR="002D5AA9">
        <w:t xml:space="preserve">, paras. </w:t>
      </w:r>
      <w:r w:rsidR="00D736DE">
        <w:t>260-62</w:t>
      </w:r>
      <w:r w:rsidR="00FE7F36">
        <w:t xml:space="preserve">; </w:t>
      </w:r>
      <w:r w:rsidRPr="006F2E2B" w:rsidR="00FE7F36">
        <w:t xml:space="preserve">47 CFR </w:t>
      </w:r>
      <w:r w:rsidRPr="005A61AE" w:rsidR="00FE7F36">
        <w:t>§ </w:t>
      </w:r>
      <w:r w:rsidRPr="006F2E2B" w:rsidR="00FE7F36">
        <w:t>27.1416(a)</w:t>
      </w:r>
      <w:r w:rsidR="002D5AA9">
        <w:t xml:space="preserve">.  </w:t>
      </w:r>
      <w:r w:rsidR="00BF3663">
        <w:t xml:space="preserve">PSSI voluntarily assumed responsibility for any transition work relating to its TFEs subsequent to issuance of </w:t>
      </w:r>
      <w:r w:rsidR="004F1CC2">
        <w:t xml:space="preserve">both </w:t>
      </w:r>
      <w:r w:rsidR="00BF3663">
        <w:t xml:space="preserve">the </w:t>
      </w:r>
      <w:r w:rsidRPr="00587591" w:rsidR="004F1CC2">
        <w:rPr>
          <w:i/>
          <w:iCs/>
        </w:rPr>
        <w:t xml:space="preserve">3.7 GHz </w:t>
      </w:r>
      <w:r w:rsidR="004F1CC2">
        <w:rPr>
          <w:i/>
          <w:iCs/>
        </w:rPr>
        <w:t>Report and Order</w:t>
      </w:r>
      <w:r w:rsidR="004F1CC2">
        <w:t xml:space="preserve"> and </w:t>
      </w:r>
      <w:r w:rsidR="00BF3663">
        <w:rPr>
          <w:i/>
        </w:rPr>
        <w:t>Final Cost Catalog Public Notice</w:t>
      </w:r>
      <w:r w:rsidR="00BF3663">
        <w:t xml:space="preserve">, </w:t>
      </w:r>
      <w:r w:rsidR="004F1CC2">
        <w:t xml:space="preserve">and </w:t>
      </w:r>
      <w:r w:rsidR="00B75AE4">
        <w:t>was thus aware of the Commission’s rules and policies relating to the reimbursement process</w:t>
      </w:r>
      <w:r w:rsidR="004F1CC2">
        <w:t xml:space="preserve">.  </w:t>
      </w:r>
      <w:r w:rsidR="00BF3663">
        <w:t xml:space="preserve">   </w:t>
      </w:r>
    </w:p>
  </w:footnote>
  <w:footnote w:id="29">
    <w:p w:rsidR="004447D9" w14:paraId="0A498092" w14:textId="403C0BBD">
      <w:pPr>
        <w:pStyle w:val="FootnoteText"/>
      </w:pPr>
      <w:r>
        <w:rPr>
          <w:rStyle w:val="FootnoteReference"/>
        </w:rPr>
        <w:footnoteRef/>
      </w:r>
      <w:r>
        <w:t xml:space="preserve"> </w:t>
      </w:r>
      <w:r w:rsidRPr="00587591" w:rsidR="00305ADC">
        <w:rPr>
          <w:i/>
          <w:iCs/>
        </w:rPr>
        <w:t xml:space="preserve">3.7 GHz </w:t>
      </w:r>
      <w:r w:rsidR="00305ADC">
        <w:rPr>
          <w:i/>
          <w:iCs/>
        </w:rPr>
        <w:t>Report and Order</w:t>
      </w:r>
      <w:r w:rsidR="00305ADC">
        <w:t xml:space="preserve">, </w:t>
      </w:r>
      <w:r w:rsidRPr="008E618F" w:rsidR="00305ADC">
        <w:t xml:space="preserve">35 FCC </w:t>
      </w:r>
      <w:r w:rsidRPr="008E618F" w:rsidR="00305ADC">
        <w:t>Rcd</w:t>
      </w:r>
      <w:r w:rsidR="00305ADC">
        <w:t xml:space="preserve"> </w:t>
      </w:r>
      <w:r>
        <w:t>at 24</w:t>
      </w:r>
      <w:r w:rsidR="006C3600">
        <w:t>49-50</w:t>
      </w:r>
      <w:r>
        <w:t>, par</w:t>
      </w:r>
      <w:r w:rsidR="00F85353">
        <w:t>a</w:t>
      </w:r>
      <w:r w:rsidR="006C3600">
        <w:t>s</w:t>
      </w:r>
      <w:r>
        <w:t xml:space="preserve">. </w:t>
      </w:r>
      <w:r w:rsidR="006C3600">
        <w:t>268-9</w:t>
      </w:r>
      <w:r>
        <w:t>.</w:t>
      </w:r>
    </w:p>
  </w:footnote>
  <w:footnote w:id="30">
    <w:p w:rsidR="004447D9" w14:paraId="5F5A731F" w14:textId="19B43F79">
      <w:pPr>
        <w:pStyle w:val="FootnoteText"/>
      </w:pPr>
      <w:r>
        <w:rPr>
          <w:rStyle w:val="FootnoteReference"/>
        </w:rPr>
        <w:footnoteRef/>
      </w:r>
      <w:r>
        <w:t xml:space="preserve"> </w:t>
      </w:r>
      <w:r w:rsidRPr="00BA6413">
        <w:t>PSSI Request</w:t>
      </w:r>
      <w:r>
        <w:t xml:space="preserve"> at </w:t>
      </w:r>
      <w:r w:rsidR="005D16A0">
        <w:t>5</w:t>
      </w:r>
      <w:r>
        <w:t>.</w:t>
      </w:r>
    </w:p>
  </w:footnote>
  <w:footnote w:id="31">
    <w:p w:rsidR="004447D9" w14:paraId="2CBCF250" w14:textId="10F0683B">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 xml:space="preserve">35 FCC </w:t>
      </w:r>
      <w:r w:rsidRPr="008E618F">
        <w:t>Rcd</w:t>
      </w:r>
      <w:r>
        <w:t xml:space="preserve"> at 24</w:t>
      </w:r>
      <w:r w:rsidR="006C3600">
        <w:t>22-23</w:t>
      </w:r>
      <w:r>
        <w:t>, paras. 194-5.</w:t>
      </w:r>
    </w:p>
  </w:footnote>
  <w:footnote w:id="32">
    <w:p w:rsidR="004447D9" w14:paraId="39E10B73" w14:textId="34B7EE32">
      <w:pPr>
        <w:pStyle w:val="FootnoteText"/>
      </w:pPr>
      <w:r>
        <w:rPr>
          <w:rStyle w:val="FootnoteReference"/>
        </w:rPr>
        <w:footnoteRef/>
      </w:r>
      <w:r>
        <w:t xml:space="preserve"> </w:t>
      </w:r>
      <w:r w:rsidRPr="00BA6413" w:rsidR="005D16A0">
        <w:t>PSSI Request</w:t>
      </w:r>
      <w:r w:rsidR="005D16A0">
        <w:t xml:space="preserve"> at 5; </w:t>
      </w:r>
      <w:r w:rsidRPr="00B95F55" w:rsidR="005D16A0">
        <w:rPr>
          <w:i/>
          <w:iCs/>
        </w:rPr>
        <w:t>Expanding Flexible Use of the 3.7 to 4.2 GHz Band</w:t>
      </w:r>
      <w:r w:rsidR="005D16A0">
        <w:t xml:space="preserve">, GN Docket No. 18-122, Order Denying Stay Petition, </w:t>
      </w:r>
      <w:r w:rsidRPr="008E618F" w:rsidR="005D16A0">
        <w:t>3</w:t>
      </w:r>
      <w:r w:rsidR="005D16A0">
        <w:t>5</w:t>
      </w:r>
      <w:r w:rsidRPr="008E618F" w:rsidR="005D16A0">
        <w:t xml:space="preserve"> FCC </w:t>
      </w:r>
      <w:r w:rsidRPr="008E618F" w:rsidR="005D16A0">
        <w:t>Rcd</w:t>
      </w:r>
      <w:r w:rsidRPr="008E618F" w:rsidR="005D16A0">
        <w:t xml:space="preserve"> </w:t>
      </w:r>
      <w:r w:rsidR="005D16A0">
        <w:t>6771</w:t>
      </w:r>
      <w:r w:rsidRPr="008E618F" w:rsidR="005D16A0">
        <w:t xml:space="preserve">, </w:t>
      </w:r>
      <w:r w:rsidR="005D16A0">
        <w:t>6772, para. 3 (</w:t>
      </w:r>
      <w:r w:rsidR="00C3128F">
        <w:t xml:space="preserve">WTB </w:t>
      </w:r>
      <w:r w:rsidR="005D16A0">
        <w:t>2020)</w:t>
      </w:r>
      <w:r>
        <w:t>. </w:t>
      </w:r>
    </w:p>
  </w:footnote>
  <w:footnote w:id="33">
    <w:p w:rsidR="005B4EEC" w14:paraId="26390255" w14:textId="7F8D95CB">
      <w:pPr>
        <w:pStyle w:val="FootnoteText"/>
      </w:pPr>
      <w:r>
        <w:rPr>
          <w:rStyle w:val="FootnoteReference"/>
        </w:rPr>
        <w:footnoteRef/>
      </w:r>
      <w:r>
        <w:t xml:space="preserve"> </w:t>
      </w:r>
      <w:r w:rsidRPr="00BA6413" w:rsidR="005D16A0">
        <w:t>PSSI Request</w:t>
      </w:r>
      <w:r w:rsidR="005D16A0">
        <w:t xml:space="preserve"> at 5-6</w:t>
      </w:r>
      <w:r w:rsidR="00FF061D">
        <w:t xml:space="preserve">; </w:t>
      </w:r>
      <w:r w:rsidRPr="002A077E" w:rsidR="002A077E">
        <w:rPr>
          <w:i/>
          <w:iCs/>
        </w:rPr>
        <w:t>PSSI Global Services, L.L.C. v. Federal Communications Commission</w:t>
      </w:r>
      <w:r w:rsidR="002A077E">
        <w:t xml:space="preserve">, 983 F.3d 1, </w:t>
      </w:r>
      <w:r w:rsidR="00D41AB6">
        <w:t>10</w:t>
      </w:r>
      <w:r w:rsidR="002A077E">
        <w:t xml:space="preserve"> (D.C. Cir. 2020).</w:t>
      </w:r>
    </w:p>
  </w:footnote>
  <w:footnote w:id="34">
    <w:p w:rsidR="00934D86" w14:paraId="1790F9F0" w14:textId="6A119D92">
      <w:pPr>
        <w:pStyle w:val="FootnoteText"/>
      </w:pPr>
      <w:r>
        <w:rPr>
          <w:rStyle w:val="FootnoteReference"/>
        </w:rPr>
        <w:footnoteRef/>
      </w:r>
      <w:r>
        <w:t xml:space="preserve"> </w:t>
      </w:r>
      <w:r w:rsidRPr="002A077E">
        <w:rPr>
          <w:i/>
          <w:iCs/>
        </w:rPr>
        <w:t xml:space="preserve">PSSI Global Services, </w:t>
      </w:r>
      <w:r>
        <w:t xml:space="preserve">983 F.3d at </w:t>
      </w:r>
      <w:r w:rsidR="00D41AB6">
        <w:t>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B4C2F1" w14:textId="28C52411">
    <w:pPr>
      <w:pStyle w:val="Header"/>
      <w:rPr>
        <w:b w:val="0"/>
      </w:rPr>
    </w:pPr>
    <w:r>
      <w:tab/>
      <w:t>Federal Communications Commission</w:t>
    </w:r>
    <w:r>
      <w:tab/>
    </w:r>
    <w:r w:rsidR="00D50105">
      <w:t>DA 21-</w:t>
    </w:r>
    <w:r w:rsidR="00ED5164">
      <w:t>1494</w:t>
    </w:r>
  </w:p>
  <w:p w:rsidR="00D25FB5" w14:paraId="18A74B8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0A3C4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EC964C" w14:textId="55342C4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623E5">
      <w:t>DA 21-</w:t>
    </w:r>
    <w:r w:rsidR="00ED5164">
      <w:t>1494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19287472"/>
    <w:lvl w:ilvl="0">
      <w:start w:val="1"/>
      <w:numFmt w:val="decimal"/>
      <w:pStyle w:val="Heading1"/>
      <w:lvlText w:val="%1."/>
      <w:lvlJc w:val="left"/>
      <w:pPr>
        <w:tabs>
          <w:tab w:val="num" w:pos="1440"/>
        </w:tabs>
        <w:ind w:left="1440" w:hanging="720"/>
      </w:pPr>
      <w:rPr>
        <w:b w:val="0"/>
        <w:bCs/>
      </w:rPr>
    </w:lvl>
    <w:lvl w:ilvl="1">
      <w:start w:val="1"/>
      <w:numFmt w:val="upperLetter"/>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pStyle w:val="Heading4"/>
      <w:lvlText w:val="%4."/>
      <w:lvlJc w:val="left"/>
      <w:pPr>
        <w:tabs>
          <w:tab w:val="num" w:pos="3600"/>
        </w:tabs>
        <w:ind w:left="3600" w:hanging="720"/>
      </w:pPr>
    </w:lvl>
    <w:lvl w:ilvl="4">
      <w:start w:val="1"/>
      <w:numFmt w:val="lowerRoman"/>
      <w:pStyle w:val="Heading5"/>
      <w:lvlText w:val="(%5)"/>
      <w:lvlJc w:val="left"/>
      <w:pPr>
        <w:tabs>
          <w:tab w:val="num" w:pos="4320"/>
        </w:tabs>
        <w:ind w:left="4320" w:hanging="720"/>
      </w:pPr>
    </w:lvl>
    <w:lvl w:ilvl="5">
      <w:start w:val="1"/>
      <w:numFmt w:val="lowerLetter"/>
      <w:pStyle w:val="Heading6"/>
      <w:lvlText w:val="(%6)"/>
      <w:lvlJc w:val="left"/>
      <w:pPr>
        <w:tabs>
          <w:tab w:val="num" w:pos="5040"/>
        </w:tabs>
        <w:ind w:left="5040" w:hanging="720"/>
      </w:pPr>
    </w:lvl>
    <w:lvl w:ilvl="6">
      <w:start w:val="1"/>
      <w:numFmt w:val="lowerRoman"/>
      <w:pStyle w:val="Heading7"/>
      <w:lvlText w:val="(%7)"/>
      <w:lvlJc w:val="left"/>
      <w:pPr>
        <w:tabs>
          <w:tab w:val="num" w:pos="5760"/>
        </w:tabs>
        <w:ind w:left="5040" w:firstLine="0"/>
      </w:pPr>
    </w:lvl>
    <w:lvl w:ilvl="7">
      <w:start w:val="1"/>
      <w:numFmt w:val="lowerLetter"/>
      <w:pStyle w:val="Heading8"/>
      <w:lvlText w:val="(%8)"/>
      <w:lvlJc w:val="left"/>
      <w:pPr>
        <w:tabs>
          <w:tab w:val="num" w:pos="6120"/>
        </w:tabs>
        <w:ind w:left="5760" w:firstLine="0"/>
      </w:pPr>
    </w:lvl>
    <w:lvl w:ilvl="8">
      <w:start w:val="1"/>
      <w:numFmt w:val="lowerRoman"/>
      <w:pStyle w:val="Heading9"/>
      <w:lvlText w:val="(%9)"/>
      <w:lvlJc w:val="left"/>
      <w:pPr>
        <w:tabs>
          <w:tab w:val="num" w:pos="6840"/>
        </w:tabs>
        <w:ind w:left="6480" w:firstLine="0"/>
      </w:pPr>
    </w:lvl>
  </w:abstractNum>
  <w:abstractNum w:abstractNumId="4">
    <w:nsid w:val="2A344EB0"/>
    <w:multiLevelType w:val="multilevel"/>
    <w:tmpl w:val="134E1D4A"/>
    <w:lvl w:ilvl="0">
      <w:start w:val="1"/>
      <w:numFmt w:val="decimal"/>
      <w:lvlText w:val="%1."/>
      <w:lvlJc w:val="left"/>
      <w:pPr>
        <w:tabs>
          <w:tab w:val="num" w:pos="1440"/>
        </w:tabs>
        <w:ind w:left="1440" w:hanging="720"/>
      </w:pPr>
      <w:rPr>
        <w:b w:val="0"/>
        <w:bCs/>
      </w:r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320"/>
        </w:tabs>
        <w:ind w:left="4320" w:hanging="720"/>
      </w:p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5">
    <w:nsid w:val="49F04A25"/>
    <w:multiLevelType w:val="hybridMultilevel"/>
    <w:tmpl w:val="5706140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8B"/>
    <w:rsid w:val="000027FE"/>
    <w:rsid w:val="00012628"/>
    <w:rsid w:val="000144B8"/>
    <w:rsid w:val="00017B43"/>
    <w:rsid w:val="000300A0"/>
    <w:rsid w:val="00034E4B"/>
    <w:rsid w:val="00035CC2"/>
    <w:rsid w:val="00036039"/>
    <w:rsid w:val="00037F90"/>
    <w:rsid w:val="000541EC"/>
    <w:rsid w:val="00055FCA"/>
    <w:rsid w:val="00070F6B"/>
    <w:rsid w:val="00080627"/>
    <w:rsid w:val="00083E8A"/>
    <w:rsid w:val="00084F7C"/>
    <w:rsid w:val="00086A7E"/>
    <w:rsid w:val="000875BF"/>
    <w:rsid w:val="000909FF"/>
    <w:rsid w:val="00096D8C"/>
    <w:rsid w:val="000A0415"/>
    <w:rsid w:val="000B2C42"/>
    <w:rsid w:val="000B2C47"/>
    <w:rsid w:val="000B71D3"/>
    <w:rsid w:val="000C0B65"/>
    <w:rsid w:val="000C16A6"/>
    <w:rsid w:val="000C2D80"/>
    <w:rsid w:val="000C6793"/>
    <w:rsid w:val="000E05FE"/>
    <w:rsid w:val="000E0827"/>
    <w:rsid w:val="000E3D42"/>
    <w:rsid w:val="000F0E71"/>
    <w:rsid w:val="000F48DE"/>
    <w:rsid w:val="00100339"/>
    <w:rsid w:val="0010138B"/>
    <w:rsid w:val="0010436D"/>
    <w:rsid w:val="001115D7"/>
    <w:rsid w:val="00112B50"/>
    <w:rsid w:val="00114E0D"/>
    <w:rsid w:val="00120A03"/>
    <w:rsid w:val="0012145E"/>
    <w:rsid w:val="00122BD5"/>
    <w:rsid w:val="00133F79"/>
    <w:rsid w:val="00135BB6"/>
    <w:rsid w:val="0013791A"/>
    <w:rsid w:val="0014324F"/>
    <w:rsid w:val="00153F8E"/>
    <w:rsid w:val="001546EA"/>
    <w:rsid w:val="00160902"/>
    <w:rsid w:val="0016410E"/>
    <w:rsid w:val="001643A0"/>
    <w:rsid w:val="0018371B"/>
    <w:rsid w:val="001847BB"/>
    <w:rsid w:val="00192B57"/>
    <w:rsid w:val="00194A66"/>
    <w:rsid w:val="00195D3F"/>
    <w:rsid w:val="001973B7"/>
    <w:rsid w:val="001D6BCF"/>
    <w:rsid w:val="001E01CA"/>
    <w:rsid w:val="001E4D08"/>
    <w:rsid w:val="001F11C3"/>
    <w:rsid w:val="001F31C6"/>
    <w:rsid w:val="002008A6"/>
    <w:rsid w:val="00205F8D"/>
    <w:rsid w:val="002072BC"/>
    <w:rsid w:val="00215D1A"/>
    <w:rsid w:val="00215EF5"/>
    <w:rsid w:val="002160CB"/>
    <w:rsid w:val="00222F51"/>
    <w:rsid w:val="00223815"/>
    <w:rsid w:val="00230266"/>
    <w:rsid w:val="00231D84"/>
    <w:rsid w:val="00237389"/>
    <w:rsid w:val="00241E8D"/>
    <w:rsid w:val="002464D8"/>
    <w:rsid w:val="0024695A"/>
    <w:rsid w:val="0025092A"/>
    <w:rsid w:val="002522DD"/>
    <w:rsid w:val="00252C97"/>
    <w:rsid w:val="00253161"/>
    <w:rsid w:val="00255D9E"/>
    <w:rsid w:val="00256908"/>
    <w:rsid w:val="00272B19"/>
    <w:rsid w:val="00275CF5"/>
    <w:rsid w:val="0028301F"/>
    <w:rsid w:val="00285017"/>
    <w:rsid w:val="002873F1"/>
    <w:rsid w:val="002A004C"/>
    <w:rsid w:val="002A077E"/>
    <w:rsid w:val="002A2D2E"/>
    <w:rsid w:val="002A617D"/>
    <w:rsid w:val="002B119D"/>
    <w:rsid w:val="002B2030"/>
    <w:rsid w:val="002B4031"/>
    <w:rsid w:val="002B564E"/>
    <w:rsid w:val="002B777E"/>
    <w:rsid w:val="002C00E8"/>
    <w:rsid w:val="002C37C5"/>
    <w:rsid w:val="002C7519"/>
    <w:rsid w:val="002D5AA9"/>
    <w:rsid w:val="002D66F4"/>
    <w:rsid w:val="002E1558"/>
    <w:rsid w:val="00304DD7"/>
    <w:rsid w:val="00305ADC"/>
    <w:rsid w:val="00307A0B"/>
    <w:rsid w:val="00320042"/>
    <w:rsid w:val="00343749"/>
    <w:rsid w:val="00347B31"/>
    <w:rsid w:val="0035179D"/>
    <w:rsid w:val="00354E9D"/>
    <w:rsid w:val="003624D1"/>
    <w:rsid w:val="0036324F"/>
    <w:rsid w:val="003660ED"/>
    <w:rsid w:val="00372132"/>
    <w:rsid w:val="00373380"/>
    <w:rsid w:val="003770A7"/>
    <w:rsid w:val="003820AD"/>
    <w:rsid w:val="0038660E"/>
    <w:rsid w:val="00390411"/>
    <w:rsid w:val="00391FDF"/>
    <w:rsid w:val="00392FB9"/>
    <w:rsid w:val="00393435"/>
    <w:rsid w:val="003A109C"/>
    <w:rsid w:val="003A1A8C"/>
    <w:rsid w:val="003A1FA0"/>
    <w:rsid w:val="003B0550"/>
    <w:rsid w:val="003B694F"/>
    <w:rsid w:val="003B6A37"/>
    <w:rsid w:val="003C63A0"/>
    <w:rsid w:val="003D016F"/>
    <w:rsid w:val="003D26EF"/>
    <w:rsid w:val="003D454F"/>
    <w:rsid w:val="003D59C2"/>
    <w:rsid w:val="003D75EB"/>
    <w:rsid w:val="003E2E2B"/>
    <w:rsid w:val="003E74AB"/>
    <w:rsid w:val="003E75B1"/>
    <w:rsid w:val="003E75C4"/>
    <w:rsid w:val="003E7AC3"/>
    <w:rsid w:val="003F171C"/>
    <w:rsid w:val="004048B8"/>
    <w:rsid w:val="00407BCD"/>
    <w:rsid w:val="00411854"/>
    <w:rsid w:val="00412FC5"/>
    <w:rsid w:val="00417635"/>
    <w:rsid w:val="00422276"/>
    <w:rsid w:val="00424178"/>
    <w:rsid w:val="004242F1"/>
    <w:rsid w:val="0043797A"/>
    <w:rsid w:val="004447D9"/>
    <w:rsid w:val="00445A00"/>
    <w:rsid w:val="00450AD2"/>
    <w:rsid w:val="00451B0F"/>
    <w:rsid w:val="00453D49"/>
    <w:rsid w:val="0045578A"/>
    <w:rsid w:val="00456218"/>
    <w:rsid w:val="00460404"/>
    <w:rsid w:val="00462A4A"/>
    <w:rsid w:val="00464AA8"/>
    <w:rsid w:val="00466452"/>
    <w:rsid w:val="00475569"/>
    <w:rsid w:val="004B014B"/>
    <w:rsid w:val="004B5844"/>
    <w:rsid w:val="004C1A7C"/>
    <w:rsid w:val="004C2EE3"/>
    <w:rsid w:val="004C5414"/>
    <w:rsid w:val="004C7784"/>
    <w:rsid w:val="004D3B56"/>
    <w:rsid w:val="004E4A22"/>
    <w:rsid w:val="004E4A91"/>
    <w:rsid w:val="004E523E"/>
    <w:rsid w:val="004F1CC2"/>
    <w:rsid w:val="004F4DFA"/>
    <w:rsid w:val="0050064E"/>
    <w:rsid w:val="0050247A"/>
    <w:rsid w:val="00503D6F"/>
    <w:rsid w:val="0050466B"/>
    <w:rsid w:val="00511968"/>
    <w:rsid w:val="00513617"/>
    <w:rsid w:val="00531340"/>
    <w:rsid w:val="0055614C"/>
    <w:rsid w:val="00561B82"/>
    <w:rsid w:val="005621BA"/>
    <w:rsid w:val="005623E5"/>
    <w:rsid w:val="00563CB1"/>
    <w:rsid w:val="005654E2"/>
    <w:rsid w:val="00566D06"/>
    <w:rsid w:val="005763BB"/>
    <w:rsid w:val="0058081A"/>
    <w:rsid w:val="00587591"/>
    <w:rsid w:val="005955A9"/>
    <w:rsid w:val="005A25BA"/>
    <w:rsid w:val="005A61AE"/>
    <w:rsid w:val="005A7266"/>
    <w:rsid w:val="005A7885"/>
    <w:rsid w:val="005B1E02"/>
    <w:rsid w:val="005B3EB3"/>
    <w:rsid w:val="005B4EEC"/>
    <w:rsid w:val="005C4F71"/>
    <w:rsid w:val="005D16A0"/>
    <w:rsid w:val="005D2D4A"/>
    <w:rsid w:val="005E14C2"/>
    <w:rsid w:val="005E6667"/>
    <w:rsid w:val="005F33A5"/>
    <w:rsid w:val="00606919"/>
    <w:rsid w:val="00606B99"/>
    <w:rsid w:val="00607BA5"/>
    <w:rsid w:val="0061180A"/>
    <w:rsid w:val="0062065B"/>
    <w:rsid w:val="00622E89"/>
    <w:rsid w:val="0062605C"/>
    <w:rsid w:val="00626EB6"/>
    <w:rsid w:val="00627A1B"/>
    <w:rsid w:val="00630002"/>
    <w:rsid w:val="006423F8"/>
    <w:rsid w:val="00643152"/>
    <w:rsid w:val="00655D03"/>
    <w:rsid w:val="00662021"/>
    <w:rsid w:val="0066348D"/>
    <w:rsid w:val="00683388"/>
    <w:rsid w:val="00683F84"/>
    <w:rsid w:val="0068582C"/>
    <w:rsid w:val="00685CCB"/>
    <w:rsid w:val="00696BBE"/>
    <w:rsid w:val="00697BF2"/>
    <w:rsid w:val="006A2FD8"/>
    <w:rsid w:val="006A425A"/>
    <w:rsid w:val="006A6A81"/>
    <w:rsid w:val="006B0C42"/>
    <w:rsid w:val="006B5115"/>
    <w:rsid w:val="006C2C69"/>
    <w:rsid w:val="006C3600"/>
    <w:rsid w:val="006C55BE"/>
    <w:rsid w:val="006D5856"/>
    <w:rsid w:val="006D6672"/>
    <w:rsid w:val="006D756B"/>
    <w:rsid w:val="006E5CD3"/>
    <w:rsid w:val="006E7F2B"/>
    <w:rsid w:val="006F20C9"/>
    <w:rsid w:val="006F2E2B"/>
    <w:rsid w:val="006F6627"/>
    <w:rsid w:val="006F7393"/>
    <w:rsid w:val="006F7D92"/>
    <w:rsid w:val="0070224F"/>
    <w:rsid w:val="00710A7D"/>
    <w:rsid w:val="00711410"/>
    <w:rsid w:val="007115F7"/>
    <w:rsid w:val="00713361"/>
    <w:rsid w:val="00714930"/>
    <w:rsid w:val="00720C02"/>
    <w:rsid w:val="007238F2"/>
    <w:rsid w:val="0072471A"/>
    <w:rsid w:val="007265FB"/>
    <w:rsid w:val="00730C24"/>
    <w:rsid w:val="007311D7"/>
    <w:rsid w:val="007343B1"/>
    <w:rsid w:val="00736847"/>
    <w:rsid w:val="00764492"/>
    <w:rsid w:val="00764F2A"/>
    <w:rsid w:val="007665FB"/>
    <w:rsid w:val="007755C9"/>
    <w:rsid w:val="00776E24"/>
    <w:rsid w:val="00777282"/>
    <w:rsid w:val="00784CD7"/>
    <w:rsid w:val="00785689"/>
    <w:rsid w:val="00792AD3"/>
    <w:rsid w:val="0079754B"/>
    <w:rsid w:val="007A1E6D"/>
    <w:rsid w:val="007A62B9"/>
    <w:rsid w:val="007B0EB2"/>
    <w:rsid w:val="007B2775"/>
    <w:rsid w:val="007B39BB"/>
    <w:rsid w:val="007D76F1"/>
    <w:rsid w:val="007F63B6"/>
    <w:rsid w:val="007F6FB9"/>
    <w:rsid w:val="008020FB"/>
    <w:rsid w:val="00807ABF"/>
    <w:rsid w:val="00810B6F"/>
    <w:rsid w:val="00813777"/>
    <w:rsid w:val="00817B7C"/>
    <w:rsid w:val="00822CE0"/>
    <w:rsid w:val="00827A4B"/>
    <w:rsid w:val="00830EB0"/>
    <w:rsid w:val="00832AFA"/>
    <w:rsid w:val="008350D7"/>
    <w:rsid w:val="00841AB1"/>
    <w:rsid w:val="00844E00"/>
    <w:rsid w:val="00845D15"/>
    <w:rsid w:val="00854D33"/>
    <w:rsid w:val="00861FD6"/>
    <w:rsid w:val="00863286"/>
    <w:rsid w:val="00863B07"/>
    <w:rsid w:val="0088221B"/>
    <w:rsid w:val="00897545"/>
    <w:rsid w:val="008A1556"/>
    <w:rsid w:val="008A15B4"/>
    <w:rsid w:val="008B3703"/>
    <w:rsid w:val="008B4096"/>
    <w:rsid w:val="008B7C93"/>
    <w:rsid w:val="008C0250"/>
    <w:rsid w:val="008C0C31"/>
    <w:rsid w:val="008C4517"/>
    <w:rsid w:val="008C68F1"/>
    <w:rsid w:val="008C78DB"/>
    <w:rsid w:val="008D3DFB"/>
    <w:rsid w:val="008D49C1"/>
    <w:rsid w:val="008D5A9B"/>
    <w:rsid w:val="008E618F"/>
    <w:rsid w:val="008F0456"/>
    <w:rsid w:val="008F39AD"/>
    <w:rsid w:val="009028C0"/>
    <w:rsid w:val="00905BF6"/>
    <w:rsid w:val="00911EF5"/>
    <w:rsid w:val="00921702"/>
    <w:rsid w:val="00921803"/>
    <w:rsid w:val="0092583F"/>
    <w:rsid w:val="00926503"/>
    <w:rsid w:val="00926828"/>
    <w:rsid w:val="00927CAB"/>
    <w:rsid w:val="009313B9"/>
    <w:rsid w:val="00934D86"/>
    <w:rsid w:val="009375FB"/>
    <w:rsid w:val="00951114"/>
    <w:rsid w:val="00952C9B"/>
    <w:rsid w:val="0095780D"/>
    <w:rsid w:val="00963F0B"/>
    <w:rsid w:val="0096665C"/>
    <w:rsid w:val="00966F5A"/>
    <w:rsid w:val="00967868"/>
    <w:rsid w:val="009726D8"/>
    <w:rsid w:val="009806DA"/>
    <w:rsid w:val="00987371"/>
    <w:rsid w:val="009966BD"/>
    <w:rsid w:val="009971D4"/>
    <w:rsid w:val="009A54DF"/>
    <w:rsid w:val="009A5B3E"/>
    <w:rsid w:val="009C1EF1"/>
    <w:rsid w:val="009C65EF"/>
    <w:rsid w:val="009D39AB"/>
    <w:rsid w:val="009D7308"/>
    <w:rsid w:val="009E1C8A"/>
    <w:rsid w:val="009F3791"/>
    <w:rsid w:val="009F45E8"/>
    <w:rsid w:val="009F76DB"/>
    <w:rsid w:val="00A03B4D"/>
    <w:rsid w:val="00A12B0B"/>
    <w:rsid w:val="00A21BEE"/>
    <w:rsid w:val="00A27D5D"/>
    <w:rsid w:val="00A32C3B"/>
    <w:rsid w:val="00A34694"/>
    <w:rsid w:val="00A37056"/>
    <w:rsid w:val="00A42B32"/>
    <w:rsid w:val="00A43B37"/>
    <w:rsid w:val="00A45F4F"/>
    <w:rsid w:val="00A53AEC"/>
    <w:rsid w:val="00A600A9"/>
    <w:rsid w:val="00A6503B"/>
    <w:rsid w:val="00A71DAE"/>
    <w:rsid w:val="00A7216B"/>
    <w:rsid w:val="00A77379"/>
    <w:rsid w:val="00A80EB0"/>
    <w:rsid w:val="00A82107"/>
    <w:rsid w:val="00A85B38"/>
    <w:rsid w:val="00A91AA9"/>
    <w:rsid w:val="00A96EA9"/>
    <w:rsid w:val="00A9777E"/>
    <w:rsid w:val="00AA55B7"/>
    <w:rsid w:val="00AA5B9E"/>
    <w:rsid w:val="00AA6B2A"/>
    <w:rsid w:val="00AB2407"/>
    <w:rsid w:val="00AB53DF"/>
    <w:rsid w:val="00AC2AFC"/>
    <w:rsid w:val="00AD1FBC"/>
    <w:rsid w:val="00AE3306"/>
    <w:rsid w:val="00AE5ED0"/>
    <w:rsid w:val="00AF051B"/>
    <w:rsid w:val="00AF3491"/>
    <w:rsid w:val="00AF367C"/>
    <w:rsid w:val="00AF57F9"/>
    <w:rsid w:val="00B00B87"/>
    <w:rsid w:val="00B0238F"/>
    <w:rsid w:val="00B06277"/>
    <w:rsid w:val="00B07E5C"/>
    <w:rsid w:val="00B30045"/>
    <w:rsid w:val="00B34697"/>
    <w:rsid w:val="00B34F5A"/>
    <w:rsid w:val="00B353A5"/>
    <w:rsid w:val="00B44CE4"/>
    <w:rsid w:val="00B5774D"/>
    <w:rsid w:val="00B6512B"/>
    <w:rsid w:val="00B70DA7"/>
    <w:rsid w:val="00B726AD"/>
    <w:rsid w:val="00B737E3"/>
    <w:rsid w:val="00B75AE4"/>
    <w:rsid w:val="00B75CA2"/>
    <w:rsid w:val="00B75E12"/>
    <w:rsid w:val="00B811F7"/>
    <w:rsid w:val="00B815BC"/>
    <w:rsid w:val="00B84A4E"/>
    <w:rsid w:val="00B95F55"/>
    <w:rsid w:val="00BA0E6C"/>
    <w:rsid w:val="00BA22EC"/>
    <w:rsid w:val="00BA5DC6"/>
    <w:rsid w:val="00BA6196"/>
    <w:rsid w:val="00BA6413"/>
    <w:rsid w:val="00BC090B"/>
    <w:rsid w:val="00BC4E7D"/>
    <w:rsid w:val="00BC5471"/>
    <w:rsid w:val="00BC6D8C"/>
    <w:rsid w:val="00BD1819"/>
    <w:rsid w:val="00BD4186"/>
    <w:rsid w:val="00BE0820"/>
    <w:rsid w:val="00BF322E"/>
    <w:rsid w:val="00BF332C"/>
    <w:rsid w:val="00BF3663"/>
    <w:rsid w:val="00BF48DD"/>
    <w:rsid w:val="00BF7FF4"/>
    <w:rsid w:val="00C00F7A"/>
    <w:rsid w:val="00C1019E"/>
    <w:rsid w:val="00C114D6"/>
    <w:rsid w:val="00C13273"/>
    <w:rsid w:val="00C25BE5"/>
    <w:rsid w:val="00C25CC2"/>
    <w:rsid w:val="00C3128F"/>
    <w:rsid w:val="00C3284C"/>
    <w:rsid w:val="00C34006"/>
    <w:rsid w:val="00C356F5"/>
    <w:rsid w:val="00C36B4C"/>
    <w:rsid w:val="00C426B1"/>
    <w:rsid w:val="00C46F4D"/>
    <w:rsid w:val="00C472A3"/>
    <w:rsid w:val="00C47E45"/>
    <w:rsid w:val="00C545B4"/>
    <w:rsid w:val="00C61EDE"/>
    <w:rsid w:val="00C61FC6"/>
    <w:rsid w:val="00C63B15"/>
    <w:rsid w:val="00C63ED7"/>
    <w:rsid w:val="00C66160"/>
    <w:rsid w:val="00C721AC"/>
    <w:rsid w:val="00C72C1D"/>
    <w:rsid w:val="00C76BA0"/>
    <w:rsid w:val="00C77144"/>
    <w:rsid w:val="00C81FFE"/>
    <w:rsid w:val="00C86216"/>
    <w:rsid w:val="00C90D6A"/>
    <w:rsid w:val="00CA247E"/>
    <w:rsid w:val="00CA3497"/>
    <w:rsid w:val="00CA6D21"/>
    <w:rsid w:val="00CB1DD1"/>
    <w:rsid w:val="00CC72B6"/>
    <w:rsid w:val="00CD3E93"/>
    <w:rsid w:val="00CE4BCA"/>
    <w:rsid w:val="00CE6EED"/>
    <w:rsid w:val="00CF0C4F"/>
    <w:rsid w:val="00CF1FE5"/>
    <w:rsid w:val="00CF2ED1"/>
    <w:rsid w:val="00D0218D"/>
    <w:rsid w:val="00D037B3"/>
    <w:rsid w:val="00D054C9"/>
    <w:rsid w:val="00D25FB5"/>
    <w:rsid w:val="00D2706D"/>
    <w:rsid w:val="00D2748B"/>
    <w:rsid w:val="00D41AB6"/>
    <w:rsid w:val="00D44223"/>
    <w:rsid w:val="00D44C43"/>
    <w:rsid w:val="00D50105"/>
    <w:rsid w:val="00D550EA"/>
    <w:rsid w:val="00D615E7"/>
    <w:rsid w:val="00D736DE"/>
    <w:rsid w:val="00D748E0"/>
    <w:rsid w:val="00D77BEA"/>
    <w:rsid w:val="00D80D7B"/>
    <w:rsid w:val="00D82ABE"/>
    <w:rsid w:val="00D96B01"/>
    <w:rsid w:val="00D9796D"/>
    <w:rsid w:val="00D97F45"/>
    <w:rsid w:val="00DA2529"/>
    <w:rsid w:val="00DB0F7D"/>
    <w:rsid w:val="00DB130A"/>
    <w:rsid w:val="00DB2EBB"/>
    <w:rsid w:val="00DB4BCD"/>
    <w:rsid w:val="00DC10A1"/>
    <w:rsid w:val="00DC655F"/>
    <w:rsid w:val="00DD0B59"/>
    <w:rsid w:val="00DD7EBD"/>
    <w:rsid w:val="00DE0072"/>
    <w:rsid w:val="00DE714F"/>
    <w:rsid w:val="00DF62B6"/>
    <w:rsid w:val="00E044CE"/>
    <w:rsid w:val="00E05C90"/>
    <w:rsid w:val="00E07225"/>
    <w:rsid w:val="00E139BF"/>
    <w:rsid w:val="00E20129"/>
    <w:rsid w:val="00E210A4"/>
    <w:rsid w:val="00E23988"/>
    <w:rsid w:val="00E23CA2"/>
    <w:rsid w:val="00E47B08"/>
    <w:rsid w:val="00E503E1"/>
    <w:rsid w:val="00E50AED"/>
    <w:rsid w:val="00E52A5A"/>
    <w:rsid w:val="00E53C3A"/>
    <w:rsid w:val="00E5409F"/>
    <w:rsid w:val="00E606F8"/>
    <w:rsid w:val="00E6075E"/>
    <w:rsid w:val="00E70E5C"/>
    <w:rsid w:val="00E7536A"/>
    <w:rsid w:val="00E76B7F"/>
    <w:rsid w:val="00E76FA7"/>
    <w:rsid w:val="00E87657"/>
    <w:rsid w:val="00E9210C"/>
    <w:rsid w:val="00E94B3C"/>
    <w:rsid w:val="00EA6E73"/>
    <w:rsid w:val="00EB12F0"/>
    <w:rsid w:val="00EB7EA4"/>
    <w:rsid w:val="00EC27BE"/>
    <w:rsid w:val="00EC725C"/>
    <w:rsid w:val="00ED1591"/>
    <w:rsid w:val="00ED2111"/>
    <w:rsid w:val="00ED4416"/>
    <w:rsid w:val="00ED5164"/>
    <w:rsid w:val="00EE2667"/>
    <w:rsid w:val="00EE6488"/>
    <w:rsid w:val="00F018A4"/>
    <w:rsid w:val="00F021FA"/>
    <w:rsid w:val="00F05AA3"/>
    <w:rsid w:val="00F1154A"/>
    <w:rsid w:val="00F154FF"/>
    <w:rsid w:val="00F2200C"/>
    <w:rsid w:val="00F23481"/>
    <w:rsid w:val="00F24154"/>
    <w:rsid w:val="00F24FBC"/>
    <w:rsid w:val="00F42186"/>
    <w:rsid w:val="00F425C2"/>
    <w:rsid w:val="00F52A2A"/>
    <w:rsid w:val="00F5306C"/>
    <w:rsid w:val="00F54881"/>
    <w:rsid w:val="00F61280"/>
    <w:rsid w:val="00F617F0"/>
    <w:rsid w:val="00F62E97"/>
    <w:rsid w:val="00F64209"/>
    <w:rsid w:val="00F7517E"/>
    <w:rsid w:val="00F81AA3"/>
    <w:rsid w:val="00F81BEA"/>
    <w:rsid w:val="00F85353"/>
    <w:rsid w:val="00F93BF5"/>
    <w:rsid w:val="00F96034"/>
    <w:rsid w:val="00FB0D7C"/>
    <w:rsid w:val="00FB2326"/>
    <w:rsid w:val="00FB5E03"/>
    <w:rsid w:val="00FD1BA2"/>
    <w:rsid w:val="00FD22DB"/>
    <w:rsid w:val="00FD39DE"/>
    <w:rsid w:val="00FE1969"/>
    <w:rsid w:val="00FE3BA5"/>
    <w:rsid w:val="00FE7F36"/>
    <w:rsid w:val="00FF061D"/>
    <w:rsid w:val="00FF4D7E"/>
    <w:rsid w:val="00FF4E77"/>
    <w:rsid w:val="0381718B"/>
    <w:rsid w:val="0431EDAB"/>
    <w:rsid w:val="0676AFBE"/>
    <w:rsid w:val="07C64FF1"/>
    <w:rsid w:val="082044C7"/>
    <w:rsid w:val="0AC7E460"/>
    <w:rsid w:val="0BB7C7F4"/>
    <w:rsid w:val="0DF302FE"/>
    <w:rsid w:val="0EAD6F9B"/>
    <w:rsid w:val="117798B1"/>
    <w:rsid w:val="11A9686D"/>
    <w:rsid w:val="13467C3B"/>
    <w:rsid w:val="1375BACC"/>
    <w:rsid w:val="151B822F"/>
    <w:rsid w:val="186DE03C"/>
    <w:rsid w:val="1CD0020C"/>
    <w:rsid w:val="1D4652CE"/>
    <w:rsid w:val="220A1219"/>
    <w:rsid w:val="242C1C4A"/>
    <w:rsid w:val="25919645"/>
    <w:rsid w:val="26910469"/>
    <w:rsid w:val="2B8AEBDB"/>
    <w:rsid w:val="2D94F80D"/>
    <w:rsid w:val="32AB3F96"/>
    <w:rsid w:val="36224B64"/>
    <w:rsid w:val="3B565D40"/>
    <w:rsid w:val="3DD12C09"/>
    <w:rsid w:val="3EA3605C"/>
    <w:rsid w:val="3FD1CB9D"/>
    <w:rsid w:val="407E772A"/>
    <w:rsid w:val="458048C9"/>
    <w:rsid w:val="482C98B3"/>
    <w:rsid w:val="4AF6F531"/>
    <w:rsid w:val="4AFA50DD"/>
    <w:rsid w:val="4B643975"/>
    <w:rsid w:val="540D3696"/>
    <w:rsid w:val="56C1DAE1"/>
    <w:rsid w:val="579AAF0F"/>
    <w:rsid w:val="5FC13B9E"/>
    <w:rsid w:val="6482242F"/>
    <w:rsid w:val="65FE0625"/>
    <w:rsid w:val="66F42875"/>
    <w:rsid w:val="6799D686"/>
    <w:rsid w:val="6A273DD0"/>
    <w:rsid w:val="6A301D5A"/>
    <w:rsid w:val="6E14E265"/>
    <w:rsid w:val="78F1BAF0"/>
    <w:rsid w:val="792F4D9D"/>
    <w:rsid w:val="7AED5C8E"/>
    <w:rsid w:val="7B5602B3"/>
    <w:rsid w:val="7F18E2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95FD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hanging="720"/>
      <w:outlineLvl w:val="6"/>
    </w:pPr>
    <w:rPr>
      <w:b/>
    </w:rPr>
  </w:style>
  <w:style w:type="paragraph" w:styleId="Heading8">
    <w:name w:val="heading 8"/>
    <w:basedOn w:val="Normal"/>
    <w:next w:val="ParaNum"/>
    <w:qFormat/>
    <w:rsid w:val="001E01CA"/>
    <w:pPr>
      <w:numPr>
        <w:ilvl w:val="7"/>
        <w:numId w:val="3"/>
      </w:numPr>
      <w:tabs>
        <w:tab w:val="left" w:pos="5760"/>
      </w:tabs>
      <w:spacing w:after="120"/>
      <w:ind w:hanging="720"/>
      <w:outlineLvl w:val="7"/>
    </w:pPr>
    <w:rPr>
      <w:b/>
    </w:rPr>
  </w:style>
  <w:style w:type="paragraph" w:styleId="Heading9">
    <w:name w:val="heading 9"/>
    <w:basedOn w:val="Normal"/>
    <w:next w:val="ParaNum"/>
    <w:qFormat/>
    <w:rsid w:val="001E01CA"/>
    <w:pPr>
      <w:numPr>
        <w:ilvl w:val="8"/>
        <w:numId w:val="3"/>
      </w:numPr>
      <w:tabs>
        <w:tab w:val="left" w:pos="6480"/>
      </w:tabs>
      <w:spacing w:after="120"/>
      <w:ind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D7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A0"/>
    <w:pPr>
      <w:ind w:left="720"/>
      <w:contextualSpacing/>
    </w:pPr>
  </w:style>
  <w:style w:type="character" w:customStyle="1" w:styleId="UnresolvedMention1">
    <w:name w:val="Unresolved Mention1"/>
    <w:basedOn w:val="DefaultParagraphFont"/>
    <w:uiPriority w:val="99"/>
    <w:semiHidden/>
    <w:unhideWhenUsed/>
    <w:rsid w:val="00FB0D7C"/>
    <w:rPr>
      <w:color w:val="605E5C"/>
      <w:shd w:val="clear" w:color="auto" w:fill="E1DFDD"/>
    </w:rPr>
  </w:style>
  <w:style w:type="character" w:styleId="FollowedHyperlink">
    <w:name w:val="FollowedHyperlink"/>
    <w:basedOn w:val="DefaultParagraphFont"/>
    <w:rsid w:val="00307A0B"/>
    <w:rPr>
      <w:color w:val="954F72" w:themeColor="followedHyperlink"/>
      <w:u w:val="single"/>
    </w:rPr>
  </w:style>
  <w:style w:type="paragraph" w:styleId="BalloonText">
    <w:name w:val="Balloon Text"/>
    <w:basedOn w:val="Normal"/>
    <w:link w:val="BalloonTextChar"/>
    <w:rsid w:val="00927CAB"/>
    <w:rPr>
      <w:rFonts w:ascii="Segoe UI" w:hAnsi="Segoe UI" w:cs="Segoe UI"/>
      <w:sz w:val="18"/>
      <w:szCs w:val="18"/>
    </w:rPr>
  </w:style>
  <w:style w:type="character" w:customStyle="1" w:styleId="BalloonTextChar">
    <w:name w:val="Balloon Text Char"/>
    <w:basedOn w:val="DefaultParagraphFont"/>
    <w:link w:val="BalloonText"/>
    <w:rsid w:val="00927CAB"/>
    <w:rPr>
      <w:rFonts w:ascii="Segoe UI" w:hAnsi="Segoe UI" w:cs="Segoe UI"/>
      <w:snapToGrid w:val="0"/>
      <w:kern w:val="28"/>
      <w:sz w:val="18"/>
      <w:szCs w:val="18"/>
    </w:rPr>
  </w:style>
  <w:style w:type="character" w:styleId="CommentReference">
    <w:name w:val="annotation reference"/>
    <w:basedOn w:val="DefaultParagraphFont"/>
    <w:uiPriority w:val="99"/>
    <w:rsid w:val="005E6667"/>
    <w:rPr>
      <w:sz w:val="16"/>
      <w:szCs w:val="16"/>
    </w:rPr>
  </w:style>
  <w:style w:type="paragraph" w:styleId="CommentText">
    <w:name w:val="annotation text"/>
    <w:basedOn w:val="Normal"/>
    <w:link w:val="CommentTextChar"/>
    <w:rsid w:val="005E6667"/>
    <w:rPr>
      <w:sz w:val="20"/>
    </w:rPr>
  </w:style>
  <w:style w:type="character" w:customStyle="1" w:styleId="CommentTextChar">
    <w:name w:val="Comment Text Char"/>
    <w:basedOn w:val="DefaultParagraphFont"/>
    <w:link w:val="CommentText"/>
    <w:rsid w:val="005E6667"/>
    <w:rPr>
      <w:snapToGrid w:val="0"/>
      <w:kern w:val="28"/>
    </w:rPr>
  </w:style>
  <w:style w:type="paragraph" w:styleId="CommentSubject">
    <w:name w:val="annotation subject"/>
    <w:basedOn w:val="CommentText"/>
    <w:next w:val="CommentText"/>
    <w:link w:val="CommentSubjectChar"/>
    <w:rsid w:val="005E6667"/>
    <w:rPr>
      <w:b/>
      <w:bCs/>
    </w:rPr>
  </w:style>
  <w:style w:type="character" w:customStyle="1" w:styleId="CommentSubjectChar">
    <w:name w:val="Comment Subject Char"/>
    <w:basedOn w:val="CommentTextChar"/>
    <w:link w:val="CommentSubject"/>
    <w:rsid w:val="005E6667"/>
    <w:rPr>
      <w:b/>
      <w:bCs/>
      <w:snapToGrid w:val="0"/>
      <w:kern w:val="28"/>
    </w:rPr>
  </w:style>
  <w:style w:type="paragraph" w:styleId="Revision">
    <w:name w:val="Revision"/>
    <w:hidden/>
    <w:uiPriority w:val="99"/>
    <w:semiHidden/>
    <w:rsid w:val="00C76BA0"/>
    <w:rPr>
      <w:snapToGrid w:val="0"/>
      <w:kern w:val="28"/>
      <w:sz w:val="22"/>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1,f Char"/>
    <w:link w:val="FootnoteText"/>
    <w:uiPriority w:val="99"/>
    <w:rsid w:val="004E4A91"/>
  </w:style>
  <w:style w:type="character" w:customStyle="1" w:styleId="ParaNumChar">
    <w:name w:val="ParaNum Char"/>
    <w:link w:val="ParaNum"/>
    <w:locked/>
    <w:rsid w:val="004E4A91"/>
    <w:rPr>
      <w:snapToGrid w:val="0"/>
      <w:kern w:val="28"/>
      <w:sz w:val="22"/>
    </w:rPr>
  </w:style>
  <w:style w:type="character" w:styleId="Emphasis">
    <w:name w:val="Emphasis"/>
    <w:uiPriority w:val="20"/>
    <w:qFormat/>
    <w:rsid w:val="004E4A91"/>
    <w:rPr>
      <w:i/>
      <w:iCs/>
    </w:rPr>
  </w:style>
  <w:style w:type="character" w:customStyle="1" w:styleId="FootnoteTextCharCharCharChar1CharChar">
    <w:name w:val="Footnote Text Char Char Char Char1 Char Char"/>
    <w:aliases w:val="Footnote Text Char1 Char Char Char Char,Footnote Text Char1 Char2 Char,Footnote Text Char2 Char"/>
    <w:uiPriority w:val="99"/>
    <w:locked/>
    <w:rsid w:val="00F154FF"/>
  </w:style>
  <w:style w:type="character" w:customStyle="1" w:styleId="ng-binding">
    <w:name w:val="ng-binding"/>
    <w:basedOn w:val="DefaultParagraphFont"/>
    <w:rsid w:val="00C6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