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1E152E"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A2982" w:rsidRPr="00947B4D" w:rsidP="00CA2982" w14:paraId="4B83D66E" w14:textId="77777777">
            <w:pPr>
              <w:ind w:right="-18"/>
              <w:rPr>
                <w:szCs w:val="22"/>
              </w:rPr>
            </w:pPr>
            <w:r w:rsidRPr="00947B4D">
              <w:rPr>
                <w:szCs w:val="22"/>
              </w:rPr>
              <w:t xml:space="preserve">In </w:t>
            </w:r>
            <w:r>
              <w:rPr>
                <w:szCs w:val="22"/>
              </w:rPr>
              <w:t xml:space="preserve">re Request </w:t>
            </w:r>
            <w:r w:rsidRPr="00947B4D">
              <w:rPr>
                <w:szCs w:val="22"/>
              </w:rPr>
              <w:t xml:space="preserve">of  </w:t>
            </w:r>
          </w:p>
          <w:p w:rsidR="00CA2982" w:rsidP="00CA2982" w14:paraId="1BC621BD" w14:textId="77777777">
            <w:pPr>
              <w:ind w:right="-18"/>
              <w:rPr>
                <w:szCs w:val="22"/>
              </w:rPr>
            </w:pPr>
          </w:p>
          <w:p w:rsidR="00CA2982" w:rsidP="00CA2982" w14:paraId="1B091918" w14:textId="07E3AF4F">
            <w:pPr>
              <w:ind w:right="-18"/>
              <w:rPr>
                <w:b/>
                <w:szCs w:val="22"/>
              </w:rPr>
            </w:pPr>
            <w:r>
              <w:rPr>
                <w:b/>
                <w:szCs w:val="22"/>
              </w:rPr>
              <w:t>CHRISTIAN BROADCASTING OF PORTSMOUTH, INC.</w:t>
            </w:r>
          </w:p>
          <w:p w:rsidR="00CA2982" w:rsidP="00CA2982" w14:paraId="4714617E" w14:textId="77777777">
            <w:pPr>
              <w:ind w:right="-18"/>
              <w:rPr>
                <w:szCs w:val="22"/>
              </w:rPr>
            </w:pPr>
          </w:p>
          <w:p w:rsidR="00CA2982" w:rsidP="00CA2982" w14:paraId="73ED0C51" w14:textId="77777777">
            <w:pPr>
              <w:ind w:right="-18"/>
              <w:rPr>
                <w:szCs w:val="22"/>
              </w:rPr>
            </w:pPr>
            <w:r>
              <w:rPr>
                <w:szCs w:val="22"/>
              </w:rPr>
              <w:t>For Waiver of Auction 99</w:t>
            </w:r>
          </w:p>
          <w:p w:rsidR="00CA2982" w:rsidP="00CA2982" w14:paraId="67FE6EB1" w14:textId="77777777">
            <w:pPr>
              <w:ind w:right="-18"/>
              <w:rPr>
                <w:szCs w:val="22"/>
              </w:rPr>
            </w:pPr>
            <w:r>
              <w:rPr>
                <w:szCs w:val="22"/>
              </w:rPr>
              <w:t xml:space="preserve">Form 349 Filing Deadline </w:t>
            </w:r>
          </w:p>
          <w:p w:rsidR="00CA2982" w:rsidP="00CA2982" w14:paraId="26E97277" w14:textId="77777777">
            <w:pPr>
              <w:ind w:right="-18"/>
              <w:rPr>
                <w:szCs w:val="22"/>
              </w:rPr>
            </w:pPr>
          </w:p>
          <w:p w:rsidR="00CA2982" w:rsidP="00CA2982" w14:paraId="64D903DD" w14:textId="77777777">
            <w:pPr>
              <w:ind w:right="-18"/>
              <w:rPr>
                <w:szCs w:val="22"/>
              </w:rPr>
            </w:pPr>
            <w:r>
              <w:rPr>
                <w:szCs w:val="22"/>
              </w:rPr>
              <w:t>Application for Construction Permit for</w:t>
            </w:r>
          </w:p>
          <w:p w:rsidR="00CA2982" w:rsidP="00CA2982" w14:paraId="74761DCF" w14:textId="70836502">
            <w:pPr>
              <w:ind w:right="-18"/>
              <w:rPr>
                <w:szCs w:val="22"/>
              </w:rPr>
            </w:pPr>
            <w:r>
              <w:rPr>
                <w:szCs w:val="22"/>
              </w:rPr>
              <w:t xml:space="preserve">New FM </w:t>
            </w:r>
            <w:r w:rsidR="00C56E06">
              <w:rPr>
                <w:szCs w:val="22"/>
              </w:rPr>
              <w:t>T</w:t>
            </w:r>
            <w:r>
              <w:rPr>
                <w:szCs w:val="22"/>
              </w:rPr>
              <w:t xml:space="preserve">ranslator </w:t>
            </w:r>
            <w:r w:rsidR="00C56E06">
              <w:rPr>
                <w:szCs w:val="22"/>
              </w:rPr>
              <w:t>S</w:t>
            </w:r>
            <w:r>
              <w:rPr>
                <w:szCs w:val="22"/>
              </w:rPr>
              <w:t xml:space="preserve">tation, </w:t>
            </w:r>
          </w:p>
          <w:p w:rsidR="004C2EE3" w:rsidRPr="00CE2726" w:rsidP="006D69A6" w14:paraId="42458E0B" w14:textId="726276F2">
            <w:pPr>
              <w:keepNext/>
              <w:widowControl/>
              <w:spacing w:after="200"/>
              <w:ind w:right="-14"/>
              <w:rPr>
                <w:szCs w:val="22"/>
              </w:rPr>
            </w:pPr>
            <w:r>
              <w:rPr>
                <w:szCs w:val="22"/>
              </w:rPr>
              <w:t>Portsmouth, Virginia</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4CA00AB6" w14:textId="77777777">
            <w:pPr>
              <w:keepNext/>
              <w:widowControl/>
              <w:tabs>
                <w:tab w:val="center" w:pos="4680"/>
              </w:tabs>
              <w:suppressAutoHyphens/>
              <w:rPr>
                <w:b/>
                <w:spacing w:val="-2"/>
              </w:rPr>
            </w:pPr>
            <w:r>
              <w:rPr>
                <w:b/>
                <w:spacing w:val="-2"/>
              </w:rPr>
              <w:t>)</w:t>
            </w:r>
          </w:p>
          <w:p w:rsidR="00CA2982" w:rsidP="002C54EA" w14:paraId="68A942DD" w14:textId="77777777">
            <w:pPr>
              <w:keepNext/>
              <w:widowControl/>
              <w:tabs>
                <w:tab w:val="center" w:pos="4680"/>
              </w:tabs>
              <w:suppressAutoHyphens/>
              <w:rPr>
                <w:b/>
                <w:spacing w:val="-2"/>
              </w:rPr>
            </w:pPr>
            <w:r>
              <w:rPr>
                <w:b/>
                <w:spacing w:val="-2"/>
              </w:rPr>
              <w:t>)</w:t>
            </w:r>
          </w:p>
          <w:p w:rsidR="00CA2982" w:rsidP="002C54EA" w14:paraId="52448019" w14:textId="3F268F42">
            <w:pPr>
              <w:keepNext/>
              <w:widowControl/>
              <w:tabs>
                <w:tab w:val="center" w:pos="4680"/>
              </w:tabs>
              <w:suppressAutoHyphens/>
              <w:rPr>
                <w:spacing w:val="-2"/>
              </w:rPr>
            </w:pP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CA2982" w:rsidRPr="00947B4D" w:rsidP="00CA2982" w14:paraId="3D779FC6" w14:textId="5D0E7F46">
            <w:pPr>
              <w:rPr>
                <w:b/>
                <w:szCs w:val="22"/>
              </w:rPr>
            </w:pPr>
            <w:r w:rsidRPr="00947B4D">
              <w:rPr>
                <w:szCs w:val="22"/>
              </w:rPr>
              <w:t>Facility I.D. No</w:t>
            </w:r>
            <w:r w:rsidRPr="00947B4D">
              <w:rPr>
                <w:b/>
                <w:szCs w:val="22"/>
              </w:rPr>
              <w:t xml:space="preserve">. </w:t>
            </w:r>
            <w:r>
              <w:rPr>
                <w:b/>
                <w:szCs w:val="22"/>
              </w:rPr>
              <w:t xml:space="preserve"> </w:t>
            </w:r>
            <w:r w:rsidR="008E2E2F">
              <w:rPr>
                <w:szCs w:val="22"/>
              </w:rPr>
              <w:t>201268</w:t>
            </w:r>
          </w:p>
          <w:p w:rsidR="00CA2982" w:rsidP="00CA2982" w14:paraId="313946F9" w14:textId="72629E2F">
            <w:pPr>
              <w:rPr>
                <w:rFonts w:ascii="Arial" w:hAnsi="Arial" w:cs="Arial"/>
                <w:color w:val="0000FF"/>
                <w:sz w:val="20"/>
              </w:rPr>
            </w:pPr>
            <w:r w:rsidRPr="00947B4D">
              <w:rPr>
                <w:szCs w:val="22"/>
              </w:rPr>
              <w:t xml:space="preserve">NAL/Acct. No. </w:t>
            </w:r>
            <w:r>
              <w:rPr>
                <w:szCs w:val="22"/>
              </w:rPr>
              <w:t>MB</w:t>
            </w:r>
            <w:r w:rsidR="004725E0">
              <w:rPr>
                <w:szCs w:val="22"/>
              </w:rPr>
              <w:t>-</w:t>
            </w:r>
            <w:r w:rsidR="004725E0">
              <w:rPr>
                <w:spacing w:val="-2"/>
              </w:rPr>
              <w:t>202141410060</w:t>
            </w:r>
          </w:p>
          <w:p w:rsidR="00CA2982" w:rsidP="00CA2982" w14:paraId="7D648257" w14:textId="77777777">
            <w:pPr>
              <w:rPr>
                <w:szCs w:val="22"/>
              </w:rPr>
            </w:pPr>
            <w:r w:rsidRPr="00947B4D">
              <w:rPr>
                <w:szCs w:val="22"/>
              </w:rPr>
              <w:t xml:space="preserve">FRN:  </w:t>
            </w:r>
            <w:r>
              <w:rPr>
                <w:szCs w:val="22"/>
              </w:rPr>
              <w:t>0014249445</w:t>
            </w:r>
          </w:p>
          <w:p w:rsidR="004C2EE3" w:rsidP="00CA2982" w14:paraId="0FFE6810" w14:textId="13E9332D">
            <w:pPr>
              <w:keepNext/>
              <w:widowControl/>
              <w:tabs>
                <w:tab w:val="center" w:pos="4680"/>
              </w:tabs>
              <w:suppressAutoHyphens/>
              <w:rPr>
                <w:spacing w:val="-2"/>
              </w:rPr>
            </w:pPr>
            <w:r>
              <w:rPr>
                <w:szCs w:val="22"/>
              </w:rPr>
              <w:t>File No. BNPFT-20180822AAA</w:t>
            </w:r>
          </w:p>
        </w:tc>
      </w:tr>
    </w:tbl>
    <w:p w:rsidR="001E152E" w:rsidP="001E152E" w14:paraId="0B7A7236" w14:textId="77777777">
      <w:pPr>
        <w:keepNext/>
        <w:widowControl/>
        <w:jc w:val="center"/>
        <w:rPr>
          <w:b/>
          <w:spacing w:val="-2"/>
          <w:szCs w:val="22"/>
        </w:rPr>
      </w:pPr>
      <w:r>
        <w:rPr>
          <w:b/>
          <w:spacing w:val="-2"/>
          <w:szCs w:val="22"/>
        </w:rPr>
        <w:t>MEMORANDUM OPINION AND ORDER</w:t>
      </w:r>
    </w:p>
    <w:p w:rsidR="001E152E" w:rsidP="002C54EA" w14:paraId="6438E324" w14:textId="77777777">
      <w:pPr>
        <w:keepNext/>
        <w:widowControl/>
        <w:jc w:val="center"/>
        <w:rPr>
          <w:b/>
          <w:spacing w:val="-2"/>
          <w:szCs w:val="22"/>
        </w:rPr>
      </w:pPr>
      <w:r>
        <w:rPr>
          <w:b/>
          <w:spacing w:val="-2"/>
          <w:szCs w:val="22"/>
        </w:rPr>
        <w:t>AND</w:t>
      </w:r>
    </w:p>
    <w:p w:rsidR="00841AB1" w:rsidRPr="00CE2726" w:rsidP="002C54EA" w14:paraId="65C0E24C" w14:textId="3E1FC798">
      <w:pPr>
        <w:keepNext/>
        <w:widowControl/>
        <w:jc w:val="center"/>
        <w:rPr>
          <w:b/>
          <w:szCs w:val="22"/>
        </w:rPr>
      </w:pPr>
      <w:r>
        <w:rPr>
          <w:b/>
          <w:spacing w:val="-2"/>
          <w:szCs w:val="22"/>
        </w:rPr>
        <w:t>NOTICE OF APPARENT LIABILITY FOR FORFEITURE</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478C881F">
      <w:pPr>
        <w:keepNext/>
        <w:widowControl/>
        <w:tabs>
          <w:tab w:val="left" w:pos="720"/>
          <w:tab w:val="right" w:pos="9360"/>
        </w:tabs>
        <w:suppressAutoHyphens/>
        <w:spacing w:line="227" w:lineRule="auto"/>
        <w:rPr>
          <w:spacing w:val="-2"/>
        </w:rPr>
      </w:pPr>
      <w:r>
        <w:rPr>
          <w:b/>
          <w:spacing w:val="-2"/>
        </w:rPr>
        <w:t xml:space="preserve">Adopted:  </w:t>
      </w:r>
      <w:r w:rsidR="004725E0">
        <w:rPr>
          <w:b/>
          <w:spacing w:val="-2"/>
        </w:rPr>
        <w:t>December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25E0">
        <w:rPr>
          <w:b/>
          <w:spacing w:val="-2"/>
        </w:rPr>
        <w:t>December 2, 2021</w:t>
      </w:r>
    </w:p>
    <w:p w:rsidR="00822CE0" w:rsidP="002C54EA" w14:paraId="3B38A1C5" w14:textId="77777777">
      <w:pPr>
        <w:keepNext/>
        <w:widowControl/>
      </w:pPr>
    </w:p>
    <w:p w:rsidR="004C2EE3" w:rsidP="002C54EA" w14:paraId="06A2D451" w14:textId="2F1624A1">
      <w:pPr>
        <w:keepNext/>
        <w:widowControl/>
        <w:rPr>
          <w:spacing w:val="-2"/>
        </w:rPr>
      </w:pPr>
      <w:r>
        <w:t xml:space="preserve">By </w:t>
      </w:r>
      <w:r w:rsidR="004E4A22">
        <w:t>the</w:t>
      </w:r>
      <w:r w:rsidR="002A2D2E">
        <w:t xml:space="preserve"> </w:t>
      </w:r>
      <w:r w:rsidR="00CE2726">
        <w:rPr>
          <w:spacing w:val="-2"/>
        </w:rPr>
        <w:t>Chief, Audio Division</w:t>
      </w:r>
      <w:r w:rsidR="004725E0">
        <w:rPr>
          <w:spacing w:val="-2"/>
        </w:rPr>
        <w:t>, Media Bureau</w:t>
      </w:r>
      <w:r>
        <w:rPr>
          <w:spacing w:val="-2"/>
        </w:rPr>
        <w:t>:</w:t>
      </w:r>
    </w:p>
    <w:p w:rsidR="00822CE0" w:rsidP="002C54EA" w14:paraId="2FB7E16C" w14:textId="77777777">
      <w:pPr>
        <w:keepNext/>
        <w:widowControl/>
        <w:rPr>
          <w:spacing w:val="-2"/>
        </w:rPr>
      </w:pPr>
    </w:p>
    <w:p w:rsidR="00412FC5" w:rsidP="002C54EA" w14:paraId="3C4FB657" w14:textId="55AA69A1">
      <w:pPr>
        <w:pStyle w:val="Heading1"/>
        <w:widowControl/>
      </w:pPr>
      <w:r>
        <w:t>introduction</w:t>
      </w:r>
    </w:p>
    <w:p w:rsidR="00CE2726" w:rsidRPr="00CE2726" w:rsidP="002C54EA" w14:paraId="61C41F58" w14:textId="1BB22917">
      <w:pPr>
        <w:pStyle w:val="ParaNum"/>
        <w:keepNext/>
        <w:widowControl/>
        <w:rPr>
          <w:bCs/>
          <w:szCs w:val="22"/>
        </w:rPr>
      </w:pPr>
      <w:r>
        <w:t xml:space="preserve">The Commission has before it the </w:t>
      </w:r>
      <w:r w:rsidR="00EC6325">
        <w:t>late-filed</w:t>
      </w:r>
      <w:r w:rsidR="00CA2982">
        <w:t xml:space="preserve"> August 22, 2018,</w:t>
      </w:r>
      <w:r w:rsidR="00EC6325">
        <w:t xml:space="preserve"> Form </w:t>
      </w:r>
      <w:r w:rsidR="00CA2982">
        <w:t>349</w:t>
      </w:r>
      <w:r w:rsidR="00EC6325">
        <w:t xml:space="preserve"> application</w:t>
      </w:r>
      <w:r>
        <w:t xml:space="preserve"> of </w:t>
      </w:r>
      <w:r w:rsidR="00CA2982">
        <w:t>Christian Broadcasting of Portsmouth, Inc.</w:t>
      </w:r>
      <w:r w:rsidR="00EC6325">
        <w:t xml:space="preserve"> (</w:t>
      </w:r>
      <w:r w:rsidR="00CA2982">
        <w:t>CBP</w:t>
      </w:r>
      <w:r>
        <w:t xml:space="preserve">), for </w:t>
      </w:r>
      <w:r w:rsidR="00EC6325">
        <w:t xml:space="preserve">a new </w:t>
      </w:r>
      <w:r w:rsidR="00CA2982">
        <w:t xml:space="preserve">cross-service </w:t>
      </w:r>
      <w:r w:rsidR="00EC6325">
        <w:t xml:space="preserve">FM </w:t>
      </w:r>
      <w:r w:rsidR="00CA2982">
        <w:t>translator station</w:t>
      </w:r>
      <w:r w:rsidR="00EC6325">
        <w:t xml:space="preserve"> at </w:t>
      </w:r>
      <w:r w:rsidR="00CA2982">
        <w:t>Portsmouth, Virginia</w:t>
      </w:r>
      <w:r>
        <w:t>.</w:t>
      </w:r>
      <w:r>
        <w:rPr>
          <w:rStyle w:val="FootnoteReference"/>
        </w:rPr>
        <w:footnoteReference w:id="3"/>
      </w:r>
      <w:r>
        <w:t xml:space="preserve">  In this </w:t>
      </w:r>
      <w:r>
        <w:rPr>
          <w:i/>
        </w:rPr>
        <w:t>Notice of Apparent Liability for Forfeiture (NAL)</w:t>
      </w:r>
      <w:r>
        <w:t>,</w:t>
      </w:r>
      <w:r>
        <w:rPr>
          <w:rStyle w:val="FootnoteReference"/>
          <w:szCs w:val="22"/>
        </w:rPr>
        <w:footnoteReference w:id="4"/>
      </w:r>
      <w:r>
        <w:t xml:space="preserve"> we find that </w:t>
      </w:r>
      <w:r w:rsidR="00C5620D">
        <w:t>CBP</w:t>
      </w:r>
      <w:r>
        <w:t xml:space="preserve"> apparently willfully violated sections 73.3573(f)(5)(</w:t>
      </w:r>
      <w:r>
        <w:t>i</w:t>
      </w:r>
      <w:r>
        <w:t>)</w:t>
      </w:r>
      <w:r w:rsidR="00BF7C18">
        <w:t>,</w:t>
      </w:r>
      <w:r>
        <w:t xml:space="preserve"> 73.5005(a)</w:t>
      </w:r>
      <w:r w:rsidR="00BF7C18">
        <w:t>, and 74.1233(d)(5)</w:t>
      </w:r>
      <w:r>
        <w:t xml:space="preserve"> of the Commission’s rules by failing to timely file a post-auction Form </w:t>
      </w:r>
      <w:r w:rsidR="00C5620D">
        <w:t>349 application</w:t>
      </w:r>
      <w:r>
        <w:t>.</w:t>
      </w:r>
      <w:r>
        <w:rPr>
          <w:rStyle w:val="FootnoteReference"/>
          <w:szCs w:val="22"/>
        </w:rPr>
        <w:footnoteReference w:id="5"/>
      </w:r>
      <w:r>
        <w:t xml:space="preserve">  Based upon our review of the facts and circumstances before us, we conclude that </w:t>
      </w:r>
      <w:r w:rsidR="00C5620D">
        <w:t>CBP</w:t>
      </w:r>
      <w:r>
        <w:t xml:space="preserve"> is apparently liable for a monetary forfeiture in the amount of </w:t>
      </w:r>
      <w:r w:rsidR="00C5620D">
        <w:t>one</w:t>
      </w:r>
      <w:r>
        <w:t xml:space="preserve"> thousand dollars ($</w:t>
      </w:r>
      <w:r w:rsidR="00C5620D">
        <w:t>1</w:t>
      </w:r>
      <w:r w:rsidR="00EC6325">
        <w:t>,000</w:t>
      </w:r>
      <w:r>
        <w:t xml:space="preserve">).  We also grant </w:t>
      </w:r>
      <w:r w:rsidR="00C5620D">
        <w:t>CBP</w:t>
      </w:r>
      <w:r w:rsidR="00EC6325">
        <w:t xml:space="preserve"> a waiver of the long-form filing deadline</w:t>
      </w:r>
      <w:r>
        <w:t xml:space="preserve"> and accept </w:t>
      </w:r>
      <w:r w:rsidR="003857A4">
        <w:t>its</w:t>
      </w:r>
      <w:r>
        <w:t xml:space="preserve"> application for filing.</w:t>
      </w:r>
    </w:p>
    <w:p w:rsidR="00CE2726" w:rsidP="002C54EA" w14:paraId="05A338BB" w14:textId="236AA3E3">
      <w:pPr>
        <w:pStyle w:val="Heading1"/>
        <w:widowControl/>
      </w:pPr>
      <w:r>
        <w:t>background</w:t>
      </w:r>
    </w:p>
    <w:p w:rsidR="00CE2726" w:rsidRPr="00FE6D90" w:rsidP="002C54EA" w14:paraId="10B201BC" w14:textId="56DEEF55">
      <w:pPr>
        <w:pStyle w:val="ParaNum"/>
        <w:keepNext/>
        <w:widowControl/>
      </w:pPr>
      <w:r w:rsidRPr="004D7205">
        <w:rPr>
          <w:szCs w:val="22"/>
        </w:rPr>
        <w:t xml:space="preserve">On </w:t>
      </w:r>
      <w:r>
        <w:rPr>
          <w:szCs w:val="22"/>
        </w:rPr>
        <w:t>June 1, 2017</w:t>
      </w:r>
      <w:r w:rsidRPr="004D7205">
        <w:rPr>
          <w:szCs w:val="22"/>
        </w:rPr>
        <w:t>, the Media Bureau and the Wireless Tele</w:t>
      </w:r>
      <w:r>
        <w:rPr>
          <w:szCs w:val="22"/>
        </w:rPr>
        <w:t xml:space="preserve">communications Bureau (the </w:t>
      </w:r>
      <w:r w:rsidRPr="004D7205">
        <w:rPr>
          <w:szCs w:val="22"/>
        </w:rPr>
        <w:t>Bureau</w:t>
      </w:r>
      <w:r>
        <w:rPr>
          <w:szCs w:val="22"/>
        </w:rPr>
        <w:t>s</w:t>
      </w:r>
      <w:r w:rsidRPr="004D7205">
        <w:rPr>
          <w:szCs w:val="22"/>
        </w:rPr>
        <w:t xml:space="preserve">) jointly released a Public Notice announcing </w:t>
      </w:r>
      <w:r>
        <w:rPr>
          <w:szCs w:val="22"/>
        </w:rPr>
        <w:t>details and filing instructions for the first of two filing windows for AM station licensees seeking to establish new cross-service FM translator stations to rebroadcast their AM signals</w:t>
      </w:r>
      <w:r w:rsidRPr="004D7205">
        <w:rPr>
          <w:szCs w:val="22"/>
        </w:rPr>
        <w:t>.</w:t>
      </w:r>
      <w:r>
        <w:rPr>
          <w:rStyle w:val="FootnoteReference"/>
          <w:szCs w:val="22"/>
        </w:rPr>
        <w:footnoteReference w:id="6"/>
      </w:r>
      <w:r w:rsidRPr="004D7205">
        <w:rPr>
          <w:szCs w:val="22"/>
        </w:rPr>
        <w:t xml:space="preserve">  </w:t>
      </w:r>
      <w:r>
        <w:rPr>
          <w:szCs w:val="22"/>
        </w:rPr>
        <w:t xml:space="preserve">This filing window, designated Auction 99, was opened by direction of the Commission in the </w:t>
      </w:r>
      <w:r w:rsidRPr="009C0115">
        <w:rPr>
          <w:i/>
          <w:szCs w:val="22"/>
        </w:rPr>
        <w:t>AM Revitalization</w:t>
      </w:r>
      <w:r>
        <w:rPr>
          <w:szCs w:val="22"/>
        </w:rPr>
        <w:t xml:space="preserve"> proceeding.</w:t>
      </w:r>
      <w:r>
        <w:rPr>
          <w:rStyle w:val="FootnoteReference"/>
          <w:szCs w:val="22"/>
        </w:rPr>
        <w:footnoteReference w:id="7"/>
      </w:r>
      <w:r>
        <w:rPr>
          <w:szCs w:val="22"/>
        </w:rPr>
        <w:t xml:space="preserve">  CBP timely</w:t>
      </w:r>
      <w:r w:rsidRPr="004D7205">
        <w:rPr>
          <w:szCs w:val="22"/>
        </w:rPr>
        <w:t xml:space="preserve"> filed a</w:t>
      </w:r>
      <w:r>
        <w:rPr>
          <w:szCs w:val="22"/>
        </w:rPr>
        <w:t>n</w:t>
      </w:r>
      <w:r w:rsidRPr="004D7205">
        <w:rPr>
          <w:szCs w:val="22"/>
        </w:rPr>
        <w:t xml:space="preserve"> FCC Form 17</w:t>
      </w:r>
      <w:r>
        <w:rPr>
          <w:szCs w:val="22"/>
        </w:rPr>
        <w:t xml:space="preserve">5 application to </w:t>
      </w:r>
      <w:r>
        <w:rPr>
          <w:szCs w:val="22"/>
        </w:rPr>
        <w:t>participate in Auction 99</w:t>
      </w:r>
      <w:r w:rsidRPr="004D7205">
        <w:rPr>
          <w:szCs w:val="22"/>
        </w:rPr>
        <w:t xml:space="preserve">, </w:t>
      </w:r>
      <w:r>
        <w:rPr>
          <w:szCs w:val="22"/>
        </w:rPr>
        <w:t>and was found to be a qualified bidder.</w:t>
      </w:r>
      <w:r>
        <w:rPr>
          <w:rStyle w:val="FootnoteReference"/>
          <w:szCs w:val="22"/>
        </w:rPr>
        <w:footnoteReference w:id="8"/>
      </w:r>
      <w:r>
        <w:rPr>
          <w:szCs w:val="22"/>
        </w:rPr>
        <w:t xml:space="preserve">  By a May 25, 2018, Public Notice, the </w:t>
      </w:r>
      <w:r w:rsidRPr="004D7205">
        <w:rPr>
          <w:szCs w:val="22"/>
        </w:rPr>
        <w:t>Bureau</w:t>
      </w:r>
      <w:r>
        <w:rPr>
          <w:szCs w:val="22"/>
        </w:rPr>
        <w:t>s</w:t>
      </w:r>
      <w:r w:rsidRPr="004D7205">
        <w:rPr>
          <w:szCs w:val="22"/>
        </w:rPr>
        <w:t xml:space="preserve"> </w:t>
      </w:r>
      <w:r>
        <w:rPr>
          <w:szCs w:val="22"/>
        </w:rPr>
        <w:t>announced that CBP was the</w:t>
      </w:r>
      <w:r w:rsidRPr="004D7205">
        <w:rPr>
          <w:szCs w:val="22"/>
        </w:rPr>
        <w:t xml:space="preserve"> win</w:t>
      </w:r>
      <w:r>
        <w:rPr>
          <w:szCs w:val="22"/>
        </w:rPr>
        <w:t>ning bidder in Auction 99 for the FM construction permit at Portsmouth, Virginia</w:t>
      </w:r>
      <w:r w:rsidRPr="004D7205">
        <w:rPr>
          <w:szCs w:val="22"/>
        </w:rPr>
        <w:t>.</w:t>
      </w:r>
      <w:r>
        <w:rPr>
          <w:rStyle w:val="FootnoteReference"/>
          <w:szCs w:val="22"/>
        </w:rPr>
        <w:footnoteReference w:id="9"/>
      </w:r>
      <w:r w:rsidRPr="004D7205">
        <w:rPr>
          <w:szCs w:val="22"/>
        </w:rPr>
        <w:t xml:space="preserve">  Winning bidders were</w:t>
      </w:r>
      <w:r>
        <w:rPr>
          <w:szCs w:val="22"/>
        </w:rPr>
        <w:t xml:space="preserve"> directed</w:t>
      </w:r>
      <w:r w:rsidRPr="004D7205">
        <w:rPr>
          <w:szCs w:val="22"/>
        </w:rPr>
        <w:t xml:space="preserve"> to file a</w:t>
      </w:r>
      <w:r>
        <w:rPr>
          <w:szCs w:val="22"/>
        </w:rPr>
        <w:t xml:space="preserve"> post-auction FCC Form </w:t>
      </w:r>
      <w:r w:rsidR="00285BAC">
        <w:rPr>
          <w:szCs w:val="22"/>
        </w:rPr>
        <w:t>349</w:t>
      </w:r>
      <w:r>
        <w:rPr>
          <w:szCs w:val="22"/>
        </w:rPr>
        <w:t xml:space="preserve"> long-form</w:t>
      </w:r>
      <w:r w:rsidRPr="004D7205">
        <w:rPr>
          <w:szCs w:val="22"/>
        </w:rPr>
        <w:t xml:space="preserve"> application by </w:t>
      </w:r>
      <w:r>
        <w:rPr>
          <w:szCs w:val="22"/>
        </w:rPr>
        <w:t>July 2, 2018</w:t>
      </w:r>
      <w:r w:rsidRPr="004D7205">
        <w:rPr>
          <w:szCs w:val="22"/>
        </w:rPr>
        <w:t>.</w:t>
      </w:r>
      <w:r>
        <w:rPr>
          <w:rStyle w:val="FootnoteReference"/>
          <w:szCs w:val="22"/>
        </w:rPr>
        <w:footnoteReference w:id="10"/>
      </w:r>
      <w:r w:rsidRPr="004D7205">
        <w:rPr>
          <w:szCs w:val="22"/>
        </w:rPr>
        <w:t xml:space="preserve">  The</w:t>
      </w:r>
      <w:r>
        <w:rPr>
          <w:szCs w:val="22"/>
        </w:rPr>
        <w:t xml:space="preserve"> </w:t>
      </w:r>
      <w:r w:rsidRPr="00B502DE">
        <w:rPr>
          <w:i/>
          <w:szCs w:val="22"/>
        </w:rPr>
        <w:t xml:space="preserve">Auction </w:t>
      </w:r>
      <w:r>
        <w:rPr>
          <w:i/>
          <w:szCs w:val="22"/>
        </w:rPr>
        <w:t>99</w:t>
      </w:r>
      <w:r w:rsidRPr="00B502DE">
        <w:rPr>
          <w:i/>
          <w:szCs w:val="22"/>
        </w:rPr>
        <w:t xml:space="preserve"> Closing Public Notice</w:t>
      </w:r>
      <w:r w:rsidRPr="004D7205">
        <w:rPr>
          <w:szCs w:val="22"/>
        </w:rPr>
        <w:t xml:space="preserve"> cautioned that “[a]n applicant that fa</w:t>
      </w:r>
      <w:r>
        <w:rPr>
          <w:szCs w:val="22"/>
        </w:rPr>
        <w:t>ils to submit the required long-</w:t>
      </w:r>
      <w:r w:rsidRPr="004D7205">
        <w:rPr>
          <w:szCs w:val="22"/>
        </w:rPr>
        <w:t>form application before the specified deadline and fails to establish good cause for any late-filed submission shall be deemed to have defaulted and shall be subject to the payments set for</w:t>
      </w:r>
      <w:r>
        <w:rPr>
          <w:szCs w:val="22"/>
        </w:rPr>
        <w:t>th</w:t>
      </w:r>
      <w:r w:rsidRPr="004D7205">
        <w:rPr>
          <w:szCs w:val="22"/>
        </w:rPr>
        <w:t xml:space="preserve"> in </w:t>
      </w:r>
      <w:r>
        <w:rPr>
          <w:szCs w:val="22"/>
        </w:rPr>
        <w:t>s</w:t>
      </w:r>
      <w:r w:rsidRPr="004D7205">
        <w:rPr>
          <w:szCs w:val="22"/>
        </w:rPr>
        <w:t>ection 1.2104(g) of the Commission’s rules.”</w:t>
      </w:r>
      <w:r>
        <w:rPr>
          <w:rStyle w:val="FootnoteReference"/>
          <w:szCs w:val="22"/>
        </w:rPr>
        <w:footnoteReference w:id="11"/>
      </w:r>
      <w:r w:rsidRPr="004D7205">
        <w:rPr>
          <w:szCs w:val="22"/>
        </w:rPr>
        <w:t xml:space="preserve">  </w:t>
      </w:r>
      <w:r>
        <w:rPr>
          <w:szCs w:val="22"/>
        </w:rPr>
        <w:t>CBP</w:t>
      </w:r>
      <w:r w:rsidRPr="004D7205">
        <w:rPr>
          <w:szCs w:val="22"/>
        </w:rPr>
        <w:t xml:space="preserve"> failed timely </w:t>
      </w:r>
      <w:r>
        <w:rPr>
          <w:szCs w:val="22"/>
        </w:rPr>
        <w:t xml:space="preserve">to </w:t>
      </w:r>
      <w:r w:rsidRPr="004D7205">
        <w:rPr>
          <w:szCs w:val="22"/>
        </w:rPr>
        <w:t xml:space="preserve">submit a </w:t>
      </w:r>
      <w:r>
        <w:rPr>
          <w:szCs w:val="22"/>
        </w:rPr>
        <w:t>post-auction</w:t>
      </w:r>
      <w:r w:rsidRPr="004D7205">
        <w:rPr>
          <w:szCs w:val="22"/>
        </w:rPr>
        <w:t xml:space="preserve"> Form </w:t>
      </w:r>
      <w:r>
        <w:rPr>
          <w:szCs w:val="22"/>
        </w:rPr>
        <w:t>349 application</w:t>
      </w:r>
      <w:r w:rsidR="00AA2FD6">
        <w:rPr>
          <w:szCs w:val="22"/>
        </w:rPr>
        <w:t>, and has not requested a waiver of the long-form filing deadline</w:t>
      </w:r>
      <w:r w:rsidRPr="004D7205">
        <w:rPr>
          <w:szCs w:val="22"/>
        </w:rPr>
        <w:t xml:space="preserve">.  </w:t>
      </w:r>
      <w:r>
        <w:rPr>
          <w:szCs w:val="22"/>
        </w:rPr>
        <w:t>Its</w:t>
      </w:r>
      <w:r w:rsidRPr="004D7205">
        <w:rPr>
          <w:szCs w:val="22"/>
        </w:rPr>
        <w:t xml:space="preserve"> </w:t>
      </w:r>
      <w:r>
        <w:rPr>
          <w:szCs w:val="22"/>
        </w:rPr>
        <w:t xml:space="preserve">Application </w:t>
      </w:r>
      <w:r w:rsidRPr="004D7205">
        <w:rPr>
          <w:szCs w:val="22"/>
        </w:rPr>
        <w:t>w</w:t>
      </w:r>
      <w:r>
        <w:rPr>
          <w:szCs w:val="22"/>
        </w:rPr>
        <w:t>as submitted on August 22, 2018.</w:t>
      </w:r>
      <w:r>
        <w:rPr>
          <w:rStyle w:val="FootnoteReference"/>
          <w:szCs w:val="22"/>
        </w:rPr>
        <w:footnoteReference w:id="12"/>
      </w:r>
      <w:r>
        <w:t xml:space="preserve">  </w:t>
      </w:r>
    </w:p>
    <w:p w:rsidR="00CE2726" w:rsidP="002C54EA" w14:paraId="20009AD4" w14:textId="63CC3F45">
      <w:pPr>
        <w:pStyle w:val="Heading1"/>
        <w:widowControl/>
      </w:pPr>
      <w:r>
        <w:t>discussion</w:t>
      </w:r>
    </w:p>
    <w:p w:rsidR="00CE2726" w:rsidP="002C54EA" w14:paraId="70C8ABCE" w14:textId="012840C6">
      <w:pPr>
        <w:pStyle w:val="ParaNum"/>
        <w:keepNext/>
        <w:widowControl/>
      </w:pPr>
      <w:r>
        <w:rPr>
          <w:i/>
          <w:color w:val="000000"/>
        </w:rPr>
        <w:t>Waiver</w:t>
      </w:r>
      <w:r>
        <w:rPr>
          <w:color w:val="000000"/>
        </w:rPr>
        <w:t xml:space="preserve">.  </w:t>
      </w:r>
      <w: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13"/>
      </w:r>
      <w:r>
        <w:t xml:space="preserve">  However, the Commission may, for good cause, determine that a late-filed long-form application should be accepted.</w:t>
      </w:r>
      <w:r>
        <w:rPr>
          <w:rStyle w:val="FootnoteReference"/>
          <w:szCs w:val="22"/>
        </w:rPr>
        <w:footnoteReference w:id="14"/>
      </w:r>
      <w:r>
        <w:t xml:space="preserve">  A waiver is appropriate only if special circumstances warrant a deviation from the general rule and such deviation will serve the public interest.</w:t>
      </w:r>
      <w:r>
        <w:rPr>
          <w:rStyle w:val="FootnoteReference"/>
          <w:szCs w:val="22"/>
        </w:rPr>
        <w:footnoteReference w:id="15"/>
      </w:r>
      <w:r>
        <w:t xml:space="preserve">  </w:t>
      </w:r>
    </w:p>
    <w:p w:rsidR="00CE2726" w:rsidP="002C54EA" w14:paraId="41D7E624" w14:textId="23F51F11">
      <w:pPr>
        <w:pStyle w:val="ParaNum"/>
        <w:keepNext/>
        <w:widowControl/>
      </w:pPr>
      <w:r>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6"/>
      </w:r>
      <w:r>
        <w:t xml:space="preserve">  We find that</w:t>
      </w:r>
      <w:r w:rsidR="00906D64">
        <w:t>, notwithstanding</w:t>
      </w:r>
      <w:r w:rsidR="00183CB0">
        <w:t xml:space="preserve"> </w:t>
      </w:r>
      <w:r w:rsidR="003857A4">
        <w:t>its</w:t>
      </w:r>
      <w:r w:rsidR="00183CB0">
        <w:t xml:space="preserve"> </w:t>
      </w:r>
      <w:r w:rsidR="00906D64">
        <w:t xml:space="preserve">lack of a waiver request, </w:t>
      </w:r>
      <w:r w:rsidR="00AA2FD6">
        <w:t>CBP</w:t>
      </w:r>
      <w:r w:rsidR="003857A4">
        <w:t xml:space="preserve"> </w:t>
      </w:r>
      <w:r w:rsidR="00906D64">
        <w:t xml:space="preserve">has met </w:t>
      </w:r>
      <w:r>
        <w:t>the standard for waiver of the application filing deadline</w:t>
      </w:r>
      <w:r w:rsidR="00906D64">
        <w:t xml:space="preserve"> applied in other, similar cases</w:t>
      </w:r>
      <w:r>
        <w:t>.</w:t>
      </w:r>
      <w:r>
        <w:rPr>
          <w:rStyle w:val="FootnoteReference"/>
        </w:rPr>
        <w:footnoteReference w:id="17"/>
      </w:r>
      <w:r>
        <w:t xml:space="preserve">  The record indicates that, prior to</w:t>
      </w:r>
      <w:r w:rsidR="00183CB0">
        <w:t xml:space="preserve"> </w:t>
      </w:r>
      <w:r w:rsidR="003857A4">
        <w:t>its</w:t>
      </w:r>
      <w:r w:rsidR="00183CB0">
        <w:t xml:space="preserve"> </w:t>
      </w:r>
      <w:r>
        <w:t xml:space="preserve">late filing of the Form </w:t>
      </w:r>
      <w:r w:rsidR="00285BAC">
        <w:t>349</w:t>
      </w:r>
      <w:r>
        <w:t xml:space="preserve"> application, </w:t>
      </w:r>
      <w:r w:rsidR="009A0793">
        <w:t>CBP</w:t>
      </w:r>
      <w:r w:rsidR="003857A4">
        <w:t xml:space="preserve"> </w:t>
      </w:r>
      <w:r>
        <w:t xml:space="preserve">had complied with all previous Auction </w:t>
      </w:r>
      <w:r w:rsidR="00285BAC">
        <w:t>9</w:t>
      </w:r>
      <w:r>
        <w:t xml:space="preserve">9 requirements, including all filing and payment obligations, and was found to be a </w:t>
      </w:r>
      <w:r>
        <w:t xml:space="preserve">qualified bidder.  Furthermore, in reaching the conclusion to waive the filing deadline, we give considerable weight to </w:t>
      </w:r>
      <w:r w:rsidR="009A0793">
        <w:t>CBP’s</w:t>
      </w:r>
      <w:r w:rsidR="003857A4">
        <w:t xml:space="preserve"> </w:t>
      </w:r>
      <w:r>
        <w:t xml:space="preserve">record of prior compliance with auction-related requirements.  </w:t>
      </w:r>
    </w:p>
    <w:p w:rsidR="00CE2726" w:rsidP="002C54EA" w14:paraId="5816BC61" w14:textId="2FE088E9">
      <w:pPr>
        <w:pStyle w:val="ParaNum"/>
        <w:keepNext/>
        <w:widowControl/>
      </w:pPr>
      <w:r>
        <w:t xml:space="preserve">We also recognize that the FM </w:t>
      </w:r>
      <w:r w:rsidR="009A0793">
        <w:t xml:space="preserve">translator </w:t>
      </w:r>
      <w:r>
        <w:t xml:space="preserve">licensing process was not significantly delayed nor materially adversely affected by </w:t>
      </w:r>
      <w:r w:rsidR="009A0793">
        <w:t>CBP’s</w:t>
      </w:r>
      <w:r w:rsidR="00CD13ED">
        <w:t xml:space="preserve"> </w:t>
      </w:r>
      <w:r>
        <w:t xml:space="preserve">late filing of the Application here.  Accepting </w:t>
      </w:r>
      <w:r w:rsidR="009A0793">
        <w:t>CBP’s</w:t>
      </w:r>
      <w:r w:rsidR="00CD13ED">
        <w:t xml:space="preserve"> </w:t>
      </w:r>
      <w:r>
        <w:t xml:space="preserve">Form </w:t>
      </w:r>
      <w:r w:rsidR="009A0793">
        <w:t>349</w:t>
      </w:r>
      <w:r>
        <w:t xml:space="preserve"> application would not undermine the Commission’s broadcast auction policies.  Thus, flexibility is appropriate in this instance.  We find it in the public interest to avoid a delay in implementing new service to </w:t>
      </w:r>
      <w:r w:rsidR="009A0793">
        <w:t>Portsmouth, Virginia</w:t>
      </w:r>
      <w:r>
        <w:t xml:space="preserve">, and therefore </w:t>
      </w:r>
      <w:r w:rsidR="00DB1EF1">
        <w:t xml:space="preserve">on our own motion </w:t>
      </w:r>
      <w:r>
        <w:t xml:space="preserve">grant </w:t>
      </w:r>
      <w:r w:rsidR="00DB1EF1">
        <w:t>a</w:t>
      </w:r>
      <w:r>
        <w:t xml:space="preserve"> waiver </w:t>
      </w:r>
      <w:r w:rsidR="00DB1EF1">
        <w:t>as discussed</w:t>
      </w:r>
      <w:r>
        <w:t xml:space="preserve"> below.  Although we grant </w:t>
      </w:r>
      <w:r w:rsidR="009A0793">
        <w:t>CBP</w:t>
      </w:r>
      <w:r w:rsidR="00CD13ED">
        <w:t xml:space="preserve"> </w:t>
      </w:r>
      <w:r>
        <w:t xml:space="preserve">a waiver of the rules that would otherwise require dismissal of </w:t>
      </w:r>
      <w:r w:rsidR="00CD13ED">
        <w:t>its</w:t>
      </w:r>
      <w:r>
        <w:t xml:space="preserve"> late-filed long-form application, and associated imposition of a default payment, we nonetheless find that </w:t>
      </w:r>
      <w:r w:rsidR="00CD13ED">
        <w:t>it</w:t>
      </w:r>
      <w:r>
        <w:t xml:space="preserve"> apparently failed to comply with the rules requiring timely submission of the post-auction Form </w:t>
      </w:r>
      <w:r w:rsidR="009A0793">
        <w:t>349</w:t>
      </w:r>
      <w:r>
        <w:t xml:space="preserve"> application.</w:t>
      </w:r>
      <w:r w:rsidR="003022B9">
        <w:t xml:space="preserve">  We will therefore grant the Application by separate action upon the conclusion of the forfeiture proceeding discussed below, if there are no issues other than the apparent violation that would preclude grant of the Application.</w:t>
      </w:r>
    </w:p>
    <w:p w:rsidR="00CE2726" w:rsidP="002C54EA" w14:paraId="3A26D1C7" w14:textId="6E294F5D">
      <w:pPr>
        <w:pStyle w:val="ParaNum"/>
        <w:keepNext/>
        <w:widowControl/>
        <w:rPr>
          <w:color w:val="000000"/>
        </w:rPr>
      </w:pPr>
      <w:r>
        <w:rPr>
          <w:i/>
          <w:color w:val="000000"/>
        </w:rPr>
        <w:t>Proposed Forfeiture.</w:t>
      </w:r>
      <w:r>
        <w:rPr>
          <w:color w:val="000000"/>
        </w:rPr>
        <w:t xml:space="preserve">  </w:t>
      </w:r>
      <w:r>
        <w:t xml:space="preserve">In this case, </w:t>
      </w:r>
      <w:r w:rsidR="009A0793">
        <w:t>CBP</w:t>
      </w:r>
      <w:r w:rsidR="00F25C6D">
        <w:t xml:space="preserve"> </w:t>
      </w:r>
      <w:r>
        <w:t xml:space="preserve">failed to timely file a post-auction Form </w:t>
      </w:r>
      <w:r w:rsidR="00533C9A">
        <w:t xml:space="preserve">349 </w:t>
      </w:r>
      <w:r>
        <w:t>application, as required by sections 73.3573(f)(5)(</w:t>
      </w:r>
      <w:r>
        <w:t>i</w:t>
      </w:r>
      <w:r>
        <w:t>)</w:t>
      </w:r>
      <w:r w:rsidR="00C45096">
        <w:t>,</w:t>
      </w:r>
      <w:r>
        <w:t xml:space="preserve"> 73.5005(a)</w:t>
      </w:r>
      <w:r w:rsidR="00C45096">
        <w:t xml:space="preserve"> and 74.1233(d)(5)</w:t>
      </w:r>
      <w:r>
        <w:t xml:space="preserve"> of the rules.  </w:t>
      </w:r>
    </w:p>
    <w:p w:rsidR="00CE2726" w:rsidP="002C54EA" w14:paraId="0BEAA12B" w14:textId="783DC607">
      <w:pPr>
        <w:pStyle w:val="ParaNum"/>
        <w:keepNext/>
        <w:widowControl/>
      </w:pPr>
      <w:r>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8"/>
      </w:r>
      <w:r>
        <w:t xml:space="preserve">  Section 312(f)(1) of the Act defines willful as “the conscious and deliberate commission or omission of [any] act, irrespective of any intent to violate” the law.</w:t>
      </w:r>
      <w:r>
        <w:rPr>
          <w:rStyle w:val="FootnoteReference"/>
          <w:szCs w:val="22"/>
        </w:rPr>
        <w:footnoteReference w:id="19"/>
      </w:r>
      <w:r>
        <w:t xml:space="preserve">  The legislative history to section 312(f)(1) of the Act clarifies that this definition of willful applies to both sections 312 and 503(b) of the Act,</w:t>
      </w:r>
      <w:r>
        <w:rPr>
          <w:rStyle w:val="FootnoteReference"/>
          <w:szCs w:val="22"/>
        </w:rPr>
        <w:footnoteReference w:id="20"/>
      </w:r>
      <w:r>
        <w:t xml:space="preserve"> and the Commission has so interpreted the term in the section 503(b) context.</w:t>
      </w:r>
      <w:r>
        <w:rPr>
          <w:rStyle w:val="FootnoteReference"/>
          <w:szCs w:val="22"/>
        </w:rPr>
        <w:footnoteReference w:id="21"/>
      </w:r>
      <w:r>
        <w:t xml:space="preserve">  </w:t>
      </w:r>
    </w:p>
    <w:p w:rsidR="00CE2726" w:rsidP="002C54EA" w14:paraId="7D9DD379" w14:textId="08EF4C06">
      <w:pPr>
        <w:pStyle w:val="ParaNum"/>
        <w:keepNext/>
        <w:widowControl/>
      </w:pPr>
      <w:r>
        <w:t>The</w:t>
      </w:r>
      <w:r>
        <w:rPr>
          <w:i/>
        </w:rPr>
        <w:t xml:space="preserve"> </w:t>
      </w:r>
      <w:r>
        <w:t>Commission’s</w:t>
      </w:r>
      <w:r>
        <w:rPr>
          <w:i/>
        </w:rPr>
        <w:t xml:space="preserve"> Forfeiture Policy Statement</w:t>
      </w:r>
      <w:r>
        <w:t xml:space="preserve"> and section 1.80(b)(10) of the Rules establish a base forfeiture amount of $3,000 for the failure to file a required form.</w:t>
      </w:r>
      <w:r>
        <w:rPr>
          <w:rStyle w:val="FootnoteReference"/>
          <w:szCs w:val="22"/>
        </w:rPr>
        <w:footnoteReference w:id="22"/>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3"/>
      </w:r>
    </w:p>
    <w:p w:rsidR="002C54EA" w:rsidP="00CA1AC0" w14:paraId="72B90124" w14:textId="05439837">
      <w:pPr>
        <w:pStyle w:val="ParaNum"/>
        <w:keepNext/>
        <w:widowControl/>
      </w:pPr>
      <w:r w:rsidRPr="00B87D47">
        <w:rPr>
          <w:color w:val="000000"/>
          <w:szCs w:val="22"/>
        </w:rPr>
        <w:t xml:space="preserve">In this case, </w:t>
      </w:r>
      <w:r>
        <w:rPr>
          <w:color w:val="000000"/>
          <w:szCs w:val="22"/>
        </w:rPr>
        <w:t>CBP</w:t>
      </w:r>
      <w:r w:rsidRPr="00B87D47">
        <w:rPr>
          <w:color w:val="000000"/>
          <w:szCs w:val="22"/>
        </w:rPr>
        <w:t xml:space="preserve"> </w:t>
      </w:r>
      <w:r>
        <w:rPr>
          <w:szCs w:val="22"/>
        </w:rPr>
        <w:t>was on notice that it was responsible for timely submitting its post-auction Form 349 application</w:t>
      </w:r>
      <w:r>
        <w:rPr>
          <w:color w:val="000000"/>
          <w:szCs w:val="22"/>
        </w:rPr>
        <w:t xml:space="preserve">, but </w:t>
      </w:r>
      <w:r w:rsidRPr="00B87D47">
        <w:rPr>
          <w:color w:val="000000"/>
          <w:szCs w:val="22"/>
        </w:rPr>
        <w:t>failed timely</w:t>
      </w:r>
      <w:r>
        <w:rPr>
          <w:color w:val="000000"/>
          <w:szCs w:val="22"/>
        </w:rPr>
        <w:t xml:space="preserve"> to</w:t>
      </w:r>
      <w:r w:rsidRPr="00B87D47">
        <w:rPr>
          <w:color w:val="000000"/>
          <w:szCs w:val="22"/>
        </w:rPr>
        <w:t xml:space="preserve"> file </w:t>
      </w:r>
      <w:r>
        <w:rPr>
          <w:color w:val="000000"/>
          <w:szCs w:val="22"/>
        </w:rPr>
        <w:t>its application</w:t>
      </w:r>
      <w:r>
        <w:rPr>
          <w:szCs w:val="22"/>
        </w:rPr>
        <w:t>.</w:t>
      </w:r>
      <w:r>
        <w:rPr>
          <w:color w:val="000000"/>
          <w:szCs w:val="22"/>
        </w:rPr>
        <w:t xml:space="preserve">  We also, however, account for the fact that CBP is applying for an FM translator station, which does not originate programming, and which therefore involves a considerably smaller financial investment than a full-service AM or FM broadcast station.  </w:t>
      </w:r>
      <w:r w:rsidRPr="00B87D47">
        <w:rPr>
          <w:szCs w:val="22"/>
        </w:rPr>
        <w:t xml:space="preserve">Taking into consideration these facts and the factors required by </w:t>
      </w:r>
      <w:r>
        <w:rPr>
          <w:szCs w:val="22"/>
        </w:rPr>
        <w:t>s</w:t>
      </w:r>
      <w:r w:rsidRPr="00B87D47">
        <w:rPr>
          <w:szCs w:val="22"/>
        </w:rPr>
        <w:t xml:space="preserve">ection 503(b)(2)(D) of the Act and the </w:t>
      </w:r>
      <w:r w:rsidRPr="00B87D47">
        <w:rPr>
          <w:i/>
          <w:szCs w:val="22"/>
        </w:rPr>
        <w:t>Forfeiture Policy Statement</w:t>
      </w:r>
      <w:r w:rsidRPr="00B87D47">
        <w:rPr>
          <w:szCs w:val="22"/>
        </w:rPr>
        <w:t xml:space="preserve">, </w:t>
      </w:r>
      <w:r w:rsidRPr="00947B4D">
        <w:rPr>
          <w:szCs w:val="22"/>
        </w:rPr>
        <w:t xml:space="preserve">we </w:t>
      </w:r>
      <w:r>
        <w:rPr>
          <w:szCs w:val="22"/>
        </w:rPr>
        <w:t xml:space="preserve">propose a </w:t>
      </w:r>
      <w:r w:rsidRPr="00947B4D">
        <w:rPr>
          <w:szCs w:val="22"/>
        </w:rPr>
        <w:t xml:space="preserve">forfeiture </w:t>
      </w:r>
      <w:r>
        <w:rPr>
          <w:szCs w:val="22"/>
        </w:rPr>
        <w:t>in the amount of $1,000.</w:t>
      </w:r>
      <w:r w:rsidR="00CE2726">
        <w:t xml:space="preserve"> </w:t>
      </w:r>
    </w:p>
    <w:p w:rsidR="001E152E" w:rsidP="001E152E" w14:paraId="0D3334EC" w14:textId="00820B65">
      <w:pPr>
        <w:pStyle w:val="ParaNum"/>
        <w:keepNext/>
        <w:widowControl/>
        <w:numPr>
          <w:ilvl w:val="0"/>
          <w:numId w:val="0"/>
        </w:numPr>
      </w:pPr>
    </w:p>
    <w:p w:rsidR="001E152E" w:rsidRPr="00CE2726" w:rsidP="001E152E" w14:paraId="17FBC403" w14:textId="77777777">
      <w:pPr>
        <w:pStyle w:val="ParaNum"/>
        <w:keepNext/>
        <w:widowControl/>
        <w:numPr>
          <w:ilvl w:val="0"/>
          <w:numId w:val="0"/>
        </w:numPr>
      </w:pPr>
    </w:p>
    <w:p w:rsidR="00CE2726" w:rsidP="002C54EA" w14:paraId="19764162" w14:textId="17349F57">
      <w:pPr>
        <w:pStyle w:val="Heading1"/>
        <w:widowControl/>
      </w:pPr>
      <w:r>
        <w:t>ordering clauses</w:t>
      </w:r>
    </w:p>
    <w:p w:rsidR="00CE2726" w:rsidP="002C54EA" w14:paraId="3F36268C" w14:textId="6FB0FDBF">
      <w:pPr>
        <w:pStyle w:val="ParaNum"/>
        <w:keepNext/>
        <w:widowControl/>
      </w:pPr>
      <w:r>
        <w:t xml:space="preserve">Accordingly, IT IS ORDERED, pursuant to section 503(b) of the Communications Act of 1934, as amended, and Section 1.80 of the Commission’s Rules, that </w:t>
      </w:r>
      <w:r w:rsidR="00562962">
        <w:t>Christian Broadcasting of Portsmouth, Inc.,</w:t>
      </w:r>
      <w:r>
        <w:rPr>
          <w:b/>
        </w:rPr>
        <w:t xml:space="preserve"> </w:t>
      </w:r>
      <w:r>
        <w:t xml:space="preserve">IS HEREBY NOTIFIED OF </w:t>
      </w:r>
      <w:r w:rsidR="00F25C6D">
        <w:t>ITS</w:t>
      </w:r>
      <w:r>
        <w:t xml:space="preserve"> APPARENT LIABILITY FOR FORFEITURE in the amount of $</w:t>
      </w:r>
      <w:r w:rsidR="00562962">
        <w:t>1</w:t>
      </w:r>
      <w:r w:rsidR="00AF2D1C">
        <w:t>,000</w:t>
      </w:r>
      <w:r>
        <w:t xml:space="preserve"> for </w:t>
      </w:r>
      <w:r w:rsidR="00F25C6D">
        <w:t>its</w:t>
      </w:r>
      <w:r>
        <w:t xml:space="preserve"> apparent willful violation of sections 73.3573(f)(5)(</w:t>
      </w:r>
      <w:r>
        <w:t>i</w:t>
      </w:r>
      <w:r>
        <w:t>)</w:t>
      </w:r>
      <w:r w:rsidR="00C45096">
        <w:t>,</w:t>
      </w:r>
      <w:r>
        <w:t xml:space="preserve"> 73.5005(a)</w:t>
      </w:r>
      <w:r w:rsidR="00C45096">
        <w:t xml:space="preserve">, </w:t>
      </w:r>
      <w:r w:rsidR="00CA1AC0">
        <w:t xml:space="preserve">and </w:t>
      </w:r>
      <w:r w:rsidR="00C45096">
        <w:t>74.1233(d)(5)</w:t>
      </w:r>
      <w:r>
        <w:t xml:space="preserve"> of the Commission’s rules. </w:t>
      </w:r>
    </w:p>
    <w:p w:rsidR="00CE2726" w:rsidP="002C54EA" w14:paraId="7236564A" w14:textId="0981CEF0">
      <w:pPr>
        <w:pStyle w:val="ParaNum"/>
        <w:keepNext/>
        <w:widowControl/>
      </w:pPr>
      <w:r>
        <w:t xml:space="preserve">IT IS FURTHER ORDERED that, pursuant to section 1.80 of the Commission’s Rules, within thirty (30) days of the release date of this </w:t>
      </w:r>
      <w:r>
        <w:rPr>
          <w:i/>
        </w:rPr>
        <w:t>NAL,</w:t>
      </w:r>
      <w:r>
        <w:t xml:space="preserve"> </w:t>
      </w:r>
      <w:r w:rsidR="00562962">
        <w:t>Christian Broadcasting of Portsmouth, Inc.,</w:t>
      </w:r>
      <w:r>
        <w:rPr>
          <w:b/>
        </w:rPr>
        <w:t xml:space="preserve"> </w:t>
      </w:r>
      <w:r>
        <w:t xml:space="preserve">SHALL PAY the full amount of the proposed forfeiture or SHALL FILE a written statement seeking reduction or cancellation of the proposed forfeiture.  </w:t>
      </w:r>
    </w:p>
    <w:p w:rsidR="00CE2726" w:rsidP="002C54EA" w14:paraId="7A6A9E6C" w14:textId="6447C752">
      <w:pPr>
        <w:pStyle w:val="ParaNum"/>
        <w:keepNext/>
        <w:widowControl/>
      </w:pPr>
      <w:r>
        <w:t>Payment of the forfeiture must be made by credit card, ACH (Automated Clearing House) debit from a bank account using the Commission’s Fee Filer (the Commission’s online payment system),</w:t>
      </w:r>
      <w:r>
        <w:rPr>
          <w:rStyle w:val="FootnoteReference"/>
          <w:szCs w:val="22"/>
        </w:rPr>
        <w:footnoteReference w:id="24"/>
      </w:r>
      <w:r>
        <w:t xml:space="preserve"> or by wire transfer.  The Commission no longer accepts forfeiture payments by check or money order.  Below are instructions that payors should follow based on the form of payment selected:</w:t>
      </w:r>
      <w:r>
        <w:rPr>
          <w:rStyle w:val="FootnoteReference"/>
          <w:szCs w:val="22"/>
        </w:rPr>
        <w:footnoteReference w:id="25"/>
      </w:r>
      <w:r>
        <w:t xml:space="preserve"> </w:t>
      </w:r>
    </w:p>
    <w:p w:rsidR="00CE2726" w:rsidP="002C54EA" w14:paraId="0038D993" w14:textId="77777777">
      <w:pPr>
        <w:keepNext/>
        <w:widowControl/>
        <w:numPr>
          <w:ilvl w:val="0"/>
          <w:numId w:val="9"/>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6"/>
      </w:r>
      <w:r>
        <w:rPr>
          <w:szCs w:val="22"/>
        </w:rPr>
        <w:t xml:space="preserve">  For additional detail and wire transfer instructions, go to </w:t>
      </w:r>
      <w:hyperlink r:id="rId6" w:history="1">
        <w:r>
          <w:rPr>
            <w:rStyle w:val="Hyperlink"/>
            <w:szCs w:val="22"/>
          </w:rPr>
          <w:t>https://www.fcc.gov/licensing-databases/fees/wire-transfer</w:t>
        </w:r>
      </w:hyperlink>
      <w:r>
        <w:rPr>
          <w:szCs w:val="22"/>
        </w:rPr>
        <w:t>.</w:t>
      </w:r>
    </w:p>
    <w:p w:rsidR="00CE2726" w:rsidP="002C54EA" w14:paraId="1FFF85EA" w14:textId="77777777">
      <w:pPr>
        <w:keepNext/>
        <w:widowControl/>
        <w:numPr>
          <w:ilvl w:val="0"/>
          <w:numId w:val="9"/>
        </w:numPr>
        <w:snapToGrid w:val="0"/>
        <w:spacing w:after="120"/>
        <w:rPr>
          <w:b/>
          <w:szCs w:val="22"/>
        </w:rPr>
      </w:pPr>
      <w:r>
        <w:rPr>
          <w:szCs w:val="22"/>
        </w:rPr>
        <w:t xml:space="preserve">Payment by credit card must be made by using the Commission’s Fee Filer website at </w:t>
      </w:r>
      <w:hyperlink r:id="rId7" w:history="1">
        <w:r>
          <w:rPr>
            <w:rStyle w:val="Hyperlink"/>
            <w:szCs w:val="22"/>
          </w:rPr>
          <w:t>https://apps.fcc.gov/FeeFiler/login.cfm</w:t>
        </w:r>
      </w:hyperlink>
      <w:r>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CE2726" w:rsidP="002C54EA" w14:paraId="28C12D9D" w14:textId="77777777">
      <w:pPr>
        <w:keepNext/>
        <w:widowControl/>
        <w:numPr>
          <w:ilvl w:val="0"/>
          <w:numId w:val="9"/>
        </w:numPr>
        <w:snapToGrid w:val="0"/>
        <w:spacing w:after="120"/>
        <w:rPr>
          <w:sz w:val="24"/>
          <w:szCs w:val="24"/>
        </w:rPr>
      </w:pPr>
      <w:r>
        <w:rPr>
          <w:szCs w:val="22"/>
        </w:rPr>
        <w:t xml:space="preserve">Payment by ACH must be made by using the </w:t>
      </w:r>
      <w:r w:rsidRPr="00135BDE">
        <w:rPr>
          <w:szCs w:val="22"/>
        </w:rPr>
        <w:t>Commission’s</w:t>
      </w:r>
      <w:r>
        <w:rPr>
          <w:szCs w:val="22"/>
        </w:rPr>
        <w:t xml:space="preserve"> Fee Filer website at </w:t>
      </w:r>
      <w:hyperlink r:id="rId7" w:history="1">
        <w:r>
          <w:rPr>
            <w:rStyle w:val="Hyperlink"/>
            <w:szCs w:val="22"/>
          </w:rPr>
          <w:t>https://apps.fcc.gov/FeeFiler/login.cfm</w:t>
        </w:r>
      </w:hyperlink>
      <w:r>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 w:val="24"/>
          <w:szCs w:val="24"/>
        </w:rPr>
        <w:t xml:space="preserve"> </w:t>
      </w:r>
    </w:p>
    <w:p w:rsidR="00CE2726" w:rsidP="002C54EA" w14:paraId="1385B230" w14:textId="77777777">
      <w:pPr>
        <w:pStyle w:val="ParaNum"/>
        <w:keepNext/>
        <w:widowControl/>
      </w:pPr>
      <w:r w:rsidRPr="00514C8E">
        <w:t xml:space="preserve">The </w:t>
      </w:r>
      <w:r w:rsidRPr="00C70247">
        <w:t>written</w:t>
      </w:r>
      <w:r>
        <w:t xml:space="preserve"> </w:t>
      </w:r>
      <w:r w:rsidRPr="00514C8E">
        <w:t>response</w:t>
      </w:r>
      <w:r>
        <w:t xml:space="preserve"> seeking reduction or cancellation of the proposed forfeiture</w:t>
      </w:r>
      <w:r w:rsidRPr="00514C8E">
        <w:t xml:space="preserve">, if any, must </w:t>
      </w:r>
      <w:r w:rsidRPr="00525F98">
        <w:t xml:space="preserve">include a detailed factual statement supported by appropriate documentation and affidavits pursuant </w:t>
      </w:r>
      <w:r w:rsidRPr="00525F98">
        <w:t>to sections 1.16 and 1.80(</w:t>
      </w:r>
      <w:r>
        <w:t>g</w:t>
      </w:r>
      <w:r w:rsidRPr="00525F98">
        <w:t xml:space="preserve">)(3) of the </w:t>
      </w:r>
      <w:r>
        <w:t>r</w:t>
      </w:r>
      <w:r w:rsidRPr="00525F98">
        <w:t>ules</w:t>
      </w:r>
      <w:r>
        <w:t>.</w:t>
      </w:r>
      <w:r>
        <w:rPr>
          <w:rStyle w:val="FootnoteReference"/>
          <w:szCs w:val="22"/>
        </w:rPr>
        <w:footnoteReference w:id="27"/>
      </w:r>
      <w:r>
        <w:t xml:space="preserve">  The written response must </w:t>
      </w:r>
      <w:r w:rsidRPr="00514C8E">
        <w:t xml:space="preserve">be </w:t>
      </w:r>
      <w:r>
        <w:t>filed with the</w:t>
      </w:r>
      <w:r w:rsidRPr="00514C8E">
        <w:t xml:space="preserve"> Office of the Secretary, Federal Communications Commission, </w:t>
      </w:r>
      <w:r>
        <w:t>45 L Street, NE</w:t>
      </w:r>
      <w:r w:rsidRPr="00514C8E">
        <w:t xml:space="preserve">, Washington, DC 20554, ATTN:  </w:t>
      </w:r>
      <w:r>
        <w:t>Albert Shuldiner</w:t>
      </w:r>
      <w:r w:rsidRPr="00514C8E">
        <w:t xml:space="preserve">, Chief, </w:t>
      </w:r>
      <w:r>
        <w:t>Audio</w:t>
      </w:r>
      <w:r w:rsidRPr="00514C8E">
        <w:t xml:space="preserve"> Division, Media Bureau, and </w:t>
      </w:r>
      <w:r w:rsidRPr="00285A1A">
        <w:rPr>
          <w:b/>
          <w:bCs/>
        </w:rPr>
        <w:t>MUST INCLUDE</w:t>
      </w:r>
      <w:r w:rsidRPr="00514C8E">
        <w:t xml:space="preserve"> the NAL/Acct. No. referenced above.  A courtesy copy </w:t>
      </w:r>
      <w:r>
        <w:t xml:space="preserve">should also be </w:t>
      </w:r>
      <w:r w:rsidRPr="00514C8E">
        <w:t xml:space="preserve">emailed to </w:t>
      </w:r>
      <w:hyperlink r:id="rId8" w:history="1">
        <w:r w:rsidRPr="00D17A35">
          <w:rPr>
            <w:rStyle w:val="Hyperlink"/>
            <w:szCs w:val="22"/>
          </w:rPr>
          <w:t>Lisa.Scanlan@fcc.gov</w:t>
        </w:r>
      </w:hyperlink>
      <w:r w:rsidRPr="00514C8E">
        <w:t xml:space="preserve"> </w:t>
      </w:r>
      <w:r>
        <w:t>to</w:t>
      </w:r>
      <w:r w:rsidRPr="00514C8E">
        <w:t xml:space="preserve"> assist in processing the response.</w:t>
      </w:r>
    </w:p>
    <w:p w:rsidR="00CE2726" w:rsidRPr="00CE2726" w:rsidP="002C54EA" w14:paraId="72A6C8AD" w14:textId="0B119B5B">
      <w:pPr>
        <w:pStyle w:val="ParaNum"/>
        <w:keepNext/>
        <w:widowControl/>
      </w:pPr>
      <w:r w:rsidRPr="00CE272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8"/>
      </w:r>
    </w:p>
    <w:p w:rsidR="00CE2726" w:rsidRPr="00FB1AC6" w:rsidP="002C54EA" w14:paraId="036D9787" w14:textId="77777777">
      <w:pPr>
        <w:keepNext/>
        <w:widowControl/>
        <w:numPr>
          <w:ilvl w:val="1"/>
          <w:numId w:val="9"/>
        </w:numPr>
        <w:spacing w:after="120"/>
        <w:rPr>
          <w:szCs w:val="22"/>
        </w:rPr>
      </w:pPr>
      <w:r w:rsidRPr="000C4D69">
        <w:t xml:space="preserve">Commercial overnight mail (other than U.S. Postal Service Express Mail and Priority Mail) must be sent to 9050 Junction Drive, Annapolis Junction, MD 20701. </w:t>
      </w:r>
    </w:p>
    <w:p w:rsidR="00CE2726" w:rsidRPr="00CE2726" w:rsidP="002C54EA" w14:paraId="1AAFD37A" w14:textId="0F6394BD">
      <w:pPr>
        <w:keepNext/>
        <w:widowControl/>
        <w:numPr>
          <w:ilvl w:val="1"/>
          <w:numId w:val="9"/>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CE2726" w:rsidP="002C54EA" w14:paraId="3E9EFC7D" w14:textId="53FB15C3">
      <w:pPr>
        <w:pStyle w:val="ParaNum"/>
        <w:keepNext/>
        <w:widowControl/>
      </w:pPr>
      <w:r w:rsidRPr="00A90940">
        <w:t>The Commission will</w:t>
      </w:r>
      <w:r w:rsidRPr="00A90940">
        <w:rPr>
          <w:i/>
          <w:iCs/>
        </w:rPr>
        <w:t xml:space="preserve"> </w:t>
      </w:r>
      <w:r w:rsidRPr="00A90940">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9"/>
      </w:r>
      <w:r w:rsidRPr="00A90940">
        <w:t xml:space="preserve">  </w:t>
      </w:r>
    </w:p>
    <w:p w:rsidR="00CE2726" w:rsidP="002C54EA" w14:paraId="7B772F6B" w14:textId="2CF646C0">
      <w:pPr>
        <w:pStyle w:val="ParaNum"/>
        <w:keepNext/>
        <w:widowControl/>
      </w:pPr>
      <w:r w:rsidRPr="00133D4D">
        <w:t>Requests</w:t>
      </w:r>
      <w:r w:rsidRPr="00514C8E">
        <w:t xml:space="preserve"> for full payment of the forfeiture proposed in this </w:t>
      </w:r>
      <w:r w:rsidRPr="00514C8E">
        <w:rPr>
          <w:i/>
        </w:rPr>
        <w:t>NAL</w:t>
      </w:r>
      <w:r w:rsidRPr="00514C8E">
        <w:t xml:space="preserve"> under the installment plan should be sent to:  Associate Managing Director-Financial Operations, </w:t>
      </w:r>
      <w:r>
        <w:t>45 L</w:t>
      </w:r>
      <w:r w:rsidRPr="00514C8E">
        <w:t xml:space="preserve"> Street, </w:t>
      </w:r>
      <w:r>
        <w:t>NE</w:t>
      </w:r>
      <w:r w:rsidRPr="00514C8E">
        <w:t>, Washington, DC 20554</w:t>
      </w:r>
      <w:r w:rsidR="006C6860">
        <w:t xml:space="preserve">, </w:t>
      </w:r>
      <w:r w:rsidR="006C6860">
        <w:rPr>
          <w:szCs w:val="22"/>
        </w:rPr>
        <w:t xml:space="preserve">or by e-mail at </w:t>
      </w:r>
      <w:hyperlink r:id="rId9" w:history="1">
        <w:r w:rsidRPr="00722A2D" w:rsidR="006C6860">
          <w:rPr>
            <w:rStyle w:val="Hyperlink"/>
            <w:szCs w:val="22"/>
          </w:rPr>
          <w:t>ARINQUIRIES@fcc.gov</w:t>
        </w:r>
      </w:hyperlink>
      <w:r w:rsidRPr="00514C8E">
        <w:t>.</w:t>
      </w:r>
      <w:r>
        <w:rPr>
          <w:vertAlign w:val="superscript"/>
        </w:rPr>
        <w:footnoteReference w:id="30"/>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hyperlink r:id="rId9" w:history="1">
        <w:r w:rsidRPr="00722A2D">
          <w:rPr>
            <w:rStyle w:val="Hyperlink"/>
            <w:szCs w:val="22"/>
          </w:rPr>
          <w:t>ARINQUIRIES@fcc.gov</w:t>
        </w:r>
      </w:hyperlink>
      <w:r w:rsidRPr="00514C8E">
        <w:t>.</w:t>
      </w:r>
    </w:p>
    <w:p w:rsidR="002C54EA" w:rsidP="002C54EA" w14:paraId="266846B8" w14:textId="701F2ED7">
      <w:pPr>
        <w:pStyle w:val="ParaNum"/>
        <w:keepNext/>
        <w:widowControl/>
        <w:tabs>
          <w:tab w:val="left" w:pos="0"/>
        </w:tabs>
        <w:suppressAutoHyphens/>
        <w:rPr>
          <w:szCs w:val="22"/>
        </w:rPr>
      </w:pPr>
      <w:r w:rsidRPr="00CE2726">
        <w:rPr>
          <w:szCs w:val="22"/>
        </w:rPr>
        <w:t>IT IS FURTHER ORDERED that</w:t>
      </w:r>
      <w:r w:rsidR="00AF2D1C">
        <w:rPr>
          <w:szCs w:val="22"/>
        </w:rPr>
        <w:t xml:space="preserve">, on its own motion, the Media Bureau HEREBY GRANTS WAIVER </w:t>
      </w:r>
      <w:r w:rsidRPr="00CE2726">
        <w:rPr>
          <w:szCs w:val="22"/>
        </w:rPr>
        <w:t xml:space="preserve">of the Form </w:t>
      </w:r>
      <w:r w:rsidR="00562962">
        <w:rPr>
          <w:szCs w:val="22"/>
        </w:rPr>
        <w:t>349</w:t>
      </w:r>
      <w:r w:rsidRPr="00CE2726">
        <w:rPr>
          <w:szCs w:val="22"/>
        </w:rPr>
        <w:t xml:space="preserve"> Filing Deadline, and the Application will be processed in accordance with post-auction procedures.</w:t>
      </w:r>
    </w:p>
    <w:p w:rsidR="00CE2726" w:rsidP="002C54EA" w14:paraId="11F72A99" w14:textId="77777777">
      <w:pPr>
        <w:pStyle w:val="ParaNum"/>
        <w:keepNext/>
        <w:widowControl/>
        <w:numPr>
          <w:ilvl w:val="0"/>
          <w:numId w:val="0"/>
        </w:numPr>
        <w:tabs>
          <w:tab w:val="left" w:pos="0"/>
        </w:tabs>
        <w:suppressAutoHyphens/>
        <w:rPr>
          <w:szCs w:val="22"/>
        </w:rPr>
      </w:pPr>
      <w:r>
        <w:rPr>
          <w:szCs w:val="22"/>
        </w:rPr>
        <w:br w:type="page"/>
      </w:r>
    </w:p>
    <w:p w:rsidR="00CE2726" w:rsidP="002C54EA" w14:paraId="27FFDDC7" w14:textId="10AEA243">
      <w:pPr>
        <w:pStyle w:val="ParaNum"/>
        <w:keepNext/>
        <w:keepLines/>
        <w:widowControl/>
        <w:tabs>
          <w:tab w:val="left" w:pos="0"/>
        </w:tabs>
        <w:suppressAutoHyphens/>
        <w:rPr>
          <w:szCs w:val="22"/>
        </w:rPr>
      </w:pPr>
      <w:r w:rsidRPr="00CE2726">
        <w:rPr>
          <w:szCs w:val="22"/>
        </w:rPr>
        <w:t xml:space="preserve">IT IS FURTHER ORDERED that copies of this </w:t>
      </w:r>
      <w:r w:rsidRPr="00CE2726">
        <w:rPr>
          <w:i/>
          <w:szCs w:val="22"/>
        </w:rPr>
        <w:t>NAL</w:t>
      </w:r>
      <w:r w:rsidRPr="00CE2726">
        <w:rPr>
          <w:szCs w:val="22"/>
        </w:rPr>
        <w:t xml:space="preserve"> shall be sent by First Class and Certified Mail, Return Receipt Requested, to </w:t>
      </w:r>
      <w:r w:rsidR="00562962">
        <w:rPr>
          <w:szCs w:val="22"/>
        </w:rPr>
        <w:t>Christian Broadcasting of Portsmouth, Inc., 645 Church Street, Suite 400, Norfolk, VA  23510</w:t>
      </w:r>
      <w:r w:rsidRPr="00CE2726">
        <w:rPr>
          <w:szCs w:val="22"/>
        </w:rPr>
        <w:t>.</w:t>
      </w:r>
    </w:p>
    <w:p w:rsidR="00CE2726" w:rsidP="002C54EA" w14:paraId="549E45A3"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CE2726" w:rsidP="002C54EA" w14:paraId="56E26CA8" w14:textId="77777777">
      <w:pPr>
        <w:keepNext/>
        <w:keepLines/>
        <w:widowControl/>
        <w:tabs>
          <w:tab w:val="left" w:pos="0"/>
        </w:tabs>
        <w:suppressAutoHyphens/>
        <w:rPr>
          <w:szCs w:val="22"/>
        </w:rPr>
      </w:pPr>
    </w:p>
    <w:p w:rsidR="00CE2726" w:rsidP="002C54EA" w14:paraId="476F5F31" w14:textId="77777777">
      <w:pPr>
        <w:keepNext/>
        <w:keepLines/>
        <w:widowControl/>
        <w:tabs>
          <w:tab w:val="left" w:pos="0"/>
        </w:tabs>
        <w:suppressAutoHyphens/>
        <w:rPr>
          <w:szCs w:val="22"/>
        </w:rPr>
      </w:pPr>
    </w:p>
    <w:p w:rsidR="00CE2726" w:rsidP="002C54EA" w14:paraId="16A3C5C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CE2726" w:rsidP="002C54EA" w14:paraId="23E80BA3" w14:textId="77777777">
      <w:pPr>
        <w:keepNext/>
        <w:keepLines/>
        <w:widowControl/>
        <w:tabs>
          <w:tab w:val="left" w:pos="0"/>
        </w:tabs>
        <w:suppressAutoHyphens/>
        <w:rPr>
          <w:szCs w:val="22"/>
        </w:rPr>
      </w:pPr>
      <w:r>
        <w:rPr>
          <w:szCs w:val="22"/>
        </w:rPr>
        <w:tab/>
        <w:t xml:space="preserve">                           </w:t>
      </w:r>
      <w:r>
        <w:rPr>
          <w:szCs w:val="22"/>
        </w:rPr>
        <w:tab/>
      </w:r>
      <w:r>
        <w:rPr>
          <w:szCs w:val="22"/>
        </w:rPr>
        <w:tab/>
        <w:t xml:space="preserve"> </w:t>
      </w:r>
      <w:r>
        <w:rPr>
          <w:szCs w:val="22"/>
        </w:rPr>
        <w:tab/>
        <w:t xml:space="preserve"> Albert Shuldiner</w:t>
      </w:r>
    </w:p>
    <w:p w:rsidR="00CE2726" w:rsidP="002C54EA" w14:paraId="18132E9B"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CE2726" w:rsidP="002C54EA" w14:paraId="32EFA13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CE2726" w:rsidRPr="00CE2726" w:rsidP="002C54EA" w14:paraId="4370ACB4" w14:textId="77777777">
      <w:pPr>
        <w:pStyle w:val="ParaNum"/>
        <w:keepNext/>
        <w:widowControl/>
        <w:numPr>
          <w:ilvl w:val="0"/>
          <w:numId w:val="0"/>
        </w:numPr>
        <w:tabs>
          <w:tab w:val="left" w:pos="0"/>
        </w:tabs>
        <w:suppressAutoHyphens/>
        <w:rPr>
          <w:szCs w:val="22"/>
        </w:rPr>
      </w:pPr>
    </w:p>
    <w:p w:rsidR="00CE2726" w:rsidRPr="00CE2726" w:rsidP="002C54EA" w14:paraId="58D19BCE"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C5620D" w14:paraId="0A54B2B6" w14:textId="7BC6FBAD">
      <w:pPr>
        <w:pStyle w:val="FootnoteText"/>
      </w:pPr>
      <w:r>
        <w:rPr>
          <w:rStyle w:val="FootnoteReference"/>
        </w:rPr>
        <w:footnoteRef/>
      </w:r>
      <w:r>
        <w:t xml:space="preserve"> File No. BNPFT-20180822AA</w:t>
      </w:r>
      <w:r w:rsidR="008E2E2F">
        <w:t>A</w:t>
      </w:r>
      <w:r>
        <w:t xml:space="preserve"> (Application).</w:t>
      </w:r>
    </w:p>
  </w:footnote>
  <w:footnote w:id="4">
    <w:p w:rsidR="00CE2726" w:rsidP="00CE2726" w14:paraId="3BF362C3" w14:textId="77777777">
      <w:pPr>
        <w:pStyle w:val="FootnoteText"/>
      </w:pPr>
      <w:r>
        <w:rPr>
          <w:rStyle w:val="FootnoteReference"/>
        </w:rPr>
        <w:footnoteRef/>
      </w:r>
      <w:r>
        <w:t xml:space="preserve"> This </w:t>
      </w:r>
      <w:r>
        <w:rPr>
          <w:i/>
        </w:rPr>
        <w:t>NAL</w:t>
      </w:r>
      <w:r>
        <w:t xml:space="preserve"> is issued pursuant to Section 503(b) of the Communications Act of 1934, as amended (Act), and Section 1.80 of the Commission’s rules.  </w:t>
      </w:r>
      <w:r>
        <w:rPr>
          <w:i/>
        </w:rPr>
        <w:t>See</w:t>
      </w:r>
      <w:r>
        <w:t xml:space="preserve"> 47 U.S.C. § 503(b); 47 CFR § 1.80.  The Bureau has delegated authority to issue the </w:t>
      </w:r>
      <w:r>
        <w:rPr>
          <w:i/>
        </w:rPr>
        <w:t>NAL</w:t>
      </w:r>
      <w:r>
        <w:t xml:space="preserve"> under Section 0.283 of the rules.</w:t>
      </w:r>
      <w:r>
        <w:rPr>
          <w:i/>
        </w:rPr>
        <w:t xml:space="preserve">  See</w:t>
      </w:r>
      <w:r>
        <w:t xml:space="preserve"> 47 CFR § 0.283.</w:t>
      </w:r>
    </w:p>
  </w:footnote>
  <w:footnote w:id="5">
    <w:p w:rsidR="00CE2726" w:rsidP="00CE2726" w14:paraId="0320ACFC" w14:textId="39BBF91F">
      <w:pPr>
        <w:pStyle w:val="FootnoteText"/>
      </w:pPr>
      <w:r>
        <w:rPr>
          <w:rStyle w:val="FootnoteReference"/>
        </w:rPr>
        <w:footnoteRef/>
      </w:r>
      <w:r>
        <w:t xml:space="preserve"> </w:t>
      </w:r>
      <w:r>
        <w:rPr>
          <w:i/>
        </w:rPr>
        <w:t xml:space="preserve">See </w:t>
      </w:r>
      <w:r>
        <w:t>47 CFR §§ 73.3573(f)(5)(</w:t>
      </w:r>
      <w:r>
        <w:t>i</w:t>
      </w:r>
      <w:r>
        <w:t>), 73.5005(a)</w:t>
      </w:r>
      <w:r w:rsidR="00201138">
        <w:t>, 74.1233(d)(5)</w:t>
      </w:r>
      <w:r>
        <w:t>.</w:t>
      </w:r>
    </w:p>
  </w:footnote>
  <w:footnote w:id="6">
    <w:p w:rsidR="00D420BB" w:rsidRPr="007B6927" w:rsidP="00D420BB" w14:paraId="1424C9AB" w14:textId="77777777">
      <w:pPr>
        <w:pStyle w:val="FootnoteText"/>
      </w:pPr>
      <w:r w:rsidRPr="007B6927">
        <w:rPr>
          <w:rStyle w:val="FootnoteReference"/>
        </w:rPr>
        <w:footnoteRef/>
      </w:r>
      <w:r>
        <w:t xml:space="preserve"> </w:t>
      </w:r>
      <w:r>
        <w:rPr>
          <w:rFonts w:ascii="TimesNewRoman,Bold" w:hAnsi="TimesNewRoman,Bold" w:cs="TimesNewRoman,Bold"/>
          <w:bCs/>
          <w:i/>
        </w:rPr>
        <w:t>Filing Instructions for Cross-Service FM Translator Auction Filing Window for AM Broadcasters to be Open July 26 – August 2, 2017</w:t>
      </w:r>
      <w:r>
        <w:t xml:space="preserve">, </w:t>
      </w:r>
      <w:r w:rsidRPr="008330FE">
        <w:t>Public Notice</w:t>
      </w:r>
      <w:r w:rsidRPr="007B6927">
        <w:t xml:space="preserve">, </w:t>
      </w:r>
      <w:r>
        <w:t>3</w:t>
      </w:r>
      <w:r w:rsidRPr="007B6927">
        <w:t xml:space="preserve">2 FCC </w:t>
      </w:r>
      <w:r w:rsidRPr="007B6927">
        <w:t>Rcd</w:t>
      </w:r>
      <w:r w:rsidRPr="007B6927">
        <w:t xml:space="preserve"> </w:t>
      </w:r>
      <w:r>
        <w:t>4663 (MB/WTB 2017</w:t>
      </w:r>
      <w:r w:rsidRPr="007B6927">
        <w:t>).</w:t>
      </w:r>
    </w:p>
  </w:footnote>
  <w:footnote w:id="7">
    <w:p w:rsidR="00D420BB" w:rsidRPr="003476C5" w:rsidP="00D420BB" w14:paraId="62595AB1" w14:textId="77777777">
      <w:pPr>
        <w:pStyle w:val="FootnoteText"/>
      </w:pPr>
      <w:r>
        <w:rPr>
          <w:rStyle w:val="FootnoteReference"/>
        </w:rPr>
        <w:footnoteRef/>
      </w:r>
      <w:r>
        <w:t xml:space="preserve"> </w:t>
      </w:r>
      <w:r w:rsidRPr="003476C5">
        <w:rPr>
          <w:i/>
        </w:rPr>
        <w:t>Revitalization of the AM Radio Service</w:t>
      </w:r>
      <w:r w:rsidRPr="003476C5">
        <w:t xml:space="preserve">, First Report and Order, Further Notice of Proposed Rule Making, and Notice of Inquiry, 30 FCC </w:t>
      </w:r>
      <w:r w:rsidRPr="003476C5">
        <w:t>Rcd</w:t>
      </w:r>
      <w:r w:rsidRPr="003476C5">
        <w:t xml:space="preserve"> 12145, 12153-54, para. 17 (2015) (</w:t>
      </w:r>
      <w:r w:rsidRPr="003476C5">
        <w:rPr>
          <w:i/>
        </w:rPr>
        <w:t>AM Revitalization First R&amp;O</w:t>
      </w:r>
      <w:r w:rsidRPr="003476C5">
        <w:t>).</w:t>
      </w:r>
    </w:p>
  </w:footnote>
  <w:footnote w:id="8">
    <w:p w:rsidR="00D420BB" w:rsidRPr="003476C5" w:rsidP="00D420BB" w14:paraId="18F933A3" w14:textId="77777777">
      <w:pPr>
        <w:pStyle w:val="FootnoteText"/>
      </w:pPr>
      <w:r w:rsidRPr="003476C5">
        <w:rPr>
          <w:rStyle w:val="FootnoteReference"/>
        </w:rPr>
        <w:footnoteRef/>
      </w:r>
      <w:r w:rsidRPr="003476C5">
        <w:t xml:space="preserve"> </w:t>
      </w:r>
      <w:r w:rsidRPr="003476C5">
        <w:rPr>
          <w:i/>
        </w:rPr>
        <w:t>Auction of Cross-Service FM Translator Construction Permits – 19 Bidders Qualified to Participate in Auction 99</w:t>
      </w:r>
      <w:r w:rsidRPr="003476C5">
        <w:t xml:space="preserve">, Public Notice, 33 FCC </w:t>
      </w:r>
      <w:r w:rsidRPr="003476C5">
        <w:t>Rcd</w:t>
      </w:r>
      <w:r w:rsidRPr="003476C5">
        <w:t xml:space="preserve"> 4475 (MB/WTB 2018).</w:t>
      </w:r>
    </w:p>
  </w:footnote>
  <w:footnote w:id="9">
    <w:p w:rsidR="00D420BB" w:rsidRPr="003E2108" w:rsidP="00D420BB" w14:paraId="2B3EA6F1" w14:textId="77777777">
      <w:pPr>
        <w:pStyle w:val="FootnoteText"/>
      </w:pPr>
      <w:r w:rsidRPr="008330FE">
        <w:rPr>
          <w:rStyle w:val="FootnoteReference"/>
        </w:rPr>
        <w:footnoteRef/>
      </w:r>
      <w:r w:rsidRPr="008330FE">
        <w:rPr>
          <w:i/>
        </w:rPr>
        <w:t xml:space="preserve"> Auction of</w:t>
      </w:r>
      <w:r>
        <w:rPr>
          <w:i/>
        </w:rPr>
        <w:t xml:space="preserve"> Cross-Service</w:t>
      </w:r>
      <w:r w:rsidRPr="008330FE">
        <w:rPr>
          <w:i/>
        </w:rPr>
        <w:t xml:space="preserve"> FM </w:t>
      </w:r>
      <w:r>
        <w:rPr>
          <w:i/>
        </w:rPr>
        <w:t>Translator</w:t>
      </w:r>
      <w:r w:rsidRPr="008330FE">
        <w:rPr>
          <w:i/>
        </w:rPr>
        <w:t xml:space="preserve"> Construction Permits Closes – Winning Bidd</w:t>
      </w:r>
      <w:r>
        <w:rPr>
          <w:i/>
        </w:rPr>
        <w:t>ers Announced for Auction 99</w:t>
      </w:r>
      <w:r>
        <w:t xml:space="preserve">, </w:t>
      </w:r>
      <w:r w:rsidRPr="008330FE">
        <w:t>Public Notice,</w:t>
      </w:r>
      <w:r w:rsidRPr="003E2108">
        <w:t xml:space="preserve"> </w:t>
      </w:r>
      <w:r>
        <w:t>33</w:t>
      </w:r>
      <w:r w:rsidRPr="003E2108">
        <w:t xml:space="preserve"> FCC </w:t>
      </w:r>
      <w:r w:rsidRPr="003E2108">
        <w:t>Rcd</w:t>
      </w:r>
      <w:r w:rsidRPr="003E2108">
        <w:t xml:space="preserve"> </w:t>
      </w:r>
      <w:r>
        <w:t>5001, 5010 (MB/WTB 2018</w:t>
      </w:r>
      <w:r w:rsidRPr="003E2108">
        <w:t>)</w:t>
      </w:r>
      <w:r>
        <w:t xml:space="preserve"> (</w:t>
      </w:r>
      <w:r>
        <w:rPr>
          <w:i/>
        </w:rPr>
        <w:t>Auction 99</w:t>
      </w:r>
      <w:r w:rsidRPr="00B502DE">
        <w:rPr>
          <w:i/>
        </w:rPr>
        <w:t xml:space="preserve"> Closing Public Notice</w:t>
      </w:r>
      <w:r>
        <w:t>)</w:t>
      </w:r>
      <w:r w:rsidRPr="003E2108">
        <w:t>.</w:t>
      </w:r>
    </w:p>
  </w:footnote>
  <w:footnote w:id="10">
    <w:p w:rsidR="00D420BB" w:rsidP="00D420BB" w14:paraId="1D974445" w14:textId="77777777">
      <w:pPr>
        <w:pStyle w:val="FootnoteText"/>
      </w:pPr>
      <w:r>
        <w:rPr>
          <w:rStyle w:val="FootnoteReference"/>
        </w:rPr>
        <w:footnoteRef/>
      </w:r>
      <w:r>
        <w:t xml:space="preserve"> </w:t>
      </w:r>
      <w:r w:rsidRPr="00312380">
        <w:rPr>
          <w:i/>
        </w:rPr>
        <w:t>Id</w:t>
      </w:r>
      <w:r>
        <w:t>. at 5006.</w:t>
      </w:r>
    </w:p>
  </w:footnote>
  <w:footnote w:id="11">
    <w:p w:rsidR="00D420BB" w:rsidRPr="003E2108" w:rsidP="00D420BB" w14:paraId="4F22C0F0" w14:textId="77777777">
      <w:pPr>
        <w:pStyle w:val="FootnoteText"/>
      </w:pPr>
      <w:r w:rsidRPr="003E2108">
        <w:rPr>
          <w:rStyle w:val="FootnoteReference"/>
        </w:rPr>
        <w:footnoteRef/>
      </w:r>
      <w:r w:rsidRPr="003E2108">
        <w:t xml:space="preserve"> </w:t>
      </w:r>
      <w:r w:rsidRPr="003E2108">
        <w:rPr>
          <w:i/>
        </w:rPr>
        <w:t>Id</w:t>
      </w:r>
      <w:r w:rsidRPr="003E2108">
        <w:t xml:space="preserve">. </w:t>
      </w:r>
    </w:p>
  </w:footnote>
  <w:footnote w:id="12">
    <w:p w:rsidR="00D420BB" w:rsidRPr="003E2108" w:rsidP="00D420BB" w14:paraId="0350A809" w14:textId="56B874CA">
      <w:pPr>
        <w:pStyle w:val="FootnoteText"/>
      </w:pPr>
      <w:r w:rsidRPr="003E2108">
        <w:rPr>
          <w:rStyle w:val="FootnoteReference"/>
        </w:rPr>
        <w:footnoteRef/>
      </w:r>
      <w:r w:rsidRPr="003E2108">
        <w:t xml:space="preserve"> 47 </w:t>
      </w:r>
      <w:r>
        <w:t>CFR</w:t>
      </w:r>
      <w:r w:rsidRPr="003E2108">
        <w:t xml:space="preserve"> §§ 73.3573(f)(5)(</w:t>
      </w:r>
      <w:r w:rsidRPr="003E2108">
        <w:t>i</w:t>
      </w:r>
      <w:r w:rsidRPr="003E2108">
        <w:t>), 73.5005(a)</w:t>
      </w:r>
      <w:r w:rsidR="00BF7C18">
        <w:t>, 74.1233(d)(5)</w:t>
      </w:r>
      <w:r w:rsidRPr="003E2108">
        <w:t>.</w:t>
      </w:r>
      <w:r>
        <w:t xml:space="preserve">  These rules require a winning bidder to file its long-form application within 30 days of the release of the public notice announcing the close of the auction.</w:t>
      </w:r>
    </w:p>
  </w:footnote>
  <w:footnote w:id="13">
    <w:p w:rsidR="00CE2726" w:rsidP="00CE2726" w14:paraId="64100265" w14:textId="77777777">
      <w:pPr>
        <w:pStyle w:val="FootnoteText"/>
      </w:pPr>
      <w:r>
        <w:rPr>
          <w:rStyle w:val="FootnoteReference"/>
        </w:rPr>
        <w:footnoteRef/>
      </w:r>
      <w:r>
        <w:t xml:space="preserve"> 47 CFR § 1.2104(g).</w:t>
      </w:r>
    </w:p>
  </w:footnote>
  <w:footnote w:id="14">
    <w:p w:rsidR="00CE2726" w:rsidP="00CE2726" w14:paraId="5538D733" w14:textId="77777777">
      <w:pPr>
        <w:pStyle w:val="FootnoteText"/>
      </w:pPr>
      <w:r>
        <w:rPr>
          <w:rStyle w:val="FootnoteReference"/>
        </w:rPr>
        <w:footnoteRef/>
      </w:r>
      <w:r>
        <w:t xml:space="preserve"> 47 CFR § 73.5005(c).</w:t>
      </w:r>
    </w:p>
  </w:footnote>
  <w:footnote w:id="15">
    <w:p w:rsidR="00CE2726" w:rsidP="00CE2726" w14:paraId="45829DFC" w14:textId="77777777">
      <w:pPr>
        <w:pStyle w:val="FootnoteText"/>
      </w:pPr>
      <w:r>
        <w:rPr>
          <w:rStyle w:val="FootnoteReference"/>
        </w:rPr>
        <w:footnoteRef/>
      </w:r>
      <w:r>
        <w:t xml:space="preserve"> </w:t>
      </w:r>
      <w:r>
        <w:rPr>
          <w:i/>
        </w:rPr>
        <w:t>See</w:t>
      </w:r>
      <w:r>
        <w:t xml:space="preserve"> </w:t>
      </w:r>
      <w:r>
        <w:rPr>
          <w:i/>
        </w:rPr>
        <w:t>NetworkIP</w:t>
      </w:r>
      <w:r>
        <w:rPr>
          <w:i/>
        </w:rPr>
        <w:t>, LLC v. FCC</w:t>
      </w:r>
      <w:r>
        <w:t>, 548 F.3d 116, 125-28 (</w:t>
      </w:r>
      <w:r>
        <w:t>D.C.Cir</w:t>
      </w:r>
      <w:r>
        <w:t xml:space="preserve"> 2008); </w:t>
      </w:r>
      <w:r>
        <w:rPr>
          <w:i/>
        </w:rPr>
        <w:t>Northeast Cellular Telephone Co. v. FCC,</w:t>
      </w:r>
      <w:r>
        <w:t xml:space="preserve"> 897 F.2d 1164, 1166 (D.C. Cir. 1990) (citing </w:t>
      </w:r>
      <w:r>
        <w:rPr>
          <w:i/>
        </w:rPr>
        <w:t>WAIT Radio v. FCC</w:t>
      </w:r>
      <w:r>
        <w:t>, 418 F.2d 1153, 1157-59 (D.C. Cir. 1969)).</w:t>
      </w:r>
    </w:p>
  </w:footnote>
  <w:footnote w:id="16">
    <w:p w:rsidR="00CE2726" w:rsidP="00CE2726" w14:paraId="3EF3A4AA" w14:textId="77777777">
      <w:pPr>
        <w:pStyle w:val="FootnoteText"/>
      </w:pPr>
      <w:r>
        <w:rPr>
          <w:rStyle w:val="FootnoteReference"/>
        </w:rPr>
        <w:footnoteRef/>
      </w:r>
      <w:r>
        <w:t xml:space="preserve"> </w:t>
      </w:r>
      <w:r>
        <w:rPr>
          <w:i/>
        </w:rPr>
        <w:t>See, e.g.,</w:t>
      </w:r>
      <w:r>
        <w:t xml:space="preserve"> </w:t>
      </w:r>
      <w:r w:rsidRPr="00984F38">
        <w:rPr>
          <w:i/>
          <w:iCs/>
        </w:rPr>
        <w:t>Alfred L. “Pat” Roberson III</w:t>
      </w:r>
      <w:r>
        <w:t xml:space="preserve">, Memorandum Opinion and Order and Notice of Apparent Liability for Forfeiture, DA 13-1860, 28 FCC </w:t>
      </w:r>
      <w:r>
        <w:t>Rcd</w:t>
      </w:r>
      <w:r>
        <w:t xml:space="preserve"> 12933 (MB 2013) (waiver granted and forfeiture assessed, emphasizing compliance </w:t>
      </w:r>
      <w:r w:rsidRPr="00984F38">
        <w:t>with all previous Auction 93 requirements, including all filing and payment obligations</w:t>
      </w:r>
      <w:r>
        <w:t>, and evidence of lack of bad faith);</w:t>
      </w:r>
      <w:r w:rsidRPr="00984F38">
        <w:rPr>
          <w:i/>
        </w:rPr>
        <w:t xml:space="preserve"> </w:t>
      </w:r>
      <w:r>
        <w:rPr>
          <w:i/>
        </w:rPr>
        <w:t xml:space="preserve">Joseph C. </w:t>
      </w:r>
      <w:r>
        <w:rPr>
          <w:i/>
        </w:rPr>
        <w:t>Tesiero</w:t>
      </w:r>
      <w:r>
        <w:t xml:space="preserve">, Memorandum Opinion and Order and Notice of Apparent Liability for Forfeiture, DA 12-1004 (MB rel. June 27, 2012) (waiver granted and forfeiture assessed, giving considerable weight to applicant’s record of prior compliance with auction-related requirements); </w:t>
      </w:r>
      <w:r>
        <w:rPr>
          <w:i/>
        </w:rPr>
        <w:t>Gulf Coast Community College</w:t>
      </w:r>
      <w:r>
        <w:t xml:space="preserve">, 20 FCC </w:t>
      </w:r>
      <w:r>
        <w:t>Rcd</w:t>
      </w:r>
      <w:r>
        <w:t xml:space="preserve"> 17157 (MB 2005); </w:t>
      </w:r>
      <w:r>
        <w:rPr>
          <w:i/>
        </w:rPr>
        <w:t>Silver Palm Communications, Inc</w:t>
      </w:r>
      <w:r>
        <w:t xml:space="preserve">., 17 FCC </w:t>
      </w:r>
      <w:r>
        <w:t>Rcd</w:t>
      </w:r>
      <w:r>
        <w:t xml:space="preserve"> 6606, 6607 (WTB 2002); </w:t>
      </w:r>
      <w:r>
        <w:rPr>
          <w:i/>
        </w:rPr>
        <w:t>City Page &amp; Cellular Services, Inc</w:t>
      </w:r>
      <w:r>
        <w:t xml:space="preserve">., 17 FCC </w:t>
      </w:r>
      <w:r>
        <w:t>Rcd</w:t>
      </w:r>
      <w:r>
        <w:t xml:space="preserve"> 26109, 22611-12 (WTB 2002); </w:t>
      </w:r>
      <w:r>
        <w:rPr>
          <w:i/>
        </w:rPr>
        <w:t>Pinpoint Communications, Inc</w:t>
      </w:r>
      <w:r>
        <w:t xml:space="preserve">., 14 FCC </w:t>
      </w:r>
      <w:r>
        <w:t>Rcd</w:t>
      </w:r>
      <w:r>
        <w:t xml:space="preserve"> 6421 (WTB 1999).</w:t>
      </w:r>
    </w:p>
  </w:footnote>
  <w:footnote w:id="17">
    <w:p w:rsidR="00906D64" w14:paraId="7AB95F72" w14:textId="351EA163">
      <w:pPr>
        <w:pStyle w:val="FootnoteText"/>
      </w:pPr>
      <w:r>
        <w:rPr>
          <w:rStyle w:val="FootnoteReference"/>
        </w:rPr>
        <w:footnoteRef/>
      </w:r>
      <w:r>
        <w:t xml:space="preserve"> </w:t>
      </w:r>
      <w:r w:rsidRPr="00906D64">
        <w:rPr>
          <w:i/>
          <w:iCs/>
        </w:rPr>
        <w:t>See supra</w:t>
      </w:r>
      <w:r>
        <w:t xml:space="preserve"> note 1</w:t>
      </w:r>
      <w:r w:rsidR="003D103C">
        <w:t>4</w:t>
      </w:r>
      <w:r>
        <w:t>.</w:t>
      </w:r>
    </w:p>
  </w:footnote>
  <w:footnote w:id="18">
    <w:p w:rsidR="00CE2726" w:rsidP="00CE2726" w14:paraId="2400E414" w14:textId="77777777">
      <w:pPr>
        <w:pStyle w:val="FootnoteText"/>
      </w:pPr>
      <w:r>
        <w:rPr>
          <w:rStyle w:val="FootnoteReference"/>
        </w:rPr>
        <w:footnoteRef/>
      </w:r>
      <w:r>
        <w:t xml:space="preserve"> 47 U.S.C. § 503(b)(1)(B).  </w:t>
      </w:r>
      <w:r>
        <w:rPr>
          <w:i/>
        </w:rPr>
        <w:t>S</w:t>
      </w:r>
      <w:r>
        <w:rPr>
          <w:i/>
          <w:iCs/>
        </w:rPr>
        <w:t>ee also</w:t>
      </w:r>
      <w:r>
        <w:t xml:space="preserve"> 47 CFR § 1.80(a)(1).</w:t>
      </w:r>
    </w:p>
  </w:footnote>
  <w:footnote w:id="19">
    <w:p w:rsidR="00CE2726" w:rsidP="00CE2726" w14:paraId="513A9055" w14:textId="77777777">
      <w:pPr>
        <w:pStyle w:val="FootnoteText"/>
      </w:pPr>
      <w:r>
        <w:rPr>
          <w:rStyle w:val="FootnoteReference"/>
        </w:rPr>
        <w:footnoteRef/>
      </w:r>
      <w:r>
        <w:t xml:space="preserve"> 47 U.S.C. § 312(f)(1).</w:t>
      </w:r>
    </w:p>
  </w:footnote>
  <w:footnote w:id="20">
    <w:p w:rsidR="00CE2726" w:rsidP="00CE2726" w14:paraId="4EBFE824" w14:textId="77777777">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21">
    <w:p w:rsidR="00CE2726" w:rsidP="00CE2726" w14:paraId="3339900F" w14:textId="77777777">
      <w:pPr>
        <w:pStyle w:val="FootnoteText"/>
      </w:pPr>
      <w:r>
        <w:rPr>
          <w:rStyle w:val="FootnoteReference"/>
        </w:rPr>
        <w:footnoteRef/>
      </w:r>
      <w:r>
        <w:rPr>
          <w:i/>
          <w:iCs/>
        </w:rPr>
        <w:t xml:space="preserve"> See Southern California Broadcasting Co.</w:t>
      </w:r>
      <w:r>
        <w:t xml:space="preserve">, Memorandum Opinion and Order, 6 FCC </w:t>
      </w:r>
      <w:r>
        <w:t>Rcd</w:t>
      </w:r>
      <w:r>
        <w:t xml:space="preserve"> 4387, 4388 (1991).</w:t>
      </w:r>
    </w:p>
  </w:footnote>
  <w:footnote w:id="22">
    <w:p w:rsidR="00CE2726" w:rsidP="00CE2726" w14:paraId="42586744" w14:textId="77777777">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w:t>
      </w:r>
      <w:r>
        <w:t>Rcd</w:t>
      </w:r>
      <w:r>
        <w:t xml:space="preserve"> 17087, 17113-15 (1997) </w:t>
      </w:r>
      <w:r>
        <w:rPr>
          <w:i/>
        </w:rPr>
        <w:t>(Forfeiture Policy Statement),</w:t>
      </w:r>
      <w:r>
        <w:t xml:space="preserve"> </w:t>
      </w:r>
      <w:r>
        <w:rPr>
          <w:i/>
        </w:rPr>
        <w:t>recon. denied</w:t>
      </w:r>
      <w:r>
        <w:t xml:space="preserve">, 15 FCC </w:t>
      </w:r>
      <w:r>
        <w:t>Rcd</w:t>
      </w:r>
      <w:r>
        <w:t xml:space="preserve"> 303 (1999); 47 CFR § 1.80(b)(10), Table 1 to paragraph (b)(10).</w:t>
      </w:r>
    </w:p>
  </w:footnote>
  <w:footnote w:id="23">
    <w:p w:rsidR="00CE2726" w:rsidP="00CE2726" w14:paraId="547E710C" w14:textId="77777777">
      <w:pPr>
        <w:pStyle w:val="FootnoteText"/>
      </w:pPr>
      <w:r>
        <w:rPr>
          <w:rStyle w:val="FootnoteReference"/>
        </w:rPr>
        <w:footnoteRef/>
      </w:r>
      <w:r>
        <w:t xml:space="preserve"> 47 U.S.C. § 503(b)(2)(D); </w:t>
      </w:r>
      <w:r>
        <w:rPr>
          <w:i/>
        </w:rPr>
        <w:t xml:space="preserve">see also Forfeiture Policy Statement, </w:t>
      </w:r>
      <w:r>
        <w:t xml:space="preserve">12 FCC </w:t>
      </w:r>
      <w:r>
        <w:t>Rcd</w:t>
      </w:r>
      <w:r>
        <w:t xml:space="preserve"> at 17100; 47 CFR § 1.80(b)(10).</w:t>
      </w:r>
    </w:p>
  </w:footnote>
  <w:footnote w:id="24">
    <w:p w:rsidR="00CE2726" w:rsidRPr="00B90E7D" w:rsidP="00CE2726" w14:paraId="1DEBEF71" w14:textId="77777777">
      <w:pPr>
        <w:pStyle w:val="FootnoteText"/>
      </w:pPr>
      <w:r w:rsidRPr="00B90E7D">
        <w:rPr>
          <w:rStyle w:val="FootnoteReference"/>
        </w:rPr>
        <w:footnoteRef/>
      </w:r>
      <w:r w:rsidRPr="00B90E7D">
        <w:t xml:space="preserve"> Payments made using the Commission’s Fee Filer system do not require the submission of an FCC Form 159.</w:t>
      </w:r>
    </w:p>
  </w:footnote>
  <w:footnote w:id="25">
    <w:p w:rsidR="00CE2726" w:rsidRPr="00B90E7D" w:rsidP="00CE2726" w14:paraId="7F4D74D9" w14:textId="77777777">
      <w:pPr>
        <w:pStyle w:val="FootnoteText"/>
      </w:pPr>
      <w:r w:rsidRPr="00B90E7D">
        <w:rPr>
          <w:rStyle w:val="FootnoteReference"/>
        </w:rPr>
        <w:footnoteRef/>
      </w:r>
      <w:r w:rsidRPr="00B90E7D">
        <w:t xml:space="preserve"> For questions regarding payment procedures, please contact the Financial Operations Group Help Desk by phone at 1-877-480-3201 (option #6), or by e-mail at </w:t>
      </w:r>
      <w:hyperlink r:id="rId1" w:history="1">
        <w:r w:rsidRPr="00B90E7D">
          <w:rPr>
            <w:rStyle w:val="Hyperlink"/>
          </w:rPr>
          <w:t>ARINQUIRIES@fcc.gov</w:t>
        </w:r>
      </w:hyperlink>
      <w:r w:rsidRPr="00B90E7D">
        <w:t xml:space="preserve">.  </w:t>
      </w:r>
    </w:p>
  </w:footnote>
  <w:footnote w:id="26">
    <w:p w:rsidR="00CE2726" w:rsidRPr="00B90E7D" w:rsidP="00CE2726" w14:paraId="5988AEE1" w14:textId="77777777">
      <w:pPr>
        <w:pStyle w:val="FootnoteText"/>
      </w:pPr>
      <w:r w:rsidRPr="00B90E7D">
        <w:rPr>
          <w:rStyle w:val="FootnoteReference"/>
        </w:rPr>
        <w:footnoteRef/>
      </w:r>
      <w:r w:rsidRPr="00B90E7D">
        <w:t xml:space="preserve"> Instructions for completing the form may be obtained at </w:t>
      </w:r>
      <w:hyperlink r:id="rId2" w:history="1">
        <w:r w:rsidRPr="00B90E7D">
          <w:rPr>
            <w:rStyle w:val="Hyperlink"/>
          </w:rPr>
          <w:t>https://www.fcc.gov/Forms/Form159/159.pdf</w:t>
        </w:r>
      </w:hyperlink>
      <w:r w:rsidRPr="00B90E7D">
        <w:t xml:space="preserve">. </w:t>
      </w:r>
    </w:p>
  </w:footnote>
  <w:footnote w:id="27">
    <w:p w:rsidR="00CE2726" w:rsidRPr="009920CB" w:rsidP="00CE2726" w14:paraId="6BA9C5ED" w14:textId="77777777">
      <w:pPr>
        <w:pStyle w:val="FootnoteText"/>
      </w:pPr>
      <w:r w:rsidRPr="009920CB">
        <w:rPr>
          <w:rStyle w:val="FootnoteReference"/>
        </w:rPr>
        <w:footnoteRef/>
      </w:r>
      <w:r w:rsidRPr="009920CB">
        <w:t xml:space="preserve"> 47 CFR §§ 1.16 and 1.80(g)(3).</w:t>
      </w:r>
    </w:p>
  </w:footnote>
  <w:footnote w:id="28">
    <w:p w:rsidR="00CE2726" w14:paraId="3D81A336" w14:textId="38AE29B4">
      <w:pPr>
        <w:pStyle w:val="FootnoteText"/>
      </w:pPr>
      <w:r>
        <w:rPr>
          <w:rStyle w:val="FootnoteReference"/>
        </w:rPr>
        <w:footnoteRef/>
      </w:r>
      <w:r>
        <w:t xml:space="preserve"> </w:t>
      </w:r>
      <w:r w:rsidRPr="00CC3710">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00000"/>
          <w:szCs w:val="22"/>
        </w:rPr>
        <w:t xml:space="preserve">. </w:t>
      </w:r>
      <w:r w:rsidRPr="00CE2726">
        <w:rPr>
          <w:i/>
          <w:iCs/>
        </w:rPr>
        <w:t xml:space="preserve"> </w:t>
      </w:r>
      <w:r w:rsidRPr="009920CB">
        <w:rPr>
          <w:i/>
          <w:iCs/>
        </w:rPr>
        <w:t>See</w:t>
      </w:r>
      <w:r w:rsidRPr="009920CB">
        <w:t xml:space="preserve"> </w:t>
      </w:r>
      <w:r w:rsidRPr="009920CB">
        <w:rPr>
          <w:i/>
          <w:iCs/>
        </w:rPr>
        <w:t>FCC Announces Closure of FCC Headquarters Open Window and Change in Hand-Delivery Policy</w:t>
      </w:r>
      <w:r w:rsidRPr="009920CB">
        <w:t xml:space="preserve">, Public Notice, 35 FCC </w:t>
      </w:r>
      <w:r w:rsidRPr="009920CB">
        <w:t>Rcd</w:t>
      </w:r>
      <w:r w:rsidRPr="009920CB">
        <w:t xml:space="preserve"> 2788 (2020).</w:t>
      </w:r>
    </w:p>
  </w:footnote>
  <w:footnote w:id="29">
    <w:p w:rsidR="00CE2726" w:rsidRPr="009920CB" w:rsidP="00CE2726" w14:paraId="07D96A7C" w14:textId="77777777">
      <w:pPr>
        <w:pStyle w:val="FootnoteText"/>
      </w:pPr>
      <w:r w:rsidRPr="009920CB">
        <w:rPr>
          <w:rStyle w:val="FootnoteReference"/>
        </w:rPr>
        <w:footnoteRef/>
      </w:r>
      <w:r w:rsidRPr="009920CB">
        <w:t xml:space="preserve"> </w:t>
      </w:r>
      <w:r w:rsidRPr="009920CB">
        <w:rPr>
          <w:i/>
          <w:iCs/>
        </w:rPr>
        <w:t>See, e.g.</w:t>
      </w:r>
      <w:r w:rsidRPr="009920CB">
        <w:t>,</w:t>
      </w:r>
      <w:r w:rsidRPr="009920CB">
        <w:rPr>
          <w:i/>
          <w:iCs/>
        </w:rPr>
        <w:t xml:space="preserve"> Adrian Abramovich</w:t>
      </w:r>
      <w:r w:rsidRPr="009920CB">
        <w:t xml:space="preserve">, Forfeiture Order, 33 FCC </w:t>
      </w:r>
      <w:r w:rsidRPr="009920CB">
        <w:t>Rcd</w:t>
      </w:r>
      <w:r w:rsidRPr="009920CB">
        <w:t xml:space="preserve"> 4663, 4678-79, paras. 44-45 (2018).</w:t>
      </w:r>
    </w:p>
  </w:footnote>
  <w:footnote w:id="30">
    <w:p w:rsidR="00CE2726" w:rsidRPr="009920CB" w:rsidP="00CE2726" w14:paraId="3AD6DD1B" w14:textId="77777777">
      <w:pPr>
        <w:pStyle w:val="FootnoteText"/>
      </w:pPr>
      <w:r w:rsidRPr="009920CB">
        <w:rPr>
          <w:rStyle w:val="FootnoteReference"/>
        </w:rPr>
        <w:footnoteRef/>
      </w:r>
      <w:r w:rsidRPr="009920CB">
        <w:t xml:space="preserve"> </w:t>
      </w:r>
      <w:r w:rsidRPr="009920CB">
        <w:rPr>
          <w:i/>
        </w:rPr>
        <w:t>See</w:t>
      </w:r>
      <w:r w:rsidRPr="009920C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5C280218">
    <w:pPr>
      <w:pStyle w:val="Header"/>
      <w:rPr>
        <w:b w:val="0"/>
      </w:rPr>
    </w:pPr>
    <w:r>
      <w:tab/>
    </w:r>
    <w:r>
      <w:t>Federal Communications Commission</w:t>
    </w:r>
    <w:r>
      <w:tab/>
    </w:r>
    <w:r w:rsidR="00573D6C">
      <w:t>DA 21-</w:t>
    </w:r>
    <w:r w:rsidR="004725E0">
      <w:t>1497</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7983A33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573D6C">
      <w:rPr>
        <w:spacing w:val="-2"/>
      </w:rPr>
      <w:t>DA 21-</w:t>
    </w:r>
    <w:r>
      <w:rPr>
        <w:spacing w:val="-2"/>
      </w:rPr>
      <w:t>1497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4DB8"/>
    <w:rsid w:val="00036039"/>
    <w:rsid w:val="00037F90"/>
    <w:rsid w:val="000830AE"/>
    <w:rsid w:val="000875BF"/>
    <w:rsid w:val="00090488"/>
    <w:rsid w:val="00096D8C"/>
    <w:rsid w:val="000C0B65"/>
    <w:rsid w:val="000C4D69"/>
    <w:rsid w:val="000E05FE"/>
    <w:rsid w:val="000E3D42"/>
    <w:rsid w:val="00122BD5"/>
    <w:rsid w:val="00124F71"/>
    <w:rsid w:val="00133D4D"/>
    <w:rsid w:val="00133F79"/>
    <w:rsid w:val="00135B11"/>
    <w:rsid w:val="00135BDE"/>
    <w:rsid w:val="00183CB0"/>
    <w:rsid w:val="00194A66"/>
    <w:rsid w:val="001D6BCF"/>
    <w:rsid w:val="001E01CA"/>
    <w:rsid w:val="001E152E"/>
    <w:rsid w:val="00201138"/>
    <w:rsid w:val="00211B89"/>
    <w:rsid w:val="00271189"/>
    <w:rsid w:val="00275CF5"/>
    <w:rsid w:val="0028301F"/>
    <w:rsid w:val="00285017"/>
    <w:rsid w:val="00285A1A"/>
    <w:rsid w:val="00285BAC"/>
    <w:rsid w:val="002A2D2E"/>
    <w:rsid w:val="002C00E8"/>
    <w:rsid w:val="002C54EA"/>
    <w:rsid w:val="002D1444"/>
    <w:rsid w:val="003022B9"/>
    <w:rsid w:val="00312380"/>
    <w:rsid w:val="00315956"/>
    <w:rsid w:val="00343749"/>
    <w:rsid w:val="003476C5"/>
    <w:rsid w:val="003660ED"/>
    <w:rsid w:val="003857A4"/>
    <w:rsid w:val="003B0550"/>
    <w:rsid w:val="003B694F"/>
    <w:rsid w:val="003D103C"/>
    <w:rsid w:val="003E2108"/>
    <w:rsid w:val="003F171C"/>
    <w:rsid w:val="00411DBB"/>
    <w:rsid w:val="00412FC5"/>
    <w:rsid w:val="00422276"/>
    <w:rsid w:val="004242F1"/>
    <w:rsid w:val="00445A00"/>
    <w:rsid w:val="00451B0F"/>
    <w:rsid w:val="00456904"/>
    <w:rsid w:val="00471973"/>
    <w:rsid w:val="004725E0"/>
    <w:rsid w:val="004B1D3B"/>
    <w:rsid w:val="004B578A"/>
    <w:rsid w:val="004B6394"/>
    <w:rsid w:val="004C2EE3"/>
    <w:rsid w:val="004D7205"/>
    <w:rsid w:val="004E4A22"/>
    <w:rsid w:val="00511968"/>
    <w:rsid w:val="00514C8E"/>
    <w:rsid w:val="00520627"/>
    <w:rsid w:val="00525F98"/>
    <w:rsid w:val="00533C9A"/>
    <w:rsid w:val="00547554"/>
    <w:rsid w:val="0055614C"/>
    <w:rsid w:val="00562962"/>
    <w:rsid w:val="00566D06"/>
    <w:rsid w:val="00573D6C"/>
    <w:rsid w:val="005A3D0C"/>
    <w:rsid w:val="005E14C2"/>
    <w:rsid w:val="00607BA5"/>
    <w:rsid w:val="0061180A"/>
    <w:rsid w:val="00622E61"/>
    <w:rsid w:val="00626EB6"/>
    <w:rsid w:val="00655D03"/>
    <w:rsid w:val="00683388"/>
    <w:rsid w:val="00683F84"/>
    <w:rsid w:val="006A6A81"/>
    <w:rsid w:val="006B646E"/>
    <w:rsid w:val="006C6860"/>
    <w:rsid w:val="006D69A6"/>
    <w:rsid w:val="006F7393"/>
    <w:rsid w:val="0070224F"/>
    <w:rsid w:val="00706CC3"/>
    <w:rsid w:val="007115F7"/>
    <w:rsid w:val="00722A2D"/>
    <w:rsid w:val="007347EE"/>
    <w:rsid w:val="00785689"/>
    <w:rsid w:val="0079754B"/>
    <w:rsid w:val="007A1E6D"/>
    <w:rsid w:val="007B0EB2"/>
    <w:rsid w:val="007B6927"/>
    <w:rsid w:val="008104E9"/>
    <w:rsid w:val="00810B6F"/>
    <w:rsid w:val="00813036"/>
    <w:rsid w:val="00822CE0"/>
    <w:rsid w:val="00831AA6"/>
    <w:rsid w:val="008330FE"/>
    <w:rsid w:val="00841AB1"/>
    <w:rsid w:val="0086090D"/>
    <w:rsid w:val="008B4912"/>
    <w:rsid w:val="008C68F1"/>
    <w:rsid w:val="008E2E2F"/>
    <w:rsid w:val="008F1F3C"/>
    <w:rsid w:val="00906D64"/>
    <w:rsid w:val="00921803"/>
    <w:rsid w:val="00926503"/>
    <w:rsid w:val="00947B4D"/>
    <w:rsid w:val="00964742"/>
    <w:rsid w:val="0096666F"/>
    <w:rsid w:val="009726D8"/>
    <w:rsid w:val="00981DA7"/>
    <w:rsid w:val="00984F38"/>
    <w:rsid w:val="009920CB"/>
    <w:rsid w:val="009A0793"/>
    <w:rsid w:val="009B59FB"/>
    <w:rsid w:val="009C0115"/>
    <w:rsid w:val="009D220C"/>
    <w:rsid w:val="009D7308"/>
    <w:rsid w:val="009F76DB"/>
    <w:rsid w:val="00A14165"/>
    <w:rsid w:val="00A32959"/>
    <w:rsid w:val="00A32C3B"/>
    <w:rsid w:val="00A41798"/>
    <w:rsid w:val="00A45F4F"/>
    <w:rsid w:val="00A600A9"/>
    <w:rsid w:val="00A74CE7"/>
    <w:rsid w:val="00A90940"/>
    <w:rsid w:val="00A94AA4"/>
    <w:rsid w:val="00AA2FD6"/>
    <w:rsid w:val="00AA55B7"/>
    <w:rsid w:val="00AA5B9E"/>
    <w:rsid w:val="00AB2407"/>
    <w:rsid w:val="00AB53DF"/>
    <w:rsid w:val="00AF2D1C"/>
    <w:rsid w:val="00B07E5C"/>
    <w:rsid w:val="00B502DE"/>
    <w:rsid w:val="00B70DA8"/>
    <w:rsid w:val="00B811F7"/>
    <w:rsid w:val="00B87D47"/>
    <w:rsid w:val="00B90E7D"/>
    <w:rsid w:val="00BA5DC6"/>
    <w:rsid w:val="00BA6196"/>
    <w:rsid w:val="00BC6D8C"/>
    <w:rsid w:val="00BF7C18"/>
    <w:rsid w:val="00C138DD"/>
    <w:rsid w:val="00C34006"/>
    <w:rsid w:val="00C36B4C"/>
    <w:rsid w:val="00C426B1"/>
    <w:rsid w:val="00C45096"/>
    <w:rsid w:val="00C5620D"/>
    <w:rsid w:val="00C56E06"/>
    <w:rsid w:val="00C66160"/>
    <w:rsid w:val="00C70247"/>
    <w:rsid w:val="00C721AC"/>
    <w:rsid w:val="00C90D6A"/>
    <w:rsid w:val="00C9491C"/>
    <w:rsid w:val="00CA1AC0"/>
    <w:rsid w:val="00CA247E"/>
    <w:rsid w:val="00CA2982"/>
    <w:rsid w:val="00CA6D21"/>
    <w:rsid w:val="00CB36DF"/>
    <w:rsid w:val="00CC3710"/>
    <w:rsid w:val="00CC72B6"/>
    <w:rsid w:val="00CD13ED"/>
    <w:rsid w:val="00CE2726"/>
    <w:rsid w:val="00D0218D"/>
    <w:rsid w:val="00D070CE"/>
    <w:rsid w:val="00D17A35"/>
    <w:rsid w:val="00D25FB5"/>
    <w:rsid w:val="00D32C37"/>
    <w:rsid w:val="00D420BB"/>
    <w:rsid w:val="00D44223"/>
    <w:rsid w:val="00DA2529"/>
    <w:rsid w:val="00DB130A"/>
    <w:rsid w:val="00DB1EF1"/>
    <w:rsid w:val="00DB2EBB"/>
    <w:rsid w:val="00DB6394"/>
    <w:rsid w:val="00DC10A1"/>
    <w:rsid w:val="00DC655F"/>
    <w:rsid w:val="00DD0B59"/>
    <w:rsid w:val="00DD7EBD"/>
    <w:rsid w:val="00DF62B6"/>
    <w:rsid w:val="00E07225"/>
    <w:rsid w:val="00E2298B"/>
    <w:rsid w:val="00E5409F"/>
    <w:rsid w:val="00EB5C8B"/>
    <w:rsid w:val="00EC6325"/>
    <w:rsid w:val="00ED7014"/>
    <w:rsid w:val="00EE6488"/>
    <w:rsid w:val="00EE69D7"/>
    <w:rsid w:val="00F021FA"/>
    <w:rsid w:val="00F25C6D"/>
    <w:rsid w:val="00F62E97"/>
    <w:rsid w:val="00F64209"/>
    <w:rsid w:val="00F93BF5"/>
    <w:rsid w:val="00FB1AC6"/>
    <w:rsid w:val="00FE37FF"/>
    <w:rsid w:val="00FE6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725E0"/>
    <w:pPr>
      <w:widowControl w:val="0"/>
    </w:pPr>
    <w:rPr>
      <w:snapToGrid w:val="0"/>
      <w:kern w:val="28"/>
      <w:sz w:val="22"/>
    </w:rPr>
  </w:style>
  <w:style w:type="paragraph" w:styleId="Heading1">
    <w:name w:val="heading 1"/>
    <w:basedOn w:val="Normal"/>
    <w:next w:val="ParaNum"/>
    <w:qFormat/>
    <w:rsid w:val="004725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25E0"/>
    <w:pPr>
      <w:keepNext/>
      <w:numPr>
        <w:ilvl w:val="1"/>
        <w:numId w:val="3"/>
      </w:numPr>
      <w:spacing w:after="120"/>
      <w:outlineLvl w:val="1"/>
    </w:pPr>
    <w:rPr>
      <w:b/>
    </w:rPr>
  </w:style>
  <w:style w:type="paragraph" w:styleId="Heading3">
    <w:name w:val="heading 3"/>
    <w:basedOn w:val="Normal"/>
    <w:next w:val="ParaNum"/>
    <w:qFormat/>
    <w:rsid w:val="004725E0"/>
    <w:pPr>
      <w:keepNext/>
      <w:numPr>
        <w:ilvl w:val="2"/>
        <w:numId w:val="3"/>
      </w:numPr>
      <w:tabs>
        <w:tab w:val="left" w:pos="2160"/>
      </w:tabs>
      <w:spacing w:after="120"/>
      <w:outlineLvl w:val="2"/>
    </w:pPr>
    <w:rPr>
      <w:b/>
    </w:rPr>
  </w:style>
  <w:style w:type="paragraph" w:styleId="Heading4">
    <w:name w:val="heading 4"/>
    <w:basedOn w:val="Normal"/>
    <w:next w:val="ParaNum"/>
    <w:qFormat/>
    <w:rsid w:val="004725E0"/>
    <w:pPr>
      <w:keepNext/>
      <w:numPr>
        <w:ilvl w:val="3"/>
        <w:numId w:val="3"/>
      </w:numPr>
      <w:tabs>
        <w:tab w:val="left" w:pos="2880"/>
      </w:tabs>
      <w:spacing w:after="120"/>
      <w:outlineLvl w:val="3"/>
    </w:pPr>
    <w:rPr>
      <w:b/>
    </w:rPr>
  </w:style>
  <w:style w:type="paragraph" w:styleId="Heading5">
    <w:name w:val="heading 5"/>
    <w:basedOn w:val="Normal"/>
    <w:next w:val="ParaNum"/>
    <w:qFormat/>
    <w:rsid w:val="004725E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25E0"/>
    <w:pPr>
      <w:numPr>
        <w:ilvl w:val="5"/>
        <w:numId w:val="3"/>
      </w:numPr>
      <w:tabs>
        <w:tab w:val="left" w:pos="4320"/>
      </w:tabs>
      <w:spacing w:after="120"/>
      <w:outlineLvl w:val="5"/>
    </w:pPr>
    <w:rPr>
      <w:b/>
    </w:rPr>
  </w:style>
  <w:style w:type="paragraph" w:styleId="Heading7">
    <w:name w:val="heading 7"/>
    <w:basedOn w:val="Normal"/>
    <w:next w:val="ParaNum"/>
    <w:qFormat/>
    <w:rsid w:val="004725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25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25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2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25E0"/>
  </w:style>
  <w:style w:type="paragraph" w:customStyle="1" w:styleId="ParaNum">
    <w:name w:val="ParaNum"/>
    <w:basedOn w:val="Normal"/>
    <w:link w:val="ParaNumChar"/>
    <w:rsid w:val="004725E0"/>
    <w:pPr>
      <w:numPr>
        <w:numId w:val="2"/>
      </w:numPr>
      <w:tabs>
        <w:tab w:val="clear" w:pos="1080"/>
        <w:tab w:val="num" w:pos="1440"/>
      </w:tabs>
      <w:spacing w:after="120"/>
    </w:pPr>
  </w:style>
  <w:style w:type="paragraph" w:styleId="EndnoteText">
    <w:name w:val="endnote text"/>
    <w:basedOn w:val="Normal"/>
    <w:semiHidden/>
    <w:rsid w:val="004725E0"/>
    <w:rPr>
      <w:sz w:val="20"/>
    </w:rPr>
  </w:style>
  <w:style w:type="character" w:styleId="EndnoteReference">
    <w:name w:val="endnote reference"/>
    <w:semiHidden/>
    <w:rsid w:val="004725E0"/>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yl,f,fn,fn Char,fn Char Char"/>
    <w:link w:val="FootnoteTextChar"/>
    <w:rsid w:val="004725E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725E0"/>
    <w:rPr>
      <w:rFonts w:ascii="Times New Roman" w:hAnsi="Times New Roman"/>
      <w:dstrike w:val="0"/>
      <w:color w:val="auto"/>
      <w:sz w:val="20"/>
      <w:vertAlign w:val="superscript"/>
    </w:rPr>
  </w:style>
  <w:style w:type="paragraph" w:styleId="TOC1">
    <w:name w:val="toc 1"/>
    <w:basedOn w:val="Normal"/>
    <w:next w:val="Normal"/>
    <w:semiHidden/>
    <w:rsid w:val="004725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25E0"/>
    <w:pPr>
      <w:tabs>
        <w:tab w:val="left" w:pos="720"/>
        <w:tab w:val="right" w:leader="dot" w:pos="9360"/>
      </w:tabs>
      <w:suppressAutoHyphens/>
      <w:ind w:left="720" w:right="720" w:hanging="360"/>
    </w:pPr>
    <w:rPr>
      <w:noProof/>
    </w:rPr>
  </w:style>
  <w:style w:type="paragraph" w:styleId="TOC3">
    <w:name w:val="toc 3"/>
    <w:basedOn w:val="Normal"/>
    <w:next w:val="Normal"/>
    <w:semiHidden/>
    <w:rsid w:val="004725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25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25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25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25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25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25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25E0"/>
    <w:pPr>
      <w:tabs>
        <w:tab w:val="right" w:pos="9360"/>
      </w:tabs>
      <w:suppressAutoHyphens/>
    </w:pPr>
  </w:style>
  <w:style w:type="character" w:customStyle="1" w:styleId="EquationCaption">
    <w:name w:val="_Equation Caption"/>
    <w:rsid w:val="004725E0"/>
  </w:style>
  <w:style w:type="paragraph" w:styleId="Header">
    <w:name w:val="header"/>
    <w:basedOn w:val="Normal"/>
    <w:autoRedefine/>
    <w:rsid w:val="004725E0"/>
    <w:pPr>
      <w:tabs>
        <w:tab w:val="center" w:pos="4680"/>
        <w:tab w:val="right" w:pos="9360"/>
      </w:tabs>
    </w:pPr>
    <w:rPr>
      <w:b/>
    </w:rPr>
  </w:style>
  <w:style w:type="paragraph" w:styleId="Footer">
    <w:name w:val="footer"/>
    <w:basedOn w:val="Normal"/>
    <w:link w:val="FooterChar"/>
    <w:uiPriority w:val="99"/>
    <w:rsid w:val="004725E0"/>
    <w:pPr>
      <w:tabs>
        <w:tab w:val="center" w:pos="4320"/>
        <w:tab w:val="right" w:pos="8640"/>
      </w:tabs>
    </w:pPr>
  </w:style>
  <w:style w:type="character" w:styleId="PageNumber">
    <w:name w:val="page number"/>
    <w:basedOn w:val="DefaultParagraphFont"/>
    <w:rsid w:val="004725E0"/>
  </w:style>
  <w:style w:type="paragraph" w:styleId="BlockText">
    <w:name w:val="Block Text"/>
    <w:basedOn w:val="Normal"/>
    <w:rsid w:val="004725E0"/>
    <w:pPr>
      <w:spacing w:after="240"/>
      <w:ind w:left="1440" w:right="1440"/>
    </w:pPr>
  </w:style>
  <w:style w:type="paragraph" w:customStyle="1" w:styleId="Paratitle">
    <w:name w:val="Para title"/>
    <w:basedOn w:val="Normal"/>
    <w:rsid w:val="004725E0"/>
    <w:pPr>
      <w:tabs>
        <w:tab w:val="center" w:pos="9270"/>
      </w:tabs>
      <w:spacing w:after="240"/>
    </w:pPr>
    <w:rPr>
      <w:spacing w:val="-2"/>
    </w:rPr>
  </w:style>
  <w:style w:type="paragraph" w:customStyle="1" w:styleId="Bullet">
    <w:name w:val="Bullet"/>
    <w:basedOn w:val="Normal"/>
    <w:rsid w:val="004725E0"/>
    <w:pPr>
      <w:tabs>
        <w:tab w:val="left" w:pos="2160"/>
      </w:tabs>
      <w:spacing w:after="220"/>
      <w:ind w:left="2160" w:hanging="720"/>
    </w:pPr>
  </w:style>
  <w:style w:type="paragraph" w:customStyle="1" w:styleId="TableFormat">
    <w:name w:val="TableFormat"/>
    <w:basedOn w:val="Bullet"/>
    <w:rsid w:val="004725E0"/>
    <w:pPr>
      <w:tabs>
        <w:tab w:val="clear" w:pos="2160"/>
        <w:tab w:val="left" w:pos="5040"/>
      </w:tabs>
      <w:ind w:left="5040" w:hanging="3600"/>
    </w:pPr>
  </w:style>
  <w:style w:type="paragraph" w:customStyle="1" w:styleId="TOCTitle">
    <w:name w:val="TOC Title"/>
    <w:basedOn w:val="Normal"/>
    <w:rsid w:val="004725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25E0"/>
    <w:pPr>
      <w:jc w:val="center"/>
    </w:pPr>
    <w:rPr>
      <w:rFonts w:ascii="Times New Roman Bold" w:hAnsi="Times New Roman Bold"/>
      <w:b/>
      <w:bCs/>
      <w:caps/>
      <w:szCs w:val="22"/>
    </w:rPr>
  </w:style>
  <w:style w:type="character" w:styleId="Hyperlink">
    <w:name w:val="Hyperlink"/>
    <w:rsid w:val="004725E0"/>
    <w:rPr>
      <w:color w:val="0000FF"/>
      <w:u w:val="single"/>
    </w:rPr>
  </w:style>
  <w:style w:type="character" w:customStyle="1" w:styleId="FooterChar">
    <w:name w:val="Footer Char"/>
    <w:link w:val="Footer"/>
    <w:uiPriority w:val="99"/>
    <w:rsid w:val="004725E0"/>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 w:type="character" w:styleId="CommentReference">
    <w:name w:val="annotation reference"/>
    <w:basedOn w:val="DefaultParagraphFont"/>
    <w:rsid w:val="004B6394"/>
    <w:rPr>
      <w:sz w:val="16"/>
      <w:szCs w:val="16"/>
    </w:rPr>
  </w:style>
  <w:style w:type="paragraph" w:styleId="CommentText">
    <w:name w:val="annotation text"/>
    <w:basedOn w:val="Normal"/>
    <w:link w:val="CommentTextChar"/>
    <w:rsid w:val="004B6394"/>
    <w:rPr>
      <w:sz w:val="20"/>
    </w:rPr>
  </w:style>
  <w:style w:type="character" w:customStyle="1" w:styleId="CommentTextChar">
    <w:name w:val="Comment Text Char"/>
    <w:basedOn w:val="DefaultParagraphFont"/>
    <w:link w:val="CommentText"/>
    <w:rsid w:val="004B6394"/>
    <w:rPr>
      <w:snapToGrid w:val="0"/>
      <w:kern w:val="28"/>
    </w:rPr>
  </w:style>
  <w:style w:type="paragraph" w:styleId="CommentSubject">
    <w:name w:val="annotation subject"/>
    <w:basedOn w:val="CommentText"/>
    <w:next w:val="CommentText"/>
    <w:link w:val="CommentSubjectChar"/>
    <w:rsid w:val="004B6394"/>
    <w:rPr>
      <w:b/>
      <w:bCs/>
    </w:rPr>
  </w:style>
  <w:style w:type="character" w:customStyle="1" w:styleId="CommentSubjectChar">
    <w:name w:val="Comment Subject Char"/>
    <w:basedOn w:val="CommentTextChar"/>
    <w:link w:val="CommentSubject"/>
    <w:rsid w:val="004B639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Lisa.Scanlan@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