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60920" w14:paraId="0EE6AA34" w14:textId="77777777">
      <w:pPr>
        <w:jc w:val="right"/>
        <w:rPr>
          <w:sz w:val="24"/>
        </w:rPr>
      </w:pPr>
    </w:p>
    <w:p w:rsidR="00660920" w14:paraId="50E6C76E" w14:textId="5ABCDF13">
      <w:pPr>
        <w:jc w:val="right"/>
        <w:rPr>
          <w:b/>
          <w:sz w:val="24"/>
        </w:rPr>
      </w:pPr>
      <w:r>
        <w:rPr>
          <w:b/>
          <w:sz w:val="24"/>
        </w:rPr>
        <w:t>DA 21-1501</w:t>
      </w:r>
    </w:p>
    <w:p w:rsidR="00660920" w14:paraId="407DBA5A" w14:textId="13369C4D">
      <w:pPr>
        <w:spacing w:before="60"/>
        <w:jc w:val="right"/>
        <w:rPr>
          <w:b/>
          <w:sz w:val="24"/>
        </w:rPr>
      </w:pPr>
      <w:r>
        <w:rPr>
          <w:b/>
          <w:sz w:val="24"/>
        </w:rPr>
        <w:t xml:space="preserve">Released:  </w:t>
      </w:r>
      <w:r w:rsidR="004E3293">
        <w:rPr>
          <w:b/>
          <w:sz w:val="24"/>
        </w:rPr>
        <w:t>December 2, 2021</w:t>
      </w:r>
    </w:p>
    <w:p w:rsidR="00660920" w14:paraId="3262DE0C" w14:textId="77777777">
      <w:pPr>
        <w:jc w:val="right"/>
        <w:rPr>
          <w:sz w:val="24"/>
        </w:rPr>
      </w:pPr>
    </w:p>
    <w:p w:rsidR="00C07439" w:rsidP="00C07439" w14:paraId="28E725B7" w14:textId="77777777">
      <w:pPr>
        <w:spacing w:after="240"/>
        <w:jc w:val="center"/>
      </w:pPr>
      <w:bookmarkStart w:id="0" w:name="TOChere"/>
      <w:r>
        <w:rPr>
          <w:rFonts w:ascii="Times New Roman Bold" w:hAnsi="Times New Roman Bold"/>
          <w:b/>
          <w:caps/>
          <w:sz w:val="24"/>
        </w:rPr>
        <w:t>revised tower construction guidance for protection of the northern long-eared bat under the endangered species act</w:t>
      </w:r>
    </w:p>
    <w:p w:rsidR="00C07439" w:rsidP="00CD663D" w14:paraId="469EAEED" w14:textId="3A9F97C7">
      <w:pPr>
        <w:spacing w:after="240"/>
        <w:ind w:left="-5" w:firstLine="725"/>
        <w:rPr>
          <w:szCs w:val="22"/>
        </w:rPr>
      </w:pPr>
      <w:r>
        <w:rPr>
          <w:szCs w:val="22"/>
        </w:rPr>
        <w:t>On April 29, 2016, the Wireless Telecommunications Bureau (Bureau) of the Federal Communications Commission (Commission) issued guidance for proposed facilities</w:t>
      </w:r>
      <w:r w:rsidRPr="00ED0641">
        <w:rPr>
          <w:szCs w:val="22"/>
        </w:rPr>
        <w:t xml:space="preserve"> in the </w:t>
      </w:r>
      <w:r w:rsidRPr="00857945">
        <w:rPr>
          <w:rFonts w:cs="Calibri"/>
        </w:rPr>
        <w:t>northern long-eared bat</w:t>
      </w:r>
      <w:r>
        <w:rPr>
          <w:rFonts w:cs="Calibri"/>
        </w:rPr>
        <w:t>’s</w:t>
      </w:r>
      <w:r w:rsidRPr="00857945">
        <w:rPr>
          <w:rFonts w:cs="Calibri"/>
        </w:rPr>
        <w:t xml:space="preserve"> (</w:t>
      </w:r>
      <w:r w:rsidRPr="009D65DF">
        <w:rPr>
          <w:i/>
        </w:rPr>
        <w:t xml:space="preserve">Myotis </w:t>
      </w:r>
      <w:r w:rsidRPr="009D65DF">
        <w:rPr>
          <w:i/>
        </w:rPr>
        <w:t>septentrionalis</w:t>
      </w:r>
      <w:r>
        <w:t xml:space="preserve">) </w:t>
      </w:r>
      <w:r w:rsidRPr="00ED0641">
        <w:rPr>
          <w:szCs w:val="22"/>
        </w:rPr>
        <w:t>range</w:t>
      </w:r>
      <w:r>
        <w:rPr>
          <w:szCs w:val="22"/>
        </w:rPr>
        <w:t>.</w:t>
      </w:r>
      <w:r>
        <w:rPr>
          <w:rStyle w:val="FootnoteReference"/>
          <w:szCs w:val="22"/>
        </w:rPr>
        <w:footnoteReference w:id="3"/>
      </w:r>
      <w:r>
        <w:rPr>
          <w:szCs w:val="22"/>
        </w:rPr>
        <w:t xml:space="preserve">  With this </w:t>
      </w:r>
      <w:r>
        <w:rPr>
          <w:i/>
          <w:iCs/>
          <w:szCs w:val="22"/>
        </w:rPr>
        <w:t>Public Notice</w:t>
      </w:r>
      <w:r>
        <w:rPr>
          <w:szCs w:val="22"/>
        </w:rPr>
        <w:t xml:space="preserve">, the Bureau revises </w:t>
      </w:r>
      <w:r w:rsidR="00B37D37">
        <w:rPr>
          <w:szCs w:val="22"/>
        </w:rPr>
        <w:t xml:space="preserve">its </w:t>
      </w:r>
      <w:r w:rsidR="003D02BD">
        <w:rPr>
          <w:szCs w:val="22"/>
        </w:rPr>
        <w:t xml:space="preserve">2016 </w:t>
      </w:r>
      <w:r>
        <w:rPr>
          <w:szCs w:val="22"/>
        </w:rPr>
        <w:t xml:space="preserve">guidance </w:t>
      </w:r>
      <w:r w:rsidR="00D42D15">
        <w:rPr>
          <w:szCs w:val="22"/>
        </w:rPr>
        <w:t xml:space="preserve">to direct applicants to </w:t>
      </w:r>
      <w:r w:rsidR="002F0212">
        <w:rPr>
          <w:szCs w:val="22"/>
        </w:rPr>
        <w:t xml:space="preserve">current U.S. Fish and Wildlife Service (Service) electronic resources, </w:t>
      </w:r>
      <w:r>
        <w:rPr>
          <w:szCs w:val="22"/>
        </w:rPr>
        <w:t xml:space="preserve">and </w:t>
      </w:r>
      <w:r w:rsidR="002F0212">
        <w:rPr>
          <w:szCs w:val="22"/>
        </w:rPr>
        <w:t xml:space="preserve">to </w:t>
      </w:r>
      <w:r>
        <w:rPr>
          <w:szCs w:val="22"/>
        </w:rPr>
        <w:t xml:space="preserve">require the </w:t>
      </w:r>
      <w:r w:rsidR="002F0212">
        <w:rPr>
          <w:szCs w:val="22"/>
        </w:rPr>
        <w:t xml:space="preserve">electronic </w:t>
      </w:r>
      <w:r>
        <w:rPr>
          <w:szCs w:val="22"/>
        </w:rPr>
        <w:t>submission of documentation to the Commission in certain limited circumstances</w:t>
      </w:r>
      <w:r w:rsidR="002F0212">
        <w:rPr>
          <w:szCs w:val="22"/>
        </w:rPr>
        <w:t>, consistent with</w:t>
      </w:r>
      <w:r w:rsidR="003D02BD">
        <w:rPr>
          <w:szCs w:val="22"/>
        </w:rPr>
        <w:t xml:space="preserve"> recent</w:t>
      </w:r>
      <w:r w:rsidR="002F0212">
        <w:rPr>
          <w:szCs w:val="22"/>
        </w:rPr>
        <w:t xml:space="preserve"> Bureau guidance </w:t>
      </w:r>
      <w:r w:rsidR="00B7100B">
        <w:rPr>
          <w:szCs w:val="22"/>
        </w:rPr>
        <w:t>regarding</w:t>
      </w:r>
      <w:r w:rsidR="002F0212">
        <w:rPr>
          <w:szCs w:val="22"/>
        </w:rPr>
        <w:t xml:space="preserve"> another </w:t>
      </w:r>
      <w:r w:rsidR="00B7100B">
        <w:rPr>
          <w:szCs w:val="22"/>
        </w:rPr>
        <w:t xml:space="preserve">threatened </w:t>
      </w:r>
      <w:r w:rsidR="002F0212">
        <w:rPr>
          <w:szCs w:val="22"/>
        </w:rPr>
        <w:t>species</w:t>
      </w:r>
      <w:r>
        <w:rPr>
          <w:szCs w:val="22"/>
        </w:rPr>
        <w:t>.</w:t>
      </w:r>
      <w:r>
        <w:rPr>
          <w:rStyle w:val="FootnoteReference"/>
          <w:szCs w:val="22"/>
        </w:rPr>
        <w:footnoteReference w:id="4"/>
      </w:r>
      <w:r>
        <w:rPr>
          <w:szCs w:val="22"/>
        </w:rPr>
        <w:t xml:space="preserve">  </w:t>
      </w:r>
    </w:p>
    <w:p w:rsidR="007C146E" w:rsidP="00CD663D" w14:paraId="308EC407" w14:textId="31B0A44F">
      <w:pPr>
        <w:spacing w:after="240"/>
        <w:ind w:left="-5" w:firstLine="725"/>
        <w:rPr>
          <w:szCs w:val="22"/>
        </w:rPr>
      </w:pPr>
      <w:r>
        <w:rPr>
          <w:i/>
          <w:iCs/>
          <w:szCs w:val="22"/>
        </w:rPr>
        <w:t xml:space="preserve">Background.  </w:t>
      </w:r>
      <w:r w:rsidRPr="005C0FE3" w:rsidR="00C07439">
        <w:rPr>
          <w:szCs w:val="22"/>
        </w:rPr>
        <w:t>On</w:t>
      </w:r>
      <w:r w:rsidR="00C07439">
        <w:rPr>
          <w:szCs w:val="22"/>
        </w:rPr>
        <w:t xml:space="preserve"> April 2, 2015, the northern long-eared bat </w:t>
      </w:r>
      <w:r w:rsidR="003D02BD">
        <w:rPr>
          <w:szCs w:val="22"/>
        </w:rPr>
        <w:t xml:space="preserve">(NLEB) </w:t>
      </w:r>
      <w:r w:rsidRPr="00ED0641" w:rsidR="00C07439">
        <w:rPr>
          <w:szCs w:val="22"/>
        </w:rPr>
        <w:t>was listed as threatened under the Endangered Species Act</w:t>
      </w:r>
      <w:r w:rsidR="00C07439">
        <w:rPr>
          <w:szCs w:val="22"/>
        </w:rPr>
        <w:t xml:space="preserve"> (ESA) due to </w:t>
      </w:r>
      <w:r w:rsidRPr="00ED0641" w:rsidR="00C07439">
        <w:rPr>
          <w:szCs w:val="22"/>
        </w:rPr>
        <w:t xml:space="preserve">the continued spread of </w:t>
      </w:r>
      <w:r w:rsidR="00C07439">
        <w:rPr>
          <w:szCs w:val="22"/>
        </w:rPr>
        <w:t>white-nose syndrome</w:t>
      </w:r>
      <w:r w:rsidR="00C07439">
        <w:rPr>
          <w:iCs/>
        </w:rPr>
        <w:t>.</w:t>
      </w:r>
      <w:r>
        <w:rPr>
          <w:rStyle w:val="FootnoteReference"/>
          <w:iCs/>
        </w:rPr>
        <w:footnoteReference w:id="5"/>
      </w:r>
      <w:r w:rsidR="00C07439">
        <w:rPr>
          <w:szCs w:val="22"/>
        </w:rPr>
        <w:t xml:space="preserve">  I</w:t>
      </w:r>
      <w:r w:rsidRPr="00ED0641" w:rsidR="00C07439">
        <w:rPr>
          <w:szCs w:val="22"/>
        </w:rPr>
        <w:t xml:space="preserve">n January 2016, the </w:t>
      </w:r>
      <w:r>
        <w:rPr>
          <w:szCs w:val="22"/>
        </w:rPr>
        <w:t>Service</w:t>
      </w:r>
      <w:r w:rsidRPr="00ED0641" w:rsidR="00C07439">
        <w:rPr>
          <w:szCs w:val="22"/>
        </w:rPr>
        <w:t xml:space="preserve"> released a final </w:t>
      </w:r>
      <w:r w:rsidR="00C07439">
        <w:rPr>
          <w:szCs w:val="22"/>
        </w:rPr>
        <w:t xml:space="preserve">4(d) </w:t>
      </w:r>
      <w:r w:rsidRPr="00ED0641" w:rsidR="00C07439">
        <w:rPr>
          <w:szCs w:val="22"/>
        </w:rPr>
        <w:t>rule</w:t>
      </w:r>
      <w:r>
        <w:rPr>
          <w:rStyle w:val="FootnoteReference"/>
          <w:szCs w:val="22"/>
        </w:rPr>
        <w:footnoteReference w:id="6"/>
      </w:r>
      <w:r w:rsidR="00C07439">
        <w:rPr>
          <w:szCs w:val="22"/>
        </w:rPr>
        <w:t xml:space="preserve"> and programmatic biological opinion</w:t>
      </w:r>
      <w:r>
        <w:rPr>
          <w:rStyle w:val="FootnoteReference"/>
          <w:szCs w:val="22"/>
        </w:rPr>
        <w:footnoteReference w:id="7"/>
      </w:r>
      <w:r w:rsidR="00C07439">
        <w:rPr>
          <w:szCs w:val="22"/>
        </w:rPr>
        <w:t xml:space="preserve"> requiring protective measures related to the </w:t>
      </w:r>
      <w:r w:rsidR="003D02BD">
        <w:rPr>
          <w:szCs w:val="22"/>
        </w:rPr>
        <w:t>NLEB</w:t>
      </w:r>
      <w:r w:rsidR="00C07439">
        <w:rPr>
          <w:szCs w:val="22"/>
        </w:rPr>
        <w:t xml:space="preserve">.  Among other things, the </w:t>
      </w:r>
      <w:r w:rsidR="006F42A4">
        <w:rPr>
          <w:szCs w:val="22"/>
        </w:rPr>
        <w:t>Opinion</w:t>
      </w:r>
      <w:r w:rsidR="00C07439">
        <w:rPr>
          <w:szCs w:val="22"/>
        </w:rPr>
        <w:t xml:space="preserve"> provided an optional framework to streamline</w:t>
      </w:r>
      <w:r w:rsidR="003D02BD">
        <w:rPr>
          <w:szCs w:val="22"/>
        </w:rPr>
        <w:t xml:space="preserve"> NLEB</w:t>
      </w:r>
      <w:r w:rsidR="00C07439">
        <w:rPr>
          <w:szCs w:val="22"/>
        </w:rPr>
        <w:t xml:space="preserve"> section 7 consultation (Streamlined Framework), which offers applicants the option to use a streamlined section 7 consultation process pursuant to the ESA under certain circumstances.</w:t>
      </w:r>
      <w:r>
        <w:rPr>
          <w:rStyle w:val="FootnoteReference"/>
          <w:szCs w:val="22"/>
        </w:rPr>
        <w:footnoteReference w:id="8"/>
      </w:r>
      <w:r w:rsidR="00C07439">
        <w:rPr>
          <w:szCs w:val="22"/>
        </w:rPr>
        <w:t xml:space="preserve">  </w:t>
      </w:r>
    </w:p>
    <w:p w:rsidR="00C07439" w:rsidRPr="00D260A7" w:rsidP="00CD663D" w14:paraId="1729B281" w14:textId="609C26F1">
      <w:pPr>
        <w:spacing w:after="240"/>
        <w:ind w:left="-5" w:firstLine="725"/>
        <w:rPr>
          <w:szCs w:val="22"/>
        </w:rPr>
      </w:pPr>
      <w:r>
        <w:rPr>
          <w:szCs w:val="22"/>
        </w:rPr>
        <w:t xml:space="preserve">In 2016, the Bureau released a public notice setting forth guidance to applicants for using the Streamlined Framework for facilities that may affect the </w:t>
      </w:r>
      <w:r w:rsidR="003D02BD">
        <w:rPr>
          <w:szCs w:val="22"/>
        </w:rPr>
        <w:t>NLEB</w:t>
      </w:r>
      <w:r>
        <w:rPr>
          <w:szCs w:val="22"/>
        </w:rPr>
        <w:t>.</w:t>
      </w:r>
      <w:r>
        <w:rPr>
          <w:rStyle w:val="FootnoteReference"/>
          <w:szCs w:val="22"/>
        </w:rPr>
        <w:footnoteReference w:id="9"/>
      </w:r>
      <w:r>
        <w:rPr>
          <w:szCs w:val="22"/>
        </w:rPr>
        <w:t xml:space="preserve">  The Bureau indicated that if the </w:t>
      </w:r>
      <w:r>
        <w:rPr>
          <w:szCs w:val="22"/>
        </w:rPr>
        <w:t>Streamlined Framework applied to a proposed facility, the tower owner was not required to submit additional documentation to the Commission.</w:t>
      </w:r>
      <w:r>
        <w:rPr>
          <w:rStyle w:val="FootnoteReference"/>
          <w:szCs w:val="22"/>
        </w:rPr>
        <w:footnoteReference w:id="10"/>
      </w:r>
      <w:r>
        <w:rPr>
          <w:szCs w:val="22"/>
        </w:rPr>
        <w:t xml:space="preserve">  </w:t>
      </w:r>
    </w:p>
    <w:p w:rsidR="00C07439" w:rsidP="00CD663D" w14:paraId="0BEA9E67" w14:textId="6952FC89">
      <w:pPr>
        <w:widowControl/>
        <w:spacing w:after="240"/>
        <w:ind w:firstLine="720"/>
        <w:rPr>
          <w:szCs w:val="22"/>
        </w:rPr>
      </w:pPr>
      <w:r>
        <w:rPr>
          <w:i/>
          <w:iCs/>
          <w:szCs w:val="22"/>
        </w:rPr>
        <w:t xml:space="preserve">Discussion.  </w:t>
      </w:r>
      <w:r>
        <w:rPr>
          <w:szCs w:val="22"/>
        </w:rPr>
        <w:t xml:space="preserve">With this </w:t>
      </w:r>
      <w:r>
        <w:rPr>
          <w:i/>
          <w:iCs/>
          <w:szCs w:val="22"/>
        </w:rPr>
        <w:t xml:space="preserve">Public </w:t>
      </w:r>
      <w:r w:rsidRPr="00292458">
        <w:rPr>
          <w:i/>
          <w:iCs/>
          <w:szCs w:val="22"/>
        </w:rPr>
        <w:t>Notice</w:t>
      </w:r>
      <w:r>
        <w:rPr>
          <w:szCs w:val="22"/>
        </w:rPr>
        <w:t>, we direct applicants using the Streamlined Framework to</w:t>
      </w:r>
      <w:r w:rsidRPr="00EA1425">
        <w:rPr>
          <w:szCs w:val="22"/>
        </w:rPr>
        <w:t xml:space="preserve"> complete the automated determination key for the </w:t>
      </w:r>
      <w:r w:rsidR="003D02BD">
        <w:rPr>
          <w:szCs w:val="22"/>
        </w:rPr>
        <w:t>NLEB</w:t>
      </w:r>
      <w:r w:rsidRPr="00EA1425">
        <w:rPr>
          <w:szCs w:val="22"/>
        </w:rPr>
        <w:t xml:space="preserve"> through the Service’s Information for Planning and Consultation (</w:t>
      </w:r>
      <w:r w:rsidRPr="00EA1425">
        <w:rPr>
          <w:szCs w:val="22"/>
        </w:rPr>
        <w:t>IP</w:t>
      </w:r>
      <w:r>
        <w:rPr>
          <w:szCs w:val="22"/>
        </w:rPr>
        <w:t>a</w:t>
      </w:r>
      <w:r w:rsidRPr="00EA1425">
        <w:rPr>
          <w:szCs w:val="22"/>
        </w:rPr>
        <w:t>C</w:t>
      </w:r>
      <w:r w:rsidRPr="00EA1425">
        <w:rPr>
          <w:szCs w:val="22"/>
        </w:rPr>
        <w:t>) system</w:t>
      </w:r>
      <w:r>
        <w:rPr>
          <w:rStyle w:val="FootnoteReference"/>
        </w:rPr>
        <w:footnoteReference w:id="11"/>
      </w:r>
      <w:r w:rsidRPr="00EA1425">
        <w:rPr>
          <w:szCs w:val="22"/>
        </w:rPr>
        <w:t xml:space="preserve"> and</w:t>
      </w:r>
      <w:r>
        <w:rPr>
          <w:szCs w:val="22"/>
        </w:rPr>
        <w:t xml:space="preserve"> </w:t>
      </w:r>
      <w:r w:rsidRPr="00EA1425">
        <w:rPr>
          <w:szCs w:val="22"/>
        </w:rPr>
        <w:t>follow the Service</w:t>
      </w:r>
      <w:r w:rsidR="00B7100B">
        <w:rPr>
          <w:szCs w:val="22"/>
        </w:rPr>
        <w:t>’s</w:t>
      </w:r>
      <w:r w:rsidRPr="00EA1425">
        <w:rPr>
          <w:szCs w:val="22"/>
        </w:rPr>
        <w:t xml:space="preserve"> process </w:t>
      </w:r>
      <w:r w:rsidRPr="007B33BB">
        <w:rPr>
          <w:szCs w:val="22"/>
        </w:rPr>
        <w:t>for federal actions</w:t>
      </w:r>
      <w:r>
        <w:rPr>
          <w:szCs w:val="22"/>
        </w:rPr>
        <w:t>.</w:t>
      </w:r>
      <w:r>
        <w:rPr>
          <w:rStyle w:val="FootnoteReference"/>
          <w:szCs w:val="22"/>
        </w:rPr>
        <w:footnoteReference w:id="12"/>
      </w:r>
      <w:r>
        <w:rPr>
          <w:szCs w:val="22"/>
        </w:rPr>
        <w:t xml:space="preserve">  </w:t>
      </w:r>
      <w:r w:rsidRPr="007643E2" w:rsidR="00073E54">
        <w:t xml:space="preserve">The </w:t>
      </w:r>
      <w:r w:rsidRPr="007643E2" w:rsidR="00073E54">
        <w:rPr>
          <w:szCs w:val="22"/>
        </w:rPr>
        <w:t xml:space="preserve">key asks a series of detailed questions related to the project to help </w:t>
      </w:r>
      <w:r w:rsidR="00073E54">
        <w:rPr>
          <w:szCs w:val="22"/>
        </w:rPr>
        <w:t xml:space="preserve">applicants </w:t>
      </w:r>
      <w:r w:rsidRPr="007643E2" w:rsidR="00073E54">
        <w:rPr>
          <w:szCs w:val="22"/>
        </w:rPr>
        <w:t xml:space="preserve">determine the probable impact the proposed project will have on the </w:t>
      </w:r>
      <w:r w:rsidR="003D02BD">
        <w:rPr>
          <w:szCs w:val="22"/>
        </w:rPr>
        <w:t>NLEB</w:t>
      </w:r>
      <w:r w:rsidRPr="007643E2" w:rsidR="00073E54">
        <w:rPr>
          <w:color w:val="020100"/>
        </w:rPr>
        <w:t xml:space="preserve">, recommend steps to minimize </w:t>
      </w:r>
      <w:r w:rsidRPr="007643E2" w:rsidR="00073E54">
        <w:rPr>
          <w:szCs w:val="22"/>
        </w:rPr>
        <w:t xml:space="preserve">the impact of the project, </w:t>
      </w:r>
      <w:r w:rsidRPr="007643E2" w:rsidR="00073E54">
        <w:t xml:space="preserve">and </w:t>
      </w:r>
      <w:r w:rsidRPr="007643E2" w:rsidR="00073E54">
        <w:rPr>
          <w:szCs w:val="22"/>
        </w:rPr>
        <w:t>determine whether the project will result in incidental takes of the species, and</w:t>
      </w:r>
      <w:r w:rsidRPr="00612AEC" w:rsidR="00073E54">
        <w:t xml:space="preserve">, if </w:t>
      </w:r>
      <w:r w:rsidRPr="007643E2" w:rsidR="00073E54">
        <w:rPr>
          <w:szCs w:val="22"/>
        </w:rPr>
        <w:t>so, whether those incidental takes are excepted under the applicable 4(d) rule.</w:t>
      </w:r>
      <w:r>
        <w:rPr>
          <w:rStyle w:val="FootnoteReference"/>
          <w:szCs w:val="22"/>
        </w:rPr>
        <w:footnoteReference w:id="13"/>
      </w:r>
      <w:r w:rsidRPr="007643E2" w:rsidR="00073E54">
        <w:rPr>
          <w:szCs w:val="22"/>
        </w:rPr>
        <w:t xml:space="preserve">  </w:t>
      </w:r>
    </w:p>
    <w:p w:rsidR="00B7100B" w:rsidP="00CD663D" w14:paraId="5563855A" w14:textId="398A2960">
      <w:pPr>
        <w:pStyle w:val="BodyText"/>
        <w:spacing w:after="240"/>
        <w:ind w:left="0" w:right="308" w:firstLine="720"/>
        <w:contextualSpacing/>
        <w:rPr>
          <w:color w:val="020100"/>
        </w:rPr>
      </w:pPr>
      <w:r>
        <w:t>After completing the automated determination key</w:t>
      </w:r>
      <w:r w:rsidRPr="00D72CB1">
        <w:t xml:space="preserve">, </w:t>
      </w:r>
      <w:r>
        <w:t xml:space="preserve">an </w:t>
      </w:r>
      <w:r w:rsidRPr="00D72CB1">
        <w:t xml:space="preserve">applicant will receive a letter from </w:t>
      </w:r>
      <w:r>
        <w:t>the Service, which will either be a: (</w:t>
      </w:r>
      <w:r>
        <w:t>i</w:t>
      </w:r>
      <w:r>
        <w:t>)</w:t>
      </w:r>
      <w:r w:rsidRPr="003C6377">
        <w:t xml:space="preserve"> </w:t>
      </w:r>
      <w:r>
        <w:t>“consistency” letter</w:t>
      </w:r>
      <w:r w:rsidR="00CD663D">
        <w:t xml:space="preserve"> </w:t>
      </w:r>
      <w:r>
        <w:t>informing the</w:t>
      </w:r>
      <w:r w:rsidRPr="003C6377">
        <w:t xml:space="preserve"> </w:t>
      </w:r>
      <w:r>
        <w:t>applicant</w:t>
      </w:r>
      <w:r w:rsidRPr="003C6377">
        <w:t xml:space="preserve"> that </w:t>
      </w:r>
      <w:r>
        <w:t>it</w:t>
      </w:r>
      <w:r w:rsidRPr="003C6377">
        <w:t xml:space="preserve"> ha</w:t>
      </w:r>
      <w:r>
        <w:t>s</w:t>
      </w:r>
      <w:r w:rsidRPr="003C6377">
        <w:t xml:space="preserve"> satisfied and concluded </w:t>
      </w:r>
      <w:r>
        <w:t>its</w:t>
      </w:r>
      <w:r w:rsidRPr="003C6377">
        <w:t xml:space="preserve"> responsibilities under </w:t>
      </w:r>
      <w:r>
        <w:t xml:space="preserve">ESA </w:t>
      </w:r>
      <w:r w:rsidRPr="003C6377">
        <w:t>section 7(a)(2) with respect to the project and that any activities resulting in incidental take are excepted from take prohibitions</w:t>
      </w:r>
      <w:r>
        <w:t>; or (ii) “formal consultation” letter</w:t>
      </w:r>
      <w:r w:rsidR="00CD663D">
        <w:t xml:space="preserve"> </w:t>
      </w:r>
      <w:r>
        <w:t xml:space="preserve">informing the applicant </w:t>
      </w:r>
      <w:r w:rsidRPr="003C6377">
        <w:rPr>
          <w:color w:val="020100"/>
        </w:rPr>
        <w:t xml:space="preserve">that project-specific </w:t>
      </w:r>
      <w:r>
        <w:rPr>
          <w:color w:val="020100"/>
        </w:rPr>
        <w:t xml:space="preserve">ESA </w:t>
      </w:r>
      <w:r w:rsidRPr="003C6377">
        <w:rPr>
          <w:color w:val="020100"/>
        </w:rPr>
        <w:t xml:space="preserve">section 7 formal consultation is necessary. </w:t>
      </w:r>
      <w:r>
        <w:rPr>
          <w:color w:val="020100"/>
        </w:rPr>
        <w:t xml:space="preserve"> </w:t>
      </w:r>
    </w:p>
    <w:p w:rsidR="00B7100B" w:rsidP="00CD663D" w14:paraId="65FFBAA4" w14:textId="77777777">
      <w:pPr>
        <w:pStyle w:val="BodyText"/>
        <w:spacing w:after="240"/>
        <w:ind w:left="0" w:right="308" w:firstLine="720"/>
        <w:contextualSpacing/>
        <w:rPr>
          <w:color w:val="020100"/>
        </w:rPr>
      </w:pPr>
    </w:p>
    <w:p w:rsidR="00B7100B" w:rsidP="00CD663D" w14:paraId="1EA80377" w14:textId="2DC4A234">
      <w:pPr>
        <w:pStyle w:val="BodyText"/>
        <w:spacing w:after="240"/>
        <w:ind w:left="0" w:right="302" w:firstLine="720"/>
        <w:rPr>
          <w:color w:val="020100"/>
        </w:rPr>
      </w:pPr>
      <w:r>
        <w:rPr>
          <w:color w:val="020100"/>
        </w:rPr>
        <w:t xml:space="preserve">If an applicant receives a consistency letter </w:t>
      </w:r>
      <w:bookmarkStart w:id="1" w:name="_Hlk74839375"/>
      <w:r>
        <w:rPr>
          <w:color w:val="020100"/>
        </w:rPr>
        <w:t xml:space="preserve">and the applicant is submitting a related Antenna Structure Registration (ASR) or Universal Licensing System (ULS) application, the applicant </w:t>
      </w:r>
      <w:r w:rsidRPr="003C6377">
        <w:rPr>
          <w:color w:val="020100"/>
        </w:rPr>
        <w:t xml:space="preserve">must attach the </w:t>
      </w:r>
      <w:r>
        <w:rPr>
          <w:color w:val="020100"/>
        </w:rPr>
        <w:t>consistency</w:t>
      </w:r>
      <w:r w:rsidRPr="003C6377">
        <w:rPr>
          <w:color w:val="020100"/>
        </w:rPr>
        <w:t xml:space="preserve"> letter to its</w:t>
      </w:r>
      <w:r>
        <w:rPr>
          <w:color w:val="020100"/>
        </w:rPr>
        <w:t xml:space="preserve"> Commission</w:t>
      </w:r>
      <w:r w:rsidRPr="003C6377">
        <w:rPr>
          <w:color w:val="020100"/>
        </w:rPr>
        <w:t xml:space="preserve"> application</w:t>
      </w:r>
      <w:r>
        <w:rPr>
          <w:color w:val="020100"/>
        </w:rPr>
        <w:t>.  If the applicant is not otherwise required to submit an application to the Commission, it must retain a copy of the consistency letter in its records and be prepared to produce a copy to the Commission if and when the Commission requests it</w:t>
      </w:r>
      <w:r w:rsidRPr="003C6377">
        <w:rPr>
          <w:color w:val="020100"/>
        </w:rPr>
        <w:t>.</w:t>
      </w:r>
      <w:bookmarkEnd w:id="1"/>
      <w:r w:rsidRPr="003C6377">
        <w:t>  </w:t>
      </w:r>
    </w:p>
    <w:p w:rsidR="00073E54" w:rsidRPr="003C6377" w:rsidP="00CD663D" w14:paraId="3149EF39" w14:textId="3D735CC9">
      <w:pPr>
        <w:pStyle w:val="BodyText"/>
        <w:spacing w:after="240"/>
        <w:ind w:left="0" w:right="308" w:firstLine="720"/>
        <w:contextualSpacing/>
        <w:rPr>
          <w:color w:val="020100"/>
        </w:rPr>
      </w:pPr>
      <w:r>
        <w:rPr>
          <w:color w:val="020100"/>
        </w:rPr>
        <w:t xml:space="preserve">If an applicant receives a formal consultation letter, it must notify the Bureau and concurrently </w:t>
      </w:r>
      <w:r w:rsidRPr="003C6377">
        <w:rPr>
          <w:color w:val="020100"/>
        </w:rPr>
        <w:t xml:space="preserve">submit </w:t>
      </w:r>
      <w:r>
        <w:rPr>
          <w:color w:val="020100"/>
        </w:rPr>
        <w:t>a</w:t>
      </w:r>
      <w:r w:rsidRPr="003C6377">
        <w:rPr>
          <w:color w:val="020100"/>
        </w:rPr>
        <w:t xml:space="preserve"> Biological </w:t>
      </w:r>
      <w:r>
        <w:rPr>
          <w:color w:val="020100"/>
        </w:rPr>
        <w:t xml:space="preserve">Assessment (BA) </w:t>
      </w:r>
      <w:r w:rsidRPr="00952AFE">
        <w:rPr>
          <w:color w:val="020100"/>
        </w:rPr>
        <w:t>completed by a qualified biologist</w:t>
      </w:r>
      <w:r>
        <w:rPr>
          <w:color w:val="020100"/>
        </w:rPr>
        <w:t xml:space="preserve"> at the following email address:  </w:t>
      </w:r>
      <w:hyperlink r:id="rId5" w:history="1">
        <w:r w:rsidRPr="004A3F2F">
          <w:rPr>
            <w:rStyle w:val="Hyperlink"/>
          </w:rPr>
          <w:t>towercomments@fcc.gov</w:t>
        </w:r>
      </w:hyperlink>
      <w:r w:rsidRPr="003C6377">
        <w:rPr>
          <w:color w:val="020100"/>
        </w:rPr>
        <w:t>.</w:t>
      </w:r>
      <w:r>
        <w:rPr>
          <w:rStyle w:val="FootnoteReference"/>
        </w:rPr>
        <w:footnoteReference w:id="14"/>
      </w:r>
      <w:r w:rsidRPr="003C6377">
        <w:t xml:space="preserve"> </w:t>
      </w:r>
      <w:r>
        <w:t xml:space="preserve"> </w:t>
      </w:r>
      <w:r>
        <w:rPr>
          <w:color w:val="020100"/>
        </w:rPr>
        <w:t>The Bureau will enter formal consultation with the Service upon receiving the BA.  The Service will provide a Biological Opinion (BO) to the Bureau once the formal consultation process is completed</w:t>
      </w:r>
      <w:r w:rsidRPr="003C6377">
        <w:rPr>
          <w:color w:val="020100"/>
        </w:rPr>
        <w:t>.</w:t>
      </w:r>
      <w:r>
        <w:rPr>
          <w:color w:val="020100"/>
        </w:rPr>
        <w:t xml:space="preserve">  The Bureau will in turn provide the BO to the applicant.  The applicant must incorporate the BO’s recommendations and file an environmental assessment along with its application either in ASR or ULS.  N</w:t>
      </w:r>
      <w:r w:rsidRPr="003C6377">
        <w:rPr>
          <w:color w:val="020100"/>
        </w:rPr>
        <w:t xml:space="preserve">o </w:t>
      </w:r>
      <w:r>
        <w:rPr>
          <w:color w:val="020100"/>
        </w:rPr>
        <w:t xml:space="preserve">additional reporting </w:t>
      </w:r>
      <w:r w:rsidRPr="003C6377">
        <w:rPr>
          <w:color w:val="020100"/>
        </w:rPr>
        <w:t xml:space="preserve">is required with respect to the </w:t>
      </w:r>
      <w:r w:rsidR="003D02BD">
        <w:t>NLEB</w:t>
      </w:r>
      <w:r w:rsidRPr="00D307E7" w:rsidR="003D02BD">
        <w:t xml:space="preserve"> </w:t>
      </w:r>
      <w:r>
        <w:rPr>
          <w:color w:val="020100"/>
        </w:rPr>
        <w:t xml:space="preserve">if </w:t>
      </w:r>
      <w:r w:rsidRPr="003C6377">
        <w:rPr>
          <w:color w:val="020100"/>
        </w:rPr>
        <w:t xml:space="preserve">the </w:t>
      </w:r>
      <w:r>
        <w:rPr>
          <w:color w:val="020100"/>
        </w:rPr>
        <w:t>proposed facility</w:t>
      </w:r>
      <w:r w:rsidRPr="003C6377">
        <w:rPr>
          <w:color w:val="020100"/>
        </w:rPr>
        <w:t xml:space="preserve"> </w:t>
      </w:r>
      <w:r>
        <w:rPr>
          <w:color w:val="020100"/>
        </w:rPr>
        <w:t xml:space="preserve">will not be constructed </w:t>
      </w:r>
      <w:r w:rsidRPr="003C6377">
        <w:rPr>
          <w:color w:val="020100"/>
        </w:rPr>
        <w:t xml:space="preserve">in </w:t>
      </w:r>
      <w:r>
        <w:rPr>
          <w:color w:val="020100"/>
        </w:rPr>
        <w:t xml:space="preserve">the </w:t>
      </w:r>
      <w:r w:rsidR="003D02BD">
        <w:t>NLEB’s</w:t>
      </w:r>
      <w:r w:rsidRPr="00D307E7" w:rsidR="003D02BD">
        <w:t xml:space="preserve"> </w:t>
      </w:r>
      <w:r w:rsidRPr="003C6377">
        <w:rPr>
          <w:color w:val="020100"/>
        </w:rPr>
        <w:t xml:space="preserve">range.  </w:t>
      </w:r>
    </w:p>
    <w:p w:rsidR="00C07439" w:rsidRPr="00480BD6" w:rsidP="00CD663D" w14:paraId="758A20BF" w14:textId="0D621794">
      <w:pPr>
        <w:widowControl/>
        <w:spacing w:after="240"/>
        <w:ind w:firstLine="720"/>
        <w:rPr>
          <w:color w:val="020100"/>
          <w:spacing w:val="-1"/>
        </w:rPr>
      </w:pPr>
      <w:r>
        <w:rPr>
          <w:color w:val="020100"/>
          <w:spacing w:val="-1"/>
        </w:rPr>
        <w:t xml:space="preserve">We note that the additional recommended measures referenced in the </w:t>
      </w:r>
      <w:r w:rsidRPr="00C07439">
        <w:rPr>
          <w:bCs/>
          <w:i/>
          <w:iCs/>
          <w:color w:val="000000"/>
          <w:szCs w:val="22"/>
        </w:rPr>
        <w:t xml:space="preserve">2016 Guidance Public Notice </w:t>
      </w:r>
      <w:r w:rsidRPr="00C07439">
        <w:rPr>
          <w:bCs/>
          <w:color w:val="000000"/>
          <w:szCs w:val="22"/>
        </w:rPr>
        <w:t>continue to apply.</w:t>
      </w:r>
      <w:r>
        <w:rPr>
          <w:rStyle w:val="FootnoteReference"/>
          <w:bCs/>
        </w:rPr>
        <w:footnoteReference w:id="15"/>
      </w:r>
      <w:r w:rsidRPr="00C07439">
        <w:rPr>
          <w:bCs/>
          <w:color w:val="000000"/>
          <w:sz w:val="20"/>
        </w:rPr>
        <w:t xml:space="preserve"> </w:t>
      </w:r>
    </w:p>
    <w:p w:rsidR="00C07439" w:rsidP="00CD663D" w14:paraId="4F1742F6" w14:textId="77777777">
      <w:pPr>
        <w:pStyle w:val="BodyText"/>
        <w:spacing w:after="240"/>
        <w:ind w:left="0" w:right="105" w:firstLine="720"/>
        <w:rPr>
          <w:color w:val="020100"/>
          <w:spacing w:val="-1"/>
        </w:rPr>
      </w:pPr>
      <w:r w:rsidRPr="00466921">
        <w:rPr>
          <w:color w:val="020100"/>
          <w:spacing w:val="-1"/>
        </w:rPr>
        <w:t xml:space="preserve">For further information, contact Deborah Spring, Biologist, Wireless Telecommunications Bureau, Competition and Infrastructure Policy Division, </w:t>
      </w:r>
      <w:hyperlink r:id="rId6" w:history="1">
        <w:r w:rsidRPr="00273603">
          <w:rPr>
            <w:rStyle w:val="Hyperlink"/>
            <w:spacing w:val="-1"/>
          </w:rPr>
          <w:t>Deborah.Spring@FCC.gov</w:t>
        </w:r>
      </w:hyperlink>
      <w:r w:rsidRPr="00466921">
        <w:rPr>
          <w:color w:val="020100"/>
          <w:spacing w:val="-1"/>
        </w:rPr>
        <w:t>.</w:t>
      </w:r>
    </w:p>
    <w:p w:rsidR="00C07439" w:rsidP="00CD663D" w14:paraId="4A70AFB5" w14:textId="77777777">
      <w:pPr>
        <w:pStyle w:val="BodyText"/>
        <w:spacing w:after="240"/>
        <w:ind w:left="0" w:right="105" w:firstLine="720"/>
        <w:rPr>
          <w:color w:val="020100"/>
          <w:spacing w:val="-1"/>
        </w:rPr>
      </w:pPr>
    </w:p>
    <w:p w:rsidR="00C07439" w:rsidRPr="00D6298D" w:rsidP="00CD663D" w14:paraId="60119283" w14:textId="77777777">
      <w:pPr>
        <w:spacing w:after="240"/>
        <w:contextualSpacing/>
        <w:jc w:val="center"/>
        <w:rPr>
          <w:b/>
          <w:bCs/>
        </w:rPr>
      </w:pPr>
      <w:r>
        <w:rPr>
          <w:b/>
          <w:bCs/>
        </w:rPr>
        <w:t>-FCC-</w:t>
      </w:r>
      <w:bookmarkEnd w:id="0"/>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0920" w14:paraId="6FE48EA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60920" w14:paraId="2E42380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0920" w14:paraId="1932BE4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0920" w14:paraId="79368FB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0F9D" w14:paraId="1AC6632D" w14:textId="77777777">
      <w:r>
        <w:separator/>
      </w:r>
    </w:p>
  </w:footnote>
  <w:footnote w:type="continuationSeparator" w:id="1">
    <w:p w:rsidR="00D90F9D" w14:paraId="321BC771" w14:textId="77777777">
      <w:pPr>
        <w:rPr>
          <w:sz w:val="20"/>
        </w:rPr>
      </w:pPr>
      <w:r>
        <w:rPr>
          <w:sz w:val="20"/>
        </w:rPr>
        <w:t xml:space="preserve">(Continued from previous page)  </w:t>
      </w:r>
      <w:r>
        <w:rPr>
          <w:sz w:val="20"/>
        </w:rPr>
        <w:separator/>
      </w:r>
    </w:p>
  </w:footnote>
  <w:footnote w:type="continuationNotice" w:id="2">
    <w:p w:rsidR="00D90F9D" w14:paraId="2FDE8C5E" w14:textId="77777777">
      <w:pPr>
        <w:jc w:val="right"/>
        <w:rPr>
          <w:sz w:val="20"/>
        </w:rPr>
      </w:pPr>
      <w:r>
        <w:rPr>
          <w:sz w:val="20"/>
        </w:rPr>
        <w:t>(continued….)</w:t>
      </w:r>
    </w:p>
  </w:footnote>
  <w:footnote w:id="3">
    <w:p w:rsidR="00C07439" w:rsidP="00C07439" w14:paraId="2FB9637C" w14:textId="757F6E83">
      <w:pPr>
        <w:spacing w:after="120"/>
      </w:pPr>
      <w:r>
        <w:rPr>
          <w:rStyle w:val="FootnoteReference"/>
        </w:rPr>
        <w:footnoteRef/>
      </w:r>
      <w:r>
        <w:t xml:space="preserve"> </w:t>
      </w:r>
      <w:r w:rsidRPr="00C07439">
        <w:rPr>
          <w:bCs/>
          <w:i/>
          <w:iCs/>
          <w:color w:val="000000"/>
          <w:sz w:val="20"/>
        </w:rPr>
        <w:t>Tower Construction Guidance for Protection of Northern Long-Eared Bat under the Endangered Species Act</w:t>
      </w:r>
      <w:r w:rsidRPr="00C07439">
        <w:rPr>
          <w:bCs/>
          <w:color w:val="000000"/>
          <w:sz w:val="20"/>
        </w:rPr>
        <w:t xml:space="preserve">, </w:t>
      </w:r>
      <w:r w:rsidRPr="00C07439">
        <w:rPr>
          <w:color w:val="000000"/>
          <w:sz w:val="20"/>
        </w:rPr>
        <w:t>Public Notice,</w:t>
      </w:r>
      <w:r w:rsidRPr="00C07439">
        <w:rPr>
          <w:bCs/>
          <w:color w:val="000000"/>
          <w:sz w:val="20"/>
        </w:rPr>
        <w:t xml:space="preserve"> </w:t>
      </w:r>
      <w:r w:rsidRPr="00C07439">
        <w:rPr>
          <w:color w:val="000000"/>
          <w:sz w:val="20"/>
        </w:rPr>
        <w:t xml:space="preserve">31 FCC </w:t>
      </w:r>
      <w:r w:rsidRPr="00C07439">
        <w:rPr>
          <w:color w:val="000000"/>
          <w:sz w:val="20"/>
        </w:rPr>
        <w:t>Rcd</w:t>
      </w:r>
      <w:r w:rsidRPr="00C07439">
        <w:rPr>
          <w:color w:val="000000"/>
          <w:sz w:val="20"/>
        </w:rPr>
        <w:t xml:space="preserve"> 3960</w:t>
      </w:r>
      <w:r w:rsidRPr="00C07439">
        <w:rPr>
          <w:bCs/>
          <w:color w:val="000000"/>
          <w:sz w:val="20"/>
        </w:rPr>
        <w:t xml:space="preserve"> (WTB 2016) (</w:t>
      </w:r>
      <w:r w:rsidRPr="00C07439">
        <w:rPr>
          <w:bCs/>
          <w:i/>
          <w:iCs/>
          <w:color w:val="000000"/>
          <w:sz w:val="20"/>
        </w:rPr>
        <w:t>2016 Guidance Public Notice</w:t>
      </w:r>
      <w:r w:rsidRPr="00C07439">
        <w:rPr>
          <w:bCs/>
          <w:color w:val="000000"/>
          <w:sz w:val="20"/>
        </w:rPr>
        <w:t xml:space="preserve">).  </w:t>
      </w:r>
      <w:r w:rsidRPr="00B41367">
        <w:rPr>
          <w:sz w:val="20"/>
        </w:rPr>
        <w:t>The U.S. Fish and Wildlife Service</w:t>
      </w:r>
      <w:r w:rsidR="007C146E">
        <w:rPr>
          <w:sz w:val="20"/>
        </w:rPr>
        <w:t xml:space="preserve"> (Service)</w:t>
      </w:r>
      <w:r w:rsidRPr="00B41367">
        <w:rPr>
          <w:sz w:val="20"/>
        </w:rPr>
        <w:t xml:space="preserve"> defines range as “the geographic area a species is known or believed to occupy.”</w:t>
      </w:r>
      <w:r>
        <w:rPr>
          <w:sz w:val="20"/>
        </w:rPr>
        <w:t xml:space="preserve">  Service, </w:t>
      </w:r>
      <w:r>
        <w:rPr>
          <w:i/>
          <w:iCs/>
          <w:sz w:val="20"/>
        </w:rPr>
        <w:t>Midwest Endangered Species: Glossary</w:t>
      </w:r>
      <w:r>
        <w:rPr>
          <w:sz w:val="20"/>
        </w:rPr>
        <w:t xml:space="preserve">, </w:t>
      </w:r>
      <w:hyperlink r:id="rId1" w:history="1">
        <w:r w:rsidRPr="00B41367">
          <w:rPr>
            <w:rStyle w:val="Hyperlink"/>
            <w:sz w:val="20"/>
          </w:rPr>
          <w:t>https://www.fws.gov/midwest/endangered/gl</w:t>
        </w:r>
        <w:r w:rsidRPr="00B41367">
          <w:rPr>
            <w:rStyle w:val="Hyperlink"/>
            <w:sz w:val="20"/>
          </w:rPr>
          <w:t>o</w:t>
        </w:r>
        <w:r w:rsidRPr="00B41367">
          <w:rPr>
            <w:rStyle w:val="Hyperlink"/>
            <w:sz w:val="20"/>
          </w:rPr>
          <w:t>ssary/index.html</w:t>
        </w:r>
      </w:hyperlink>
      <w:r>
        <w:rPr>
          <w:sz w:val="20"/>
        </w:rPr>
        <w:t xml:space="preserve"> (last visited </w:t>
      </w:r>
      <w:r w:rsidR="00FE47B9">
        <w:rPr>
          <w:sz w:val="20"/>
        </w:rPr>
        <w:t>Dec. 2</w:t>
      </w:r>
      <w:r>
        <w:rPr>
          <w:sz w:val="20"/>
        </w:rPr>
        <w:t>, 2021)</w:t>
      </w:r>
      <w:r w:rsidRPr="00B41367">
        <w:rPr>
          <w:sz w:val="20"/>
        </w:rPr>
        <w:t xml:space="preserve">.  </w:t>
      </w:r>
    </w:p>
  </w:footnote>
  <w:footnote w:id="4">
    <w:p w:rsidR="002F0212" w:rsidRPr="00B37D37" w14:paraId="10C447D2" w14:textId="7E50AD9B">
      <w:pPr>
        <w:pStyle w:val="FootnoteText"/>
      </w:pPr>
      <w:r w:rsidRPr="00FE47B9">
        <w:rPr>
          <w:rStyle w:val="FootnoteReference"/>
        </w:rPr>
        <w:footnoteRef/>
      </w:r>
      <w:r w:rsidRPr="00FE47B9">
        <w:t xml:space="preserve"> </w:t>
      </w:r>
      <w:r w:rsidRPr="00FE47B9" w:rsidR="00B37D37">
        <w:rPr>
          <w:i/>
          <w:iCs/>
        </w:rPr>
        <w:t>See Wireless Facility Construction Guidance Within the American Burying Beetle’s Range</w:t>
      </w:r>
      <w:r w:rsidRPr="00FE47B9" w:rsidR="00B37D37">
        <w:t>, Public Notice, DA 21-</w:t>
      </w:r>
      <w:r w:rsidRPr="00FE47B9" w:rsidR="00BD08B0">
        <w:t>1500</w:t>
      </w:r>
      <w:r w:rsidRPr="00FE47B9" w:rsidR="00B37D37">
        <w:t xml:space="preserve"> (WTB </w:t>
      </w:r>
      <w:r w:rsidRPr="00FE47B9" w:rsidR="00BD08B0">
        <w:t>Dec. 2</w:t>
      </w:r>
      <w:r w:rsidRPr="00FE47B9" w:rsidR="00F613C5">
        <w:t xml:space="preserve">, </w:t>
      </w:r>
      <w:r w:rsidRPr="00FE47B9" w:rsidR="00B37D37">
        <w:t>2021).</w:t>
      </w:r>
    </w:p>
  </w:footnote>
  <w:footnote w:id="5">
    <w:p w:rsidR="00C07439" w:rsidP="00C07439" w14:paraId="762A4F08" w14:textId="18E0EB93">
      <w:pPr>
        <w:pStyle w:val="FootnoteText"/>
      </w:pPr>
      <w:r>
        <w:rPr>
          <w:rStyle w:val="FootnoteReference"/>
        </w:rPr>
        <w:footnoteRef/>
      </w:r>
      <w:r>
        <w:t xml:space="preserve"> Service, </w:t>
      </w:r>
      <w:r w:rsidRPr="006974BF">
        <w:t>Endangered and Threatened Wildlife and Plants; Threatened Species Status for the Northern Long-Eared Bat With 4(d) Rule</w:t>
      </w:r>
      <w:r>
        <w:t xml:space="preserve">, 80 Fed. Reg. 17973 (Apr. 2, 2015); 50 CFR § 17.11(h). </w:t>
      </w:r>
      <w:r w:rsidR="00817D36">
        <w:t xml:space="preserve"> </w:t>
      </w:r>
    </w:p>
  </w:footnote>
  <w:footnote w:id="6">
    <w:p w:rsidR="00C07439" w:rsidP="00C07439" w14:paraId="5026CE95" w14:textId="4B63B554">
      <w:pPr>
        <w:pStyle w:val="FootnoteText"/>
      </w:pPr>
      <w:r>
        <w:rPr>
          <w:rStyle w:val="FootnoteReference"/>
        </w:rPr>
        <w:footnoteRef/>
      </w:r>
      <w:r>
        <w:t xml:space="preserve"> Service, Endangered and Threatened Wildlife and Plants; 4(d) Rule for the Northern Long-Eared Bat, 81 Fed. Reg. 1900 (Jan. 14, 2016); 50 CFR § 17.40(o).</w:t>
      </w:r>
      <w:r w:rsidR="00FE3368">
        <w:t xml:space="preserve">  </w:t>
      </w:r>
      <w:r w:rsidRPr="00C77881" w:rsidR="00FE3368">
        <w:t xml:space="preserve">A 4(d) rule framework is a streamlined consultation with the </w:t>
      </w:r>
      <w:r w:rsidRPr="00B07355" w:rsidR="00FE3368">
        <w:t>Service</w:t>
      </w:r>
      <w:r w:rsidRPr="00C77881" w:rsidR="00FE3368">
        <w:t xml:space="preserve"> to determine the extent of the potential effects of a project on listed species and/or their critical habitat and whether further consultation is required</w:t>
      </w:r>
      <w:r w:rsidR="00FE3368">
        <w:t>.</w:t>
      </w:r>
    </w:p>
  </w:footnote>
  <w:footnote w:id="7">
    <w:p w:rsidR="00C07439" w:rsidP="00C07439" w14:paraId="7BCFFA86" w14:textId="73FD1B1E">
      <w:pPr>
        <w:pStyle w:val="FootnoteText"/>
      </w:pPr>
      <w:r>
        <w:rPr>
          <w:rStyle w:val="FootnoteReference"/>
        </w:rPr>
        <w:footnoteRef/>
      </w:r>
      <w:r>
        <w:t xml:space="preserve"> Service, Programmatic Biological Opinion on Final 4(d) Rule for the Northern Long-Eared Bat and Activities Excepted from Take Prohibitions (2016), </w:t>
      </w:r>
      <w:hyperlink r:id="rId2" w:history="1">
        <w:r w:rsidRPr="003E79EF">
          <w:rPr>
            <w:rStyle w:val="Hyperlink"/>
            <w:szCs w:val="22"/>
          </w:rPr>
          <w:t>http://www.fws.gov/Midwest/endangered/mammals/</w:t>
        </w:r>
        <w:r w:rsidRPr="003E79EF">
          <w:rPr>
            <w:rStyle w:val="Hyperlink"/>
            <w:szCs w:val="22"/>
          </w:rPr>
          <w:br/>
        </w:r>
        <w:r w:rsidRPr="00273603">
          <w:rPr>
            <w:rStyle w:val="Hyperlink"/>
            <w:szCs w:val="22"/>
          </w:rPr>
          <w:t>nleb</w:t>
        </w:r>
        <w:r w:rsidRPr="00273603">
          <w:rPr>
            <w:rStyle w:val="Hyperlink"/>
            <w:szCs w:val="22"/>
          </w:rPr>
          <w:t>/pdf/BOnlebFinal4d.pdf</w:t>
        </w:r>
      </w:hyperlink>
      <w:r w:rsidRPr="00D307E7" w:rsidR="003D02BD">
        <w:rPr>
          <w:rStyle w:val="Hyperlink"/>
          <w:u w:val="none"/>
        </w:rPr>
        <w:t xml:space="preserve"> </w:t>
      </w:r>
      <w:r w:rsidRPr="004C7869">
        <w:rPr>
          <w:rStyle w:val="Hyperlink"/>
          <w:color w:val="000000"/>
          <w:szCs w:val="22"/>
          <w:u w:val="none"/>
        </w:rPr>
        <w:t>(</w:t>
      </w:r>
      <w:r w:rsidR="006F42A4">
        <w:rPr>
          <w:rStyle w:val="Hyperlink"/>
          <w:color w:val="000000"/>
          <w:szCs w:val="22"/>
          <w:u w:val="none"/>
        </w:rPr>
        <w:t>Opinion</w:t>
      </w:r>
      <w:r w:rsidRPr="004C7869">
        <w:rPr>
          <w:rStyle w:val="Hyperlink"/>
          <w:color w:val="000000"/>
          <w:szCs w:val="22"/>
          <w:u w:val="none"/>
        </w:rPr>
        <w:t>)</w:t>
      </w:r>
      <w:r>
        <w:t>.  Under section 4(d), the Secretary of the Interior can issue specific regulations to provide for the conservation of threatened species.</w:t>
      </w:r>
    </w:p>
  </w:footnote>
  <w:footnote w:id="8">
    <w:p w:rsidR="00C07439" w:rsidP="00C07439" w14:paraId="74CAE30F" w14:textId="50064E1A">
      <w:pPr>
        <w:pStyle w:val="FootnoteText"/>
      </w:pPr>
      <w:r>
        <w:rPr>
          <w:rStyle w:val="FootnoteReference"/>
        </w:rPr>
        <w:footnoteRef/>
      </w:r>
      <w:r>
        <w:t xml:space="preserve"> </w:t>
      </w:r>
      <w:r w:rsidR="006F42A4">
        <w:t>Opinion</w:t>
      </w:r>
      <w:r>
        <w:t xml:space="preserve"> at 4-6.</w:t>
      </w:r>
    </w:p>
  </w:footnote>
  <w:footnote w:id="9">
    <w:p w:rsidR="00C07439" w:rsidP="00C07439" w14:paraId="2675A45F" w14:textId="77777777">
      <w:pPr>
        <w:pStyle w:val="FootnoteText"/>
      </w:pPr>
      <w:r>
        <w:rPr>
          <w:rStyle w:val="FootnoteReference"/>
        </w:rPr>
        <w:footnoteRef/>
      </w:r>
      <w:r>
        <w:t xml:space="preserve"> </w:t>
      </w:r>
      <w:r w:rsidRPr="00B41367">
        <w:rPr>
          <w:i/>
          <w:iCs/>
        </w:rPr>
        <w:t>2016 Guidance Public Notice</w:t>
      </w:r>
      <w:r>
        <w:t xml:space="preserve">, 31 FCC </w:t>
      </w:r>
      <w:r>
        <w:t>Rcd</w:t>
      </w:r>
      <w:r>
        <w:t xml:space="preserve"> at 3960.</w:t>
      </w:r>
    </w:p>
  </w:footnote>
  <w:footnote w:id="10">
    <w:p w:rsidR="00C07439" w:rsidP="00C07439" w14:paraId="0A2F95F9" w14:textId="1CEF0D32">
      <w:pPr>
        <w:pStyle w:val="FootnoteText"/>
      </w:pPr>
      <w:r>
        <w:rPr>
          <w:rStyle w:val="FootnoteReference"/>
        </w:rPr>
        <w:footnoteRef/>
      </w:r>
      <w:r>
        <w:t xml:space="preserve"> </w:t>
      </w:r>
      <w:r>
        <w:rPr>
          <w:i/>
          <w:iCs/>
        </w:rPr>
        <w:t xml:space="preserve">2016 </w:t>
      </w:r>
      <w:r w:rsidRPr="00AB4AC4">
        <w:rPr>
          <w:i/>
          <w:iCs/>
        </w:rPr>
        <w:t>Guidance P</w:t>
      </w:r>
      <w:r>
        <w:rPr>
          <w:i/>
          <w:iCs/>
        </w:rPr>
        <w:t xml:space="preserve">ublic </w:t>
      </w:r>
      <w:r w:rsidRPr="00AB4AC4">
        <w:rPr>
          <w:i/>
          <w:iCs/>
        </w:rPr>
        <w:t>N</w:t>
      </w:r>
      <w:r>
        <w:rPr>
          <w:i/>
          <w:iCs/>
        </w:rPr>
        <w:t>otice</w:t>
      </w:r>
      <w:r>
        <w:t xml:space="preserve">, 31 FCC </w:t>
      </w:r>
      <w:r>
        <w:t>Rcd</w:t>
      </w:r>
      <w:r>
        <w:t xml:space="preserve"> at 3961 (</w:t>
      </w:r>
      <w:r w:rsidRPr="00AB4AC4">
        <w:t>“</w:t>
      </w:r>
      <w:r>
        <w:t>I</w:t>
      </w:r>
      <w:r w:rsidRPr="00AB4AC4">
        <w:t xml:space="preserve">f no action is required with respect to the </w:t>
      </w:r>
      <w:r w:rsidR="00A57DDA">
        <w:t>NLEB</w:t>
      </w:r>
      <w:r w:rsidRPr="00AB4AC4">
        <w:t>, or if the [Streamlined] Framework applies, the FCC does not require additional reporting.</w:t>
      </w:r>
      <w:r>
        <w:t>”).</w:t>
      </w:r>
    </w:p>
  </w:footnote>
  <w:footnote w:id="11">
    <w:p w:rsidR="00C07439" w:rsidP="00C07439" w14:paraId="5E99338B" w14:textId="7746F957">
      <w:pPr>
        <w:pStyle w:val="FootnoteText"/>
      </w:pPr>
      <w:r>
        <w:rPr>
          <w:rStyle w:val="FootnoteReference"/>
        </w:rPr>
        <w:footnoteRef/>
      </w:r>
      <w:r>
        <w:t xml:space="preserve"> The Service’s </w:t>
      </w:r>
      <w:r>
        <w:t>IPaC</w:t>
      </w:r>
      <w:r>
        <w:t xml:space="preserve"> system is available at: </w:t>
      </w:r>
      <w:hyperlink r:id="rId3" w:history="1">
        <w:r w:rsidRPr="00AB70FD">
          <w:rPr>
            <w:rStyle w:val="Hyperlink"/>
          </w:rPr>
          <w:t>https://ecos.fws.gov/ipac/</w:t>
        </w:r>
      </w:hyperlink>
      <w:r>
        <w:t xml:space="preserve">.  </w:t>
      </w:r>
      <w:r w:rsidRPr="003B00AB">
        <w:t>IPaC</w:t>
      </w:r>
      <w:r w:rsidRPr="003B00AB">
        <w:t xml:space="preserve"> </w:t>
      </w:r>
      <w:r>
        <w:t>helps</w:t>
      </w:r>
      <w:r w:rsidRPr="003B00AB">
        <w:t xml:space="preserve"> to determine if a project qualifies for a programmatic consultation.</w:t>
      </w:r>
      <w:r>
        <w:t xml:space="preserve"> </w:t>
      </w:r>
      <w:r w:rsidRPr="003B00AB">
        <w:t xml:space="preserve"> By answering questions about the proposed project, a </w:t>
      </w:r>
      <w:r>
        <w:t xml:space="preserve">non-federal </w:t>
      </w:r>
      <w:r w:rsidRPr="003B00AB">
        <w:t>user can determine if a project is covered by a programmatic consultation and generate a consistency letter</w:t>
      </w:r>
      <w:r>
        <w:t xml:space="preserve">.  </w:t>
      </w:r>
      <w:r w:rsidRPr="00AB70FD">
        <w:t xml:space="preserve">Service, </w:t>
      </w:r>
      <w:r w:rsidRPr="00991DD0">
        <w:rPr>
          <w:i/>
          <w:iCs/>
        </w:rPr>
        <w:t>IPaC</w:t>
      </w:r>
      <w:r w:rsidRPr="00991DD0">
        <w:rPr>
          <w:i/>
          <w:iCs/>
        </w:rPr>
        <w:t xml:space="preserve"> Information for Planning and Consultation</w:t>
      </w:r>
      <w:r w:rsidRPr="00AB70FD">
        <w:t xml:space="preserve">, </w:t>
      </w:r>
      <w:hyperlink r:id="rId3" w:history="1">
        <w:r w:rsidRPr="00B04F8A">
          <w:rPr>
            <w:rStyle w:val="Hyperlink"/>
          </w:rPr>
          <w:t>https://ecos.fws.gov/ipac/</w:t>
        </w:r>
      </w:hyperlink>
      <w:r>
        <w:t xml:space="preserve"> </w:t>
      </w:r>
      <w:r w:rsidRPr="00AB70FD">
        <w:t xml:space="preserve">(last visited </w:t>
      </w:r>
      <w:r w:rsidR="00286878">
        <w:t>Dec. 2</w:t>
      </w:r>
      <w:r w:rsidRPr="00AB70FD">
        <w:t xml:space="preserve">, 2021).  </w:t>
      </w:r>
    </w:p>
  </w:footnote>
  <w:footnote w:id="12">
    <w:p w:rsidR="00C07439" w:rsidP="00C07439" w14:paraId="365B3D47" w14:textId="21020BA7">
      <w:pPr>
        <w:pStyle w:val="FootnoteText"/>
      </w:pPr>
      <w:r>
        <w:rPr>
          <w:rStyle w:val="FootnoteReference"/>
        </w:rPr>
        <w:footnoteRef/>
      </w:r>
      <w:r>
        <w:t xml:space="preserve"> </w:t>
      </w:r>
      <w:r w:rsidRPr="00AB70FD">
        <w:t xml:space="preserve">Service, </w:t>
      </w:r>
      <w:r w:rsidRPr="001B3129">
        <w:rPr>
          <w:i/>
          <w:iCs/>
        </w:rPr>
        <w:t>Instructions on how to access and use the online Northern Long-Eared Bat 4(d) rule determination key</w:t>
      </w:r>
      <w:r w:rsidRPr="00AB70FD">
        <w:t>,</w:t>
      </w:r>
      <w:r>
        <w:t xml:space="preserve"> </w:t>
      </w:r>
      <w:hyperlink r:id="rId4" w:history="1">
        <w:r w:rsidRPr="003E79EF">
          <w:rPr>
            <w:rStyle w:val="Hyperlink"/>
          </w:rPr>
          <w:t>https://www.fws.gov/midwest/endangered/mammals/nleb/determination_key_</w:t>
        </w:r>
        <w:r w:rsidRPr="003E79EF">
          <w:rPr>
            <w:rStyle w:val="Hyperlink"/>
          </w:rPr>
          <w:br/>
        </w:r>
        <w:r w:rsidRPr="00273603">
          <w:rPr>
            <w:rStyle w:val="Hyperlink"/>
          </w:rPr>
          <w:t>instructions_nleb.html</w:t>
        </w:r>
      </w:hyperlink>
      <w:r>
        <w:t xml:space="preserve"> (last visited </w:t>
      </w:r>
      <w:r w:rsidR="00286878">
        <w:t>Dec. 2</w:t>
      </w:r>
      <w:r>
        <w:t>, 2021).</w:t>
      </w:r>
    </w:p>
  </w:footnote>
  <w:footnote w:id="13">
    <w:p w:rsidR="00073E54" w:rsidP="00073E54" w14:paraId="7C014027" w14:textId="77777777">
      <w:pPr>
        <w:pStyle w:val="FootnoteText"/>
      </w:pPr>
      <w:r>
        <w:rPr>
          <w:rStyle w:val="FootnoteReference"/>
        </w:rPr>
        <w:footnoteRef/>
      </w:r>
      <w:r>
        <w:t xml:space="preserve"> </w:t>
      </w:r>
      <w:r w:rsidRPr="007F0CB0">
        <w:t xml:space="preserve">“Take” is defined as to harass, harm, pursue, hunt, shoot, wound, kill, trap, capture or collect, or to attempt to engage in any such conduct. </w:t>
      </w:r>
      <w:r>
        <w:t xml:space="preserve"> 16 U.S.C. § 1532(19)</w:t>
      </w:r>
      <w:r w:rsidRPr="007F0CB0">
        <w:t xml:space="preserve">. </w:t>
      </w:r>
      <w:r>
        <w:t xml:space="preserve"> </w:t>
      </w:r>
      <w:r w:rsidRPr="007F0CB0">
        <w:t>“Incidental tak</w:t>
      </w:r>
      <w:r>
        <w:t>ing</w:t>
      </w:r>
      <w:r w:rsidRPr="007F0CB0">
        <w:t xml:space="preserve">” is </w:t>
      </w:r>
      <w:r>
        <w:t xml:space="preserve">a </w:t>
      </w:r>
      <w:r w:rsidRPr="007F0CB0">
        <w:t>take that is incidental to, and not the purpose of, the carrying out of an otherwise lawful activity.</w:t>
      </w:r>
      <w:r>
        <w:t xml:space="preserve">  </w:t>
      </w:r>
      <w:r w:rsidRPr="00BB6CFB">
        <w:t>50 CFR §</w:t>
      </w:r>
      <w:r>
        <w:t xml:space="preserve"> </w:t>
      </w:r>
      <w:r w:rsidRPr="00BB6CFB">
        <w:t>17.3</w:t>
      </w:r>
      <w:r w:rsidRPr="00785CA4">
        <w:t>.</w:t>
      </w:r>
      <w:r w:rsidRPr="007B2945">
        <w:t xml:space="preserve">  We note that intentional takes remai</w:t>
      </w:r>
      <w:r w:rsidRPr="00785CA4">
        <w:t>n prohibited</w:t>
      </w:r>
      <w:r>
        <w:t>.</w:t>
      </w:r>
    </w:p>
  </w:footnote>
  <w:footnote w:id="14">
    <w:p w:rsidR="00073E54" w:rsidRPr="00CD1066" w:rsidP="00073E54" w14:paraId="7C6B3AB1" w14:textId="77777777">
      <w:pPr>
        <w:pStyle w:val="FootnoteText"/>
      </w:pPr>
      <w:r>
        <w:rPr>
          <w:rStyle w:val="FootnoteReference"/>
        </w:rPr>
        <w:footnoteRef/>
      </w:r>
      <w:r>
        <w:t xml:space="preserve"> </w:t>
      </w:r>
      <w:r>
        <w:rPr>
          <w:i/>
          <w:iCs/>
        </w:rPr>
        <w:t xml:space="preserve">See </w:t>
      </w:r>
      <w:r>
        <w:t xml:space="preserve">50 CFR § 402.08; </w:t>
      </w:r>
      <w:r>
        <w:rPr>
          <w:i/>
          <w:iCs/>
        </w:rPr>
        <w:t xml:space="preserve">see also id. </w:t>
      </w:r>
      <w:r>
        <w:t xml:space="preserve">at </w:t>
      </w:r>
      <w:r w:rsidRPr="00602D7E">
        <w:t xml:space="preserve">§ 402.12(b)(1) (“The procedures of this section are required for Federal actions that are </w:t>
      </w:r>
      <w:r>
        <w:t>‘</w:t>
      </w:r>
      <w:r w:rsidRPr="00602D7E">
        <w:t>major construction activities</w:t>
      </w:r>
      <w:r>
        <w:t>’</w:t>
      </w:r>
      <w:r w:rsidRPr="00602D7E">
        <w:t>”)</w:t>
      </w:r>
      <w:r>
        <w:t>.</w:t>
      </w:r>
    </w:p>
  </w:footnote>
  <w:footnote w:id="15">
    <w:p w:rsidR="00C07439" w:rsidRPr="00480BD6" w:rsidP="00C07439" w14:paraId="031BABC7" w14:textId="77777777">
      <w:pPr>
        <w:pStyle w:val="FootnoteText"/>
      </w:pPr>
      <w:r>
        <w:rPr>
          <w:rStyle w:val="FootnoteReference"/>
        </w:rPr>
        <w:footnoteRef/>
      </w:r>
      <w:r>
        <w:t xml:space="preserve"> </w:t>
      </w:r>
      <w:r w:rsidRPr="00C07439">
        <w:rPr>
          <w:bCs/>
          <w:i/>
          <w:iCs/>
          <w:color w:val="000000"/>
        </w:rPr>
        <w:t>2016 Guidance Public Notice</w:t>
      </w:r>
      <w:r w:rsidRPr="00C07439">
        <w:rPr>
          <w:bCs/>
          <w:color w:val="000000"/>
        </w:rPr>
        <w:t xml:space="preserve">, 31 FCC </w:t>
      </w:r>
      <w:r w:rsidRPr="00C07439">
        <w:rPr>
          <w:bCs/>
          <w:color w:val="000000"/>
        </w:rPr>
        <w:t>Rcd</w:t>
      </w:r>
      <w:r w:rsidRPr="00C07439">
        <w:rPr>
          <w:bCs/>
          <w:color w:val="000000"/>
        </w:rPr>
        <w:t xml:space="preserve"> at 3961.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0920" w14:paraId="402E60A5" w14:textId="393E9DE1">
    <w:pPr>
      <w:tabs>
        <w:tab w:val="center" w:pos="4680"/>
        <w:tab w:val="right" w:pos="9360"/>
      </w:tabs>
    </w:pPr>
    <w:r>
      <w:rPr>
        <w:b/>
      </w:rPr>
      <w:tab/>
    </w:r>
    <w:r>
      <w:rPr>
        <w:b/>
      </w:rPr>
      <w:t>Federal Communications Commission</w:t>
    </w:r>
    <w:r>
      <w:rPr>
        <w:b/>
      </w:rPr>
      <w:tab/>
    </w:r>
    <w:r w:rsidR="002750AA">
      <w:rPr>
        <w:b/>
      </w:rPr>
      <w:t>DA 21-1501</w:t>
    </w:r>
  </w:p>
  <w:p w:rsidR="00660920" w14:paraId="4E3E6804"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660920" w14:paraId="4B2945A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0920" w14:paraId="632A075A"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39"/>
    <w:rsid w:val="00012A98"/>
    <w:rsid w:val="000509E7"/>
    <w:rsid w:val="00054C45"/>
    <w:rsid w:val="000611A8"/>
    <w:rsid w:val="00070862"/>
    <w:rsid w:val="00073E54"/>
    <w:rsid w:val="001303C8"/>
    <w:rsid w:val="001315A0"/>
    <w:rsid w:val="001B3129"/>
    <w:rsid w:val="001C2D4E"/>
    <w:rsid w:val="00267B4D"/>
    <w:rsid w:val="00273603"/>
    <w:rsid w:val="002750AA"/>
    <w:rsid w:val="00286878"/>
    <w:rsid w:val="00292458"/>
    <w:rsid w:val="002F0212"/>
    <w:rsid w:val="003764B6"/>
    <w:rsid w:val="003B00AB"/>
    <w:rsid w:val="003B1DF1"/>
    <w:rsid w:val="003C6377"/>
    <w:rsid w:val="003D02BD"/>
    <w:rsid w:val="003E79EF"/>
    <w:rsid w:val="00466921"/>
    <w:rsid w:val="00480BD6"/>
    <w:rsid w:val="004A3F2F"/>
    <w:rsid w:val="004C7869"/>
    <w:rsid w:val="004E3293"/>
    <w:rsid w:val="00597D14"/>
    <w:rsid w:val="005C0FE3"/>
    <w:rsid w:val="005F2F7A"/>
    <w:rsid w:val="00602D7E"/>
    <w:rsid w:val="006050F8"/>
    <w:rsid w:val="00612AEC"/>
    <w:rsid w:val="006509B2"/>
    <w:rsid w:val="00660920"/>
    <w:rsid w:val="006974BF"/>
    <w:rsid w:val="006C5857"/>
    <w:rsid w:val="006F42A4"/>
    <w:rsid w:val="00741B97"/>
    <w:rsid w:val="007643E2"/>
    <w:rsid w:val="007712B9"/>
    <w:rsid w:val="00785CA4"/>
    <w:rsid w:val="007B2945"/>
    <w:rsid w:val="007B33BB"/>
    <w:rsid w:val="007C146E"/>
    <w:rsid w:val="007C5824"/>
    <w:rsid w:val="007F0CB0"/>
    <w:rsid w:val="00817D36"/>
    <w:rsid w:val="00841B84"/>
    <w:rsid w:val="00857945"/>
    <w:rsid w:val="008E6B09"/>
    <w:rsid w:val="00952AFE"/>
    <w:rsid w:val="00991DD0"/>
    <w:rsid w:val="009A1C60"/>
    <w:rsid w:val="009D65DF"/>
    <w:rsid w:val="00A01034"/>
    <w:rsid w:val="00A0482D"/>
    <w:rsid w:val="00A41388"/>
    <w:rsid w:val="00A57DDA"/>
    <w:rsid w:val="00A67D4F"/>
    <w:rsid w:val="00AB4AC4"/>
    <w:rsid w:val="00AB70FD"/>
    <w:rsid w:val="00B04F8A"/>
    <w:rsid w:val="00B07355"/>
    <w:rsid w:val="00B37D37"/>
    <w:rsid w:val="00B41367"/>
    <w:rsid w:val="00B67E3F"/>
    <w:rsid w:val="00B7100B"/>
    <w:rsid w:val="00BB6CFB"/>
    <w:rsid w:val="00BD08B0"/>
    <w:rsid w:val="00C07439"/>
    <w:rsid w:val="00C264A0"/>
    <w:rsid w:val="00C77881"/>
    <w:rsid w:val="00CD1066"/>
    <w:rsid w:val="00CD663D"/>
    <w:rsid w:val="00D260A7"/>
    <w:rsid w:val="00D307E7"/>
    <w:rsid w:val="00D42D15"/>
    <w:rsid w:val="00D6298D"/>
    <w:rsid w:val="00D669A8"/>
    <w:rsid w:val="00D72CB1"/>
    <w:rsid w:val="00D90F9D"/>
    <w:rsid w:val="00E91885"/>
    <w:rsid w:val="00EA1425"/>
    <w:rsid w:val="00ED0641"/>
    <w:rsid w:val="00F11F3C"/>
    <w:rsid w:val="00F613C5"/>
    <w:rsid w:val="00FE3368"/>
    <w:rsid w:val="00FE47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173EC03"/>
  <w15:chartTrackingRefBased/>
  <w15:docId w15:val="{3C79B86F-4D5C-4ECB-AE04-ED54AFED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2 Char Char,Footnote Text Char1,Footnote Text Char1 Char Char,Footnote Text Char2 Char,Footnote Text Char2 Char1 Char Char Char Char,Footnote Text Char4 Char Char Char Char,f,fn,fn Ch"/>
    <w:link w:val="FootnoteTextChar"/>
    <w:uiPriority w:val="99"/>
    <w:pPr>
      <w:spacing w:after="120"/>
    </w:pPr>
  </w:style>
  <w:style w:type="character" w:styleId="FootnoteReference">
    <w:name w:val="footnote reference"/>
    <w:aliases w:val="(NECG) Footnote Reference,Appel note de bas de p,FR,Footnote Reference/,Style 12,Style 124,Style 13,Style 17,Style 3,Style 6,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Text Char Char2 Char Char Char,Footnote Text Char1 Char Char Char,Footnote Text Char2 Char Char,Footnote Text Char2 Char1 Char Char Char Char Char,Footnote Text Char4 Char Char Char Char Char,f Char,fn Char"/>
    <w:link w:val="FootnoteText"/>
    <w:uiPriority w:val="99"/>
    <w:rsid w:val="00C07439"/>
  </w:style>
  <w:style w:type="paragraph" w:styleId="BodyText">
    <w:name w:val="Body Text"/>
    <w:basedOn w:val="Normal"/>
    <w:link w:val="BodyTextChar"/>
    <w:uiPriority w:val="1"/>
    <w:qFormat/>
    <w:rsid w:val="00C07439"/>
    <w:pPr>
      <w:ind w:left="120"/>
    </w:pPr>
    <w:rPr>
      <w:snapToGrid/>
      <w:kern w:val="0"/>
      <w:szCs w:val="22"/>
    </w:rPr>
  </w:style>
  <w:style w:type="character" w:customStyle="1" w:styleId="BodyTextChar">
    <w:name w:val="Body Text Char"/>
    <w:basedOn w:val="DefaultParagraphFont"/>
    <w:link w:val="BodyText"/>
    <w:uiPriority w:val="1"/>
    <w:rsid w:val="00C07439"/>
    <w:rPr>
      <w:sz w:val="22"/>
      <w:szCs w:val="22"/>
    </w:rPr>
  </w:style>
  <w:style w:type="character" w:styleId="FollowedHyperlink">
    <w:name w:val="FollowedHyperlink"/>
    <w:basedOn w:val="DefaultParagraphFont"/>
    <w:uiPriority w:val="99"/>
    <w:semiHidden/>
    <w:unhideWhenUsed/>
    <w:rsid w:val="00D42D15"/>
    <w:rPr>
      <w:color w:val="954F72" w:themeColor="followedHyperlink"/>
      <w:u w:val="single"/>
    </w:rPr>
  </w:style>
  <w:style w:type="character" w:styleId="CommentReference">
    <w:name w:val="annotation reference"/>
    <w:basedOn w:val="DefaultParagraphFont"/>
    <w:uiPriority w:val="99"/>
    <w:semiHidden/>
    <w:unhideWhenUsed/>
    <w:rsid w:val="00B37D37"/>
    <w:rPr>
      <w:sz w:val="16"/>
      <w:szCs w:val="16"/>
    </w:rPr>
  </w:style>
  <w:style w:type="paragraph" w:styleId="CommentText">
    <w:name w:val="annotation text"/>
    <w:basedOn w:val="Normal"/>
    <w:link w:val="CommentTextChar"/>
    <w:uiPriority w:val="99"/>
    <w:semiHidden/>
    <w:unhideWhenUsed/>
    <w:rsid w:val="00B37D37"/>
    <w:rPr>
      <w:sz w:val="20"/>
    </w:rPr>
  </w:style>
  <w:style w:type="character" w:customStyle="1" w:styleId="CommentTextChar">
    <w:name w:val="Comment Text Char"/>
    <w:basedOn w:val="DefaultParagraphFont"/>
    <w:link w:val="CommentText"/>
    <w:uiPriority w:val="99"/>
    <w:semiHidden/>
    <w:rsid w:val="00B37D37"/>
    <w:rPr>
      <w:snapToGrid w:val="0"/>
      <w:kern w:val="28"/>
    </w:rPr>
  </w:style>
  <w:style w:type="paragraph" w:styleId="CommentSubject">
    <w:name w:val="annotation subject"/>
    <w:basedOn w:val="CommentText"/>
    <w:next w:val="CommentText"/>
    <w:link w:val="CommentSubjectChar"/>
    <w:uiPriority w:val="99"/>
    <w:semiHidden/>
    <w:unhideWhenUsed/>
    <w:rsid w:val="00B37D37"/>
    <w:rPr>
      <w:b/>
      <w:bCs/>
    </w:rPr>
  </w:style>
  <w:style w:type="character" w:customStyle="1" w:styleId="CommentSubjectChar">
    <w:name w:val="Comment Subject Char"/>
    <w:basedOn w:val="CommentTextChar"/>
    <w:link w:val="CommentSubject"/>
    <w:uiPriority w:val="99"/>
    <w:semiHidden/>
    <w:rsid w:val="00B37D3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owercomments@fcc.gov" TargetMode="External" /><Relationship Id="rId6" Type="http://schemas.openxmlformats.org/officeDocument/2006/relationships/hyperlink" Target="mailto:Deborah.Spring@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ws.gov/midwest/endangered/glossary/index.html" TargetMode="External" /><Relationship Id="rId2" Type="http://schemas.openxmlformats.org/officeDocument/2006/relationships/hyperlink" Target="http://www.fws.gov/Midwest/endangered/mammals/nleb/pdf/BOnlebFinal4d.pdf" TargetMode="External" /><Relationship Id="rId3" Type="http://schemas.openxmlformats.org/officeDocument/2006/relationships/hyperlink" Target="https://ecos.fws.gov/ipac/" TargetMode="External" /><Relationship Id="rId4" Type="http://schemas.openxmlformats.org/officeDocument/2006/relationships/hyperlink" Target="https://www.fws.gov/midwest/endangered/mammals/nleb/determination_key_instructions_nleb.html"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