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rsidRPr="0059364C" w14:paraId="522BE72E" w14:textId="5CDE5A58">
      <w:pPr>
        <w:rPr>
          <w:sz w:val="22"/>
          <w:szCs w:val="22"/>
        </w:rPr>
      </w:pPr>
    </w:p>
    <w:p w:rsidR="00675AC6" w:rsidRPr="00A62C6C" w:rsidP="00565AE2" w14:paraId="27CFCF58" w14:textId="263038E1">
      <w:pPr>
        <w:tabs>
          <w:tab w:val="left" w:pos="6480"/>
        </w:tabs>
        <w:ind w:left="5760" w:firstLine="720"/>
        <w:rPr>
          <w:b/>
          <w:bCs/>
          <w:sz w:val="22"/>
          <w:szCs w:val="22"/>
        </w:rPr>
      </w:pPr>
      <w:r w:rsidRPr="00A62C6C">
        <w:rPr>
          <w:b/>
          <w:bCs/>
          <w:sz w:val="22"/>
          <w:szCs w:val="22"/>
        </w:rPr>
        <w:t>DA 21-</w:t>
      </w:r>
      <w:r w:rsidR="004217B6">
        <w:rPr>
          <w:b/>
          <w:bCs/>
          <w:sz w:val="22"/>
          <w:szCs w:val="22"/>
        </w:rPr>
        <w:t>1523</w:t>
      </w:r>
    </w:p>
    <w:p w:rsidR="00565AE2" w:rsidRPr="0059364C" w:rsidP="00565AE2" w14:paraId="6D8FBBCE" w14:textId="0226DBED">
      <w:pPr>
        <w:tabs>
          <w:tab w:val="left" w:pos="6480"/>
        </w:tabs>
        <w:ind w:left="5760" w:firstLine="720"/>
        <w:rPr>
          <w:sz w:val="22"/>
          <w:szCs w:val="22"/>
        </w:rPr>
      </w:pPr>
      <w:r w:rsidRPr="0059364C">
        <w:rPr>
          <w:sz w:val="22"/>
          <w:szCs w:val="22"/>
        </w:rPr>
        <w:t>In Reply Refer To:</w:t>
      </w:r>
    </w:p>
    <w:p w:rsidR="00A62C6C" w:rsidP="00565AE2" w14:paraId="1EDB4BE3" w14:textId="77777777">
      <w:pPr>
        <w:tabs>
          <w:tab w:val="left" w:pos="6480"/>
        </w:tabs>
        <w:ind w:firstLine="720"/>
        <w:rPr>
          <w:sz w:val="22"/>
          <w:szCs w:val="22"/>
        </w:rPr>
      </w:pPr>
      <w:r w:rsidRPr="0059364C">
        <w:rPr>
          <w:sz w:val="22"/>
          <w:szCs w:val="22"/>
        </w:rPr>
        <w:tab/>
        <w:t>1800B3-DB</w:t>
      </w:r>
    </w:p>
    <w:p w:rsidR="00565AE2" w:rsidRPr="0059364C" w:rsidP="00565AE2" w14:paraId="3E24BA2F" w14:textId="03E7242D">
      <w:pPr>
        <w:tabs>
          <w:tab w:val="left" w:pos="6480"/>
        </w:tabs>
        <w:ind w:firstLine="720"/>
        <w:rPr>
          <w:sz w:val="22"/>
          <w:szCs w:val="22"/>
        </w:rPr>
      </w:pPr>
      <w:r>
        <w:rPr>
          <w:sz w:val="22"/>
          <w:szCs w:val="22"/>
        </w:rPr>
        <w:tab/>
        <w:t>Released</w:t>
      </w:r>
      <w:r w:rsidR="006707E9">
        <w:rPr>
          <w:sz w:val="22"/>
          <w:szCs w:val="22"/>
        </w:rPr>
        <w:t>:  December 8, 2021</w:t>
      </w:r>
      <w:r w:rsidRPr="0059364C">
        <w:rPr>
          <w:sz w:val="22"/>
          <w:szCs w:val="22"/>
        </w:rPr>
        <w:tab/>
        <w:t xml:space="preserve"> </w:t>
      </w:r>
    </w:p>
    <w:p w:rsidR="00565AE2" w:rsidRPr="0059364C" w:rsidP="008A545B" w14:paraId="220769BA" w14:textId="788F2E1D">
      <w:pPr>
        <w:tabs>
          <w:tab w:val="left" w:pos="6480"/>
        </w:tabs>
        <w:rPr>
          <w:sz w:val="22"/>
          <w:szCs w:val="22"/>
        </w:rPr>
      </w:pPr>
    </w:p>
    <w:p w:rsidR="00565AE2" w:rsidRPr="0059364C" w:rsidP="00565AE2" w14:paraId="116FD772" w14:textId="77777777">
      <w:pPr>
        <w:tabs>
          <w:tab w:val="left" w:pos="-1080"/>
          <w:tab w:val="left" w:pos="5400"/>
          <w:tab w:val="left" w:pos="6480"/>
        </w:tabs>
        <w:suppressAutoHyphens/>
        <w:rPr>
          <w:sz w:val="22"/>
          <w:szCs w:val="22"/>
        </w:rPr>
      </w:pPr>
    </w:p>
    <w:p w:rsidR="00565AE2" w:rsidRPr="0059364C" w:rsidP="00565AE2" w14:paraId="0BA03A7D" w14:textId="6C4AA010">
      <w:pPr>
        <w:tabs>
          <w:tab w:val="left" w:pos="0"/>
        </w:tabs>
        <w:suppressAutoHyphens/>
        <w:ind w:left="5040" w:hanging="5040"/>
        <w:rPr>
          <w:sz w:val="22"/>
          <w:szCs w:val="22"/>
        </w:rPr>
      </w:pPr>
      <w:r w:rsidRPr="0059364C">
        <w:rPr>
          <w:sz w:val="22"/>
          <w:szCs w:val="22"/>
        </w:rPr>
        <w:t>Wilkinson, Barker, Knauer, LLP</w:t>
      </w:r>
    </w:p>
    <w:p w:rsidR="00C11E0F" w:rsidRPr="0059364C" w:rsidP="00565AE2" w14:paraId="377C9A6B" w14:textId="77777777">
      <w:pPr>
        <w:tabs>
          <w:tab w:val="left" w:pos="0"/>
        </w:tabs>
        <w:suppressAutoHyphens/>
        <w:ind w:left="5040" w:hanging="5040"/>
        <w:rPr>
          <w:sz w:val="22"/>
          <w:szCs w:val="22"/>
        </w:rPr>
      </w:pPr>
      <w:r w:rsidRPr="0059364C">
        <w:rPr>
          <w:sz w:val="22"/>
          <w:szCs w:val="22"/>
        </w:rPr>
        <w:t xml:space="preserve">Attn:  David D. Oxenford, Esq. </w:t>
      </w:r>
    </w:p>
    <w:p w:rsidR="00565AE2" w:rsidRPr="0059364C" w:rsidP="00565AE2" w14:paraId="1CF078CC" w14:textId="746595B4">
      <w:pPr>
        <w:tabs>
          <w:tab w:val="left" w:pos="0"/>
        </w:tabs>
        <w:suppressAutoHyphens/>
        <w:ind w:left="5040" w:hanging="5040"/>
        <w:rPr>
          <w:sz w:val="22"/>
          <w:szCs w:val="22"/>
        </w:rPr>
      </w:pPr>
      <w:r w:rsidRPr="0059364C">
        <w:rPr>
          <w:sz w:val="22"/>
          <w:szCs w:val="22"/>
        </w:rPr>
        <w:t>1800 M Street, N.W., Suite 800</w:t>
      </w:r>
      <w:r w:rsidRPr="0059364C" w:rsidR="00EE3A84">
        <w:rPr>
          <w:sz w:val="22"/>
          <w:szCs w:val="22"/>
        </w:rPr>
        <w:t>N</w:t>
      </w:r>
    </w:p>
    <w:p w:rsidR="00565AE2" w:rsidRPr="0059364C" w:rsidP="00565AE2" w14:paraId="5056E41A" w14:textId="1D452017">
      <w:pPr>
        <w:tabs>
          <w:tab w:val="left" w:pos="0"/>
        </w:tabs>
        <w:suppressAutoHyphens/>
        <w:ind w:left="5040" w:hanging="5040"/>
        <w:rPr>
          <w:sz w:val="22"/>
          <w:szCs w:val="22"/>
        </w:rPr>
      </w:pPr>
      <w:r w:rsidRPr="0059364C">
        <w:rPr>
          <w:sz w:val="22"/>
          <w:szCs w:val="22"/>
        </w:rPr>
        <w:t>Washington, DC 200</w:t>
      </w:r>
      <w:r w:rsidRPr="0059364C" w:rsidR="00C11E0F">
        <w:rPr>
          <w:sz w:val="22"/>
          <w:szCs w:val="22"/>
        </w:rPr>
        <w:t>36</w:t>
      </w:r>
    </w:p>
    <w:p w:rsidR="001423DA" w:rsidRPr="0059364C" w:rsidP="00565AE2" w14:paraId="4FC8F26F" w14:textId="27BDB184">
      <w:pPr>
        <w:tabs>
          <w:tab w:val="left" w:pos="0"/>
        </w:tabs>
        <w:suppressAutoHyphens/>
        <w:ind w:left="5040" w:hanging="5040"/>
        <w:rPr>
          <w:sz w:val="22"/>
          <w:szCs w:val="22"/>
        </w:rPr>
      </w:pPr>
      <w:hyperlink r:id="rId5" w:history="1">
        <w:r w:rsidRPr="0059364C" w:rsidR="007D67AB">
          <w:rPr>
            <w:rStyle w:val="Hyperlink"/>
            <w:color w:val="auto"/>
            <w:sz w:val="22"/>
            <w:szCs w:val="22"/>
            <w:u w:val="none"/>
          </w:rPr>
          <w:t>doxenford@wbklaw.com</w:t>
        </w:r>
      </w:hyperlink>
    </w:p>
    <w:p w:rsidR="007D67AB" w:rsidRPr="0059364C" w:rsidP="00565AE2" w14:paraId="56A43B91" w14:textId="77777777">
      <w:pPr>
        <w:tabs>
          <w:tab w:val="left" w:pos="0"/>
        </w:tabs>
        <w:suppressAutoHyphens/>
        <w:ind w:left="5040" w:hanging="5040"/>
        <w:rPr>
          <w:sz w:val="22"/>
          <w:szCs w:val="22"/>
        </w:rPr>
      </w:pPr>
    </w:p>
    <w:p w:rsidR="008D58EF" w:rsidRPr="0059364C" w:rsidP="00565AE2" w14:paraId="452B3E45" w14:textId="69EBB708">
      <w:pPr>
        <w:tabs>
          <w:tab w:val="left" w:pos="0"/>
        </w:tabs>
        <w:suppressAutoHyphens/>
        <w:ind w:left="5040" w:hanging="5040"/>
        <w:rPr>
          <w:sz w:val="22"/>
          <w:szCs w:val="22"/>
        </w:rPr>
      </w:pPr>
      <w:r w:rsidRPr="0059364C">
        <w:rPr>
          <w:sz w:val="22"/>
          <w:szCs w:val="22"/>
        </w:rPr>
        <w:t>Wiley Rein, LLP</w:t>
      </w:r>
    </w:p>
    <w:p w:rsidR="008D58EF" w:rsidRPr="0059364C" w:rsidP="00565AE2" w14:paraId="66E5E6CE" w14:textId="7C9FA5A2">
      <w:pPr>
        <w:tabs>
          <w:tab w:val="left" w:pos="0"/>
        </w:tabs>
        <w:suppressAutoHyphens/>
        <w:ind w:left="5040" w:hanging="5040"/>
        <w:rPr>
          <w:sz w:val="22"/>
          <w:szCs w:val="22"/>
        </w:rPr>
      </w:pPr>
      <w:r w:rsidRPr="0059364C">
        <w:rPr>
          <w:sz w:val="22"/>
          <w:szCs w:val="22"/>
        </w:rPr>
        <w:t xml:space="preserve">Attn:  </w:t>
      </w:r>
      <w:r w:rsidRPr="0059364C" w:rsidR="00C11E0F">
        <w:rPr>
          <w:sz w:val="22"/>
          <w:szCs w:val="22"/>
        </w:rPr>
        <w:t>Kathleen Kirby</w:t>
      </w:r>
      <w:r w:rsidRPr="0059364C">
        <w:rPr>
          <w:sz w:val="22"/>
          <w:szCs w:val="22"/>
        </w:rPr>
        <w:t>, Esq.</w:t>
      </w:r>
      <w:r w:rsidRPr="0059364C" w:rsidR="0008044E">
        <w:rPr>
          <w:sz w:val="22"/>
          <w:szCs w:val="22"/>
        </w:rPr>
        <w:t xml:space="preserve"> &amp; Greg L. Masters, Esq.</w:t>
      </w:r>
    </w:p>
    <w:p w:rsidR="008D58EF" w:rsidRPr="0059364C" w:rsidP="00565AE2" w14:paraId="4E2D1578" w14:textId="5D03F6A6">
      <w:pPr>
        <w:tabs>
          <w:tab w:val="left" w:pos="0"/>
        </w:tabs>
        <w:suppressAutoHyphens/>
        <w:ind w:left="5040" w:hanging="5040"/>
        <w:rPr>
          <w:sz w:val="22"/>
          <w:szCs w:val="22"/>
        </w:rPr>
      </w:pPr>
      <w:r w:rsidRPr="0059364C">
        <w:rPr>
          <w:sz w:val="22"/>
          <w:szCs w:val="22"/>
        </w:rPr>
        <w:t>1776 K Street, N.W.</w:t>
      </w:r>
    </w:p>
    <w:p w:rsidR="008D58EF" w:rsidRPr="0059364C" w:rsidP="00565AE2" w14:paraId="434C45FA" w14:textId="1D4E51E5">
      <w:pPr>
        <w:tabs>
          <w:tab w:val="left" w:pos="0"/>
        </w:tabs>
        <w:suppressAutoHyphens/>
        <w:ind w:left="5040" w:hanging="5040"/>
        <w:rPr>
          <w:sz w:val="22"/>
          <w:szCs w:val="22"/>
        </w:rPr>
      </w:pPr>
      <w:r w:rsidRPr="0059364C">
        <w:rPr>
          <w:sz w:val="22"/>
          <w:szCs w:val="22"/>
        </w:rPr>
        <w:t>Washington, DC</w:t>
      </w:r>
      <w:r w:rsidRPr="0059364C">
        <w:rPr>
          <w:sz w:val="22"/>
          <w:szCs w:val="22"/>
        </w:rPr>
        <w:t xml:space="preserve"> 2</w:t>
      </w:r>
      <w:r w:rsidRPr="0059364C">
        <w:rPr>
          <w:sz w:val="22"/>
          <w:szCs w:val="22"/>
        </w:rPr>
        <w:t>0006</w:t>
      </w:r>
    </w:p>
    <w:p w:rsidR="008D58EF" w:rsidRPr="0059364C" w:rsidP="00565AE2" w14:paraId="145F9130" w14:textId="2AC8BC9A">
      <w:pPr>
        <w:tabs>
          <w:tab w:val="left" w:pos="0"/>
        </w:tabs>
        <w:suppressAutoHyphens/>
        <w:ind w:left="5040" w:hanging="5040"/>
        <w:rPr>
          <w:sz w:val="22"/>
          <w:szCs w:val="22"/>
        </w:rPr>
      </w:pPr>
      <w:hyperlink r:id="rId6" w:history="1">
        <w:r w:rsidRPr="0059364C" w:rsidR="007D67AB">
          <w:rPr>
            <w:rStyle w:val="Hyperlink"/>
            <w:color w:val="auto"/>
            <w:sz w:val="22"/>
            <w:szCs w:val="22"/>
            <w:u w:val="none"/>
          </w:rPr>
          <w:t>kkirby@wiley.law</w:t>
        </w:r>
      </w:hyperlink>
    </w:p>
    <w:p w:rsidR="007D67AB" w:rsidRPr="0059364C" w:rsidP="00565AE2" w14:paraId="2D1A6A37" w14:textId="25686697">
      <w:pPr>
        <w:tabs>
          <w:tab w:val="left" w:pos="0"/>
        </w:tabs>
        <w:suppressAutoHyphens/>
        <w:ind w:left="5040" w:hanging="5040"/>
        <w:rPr>
          <w:sz w:val="22"/>
          <w:szCs w:val="22"/>
        </w:rPr>
      </w:pPr>
      <w:hyperlink r:id="rId7" w:history="1">
        <w:r w:rsidRPr="0059364C">
          <w:rPr>
            <w:rStyle w:val="Hyperlink"/>
            <w:color w:val="auto"/>
            <w:sz w:val="22"/>
            <w:szCs w:val="22"/>
            <w:u w:val="none"/>
          </w:rPr>
          <w:t>gmasters@wiley.law</w:t>
        </w:r>
      </w:hyperlink>
    </w:p>
    <w:p w:rsidR="007D67AB" w:rsidRPr="0059364C" w:rsidP="00565AE2" w14:paraId="58175164" w14:textId="77777777">
      <w:pPr>
        <w:tabs>
          <w:tab w:val="left" w:pos="0"/>
        </w:tabs>
        <w:suppressAutoHyphens/>
        <w:ind w:left="5040" w:hanging="5040"/>
        <w:rPr>
          <w:sz w:val="22"/>
          <w:szCs w:val="22"/>
        </w:rPr>
      </w:pPr>
    </w:p>
    <w:p w:rsidR="0008044E" w:rsidRPr="0059364C" w:rsidP="00A4716E" w14:paraId="3DF21687" w14:textId="1E69BF4A">
      <w:pPr>
        <w:pStyle w:val="Default"/>
        <w:rPr>
          <w:sz w:val="22"/>
          <w:szCs w:val="22"/>
        </w:rPr>
      </w:pPr>
      <w:r w:rsidRPr="0059364C">
        <w:rPr>
          <w:sz w:val="22"/>
          <w:szCs w:val="22"/>
        </w:rPr>
        <w:t xml:space="preserve">            </w:t>
      </w:r>
    </w:p>
    <w:p w:rsidR="0008044E" w:rsidRPr="0059364C" w:rsidP="0008044E" w14:paraId="0B56FF1B" w14:textId="6EA243AA">
      <w:pPr>
        <w:pStyle w:val="Default"/>
        <w:ind w:left="1440" w:firstLine="720"/>
        <w:rPr>
          <w:sz w:val="22"/>
          <w:szCs w:val="22"/>
        </w:rPr>
      </w:pPr>
      <w:r w:rsidRPr="0059364C">
        <w:rPr>
          <w:b/>
          <w:bCs/>
          <w:sz w:val="22"/>
          <w:szCs w:val="22"/>
        </w:rPr>
        <w:t>Re:</w:t>
      </w:r>
      <w:r w:rsidRPr="0059364C" w:rsidR="005C5502">
        <w:rPr>
          <w:b/>
          <w:bCs/>
          <w:sz w:val="22"/>
          <w:szCs w:val="22"/>
        </w:rPr>
        <w:tab/>
      </w:r>
      <w:r w:rsidRPr="0059364C">
        <w:rPr>
          <w:b/>
          <w:bCs/>
          <w:sz w:val="22"/>
          <w:szCs w:val="22"/>
        </w:rPr>
        <w:t xml:space="preserve">The CXR Radio Station Trust LLC </w:t>
      </w:r>
    </w:p>
    <w:p w:rsidR="0008044E" w:rsidRPr="0059364C" w:rsidP="005C5502" w14:paraId="23855BEB" w14:textId="7B9A123A">
      <w:pPr>
        <w:pStyle w:val="Default"/>
        <w:ind w:left="2160" w:firstLine="720"/>
        <w:rPr>
          <w:sz w:val="22"/>
          <w:szCs w:val="22"/>
        </w:rPr>
      </w:pPr>
      <w:r w:rsidRPr="0059364C">
        <w:rPr>
          <w:sz w:val="22"/>
          <w:szCs w:val="22"/>
        </w:rPr>
        <w:t xml:space="preserve">Request for Waiver and Extension of Divestiture Deadline </w:t>
      </w:r>
    </w:p>
    <w:p w:rsidR="0008044E" w:rsidRPr="0059364C" w:rsidP="005C5502" w14:paraId="4B0A647B" w14:textId="31377811">
      <w:pPr>
        <w:pStyle w:val="Default"/>
        <w:ind w:left="2160" w:firstLine="720"/>
        <w:rPr>
          <w:sz w:val="22"/>
          <w:szCs w:val="22"/>
        </w:rPr>
      </w:pPr>
      <w:r w:rsidRPr="0059364C">
        <w:rPr>
          <w:sz w:val="22"/>
          <w:szCs w:val="22"/>
        </w:rPr>
        <w:t xml:space="preserve">Station WSUN(FM), Holiday, FL (Facility ID </w:t>
      </w:r>
      <w:r w:rsidRPr="0059364C" w:rsidR="007D67AB">
        <w:rPr>
          <w:sz w:val="22"/>
          <w:szCs w:val="22"/>
        </w:rPr>
        <w:t xml:space="preserve">No. </w:t>
      </w:r>
      <w:r w:rsidRPr="0059364C">
        <w:rPr>
          <w:sz w:val="22"/>
          <w:szCs w:val="22"/>
        </w:rPr>
        <w:t>6</w:t>
      </w:r>
      <w:r w:rsidRPr="0059364C" w:rsidR="007D67AB">
        <w:rPr>
          <w:sz w:val="22"/>
          <w:szCs w:val="22"/>
        </w:rPr>
        <w:t>7136</w:t>
      </w:r>
      <w:r w:rsidRPr="0059364C">
        <w:rPr>
          <w:sz w:val="22"/>
          <w:szCs w:val="22"/>
        </w:rPr>
        <w:t>)</w:t>
      </w:r>
    </w:p>
    <w:p w:rsidR="0008044E" w:rsidRPr="0059364C" w:rsidP="005C5502" w14:paraId="13E8EDA1" w14:textId="2D890A3A">
      <w:pPr>
        <w:pStyle w:val="Default"/>
        <w:ind w:left="2160" w:firstLine="720"/>
        <w:rPr>
          <w:sz w:val="22"/>
          <w:szCs w:val="22"/>
        </w:rPr>
      </w:pPr>
      <w:r w:rsidRPr="0059364C">
        <w:rPr>
          <w:sz w:val="22"/>
          <w:szCs w:val="22"/>
        </w:rPr>
        <w:t>Station WPYO(FM), Maitland, FL (Facility ID</w:t>
      </w:r>
      <w:r w:rsidRPr="0059364C" w:rsidR="007D67AB">
        <w:rPr>
          <w:sz w:val="22"/>
          <w:szCs w:val="22"/>
        </w:rPr>
        <w:t xml:space="preserve"> No. 1186)</w:t>
      </w:r>
    </w:p>
    <w:p w:rsidR="005C5502" w:rsidRPr="0059364C" w:rsidP="005C5502" w14:paraId="7D5A2E1B" w14:textId="07A7B640">
      <w:pPr>
        <w:pStyle w:val="Default"/>
        <w:ind w:left="2160" w:firstLine="720"/>
        <w:rPr>
          <w:sz w:val="22"/>
          <w:szCs w:val="22"/>
        </w:rPr>
      </w:pPr>
    </w:p>
    <w:p w:rsidR="005C5502" w:rsidRPr="0059364C" w:rsidP="005C5502" w14:paraId="48077337" w14:textId="340BF5BA">
      <w:pPr>
        <w:pStyle w:val="Default"/>
        <w:ind w:left="2160" w:firstLine="720"/>
        <w:rPr>
          <w:b/>
          <w:bCs/>
          <w:sz w:val="22"/>
          <w:szCs w:val="22"/>
        </w:rPr>
      </w:pPr>
      <w:r w:rsidRPr="0059364C">
        <w:rPr>
          <w:b/>
          <w:bCs/>
          <w:sz w:val="22"/>
          <w:szCs w:val="22"/>
        </w:rPr>
        <w:t>MB Docket No. 19-98</w:t>
      </w:r>
    </w:p>
    <w:p w:rsidR="00565AE2" w:rsidRPr="0059364C" w:rsidP="00565AE2" w14:paraId="2E886038" w14:textId="2F77FD0A">
      <w:pPr>
        <w:tabs>
          <w:tab w:val="left" w:pos="0"/>
        </w:tabs>
        <w:suppressAutoHyphens/>
        <w:ind w:left="5040" w:hanging="5040"/>
        <w:rPr>
          <w:b/>
          <w:bCs/>
          <w:sz w:val="22"/>
          <w:szCs w:val="22"/>
        </w:rPr>
      </w:pPr>
      <w:r w:rsidRPr="0059364C">
        <w:rPr>
          <w:b/>
          <w:bCs/>
          <w:sz w:val="22"/>
          <w:szCs w:val="22"/>
        </w:rPr>
        <w:tab/>
      </w:r>
    </w:p>
    <w:p w:rsidR="00565AE2" w:rsidRPr="0059364C" w:rsidP="00565AE2" w14:paraId="40DFFEB7" w14:textId="77777777">
      <w:pPr>
        <w:tabs>
          <w:tab w:val="left" w:pos="-1080"/>
          <w:tab w:val="left" w:pos="5400"/>
          <w:tab w:val="left" w:pos="6480"/>
        </w:tabs>
        <w:suppressAutoHyphens/>
        <w:rPr>
          <w:sz w:val="22"/>
          <w:szCs w:val="22"/>
        </w:rPr>
      </w:pPr>
    </w:p>
    <w:p w:rsidR="00565AE2" w:rsidRPr="0059364C" w:rsidP="00565AE2" w14:paraId="6C3B7910" w14:textId="623C16E2">
      <w:pPr>
        <w:tabs>
          <w:tab w:val="left" w:pos="-1080"/>
          <w:tab w:val="left" w:pos="5400"/>
          <w:tab w:val="left" w:pos="6480"/>
        </w:tabs>
        <w:suppressAutoHyphens/>
        <w:rPr>
          <w:sz w:val="22"/>
          <w:szCs w:val="22"/>
        </w:rPr>
      </w:pPr>
      <w:r w:rsidRPr="0059364C">
        <w:rPr>
          <w:sz w:val="22"/>
          <w:szCs w:val="22"/>
        </w:rPr>
        <w:t>Dear Counsel</w:t>
      </w:r>
      <w:r w:rsidRPr="0059364C" w:rsidR="00A937FB">
        <w:rPr>
          <w:sz w:val="22"/>
          <w:szCs w:val="22"/>
        </w:rPr>
        <w:t>,</w:t>
      </w:r>
    </w:p>
    <w:p w:rsidR="00565AE2" w:rsidRPr="0059364C" w:rsidP="00565AE2" w14:paraId="40A038B3" w14:textId="77777777">
      <w:pPr>
        <w:tabs>
          <w:tab w:val="left" w:pos="-1080"/>
          <w:tab w:val="left" w:pos="5400"/>
          <w:tab w:val="left" w:pos="6480"/>
        </w:tabs>
        <w:suppressAutoHyphens/>
        <w:rPr>
          <w:sz w:val="22"/>
          <w:szCs w:val="22"/>
        </w:rPr>
      </w:pPr>
    </w:p>
    <w:p w:rsidR="003422F2" w:rsidRPr="0059364C" w:rsidP="00A57058" w14:paraId="2DB3B8B4" w14:textId="7AB044A0">
      <w:pPr>
        <w:widowControl/>
        <w:autoSpaceDE w:val="0"/>
        <w:autoSpaceDN w:val="0"/>
        <w:adjustRightInd w:val="0"/>
        <w:rPr>
          <w:sz w:val="22"/>
          <w:szCs w:val="22"/>
        </w:rPr>
      </w:pPr>
      <w:r w:rsidRPr="0059364C">
        <w:rPr>
          <w:sz w:val="22"/>
          <w:szCs w:val="22"/>
        </w:rPr>
        <w:tab/>
      </w:r>
      <w:r w:rsidRPr="0059364C" w:rsidR="008C5A92">
        <w:rPr>
          <w:sz w:val="22"/>
          <w:szCs w:val="22"/>
        </w:rPr>
        <w:t>This letter concerns</w:t>
      </w:r>
      <w:r w:rsidRPr="0059364C" w:rsidR="003C4632">
        <w:rPr>
          <w:sz w:val="22"/>
          <w:szCs w:val="22"/>
        </w:rPr>
        <w:t xml:space="preserve"> </w:t>
      </w:r>
      <w:r w:rsidRPr="0059364C" w:rsidR="00D75556">
        <w:rPr>
          <w:sz w:val="22"/>
          <w:szCs w:val="22"/>
        </w:rPr>
        <w:t>the request of CXR Radio, LLC (CXR)</w:t>
      </w:r>
      <w:r w:rsidRPr="0059364C" w:rsidR="00AC260D">
        <w:rPr>
          <w:sz w:val="22"/>
          <w:szCs w:val="22"/>
        </w:rPr>
        <w:t xml:space="preserve"> for a</w:t>
      </w:r>
      <w:r w:rsidRPr="0059364C" w:rsidR="00FB373C">
        <w:rPr>
          <w:sz w:val="22"/>
          <w:szCs w:val="22"/>
        </w:rPr>
        <w:t xml:space="preserve"> one</w:t>
      </w:r>
      <w:r w:rsidRPr="0059364C" w:rsidR="00BE2880">
        <w:rPr>
          <w:sz w:val="22"/>
          <w:szCs w:val="22"/>
        </w:rPr>
        <w:t>-</w:t>
      </w:r>
      <w:r w:rsidRPr="0059364C" w:rsidR="00FB373C">
        <w:rPr>
          <w:sz w:val="22"/>
          <w:szCs w:val="22"/>
        </w:rPr>
        <w:t>year</w:t>
      </w:r>
      <w:r w:rsidRPr="0059364C" w:rsidR="00AC260D">
        <w:rPr>
          <w:sz w:val="22"/>
          <w:szCs w:val="22"/>
        </w:rPr>
        <w:t xml:space="preserve"> extension or waiver of </w:t>
      </w:r>
      <w:r w:rsidRPr="0059364C" w:rsidR="00BC6892">
        <w:rPr>
          <w:sz w:val="22"/>
          <w:szCs w:val="22"/>
        </w:rPr>
        <w:t xml:space="preserve">its divestiture </w:t>
      </w:r>
      <w:r w:rsidRPr="0059364C" w:rsidR="00AC260D">
        <w:rPr>
          <w:sz w:val="22"/>
          <w:szCs w:val="22"/>
        </w:rPr>
        <w:t xml:space="preserve">deadline for </w:t>
      </w:r>
      <w:r w:rsidRPr="0059364C" w:rsidR="002468B4">
        <w:rPr>
          <w:sz w:val="22"/>
          <w:szCs w:val="22"/>
        </w:rPr>
        <w:t xml:space="preserve">two </w:t>
      </w:r>
      <w:r w:rsidRPr="0059364C" w:rsidR="00BE2880">
        <w:rPr>
          <w:sz w:val="22"/>
          <w:szCs w:val="22"/>
        </w:rPr>
        <w:t xml:space="preserve">Florida </w:t>
      </w:r>
      <w:r w:rsidRPr="0059364C" w:rsidR="00EF2B53">
        <w:rPr>
          <w:sz w:val="22"/>
          <w:szCs w:val="22"/>
        </w:rPr>
        <w:t>radio stations, WSUN(FM), Holiday, Florida, and WPYO(FM), Maitland, Florida (collectively,</w:t>
      </w:r>
      <w:r w:rsidRPr="0059364C" w:rsidR="006F2209">
        <w:rPr>
          <w:sz w:val="22"/>
          <w:szCs w:val="22"/>
        </w:rPr>
        <w:t xml:space="preserve"> the</w:t>
      </w:r>
      <w:r w:rsidRPr="0059364C" w:rsidR="00EF2B53">
        <w:rPr>
          <w:sz w:val="22"/>
          <w:szCs w:val="22"/>
        </w:rPr>
        <w:t xml:space="preserve"> Stations)</w:t>
      </w:r>
      <w:r w:rsidRPr="0059364C" w:rsidR="00A27378">
        <w:rPr>
          <w:sz w:val="22"/>
          <w:szCs w:val="22"/>
        </w:rPr>
        <w:t>, and related pleadings</w:t>
      </w:r>
      <w:r w:rsidRPr="0059364C" w:rsidR="00BC6892">
        <w:rPr>
          <w:sz w:val="22"/>
          <w:szCs w:val="22"/>
        </w:rPr>
        <w:t>.</w:t>
      </w:r>
      <w:r>
        <w:rPr>
          <w:rStyle w:val="FootnoteReference"/>
          <w:rFonts w:ascii="Times New Roman" w:hAnsi="Times New Roman"/>
          <w:sz w:val="22"/>
          <w:szCs w:val="22"/>
        </w:rPr>
        <w:footnoteReference w:id="3"/>
      </w:r>
      <w:r w:rsidRPr="0059364C">
        <w:rPr>
          <w:sz w:val="22"/>
          <w:szCs w:val="22"/>
        </w:rPr>
        <w:t xml:space="preserve">  For the reasons set forth below, we grant in part </w:t>
      </w:r>
      <w:r w:rsidRPr="0059364C" w:rsidR="00DF4CE5">
        <w:rPr>
          <w:sz w:val="22"/>
          <w:szCs w:val="22"/>
        </w:rPr>
        <w:t xml:space="preserve">and otherwise deny </w:t>
      </w:r>
      <w:r w:rsidRPr="0059364C">
        <w:rPr>
          <w:sz w:val="22"/>
          <w:szCs w:val="22"/>
        </w:rPr>
        <w:t>CXR’s request</w:t>
      </w:r>
      <w:r w:rsidRPr="0059364C" w:rsidR="00F13686">
        <w:rPr>
          <w:sz w:val="22"/>
          <w:szCs w:val="22"/>
        </w:rPr>
        <w:t>.</w:t>
      </w:r>
      <w:r w:rsidRPr="0059364C" w:rsidR="004F6E58">
        <w:rPr>
          <w:snapToGrid/>
          <w:sz w:val="22"/>
          <w:szCs w:val="22"/>
        </w:rPr>
        <w:t xml:space="preserve"> </w:t>
      </w:r>
      <w:r w:rsidRPr="0059364C" w:rsidR="00BC6892">
        <w:rPr>
          <w:sz w:val="22"/>
          <w:szCs w:val="22"/>
        </w:rPr>
        <w:t xml:space="preserve"> </w:t>
      </w:r>
    </w:p>
    <w:p w:rsidR="003422F2" w:rsidRPr="0059364C" w:rsidP="00A57058" w14:paraId="3A209020" w14:textId="77777777">
      <w:pPr>
        <w:widowControl/>
        <w:autoSpaceDE w:val="0"/>
        <w:autoSpaceDN w:val="0"/>
        <w:adjustRightInd w:val="0"/>
        <w:rPr>
          <w:sz w:val="22"/>
          <w:szCs w:val="22"/>
        </w:rPr>
      </w:pPr>
    </w:p>
    <w:p w:rsidR="00095C04" w:rsidRPr="0059364C" w:rsidP="006F2209" w14:paraId="1F106E0C" w14:textId="2D6ED6DC">
      <w:pPr>
        <w:widowControl/>
        <w:autoSpaceDE w:val="0"/>
        <w:autoSpaceDN w:val="0"/>
        <w:adjustRightInd w:val="0"/>
        <w:ind w:firstLine="720"/>
        <w:rPr>
          <w:sz w:val="22"/>
          <w:szCs w:val="22"/>
        </w:rPr>
      </w:pPr>
      <w:r w:rsidRPr="0059364C">
        <w:rPr>
          <w:b/>
          <w:bCs/>
          <w:sz w:val="22"/>
          <w:szCs w:val="22"/>
        </w:rPr>
        <w:t>Background</w:t>
      </w:r>
      <w:r w:rsidRPr="0059364C">
        <w:rPr>
          <w:sz w:val="22"/>
          <w:szCs w:val="22"/>
        </w:rPr>
        <w:t xml:space="preserve">.  </w:t>
      </w:r>
      <w:r w:rsidRPr="0059364C" w:rsidR="009C04E6">
        <w:rPr>
          <w:snapToGrid/>
          <w:sz w:val="22"/>
          <w:szCs w:val="22"/>
        </w:rPr>
        <w:t xml:space="preserve">On November 22, 2019, the Media Bureau (Bureau) released a </w:t>
      </w:r>
      <w:r w:rsidRPr="0059364C" w:rsidR="009C04E6">
        <w:rPr>
          <w:i/>
          <w:iCs/>
          <w:snapToGrid/>
          <w:sz w:val="22"/>
          <w:szCs w:val="22"/>
        </w:rPr>
        <w:t xml:space="preserve">Memorandum Opinion and Order </w:t>
      </w:r>
      <w:r w:rsidRPr="0059364C" w:rsidR="002906A2">
        <w:rPr>
          <w:snapToGrid/>
          <w:sz w:val="22"/>
          <w:szCs w:val="22"/>
        </w:rPr>
        <w:t>(</w:t>
      </w:r>
      <w:r w:rsidRPr="0059364C" w:rsidR="002906A2">
        <w:rPr>
          <w:i/>
          <w:iCs/>
          <w:snapToGrid/>
          <w:sz w:val="22"/>
          <w:szCs w:val="22"/>
        </w:rPr>
        <w:t>Divestiture Order</w:t>
      </w:r>
      <w:r w:rsidRPr="0059364C" w:rsidR="002906A2">
        <w:rPr>
          <w:snapToGrid/>
          <w:sz w:val="22"/>
          <w:szCs w:val="22"/>
        </w:rPr>
        <w:t xml:space="preserve">) </w:t>
      </w:r>
      <w:r w:rsidRPr="0059364C" w:rsidR="009C04E6">
        <w:rPr>
          <w:snapToGrid/>
          <w:sz w:val="22"/>
          <w:szCs w:val="22"/>
        </w:rPr>
        <w:t>that granted with conditions the divestiture applications of Cox Radio, Inc., (Cox Radio) for</w:t>
      </w:r>
      <w:r w:rsidRPr="0059364C" w:rsidR="00DF4CE5">
        <w:rPr>
          <w:snapToGrid/>
          <w:sz w:val="22"/>
          <w:szCs w:val="22"/>
        </w:rPr>
        <w:t xml:space="preserve"> </w:t>
      </w:r>
      <w:r w:rsidRPr="0059364C" w:rsidR="009C04E6">
        <w:rPr>
          <w:snapToGrid/>
          <w:sz w:val="22"/>
          <w:szCs w:val="22"/>
        </w:rPr>
        <w:t xml:space="preserve">consent to assign the </w:t>
      </w:r>
      <w:r w:rsidRPr="0059364C" w:rsidR="006F2209">
        <w:rPr>
          <w:snapToGrid/>
          <w:sz w:val="22"/>
          <w:szCs w:val="22"/>
        </w:rPr>
        <w:t xml:space="preserve">Stations’ </w:t>
      </w:r>
      <w:r w:rsidRPr="0059364C" w:rsidR="009C04E6">
        <w:rPr>
          <w:snapToGrid/>
          <w:sz w:val="22"/>
          <w:szCs w:val="22"/>
        </w:rPr>
        <w:t>licenses to</w:t>
      </w:r>
      <w:r w:rsidRPr="0059364C" w:rsidR="00DF4CE5">
        <w:rPr>
          <w:snapToGrid/>
          <w:sz w:val="22"/>
          <w:szCs w:val="22"/>
        </w:rPr>
        <w:t xml:space="preserve"> </w:t>
      </w:r>
      <w:r w:rsidRPr="0059364C" w:rsidR="009C04E6">
        <w:rPr>
          <w:snapToGrid/>
          <w:sz w:val="22"/>
          <w:szCs w:val="22"/>
        </w:rPr>
        <w:t xml:space="preserve">CXR, the divestiture trustee of the </w:t>
      </w:r>
      <w:r w:rsidRPr="0059364C" w:rsidR="009C04E6">
        <w:rPr>
          <w:snapToGrid/>
          <w:sz w:val="22"/>
          <w:szCs w:val="22"/>
        </w:rPr>
        <w:t>CXR Radio Station Trust (Trust).</w:t>
      </w:r>
      <w:r>
        <w:rPr>
          <w:rStyle w:val="FootnoteReference"/>
          <w:rFonts w:ascii="Times New Roman" w:hAnsi="Times New Roman"/>
          <w:sz w:val="22"/>
          <w:szCs w:val="22"/>
        </w:rPr>
        <w:footnoteReference w:id="4"/>
      </w:r>
      <w:r w:rsidRPr="0059364C" w:rsidR="009C04E6">
        <w:rPr>
          <w:sz w:val="22"/>
          <w:szCs w:val="22"/>
        </w:rPr>
        <w:t xml:space="preserve"> </w:t>
      </w:r>
      <w:r w:rsidRPr="0059364C" w:rsidR="009C04E6">
        <w:rPr>
          <w:snapToGrid/>
          <w:sz w:val="22"/>
          <w:szCs w:val="22"/>
        </w:rPr>
        <w:t xml:space="preserve"> The </w:t>
      </w:r>
      <w:r w:rsidRPr="0059364C" w:rsidR="00C94FDD">
        <w:rPr>
          <w:i/>
          <w:iCs/>
          <w:snapToGrid/>
          <w:sz w:val="22"/>
          <w:szCs w:val="22"/>
        </w:rPr>
        <w:t xml:space="preserve">Divestiture </w:t>
      </w:r>
      <w:r w:rsidRPr="0059364C" w:rsidR="009C04E6">
        <w:rPr>
          <w:i/>
          <w:iCs/>
          <w:snapToGrid/>
          <w:sz w:val="22"/>
          <w:szCs w:val="22"/>
        </w:rPr>
        <w:t>Order</w:t>
      </w:r>
      <w:r w:rsidRPr="0059364C" w:rsidR="009C04E6">
        <w:rPr>
          <w:snapToGrid/>
          <w:sz w:val="22"/>
          <w:szCs w:val="22"/>
        </w:rPr>
        <w:t xml:space="preserve"> requires CXR to assign the licenses for </w:t>
      </w:r>
      <w:r w:rsidRPr="0059364C" w:rsidR="00880335">
        <w:rPr>
          <w:snapToGrid/>
          <w:sz w:val="22"/>
          <w:szCs w:val="22"/>
        </w:rPr>
        <w:t>the Stations</w:t>
      </w:r>
      <w:r w:rsidRPr="0059364C" w:rsidR="009C04E6">
        <w:rPr>
          <w:snapToGrid/>
          <w:sz w:val="22"/>
          <w:szCs w:val="22"/>
        </w:rPr>
        <w:t xml:space="preserve"> to an unrelated third party pursuant to a long-form assignment within two years after CXR’s acquisition of the </w:t>
      </w:r>
      <w:r w:rsidRPr="0059364C" w:rsidR="00880335">
        <w:rPr>
          <w:snapToGrid/>
          <w:sz w:val="22"/>
          <w:szCs w:val="22"/>
        </w:rPr>
        <w:t xml:space="preserve">Stations’ </w:t>
      </w:r>
      <w:r w:rsidRPr="0059364C" w:rsidR="009C04E6">
        <w:rPr>
          <w:snapToGrid/>
          <w:sz w:val="22"/>
          <w:szCs w:val="22"/>
        </w:rPr>
        <w:t>assets</w:t>
      </w:r>
      <w:r w:rsidRPr="0059364C" w:rsidR="00880335">
        <w:rPr>
          <w:snapToGrid/>
          <w:sz w:val="22"/>
          <w:szCs w:val="22"/>
        </w:rPr>
        <w:t>.</w:t>
      </w:r>
      <w:r>
        <w:rPr>
          <w:rStyle w:val="FootnoteReference"/>
          <w:rFonts w:ascii="Times New Roman" w:hAnsi="Times New Roman"/>
          <w:sz w:val="22"/>
          <w:szCs w:val="22"/>
        </w:rPr>
        <w:footnoteReference w:id="5"/>
      </w:r>
      <w:r w:rsidRPr="0059364C" w:rsidR="009C04E6">
        <w:rPr>
          <w:sz w:val="22"/>
          <w:szCs w:val="22"/>
        </w:rPr>
        <w:t xml:space="preserve"> </w:t>
      </w:r>
      <w:r w:rsidRPr="0059364C" w:rsidR="009C04E6">
        <w:rPr>
          <w:snapToGrid/>
          <w:sz w:val="22"/>
          <w:szCs w:val="22"/>
        </w:rPr>
        <w:t xml:space="preserve"> </w:t>
      </w:r>
      <w:r w:rsidRPr="0059364C" w:rsidR="00673545">
        <w:rPr>
          <w:snapToGrid/>
          <w:sz w:val="22"/>
          <w:szCs w:val="22"/>
        </w:rPr>
        <w:t xml:space="preserve">On December 17, 2019, </w:t>
      </w:r>
      <w:r w:rsidRPr="0059364C" w:rsidR="009C04E6">
        <w:rPr>
          <w:snapToGrid/>
          <w:sz w:val="22"/>
          <w:szCs w:val="22"/>
        </w:rPr>
        <w:t>CXR consummated its acquisition of</w:t>
      </w:r>
      <w:r w:rsidRPr="0059364C" w:rsidR="00880335">
        <w:rPr>
          <w:snapToGrid/>
          <w:sz w:val="22"/>
          <w:szCs w:val="22"/>
        </w:rPr>
        <w:t xml:space="preserve"> the Stations</w:t>
      </w:r>
      <w:r w:rsidRPr="0059364C" w:rsidR="00D52020">
        <w:rPr>
          <w:snapToGrid/>
          <w:sz w:val="22"/>
          <w:szCs w:val="22"/>
        </w:rPr>
        <w:t>.</w:t>
      </w:r>
      <w:r>
        <w:rPr>
          <w:rStyle w:val="FootnoteReference"/>
          <w:rFonts w:ascii="Times New Roman" w:hAnsi="Times New Roman"/>
          <w:snapToGrid/>
          <w:sz w:val="22"/>
          <w:szCs w:val="22"/>
        </w:rPr>
        <w:footnoteReference w:id="6"/>
      </w:r>
      <w:r w:rsidRPr="0059364C" w:rsidR="00D52020">
        <w:rPr>
          <w:snapToGrid/>
          <w:sz w:val="22"/>
          <w:szCs w:val="22"/>
        </w:rPr>
        <w:t xml:space="preserve">  Accordingly</w:t>
      </w:r>
      <w:r w:rsidRPr="0059364C" w:rsidR="006F2209">
        <w:rPr>
          <w:snapToGrid/>
          <w:sz w:val="22"/>
          <w:szCs w:val="22"/>
        </w:rPr>
        <w:t xml:space="preserve">, the current divestiture deadline is December 17, 2021.  </w:t>
      </w:r>
      <w:r w:rsidRPr="0059364C" w:rsidR="00880335">
        <w:rPr>
          <w:snapToGrid/>
          <w:sz w:val="22"/>
          <w:szCs w:val="22"/>
        </w:rPr>
        <w:t xml:space="preserve">On November 8, 2021, </w:t>
      </w:r>
      <w:r w:rsidRPr="0059364C" w:rsidR="009C04E6">
        <w:rPr>
          <w:snapToGrid/>
          <w:sz w:val="22"/>
          <w:szCs w:val="22"/>
        </w:rPr>
        <w:t xml:space="preserve">CXR filed the instant </w:t>
      </w:r>
      <w:r w:rsidRPr="0059364C" w:rsidR="00750956">
        <w:rPr>
          <w:snapToGrid/>
          <w:sz w:val="22"/>
          <w:szCs w:val="22"/>
        </w:rPr>
        <w:t>r</w:t>
      </w:r>
      <w:r w:rsidRPr="0059364C" w:rsidR="009C04E6">
        <w:rPr>
          <w:snapToGrid/>
          <w:sz w:val="22"/>
          <w:szCs w:val="22"/>
        </w:rPr>
        <w:t xml:space="preserve">equest seeking </w:t>
      </w:r>
      <w:r w:rsidRPr="0059364C" w:rsidR="00880335">
        <w:rPr>
          <w:snapToGrid/>
          <w:sz w:val="22"/>
          <w:szCs w:val="22"/>
        </w:rPr>
        <w:t xml:space="preserve">to </w:t>
      </w:r>
      <w:r w:rsidRPr="0059364C" w:rsidR="00750956">
        <w:rPr>
          <w:snapToGrid/>
          <w:sz w:val="22"/>
          <w:szCs w:val="22"/>
        </w:rPr>
        <w:t xml:space="preserve">extend the deadline for </w:t>
      </w:r>
      <w:r w:rsidRPr="0059364C" w:rsidR="009C04E6">
        <w:rPr>
          <w:snapToGrid/>
          <w:sz w:val="22"/>
          <w:szCs w:val="22"/>
        </w:rPr>
        <w:t>one</w:t>
      </w:r>
      <w:r w:rsidRPr="0059364C" w:rsidR="00750956">
        <w:rPr>
          <w:snapToGrid/>
          <w:sz w:val="22"/>
          <w:szCs w:val="22"/>
        </w:rPr>
        <w:t xml:space="preserve"> year</w:t>
      </w:r>
      <w:r w:rsidRPr="0059364C" w:rsidR="009C04E6">
        <w:rPr>
          <w:snapToGrid/>
          <w:sz w:val="22"/>
          <w:szCs w:val="22"/>
        </w:rPr>
        <w:t>, through December 17, 2022, to complete the required divestiture.</w:t>
      </w:r>
      <w:r>
        <w:rPr>
          <w:rStyle w:val="FootnoteReference"/>
          <w:rFonts w:ascii="Times New Roman" w:hAnsi="Times New Roman"/>
          <w:snapToGrid/>
          <w:sz w:val="22"/>
          <w:szCs w:val="22"/>
        </w:rPr>
        <w:footnoteReference w:id="7"/>
      </w:r>
      <w:r w:rsidRPr="0059364C" w:rsidR="00C22AD7">
        <w:rPr>
          <w:snapToGrid/>
          <w:sz w:val="22"/>
          <w:szCs w:val="22"/>
        </w:rPr>
        <w:t xml:space="preserve">  </w:t>
      </w:r>
      <w:r w:rsidRPr="0059364C" w:rsidR="004A1FF2">
        <w:rPr>
          <w:snapToGrid/>
          <w:sz w:val="22"/>
          <w:szCs w:val="22"/>
        </w:rPr>
        <w:t xml:space="preserve">On November 10, 2021, the Bureau released a public notice seeking comment </w:t>
      </w:r>
      <w:r w:rsidRPr="0059364C" w:rsidR="003227A9">
        <w:rPr>
          <w:snapToGrid/>
          <w:sz w:val="22"/>
          <w:szCs w:val="22"/>
        </w:rPr>
        <w:t>on the request.</w:t>
      </w:r>
      <w:r>
        <w:rPr>
          <w:rStyle w:val="FootnoteReference"/>
          <w:rFonts w:ascii="Times New Roman" w:hAnsi="Times New Roman"/>
          <w:snapToGrid/>
          <w:sz w:val="22"/>
          <w:szCs w:val="22"/>
        </w:rPr>
        <w:footnoteReference w:id="8"/>
      </w:r>
    </w:p>
    <w:p w:rsidR="00B238C6" w:rsidRPr="0059364C" w:rsidP="00B238C6" w14:paraId="6A68B99D" w14:textId="77777777">
      <w:pPr>
        <w:widowControl/>
        <w:autoSpaceDE w:val="0"/>
        <w:autoSpaceDN w:val="0"/>
        <w:adjustRightInd w:val="0"/>
        <w:ind w:firstLine="720"/>
        <w:rPr>
          <w:sz w:val="22"/>
          <w:szCs w:val="22"/>
        </w:rPr>
      </w:pPr>
    </w:p>
    <w:p w:rsidR="0065413D" w:rsidRPr="0059364C" w:rsidP="00095C04" w14:paraId="546E46CE" w14:textId="12AD725B">
      <w:pPr>
        <w:widowControl/>
        <w:autoSpaceDE w:val="0"/>
        <w:autoSpaceDN w:val="0"/>
        <w:adjustRightInd w:val="0"/>
        <w:ind w:firstLine="720"/>
        <w:rPr>
          <w:sz w:val="22"/>
          <w:szCs w:val="22"/>
        </w:rPr>
      </w:pPr>
      <w:r w:rsidRPr="0059364C">
        <w:rPr>
          <w:sz w:val="22"/>
          <w:szCs w:val="22"/>
        </w:rPr>
        <w:t xml:space="preserve">CXR maintains that it is necessary and appropriate to grant </w:t>
      </w:r>
      <w:r w:rsidR="00DE0074">
        <w:rPr>
          <w:sz w:val="22"/>
          <w:szCs w:val="22"/>
        </w:rPr>
        <w:t>a one year</w:t>
      </w:r>
      <w:r w:rsidRPr="0059364C" w:rsidR="00DE0074">
        <w:rPr>
          <w:sz w:val="22"/>
          <w:szCs w:val="22"/>
        </w:rPr>
        <w:t xml:space="preserve"> </w:t>
      </w:r>
      <w:r w:rsidRPr="0059364C">
        <w:rPr>
          <w:sz w:val="22"/>
          <w:szCs w:val="22"/>
        </w:rPr>
        <w:t xml:space="preserve">extension of the current divestiture deadline in order </w:t>
      </w:r>
      <w:r w:rsidRPr="0059364C" w:rsidR="000464EB">
        <w:rPr>
          <w:sz w:val="22"/>
          <w:szCs w:val="22"/>
        </w:rPr>
        <w:t xml:space="preserve">for CXR </w:t>
      </w:r>
      <w:r w:rsidRPr="0059364C">
        <w:rPr>
          <w:sz w:val="22"/>
          <w:szCs w:val="22"/>
        </w:rPr>
        <w:t>to obtain fair value for the Stations.</w:t>
      </w:r>
      <w:r>
        <w:rPr>
          <w:sz w:val="22"/>
          <w:szCs w:val="22"/>
          <w:vertAlign w:val="superscript"/>
        </w:rPr>
        <w:footnoteReference w:id="9"/>
      </w:r>
      <w:r w:rsidRPr="0059364C">
        <w:rPr>
          <w:sz w:val="22"/>
          <w:szCs w:val="22"/>
        </w:rPr>
        <w:t xml:space="preserve">  </w:t>
      </w:r>
      <w:r w:rsidRPr="0059364C" w:rsidR="0098666E">
        <w:rPr>
          <w:sz w:val="22"/>
          <w:szCs w:val="22"/>
        </w:rPr>
        <w:t xml:space="preserve">CXR states that </w:t>
      </w:r>
      <w:r w:rsidRPr="0059364C" w:rsidR="001D4F4A">
        <w:rPr>
          <w:sz w:val="22"/>
          <w:szCs w:val="22"/>
        </w:rPr>
        <w:t xml:space="preserve">expectations set in 2019 as to the time period in which it would be reasonable for CXR to sell the Stations could not have taken into account the unprecedented </w:t>
      </w:r>
      <w:r w:rsidRPr="0059364C" w:rsidR="0041111F">
        <w:rPr>
          <w:sz w:val="22"/>
          <w:szCs w:val="22"/>
        </w:rPr>
        <w:t xml:space="preserve">COVID-19 </w:t>
      </w:r>
      <w:r w:rsidRPr="0059364C" w:rsidR="0098666E">
        <w:rPr>
          <w:sz w:val="22"/>
          <w:szCs w:val="22"/>
        </w:rPr>
        <w:t>pandemic, which</w:t>
      </w:r>
      <w:r w:rsidRPr="0059364C" w:rsidR="00276A22">
        <w:rPr>
          <w:sz w:val="22"/>
          <w:szCs w:val="22"/>
        </w:rPr>
        <w:t xml:space="preserve"> </w:t>
      </w:r>
      <w:r w:rsidRPr="0059364C" w:rsidR="00E66EF8">
        <w:rPr>
          <w:sz w:val="22"/>
          <w:szCs w:val="22"/>
        </w:rPr>
        <w:t xml:space="preserve">has </w:t>
      </w:r>
      <w:r w:rsidRPr="0059364C" w:rsidR="0098666E">
        <w:rPr>
          <w:sz w:val="22"/>
          <w:szCs w:val="22"/>
        </w:rPr>
        <w:t>persisted for 21 of the 24 months that the</w:t>
      </w:r>
      <w:r w:rsidRPr="0059364C" w:rsidR="000834A6">
        <w:rPr>
          <w:sz w:val="22"/>
          <w:szCs w:val="22"/>
        </w:rPr>
        <w:t xml:space="preserve"> </w:t>
      </w:r>
      <w:r w:rsidRPr="0059364C" w:rsidR="0098666E">
        <w:rPr>
          <w:sz w:val="22"/>
          <w:szCs w:val="22"/>
        </w:rPr>
        <w:t>Trust has been in place.</w:t>
      </w:r>
      <w:r>
        <w:rPr>
          <w:rStyle w:val="FootnoteReference"/>
          <w:rFonts w:ascii="Times New Roman" w:hAnsi="Times New Roman"/>
          <w:sz w:val="22"/>
          <w:szCs w:val="22"/>
        </w:rPr>
        <w:footnoteReference w:id="10"/>
      </w:r>
      <w:r w:rsidRPr="0059364C" w:rsidR="0098666E">
        <w:rPr>
          <w:sz w:val="22"/>
          <w:szCs w:val="22"/>
        </w:rPr>
        <w:t xml:space="preserve">  </w:t>
      </w:r>
      <w:r w:rsidRPr="0059364C" w:rsidR="00E66EF8">
        <w:rPr>
          <w:sz w:val="22"/>
          <w:szCs w:val="22"/>
        </w:rPr>
        <w:t>CXR states that</w:t>
      </w:r>
      <w:r w:rsidRPr="0059364C" w:rsidR="0041111F">
        <w:rPr>
          <w:sz w:val="22"/>
          <w:szCs w:val="22"/>
        </w:rPr>
        <w:t xml:space="preserve"> marketplace conditions resulting from the COVID-19 pandemic have created challenges that have directly impacted the market for terrestrial radio.</w:t>
      </w:r>
      <w:r>
        <w:rPr>
          <w:rStyle w:val="FootnoteReference"/>
          <w:rFonts w:ascii="Times New Roman" w:hAnsi="Times New Roman"/>
          <w:sz w:val="22"/>
          <w:szCs w:val="22"/>
        </w:rPr>
        <w:footnoteReference w:id="11"/>
      </w:r>
      <w:r w:rsidRPr="0059364C" w:rsidR="0041111F">
        <w:rPr>
          <w:sz w:val="22"/>
          <w:szCs w:val="22"/>
        </w:rPr>
        <w:t xml:space="preserve">  </w:t>
      </w:r>
      <w:r w:rsidRPr="0059364C" w:rsidR="00276A22">
        <w:rPr>
          <w:sz w:val="22"/>
          <w:szCs w:val="22"/>
        </w:rPr>
        <w:t xml:space="preserve">CXR states that while it </w:t>
      </w:r>
      <w:r w:rsidRPr="0059364C" w:rsidR="007A375A">
        <w:rPr>
          <w:sz w:val="22"/>
          <w:szCs w:val="22"/>
        </w:rPr>
        <w:t xml:space="preserve">is </w:t>
      </w:r>
      <w:r w:rsidRPr="0059364C" w:rsidR="00CA4005">
        <w:rPr>
          <w:sz w:val="22"/>
          <w:szCs w:val="22"/>
        </w:rPr>
        <w:t xml:space="preserve">engaged in executing a process to market </w:t>
      </w:r>
      <w:r w:rsidRPr="0059364C" w:rsidR="007A375A">
        <w:rPr>
          <w:sz w:val="22"/>
          <w:szCs w:val="22"/>
        </w:rPr>
        <w:t xml:space="preserve">the </w:t>
      </w:r>
      <w:r w:rsidRPr="0059364C">
        <w:rPr>
          <w:sz w:val="22"/>
          <w:szCs w:val="22"/>
        </w:rPr>
        <w:t>S</w:t>
      </w:r>
      <w:r w:rsidRPr="0059364C" w:rsidR="007A375A">
        <w:rPr>
          <w:sz w:val="22"/>
          <w:szCs w:val="22"/>
        </w:rPr>
        <w:t>tations</w:t>
      </w:r>
      <w:r w:rsidRPr="0059364C" w:rsidR="00276A22">
        <w:rPr>
          <w:sz w:val="22"/>
          <w:szCs w:val="22"/>
        </w:rPr>
        <w:t>,</w:t>
      </w:r>
      <w:r>
        <w:rPr>
          <w:rStyle w:val="FootnoteReference"/>
          <w:rFonts w:ascii="Times New Roman" w:hAnsi="Times New Roman"/>
          <w:sz w:val="22"/>
          <w:szCs w:val="22"/>
        </w:rPr>
        <w:footnoteReference w:id="12"/>
      </w:r>
      <w:r w:rsidRPr="0059364C" w:rsidR="007A375A">
        <w:rPr>
          <w:sz w:val="22"/>
          <w:szCs w:val="22"/>
        </w:rPr>
        <w:t xml:space="preserve"> it is </w:t>
      </w:r>
      <w:r w:rsidRPr="0059364C" w:rsidR="00E0690A">
        <w:rPr>
          <w:sz w:val="22"/>
          <w:szCs w:val="22"/>
        </w:rPr>
        <w:t xml:space="preserve">“virtually </w:t>
      </w:r>
      <w:r w:rsidRPr="0059364C" w:rsidR="007A375A">
        <w:rPr>
          <w:sz w:val="22"/>
          <w:szCs w:val="22"/>
        </w:rPr>
        <w:t>certain</w:t>
      </w:r>
      <w:r w:rsidRPr="0059364C" w:rsidR="00E0690A">
        <w:rPr>
          <w:sz w:val="22"/>
          <w:szCs w:val="22"/>
        </w:rPr>
        <w:t>”</w:t>
      </w:r>
      <w:r w:rsidRPr="0059364C" w:rsidR="007A375A">
        <w:rPr>
          <w:sz w:val="22"/>
          <w:szCs w:val="22"/>
        </w:rPr>
        <w:t xml:space="preserve"> that it will not have </w:t>
      </w:r>
      <w:r w:rsidRPr="0059364C" w:rsidR="007E7ACE">
        <w:rPr>
          <w:sz w:val="22"/>
          <w:szCs w:val="22"/>
        </w:rPr>
        <w:t xml:space="preserve">found what it deems to be </w:t>
      </w:r>
      <w:r w:rsidRPr="0059364C" w:rsidR="007A375A">
        <w:rPr>
          <w:sz w:val="22"/>
          <w:szCs w:val="22"/>
        </w:rPr>
        <w:t xml:space="preserve">a viable and bona fide buyer for the </w:t>
      </w:r>
      <w:r w:rsidRPr="0059364C">
        <w:rPr>
          <w:sz w:val="22"/>
          <w:szCs w:val="22"/>
        </w:rPr>
        <w:t>S</w:t>
      </w:r>
      <w:r w:rsidRPr="0059364C" w:rsidR="007A375A">
        <w:rPr>
          <w:sz w:val="22"/>
          <w:szCs w:val="22"/>
        </w:rPr>
        <w:t>tations by the divestiture deadline.</w:t>
      </w:r>
      <w:r>
        <w:rPr>
          <w:rStyle w:val="FootnoteReference"/>
          <w:rFonts w:ascii="Times New Roman" w:hAnsi="Times New Roman"/>
          <w:sz w:val="22"/>
          <w:szCs w:val="22"/>
        </w:rPr>
        <w:footnoteReference w:id="13"/>
      </w:r>
      <w:r w:rsidRPr="0059364C" w:rsidR="007A375A">
        <w:rPr>
          <w:sz w:val="22"/>
          <w:szCs w:val="22"/>
        </w:rPr>
        <w:t xml:space="preserve">  </w:t>
      </w:r>
      <w:r w:rsidRPr="0059364C" w:rsidR="00ED01AC">
        <w:rPr>
          <w:sz w:val="22"/>
          <w:szCs w:val="22"/>
        </w:rPr>
        <w:t xml:space="preserve">According to </w:t>
      </w:r>
      <w:r w:rsidRPr="0059364C" w:rsidR="007B1738">
        <w:rPr>
          <w:sz w:val="22"/>
          <w:szCs w:val="22"/>
        </w:rPr>
        <w:t>CXR</w:t>
      </w:r>
      <w:r w:rsidRPr="0059364C" w:rsidR="00ED01AC">
        <w:rPr>
          <w:sz w:val="22"/>
          <w:szCs w:val="22"/>
        </w:rPr>
        <w:t>,</w:t>
      </w:r>
      <w:r w:rsidRPr="0059364C" w:rsidR="007B1738">
        <w:rPr>
          <w:sz w:val="22"/>
          <w:szCs w:val="22"/>
        </w:rPr>
        <w:t xml:space="preserve"> </w:t>
      </w:r>
      <w:r w:rsidRPr="0059364C" w:rsidR="00475F54">
        <w:rPr>
          <w:sz w:val="22"/>
          <w:szCs w:val="22"/>
        </w:rPr>
        <w:t xml:space="preserve">the </w:t>
      </w:r>
      <w:r w:rsidRPr="0059364C" w:rsidR="007B1738">
        <w:rPr>
          <w:sz w:val="22"/>
          <w:szCs w:val="22"/>
        </w:rPr>
        <w:t>offers</w:t>
      </w:r>
      <w:r w:rsidRPr="0059364C" w:rsidR="00B72D7A">
        <w:rPr>
          <w:sz w:val="22"/>
          <w:szCs w:val="22"/>
        </w:rPr>
        <w:t xml:space="preserve"> it received</w:t>
      </w:r>
      <w:r w:rsidRPr="0059364C" w:rsidR="007B1738">
        <w:rPr>
          <w:sz w:val="22"/>
          <w:szCs w:val="22"/>
        </w:rPr>
        <w:t xml:space="preserve"> for the Stations during the pandemic </w:t>
      </w:r>
      <w:r w:rsidRPr="0059364C" w:rsidR="00B72D7A">
        <w:rPr>
          <w:sz w:val="22"/>
          <w:szCs w:val="22"/>
        </w:rPr>
        <w:t>“</w:t>
      </w:r>
      <w:r w:rsidRPr="0059364C" w:rsidR="007B1738">
        <w:rPr>
          <w:sz w:val="22"/>
          <w:szCs w:val="22"/>
        </w:rPr>
        <w:t>were at prices far below what would have been marketplace offers at the time that the Trust was established and below what the Stations likely will be able to sell for as the radio market and greater economy continue to recover from the pandemic.”</w:t>
      </w:r>
      <w:r>
        <w:rPr>
          <w:rStyle w:val="FootnoteReference"/>
          <w:rFonts w:ascii="Times New Roman" w:hAnsi="Times New Roman"/>
          <w:sz w:val="22"/>
          <w:szCs w:val="22"/>
        </w:rPr>
        <w:footnoteReference w:id="14"/>
      </w:r>
      <w:r w:rsidRPr="0059364C" w:rsidR="007B1738">
        <w:rPr>
          <w:sz w:val="22"/>
          <w:szCs w:val="22"/>
        </w:rPr>
        <w:t xml:space="preserve">  </w:t>
      </w:r>
      <w:r w:rsidRPr="0059364C" w:rsidR="00ED01AC">
        <w:rPr>
          <w:sz w:val="22"/>
          <w:szCs w:val="22"/>
        </w:rPr>
        <w:t xml:space="preserve">CXR argues that </w:t>
      </w:r>
      <w:r w:rsidRPr="0059364C" w:rsidR="001C1E15">
        <w:rPr>
          <w:sz w:val="22"/>
          <w:szCs w:val="22"/>
        </w:rPr>
        <w:t xml:space="preserve">requiring </w:t>
      </w:r>
      <w:r w:rsidRPr="0059364C" w:rsidR="00ED01AC">
        <w:rPr>
          <w:sz w:val="22"/>
          <w:szCs w:val="22"/>
        </w:rPr>
        <w:t>divestiture of the Stations in the period originally prescribed would result in a rushed “fire sale” and not in a sale that promotes commerce and encourages investment in the broadcast industry.</w:t>
      </w:r>
      <w:r>
        <w:rPr>
          <w:rStyle w:val="FootnoteReference"/>
          <w:rFonts w:ascii="Times New Roman" w:hAnsi="Times New Roman"/>
          <w:sz w:val="22"/>
          <w:szCs w:val="22"/>
        </w:rPr>
        <w:footnoteReference w:id="15"/>
      </w:r>
      <w:r w:rsidRPr="0059364C" w:rsidR="00ED01AC">
        <w:rPr>
          <w:sz w:val="22"/>
          <w:szCs w:val="22"/>
        </w:rPr>
        <w:t xml:space="preserve">  </w:t>
      </w:r>
    </w:p>
    <w:p w:rsidR="0065413D" w:rsidRPr="0059364C" w:rsidP="00095C04" w14:paraId="6450FB64" w14:textId="77777777">
      <w:pPr>
        <w:widowControl/>
        <w:autoSpaceDE w:val="0"/>
        <w:autoSpaceDN w:val="0"/>
        <w:adjustRightInd w:val="0"/>
        <w:ind w:firstLine="720"/>
        <w:rPr>
          <w:sz w:val="22"/>
          <w:szCs w:val="22"/>
        </w:rPr>
      </w:pPr>
    </w:p>
    <w:p w:rsidR="00727B19" w:rsidRPr="00A3551D" w:rsidP="00623271" w14:paraId="1E9CA6F0" w14:textId="410C584A">
      <w:pPr>
        <w:widowControl/>
        <w:autoSpaceDE w:val="0"/>
        <w:autoSpaceDN w:val="0"/>
        <w:adjustRightInd w:val="0"/>
        <w:ind w:firstLine="720"/>
        <w:rPr>
          <w:rFonts w:ascii="TimesNewRomanPSMT" w:hAnsi="TimesNewRomanPSMT"/>
        </w:rPr>
      </w:pPr>
      <w:r w:rsidRPr="0059364C">
        <w:rPr>
          <w:sz w:val="22"/>
          <w:szCs w:val="22"/>
        </w:rPr>
        <w:t xml:space="preserve"> </w:t>
      </w:r>
      <w:r w:rsidRPr="0059364C" w:rsidR="008159B1">
        <w:rPr>
          <w:snapToGrid/>
          <w:sz w:val="22"/>
          <w:szCs w:val="22"/>
        </w:rPr>
        <w:t xml:space="preserve">In its </w:t>
      </w:r>
      <w:r w:rsidRPr="0059364C" w:rsidR="001C1E15">
        <w:rPr>
          <w:snapToGrid/>
          <w:sz w:val="22"/>
          <w:szCs w:val="22"/>
        </w:rPr>
        <w:t xml:space="preserve">comments opposing the </w:t>
      </w:r>
      <w:r w:rsidRPr="0059364C" w:rsidR="00221AF1">
        <w:rPr>
          <w:snapToGrid/>
          <w:sz w:val="22"/>
          <w:szCs w:val="22"/>
        </w:rPr>
        <w:t>CXR Request</w:t>
      </w:r>
      <w:r w:rsidRPr="0059364C" w:rsidR="008159B1">
        <w:rPr>
          <w:snapToGrid/>
          <w:sz w:val="22"/>
          <w:szCs w:val="22"/>
        </w:rPr>
        <w:t>,</w:t>
      </w:r>
      <w:r>
        <w:rPr>
          <w:rStyle w:val="FootnoteReference"/>
          <w:rFonts w:ascii="Times New Roman" w:hAnsi="Times New Roman"/>
          <w:snapToGrid/>
          <w:sz w:val="22"/>
          <w:szCs w:val="22"/>
        </w:rPr>
        <w:footnoteReference w:id="16"/>
      </w:r>
      <w:r w:rsidRPr="002E30F4" w:rsidR="007C675F">
        <w:rPr>
          <w:snapToGrid/>
          <w:sz w:val="22"/>
          <w:szCs w:val="22"/>
        </w:rPr>
        <w:t xml:space="preserve"> </w:t>
      </w:r>
      <w:r w:rsidRPr="0059364C" w:rsidR="008159B1">
        <w:rPr>
          <w:snapToGrid/>
          <w:sz w:val="22"/>
          <w:szCs w:val="22"/>
        </w:rPr>
        <w:t xml:space="preserve">SBS asserts </w:t>
      </w:r>
      <w:r w:rsidRPr="0059364C" w:rsidR="00B111C4">
        <w:rPr>
          <w:snapToGrid/>
          <w:sz w:val="22"/>
          <w:szCs w:val="22"/>
        </w:rPr>
        <w:t>that it presented CXR with three cash offer</w:t>
      </w:r>
      <w:r w:rsidRPr="0059364C" w:rsidR="00356E95">
        <w:rPr>
          <w:snapToGrid/>
          <w:sz w:val="22"/>
          <w:szCs w:val="22"/>
        </w:rPr>
        <w:t>s</w:t>
      </w:r>
      <w:r w:rsidRPr="0059364C" w:rsidR="00B111C4">
        <w:rPr>
          <w:snapToGrid/>
          <w:sz w:val="22"/>
          <w:szCs w:val="22"/>
        </w:rPr>
        <w:t xml:space="preserve"> to purchase WPYO(FM)</w:t>
      </w:r>
      <w:r w:rsidRPr="0059364C" w:rsidR="004C6E39">
        <w:rPr>
          <w:snapToGrid/>
          <w:sz w:val="22"/>
          <w:szCs w:val="22"/>
        </w:rPr>
        <w:t>,</w:t>
      </w:r>
      <w:r w:rsidRPr="002E30F4" w:rsidR="008202A1">
        <w:rPr>
          <w:snapToGrid/>
          <w:sz w:val="22"/>
          <w:szCs w:val="22"/>
        </w:rPr>
        <w:t xml:space="preserve"> </w:t>
      </w:r>
      <w:r w:rsidRPr="0059364C" w:rsidR="004C6E39">
        <w:rPr>
          <w:snapToGrid/>
          <w:sz w:val="22"/>
          <w:szCs w:val="22"/>
        </w:rPr>
        <w:t xml:space="preserve">the third of which </w:t>
      </w:r>
      <w:r w:rsidRPr="0059364C" w:rsidR="008300DF">
        <w:rPr>
          <w:snapToGrid/>
          <w:sz w:val="22"/>
          <w:szCs w:val="22"/>
        </w:rPr>
        <w:t xml:space="preserve">SBS states </w:t>
      </w:r>
      <w:r w:rsidRPr="0059364C" w:rsidR="004C6E39">
        <w:rPr>
          <w:snapToGrid/>
          <w:sz w:val="22"/>
          <w:szCs w:val="22"/>
        </w:rPr>
        <w:t>exceeds the station’s maximum value as determined by a reputable valuation specialist.</w:t>
      </w:r>
      <w:r>
        <w:rPr>
          <w:rStyle w:val="FootnoteReference"/>
          <w:rFonts w:ascii="Times New Roman" w:hAnsi="Times New Roman"/>
          <w:snapToGrid/>
          <w:sz w:val="22"/>
          <w:szCs w:val="22"/>
        </w:rPr>
        <w:footnoteReference w:id="17"/>
      </w:r>
      <w:r w:rsidRPr="0059364C" w:rsidR="00B111C4">
        <w:rPr>
          <w:snapToGrid/>
          <w:sz w:val="22"/>
          <w:szCs w:val="22"/>
        </w:rPr>
        <w:t xml:space="preserve"> </w:t>
      </w:r>
      <w:r w:rsidRPr="0059364C" w:rsidR="00802837">
        <w:rPr>
          <w:snapToGrid/>
          <w:sz w:val="22"/>
          <w:szCs w:val="22"/>
        </w:rPr>
        <w:t xml:space="preserve"> SBS states that </w:t>
      </w:r>
      <w:r w:rsidRPr="0059364C" w:rsidR="00D46CE5">
        <w:rPr>
          <w:snapToGrid/>
          <w:sz w:val="22"/>
          <w:szCs w:val="22"/>
        </w:rPr>
        <w:t xml:space="preserve">its dealings with CXR to date suggest that </w:t>
      </w:r>
      <w:r w:rsidRPr="0059364C" w:rsidR="00802837">
        <w:rPr>
          <w:snapToGrid/>
          <w:sz w:val="22"/>
          <w:szCs w:val="22"/>
        </w:rPr>
        <w:t>CXR</w:t>
      </w:r>
      <w:r w:rsidRPr="0059364C" w:rsidR="001A1C4F">
        <w:rPr>
          <w:snapToGrid/>
          <w:sz w:val="22"/>
          <w:szCs w:val="22"/>
        </w:rPr>
        <w:t xml:space="preserve"> </w:t>
      </w:r>
      <w:r w:rsidRPr="0059364C" w:rsidR="00802837">
        <w:rPr>
          <w:snapToGrid/>
          <w:sz w:val="22"/>
          <w:szCs w:val="22"/>
        </w:rPr>
        <w:t xml:space="preserve">has no intention of </w:t>
      </w:r>
      <w:r w:rsidRPr="0059364C" w:rsidR="0002332F">
        <w:rPr>
          <w:snapToGrid/>
          <w:sz w:val="22"/>
          <w:szCs w:val="22"/>
        </w:rPr>
        <w:t xml:space="preserve">seriously </w:t>
      </w:r>
      <w:r w:rsidRPr="0059364C" w:rsidR="00802837">
        <w:rPr>
          <w:snapToGrid/>
          <w:sz w:val="22"/>
          <w:szCs w:val="22"/>
        </w:rPr>
        <w:t>negotiating with a qualified buyer</w:t>
      </w:r>
      <w:r w:rsidRPr="002E30F4" w:rsidR="00802837">
        <w:rPr>
          <w:snapToGrid/>
          <w:sz w:val="22"/>
          <w:szCs w:val="22"/>
        </w:rPr>
        <w:t xml:space="preserve"> </w:t>
      </w:r>
      <w:r w:rsidRPr="0059364C" w:rsidR="00802837">
        <w:rPr>
          <w:snapToGrid/>
          <w:sz w:val="22"/>
          <w:szCs w:val="22"/>
        </w:rPr>
        <w:t xml:space="preserve">and </w:t>
      </w:r>
      <w:r w:rsidRPr="0059364C" w:rsidR="00895406">
        <w:rPr>
          <w:snapToGrid/>
          <w:sz w:val="22"/>
          <w:szCs w:val="22"/>
        </w:rPr>
        <w:t xml:space="preserve">that CXR </w:t>
      </w:r>
      <w:r w:rsidRPr="0059364C" w:rsidR="00802837">
        <w:rPr>
          <w:snapToGrid/>
          <w:sz w:val="22"/>
          <w:szCs w:val="22"/>
        </w:rPr>
        <w:t xml:space="preserve">has been complacently confident that the Commission will extend the divestiture deadline so that </w:t>
      </w:r>
      <w:r w:rsidRPr="0059364C" w:rsidR="00242FB0">
        <w:rPr>
          <w:snapToGrid/>
          <w:sz w:val="22"/>
          <w:szCs w:val="22"/>
        </w:rPr>
        <w:t xml:space="preserve">CXR can defer the sale of WPYO(FM) until it receives “what would have been” a marketplace offer before the pandemic, or a price for which the station “likely will be able to sell” if the market performs as well as it </w:t>
      </w:r>
      <w:r w:rsidRPr="0059364C" w:rsidR="00242FB0">
        <w:rPr>
          <w:snapToGrid/>
          <w:sz w:val="22"/>
          <w:szCs w:val="22"/>
        </w:rPr>
        <w:t>did in 2019</w:t>
      </w:r>
      <w:r w:rsidRPr="0059364C" w:rsidR="00802837">
        <w:rPr>
          <w:snapToGrid/>
          <w:sz w:val="22"/>
          <w:szCs w:val="22"/>
        </w:rPr>
        <w:t>.</w:t>
      </w:r>
      <w:r>
        <w:rPr>
          <w:rStyle w:val="FootnoteReference"/>
          <w:rFonts w:ascii="Times New Roman" w:hAnsi="Times New Roman"/>
          <w:snapToGrid/>
          <w:sz w:val="22"/>
          <w:szCs w:val="22"/>
        </w:rPr>
        <w:footnoteReference w:id="18"/>
      </w:r>
      <w:r w:rsidRPr="0059364C" w:rsidR="00802837">
        <w:rPr>
          <w:snapToGrid/>
          <w:sz w:val="22"/>
          <w:szCs w:val="22"/>
        </w:rPr>
        <w:t xml:space="preserve">  </w:t>
      </w:r>
      <w:r w:rsidRPr="0059364C" w:rsidR="00190B0E">
        <w:rPr>
          <w:snapToGrid/>
          <w:sz w:val="22"/>
          <w:szCs w:val="22"/>
        </w:rPr>
        <w:t xml:space="preserve">SBS </w:t>
      </w:r>
      <w:r w:rsidR="00EA0A2C">
        <w:rPr>
          <w:snapToGrid/>
          <w:sz w:val="22"/>
          <w:szCs w:val="22"/>
        </w:rPr>
        <w:t xml:space="preserve">maintains </w:t>
      </w:r>
      <w:r w:rsidRPr="0059364C" w:rsidR="00190B0E">
        <w:rPr>
          <w:snapToGrid/>
          <w:sz w:val="22"/>
          <w:szCs w:val="22"/>
        </w:rPr>
        <w:t>that the Bureau has expressly rejected the notion that a divestiture trustee may defer the sale of its stations while awaiting optimum market conditions</w:t>
      </w:r>
      <w:r>
        <w:rPr>
          <w:rStyle w:val="FootnoteReference"/>
          <w:rFonts w:ascii="Times New Roman" w:hAnsi="Times New Roman"/>
          <w:snapToGrid/>
          <w:sz w:val="22"/>
          <w:szCs w:val="22"/>
        </w:rPr>
        <w:footnoteReference w:id="19"/>
      </w:r>
      <w:r w:rsidRPr="0059364C" w:rsidR="00F64D81">
        <w:rPr>
          <w:snapToGrid/>
          <w:sz w:val="22"/>
          <w:szCs w:val="22"/>
        </w:rPr>
        <w:t xml:space="preserve"> and that CXR is obligated to sell the station at the maximum price “reasonably attainable.”</w:t>
      </w:r>
      <w:r>
        <w:rPr>
          <w:rStyle w:val="FootnoteReference"/>
          <w:rFonts w:ascii="Times New Roman" w:hAnsi="Times New Roman"/>
          <w:snapToGrid/>
          <w:sz w:val="22"/>
          <w:szCs w:val="22"/>
        </w:rPr>
        <w:footnoteReference w:id="20"/>
      </w:r>
      <w:r w:rsidRPr="0059364C" w:rsidR="008D6654">
        <w:rPr>
          <w:snapToGrid/>
          <w:sz w:val="22"/>
          <w:szCs w:val="22"/>
        </w:rPr>
        <w:t xml:space="preserve"> </w:t>
      </w:r>
      <w:r w:rsidRPr="0059364C" w:rsidR="003B7EA4">
        <w:rPr>
          <w:snapToGrid/>
          <w:sz w:val="22"/>
          <w:szCs w:val="22"/>
        </w:rPr>
        <w:t xml:space="preserve"> </w:t>
      </w:r>
      <w:r w:rsidRPr="0059364C" w:rsidR="00606FEF">
        <w:rPr>
          <w:snapToGrid/>
          <w:sz w:val="22"/>
          <w:szCs w:val="22"/>
        </w:rPr>
        <w:t xml:space="preserve">SBS </w:t>
      </w:r>
      <w:r w:rsidRPr="0059364C" w:rsidR="00287AC2">
        <w:rPr>
          <w:snapToGrid/>
          <w:sz w:val="22"/>
          <w:szCs w:val="22"/>
        </w:rPr>
        <w:t>maintains</w:t>
      </w:r>
      <w:r w:rsidRPr="0059364C" w:rsidR="00606FEF">
        <w:rPr>
          <w:snapToGrid/>
          <w:sz w:val="22"/>
          <w:szCs w:val="22"/>
        </w:rPr>
        <w:t xml:space="preserve"> that gi</w:t>
      </w:r>
      <w:r w:rsidRPr="0059364C" w:rsidR="001753A2">
        <w:rPr>
          <w:snapToGrid/>
          <w:sz w:val="22"/>
          <w:szCs w:val="22"/>
        </w:rPr>
        <w:t>ven the extremely limited pool of buyers likely to exceed SBS’s current offer price, there is no need to extend CXR’s deadline for a full year while it undertakes a</w:t>
      </w:r>
      <w:r w:rsidRPr="0059364C" w:rsidR="00606FEF">
        <w:rPr>
          <w:snapToGrid/>
          <w:sz w:val="22"/>
          <w:szCs w:val="22"/>
        </w:rPr>
        <w:t xml:space="preserve"> </w:t>
      </w:r>
      <w:r w:rsidRPr="0059364C" w:rsidR="001753A2">
        <w:rPr>
          <w:snapToGrid/>
          <w:sz w:val="22"/>
          <w:szCs w:val="22"/>
        </w:rPr>
        <w:t>prolonged marketing process</w:t>
      </w:r>
      <w:r w:rsidRPr="0059364C" w:rsidR="00606FEF">
        <w:rPr>
          <w:snapToGrid/>
          <w:sz w:val="22"/>
          <w:szCs w:val="22"/>
        </w:rPr>
        <w:t>.</w:t>
      </w:r>
      <w:r>
        <w:rPr>
          <w:rStyle w:val="FootnoteReference"/>
          <w:rFonts w:ascii="Times New Roman" w:hAnsi="Times New Roman"/>
          <w:snapToGrid/>
          <w:sz w:val="22"/>
          <w:szCs w:val="22"/>
        </w:rPr>
        <w:footnoteReference w:id="21"/>
      </w:r>
      <w:r w:rsidRPr="0059364C" w:rsidR="00606FEF">
        <w:rPr>
          <w:snapToGrid/>
          <w:sz w:val="22"/>
          <w:szCs w:val="22"/>
        </w:rPr>
        <w:t xml:space="preserve">  </w:t>
      </w:r>
      <w:r w:rsidRPr="0059364C" w:rsidR="00C87F47">
        <w:rPr>
          <w:snapToGrid/>
          <w:sz w:val="22"/>
          <w:szCs w:val="22"/>
        </w:rPr>
        <w:t>However, SBS does not object to a more limited extension that would allow CXR to complete negotiations and finalize a definitive Purchase Agreement.</w:t>
      </w:r>
      <w:r>
        <w:rPr>
          <w:rStyle w:val="FootnoteReference"/>
          <w:rFonts w:ascii="Times New Roman" w:hAnsi="Times New Roman"/>
          <w:snapToGrid/>
          <w:sz w:val="22"/>
          <w:szCs w:val="22"/>
        </w:rPr>
        <w:footnoteReference w:id="22"/>
      </w:r>
      <w:r w:rsidRPr="0059364C" w:rsidR="00606FEF">
        <w:rPr>
          <w:snapToGrid/>
          <w:sz w:val="22"/>
          <w:szCs w:val="22"/>
        </w:rPr>
        <w:t xml:space="preserve"> </w:t>
      </w:r>
    </w:p>
    <w:p w:rsidR="00727B19" w:rsidRPr="0059364C" w:rsidP="00727B19" w14:paraId="3E856477" w14:textId="77777777">
      <w:pPr>
        <w:widowControl/>
        <w:autoSpaceDE w:val="0"/>
        <w:autoSpaceDN w:val="0"/>
        <w:adjustRightInd w:val="0"/>
        <w:ind w:firstLine="720"/>
        <w:rPr>
          <w:snapToGrid/>
          <w:sz w:val="22"/>
          <w:szCs w:val="22"/>
        </w:rPr>
      </w:pPr>
    </w:p>
    <w:p w:rsidR="00B13C5E" w:rsidRPr="0059364C" w:rsidP="000834A6" w14:paraId="7CE2F5A5" w14:textId="0976E18B">
      <w:pPr>
        <w:widowControl/>
        <w:autoSpaceDE w:val="0"/>
        <w:autoSpaceDN w:val="0"/>
        <w:adjustRightInd w:val="0"/>
        <w:ind w:firstLine="720"/>
        <w:rPr>
          <w:snapToGrid/>
          <w:sz w:val="22"/>
          <w:szCs w:val="22"/>
        </w:rPr>
      </w:pPr>
      <w:r w:rsidRPr="0059364C">
        <w:rPr>
          <w:snapToGrid/>
          <w:sz w:val="22"/>
          <w:szCs w:val="22"/>
        </w:rPr>
        <w:t>In its Reply, CXR states that</w:t>
      </w:r>
      <w:r w:rsidRPr="0059364C" w:rsidR="00843FF1">
        <w:rPr>
          <w:snapToGrid/>
          <w:sz w:val="22"/>
          <w:szCs w:val="22"/>
        </w:rPr>
        <w:t xml:space="preserve"> none of</w:t>
      </w:r>
      <w:r w:rsidRPr="0059364C">
        <w:rPr>
          <w:snapToGrid/>
          <w:sz w:val="22"/>
          <w:szCs w:val="22"/>
        </w:rPr>
        <w:t xml:space="preserve"> the opposing comments have refuted its premise that, consistent with </w:t>
      </w:r>
      <w:r w:rsidRPr="0059364C" w:rsidR="00A42BD2">
        <w:rPr>
          <w:snapToGrid/>
          <w:sz w:val="22"/>
          <w:szCs w:val="22"/>
        </w:rPr>
        <w:t xml:space="preserve">Commission </w:t>
      </w:r>
      <w:r w:rsidRPr="0059364C">
        <w:rPr>
          <w:snapToGrid/>
          <w:sz w:val="22"/>
          <w:szCs w:val="22"/>
        </w:rPr>
        <w:t>precedent</w:t>
      </w:r>
      <w:r w:rsidRPr="0059364C" w:rsidR="00A42BD2">
        <w:rPr>
          <w:snapToGrid/>
          <w:sz w:val="22"/>
          <w:szCs w:val="22"/>
        </w:rPr>
        <w:t xml:space="preserve"> and in light of economic conditions</w:t>
      </w:r>
      <w:r w:rsidRPr="0059364C">
        <w:rPr>
          <w:snapToGrid/>
          <w:sz w:val="22"/>
          <w:szCs w:val="22"/>
        </w:rPr>
        <w:t>, additional time should be afforded to CXR to conduct a sale that would allow for fair market value to be achieved in a reasonable period of time.</w:t>
      </w:r>
      <w:r>
        <w:rPr>
          <w:rStyle w:val="FootnoteReference"/>
          <w:rFonts w:ascii="Times New Roman" w:hAnsi="Times New Roman"/>
          <w:snapToGrid/>
          <w:sz w:val="22"/>
          <w:szCs w:val="22"/>
        </w:rPr>
        <w:footnoteReference w:id="23"/>
      </w:r>
      <w:r w:rsidRPr="0059364C">
        <w:rPr>
          <w:snapToGrid/>
          <w:sz w:val="22"/>
          <w:szCs w:val="22"/>
        </w:rPr>
        <w:t xml:space="preserve">  </w:t>
      </w:r>
      <w:r w:rsidRPr="0059364C" w:rsidR="008605C3">
        <w:rPr>
          <w:snapToGrid/>
          <w:sz w:val="22"/>
          <w:szCs w:val="22"/>
        </w:rPr>
        <w:t xml:space="preserve">CXR argues that SBS’s insistence on an </w:t>
      </w:r>
      <w:r w:rsidRPr="0059364C" w:rsidR="006304A1">
        <w:rPr>
          <w:snapToGrid/>
          <w:sz w:val="22"/>
          <w:szCs w:val="22"/>
        </w:rPr>
        <w:t>“</w:t>
      </w:r>
      <w:r w:rsidRPr="0059364C" w:rsidR="008605C3">
        <w:rPr>
          <w:snapToGrid/>
          <w:sz w:val="22"/>
          <w:szCs w:val="22"/>
        </w:rPr>
        <w:t>expedited sale</w:t>
      </w:r>
      <w:r w:rsidRPr="0059364C" w:rsidR="006304A1">
        <w:rPr>
          <w:snapToGrid/>
          <w:sz w:val="22"/>
          <w:szCs w:val="22"/>
        </w:rPr>
        <w:t>”</w:t>
      </w:r>
      <w:r w:rsidRPr="0059364C" w:rsidR="008605C3">
        <w:rPr>
          <w:snapToGrid/>
          <w:sz w:val="22"/>
          <w:szCs w:val="22"/>
        </w:rPr>
        <w:t xml:space="preserve"> appears to be based on its belief that it can obtain an artificially below-market price if it can force a sale now under an impending regulatory deadline.</w:t>
      </w:r>
      <w:r>
        <w:rPr>
          <w:rStyle w:val="FootnoteReference"/>
          <w:rFonts w:ascii="Times New Roman" w:hAnsi="Times New Roman"/>
          <w:snapToGrid/>
          <w:sz w:val="22"/>
          <w:szCs w:val="22"/>
        </w:rPr>
        <w:footnoteReference w:id="24"/>
      </w:r>
      <w:r w:rsidRPr="0059364C" w:rsidR="008605C3">
        <w:rPr>
          <w:snapToGrid/>
          <w:sz w:val="22"/>
          <w:szCs w:val="22"/>
        </w:rPr>
        <w:t xml:space="preserve">  </w:t>
      </w:r>
      <w:r w:rsidR="00EA0A2C">
        <w:rPr>
          <w:snapToGrid/>
          <w:sz w:val="22"/>
          <w:szCs w:val="22"/>
        </w:rPr>
        <w:t>It goes on to maintain</w:t>
      </w:r>
      <w:r w:rsidRPr="0059364C">
        <w:rPr>
          <w:snapToGrid/>
          <w:sz w:val="22"/>
          <w:szCs w:val="22"/>
        </w:rPr>
        <w:t xml:space="preserve"> that it should not be forced through an inflexible deadline to sell the Stations at fire sale prices just because one potential buyer asserts that its offer should be accepted.</w:t>
      </w:r>
      <w:r>
        <w:rPr>
          <w:rStyle w:val="FootnoteReference"/>
          <w:rFonts w:ascii="Times New Roman" w:hAnsi="Times New Roman"/>
          <w:snapToGrid/>
          <w:sz w:val="22"/>
          <w:szCs w:val="22"/>
        </w:rPr>
        <w:footnoteReference w:id="25"/>
      </w:r>
      <w:r w:rsidRPr="0059364C">
        <w:rPr>
          <w:snapToGrid/>
          <w:sz w:val="22"/>
          <w:szCs w:val="22"/>
        </w:rPr>
        <w:t xml:space="preserve"> </w:t>
      </w:r>
      <w:r w:rsidRPr="0059364C" w:rsidR="001C463D">
        <w:rPr>
          <w:snapToGrid/>
          <w:sz w:val="22"/>
          <w:szCs w:val="22"/>
        </w:rPr>
        <w:t xml:space="preserve"> </w:t>
      </w:r>
      <w:r w:rsidRPr="0059364C">
        <w:rPr>
          <w:snapToGrid/>
          <w:sz w:val="22"/>
          <w:szCs w:val="22"/>
        </w:rPr>
        <w:t xml:space="preserve">Instead, CXR </w:t>
      </w:r>
      <w:r w:rsidRPr="0059364C" w:rsidR="005E63D5">
        <w:rPr>
          <w:snapToGrid/>
          <w:sz w:val="22"/>
          <w:szCs w:val="22"/>
        </w:rPr>
        <w:t>asserts</w:t>
      </w:r>
      <w:r w:rsidRPr="0059364C" w:rsidR="001C463D">
        <w:rPr>
          <w:snapToGrid/>
          <w:sz w:val="22"/>
          <w:szCs w:val="22"/>
        </w:rPr>
        <w:t xml:space="preserve"> that it </w:t>
      </w:r>
      <w:r w:rsidRPr="0059364C">
        <w:rPr>
          <w:snapToGrid/>
          <w:sz w:val="22"/>
          <w:szCs w:val="22"/>
        </w:rPr>
        <w:t xml:space="preserve">should be able to establish what is a marketplace price by </w:t>
      </w:r>
      <w:r w:rsidRPr="0059364C">
        <w:rPr>
          <w:snapToGrid/>
          <w:sz w:val="22"/>
          <w:szCs w:val="22"/>
        </w:rPr>
        <w:t>conducting an orderly process to offer the Stations to all potentially willing buyers with the benefit of somewhat more normal economic conditions.</w:t>
      </w:r>
      <w:r>
        <w:rPr>
          <w:rStyle w:val="FootnoteReference"/>
          <w:rFonts w:ascii="Times New Roman" w:hAnsi="Times New Roman"/>
          <w:snapToGrid/>
          <w:sz w:val="22"/>
          <w:szCs w:val="22"/>
        </w:rPr>
        <w:footnoteReference w:id="26"/>
      </w:r>
      <w:r w:rsidRPr="0059364C">
        <w:rPr>
          <w:snapToGrid/>
          <w:sz w:val="22"/>
          <w:szCs w:val="22"/>
        </w:rPr>
        <w:t xml:space="preserve">  </w:t>
      </w:r>
      <w:r w:rsidRPr="0059364C" w:rsidR="001C463D">
        <w:rPr>
          <w:snapToGrid/>
          <w:sz w:val="22"/>
          <w:szCs w:val="22"/>
        </w:rPr>
        <w:t xml:space="preserve">CXR </w:t>
      </w:r>
      <w:r w:rsidR="00EA0A2C">
        <w:rPr>
          <w:snapToGrid/>
          <w:sz w:val="22"/>
          <w:szCs w:val="22"/>
        </w:rPr>
        <w:t>concedes</w:t>
      </w:r>
      <w:r w:rsidRPr="0059364C" w:rsidR="001C463D">
        <w:rPr>
          <w:snapToGrid/>
          <w:sz w:val="22"/>
          <w:szCs w:val="22"/>
        </w:rPr>
        <w:t xml:space="preserve"> that</w:t>
      </w:r>
      <w:r w:rsidRPr="0059364C" w:rsidR="004A798C">
        <w:rPr>
          <w:snapToGrid/>
          <w:sz w:val="22"/>
          <w:szCs w:val="22"/>
        </w:rPr>
        <w:t xml:space="preserve"> it </w:t>
      </w:r>
      <w:r w:rsidRPr="0059364C" w:rsidR="001C463D">
        <w:rPr>
          <w:snapToGrid/>
          <w:sz w:val="22"/>
          <w:szCs w:val="22"/>
        </w:rPr>
        <w:t>may be able to</w:t>
      </w:r>
      <w:r w:rsidRPr="0059364C" w:rsidR="004A798C">
        <w:rPr>
          <w:snapToGrid/>
          <w:sz w:val="22"/>
          <w:szCs w:val="22"/>
        </w:rPr>
        <w:t xml:space="preserve"> complete the process in less than the year</w:t>
      </w:r>
      <w:r w:rsidRPr="0059364C" w:rsidR="001C463D">
        <w:rPr>
          <w:snapToGrid/>
          <w:sz w:val="22"/>
          <w:szCs w:val="22"/>
        </w:rPr>
        <w:t xml:space="preserve"> </w:t>
      </w:r>
      <w:r w:rsidRPr="0059364C" w:rsidR="004A798C">
        <w:rPr>
          <w:snapToGrid/>
          <w:sz w:val="22"/>
          <w:szCs w:val="22"/>
        </w:rPr>
        <w:t>that it has requested</w:t>
      </w:r>
      <w:r w:rsidRPr="0059364C" w:rsidR="001C463D">
        <w:rPr>
          <w:snapToGrid/>
          <w:sz w:val="22"/>
          <w:szCs w:val="22"/>
        </w:rPr>
        <w:t>,</w:t>
      </w:r>
      <w:r>
        <w:rPr>
          <w:rStyle w:val="FootnoteReference"/>
          <w:rFonts w:ascii="Times New Roman" w:hAnsi="Times New Roman"/>
          <w:snapToGrid/>
          <w:sz w:val="22"/>
          <w:szCs w:val="22"/>
        </w:rPr>
        <w:footnoteReference w:id="27"/>
      </w:r>
      <w:r w:rsidRPr="0059364C" w:rsidR="001C463D">
        <w:rPr>
          <w:snapToGrid/>
          <w:sz w:val="22"/>
          <w:szCs w:val="22"/>
        </w:rPr>
        <w:t xml:space="preserve"> b</w:t>
      </w:r>
      <w:r w:rsidRPr="0059364C" w:rsidR="004A798C">
        <w:rPr>
          <w:snapToGrid/>
          <w:sz w:val="22"/>
          <w:szCs w:val="22"/>
        </w:rPr>
        <w:t>ut, given the uncertainties of th</w:t>
      </w:r>
      <w:r w:rsidRPr="0059364C" w:rsidR="001C463D">
        <w:rPr>
          <w:snapToGrid/>
          <w:sz w:val="22"/>
          <w:szCs w:val="22"/>
        </w:rPr>
        <w:t>e</w:t>
      </w:r>
      <w:r w:rsidRPr="0059364C" w:rsidR="004A798C">
        <w:rPr>
          <w:snapToGrid/>
          <w:sz w:val="22"/>
          <w:szCs w:val="22"/>
        </w:rPr>
        <w:t xml:space="preserve"> pandemic and its varied and far</w:t>
      </w:r>
      <w:r w:rsidRPr="0059364C" w:rsidR="001C463D">
        <w:rPr>
          <w:snapToGrid/>
          <w:sz w:val="22"/>
          <w:szCs w:val="22"/>
        </w:rPr>
        <w:t xml:space="preserve"> </w:t>
      </w:r>
      <w:r w:rsidRPr="0059364C" w:rsidR="004A798C">
        <w:rPr>
          <w:snapToGrid/>
          <w:sz w:val="22"/>
          <w:szCs w:val="22"/>
        </w:rPr>
        <w:t>reaching</w:t>
      </w:r>
      <w:r w:rsidRPr="0059364C" w:rsidR="001C463D">
        <w:rPr>
          <w:snapToGrid/>
          <w:sz w:val="22"/>
          <w:szCs w:val="22"/>
        </w:rPr>
        <w:t xml:space="preserve"> </w:t>
      </w:r>
      <w:r w:rsidRPr="0059364C" w:rsidR="004A798C">
        <w:rPr>
          <w:snapToGrid/>
          <w:sz w:val="22"/>
          <w:szCs w:val="22"/>
        </w:rPr>
        <w:t xml:space="preserve">economic consequences, </w:t>
      </w:r>
      <w:r w:rsidRPr="0059364C" w:rsidR="008A6C61">
        <w:rPr>
          <w:snapToGrid/>
          <w:sz w:val="22"/>
          <w:szCs w:val="22"/>
        </w:rPr>
        <w:t xml:space="preserve">CXR </w:t>
      </w:r>
      <w:r w:rsidRPr="0059364C" w:rsidR="004A798C">
        <w:rPr>
          <w:snapToGrid/>
          <w:sz w:val="22"/>
          <w:szCs w:val="22"/>
        </w:rPr>
        <w:t>has requested a year</w:t>
      </w:r>
      <w:r w:rsidRPr="0059364C" w:rsidR="008A6C61">
        <w:rPr>
          <w:snapToGrid/>
          <w:sz w:val="22"/>
          <w:szCs w:val="22"/>
        </w:rPr>
        <w:t>,</w:t>
      </w:r>
      <w:r w:rsidRPr="0059364C" w:rsidR="004A798C">
        <w:rPr>
          <w:snapToGrid/>
          <w:sz w:val="22"/>
          <w:szCs w:val="22"/>
        </w:rPr>
        <w:t xml:space="preserve"> which</w:t>
      </w:r>
      <w:r w:rsidRPr="0059364C" w:rsidR="008A6C61">
        <w:rPr>
          <w:snapToGrid/>
          <w:sz w:val="22"/>
          <w:szCs w:val="22"/>
        </w:rPr>
        <w:t xml:space="preserve"> CXR asserts</w:t>
      </w:r>
      <w:r w:rsidRPr="0059364C" w:rsidR="001C463D">
        <w:rPr>
          <w:snapToGrid/>
          <w:sz w:val="22"/>
          <w:szCs w:val="22"/>
        </w:rPr>
        <w:t xml:space="preserve"> </w:t>
      </w:r>
      <w:r w:rsidRPr="0059364C" w:rsidR="004A798C">
        <w:rPr>
          <w:snapToGrid/>
          <w:sz w:val="22"/>
          <w:szCs w:val="22"/>
        </w:rPr>
        <w:t>is fully</w:t>
      </w:r>
      <w:r w:rsidRPr="0059364C" w:rsidR="001C463D">
        <w:rPr>
          <w:snapToGrid/>
          <w:sz w:val="22"/>
          <w:szCs w:val="22"/>
        </w:rPr>
        <w:t xml:space="preserve"> c</w:t>
      </w:r>
      <w:r w:rsidRPr="0059364C" w:rsidR="004A798C">
        <w:rPr>
          <w:snapToGrid/>
          <w:sz w:val="22"/>
          <w:szCs w:val="22"/>
        </w:rPr>
        <w:t xml:space="preserve">onsistent with </w:t>
      </w:r>
      <w:r w:rsidRPr="0059364C" w:rsidR="008A6C61">
        <w:rPr>
          <w:snapToGrid/>
          <w:sz w:val="22"/>
          <w:szCs w:val="22"/>
        </w:rPr>
        <w:t xml:space="preserve">Commission </w:t>
      </w:r>
      <w:r w:rsidRPr="0059364C" w:rsidR="004A798C">
        <w:rPr>
          <w:snapToGrid/>
          <w:sz w:val="22"/>
          <w:szCs w:val="22"/>
        </w:rPr>
        <w:t>precedent</w:t>
      </w:r>
      <w:r w:rsidRPr="0059364C" w:rsidR="001C463D">
        <w:rPr>
          <w:snapToGrid/>
          <w:sz w:val="22"/>
          <w:szCs w:val="22"/>
        </w:rPr>
        <w:t>.</w:t>
      </w:r>
      <w:r>
        <w:rPr>
          <w:rStyle w:val="FootnoteReference"/>
          <w:rFonts w:ascii="Times New Roman" w:hAnsi="Times New Roman"/>
          <w:snapToGrid/>
          <w:sz w:val="22"/>
          <w:szCs w:val="22"/>
        </w:rPr>
        <w:footnoteReference w:id="28"/>
      </w:r>
      <w:r w:rsidRPr="0059364C">
        <w:rPr>
          <w:snapToGrid/>
          <w:sz w:val="22"/>
          <w:szCs w:val="22"/>
        </w:rPr>
        <w:t xml:space="preserve"> </w:t>
      </w:r>
      <w:r w:rsidRPr="0059364C" w:rsidR="006719C7">
        <w:rPr>
          <w:snapToGrid/>
          <w:sz w:val="22"/>
          <w:szCs w:val="22"/>
        </w:rPr>
        <w:t xml:space="preserve">  </w:t>
      </w:r>
    </w:p>
    <w:p w:rsidR="003422F2" w:rsidRPr="0059364C" w:rsidP="006719C7" w14:paraId="08D77E6B" w14:textId="4E1974DC">
      <w:pPr>
        <w:widowControl/>
        <w:autoSpaceDE w:val="0"/>
        <w:autoSpaceDN w:val="0"/>
        <w:adjustRightInd w:val="0"/>
        <w:rPr>
          <w:snapToGrid/>
          <w:sz w:val="22"/>
          <w:szCs w:val="22"/>
        </w:rPr>
      </w:pPr>
    </w:p>
    <w:p w:rsidR="00E76932" w:rsidP="00622783" w14:paraId="668A9743" w14:textId="1CFBEF76">
      <w:pPr>
        <w:widowControl/>
        <w:autoSpaceDE w:val="0"/>
        <w:autoSpaceDN w:val="0"/>
        <w:adjustRightInd w:val="0"/>
        <w:rPr>
          <w:sz w:val="22"/>
          <w:szCs w:val="22"/>
        </w:rPr>
      </w:pPr>
      <w:r w:rsidRPr="0059364C">
        <w:rPr>
          <w:snapToGrid/>
          <w:sz w:val="22"/>
          <w:szCs w:val="22"/>
        </w:rPr>
        <w:tab/>
      </w:r>
      <w:r w:rsidRPr="0059364C">
        <w:rPr>
          <w:b/>
          <w:bCs/>
          <w:snapToGrid/>
          <w:sz w:val="22"/>
          <w:szCs w:val="22"/>
        </w:rPr>
        <w:t>Discussion</w:t>
      </w:r>
      <w:r w:rsidRPr="0059364C">
        <w:rPr>
          <w:snapToGrid/>
          <w:sz w:val="22"/>
          <w:szCs w:val="22"/>
        </w:rPr>
        <w:t>.</w:t>
      </w:r>
      <w:r w:rsidRPr="0059364C" w:rsidR="004818BF">
        <w:rPr>
          <w:snapToGrid/>
          <w:sz w:val="22"/>
          <w:szCs w:val="22"/>
        </w:rPr>
        <w:t xml:space="preserve">  </w:t>
      </w:r>
      <w:r w:rsidRPr="0059364C" w:rsidR="00D33A33">
        <w:rPr>
          <w:snapToGrid/>
          <w:sz w:val="22"/>
          <w:szCs w:val="22"/>
        </w:rPr>
        <w:t>We deny CXR’s request i</w:t>
      </w:r>
      <w:r w:rsidRPr="0059364C" w:rsidR="003A7524">
        <w:rPr>
          <w:snapToGrid/>
          <w:sz w:val="22"/>
          <w:szCs w:val="22"/>
        </w:rPr>
        <w:t>nso</w:t>
      </w:r>
      <w:r w:rsidRPr="0059364C" w:rsidR="00097D84">
        <w:rPr>
          <w:snapToGrid/>
          <w:sz w:val="22"/>
          <w:szCs w:val="22"/>
        </w:rPr>
        <w:t xml:space="preserve">far as </w:t>
      </w:r>
      <w:r w:rsidRPr="0059364C" w:rsidR="00D33A33">
        <w:rPr>
          <w:snapToGrid/>
          <w:sz w:val="22"/>
          <w:szCs w:val="22"/>
        </w:rPr>
        <w:t>it s</w:t>
      </w:r>
      <w:r w:rsidRPr="0059364C" w:rsidR="003A7524">
        <w:rPr>
          <w:snapToGrid/>
          <w:sz w:val="22"/>
          <w:szCs w:val="22"/>
        </w:rPr>
        <w:t xml:space="preserve">eeks </w:t>
      </w:r>
      <w:r w:rsidRPr="0059364C" w:rsidR="00097D84">
        <w:rPr>
          <w:snapToGrid/>
          <w:sz w:val="22"/>
          <w:szCs w:val="22"/>
        </w:rPr>
        <w:t xml:space="preserve">a one-year </w:t>
      </w:r>
      <w:r w:rsidRPr="0059364C" w:rsidR="003A7524">
        <w:rPr>
          <w:snapToGrid/>
          <w:sz w:val="22"/>
          <w:szCs w:val="22"/>
        </w:rPr>
        <w:t xml:space="preserve">extension of the </w:t>
      </w:r>
      <w:r w:rsidRPr="0059364C" w:rsidR="00097D84">
        <w:rPr>
          <w:snapToGrid/>
          <w:sz w:val="22"/>
          <w:szCs w:val="22"/>
        </w:rPr>
        <w:t xml:space="preserve">divestiture </w:t>
      </w:r>
      <w:r w:rsidRPr="0059364C" w:rsidR="003A7524">
        <w:rPr>
          <w:snapToGrid/>
          <w:sz w:val="22"/>
          <w:szCs w:val="22"/>
        </w:rPr>
        <w:t>deadline</w:t>
      </w:r>
      <w:r w:rsidRPr="0059364C" w:rsidR="00A23724">
        <w:rPr>
          <w:snapToGrid/>
          <w:sz w:val="22"/>
          <w:szCs w:val="22"/>
        </w:rPr>
        <w:t xml:space="preserve">; however, </w:t>
      </w:r>
      <w:r w:rsidRPr="0059364C" w:rsidR="003A7524">
        <w:rPr>
          <w:snapToGrid/>
          <w:sz w:val="22"/>
          <w:szCs w:val="22"/>
        </w:rPr>
        <w:t>we</w:t>
      </w:r>
      <w:r w:rsidRPr="0059364C" w:rsidR="00A23724">
        <w:rPr>
          <w:snapToGrid/>
          <w:sz w:val="22"/>
          <w:szCs w:val="22"/>
        </w:rPr>
        <w:t xml:space="preserve"> </w:t>
      </w:r>
      <w:r w:rsidRPr="0059364C" w:rsidR="003A7524">
        <w:rPr>
          <w:snapToGrid/>
          <w:sz w:val="22"/>
          <w:szCs w:val="22"/>
        </w:rPr>
        <w:t xml:space="preserve">extend the </w:t>
      </w:r>
      <w:r w:rsidRPr="0059364C" w:rsidR="007E7DA1">
        <w:rPr>
          <w:snapToGrid/>
          <w:sz w:val="22"/>
          <w:szCs w:val="22"/>
        </w:rPr>
        <w:t xml:space="preserve">current divestiture time period </w:t>
      </w:r>
      <w:r w:rsidRPr="0059364C">
        <w:rPr>
          <w:snapToGrid/>
          <w:sz w:val="22"/>
          <w:szCs w:val="22"/>
        </w:rPr>
        <w:t xml:space="preserve">by </w:t>
      </w:r>
      <w:r w:rsidRPr="0059364C" w:rsidR="00BD5327">
        <w:rPr>
          <w:snapToGrid/>
          <w:sz w:val="22"/>
          <w:szCs w:val="22"/>
        </w:rPr>
        <w:t xml:space="preserve">an additional </w:t>
      </w:r>
      <w:r w:rsidR="00EA0A2C">
        <w:rPr>
          <w:snapToGrid/>
          <w:sz w:val="22"/>
          <w:szCs w:val="22"/>
        </w:rPr>
        <w:t>60</w:t>
      </w:r>
      <w:r w:rsidRPr="0059364C" w:rsidR="007E7DA1">
        <w:rPr>
          <w:snapToGrid/>
          <w:sz w:val="22"/>
          <w:szCs w:val="22"/>
        </w:rPr>
        <w:t xml:space="preserve"> days, until </w:t>
      </w:r>
      <w:r w:rsidR="00EA0A2C">
        <w:rPr>
          <w:snapToGrid/>
          <w:sz w:val="22"/>
          <w:szCs w:val="22"/>
        </w:rPr>
        <w:t>February</w:t>
      </w:r>
      <w:r w:rsidR="00623271">
        <w:rPr>
          <w:snapToGrid/>
          <w:sz w:val="22"/>
          <w:szCs w:val="22"/>
        </w:rPr>
        <w:t xml:space="preserve">  </w:t>
      </w:r>
      <w:r w:rsidR="00EA0A2C">
        <w:rPr>
          <w:snapToGrid/>
          <w:sz w:val="22"/>
          <w:szCs w:val="22"/>
        </w:rPr>
        <w:t>15</w:t>
      </w:r>
      <w:r w:rsidR="004D74F0">
        <w:rPr>
          <w:snapToGrid/>
          <w:sz w:val="22"/>
          <w:szCs w:val="22"/>
        </w:rPr>
        <w:t>, 2022</w:t>
      </w:r>
      <w:r w:rsidRPr="0059364C" w:rsidR="00A23724">
        <w:rPr>
          <w:snapToGrid/>
          <w:sz w:val="22"/>
          <w:szCs w:val="22"/>
        </w:rPr>
        <w:t>, for</w:t>
      </w:r>
      <w:r w:rsidRPr="0059364C">
        <w:rPr>
          <w:snapToGrid/>
          <w:sz w:val="22"/>
          <w:szCs w:val="22"/>
        </w:rPr>
        <w:t xml:space="preserve"> CXR to </w:t>
      </w:r>
      <w:r w:rsidR="00571DA9">
        <w:rPr>
          <w:snapToGrid/>
          <w:sz w:val="22"/>
          <w:szCs w:val="22"/>
        </w:rPr>
        <w:t xml:space="preserve">file with the Commission a long-form application seeking </w:t>
      </w:r>
      <w:r w:rsidR="00C644B9">
        <w:rPr>
          <w:snapToGrid/>
          <w:sz w:val="22"/>
          <w:szCs w:val="22"/>
        </w:rPr>
        <w:t xml:space="preserve">to </w:t>
      </w:r>
      <w:r w:rsidRPr="0059364C">
        <w:rPr>
          <w:snapToGrid/>
          <w:sz w:val="22"/>
          <w:szCs w:val="22"/>
        </w:rPr>
        <w:t>assign the Stations’ licenses to an unaffiliated buyer</w:t>
      </w:r>
      <w:r w:rsidR="00623271">
        <w:rPr>
          <w:snapToGrid/>
          <w:sz w:val="22"/>
          <w:szCs w:val="22"/>
        </w:rPr>
        <w:t>.</w:t>
      </w:r>
      <w:r>
        <w:rPr>
          <w:rStyle w:val="FootnoteReference"/>
          <w:rFonts w:ascii="Times New Roman" w:hAnsi="Times New Roman"/>
          <w:snapToGrid/>
          <w:sz w:val="22"/>
          <w:szCs w:val="22"/>
        </w:rPr>
        <w:footnoteReference w:id="29"/>
      </w:r>
      <w:r w:rsidRPr="0059364C" w:rsidR="005A79DD">
        <w:rPr>
          <w:snapToGrid/>
          <w:sz w:val="22"/>
          <w:szCs w:val="22"/>
        </w:rPr>
        <w:t xml:space="preserve">  </w:t>
      </w:r>
      <w:r w:rsidRPr="0059364C">
        <w:rPr>
          <w:snapToGrid/>
          <w:sz w:val="22"/>
          <w:szCs w:val="22"/>
        </w:rPr>
        <w:t xml:space="preserve">The Bureau </w:t>
      </w:r>
      <w:r w:rsidRPr="0059364C" w:rsidR="00B1642E">
        <w:rPr>
          <w:snapToGrid/>
          <w:sz w:val="22"/>
          <w:szCs w:val="22"/>
        </w:rPr>
        <w:t xml:space="preserve">may, in its discretion, </w:t>
      </w:r>
      <w:r w:rsidRPr="0059364C">
        <w:rPr>
          <w:snapToGrid/>
          <w:sz w:val="22"/>
          <w:szCs w:val="22"/>
        </w:rPr>
        <w:t>adjust divestiture deadlines as circumstances warrant and grant individual requests for modification of deadlines for good cause.</w:t>
      </w:r>
      <w:r>
        <w:rPr>
          <w:rStyle w:val="FootnoteReference"/>
          <w:rFonts w:ascii="Times New Roman" w:hAnsi="Times New Roman"/>
          <w:snapToGrid/>
          <w:sz w:val="22"/>
          <w:szCs w:val="22"/>
        </w:rPr>
        <w:footnoteReference w:id="30"/>
      </w:r>
      <w:r w:rsidRPr="0059364C">
        <w:rPr>
          <w:snapToGrid/>
          <w:sz w:val="22"/>
          <w:szCs w:val="22"/>
        </w:rPr>
        <w:t xml:space="preserve"> </w:t>
      </w:r>
      <w:r w:rsidRPr="0059364C" w:rsidR="00622783">
        <w:rPr>
          <w:snapToGrid/>
          <w:sz w:val="22"/>
          <w:szCs w:val="22"/>
        </w:rPr>
        <w:t xml:space="preserve"> </w:t>
      </w:r>
      <w:r w:rsidR="00EA0A2C">
        <w:rPr>
          <w:snapToGrid/>
          <w:sz w:val="22"/>
          <w:szCs w:val="22"/>
        </w:rPr>
        <w:t>We believe that t</w:t>
      </w:r>
      <w:r w:rsidR="008210D2">
        <w:rPr>
          <w:snapToGrid/>
          <w:sz w:val="22"/>
          <w:szCs w:val="22"/>
        </w:rPr>
        <w:t xml:space="preserve">his extension will provide </w:t>
      </w:r>
      <w:r w:rsidRPr="0059364C" w:rsidR="00622783">
        <w:rPr>
          <w:sz w:val="22"/>
          <w:szCs w:val="22"/>
        </w:rPr>
        <w:t xml:space="preserve">CXR </w:t>
      </w:r>
      <w:r w:rsidR="008210D2">
        <w:rPr>
          <w:sz w:val="22"/>
          <w:szCs w:val="22"/>
        </w:rPr>
        <w:t>with sufficient time to complete a</w:t>
      </w:r>
      <w:r w:rsidR="00422FC9">
        <w:rPr>
          <w:sz w:val="22"/>
          <w:szCs w:val="22"/>
        </w:rPr>
        <w:t xml:space="preserve"> </w:t>
      </w:r>
      <w:r w:rsidRPr="0059364C" w:rsidR="00622783">
        <w:rPr>
          <w:sz w:val="22"/>
          <w:szCs w:val="22"/>
        </w:rPr>
        <w:t xml:space="preserve">marketing process </w:t>
      </w:r>
      <w:r w:rsidR="00422FC9">
        <w:rPr>
          <w:sz w:val="22"/>
          <w:szCs w:val="22"/>
        </w:rPr>
        <w:t xml:space="preserve">and </w:t>
      </w:r>
      <w:r w:rsidR="00EA0A2C">
        <w:rPr>
          <w:sz w:val="22"/>
          <w:szCs w:val="22"/>
        </w:rPr>
        <w:t xml:space="preserve">reach a final agreement to sell </w:t>
      </w:r>
      <w:r w:rsidRPr="0059364C" w:rsidR="00622783">
        <w:rPr>
          <w:sz w:val="22"/>
          <w:szCs w:val="22"/>
        </w:rPr>
        <w:t xml:space="preserve">the Stations.  </w:t>
      </w:r>
      <w:r w:rsidRPr="0059364C" w:rsidR="00AF6092">
        <w:rPr>
          <w:sz w:val="22"/>
          <w:szCs w:val="22"/>
        </w:rPr>
        <w:t>After careful consideration of the record,</w:t>
      </w:r>
      <w:r w:rsidRPr="0059364C" w:rsidR="00622783">
        <w:rPr>
          <w:sz w:val="22"/>
          <w:szCs w:val="22"/>
        </w:rPr>
        <w:t xml:space="preserve"> we c</w:t>
      </w:r>
      <w:r w:rsidRPr="0059364C" w:rsidR="00622783">
        <w:rPr>
          <w:snapToGrid/>
          <w:sz w:val="22"/>
          <w:szCs w:val="22"/>
        </w:rPr>
        <w:t xml:space="preserve">onclude that it is in the public interest to grant CXR </w:t>
      </w:r>
      <w:r w:rsidR="00D940C9">
        <w:rPr>
          <w:snapToGrid/>
          <w:sz w:val="22"/>
          <w:szCs w:val="22"/>
        </w:rPr>
        <w:t>this</w:t>
      </w:r>
      <w:r w:rsidRPr="0059364C" w:rsidR="006074BE">
        <w:rPr>
          <w:snapToGrid/>
          <w:sz w:val="22"/>
          <w:szCs w:val="22"/>
        </w:rPr>
        <w:t xml:space="preserve"> limited extension to provide </w:t>
      </w:r>
      <w:r w:rsidRPr="0059364C" w:rsidR="00622783">
        <w:rPr>
          <w:snapToGrid/>
          <w:sz w:val="22"/>
          <w:szCs w:val="22"/>
        </w:rPr>
        <w:t>a</w:t>
      </w:r>
      <w:r w:rsidRPr="0059364C" w:rsidR="00FC2F80">
        <w:rPr>
          <w:snapToGrid/>
          <w:sz w:val="22"/>
          <w:szCs w:val="22"/>
        </w:rPr>
        <w:t>dditional</w:t>
      </w:r>
      <w:r w:rsidRPr="0059364C" w:rsidR="00AA1F16">
        <w:rPr>
          <w:sz w:val="22"/>
          <w:szCs w:val="22"/>
        </w:rPr>
        <w:t xml:space="preserve"> time i</w:t>
      </w:r>
      <w:r w:rsidRPr="0059364C">
        <w:rPr>
          <w:sz w:val="22"/>
          <w:szCs w:val="22"/>
        </w:rPr>
        <w:t xml:space="preserve">n which to complete its </w:t>
      </w:r>
      <w:r w:rsidR="00E4261F">
        <w:rPr>
          <w:sz w:val="22"/>
          <w:szCs w:val="22"/>
        </w:rPr>
        <w:t xml:space="preserve">pledge </w:t>
      </w:r>
      <w:r w:rsidR="00A26029">
        <w:rPr>
          <w:sz w:val="22"/>
          <w:szCs w:val="22"/>
        </w:rPr>
        <w:t>to divest</w:t>
      </w:r>
      <w:r w:rsidRPr="0059364C">
        <w:rPr>
          <w:sz w:val="22"/>
          <w:szCs w:val="22"/>
        </w:rPr>
        <w:t xml:space="preserve"> the Stations</w:t>
      </w:r>
      <w:r w:rsidRPr="0059364C" w:rsidR="00AA1F16">
        <w:rPr>
          <w:sz w:val="22"/>
          <w:szCs w:val="22"/>
        </w:rPr>
        <w:t xml:space="preserve"> and </w:t>
      </w:r>
      <w:r w:rsidRPr="0059364C" w:rsidR="001270F6">
        <w:rPr>
          <w:sz w:val="22"/>
          <w:szCs w:val="22"/>
        </w:rPr>
        <w:t>ensure long-term</w:t>
      </w:r>
      <w:r w:rsidRPr="0059364C" w:rsidR="00AA1F16">
        <w:rPr>
          <w:sz w:val="22"/>
          <w:szCs w:val="22"/>
        </w:rPr>
        <w:t xml:space="preserve"> compliance with the </w:t>
      </w:r>
      <w:r w:rsidRPr="0059364C" w:rsidR="00985C0F">
        <w:rPr>
          <w:sz w:val="22"/>
          <w:szCs w:val="22"/>
        </w:rPr>
        <w:t>L</w:t>
      </w:r>
      <w:r w:rsidRPr="0059364C" w:rsidR="00AA1F16">
        <w:rPr>
          <w:sz w:val="22"/>
          <w:szCs w:val="22"/>
        </w:rPr>
        <w:t xml:space="preserve">ocal </w:t>
      </w:r>
      <w:r w:rsidRPr="0059364C" w:rsidR="00985C0F">
        <w:rPr>
          <w:sz w:val="22"/>
          <w:szCs w:val="22"/>
        </w:rPr>
        <w:t>R</w:t>
      </w:r>
      <w:r w:rsidRPr="0059364C" w:rsidR="00AA1F16">
        <w:rPr>
          <w:sz w:val="22"/>
          <w:szCs w:val="22"/>
        </w:rPr>
        <w:t xml:space="preserve">adio </w:t>
      </w:r>
      <w:r w:rsidRPr="0059364C" w:rsidR="00985C0F">
        <w:rPr>
          <w:sz w:val="22"/>
          <w:szCs w:val="22"/>
        </w:rPr>
        <w:t>O</w:t>
      </w:r>
      <w:r w:rsidRPr="0059364C" w:rsidR="00AA1F16">
        <w:rPr>
          <w:sz w:val="22"/>
          <w:szCs w:val="22"/>
        </w:rPr>
        <w:t xml:space="preserve">wnership </w:t>
      </w:r>
      <w:r w:rsidRPr="0059364C" w:rsidR="00985C0F">
        <w:rPr>
          <w:sz w:val="22"/>
          <w:szCs w:val="22"/>
        </w:rPr>
        <w:t>R</w:t>
      </w:r>
      <w:r w:rsidRPr="0059364C" w:rsidR="00AA1F16">
        <w:rPr>
          <w:sz w:val="22"/>
          <w:szCs w:val="22"/>
        </w:rPr>
        <w:t>ule</w:t>
      </w:r>
      <w:r w:rsidRPr="0059364C">
        <w:rPr>
          <w:sz w:val="22"/>
          <w:szCs w:val="22"/>
        </w:rPr>
        <w:t>.</w:t>
      </w:r>
      <w:r>
        <w:rPr>
          <w:rStyle w:val="FootnoteReference"/>
          <w:rFonts w:ascii="Times New Roman" w:hAnsi="Times New Roman"/>
          <w:snapToGrid/>
          <w:sz w:val="22"/>
          <w:szCs w:val="22"/>
        </w:rPr>
        <w:footnoteReference w:id="31"/>
      </w:r>
      <w:r w:rsidRPr="0059364C">
        <w:rPr>
          <w:sz w:val="22"/>
          <w:szCs w:val="22"/>
        </w:rPr>
        <w:t xml:space="preserve">  </w:t>
      </w:r>
      <w:r w:rsidR="00EA0A2C">
        <w:rPr>
          <w:sz w:val="22"/>
          <w:szCs w:val="22"/>
        </w:rPr>
        <w:t>Moreover, we believe that a 60-day extension is consistent with the “limited” extension to which SBS, the only opponent, does not object.</w:t>
      </w:r>
    </w:p>
    <w:p w:rsidR="00634162" w:rsidP="00622783" w14:paraId="081E538B" w14:textId="0E77AE87">
      <w:pPr>
        <w:widowControl/>
        <w:autoSpaceDE w:val="0"/>
        <w:autoSpaceDN w:val="0"/>
        <w:adjustRightInd w:val="0"/>
        <w:rPr>
          <w:sz w:val="22"/>
          <w:szCs w:val="22"/>
        </w:rPr>
      </w:pPr>
    </w:p>
    <w:p w:rsidR="00634162" w:rsidRPr="00AF3ED2" w:rsidP="00622783" w14:paraId="206F18E8" w14:textId="3F76222D">
      <w:pPr>
        <w:widowControl/>
        <w:autoSpaceDE w:val="0"/>
        <w:autoSpaceDN w:val="0"/>
        <w:adjustRightInd w:val="0"/>
        <w:rPr>
          <w:snapToGrid/>
          <w:sz w:val="22"/>
          <w:szCs w:val="22"/>
        </w:rPr>
      </w:pPr>
      <w:r>
        <w:rPr>
          <w:sz w:val="22"/>
          <w:szCs w:val="22"/>
        </w:rPr>
        <w:tab/>
      </w:r>
      <w:r w:rsidR="0017517E">
        <w:rPr>
          <w:sz w:val="22"/>
          <w:szCs w:val="22"/>
        </w:rPr>
        <w:t xml:space="preserve">We emphasize that CXR’s pledge to divest the Stations was a concession to allow </w:t>
      </w:r>
      <w:r w:rsidRPr="00634162" w:rsidR="0017517E">
        <w:rPr>
          <w:sz w:val="22"/>
          <w:szCs w:val="22"/>
        </w:rPr>
        <w:t>the</w:t>
      </w:r>
      <w:r w:rsidR="0017517E">
        <w:rPr>
          <w:sz w:val="22"/>
          <w:szCs w:val="22"/>
        </w:rPr>
        <w:t xml:space="preserve"> c</w:t>
      </w:r>
      <w:r w:rsidRPr="00634162" w:rsidR="0017517E">
        <w:rPr>
          <w:sz w:val="22"/>
          <w:szCs w:val="22"/>
        </w:rPr>
        <w:t xml:space="preserve">ontinued operation </w:t>
      </w:r>
      <w:r w:rsidR="0017517E">
        <w:rPr>
          <w:sz w:val="22"/>
          <w:szCs w:val="22"/>
        </w:rPr>
        <w:t xml:space="preserve">of stations </w:t>
      </w:r>
      <w:r w:rsidRPr="00634162" w:rsidR="0017517E">
        <w:rPr>
          <w:sz w:val="22"/>
          <w:szCs w:val="22"/>
        </w:rPr>
        <w:t xml:space="preserve">that </w:t>
      </w:r>
      <w:r w:rsidR="005311F2">
        <w:rPr>
          <w:sz w:val="22"/>
          <w:szCs w:val="22"/>
        </w:rPr>
        <w:t>it could not own under</w:t>
      </w:r>
      <w:r w:rsidRPr="00634162" w:rsidR="0017517E">
        <w:rPr>
          <w:sz w:val="22"/>
          <w:szCs w:val="22"/>
        </w:rPr>
        <w:t xml:space="preserve"> th</w:t>
      </w:r>
      <w:r w:rsidR="0017517E">
        <w:rPr>
          <w:sz w:val="22"/>
          <w:szCs w:val="22"/>
        </w:rPr>
        <w:t xml:space="preserve">e Local Radio Ownership Rule.  </w:t>
      </w:r>
      <w:r w:rsidRPr="00E137D3" w:rsidR="00E137D3">
        <w:rPr>
          <w:sz w:val="22"/>
          <w:szCs w:val="22"/>
        </w:rPr>
        <w:t xml:space="preserve">The Commission has found that the Local Radio Ownership Rule promotes competition and viewpoint diversity by ensuring a </w:t>
      </w:r>
      <w:r w:rsidRPr="00E137D3" w:rsidR="00E137D3">
        <w:rPr>
          <w:sz w:val="22"/>
          <w:szCs w:val="22"/>
        </w:rPr>
        <w:t>sufficient number of independent radio voices and by preserving a market structure that facilitates and encourages new entry into the local media market.</w:t>
      </w:r>
      <w:r>
        <w:rPr>
          <w:sz w:val="22"/>
          <w:szCs w:val="22"/>
          <w:vertAlign w:val="superscript"/>
        </w:rPr>
        <w:footnoteReference w:id="32"/>
      </w:r>
      <w:r w:rsidRPr="00E137D3" w:rsidR="00E137D3">
        <w:rPr>
          <w:sz w:val="22"/>
          <w:szCs w:val="22"/>
        </w:rPr>
        <w:t xml:space="preserve">  </w:t>
      </w:r>
      <w:r w:rsidRPr="0059364C" w:rsidR="00823AF9">
        <w:rPr>
          <w:snapToGrid/>
          <w:sz w:val="22"/>
          <w:szCs w:val="22"/>
        </w:rPr>
        <w:t>The Commission previously has approved the use of properly insulated trust arrangements as a legitimate means to effect compliance with the Commission’s multiple ownership rules for holdings which would violate the rules if held outright.</w:t>
      </w:r>
      <w:r>
        <w:rPr>
          <w:rStyle w:val="FootnoteReference"/>
          <w:rFonts w:ascii="Times New Roman" w:hAnsi="Times New Roman"/>
          <w:snapToGrid/>
          <w:sz w:val="22"/>
          <w:szCs w:val="22"/>
        </w:rPr>
        <w:footnoteReference w:id="33"/>
      </w:r>
      <w:r w:rsidRPr="0059364C" w:rsidR="00823AF9">
        <w:rPr>
          <w:snapToGrid/>
          <w:sz w:val="22"/>
          <w:szCs w:val="22"/>
        </w:rPr>
        <w:t xml:space="preserve">  The Commission has indicated that, although trust arrangements may be effective in avoiding the influence which would trigger attribution and our concern for diversity, their use does not necessarily alleviate competitive concerns because such insulated trusts permit a station owner to hold attributable interests in the maximum number of overall and/or same service stations at the same time that it holds beneficial interest in additional stations through </w:t>
      </w:r>
      <w:r w:rsidR="00823AF9">
        <w:rPr>
          <w:snapToGrid/>
          <w:sz w:val="22"/>
          <w:szCs w:val="22"/>
        </w:rPr>
        <w:t xml:space="preserve">a </w:t>
      </w:r>
      <w:r w:rsidRPr="0059364C" w:rsidR="00823AF9">
        <w:rPr>
          <w:snapToGrid/>
          <w:sz w:val="22"/>
          <w:szCs w:val="22"/>
        </w:rPr>
        <w:t>trust.</w:t>
      </w:r>
      <w:r>
        <w:rPr>
          <w:rStyle w:val="FootnoteReference"/>
          <w:rFonts w:ascii="Times New Roman" w:hAnsi="Times New Roman"/>
          <w:snapToGrid/>
          <w:sz w:val="22"/>
          <w:szCs w:val="22"/>
        </w:rPr>
        <w:footnoteReference w:id="34"/>
      </w:r>
      <w:r w:rsidRPr="0059364C" w:rsidR="00823AF9">
        <w:rPr>
          <w:snapToGrid/>
          <w:sz w:val="22"/>
          <w:szCs w:val="22"/>
        </w:rPr>
        <w:t xml:space="preserve">  However, the Commission has found that competitive concerns can be mitigated where temporary, disposition trust arrangements are proposed and the stations held in trust are sold</w:t>
      </w:r>
      <w:r w:rsidRPr="00B40695" w:rsidR="00823AF9">
        <w:rPr>
          <w:snapToGrid/>
          <w:sz w:val="22"/>
          <w:szCs w:val="22"/>
        </w:rPr>
        <w:t>.</w:t>
      </w:r>
      <w:r>
        <w:rPr>
          <w:rStyle w:val="FootnoteReference"/>
          <w:rFonts w:ascii="Times New Roman" w:hAnsi="Times New Roman"/>
          <w:snapToGrid/>
          <w:sz w:val="22"/>
          <w:szCs w:val="22"/>
        </w:rPr>
        <w:footnoteReference w:id="35"/>
      </w:r>
      <w:r w:rsidRPr="00B40695" w:rsidR="00823AF9">
        <w:rPr>
          <w:snapToGrid/>
          <w:sz w:val="22"/>
          <w:szCs w:val="22"/>
        </w:rPr>
        <w:t xml:space="preserve"> </w:t>
      </w:r>
      <w:r w:rsidR="00B40695">
        <w:rPr>
          <w:snapToGrid/>
          <w:sz w:val="22"/>
          <w:szCs w:val="22"/>
        </w:rPr>
        <w:t xml:space="preserve"> </w:t>
      </w:r>
      <w:r w:rsidRPr="00675AC6" w:rsidR="00B236AF">
        <w:rPr>
          <w:sz w:val="22"/>
          <w:szCs w:val="22"/>
          <w:shd w:val="clear" w:color="auto" w:fill="FFFFFF"/>
        </w:rPr>
        <w:t xml:space="preserve">Notably, in the instant case, although CXR was </w:t>
      </w:r>
      <w:r w:rsidRPr="00675AC6" w:rsidR="00294F64">
        <w:rPr>
          <w:sz w:val="22"/>
          <w:szCs w:val="22"/>
          <w:shd w:val="clear" w:color="auto" w:fill="FFFFFF"/>
        </w:rPr>
        <w:t>granted</w:t>
      </w:r>
      <w:r w:rsidRPr="00AF3ED2" w:rsidR="00294F64">
        <w:rPr>
          <w:snapToGrid/>
          <w:sz w:val="22"/>
          <w:szCs w:val="22"/>
        </w:rPr>
        <w:t xml:space="preserve"> two years to come into compliance with the Local Radio Ownership Rule</w:t>
      </w:r>
      <w:r w:rsidRPr="00665298" w:rsidR="00B236AF">
        <w:rPr>
          <w:snapToGrid/>
          <w:sz w:val="22"/>
          <w:szCs w:val="22"/>
        </w:rPr>
        <w:t xml:space="preserve">, </w:t>
      </w:r>
      <w:r w:rsidRPr="00675AC6" w:rsidR="009267D1">
        <w:rPr>
          <w:sz w:val="22"/>
          <w:szCs w:val="22"/>
          <w:shd w:val="clear" w:color="auto" w:fill="FFFFFF"/>
        </w:rPr>
        <w:t xml:space="preserve">no </w:t>
      </w:r>
      <w:r w:rsidRPr="00675AC6" w:rsidR="00B40695">
        <w:rPr>
          <w:sz w:val="22"/>
          <w:szCs w:val="22"/>
          <w:shd w:val="clear" w:color="auto" w:fill="FFFFFF"/>
        </w:rPr>
        <w:t xml:space="preserve">marketing efforts </w:t>
      </w:r>
      <w:r w:rsidRPr="00675AC6" w:rsidR="00294F64">
        <w:rPr>
          <w:sz w:val="22"/>
          <w:szCs w:val="22"/>
          <w:shd w:val="clear" w:color="auto" w:fill="FFFFFF"/>
        </w:rPr>
        <w:t xml:space="preserve">to sell the Stations </w:t>
      </w:r>
      <w:r w:rsidRPr="00675AC6" w:rsidR="00B40695">
        <w:rPr>
          <w:sz w:val="22"/>
          <w:szCs w:val="22"/>
          <w:shd w:val="clear" w:color="auto" w:fill="FFFFFF"/>
        </w:rPr>
        <w:t>ha</w:t>
      </w:r>
      <w:r w:rsidRPr="00675AC6" w:rsidR="00B93547">
        <w:rPr>
          <w:sz w:val="22"/>
          <w:szCs w:val="22"/>
          <w:shd w:val="clear" w:color="auto" w:fill="FFFFFF"/>
        </w:rPr>
        <w:t>ve</w:t>
      </w:r>
      <w:r w:rsidRPr="00675AC6" w:rsidR="00B40695">
        <w:rPr>
          <w:sz w:val="22"/>
          <w:szCs w:val="22"/>
          <w:shd w:val="clear" w:color="auto" w:fill="FFFFFF"/>
        </w:rPr>
        <w:t xml:space="preserve"> been initiated</w:t>
      </w:r>
      <w:r w:rsidRPr="00675AC6" w:rsidR="00A74525">
        <w:rPr>
          <w:sz w:val="22"/>
          <w:szCs w:val="22"/>
          <w:shd w:val="clear" w:color="auto" w:fill="FFFFFF"/>
        </w:rPr>
        <w:t>, until recently</w:t>
      </w:r>
      <w:r w:rsidRPr="00675AC6" w:rsidR="00294F64">
        <w:rPr>
          <w:sz w:val="22"/>
          <w:szCs w:val="22"/>
          <w:shd w:val="clear" w:color="auto" w:fill="FFFFFF"/>
        </w:rPr>
        <w:t>.</w:t>
      </w:r>
      <w:r>
        <w:rPr>
          <w:rStyle w:val="FootnoteReference"/>
          <w:rFonts w:ascii="Times New Roman" w:hAnsi="Times New Roman"/>
          <w:sz w:val="22"/>
          <w:szCs w:val="22"/>
          <w:shd w:val="clear" w:color="auto" w:fill="FFFFFF"/>
        </w:rPr>
        <w:footnoteReference w:id="36"/>
      </w:r>
      <w:r w:rsidRPr="00675AC6" w:rsidR="00294F64">
        <w:rPr>
          <w:sz w:val="22"/>
          <w:szCs w:val="22"/>
          <w:shd w:val="clear" w:color="auto" w:fill="FFFFFF"/>
        </w:rPr>
        <w:t xml:space="preserve"> </w:t>
      </w:r>
    </w:p>
    <w:p w:rsidR="00E76932" w:rsidRPr="0059364C" w:rsidP="00CE3124" w14:paraId="1D280A30" w14:textId="246CF379">
      <w:pPr>
        <w:widowControl/>
        <w:autoSpaceDE w:val="0"/>
        <w:autoSpaceDN w:val="0"/>
        <w:adjustRightInd w:val="0"/>
        <w:rPr>
          <w:snapToGrid/>
          <w:sz w:val="22"/>
          <w:szCs w:val="22"/>
        </w:rPr>
      </w:pPr>
    </w:p>
    <w:p w:rsidR="006E5906" w:rsidRPr="0059364C" w:rsidP="000152E4" w14:paraId="09050795" w14:textId="286544AC">
      <w:pPr>
        <w:widowControl/>
        <w:autoSpaceDE w:val="0"/>
        <w:autoSpaceDN w:val="0"/>
        <w:adjustRightInd w:val="0"/>
        <w:ind w:firstLine="720"/>
        <w:rPr>
          <w:snapToGrid/>
          <w:sz w:val="22"/>
          <w:szCs w:val="22"/>
        </w:rPr>
      </w:pPr>
      <w:r>
        <w:rPr>
          <w:snapToGrid/>
          <w:sz w:val="22"/>
          <w:szCs w:val="22"/>
        </w:rPr>
        <w:t>W</w:t>
      </w:r>
      <w:r w:rsidRPr="0059364C" w:rsidR="001C6920">
        <w:rPr>
          <w:snapToGrid/>
          <w:sz w:val="22"/>
          <w:szCs w:val="22"/>
        </w:rPr>
        <w:t xml:space="preserve">e do not find persuasive the justification that </w:t>
      </w:r>
      <w:r w:rsidRPr="0059364C" w:rsidR="0089610F">
        <w:rPr>
          <w:snapToGrid/>
          <w:sz w:val="22"/>
          <w:szCs w:val="22"/>
        </w:rPr>
        <w:t>market conditions made it appropriate for CXR to wait until early 2022 to begin a meaningful marketing process for the sale of the Stations.</w:t>
      </w:r>
      <w:r>
        <w:rPr>
          <w:rStyle w:val="FootnoteReference"/>
          <w:rFonts w:ascii="Times New Roman" w:hAnsi="Times New Roman"/>
          <w:snapToGrid/>
          <w:sz w:val="22"/>
          <w:szCs w:val="22"/>
        </w:rPr>
        <w:footnoteReference w:id="37"/>
      </w:r>
      <w:r w:rsidRPr="0059364C" w:rsidR="00785839">
        <w:rPr>
          <w:snapToGrid/>
          <w:sz w:val="22"/>
          <w:szCs w:val="22"/>
        </w:rPr>
        <w:t xml:space="preserve">  </w:t>
      </w:r>
      <w:bookmarkStart w:id="1" w:name="_Hlk89072072"/>
      <w:r w:rsidRPr="0059364C" w:rsidR="00785839">
        <w:rPr>
          <w:snapToGrid/>
          <w:sz w:val="22"/>
          <w:szCs w:val="22"/>
        </w:rPr>
        <w:t xml:space="preserve">CXR’s decision to hold off on any meaningful efforts to market the Stations to prospective </w:t>
      </w:r>
      <w:r w:rsidRPr="0059364C" w:rsidR="0076254D">
        <w:rPr>
          <w:snapToGrid/>
          <w:sz w:val="22"/>
          <w:szCs w:val="22"/>
        </w:rPr>
        <w:t>purchasers</w:t>
      </w:r>
      <w:r w:rsidRPr="0059364C" w:rsidR="00785839">
        <w:rPr>
          <w:snapToGrid/>
          <w:sz w:val="22"/>
          <w:szCs w:val="22"/>
        </w:rPr>
        <w:t xml:space="preserve"> is contrary to its express commitment, submitted with the divestiture applications and relied upon by the Commission in the </w:t>
      </w:r>
      <w:r w:rsidRPr="0059364C" w:rsidR="00785839">
        <w:rPr>
          <w:i/>
          <w:iCs/>
          <w:snapToGrid/>
          <w:sz w:val="22"/>
          <w:szCs w:val="22"/>
        </w:rPr>
        <w:t>Divestiture Order</w:t>
      </w:r>
      <w:r w:rsidRPr="0059364C" w:rsidR="00785839">
        <w:rPr>
          <w:snapToGrid/>
          <w:sz w:val="22"/>
          <w:szCs w:val="22"/>
        </w:rPr>
        <w:t>, to “consummate a sale of each Station as soon as reasonably practicable after the Closing . . . at prices that render to [Cox Radio, Inc.,] the maximum consideration reasonably attainable.</w:t>
      </w:r>
      <w:bookmarkEnd w:id="1"/>
      <w:r w:rsidRPr="0059364C" w:rsidR="00785839">
        <w:rPr>
          <w:snapToGrid/>
          <w:sz w:val="22"/>
          <w:szCs w:val="22"/>
        </w:rPr>
        <w:t>”</w:t>
      </w:r>
      <w:r>
        <w:rPr>
          <w:rStyle w:val="FootnoteReference"/>
          <w:rFonts w:ascii="Times New Roman" w:hAnsi="Times New Roman"/>
          <w:snapToGrid/>
          <w:sz w:val="22"/>
          <w:szCs w:val="22"/>
        </w:rPr>
        <w:footnoteReference w:id="38"/>
      </w:r>
      <w:r w:rsidRPr="0059364C" w:rsidR="00785839">
        <w:rPr>
          <w:snapToGrid/>
          <w:sz w:val="22"/>
          <w:szCs w:val="22"/>
        </w:rPr>
        <w:t xml:space="preserve">  </w:t>
      </w:r>
      <w:r w:rsidRPr="0059364C">
        <w:rPr>
          <w:snapToGrid/>
          <w:sz w:val="22"/>
          <w:szCs w:val="22"/>
        </w:rPr>
        <w:t xml:space="preserve">The Trust Agreement language concerning the “maximum consideration reasonably </w:t>
      </w:r>
      <w:r w:rsidRPr="0059364C">
        <w:rPr>
          <w:snapToGrid/>
          <w:sz w:val="22"/>
          <w:szCs w:val="22"/>
        </w:rPr>
        <w:t>attainable” is a forward-looking reasonableness standard that does not include station prices that may have been attainable at some previous point in time under market conditions that no longer exist.</w:t>
      </w:r>
      <w:r w:rsidRPr="0059364C" w:rsidR="00E2097D">
        <w:rPr>
          <w:snapToGrid/>
          <w:sz w:val="22"/>
          <w:szCs w:val="22"/>
        </w:rPr>
        <w:t xml:space="preserve">  CXR must take the market as CXR finds it, not as CXR wishes it to be.  </w:t>
      </w:r>
    </w:p>
    <w:p w:rsidR="00AD06A6" w:rsidRPr="0059364C" w:rsidP="000152E4" w14:paraId="5DEBFBCE" w14:textId="4128044D">
      <w:pPr>
        <w:widowControl/>
        <w:autoSpaceDE w:val="0"/>
        <w:autoSpaceDN w:val="0"/>
        <w:adjustRightInd w:val="0"/>
        <w:ind w:firstLine="720"/>
        <w:rPr>
          <w:snapToGrid/>
          <w:sz w:val="22"/>
          <w:szCs w:val="22"/>
        </w:rPr>
      </w:pPr>
    </w:p>
    <w:p w:rsidR="006F4A04" w:rsidRPr="0059364C" w:rsidP="00CB4D4F" w14:paraId="7C205C7A" w14:textId="00EF2464">
      <w:pPr>
        <w:ind w:firstLine="720"/>
        <w:rPr>
          <w:snapToGrid/>
          <w:sz w:val="22"/>
          <w:szCs w:val="22"/>
        </w:rPr>
      </w:pPr>
      <w:r w:rsidRPr="0059364C">
        <w:rPr>
          <w:snapToGrid/>
          <w:sz w:val="22"/>
          <w:szCs w:val="22"/>
        </w:rPr>
        <w:t>Similarly, CXR admits that despite not having engaged in any meaningful effort to market the Stations to potential buyers, it still received—but rejected—offers for the Stations because it considered them to be “far below what would have been marketplace offers at the time that the Trust was established and below what the Stations likely will be able to sell for as the radio market and greater economy continue to recover from the COVID-19 pandemic.”</w:t>
      </w:r>
      <w:r>
        <w:rPr>
          <w:rStyle w:val="FootnoteReference"/>
          <w:rFonts w:ascii="Times New Roman" w:hAnsi="Times New Roman"/>
          <w:snapToGrid/>
          <w:sz w:val="22"/>
          <w:szCs w:val="22"/>
        </w:rPr>
        <w:footnoteReference w:id="39"/>
      </w:r>
      <w:r w:rsidRPr="0059364C">
        <w:rPr>
          <w:snapToGrid/>
          <w:sz w:val="22"/>
          <w:szCs w:val="22"/>
        </w:rPr>
        <w:t xml:space="preserve">  CXR states that as a fiduciary, it has an obligation to fully market the Stations and to attempt to receive fair market value for them.</w:t>
      </w:r>
      <w:r>
        <w:rPr>
          <w:rStyle w:val="FootnoteReference"/>
          <w:rFonts w:ascii="Times New Roman" w:hAnsi="Times New Roman"/>
          <w:snapToGrid/>
          <w:sz w:val="22"/>
          <w:szCs w:val="22"/>
        </w:rPr>
        <w:footnoteReference w:id="40"/>
      </w:r>
      <w:r w:rsidRPr="0059364C">
        <w:rPr>
          <w:snapToGrid/>
          <w:sz w:val="22"/>
          <w:szCs w:val="22"/>
        </w:rPr>
        <w:t xml:space="preserve">  However, “fair market value” is not the subjective value of the Stations to CXR or Cox Radio but the value of those stations to prospective third party buyers who may not enjoy the similar economies of scale and/or joint operation.</w:t>
      </w:r>
      <w:r w:rsidRPr="0059364C" w:rsidR="00654BB8">
        <w:rPr>
          <w:snapToGrid/>
          <w:sz w:val="22"/>
          <w:szCs w:val="22"/>
        </w:rPr>
        <w:t xml:space="preserve">  </w:t>
      </w:r>
      <w:r w:rsidR="00595DCC">
        <w:rPr>
          <w:snapToGrid/>
          <w:sz w:val="22"/>
          <w:szCs w:val="22"/>
        </w:rPr>
        <w:t xml:space="preserve">  </w:t>
      </w:r>
      <w:r w:rsidRPr="0059364C" w:rsidR="00A40C07">
        <w:rPr>
          <w:snapToGrid/>
          <w:sz w:val="22"/>
          <w:szCs w:val="22"/>
        </w:rPr>
        <w:t xml:space="preserve">CXR’s rejection of </w:t>
      </w:r>
      <w:r w:rsidR="00342239">
        <w:rPr>
          <w:snapToGrid/>
          <w:sz w:val="22"/>
          <w:szCs w:val="22"/>
        </w:rPr>
        <w:t>SBS’s</w:t>
      </w:r>
      <w:r w:rsidR="007C675F">
        <w:rPr>
          <w:snapToGrid/>
          <w:sz w:val="22"/>
          <w:szCs w:val="22"/>
        </w:rPr>
        <w:t xml:space="preserve"> </w:t>
      </w:r>
      <w:r w:rsidRPr="0059364C" w:rsidR="00A40C07">
        <w:rPr>
          <w:snapToGrid/>
          <w:sz w:val="22"/>
          <w:szCs w:val="22"/>
        </w:rPr>
        <w:t>offer</w:t>
      </w:r>
      <w:r w:rsidR="008202A1">
        <w:rPr>
          <w:snapToGrid/>
          <w:sz w:val="22"/>
          <w:szCs w:val="22"/>
        </w:rPr>
        <w:t>s</w:t>
      </w:r>
      <w:r w:rsidRPr="0059364C" w:rsidR="00A40C07">
        <w:rPr>
          <w:snapToGrid/>
          <w:sz w:val="22"/>
          <w:szCs w:val="22"/>
        </w:rPr>
        <w:t>,</w:t>
      </w:r>
      <w:r>
        <w:rPr>
          <w:rStyle w:val="FootnoteReference"/>
          <w:rFonts w:ascii="Times New Roman" w:hAnsi="Times New Roman"/>
          <w:snapToGrid/>
          <w:sz w:val="22"/>
          <w:szCs w:val="22"/>
        </w:rPr>
        <w:footnoteReference w:id="41"/>
      </w:r>
      <w:r w:rsidRPr="007C675F" w:rsidR="00A40C07">
        <w:rPr>
          <w:snapToGrid/>
          <w:sz w:val="22"/>
          <w:szCs w:val="22"/>
        </w:rPr>
        <w:t xml:space="preserve"> </w:t>
      </w:r>
      <w:r w:rsidRPr="0059364C" w:rsidR="00A40C07">
        <w:rPr>
          <w:snapToGrid/>
          <w:sz w:val="22"/>
          <w:szCs w:val="22"/>
        </w:rPr>
        <w:t xml:space="preserve">and its </w:t>
      </w:r>
      <w:r w:rsidRPr="0059364C" w:rsidR="00221251">
        <w:rPr>
          <w:snapToGrid/>
          <w:sz w:val="22"/>
          <w:szCs w:val="22"/>
        </w:rPr>
        <w:t xml:space="preserve">decision to </w:t>
      </w:r>
      <w:r w:rsidRPr="0059364C" w:rsidR="00A40C07">
        <w:rPr>
          <w:snapToGrid/>
          <w:sz w:val="22"/>
          <w:szCs w:val="22"/>
        </w:rPr>
        <w:t xml:space="preserve">delay </w:t>
      </w:r>
      <w:r w:rsidRPr="0059364C" w:rsidR="00E63EB7">
        <w:rPr>
          <w:snapToGrid/>
          <w:sz w:val="22"/>
          <w:szCs w:val="22"/>
        </w:rPr>
        <w:t xml:space="preserve">meaningful efforts to </w:t>
      </w:r>
      <w:r w:rsidRPr="0059364C" w:rsidR="00A40C07">
        <w:rPr>
          <w:snapToGrid/>
          <w:sz w:val="22"/>
          <w:szCs w:val="22"/>
        </w:rPr>
        <w:t xml:space="preserve">market the Stations until 2022, are voluntary business decisions </w:t>
      </w:r>
      <w:r w:rsidRPr="0059364C" w:rsidR="00FF2295">
        <w:rPr>
          <w:snapToGrid/>
          <w:sz w:val="22"/>
          <w:szCs w:val="22"/>
        </w:rPr>
        <w:t xml:space="preserve">that CXR made </w:t>
      </w:r>
      <w:r w:rsidRPr="0059364C" w:rsidR="000330AF">
        <w:rPr>
          <w:snapToGrid/>
          <w:sz w:val="22"/>
          <w:szCs w:val="22"/>
        </w:rPr>
        <w:t>despite</w:t>
      </w:r>
      <w:r w:rsidRPr="0059364C" w:rsidR="002B2532">
        <w:rPr>
          <w:snapToGrid/>
          <w:sz w:val="22"/>
          <w:szCs w:val="22"/>
        </w:rPr>
        <w:t xml:space="preserve"> (1)</w:t>
      </w:r>
      <w:r w:rsidRPr="0059364C" w:rsidR="000330AF">
        <w:rPr>
          <w:snapToGrid/>
          <w:sz w:val="22"/>
          <w:szCs w:val="22"/>
        </w:rPr>
        <w:t xml:space="preserve"> its </w:t>
      </w:r>
      <w:r w:rsidRPr="0059364C" w:rsidR="00423553">
        <w:rPr>
          <w:snapToGrid/>
          <w:sz w:val="22"/>
          <w:szCs w:val="22"/>
        </w:rPr>
        <w:t xml:space="preserve">previous representation to the Commission that it </w:t>
      </w:r>
      <w:r w:rsidRPr="0059364C" w:rsidR="00E72DA5">
        <w:rPr>
          <w:snapToGrid/>
          <w:sz w:val="22"/>
          <w:szCs w:val="22"/>
        </w:rPr>
        <w:t>would</w:t>
      </w:r>
      <w:r w:rsidRPr="0059364C" w:rsidR="00FE56F5">
        <w:rPr>
          <w:snapToGrid/>
          <w:sz w:val="22"/>
          <w:szCs w:val="22"/>
        </w:rPr>
        <w:t xml:space="preserve"> </w:t>
      </w:r>
      <w:r w:rsidRPr="0059364C" w:rsidR="00E72DA5">
        <w:rPr>
          <w:snapToGrid/>
          <w:sz w:val="22"/>
          <w:szCs w:val="22"/>
        </w:rPr>
        <w:t>“</w:t>
      </w:r>
      <w:r w:rsidRPr="0059364C" w:rsidR="00FE56F5">
        <w:rPr>
          <w:snapToGrid/>
          <w:sz w:val="22"/>
          <w:szCs w:val="22"/>
        </w:rPr>
        <w:t>consummate a sale of each Station as soon as reasonably practicable</w:t>
      </w:r>
      <w:r w:rsidRPr="0059364C" w:rsidR="00420781">
        <w:rPr>
          <w:snapToGrid/>
          <w:sz w:val="22"/>
          <w:szCs w:val="22"/>
        </w:rPr>
        <w:t>,</w:t>
      </w:r>
      <w:r w:rsidRPr="0059364C" w:rsidR="00E72DA5">
        <w:rPr>
          <w:snapToGrid/>
          <w:sz w:val="22"/>
          <w:szCs w:val="22"/>
        </w:rPr>
        <w:t>”</w:t>
      </w:r>
      <w:r w:rsidRPr="0059364C" w:rsidR="00420781">
        <w:rPr>
          <w:snapToGrid/>
          <w:sz w:val="22"/>
          <w:szCs w:val="22"/>
        </w:rPr>
        <w:t xml:space="preserve"> </w:t>
      </w:r>
      <w:r w:rsidRPr="0059364C" w:rsidR="002B2532">
        <w:rPr>
          <w:snapToGrid/>
          <w:sz w:val="22"/>
          <w:szCs w:val="22"/>
        </w:rPr>
        <w:t xml:space="preserve">(2) </w:t>
      </w:r>
      <w:r w:rsidRPr="0059364C" w:rsidR="00420781">
        <w:rPr>
          <w:snapToGrid/>
          <w:sz w:val="22"/>
          <w:szCs w:val="22"/>
        </w:rPr>
        <w:t xml:space="preserve">the </w:t>
      </w:r>
      <w:r w:rsidRPr="0059364C" w:rsidR="00420781">
        <w:rPr>
          <w:i/>
          <w:iCs/>
          <w:snapToGrid/>
          <w:sz w:val="22"/>
          <w:szCs w:val="22"/>
        </w:rPr>
        <w:t>Divestiture Order</w:t>
      </w:r>
      <w:r w:rsidRPr="0059364C" w:rsidR="00420781">
        <w:rPr>
          <w:snapToGrid/>
          <w:sz w:val="22"/>
          <w:szCs w:val="22"/>
        </w:rPr>
        <w:t>’s express condition requiring</w:t>
      </w:r>
      <w:r w:rsidRPr="0059364C" w:rsidR="000B20B8">
        <w:rPr>
          <w:snapToGrid/>
          <w:sz w:val="22"/>
          <w:szCs w:val="22"/>
        </w:rPr>
        <w:t xml:space="preserve"> that </w:t>
      </w:r>
      <w:r w:rsidRPr="0059364C" w:rsidR="008E12E5">
        <w:rPr>
          <w:snapToGrid/>
          <w:sz w:val="22"/>
          <w:szCs w:val="22"/>
        </w:rPr>
        <w:t xml:space="preserve">CXR assign </w:t>
      </w:r>
      <w:r w:rsidRPr="0059364C" w:rsidR="000B20B8">
        <w:rPr>
          <w:snapToGrid/>
          <w:sz w:val="22"/>
          <w:szCs w:val="22"/>
        </w:rPr>
        <w:t xml:space="preserve">the </w:t>
      </w:r>
      <w:r w:rsidRPr="0059364C" w:rsidR="00953506">
        <w:rPr>
          <w:snapToGrid/>
          <w:sz w:val="22"/>
          <w:szCs w:val="22"/>
        </w:rPr>
        <w:t xml:space="preserve">licenses and authorizations for the </w:t>
      </w:r>
      <w:r w:rsidRPr="0059364C" w:rsidR="000B20B8">
        <w:rPr>
          <w:snapToGrid/>
          <w:sz w:val="22"/>
          <w:szCs w:val="22"/>
        </w:rPr>
        <w:t>Station</w:t>
      </w:r>
      <w:r w:rsidRPr="0059364C" w:rsidR="009B5AF9">
        <w:rPr>
          <w:snapToGrid/>
          <w:sz w:val="22"/>
          <w:szCs w:val="22"/>
        </w:rPr>
        <w:t xml:space="preserve">s </w:t>
      </w:r>
      <w:r w:rsidRPr="0059364C" w:rsidR="008E12E5">
        <w:rPr>
          <w:snapToGrid/>
          <w:sz w:val="22"/>
          <w:szCs w:val="22"/>
        </w:rPr>
        <w:t>to an unrelated third party within two years,</w:t>
      </w:r>
      <w:r w:rsidRPr="0059364C" w:rsidR="00FE56F5">
        <w:rPr>
          <w:snapToGrid/>
          <w:sz w:val="22"/>
          <w:szCs w:val="22"/>
        </w:rPr>
        <w:t xml:space="preserve"> </w:t>
      </w:r>
      <w:r w:rsidRPr="0059364C" w:rsidR="00A40C07">
        <w:rPr>
          <w:snapToGrid/>
          <w:sz w:val="22"/>
          <w:szCs w:val="22"/>
        </w:rPr>
        <w:t xml:space="preserve">and </w:t>
      </w:r>
      <w:r w:rsidRPr="0059364C" w:rsidR="002B2532">
        <w:rPr>
          <w:snapToGrid/>
          <w:sz w:val="22"/>
          <w:szCs w:val="22"/>
        </w:rPr>
        <w:t xml:space="preserve">(3) </w:t>
      </w:r>
      <w:r w:rsidRPr="0059364C" w:rsidR="00E5025E">
        <w:rPr>
          <w:snapToGrid/>
          <w:sz w:val="22"/>
          <w:szCs w:val="22"/>
        </w:rPr>
        <w:t>the possibility that</w:t>
      </w:r>
      <w:r w:rsidRPr="0059364C" w:rsidR="007D2F4F">
        <w:rPr>
          <w:snapToGrid/>
          <w:sz w:val="22"/>
          <w:szCs w:val="22"/>
        </w:rPr>
        <w:t xml:space="preserve"> </w:t>
      </w:r>
      <w:r w:rsidRPr="0059364C" w:rsidR="0017560D">
        <w:rPr>
          <w:snapToGrid/>
          <w:sz w:val="22"/>
          <w:szCs w:val="22"/>
        </w:rPr>
        <w:t xml:space="preserve">we would not grant a request to extend the </w:t>
      </w:r>
      <w:r w:rsidRPr="0059364C" w:rsidR="00561807">
        <w:rPr>
          <w:snapToGrid/>
          <w:sz w:val="22"/>
          <w:szCs w:val="22"/>
        </w:rPr>
        <w:t xml:space="preserve">divesture deadline for the Stations.  </w:t>
      </w:r>
      <w:r w:rsidRPr="0059364C" w:rsidR="0082373E">
        <w:rPr>
          <w:snapToGrid/>
          <w:sz w:val="22"/>
          <w:szCs w:val="22"/>
        </w:rPr>
        <w:t xml:space="preserve">In making </w:t>
      </w:r>
      <w:r w:rsidRPr="0059364C" w:rsidR="0070264D">
        <w:rPr>
          <w:snapToGrid/>
          <w:sz w:val="22"/>
          <w:szCs w:val="22"/>
        </w:rPr>
        <w:t>those decisions</w:t>
      </w:r>
      <w:r w:rsidRPr="0059364C" w:rsidR="00561807">
        <w:rPr>
          <w:snapToGrid/>
          <w:sz w:val="22"/>
          <w:szCs w:val="22"/>
        </w:rPr>
        <w:t xml:space="preserve">, </w:t>
      </w:r>
      <w:r w:rsidRPr="0059364C" w:rsidR="002B04B6">
        <w:rPr>
          <w:snapToGrid/>
          <w:sz w:val="22"/>
          <w:szCs w:val="22"/>
        </w:rPr>
        <w:t xml:space="preserve">CXR assumed the risk </w:t>
      </w:r>
      <w:r w:rsidRPr="0059364C" w:rsidR="008A007C">
        <w:rPr>
          <w:snapToGrid/>
          <w:sz w:val="22"/>
          <w:szCs w:val="22"/>
        </w:rPr>
        <w:t xml:space="preserve">that it would have </w:t>
      </w:r>
      <w:r w:rsidRPr="0059364C" w:rsidR="00521022">
        <w:rPr>
          <w:snapToGrid/>
          <w:sz w:val="22"/>
          <w:szCs w:val="22"/>
        </w:rPr>
        <w:t>little time left</w:t>
      </w:r>
      <w:r w:rsidRPr="0059364C" w:rsidR="007066E6">
        <w:rPr>
          <w:snapToGrid/>
          <w:sz w:val="22"/>
          <w:szCs w:val="22"/>
        </w:rPr>
        <w:t xml:space="preserve"> to </w:t>
      </w:r>
      <w:r w:rsidRPr="0059364C" w:rsidR="0020506F">
        <w:rPr>
          <w:snapToGrid/>
          <w:sz w:val="22"/>
          <w:szCs w:val="22"/>
        </w:rPr>
        <w:t xml:space="preserve">solicit offers and </w:t>
      </w:r>
      <w:r w:rsidRPr="0059364C" w:rsidR="0091036B">
        <w:rPr>
          <w:snapToGrid/>
          <w:sz w:val="22"/>
          <w:szCs w:val="22"/>
        </w:rPr>
        <w:t xml:space="preserve">complete the required divestitures </w:t>
      </w:r>
      <w:r w:rsidRPr="0059364C" w:rsidR="001C032D">
        <w:rPr>
          <w:snapToGrid/>
          <w:sz w:val="22"/>
          <w:szCs w:val="22"/>
        </w:rPr>
        <w:t>before the deadline</w:t>
      </w:r>
      <w:r w:rsidRPr="0059364C" w:rsidR="00A40C07">
        <w:rPr>
          <w:snapToGrid/>
          <w:sz w:val="22"/>
          <w:szCs w:val="22"/>
        </w:rPr>
        <w:t xml:space="preserve">.  </w:t>
      </w:r>
      <w:r w:rsidRPr="0059364C" w:rsidR="0057194E">
        <w:rPr>
          <w:snapToGrid/>
          <w:sz w:val="22"/>
          <w:szCs w:val="22"/>
        </w:rPr>
        <w:t>W</w:t>
      </w:r>
      <w:r w:rsidRPr="0059364C" w:rsidR="00910916">
        <w:rPr>
          <w:snapToGrid/>
          <w:sz w:val="22"/>
          <w:szCs w:val="22"/>
        </w:rPr>
        <w:t xml:space="preserve">e decline to grant </w:t>
      </w:r>
      <w:r w:rsidRPr="0059364C" w:rsidR="00D82A9E">
        <w:rPr>
          <w:snapToGrid/>
          <w:sz w:val="22"/>
          <w:szCs w:val="22"/>
        </w:rPr>
        <w:t>CXR</w:t>
      </w:r>
      <w:r w:rsidRPr="0059364C" w:rsidR="00D50012">
        <w:rPr>
          <w:snapToGrid/>
          <w:sz w:val="22"/>
          <w:szCs w:val="22"/>
        </w:rPr>
        <w:t xml:space="preserve"> a one-year extension of the divestiture deadline so that it can make up for time lost </w:t>
      </w:r>
      <w:r w:rsidRPr="0059364C" w:rsidR="00D504B7">
        <w:rPr>
          <w:snapToGrid/>
          <w:sz w:val="22"/>
          <w:szCs w:val="22"/>
        </w:rPr>
        <w:t xml:space="preserve">due to its </w:t>
      </w:r>
      <w:r w:rsidRPr="0059364C" w:rsidR="003E543A">
        <w:rPr>
          <w:snapToGrid/>
          <w:sz w:val="22"/>
          <w:szCs w:val="22"/>
        </w:rPr>
        <w:t xml:space="preserve">own </w:t>
      </w:r>
      <w:r w:rsidRPr="0059364C" w:rsidR="00BB004F">
        <w:rPr>
          <w:snapToGrid/>
          <w:sz w:val="22"/>
          <w:szCs w:val="22"/>
        </w:rPr>
        <w:t>business decisions</w:t>
      </w:r>
      <w:r w:rsidRPr="0059364C" w:rsidR="003E543A">
        <w:rPr>
          <w:snapToGrid/>
          <w:sz w:val="22"/>
          <w:szCs w:val="22"/>
        </w:rPr>
        <w:t xml:space="preserve"> or based on its speculation that market conditions </w:t>
      </w:r>
      <w:r w:rsidRPr="0059364C" w:rsidR="0093629E">
        <w:rPr>
          <w:snapToGrid/>
          <w:sz w:val="22"/>
          <w:szCs w:val="22"/>
        </w:rPr>
        <w:t>could soon</w:t>
      </w:r>
      <w:r w:rsidRPr="0059364C" w:rsidR="003E543A">
        <w:rPr>
          <w:snapToGrid/>
          <w:sz w:val="22"/>
          <w:szCs w:val="22"/>
        </w:rPr>
        <w:t xml:space="preserve"> </w:t>
      </w:r>
      <w:r w:rsidRPr="0059364C" w:rsidR="00FD25A6">
        <w:rPr>
          <w:snapToGrid/>
          <w:sz w:val="22"/>
          <w:szCs w:val="22"/>
        </w:rPr>
        <w:t xml:space="preserve">return to what they were </w:t>
      </w:r>
      <w:r w:rsidRPr="0059364C" w:rsidR="0093629E">
        <w:rPr>
          <w:snapToGrid/>
          <w:sz w:val="22"/>
          <w:szCs w:val="22"/>
        </w:rPr>
        <w:t>in 2019</w:t>
      </w:r>
      <w:r w:rsidRPr="0059364C" w:rsidR="00A40C07">
        <w:rPr>
          <w:snapToGrid/>
          <w:sz w:val="22"/>
          <w:szCs w:val="22"/>
        </w:rPr>
        <w:t>.</w:t>
      </w:r>
      <w:r w:rsidRPr="0059364C" w:rsidR="00785055">
        <w:rPr>
          <w:snapToGrid/>
          <w:sz w:val="22"/>
          <w:szCs w:val="22"/>
        </w:rPr>
        <w:t xml:space="preserve">   </w:t>
      </w:r>
      <w:r w:rsidRPr="0059364C" w:rsidR="008E21B9">
        <w:rPr>
          <w:snapToGrid/>
          <w:sz w:val="22"/>
          <w:szCs w:val="22"/>
        </w:rPr>
        <w:t xml:space="preserve"> </w:t>
      </w:r>
      <w:r w:rsidRPr="0059364C" w:rsidR="008C25BF">
        <w:rPr>
          <w:snapToGrid/>
          <w:sz w:val="22"/>
          <w:szCs w:val="22"/>
        </w:rPr>
        <w:t xml:space="preserve">  </w:t>
      </w:r>
      <w:r w:rsidRPr="0059364C" w:rsidR="00A02F9E">
        <w:rPr>
          <w:snapToGrid/>
          <w:sz w:val="22"/>
          <w:szCs w:val="22"/>
        </w:rPr>
        <w:t xml:space="preserve"> </w:t>
      </w:r>
      <w:r w:rsidRPr="0059364C">
        <w:rPr>
          <w:snapToGrid/>
          <w:sz w:val="22"/>
          <w:szCs w:val="22"/>
        </w:rPr>
        <w:t xml:space="preserve">  </w:t>
      </w:r>
    </w:p>
    <w:p w:rsidR="00B73C23" w:rsidRPr="0059364C" w:rsidP="000152E4" w14:paraId="05E63925" w14:textId="77777777">
      <w:pPr>
        <w:widowControl/>
        <w:autoSpaceDE w:val="0"/>
        <w:autoSpaceDN w:val="0"/>
        <w:adjustRightInd w:val="0"/>
        <w:ind w:firstLine="720"/>
        <w:rPr>
          <w:snapToGrid/>
          <w:sz w:val="22"/>
          <w:szCs w:val="22"/>
        </w:rPr>
      </w:pPr>
    </w:p>
    <w:p w:rsidR="00E76932" w:rsidRPr="0059364C" w:rsidP="00EA79D8" w14:paraId="4F053153" w14:textId="519D137A">
      <w:pPr>
        <w:widowControl/>
        <w:autoSpaceDE w:val="0"/>
        <w:autoSpaceDN w:val="0"/>
        <w:adjustRightInd w:val="0"/>
        <w:ind w:firstLine="720"/>
        <w:rPr>
          <w:snapToGrid/>
          <w:sz w:val="22"/>
          <w:szCs w:val="22"/>
        </w:rPr>
      </w:pPr>
      <w:r w:rsidRPr="0059364C">
        <w:rPr>
          <w:snapToGrid/>
          <w:sz w:val="22"/>
          <w:szCs w:val="22"/>
        </w:rPr>
        <w:t>W</w:t>
      </w:r>
      <w:r w:rsidRPr="0059364C" w:rsidR="003E2C49">
        <w:rPr>
          <w:snapToGrid/>
          <w:sz w:val="22"/>
          <w:szCs w:val="22"/>
        </w:rPr>
        <w:t xml:space="preserve">e </w:t>
      </w:r>
      <w:r w:rsidRPr="0059364C" w:rsidR="00F81121">
        <w:rPr>
          <w:snapToGrid/>
          <w:sz w:val="22"/>
          <w:szCs w:val="22"/>
        </w:rPr>
        <w:t>reject</w:t>
      </w:r>
      <w:r w:rsidRPr="0059364C" w:rsidR="003E2C49">
        <w:rPr>
          <w:snapToGrid/>
          <w:sz w:val="22"/>
          <w:szCs w:val="22"/>
        </w:rPr>
        <w:t xml:space="preserve"> </w:t>
      </w:r>
      <w:r w:rsidRPr="0059364C" w:rsidR="00AC310D">
        <w:rPr>
          <w:snapToGrid/>
          <w:sz w:val="22"/>
          <w:szCs w:val="22"/>
        </w:rPr>
        <w:t>CXR’s</w:t>
      </w:r>
      <w:r w:rsidRPr="0059364C" w:rsidR="005237B0">
        <w:rPr>
          <w:snapToGrid/>
          <w:sz w:val="22"/>
          <w:szCs w:val="22"/>
        </w:rPr>
        <w:t xml:space="preserve"> </w:t>
      </w:r>
      <w:r w:rsidRPr="0059364C" w:rsidR="00F81121">
        <w:rPr>
          <w:snapToGrid/>
          <w:sz w:val="22"/>
          <w:szCs w:val="22"/>
        </w:rPr>
        <w:t xml:space="preserve">assertion that </w:t>
      </w:r>
      <w:r w:rsidRPr="0059364C" w:rsidR="00153966">
        <w:rPr>
          <w:snapToGrid/>
          <w:sz w:val="22"/>
          <w:szCs w:val="22"/>
        </w:rPr>
        <w:t xml:space="preserve">declining </w:t>
      </w:r>
      <w:r w:rsidRPr="0059364C" w:rsidR="000202AF">
        <w:rPr>
          <w:snapToGrid/>
          <w:sz w:val="22"/>
          <w:szCs w:val="22"/>
        </w:rPr>
        <w:t xml:space="preserve">its request for a one-year extension of the divestiture deadline </w:t>
      </w:r>
      <w:r w:rsidRPr="0059364C" w:rsidR="00583E5F">
        <w:rPr>
          <w:snapToGrid/>
          <w:sz w:val="22"/>
          <w:szCs w:val="22"/>
        </w:rPr>
        <w:t>would</w:t>
      </w:r>
      <w:r w:rsidRPr="0059364C" w:rsidR="0024083E">
        <w:rPr>
          <w:snapToGrid/>
          <w:sz w:val="22"/>
          <w:szCs w:val="22"/>
        </w:rPr>
        <w:t xml:space="preserve"> be a departure </w:t>
      </w:r>
      <w:r w:rsidRPr="0059364C" w:rsidR="00583E5F">
        <w:rPr>
          <w:snapToGrid/>
          <w:sz w:val="22"/>
          <w:szCs w:val="22"/>
        </w:rPr>
        <w:t xml:space="preserve">from </w:t>
      </w:r>
      <w:r w:rsidRPr="0059364C" w:rsidR="00E85078">
        <w:rPr>
          <w:snapToGrid/>
          <w:sz w:val="22"/>
          <w:szCs w:val="22"/>
        </w:rPr>
        <w:t>Commission</w:t>
      </w:r>
      <w:r w:rsidRPr="0059364C" w:rsidR="00AF4855">
        <w:rPr>
          <w:snapToGrid/>
          <w:sz w:val="22"/>
          <w:szCs w:val="22"/>
        </w:rPr>
        <w:t xml:space="preserve"> pr</w:t>
      </w:r>
      <w:r w:rsidRPr="0059364C" w:rsidR="008F3D4F">
        <w:rPr>
          <w:snapToGrid/>
          <w:sz w:val="22"/>
          <w:szCs w:val="22"/>
        </w:rPr>
        <w:t>ecedent</w:t>
      </w:r>
      <w:r w:rsidRPr="0059364C" w:rsidR="00985607">
        <w:rPr>
          <w:snapToGrid/>
          <w:sz w:val="22"/>
          <w:szCs w:val="22"/>
        </w:rPr>
        <w:t>.</w:t>
      </w:r>
      <w:r>
        <w:rPr>
          <w:rStyle w:val="FootnoteReference"/>
          <w:rFonts w:ascii="Times New Roman" w:hAnsi="Times New Roman"/>
          <w:snapToGrid/>
          <w:sz w:val="22"/>
          <w:szCs w:val="22"/>
        </w:rPr>
        <w:footnoteReference w:id="42"/>
      </w:r>
      <w:r w:rsidRPr="0059364C" w:rsidR="00985607">
        <w:rPr>
          <w:snapToGrid/>
          <w:sz w:val="22"/>
          <w:szCs w:val="22"/>
        </w:rPr>
        <w:t xml:space="preserve">  </w:t>
      </w:r>
      <w:r w:rsidRPr="0059364C" w:rsidR="00E85078">
        <w:rPr>
          <w:snapToGrid/>
          <w:sz w:val="22"/>
          <w:szCs w:val="22"/>
        </w:rPr>
        <w:t xml:space="preserve">As discussed above, </w:t>
      </w:r>
      <w:r w:rsidRPr="0059364C" w:rsidR="00E17E89">
        <w:rPr>
          <w:snapToGrid/>
          <w:sz w:val="22"/>
          <w:szCs w:val="22"/>
        </w:rPr>
        <w:t xml:space="preserve">the Commission </w:t>
      </w:r>
      <w:r w:rsidRPr="0059364C" w:rsidR="0029612F">
        <w:rPr>
          <w:snapToGrid/>
          <w:sz w:val="22"/>
          <w:szCs w:val="22"/>
        </w:rPr>
        <w:t xml:space="preserve">has authorized divestiture trusts for the limited purpose of effectuating large transactions </w:t>
      </w:r>
      <w:r w:rsidR="00ED0772">
        <w:rPr>
          <w:snapToGrid/>
          <w:sz w:val="22"/>
          <w:szCs w:val="22"/>
        </w:rPr>
        <w:t xml:space="preserve">but has expressed concerns about the </w:t>
      </w:r>
      <w:r w:rsidR="00AC3B87">
        <w:rPr>
          <w:snapToGrid/>
          <w:sz w:val="22"/>
          <w:szCs w:val="22"/>
        </w:rPr>
        <w:t xml:space="preserve">competitive impact of the use of divestiture trusts and </w:t>
      </w:r>
      <w:r w:rsidR="00586B82">
        <w:rPr>
          <w:snapToGrid/>
          <w:sz w:val="22"/>
          <w:szCs w:val="22"/>
        </w:rPr>
        <w:t>has emphasized the need to limit the duration of trusts.</w:t>
      </w:r>
      <w:r>
        <w:rPr>
          <w:rStyle w:val="FootnoteReference"/>
          <w:rFonts w:ascii="Times New Roman" w:hAnsi="Times New Roman"/>
          <w:snapToGrid/>
          <w:sz w:val="22"/>
          <w:szCs w:val="22"/>
        </w:rPr>
        <w:footnoteReference w:id="43"/>
      </w:r>
      <w:r w:rsidRPr="00C4015A" w:rsidR="00076E19">
        <w:rPr>
          <w:snapToGrid/>
          <w:sz w:val="22"/>
          <w:szCs w:val="22"/>
        </w:rPr>
        <w:t xml:space="preserve"> </w:t>
      </w:r>
      <w:r w:rsidR="00076E19">
        <w:rPr>
          <w:snapToGrid/>
          <w:sz w:val="22"/>
          <w:szCs w:val="22"/>
        </w:rPr>
        <w:t xml:space="preserve"> </w:t>
      </w:r>
      <w:r w:rsidRPr="0059364C" w:rsidR="00C2665F">
        <w:rPr>
          <w:snapToGrid/>
          <w:sz w:val="22"/>
          <w:szCs w:val="22"/>
        </w:rPr>
        <w:t>Also</w:t>
      </w:r>
      <w:r w:rsidRPr="0059364C" w:rsidR="009712C3">
        <w:rPr>
          <w:snapToGrid/>
          <w:sz w:val="22"/>
          <w:szCs w:val="22"/>
        </w:rPr>
        <w:t>,</w:t>
      </w:r>
      <w:r w:rsidRPr="0059364C" w:rsidR="00C2665F">
        <w:rPr>
          <w:snapToGrid/>
          <w:sz w:val="22"/>
          <w:szCs w:val="22"/>
        </w:rPr>
        <w:t xml:space="preserve"> w</w:t>
      </w:r>
      <w:r w:rsidRPr="0059364C" w:rsidR="006B3A8F">
        <w:rPr>
          <w:snapToGrid/>
          <w:sz w:val="22"/>
          <w:szCs w:val="22"/>
        </w:rPr>
        <w:t>e note that</w:t>
      </w:r>
      <w:r w:rsidRPr="0059364C" w:rsidR="009712C3">
        <w:rPr>
          <w:snapToGrid/>
          <w:sz w:val="22"/>
          <w:szCs w:val="22"/>
        </w:rPr>
        <w:t xml:space="preserve"> </w:t>
      </w:r>
      <w:r w:rsidRPr="0059364C" w:rsidR="00985607">
        <w:rPr>
          <w:snapToGrid/>
          <w:sz w:val="22"/>
          <w:szCs w:val="22"/>
        </w:rPr>
        <w:t xml:space="preserve">there are substantial factual differences between the circumstances here and those present in the cases referenced by CXR.  Specifically, </w:t>
      </w:r>
      <w:r w:rsidRPr="0059364C" w:rsidR="00815139">
        <w:rPr>
          <w:snapToGrid/>
          <w:sz w:val="22"/>
          <w:szCs w:val="22"/>
        </w:rPr>
        <w:t xml:space="preserve">there were no qualifying bidders for the </w:t>
      </w:r>
      <w:r w:rsidRPr="0059364C" w:rsidR="004110AD">
        <w:rPr>
          <w:snapToGrid/>
          <w:sz w:val="22"/>
          <w:szCs w:val="22"/>
        </w:rPr>
        <w:t xml:space="preserve">Mainstay </w:t>
      </w:r>
      <w:r w:rsidRPr="0059364C" w:rsidR="00D06CC8">
        <w:rPr>
          <w:snapToGrid/>
          <w:sz w:val="22"/>
          <w:szCs w:val="22"/>
        </w:rPr>
        <w:t xml:space="preserve">Divestiture </w:t>
      </w:r>
      <w:r w:rsidRPr="0059364C" w:rsidR="004110AD">
        <w:rPr>
          <w:snapToGrid/>
          <w:sz w:val="22"/>
          <w:szCs w:val="22"/>
        </w:rPr>
        <w:t xml:space="preserve">Trust </w:t>
      </w:r>
      <w:r w:rsidRPr="0059364C" w:rsidR="00815139">
        <w:rPr>
          <w:snapToGrid/>
          <w:sz w:val="22"/>
          <w:szCs w:val="22"/>
        </w:rPr>
        <w:t xml:space="preserve">stations </w:t>
      </w:r>
      <w:r w:rsidRPr="0059364C" w:rsidR="0000303A">
        <w:rPr>
          <w:snapToGrid/>
          <w:sz w:val="22"/>
          <w:szCs w:val="22"/>
        </w:rPr>
        <w:t>when the trustee filed its</w:t>
      </w:r>
      <w:r w:rsidRPr="0059364C" w:rsidR="004110AD">
        <w:rPr>
          <w:snapToGrid/>
          <w:sz w:val="22"/>
          <w:szCs w:val="22"/>
        </w:rPr>
        <w:t xml:space="preserve"> request for an extension of the</w:t>
      </w:r>
      <w:r w:rsidRPr="0059364C" w:rsidR="0000303A">
        <w:rPr>
          <w:snapToGrid/>
          <w:sz w:val="22"/>
          <w:szCs w:val="22"/>
        </w:rPr>
        <w:t xml:space="preserve"> divestiture deadline; </w:t>
      </w:r>
      <w:r w:rsidRPr="0059364C" w:rsidR="000152E4">
        <w:rPr>
          <w:snapToGrid/>
          <w:sz w:val="22"/>
          <w:szCs w:val="22"/>
        </w:rPr>
        <w:t>here</w:t>
      </w:r>
      <w:r w:rsidRPr="0059364C" w:rsidR="0000303A">
        <w:rPr>
          <w:snapToGrid/>
          <w:sz w:val="22"/>
          <w:szCs w:val="22"/>
        </w:rPr>
        <w:t xml:space="preserve">, </w:t>
      </w:r>
      <w:r w:rsidRPr="0059364C" w:rsidR="00875F64">
        <w:rPr>
          <w:snapToGrid/>
          <w:sz w:val="22"/>
          <w:szCs w:val="22"/>
        </w:rPr>
        <w:t xml:space="preserve">however, </w:t>
      </w:r>
      <w:r w:rsidRPr="0059364C" w:rsidR="0000303A">
        <w:rPr>
          <w:snapToGrid/>
          <w:sz w:val="22"/>
          <w:szCs w:val="22"/>
        </w:rPr>
        <w:t>CXR received three offers from a qualif</w:t>
      </w:r>
      <w:r w:rsidRPr="0059364C" w:rsidR="003E2C49">
        <w:rPr>
          <w:snapToGrid/>
          <w:sz w:val="22"/>
          <w:szCs w:val="22"/>
        </w:rPr>
        <w:t>ied</w:t>
      </w:r>
      <w:r w:rsidRPr="0059364C" w:rsidR="0000303A">
        <w:rPr>
          <w:snapToGrid/>
          <w:sz w:val="22"/>
          <w:szCs w:val="22"/>
        </w:rPr>
        <w:t xml:space="preserve">, fully financed buyer for at least one of the Stations </w:t>
      </w:r>
      <w:r w:rsidRPr="0059364C" w:rsidR="00BF115F">
        <w:rPr>
          <w:i/>
          <w:iCs/>
          <w:snapToGrid/>
          <w:sz w:val="22"/>
          <w:szCs w:val="22"/>
        </w:rPr>
        <w:t>before</w:t>
      </w:r>
      <w:r w:rsidRPr="0059364C" w:rsidR="00BF115F">
        <w:rPr>
          <w:snapToGrid/>
          <w:sz w:val="22"/>
          <w:szCs w:val="22"/>
        </w:rPr>
        <w:t xml:space="preserve"> </w:t>
      </w:r>
      <w:r w:rsidRPr="0059364C" w:rsidR="002363A2">
        <w:rPr>
          <w:snapToGrid/>
          <w:sz w:val="22"/>
          <w:szCs w:val="22"/>
        </w:rPr>
        <w:t xml:space="preserve">CXR filed </w:t>
      </w:r>
      <w:r w:rsidRPr="0059364C" w:rsidR="00817792">
        <w:rPr>
          <w:snapToGrid/>
          <w:sz w:val="22"/>
          <w:szCs w:val="22"/>
        </w:rPr>
        <w:t xml:space="preserve">the </w:t>
      </w:r>
      <w:r w:rsidRPr="0059364C" w:rsidR="00221AF1">
        <w:rPr>
          <w:snapToGrid/>
          <w:sz w:val="22"/>
          <w:szCs w:val="22"/>
        </w:rPr>
        <w:t>CXR Request</w:t>
      </w:r>
      <w:r w:rsidRPr="0059364C" w:rsidR="002363A2">
        <w:rPr>
          <w:snapToGrid/>
          <w:sz w:val="22"/>
          <w:szCs w:val="22"/>
        </w:rPr>
        <w:t>.</w:t>
      </w:r>
      <w:r w:rsidRPr="0059364C" w:rsidR="0000303A">
        <w:rPr>
          <w:snapToGrid/>
          <w:sz w:val="22"/>
          <w:szCs w:val="22"/>
        </w:rPr>
        <w:t xml:space="preserve">  </w:t>
      </w:r>
      <w:r w:rsidRPr="0059364C" w:rsidR="0087071F">
        <w:rPr>
          <w:snapToGrid/>
          <w:sz w:val="22"/>
          <w:szCs w:val="22"/>
        </w:rPr>
        <w:t>Furthermore</w:t>
      </w:r>
      <w:r w:rsidRPr="0059364C" w:rsidR="00B57BAE">
        <w:rPr>
          <w:snapToGrid/>
          <w:sz w:val="22"/>
          <w:szCs w:val="22"/>
        </w:rPr>
        <w:t xml:space="preserve">, </w:t>
      </w:r>
      <w:r w:rsidRPr="0059364C" w:rsidR="0000303A">
        <w:rPr>
          <w:snapToGrid/>
          <w:sz w:val="22"/>
          <w:szCs w:val="22"/>
        </w:rPr>
        <w:t>the trustee</w:t>
      </w:r>
      <w:r w:rsidRPr="0059364C" w:rsidR="00C141E7">
        <w:rPr>
          <w:snapToGrid/>
          <w:sz w:val="22"/>
          <w:szCs w:val="22"/>
        </w:rPr>
        <w:t xml:space="preserve"> of the Aloha Station Divestiture Trust</w:t>
      </w:r>
      <w:r w:rsidRPr="0059364C" w:rsidR="0000303A">
        <w:rPr>
          <w:snapToGrid/>
          <w:sz w:val="22"/>
          <w:szCs w:val="22"/>
        </w:rPr>
        <w:t xml:space="preserve"> was </w:t>
      </w:r>
      <w:r w:rsidRPr="0059364C" w:rsidR="002363A2">
        <w:rPr>
          <w:snapToGrid/>
          <w:sz w:val="22"/>
          <w:szCs w:val="22"/>
        </w:rPr>
        <w:t xml:space="preserve">actively </w:t>
      </w:r>
      <w:r w:rsidRPr="0059364C" w:rsidR="0000303A">
        <w:rPr>
          <w:snapToGrid/>
          <w:sz w:val="22"/>
          <w:szCs w:val="22"/>
        </w:rPr>
        <w:t>engaged in negotiations to sell or donate three of the</w:t>
      </w:r>
      <w:r w:rsidRPr="0059364C" w:rsidR="002363A2">
        <w:rPr>
          <w:snapToGrid/>
          <w:sz w:val="22"/>
          <w:szCs w:val="22"/>
        </w:rPr>
        <w:t xml:space="preserve"> </w:t>
      </w:r>
      <w:r w:rsidRPr="0059364C" w:rsidR="0000303A">
        <w:rPr>
          <w:snapToGrid/>
          <w:sz w:val="22"/>
          <w:szCs w:val="22"/>
        </w:rPr>
        <w:t xml:space="preserve">five remaining stations </w:t>
      </w:r>
      <w:r w:rsidRPr="0059364C" w:rsidR="002363A2">
        <w:rPr>
          <w:snapToGrid/>
          <w:sz w:val="22"/>
          <w:szCs w:val="22"/>
        </w:rPr>
        <w:t xml:space="preserve">to be divested </w:t>
      </w:r>
      <w:r w:rsidRPr="0059364C" w:rsidR="00B1642E">
        <w:rPr>
          <w:snapToGrid/>
          <w:sz w:val="22"/>
          <w:szCs w:val="22"/>
        </w:rPr>
        <w:t>when the trustee filed its</w:t>
      </w:r>
      <w:r w:rsidRPr="0059364C" w:rsidR="00C141E7">
        <w:rPr>
          <w:snapToGrid/>
          <w:sz w:val="22"/>
          <w:szCs w:val="22"/>
        </w:rPr>
        <w:t xml:space="preserve"> request for an extension of the</w:t>
      </w:r>
      <w:r w:rsidRPr="0059364C" w:rsidR="00B1642E">
        <w:rPr>
          <w:snapToGrid/>
          <w:sz w:val="22"/>
          <w:szCs w:val="22"/>
        </w:rPr>
        <w:t xml:space="preserve"> divestiture deadline, </w:t>
      </w:r>
      <w:r w:rsidRPr="0059364C" w:rsidR="0000303A">
        <w:rPr>
          <w:snapToGrid/>
          <w:sz w:val="22"/>
          <w:szCs w:val="22"/>
        </w:rPr>
        <w:t>and</w:t>
      </w:r>
      <w:r w:rsidRPr="0059364C" w:rsidR="00C141E7">
        <w:rPr>
          <w:snapToGrid/>
          <w:sz w:val="22"/>
          <w:szCs w:val="22"/>
        </w:rPr>
        <w:t xml:space="preserve"> the Aloha trustee</w:t>
      </w:r>
      <w:r w:rsidRPr="0059364C" w:rsidR="0000303A">
        <w:rPr>
          <w:snapToGrid/>
          <w:sz w:val="22"/>
          <w:szCs w:val="22"/>
        </w:rPr>
        <w:t xml:space="preserve"> </w:t>
      </w:r>
      <w:r w:rsidRPr="0059364C" w:rsidR="002363A2">
        <w:rPr>
          <w:snapToGrid/>
          <w:sz w:val="22"/>
          <w:szCs w:val="22"/>
        </w:rPr>
        <w:t xml:space="preserve">had </w:t>
      </w:r>
      <w:r w:rsidRPr="0059364C" w:rsidR="00BF115F">
        <w:rPr>
          <w:snapToGrid/>
          <w:sz w:val="22"/>
          <w:szCs w:val="22"/>
        </w:rPr>
        <w:t xml:space="preserve">also </w:t>
      </w:r>
      <w:r w:rsidRPr="0059364C" w:rsidR="002363A2">
        <w:rPr>
          <w:snapToGrid/>
          <w:sz w:val="22"/>
          <w:szCs w:val="22"/>
        </w:rPr>
        <w:t>develop</w:t>
      </w:r>
      <w:r w:rsidRPr="0059364C" w:rsidR="0000303A">
        <w:rPr>
          <w:snapToGrid/>
          <w:sz w:val="22"/>
          <w:szCs w:val="22"/>
        </w:rPr>
        <w:t>ed contingency plans to finalize the divestiture of</w:t>
      </w:r>
      <w:r w:rsidRPr="0059364C" w:rsidR="002363A2">
        <w:rPr>
          <w:snapToGrid/>
          <w:sz w:val="22"/>
          <w:szCs w:val="22"/>
        </w:rPr>
        <w:t xml:space="preserve"> </w:t>
      </w:r>
      <w:r w:rsidRPr="0059364C" w:rsidR="0000303A">
        <w:rPr>
          <w:snapToGrid/>
          <w:sz w:val="22"/>
          <w:szCs w:val="22"/>
        </w:rPr>
        <w:t>the remaining stations by sales or gifts</w:t>
      </w:r>
      <w:r w:rsidRPr="0059364C" w:rsidR="00BF115F">
        <w:rPr>
          <w:snapToGrid/>
          <w:sz w:val="22"/>
          <w:szCs w:val="22"/>
        </w:rPr>
        <w:t>.</w:t>
      </w:r>
      <w:r>
        <w:rPr>
          <w:rStyle w:val="FootnoteReference"/>
          <w:rFonts w:ascii="Times New Roman" w:hAnsi="Times New Roman"/>
          <w:snapToGrid/>
          <w:sz w:val="22"/>
          <w:szCs w:val="22"/>
        </w:rPr>
        <w:footnoteReference w:id="44"/>
      </w:r>
      <w:r w:rsidRPr="00700472" w:rsidR="00BF115F">
        <w:rPr>
          <w:snapToGrid/>
          <w:sz w:val="22"/>
          <w:szCs w:val="22"/>
        </w:rPr>
        <w:t xml:space="preserve"> </w:t>
      </w:r>
      <w:r w:rsidRPr="0059364C" w:rsidR="00BF115F">
        <w:rPr>
          <w:snapToGrid/>
          <w:sz w:val="22"/>
          <w:szCs w:val="22"/>
        </w:rPr>
        <w:t xml:space="preserve"> I</w:t>
      </w:r>
      <w:r w:rsidRPr="0059364C" w:rsidR="000152E4">
        <w:rPr>
          <w:snapToGrid/>
          <w:sz w:val="22"/>
          <w:szCs w:val="22"/>
        </w:rPr>
        <w:t>n this instance,</w:t>
      </w:r>
      <w:r w:rsidRPr="0059364C" w:rsidR="002363A2">
        <w:rPr>
          <w:snapToGrid/>
          <w:sz w:val="22"/>
          <w:szCs w:val="22"/>
        </w:rPr>
        <w:t xml:space="preserve"> </w:t>
      </w:r>
      <w:r w:rsidRPr="0059364C" w:rsidR="00A76F23">
        <w:rPr>
          <w:snapToGrid/>
          <w:sz w:val="22"/>
          <w:szCs w:val="22"/>
        </w:rPr>
        <w:t xml:space="preserve">CXR has yet </w:t>
      </w:r>
      <w:r w:rsidRPr="0059364C" w:rsidR="00AF6092">
        <w:rPr>
          <w:snapToGrid/>
          <w:sz w:val="22"/>
          <w:szCs w:val="22"/>
        </w:rPr>
        <w:t>“</w:t>
      </w:r>
      <w:r w:rsidRPr="0059364C" w:rsidR="00A76F23">
        <w:rPr>
          <w:snapToGrid/>
          <w:sz w:val="22"/>
          <w:szCs w:val="22"/>
        </w:rPr>
        <w:t xml:space="preserve">to execute its process to </w:t>
      </w:r>
      <w:r w:rsidRPr="0059364C" w:rsidR="00A76F23">
        <w:rPr>
          <w:snapToGrid/>
          <w:sz w:val="22"/>
          <w:szCs w:val="22"/>
        </w:rPr>
        <w:t>market the Stations</w:t>
      </w:r>
      <w:r w:rsidRPr="0059364C" w:rsidR="00BF115F">
        <w:rPr>
          <w:snapToGrid/>
          <w:sz w:val="22"/>
          <w:szCs w:val="22"/>
        </w:rPr>
        <w:t>,</w:t>
      </w:r>
      <w:r w:rsidRPr="0059364C" w:rsidR="00AF6092">
        <w:rPr>
          <w:snapToGrid/>
          <w:sz w:val="22"/>
          <w:szCs w:val="22"/>
        </w:rPr>
        <w:t>”</w:t>
      </w:r>
      <w:r w:rsidRPr="0059364C" w:rsidR="00BF115F">
        <w:rPr>
          <w:snapToGrid/>
          <w:sz w:val="22"/>
          <w:szCs w:val="22"/>
        </w:rPr>
        <w:t xml:space="preserve"> </w:t>
      </w:r>
      <w:r w:rsidRPr="0059364C" w:rsidR="00A76F23">
        <w:rPr>
          <w:snapToGrid/>
          <w:sz w:val="22"/>
          <w:szCs w:val="22"/>
        </w:rPr>
        <w:t xml:space="preserve">despite </w:t>
      </w:r>
      <w:r w:rsidRPr="0059364C" w:rsidR="000152E4">
        <w:rPr>
          <w:snapToGrid/>
          <w:sz w:val="22"/>
          <w:szCs w:val="22"/>
        </w:rPr>
        <w:t>being directed, two years ago, to divest the Stations by December 17, 2021</w:t>
      </w:r>
      <w:r w:rsidR="00A60BB4">
        <w:rPr>
          <w:snapToGrid/>
          <w:sz w:val="22"/>
          <w:szCs w:val="22"/>
        </w:rPr>
        <w:t xml:space="preserve">, </w:t>
      </w:r>
      <w:r w:rsidR="009A3AFA">
        <w:rPr>
          <w:snapToGrid/>
          <w:sz w:val="22"/>
          <w:szCs w:val="22"/>
        </w:rPr>
        <w:t>in order to comply with the Local Radio Ownership Rule</w:t>
      </w:r>
      <w:r w:rsidRPr="0059364C" w:rsidR="004920EB">
        <w:rPr>
          <w:snapToGrid/>
          <w:sz w:val="22"/>
          <w:szCs w:val="22"/>
        </w:rPr>
        <w:t>.</w:t>
      </w:r>
      <w:r>
        <w:rPr>
          <w:rStyle w:val="FootnoteReference"/>
          <w:rFonts w:ascii="Times New Roman" w:hAnsi="Times New Roman"/>
          <w:snapToGrid/>
          <w:sz w:val="22"/>
          <w:szCs w:val="22"/>
        </w:rPr>
        <w:footnoteReference w:id="45"/>
      </w:r>
      <w:r w:rsidRPr="0059364C" w:rsidR="00C71311">
        <w:rPr>
          <w:snapToGrid/>
          <w:sz w:val="22"/>
          <w:szCs w:val="22"/>
        </w:rPr>
        <w:t xml:space="preserve">  </w:t>
      </w:r>
      <w:r w:rsidRPr="0059364C" w:rsidR="005859C1">
        <w:rPr>
          <w:snapToGrid/>
          <w:sz w:val="22"/>
          <w:szCs w:val="22"/>
        </w:rPr>
        <w:t>Additionally</w:t>
      </w:r>
      <w:r w:rsidRPr="0059364C" w:rsidR="00C71311">
        <w:rPr>
          <w:snapToGrid/>
          <w:sz w:val="22"/>
          <w:szCs w:val="22"/>
        </w:rPr>
        <w:t xml:space="preserve">, the </w:t>
      </w:r>
      <w:r w:rsidRPr="0059364C" w:rsidR="00866CC0">
        <w:rPr>
          <w:snapToGrid/>
          <w:sz w:val="22"/>
          <w:szCs w:val="22"/>
        </w:rPr>
        <w:t xml:space="preserve">Mainstay and Aloha </w:t>
      </w:r>
      <w:r w:rsidRPr="0059364C" w:rsidR="00C71311">
        <w:rPr>
          <w:snapToGrid/>
          <w:sz w:val="22"/>
          <w:szCs w:val="22"/>
        </w:rPr>
        <w:t>trustees sold some of the stations that were initially placed into the</w:t>
      </w:r>
      <w:r w:rsidRPr="0059364C" w:rsidR="009712C3">
        <w:rPr>
          <w:snapToGrid/>
          <w:sz w:val="22"/>
          <w:szCs w:val="22"/>
        </w:rPr>
        <w:t>ir respective</w:t>
      </w:r>
      <w:r w:rsidRPr="0059364C" w:rsidR="00C71311">
        <w:rPr>
          <w:snapToGrid/>
          <w:sz w:val="22"/>
          <w:szCs w:val="22"/>
        </w:rPr>
        <w:t xml:space="preserve"> divestiture trust</w:t>
      </w:r>
      <w:r w:rsidRPr="0059364C" w:rsidR="009712C3">
        <w:rPr>
          <w:snapToGrid/>
          <w:sz w:val="22"/>
          <w:szCs w:val="22"/>
        </w:rPr>
        <w:t>s</w:t>
      </w:r>
      <w:r w:rsidRPr="0059364C" w:rsidR="00C71311">
        <w:rPr>
          <w:snapToGrid/>
          <w:sz w:val="22"/>
          <w:szCs w:val="22"/>
        </w:rPr>
        <w:t xml:space="preserve">, prior to the end of the two-year </w:t>
      </w:r>
      <w:r w:rsidRPr="0059364C" w:rsidR="009712C3">
        <w:rPr>
          <w:snapToGrid/>
          <w:sz w:val="22"/>
          <w:szCs w:val="22"/>
        </w:rPr>
        <w:t xml:space="preserve">divestiture </w:t>
      </w:r>
      <w:r w:rsidRPr="0059364C" w:rsidR="00C71311">
        <w:rPr>
          <w:snapToGrid/>
          <w:sz w:val="22"/>
          <w:szCs w:val="22"/>
        </w:rPr>
        <w:t>period</w:t>
      </w:r>
      <w:r w:rsidRPr="0059364C" w:rsidR="009712C3">
        <w:rPr>
          <w:snapToGrid/>
          <w:sz w:val="22"/>
          <w:szCs w:val="22"/>
        </w:rPr>
        <w:t xml:space="preserve">; </w:t>
      </w:r>
      <w:r w:rsidRPr="0059364C" w:rsidR="006033B5">
        <w:rPr>
          <w:snapToGrid/>
          <w:sz w:val="22"/>
          <w:szCs w:val="22"/>
        </w:rPr>
        <w:t xml:space="preserve">by contrast, </w:t>
      </w:r>
      <w:r w:rsidRPr="0059364C" w:rsidR="009712C3">
        <w:rPr>
          <w:snapToGrid/>
          <w:sz w:val="22"/>
          <w:szCs w:val="22"/>
        </w:rPr>
        <w:t xml:space="preserve">here, CXR has </w:t>
      </w:r>
      <w:r w:rsidRPr="0059364C" w:rsidR="005D400C">
        <w:rPr>
          <w:snapToGrid/>
          <w:sz w:val="22"/>
          <w:szCs w:val="22"/>
        </w:rPr>
        <w:t xml:space="preserve">yet to </w:t>
      </w:r>
      <w:r w:rsidR="001F26E8">
        <w:rPr>
          <w:snapToGrid/>
          <w:sz w:val="22"/>
          <w:szCs w:val="22"/>
        </w:rPr>
        <w:t xml:space="preserve">engage in </w:t>
      </w:r>
      <w:r w:rsidR="00CD21A8">
        <w:rPr>
          <w:snapToGrid/>
          <w:sz w:val="22"/>
          <w:szCs w:val="22"/>
        </w:rPr>
        <w:t xml:space="preserve">meaningful </w:t>
      </w:r>
      <w:r w:rsidR="001F26E8">
        <w:rPr>
          <w:snapToGrid/>
          <w:sz w:val="22"/>
          <w:szCs w:val="22"/>
        </w:rPr>
        <w:t>negotiations for the sale of</w:t>
      </w:r>
      <w:r w:rsidRPr="0059364C" w:rsidR="005D400C">
        <w:rPr>
          <w:snapToGrid/>
          <w:sz w:val="22"/>
          <w:szCs w:val="22"/>
        </w:rPr>
        <w:t xml:space="preserve"> e</w:t>
      </w:r>
      <w:r w:rsidRPr="0059364C" w:rsidR="009712C3">
        <w:rPr>
          <w:snapToGrid/>
          <w:sz w:val="22"/>
          <w:szCs w:val="22"/>
        </w:rPr>
        <w:t>ither of the Stations.</w:t>
      </w:r>
    </w:p>
    <w:p w:rsidR="00D35B79" w:rsidRPr="0059364C" w:rsidP="00EA79D8" w14:paraId="7EC33BF1" w14:textId="77777777">
      <w:pPr>
        <w:widowControl/>
        <w:autoSpaceDE w:val="0"/>
        <w:autoSpaceDN w:val="0"/>
        <w:adjustRightInd w:val="0"/>
        <w:ind w:firstLine="720"/>
        <w:rPr>
          <w:snapToGrid/>
          <w:sz w:val="22"/>
          <w:szCs w:val="22"/>
        </w:rPr>
      </w:pPr>
    </w:p>
    <w:p w:rsidR="00263BEC" w:rsidRPr="0059364C" w:rsidP="00105A60" w14:paraId="359089C0" w14:textId="21D111C9">
      <w:pPr>
        <w:widowControl/>
        <w:autoSpaceDE w:val="0"/>
        <w:autoSpaceDN w:val="0"/>
        <w:adjustRightInd w:val="0"/>
        <w:ind w:firstLine="720"/>
        <w:rPr>
          <w:kern w:val="28"/>
          <w:sz w:val="22"/>
          <w:szCs w:val="22"/>
        </w:rPr>
      </w:pPr>
      <w:r>
        <w:rPr>
          <w:kern w:val="28"/>
          <w:sz w:val="22"/>
          <w:szCs w:val="22"/>
        </w:rPr>
        <w:t>In view of the foregoing, w</w:t>
      </w:r>
      <w:r w:rsidRPr="0059364C">
        <w:rPr>
          <w:kern w:val="28"/>
          <w:sz w:val="22"/>
          <w:szCs w:val="22"/>
        </w:rPr>
        <w:t>e</w:t>
      </w:r>
      <w:r w:rsidRPr="0059364C" w:rsidR="00EA79D8">
        <w:rPr>
          <w:kern w:val="28"/>
          <w:sz w:val="22"/>
          <w:szCs w:val="22"/>
        </w:rPr>
        <w:t xml:space="preserve"> direct</w:t>
      </w:r>
      <w:r w:rsidRPr="0059364C">
        <w:rPr>
          <w:kern w:val="28"/>
          <w:sz w:val="22"/>
          <w:szCs w:val="22"/>
        </w:rPr>
        <w:t xml:space="preserve"> CXR to complete its required divestiture on or before the end of the revised divestiture deadline.</w:t>
      </w:r>
      <w:r w:rsidRPr="00F21F90" w:rsidR="00F21F90">
        <w:rPr>
          <w:rStyle w:val="FootnoteReference"/>
          <w:rFonts w:ascii="Times New Roman" w:hAnsi="Times New Roman"/>
          <w:kern w:val="28"/>
          <w:sz w:val="22"/>
          <w:szCs w:val="22"/>
        </w:rPr>
        <w:t xml:space="preserve"> </w:t>
      </w:r>
    </w:p>
    <w:p w:rsidR="003A7524" w:rsidRPr="0059364C" w:rsidP="004C2274" w14:paraId="24D9D816" w14:textId="3C6C623D">
      <w:pPr>
        <w:widowControl/>
        <w:autoSpaceDE w:val="0"/>
        <w:autoSpaceDN w:val="0"/>
        <w:adjustRightInd w:val="0"/>
        <w:ind w:firstLine="720"/>
        <w:rPr>
          <w:i/>
          <w:iCs/>
          <w:snapToGrid/>
          <w:sz w:val="22"/>
          <w:szCs w:val="22"/>
        </w:rPr>
      </w:pPr>
    </w:p>
    <w:p w:rsidR="0053651F" w:rsidP="00CC3D53" w14:paraId="0187D33A" w14:textId="3EA4C153">
      <w:pPr>
        <w:suppressAutoHyphens/>
        <w:rPr>
          <w:color w:val="000000"/>
          <w:sz w:val="22"/>
          <w:szCs w:val="22"/>
        </w:rPr>
      </w:pPr>
      <w:r w:rsidRPr="0059364C">
        <w:rPr>
          <w:sz w:val="22"/>
          <w:szCs w:val="22"/>
        </w:rPr>
        <w:t xml:space="preserve"> </w:t>
      </w:r>
      <w:r w:rsidRPr="0059364C" w:rsidR="00CE15DE">
        <w:rPr>
          <w:sz w:val="22"/>
          <w:szCs w:val="22"/>
        </w:rPr>
        <w:tab/>
      </w:r>
      <w:r w:rsidRPr="0059364C" w:rsidR="00C573A3">
        <w:rPr>
          <w:color w:val="000000"/>
          <w:sz w:val="22"/>
          <w:szCs w:val="22"/>
        </w:rPr>
        <w:t>Accordingly, IT IS ORDERED</w:t>
      </w:r>
      <w:r w:rsidR="009A2F11">
        <w:rPr>
          <w:color w:val="000000"/>
          <w:sz w:val="22"/>
          <w:szCs w:val="22"/>
        </w:rPr>
        <w:t xml:space="preserve"> </w:t>
      </w:r>
      <w:r w:rsidRPr="0059364C" w:rsidR="00C573A3">
        <w:rPr>
          <w:color w:val="000000"/>
          <w:sz w:val="22"/>
          <w:szCs w:val="22"/>
        </w:rPr>
        <w:t xml:space="preserve">that the </w:t>
      </w:r>
      <w:r w:rsidRPr="0059364C" w:rsidR="00356AEE">
        <w:rPr>
          <w:color w:val="000000"/>
          <w:sz w:val="22"/>
          <w:szCs w:val="22"/>
        </w:rPr>
        <w:t xml:space="preserve">“Request for Extension or Waiver of Divestiture Deadline” </w:t>
      </w:r>
      <w:r w:rsidRPr="0059364C" w:rsidR="00D45AC0">
        <w:rPr>
          <w:color w:val="000000"/>
          <w:sz w:val="22"/>
          <w:szCs w:val="22"/>
        </w:rPr>
        <w:t>filed by</w:t>
      </w:r>
      <w:r w:rsidRPr="0059364C" w:rsidR="00356AEE">
        <w:rPr>
          <w:color w:val="000000"/>
          <w:sz w:val="22"/>
          <w:szCs w:val="22"/>
        </w:rPr>
        <w:t xml:space="preserve"> </w:t>
      </w:r>
      <w:r w:rsidRPr="0059364C" w:rsidR="00C11E0F">
        <w:rPr>
          <w:color w:val="000000"/>
          <w:sz w:val="22"/>
          <w:szCs w:val="22"/>
        </w:rPr>
        <w:t>CXR Radio</w:t>
      </w:r>
      <w:r w:rsidRPr="0059364C" w:rsidR="00B27210">
        <w:rPr>
          <w:color w:val="000000"/>
          <w:sz w:val="22"/>
          <w:szCs w:val="22"/>
        </w:rPr>
        <w:t>, LLC</w:t>
      </w:r>
      <w:r w:rsidRPr="0059364C" w:rsidR="00AC7526">
        <w:rPr>
          <w:color w:val="000000"/>
          <w:sz w:val="22"/>
          <w:szCs w:val="22"/>
        </w:rPr>
        <w:t>,</w:t>
      </w:r>
      <w:r w:rsidRPr="0059364C" w:rsidR="00D45AC0">
        <w:rPr>
          <w:color w:val="000000"/>
          <w:sz w:val="22"/>
          <w:szCs w:val="22"/>
        </w:rPr>
        <w:t xml:space="preserve"> on November 8, 2021,</w:t>
      </w:r>
      <w:r w:rsidRPr="0059364C" w:rsidR="00C11E0F">
        <w:rPr>
          <w:color w:val="000000"/>
          <w:sz w:val="22"/>
          <w:szCs w:val="22"/>
        </w:rPr>
        <w:t xml:space="preserve"> </w:t>
      </w:r>
      <w:r w:rsidRPr="0059364C" w:rsidR="00356AEE">
        <w:rPr>
          <w:color w:val="000000"/>
          <w:sz w:val="22"/>
          <w:szCs w:val="22"/>
        </w:rPr>
        <w:t xml:space="preserve">IS GRANTED </w:t>
      </w:r>
      <w:r w:rsidRPr="0059364C" w:rsidR="00263BEC">
        <w:rPr>
          <w:color w:val="000000"/>
          <w:sz w:val="22"/>
          <w:szCs w:val="22"/>
        </w:rPr>
        <w:t xml:space="preserve">for the limited purpose of extending the </w:t>
      </w:r>
      <w:r w:rsidRPr="0059364C" w:rsidR="00356AEE">
        <w:rPr>
          <w:color w:val="000000"/>
          <w:sz w:val="22"/>
          <w:szCs w:val="22"/>
        </w:rPr>
        <w:t>divestiture deadline </w:t>
      </w:r>
      <w:r w:rsidRPr="0059364C">
        <w:rPr>
          <w:snapToGrid/>
          <w:sz w:val="22"/>
          <w:szCs w:val="22"/>
        </w:rPr>
        <w:t xml:space="preserve">by an additional </w:t>
      </w:r>
      <w:r w:rsidR="00F21F90">
        <w:rPr>
          <w:snapToGrid/>
          <w:sz w:val="22"/>
          <w:szCs w:val="22"/>
        </w:rPr>
        <w:t xml:space="preserve">60 </w:t>
      </w:r>
      <w:r w:rsidRPr="0059364C">
        <w:rPr>
          <w:snapToGrid/>
          <w:sz w:val="22"/>
          <w:szCs w:val="22"/>
        </w:rPr>
        <w:t xml:space="preserve">days, until </w:t>
      </w:r>
      <w:r w:rsidR="00F21F90">
        <w:rPr>
          <w:snapToGrid/>
          <w:sz w:val="22"/>
          <w:szCs w:val="22"/>
        </w:rPr>
        <w:t xml:space="preserve">February </w:t>
      </w:r>
      <w:r>
        <w:rPr>
          <w:snapToGrid/>
          <w:sz w:val="22"/>
          <w:szCs w:val="22"/>
        </w:rPr>
        <w:t>1</w:t>
      </w:r>
      <w:r w:rsidR="00F21F90">
        <w:rPr>
          <w:snapToGrid/>
          <w:sz w:val="22"/>
          <w:szCs w:val="22"/>
        </w:rPr>
        <w:t>5</w:t>
      </w:r>
      <w:r>
        <w:rPr>
          <w:snapToGrid/>
          <w:sz w:val="22"/>
          <w:szCs w:val="22"/>
        </w:rPr>
        <w:t>, 2022</w:t>
      </w:r>
      <w:r w:rsidRPr="0059364C" w:rsidR="00263BEC">
        <w:rPr>
          <w:snapToGrid/>
          <w:sz w:val="22"/>
          <w:szCs w:val="22"/>
        </w:rPr>
        <w:t xml:space="preserve">, </w:t>
      </w:r>
      <w:r w:rsidRPr="0059364C" w:rsidR="00356AEE">
        <w:rPr>
          <w:color w:val="000000"/>
          <w:sz w:val="22"/>
          <w:szCs w:val="22"/>
        </w:rPr>
        <w:t xml:space="preserve">and </w:t>
      </w:r>
      <w:r w:rsidRPr="0059364C" w:rsidR="00736C50">
        <w:rPr>
          <w:color w:val="000000"/>
          <w:sz w:val="22"/>
          <w:szCs w:val="22"/>
        </w:rPr>
        <w:t xml:space="preserve">IS DENIED </w:t>
      </w:r>
      <w:r w:rsidRPr="0059364C" w:rsidR="00356AEE">
        <w:rPr>
          <w:color w:val="000000"/>
          <w:sz w:val="22"/>
          <w:szCs w:val="22"/>
        </w:rPr>
        <w:t>in all other respects</w:t>
      </w:r>
      <w:r w:rsidRPr="0059364C" w:rsidR="00736C50">
        <w:rPr>
          <w:color w:val="000000"/>
          <w:sz w:val="22"/>
          <w:szCs w:val="22"/>
        </w:rPr>
        <w:t>.</w:t>
      </w:r>
      <w:r w:rsidRPr="0059364C" w:rsidR="00356AEE">
        <w:rPr>
          <w:color w:val="000000"/>
          <w:sz w:val="22"/>
          <w:szCs w:val="22"/>
        </w:rPr>
        <w:t xml:space="preserve"> </w:t>
      </w:r>
    </w:p>
    <w:p w:rsidR="0053651F" w:rsidP="00CC3D53" w14:paraId="045360BF" w14:textId="77777777">
      <w:pPr>
        <w:suppressAutoHyphens/>
        <w:rPr>
          <w:color w:val="000000"/>
          <w:sz w:val="22"/>
          <w:szCs w:val="22"/>
        </w:rPr>
      </w:pPr>
    </w:p>
    <w:p w:rsidR="00367900" w:rsidP="002C0A0B" w14:paraId="7EEDC183" w14:textId="1B20F1AD">
      <w:pPr>
        <w:suppressAutoHyphens/>
        <w:ind w:firstLine="720"/>
        <w:rPr>
          <w:color w:val="000000"/>
          <w:sz w:val="22"/>
          <w:szCs w:val="22"/>
        </w:rPr>
      </w:pPr>
      <w:r>
        <w:rPr>
          <w:color w:val="000000"/>
          <w:sz w:val="22"/>
          <w:szCs w:val="22"/>
        </w:rPr>
        <w:t xml:space="preserve">IT IS FURTHER ORDERED </w:t>
      </w:r>
      <w:r w:rsidR="002822FA">
        <w:rPr>
          <w:color w:val="000000"/>
          <w:sz w:val="22"/>
          <w:szCs w:val="22"/>
        </w:rPr>
        <w:t>that t</w:t>
      </w:r>
      <w:r w:rsidRPr="00CC3D53" w:rsidR="002822FA">
        <w:rPr>
          <w:color w:val="000000"/>
          <w:sz w:val="22"/>
          <w:szCs w:val="22"/>
        </w:rPr>
        <w:t xml:space="preserve">he licenses and authorizations issued by the Commission for </w:t>
      </w:r>
      <w:r w:rsidR="002822FA">
        <w:rPr>
          <w:color w:val="000000"/>
          <w:sz w:val="22"/>
          <w:szCs w:val="22"/>
        </w:rPr>
        <w:t>S</w:t>
      </w:r>
      <w:r w:rsidRPr="00CC3D53" w:rsidR="002822FA">
        <w:rPr>
          <w:color w:val="000000"/>
          <w:sz w:val="22"/>
          <w:szCs w:val="22"/>
        </w:rPr>
        <w:t>tations</w:t>
      </w:r>
      <w:r w:rsidR="002822FA">
        <w:rPr>
          <w:color w:val="000000"/>
          <w:sz w:val="22"/>
          <w:szCs w:val="22"/>
        </w:rPr>
        <w:t xml:space="preserve"> </w:t>
      </w:r>
      <w:r w:rsidRPr="00CC3D53" w:rsidR="002822FA">
        <w:rPr>
          <w:color w:val="000000"/>
          <w:sz w:val="22"/>
          <w:szCs w:val="22"/>
        </w:rPr>
        <w:t>WSUN(FM), Holiday, Florida, Facility ID No. 67136</w:t>
      </w:r>
      <w:r w:rsidR="003D27AC">
        <w:rPr>
          <w:color w:val="000000"/>
          <w:sz w:val="22"/>
          <w:szCs w:val="22"/>
        </w:rPr>
        <w:t>,</w:t>
      </w:r>
      <w:r w:rsidR="002822FA">
        <w:rPr>
          <w:color w:val="000000"/>
          <w:sz w:val="22"/>
          <w:szCs w:val="22"/>
        </w:rPr>
        <w:t xml:space="preserve"> and </w:t>
      </w:r>
      <w:r w:rsidRPr="00367900" w:rsidR="002822FA">
        <w:rPr>
          <w:color w:val="000000"/>
          <w:sz w:val="22"/>
          <w:szCs w:val="22"/>
        </w:rPr>
        <w:t>WPYO(FM), Maitland, Florida, Facility ID No. 1186,</w:t>
      </w:r>
      <w:r w:rsidRPr="00CC3D53" w:rsidR="002822FA">
        <w:rPr>
          <w:color w:val="000000"/>
          <w:sz w:val="22"/>
          <w:szCs w:val="22"/>
        </w:rPr>
        <w:t xml:space="preserve"> must be assigned by CXR Radio, LLC, pursuant</w:t>
      </w:r>
      <w:r w:rsidR="002822FA">
        <w:rPr>
          <w:color w:val="000000"/>
          <w:sz w:val="22"/>
          <w:szCs w:val="22"/>
        </w:rPr>
        <w:t xml:space="preserve"> </w:t>
      </w:r>
      <w:r w:rsidRPr="00CC3D53" w:rsidR="002822FA">
        <w:rPr>
          <w:color w:val="000000"/>
          <w:sz w:val="22"/>
          <w:szCs w:val="22"/>
        </w:rPr>
        <w:t>to a long-form assignment of license application to an un</w:t>
      </w:r>
      <w:r w:rsidR="002822FA">
        <w:rPr>
          <w:color w:val="000000"/>
          <w:sz w:val="22"/>
          <w:szCs w:val="22"/>
        </w:rPr>
        <w:t xml:space="preserve">affiliated buyer by </w:t>
      </w:r>
      <w:r w:rsidR="00342239">
        <w:rPr>
          <w:color w:val="000000"/>
          <w:sz w:val="22"/>
          <w:szCs w:val="22"/>
        </w:rPr>
        <w:t xml:space="preserve">February 15, </w:t>
      </w:r>
      <w:r w:rsidR="002822FA">
        <w:rPr>
          <w:color w:val="000000"/>
          <w:sz w:val="22"/>
          <w:szCs w:val="22"/>
        </w:rPr>
        <w:t>2022.</w:t>
      </w:r>
    </w:p>
    <w:p w:rsidR="002822FA" w:rsidP="00CC3D53" w14:paraId="45FF860B" w14:textId="77777777">
      <w:pPr>
        <w:suppressAutoHyphens/>
        <w:rPr>
          <w:snapToGrid/>
          <w:sz w:val="22"/>
          <w:szCs w:val="22"/>
        </w:rPr>
      </w:pPr>
    </w:p>
    <w:p w:rsidR="00367900" w:rsidP="002C0A0B" w14:paraId="7BB0BF4A" w14:textId="4FF38C47">
      <w:pPr>
        <w:suppressAutoHyphens/>
        <w:ind w:firstLine="720"/>
        <w:rPr>
          <w:color w:val="000000"/>
          <w:sz w:val="22"/>
          <w:szCs w:val="22"/>
        </w:rPr>
      </w:pPr>
      <w:r>
        <w:rPr>
          <w:snapToGrid/>
          <w:sz w:val="22"/>
          <w:szCs w:val="22"/>
        </w:rPr>
        <w:t>IT IS FURTHER ORDERED</w:t>
      </w:r>
      <w:r w:rsidR="002822FA">
        <w:rPr>
          <w:snapToGrid/>
          <w:sz w:val="22"/>
          <w:szCs w:val="22"/>
        </w:rPr>
        <w:t xml:space="preserve"> </w:t>
      </w:r>
      <w:r>
        <w:rPr>
          <w:snapToGrid/>
          <w:sz w:val="22"/>
          <w:szCs w:val="22"/>
        </w:rPr>
        <w:t xml:space="preserve">that </w:t>
      </w:r>
      <w:r w:rsidR="00BF3006">
        <w:rPr>
          <w:snapToGrid/>
          <w:sz w:val="22"/>
          <w:szCs w:val="22"/>
        </w:rPr>
        <w:t xml:space="preserve">the assignment of the licenses </w:t>
      </w:r>
      <w:r w:rsidR="002822FA">
        <w:rPr>
          <w:snapToGrid/>
          <w:sz w:val="22"/>
          <w:szCs w:val="22"/>
        </w:rPr>
        <w:t>for S</w:t>
      </w:r>
      <w:r w:rsidR="00BF3006">
        <w:rPr>
          <w:snapToGrid/>
          <w:sz w:val="22"/>
          <w:szCs w:val="22"/>
        </w:rPr>
        <w:t xml:space="preserve">tations </w:t>
      </w:r>
      <w:r w:rsidRPr="00CC3D53" w:rsidR="00BF3006">
        <w:rPr>
          <w:color w:val="000000"/>
          <w:sz w:val="22"/>
          <w:szCs w:val="22"/>
        </w:rPr>
        <w:t>WSUN(FM), Holiday, Florida, Facility ID No. 67136</w:t>
      </w:r>
      <w:r w:rsidR="00B87831">
        <w:rPr>
          <w:color w:val="000000"/>
          <w:sz w:val="22"/>
          <w:szCs w:val="22"/>
        </w:rPr>
        <w:t>,</w:t>
      </w:r>
      <w:r w:rsidR="00BF3006">
        <w:rPr>
          <w:color w:val="000000"/>
          <w:sz w:val="22"/>
          <w:szCs w:val="22"/>
        </w:rPr>
        <w:t xml:space="preserve"> and </w:t>
      </w:r>
      <w:r w:rsidRPr="00367900" w:rsidR="00BF3006">
        <w:rPr>
          <w:color w:val="000000"/>
          <w:sz w:val="22"/>
          <w:szCs w:val="22"/>
        </w:rPr>
        <w:t>WPYO(FM), Maitland, Florida, Facility ID No. 1186</w:t>
      </w:r>
      <w:r w:rsidR="00AE7403">
        <w:rPr>
          <w:color w:val="000000"/>
          <w:sz w:val="22"/>
          <w:szCs w:val="22"/>
        </w:rPr>
        <w:t xml:space="preserve">, </w:t>
      </w:r>
      <w:r w:rsidR="00AE7E1A">
        <w:rPr>
          <w:color w:val="000000"/>
          <w:sz w:val="22"/>
          <w:szCs w:val="22"/>
        </w:rPr>
        <w:t xml:space="preserve">must be consummated </w:t>
      </w:r>
      <w:r w:rsidRPr="00AE7E1A" w:rsidR="00AE7E1A">
        <w:rPr>
          <w:color w:val="000000"/>
          <w:sz w:val="22"/>
          <w:szCs w:val="22"/>
        </w:rPr>
        <w:t>within 15 days of Commission approval of the assignment</w:t>
      </w:r>
      <w:r w:rsidR="00AE7E1A">
        <w:rPr>
          <w:color w:val="000000"/>
          <w:sz w:val="22"/>
          <w:szCs w:val="22"/>
        </w:rPr>
        <w:t>.</w:t>
      </w:r>
      <w:r w:rsidRPr="0059364C">
        <w:rPr>
          <w:snapToGrid/>
          <w:sz w:val="22"/>
          <w:szCs w:val="22"/>
        </w:rPr>
        <w:t xml:space="preserve"> </w:t>
      </w:r>
    </w:p>
    <w:p w:rsidR="00367900" w:rsidP="00CC3D53" w14:paraId="2309040C" w14:textId="77777777">
      <w:pPr>
        <w:suppressAutoHyphens/>
        <w:rPr>
          <w:color w:val="000000"/>
          <w:sz w:val="22"/>
          <w:szCs w:val="22"/>
        </w:rPr>
      </w:pPr>
    </w:p>
    <w:p w:rsidR="00CE15DE" w:rsidRPr="0059364C" w:rsidP="00621532" w14:paraId="2E1FEEB3" w14:textId="77777777">
      <w:pPr>
        <w:tabs>
          <w:tab w:val="left" w:pos="-1080"/>
          <w:tab w:val="left" w:pos="5400"/>
          <w:tab w:val="left" w:pos="6480"/>
        </w:tabs>
        <w:suppressAutoHyphens/>
        <w:rPr>
          <w:color w:val="000000"/>
          <w:sz w:val="22"/>
          <w:szCs w:val="22"/>
        </w:rPr>
      </w:pPr>
    </w:p>
    <w:p w:rsidR="00621532" w:rsidRPr="0059364C" w:rsidP="00621532" w14:paraId="77F91A9A" w14:textId="1A15178E">
      <w:pPr>
        <w:tabs>
          <w:tab w:val="left" w:pos="-1080"/>
          <w:tab w:val="left" w:pos="5400"/>
          <w:tab w:val="left" w:pos="6480"/>
        </w:tabs>
        <w:suppressAutoHyphens/>
        <w:rPr>
          <w:sz w:val="22"/>
          <w:szCs w:val="22"/>
        </w:rPr>
      </w:pPr>
      <w:r w:rsidRPr="0059364C">
        <w:rPr>
          <w:color w:val="000000"/>
          <w:sz w:val="22"/>
          <w:szCs w:val="22"/>
        </w:rPr>
        <w:tab/>
      </w:r>
      <w:r w:rsidRPr="0059364C">
        <w:rPr>
          <w:sz w:val="22"/>
          <w:szCs w:val="22"/>
        </w:rPr>
        <w:t>Sincerely,</w:t>
      </w:r>
    </w:p>
    <w:p w:rsidR="00621532" w:rsidRPr="0059364C" w:rsidP="00621532" w14:paraId="2A7E88D9" w14:textId="77777777">
      <w:pPr>
        <w:tabs>
          <w:tab w:val="left" w:pos="-1080"/>
          <w:tab w:val="left" w:pos="5400"/>
          <w:tab w:val="left" w:pos="6480"/>
        </w:tabs>
        <w:suppressAutoHyphens/>
        <w:rPr>
          <w:sz w:val="22"/>
          <w:szCs w:val="22"/>
        </w:rPr>
      </w:pPr>
    </w:p>
    <w:p w:rsidR="00621532" w:rsidRPr="0059364C" w:rsidP="00621532" w14:paraId="5354ACE5" w14:textId="77777777">
      <w:pPr>
        <w:tabs>
          <w:tab w:val="left" w:pos="-1080"/>
          <w:tab w:val="left" w:pos="5400"/>
          <w:tab w:val="left" w:pos="6480"/>
        </w:tabs>
        <w:suppressAutoHyphens/>
        <w:rPr>
          <w:sz w:val="22"/>
          <w:szCs w:val="22"/>
        </w:rPr>
      </w:pPr>
    </w:p>
    <w:p w:rsidR="00621532" w:rsidRPr="0059364C" w:rsidP="00621532" w14:paraId="41C73B88" w14:textId="2614FC39">
      <w:pPr>
        <w:tabs>
          <w:tab w:val="left" w:pos="-1080"/>
          <w:tab w:val="left" w:pos="5400"/>
          <w:tab w:val="left" w:pos="6480"/>
        </w:tabs>
        <w:suppressAutoHyphens/>
        <w:rPr>
          <w:sz w:val="22"/>
          <w:szCs w:val="22"/>
        </w:rPr>
      </w:pPr>
      <w:r w:rsidRPr="0059364C">
        <w:rPr>
          <w:sz w:val="22"/>
          <w:szCs w:val="22"/>
        </w:rPr>
        <w:tab/>
      </w:r>
      <w:r w:rsidR="00194A67">
        <w:rPr>
          <w:sz w:val="22"/>
          <w:szCs w:val="22"/>
        </w:rPr>
        <w:t>Michelle M. Carey</w:t>
      </w:r>
      <w:r w:rsidRPr="0059364C">
        <w:rPr>
          <w:sz w:val="22"/>
          <w:szCs w:val="22"/>
        </w:rPr>
        <w:t xml:space="preserve"> </w:t>
      </w:r>
    </w:p>
    <w:p w:rsidR="00621532" w:rsidRPr="0059364C" w:rsidP="00621532" w14:paraId="27DB2E0F" w14:textId="18ADDF64">
      <w:pPr>
        <w:tabs>
          <w:tab w:val="left" w:pos="-1080"/>
          <w:tab w:val="left" w:pos="5400"/>
          <w:tab w:val="left" w:pos="6480"/>
        </w:tabs>
        <w:suppressAutoHyphens/>
        <w:rPr>
          <w:sz w:val="22"/>
          <w:szCs w:val="22"/>
        </w:rPr>
      </w:pPr>
      <w:r w:rsidRPr="0059364C">
        <w:rPr>
          <w:sz w:val="22"/>
          <w:szCs w:val="22"/>
        </w:rPr>
        <w:tab/>
        <w:t>Chief</w:t>
      </w:r>
      <w:r w:rsidR="00B236AF">
        <w:rPr>
          <w:sz w:val="22"/>
          <w:szCs w:val="22"/>
        </w:rPr>
        <w:t xml:space="preserve">, </w:t>
      </w:r>
      <w:r w:rsidRPr="0059364C">
        <w:rPr>
          <w:sz w:val="22"/>
          <w:szCs w:val="22"/>
        </w:rPr>
        <w:t>Media Bureau</w:t>
      </w:r>
    </w:p>
    <w:p w:rsidR="00B9667D" w:rsidRPr="0059364C" w:rsidP="00CB4D4F" w14:paraId="0D8A17AC" w14:textId="7A2D9476">
      <w:pPr>
        <w:ind w:firstLine="720"/>
        <w:rPr>
          <w:snapToGrid/>
          <w:color w:val="010101"/>
          <w:sz w:val="22"/>
          <w:szCs w:val="22"/>
        </w:rPr>
      </w:pPr>
    </w:p>
    <w:sectPr>
      <w:footerReference w:type="default" r:id="rId8"/>
      <w:headerReference w:type="first" r:id="rId9"/>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Calibri"/>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2E4" w:rsidRPr="0059364C" w14:paraId="4BA81474" w14:textId="77777777">
    <w:pPr>
      <w:pStyle w:val="Footer"/>
      <w:jc w:val="center"/>
      <w:rPr>
        <w:sz w:val="22"/>
        <w:szCs w:val="22"/>
      </w:rPr>
    </w:pPr>
    <w:r w:rsidRPr="0059364C">
      <w:rPr>
        <w:sz w:val="22"/>
        <w:szCs w:val="22"/>
      </w:rPr>
      <w:fldChar w:fldCharType="begin"/>
    </w:r>
    <w:r w:rsidRPr="0059364C">
      <w:rPr>
        <w:sz w:val="22"/>
        <w:szCs w:val="22"/>
      </w:rPr>
      <w:instrText xml:space="preserve"> PAGE   \* MERGEFORMAT </w:instrText>
    </w:r>
    <w:r w:rsidRPr="0059364C">
      <w:rPr>
        <w:sz w:val="22"/>
        <w:szCs w:val="22"/>
      </w:rPr>
      <w:fldChar w:fldCharType="separate"/>
    </w:r>
    <w:r w:rsidRPr="0059364C">
      <w:rPr>
        <w:noProof/>
        <w:sz w:val="22"/>
        <w:szCs w:val="22"/>
      </w:rPr>
      <w:t>2</w:t>
    </w:r>
    <w:r w:rsidRPr="0059364C">
      <w:rPr>
        <w:noProof/>
        <w:sz w:val="22"/>
        <w:szCs w:val="22"/>
      </w:rPr>
      <w:fldChar w:fldCharType="end"/>
    </w:r>
  </w:p>
  <w:p w:rsidR="000152E4" w14:paraId="573F885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07FE9" w14:paraId="5D1198B1" w14:textId="77777777">
      <w:r>
        <w:separator/>
      </w:r>
    </w:p>
  </w:footnote>
  <w:footnote w:type="continuationSeparator" w:id="1">
    <w:p w:rsidR="00307FE9" w14:paraId="4B5A4FB6" w14:textId="77777777">
      <w:r>
        <w:continuationSeparator/>
      </w:r>
    </w:p>
  </w:footnote>
  <w:footnote w:type="continuationNotice" w:id="2">
    <w:p w:rsidR="00307FE9" w14:paraId="35CA84F8" w14:textId="77777777"/>
  </w:footnote>
  <w:footnote w:id="3">
    <w:p w:rsidR="000152E4" w:rsidRPr="0059364C" w:rsidP="004F6E58" w14:paraId="6A3E12F7" w14:textId="797F0C08">
      <w:pPr>
        <w:pStyle w:val="FootnoteText"/>
      </w:pPr>
      <w:r w:rsidRPr="0059364C">
        <w:rPr>
          <w:rStyle w:val="FootnoteReference"/>
          <w:rFonts w:ascii="Times New Roman" w:hAnsi="Times New Roman"/>
        </w:rPr>
        <w:footnoteRef/>
      </w:r>
      <w:r w:rsidRPr="0059364C">
        <w:t xml:space="preserve"> </w:t>
      </w:r>
      <w:r w:rsidRPr="0059364C">
        <w:rPr>
          <w:i/>
          <w:iCs/>
        </w:rPr>
        <w:t xml:space="preserve">See </w:t>
      </w:r>
      <w:r w:rsidRPr="0059364C">
        <w:t xml:space="preserve">Letter from </w:t>
      </w:r>
      <w:r w:rsidRPr="0059364C" w:rsidR="00F63304">
        <w:t xml:space="preserve">David Oxenford, Counsel to </w:t>
      </w:r>
      <w:r w:rsidRPr="0059364C">
        <w:t xml:space="preserve">CXR, to Albert Shuldiner, Chief, Audio Division, </w:t>
      </w:r>
      <w:r w:rsidRPr="0059364C" w:rsidR="00064666">
        <w:t xml:space="preserve">FCC </w:t>
      </w:r>
      <w:r w:rsidRPr="0059364C">
        <w:t>Media Bureau, MB</w:t>
      </w:r>
      <w:r w:rsidRPr="0059364C" w:rsidR="0050020B">
        <w:t xml:space="preserve"> Docket No.</w:t>
      </w:r>
      <w:r w:rsidRPr="0059364C">
        <w:t xml:space="preserve"> 19-98 (Nov. 8, 2021) (</w:t>
      </w:r>
      <w:r w:rsidRPr="0059364C" w:rsidR="00221AF1">
        <w:t>CXR Request</w:t>
      </w:r>
      <w:r w:rsidRPr="0059364C">
        <w:t xml:space="preserve">).  On November 17, 2021, Spanish Broadcasting System, Inc. (SBS) filed comments opposing the </w:t>
      </w:r>
      <w:r w:rsidRPr="0059364C" w:rsidR="00221AF1">
        <w:t>CXR Request</w:t>
      </w:r>
      <w:r w:rsidRPr="0059364C">
        <w:t xml:space="preserve">, to which CXR replied on November 22, 2021.  </w:t>
      </w:r>
      <w:r w:rsidRPr="0059364C">
        <w:rPr>
          <w:i/>
          <w:iCs/>
        </w:rPr>
        <w:t>See</w:t>
      </w:r>
      <w:r w:rsidRPr="0059364C">
        <w:t xml:space="preserve"> SBS Comments; CXR Reply.</w:t>
      </w:r>
    </w:p>
  </w:footnote>
  <w:footnote w:id="4">
    <w:p w:rsidR="000152E4" w:rsidRPr="0059364C" w:rsidP="009C04E6" w14:paraId="102FE770" w14:textId="49240811">
      <w:pPr>
        <w:pStyle w:val="FootnoteText"/>
      </w:pPr>
      <w:r w:rsidRPr="0059364C">
        <w:rPr>
          <w:rStyle w:val="FootnoteReference"/>
          <w:rFonts w:ascii="Times New Roman" w:hAnsi="Times New Roman"/>
        </w:rPr>
        <w:footnoteRef/>
      </w:r>
      <w:r w:rsidRPr="0059364C">
        <w:t xml:space="preserve"> </w:t>
      </w:r>
      <w:r w:rsidRPr="0059364C">
        <w:rPr>
          <w:i/>
          <w:iCs/>
        </w:rPr>
        <w:t>Consent to Transfer Control of Certain License Subsidiaries of NBI Holdings, LLC to Terrier Media Buyer, Inc.</w:t>
      </w:r>
      <w:r w:rsidRPr="0059364C">
        <w:t xml:space="preserve">, </w:t>
      </w:r>
      <w:r w:rsidRPr="0059364C">
        <w:rPr>
          <w:i/>
          <w:iCs/>
        </w:rPr>
        <w:t>et al.</w:t>
      </w:r>
      <w:r w:rsidRPr="0059364C">
        <w:t xml:space="preserve">, MB Docket No. 19-98, Memorandum Opinion and Order, 34 FCC </w:t>
      </w:r>
      <w:r w:rsidRPr="0059364C">
        <w:t>Rcd</w:t>
      </w:r>
      <w:r w:rsidRPr="0059364C">
        <w:t xml:space="preserve"> 10554 (2019) (</w:t>
      </w:r>
      <w:r w:rsidRPr="0059364C" w:rsidR="00C94FDD">
        <w:rPr>
          <w:i/>
          <w:iCs/>
        </w:rPr>
        <w:t>Divestiture</w:t>
      </w:r>
      <w:r w:rsidRPr="0059364C" w:rsidR="00C94FDD">
        <w:t xml:space="preserve"> </w:t>
      </w:r>
      <w:r w:rsidRPr="0059364C">
        <w:rPr>
          <w:i/>
          <w:iCs/>
        </w:rPr>
        <w:t>Order</w:t>
      </w:r>
      <w:r w:rsidRPr="0059364C">
        <w:t xml:space="preserve">). </w:t>
      </w:r>
    </w:p>
  </w:footnote>
  <w:footnote w:id="5">
    <w:p w:rsidR="000152E4" w:rsidRPr="0059364C" w:rsidP="009C04E6" w14:paraId="208776EC" w14:textId="065648B3">
      <w:pPr>
        <w:pStyle w:val="FootnoteText"/>
      </w:pPr>
      <w:r w:rsidRPr="0059364C">
        <w:rPr>
          <w:rStyle w:val="FootnoteReference"/>
          <w:rFonts w:ascii="Times New Roman" w:hAnsi="Times New Roman"/>
        </w:rPr>
        <w:footnoteRef/>
      </w:r>
      <w:r w:rsidRPr="0059364C">
        <w:t xml:space="preserve"> </w:t>
      </w:r>
      <w:r w:rsidRPr="0059364C" w:rsidR="00C94FDD">
        <w:rPr>
          <w:i/>
          <w:iCs/>
        </w:rPr>
        <w:t>Divestiture</w:t>
      </w:r>
      <w:r w:rsidRPr="0059364C" w:rsidR="00C94FDD">
        <w:t xml:space="preserve"> </w:t>
      </w:r>
      <w:r w:rsidRPr="0059364C">
        <w:rPr>
          <w:i/>
          <w:iCs/>
        </w:rPr>
        <w:t>Order</w:t>
      </w:r>
      <w:r w:rsidRPr="0059364C">
        <w:t xml:space="preserve">, 34 FCC </w:t>
      </w:r>
      <w:r w:rsidRPr="0059364C">
        <w:t>Rcd</w:t>
      </w:r>
      <w:r w:rsidRPr="0059364C">
        <w:t xml:space="preserve"> 10554, 10568-69, paras. 38-41.</w:t>
      </w:r>
    </w:p>
  </w:footnote>
  <w:footnote w:id="6">
    <w:p w:rsidR="00E9214E" w:rsidRPr="0059364C" w:rsidP="00E9214E" w14:paraId="198E0DA5" w14:textId="77777777">
      <w:pPr>
        <w:pStyle w:val="FootnoteText"/>
      </w:pPr>
      <w:r w:rsidRPr="0059364C">
        <w:rPr>
          <w:rStyle w:val="FootnoteReference"/>
          <w:rFonts w:ascii="Times New Roman" w:hAnsi="Times New Roman"/>
        </w:rPr>
        <w:footnoteRef/>
      </w:r>
      <w:r w:rsidRPr="0059364C">
        <w:t xml:space="preserve"> </w:t>
      </w:r>
      <w:r w:rsidRPr="0059364C">
        <w:t>Consummation Notice of Cox Radio, Application File No. BALH-20190702ADS (filed Dec. 18, 2019); Consummation Notice of Cox Radio, Application File No. BALH-20190702ADV (filed Dec. 18, 2019).</w:t>
      </w:r>
    </w:p>
  </w:footnote>
  <w:footnote w:id="7">
    <w:p w:rsidR="000152E4" w:rsidRPr="0059364C" w14:paraId="03B5DFD3" w14:textId="19FD99C0">
      <w:pPr>
        <w:pStyle w:val="FootnoteText"/>
      </w:pPr>
      <w:r w:rsidRPr="0059364C">
        <w:rPr>
          <w:rStyle w:val="FootnoteReference"/>
          <w:rFonts w:ascii="Times New Roman" w:hAnsi="Times New Roman"/>
        </w:rPr>
        <w:footnoteRef/>
      </w:r>
      <w:r w:rsidRPr="0059364C">
        <w:t xml:space="preserve"> </w:t>
      </w:r>
      <w:r w:rsidRPr="0059364C">
        <w:rPr>
          <w:i/>
          <w:iCs/>
        </w:rPr>
        <w:t xml:space="preserve">See </w:t>
      </w:r>
      <w:r w:rsidRPr="0059364C" w:rsidR="00221AF1">
        <w:t>CXR Request</w:t>
      </w:r>
      <w:r w:rsidRPr="0059364C">
        <w:t>.</w:t>
      </w:r>
    </w:p>
  </w:footnote>
  <w:footnote w:id="8">
    <w:p w:rsidR="003227A9" w:rsidRPr="0059364C" w14:paraId="1035807B" w14:textId="48B9E758">
      <w:pPr>
        <w:pStyle w:val="FootnoteText"/>
      </w:pPr>
      <w:r w:rsidRPr="0059364C">
        <w:rPr>
          <w:rStyle w:val="FootnoteReference"/>
          <w:rFonts w:ascii="Times New Roman" w:hAnsi="Times New Roman"/>
        </w:rPr>
        <w:footnoteRef/>
      </w:r>
      <w:r w:rsidRPr="0059364C">
        <w:t xml:space="preserve"> </w:t>
      </w:r>
      <w:r w:rsidRPr="0059364C">
        <w:rPr>
          <w:i/>
          <w:iCs/>
          <w:snapToGrid/>
        </w:rPr>
        <w:t>Media Bureau Seeks Comment on Request for Extension or Waiver of Divestiture Deadline Filed by CXR Radio, LLC</w:t>
      </w:r>
      <w:r w:rsidRPr="0059364C">
        <w:rPr>
          <w:snapToGrid/>
        </w:rPr>
        <w:t>, Public Notice, DA 21-1409 (MB Nov. 10, 2021).  Comments were due on November 17, 2021, and reply comments were due on November 22, 2021.</w:t>
      </w:r>
      <w:r w:rsidR="003D6D4F">
        <w:rPr>
          <w:snapToGrid/>
        </w:rPr>
        <w:t xml:space="preserve">  SBS was the only party to submit comments in response to CXR’s Request.</w:t>
      </w:r>
      <w:r w:rsidR="00335EFE">
        <w:rPr>
          <w:snapToGrid/>
        </w:rPr>
        <w:t xml:space="preserve">  </w:t>
      </w:r>
    </w:p>
  </w:footnote>
  <w:footnote w:id="9">
    <w:p w:rsidR="00B34AC7" w:rsidRPr="0059364C" w:rsidP="00B34AC7" w14:paraId="5D4CE233" w14:textId="1F31D1C4">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sidR="00221AF1">
        <w:t>CXR Request</w:t>
      </w:r>
      <w:r w:rsidRPr="0059364C">
        <w:t xml:space="preserve"> 6-7.  CXR references a case where, one month before the divestiture period was due to expire, the Bureau granted the trustee a one-year extension based on the effects of the COVID pandemic.  </w:t>
      </w:r>
      <w:r w:rsidRPr="0059364C">
        <w:rPr>
          <w:i/>
          <w:iCs/>
        </w:rPr>
        <w:t>Id</w:t>
      </w:r>
      <w:r w:rsidRPr="0059364C">
        <w:t>. at 5-6, citing Letter from Albert Shuldiner, Chief, Audio Division, Media Bureau, Federal Communications Commission, to The Mainstay Trust, LLC, Ref. 1800B3-CC (May 14, 2020)</w:t>
      </w:r>
      <w:r w:rsidRPr="0059364C" w:rsidR="00ED5ECE">
        <w:t xml:space="preserve"> (</w:t>
      </w:r>
      <w:r w:rsidRPr="0059364C" w:rsidR="00ED5ECE">
        <w:rPr>
          <w:i/>
          <w:iCs/>
        </w:rPr>
        <w:t>Mainstay Letter</w:t>
      </w:r>
      <w:r w:rsidRPr="0059364C" w:rsidR="00ED5ECE">
        <w:t>)</w:t>
      </w:r>
      <w:r w:rsidRPr="0059364C">
        <w:t xml:space="preserve">; </w:t>
      </w:r>
      <w:r w:rsidRPr="0059364C">
        <w:rPr>
          <w:i/>
          <w:iCs/>
        </w:rPr>
        <w:t>Cumulus Media Inc, et al</w:t>
      </w:r>
      <w:r w:rsidRPr="0059364C">
        <w:t xml:space="preserve">., Memorandum Opinion and Order, 33 FCC </w:t>
      </w:r>
      <w:r w:rsidRPr="0059364C">
        <w:t>Rcd</w:t>
      </w:r>
      <w:r w:rsidRPr="0059364C">
        <w:t xml:space="preserve"> 5243 (2018) (</w:t>
      </w:r>
      <w:r w:rsidRPr="0059364C" w:rsidR="0054331A">
        <w:rPr>
          <w:i/>
          <w:iCs/>
        </w:rPr>
        <w:t>Cumulus-</w:t>
      </w:r>
      <w:r w:rsidRPr="0059364C">
        <w:rPr>
          <w:i/>
          <w:iCs/>
        </w:rPr>
        <w:t xml:space="preserve">Mainstay Station Trust </w:t>
      </w:r>
      <w:r w:rsidRPr="0059364C" w:rsidR="0054331A">
        <w:rPr>
          <w:i/>
          <w:iCs/>
        </w:rPr>
        <w:t xml:space="preserve">Divestiture </w:t>
      </w:r>
      <w:r w:rsidRPr="0059364C">
        <w:rPr>
          <w:i/>
          <w:iCs/>
        </w:rPr>
        <w:t>Order</w:t>
      </w:r>
      <w:r w:rsidRPr="0059364C">
        <w:t xml:space="preserve">).  CXR states that the extension was granted even though the first 20 months of the trust’s operations of the station were in pre-COVID times, unlike the instant case where CXR’s operations have been in the midst of COVID for roughly two years.  </w:t>
      </w:r>
      <w:r w:rsidRPr="0059364C">
        <w:rPr>
          <w:i/>
          <w:iCs/>
        </w:rPr>
        <w:t>Id</w:t>
      </w:r>
      <w:r w:rsidRPr="0059364C">
        <w:t xml:space="preserve">. at 5.  </w:t>
      </w:r>
    </w:p>
  </w:footnote>
  <w:footnote w:id="10">
    <w:p w:rsidR="000152E4" w:rsidRPr="0059364C" w14:paraId="78DB33F8" w14:textId="6D873233">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sidR="00221AF1">
        <w:t>CXR Request</w:t>
      </w:r>
      <w:r w:rsidRPr="0059364C">
        <w:t xml:space="preserve"> at 1-2 (arguing that the Commission should recognize that economic circumstances control a determination of what is a reasonable period of time for a divestiture trust to sell its assets and that the climate for the sale of radio broadcast stations in the last two years has been far worse than that following the Great Recession of 2008 when the Commission had not set a deadline for sales of stations held in divestiture trusts).  </w:t>
      </w:r>
    </w:p>
  </w:footnote>
  <w:footnote w:id="11">
    <w:p w:rsidR="0041111F" w:rsidRPr="0059364C" w:rsidP="0041111F" w14:paraId="71D68ADA" w14:textId="769DCDD4">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sidR="00221AF1">
        <w:t>CXR Request</w:t>
      </w:r>
      <w:r w:rsidRPr="0059364C">
        <w:t xml:space="preserve"> at 1-2, 6 (stating that the Stations’ revenues were particularly impacted by unpredictable, on-again, off-again scheduling of restaurant openings, live sporting events, live concerts, and advertiser’s reluctance to return to radio advertising).  CXR references a 2012 case where the Commission granted an assignment application of a station held in a divestiture trust for four years.  According to CXR, the Bureau accepted the trustee’s claim that a sale “had been made more difficult by a persistent recessionary economy, a difficult lending environment, a shifting advertising marketplace and the growth of competing media targeting the over the air listening market.”  </w:t>
      </w:r>
      <w:r w:rsidRPr="0059364C">
        <w:rPr>
          <w:i/>
          <w:iCs/>
        </w:rPr>
        <w:t>Id</w:t>
      </w:r>
      <w:r w:rsidRPr="0059364C">
        <w:t>. at 5</w:t>
      </w:r>
      <w:r w:rsidRPr="0059364C" w:rsidR="00D5620F">
        <w:t xml:space="preserve"> (</w:t>
      </w:r>
      <w:r w:rsidRPr="0059364C">
        <w:t xml:space="preserve">citing </w:t>
      </w:r>
      <w:r w:rsidRPr="0059364C" w:rsidR="00D5620F">
        <w:rPr>
          <w:i/>
          <w:iCs/>
        </w:rPr>
        <w:t xml:space="preserve">Application of Buckley Broadcasting/WOR, LLC, (Assignor) and </w:t>
      </w:r>
      <w:r w:rsidRPr="0059364C" w:rsidR="00653A11">
        <w:rPr>
          <w:i/>
          <w:iCs/>
        </w:rPr>
        <w:t>AMFM Radio Licenses, LLC, (Assignee)</w:t>
      </w:r>
      <w:r w:rsidRPr="0059364C">
        <w:t>, Letter</w:t>
      </w:r>
      <w:r w:rsidRPr="0059364C" w:rsidR="00D5620F">
        <w:t xml:space="preserve"> Order</w:t>
      </w:r>
      <w:r w:rsidRPr="0059364C">
        <w:t xml:space="preserve">, 27 FCC </w:t>
      </w:r>
      <w:r w:rsidRPr="0059364C">
        <w:t>Rcd</w:t>
      </w:r>
      <w:r w:rsidRPr="0059364C">
        <w:t xml:space="preserve"> 15219 (MD 2012) (</w:t>
      </w:r>
      <w:r w:rsidRPr="0059364C" w:rsidR="00653A11">
        <w:rPr>
          <w:i/>
          <w:iCs/>
        </w:rPr>
        <w:t>Buckley Broadcasting/WOR Letter Order</w:t>
      </w:r>
      <w:r w:rsidRPr="0059364C">
        <w:t xml:space="preserve">).  CXR argues that if the Commission gave weight to economic concerns in 2012, a relatively normal year compared to 2020 and 2021, the same or greater weight to marketplace conditions should be given in this case where the impact of the pandemic totally eclipses any comparable concerns in 2021.  </w:t>
      </w:r>
      <w:r w:rsidRPr="0059364C">
        <w:rPr>
          <w:i/>
          <w:iCs/>
        </w:rPr>
        <w:t>Id</w:t>
      </w:r>
      <w:r w:rsidRPr="0059364C">
        <w:t xml:space="preserve">. </w:t>
      </w:r>
    </w:p>
  </w:footnote>
  <w:footnote w:id="12">
    <w:p w:rsidR="000152E4" w:rsidRPr="0059364C" w14:paraId="6E4F587C" w14:textId="1EEE2F3C">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sidR="00221AF1">
        <w:t>CXR Request</w:t>
      </w:r>
      <w:r w:rsidRPr="0059364C">
        <w:t xml:space="preserve"> at 4 (stating that CXR is seeing incremental month-to-month improvement in </w:t>
      </w:r>
      <w:r w:rsidRPr="0059364C" w:rsidR="00407453">
        <w:t xml:space="preserve">the </w:t>
      </w:r>
      <w:r w:rsidRPr="0059364C">
        <w:t>Station</w:t>
      </w:r>
      <w:r w:rsidRPr="0059364C" w:rsidR="00407453">
        <w:t>s’</w:t>
      </w:r>
      <w:r w:rsidRPr="0059364C">
        <w:t xml:space="preserve"> operations and that early 2022 will be an appropriate time to begin a meaningful marketing process).</w:t>
      </w:r>
    </w:p>
  </w:footnote>
  <w:footnote w:id="13">
    <w:p w:rsidR="000152E4" w:rsidRPr="0059364C" w14:paraId="7836A225" w14:textId="39CA6E2C">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00C40964">
        <w:rPr>
          <w:i/>
          <w:iCs/>
        </w:rPr>
        <w:t>id.</w:t>
      </w:r>
      <w:r w:rsidRPr="0059364C">
        <w:t xml:space="preserve"> at 4-6 (arguing that as a fiduciary, it has an obligation to fully market the Stations and to attempt to receive fair market value for them).</w:t>
      </w:r>
    </w:p>
  </w:footnote>
  <w:footnote w:id="14">
    <w:p w:rsidR="000152E4" w:rsidRPr="0059364C" w:rsidP="007B1738" w14:paraId="1ED93C34" w14:textId="25F161C2">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00C40964">
        <w:rPr>
          <w:i/>
          <w:iCs/>
        </w:rPr>
        <w:t>id.</w:t>
      </w:r>
      <w:r w:rsidRPr="0059364C">
        <w:t xml:space="preserve"> at 4-5 (stating that CXR countered the offers with what it believes are market-appropriate prices, but it has yet to locate a viable buyer for either</w:t>
      </w:r>
      <w:r w:rsidRPr="0059364C" w:rsidR="00407453">
        <w:t xml:space="preserve"> of the</w:t>
      </w:r>
      <w:r w:rsidRPr="0059364C">
        <w:t xml:space="preserve"> Station</w:t>
      </w:r>
      <w:r w:rsidRPr="0059364C" w:rsidR="00407453">
        <w:t>s</w:t>
      </w:r>
      <w:r w:rsidRPr="0059364C">
        <w:t>).</w:t>
      </w:r>
    </w:p>
  </w:footnote>
  <w:footnote w:id="15">
    <w:p w:rsidR="00ED01AC" w:rsidRPr="0059364C" w:rsidP="00ED01AC" w14:paraId="6E19B22F" w14:textId="0B2B5767">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00C40964">
        <w:rPr>
          <w:i/>
          <w:iCs/>
        </w:rPr>
        <w:t>id.</w:t>
      </w:r>
      <w:r w:rsidR="00C40964">
        <w:t xml:space="preserve"> </w:t>
      </w:r>
      <w:r w:rsidRPr="0059364C">
        <w:t xml:space="preserve">at 2-4 (claiming the radio industry was hit hard by the pandemic and has not recovered its effects as almost all radio stations have experienced declines in revenue and have had to cut expenses and avoid making acquisitions of any size).  </w:t>
      </w:r>
    </w:p>
  </w:footnote>
  <w:footnote w:id="16">
    <w:p w:rsidR="007C675F" w:rsidRPr="002E30F4" w:rsidP="007C675F" w14:paraId="5FA3AA93" w14:textId="746965F5">
      <w:pPr>
        <w:pStyle w:val="FootnoteText"/>
      </w:pPr>
      <w:r w:rsidRPr="002E30F4">
        <w:rPr>
          <w:rStyle w:val="FootnoteReference"/>
          <w:rFonts w:ascii="Times New Roman" w:hAnsi="Times New Roman"/>
        </w:rPr>
        <w:footnoteRef/>
      </w:r>
      <w:r w:rsidRPr="002E30F4">
        <w:t xml:space="preserve"> </w:t>
      </w:r>
      <w:r w:rsidRPr="0059364C">
        <w:t xml:space="preserve">SBS </w:t>
      </w:r>
      <w:r>
        <w:t xml:space="preserve">also </w:t>
      </w:r>
      <w:r w:rsidRPr="0059364C">
        <w:t>submit</w:t>
      </w:r>
      <w:r>
        <w:t>s</w:t>
      </w:r>
      <w:r w:rsidRPr="0059364C">
        <w:t xml:space="preserve"> letters of support from federal, state, and local legislators, as well as from Hispanic community leaders and other advocates.  </w:t>
      </w:r>
      <w:r w:rsidRPr="0059364C">
        <w:rPr>
          <w:i/>
          <w:iCs/>
        </w:rPr>
        <w:t>See, e.g.</w:t>
      </w:r>
      <w:r w:rsidRPr="0059364C">
        <w:t>, Letter from Sen. Victor Torres, Jr., Senate of Florida, 15</w:t>
      </w:r>
      <w:r w:rsidRPr="0059364C">
        <w:rPr>
          <w:vertAlign w:val="superscript"/>
        </w:rPr>
        <w:t>th</w:t>
      </w:r>
      <w:r w:rsidRPr="0059364C">
        <w:t xml:space="preserve"> District, to Christopher Clark, Assistant Division Chief, Audio Division, FCC Media Bureau (filed Nov. 17, 2021) (generally stating that a waiver or extension of the divestiture deadline based on unsupported claims about the unsatisfactory state of the market—claims that are undermined by SBS’s viable offer—would undercut the purpose of the Local Radio Ownership Rule); Letter from Hon. Darren Soto, U.S. House of Representatives, 9</w:t>
      </w:r>
      <w:r w:rsidRPr="0059364C">
        <w:rPr>
          <w:vertAlign w:val="superscript"/>
        </w:rPr>
        <w:t>th</w:t>
      </w:r>
      <w:r w:rsidRPr="0059364C">
        <w:t xml:space="preserve"> District, Florida, to  FCC Media Bureau (filed Nov. 17, 2021) (same); Letter from Commissioner Steve Gellar, Broward County Commission, District 5, to Christopher Clark, Assistant Division Chief, Audio Division, FCC Media Bureau (filed Nov. 17, 2021) (same); and Letter from Hon. Charlie Crist, U.S. House of Representatives, 13th District, Florida, to Michelle Carey, Chief, FCC Media Bureau (filed Nov. 17, 2021) (same).   </w:t>
      </w:r>
    </w:p>
  </w:footnote>
  <w:footnote w:id="17">
    <w:p w:rsidR="000152E4" w:rsidRPr="0059364C" w:rsidP="00B111C4" w14:paraId="3047DED4" w14:textId="509D476F">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SBS Comments at 2-4, 5, 7, and Exhibit B.  SBS maintains that it submitted an offer to CXR on August 30, 2021, but CXR rejected the offer three days later without a counteroffer, stating that “we believe it is in [Cox Media Group’s] best interest to continue to hold the station off the market until such time as improvement in performance justifies a significantly higher price”</w:t>
      </w:r>
      <w:r w:rsidR="00FC6711">
        <w:t>. . .</w:t>
      </w:r>
      <w:r w:rsidRPr="0059364C">
        <w:t xml:space="preserve"> and that our experience with the FCC in very similar settings leads us to believe the FCC will grant CXR an extension of that deadline.”).  SBS </w:t>
      </w:r>
      <w:r w:rsidR="00EA0A2C">
        <w:t>contends</w:t>
      </w:r>
      <w:r w:rsidRPr="0059364C">
        <w:t xml:space="preserve"> that it presented CXR its second, higher offer on September 28, 2021, together with an independent valuation of the station from a well-known expert in the broadcast industry</w:t>
      </w:r>
      <w:r w:rsidRPr="0059364C" w:rsidR="00A62C5E">
        <w:t xml:space="preserve">, </w:t>
      </w:r>
      <w:r w:rsidRPr="0059364C">
        <w:t xml:space="preserve">Bond &amp; </w:t>
      </w:r>
      <w:r w:rsidRPr="0059364C">
        <w:t>Pecaro</w:t>
      </w:r>
      <w:r w:rsidRPr="0059364C">
        <w:t xml:space="preserve">, and on November 3, 2021, it presented its third offer, at a price exceeding the maximum valuation of the station as appraised by Bond &amp; </w:t>
      </w:r>
      <w:r w:rsidRPr="0059364C">
        <w:t>Pecaro</w:t>
      </w:r>
      <w:r w:rsidRPr="0059364C">
        <w:t xml:space="preserve">.  SBS states that on November 10, 2021, it received CXR’s first counteroffer at a price several million dollars above the highest valuation of the station as </w:t>
      </w:r>
      <w:r w:rsidRPr="0059364C" w:rsidR="00407453">
        <w:t>determined</w:t>
      </w:r>
      <w:r w:rsidRPr="0059364C">
        <w:t xml:space="preserve"> by Bond and </w:t>
      </w:r>
      <w:r w:rsidRPr="0059364C">
        <w:t>Pecaro</w:t>
      </w:r>
      <w:r w:rsidRPr="0059364C">
        <w:t xml:space="preserve">.  </w:t>
      </w:r>
      <w:r w:rsidRPr="0059364C">
        <w:rPr>
          <w:i/>
          <w:iCs/>
        </w:rPr>
        <w:t>Id</w:t>
      </w:r>
      <w:r w:rsidRPr="0059364C">
        <w:t xml:space="preserve">.  </w:t>
      </w:r>
    </w:p>
  </w:footnote>
  <w:footnote w:id="18">
    <w:p w:rsidR="000152E4" w:rsidRPr="0059364C" w:rsidP="00802837" w14:paraId="6DC69111" w14:textId="385A88C5">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SBS Comments at 4, 7 (arguing that the one-year </w:t>
      </w:r>
      <w:r w:rsidRPr="0059364C" w:rsidR="00221AF1">
        <w:t>CXR Request</w:t>
      </w:r>
      <w:r w:rsidRPr="0059364C">
        <w:t xml:space="preserve"> of the Mainstay Station Trust that was ultimately granted, was made weeks after COVID-19 was declared a pandemic and a national emergency, with widespread lockdowns, virtual cessation of the national economy, and no apparent end in sight; whereas, CXR’s request comes at a time where the economy and radio revenues are on the rebound from the crisis).  SBS also argues that the trustee in the Mainstay Station </w:t>
      </w:r>
      <w:r w:rsidRPr="0059364C" w:rsidR="00407453">
        <w:t xml:space="preserve">Trust </w:t>
      </w:r>
      <w:r w:rsidRPr="0059364C">
        <w:t xml:space="preserve">case “ha[d] yet to locate a viable buyer” and “no bidder ha[d] yet submitted a qualifying, fully financed offer,” whereas, in this instance, SBS has presented CXR with a qualifying, fully financed offer for station WPYO(FM).  </w:t>
      </w:r>
      <w:r w:rsidRPr="0059364C">
        <w:rPr>
          <w:i/>
          <w:iCs/>
        </w:rPr>
        <w:t>Id</w:t>
      </w:r>
      <w:r w:rsidRPr="0059364C">
        <w:t xml:space="preserve">. at 5-6.   </w:t>
      </w:r>
    </w:p>
  </w:footnote>
  <w:footnote w:id="19">
    <w:p w:rsidR="000152E4" w:rsidRPr="0059364C" w:rsidP="003B7EA4" w14:paraId="552F12D0" w14:textId="79FC1FC3">
      <w:pPr>
        <w:pStyle w:val="FootnoteText"/>
      </w:pPr>
      <w:r w:rsidRPr="0059364C">
        <w:rPr>
          <w:rStyle w:val="FootnoteReference"/>
          <w:rFonts w:ascii="Times New Roman" w:hAnsi="Times New Roman"/>
        </w:rPr>
        <w:footnoteRef/>
      </w:r>
      <w:r w:rsidRPr="0059364C">
        <w:t xml:space="preserve"> </w:t>
      </w:r>
      <w:r w:rsidRPr="0059364C">
        <w:rPr>
          <w:i/>
          <w:iCs/>
        </w:rPr>
        <w:t xml:space="preserve">See </w:t>
      </w:r>
      <w:r w:rsidRPr="0059364C">
        <w:t xml:space="preserve">SBS Comments at 6 </w:t>
      </w:r>
      <w:r w:rsidRPr="0059364C" w:rsidR="00A13B43">
        <w:t>(</w:t>
      </w:r>
      <w:r w:rsidRPr="0059364C">
        <w:t xml:space="preserve">citing </w:t>
      </w:r>
      <w:r w:rsidRPr="0059364C">
        <w:rPr>
          <w:i/>
          <w:iCs/>
        </w:rPr>
        <w:t xml:space="preserve">Richard J. </w:t>
      </w:r>
      <w:r w:rsidRPr="0059364C">
        <w:rPr>
          <w:i/>
          <w:iCs/>
        </w:rPr>
        <w:t>Bodorff</w:t>
      </w:r>
      <w:r w:rsidRPr="0059364C">
        <w:t xml:space="preserve"> </w:t>
      </w:r>
      <w:r w:rsidRPr="0059364C">
        <w:rPr>
          <w:i/>
          <w:iCs/>
        </w:rPr>
        <w:t>et al.</w:t>
      </w:r>
      <w:r w:rsidRPr="0059364C">
        <w:t xml:space="preserve">, </w:t>
      </w:r>
      <w:r w:rsidRPr="0059364C" w:rsidR="008C68D6">
        <w:t xml:space="preserve">Application </w:t>
      </w:r>
      <w:r w:rsidRPr="0059364C">
        <w:t>File No. BRH-20110531AKT et al.</w:t>
      </w:r>
      <w:r w:rsidRPr="0059364C" w:rsidR="008C68D6">
        <w:t>, Letter Order</w:t>
      </w:r>
      <w:r w:rsidRPr="0059364C" w:rsidR="00D37221">
        <w:t>, Ref. 1800B3-CEG</w:t>
      </w:r>
      <w:r w:rsidRPr="0059364C">
        <w:rPr>
          <w:i/>
          <w:iCs/>
        </w:rPr>
        <w:t xml:space="preserve"> </w:t>
      </w:r>
      <w:r w:rsidRPr="0059364C">
        <w:t>(MB Mar. 16, 2018) (</w:t>
      </w:r>
      <w:r w:rsidRPr="0059364C">
        <w:rPr>
          <w:i/>
          <w:iCs/>
        </w:rPr>
        <w:t>Bodorff</w:t>
      </w:r>
      <w:r w:rsidRPr="0059364C">
        <w:rPr>
          <w:i/>
          <w:iCs/>
        </w:rPr>
        <w:t xml:space="preserve"> Letter</w:t>
      </w:r>
      <w:r w:rsidRPr="0059364C" w:rsidR="00D37221">
        <w:rPr>
          <w:i/>
          <w:iCs/>
        </w:rPr>
        <w:t xml:space="preserve"> Order</w:t>
      </w:r>
      <w:r w:rsidRPr="0059364C">
        <w:t>) (finding that a radio transaction marketplace which had failed to regain its level of robustness prior to the 2008 economic downturn did not justify the trustee’s failure to make its required divestitures in a timely manner and that the trustee must take the market as it finds it, not as it wishes it to be).</w:t>
      </w:r>
      <w:r w:rsidR="00CA7D0A">
        <w:t xml:space="preserve">  </w:t>
      </w:r>
    </w:p>
  </w:footnote>
  <w:footnote w:id="20">
    <w:p w:rsidR="00512030" w:rsidRPr="0059364C" w:rsidP="00512030" w14:paraId="1A352608" w14:textId="77777777">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SBS Comments at 7.</w:t>
      </w:r>
    </w:p>
  </w:footnote>
  <w:footnote w:id="21">
    <w:p w:rsidR="000152E4" w:rsidRPr="0059364C" w:rsidP="004A798C" w14:paraId="4356E684" w14:textId="2203804C">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SBS Comments at 7-8.  </w:t>
      </w:r>
      <w:r w:rsidRPr="0059364C" w:rsidR="00C87F47">
        <w:t xml:space="preserve">SBS argues that while CXR intends “to begin a meaningful marketing process” for the Stations in early 2022, which suggests that CXR has completely ignored its obligations over the past two years, it is difficult to see what such a process would achieve with respect to WPYO(FM) other than extending its time in the hands of the trustee.  </w:t>
      </w:r>
      <w:r w:rsidRPr="0059364C" w:rsidR="00C87F47">
        <w:rPr>
          <w:i/>
          <w:iCs/>
        </w:rPr>
        <w:t>See</w:t>
      </w:r>
      <w:r w:rsidRPr="0059364C" w:rsidR="00C87F47">
        <w:t xml:space="preserve"> SBS Comments at 7 (stating that two of the top three groups operating station clusters in the Orlando market are “maxed out” from acquiring additional FM stations).</w:t>
      </w:r>
    </w:p>
  </w:footnote>
  <w:footnote w:id="22">
    <w:p w:rsidR="00C87F47" w:rsidRPr="0059364C" w14:paraId="3C00C7B4" w14:textId="7F827F58">
      <w:pPr>
        <w:pStyle w:val="FootnoteText"/>
      </w:pPr>
      <w:r w:rsidRPr="0059364C">
        <w:rPr>
          <w:rStyle w:val="FootnoteReference"/>
          <w:rFonts w:ascii="Times New Roman" w:hAnsi="Times New Roman"/>
        </w:rPr>
        <w:footnoteRef/>
      </w:r>
      <w:r w:rsidRPr="0059364C">
        <w:t xml:space="preserve"> </w:t>
      </w:r>
      <w:r w:rsidRPr="0059364C">
        <w:rPr>
          <w:i/>
          <w:iCs/>
        </w:rPr>
        <w:t>Id</w:t>
      </w:r>
      <w:r w:rsidRPr="0059364C">
        <w:t>.</w:t>
      </w:r>
      <w:r w:rsidRPr="0059364C" w:rsidR="002270CF">
        <w:t xml:space="preserve"> at 7-8.</w:t>
      </w:r>
    </w:p>
  </w:footnote>
  <w:footnote w:id="23">
    <w:p w:rsidR="000152E4" w:rsidRPr="0059364C" w:rsidP="008B3F0C" w14:paraId="2528F5AA" w14:textId="1F4C37BE">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CXR Reply at 1-2, 3.  According to CXR, many of the SBS supporters premise their opposition on the benefits of the Spanish language programming that SBS is expected to offer; however, the Commission does not allow programming preferences to dictate who can buy a broadcast station.  CXR states that other SBS supporting parties suggest that the Commission cannot grant an extension because it would undermine the “rule” that requires divestiture within a two-year period.  CXR states that while there is no such rule, there is Commission policy that is grounded in the premise that a trustee will sell, not when conditions might be ideal, but when sufficiently stable to achieve a reasonable and fair market price.  </w:t>
      </w:r>
      <w:r w:rsidRPr="0059364C">
        <w:rPr>
          <w:i/>
          <w:iCs/>
        </w:rPr>
        <w:t>Id</w:t>
      </w:r>
      <w:r w:rsidRPr="0059364C">
        <w:t>. at 8-9.</w:t>
      </w:r>
    </w:p>
  </w:footnote>
  <w:footnote w:id="24">
    <w:p w:rsidR="000152E4" w:rsidRPr="0059364C" w:rsidP="008605C3" w14:paraId="25F55E8F" w14:textId="77777777">
      <w:pPr>
        <w:pStyle w:val="FootnoteText"/>
      </w:pPr>
      <w:r w:rsidRPr="0059364C">
        <w:rPr>
          <w:rStyle w:val="FootnoteReference"/>
          <w:rFonts w:ascii="Times New Roman" w:hAnsi="Times New Roman"/>
        </w:rPr>
        <w:footnoteRef/>
      </w:r>
      <w:r w:rsidRPr="0059364C">
        <w:rPr>
          <w:i/>
          <w:iCs/>
        </w:rPr>
        <w:t xml:space="preserve"> </w:t>
      </w:r>
      <w:r w:rsidRPr="0059364C">
        <w:rPr>
          <w:i/>
          <w:iCs/>
        </w:rPr>
        <w:t>See</w:t>
      </w:r>
      <w:r w:rsidRPr="0059364C">
        <w:t xml:space="preserve"> CXR Reply at 2-3.</w:t>
      </w:r>
    </w:p>
  </w:footnote>
  <w:footnote w:id="25">
    <w:p w:rsidR="000152E4" w:rsidRPr="0059364C" w:rsidP="001C463D" w14:paraId="274E49DA" w14:textId="46BA0FAC">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CXR Reply at 1-2.  CXR argues that SBS’s offer of a fair price for WPYO(FM) is based on a single appraisal by a consulting firm engaged for the purpose of supporting SBS’s position before the Commission.  </w:t>
      </w:r>
      <w:r w:rsidRPr="0059364C">
        <w:rPr>
          <w:i/>
          <w:iCs/>
        </w:rPr>
        <w:t>Id</w:t>
      </w:r>
      <w:r w:rsidRPr="0059364C">
        <w:t xml:space="preserve">. at 5.  CXR states that the firm did not have access to the financial records of the station, and thus its purported “appraisal” is at best an educated guess as to the value of the property.  </w:t>
      </w:r>
      <w:r w:rsidRPr="0059364C">
        <w:rPr>
          <w:i/>
          <w:iCs/>
        </w:rPr>
        <w:t>Id</w:t>
      </w:r>
      <w:r w:rsidRPr="0059364C">
        <w:t>.</w:t>
      </w:r>
    </w:p>
  </w:footnote>
  <w:footnote w:id="26">
    <w:p w:rsidR="000152E4" w:rsidRPr="0059364C" w:rsidP="00532843" w14:paraId="6900CAD7" w14:textId="687C5338">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CXR Reply at 3, note 3 (describing the marketing process CXR intends to conduct in its search for a viable and bona fide buyer of the Stations).  CXR states that it is willing to sell WPYO(FM) to SBS, but only if SBS is the winning bidder in a properly conducted sale process that leads to a fair market driven price.  </w:t>
      </w:r>
      <w:r w:rsidRPr="0059364C">
        <w:rPr>
          <w:i/>
          <w:iCs/>
        </w:rPr>
        <w:t>See</w:t>
      </w:r>
      <w:r w:rsidRPr="0059364C">
        <w:t xml:space="preserve"> </w:t>
      </w:r>
      <w:r w:rsidRPr="0059364C">
        <w:rPr>
          <w:i/>
          <w:iCs/>
        </w:rPr>
        <w:t>id</w:t>
      </w:r>
      <w:r w:rsidRPr="0059364C">
        <w:t xml:space="preserve">. at 2, 6 (stating that SBS is welcome to participate in that sale process).  </w:t>
      </w:r>
    </w:p>
  </w:footnote>
  <w:footnote w:id="27">
    <w:p w:rsidR="00C07472" w:rsidRPr="0059364C" w:rsidP="00C07472" w14:paraId="07DE8039" w14:textId="77777777">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CXR Reply at 3.  CXR points out that SBS does not oppose the grant of an extension; it only opposes granting the extension for a full year.  </w:t>
      </w:r>
      <w:r w:rsidRPr="0059364C">
        <w:rPr>
          <w:i/>
          <w:iCs/>
        </w:rPr>
        <w:t>Id</w:t>
      </w:r>
      <w:r w:rsidRPr="0059364C">
        <w:t>. at 10.</w:t>
      </w:r>
    </w:p>
  </w:footnote>
  <w:footnote w:id="28">
    <w:p w:rsidR="000152E4" w:rsidRPr="0059364C" w:rsidP="008B3F0C" w14:paraId="389B5D7D" w14:textId="1F826F85">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CXR Reply at </w:t>
      </w:r>
      <w:r w:rsidRPr="0059364C" w:rsidR="007F5426">
        <w:t xml:space="preserve">3, </w:t>
      </w:r>
      <w:r w:rsidRPr="0059364C">
        <w:t xml:space="preserve">7.  CXR argues that while SBS seeks support from the </w:t>
      </w:r>
      <w:r w:rsidRPr="0059364C">
        <w:rPr>
          <w:i/>
          <w:iCs/>
        </w:rPr>
        <w:t>Bodorff</w:t>
      </w:r>
      <w:r w:rsidRPr="0059364C">
        <w:rPr>
          <w:i/>
          <w:iCs/>
        </w:rPr>
        <w:t xml:space="preserve"> Letter </w:t>
      </w:r>
      <w:r w:rsidRPr="0059364C" w:rsidR="00D80EF1">
        <w:rPr>
          <w:i/>
          <w:iCs/>
        </w:rPr>
        <w:t xml:space="preserve">Order </w:t>
      </w:r>
      <w:r w:rsidRPr="0059364C">
        <w:t>for its position that a quick divestiture should be ordered, the Bureau did not order an immediate divestiture of the trust stations</w:t>
      </w:r>
      <w:r w:rsidR="00034A76">
        <w:t xml:space="preserve"> in that case</w:t>
      </w:r>
      <w:r w:rsidRPr="0059364C">
        <w:t>; rather</w:t>
      </w:r>
      <w:r w:rsidRPr="0059364C" w:rsidR="00407453">
        <w:t>,</w:t>
      </w:r>
      <w:r w:rsidRPr="0059364C">
        <w:t xml:space="preserve"> it advised the trustee to use the remainder of the renewal cycle to sell the stations </w:t>
      </w:r>
      <w:r w:rsidRPr="0059364C" w:rsidR="00407453">
        <w:t>“</w:t>
      </w:r>
      <w:r w:rsidRPr="0059364C">
        <w:t xml:space="preserve">as soon as reasonably practicable.”  Additionally, CXR disputes SBS’s argument that </w:t>
      </w:r>
      <w:r w:rsidRPr="0059364C" w:rsidR="00BE104C">
        <w:t xml:space="preserve">our </w:t>
      </w:r>
      <w:r w:rsidRPr="0059364C" w:rsidR="00C131BF">
        <w:t>prior</w:t>
      </w:r>
      <w:r w:rsidRPr="0059364C" w:rsidR="006D2EF8">
        <w:t xml:space="preserve"> action extending the </w:t>
      </w:r>
      <w:r w:rsidRPr="0059364C" w:rsidR="00C131BF">
        <w:t xml:space="preserve">previous </w:t>
      </w:r>
      <w:r w:rsidRPr="0059364C" w:rsidR="006D2EF8">
        <w:t>divestiture deadline</w:t>
      </w:r>
      <w:r w:rsidRPr="0059364C" w:rsidR="00C131BF">
        <w:t xml:space="preserve"> for the Mainstay Station Trust </w:t>
      </w:r>
      <w:r w:rsidRPr="0059364C" w:rsidR="00727608">
        <w:t xml:space="preserve">does not </w:t>
      </w:r>
      <w:r w:rsidRPr="0059364C" w:rsidR="00C131BF">
        <w:t>establish</w:t>
      </w:r>
      <w:r w:rsidRPr="0059364C" w:rsidR="00BE104C">
        <w:t xml:space="preserve"> </w:t>
      </w:r>
      <w:r w:rsidRPr="0059364C">
        <w:t xml:space="preserve">precedent </w:t>
      </w:r>
      <w:r w:rsidRPr="0059364C" w:rsidR="00C131BF">
        <w:t>that</w:t>
      </w:r>
      <w:r w:rsidRPr="0059364C">
        <w:t xml:space="preserve"> should apply here because that extension was granted in May 2020 when the country was only three months into the pandemic.  CXR contends that the Commission should focus on the fact that the Mainstay extension was granted (for </w:t>
      </w:r>
      <w:r w:rsidRPr="0059364C" w:rsidR="00407453">
        <w:t>one</w:t>
      </w:r>
      <w:r w:rsidRPr="0059364C">
        <w:t xml:space="preserve"> year) even though the first 20 months of the Mainstay operations were in </w:t>
      </w:r>
      <w:r w:rsidRPr="0059364C">
        <w:rPr>
          <w:i/>
          <w:iCs/>
        </w:rPr>
        <w:t>pre</w:t>
      </w:r>
      <w:r w:rsidRPr="0059364C">
        <w:t xml:space="preserve">-pandemic times.  Here, </w:t>
      </w:r>
      <w:r w:rsidRPr="0059364C" w:rsidR="00D77E7A">
        <w:t xml:space="preserve">CXR asserts that </w:t>
      </w:r>
      <w:r w:rsidRPr="0059364C">
        <w:t xml:space="preserve">all but three months of </w:t>
      </w:r>
      <w:r w:rsidRPr="0059364C" w:rsidR="00D77E7A">
        <w:t xml:space="preserve">its </w:t>
      </w:r>
      <w:r w:rsidRPr="0059364C">
        <w:t xml:space="preserve">operations have been in the midst of COVID.  </w:t>
      </w:r>
      <w:r w:rsidRPr="0059364C">
        <w:rPr>
          <w:i/>
          <w:iCs/>
        </w:rPr>
        <w:t>Id</w:t>
      </w:r>
      <w:r w:rsidRPr="0059364C">
        <w:t xml:space="preserve">. </w:t>
      </w:r>
    </w:p>
  </w:footnote>
  <w:footnote w:id="29">
    <w:p w:rsidR="00623271" w:rsidRPr="00623271" w14:paraId="64133B51" w14:textId="12E7884F">
      <w:pPr>
        <w:pStyle w:val="FootnoteText"/>
      </w:pPr>
      <w:r w:rsidRPr="00623271">
        <w:rPr>
          <w:rStyle w:val="FootnoteReference"/>
          <w:rFonts w:ascii="Times New Roman" w:hAnsi="Times New Roman"/>
        </w:rPr>
        <w:footnoteRef/>
      </w:r>
      <w:r w:rsidRPr="00623271">
        <w:t xml:space="preserve"> </w:t>
      </w:r>
      <w:r w:rsidRPr="00194A67" w:rsidR="00194A67">
        <w:t xml:space="preserve">It is our assumption that CXR will </w:t>
      </w:r>
      <w:r w:rsidR="004D6CDE">
        <w:t xml:space="preserve">be able to </w:t>
      </w:r>
      <w:r w:rsidR="00AE7E1A">
        <w:t xml:space="preserve">consummate the transaction within 15 days of Commission approval of the assignment. </w:t>
      </w:r>
      <w:r w:rsidR="001C11F2">
        <w:t xml:space="preserve"> </w:t>
      </w:r>
    </w:p>
  </w:footnote>
  <w:footnote w:id="30">
    <w:p w:rsidR="00DF045D" w:rsidRPr="0059364C" w14:paraId="5E2ABD39" w14:textId="241A7211">
      <w:pPr>
        <w:pStyle w:val="FootnoteText"/>
      </w:pPr>
      <w:r w:rsidRPr="0059364C">
        <w:rPr>
          <w:rStyle w:val="FootnoteReference"/>
          <w:rFonts w:ascii="Times New Roman" w:hAnsi="Times New Roman"/>
        </w:rPr>
        <w:footnoteRef/>
      </w:r>
      <w:r w:rsidRPr="0059364C">
        <w:t xml:space="preserve"> </w:t>
      </w:r>
      <w:r w:rsidRPr="0059364C">
        <w:rPr>
          <w:i/>
          <w:iCs/>
        </w:rPr>
        <w:t>See, e.g.</w:t>
      </w:r>
      <w:r w:rsidRPr="0059364C">
        <w:t xml:space="preserve">, </w:t>
      </w:r>
      <w:r w:rsidRPr="0059364C" w:rsidR="000D21D2">
        <w:rPr>
          <w:i/>
          <w:iCs/>
        </w:rPr>
        <w:t>A</w:t>
      </w:r>
      <w:r w:rsidRPr="0059364C" w:rsidR="003A0BF7">
        <w:rPr>
          <w:i/>
          <w:iCs/>
        </w:rPr>
        <w:t>pplication of Townsquare Media Waterloo License, LLC</w:t>
      </w:r>
      <w:r w:rsidRPr="0059364C" w:rsidR="004642FD">
        <w:rPr>
          <w:i/>
          <w:iCs/>
        </w:rPr>
        <w:t xml:space="preserve">, (Assignor) and </w:t>
      </w:r>
      <w:r w:rsidRPr="0059364C" w:rsidR="005B151B">
        <w:rPr>
          <w:i/>
          <w:iCs/>
        </w:rPr>
        <w:t>the Cedar Rapids Divestiture Trust (Assignee)</w:t>
      </w:r>
      <w:r w:rsidRPr="0059364C" w:rsidR="005B151B">
        <w:t xml:space="preserve">, </w:t>
      </w:r>
      <w:r w:rsidRPr="0059364C" w:rsidR="00091F8C">
        <w:t xml:space="preserve">Application File No. BALH-20130903AGP, Letter Order, </w:t>
      </w:r>
      <w:r w:rsidRPr="0059364C" w:rsidR="00461832">
        <w:t>2</w:t>
      </w:r>
      <w:r w:rsidRPr="0059364C" w:rsidR="00375125">
        <w:t xml:space="preserve">8 FCC </w:t>
      </w:r>
      <w:r w:rsidRPr="0059364C" w:rsidR="00375125">
        <w:t>Rcd</w:t>
      </w:r>
      <w:r w:rsidRPr="0059364C" w:rsidR="00375125">
        <w:t xml:space="preserve"> 15534</w:t>
      </w:r>
      <w:r w:rsidRPr="0059364C" w:rsidR="001605D4">
        <w:t xml:space="preserve"> (</w:t>
      </w:r>
      <w:r w:rsidRPr="0059364C" w:rsidR="00A30C34">
        <w:t>MB 2013)</w:t>
      </w:r>
      <w:r w:rsidRPr="0059364C" w:rsidR="000371A9">
        <w:t xml:space="preserve"> (</w:t>
      </w:r>
      <w:r w:rsidRPr="0059364C" w:rsidR="000371A9">
        <w:rPr>
          <w:i/>
          <w:iCs/>
        </w:rPr>
        <w:t>Cedar Rapids Letter Order</w:t>
      </w:r>
      <w:r w:rsidRPr="0059364C" w:rsidR="000371A9">
        <w:t>)</w:t>
      </w:r>
      <w:r w:rsidRPr="0059364C" w:rsidR="00A30C34">
        <w:t>.</w:t>
      </w:r>
    </w:p>
  </w:footnote>
  <w:footnote w:id="31">
    <w:p w:rsidR="00BF115F" w:rsidRPr="0059364C" w:rsidP="00BF115F" w14:paraId="3C7CE659" w14:textId="5ED58623">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Pr>
          <w:snapToGrid/>
        </w:rPr>
        <w:t>47 CFR § 73.3555(a)(1)</w:t>
      </w:r>
      <w:r w:rsidRPr="0059364C" w:rsidR="009753E2">
        <w:rPr>
          <w:snapToGrid/>
        </w:rPr>
        <w:t xml:space="preserve">; </w:t>
      </w:r>
      <w:r w:rsidRPr="0059364C" w:rsidR="000371A9">
        <w:rPr>
          <w:i/>
          <w:iCs/>
          <w:snapToGrid/>
        </w:rPr>
        <w:t>Cedar Rapids Letter Order</w:t>
      </w:r>
      <w:r w:rsidRPr="0059364C" w:rsidR="000371A9">
        <w:rPr>
          <w:snapToGrid/>
        </w:rPr>
        <w:t>,</w:t>
      </w:r>
      <w:r w:rsidRPr="0059364C" w:rsidR="00DD6358">
        <w:rPr>
          <w:snapToGrid/>
        </w:rPr>
        <w:t xml:space="preserve"> 28 FCC </w:t>
      </w:r>
      <w:r w:rsidRPr="0059364C" w:rsidR="00DD6358">
        <w:rPr>
          <w:snapToGrid/>
        </w:rPr>
        <w:t>Rcd</w:t>
      </w:r>
      <w:r w:rsidRPr="0059364C" w:rsidR="00DD6358">
        <w:rPr>
          <w:snapToGrid/>
        </w:rPr>
        <w:t xml:space="preserve"> at 15535</w:t>
      </w:r>
      <w:r w:rsidRPr="0059364C" w:rsidR="00F56D1F">
        <w:rPr>
          <w:snapToGrid/>
        </w:rPr>
        <w:t xml:space="preserve"> (finding that “a reasonable limitation on the duration of a divestiture trust will best serve the public interest by requiring the parties to a trust agreement to meet a deadline to place the Stations with a new operator to ensure long-term compliance with . . . the Local Radio Ownership Rule”)</w:t>
      </w:r>
      <w:r w:rsidRPr="0059364C">
        <w:rPr>
          <w:snapToGrid/>
        </w:rPr>
        <w:t>.</w:t>
      </w:r>
    </w:p>
  </w:footnote>
  <w:footnote w:id="32">
    <w:p w:rsidR="00E137D3" w:rsidRPr="0059364C" w:rsidP="00E137D3" w14:paraId="58A10350" w14:textId="77777777">
      <w:pPr>
        <w:pStyle w:val="FootnoteText"/>
        <w:rPr>
          <w:iCs/>
        </w:rPr>
      </w:pPr>
      <w:r w:rsidRPr="0059364C">
        <w:rPr>
          <w:rStyle w:val="FootnoteReference"/>
          <w:rFonts w:ascii="Times New Roman" w:hAnsi="Times New Roman"/>
        </w:rPr>
        <w:footnoteRef/>
      </w:r>
      <w:r w:rsidRPr="0059364C">
        <w:t xml:space="preserve"> </w:t>
      </w:r>
      <w:r w:rsidRPr="0059364C">
        <w:rPr>
          <w:i/>
          <w:iCs/>
        </w:rPr>
        <w:t xml:space="preserve">2014 </w:t>
      </w:r>
      <w:r w:rsidRPr="0059364C">
        <w:rPr>
          <w:i/>
        </w:rPr>
        <w:t>Quadrennial Regulatory Review – Review of the Commission’s Broadcast Ownership Rules and Other Rules Adopted Pursuant to Section 202 of the Telecommunications Act of 1996 et al.</w:t>
      </w:r>
      <w:r w:rsidRPr="0059364C">
        <w:t xml:space="preserve">, Second Report and Order, 31 FCC </w:t>
      </w:r>
      <w:r w:rsidRPr="0059364C">
        <w:t>Rcd</w:t>
      </w:r>
      <w:r w:rsidRPr="0059364C">
        <w:t xml:space="preserve"> 9864, 9897, para. 82 (2016) (</w:t>
      </w:r>
      <w:r w:rsidRPr="0059364C">
        <w:rPr>
          <w:i/>
          <w:iCs/>
        </w:rPr>
        <w:t xml:space="preserve">2010/2014 </w:t>
      </w:r>
      <w:r w:rsidRPr="0059364C">
        <w:rPr>
          <w:i/>
        </w:rPr>
        <w:t>Quadrennial Review Order</w:t>
      </w:r>
      <w:r w:rsidRPr="0059364C">
        <w:rPr>
          <w:iCs/>
        </w:rPr>
        <w:t xml:space="preserve">); </w:t>
      </w:r>
      <w:r w:rsidRPr="0059364C">
        <w:rPr>
          <w:i/>
          <w:iCs/>
        </w:rPr>
        <w:t>see also id.</w:t>
      </w:r>
      <w:r w:rsidRPr="0059364C">
        <w:t xml:space="preserve"> at 9911, para. 125 (“This competition-based rule indirectly advances our diversity goal by helping to ensure the presence of independently owned broadcast radio stations in the local market, thereby increasing the likelihood of a variety of viewpoints and preserving ownership opportunities for new entrants.”).   </w:t>
      </w:r>
    </w:p>
  </w:footnote>
  <w:footnote w:id="33">
    <w:p w:rsidR="00823AF9" w:rsidRPr="0059364C" w:rsidP="00823AF9" w14:paraId="2038C63B" w14:textId="77777777">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w:t>
      </w:r>
      <w:r w:rsidRPr="0059364C">
        <w:rPr>
          <w:i/>
          <w:iCs/>
        </w:rPr>
        <w:t xml:space="preserve"> e.g</w:t>
      </w:r>
      <w:r w:rsidRPr="0059364C">
        <w:t xml:space="preserve">., </w:t>
      </w:r>
      <w:bookmarkStart w:id="0" w:name="_Hlk89675281"/>
      <w:r w:rsidRPr="0059364C">
        <w:rPr>
          <w:i/>
          <w:iCs/>
        </w:rPr>
        <w:t>Applications of Shareholders of AMFM, Inc., (Transferor) and Clear Channel Communications, Inc., (Transferee)</w:t>
      </w:r>
      <w:r w:rsidRPr="0059364C">
        <w:t xml:space="preserve">, Memorandum Opinion and Order, 15 FCC </w:t>
      </w:r>
      <w:r w:rsidRPr="0059364C">
        <w:t>Rcd</w:t>
      </w:r>
      <w:r w:rsidRPr="0059364C">
        <w:t xml:space="preserve"> 16062, 16072, para. 24 (2000) (</w:t>
      </w:r>
      <w:r w:rsidRPr="0059364C">
        <w:rPr>
          <w:i/>
          <w:iCs/>
        </w:rPr>
        <w:t>Clear Channel Order</w:t>
      </w:r>
      <w:r w:rsidRPr="0059364C">
        <w:t>).</w:t>
      </w:r>
      <w:bookmarkEnd w:id="0"/>
    </w:p>
  </w:footnote>
  <w:footnote w:id="34">
    <w:p w:rsidR="00823AF9" w:rsidRPr="0059364C" w:rsidP="00823AF9" w14:paraId="3D19869F" w14:textId="77777777">
      <w:pPr>
        <w:pStyle w:val="FootnoteText"/>
      </w:pPr>
      <w:r w:rsidRPr="0059364C">
        <w:rPr>
          <w:rStyle w:val="FootnoteReference"/>
          <w:rFonts w:ascii="Times New Roman" w:hAnsi="Times New Roman"/>
        </w:rPr>
        <w:footnoteRef/>
      </w:r>
      <w:r w:rsidRPr="0059364C">
        <w:t xml:space="preserve"> </w:t>
      </w:r>
      <w:r w:rsidRPr="0059364C">
        <w:rPr>
          <w:i/>
          <w:iCs/>
        </w:rPr>
        <w:t>Applications of Stockholders of Infinity Broadcasting Corp. (Transferor) and Westinghouse Electric Corp. (Transferee)</w:t>
      </w:r>
      <w:r w:rsidRPr="0059364C">
        <w:t xml:space="preserve">, Memorandum Opinion and Order, 12 FCC </w:t>
      </w:r>
      <w:r w:rsidRPr="0059364C">
        <w:t>Rcd</w:t>
      </w:r>
      <w:r w:rsidRPr="0059364C">
        <w:t xml:space="preserve"> 5012, 5041, para. 58 (1996).</w:t>
      </w:r>
    </w:p>
  </w:footnote>
  <w:footnote w:id="35">
    <w:p w:rsidR="00823AF9" w:rsidRPr="0059364C" w:rsidP="00823AF9" w14:paraId="174E5CA7" w14:textId="77777777">
      <w:pPr>
        <w:pStyle w:val="FootnoteText"/>
      </w:pPr>
      <w:r w:rsidRPr="0059364C">
        <w:rPr>
          <w:rStyle w:val="FootnoteReference"/>
          <w:rFonts w:ascii="Times New Roman" w:hAnsi="Times New Roman"/>
        </w:rPr>
        <w:footnoteRef/>
      </w:r>
      <w:r w:rsidRPr="0059364C">
        <w:t xml:space="preserve"> </w:t>
      </w:r>
      <w:r w:rsidRPr="0059364C">
        <w:rPr>
          <w:i/>
          <w:iCs/>
        </w:rPr>
        <w:t>See, e.g.</w:t>
      </w:r>
      <w:r w:rsidRPr="0059364C">
        <w:t xml:space="preserve">, </w:t>
      </w:r>
      <w:r w:rsidRPr="0059364C">
        <w:rPr>
          <w:i/>
          <w:iCs/>
        </w:rPr>
        <w:t>Clear Channel Order</w:t>
      </w:r>
      <w:r w:rsidRPr="0059364C">
        <w:t xml:space="preserve">, 15 FCC </w:t>
      </w:r>
      <w:r w:rsidRPr="0059364C">
        <w:t>Rcd</w:t>
      </w:r>
      <w:r w:rsidRPr="0059364C">
        <w:t xml:space="preserve"> at 16072, para. 25.</w:t>
      </w:r>
    </w:p>
  </w:footnote>
  <w:footnote w:id="36">
    <w:p w:rsidR="00706D18" w:rsidRPr="00706D18" w:rsidP="0078612E" w14:paraId="39CEAEB0" w14:textId="116D7A82">
      <w:pPr>
        <w:pStyle w:val="FootnoteText"/>
      </w:pPr>
      <w:r w:rsidRPr="00706D18">
        <w:rPr>
          <w:rStyle w:val="FootnoteReference"/>
          <w:rFonts w:ascii="Times New Roman" w:hAnsi="Times New Roman"/>
        </w:rPr>
        <w:footnoteRef/>
      </w:r>
      <w:r w:rsidRPr="00706D18">
        <w:t xml:space="preserve"> </w:t>
      </w:r>
      <w:r w:rsidRPr="00307FE9">
        <w:rPr>
          <w:i/>
          <w:iCs/>
        </w:rPr>
        <w:t>See supra</w:t>
      </w:r>
      <w:r>
        <w:t xml:space="preserve"> note 10; </w:t>
      </w:r>
      <w:r w:rsidR="00A74525">
        <w:t>Letter from David D. Oxenford,</w:t>
      </w:r>
      <w:r w:rsidRPr="00A74525" w:rsidR="00A74525">
        <w:t xml:space="preserve"> </w:t>
      </w:r>
      <w:r w:rsidRPr="0059364C" w:rsidR="00A74525">
        <w:t xml:space="preserve">Counsel to CXR, to </w:t>
      </w:r>
      <w:r w:rsidR="00A74525">
        <w:t>Michelle M. Carey</w:t>
      </w:r>
      <w:r w:rsidRPr="0059364C" w:rsidR="00A74525">
        <w:t>, Chief, FCC Media Bureau, MB Docket No. 19-98 (</w:t>
      </w:r>
      <w:r w:rsidR="00A74525">
        <w:t>filed Dec</w:t>
      </w:r>
      <w:r w:rsidRPr="0059364C" w:rsidR="00A74525">
        <w:t xml:space="preserve">. </w:t>
      </w:r>
      <w:r w:rsidR="00A74525">
        <w:t>3</w:t>
      </w:r>
      <w:r w:rsidRPr="0059364C" w:rsidR="00A74525">
        <w:t>, 2021)</w:t>
      </w:r>
      <w:r w:rsidR="00A74525">
        <w:t xml:space="preserve"> (</w:t>
      </w:r>
      <w:r w:rsidR="00EE4106">
        <w:t>describing the process CRX intends to follow to engage interested parties and accept bids for the purchase of the Stations).</w:t>
      </w:r>
      <w:r w:rsidRPr="00A74525" w:rsidR="00EE4106">
        <w:t xml:space="preserve"> </w:t>
      </w:r>
      <w:r w:rsidRPr="0078612E" w:rsidR="0078612E">
        <w:t xml:space="preserve"> </w:t>
      </w:r>
    </w:p>
  </w:footnote>
  <w:footnote w:id="37">
    <w:p w:rsidR="00CF2ED8" w:rsidRPr="0059364C" w:rsidP="00D77016" w14:paraId="4DB26CED" w14:textId="215D0DCA">
      <w:pPr>
        <w:pStyle w:val="FootnoteText"/>
      </w:pPr>
      <w:r w:rsidRPr="0059364C">
        <w:rPr>
          <w:rStyle w:val="FootnoteReference"/>
          <w:rFonts w:ascii="Times New Roman" w:hAnsi="Times New Roman"/>
        </w:rPr>
        <w:footnoteRef/>
      </w:r>
      <w:r w:rsidRPr="0059364C">
        <w:t xml:space="preserve"> </w:t>
      </w:r>
      <w:r w:rsidRPr="0059364C" w:rsidR="00D77016">
        <w:rPr>
          <w:i/>
          <w:iCs/>
        </w:rPr>
        <w:t>See</w:t>
      </w:r>
      <w:r w:rsidRPr="0059364C" w:rsidR="00D77016">
        <w:t xml:space="preserve"> </w:t>
      </w:r>
      <w:r w:rsidRPr="0059364C" w:rsidR="00221AF1">
        <w:t>CXR Request at 4;</w:t>
      </w:r>
      <w:r w:rsidRPr="0059364C" w:rsidR="00D77016">
        <w:t xml:space="preserve"> Memorandum from CXR Radio, LLC, to Cox Radio, Inc., Report on Sales Effort for Stations in the CXR Radio, LLC Trust (</w:t>
      </w:r>
      <w:r w:rsidRPr="0059364C" w:rsidR="00BE011B">
        <w:t xml:space="preserve">dated </w:t>
      </w:r>
      <w:r w:rsidRPr="0059364C" w:rsidR="00D77016">
        <w:t>June 17, 2020); Memorandum from CXR Radio, LLC, to Cox Radio, Inc., Report on Sales Effort for Stations in the CXR Radio, LLC Trust (</w:t>
      </w:r>
      <w:r w:rsidRPr="0059364C" w:rsidR="00BE011B">
        <w:t xml:space="preserve">dated </w:t>
      </w:r>
      <w:r w:rsidRPr="0059364C" w:rsidR="00D77016">
        <w:t>Dec. 17, 2020)</w:t>
      </w:r>
      <w:r w:rsidRPr="0059364C" w:rsidR="00EA79D8">
        <w:t>; Memorandum from CXR Radio, LLC, to Cox Radio, Inc., Report on Sales Effort for Stations in the CXR Radio, LLC Trust (</w:t>
      </w:r>
      <w:r w:rsidRPr="0059364C" w:rsidR="00BE011B">
        <w:t xml:space="preserve">dated </w:t>
      </w:r>
      <w:r w:rsidRPr="0059364C" w:rsidR="00EA79D8">
        <w:t>June 10, 2021)</w:t>
      </w:r>
      <w:r w:rsidRPr="0059364C" w:rsidR="00D77016">
        <w:t>.</w:t>
      </w:r>
      <w:r w:rsidRPr="0059364C" w:rsidR="00221AF1">
        <w:t xml:space="preserve"> </w:t>
      </w:r>
      <w:r w:rsidRPr="0059364C" w:rsidR="00D77016">
        <w:t xml:space="preserve"> </w:t>
      </w:r>
    </w:p>
  </w:footnote>
  <w:footnote w:id="38">
    <w:p w:rsidR="006E5906" w:rsidRPr="0059364C" w14:paraId="6DA67A04" w14:textId="50D7ADBA">
      <w:pPr>
        <w:pStyle w:val="FootnoteText"/>
      </w:pPr>
      <w:r w:rsidRPr="0059364C">
        <w:rPr>
          <w:rStyle w:val="FootnoteReference"/>
          <w:rFonts w:ascii="Times New Roman" w:hAnsi="Times New Roman"/>
        </w:rPr>
        <w:footnoteRef/>
      </w:r>
      <w:r w:rsidRPr="0059364C">
        <w:t xml:space="preserve"> </w:t>
      </w:r>
      <w:r w:rsidRPr="0059364C" w:rsidR="001E3F7E">
        <w:rPr>
          <w:i/>
          <w:iCs/>
        </w:rPr>
        <w:t>See</w:t>
      </w:r>
      <w:r w:rsidRPr="0059364C" w:rsidR="00DD389F">
        <w:rPr>
          <w:i/>
          <w:iCs/>
        </w:rPr>
        <w:t>, e.g.</w:t>
      </w:r>
      <w:r w:rsidRPr="0059364C" w:rsidR="00DD389F">
        <w:t>,</w:t>
      </w:r>
      <w:r w:rsidRPr="0059364C" w:rsidR="001E3F7E">
        <w:t xml:space="preserve"> </w:t>
      </w:r>
      <w:r w:rsidRPr="0059364C" w:rsidR="005C5547">
        <w:t xml:space="preserve">Application </w:t>
      </w:r>
      <w:r w:rsidRPr="0059364C" w:rsidR="001E3F7E">
        <w:t xml:space="preserve">File No. BALH-20190702ADS, </w:t>
      </w:r>
      <w:r w:rsidRPr="0059364C" w:rsidR="003E4709">
        <w:t xml:space="preserve">Form of </w:t>
      </w:r>
      <w:r w:rsidRPr="0059364C" w:rsidR="00B4620F">
        <w:t xml:space="preserve">Trust Agreement, </w:t>
      </w:r>
      <w:r w:rsidRPr="0059364C" w:rsidR="00B4620F">
        <w:t>Exh</w:t>
      </w:r>
      <w:r w:rsidRPr="0059364C" w:rsidR="00B4620F">
        <w:t xml:space="preserve">. C to </w:t>
      </w:r>
      <w:r w:rsidRPr="0059364C" w:rsidR="001E3F7E">
        <w:t>Attach</w:t>
      </w:r>
      <w:r w:rsidRPr="0059364C" w:rsidR="00AD554E">
        <w:t>.</w:t>
      </w:r>
      <w:r w:rsidRPr="0059364C" w:rsidR="001E3F7E">
        <w:t xml:space="preserve"> 5, </w:t>
      </w:r>
      <w:r w:rsidRPr="0059364C" w:rsidR="006278BE">
        <w:t>§ </w:t>
      </w:r>
      <w:r w:rsidRPr="0059364C" w:rsidR="001E3F7E">
        <w:t>4(a)</w:t>
      </w:r>
      <w:r w:rsidRPr="0059364C" w:rsidR="0068536F">
        <w:t xml:space="preserve"> (Trust Agreement)</w:t>
      </w:r>
      <w:r w:rsidRPr="0059364C" w:rsidR="001E3F7E">
        <w:t xml:space="preserve">.  </w:t>
      </w:r>
      <w:r w:rsidRPr="0059364C">
        <w:t>The Commission accepted this commitment together with the requirement that, if CXR were unable to complete the required divestitures, it must submit a report to the Commission detailing (1) its efforts to sell the Stations, (2) the reasons why the required sales were not consummated, and (3) recommendations for consummating the required sales without further delay.</w:t>
      </w:r>
      <w:r w:rsidRPr="0059364C" w:rsidR="00EA62EA">
        <w:t xml:space="preserve">  </w:t>
      </w:r>
      <w:r w:rsidRPr="0059364C" w:rsidR="00EA62EA">
        <w:rPr>
          <w:i/>
          <w:iCs/>
        </w:rPr>
        <w:t>Divestiture Order</w:t>
      </w:r>
      <w:r w:rsidRPr="0059364C" w:rsidR="00EA62EA">
        <w:t xml:space="preserve">, 34 FCC </w:t>
      </w:r>
      <w:r w:rsidRPr="0059364C" w:rsidR="00EA62EA">
        <w:t>Rcd</w:t>
      </w:r>
      <w:r w:rsidRPr="0059364C" w:rsidR="00EA62EA">
        <w:t xml:space="preserve"> 10568, paras. </w:t>
      </w:r>
      <w:r w:rsidRPr="0059364C" w:rsidR="0068536F">
        <w:t xml:space="preserve">38-39; </w:t>
      </w:r>
      <w:r w:rsidRPr="0059364C" w:rsidR="003E4709">
        <w:t>Trust Agreement § 4</w:t>
      </w:r>
      <w:r w:rsidRPr="0059364C" w:rsidR="00CA295D">
        <w:t>(g).</w:t>
      </w:r>
    </w:p>
  </w:footnote>
  <w:footnote w:id="39">
    <w:p w:rsidR="005A07A1" w:rsidRPr="0059364C" w14:paraId="13DCD463" w14:textId="09E6CBA3">
      <w:pPr>
        <w:pStyle w:val="FootnoteText"/>
      </w:pPr>
      <w:r w:rsidRPr="0059364C">
        <w:rPr>
          <w:rStyle w:val="FootnoteReference"/>
          <w:rFonts w:ascii="Times New Roman" w:hAnsi="Times New Roman"/>
        </w:rPr>
        <w:footnoteRef/>
      </w:r>
      <w:r w:rsidRPr="0059364C">
        <w:t xml:space="preserve"> </w:t>
      </w:r>
      <w:r w:rsidRPr="0059364C">
        <w:rPr>
          <w:i/>
          <w:iCs/>
        </w:rPr>
        <w:t xml:space="preserve">See </w:t>
      </w:r>
      <w:r w:rsidRPr="0059364C" w:rsidR="00221AF1">
        <w:t>CXR Request</w:t>
      </w:r>
      <w:r w:rsidRPr="0059364C">
        <w:t xml:space="preserve"> at 4-5.</w:t>
      </w:r>
    </w:p>
  </w:footnote>
  <w:footnote w:id="40">
    <w:p w:rsidR="005A07A1" w:rsidRPr="0059364C" w14:paraId="5E7B529A" w14:textId="2095E541">
      <w:pPr>
        <w:pStyle w:val="FootnoteText"/>
      </w:pPr>
      <w:r w:rsidRPr="0059364C">
        <w:rPr>
          <w:rStyle w:val="FootnoteReference"/>
          <w:rFonts w:ascii="Times New Roman" w:hAnsi="Times New Roman"/>
        </w:rPr>
        <w:footnoteRef/>
      </w:r>
      <w:r w:rsidRPr="0059364C">
        <w:t xml:space="preserve"> </w:t>
      </w:r>
      <w:r w:rsidRPr="0059364C">
        <w:rPr>
          <w:i/>
          <w:iCs/>
        </w:rPr>
        <w:t>Id</w:t>
      </w:r>
      <w:r w:rsidRPr="0059364C">
        <w:t>. at 5.</w:t>
      </w:r>
    </w:p>
  </w:footnote>
  <w:footnote w:id="41">
    <w:p w:rsidR="007C675F" w:rsidRPr="007C675F" w14:paraId="58AA805D" w14:textId="29FD6879">
      <w:pPr>
        <w:pStyle w:val="FootnoteText"/>
      </w:pPr>
      <w:r w:rsidRPr="00047FA0">
        <w:rPr>
          <w:rStyle w:val="FootnoteReference"/>
          <w:rFonts w:ascii="Times New Roman" w:hAnsi="Times New Roman"/>
        </w:rPr>
        <w:footnoteRef/>
      </w:r>
      <w:r w:rsidRPr="007C675F">
        <w:t xml:space="preserve"> </w:t>
      </w:r>
      <w:r w:rsidRPr="00047FA0">
        <w:rPr>
          <w:i/>
          <w:iCs/>
        </w:rPr>
        <w:t>See supra</w:t>
      </w:r>
      <w:r>
        <w:t xml:space="preserve"> note 16.</w:t>
      </w:r>
    </w:p>
  </w:footnote>
  <w:footnote w:id="42">
    <w:p w:rsidR="000152E4" w:rsidRPr="0059364C" w14:paraId="418C8397" w14:textId="50F36315">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Pr>
          <w:i/>
          <w:iCs/>
        </w:rPr>
        <w:t>Mainstay Station Trust Order</w:t>
      </w:r>
      <w:r w:rsidRPr="0059364C">
        <w:t xml:space="preserve">; </w:t>
      </w:r>
      <w:r w:rsidRPr="0059364C" w:rsidR="00991B16">
        <w:rPr>
          <w:i/>
          <w:iCs/>
        </w:rPr>
        <w:t>Buckley Broadcasting/WOR Letter Order</w:t>
      </w:r>
      <w:r w:rsidRPr="0059364C">
        <w:t>.</w:t>
      </w:r>
    </w:p>
  </w:footnote>
  <w:footnote w:id="43">
    <w:p w:rsidR="00076E19" w14:paraId="739EF386" w14:textId="58C49AE3">
      <w:pPr>
        <w:pStyle w:val="FootnoteText"/>
      </w:pPr>
      <w:r w:rsidRPr="008F7735">
        <w:rPr>
          <w:rStyle w:val="FootnoteReference"/>
          <w:rFonts w:ascii="Times New Roman" w:hAnsi="Times New Roman"/>
        </w:rPr>
        <w:footnoteRef/>
      </w:r>
      <w:r w:rsidRPr="008F7735">
        <w:t xml:space="preserve"> </w:t>
      </w:r>
      <w:r w:rsidRPr="0059364C" w:rsidR="00EE5F57">
        <w:rPr>
          <w:i/>
          <w:iCs/>
        </w:rPr>
        <w:t>Clear Channel Order</w:t>
      </w:r>
      <w:r w:rsidRPr="0059364C" w:rsidR="00EE5F57">
        <w:t xml:space="preserve">, 15 FCC </w:t>
      </w:r>
      <w:r w:rsidRPr="0059364C" w:rsidR="00EE5F57">
        <w:t>Rcd</w:t>
      </w:r>
      <w:r w:rsidRPr="0059364C" w:rsidR="00EE5F57">
        <w:t xml:space="preserve"> at 1607</w:t>
      </w:r>
      <w:r w:rsidR="00346D9B">
        <w:t>3</w:t>
      </w:r>
      <w:r w:rsidRPr="0059364C" w:rsidR="00EE5F57">
        <w:t>, para. 2</w:t>
      </w:r>
      <w:r w:rsidR="007B3810">
        <w:t>6 (</w:t>
      </w:r>
      <w:r w:rsidR="00FB59D7">
        <w:t>“</w:t>
      </w:r>
      <w:r w:rsidR="00F85184">
        <w:t>[I]</w:t>
      </w:r>
      <w:r w:rsidRPr="00760AA4" w:rsidR="00FB59D7">
        <w:rPr>
          <w:color w:val="000000"/>
        </w:rPr>
        <w:t>nsulated</w:t>
      </w:r>
      <w:r w:rsidRPr="00760AA4" w:rsidR="00FB59D7">
        <w:rPr>
          <w:color w:val="000000"/>
        </w:rPr>
        <w:t xml:space="preserve"> trust arrangements such as those proposed here should be employed only where necessary, and then to as limited an extent as possible</w:t>
      </w:r>
      <w:r w:rsidRPr="00760AA4" w:rsidR="00EE5F57">
        <w:t>.</w:t>
      </w:r>
      <w:r w:rsidRPr="00760AA4" w:rsidR="00760AA4">
        <w:t>”</w:t>
      </w:r>
      <w:r w:rsidRPr="00655427" w:rsidR="00760AA4">
        <w:t>).</w:t>
      </w:r>
    </w:p>
  </w:footnote>
  <w:footnote w:id="44">
    <w:p w:rsidR="00700472" w:rsidRPr="00700472" w14:paraId="2E1EF676" w14:textId="38A5478A">
      <w:pPr>
        <w:pStyle w:val="FootnoteText"/>
      </w:pPr>
      <w:r w:rsidRPr="00700472">
        <w:rPr>
          <w:rStyle w:val="FootnoteReference"/>
          <w:rFonts w:ascii="Times New Roman" w:hAnsi="Times New Roman"/>
        </w:rPr>
        <w:footnoteRef/>
      </w:r>
      <w:r w:rsidRPr="00700472">
        <w:t xml:space="preserve"> </w:t>
      </w:r>
      <w:r>
        <w:t xml:space="preserve">The Aloha Station Divestiture Trust </w:t>
      </w:r>
      <w:r w:rsidR="009509FB">
        <w:t>currently has until December 10, 2021</w:t>
      </w:r>
      <w:r w:rsidR="00EC6252">
        <w:t>,</w:t>
      </w:r>
      <w:r w:rsidR="009509FB">
        <w:t xml:space="preserve"> to complete the divestiture of the last station</w:t>
      </w:r>
      <w:r>
        <w:t>.</w:t>
      </w:r>
      <w:r w:rsidR="00D7292F">
        <w:t xml:space="preserve">  </w:t>
      </w:r>
      <w:r w:rsidRPr="00C97727" w:rsidR="00D7292F">
        <w:rPr>
          <w:i/>
          <w:iCs/>
        </w:rPr>
        <w:t>See</w:t>
      </w:r>
      <w:r w:rsidR="009D058C">
        <w:rPr>
          <w:i/>
          <w:iCs/>
        </w:rPr>
        <w:t xml:space="preserve"> </w:t>
      </w:r>
      <w:r w:rsidRPr="0059364C" w:rsidR="009D058C">
        <w:t xml:space="preserve">Letter from </w:t>
      </w:r>
      <w:r w:rsidR="009D058C">
        <w:t xml:space="preserve">Albert Shuldiner, Chief, Audio Division, FCC Media Bureau, </w:t>
      </w:r>
      <w:r w:rsidR="00C97727">
        <w:t xml:space="preserve">to </w:t>
      </w:r>
      <w:r w:rsidR="003F1E26">
        <w:t xml:space="preserve">Barry Friedman, Counsel </w:t>
      </w:r>
      <w:r w:rsidR="009D058C">
        <w:t xml:space="preserve">to The Aloha Station Trust II, LLC, Ref. </w:t>
      </w:r>
      <w:r w:rsidRPr="009D058C" w:rsidR="009D058C">
        <w:t>1800B3</w:t>
      </w:r>
      <w:r w:rsidR="0091024D">
        <w:t>-</w:t>
      </w:r>
      <w:r w:rsidR="009D058C">
        <w:t>CC (Dec.</w:t>
      </w:r>
      <w:r w:rsidRPr="0059364C" w:rsidR="009D058C">
        <w:t xml:space="preserve"> </w:t>
      </w:r>
      <w:r w:rsidR="009D058C">
        <w:t>4</w:t>
      </w:r>
      <w:r w:rsidRPr="0059364C" w:rsidR="009D058C">
        <w:t>, 202</w:t>
      </w:r>
      <w:r w:rsidR="009D058C">
        <w:t>0</w:t>
      </w:r>
      <w:r w:rsidRPr="0059364C" w:rsidR="009D058C">
        <w:t>)</w:t>
      </w:r>
      <w:r w:rsidR="009D058C">
        <w:t>.</w:t>
      </w:r>
      <w:r w:rsidR="00D7292F">
        <w:t xml:space="preserve"> </w:t>
      </w:r>
    </w:p>
  </w:footnote>
  <w:footnote w:id="45">
    <w:p w:rsidR="000152E4" w:rsidRPr="0059364C" w14:paraId="0F982984" w14:textId="761EEA1A">
      <w:pPr>
        <w:pStyle w:val="FootnoteText"/>
      </w:pPr>
      <w:r w:rsidRPr="0059364C">
        <w:rPr>
          <w:rStyle w:val="FootnoteReference"/>
          <w:rFonts w:ascii="Times New Roman" w:hAnsi="Times New Roman"/>
        </w:rPr>
        <w:footnoteRef/>
      </w:r>
      <w:r w:rsidRPr="0059364C">
        <w:t xml:space="preserve"> </w:t>
      </w:r>
      <w:r w:rsidRPr="0059364C">
        <w:rPr>
          <w:i/>
          <w:iCs/>
        </w:rPr>
        <w:t>See</w:t>
      </w:r>
      <w:r w:rsidRPr="0059364C">
        <w:t xml:space="preserve"> </w:t>
      </w:r>
      <w:r w:rsidRPr="0059364C" w:rsidR="00221AF1">
        <w:t>CXR Request</w:t>
      </w:r>
      <w:r w:rsidRPr="0059364C">
        <w:t xml:space="preserve"> at 5</w:t>
      </w:r>
      <w:r w:rsidRPr="0059364C" w:rsidR="00E17B7E">
        <w:t xml:space="preserve">; </w:t>
      </w:r>
      <w:r w:rsidRPr="0059364C" w:rsidR="004920EB">
        <w:rPr>
          <w:i/>
          <w:iCs/>
        </w:rPr>
        <w:t>Divestiture</w:t>
      </w:r>
      <w:r w:rsidRPr="0059364C" w:rsidR="00E17B7E">
        <w:rPr>
          <w:i/>
          <w:iCs/>
        </w:rPr>
        <w:t xml:space="preserve"> Order</w:t>
      </w:r>
      <w:r w:rsidRPr="0059364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52E4" w14:paraId="03207725" w14:textId="6D7BA6B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0152E4" w:rsidP="001333F1" w14:paraId="0F87848F" w14:textId="77777777">
    <w:pPr>
      <w:tabs>
        <w:tab w:val="center" w:pos="4680"/>
        <w:tab w:val="left" w:pos="8400"/>
      </w:tabs>
    </w:pPr>
    <w:r>
      <w:rPr>
        <w:rFonts w:ascii="CG Times (W1)" w:hAnsi="CG Times (W1)"/>
        <w:sz w:val="28"/>
      </w:rPr>
      <w:tab/>
      <w:t>Washington, D.C. 20554</w:t>
    </w:r>
    <w:r>
      <w:rPr>
        <w:rFonts w:ascii="CG Times (W1)" w:hAnsi="CG Times (W1)"/>
        <w:sz w:val="28"/>
      </w:rPr>
      <w:tab/>
    </w:r>
  </w:p>
  <w:p w:rsidR="000152E4" w14:paraId="5CF52BAE" w14:textId="77777777">
    <w:pPr>
      <w:pStyle w:val="Header"/>
      <w:tabs>
        <w:tab w:val="clear" w:pos="4320"/>
      </w:tabs>
      <w:jc w:val="center"/>
      <w:rPr>
        <w:sz w:val="22"/>
      </w:rPr>
    </w:pPr>
  </w:p>
  <w:p w:rsidR="000152E4" w14:paraId="449998DD" w14:textId="77777777">
    <w:pPr>
      <w:pStyle w:val="Header"/>
      <w:tabs>
        <w:tab w:val="clear" w:pos="4320"/>
      </w:tabs>
      <w:jc w:val="center"/>
      <w:rPr>
        <w:sz w:val="22"/>
      </w:rPr>
    </w:pPr>
  </w:p>
  <w:p w:rsidR="000152E4" w14:paraId="538A2A47" w14:textId="2170B4B3">
    <w:pPr>
      <w:pStyle w:val="Header"/>
      <w:tabs>
        <w:tab w:val="clear" w:pos="4320"/>
      </w:tabs>
      <w:jc w:val="center"/>
    </w:pPr>
    <w:r>
      <w:fldChar w:fldCharType="begin"/>
    </w:r>
    <w:r>
      <w:instrText xml:space="preserve"> TIME \@ "MMMM d, yyyy" </w:instrText>
    </w:r>
    <w:r>
      <w:fldChar w:fldCharType="separate"/>
    </w:r>
    <w:r w:rsidR="004217B6">
      <w:rPr>
        <w:noProof/>
      </w:rPr>
      <w:t>December 8, 2021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AE2"/>
    <w:rsid w:val="000002DE"/>
    <w:rsid w:val="0000303A"/>
    <w:rsid w:val="00003226"/>
    <w:rsid w:val="0000468C"/>
    <w:rsid w:val="00005286"/>
    <w:rsid w:val="00012113"/>
    <w:rsid w:val="000152E4"/>
    <w:rsid w:val="000174E4"/>
    <w:rsid w:val="00017837"/>
    <w:rsid w:val="0001784F"/>
    <w:rsid w:val="000202AF"/>
    <w:rsid w:val="000207CB"/>
    <w:rsid w:val="00020BC9"/>
    <w:rsid w:val="000226B2"/>
    <w:rsid w:val="00022913"/>
    <w:rsid w:val="0002332F"/>
    <w:rsid w:val="000241C0"/>
    <w:rsid w:val="0002421C"/>
    <w:rsid w:val="00025DF2"/>
    <w:rsid w:val="00030A24"/>
    <w:rsid w:val="00032E43"/>
    <w:rsid w:val="000330AF"/>
    <w:rsid w:val="00033EE0"/>
    <w:rsid w:val="00034A6C"/>
    <w:rsid w:val="00034A76"/>
    <w:rsid w:val="000353B4"/>
    <w:rsid w:val="00035EA3"/>
    <w:rsid w:val="000362C1"/>
    <w:rsid w:val="000365F5"/>
    <w:rsid w:val="000367FE"/>
    <w:rsid w:val="00036A74"/>
    <w:rsid w:val="00036DDA"/>
    <w:rsid w:val="000371A9"/>
    <w:rsid w:val="000456EB"/>
    <w:rsid w:val="00045F9D"/>
    <w:rsid w:val="000464EB"/>
    <w:rsid w:val="0004739F"/>
    <w:rsid w:val="00047FA0"/>
    <w:rsid w:val="000500FC"/>
    <w:rsid w:val="0005245C"/>
    <w:rsid w:val="00052EA0"/>
    <w:rsid w:val="00053FFD"/>
    <w:rsid w:val="0005460A"/>
    <w:rsid w:val="0005556D"/>
    <w:rsid w:val="000556B5"/>
    <w:rsid w:val="00055FFF"/>
    <w:rsid w:val="00057ED7"/>
    <w:rsid w:val="000614AC"/>
    <w:rsid w:val="0006272A"/>
    <w:rsid w:val="00062DB6"/>
    <w:rsid w:val="00064666"/>
    <w:rsid w:val="00064BEC"/>
    <w:rsid w:val="00066C3D"/>
    <w:rsid w:val="00071CA2"/>
    <w:rsid w:val="00072367"/>
    <w:rsid w:val="00073CA3"/>
    <w:rsid w:val="00074074"/>
    <w:rsid w:val="00074B68"/>
    <w:rsid w:val="00076E19"/>
    <w:rsid w:val="00076F3A"/>
    <w:rsid w:val="00077709"/>
    <w:rsid w:val="00077A17"/>
    <w:rsid w:val="00077B24"/>
    <w:rsid w:val="0008044E"/>
    <w:rsid w:val="000805B2"/>
    <w:rsid w:val="00080B7E"/>
    <w:rsid w:val="0008320A"/>
    <w:rsid w:val="000834A6"/>
    <w:rsid w:val="00084864"/>
    <w:rsid w:val="00085582"/>
    <w:rsid w:val="00085717"/>
    <w:rsid w:val="00086FC6"/>
    <w:rsid w:val="00091375"/>
    <w:rsid w:val="000915D8"/>
    <w:rsid w:val="00091AD5"/>
    <w:rsid w:val="00091F8C"/>
    <w:rsid w:val="00093753"/>
    <w:rsid w:val="000946BA"/>
    <w:rsid w:val="00094EAF"/>
    <w:rsid w:val="000956B5"/>
    <w:rsid w:val="00095C04"/>
    <w:rsid w:val="00096EA7"/>
    <w:rsid w:val="00097624"/>
    <w:rsid w:val="00097D84"/>
    <w:rsid w:val="000A03E8"/>
    <w:rsid w:val="000A0550"/>
    <w:rsid w:val="000A1094"/>
    <w:rsid w:val="000A281F"/>
    <w:rsid w:val="000A35BB"/>
    <w:rsid w:val="000A63B9"/>
    <w:rsid w:val="000B20B8"/>
    <w:rsid w:val="000B2A86"/>
    <w:rsid w:val="000B3FE0"/>
    <w:rsid w:val="000C059F"/>
    <w:rsid w:val="000C0C14"/>
    <w:rsid w:val="000C30EC"/>
    <w:rsid w:val="000C3334"/>
    <w:rsid w:val="000C33ED"/>
    <w:rsid w:val="000C3872"/>
    <w:rsid w:val="000C4BA5"/>
    <w:rsid w:val="000C5DD4"/>
    <w:rsid w:val="000D0C44"/>
    <w:rsid w:val="000D0D9D"/>
    <w:rsid w:val="000D113E"/>
    <w:rsid w:val="000D21D2"/>
    <w:rsid w:val="000D29E3"/>
    <w:rsid w:val="000D3A8C"/>
    <w:rsid w:val="000D5235"/>
    <w:rsid w:val="000D6A91"/>
    <w:rsid w:val="000E232F"/>
    <w:rsid w:val="000E2AF2"/>
    <w:rsid w:val="000E2E25"/>
    <w:rsid w:val="000F12D0"/>
    <w:rsid w:val="000F3763"/>
    <w:rsid w:val="000F3EDF"/>
    <w:rsid w:val="000F472F"/>
    <w:rsid w:val="000F477B"/>
    <w:rsid w:val="000F650E"/>
    <w:rsid w:val="000F7187"/>
    <w:rsid w:val="00101A92"/>
    <w:rsid w:val="00103C70"/>
    <w:rsid w:val="00104082"/>
    <w:rsid w:val="0010551A"/>
    <w:rsid w:val="00105A60"/>
    <w:rsid w:val="0010687C"/>
    <w:rsid w:val="00106A4D"/>
    <w:rsid w:val="00107252"/>
    <w:rsid w:val="001107FD"/>
    <w:rsid w:val="0011141A"/>
    <w:rsid w:val="00111433"/>
    <w:rsid w:val="00111CD6"/>
    <w:rsid w:val="00111E1B"/>
    <w:rsid w:val="00111FBE"/>
    <w:rsid w:val="0011399F"/>
    <w:rsid w:val="00114CF0"/>
    <w:rsid w:val="001156A0"/>
    <w:rsid w:val="0011588F"/>
    <w:rsid w:val="001211A9"/>
    <w:rsid w:val="001245A5"/>
    <w:rsid w:val="001248BB"/>
    <w:rsid w:val="00124A35"/>
    <w:rsid w:val="00125B73"/>
    <w:rsid w:val="001270F6"/>
    <w:rsid w:val="001314D4"/>
    <w:rsid w:val="00131E83"/>
    <w:rsid w:val="001332B6"/>
    <w:rsid w:val="001333F1"/>
    <w:rsid w:val="00140C61"/>
    <w:rsid w:val="001413A9"/>
    <w:rsid w:val="00141936"/>
    <w:rsid w:val="001423DA"/>
    <w:rsid w:val="00143CBB"/>
    <w:rsid w:val="00146658"/>
    <w:rsid w:val="0015173F"/>
    <w:rsid w:val="00153966"/>
    <w:rsid w:val="001551B5"/>
    <w:rsid w:val="001562A4"/>
    <w:rsid w:val="00156B8C"/>
    <w:rsid w:val="001605D4"/>
    <w:rsid w:val="00161CA7"/>
    <w:rsid w:val="001659BA"/>
    <w:rsid w:val="00166000"/>
    <w:rsid w:val="001667B5"/>
    <w:rsid w:val="00166D07"/>
    <w:rsid w:val="001716E3"/>
    <w:rsid w:val="0017517E"/>
    <w:rsid w:val="001753A2"/>
    <w:rsid w:val="0017560D"/>
    <w:rsid w:val="00177410"/>
    <w:rsid w:val="00177C12"/>
    <w:rsid w:val="00181EB1"/>
    <w:rsid w:val="00181F5F"/>
    <w:rsid w:val="001832A7"/>
    <w:rsid w:val="00183656"/>
    <w:rsid w:val="0018549D"/>
    <w:rsid w:val="00186ACE"/>
    <w:rsid w:val="00190171"/>
    <w:rsid w:val="00190243"/>
    <w:rsid w:val="00190B0E"/>
    <w:rsid w:val="00192843"/>
    <w:rsid w:val="001944C5"/>
    <w:rsid w:val="00194A67"/>
    <w:rsid w:val="0019512A"/>
    <w:rsid w:val="00197335"/>
    <w:rsid w:val="0019734C"/>
    <w:rsid w:val="00197DD5"/>
    <w:rsid w:val="001A045F"/>
    <w:rsid w:val="001A1214"/>
    <w:rsid w:val="001A1C4F"/>
    <w:rsid w:val="001A2A01"/>
    <w:rsid w:val="001A2ECC"/>
    <w:rsid w:val="001A2EDD"/>
    <w:rsid w:val="001A3428"/>
    <w:rsid w:val="001A546E"/>
    <w:rsid w:val="001A716F"/>
    <w:rsid w:val="001A74FE"/>
    <w:rsid w:val="001B2328"/>
    <w:rsid w:val="001B2D5C"/>
    <w:rsid w:val="001B3860"/>
    <w:rsid w:val="001B41CF"/>
    <w:rsid w:val="001B4A2F"/>
    <w:rsid w:val="001B624F"/>
    <w:rsid w:val="001B723B"/>
    <w:rsid w:val="001C00D5"/>
    <w:rsid w:val="001C032D"/>
    <w:rsid w:val="001C11F2"/>
    <w:rsid w:val="001C1C7D"/>
    <w:rsid w:val="001C1E15"/>
    <w:rsid w:val="001C2FEF"/>
    <w:rsid w:val="001C41EB"/>
    <w:rsid w:val="001C463D"/>
    <w:rsid w:val="001C46FE"/>
    <w:rsid w:val="001C63A8"/>
    <w:rsid w:val="001C6920"/>
    <w:rsid w:val="001C7358"/>
    <w:rsid w:val="001D0149"/>
    <w:rsid w:val="001D04AF"/>
    <w:rsid w:val="001D10DA"/>
    <w:rsid w:val="001D20D9"/>
    <w:rsid w:val="001D4658"/>
    <w:rsid w:val="001D4F4A"/>
    <w:rsid w:val="001D72B1"/>
    <w:rsid w:val="001E01DD"/>
    <w:rsid w:val="001E1A8D"/>
    <w:rsid w:val="001E39F9"/>
    <w:rsid w:val="001E3F7E"/>
    <w:rsid w:val="001E4A74"/>
    <w:rsid w:val="001E66B8"/>
    <w:rsid w:val="001F09F1"/>
    <w:rsid w:val="001F26E3"/>
    <w:rsid w:val="001F26E8"/>
    <w:rsid w:val="001F3744"/>
    <w:rsid w:val="001F6EBB"/>
    <w:rsid w:val="0020116C"/>
    <w:rsid w:val="00201A69"/>
    <w:rsid w:val="00202E68"/>
    <w:rsid w:val="00204CE3"/>
    <w:rsid w:val="0020506F"/>
    <w:rsid w:val="002106DB"/>
    <w:rsid w:val="00210D33"/>
    <w:rsid w:val="00211625"/>
    <w:rsid w:val="00212ACC"/>
    <w:rsid w:val="00213555"/>
    <w:rsid w:val="00213F2A"/>
    <w:rsid w:val="00214DC6"/>
    <w:rsid w:val="00214FAF"/>
    <w:rsid w:val="00215726"/>
    <w:rsid w:val="002161C7"/>
    <w:rsid w:val="00216B67"/>
    <w:rsid w:val="0022090A"/>
    <w:rsid w:val="00221251"/>
    <w:rsid w:val="00221337"/>
    <w:rsid w:val="00221AF1"/>
    <w:rsid w:val="002232AB"/>
    <w:rsid w:val="00223B11"/>
    <w:rsid w:val="0022413D"/>
    <w:rsid w:val="0022415B"/>
    <w:rsid w:val="0022474E"/>
    <w:rsid w:val="002270CF"/>
    <w:rsid w:val="002302B8"/>
    <w:rsid w:val="00230432"/>
    <w:rsid w:val="00232DC0"/>
    <w:rsid w:val="002353E9"/>
    <w:rsid w:val="002359F4"/>
    <w:rsid w:val="002363A2"/>
    <w:rsid w:val="0024083E"/>
    <w:rsid w:val="00242BD2"/>
    <w:rsid w:val="00242FB0"/>
    <w:rsid w:val="002439A6"/>
    <w:rsid w:val="002468B4"/>
    <w:rsid w:val="00247CAD"/>
    <w:rsid w:val="00247FD0"/>
    <w:rsid w:val="0025362B"/>
    <w:rsid w:val="00253F2B"/>
    <w:rsid w:val="00260F69"/>
    <w:rsid w:val="00262B9A"/>
    <w:rsid w:val="00263BEC"/>
    <w:rsid w:val="00264F9C"/>
    <w:rsid w:val="00267C38"/>
    <w:rsid w:val="00267DA0"/>
    <w:rsid w:val="00267EAA"/>
    <w:rsid w:val="00270022"/>
    <w:rsid w:val="00271C93"/>
    <w:rsid w:val="00272D91"/>
    <w:rsid w:val="00275A28"/>
    <w:rsid w:val="00275E2E"/>
    <w:rsid w:val="00276A22"/>
    <w:rsid w:val="00277F1E"/>
    <w:rsid w:val="002822FA"/>
    <w:rsid w:val="00286A8E"/>
    <w:rsid w:val="00287939"/>
    <w:rsid w:val="00287AC2"/>
    <w:rsid w:val="002906A2"/>
    <w:rsid w:val="00290851"/>
    <w:rsid w:val="002916D7"/>
    <w:rsid w:val="002923A3"/>
    <w:rsid w:val="00294F64"/>
    <w:rsid w:val="0029612F"/>
    <w:rsid w:val="0029739C"/>
    <w:rsid w:val="00297CAC"/>
    <w:rsid w:val="002A03A6"/>
    <w:rsid w:val="002A057D"/>
    <w:rsid w:val="002A1DAA"/>
    <w:rsid w:val="002A2766"/>
    <w:rsid w:val="002A30B3"/>
    <w:rsid w:val="002A4A1B"/>
    <w:rsid w:val="002A5616"/>
    <w:rsid w:val="002B04B6"/>
    <w:rsid w:val="002B0651"/>
    <w:rsid w:val="002B1C46"/>
    <w:rsid w:val="002B2532"/>
    <w:rsid w:val="002B43D2"/>
    <w:rsid w:val="002B54DB"/>
    <w:rsid w:val="002B649E"/>
    <w:rsid w:val="002B741E"/>
    <w:rsid w:val="002B7989"/>
    <w:rsid w:val="002C0A0B"/>
    <w:rsid w:val="002C18AF"/>
    <w:rsid w:val="002C1E9A"/>
    <w:rsid w:val="002C2CD1"/>
    <w:rsid w:val="002C365A"/>
    <w:rsid w:val="002C4A32"/>
    <w:rsid w:val="002C4C14"/>
    <w:rsid w:val="002D081B"/>
    <w:rsid w:val="002D1E18"/>
    <w:rsid w:val="002D1E34"/>
    <w:rsid w:val="002D2413"/>
    <w:rsid w:val="002D5C6F"/>
    <w:rsid w:val="002D7421"/>
    <w:rsid w:val="002E00CB"/>
    <w:rsid w:val="002E0BFC"/>
    <w:rsid w:val="002E15A5"/>
    <w:rsid w:val="002E1B06"/>
    <w:rsid w:val="002E1B29"/>
    <w:rsid w:val="002E20DB"/>
    <w:rsid w:val="002E219B"/>
    <w:rsid w:val="002E2E9C"/>
    <w:rsid w:val="002E30F4"/>
    <w:rsid w:val="002E31ED"/>
    <w:rsid w:val="002E380A"/>
    <w:rsid w:val="002E664E"/>
    <w:rsid w:val="002F32B7"/>
    <w:rsid w:val="002F62C1"/>
    <w:rsid w:val="002F7684"/>
    <w:rsid w:val="002F7C04"/>
    <w:rsid w:val="00305023"/>
    <w:rsid w:val="00307B39"/>
    <w:rsid w:val="00307FE9"/>
    <w:rsid w:val="0031230B"/>
    <w:rsid w:val="0031437C"/>
    <w:rsid w:val="00314C00"/>
    <w:rsid w:val="00314C54"/>
    <w:rsid w:val="00315205"/>
    <w:rsid w:val="00315582"/>
    <w:rsid w:val="003205B2"/>
    <w:rsid w:val="0032154B"/>
    <w:rsid w:val="003227A9"/>
    <w:rsid w:val="00322EEF"/>
    <w:rsid w:val="00326A2F"/>
    <w:rsid w:val="00326E2D"/>
    <w:rsid w:val="003340B9"/>
    <w:rsid w:val="00334351"/>
    <w:rsid w:val="00335EFE"/>
    <w:rsid w:val="00337002"/>
    <w:rsid w:val="003379B8"/>
    <w:rsid w:val="00337E87"/>
    <w:rsid w:val="00337F40"/>
    <w:rsid w:val="00342239"/>
    <w:rsid w:val="003422F2"/>
    <w:rsid w:val="00342879"/>
    <w:rsid w:val="00342920"/>
    <w:rsid w:val="00344CD3"/>
    <w:rsid w:val="00344EF7"/>
    <w:rsid w:val="003462D4"/>
    <w:rsid w:val="0034666B"/>
    <w:rsid w:val="00346D9B"/>
    <w:rsid w:val="00347B62"/>
    <w:rsid w:val="00347FF3"/>
    <w:rsid w:val="003503D1"/>
    <w:rsid w:val="00350442"/>
    <w:rsid w:val="003505C1"/>
    <w:rsid w:val="00351557"/>
    <w:rsid w:val="00352353"/>
    <w:rsid w:val="00352852"/>
    <w:rsid w:val="00353510"/>
    <w:rsid w:val="00356AEE"/>
    <w:rsid w:val="00356E95"/>
    <w:rsid w:val="00357CB0"/>
    <w:rsid w:val="003602F2"/>
    <w:rsid w:val="0036130A"/>
    <w:rsid w:val="00361C70"/>
    <w:rsid w:val="00362436"/>
    <w:rsid w:val="00362EC3"/>
    <w:rsid w:val="003639C3"/>
    <w:rsid w:val="00367900"/>
    <w:rsid w:val="00370393"/>
    <w:rsid w:val="003704CC"/>
    <w:rsid w:val="00371586"/>
    <w:rsid w:val="00372258"/>
    <w:rsid w:val="00374473"/>
    <w:rsid w:val="003747F2"/>
    <w:rsid w:val="0037500A"/>
    <w:rsid w:val="00375125"/>
    <w:rsid w:val="00375AF0"/>
    <w:rsid w:val="00377875"/>
    <w:rsid w:val="00381FFB"/>
    <w:rsid w:val="00383005"/>
    <w:rsid w:val="00383579"/>
    <w:rsid w:val="0038571A"/>
    <w:rsid w:val="0038658B"/>
    <w:rsid w:val="00386803"/>
    <w:rsid w:val="00386C26"/>
    <w:rsid w:val="00387AAE"/>
    <w:rsid w:val="00391004"/>
    <w:rsid w:val="003933D7"/>
    <w:rsid w:val="00395FB2"/>
    <w:rsid w:val="00396CE0"/>
    <w:rsid w:val="00396D4C"/>
    <w:rsid w:val="00396E36"/>
    <w:rsid w:val="003A0BF7"/>
    <w:rsid w:val="003A0CB6"/>
    <w:rsid w:val="003A1635"/>
    <w:rsid w:val="003A18ED"/>
    <w:rsid w:val="003A2659"/>
    <w:rsid w:val="003A54EE"/>
    <w:rsid w:val="003A7524"/>
    <w:rsid w:val="003B2658"/>
    <w:rsid w:val="003B2B84"/>
    <w:rsid w:val="003B4414"/>
    <w:rsid w:val="003B7EA4"/>
    <w:rsid w:val="003C14F8"/>
    <w:rsid w:val="003C3016"/>
    <w:rsid w:val="003C4605"/>
    <w:rsid w:val="003C4632"/>
    <w:rsid w:val="003C5E22"/>
    <w:rsid w:val="003C5EDC"/>
    <w:rsid w:val="003C6B1E"/>
    <w:rsid w:val="003D0656"/>
    <w:rsid w:val="003D161D"/>
    <w:rsid w:val="003D1C88"/>
    <w:rsid w:val="003D27AC"/>
    <w:rsid w:val="003D551E"/>
    <w:rsid w:val="003D55CB"/>
    <w:rsid w:val="003D69B3"/>
    <w:rsid w:val="003D6D4F"/>
    <w:rsid w:val="003E05CE"/>
    <w:rsid w:val="003E2C49"/>
    <w:rsid w:val="003E2E44"/>
    <w:rsid w:val="003E4709"/>
    <w:rsid w:val="003E4FCA"/>
    <w:rsid w:val="003E543A"/>
    <w:rsid w:val="003F1E26"/>
    <w:rsid w:val="003F3BF8"/>
    <w:rsid w:val="003F4D14"/>
    <w:rsid w:val="003F5315"/>
    <w:rsid w:val="003F5396"/>
    <w:rsid w:val="003F5469"/>
    <w:rsid w:val="003F5B97"/>
    <w:rsid w:val="003F7924"/>
    <w:rsid w:val="003F7F21"/>
    <w:rsid w:val="00401984"/>
    <w:rsid w:val="00401CD1"/>
    <w:rsid w:val="004033DE"/>
    <w:rsid w:val="0040446A"/>
    <w:rsid w:val="00404600"/>
    <w:rsid w:val="00405013"/>
    <w:rsid w:val="00406F6E"/>
    <w:rsid w:val="00407453"/>
    <w:rsid w:val="004108F1"/>
    <w:rsid w:val="004110AD"/>
    <w:rsid w:val="0041111F"/>
    <w:rsid w:val="004135E8"/>
    <w:rsid w:val="00413817"/>
    <w:rsid w:val="00417373"/>
    <w:rsid w:val="0042063E"/>
    <w:rsid w:val="004206C7"/>
    <w:rsid w:val="00420781"/>
    <w:rsid w:val="00421779"/>
    <w:rsid w:val="004217B6"/>
    <w:rsid w:val="00422EFC"/>
    <w:rsid w:val="00422FC9"/>
    <w:rsid w:val="00423553"/>
    <w:rsid w:val="004251A5"/>
    <w:rsid w:val="00425FB6"/>
    <w:rsid w:val="004260A2"/>
    <w:rsid w:val="004262CF"/>
    <w:rsid w:val="0042633F"/>
    <w:rsid w:val="00426A5E"/>
    <w:rsid w:val="00427480"/>
    <w:rsid w:val="00431089"/>
    <w:rsid w:val="00432CBA"/>
    <w:rsid w:val="00432F37"/>
    <w:rsid w:val="004353A0"/>
    <w:rsid w:val="0043692E"/>
    <w:rsid w:val="0043792D"/>
    <w:rsid w:val="004400A3"/>
    <w:rsid w:val="004405E5"/>
    <w:rsid w:val="00442A49"/>
    <w:rsid w:val="0044403E"/>
    <w:rsid w:val="00446542"/>
    <w:rsid w:val="004466E4"/>
    <w:rsid w:val="00447CDD"/>
    <w:rsid w:val="0045176A"/>
    <w:rsid w:val="00454438"/>
    <w:rsid w:val="00454AA1"/>
    <w:rsid w:val="0046071D"/>
    <w:rsid w:val="00461832"/>
    <w:rsid w:val="0046210C"/>
    <w:rsid w:val="004642FD"/>
    <w:rsid w:val="00465AE9"/>
    <w:rsid w:val="004710AE"/>
    <w:rsid w:val="004716FA"/>
    <w:rsid w:val="0047361C"/>
    <w:rsid w:val="00475F54"/>
    <w:rsid w:val="00476426"/>
    <w:rsid w:val="00476F22"/>
    <w:rsid w:val="00477CD5"/>
    <w:rsid w:val="004818BF"/>
    <w:rsid w:val="004818F1"/>
    <w:rsid w:val="004865C0"/>
    <w:rsid w:val="00487AC3"/>
    <w:rsid w:val="00487AD6"/>
    <w:rsid w:val="00487CD6"/>
    <w:rsid w:val="00490E72"/>
    <w:rsid w:val="004920EB"/>
    <w:rsid w:val="00493A9F"/>
    <w:rsid w:val="00494B08"/>
    <w:rsid w:val="00495777"/>
    <w:rsid w:val="004970E7"/>
    <w:rsid w:val="00497E9B"/>
    <w:rsid w:val="00497FD6"/>
    <w:rsid w:val="004A01E6"/>
    <w:rsid w:val="004A13B5"/>
    <w:rsid w:val="004A1CE7"/>
    <w:rsid w:val="004A1FF2"/>
    <w:rsid w:val="004A235E"/>
    <w:rsid w:val="004A2A46"/>
    <w:rsid w:val="004A2A5E"/>
    <w:rsid w:val="004A5E37"/>
    <w:rsid w:val="004A7851"/>
    <w:rsid w:val="004A798C"/>
    <w:rsid w:val="004B0269"/>
    <w:rsid w:val="004B02B6"/>
    <w:rsid w:val="004B671C"/>
    <w:rsid w:val="004B7119"/>
    <w:rsid w:val="004C074C"/>
    <w:rsid w:val="004C1EBB"/>
    <w:rsid w:val="004C2274"/>
    <w:rsid w:val="004C2A95"/>
    <w:rsid w:val="004C36F2"/>
    <w:rsid w:val="004C3C89"/>
    <w:rsid w:val="004C50FD"/>
    <w:rsid w:val="004C6E39"/>
    <w:rsid w:val="004D0F0B"/>
    <w:rsid w:val="004D3B53"/>
    <w:rsid w:val="004D50C6"/>
    <w:rsid w:val="004D521B"/>
    <w:rsid w:val="004D65AF"/>
    <w:rsid w:val="004D6CDE"/>
    <w:rsid w:val="004D74F0"/>
    <w:rsid w:val="004E06DE"/>
    <w:rsid w:val="004E181E"/>
    <w:rsid w:val="004E1EEE"/>
    <w:rsid w:val="004E27BE"/>
    <w:rsid w:val="004E2E11"/>
    <w:rsid w:val="004E65A8"/>
    <w:rsid w:val="004E7525"/>
    <w:rsid w:val="004F1916"/>
    <w:rsid w:val="004F20FF"/>
    <w:rsid w:val="004F6E58"/>
    <w:rsid w:val="0050020B"/>
    <w:rsid w:val="00500432"/>
    <w:rsid w:val="00503FF3"/>
    <w:rsid w:val="00510174"/>
    <w:rsid w:val="00512030"/>
    <w:rsid w:val="005138EC"/>
    <w:rsid w:val="0051587F"/>
    <w:rsid w:val="00516B15"/>
    <w:rsid w:val="00517BA6"/>
    <w:rsid w:val="00521022"/>
    <w:rsid w:val="00521A24"/>
    <w:rsid w:val="005230AE"/>
    <w:rsid w:val="005237B0"/>
    <w:rsid w:val="00523894"/>
    <w:rsid w:val="00523F4D"/>
    <w:rsid w:val="00524A38"/>
    <w:rsid w:val="00524F68"/>
    <w:rsid w:val="005262AC"/>
    <w:rsid w:val="005262AD"/>
    <w:rsid w:val="00527304"/>
    <w:rsid w:val="0052771E"/>
    <w:rsid w:val="00527EBD"/>
    <w:rsid w:val="005311F2"/>
    <w:rsid w:val="0053131E"/>
    <w:rsid w:val="00532843"/>
    <w:rsid w:val="0053292F"/>
    <w:rsid w:val="00533321"/>
    <w:rsid w:val="0053651F"/>
    <w:rsid w:val="00536DA4"/>
    <w:rsid w:val="0053720E"/>
    <w:rsid w:val="0054331A"/>
    <w:rsid w:val="00543B29"/>
    <w:rsid w:val="005450B3"/>
    <w:rsid w:val="00550D49"/>
    <w:rsid w:val="005525D8"/>
    <w:rsid w:val="005526D1"/>
    <w:rsid w:val="00554CD2"/>
    <w:rsid w:val="00555E4C"/>
    <w:rsid w:val="00556E81"/>
    <w:rsid w:val="00557829"/>
    <w:rsid w:val="005616D6"/>
    <w:rsid w:val="00561807"/>
    <w:rsid w:val="005637C0"/>
    <w:rsid w:val="00563E6D"/>
    <w:rsid w:val="0056499D"/>
    <w:rsid w:val="00564C38"/>
    <w:rsid w:val="00564CA8"/>
    <w:rsid w:val="0056540E"/>
    <w:rsid w:val="00565AE2"/>
    <w:rsid w:val="00567764"/>
    <w:rsid w:val="0057103F"/>
    <w:rsid w:val="00571363"/>
    <w:rsid w:val="0057194E"/>
    <w:rsid w:val="00571DA9"/>
    <w:rsid w:val="0057360D"/>
    <w:rsid w:val="005743BF"/>
    <w:rsid w:val="00575265"/>
    <w:rsid w:val="00576104"/>
    <w:rsid w:val="00577BD1"/>
    <w:rsid w:val="00583170"/>
    <w:rsid w:val="005834FC"/>
    <w:rsid w:val="005835A9"/>
    <w:rsid w:val="00583D04"/>
    <w:rsid w:val="00583E5F"/>
    <w:rsid w:val="00583FEF"/>
    <w:rsid w:val="005846B9"/>
    <w:rsid w:val="0058479B"/>
    <w:rsid w:val="0058547C"/>
    <w:rsid w:val="005854E5"/>
    <w:rsid w:val="005859C1"/>
    <w:rsid w:val="0058693F"/>
    <w:rsid w:val="00586B82"/>
    <w:rsid w:val="00590903"/>
    <w:rsid w:val="0059136A"/>
    <w:rsid w:val="00591AC0"/>
    <w:rsid w:val="00591EDD"/>
    <w:rsid w:val="0059231C"/>
    <w:rsid w:val="0059364C"/>
    <w:rsid w:val="0059421A"/>
    <w:rsid w:val="00595DCC"/>
    <w:rsid w:val="00597A56"/>
    <w:rsid w:val="00597E55"/>
    <w:rsid w:val="005A07A1"/>
    <w:rsid w:val="005A28D1"/>
    <w:rsid w:val="005A35A1"/>
    <w:rsid w:val="005A3756"/>
    <w:rsid w:val="005A4BF9"/>
    <w:rsid w:val="005A4D6D"/>
    <w:rsid w:val="005A79DD"/>
    <w:rsid w:val="005A7CDD"/>
    <w:rsid w:val="005B0A3A"/>
    <w:rsid w:val="005B151B"/>
    <w:rsid w:val="005B1DF8"/>
    <w:rsid w:val="005B312A"/>
    <w:rsid w:val="005B3604"/>
    <w:rsid w:val="005B396A"/>
    <w:rsid w:val="005B5B81"/>
    <w:rsid w:val="005C03E3"/>
    <w:rsid w:val="005C12F9"/>
    <w:rsid w:val="005C2853"/>
    <w:rsid w:val="005C330A"/>
    <w:rsid w:val="005C3F9A"/>
    <w:rsid w:val="005C4D84"/>
    <w:rsid w:val="005C54B9"/>
    <w:rsid w:val="005C5502"/>
    <w:rsid w:val="005C5547"/>
    <w:rsid w:val="005C5597"/>
    <w:rsid w:val="005C6698"/>
    <w:rsid w:val="005C7410"/>
    <w:rsid w:val="005C7D96"/>
    <w:rsid w:val="005D0899"/>
    <w:rsid w:val="005D400C"/>
    <w:rsid w:val="005D4D4B"/>
    <w:rsid w:val="005D4DE9"/>
    <w:rsid w:val="005D4E54"/>
    <w:rsid w:val="005D6AD3"/>
    <w:rsid w:val="005D734E"/>
    <w:rsid w:val="005E3BED"/>
    <w:rsid w:val="005E5360"/>
    <w:rsid w:val="005E5C81"/>
    <w:rsid w:val="005E63D5"/>
    <w:rsid w:val="005E68F3"/>
    <w:rsid w:val="005F0EB3"/>
    <w:rsid w:val="005F0EF5"/>
    <w:rsid w:val="005F46E8"/>
    <w:rsid w:val="005F4BB1"/>
    <w:rsid w:val="005F5585"/>
    <w:rsid w:val="00602149"/>
    <w:rsid w:val="00602C5E"/>
    <w:rsid w:val="006033B5"/>
    <w:rsid w:val="00603ACD"/>
    <w:rsid w:val="00603E9C"/>
    <w:rsid w:val="00606E4B"/>
    <w:rsid w:val="00606FEF"/>
    <w:rsid w:val="006074BE"/>
    <w:rsid w:val="00607890"/>
    <w:rsid w:val="006079AE"/>
    <w:rsid w:val="006100DC"/>
    <w:rsid w:val="006142B3"/>
    <w:rsid w:val="006151D5"/>
    <w:rsid w:val="006166A7"/>
    <w:rsid w:val="00616E07"/>
    <w:rsid w:val="006174C1"/>
    <w:rsid w:val="00617BD6"/>
    <w:rsid w:val="00620BE1"/>
    <w:rsid w:val="00621532"/>
    <w:rsid w:val="00621C84"/>
    <w:rsid w:val="00622783"/>
    <w:rsid w:val="00623271"/>
    <w:rsid w:val="00623B92"/>
    <w:rsid w:val="00623F0C"/>
    <w:rsid w:val="006252F3"/>
    <w:rsid w:val="00625402"/>
    <w:rsid w:val="0062560B"/>
    <w:rsid w:val="00626356"/>
    <w:rsid w:val="006278BE"/>
    <w:rsid w:val="006279C0"/>
    <w:rsid w:val="006304A1"/>
    <w:rsid w:val="00631C4E"/>
    <w:rsid w:val="00631D45"/>
    <w:rsid w:val="00631ED6"/>
    <w:rsid w:val="00632D58"/>
    <w:rsid w:val="00634162"/>
    <w:rsid w:val="00636D3A"/>
    <w:rsid w:val="00640628"/>
    <w:rsid w:val="006407C0"/>
    <w:rsid w:val="006414C4"/>
    <w:rsid w:val="00642A50"/>
    <w:rsid w:val="00644FA4"/>
    <w:rsid w:val="00645630"/>
    <w:rsid w:val="00646450"/>
    <w:rsid w:val="00650416"/>
    <w:rsid w:val="0065123C"/>
    <w:rsid w:val="00652B77"/>
    <w:rsid w:val="0065358E"/>
    <w:rsid w:val="00653A11"/>
    <w:rsid w:val="00653C6D"/>
    <w:rsid w:val="00653C77"/>
    <w:rsid w:val="0065413D"/>
    <w:rsid w:val="00654BB8"/>
    <w:rsid w:val="00654D32"/>
    <w:rsid w:val="00654D9A"/>
    <w:rsid w:val="00655427"/>
    <w:rsid w:val="00655682"/>
    <w:rsid w:val="00656D78"/>
    <w:rsid w:val="00656EB9"/>
    <w:rsid w:val="0066327B"/>
    <w:rsid w:val="00665298"/>
    <w:rsid w:val="0066571E"/>
    <w:rsid w:val="006657AD"/>
    <w:rsid w:val="00666AAA"/>
    <w:rsid w:val="00670075"/>
    <w:rsid w:val="00670436"/>
    <w:rsid w:val="00670666"/>
    <w:rsid w:val="006707E9"/>
    <w:rsid w:val="00670A7A"/>
    <w:rsid w:val="006719C7"/>
    <w:rsid w:val="00672DEC"/>
    <w:rsid w:val="00673294"/>
    <w:rsid w:val="00673545"/>
    <w:rsid w:val="00675023"/>
    <w:rsid w:val="00675AC6"/>
    <w:rsid w:val="00676DD0"/>
    <w:rsid w:val="00677EDC"/>
    <w:rsid w:val="00680406"/>
    <w:rsid w:val="006813EC"/>
    <w:rsid w:val="00681827"/>
    <w:rsid w:val="0068536F"/>
    <w:rsid w:val="00685702"/>
    <w:rsid w:val="00687AEE"/>
    <w:rsid w:val="00690420"/>
    <w:rsid w:val="00690F8F"/>
    <w:rsid w:val="00691DDD"/>
    <w:rsid w:val="00693A3B"/>
    <w:rsid w:val="00697EF9"/>
    <w:rsid w:val="006A2A3F"/>
    <w:rsid w:val="006A56D8"/>
    <w:rsid w:val="006A7DFE"/>
    <w:rsid w:val="006B0574"/>
    <w:rsid w:val="006B107D"/>
    <w:rsid w:val="006B135F"/>
    <w:rsid w:val="006B2EE8"/>
    <w:rsid w:val="006B31BD"/>
    <w:rsid w:val="006B3747"/>
    <w:rsid w:val="006B3A8F"/>
    <w:rsid w:val="006B3F95"/>
    <w:rsid w:val="006B5507"/>
    <w:rsid w:val="006B6098"/>
    <w:rsid w:val="006C0C81"/>
    <w:rsid w:val="006C256D"/>
    <w:rsid w:val="006C2895"/>
    <w:rsid w:val="006C2F7A"/>
    <w:rsid w:val="006C3729"/>
    <w:rsid w:val="006C3F59"/>
    <w:rsid w:val="006C4F97"/>
    <w:rsid w:val="006C5652"/>
    <w:rsid w:val="006D1C0E"/>
    <w:rsid w:val="006D1C17"/>
    <w:rsid w:val="006D2EF8"/>
    <w:rsid w:val="006D4109"/>
    <w:rsid w:val="006D4CA1"/>
    <w:rsid w:val="006D55CE"/>
    <w:rsid w:val="006D5BE1"/>
    <w:rsid w:val="006D602B"/>
    <w:rsid w:val="006D61E2"/>
    <w:rsid w:val="006D6CF3"/>
    <w:rsid w:val="006E09BE"/>
    <w:rsid w:val="006E0F0F"/>
    <w:rsid w:val="006E54A8"/>
    <w:rsid w:val="006E5906"/>
    <w:rsid w:val="006E61D1"/>
    <w:rsid w:val="006F0522"/>
    <w:rsid w:val="006F1D47"/>
    <w:rsid w:val="006F2209"/>
    <w:rsid w:val="006F2B40"/>
    <w:rsid w:val="006F393B"/>
    <w:rsid w:val="006F4A04"/>
    <w:rsid w:val="006F62F1"/>
    <w:rsid w:val="006F66BB"/>
    <w:rsid w:val="006F6A78"/>
    <w:rsid w:val="00700472"/>
    <w:rsid w:val="007012D2"/>
    <w:rsid w:val="0070157D"/>
    <w:rsid w:val="0070264D"/>
    <w:rsid w:val="00703626"/>
    <w:rsid w:val="00703AF6"/>
    <w:rsid w:val="0070524E"/>
    <w:rsid w:val="00705701"/>
    <w:rsid w:val="007066E6"/>
    <w:rsid w:val="00706D18"/>
    <w:rsid w:val="00715F1F"/>
    <w:rsid w:val="007177FB"/>
    <w:rsid w:val="00720A9E"/>
    <w:rsid w:val="00721385"/>
    <w:rsid w:val="00721400"/>
    <w:rsid w:val="007227CE"/>
    <w:rsid w:val="0072396B"/>
    <w:rsid w:val="00723D66"/>
    <w:rsid w:val="00724C3F"/>
    <w:rsid w:val="00726CBE"/>
    <w:rsid w:val="00726E5F"/>
    <w:rsid w:val="00727608"/>
    <w:rsid w:val="00727B19"/>
    <w:rsid w:val="00727E32"/>
    <w:rsid w:val="007330B7"/>
    <w:rsid w:val="007346CB"/>
    <w:rsid w:val="00736824"/>
    <w:rsid w:val="00736C50"/>
    <w:rsid w:val="00737B9F"/>
    <w:rsid w:val="007448E8"/>
    <w:rsid w:val="00745034"/>
    <w:rsid w:val="007462A6"/>
    <w:rsid w:val="00747167"/>
    <w:rsid w:val="007475BD"/>
    <w:rsid w:val="00747E98"/>
    <w:rsid w:val="00747EB0"/>
    <w:rsid w:val="00750956"/>
    <w:rsid w:val="00750E73"/>
    <w:rsid w:val="00751718"/>
    <w:rsid w:val="0075385A"/>
    <w:rsid w:val="00754622"/>
    <w:rsid w:val="00760A48"/>
    <w:rsid w:val="00760AA4"/>
    <w:rsid w:val="00761E7D"/>
    <w:rsid w:val="0076254D"/>
    <w:rsid w:val="00762B67"/>
    <w:rsid w:val="00762DAE"/>
    <w:rsid w:val="00763D0F"/>
    <w:rsid w:val="007668BC"/>
    <w:rsid w:val="0076741A"/>
    <w:rsid w:val="0077084C"/>
    <w:rsid w:val="00770A7D"/>
    <w:rsid w:val="007712CA"/>
    <w:rsid w:val="0077235E"/>
    <w:rsid w:val="00773932"/>
    <w:rsid w:val="00775702"/>
    <w:rsid w:val="00775A5D"/>
    <w:rsid w:val="007769BE"/>
    <w:rsid w:val="007775E7"/>
    <w:rsid w:val="00777A5B"/>
    <w:rsid w:val="00781595"/>
    <w:rsid w:val="007820A9"/>
    <w:rsid w:val="00783E02"/>
    <w:rsid w:val="00784CDF"/>
    <w:rsid w:val="00784E2D"/>
    <w:rsid w:val="00785055"/>
    <w:rsid w:val="00785839"/>
    <w:rsid w:val="0078612E"/>
    <w:rsid w:val="00786AEB"/>
    <w:rsid w:val="00787352"/>
    <w:rsid w:val="007873F9"/>
    <w:rsid w:val="00795805"/>
    <w:rsid w:val="007A0CBC"/>
    <w:rsid w:val="007A34C3"/>
    <w:rsid w:val="007A375A"/>
    <w:rsid w:val="007A4EA9"/>
    <w:rsid w:val="007A66BE"/>
    <w:rsid w:val="007A6DAC"/>
    <w:rsid w:val="007A72E5"/>
    <w:rsid w:val="007A777F"/>
    <w:rsid w:val="007B0514"/>
    <w:rsid w:val="007B1738"/>
    <w:rsid w:val="007B1A58"/>
    <w:rsid w:val="007B3810"/>
    <w:rsid w:val="007B5AAC"/>
    <w:rsid w:val="007B6C30"/>
    <w:rsid w:val="007C08D1"/>
    <w:rsid w:val="007C1852"/>
    <w:rsid w:val="007C1A23"/>
    <w:rsid w:val="007C34EA"/>
    <w:rsid w:val="007C354A"/>
    <w:rsid w:val="007C62BA"/>
    <w:rsid w:val="007C675F"/>
    <w:rsid w:val="007C7427"/>
    <w:rsid w:val="007C779F"/>
    <w:rsid w:val="007D1A6E"/>
    <w:rsid w:val="007D26CA"/>
    <w:rsid w:val="007D2F4F"/>
    <w:rsid w:val="007D34D2"/>
    <w:rsid w:val="007D4F68"/>
    <w:rsid w:val="007D59E5"/>
    <w:rsid w:val="007D6487"/>
    <w:rsid w:val="007D67AB"/>
    <w:rsid w:val="007D6F4C"/>
    <w:rsid w:val="007D736F"/>
    <w:rsid w:val="007D7973"/>
    <w:rsid w:val="007E1C12"/>
    <w:rsid w:val="007E2719"/>
    <w:rsid w:val="007E2CDD"/>
    <w:rsid w:val="007E48A9"/>
    <w:rsid w:val="007E7ACE"/>
    <w:rsid w:val="007E7BC8"/>
    <w:rsid w:val="007E7DA1"/>
    <w:rsid w:val="007F047F"/>
    <w:rsid w:val="007F0ECD"/>
    <w:rsid w:val="007F0FFA"/>
    <w:rsid w:val="007F1D8C"/>
    <w:rsid w:val="007F357D"/>
    <w:rsid w:val="007F3B23"/>
    <w:rsid w:val="007F4E27"/>
    <w:rsid w:val="007F5426"/>
    <w:rsid w:val="007F5B40"/>
    <w:rsid w:val="008020D3"/>
    <w:rsid w:val="00802837"/>
    <w:rsid w:val="008028B2"/>
    <w:rsid w:val="00803244"/>
    <w:rsid w:val="0080476E"/>
    <w:rsid w:val="008049EF"/>
    <w:rsid w:val="00806606"/>
    <w:rsid w:val="00811627"/>
    <w:rsid w:val="008136BC"/>
    <w:rsid w:val="008137FD"/>
    <w:rsid w:val="0081418F"/>
    <w:rsid w:val="0081420A"/>
    <w:rsid w:val="0081458A"/>
    <w:rsid w:val="00815139"/>
    <w:rsid w:val="008159B1"/>
    <w:rsid w:val="00817737"/>
    <w:rsid w:val="00817792"/>
    <w:rsid w:val="008202A1"/>
    <w:rsid w:val="00820D03"/>
    <w:rsid w:val="00820DD9"/>
    <w:rsid w:val="008210D2"/>
    <w:rsid w:val="008212F3"/>
    <w:rsid w:val="00821FDC"/>
    <w:rsid w:val="008225EB"/>
    <w:rsid w:val="0082329C"/>
    <w:rsid w:val="0082373E"/>
    <w:rsid w:val="00823942"/>
    <w:rsid w:val="00823AF9"/>
    <w:rsid w:val="008243EC"/>
    <w:rsid w:val="00825363"/>
    <w:rsid w:val="00825B76"/>
    <w:rsid w:val="00825F89"/>
    <w:rsid w:val="00827393"/>
    <w:rsid w:val="008277CB"/>
    <w:rsid w:val="008300DF"/>
    <w:rsid w:val="008309BB"/>
    <w:rsid w:val="00832CA7"/>
    <w:rsid w:val="00835534"/>
    <w:rsid w:val="00841E09"/>
    <w:rsid w:val="00841FF9"/>
    <w:rsid w:val="00843B34"/>
    <w:rsid w:val="00843FF1"/>
    <w:rsid w:val="008446AF"/>
    <w:rsid w:val="008448B0"/>
    <w:rsid w:val="00845500"/>
    <w:rsid w:val="008473D6"/>
    <w:rsid w:val="00850978"/>
    <w:rsid w:val="00852A3D"/>
    <w:rsid w:val="00852A81"/>
    <w:rsid w:val="0085342F"/>
    <w:rsid w:val="00854252"/>
    <w:rsid w:val="008545E0"/>
    <w:rsid w:val="00855242"/>
    <w:rsid w:val="00855A55"/>
    <w:rsid w:val="0085604C"/>
    <w:rsid w:val="008605C3"/>
    <w:rsid w:val="008614FF"/>
    <w:rsid w:val="00861FAA"/>
    <w:rsid w:val="00862C35"/>
    <w:rsid w:val="0086317D"/>
    <w:rsid w:val="008632A4"/>
    <w:rsid w:val="008645FB"/>
    <w:rsid w:val="00865502"/>
    <w:rsid w:val="00866C37"/>
    <w:rsid w:val="00866CC0"/>
    <w:rsid w:val="00866CD0"/>
    <w:rsid w:val="00866D51"/>
    <w:rsid w:val="0087071F"/>
    <w:rsid w:val="00870891"/>
    <w:rsid w:val="00872D0D"/>
    <w:rsid w:val="0087314E"/>
    <w:rsid w:val="008738F3"/>
    <w:rsid w:val="00873F8D"/>
    <w:rsid w:val="008758E9"/>
    <w:rsid w:val="00875F64"/>
    <w:rsid w:val="00876E8E"/>
    <w:rsid w:val="0087713E"/>
    <w:rsid w:val="00880335"/>
    <w:rsid w:val="0088050B"/>
    <w:rsid w:val="00880821"/>
    <w:rsid w:val="00881BAE"/>
    <w:rsid w:val="008827A2"/>
    <w:rsid w:val="008838F4"/>
    <w:rsid w:val="00884D5E"/>
    <w:rsid w:val="008859DA"/>
    <w:rsid w:val="00890D07"/>
    <w:rsid w:val="0089173F"/>
    <w:rsid w:val="00891D49"/>
    <w:rsid w:val="008926D2"/>
    <w:rsid w:val="008938C9"/>
    <w:rsid w:val="00893DF7"/>
    <w:rsid w:val="00895406"/>
    <w:rsid w:val="008958C8"/>
    <w:rsid w:val="0089610F"/>
    <w:rsid w:val="0089719A"/>
    <w:rsid w:val="008A007C"/>
    <w:rsid w:val="008A1ADE"/>
    <w:rsid w:val="008A20D8"/>
    <w:rsid w:val="008A304D"/>
    <w:rsid w:val="008A3C1C"/>
    <w:rsid w:val="008A3EBC"/>
    <w:rsid w:val="008A545B"/>
    <w:rsid w:val="008A5BE9"/>
    <w:rsid w:val="008A6C61"/>
    <w:rsid w:val="008B033D"/>
    <w:rsid w:val="008B15C0"/>
    <w:rsid w:val="008B30DD"/>
    <w:rsid w:val="008B3F0C"/>
    <w:rsid w:val="008B5C5F"/>
    <w:rsid w:val="008C1A41"/>
    <w:rsid w:val="008C25BF"/>
    <w:rsid w:val="008C5A92"/>
    <w:rsid w:val="008C64DD"/>
    <w:rsid w:val="008C68D6"/>
    <w:rsid w:val="008C7B89"/>
    <w:rsid w:val="008D1B8C"/>
    <w:rsid w:val="008D247F"/>
    <w:rsid w:val="008D3CA2"/>
    <w:rsid w:val="008D58EF"/>
    <w:rsid w:val="008D6654"/>
    <w:rsid w:val="008D7689"/>
    <w:rsid w:val="008E017F"/>
    <w:rsid w:val="008E12E5"/>
    <w:rsid w:val="008E1916"/>
    <w:rsid w:val="008E21B9"/>
    <w:rsid w:val="008E41E4"/>
    <w:rsid w:val="008E7269"/>
    <w:rsid w:val="008E7CED"/>
    <w:rsid w:val="008F1F74"/>
    <w:rsid w:val="008F3D4F"/>
    <w:rsid w:val="008F4C6C"/>
    <w:rsid w:val="008F5FB4"/>
    <w:rsid w:val="008F67F9"/>
    <w:rsid w:val="008F6C2A"/>
    <w:rsid w:val="008F7735"/>
    <w:rsid w:val="0090186F"/>
    <w:rsid w:val="00901FCB"/>
    <w:rsid w:val="0090222C"/>
    <w:rsid w:val="009068DB"/>
    <w:rsid w:val="0091024D"/>
    <w:rsid w:val="0091036B"/>
    <w:rsid w:val="00910916"/>
    <w:rsid w:val="00910B3B"/>
    <w:rsid w:val="00912CF1"/>
    <w:rsid w:val="0091307F"/>
    <w:rsid w:val="00915911"/>
    <w:rsid w:val="0092676D"/>
    <w:rsid w:val="009267D1"/>
    <w:rsid w:val="0092796A"/>
    <w:rsid w:val="00930C7A"/>
    <w:rsid w:val="00931608"/>
    <w:rsid w:val="0093271E"/>
    <w:rsid w:val="009334FF"/>
    <w:rsid w:val="00933D72"/>
    <w:rsid w:val="00933DB9"/>
    <w:rsid w:val="009344F4"/>
    <w:rsid w:val="009352FE"/>
    <w:rsid w:val="0093629E"/>
    <w:rsid w:val="009419D3"/>
    <w:rsid w:val="00942211"/>
    <w:rsid w:val="0094249A"/>
    <w:rsid w:val="00942900"/>
    <w:rsid w:val="00942FF6"/>
    <w:rsid w:val="0094625A"/>
    <w:rsid w:val="0094628B"/>
    <w:rsid w:val="00946F1D"/>
    <w:rsid w:val="009475DB"/>
    <w:rsid w:val="009502CD"/>
    <w:rsid w:val="0095053B"/>
    <w:rsid w:val="009509FB"/>
    <w:rsid w:val="00952531"/>
    <w:rsid w:val="00952B4C"/>
    <w:rsid w:val="00953506"/>
    <w:rsid w:val="00953EE2"/>
    <w:rsid w:val="00954708"/>
    <w:rsid w:val="00954AF6"/>
    <w:rsid w:val="00954F51"/>
    <w:rsid w:val="00954FD8"/>
    <w:rsid w:val="0095539A"/>
    <w:rsid w:val="00957281"/>
    <w:rsid w:val="00957312"/>
    <w:rsid w:val="00960379"/>
    <w:rsid w:val="00960477"/>
    <w:rsid w:val="00960F4C"/>
    <w:rsid w:val="00961177"/>
    <w:rsid w:val="009612E7"/>
    <w:rsid w:val="00961B72"/>
    <w:rsid w:val="00961B79"/>
    <w:rsid w:val="00961F46"/>
    <w:rsid w:val="00962D2D"/>
    <w:rsid w:val="00964DCA"/>
    <w:rsid w:val="0096549C"/>
    <w:rsid w:val="009712C3"/>
    <w:rsid w:val="00973F5D"/>
    <w:rsid w:val="009753E2"/>
    <w:rsid w:val="00975761"/>
    <w:rsid w:val="009766BE"/>
    <w:rsid w:val="00977A91"/>
    <w:rsid w:val="00980481"/>
    <w:rsid w:val="00984CAD"/>
    <w:rsid w:val="00985607"/>
    <w:rsid w:val="00985C0F"/>
    <w:rsid w:val="009865CC"/>
    <w:rsid w:val="0098666E"/>
    <w:rsid w:val="00987CE6"/>
    <w:rsid w:val="009904CE"/>
    <w:rsid w:val="00991B16"/>
    <w:rsid w:val="00991E4E"/>
    <w:rsid w:val="0099267D"/>
    <w:rsid w:val="00992C66"/>
    <w:rsid w:val="0099566F"/>
    <w:rsid w:val="00995B98"/>
    <w:rsid w:val="009A1A8B"/>
    <w:rsid w:val="009A2074"/>
    <w:rsid w:val="009A257F"/>
    <w:rsid w:val="009A2F11"/>
    <w:rsid w:val="009A3AFA"/>
    <w:rsid w:val="009A4A14"/>
    <w:rsid w:val="009B19B4"/>
    <w:rsid w:val="009B4616"/>
    <w:rsid w:val="009B5AF9"/>
    <w:rsid w:val="009B64C7"/>
    <w:rsid w:val="009B7A03"/>
    <w:rsid w:val="009B7A82"/>
    <w:rsid w:val="009C04E6"/>
    <w:rsid w:val="009C1F09"/>
    <w:rsid w:val="009C5318"/>
    <w:rsid w:val="009C62EB"/>
    <w:rsid w:val="009C658E"/>
    <w:rsid w:val="009D058C"/>
    <w:rsid w:val="009D0706"/>
    <w:rsid w:val="009D0FBC"/>
    <w:rsid w:val="009D1377"/>
    <w:rsid w:val="009D1F3A"/>
    <w:rsid w:val="009D763C"/>
    <w:rsid w:val="009D7822"/>
    <w:rsid w:val="009D7A3F"/>
    <w:rsid w:val="009E0662"/>
    <w:rsid w:val="009E0DA7"/>
    <w:rsid w:val="009E0E37"/>
    <w:rsid w:val="009E1777"/>
    <w:rsid w:val="009E1ADB"/>
    <w:rsid w:val="009E697C"/>
    <w:rsid w:val="009E7DE0"/>
    <w:rsid w:val="009F2396"/>
    <w:rsid w:val="009F26B2"/>
    <w:rsid w:val="009F51D7"/>
    <w:rsid w:val="009F54E3"/>
    <w:rsid w:val="009F69E6"/>
    <w:rsid w:val="009F6A1C"/>
    <w:rsid w:val="00A02F9E"/>
    <w:rsid w:val="00A04CDB"/>
    <w:rsid w:val="00A054AA"/>
    <w:rsid w:val="00A067CE"/>
    <w:rsid w:val="00A0743A"/>
    <w:rsid w:val="00A11E56"/>
    <w:rsid w:val="00A1335F"/>
    <w:rsid w:val="00A13B43"/>
    <w:rsid w:val="00A13C96"/>
    <w:rsid w:val="00A14C44"/>
    <w:rsid w:val="00A17999"/>
    <w:rsid w:val="00A214A9"/>
    <w:rsid w:val="00A21DD1"/>
    <w:rsid w:val="00A23724"/>
    <w:rsid w:val="00A23E57"/>
    <w:rsid w:val="00A255D6"/>
    <w:rsid w:val="00A25B3E"/>
    <w:rsid w:val="00A26029"/>
    <w:rsid w:val="00A2650D"/>
    <w:rsid w:val="00A27378"/>
    <w:rsid w:val="00A27544"/>
    <w:rsid w:val="00A279CF"/>
    <w:rsid w:val="00A306A6"/>
    <w:rsid w:val="00A30C34"/>
    <w:rsid w:val="00A32C28"/>
    <w:rsid w:val="00A352FE"/>
    <w:rsid w:val="00A3551D"/>
    <w:rsid w:val="00A35CFF"/>
    <w:rsid w:val="00A365E1"/>
    <w:rsid w:val="00A36808"/>
    <w:rsid w:val="00A36FA1"/>
    <w:rsid w:val="00A40C07"/>
    <w:rsid w:val="00A41655"/>
    <w:rsid w:val="00A41E93"/>
    <w:rsid w:val="00A424FA"/>
    <w:rsid w:val="00A42932"/>
    <w:rsid w:val="00A429B0"/>
    <w:rsid w:val="00A42BD2"/>
    <w:rsid w:val="00A44B00"/>
    <w:rsid w:val="00A4678F"/>
    <w:rsid w:val="00A46AF4"/>
    <w:rsid w:val="00A46ED9"/>
    <w:rsid w:val="00A4716E"/>
    <w:rsid w:val="00A50CD6"/>
    <w:rsid w:val="00A5466B"/>
    <w:rsid w:val="00A54A46"/>
    <w:rsid w:val="00A550DF"/>
    <w:rsid w:val="00A55FBE"/>
    <w:rsid w:val="00A57058"/>
    <w:rsid w:val="00A607F8"/>
    <w:rsid w:val="00A60BB4"/>
    <w:rsid w:val="00A621F0"/>
    <w:rsid w:val="00A628A4"/>
    <w:rsid w:val="00A62C5E"/>
    <w:rsid w:val="00A62C6C"/>
    <w:rsid w:val="00A652B9"/>
    <w:rsid w:val="00A70391"/>
    <w:rsid w:val="00A70A5F"/>
    <w:rsid w:val="00A71465"/>
    <w:rsid w:val="00A71F5C"/>
    <w:rsid w:val="00A74525"/>
    <w:rsid w:val="00A7514C"/>
    <w:rsid w:val="00A76F23"/>
    <w:rsid w:val="00A779BC"/>
    <w:rsid w:val="00A837ED"/>
    <w:rsid w:val="00A848DD"/>
    <w:rsid w:val="00A85830"/>
    <w:rsid w:val="00A85A83"/>
    <w:rsid w:val="00A85C79"/>
    <w:rsid w:val="00A86909"/>
    <w:rsid w:val="00A873C5"/>
    <w:rsid w:val="00A87CC7"/>
    <w:rsid w:val="00A90E2A"/>
    <w:rsid w:val="00A93337"/>
    <w:rsid w:val="00A937FB"/>
    <w:rsid w:val="00A94881"/>
    <w:rsid w:val="00A97282"/>
    <w:rsid w:val="00A97B24"/>
    <w:rsid w:val="00AA1F16"/>
    <w:rsid w:val="00AA4194"/>
    <w:rsid w:val="00AA4BBC"/>
    <w:rsid w:val="00AA5038"/>
    <w:rsid w:val="00AA5584"/>
    <w:rsid w:val="00AA568B"/>
    <w:rsid w:val="00AA5C3C"/>
    <w:rsid w:val="00AA6DEA"/>
    <w:rsid w:val="00AB0A88"/>
    <w:rsid w:val="00AB4C37"/>
    <w:rsid w:val="00AB4FC8"/>
    <w:rsid w:val="00AB5447"/>
    <w:rsid w:val="00AB66B2"/>
    <w:rsid w:val="00AB68EC"/>
    <w:rsid w:val="00AC08AF"/>
    <w:rsid w:val="00AC1B8E"/>
    <w:rsid w:val="00AC1F1A"/>
    <w:rsid w:val="00AC2072"/>
    <w:rsid w:val="00AC260D"/>
    <w:rsid w:val="00AC310D"/>
    <w:rsid w:val="00AC3B87"/>
    <w:rsid w:val="00AC3EF9"/>
    <w:rsid w:val="00AC5EF8"/>
    <w:rsid w:val="00AC747C"/>
    <w:rsid w:val="00AC7526"/>
    <w:rsid w:val="00AD06A6"/>
    <w:rsid w:val="00AD0950"/>
    <w:rsid w:val="00AD554E"/>
    <w:rsid w:val="00AD68BE"/>
    <w:rsid w:val="00AD7BFF"/>
    <w:rsid w:val="00AE1F1F"/>
    <w:rsid w:val="00AE416F"/>
    <w:rsid w:val="00AE56BE"/>
    <w:rsid w:val="00AE6079"/>
    <w:rsid w:val="00AE612C"/>
    <w:rsid w:val="00AE638F"/>
    <w:rsid w:val="00AE7403"/>
    <w:rsid w:val="00AE7A52"/>
    <w:rsid w:val="00AE7CB5"/>
    <w:rsid w:val="00AE7E1A"/>
    <w:rsid w:val="00AF10AE"/>
    <w:rsid w:val="00AF14FF"/>
    <w:rsid w:val="00AF31B9"/>
    <w:rsid w:val="00AF3ED2"/>
    <w:rsid w:val="00AF4855"/>
    <w:rsid w:val="00AF6027"/>
    <w:rsid w:val="00AF6092"/>
    <w:rsid w:val="00AF60B5"/>
    <w:rsid w:val="00AF7562"/>
    <w:rsid w:val="00B00511"/>
    <w:rsid w:val="00B00547"/>
    <w:rsid w:val="00B00EBF"/>
    <w:rsid w:val="00B07942"/>
    <w:rsid w:val="00B1050C"/>
    <w:rsid w:val="00B111C4"/>
    <w:rsid w:val="00B111CA"/>
    <w:rsid w:val="00B116E4"/>
    <w:rsid w:val="00B11DC6"/>
    <w:rsid w:val="00B132E2"/>
    <w:rsid w:val="00B13C5E"/>
    <w:rsid w:val="00B1642E"/>
    <w:rsid w:val="00B16FA4"/>
    <w:rsid w:val="00B170AE"/>
    <w:rsid w:val="00B2013B"/>
    <w:rsid w:val="00B201F5"/>
    <w:rsid w:val="00B21A35"/>
    <w:rsid w:val="00B227AC"/>
    <w:rsid w:val="00B236AF"/>
    <w:rsid w:val="00B238C6"/>
    <w:rsid w:val="00B25AF2"/>
    <w:rsid w:val="00B25ED8"/>
    <w:rsid w:val="00B27210"/>
    <w:rsid w:val="00B304D7"/>
    <w:rsid w:val="00B313F9"/>
    <w:rsid w:val="00B3173F"/>
    <w:rsid w:val="00B340C7"/>
    <w:rsid w:val="00B34AC7"/>
    <w:rsid w:val="00B378EF"/>
    <w:rsid w:val="00B40695"/>
    <w:rsid w:val="00B410F7"/>
    <w:rsid w:val="00B42260"/>
    <w:rsid w:val="00B42934"/>
    <w:rsid w:val="00B43813"/>
    <w:rsid w:val="00B44A39"/>
    <w:rsid w:val="00B45E0B"/>
    <w:rsid w:val="00B4620F"/>
    <w:rsid w:val="00B534DE"/>
    <w:rsid w:val="00B534E6"/>
    <w:rsid w:val="00B53E0D"/>
    <w:rsid w:val="00B568B4"/>
    <w:rsid w:val="00B57BAE"/>
    <w:rsid w:val="00B61135"/>
    <w:rsid w:val="00B63BCF"/>
    <w:rsid w:val="00B661E3"/>
    <w:rsid w:val="00B70C15"/>
    <w:rsid w:val="00B72D7A"/>
    <w:rsid w:val="00B73C23"/>
    <w:rsid w:val="00B74345"/>
    <w:rsid w:val="00B76B78"/>
    <w:rsid w:val="00B816ED"/>
    <w:rsid w:val="00B81C43"/>
    <w:rsid w:val="00B83465"/>
    <w:rsid w:val="00B84329"/>
    <w:rsid w:val="00B84712"/>
    <w:rsid w:val="00B84904"/>
    <w:rsid w:val="00B87215"/>
    <w:rsid w:val="00B87831"/>
    <w:rsid w:val="00B900FF"/>
    <w:rsid w:val="00B90723"/>
    <w:rsid w:val="00B9279D"/>
    <w:rsid w:val="00B92A44"/>
    <w:rsid w:val="00B93547"/>
    <w:rsid w:val="00B93E9B"/>
    <w:rsid w:val="00B9657E"/>
    <w:rsid w:val="00B965A2"/>
    <w:rsid w:val="00B9667D"/>
    <w:rsid w:val="00B96E86"/>
    <w:rsid w:val="00B97752"/>
    <w:rsid w:val="00BA35FC"/>
    <w:rsid w:val="00BA4E1B"/>
    <w:rsid w:val="00BB004F"/>
    <w:rsid w:val="00BB021F"/>
    <w:rsid w:val="00BB557F"/>
    <w:rsid w:val="00BB55E2"/>
    <w:rsid w:val="00BB7807"/>
    <w:rsid w:val="00BC11F9"/>
    <w:rsid w:val="00BC223E"/>
    <w:rsid w:val="00BC568B"/>
    <w:rsid w:val="00BC6892"/>
    <w:rsid w:val="00BC69A4"/>
    <w:rsid w:val="00BC7DEF"/>
    <w:rsid w:val="00BD00FF"/>
    <w:rsid w:val="00BD06D7"/>
    <w:rsid w:val="00BD10C1"/>
    <w:rsid w:val="00BD1E99"/>
    <w:rsid w:val="00BD2215"/>
    <w:rsid w:val="00BD371C"/>
    <w:rsid w:val="00BD3826"/>
    <w:rsid w:val="00BD3A0C"/>
    <w:rsid w:val="00BD4A98"/>
    <w:rsid w:val="00BD52EE"/>
    <w:rsid w:val="00BD5327"/>
    <w:rsid w:val="00BE011B"/>
    <w:rsid w:val="00BE0EA5"/>
    <w:rsid w:val="00BE0EBA"/>
    <w:rsid w:val="00BE1045"/>
    <w:rsid w:val="00BE104C"/>
    <w:rsid w:val="00BE18CD"/>
    <w:rsid w:val="00BE2299"/>
    <w:rsid w:val="00BE22E2"/>
    <w:rsid w:val="00BE2880"/>
    <w:rsid w:val="00BE39A9"/>
    <w:rsid w:val="00BE414C"/>
    <w:rsid w:val="00BE4EF2"/>
    <w:rsid w:val="00BE6756"/>
    <w:rsid w:val="00BF08B2"/>
    <w:rsid w:val="00BF115F"/>
    <w:rsid w:val="00BF2354"/>
    <w:rsid w:val="00BF2574"/>
    <w:rsid w:val="00BF3006"/>
    <w:rsid w:val="00BF30A5"/>
    <w:rsid w:val="00BF33D5"/>
    <w:rsid w:val="00BF3D65"/>
    <w:rsid w:val="00BF3E25"/>
    <w:rsid w:val="00BF3EB0"/>
    <w:rsid w:val="00BF476B"/>
    <w:rsid w:val="00C0020B"/>
    <w:rsid w:val="00C00874"/>
    <w:rsid w:val="00C018BF"/>
    <w:rsid w:val="00C03FE9"/>
    <w:rsid w:val="00C07472"/>
    <w:rsid w:val="00C1017B"/>
    <w:rsid w:val="00C115CC"/>
    <w:rsid w:val="00C11E0F"/>
    <w:rsid w:val="00C120F5"/>
    <w:rsid w:val="00C131BF"/>
    <w:rsid w:val="00C13AEA"/>
    <w:rsid w:val="00C141E7"/>
    <w:rsid w:val="00C16B12"/>
    <w:rsid w:val="00C16D3E"/>
    <w:rsid w:val="00C1765A"/>
    <w:rsid w:val="00C20C59"/>
    <w:rsid w:val="00C22AD7"/>
    <w:rsid w:val="00C24700"/>
    <w:rsid w:val="00C252AC"/>
    <w:rsid w:val="00C25336"/>
    <w:rsid w:val="00C255BE"/>
    <w:rsid w:val="00C2654B"/>
    <w:rsid w:val="00C2665F"/>
    <w:rsid w:val="00C26895"/>
    <w:rsid w:val="00C312CA"/>
    <w:rsid w:val="00C327FE"/>
    <w:rsid w:val="00C3346B"/>
    <w:rsid w:val="00C33783"/>
    <w:rsid w:val="00C33C85"/>
    <w:rsid w:val="00C36183"/>
    <w:rsid w:val="00C37C6D"/>
    <w:rsid w:val="00C4015A"/>
    <w:rsid w:val="00C40964"/>
    <w:rsid w:val="00C409B0"/>
    <w:rsid w:val="00C41F24"/>
    <w:rsid w:val="00C42647"/>
    <w:rsid w:val="00C435E0"/>
    <w:rsid w:val="00C47157"/>
    <w:rsid w:val="00C50315"/>
    <w:rsid w:val="00C50820"/>
    <w:rsid w:val="00C51037"/>
    <w:rsid w:val="00C52FEA"/>
    <w:rsid w:val="00C53DBC"/>
    <w:rsid w:val="00C541A1"/>
    <w:rsid w:val="00C560EF"/>
    <w:rsid w:val="00C573A3"/>
    <w:rsid w:val="00C6036B"/>
    <w:rsid w:val="00C609CE"/>
    <w:rsid w:val="00C60F95"/>
    <w:rsid w:val="00C621AE"/>
    <w:rsid w:val="00C6257B"/>
    <w:rsid w:val="00C644B9"/>
    <w:rsid w:val="00C6464A"/>
    <w:rsid w:val="00C65D98"/>
    <w:rsid w:val="00C6630D"/>
    <w:rsid w:val="00C70160"/>
    <w:rsid w:val="00C71311"/>
    <w:rsid w:val="00C71322"/>
    <w:rsid w:val="00C713C1"/>
    <w:rsid w:val="00C72E9E"/>
    <w:rsid w:val="00C74CDE"/>
    <w:rsid w:val="00C7602A"/>
    <w:rsid w:val="00C762EA"/>
    <w:rsid w:val="00C76D06"/>
    <w:rsid w:val="00C77EB2"/>
    <w:rsid w:val="00C81F22"/>
    <w:rsid w:val="00C838D9"/>
    <w:rsid w:val="00C84DBD"/>
    <w:rsid w:val="00C856D1"/>
    <w:rsid w:val="00C863E0"/>
    <w:rsid w:val="00C86977"/>
    <w:rsid w:val="00C87079"/>
    <w:rsid w:val="00C87F47"/>
    <w:rsid w:val="00C90BE2"/>
    <w:rsid w:val="00C92BB1"/>
    <w:rsid w:val="00C937AE"/>
    <w:rsid w:val="00C94FDD"/>
    <w:rsid w:val="00C9509D"/>
    <w:rsid w:val="00C96BE0"/>
    <w:rsid w:val="00C9754F"/>
    <w:rsid w:val="00C97673"/>
    <w:rsid w:val="00C97727"/>
    <w:rsid w:val="00CA0782"/>
    <w:rsid w:val="00CA295D"/>
    <w:rsid w:val="00CA4005"/>
    <w:rsid w:val="00CA604E"/>
    <w:rsid w:val="00CA6EF8"/>
    <w:rsid w:val="00CA70E7"/>
    <w:rsid w:val="00CA764A"/>
    <w:rsid w:val="00CA7D0A"/>
    <w:rsid w:val="00CB047E"/>
    <w:rsid w:val="00CB0559"/>
    <w:rsid w:val="00CB270B"/>
    <w:rsid w:val="00CB2842"/>
    <w:rsid w:val="00CB2BD2"/>
    <w:rsid w:val="00CB4372"/>
    <w:rsid w:val="00CB4D4F"/>
    <w:rsid w:val="00CB54D9"/>
    <w:rsid w:val="00CB691A"/>
    <w:rsid w:val="00CC185A"/>
    <w:rsid w:val="00CC1C6C"/>
    <w:rsid w:val="00CC3C33"/>
    <w:rsid w:val="00CC3D53"/>
    <w:rsid w:val="00CC4E80"/>
    <w:rsid w:val="00CC5431"/>
    <w:rsid w:val="00CC5631"/>
    <w:rsid w:val="00CC6EF4"/>
    <w:rsid w:val="00CC7D78"/>
    <w:rsid w:val="00CD07EC"/>
    <w:rsid w:val="00CD21A8"/>
    <w:rsid w:val="00CD33DF"/>
    <w:rsid w:val="00CD5DC2"/>
    <w:rsid w:val="00CD6696"/>
    <w:rsid w:val="00CD6CB6"/>
    <w:rsid w:val="00CE0F16"/>
    <w:rsid w:val="00CE15DE"/>
    <w:rsid w:val="00CE275A"/>
    <w:rsid w:val="00CE2B0F"/>
    <w:rsid w:val="00CE3124"/>
    <w:rsid w:val="00CE5B35"/>
    <w:rsid w:val="00CE6808"/>
    <w:rsid w:val="00CE75A0"/>
    <w:rsid w:val="00CF05DA"/>
    <w:rsid w:val="00CF0E43"/>
    <w:rsid w:val="00CF1337"/>
    <w:rsid w:val="00CF1445"/>
    <w:rsid w:val="00CF248F"/>
    <w:rsid w:val="00CF2ED8"/>
    <w:rsid w:val="00CF5C9E"/>
    <w:rsid w:val="00CF5D89"/>
    <w:rsid w:val="00CF7E03"/>
    <w:rsid w:val="00D008E0"/>
    <w:rsid w:val="00D02460"/>
    <w:rsid w:val="00D03060"/>
    <w:rsid w:val="00D03F7B"/>
    <w:rsid w:val="00D04C33"/>
    <w:rsid w:val="00D06CC8"/>
    <w:rsid w:val="00D07888"/>
    <w:rsid w:val="00D112EF"/>
    <w:rsid w:val="00D11AD3"/>
    <w:rsid w:val="00D12DED"/>
    <w:rsid w:val="00D17E34"/>
    <w:rsid w:val="00D22486"/>
    <w:rsid w:val="00D22754"/>
    <w:rsid w:val="00D22888"/>
    <w:rsid w:val="00D236F3"/>
    <w:rsid w:val="00D23FBE"/>
    <w:rsid w:val="00D24BFF"/>
    <w:rsid w:val="00D257C2"/>
    <w:rsid w:val="00D25B63"/>
    <w:rsid w:val="00D2600F"/>
    <w:rsid w:val="00D313CF"/>
    <w:rsid w:val="00D316D8"/>
    <w:rsid w:val="00D31AD8"/>
    <w:rsid w:val="00D33A33"/>
    <w:rsid w:val="00D34383"/>
    <w:rsid w:val="00D35B79"/>
    <w:rsid w:val="00D37221"/>
    <w:rsid w:val="00D414E1"/>
    <w:rsid w:val="00D439F0"/>
    <w:rsid w:val="00D44AFD"/>
    <w:rsid w:val="00D452A4"/>
    <w:rsid w:val="00D45AC0"/>
    <w:rsid w:val="00D46CE5"/>
    <w:rsid w:val="00D50012"/>
    <w:rsid w:val="00D504B7"/>
    <w:rsid w:val="00D52020"/>
    <w:rsid w:val="00D5294A"/>
    <w:rsid w:val="00D54C43"/>
    <w:rsid w:val="00D55D88"/>
    <w:rsid w:val="00D5620F"/>
    <w:rsid w:val="00D5707C"/>
    <w:rsid w:val="00D61436"/>
    <w:rsid w:val="00D7292F"/>
    <w:rsid w:val="00D741B2"/>
    <w:rsid w:val="00D75288"/>
    <w:rsid w:val="00D752BA"/>
    <w:rsid w:val="00D75556"/>
    <w:rsid w:val="00D76168"/>
    <w:rsid w:val="00D77016"/>
    <w:rsid w:val="00D772DE"/>
    <w:rsid w:val="00D77E7A"/>
    <w:rsid w:val="00D80EF1"/>
    <w:rsid w:val="00D81FE2"/>
    <w:rsid w:val="00D82A9E"/>
    <w:rsid w:val="00D82DE9"/>
    <w:rsid w:val="00D8494D"/>
    <w:rsid w:val="00D90BF6"/>
    <w:rsid w:val="00D90D8C"/>
    <w:rsid w:val="00D91580"/>
    <w:rsid w:val="00D92BFB"/>
    <w:rsid w:val="00D934AA"/>
    <w:rsid w:val="00D940C9"/>
    <w:rsid w:val="00D950AE"/>
    <w:rsid w:val="00D95A98"/>
    <w:rsid w:val="00D971E7"/>
    <w:rsid w:val="00DA030C"/>
    <w:rsid w:val="00DA15AB"/>
    <w:rsid w:val="00DA1DD6"/>
    <w:rsid w:val="00DA23C5"/>
    <w:rsid w:val="00DA315D"/>
    <w:rsid w:val="00DA513C"/>
    <w:rsid w:val="00DA583C"/>
    <w:rsid w:val="00DA6D36"/>
    <w:rsid w:val="00DA7153"/>
    <w:rsid w:val="00DA73CB"/>
    <w:rsid w:val="00DB064F"/>
    <w:rsid w:val="00DB0775"/>
    <w:rsid w:val="00DB0B9D"/>
    <w:rsid w:val="00DB10D6"/>
    <w:rsid w:val="00DB13C3"/>
    <w:rsid w:val="00DB2038"/>
    <w:rsid w:val="00DB2E8C"/>
    <w:rsid w:val="00DB3321"/>
    <w:rsid w:val="00DB34D0"/>
    <w:rsid w:val="00DB485D"/>
    <w:rsid w:val="00DB4E8C"/>
    <w:rsid w:val="00DB5928"/>
    <w:rsid w:val="00DB6427"/>
    <w:rsid w:val="00DB664C"/>
    <w:rsid w:val="00DB69E1"/>
    <w:rsid w:val="00DB744B"/>
    <w:rsid w:val="00DC146B"/>
    <w:rsid w:val="00DC235A"/>
    <w:rsid w:val="00DC6BF8"/>
    <w:rsid w:val="00DD0950"/>
    <w:rsid w:val="00DD271B"/>
    <w:rsid w:val="00DD31FA"/>
    <w:rsid w:val="00DD3885"/>
    <w:rsid w:val="00DD389F"/>
    <w:rsid w:val="00DD5949"/>
    <w:rsid w:val="00DD6358"/>
    <w:rsid w:val="00DE0074"/>
    <w:rsid w:val="00DE1C2B"/>
    <w:rsid w:val="00DE40E0"/>
    <w:rsid w:val="00DE4DB1"/>
    <w:rsid w:val="00DE4EF0"/>
    <w:rsid w:val="00DE5677"/>
    <w:rsid w:val="00DE5CFE"/>
    <w:rsid w:val="00DE60B4"/>
    <w:rsid w:val="00DE6104"/>
    <w:rsid w:val="00DE6A17"/>
    <w:rsid w:val="00DE6B5C"/>
    <w:rsid w:val="00DF045D"/>
    <w:rsid w:val="00DF11B3"/>
    <w:rsid w:val="00DF2329"/>
    <w:rsid w:val="00DF2A72"/>
    <w:rsid w:val="00DF4CE5"/>
    <w:rsid w:val="00DF6224"/>
    <w:rsid w:val="00E009D1"/>
    <w:rsid w:val="00E01D02"/>
    <w:rsid w:val="00E02B76"/>
    <w:rsid w:val="00E03D24"/>
    <w:rsid w:val="00E04FD8"/>
    <w:rsid w:val="00E067AB"/>
    <w:rsid w:val="00E0690A"/>
    <w:rsid w:val="00E07029"/>
    <w:rsid w:val="00E10D52"/>
    <w:rsid w:val="00E1229C"/>
    <w:rsid w:val="00E127CC"/>
    <w:rsid w:val="00E132C8"/>
    <w:rsid w:val="00E137D3"/>
    <w:rsid w:val="00E16635"/>
    <w:rsid w:val="00E16706"/>
    <w:rsid w:val="00E16EE8"/>
    <w:rsid w:val="00E17B7E"/>
    <w:rsid w:val="00E17C11"/>
    <w:rsid w:val="00E17E10"/>
    <w:rsid w:val="00E17E89"/>
    <w:rsid w:val="00E20460"/>
    <w:rsid w:val="00E2097D"/>
    <w:rsid w:val="00E21B0A"/>
    <w:rsid w:val="00E2288C"/>
    <w:rsid w:val="00E228AD"/>
    <w:rsid w:val="00E23529"/>
    <w:rsid w:val="00E23C25"/>
    <w:rsid w:val="00E24F30"/>
    <w:rsid w:val="00E3078B"/>
    <w:rsid w:val="00E30E81"/>
    <w:rsid w:val="00E3419D"/>
    <w:rsid w:val="00E353F9"/>
    <w:rsid w:val="00E354F1"/>
    <w:rsid w:val="00E4103F"/>
    <w:rsid w:val="00E4261F"/>
    <w:rsid w:val="00E4318C"/>
    <w:rsid w:val="00E438B1"/>
    <w:rsid w:val="00E46DA7"/>
    <w:rsid w:val="00E47F0C"/>
    <w:rsid w:val="00E5025E"/>
    <w:rsid w:val="00E51F71"/>
    <w:rsid w:val="00E5244C"/>
    <w:rsid w:val="00E525CA"/>
    <w:rsid w:val="00E52725"/>
    <w:rsid w:val="00E52D5D"/>
    <w:rsid w:val="00E537D6"/>
    <w:rsid w:val="00E550D1"/>
    <w:rsid w:val="00E57233"/>
    <w:rsid w:val="00E57BF3"/>
    <w:rsid w:val="00E61706"/>
    <w:rsid w:val="00E61B4B"/>
    <w:rsid w:val="00E62860"/>
    <w:rsid w:val="00E6382B"/>
    <w:rsid w:val="00E63EB7"/>
    <w:rsid w:val="00E655F9"/>
    <w:rsid w:val="00E664C8"/>
    <w:rsid w:val="00E66EF8"/>
    <w:rsid w:val="00E6702B"/>
    <w:rsid w:val="00E70FB7"/>
    <w:rsid w:val="00E72D09"/>
    <w:rsid w:val="00E72DA5"/>
    <w:rsid w:val="00E7461B"/>
    <w:rsid w:val="00E76932"/>
    <w:rsid w:val="00E769B3"/>
    <w:rsid w:val="00E7709E"/>
    <w:rsid w:val="00E85078"/>
    <w:rsid w:val="00E85D0D"/>
    <w:rsid w:val="00E86B17"/>
    <w:rsid w:val="00E90D4A"/>
    <w:rsid w:val="00E9214E"/>
    <w:rsid w:val="00E92B97"/>
    <w:rsid w:val="00E94413"/>
    <w:rsid w:val="00E94A63"/>
    <w:rsid w:val="00E95700"/>
    <w:rsid w:val="00E95AFD"/>
    <w:rsid w:val="00E965A7"/>
    <w:rsid w:val="00EA07FD"/>
    <w:rsid w:val="00EA0A2C"/>
    <w:rsid w:val="00EA1AFF"/>
    <w:rsid w:val="00EA5B96"/>
    <w:rsid w:val="00EA62EA"/>
    <w:rsid w:val="00EA63D1"/>
    <w:rsid w:val="00EA79D8"/>
    <w:rsid w:val="00EB2262"/>
    <w:rsid w:val="00EB2799"/>
    <w:rsid w:val="00EB3F3C"/>
    <w:rsid w:val="00EB4814"/>
    <w:rsid w:val="00EB4D6F"/>
    <w:rsid w:val="00EB5CF6"/>
    <w:rsid w:val="00EC25EA"/>
    <w:rsid w:val="00EC2F32"/>
    <w:rsid w:val="00EC4B7D"/>
    <w:rsid w:val="00EC5673"/>
    <w:rsid w:val="00EC6252"/>
    <w:rsid w:val="00EC718D"/>
    <w:rsid w:val="00ED01AC"/>
    <w:rsid w:val="00ED0394"/>
    <w:rsid w:val="00ED0772"/>
    <w:rsid w:val="00ED188A"/>
    <w:rsid w:val="00ED5D77"/>
    <w:rsid w:val="00ED5ECE"/>
    <w:rsid w:val="00ED6D54"/>
    <w:rsid w:val="00EE1CD6"/>
    <w:rsid w:val="00EE3A84"/>
    <w:rsid w:val="00EE4071"/>
    <w:rsid w:val="00EE4106"/>
    <w:rsid w:val="00EE5F57"/>
    <w:rsid w:val="00EE62CA"/>
    <w:rsid w:val="00EE6589"/>
    <w:rsid w:val="00EE7742"/>
    <w:rsid w:val="00EF0BF7"/>
    <w:rsid w:val="00EF0D36"/>
    <w:rsid w:val="00EF2B53"/>
    <w:rsid w:val="00EF2C81"/>
    <w:rsid w:val="00EF513F"/>
    <w:rsid w:val="00EF61A4"/>
    <w:rsid w:val="00F02EED"/>
    <w:rsid w:val="00F03B32"/>
    <w:rsid w:val="00F03CF3"/>
    <w:rsid w:val="00F04D4B"/>
    <w:rsid w:val="00F04FD2"/>
    <w:rsid w:val="00F07977"/>
    <w:rsid w:val="00F13686"/>
    <w:rsid w:val="00F152ED"/>
    <w:rsid w:val="00F15E0B"/>
    <w:rsid w:val="00F160C2"/>
    <w:rsid w:val="00F16F5D"/>
    <w:rsid w:val="00F17DE0"/>
    <w:rsid w:val="00F20093"/>
    <w:rsid w:val="00F2095E"/>
    <w:rsid w:val="00F21F90"/>
    <w:rsid w:val="00F25086"/>
    <w:rsid w:val="00F25E4A"/>
    <w:rsid w:val="00F27B36"/>
    <w:rsid w:val="00F30172"/>
    <w:rsid w:val="00F33307"/>
    <w:rsid w:val="00F344E6"/>
    <w:rsid w:val="00F352CB"/>
    <w:rsid w:val="00F364E2"/>
    <w:rsid w:val="00F36E61"/>
    <w:rsid w:val="00F376C7"/>
    <w:rsid w:val="00F3784D"/>
    <w:rsid w:val="00F40BFE"/>
    <w:rsid w:val="00F41B5F"/>
    <w:rsid w:val="00F43409"/>
    <w:rsid w:val="00F44CC6"/>
    <w:rsid w:val="00F46401"/>
    <w:rsid w:val="00F46682"/>
    <w:rsid w:val="00F479CD"/>
    <w:rsid w:val="00F51158"/>
    <w:rsid w:val="00F53B02"/>
    <w:rsid w:val="00F55B0A"/>
    <w:rsid w:val="00F56D1F"/>
    <w:rsid w:val="00F60CD6"/>
    <w:rsid w:val="00F61D81"/>
    <w:rsid w:val="00F63304"/>
    <w:rsid w:val="00F64D81"/>
    <w:rsid w:val="00F675B1"/>
    <w:rsid w:val="00F71EE1"/>
    <w:rsid w:val="00F73582"/>
    <w:rsid w:val="00F73E35"/>
    <w:rsid w:val="00F74937"/>
    <w:rsid w:val="00F75126"/>
    <w:rsid w:val="00F771BB"/>
    <w:rsid w:val="00F807E3"/>
    <w:rsid w:val="00F81121"/>
    <w:rsid w:val="00F81668"/>
    <w:rsid w:val="00F823DE"/>
    <w:rsid w:val="00F82E82"/>
    <w:rsid w:val="00F85088"/>
    <w:rsid w:val="00F85184"/>
    <w:rsid w:val="00F953CD"/>
    <w:rsid w:val="00F96CB2"/>
    <w:rsid w:val="00F9716D"/>
    <w:rsid w:val="00FA1BF1"/>
    <w:rsid w:val="00FA1D2A"/>
    <w:rsid w:val="00FA2409"/>
    <w:rsid w:val="00FA47B5"/>
    <w:rsid w:val="00FA5E3A"/>
    <w:rsid w:val="00FA5F4D"/>
    <w:rsid w:val="00FA71EE"/>
    <w:rsid w:val="00FB035C"/>
    <w:rsid w:val="00FB067B"/>
    <w:rsid w:val="00FB1BBE"/>
    <w:rsid w:val="00FB2805"/>
    <w:rsid w:val="00FB373C"/>
    <w:rsid w:val="00FB59D7"/>
    <w:rsid w:val="00FB5BF2"/>
    <w:rsid w:val="00FB620C"/>
    <w:rsid w:val="00FC08C6"/>
    <w:rsid w:val="00FC0C8C"/>
    <w:rsid w:val="00FC0FFB"/>
    <w:rsid w:val="00FC1045"/>
    <w:rsid w:val="00FC199E"/>
    <w:rsid w:val="00FC2F80"/>
    <w:rsid w:val="00FC512E"/>
    <w:rsid w:val="00FC545C"/>
    <w:rsid w:val="00FC5C56"/>
    <w:rsid w:val="00FC5F7D"/>
    <w:rsid w:val="00FC6711"/>
    <w:rsid w:val="00FC68F2"/>
    <w:rsid w:val="00FC6AE5"/>
    <w:rsid w:val="00FC72A6"/>
    <w:rsid w:val="00FD0B74"/>
    <w:rsid w:val="00FD1247"/>
    <w:rsid w:val="00FD13D6"/>
    <w:rsid w:val="00FD25A6"/>
    <w:rsid w:val="00FD3194"/>
    <w:rsid w:val="00FD5D1C"/>
    <w:rsid w:val="00FD64A2"/>
    <w:rsid w:val="00FE030B"/>
    <w:rsid w:val="00FE1198"/>
    <w:rsid w:val="00FE479C"/>
    <w:rsid w:val="00FE4B32"/>
    <w:rsid w:val="00FE51A9"/>
    <w:rsid w:val="00FE5346"/>
    <w:rsid w:val="00FE554A"/>
    <w:rsid w:val="00FE5621"/>
    <w:rsid w:val="00FE56F5"/>
    <w:rsid w:val="00FE5A53"/>
    <w:rsid w:val="00FE6D78"/>
    <w:rsid w:val="00FE7076"/>
    <w:rsid w:val="00FE78CC"/>
    <w:rsid w:val="00FF0112"/>
    <w:rsid w:val="00FF1357"/>
    <w:rsid w:val="00FF2295"/>
    <w:rsid w:val="00FF2518"/>
    <w:rsid w:val="00FF36ED"/>
    <w:rsid w:val="00FF5B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0FD0745"/>
  <w15:chartTrackingRefBased/>
  <w15:docId w15:val="{24DD9E49-B681-4258-A59D-BF02D8F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65AE2"/>
    <w:pPr>
      <w:widowControl w:val="0"/>
    </w:pPr>
    <w:rPr>
      <w:snapToGrid w:val="0"/>
      <w:sz w:val="24"/>
    </w:rPr>
  </w:style>
  <w:style w:type="paragraph" w:styleId="Heading3">
    <w:name w:val="heading 3"/>
    <w:basedOn w:val="Normal"/>
    <w:next w:val="Normal"/>
    <w:link w:val="Heading3Char"/>
    <w:uiPriority w:val="9"/>
    <w:semiHidden/>
    <w:unhideWhenUsed/>
    <w:qFormat/>
    <w:rsid w:val="000F650E"/>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 Char Char4 Char,Footnote Text Char1,Footnote Text Char4 Char1 Char,Footnote Text Char4 Char1 Char Char Char Char,Footnote Text Char7 Char,Footnote Text Char7 Char Char Char Char,St,f,fn,fn Char,fn Char Char,ft,rrfootnote"/>
    <w:basedOn w:val="Normal"/>
    <w:link w:val="FootnoteTextChar"/>
    <w:qFormat/>
    <w:rsid w:val="00565AE2"/>
    <w:pPr>
      <w:widowControl/>
      <w:spacing w:after="120"/>
    </w:pPr>
    <w:rPr>
      <w:sz w:val="20"/>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f Char"/>
    <w:basedOn w:val="DefaultParagraphFont"/>
    <w:link w:val="FootnoteText"/>
    <w:rsid w:val="00565AE2"/>
    <w:rPr>
      <w:snapToGrid w:val="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65AE2"/>
    <w:rPr>
      <w:rFonts w:ascii="CG Times" w:hAnsi="CG Times"/>
      <w:sz w:val="20"/>
      <w:vertAlign w:val="superscript"/>
    </w:rPr>
  </w:style>
  <w:style w:type="character" w:styleId="Hyperlink">
    <w:name w:val="Hyperlink"/>
    <w:uiPriority w:val="99"/>
    <w:unhideWhenUsed/>
    <w:rsid w:val="00565AE2"/>
    <w:rPr>
      <w:color w:val="0000FF"/>
      <w:u w:val="single"/>
    </w:rPr>
  </w:style>
  <w:style w:type="character" w:customStyle="1" w:styleId="cosearchterm">
    <w:name w:val="co_searchterm"/>
    <w:rsid w:val="00565AE2"/>
  </w:style>
  <w:style w:type="character" w:customStyle="1" w:styleId="FooterChar">
    <w:name w:val="Footer Char"/>
    <w:link w:val="Footer"/>
    <w:uiPriority w:val="99"/>
    <w:rsid w:val="00565AE2"/>
  </w:style>
  <w:style w:type="character" w:customStyle="1" w:styleId="UnresolvedMention">
    <w:name w:val="Unresolved Mention"/>
    <w:basedOn w:val="DefaultParagraphFont"/>
    <w:uiPriority w:val="99"/>
    <w:semiHidden/>
    <w:unhideWhenUsed/>
    <w:rsid w:val="00277F1E"/>
    <w:rPr>
      <w:color w:val="605E5C"/>
      <w:shd w:val="clear" w:color="auto" w:fill="E1DFDD"/>
    </w:rPr>
  </w:style>
  <w:style w:type="paragraph" w:styleId="BalloonText">
    <w:name w:val="Balloon Text"/>
    <w:basedOn w:val="Normal"/>
    <w:link w:val="BalloonTextChar"/>
    <w:uiPriority w:val="99"/>
    <w:semiHidden/>
    <w:unhideWhenUsed/>
    <w:rsid w:val="00E04F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FD8"/>
    <w:rPr>
      <w:rFonts w:ascii="Segoe UI" w:hAnsi="Segoe UI" w:cs="Segoe UI"/>
      <w:snapToGrid w:val="0"/>
      <w:sz w:val="18"/>
      <w:szCs w:val="18"/>
    </w:rPr>
  </w:style>
  <w:style w:type="character" w:customStyle="1" w:styleId="ftChar">
    <w:name w:val="ft Char"/>
    <w:aliases w:val="ALTS FOOTNOTE Char Char,Footnote Text Char Char,Footnote Text Char Char Char Char,Footnote Text Char1 Char Char,Footnote Text Char1 Char Char Char1 Char,Footnote Text Char1 Char1 Char Char"/>
    <w:basedOn w:val="DefaultParagraphFont"/>
    <w:rsid w:val="00F74937"/>
    <w:rPr>
      <w:rFonts w:eastAsia="MS Mincho"/>
      <w:lang w:val="en-US" w:eastAsia="ja-JP" w:bidi="ar-SA"/>
    </w:rPr>
  </w:style>
  <w:style w:type="character" w:styleId="Emphasis">
    <w:name w:val="Emphasis"/>
    <w:basedOn w:val="DefaultParagraphFont"/>
    <w:uiPriority w:val="20"/>
    <w:qFormat/>
    <w:rsid w:val="002A03A6"/>
    <w:rPr>
      <w:i/>
      <w:iCs/>
    </w:rPr>
  </w:style>
  <w:style w:type="character" w:styleId="PlaceholderText">
    <w:name w:val="Placeholder Text"/>
    <w:basedOn w:val="DefaultParagraphFont"/>
    <w:uiPriority w:val="99"/>
    <w:semiHidden/>
    <w:rsid w:val="00DE6104"/>
    <w:rPr>
      <w:color w:val="808080"/>
    </w:rPr>
  </w:style>
  <w:style w:type="character" w:customStyle="1" w:styleId="Heading3Char">
    <w:name w:val="Heading 3 Char"/>
    <w:basedOn w:val="DefaultParagraphFont"/>
    <w:link w:val="Heading3"/>
    <w:uiPriority w:val="9"/>
    <w:semiHidden/>
    <w:rsid w:val="000F650E"/>
    <w:rPr>
      <w:rFonts w:asciiTheme="majorHAnsi" w:eastAsiaTheme="majorEastAsia" w:hAnsiTheme="majorHAnsi" w:cstheme="majorBidi"/>
      <w:snapToGrid w:val="0"/>
      <w:color w:val="1F3763" w:themeColor="accent1" w:themeShade="7F"/>
      <w:sz w:val="24"/>
      <w:szCs w:val="24"/>
    </w:rPr>
  </w:style>
  <w:style w:type="character" w:customStyle="1" w:styleId="FootnoteTextChar2">
    <w:name w:val="Footnote Text Char2"/>
    <w:aliases w:val="Footnote Text Char Char Char4 Char Char1,Footnote Text Char1 Char1,Footnote Text Char4 Char1 Char Char Char Char Char1,Footnote Text Char4 Char1 Char Char1,Footnote Text Char7 Char Char Char Char Char1,Footnote Text Char7 Char Char1"/>
    <w:locked/>
    <w:rsid w:val="008A1ADE"/>
    <w:rPr>
      <w:lang w:val="en-US" w:eastAsia="en-US" w:bidi="ar-SA"/>
    </w:rPr>
  </w:style>
  <w:style w:type="paragraph" w:customStyle="1" w:styleId="ParaNum">
    <w:name w:val="ParaNum"/>
    <w:basedOn w:val="Normal"/>
    <w:link w:val="ParaNumChar1"/>
    <w:rsid w:val="00F20093"/>
    <w:pPr>
      <w:numPr>
        <w:numId w:val="1"/>
      </w:numPr>
      <w:tabs>
        <w:tab w:val="clear" w:pos="1080"/>
        <w:tab w:val="num" w:pos="1440"/>
      </w:tabs>
      <w:spacing w:after="120"/>
    </w:pPr>
    <w:rPr>
      <w:kern w:val="28"/>
      <w:sz w:val="22"/>
    </w:rPr>
  </w:style>
  <w:style w:type="character" w:customStyle="1" w:styleId="ParaNumChar1">
    <w:name w:val="ParaNum Char1"/>
    <w:link w:val="ParaNum"/>
    <w:locked/>
    <w:rsid w:val="00F20093"/>
    <w:rPr>
      <w:snapToGrid w:val="0"/>
      <w:kern w:val="28"/>
      <w:sz w:val="22"/>
    </w:rPr>
  </w:style>
  <w:style w:type="character" w:customStyle="1" w:styleId="ParaNumChar">
    <w:name w:val="ParaNum Char"/>
    <w:rsid w:val="00E2288C"/>
    <w:rPr>
      <w:snapToGrid w:val="0"/>
      <w:kern w:val="28"/>
      <w:sz w:val="22"/>
    </w:rPr>
  </w:style>
  <w:style w:type="character" w:customStyle="1" w:styleId="documentbody5">
    <w:name w:val="documentbody5"/>
    <w:rsid w:val="004108F1"/>
    <w:rPr>
      <w:rFonts w:ascii="Verdana" w:hAnsi="Verdana" w:hint="default"/>
      <w:sz w:val="19"/>
      <w:szCs w:val="19"/>
    </w:rPr>
  </w:style>
  <w:style w:type="character" w:customStyle="1" w:styleId="counderline">
    <w:name w:val="co_underline"/>
    <w:basedOn w:val="DefaultParagraphFont"/>
    <w:rsid w:val="001D20D9"/>
  </w:style>
  <w:style w:type="paragraph" w:customStyle="1" w:styleId="Default">
    <w:name w:val="Default"/>
    <w:rsid w:val="0008044E"/>
    <w:pPr>
      <w:autoSpaceDE w:val="0"/>
      <w:autoSpaceDN w:val="0"/>
      <w:adjustRightInd w:val="0"/>
    </w:pPr>
    <w:rPr>
      <w:color w:val="000000"/>
      <w:sz w:val="24"/>
      <w:szCs w:val="24"/>
    </w:rPr>
  </w:style>
  <w:style w:type="character" w:customStyle="1" w:styleId="costarpage">
    <w:name w:val="co_starpage"/>
    <w:basedOn w:val="DefaultParagraphFont"/>
    <w:rsid w:val="00BD5327"/>
  </w:style>
  <w:style w:type="character" w:styleId="CommentReference">
    <w:name w:val="annotation reference"/>
    <w:basedOn w:val="DefaultParagraphFont"/>
    <w:uiPriority w:val="99"/>
    <w:semiHidden/>
    <w:unhideWhenUsed/>
    <w:rsid w:val="000207CB"/>
    <w:rPr>
      <w:sz w:val="16"/>
      <w:szCs w:val="16"/>
    </w:rPr>
  </w:style>
  <w:style w:type="paragraph" w:styleId="CommentText">
    <w:name w:val="annotation text"/>
    <w:basedOn w:val="Normal"/>
    <w:link w:val="CommentTextChar"/>
    <w:uiPriority w:val="99"/>
    <w:semiHidden/>
    <w:unhideWhenUsed/>
    <w:rsid w:val="000207CB"/>
    <w:rPr>
      <w:sz w:val="20"/>
    </w:rPr>
  </w:style>
  <w:style w:type="character" w:customStyle="1" w:styleId="CommentTextChar">
    <w:name w:val="Comment Text Char"/>
    <w:basedOn w:val="DefaultParagraphFont"/>
    <w:link w:val="CommentText"/>
    <w:uiPriority w:val="99"/>
    <w:semiHidden/>
    <w:rsid w:val="000207CB"/>
    <w:rPr>
      <w:snapToGrid w:val="0"/>
    </w:rPr>
  </w:style>
  <w:style w:type="paragraph" w:styleId="CommentSubject">
    <w:name w:val="annotation subject"/>
    <w:basedOn w:val="CommentText"/>
    <w:next w:val="CommentText"/>
    <w:link w:val="CommentSubjectChar"/>
    <w:uiPriority w:val="99"/>
    <w:semiHidden/>
    <w:unhideWhenUsed/>
    <w:rsid w:val="000207CB"/>
    <w:rPr>
      <w:b/>
      <w:bCs/>
    </w:rPr>
  </w:style>
  <w:style w:type="character" w:customStyle="1" w:styleId="CommentSubjectChar">
    <w:name w:val="Comment Subject Char"/>
    <w:basedOn w:val="CommentTextChar"/>
    <w:link w:val="CommentSubject"/>
    <w:uiPriority w:val="99"/>
    <w:semiHidden/>
    <w:rsid w:val="000207CB"/>
    <w:rPr>
      <w:b/>
      <w:bCs/>
      <w:snapToGrid w:val="0"/>
    </w:rPr>
  </w:style>
  <w:style w:type="character" w:customStyle="1" w:styleId="cosearchwithinterm">
    <w:name w:val="co_searchwithinterm"/>
    <w:basedOn w:val="DefaultParagraphFont"/>
    <w:rsid w:val="00BE2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oxenford@wbklaw.com" TargetMode="External" /><Relationship Id="rId6" Type="http://schemas.openxmlformats.org/officeDocument/2006/relationships/hyperlink" Target="mailto:kkirby@wiley.law" TargetMode="External" /><Relationship Id="rId7" Type="http://schemas.openxmlformats.org/officeDocument/2006/relationships/hyperlink" Target="mailto:gmasters@wiley.law" TargetMode="External" /><Relationship Id="rId8" Type="http://schemas.openxmlformats.org/officeDocument/2006/relationships/footer" Target="footer1.xm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