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393A" w:rsidRPr="00514B38" w:rsidP="0018393A" w14:paraId="7C9FDAD3" w14:textId="77777777">
      <w:pPr>
        <w:jc w:val="center"/>
        <w:rPr>
          <w:b/>
        </w:rPr>
      </w:pPr>
      <w:r w:rsidRPr="00514B38">
        <w:rPr>
          <w:b/>
        </w:rPr>
        <w:t>Before the</w:t>
      </w:r>
    </w:p>
    <w:p w:rsidR="0018393A" w:rsidRPr="00514B38" w:rsidP="0018393A" w14:paraId="1B9ABF53" w14:textId="77777777">
      <w:pPr>
        <w:jc w:val="center"/>
        <w:rPr>
          <w:b/>
        </w:rPr>
      </w:pPr>
      <w:r w:rsidRPr="00514B38">
        <w:rPr>
          <w:b/>
        </w:rPr>
        <w:t>Federal Communications Commission</w:t>
      </w:r>
    </w:p>
    <w:p w:rsidR="0018393A" w:rsidRPr="00514B38" w:rsidP="0018393A" w14:paraId="1AAA9192" w14:textId="77777777">
      <w:pPr>
        <w:jc w:val="center"/>
        <w:rPr>
          <w:b/>
        </w:rPr>
      </w:pPr>
      <w:r w:rsidRPr="00514B38">
        <w:rPr>
          <w:b/>
        </w:rPr>
        <w:t>Washington, D.C. 20554</w:t>
      </w:r>
    </w:p>
    <w:p w:rsidR="0018393A" w:rsidRPr="00514B38" w:rsidP="0018393A" w14:paraId="1C9F4D48" w14:textId="77777777"/>
    <w:p w:rsidR="0018393A" w:rsidRPr="00514B38" w:rsidP="0018393A" w14:paraId="26648253" w14:textId="77777777"/>
    <w:tbl>
      <w:tblPr>
        <w:tblW w:w="0" w:type="auto"/>
        <w:tblLayout w:type="fixed"/>
        <w:tblLook w:val="0000"/>
      </w:tblPr>
      <w:tblGrid>
        <w:gridCol w:w="4698"/>
        <w:gridCol w:w="720"/>
        <w:gridCol w:w="4230"/>
      </w:tblGrid>
      <w:tr w14:paraId="5B675058" w14:textId="77777777" w:rsidTr="00BC00CB">
        <w:tblPrEx>
          <w:tblW w:w="0" w:type="auto"/>
          <w:tblLayout w:type="fixed"/>
          <w:tblLook w:val="0000"/>
        </w:tblPrEx>
        <w:tc>
          <w:tcPr>
            <w:tcW w:w="4698" w:type="dxa"/>
          </w:tcPr>
          <w:p w:rsidR="0018393A" w:rsidRPr="00514B38" w:rsidP="00BC00CB" w14:paraId="78E86258" w14:textId="77777777">
            <w:pPr>
              <w:ind w:right="-18"/>
            </w:pPr>
            <w:r w:rsidRPr="00514B38">
              <w:t>In the Matter of</w:t>
            </w:r>
          </w:p>
          <w:p w:rsidR="0018393A" w:rsidRPr="00514B38" w:rsidP="00BC00CB" w14:paraId="0611D304" w14:textId="77777777">
            <w:pPr>
              <w:ind w:right="-18"/>
            </w:pPr>
          </w:p>
          <w:p w:rsidR="0018393A" w:rsidRPr="00514B38" w:rsidP="00BC00CB" w14:paraId="74D8FC78" w14:textId="77777777">
            <w:pPr>
              <w:ind w:right="-18"/>
            </w:pPr>
            <w:r w:rsidRPr="00514B38">
              <w:t>Pine Cellular Phones, Inc.</w:t>
            </w:r>
          </w:p>
          <w:p w:rsidR="0018393A" w:rsidRPr="00514B38" w:rsidP="00BC00CB" w14:paraId="435A7464" w14:textId="77777777">
            <w:pPr>
              <w:ind w:right="-18"/>
            </w:pPr>
          </w:p>
          <w:p w:rsidR="0018393A" w:rsidRPr="00514B38" w:rsidP="00BC00CB" w14:paraId="002FF048" w14:textId="77777777">
            <w:pPr>
              <w:ind w:right="-18"/>
            </w:pPr>
            <w:r>
              <w:t xml:space="preserve">Further </w:t>
            </w:r>
            <w:r w:rsidRPr="00514B38">
              <w:t xml:space="preserve">Limited Waiver and Extension of Time to Satisfy the Construction Requirement  </w:t>
            </w:r>
          </w:p>
        </w:tc>
        <w:tc>
          <w:tcPr>
            <w:tcW w:w="720" w:type="dxa"/>
          </w:tcPr>
          <w:p w:rsidR="0018393A" w:rsidRPr="00514B38" w:rsidP="00BC00CB" w14:paraId="4A21A65D" w14:textId="77777777">
            <w:pPr>
              <w:rPr>
                <w:b/>
              </w:rPr>
            </w:pPr>
            <w:r w:rsidRPr="00514B38">
              <w:rPr>
                <w:b/>
              </w:rPr>
              <w:t>)</w:t>
            </w:r>
          </w:p>
          <w:p w:rsidR="0018393A" w:rsidRPr="00514B38" w:rsidP="00BC00CB" w14:paraId="07F81E13" w14:textId="77777777">
            <w:pPr>
              <w:rPr>
                <w:b/>
              </w:rPr>
            </w:pPr>
            <w:r w:rsidRPr="00514B38">
              <w:rPr>
                <w:b/>
              </w:rPr>
              <w:t>)</w:t>
            </w:r>
          </w:p>
          <w:p w:rsidR="0018393A" w:rsidRPr="00514B38" w:rsidP="00BC00CB" w14:paraId="54A66A0F" w14:textId="77777777">
            <w:pPr>
              <w:rPr>
                <w:b/>
              </w:rPr>
            </w:pPr>
            <w:r w:rsidRPr="00514B38">
              <w:rPr>
                <w:b/>
              </w:rPr>
              <w:t>)</w:t>
            </w:r>
          </w:p>
          <w:p w:rsidR="0018393A" w:rsidRPr="00514B38" w:rsidP="00BC00CB" w14:paraId="0F3FB345" w14:textId="77777777">
            <w:pPr>
              <w:rPr>
                <w:b/>
              </w:rPr>
            </w:pPr>
            <w:r w:rsidRPr="00514B38">
              <w:rPr>
                <w:b/>
              </w:rPr>
              <w:t>)</w:t>
            </w:r>
          </w:p>
          <w:p w:rsidR="0018393A" w:rsidRPr="00514B38" w:rsidP="00BC00CB" w14:paraId="19CD0E2C" w14:textId="77777777">
            <w:pPr>
              <w:rPr>
                <w:b/>
              </w:rPr>
            </w:pPr>
            <w:r w:rsidRPr="00514B38">
              <w:rPr>
                <w:b/>
              </w:rPr>
              <w:t>)</w:t>
            </w:r>
          </w:p>
          <w:p w:rsidR="0018393A" w:rsidRPr="00514B38" w:rsidP="00BC00CB" w14:paraId="6AA578FC" w14:textId="77777777">
            <w:pPr>
              <w:rPr>
                <w:b/>
              </w:rPr>
            </w:pPr>
            <w:r w:rsidRPr="00514B38">
              <w:rPr>
                <w:b/>
              </w:rPr>
              <w:t>)</w:t>
            </w:r>
          </w:p>
          <w:p w:rsidR="0018393A" w:rsidRPr="00514B38" w:rsidP="00BC00CB" w14:paraId="691F54EE" w14:textId="77777777">
            <w:pPr>
              <w:rPr>
                <w:b/>
              </w:rPr>
            </w:pPr>
            <w:r w:rsidRPr="00514B38">
              <w:rPr>
                <w:b/>
              </w:rPr>
              <w:t>)</w:t>
            </w:r>
          </w:p>
        </w:tc>
        <w:tc>
          <w:tcPr>
            <w:tcW w:w="4230" w:type="dxa"/>
          </w:tcPr>
          <w:p w:rsidR="0018393A" w:rsidRPr="00514B38" w:rsidP="00BC00CB" w14:paraId="720A1230" w14:textId="77777777"/>
          <w:p w:rsidR="0018393A" w:rsidRPr="00514B38" w:rsidP="00BC00CB" w14:paraId="0768B294" w14:textId="77777777"/>
          <w:p w:rsidR="0018393A" w:rsidRPr="00514B38" w:rsidP="00BC00CB" w14:paraId="5697840C" w14:textId="77777777"/>
          <w:p w:rsidR="0018393A" w:rsidRPr="00514B38" w:rsidP="00BC00CB" w14:paraId="0DB1A79D" w14:textId="77777777">
            <w:r w:rsidRPr="00514B38">
              <w:t xml:space="preserve">File No. </w:t>
            </w:r>
            <w:r w:rsidRPr="00F42C80">
              <w:t>0009638398</w:t>
            </w:r>
          </w:p>
          <w:p w:rsidR="0018393A" w:rsidRPr="00514B38" w:rsidP="00BC00CB" w14:paraId="7377F10C" w14:textId="77777777"/>
        </w:tc>
      </w:tr>
    </w:tbl>
    <w:p w:rsidR="0018393A" w:rsidRPr="00514B38" w:rsidP="0018393A" w14:paraId="25822AE5" w14:textId="77777777"/>
    <w:p w:rsidR="0018393A" w:rsidRPr="00514B38" w:rsidP="0018393A" w14:paraId="0DB44E63" w14:textId="77777777">
      <w:pPr>
        <w:spacing w:before="120"/>
        <w:jc w:val="center"/>
        <w:rPr>
          <w:b/>
        </w:rPr>
      </w:pPr>
      <w:r w:rsidRPr="00514B38">
        <w:rPr>
          <w:b/>
          <w:spacing w:val="-2"/>
        </w:rPr>
        <w:t>ORDER</w:t>
      </w:r>
    </w:p>
    <w:p w:rsidR="0018393A" w:rsidRPr="00514B38" w:rsidP="0018393A" w14:paraId="592FF279" w14:textId="77777777"/>
    <w:p w:rsidR="0018393A" w:rsidRPr="00514B38" w:rsidP="0018393A" w14:paraId="1F75E2E0" w14:textId="63131304">
      <w:pPr>
        <w:tabs>
          <w:tab w:val="left" w:pos="5760"/>
        </w:tabs>
        <w:rPr>
          <w:b/>
        </w:rPr>
      </w:pPr>
      <w:r w:rsidRPr="00514B38">
        <w:rPr>
          <w:b/>
        </w:rPr>
        <w:t xml:space="preserve">Adopted:  </w:t>
      </w:r>
      <w:r>
        <w:rPr>
          <w:b/>
        </w:rPr>
        <w:t xml:space="preserve">December </w:t>
      </w:r>
      <w:r w:rsidR="006E6DCF">
        <w:rPr>
          <w:b/>
        </w:rPr>
        <w:t>14</w:t>
      </w:r>
      <w:r>
        <w:rPr>
          <w:b/>
        </w:rPr>
        <w:t>,</w:t>
      </w:r>
      <w:r w:rsidRPr="00514B38">
        <w:rPr>
          <w:b/>
        </w:rPr>
        <w:t xml:space="preserve"> 202</w:t>
      </w:r>
      <w:r>
        <w:rPr>
          <w:b/>
        </w:rPr>
        <w:t>1</w:t>
      </w:r>
      <w:r w:rsidRPr="00514B38">
        <w:rPr>
          <w:b/>
        </w:rPr>
        <w:tab/>
        <w:t xml:space="preserve">Released:  </w:t>
      </w:r>
      <w:r>
        <w:rPr>
          <w:b/>
        </w:rPr>
        <w:t xml:space="preserve">December </w:t>
      </w:r>
      <w:r w:rsidR="006E6DCF">
        <w:rPr>
          <w:b/>
        </w:rPr>
        <w:t>14</w:t>
      </w:r>
      <w:r>
        <w:rPr>
          <w:b/>
        </w:rPr>
        <w:t xml:space="preserve">, </w:t>
      </w:r>
      <w:r w:rsidRPr="00514B38">
        <w:rPr>
          <w:b/>
        </w:rPr>
        <w:t>202</w:t>
      </w:r>
      <w:r>
        <w:rPr>
          <w:b/>
        </w:rPr>
        <w:t>1</w:t>
      </w:r>
    </w:p>
    <w:p w:rsidR="0018393A" w:rsidRPr="00514B38" w:rsidP="0018393A" w14:paraId="088D79D4" w14:textId="77777777">
      <w:pPr>
        <w:tabs>
          <w:tab w:val="left" w:pos="5760"/>
        </w:tabs>
        <w:rPr>
          <w:b/>
        </w:rPr>
      </w:pPr>
    </w:p>
    <w:p w:rsidR="0018393A" w:rsidRPr="00514B38" w:rsidP="0018393A" w14:paraId="36877450" w14:textId="77777777">
      <w:pPr>
        <w:tabs>
          <w:tab w:val="left" w:pos="5760"/>
        </w:tabs>
      </w:pPr>
      <w:r w:rsidRPr="00514B38">
        <w:t>By the</w:t>
      </w:r>
      <w:r w:rsidRPr="00514B38">
        <w:rPr>
          <w:spacing w:val="-2"/>
        </w:rPr>
        <w:t xml:space="preserve"> Chief, Broadband Division, Wireless Telecommunications Bureau:</w:t>
      </w:r>
    </w:p>
    <w:p w:rsidR="0018393A" w:rsidRPr="00514B38" w:rsidP="0018393A" w14:paraId="0585E0AE" w14:textId="77777777">
      <w:pPr>
        <w:tabs>
          <w:tab w:val="left" w:pos="5760"/>
        </w:tabs>
        <w:rPr>
          <w:b/>
        </w:rPr>
      </w:pPr>
    </w:p>
    <w:p w:rsidR="0018393A" w:rsidRPr="00514B38" w:rsidP="0018393A" w14:paraId="7C092EDA" w14:textId="77777777"/>
    <w:p w:rsidR="0018393A" w:rsidRPr="00514B38" w:rsidP="0018393A" w14:paraId="07575184" w14:textId="77777777">
      <w:pPr>
        <w:pStyle w:val="Heading1"/>
        <w:numPr>
          <w:ilvl w:val="0"/>
          <w:numId w:val="8"/>
        </w:numPr>
        <w:tabs>
          <w:tab w:val="left" w:pos="720"/>
        </w:tabs>
      </w:pPr>
      <w:r w:rsidRPr="00514B38">
        <w:t>Introduction</w:t>
      </w:r>
    </w:p>
    <w:p w:rsidR="0018393A" w:rsidRPr="00514B38" w:rsidP="0018393A" w14:paraId="3BDEF338" w14:textId="77777777">
      <w:pPr>
        <w:pStyle w:val="ParaNum"/>
      </w:pPr>
      <w:r w:rsidRPr="00514B38">
        <w:t xml:space="preserve">In this </w:t>
      </w:r>
      <w:r w:rsidRPr="00514B38">
        <w:rPr>
          <w:iCs/>
        </w:rPr>
        <w:t>Order</w:t>
      </w:r>
      <w:r w:rsidRPr="00514B38">
        <w:t>, we grant</w:t>
      </w:r>
      <w:r>
        <w:t xml:space="preserve"> </w:t>
      </w:r>
      <w:r w:rsidRPr="00514B38">
        <w:t xml:space="preserve">the above-captioned request by Pine Cellular Phones, Inc. (Pine Cellular) for a limited waiver and </w:t>
      </w:r>
      <w:r>
        <w:t>further</w:t>
      </w:r>
      <w:r w:rsidRPr="00514B38">
        <w:t xml:space="preserve"> extension of time to meet the Tribal lands bidding credit (TLBC) construction </w:t>
      </w:r>
      <w:r w:rsidRPr="0018393A">
        <w:t>requirement</w:t>
      </w:r>
      <w:r w:rsidRPr="00514B38">
        <w:t xml:space="preserve"> to deploy service to the Choctaw Nation of Oklahoma communities in Eastern Oklahoma (Choctaw Nation communities).  For the reasons stated below, we grant a limited waiver of section 1.2110(f)(3)(vii) to provide one additional year for Pine Cellular to meet the TLBC construction requirement associated with Call Sign WRAM805, one of its 600 MHz licenses.</w:t>
      </w:r>
    </w:p>
    <w:p w:rsidR="0018393A" w:rsidRPr="00514B38" w:rsidP="0018393A" w14:paraId="73258302" w14:textId="77777777">
      <w:pPr>
        <w:pStyle w:val="Heading1"/>
        <w:numPr>
          <w:ilvl w:val="0"/>
          <w:numId w:val="8"/>
        </w:numPr>
        <w:tabs>
          <w:tab w:val="left" w:pos="720"/>
        </w:tabs>
      </w:pPr>
      <w:r w:rsidRPr="00514B38">
        <w:t>Background</w:t>
      </w:r>
    </w:p>
    <w:p w:rsidR="0018393A" w:rsidRPr="00622C59" w:rsidP="0018393A" w14:paraId="011FD180" w14:textId="77777777">
      <w:pPr>
        <w:pStyle w:val="ParaNum"/>
        <w:rPr>
          <w:szCs w:val="22"/>
        </w:rPr>
      </w:pPr>
      <w:r w:rsidRPr="00514B38">
        <w:t xml:space="preserve">Pine Cellular was the winning bidder in Auction No. 1002 for two 600 MHz licenses, including the Texarkana, TX (PEA 181) E-Block license that is the subject of its </w:t>
      </w:r>
      <w:r w:rsidRPr="00176523">
        <w:rPr>
          <w:iCs/>
        </w:rPr>
        <w:t>Extension Request.</w:t>
      </w:r>
      <w:r>
        <w:rPr>
          <w:rStyle w:val="FootnoteReference"/>
          <w:iCs/>
        </w:rPr>
        <w:footnoteReference w:id="3"/>
      </w:r>
      <w:r w:rsidRPr="00514B38">
        <w:t xml:space="preserve">  On January 9, 2018, the Wireless Telecommunications Bureau (Bureau) issued Pine Cellular’s license for this market, </w:t>
      </w:r>
      <w:bookmarkStart w:id="0" w:name="_Hlk46211292"/>
      <w:r w:rsidRPr="00514B38">
        <w:t xml:space="preserve">Call Sign WRAM805, </w:t>
      </w:r>
      <w:bookmarkEnd w:id="0"/>
      <w:r w:rsidRPr="00514B38">
        <w:t>which included a TLBC of $2,009,350 to serve Choctaw Nation communities.</w:t>
      </w:r>
      <w:r>
        <w:rPr>
          <w:rStyle w:val="FootnoteReference"/>
        </w:rPr>
        <w:footnoteReference w:id="4"/>
      </w:r>
      <w:r w:rsidRPr="00514B38">
        <w:t xml:space="preserve">  As a condition of </w:t>
      </w:r>
      <w:r w:rsidRPr="0018393A">
        <w:t>receiving</w:t>
      </w:r>
      <w:r w:rsidRPr="00514B38">
        <w:t xml:space="preserve"> the TLBC, Pine Cellular </w:t>
      </w:r>
      <w:r>
        <w:t>wa</w:t>
      </w:r>
      <w:r w:rsidRPr="00514B38">
        <w:t>s</w:t>
      </w:r>
      <w:r>
        <w:t xml:space="preserve"> initially</w:t>
      </w:r>
      <w:r w:rsidRPr="00514B38">
        <w:t xml:space="preserve"> required to construct and operate a system capable of serving 75 percent of the population of Choctaw Nation communities within the Pine Cellular’s Call Sign WRAM805 service area within three years of the license grant, by January 9, 2021.</w:t>
      </w:r>
      <w:r>
        <w:rPr>
          <w:rStyle w:val="FootnoteReference"/>
        </w:rPr>
        <w:footnoteReference w:id="5"/>
      </w:r>
      <w:r w:rsidRPr="00514B38">
        <w:t xml:space="preserve">  </w:t>
      </w:r>
    </w:p>
    <w:p w:rsidR="0018393A" w:rsidRPr="00514B38" w:rsidP="0018393A" w14:paraId="3CB4D306" w14:textId="77777777">
      <w:pPr>
        <w:pStyle w:val="ParaNum"/>
      </w:pPr>
      <w:r>
        <w:t>I</w:t>
      </w:r>
      <w:r w:rsidRPr="00514B38">
        <w:t xml:space="preserve">n April 2018, </w:t>
      </w:r>
      <w:r w:rsidRPr="005701E2">
        <w:t xml:space="preserve">the Commission proposed a rule to prohibit the use of Universal Service Fund (USF) funds to purchase equipment or services “from any communications equipment or service </w:t>
      </w:r>
      <w:bookmarkStart w:id="3" w:name="_Hlk45789941"/>
      <w:r w:rsidRPr="005701E2">
        <w:t xml:space="preserve">providers identified as posing a national security risk </w:t>
      </w:r>
      <w:bookmarkEnd w:id="3"/>
      <w:r w:rsidRPr="005701E2">
        <w:t>to communications networks or the communications supply chain” (hereinafter “covered companies”).</w:t>
      </w:r>
      <w:r>
        <w:rPr>
          <w:rStyle w:val="FootnoteReference"/>
          <w:szCs w:val="22"/>
        </w:rPr>
        <w:footnoteReference w:id="6"/>
      </w:r>
      <w:r w:rsidRPr="005701E2">
        <w:t xml:space="preserve">  </w:t>
      </w:r>
      <w:bookmarkStart w:id="5" w:name="_Hlk45789573"/>
      <w:r w:rsidRPr="00514B38">
        <w:t xml:space="preserve">In November 2019, the Commission adopted the </w:t>
      </w:r>
      <w:r w:rsidRPr="00514B38">
        <w:t>proposed rule to prospectively prohibit recipients of USF funds from using those funds for systems that use or have components of covered companies, and initially designated Huawei Technologies Company (Huawei) and ZTE Corporation (ZTE) as covered companies for purposes of this rule.</w:t>
      </w:r>
      <w:r>
        <w:rPr>
          <w:rStyle w:val="FootnoteReference"/>
        </w:rPr>
        <w:footnoteReference w:id="7"/>
      </w:r>
      <w:r w:rsidRPr="00514B38">
        <w:t xml:space="preserve">  </w:t>
      </w:r>
      <w:bookmarkStart w:id="7" w:name="_Hlk46212754"/>
      <w:r w:rsidRPr="00514B38">
        <w:t>In June 2020, the Public Safety and Homeland Security Bureau issued final designations of Huawei and ZTE as covered companies, effective immediately.</w:t>
      </w:r>
      <w:r>
        <w:rPr>
          <w:rStyle w:val="FootnoteReference"/>
        </w:rPr>
        <w:footnoteReference w:id="8"/>
      </w:r>
      <w:bookmarkEnd w:id="5"/>
      <w:r w:rsidRPr="00514B38">
        <w:t xml:space="preserve">  </w:t>
      </w:r>
      <w:bookmarkEnd w:id="7"/>
      <w:r w:rsidRPr="00514B38">
        <w:t>In July 2020, the Commission adopted a declaratory ruling integrating provisions of the Secure and Trusted Communications Networks Act</w:t>
      </w:r>
      <w:r>
        <w:rPr>
          <w:rStyle w:val="FootnoteReference"/>
        </w:rPr>
        <w:footnoteReference w:id="9"/>
      </w:r>
      <w:r w:rsidRPr="00514B38">
        <w:t xml:space="preserve"> into the existing </w:t>
      </w:r>
      <w:r w:rsidRPr="005701E2">
        <w:rPr>
          <w:i/>
          <w:iCs/>
        </w:rPr>
        <w:t>Supply Chain</w:t>
      </w:r>
      <w:r w:rsidRPr="00514B38">
        <w:t xml:space="preserve"> rulemaking proceeding, and issued the </w:t>
      </w:r>
      <w:r w:rsidRPr="005701E2">
        <w:rPr>
          <w:i/>
          <w:iCs/>
        </w:rPr>
        <w:t>Supply Chain</w:t>
      </w:r>
      <w:r w:rsidRPr="00514B38">
        <w:t xml:space="preserve"> </w:t>
      </w:r>
      <w:r w:rsidRPr="005701E2">
        <w:rPr>
          <w:i/>
          <w:iCs/>
        </w:rPr>
        <w:t>Second Further</w:t>
      </w:r>
      <w:r w:rsidRPr="00514B38">
        <w:t xml:space="preserve"> </w:t>
      </w:r>
      <w:r w:rsidRPr="005701E2">
        <w:rPr>
          <w:i/>
          <w:iCs/>
        </w:rPr>
        <w:t>Notice</w:t>
      </w:r>
      <w:r w:rsidRPr="00514B38">
        <w:t>, which included a proposal to establish regulations to prevent waste, fraud, and abuse in the proposed reimbursement program to remove, replace, and dispose of insecure equipment.</w:t>
      </w:r>
      <w:r>
        <w:rPr>
          <w:rStyle w:val="FootnoteReference"/>
        </w:rPr>
        <w:footnoteReference w:id="10"/>
      </w:r>
      <w:r>
        <w:t xml:space="preserve">  </w:t>
      </w:r>
    </w:p>
    <w:p w:rsidR="0018393A" w:rsidRPr="00514B38" w:rsidP="0018393A" w14:paraId="00105784" w14:textId="77777777">
      <w:pPr>
        <w:pStyle w:val="ParaNum"/>
      </w:pPr>
      <w:r w:rsidRPr="00514B38">
        <w:t xml:space="preserve">On May 22, 2020, Pine Cellular filed </w:t>
      </w:r>
      <w:r>
        <w:t>its</w:t>
      </w:r>
      <w:r w:rsidRPr="00514B38">
        <w:t xml:space="preserve"> </w:t>
      </w:r>
      <w:r>
        <w:t>Initial</w:t>
      </w:r>
      <w:r w:rsidRPr="00514B38">
        <w:t xml:space="preserve"> Extension Request,</w:t>
      </w:r>
      <w:r>
        <w:rPr>
          <w:rStyle w:val="FootnoteReference"/>
        </w:rPr>
        <w:footnoteReference w:id="11"/>
      </w:r>
      <w:r w:rsidRPr="00514B38">
        <w:t xml:space="preserve"> which </w:t>
      </w:r>
      <w:r>
        <w:t>sought</w:t>
      </w:r>
      <w:r w:rsidRPr="00514B38">
        <w:t xml:space="preserve"> a waiver of section 1.2110(f)(3)(vii) to allow for additional time to meet the TLBC construction requirement associated </w:t>
      </w:r>
      <w:r w:rsidRPr="0018393A">
        <w:t>with</w:t>
      </w:r>
      <w:r w:rsidRPr="00514B38">
        <w:t xml:space="preserve"> Call Sign WRAM805.</w:t>
      </w:r>
      <w:r>
        <w:rPr>
          <w:rStyle w:val="FootnoteReference"/>
        </w:rPr>
        <w:footnoteReference w:id="12"/>
      </w:r>
      <w:r w:rsidRPr="00514B38">
        <w:t xml:space="preserve">  </w:t>
      </w:r>
      <w:r w:rsidRPr="00514B38">
        <w:rPr>
          <w:szCs w:val="22"/>
        </w:rPr>
        <w:t>Pine Cellular explain</w:t>
      </w:r>
      <w:r>
        <w:rPr>
          <w:szCs w:val="22"/>
        </w:rPr>
        <w:t>ed</w:t>
      </w:r>
      <w:r w:rsidRPr="00514B38">
        <w:rPr>
          <w:szCs w:val="22"/>
        </w:rPr>
        <w:t xml:space="preserve"> that, when its license was issued in January 2018, it already had wireless mobile infrastructure in place and was well-positioned to deploy service to the </w:t>
      </w:r>
      <w:r w:rsidRPr="00514B38">
        <w:t>Choctaw Nation communities</w:t>
      </w:r>
      <w:r w:rsidRPr="00514B38">
        <w:rPr>
          <w:szCs w:val="22"/>
        </w:rPr>
        <w:t xml:space="preserve"> </w:t>
      </w:r>
      <w:r w:rsidRPr="00514B38">
        <w:rPr>
          <w:szCs w:val="22"/>
        </w:rPr>
        <w:t>within the three-year period.</w:t>
      </w:r>
      <w:r>
        <w:rPr>
          <w:rStyle w:val="FootnoteReference"/>
          <w:szCs w:val="22"/>
        </w:rPr>
        <w:footnoteReference w:id="13"/>
      </w:r>
      <w:r w:rsidRPr="00514B38">
        <w:rPr>
          <w:szCs w:val="22"/>
        </w:rPr>
        <w:t xml:space="preserve">  Soon after Pine Cellular’s license was issued, however, the Commission initiated</w:t>
      </w:r>
      <w:r>
        <w:rPr>
          <w:szCs w:val="22"/>
        </w:rPr>
        <w:t xml:space="preserve"> the </w:t>
      </w:r>
      <w:r>
        <w:rPr>
          <w:i/>
          <w:iCs/>
          <w:szCs w:val="22"/>
        </w:rPr>
        <w:t xml:space="preserve">Supply Chain </w:t>
      </w:r>
      <w:r>
        <w:rPr>
          <w:szCs w:val="22"/>
        </w:rPr>
        <w:t>proceeding and later adopted</w:t>
      </w:r>
      <w:r>
        <w:t xml:space="preserve"> </w:t>
      </w:r>
      <w:r w:rsidRPr="00514B38">
        <w:rPr>
          <w:szCs w:val="22"/>
        </w:rPr>
        <w:t>a rule</w:t>
      </w:r>
      <w:r>
        <w:t xml:space="preserve"> </w:t>
      </w:r>
      <w:r w:rsidRPr="00514B38">
        <w:t>to prospectively prohibit recipients of USF funds from using those funds for systems that use or have components of covered companies that present national security risks.</w:t>
      </w:r>
      <w:r>
        <w:rPr>
          <w:rStyle w:val="FootnoteReference"/>
        </w:rPr>
        <w:footnoteReference w:id="14"/>
      </w:r>
      <w:r w:rsidRPr="00514B38">
        <w:t xml:space="preserve">  Pine Cellular receives high-cost support from the Commission’s Mobility Fund Phase I and Connect America Fund Phase II programs, and Pine Cellular is an Eligible Telecommunications Carrier.</w:t>
      </w:r>
      <w:r>
        <w:rPr>
          <w:rStyle w:val="FootnoteReference"/>
        </w:rPr>
        <w:footnoteReference w:id="15"/>
      </w:r>
      <w:r w:rsidRPr="00514B38">
        <w:t xml:space="preserve"> </w:t>
      </w:r>
      <w:r>
        <w:t xml:space="preserve"> </w:t>
      </w:r>
      <w:r w:rsidRPr="00514B38">
        <w:t>Pine Cellular assert</w:t>
      </w:r>
      <w:r>
        <w:t>ed</w:t>
      </w:r>
      <w:r w:rsidRPr="00514B38">
        <w:t xml:space="preserve"> that it need</w:t>
      </w:r>
      <w:r>
        <w:t>ed</w:t>
      </w:r>
      <w:r w:rsidRPr="00514B38">
        <w:t xml:space="preserve"> additional time to deploy its network to serve Choctaw Nation communities because </w:t>
      </w:r>
      <w:bookmarkStart w:id="9" w:name="_Hlk45785263"/>
      <w:r w:rsidRPr="00514B38">
        <w:t>its existing network in that geographic area uses Huawei equipment for the performance of core functions</w:t>
      </w:r>
      <w:r>
        <w:t>.</w:t>
      </w:r>
      <w:r>
        <w:rPr>
          <w:rStyle w:val="FootnoteReference"/>
        </w:rPr>
        <w:footnoteReference w:id="16"/>
      </w:r>
    </w:p>
    <w:p w:rsidR="0018393A" w:rsidP="0018393A" w14:paraId="0DFA02BA" w14:textId="77777777">
      <w:pPr>
        <w:pStyle w:val="ParaNum"/>
      </w:pPr>
      <w:r w:rsidRPr="00514B38">
        <w:t xml:space="preserve">Because Pine </w:t>
      </w:r>
      <w:r w:rsidRPr="0018393A">
        <w:t>Cellular</w:t>
      </w:r>
      <w:r w:rsidRPr="00514B38">
        <w:t xml:space="preserve"> is prohibited from using USF funds to maintain, improve, modify, operate, manage, or otherwise support its Huawei equipment</w:t>
      </w:r>
      <w:r>
        <w:t>,</w:t>
      </w:r>
      <w:r>
        <w:rPr>
          <w:rStyle w:val="FootnoteReference"/>
        </w:rPr>
        <w:footnoteReference w:id="17"/>
      </w:r>
      <w:r w:rsidRPr="00514B38">
        <w:t xml:space="preserve"> it assert</w:t>
      </w:r>
      <w:r>
        <w:t>ed</w:t>
      </w:r>
      <w:r w:rsidRPr="00514B38">
        <w:t xml:space="preserve"> that it </w:t>
      </w:r>
      <w:r>
        <w:t xml:space="preserve">could not </w:t>
      </w:r>
      <w:r w:rsidRPr="00514B38">
        <w:t>act without a significant cost burden until the Commission act</w:t>
      </w:r>
      <w:r>
        <w:t>ed</w:t>
      </w:r>
      <w:r w:rsidRPr="00514B38">
        <w:t xml:space="preserve"> in the </w:t>
      </w:r>
      <w:r w:rsidRPr="00514B38">
        <w:rPr>
          <w:i/>
          <w:iCs/>
        </w:rPr>
        <w:t xml:space="preserve">Supply Chain </w:t>
      </w:r>
      <w:r w:rsidRPr="00514B38">
        <w:t>proceeding to establish a cost reimbursement program for USF recipients to replace equipment from covered companies.</w:t>
      </w:r>
      <w:r>
        <w:rPr>
          <w:rStyle w:val="FootnoteReference"/>
        </w:rPr>
        <w:footnoteReference w:id="18"/>
      </w:r>
      <w:r w:rsidRPr="00514B38">
        <w:t xml:space="preserve">  </w:t>
      </w:r>
      <w:bookmarkEnd w:id="9"/>
      <w:r w:rsidRPr="00514B38">
        <w:t>Specifically, Pine Cellular explain</w:t>
      </w:r>
      <w:r>
        <w:t>ed</w:t>
      </w:r>
      <w:r w:rsidRPr="00514B38">
        <w:t xml:space="preserve"> that if it built out its existing Huawei network to Choctaw Nation communities as originally planned, it would be using insecure equipment, and may ultimately need to rip out and replace the newly-installed network due to the </w:t>
      </w:r>
      <w:r w:rsidRPr="00514B38">
        <w:rPr>
          <w:i/>
          <w:iCs/>
        </w:rPr>
        <w:t>Supply Chain</w:t>
      </w:r>
      <w:r w:rsidRPr="00514B38">
        <w:t xml:space="preserve"> restrictions.</w:t>
      </w:r>
      <w:r>
        <w:rPr>
          <w:rStyle w:val="FootnoteReference"/>
        </w:rPr>
        <w:footnoteReference w:id="19"/>
      </w:r>
      <w:r w:rsidRPr="00514B38">
        <w:t xml:space="preserve">  Further, Pine Cellular argue</w:t>
      </w:r>
      <w:r>
        <w:t>d</w:t>
      </w:r>
      <w:r w:rsidRPr="00514B38">
        <w:t>, if it d</w:t>
      </w:r>
      <w:r>
        <w:t>id</w:t>
      </w:r>
      <w:r w:rsidRPr="00514B38">
        <w:t xml:space="preserve"> expand its existing Huawei network it face</w:t>
      </w:r>
      <w:r>
        <w:t>d</w:t>
      </w:r>
      <w:r w:rsidRPr="00514B38">
        <w:t xml:space="preserve"> penalties if it c</w:t>
      </w:r>
      <w:r>
        <w:t>ould not</w:t>
      </w:r>
      <w:r w:rsidRPr="00514B38">
        <w:t xml:space="preserve"> prove to the Commission’s satisfaction that it used non-USF funds</w:t>
      </w:r>
      <w:r>
        <w:t>.</w:t>
      </w:r>
      <w:r>
        <w:rPr>
          <w:rStyle w:val="FootnoteReference"/>
        </w:rPr>
        <w:footnoteReference w:id="20"/>
      </w:r>
      <w:r w:rsidRPr="00514B38">
        <w:t xml:space="preserve">  </w:t>
      </w:r>
      <w:r w:rsidRPr="00514B38">
        <w:rPr>
          <w:szCs w:val="22"/>
        </w:rPr>
        <w:t>As a result, Pine Cellular claim</w:t>
      </w:r>
      <w:r>
        <w:rPr>
          <w:szCs w:val="22"/>
        </w:rPr>
        <w:t>ed</w:t>
      </w:r>
      <w:r w:rsidRPr="00514B38">
        <w:rPr>
          <w:szCs w:val="22"/>
        </w:rPr>
        <w:t xml:space="preserve"> that it </w:t>
      </w:r>
      <w:r>
        <w:rPr>
          <w:szCs w:val="22"/>
        </w:rPr>
        <w:t>wa</w:t>
      </w:r>
      <w:r w:rsidRPr="00514B38">
        <w:rPr>
          <w:szCs w:val="22"/>
        </w:rPr>
        <w:t>s unreasonable to build out its existing network in the area to serve Choctaw Nation communities at th</w:t>
      </w:r>
      <w:r>
        <w:rPr>
          <w:szCs w:val="22"/>
        </w:rPr>
        <w:t>at</w:t>
      </w:r>
      <w:r w:rsidRPr="00514B38">
        <w:rPr>
          <w:szCs w:val="22"/>
        </w:rPr>
        <w:t xml:space="preserve"> time</w:t>
      </w:r>
      <w:r>
        <w:rPr>
          <w:szCs w:val="22"/>
        </w:rPr>
        <w:t>.</w:t>
      </w:r>
      <w:r>
        <w:rPr>
          <w:rStyle w:val="FootnoteReference"/>
          <w:szCs w:val="22"/>
        </w:rPr>
        <w:footnoteReference w:id="21"/>
      </w:r>
      <w:r w:rsidRPr="00514B38">
        <w:rPr>
          <w:szCs w:val="22"/>
        </w:rPr>
        <w:t xml:space="preserve"> Alternatively, if </w:t>
      </w:r>
      <w:r w:rsidRPr="00514B38">
        <w:t xml:space="preserve">Pine Cellular </w:t>
      </w:r>
      <w:r>
        <w:t>had</w:t>
      </w:r>
      <w:r w:rsidRPr="00514B38">
        <w:t xml:space="preserve"> construct</w:t>
      </w:r>
      <w:r>
        <w:t>ed</w:t>
      </w:r>
      <w:r w:rsidRPr="00514B38">
        <w:t xml:space="preserve"> a parallel network without using Huawei equipment</w:t>
      </w:r>
      <w:r>
        <w:rPr>
          <w:rStyle w:val="FootnoteReference"/>
        </w:rPr>
        <w:footnoteReference w:id="22"/>
      </w:r>
      <w:r w:rsidRPr="00514B38">
        <w:t xml:space="preserve"> to meet its TLBC construction deadline, </w:t>
      </w:r>
      <w:r>
        <w:t>it</w:t>
      </w:r>
      <w:r w:rsidRPr="00514B38">
        <w:t xml:space="preserve"> would not be eligible for cost reimbursement for the additional expense through the </w:t>
      </w:r>
      <w:r w:rsidRPr="00514B38">
        <w:rPr>
          <w:i/>
          <w:iCs/>
        </w:rPr>
        <w:t xml:space="preserve">Supply Chain </w:t>
      </w:r>
      <w:r w:rsidRPr="00514B38">
        <w:t>proceeding</w:t>
      </w:r>
      <w:r>
        <w:t>.</w:t>
      </w:r>
      <w:r>
        <w:rPr>
          <w:rStyle w:val="FootnoteReference"/>
        </w:rPr>
        <w:footnoteReference w:id="23"/>
      </w:r>
      <w:r w:rsidRPr="00514B38">
        <w:t xml:space="preserve">  Consequently, </w:t>
      </w:r>
      <w:r w:rsidRPr="00514B38">
        <w:rPr>
          <w:szCs w:val="22"/>
        </w:rPr>
        <w:t>Pine Cellular assert</w:t>
      </w:r>
      <w:r>
        <w:rPr>
          <w:szCs w:val="22"/>
        </w:rPr>
        <w:t>ed</w:t>
      </w:r>
      <w:r w:rsidRPr="00514B38">
        <w:rPr>
          <w:szCs w:val="22"/>
        </w:rPr>
        <w:t xml:space="preserve"> that imposition of the rule would </w:t>
      </w:r>
      <w:r>
        <w:rPr>
          <w:szCs w:val="22"/>
        </w:rPr>
        <w:t xml:space="preserve">have </w:t>
      </w:r>
      <w:r w:rsidRPr="00514B38">
        <w:rPr>
          <w:szCs w:val="22"/>
        </w:rPr>
        <w:t>be</w:t>
      </w:r>
      <w:r>
        <w:rPr>
          <w:szCs w:val="22"/>
        </w:rPr>
        <w:t>en</w:t>
      </w:r>
      <w:r w:rsidRPr="00514B38">
        <w:rPr>
          <w:szCs w:val="22"/>
        </w:rPr>
        <w:t xml:space="preserve"> inequitable and unduly burdensome, and given the complications with construction, Pine Cellular ha</w:t>
      </w:r>
      <w:r>
        <w:rPr>
          <w:szCs w:val="22"/>
        </w:rPr>
        <w:t>d</w:t>
      </w:r>
      <w:r w:rsidRPr="00514B38">
        <w:rPr>
          <w:szCs w:val="22"/>
        </w:rPr>
        <w:t xml:space="preserve"> no reasonable alternative</w:t>
      </w:r>
      <w:r>
        <w:rPr>
          <w:szCs w:val="22"/>
        </w:rPr>
        <w:t>.</w:t>
      </w:r>
      <w:r>
        <w:rPr>
          <w:rStyle w:val="FootnoteReference"/>
          <w:szCs w:val="22"/>
        </w:rPr>
        <w:footnoteReference w:id="24"/>
      </w:r>
      <w:r w:rsidRPr="00514B38">
        <w:rPr>
          <w:szCs w:val="22"/>
        </w:rPr>
        <w:t xml:space="preserve"> </w:t>
      </w:r>
      <w:r w:rsidRPr="00514B38">
        <w:t xml:space="preserve">Pine Cellular </w:t>
      </w:r>
      <w:r>
        <w:t>sought</w:t>
      </w:r>
      <w:r w:rsidRPr="00514B38">
        <w:t xml:space="preserve"> a construction extension to “a date not earlier than eighteen (18) months after the Commission adopts a Report and Order based upon the </w:t>
      </w:r>
      <w:r w:rsidRPr="00642937">
        <w:rPr>
          <w:i/>
          <w:iCs/>
        </w:rPr>
        <w:t>Supply Chain Further Notice</w:t>
      </w:r>
      <w:r w:rsidRPr="00514B38">
        <w:t>.”</w:t>
      </w:r>
      <w:r>
        <w:rPr>
          <w:rStyle w:val="FootnoteReference"/>
        </w:rPr>
        <w:footnoteReference w:id="25"/>
      </w:r>
      <w:r w:rsidRPr="00514B38">
        <w:t xml:space="preserve">  </w:t>
      </w:r>
      <w:r>
        <w:t>On October 1, 2020, the Bureau partially granted Pine Cellular’s request – extending the construction deadline by one year to January 9, 2022.</w:t>
      </w:r>
      <w:r>
        <w:rPr>
          <w:rStyle w:val="FootnoteReference"/>
        </w:rPr>
        <w:footnoteReference w:id="26"/>
      </w:r>
    </w:p>
    <w:p w:rsidR="0018393A" w:rsidP="0018393A" w14:paraId="4B474DA6" w14:textId="77777777">
      <w:pPr>
        <w:pStyle w:val="ParaNum"/>
      </w:pPr>
      <w:r>
        <w:t xml:space="preserve">Since Pine Cellular’s Initial Extension Request was granted, the Commission adopted the </w:t>
      </w:r>
      <w:r>
        <w:rPr>
          <w:i/>
          <w:iCs/>
        </w:rPr>
        <w:t>Supply Chain Second Report and Order</w:t>
      </w:r>
      <w:r w:rsidRPr="007A520A">
        <w:t>,</w:t>
      </w:r>
      <w:r>
        <w:t xml:space="preserve"> on December 10, 2020.</w:t>
      </w:r>
      <w:r>
        <w:rPr>
          <w:rStyle w:val="FootnoteReference"/>
        </w:rPr>
        <w:footnoteReference w:id="27"/>
      </w:r>
      <w:r>
        <w:t xml:space="preserve">  This Order promulgated rules for the Secure and Trusted </w:t>
      </w:r>
      <w:r w:rsidRPr="0018393A">
        <w:t>Communications</w:t>
      </w:r>
      <w:r>
        <w:t xml:space="preserve"> Networks Reimbursement Program (Reimbursement Program) to </w:t>
      </w:r>
      <w:r>
        <w:t>reimburse eligible providers of advanced communications service for reasonable expenses incurred in removing, replacing, and disposing of communications equipment/services deemed to pose an unacceptable risk to national security.</w:t>
      </w:r>
      <w:r>
        <w:rPr>
          <w:rStyle w:val="FootnoteReference"/>
        </w:rPr>
        <w:footnoteReference w:id="28"/>
      </w:r>
      <w:r>
        <w:t xml:space="preserve">  The </w:t>
      </w:r>
      <w:r>
        <w:rPr>
          <w:i/>
          <w:iCs/>
        </w:rPr>
        <w:t>Supply Chain Third Report and Order</w:t>
      </w:r>
      <w:r>
        <w:t>, adopted on July 13, 2021, amended the rules for the Reimbursement Program to be consistent with the Consolidated Appropriations Act, 2021 passed on December 27, 2020 (which appropriated $1.895 billion for the Reimbursement Program).</w:t>
      </w:r>
      <w:r>
        <w:rPr>
          <w:rStyle w:val="FootnoteReference"/>
        </w:rPr>
        <w:footnoteReference w:id="29"/>
      </w:r>
      <w:r>
        <w:rPr>
          <w:b/>
          <w:bCs/>
        </w:rPr>
        <w:t xml:space="preserve">  </w:t>
      </w:r>
      <w:r>
        <w:t xml:space="preserve">More recently, the Wireline Competition Bureau released a </w:t>
      </w:r>
      <w:r>
        <w:rPr>
          <w:i/>
          <w:iCs/>
        </w:rPr>
        <w:t>Supply Chain Public Notice</w:t>
      </w:r>
      <w:r>
        <w:t xml:space="preserve"> on August 3, 2021, that provides final Reimbursement Program application procedures and reimbursement processes, a cost catalog, and replacement list.</w:t>
      </w:r>
      <w:r>
        <w:rPr>
          <w:rStyle w:val="FootnoteReference"/>
        </w:rPr>
        <w:footnoteReference w:id="30"/>
      </w:r>
    </w:p>
    <w:p w:rsidR="0018393A" w:rsidRPr="00514B38" w:rsidP="0018393A" w14:paraId="097AA3A8" w14:textId="77777777">
      <w:pPr>
        <w:pStyle w:val="ParaNum"/>
      </w:pPr>
      <w:r>
        <w:t xml:space="preserve">On July 27, 2021, Pine Cellular filed the instant Extension Request, which seeks waiver of </w:t>
      </w:r>
      <w:bookmarkStart w:id="10" w:name="_Hlk87876592"/>
      <w:r>
        <w:t xml:space="preserve">Section </w:t>
      </w:r>
      <w:r w:rsidRPr="007431E4">
        <w:t>1.</w:t>
      </w:r>
      <w:r w:rsidRPr="0018393A">
        <w:t>2110</w:t>
      </w:r>
      <w:r w:rsidRPr="007431E4">
        <w:t xml:space="preserve">(f)(3)(vii) </w:t>
      </w:r>
      <w:bookmarkEnd w:id="10"/>
      <w:r w:rsidRPr="00514B38">
        <w:t xml:space="preserve">to allow </w:t>
      </w:r>
      <w:r>
        <w:t>an additional year to</w:t>
      </w:r>
      <w:r w:rsidRPr="00514B38">
        <w:t xml:space="preserve"> meet the TLBC construction requirement associated with Call Sign WRAM805.</w:t>
      </w:r>
      <w:r>
        <w:rPr>
          <w:rStyle w:val="FootnoteReference"/>
        </w:rPr>
        <w:footnoteReference w:id="31"/>
      </w:r>
      <w:r>
        <w:t xml:space="preserve">  On </w:t>
      </w:r>
      <w:r w:rsidRPr="00E1463C">
        <w:t xml:space="preserve">September </w:t>
      </w:r>
      <w:r w:rsidRPr="00A92694">
        <w:t>15</w:t>
      </w:r>
      <w:r w:rsidRPr="00CD564C">
        <w:t>,</w:t>
      </w:r>
      <w:r>
        <w:t xml:space="preserve"> 2021, the Bureau issued a Public Notice seeking comment on Pine Cellular’s Extension Request.</w:t>
      </w:r>
      <w:r>
        <w:rPr>
          <w:rStyle w:val="FootnoteReference"/>
        </w:rPr>
        <w:footnoteReference w:id="32"/>
      </w:r>
      <w:r>
        <w:t xml:space="preserve">  </w:t>
      </w:r>
      <w:r w:rsidRPr="001429DA">
        <w:t>No commenters filed in response to Pine Cellular’s request, and we have received no opposition from the Choctaw Nation of Oklahoma Tribal authorities.</w:t>
      </w:r>
      <w:r>
        <w:t xml:space="preserve"> </w:t>
      </w:r>
    </w:p>
    <w:p w:rsidR="0018393A" w:rsidRPr="00514B38" w:rsidP="0018393A" w14:paraId="40E516D5" w14:textId="77777777">
      <w:pPr>
        <w:pStyle w:val="Heading1"/>
        <w:numPr>
          <w:ilvl w:val="0"/>
          <w:numId w:val="8"/>
        </w:numPr>
        <w:tabs>
          <w:tab w:val="left" w:pos="720"/>
        </w:tabs>
      </w:pPr>
      <w:r w:rsidRPr="00514B38">
        <w:t>Discussion</w:t>
      </w:r>
    </w:p>
    <w:p w:rsidR="0018393A" w:rsidRPr="00514B38" w:rsidP="0018393A" w14:paraId="2FA9C910" w14:textId="77777777">
      <w:pPr>
        <w:pStyle w:val="ParaNum"/>
        <w:rPr>
          <w:szCs w:val="22"/>
        </w:rPr>
      </w:pPr>
      <w:bookmarkStart w:id="11" w:name="_Ref383001338"/>
      <w:r>
        <w:t>As described in more detail below, w</w:t>
      </w:r>
      <w:r w:rsidRPr="00514B38">
        <w:t xml:space="preserve">e find that the unique circumstances described by Pine Cellular warrant a limited waiver and </w:t>
      </w:r>
      <w:r>
        <w:t xml:space="preserve">further </w:t>
      </w:r>
      <w:r w:rsidRPr="00514B38">
        <w:t xml:space="preserve">extension of Pine Cellular’s TLBC construction requirement deadline.  </w:t>
      </w:r>
      <w:bookmarkStart w:id="12" w:name="_Hlk51743642"/>
      <w:r w:rsidRPr="00514B38">
        <w:t xml:space="preserve">Pursuant to section 1.925 of the Commission’s rules, a waiver may be granted if the petitioner establishes that: (1) the underlying purpose of the rule would not be served or would be frustrated by application to the instant case, </w:t>
      </w:r>
      <w:r w:rsidRPr="00514B38">
        <w:rPr>
          <w:szCs w:val="22"/>
        </w:rPr>
        <w:t>and</w:t>
      </w:r>
      <w:r w:rsidRPr="00514B38">
        <w:t xml:space="preserve"> that grant of the waiver would be in the public interest; or (2) in view of unique or unusual factual circumstances of the instant case, application of the rule would be inequitable, unduly burdensome or </w:t>
      </w:r>
      <w:r w:rsidRPr="00514B38">
        <w:rPr>
          <w:szCs w:val="22"/>
        </w:rPr>
        <w:t>contrary to the public interest, or the applicant has no reasonable alternative.</w:t>
      </w:r>
      <w:r>
        <w:rPr>
          <w:rStyle w:val="FootnoteReference"/>
          <w:szCs w:val="22"/>
        </w:rPr>
        <w:footnoteReference w:id="33"/>
      </w:r>
      <w:r w:rsidRPr="00514B38">
        <w:rPr>
          <w:szCs w:val="22"/>
        </w:rPr>
        <w:t xml:space="preserve">  </w:t>
      </w:r>
      <w:bookmarkEnd w:id="12"/>
      <w:r w:rsidRPr="00514B38">
        <w:rPr>
          <w:szCs w:val="22"/>
        </w:rPr>
        <w:t>Section 1.946 of the Commission’s rules governs extensions of construction periods for stations in the wireless radio services.</w:t>
      </w:r>
      <w:r>
        <w:rPr>
          <w:rStyle w:val="FootnoteReference"/>
          <w:szCs w:val="22"/>
        </w:rPr>
        <w:footnoteReference w:id="34"/>
      </w:r>
      <w:r w:rsidRPr="00514B38">
        <w:rPr>
          <w:szCs w:val="22"/>
        </w:rPr>
        <w:t xml:space="preserve">  The rule provides that relief may be granted for good cause if such relief is requested before the expiration of the construction period.</w:t>
      </w:r>
      <w:r>
        <w:rPr>
          <w:rStyle w:val="FootnoteReference"/>
          <w:szCs w:val="22"/>
        </w:rPr>
        <w:footnoteReference w:id="35"/>
      </w:r>
      <w:r w:rsidRPr="00514B38">
        <w:rPr>
          <w:rStyle w:val="FootnoteReference"/>
          <w:szCs w:val="22"/>
        </w:rPr>
        <w:t xml:space="preserve"> </w:t>
      </w:r>
    </w:p>
    <w:p w:rsidR="0018393A" w:rsidRPr="00514B38" w:rsidP="0018393A" w14:paraId="1F9342EE" w14:textId="77777777">
      <w:pPr>
        <w:pStyle w:val="ParaNum"/>
      </w:pPr>
      <w:r w:rsidRPr="00514B38">
        <w:t>We find that a limited extension of time for Pine Cellular to meet its TLBC construction deadline is warranted.  As an initial matter, we note that the Commission has</w:t>
      </w:r>
      <w:r>
        <w:t xml:space="preserve"> </w:t>
      </w:r>
      <w:r w:rsidRPr="00514B38">
        <w:t xml:space="preserve">recognized that “members of federally-recognized American </w:t>
      </w:r>
      <w:r w:rsidRPr="0018393A">
        <w:t>Indian</w:t>
      </w:r>
      <w:r w:rsidRPr="00514B38">
        <w:t xml:space="preserve"> Tribes and Alaska Native Villages…and other residents of </w:t>
      </w:r>
      <w:r w:rsidRPr="00514B38">
        <w:t xml:space="preserve">Tribal lands have lacked </w:t>
      </w:r>
      <w:bookmarkStart w:id="13" w:name="_Hlk535326099"/>
      <w:r w:rsidRPr="00514B38">
        <w:t>meaningful access to wired and wireless communications services</w:t>
      </w:r>
      <w:bookmarkEnd w:id="13"/>
      <w:r w:rsidRPr="00514B38">
        <w:t>.”</w:t>
      </w:r>
      <w:r>
        <w:rPr>
          <w:rStyle w:val="FootnoteReference"/>
        </w:rPr>
        <w:footnoteReference w:id="36"/>
      </w:r>
      <w:r w:rsidRPr="00514B38">
        <w:t xml:space="preserve">  In recognition of this challenge, the Commission established the TLBC program to provide incentives for wireless service providers to deploy advanced wireless services to benefit the residents and communities on Tribal lands.</w:t>
      </w:r>
      <w:r>
        <w:rPr>
          <w:rStyle w:val="FootnoteReference"/>
        </w:rPr>
        <w:footnoteReference w:id="37"/>
      </w:r>
      <w:r w:rsidRPr="00514B38">
        <w:t xml:space="preserve">  </w:t>
      </w:r>
      <w:r>
        <w:t>T</w:t>
      </w:r>
      <w:r w:rsidRPr="00514B38">
        <w:t>he Commission recognized that various circumstances, including economic factors, could affect the ability of TLBC recipients to meet the TLBC requirements</w:t>
      </w:r>
      <w:r>
        <w:t>,</w:t>
      </w:r>
      <w:r>
        <w:rPr>
          <w:rStyle w:val="FootnoteReference"/>
        </w:rPr>
        <w:footnoteReference w:id="38"/>
      </w:r>
      <w:r w:rsidRPr="00514B38">
        <w:t xml:space="preserve"> </w:t>
      </w:r>
      <w:r>
        <w:t>and</w:t>
      </w:r>
      <w:r w:rsidRPr="00514B38">
        <w:t xml:space="preserve"> “strongly encourage[</w:t>
      </w:r>
      <w:r>
        <w:t>d</w:t>
      </w:r>
      <w:r w:rsidRPr="00514B38">
        <w:t xml:space="preserve">] parties to seek waivers of specific rules or file other requests for regulatory relief in those instances </w:t>
      </w:r>
      <w:bookmarkStart w:id="15" w:name="_Hlk51925092"/>
      <w:r w:rsidRPr="00514B38">
        <w:t>where greater flexibility than the rules allow would facilitate the provision of service to tribal lands</w:t>
      </w:r>
      <w:bookmarkEnd w:id="15"/>
      <w:r w:rsidRPr="00514B38">
        <w:t>.”</w:t>
      </w:r>
      <w:r>
        <w:rPr>
          <w:rStyle w:val="FootnoteReference"/>
          <w:szCs w:val="22"/>
        </w:rPr>
        <w:footnoteReference w:id="39"/>
      </w:r>
      <w:r w:rsidRPr="00514B38">
        <w:t xml:space="preserve">  </w:t>
      </w:r>
    </w:p>
    <w:p w:rsidR="0018393A" w:rsidP="0018393A" w14:paraId="6F7B6F50" w14:textId="77777777">
      <w:pPr>
        <w:pStyle w:val="ParaNum"/>
        <w:rPr>
          <w:szCs w:val="22"/>
        </w:rPr>
      </w:pPr>
      <w:r>
        <w:t>I</w:t>
      </w:r>
      <w:r w:rsidRPr="00514B38">
        <w:t xml:space="preserve">n view of the unique factual circumstances </w:t>
      </w:r>
      <w:r>
        <w:t xml:space="preserve">and given the recent </w:t>
      </w:r>
      <w:r>
        <w:rPr>
          <w:i/>
          <w:iCs/>
        </w:rPr>
        <w:t>Supply Chain</w:t>
      </w:r>
      <w:r>
        <w:t xml:space="preserve"> proceeding developments</w:t>
      </w:r>
      <w:r w:rsidRPr="00514B38">
        <w:t xml:space="preserve">, </w:t>
      </w:r>
      <w:r>
        <w:t xml:space="preserve">we conclude that </w:t>
      </w:r>
      <w:r w:rsidRPr="00514B38">
        <w:t xml:space="preserve">Pine Cellular has no reasonable alternative </w:t>
      </w:r>
      <w:r>
        <w:t xml:space="preserve">to meet its TLBC construction requirements, </w:t>
      </w:r>
      <w:r w:rsidRPr="00514B38">
        <w:t xml:space="preserve">and </w:t>
      </w:r>
      <w:r>
        <w:t xml:space="preserve">that </w:t>
      </w:r>
      <w:r w:rsidRPr="00514B38">
        <w:t xml:space="preserve">application of the </w:t>
      </w:r>
      <w:r>
        <w:t xml:space="preserve">deadline set by Section </w:t>
      </w:r>
      <w:r w:rsidRPr="007431E4">
        <w:t xml:space="preserve">1.2110(f)(3)(vii) </w:t>
      </w:r>
      <w:r w:rsidRPr="00514B38">
        <w:t xml:space="preserve">would be </w:t>
      </w:r>
      <w:r w:rsidRPr="00514B38">
        <w:rPr>
          <w:szCs w:val="22"/>
        </w:rPr>
        <w:t>contrary to the public interest.</w:t>
      </w:r>
      <w:r>
        <w:rPr>
          <w:rStyle w:val="FootnoteReference"/>
          <w:szCs w:val="22"/>
        </w:rPr>
        <w:footnoteReference w:id="40"/>
      </w:r>
      <w:r w:rsidRPr="00514B38">
        <w:rPr>
          <w:szCs w:val="22"/>
        </w:rPr>
        <w:t xml:space="preserve">  As Pine Cellular notes, it </w:t>
      </w:r>
      <w:r>
        <w:rPr>
          <w:szCs w:val="22"/>
        </w:rPr>
        <w:t xml:space="preserve">already had wireless mobile infrastructure in place in the service area for Call Sign WRAM805, and </w:t>
      </w:r>
      <w:r w:rsidRPr="00514B38">
        <w:rPr>
          <w:szCs w:val="22"/>
        </w:rPr>
        <w:t>did not anticipate rules substantially altering its plans to build out its existing network when it received its 600 MHz license with a Tribal land bidding credit.</w:t>
      </w:r>
      <w:r>
        <w:rPr>
          <w:rStyle w:val="FootnoteReference"/>
          <w:szCs w:val="22"/>
        </w:rPr>
        <w:footnoteReference w:id="41"/>
      </w:r>
      <w:r w:rsidRPr="00514B38">
        <w:rPr>
          <w:szCs w:val="22"/>
        </w:rPr>
        <w:t xml:space="preserve">  </w:t>
      </w:r>
      <w:r>
        <w:rPr>
          <w:szCs w:val="22"/>
        </w:rPr>
        <w:t xml:space="preserve">Pine Cellular explains that its TLBC construction progress has been affected by the continued development of the Reimbursement Program and uncertainty as to what extent it will be reimbursed for costs associated with its removal of Huawei equipment it installed before June 30, 2020, </w:t>
      </w:r>
      <w:r w:rsidRPr="0051317C">
        <w:rPr>
          <w:szCs w:val="22"/>
        </w:rPr>
        <w:t xml:space="preserve">if it </w:t>
      </w:r>
      <w:r>
        <w:rPr>
          <w:szCs w:val="22"/>
        </w:rPr>
        <w:t>takes action</w:t>
      </w:r>
      <w:r w:rsidRPr="0051317C">
        <w:rPr>
          <w:szCs w:val="22"/>
        </w:rPr>
        <w:t xml:space="preserve"> before</w:t>
      </w:r>
      <w:r>
        <w:rPr>
          <w:szCs w:val="22"/>
        </w:rPr>
        <w:t xml:space="preserve"> it can participate in the Reimbursement Program.</w:t>
      </w:r>
      <w:r>
        <w:rPr>
          <w:rStyle w:val="FootnoteReference"/>
          <w:szCs w:val="22"/>
        </w:rPr>
        <w:footnoteReference w:id="42"/>
      </w:r>
      <w:r>
        <w:rPr>
          <w:szCs w:val="22"/>
        </w:rPr>
        <w:t xml:space="preserve">  </w:t>
      </w:r>
      <w:r w:rsidRPr="00514B38">
        <w:rPr>
          <w:szCs w:val="22"/>
        </w:rPr>
        <w:t xml:space="preserve">Pine Cellular </w:t>
      </w:r>
      <w:r>
        <w:rPr>
          <w:szCs w:val="22"/>
        </w:rPr>
        <w:t xml:space="preserve">states that, in order to meet the current January 9, 2022 deadline, it would have to (1) complete construction of a parallel mobile wireless broadband </w:t>
      </w:r>
      <w:r w:rsidRPr="0018393A">
        <w:t>network</w:t>
      </w:r>
      <w:r>
        <w:rPr>
          <w:szCs w:val="22"/>
        </w:rPr>
        <w:t xml:space="preserve"> in the areas served by its current network; (2) </w:t>
      </w:r>
      <w:r w:rsidRPr="001A584D">
        <w:rPr>
          <w:szCs w:val="22"/>
        </w:rPr>
        <w:t>switch its operations over to this parallel network; (3) remove</w:t>
      </w:r>
      <w:r>
        <w:rPr>
          <w:szCs w:val="22"/>
        </w:rPr>
        <w:t xml:space="preserve"> </w:t>
      </w:r>
      <w:r w:rsidRPr="00F92F31">
        <w:rPr>
          <w:szCs w:val="22"/>
        </w:rPr>
        <w:t>its old network facilities, including facilities serving Choctaw Nation communities, which had</w:t>
      </w:r>
      <w:r>
        <w:rPr>
          <w:szCs w:val="22"/>
        </w:rPr>
        <w:t xml:space="preserve"> relied </w:t>
      </w:r>
      <w:r w:rsidRPr="00F92F31">
        <w:rPr>
          <w:szCs w:val="22"/>
        </w:rPr>
        <w:t>on Huawei equipment for core functions; and (4) complete the extension of the newly-built parallel network to serve the</w:t>
      </w:r>
      <w:r>
        <w:rPr>
          <w:szCs w:val="22"/>
        </w:rPr>
        <w:t xml:space="preserve"> </w:t>
      </w:r>
      <w:r w:rsidRPr="00F92F31">
        <w:rPr>
          <w:szCs w:val="22"/>
        </w:rPr>
        <w:t>Choctaw Nation communities, in compliance with the TLBC construction requirements.</w:t>
      </w:r>
      <w:r>
        <w:rPr>
          <w:rStyle w:val="FootnoteReference"/>
          <w:szCs w:val="22"/>
        </w:rPr>
        <w:footnoteReference w:id="43"/>
      </w:r>
      <w:r w:rsidRPr="00F92F31">
        <w:rPr>
          <w:szCs w:val="22"/>
        </w:rPr>
        <w:t xml:space="preserve"> </w:t>
      </w:r>
      <w:r>
        <w:rPr>
          <w:szCs w:val="22"/>
        </w:rPr>
        <w:t>Pine Cellular expresses doubt that such efforts could be completed in time to meet the current deadline, and concern that – even if it were successful in this endeavor – it would have to forego its opportunity to apply for reimbursement through the Reimbursement Program.</w:t>
      </w:r>
      <w:r>
        <w:rPr>
          <w:rStyle w:val="FootnoteReference"/>
          <w:szCs w:val="22"/>
        </w:rPr>
        <w:footnoteReference w:id="44"/>
      </w:r>
    </w:p>
    <w:p w:rsidR="0018393A" w:rsidRPr="00F92F31" w:rsidP="0018393A" w14:paraId="6D6A3B82" w14:textId="77777777">
      <w:pPr>
        <w:pStyle w:val="ParaNum"/>
      </w:pPr>
      <w:r>
        <w:t xml:space="preserve">Pine Cellular </w:t>
      </w:r>
      <w:r w:rsidRPr="0018393A">
        <w:t>further</w:t>
      </w:r>
      <w:r>
        <w:t xml:space="preserve"> asserts that it would be inequitable for the Commission deprive Pine Cellular of options for participating in the Reimbursement Program that are available to other eligible telecommunications carriers – </w:t>
      </w:r>
      <w:r>
        <w:rPr>
          <w:i/>
          <w:iCs/>
        </w:rPr>
        <w:t>i.e.</w:t>
      </w:r>
      <w:r>
        <w:t xml:space="preserve">, submitting its Reimbursement Program application and going through the Program process </w:t>
      </w:r>
      <w:r>
        <w:rPr>
          <w:i/>
          <w:iCs/>
          <w:u w:val="single"/>
        </w:rPr>
        <w:t>before</w:t>
      </w:r>
      <w:r w:rsidRPr="00D03E52">
        <w:t xml:space="preserve"> beginning to remove any covered communications equipment</w:t>
      </w:r>
      <w:r w:rsidRPr="00F10D75">
        <w:t>.</w:t>
      </w:r>
      <w:r>
        <w:rPr>
          <w:rStyle w:val="FootnoteReference"/>
          <w:szCs w:val="22"/>
        </w:rPr>
        <w:footnoteReference w:id="45"/>
      </w:r>
      <w:r>
        <w:t xml:space="preserve">  Pine Cellular states that, while it could delay such removal until after it completes the Reimbursement application process and becomes eligible to draw down from funding allocated to it as expenses are incurred – doing so would likely result in Pine Cellular being forced to repay its TLBC support, or forfeit its license.</w:t>
      </w:r>
      <w:r>
        <w:rPr>
          <w:rStyle w:val="FootnoteReference"/>
          <w:szCs w:val="22"/>
        </w:rPr>
        <w:footnoteReference w:id="46"/>
      </w:r>
    </w:p>
    <w:p w:rsidR="0018393A" w:rsidRPr="00514B38" w:rsidP="0018393A" w14:paraId="1F79D65A" w14:textId="77777777">
      <w:pPr>
        <w:pStyle w:val="ParaNum"/>
      </w:pPr>
      <w:r>
        <w:t xml:space="preserve">While we do not necessarily conclude that equity requires that Pine Cellular, as a TLBC recipient, have </w:t>
      </w:r>
      <w:r>
        <w:rPr>
          <w:i/>
          <w:iCs/>
        </w:rPr>
        <w:t>all</w:t>
      </w:r>
      <w:r>
        <w:t xml:space="preserve"> options available to other licensees, w</w:t>
      </w:r>
      <w:r w:rsidRPr="00514B38">
        <w:t>e agree that Pine Cellular’s current choices for network deployment to the Choctaw Nation communities are not reasonable alternatives.  Moreover, we find that strict application of the TLBC construction requirement, which would result in Pine Cellular’s repayment of its TLBC, or if the TLBC is not repaid, automatic termination of its license, is not warranted.</w:t>
      </w:r>
      <w:r>
        <w:rPr>
          <w:rStyle w:val="FootnoteReference"/>
        </w:rPr>
        <w:footnoteReference w:id="47"/>
      </w:r>
      <w:r w:rsidRPr="00514B38">
        <w:t xml:space="preserve">  Neither the repayment of the TLBC nor the automatic termination of the license would facilitate the provision of wireless broadband service to the Choctaw Nation communities, and thus would not serve the public interest or the underlying purpose of the TLBC rule.</w:t>
      </w:r>
    </w:p>
    <w:p w:rsidR="0018393A" w:rsidRPr="00514B38" w:rsidP="0018393A" w14:paraId="2020F25F" w14:textId="77777777">
      <w:pPr>
        <w:pStyle w:val="ParaNum"/>
        <w:rPr>
          <w:szCs w:val="22"/>
        </w:rPr>
      </w:pPr>
      <w:r w:rsidRPr="00514B38">
        <w:t xml:space="preserve">We find that grant of a waiver to Pine Cellular under these circumstances is consistent with prior TLBC waivers granted by the Bureau.  For example, the Bureau has recognized that granting a limited extension of the </w:t>
      </w:r>
      <w:r w:rsidRPr="0018393A">
        <w:t>TLBC</w:t>
      </w:r>
      <w:r w:rsidRPr="00514B38">
        <w:t xml:space="preserve"> construction deadline may be warranted “to overcome the possible economic hurdles associated with constructing additional sites...”</w:t>
      </w:r>
      <w:r>
        <w:rPr>
          <w:rStyle w:val="FootnoteReference"/>
        </w:rPr>
        <w:footnoteReference w:id="48"/>
      </w:r>
      <w:r w:rsidRPr="00514B38">
        <w:t xml:space="preserve">  In addition, the Bureau has granted extensions due to lack of available equipment that meets regulatory requirements.</w:t>
      </w:r>
      <w:r>
        <w:rPr>
          <w:rStyle w:val="FootnoteReference"/>
        </w:rPr>
        <w:footnoteReference w:id="49"/>
      </w:r>
      <w:r w:rsidRPr="00514B38">
        <w:t xml:space="preserve">  We also find that grant of an extension in this instance is consistent with the Commission’s recognition that economic factors can affect the timely satisfaction of TLBC requirements and the Commission’s encouragement of </w:t>
      </w:r>
      <w:r w:rsidRPr="00514B38">
        <w:t xml:space="preserve">the consideration of TLBC waivers where greater flexibility than the rules allow would facilitate the provision of service to </w:t>
      </w:r>
      <w:r>
        <w:t>T</w:t>
      </w:r>
      <w:r w:rsidRPr="00514B38">
        <w:t>ribal lands.</w:t>
      </w:r>
      <w:r>
        <w:rPr>
          <w:rStyle w:val="FootnoteReference"/>
        </w:rPr>
        <w:footnoteReference w:id="50"/>
      </w:r>
    </w:p>
    <w:p w:rsidR="0018393A" w:rsidRPr="00514B38" w:rsidP="0018393A" w14:paraId="2AFED86A" w14:textId="77777777">
      <w:pPr>
        <w:pStyle w:val="ParaNum"/>
      </w:pPr>
      <w:r>
        <w:t>We</w:t>
      </w:r>
      <w:r w:rsidRPr="00514B38">
        <w:t xml:space="preserve"> </w:t>
      </w:r>
      <w:r>
        <w:t xml:space="preserve">therefore find that grant of </w:t>
      </w:r>
      <w:r w:rsidRPr="00514B38">
        <w:t xml:space="preserve">Pine Cellular’s </w:t>
      </w:r>
      <w:r>
        <w:t xml:space="preserve">request to extend its </w:t>
      </w:r>
      <w:r w:rsidRPr="00514B38">
        <w:t xml:space="preserve">TLBC construction deadline one </w:t>
      </w:r>
      <w:r w:rsidRPr="0018393A">
        <w:t>additional</w:t>
      </w:r>
      <w:r>
        <w:t xml:space="preserve"> </w:t>
      </w:r>
      <w:r w:rsidRPr="00514B38">
        <w:t>year, until January 9, 202</w:t>
      </w:r>
      <w:r>
        <w:t>3, is justified</w:t>
      </w:r>
      <w:r w:rsidRPr="00514B38">
        <w:t xml:space="preserve">.  </w:t>
      </w:r>
      <w:r>
        <w:t>We note that the Reimbursement Program filing window opened on October 29, 2021, and will close on January 14, 2022.</w:t>
      </w:r>
      <w:r>
        <w:rPr>
          <w:rStyle w:val="FootnoteReference"/>
        </w:rPr>
        <w:footnoteReference w:id="51"/>
      </w:r>
      <w:r w:rsidRPr="00514B38">
        <w:t xml:space="preserve"> </w:t>
      </w:r>
      <w:r>
        <w:t xml:space="preserve"> </w:t>
      </w:r>
      <w:r w:rsidRPr="00514B38">
        <w:t>We believe that, with the one-year extension, Pine Cellular will have sufficient time to</w:t>
      </w:r>
      <w:r>
        <w:t xml:space="preserve"> </w:t>
      </w:r>
      <w:r w:rsidRPr="00514B38">
        <w:t>determine how it can serve the Choctaw Nation communities</w:t>
      </w:r>
      <w:r>
        <w:t xml:space="preserve"> and meet its TLBC construction requirements</w:t>
      </w:r>
      <w:r w:rsidRPr="00514B38">
        <w:t xml:space="preserve"> while </w:t>
      </w:r>
      <w:r>
        <w:t xml:space="preserve">also </w:t>
      </w:r>
      <w:r w:rsidRPr="00514B38">
        <w:t xml:space="preserve">meeting the </w:t>
      </w:r>
      <w:r w:rsidRPr="00514B38">
        <w:rPr>
          <w:i/>
          <w:iCs/>
        </w:rPr>
        <w:t>Supply Chain</w:t>
      </w:r>
      <w:r w:rsidRPr="00514B38">
        <w:t xml:space="preserve"> requirements.</w:t>
      </w:r>
    </w:p>
    <w:bookmarkEnd w:id="11"/>
    <w:p w:rsidR="0018393A" w:rsidRPr="00514B38" w:rsidP="0018393A" w14:paraId="0DC1334D" w14:textId="77777777">
      <w:pPr>
        <w:pStyle w:val="Heading1"/>
        <w:numPr>
          <w:ilvl w:val="0"/>
          <w:numId w:val="8"/>
        </w:numPr>
        <w:tabs>
          <w:tab w:val="left" w:pos="720"/>
        </w:tabs>
      </w:pPr>
      <w:r w:rsidRPr="00514B38">
        <w:t>Conclusion</w:t>
      </w:r>
    </w:p>
    <w:p w:rsidR="0018393A" w:rsidRPr="00514B38" w:rsidP="0018393A" w14:paraId="47D9CDD0" w14:textId="77777777">
      <w:pPr>
        <w:pStyle w:val="ParaNum"/>
        <w:rPr>
          <w:szCs w:val="22"/>
        </w:rPr>
      </w:pPr>
      <w:r w:rsidRPr="00514B38">
        <w:rPr>
          <w:szCs w:val="22"/>
        </w:rPr>
        <w:t>Pine</w:t>
      </w:r>
      <w:r w:rsidRPr="00514B38">
        <w:t xml:space="preserve"> Cellular has demonstrated that an extension of its TLBC construction deadline is warranted under the standards contained in sections 1.925 and 1.946 of the Commission’s rules.  We grant Pine Cellular a waiver of section 1.2110(f)(3)(vii) of the Commission’s rules and extend the TLBC construction deadline until January 9, 202</w:t>
      </w:r>
      <w:r>
        <w:t>3</w:t>
      </w:r>
      <w:r w:rsidRPr="00514B38">
        <w:t>,</w:t>
      </w:r>
      <w:r w:rsidRPr="00514B38">
        <w:rPr>
          <w:szCs w:val="22"/>
        </w:rPr>
        <w:t xml:space="preserve"> for Call Sign WRAM805</w:t>
      </w:r>
      <w:r w:rsidRPr="00514B38">
        <w:t xml:space="preserve">.  Notification that such construction has been </w:t>
      </w:r>
      <w:r w:rsidRPr="0018393A">
        <w:t>completed</w:t>
      </w:r>
      <w:r w:rsidRPr="00514B38">
        <w:t xml:space="preserve"> must be filed with the Commission within fifteen (15) days of the deadline, by January 24, 202</w:t>
      </w:r>
      <w:r>
        <w:t>3</w:t>
      </w:r>
      <w:r w:rsidRPr="00514B38">
        <w:t xml:space="preserve">.  </w:t>
      </w:r>
    </w:p>
    <w:p w:rsidR="0018393A" w:rsidRPr="00514B38" w:rsidP="0018393A" w14:paraId="09B99149" w14:textId="77777777">
      <w:pPr>
        <w:pStyle w:val="Heading1"/>
        <w:numPr>
          <w:ilvl w:val="0"/>
          <w:numId w:val="8"/>
        </w:numPr>
        <w:tabs>
          <w:tab w:val="left" w:pos="720"/>
        </w:tabs>
      </w:pPr>
      <w:r w:rsidRPr="00514B38">
        <w:t>Ordering ClauseS</w:t>
      </w:r>
    </w:p>
    <w:p w:rsidR="0018393A" w:rsidRPr="00514B38" w:rsidP="0018393A" w14:paraId="2F076680" w14:textId="77777777">
      <w:pPr>
        <w:pStyle w:val="ParaNum"/>
        <w:rPr>
          <w:szCs w:val="22"/>
        </w:rPr>
      </w:pPr>
      <w:r w:rsidRPr="00514B38">
        <w:t xml:space="preserve">Accordingly, IT IS ORDERED that pursuant to Section 4(i) of the Communications Act, as amended, 47 U.S.C. § 154(i), and sections 1.925, 1.946, and 1.2110(f)(3) of the Commission’s Rules, 47 CFR §§ 1.925, 1.946, and 1.2110(f)(3), the </w:t>
      </w:r>
      <w:r>
        <w:t xml:space="preserve">Further </w:t>
      </w:r>
      <w:r w:rsidRPr="00514B38">
        <w:t xml:space="preserve">Limited Waiver and Extension of Time to Satisfy the Construction Requirement, Call Sign WRAM805, filed by Pine Cellular Phones, Inc. on </w:t>
      </w:r>
      <w:r>
        <w:t>July</w:t>
      </w:r>
      <w:r w:rsidRPr="00514B38">
        <w:t xml:space="preserve"> 2</w:t>
      </w:r>
      <w:r>
        <w:t>7</w:t>
      </w:r>
      <w:r w:rsidRPr="00514B38">
        <w:t>, 202</w:t>
      </w:r>
      <w:r>
        <w:t>1</w:t>
      </w:r>
      <w:r w:rsidRPr="00514B38">
        <w:t xml:space="preserve">, is GRANTED.  </w:t>
      </w:r>
    </w:p>
    <w:p w:rsidR="0018393A" w:rsidRPr="00FC0CEA" w:rsidP="0018393A" w14:paraId="49F41331" w14:textId="0704A236">
      <w:pPr>
        <w:pStyle w:val="ParaNum"/>
      </w:pPr>
      <w:r w:rsidRPr="00514B38">
        <w:t xml:space="preserve">These actions are </w:t>
      </w:r>
      <w:r w:rsidRPr="0018393A">
        <w:t>taken</w:t>
      </w:r>
      <w:r w:rsidRPr="00514B38">
        <w:t xml:space="preserve"> under delegated authority pursuant to sections 0.131 and 0.331 of the Commission’s Rules, 47 CFR §§ 0.131, 0.331.</w:t>
      </w:r>
      <w:r w:rsidRPr="00514B38">
        <w:rPr>
          <w:color w:val="000000"/>
        </w:rPr>
        <w:t xml:space="preserve"> </w:t>
      </w:r>
    </w:p>
    <w:p w:rsidR="00FC0CEA" w:rsidP="00FC0CEA" w14:paraId="3D6BF71F" w14:textId="77777777"/>
    <w:p w:rsidR="00FC0CEA" w:rsidP="00FC0CEA" w14:paraId="71F43E12" w14:textId="77777777">
      <w:pPr>
        <w:ind w:left="3600" w:firstLine="720"/>
      </w:pPr>
      <w:r>
        <w:t>FEDERAL COMMUNICATIONS COMMISSION</w:t>
      </w:r>
    </w:p>
    <w:p w:rsidR="00FC0CEA" w:rsidP="00FC0CEA" w14:paraId="41FE2243" w14:textId="77777777"/>
    <w:p w:rsidR="00FC0CEA" w:rsidP="00FC0CEA" w14:paraId="4D754991" w14:textId="77777777"/>
    <w:p w:rsidR="00FC0CEA" w:rsidP="00FC0CEA" w14:paraId="279428BA" w14:textId="77777777"/>
    <w:p w:rsidR="00FC0CEA" w:rsidP="00FC0CEA" w14:paraId="79EB345E" w14:textId="77777777"/>
    <w:p w:rsidR="00FC0CEA" w:rsidP="00FC0CEA" w14:paraId="4F450152" w14:textId="387B5297">
      <w:r>
        <w:tab/>
      </w:r>
      <w:r>
        <w:tab/>
      </w:r>
      <w:r>
        <w:tab/>
      </w:r>
      <w:r>
        <w:tab/>
      </w:r>
      <w:r>
        <w:tab/>
      </w:r>
      <w:r>
        <w:tab/>
      </w:r>
      <w:r>
        <w:t>Blaise A. Scinto</w:t>
      </w:r>
    </w:p>
    <w:p w:rsidR="00FC0CEA" w:rsidP="00FC0CEA" w14:paraId="25507458" w14:textId="1C3E6B81">
      <w:r>
        <w:tab/>
      </w:r>
      <w:r>
        <w:tab/>
      </w:r>
      <w:r>
        <w:tab/>
      </w:r>
      <w:r>
        <w:tab/>
      </w:r>
      <w:r>
        <w:tab/>
      </w:r>
      <w:r>
        <w:tab/>
      </w:r>
      <w:r>
        <w:t>Chief, Broadband Division</w:t>
      </w:r>
    </w:p>
    <w:p w:rsidR="00FC0CEA" w:rsidP="00FC0CEA" w14:paraId="21AEF4D4" w14:textId="2A51CD61">
      <w:r>
        <w:tab/>
      </w:r>
      <w:r>
        <w:tab/>
      </w:r>
      <w:r>
        <w:tab/>
      </w:r>
      <w:r>
        <w:tab/>
      </w:r>
      <w:r>
        <w:tab/>
      </w:r>
      <w:r>
        <w:tab/>
        <w:t>Wireless Telecommunications Bureau</w:t>
      </w:r>
    </w:p>
    <w:p w:rsidR="00FC0CEA" w:rsidRPr="00FC0CEA" w:rsidP="00FC0CEA" w14:paraId="04618AD3" w14:textId="1EB23685"/>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CEE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7408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60373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393A" w14:paraId="7A8906DD" w14:textId="77777777">
      <w:r>
        <w:separator/>
      </w:r>
    </w:p>
  </w:footnote>
  <w:footnote w:type="continuationSeparator" w:id="1">
    <w:p w:rsidR="0018393A" w:rsidP="00C721AC" w14:paraId="2D18C092" w14:textId="77777777">
      <w:pPr>
        <w:spacing w:before="120"/>
        <w:rPr>
          <w:sz w:val="20"/>
        </w:rPr>
      </w:pPr>
      <w:r>
        <w:rPr>
          <w:sz w:val="20"/>
        </w:rPr>
        <w:t xml:space="preserve">(Continued from previous page)  </w:t>
      </w:r>
      <w:r>
        <w:rPr>
          <w:sz w:val="20"/>
        </w:rPr>
        <w:separator/>
      </w:r>
    </w:p>
  </w:footnote>
  <w:footnote w:type="continuationNotice" w:id="2">
    <w:p w:rsidR="0018393A" w:rsidP="00C721AC" w14:paraId="07BD1348" w14:textId="77777777">
      <w:pPr>
        <w:jc w:val="right"/>
        <w:rPr>
          <w:sz w:val="20"/>
        </w:rPr>
      </w:pPr>
      <w:r>
        <w:rPr>
          <w:sz w:val="20"/>
        </w:rPr>
        <w:t>(continued….)</w:t>
      </w:r>
    </w:p>
  </w:footnote>
  <w:footnote w:id="3">
    <w:p w:rsidR="0018393A" w:rsidRPr="00B23F68" w:rsidP="0018393A" w14:paraId="6ED0B5FF" w14:textId="77777777">
      <w:pPr>
        <w:pStyle w:val="FootnoteText"/>
      </w:pPr>
      <w:r w:rsidRPr="00B23F68">
        <w:rPr>
          <w:rStyle w:val="FootnoteReference"/>
        </w:rPr>
        <w:footnoteRef/>
      </w:r>
      <w:r w:rsidRPr="00B23F68">
        <w:t xml:space="preserve"> Pine Cellular Phones, Inc., Request for Extension of Time, File No. </w:t>
      </w:r>
      <w:r w:rsidRPr="00DE0391">
        <w:t>0009</w:t>
      </w:r>
      <w:r w:rsidRPr="003F3EA0">
        <w:t>638398</w:t>
      </w:r>
      <w:r w:rsidRPr="00B23F68">
        <w:t xml:space="preserve">, Exhibit 1: Further Limited Waiver and Extension of Time to Satisfy the Construction Requirement (filed July 27, 2021) (Extension Request).  </w:t>
      </w:r>
    </w:p>
  </w:footnote>
  <w:footnote w:id="4">
    <w:p w:rsidR="0018393A" w:rsidRPr="00B23F68" w:rsidP="0018393A" w14:paraId="57E2DDFD" w14:textId="77777777">
      <w:pPr>
        <w:pStyle w:val="FootnoteText"/>
      </w:pPr>
      <w:r w:rsidRPr="00B23F68">
        <w:rPr>
          <w:rStyle w:val="FootnoteReference"/>
        </w:rPr>
        <w:footnoteRef/>
      </w:r>
      <w:r w:rsidRPr="00B23F68">
        <w:t xml:space="preserve"> </w:t>
      </w:r>
      <w:r w:rsidRPr="00DE0391">
        <w:rPr>
          <w:i/>
          <w:iCs/>
        </w:rPr>
        <w:t xml:space="preserve">Incentive Auction </w:t>
      </w:r>
      <w:r w:rsidRPr="003F3EA0">
        <w:rPr>
          <w:i/>
          <w:iCs/>
        </w:rPr>
        <w:t>Task Force and Wireless Telecommunications Bureau Grant 600 MHz Licenses,</w:t>
      </w:r>
      <w:r w:rsidRPr="00B23F68">
        <w:t xml:space="preserve"> Auction No. 1002, Public Notice, 33 FCC Rcd 99, 100 (Attach. A) (IATF/WTB 2018); Market No. PEA 181, Texarkana, Texas, Channel Block E, File No. 0007750369.  </w:t>
      </w:r>
    </w:p>
  </w:footnote>
  <w:footnote w:id="5">
    <w:p w:rsidR="0018393A" w:rsidRPr="00B23F68" w:rsidP="0018393A" w14:paraId="356B118C" w14:textId="77777777">
      <w:pPr>
        <w:pStyle w:val="FootnoteText"/>
      </w:pPr>
      <w:r w:rsidRPr="00B23F68">
        <w:rPr>
          <w:rStyle w:val="FootnoteReference"/>
        </w:rPr>
        <w:footnoteRef/>
      </w:r>
      <w:r w:rsidRPr="00B23F68">
        <w:t xml:space="preserve"> 4</w:t>
      </w:r>
      <w:r w:rsidRPr="00DE0391">
        <w:t>7 CFR</w:t>
      </w:r>
      <w:r w:rsidRPr="003F3EA0">
        <w:t xml:space="preserve"> § </w:t>
      </w:r>
      <w:bookmarkStart w:id="1" w:name="OLE_LINK5"/>
      <w:bookmarkStart w:id="2" w:name="OLE_LINK6"/>
      <w:r w:rsidRPr="00B23F68">
        <w:t>1.2110(f)(3)(iii), (iv), (vii).</w:t>
      </w:r>
      <w:bookmarkEnd w:id="1"/>
      <w:bookmarkEnd w:id="2"/>
      <w:r w:rsidRPr="00B23F68">
        <w:t xml:space="preserve">  </w:t>
      </w:r>
    </w:p>
  </w:footnote>
  <w:footnote w:id="6">
    <w:p w:rsidR="0018393A" w:rsidRPr="00B23F68" w:rsidP="0018393A" w14:paraId="678CEB25" w14:textId="77777777">
      <w:pPr>
        <w:pStyle w:val="FootnoteText"/>
        <w:rPr>
          <w:i/>
          <w:iCs/>
        </w:rPr>
      </w:pPr>
      <w:r w:rsidRPr="00B23F68">
        <w:rPr>
          <w:rStyle w:val="FootnoteReference"/>
        </w:rPr>
        <w:footnoteRef/>
      </w:r>
      <w:r w:rsidRPr="00B23F68">
        <w:t xml:space="preserve"> </w:t>
      </w:r>
      <w:bookmarkStart w:id="4" w:name="_Hlk45867512"/>
      <w:r w:rsidRPr="00DE0391">
        <w:rPr>
          <w:i/>
          <w:iCs/>
        </w:rPr>
        <w:t xml:space="preserve">Protecting Against National Security Threats to the Communications Supply Chain Through FCC Programs, </w:t>
      </w:r>
      <w:r w:rsidRPr="003F3EA0">
        <w:t>WC Docket No. 18-89,</w:t>
      </w:r>
      <w:r w:rsidRPr="00B23F68">
        <w:rPr>
          <w:i/>
          <w:iCs/>
        </w:rPr>
        <w:t xml:space="preserve"> Notice of Proposed Rulemaking,</w:t>
      </w:r>
      <w:r w:rsidRPr="00B23F68">
        <w:t xml:space="preserve"> 33 FCC Rcd 4058, 4058, para. 2 (2018) (</w:t>
      </w:r>
      <w:r w:rsidRPr="00B23F68">
        <w:rPr>
          <w:i/>
          <w:iCs/>
        </w:rPr>
        <w:t>Supply Chain Notice</w:t>
      </w:r>
      <w:r w:rsidRPr="00B23F68">
        <w:t>).</w:t>
      </w:r>
      <w:r w:rsidRPr="00B23F68">
        <w:rPr>
          <w:i/>
          <w:iCs/>
        </w:rPr>
        <w:t xml:space="preserve">  </w:t>
      </w:r>
      <w:bookmarkEnd w:id="4"/>
    </w:p>
  </w:footnote>
  <w:footnote w:id="7">
    <w:p w:rsidR="0018393A" w:rsidRPr="00B23F68" w:rsidP="0018393A" w14:paraId="2425C8A1" w14:textId="77777777">
      <w:pPr>
        <w:pStyle w:val="FootnoteText"/>
      </w:pPr>
      <w:r w:rsidRPr="00B23F68">
        <w:rPr>
          <w:rStyle w:val="FootnoteReference"/>
        </w:rPr>
        <w:footnoteRef/>
      </w:r>
      <w:r w:rsidRPr="00B23F68">
        <w:t xml:space="preserve"> </w:t>
      </w:r>
      <w:bookmarkStart w:id="6" w:name="_Hlk51742622"/>
      <w:r w:rsidRPr="00B92E3B">
        <w:rPr>
          <w:i/>
          <w:iCs/>
        </w:rPr>
        <w:t>S</w:t>
      </w:r>
      <w:r w:rsidRPr="003F3EA0">
        <w:rPr>
          <w:i/>
          <w:iCs/>
        </w:rPr>
        <w:t>ee</w:t>
      </w:r>
      <w:r w:rsidRPr="003F3EA0">
        <w:t xml:space="preserve"> 47 CFR § 54.9(b); </w:t>
      </w:r>
      <w:bookmarkEnd w:id="6"/>
      <w:r w:rsidRPr="00B23F68">
        <w:rPr>
          <w:i/>
          <w:iCs/>
        </w:rPr>
        <w:t>In the Matter of Protecting Against National Security Threats to the Communications Supply Chain Through FCC Programs,</w:t>
      </w:r>
      <w:r w:rsidRPr="00B23F68">
        <w:t xml:space="preserve"> WC Docket No. 18-89, Report and Order and Further Notice of Proposed Rulemaking and Order, 34 FCC Rcd 11423 (2019) (</w:t>
      </w:r>
      <w:r w:rsidRPr="00B23F68">
        <w:rPr>
          <w:i/>
          <w:iCs/>
        </w:rPr>
        <w:t xml:space="preserve">Supply Chain Order </w:t>
      </w:r>
      <w:r w:rsidRPr="00B23F68">
        <w:t xml:space="preserve">or </w:t>
      </w:r>
      <w:r w:rsidRPr="00B23F68">
        <w:rPr>
          <w:i/>
          <w:iCs/>
        </w:rPr>
        <w:t>Supply Chain Further Notice</w:t>
      </w:r>
      <w:r w:rsidRPr="00B23F68">
        <w:t>).</w:t>
      </w:r>
    </w:p>
  </w:footnote>
  <w:footnote w:id="8">
    <w:p w:rsidR="0018393A" w:rsidRPr="00B23F68" w:rsidP="0018393A" w14:paraId="588E8853" w14:textId="77777777">
      <w:pPr>
        <w:pStyle w:val="FootnoteText"/>
        <w:rPr>
          <w:i/>
          <w:iCs/>
        </w:rPr>
      </w:pPr>
      <w:r w:rsidRPr="00B23F68">
        <w:rPr>
          <w:rStyle w:val="FootnoteReference"/>
        </w:rPr>
        <w:footnoteRef/>
      </w:r>
      <w:r w:rsidRPr="00B23F68">
        <w:t xml:space="preserve"> </w:t>
      </w:r>
      <w:bookmarkStart w:id="8" w:name="_Hlk46311827"/>
      <w:r w:rsidRPr="00B92E3B">
        <w:rPr>
          <w:i/>
          <w:iCs/>
          <w:spacing w:val="-2"/>
        </w:rPr>
        <w:t>In the Matter of Protecting Against National Security Threats to the Communications Supply Chain Through FCC Programs – Huawei Designation</w:t>
      </w:r>
      <w:r w:rsidRPr="00B23F68">
        <w:rPr>
          <w:spacing w:val="-2"/>
        </w:rPr>
        <w:t xml:space="preserve">, PS Docket No. 19-351, Order, 35 FCC Rcd 6604 (PSHSB 2020) </w:t>
      </w:r>
      <w:bookmarkEnd w:id="8"/>
      <w:r w:rsidRPr="00B23F68">
        <w:rPr>
          <w:spacing w:val="-2"/>
        </w:rPr>
        <w:t>(</w:t>
      </w:r>
      <w:r w:rsidRPr="00B23F68">
        <w:rPr>
          <w:i/>
          <w:iCs/>
          <w:spacing w:val="-2"/>
        </w:rPr>
        <w:t>Huawei Designation Order</w:t>
      </w:r>
      <w:r w:rsidRPr="00B23F68">
        <w:rPr>
          <w:spacing w:val="-2"/>
        </w:rPr>
        <w:t xml:space="preserve">); </w:t>
      </w:r>
      <w:r w:rsidRPr="00B23F68">
        <w:rPr>
          <w:i/>
          <w:iCs/>
          <w:spacing w:val="-2"/>
        </w:rPr>
        <w:t>In the Matter of Protecting Against National Security Threats to the Communications Supply Chain Through FCC Programs – ZTE Designation</w:t>
      </w:r>
      <w:r w:rsidRPr="00B23F68">
        <w:rPr>
          <w:spacing w:val="-2"/>
        </w:rPr>
        <w:t xml:space="preserve">, PS Docket No. 19-352, Order, </w:t>
      </w:r>
      <w:r w:rsidRPr="00B23F68">
        <w:t>35 FCC Rcd 6633</w:t>
      </w:r>
      <w:r w:rsidRPr="00B23F68">
        <w:rPr>
          <w:spacing w:val="-2"/>
        </w:rPr>
        <w:t xml:space="preserve"> (PSHSB 2020).</w:t>
      </w:r>
    </w:p>
  </w:footnote>
  <w:footnote w:id="9">
    <w:p w:rsidR="0018393A" w:rsidRPr="00B23F68" w:rsidP="0018393A" w14:paraId="6F10CF10" w14:textId="77777777">
      <w:pPr>
        <w:pStyle w:val="FootnoteText"/>
      </w:pPr>
      <w:r w:rsidRPr="00B23F68">
        <w:rPr>
          <w:rStyle w:val="FootnoteReference"/>
        </w:rPr>
        <w:footnoteRef/>
      </w:r>
      <w:r w:rsidRPr="00B23F68">
        <w:t xml:space="preserve"> Secure and Trusted Communications Networks Act of 2019, Pub. L. No. 116-124, 133 Stat. 158 (2020) (</w:t>
      </w:r>
      <w:r w:rsidRPr="00B92E3B">
        <w:t xml:space="preserve">codified as amended at </w:t>
      </w:r>
      <w:r w:rsidRPr="00B23F68">
        <w:t>47 U.S.C. §§ 1601–1609) (Secure Networks Act).</w:t>
      </w:r>
    </w:p>
  </w:footnote>
  <w:footnote w:id="10">
    <w:p w:rsidR="0018393A" w:rsidRPr="00B23F68" w:rsidP="0018393A" w14:paraId="72E47CC4" w14:textId="77777777">
      <w:pPr>
        <w:pStyle w:val="FootnoteText"/>
      </w:pPr>
      <w:r w:rsidRPr="00B23F68">
        <w:rPr>
          <w:rStyle w:val="FootnoteReference"/>
        </w:rPr>
        <w:footnoteRef/>
      </w:r>
      <w:r w:rsidRPr="00B23F68">
        <w:t xml:space="preserve"> </w:t>
      </w:r>
      <w:r w:rsidRPr="00B92E3B">
        <w:rPr>
          <w:i/>
          <w:iCs/>
        </w:rPr>
        <w:t>Protecting Against National Security Threats to the Communications Supply Chain Thro</w:t>
      </w:r>
      <w:r w:rsidRPr="003F3EA0">
        <w:rPr>
          <w:i/>
          <w:iCs/>
        </w:rPr>
        <w:t xml:space="preserve">ugh FCC Programs, </w:t>
      </w:r>
      <w:r w:rsidRPr="003F3EA0">
        <w:t>WC Docket No. 18-89,</w:t>
      </w:r>
      <w:r w:rsidRPr="00B23F68">
        <w:rPr>
          <w:i/>
          <w:iCs/>
        </w:rPr>
        <w:t xml:space="preserve"> Declaratory Ruling and Second Further Notice of Proposed Rulemaking,</w:t>
      </w:r>
      <w:r w:rsidRPr="00B23F68">
        <w:t xml:space="preserve"> FCC 20-99, para. 23 (July 17, 2020) (</w:t>
      </w:r>
      <w:r w:rsidRPr="00B23F68">
        <w:rPr>
          <w:i/>
          <w:iCs/>
        </w:rPr>
        <w:t>Supply Chain Second Further Notice</w:t>
      </w:r>
      <w:r w:rsidRPr="00B23F68">
        <w:t>).</w:t>
      </w:r>
      <w:r w:rsidRPr="00B23F68">
        <w:rPr>
          <w:i/>
          <w:iCs/>
        </w:rPr>
        <w:t xml:space="preserve">  </w:t>
      </w:r>
    </w:p>
  </w:footnote>
  <w:footnote w:id="11">
    <w:p w:rsidR="0018393A" w:rsidRPr="00B23F68" w:rsidP="0018393A" w14:paraId="42935108" w14:textId="77777777">
      <w:pPr>
        <w:pStyle w:val="FootnoteText"/>
      </w:pPr>
      <w:r w:rsidRPr="00B23F68">
        <w:rPr>
          <w:rStyle w:val="FootnoteReference"/>
        </w:rPr>
        <w:footnoteRef/>
      </w:r>
      <w:r w:rsidRPr="00B23F68">
        <w:t xml:space="preserve"> Pine Cellular Phones, Inc., Request for Extension of Time, </w:t>
      </w:r>
      <w:r w:rsidRPr="00B92E3B">
        <w:t>File No. 00</w:t>
      </w:r>
      <w:r w:rsidRPr="003F3EA0">
        <w:t>09088322, Exhibit 1: Limited Waiver and Extension of Time to Satisfy the Construction Requirement (filed May 22, 2020) (</w:t>
      </w:r>
      <w:r w:rsidRPr="00B23F68">
        <w:t>Initial Extension Request).</w:t>
      </w:r>
    </w:p>
  </w:footnote>
  <w:footnote w:id="12">
    <w:p w:rsidR="0018393A" w:rsidRPr="003F3EA0" w:rsidP="0018393A" w14:paraId="2898740D" w14:textId="77777777">
      <w:pPr>
        <w:pStyle w:val="FootnoteText"/>
      </w:pPr>
      <w:r w:rsidRPr="00B23F68">
        <w:rPr>
          <w:rStyle w:val="FootnoteReference"/>
        </w:rPr>
        <w:footnoteRef/>
      </w:r>
      <w:r w:rsidRPr="00B23F68">
        <w:t xml:space="preserve"> </w:t>
      </w:r>
      <w:r w:rsidRPr="00B92E3B">
        <w:rPr>
          <w:i/>
        </w:rPr>
        <w:t xml:space="preserve">See </w:t>
      </w:r>
      <w:r w:rsidRPr="003F3EA0">
        <w:rPr>
          <w:i/>
        </w:rPr>
        <w:t xml:space="preserve">generally </w:t>
      </w:r>
      <w:r w:rsidRPr="003F3EA0">
        <w:rPr>
          <w:iCs/>
        </w:rPr>
        <w:t xml:space="preserve">Initial </w:t>
      </w:r>
      <w:r w:rsidRPr="003F3EA0">
        <w:t>Extension Request.</w:t>
      </w:r>
    </w:p>
  </w:footnote>
  <w:footnote w:id="13">
    <w:p w:rsidR="0018393A" w:rsidRPr="00B23F68" w:rsidP="0018393A" w14:paraId="7BA8EFE2" w14:textId="77777777">
      <w:pPr>
        <w:pStyle w:val="FootnoteText"/>
      </w:pPr>
      <w:r w:rsidRPr="00B23F68">
        <w:rPr>
          <w:rStyle w:val="FootnoteReference"/>
        </w:rPr>
        <w:footnoteRef/>
      </w:r>
      <w:r w:rsidRPr="00B23F68">
        <w:t xml:space="preserve"> </w:t>
      </w:r>
      <w:r w:rsidRPr="00B92E3B">
        <w:t xml:space="preserve">Initial </w:t>
      </w:r>
      <w:r w:rsidRPr="003F3EA0">
        <w:t xml:space="preserve">Extension Request at 12-13.  In this request, Pine Cellular stated </w:t>
      </w:r>
      <w:r w:rsidRPr="00B23F68">
        <w:t>that it “planned to enhance [its] infrastructure by constructing approximately 20 new antenna sites, and adding a number of new remote radio heads, at a cost of approximately $1 million, to utilize the 600 MHz spectrum.”  Initial Extension Request at 12.</w:t>
      </w:r>
    </w:p>
  </w:footnote>
  <w:footnote w:id="14">
    <w:p w:rsidR="0018393A" w:rsidRPr="00B23F68" w:rsidP="0018393A" w14:paraId="1B07B727" w14:textId="77777777">
      <w:pPr>
        <w:pStyle w:val="FootnoteText"/>
      </w:pPr>
      <w:r w:rsidRPr="00B23F68">
        <w:rPr>
          <w:rStyle w:val="FootnoteReference"/>
        </w:rPr>
        <w:footnoteRef/>
      </w:r>
      <w:r w:rsidRPr="00B23F68">
        <w:t xml:space="preserve"> </w:t>
      </w:r>
      <w:r w:rsidRPr="00B92E3B">
        <w:rPr>
          <w:i/>
          <w:iCs/>
        </w:rPr>
        <w:t xml:space="preserve">See </w:t>
      </w:r>
      <w:r w:rsidRPr="003F3EA0">
        <w:rPr>
          <w:i/>
          <w:iCs/>
        </w:rPr>
        <w:t>Supply Chain Notice</w:t>
      </w:r>
      <w:r w:rsidRPr="003F3EA0">
        <w:t>; 47 CFR §</w:t>
      </w:r>
      <w:r w:rsidRPr="00B23F68">
        <w:t xml:space="preserve"> 54.9; </w:t>
      </w:r>
      <w:r w:rsidRPr="00B23F68">
        <w:rPr>
          <w:i/>
          <w:iCs/>
        </w:rPr>
        <w:t>Supply Chain Order</w:t>
      </w:r>
      <w:r w:rsidRPr="00B23F68">
        <w:t xml:space="preserve">.  In adopting the rule, the Commission initially designated Huawei as one of the covered companies for purposes of the rule.  </w:t>
      </w:r>
      <w:r w:rsidRPr="00B23F68">
        <w:rPr>
          <w:i/>
          <w:iCs/>
        </w:rPr>
        <w:t>Id</w:t>
      </w:r>
      <w:r w:rsidRPr="00B23F68">
        <w:t xml:space="preserve">.; </w:t>
      </w:r>
      <w:r w:rsidRPr="00B23F68">
        <w:rPr>
          <w:i/>
          <w:iCs/>
        </w:rPr>
        <w:t>see also</w:t>
      </w:r>
      <w:r w:rsidRPr="00B23F68">
        <w:t xml:space="preserve"> 47 CFR § 54.9(b).  In June 2020, the determination that Huawei is a covered company was made final, effective immediately.  </w:t>
      </w:r>
      <w:r w:rsidRPr="00B23F68">
        <w:rPr>
          <w:i/>
          <w:iCs/>
        </w:rPr>
        <w:t>See Huawei Designation Order</w:t>
      </w:r>
      <w:r w:rsidRPr="00B23F68">
        <w:t>.</w:t>
      </w:r>
    </w:p>
  </w:footnote>
  <w:footnote w:id="15">
    <w:p w:rsidR="0018393A" w:rsidRPr="003F3EA0" w:rsidP="0018393A" w14:paraId="120A0500" w14:textId="77777777">
      <w:pPr>
        <w:pStyle w:val="FootnoteText"/>
      </w:pPr>
      <w:r w:rsidRPr="00B23F68">
        <w:rPr>
          <w:rStyle w:val="FootnoteReference"/>
        </w:rPr>
        <w:footnoteRef/>
      </w:r>
      <w:r w:rsidRPr="00B23F68">
        <w:t xml:space="preserve"> </w:t>
      </w:r>
      <w:r w:rsidRPr="00B92E3B">
        <w:rPr>
          <w:i/>
          <w:iCs/>
        </w:rPr>
        <w:t xml:space="preserve">See </w:t>
      </w:r>
      <w:r w:rsidRPr="003F3EA0">
        <w:t>Initial Extension Request at 2.</w:t>
      </w:r>
    </w:p>
  </w:footnote>
  <w:footnote w:id="16">
    <w:p w:rsidR="0018393A" w:rsidRPr="003F3EA0" w:rsidP="0018393A" w14:paraId="256E7C76" w14:textId="77777777">
      <w:pPr>
        <w:spacing w:after="120"/>
        <w:rPr>
          <w:sz w:val="20"/>
        </w:rPr>
      </w:pPr>
      <w:r w:rsidRPr="003F3EA0">
        <w:rPr>
          <w:rStyle w:val="FootnoteReference"/>
        </w:rPr>
        <w:footnoteRef/>
      </w:r>
      <w:r w:rsidRPr="003F3EA0">
        <w:rPr>
          <w:sz w:val="20"/>
        </w:rPr>
        <w:t xml:space="preserve"> Initial Extension Request at 2, 13.</w:t>
      </w:r>
    </w:p>
  </w:footnote>
  <w:footnote w:id="17">
    <w:p w:rsidR="0018393A" w:rsidRPr="003F3EA0" w:rsidP="0018393A" w14:paraId="1AA97BD5" w14:textId="77777777">
      <w:pPr>
        <w:pStyle w:val="FootnoteText"/>
      </w:pPr>
      <w:r w:rsidRPr="00B23F68">
        <w:rPr>
          <w:rStyle w:val="FootnoteReference"/>
        </w:rPr>
        <w:footnoteRef/>
      </w:r>
      <w:r w:rsidRPr="00B23F68">
        <w:t xml:space="preserve"> </w:t>
      </w:r>
      <w:r w:rsidRPr="00B92E3B">
        <w:rPr>
          <w:i/>
          <w:iCs/>
        </w:rPr>
        <w:t>See</w:t>
      </w:r>
      <w:r w:rsidRPr="003F3EA0">
        <w:t xml:space="preserve"> 47 CFR § 54.9(a).</w:t>
      </w:r>
    </w:p>
  </w:footnote>
  <w:footnote w:id="18">
    <w:p w:rsidR="0018393A" w:rsidRPr="00B23F68" w:rsidP="0018393A" w14:paraId="7300605C" w14:textId="77777777">
      <w:pPr>
        <w:pStyle w:val="FootnoteText"/>
      </w:pPr>
      <w:r w:rsidRPr="00B23F68">
        <w:rPr>
          <w:rStyle w:val="FootnoteReference"/>
        </w:rPr>
        <w:footnoteRef/>
      </w:r>
      <w:r w:rsidRPr="00B23F68">
        <w:t xml:space="preserve"> </w:t>
      </w:r>
      <w:r w:rsidRPr="00B92E3B">
        <w:t xml:space="preserve">Initial </w:t>
      </w:r>
      <w:r w:rsidRPr="003F3EA0">
        <w:t>Extension Request at 18-19 (</w:t>
      </w:r>
      <w:r w:rsidRPr="003F3EA0">
        <w:rPr>
          <w:i/>
          <w:iCs/>
        </w:rPr>
        <w:t>referencing Supply Chain Further Notice</w:t>
      </w:r>
      <w:r w:rsidRPr="003F3EA0">
        <w:t xml:space="preserve">).  </w:t>
      </w:r>
    </w:p>
  </w:footnote>
  <w:footnote w:id="19">
    <w:p w:rsidR="0018393A" w:rsidRPr="003F3EA0" w:rsidP="0018393A" w14:paraId="707D9C49" w14:textId="77777777">
      <w:pPr>
        <w:pStyle w:val="FootnoteText"/>
      </w:pPr>
      <w:r w:rsidRPr="00B23F68">
        <w:rPr>
          <w:rStyle w:val="FootnoteReference"/>
        </w:rPr>
        <w:footnoteRef/>
      </w:r>
      <w:r w:rsidRPr="00B23F68">
        <w:t xml:space="preserve"> </w:t>
      </w:r>
      <w:r w:rsidRPr="00B92E3B">
        <w:t xml:space="preserve">Initial </w:t>
      </w:r>
      <w:r w:rsidRPr="003F3EA0">
        <w:t xml:space="preserve">Extension Request at 21.  </w:t>
      </w:r>
    </w:p>
  </w:footnote>
  <w:footnote w:id="20">
    <w:p w:rsidR="0018393A" w:rsidRPr="00B23F68" w:rsidP="0018393A" w14:paraId="1DE187E5" w14:textId="77777777">
      <w:pPr>
        <w:pStyle w:val="FootnoteText"/>
      </w:pPr>
      <w:r w:rsidRPr="00B23F68">
        <w:rPr>
          <w:rStyle w:val="FootnoteReference"/>
        </w:rPr>
        <w:footnoteRef/>
      </w:r>
      <w:r w:rsidRPr="00B23F68">
        <w:t xml:space="preserve"> Initial Extension Request at 24.  </w:t>
      </w:r>
      <w:r w:rsidRPr="00B92E3B">
        <w:rPr>
          <w:i/>
          <w:iCs/>
        </w:rPr>
        <w:t>See also</w:t>
      </w:r>
      <w:r w:rsidRPr="003F3EA0">
        <w:t xml:space="preserve"> </w:t>
      </w:r>
      <w:r w:rsidRPr="003F3EA0">
        <w:rPr>
          <w:i/>
          <w:iCs/>
        </w:rPr>
        <w:t>Supply Chain Order,</w:t>
      </w:r>
      <w:r w:rsidRPr="003F3EA0">
        <w:t xml:space="preserve"> 34 FCC Rcd at 11452,</w:t>
      </w:r>
      <w:r w:rsidRPr="00B23F68">
        <w:t xml:space="preserve"> para. 72.  Although the rule does not prohibit USF recipients from using their own funds to purchase or obtain equipment or services from covered companies, the Commission stated that it “believe[s] it unlikely that many USF recipients will be able to show the detailed records necessary to demonstrate that no USF funds were used” and expressed skepticism “that any USF recipient seeking to use USF funds on an ‘eligible’ portion of such a project would will be able to establish with the necessary certainty.”  </w:t>
      </w:r>
      <w:r w:rsidRPr="00B23F68">
        <w:rPr>
          <w:i/>
          <w:iCs/>
        </w:rPr>
        <w:t>Id.</w:t>
      </w:r>
    </w:p>
  </w:footnote>
  <w:footnote w:id="21">
    <w:p w:rsidR="0018393A" w:rsidRPr="003F3EA0" w:rsidP="0018393A" w14:paraId="70271AE7" w14:textId="77777777">
      <w:pPr>
        <w:spacing w:after="120"/>
        <w:rPr>
          <w:sz w:val="20"/>
        </w:rPr>
      </w:pPr>
      <w:r w:rsidRPr="003F3EA0">
        <w:rPr>
          <w:rStyle w:val="FootnoteReference"/>
        </w:rPr>
        <w:footnoteRef/>
      </w:r>
      <w:r w:rsidRPr="003F3EA0">
        <w:rPr>
          <w:sz w:val="20"/>
        </w:rPr>
        <w:t xml:space="preserve"> Initial Extension Request at 23-24.  </w:t>
      </w:r>
    </w:p>
  </w:footnote>
  <w:footnote w:id="22">
    <w:p w:rsidR="0018393A" w:rsidRPr="00B23F68" w:rsidP="0018393A" w14:paraId="27401165" w14:textId="77777777">
      <w:pPr>
        <w:pStyle w:val="FootnoteText"/>
      </w:pPr>
      <w:r w:rsidRPr="00B23F68">
        <w:rPr>
          <w:rStyle w:val="FootnoteReference"/>
        </w:rPr>
        <w:footnoteRef/>
      </w:r>
      <w:r w:rsidRPr="00B23F68">
        <w:t xml:space="preserve"> Pine </w:t>
      </w:r>
      <w:r w:rsidRPr="00B92E3B">
        <w:t>Cellular explained that its core network uses Huawei equipment that is not interoperable with other equipment, so it cannot expand its existing network using non-Huawei equipment.  Initial Extension Request at 25.</w:t>
      </w:r>
    </w:p>
  </w:footnote>
  <w:footnote w:id="23">
    <w:p w:rsidR="0018393A" w:rsidRPr="00B23F68" w:rsidP="0018393A" w14:paraId="5FE824BC" w14:textId="77777777">
      <w:pPr>
        <w:pStyle w:val="FootnoteText"/>
      </w:pPr>
      <w:r w:rsidRPr="00B23F68">
        <w:rPr>
          <w:rStyle w:val="FootnoteReference"/>
        </w:rPr>
        <w:footnoteRef/>
      </w:r>
      <w:r w:rsidRPr="00B23F68">
        <w:t xml:space="preserve"> Initial Extension Request at 17-19, 21. </w:t>
      </w:r>
      <w:r w:rsidRPr="00B92E3B">
        <w:t xml:space="preserve"> Pine Cellular explained that</w:t>
      </w:r>
      <w:r w:rsidRPr="003F3EA0">
        <w:t xml:space="preserve"> reimbursements pursuant to the Secure Networks </w:t>
      </w:r>
      <w:r w:rsidRPr="00B23F68">
        <w:t xml:space="preserve">Act may be used to remove covered equipment only if that equipment was obtained before August 14, 2018.  </w:t>
      </w:r>
      <w:r w:rsidRPr="00B23F68">
        <w:rPr>
          <w:i/>
          <w:iCs/>
        </w:rPr>
        <w:t>See</w:t>
      </w:r>
      <w:r w:rsidRPr="00B23F68">
        <w:t xml:space="preserve"> 47 U.S.C. § 1603(c)(1)(A)(i).  We note that Pine Cellular’s net winning bid for the license at issue was approximately $4.88 million; and it was granted a Tribal Land Bidding Credit of approximately $2 million.  </w:t>
      </w:r>
      <w:r w:rsidRPr="00B23F68">
        <w:rPr>
          <w:i/>
          <w:iCs/>
        </w:rPr>
        <w:t>See</w:t>
      </w:r>
      <w:r w:rsidRPr="00B23F68">
        <w:t xml:space="preserve"> File No. 0007750369.  Pine Cellular estimated that the costs of building out a parallel network using an acceptable vendor would require an investment of $8 million.  Initial Extension Request at 19.</w:t>
      </w:r>
    </w:p>
  </w:footnote>
  <w:footnote w:id="24">
    <w:p w:rsidR="0018393A" w:rsidRPr="003F3EA0" w:rsidP="0018393A" w14:paraId="67D6205A" w14:textId="77777777">
      <w:pPr>
        <w:spacing w:after="120"/>
        <w:rPr>
          <w:sz w:val="20"/>
        </w:rPr>
      </w:pPr>
      <w:r w:rsidRPr="003F3EA0">
        <w:rPr>
          <w:rStyle w:val="FootnoteReference"/>
        </w:rPr>
        <w:footnoteRef/>
      </w:r>
      <w:r w:rsidRPr="003F3EA0">
        <w:rPr>
          <w:sz w:val="20"/>
        </w:rPr>
        <w:t xml:space="preserve"> Initial Extension Request at 22-23.</w:t>
      </w:r>
    </w:p>
  </w:footnote>
  <w:footnote w:id="25">
    <w:p w:rsidR="0018393A" w:rsidRPr="00B23F68" w:rsidP="0018393A" w14:paraId="1CA417A8" w14:textId="77777777">
      <w:pPr>
        <w:pStyle w:val="FootnoteText"/>
      </w:pPr>
      <w:r w:rsidRPr="00B23F68">
        <w:rPr>
          <w:rStyle w:val="FootnoteReference"/>
        </w:rPr>
        <w:footnoteRef/>
      </w:r>
      <w:r w:rsidRPr="00B23F68">
        <w:t xml:space="preserve"> </w:t>
      </w:r>
      <w:r w:rsidRPr="00B92E3B">
        <w:t xml:space="preserve">Initial </w:t>
      </w:r>
      <w:r w:rsidRPr="003F3EA0">
        <w:t xml:space="preserve">Extension Request at 2.  </w:t>
      </w:r>
      <w:r w:rsidRPr="003F3EA0">
        <w:rPr>
          <w:i/>
          <w:iCs/>
        </w:rPr>
        <w:t>See also</w:t>
      </w:r>
      <w:r w:rsidRPr="003F3EA0">
        <w:t xml:space="preserve"> </w:t>
      </w:r>
      <w:r w:rsidRPr="003F3EA0">
        <w:rPr>
          <w:i/>
          <w:iCs/>
        </w:rPr>
        <w:t>Supply Chain Further Notice</w:t>
      </w:r>
      <w:r w:rsidRPr="003F3EA0">
        <w:t>.</w:t>
      </w:r>
    </w:p>
  </w:footnote>
  <w:footnote w:id="26">
    <w:p w:rsidR="0018393A" w:rsidRPr="00B23F68" w:rsidP="0018393A" w14:paraId="5E2C3E47" w14:textId="77777777">
      <w:pPr>
        <w:pStyle w:val="FootnoteText"/>
      </w:pPr>
      <w:r w:rsidRPr="00B23F68">
        <w:rPr>
          <w:rStyle w:val="FootnoteReference"/>
        </w:rPr>
        <w:footnoteRef/>
      </w:r>
      <w:r w:rsidRPr="00B23F68">
        <w:t xml:space="preserve"> </w:t>
      </w:r>
      <w:r w:rsidRPr="00B92E3B">
        <w:t>Pine Cellular Phones, Inc. Limited Waiver and Extensi</w:t>
      </w:r>
      <w:r w:rsidRPr="003F3EA0">
        <w:t xml:space="preserve">on of Time to Satisfy the Construction Requirement, </w:t>
      </w:r>
      <w:r w:rsidRPr="00B23F68">
        <w:rPr>
          <w:i/>
          <w:iCs/>
        </w:rPr>
        <w:t>Order</w:t>
      </w:r>
      <w:r w:rsidRPr="00B23F68">
        <w:t>, File No. 0009088322, 36 FCC Rcd 10677 (WTB BD 2020) (</w:t>
      </w:r>
      <w:r w:rsidRPr="00B23F68">
        <w:rPr>
          <w:i/>
          <w:iCs/>
        </w:rPr>
        <w:t>Pine Cellular Order</w:t>
      </w:r>
      <w:r w:rsidRPr="00B23F68">
        <w:t xml:space="preserve">). </w:t>
      </w:r>
    </w:p>
  </w:footnote>
  <w:footnote w:id="27">
    <w:p w:rsidR="0018393A" w:rsidRPr="00B23F68" w:rsidP="0018393A" w14:paraId="625E171D" w14:textId="77777777">
      <w:pPr>
        <w:pStyle w:val="FootnoteText"/>
      </w:pPr>
      <w:r w:rsidRPr="00B23F68">
        <w:rPr>
          <w:rStyle w:val="FootnoteReference"/>
        </w:rPr>
        <w:footnoteRef/>
      </w:r>
      <w:r w:rsidRPr="00B23F68">
        <w:t xml:space="preserve"> </w:t>
      </w:r>
      <w:r w:rsidRPr="00B92E3B">
        <w:rPr>
          <w:i/>
          <w:iCs/>
        </w:rPr>
        <w:t xml:space="preserve">Protecting Against National Security Threats to the Communications Supply Chain Through FCC </w:t>
      </w:r>
      <w:r w:rsidRPr="003F3EA0">
        <w:rPr>
          <w:i/>
          <w:iCs/>
        </w:rPr>
        <w:t>Programs</w:t>
      </w:r>
      <w:r w:rsidRPr="003F3EA0">
        <w:t>, Second Report and Order, WC Docket 18-89, 35 FCC Rcd 14284</w:t>
      </w:r>
      <w:r w:rsidRPr="00B23F68">
        <w:t xml:space="preserve"> (rel. Dec. 11, 2020) (</w:t>
      </w:r>
      <w:r w:rsidRPr="00B23F68">
        <w:rPr>
          <w:i/>
          <w:iCs/>
        </w:rPr>
        <w:t>Supply Chain Second Report and Order</w:t>
      </w:r>
      <w:r w:rsidRPr="00B23F68">
        <w:t>).</w:t>
      </w:r>
    </w:p>
  </w:footnote>
  <w:footnote w:id="28">
    <w:p w:rsidR="0018393A" w:rsidRPr="00B23F68" w:rsidP="0018393A" w14:paraId="4EA98DE6" w14:textId="77777777">
      <w:pPr>
        <w:pStyle w:val="FootnoteText"/>
        <w:rPr>
          <w:i/>
          <w:iCs/>
        </w:rPr>
      </w:pPr>
      <w:r w:rsidRPr="00B23F68">
        <w:rPr>
          <w:rStyle w:val="FootnoteReference"/>
        </w:rPr>
        <w:footnoteRef/>
      </w:r>
      <w:r w:rsidRPr="00B23F68">
        <w:t xml:space="preserve"> </w:t>
      </w:r>
      <w:r w:rsidRPr="00B92E3B">
        <w:rPr>
          <w:i/>
          <w:iCs/>
        </w:rPr>
        <w:t>See generally Supply Chain Se</w:t>
      </w:r>
      <w:r w:rsidRPr="003F3EA0">
        <w:rPr>
          <w:i/>
          <w:iCs/>
        </w:rPr>
        <w:t xml:space="preserve">cond </w:t>
      </w:r>
      <w:r w:rsidRPr="00B23F68">
        <w:rPr>
          <w:i/>
          <w:iCs/>
        </w:rPr>
        <w:t>Report and Order.</w:t>
      </w:r>
    </w:p>
  </w:footnote>
  <w:footnote w:id="29">
    <w:p w:rsidR="0018393A" w:rsidRPr="00B23F68" w:rsidP="0018393A" w14:paraId="59B58CA4" w14:textId="77777777">
      <w:pPr>
        <w:pStyle w:val="FootnoteText"/>
      </w:pPr>
      <w:r w:rsidRPr="00B23F68">
        <w:rPr>
          <w:rStyle w:val="FootnoteReference"/>
        </w:rPr>
        <w:footnoteRef/>
      </w:r>
      <w:r w:rsidRPr="00B23F68">
        <w:t xml:space="preserve"> </w:t>
      </w:r>
      <w:r w:rsidRPr="00B92E3B">
        <w:rPr>
          <w:i/>
          <w:iCs/>
        </w:rPr>
        <w:t xml:space="preserve">Protecting Against National Security Threats to the Communications Supply Chain Through FCC </w:t>
      </w:r>
      <w:r w:rsidRPr="003F3EA0">
        <w:rPr>
          <w:i/>
          <w:iCs/>
        </w:rPr>
        <w:t>Programs</w:t>
      </w:r>
      <w:r w:rsidRPr="003F3EA0">
        <w:t xml:space="preserve">, </w:t>
      </w:r>
      <w:r w:rsidRPr="00B23F68">
        <w:t>Third Report and Order, WC Docket 18-89 (rel. July 14, 2021) (</w:t>
      </w:r>
      <w:r w:rsidRPr="00B23F68">
        <w:rPr>
          <w:i/>
          <w:iCs/>
        </w:rPr>
        <w:t>Supply Chain Third Report and Order</w:t>
      </w:r>
      <w:r w:rsidRPr="00B23F68">
        <w:t xml:space="preserve">); </w:t>
      </w:r>
      <w:r w:rsidRPr="00B23F68">
        <w:rPr>
          <w:i/>
          <w:iCs/>
        </w:rPr>
        <w:t>see also</w:t>
      </w:r>
      <w:r w:rsidRPr="00B23F68">
        <w:t xml:space="preserve"> Pub. L. 116-260, Division N-Additional Coronavirus Response and Relief, Title IX-Broadband Internet access Service, §§ 901, 906, 134 Stat. 1182 (2020) (2021 Consolidated Appropriations Act or CAA).</w:t>
      </w:r>
    </w:p>
  </w:footnote>
  <w:footnote w:id="30">
    <w:p w:rsidR="0018393A" w:rsidRPr="00B23F68" w:rsidP="0018393A" w14:paraId="24E1527C" w14:textId="77777777">
      <w:pPr>
        <w:pStyle w:val="FootnoteText"/>
      </w:pPr>
      <w:r w:rsidRPr="00B23F68">
        <w:rPr>
          <w:rStyle w:val="FootnoteReference"/>
        </w:rPr>
        <w:footnoteRef/>
      </w:r>
      <w:r w:rsidRPr="00B23F68">
        <w:t xml:space="preserve"> </w:t>
      </w:r>
      <w:r w:rsidRPr="00B92E3B">
        <w:rPr>
          <w:i/>
          <w:iCs/>
        </w:rPr>
        <w:t>Protecting Against National Security Threats to the Communicatio</w:t>
      </w:r>
      <w:r w:rsidRPr="003F3EA0">
        <w:rPr>
          <w:i/>
          <w:iCs/>
        </w:rPr>
        <w:t>ns Supply Chain Through FCC Programs</w:t>
      </w:r>
      <w:r w:rsidRPr="00B23F68">
        <w:t>, Public Notice, WC Docket 18-89 (rel. Aug. 3, 2021) (</w:t>
      </w:r>
      <w:r w:rsidRPr="00B23F68">
        <w:rPr>
          <w:i/>
          <w:iCs/>
        </w:rPr>
        <w:t>Reimbursement Program Procedures Public Notice</w:t>
      </w:r>
      <w:r w:rsidRPr="00B23F68">
        <w:t xml:space="preserve">). </w:t>
      </w:r>
      <w:r>
        <w:t xml:space="preserve"> </w:t>
      </w:r>
      <w:r w:rsidRPr="00B23F68">
        <w:rPr>
          <w:i/>
          <w:iCs/>
        </w:rPr>
        <w:t>See also</w:t>
      </w:r>
      <w:r w:rsidRPr="00B23F68">
        <w:t xml:space="preserve"> </w:t>
      </w:r>
      <w:r w:rsidRPr="00B23F68">
        <w:rPr>
          <w:i/>
          <w:iCs/>
        </w:rPr>
        <w:t>Protecting Against National Security Threats to the Communications Supply Chain Through FCC Programs</w:t>
      </w:r>
      <w:r w:rsidRPr="00B23F68">
        <w:t>, Public Notice, WC Docket 18-89 (rel. Sept. 27, 2021) (</w:t>
      </w:r>
      <w:r w:rsidRPr="00B23F68">
        <w:rPr>
          <w:i/>
          <w:iCs/>
        </w:rPr>
        <w:t>Reimbursement Program Filing Window Public Notice</w:t>
      </w:r>
      <w:r w:rsidRPr="00B23F68">
        <w:t>) (announcing a Reimbursement Program filing window opening on October 29, 2021</w:t>
      </w:r>
      <w:r>
        <w:t>,</w:t>
      </w:r>
      <w:r w:rsidRPr="00B23F68">
        <w:t xml:space="preserve"> and closing on January 14, 2022).  </w:t>
      </w:r>
    </w:p>
  </w:footnote>
  <w:footnote w:id="31">
    <w:p w:rsidR="0018393A" w:rsidRPr="00B23F68" w:rsidP="0018393A" w14:paraId="73262FE4" w14:textId="77777777">
      <w:pPr>
        <w:pStyle w:val="FootnoteText"/>
      </w:pPr>
      <w:r w:rsidRPr="00B23F68">
        <w:rPr>
          <w:rStyle w:val="FootnoteReference"/>
        </w:rPr>
        <w:footnoteRef/>
      </w:r>
      <w:r w:rsidRPr="00B23F68">
        <w:t xml:space="preserve"> </w:t>
      </w:r>
      <w:r w:rsidRPr="00B92E3B">
        <w:rPr>
          <w:i/>
        </w:rPr>
        <w:t xml:space="preserve">See </w:t>
      </w:r>
      <w:r w:rsidRPr="003F3EA0">
        <w:rPr>
          <w:i/>
        </w:rPr>
        <w:t xml:space="preserve">generally </w:t>
      </w:r>
      <w:r w:rsidRPr="003F3EA0">
        <w:t>Extension Request.</w:t>
      </w:r>
    </w:p>
  </w:footnote>
  <w:footnote w:id="32">
    <w:p w:rsidR="0018393A" w:rsidRPr="00B23F68" w:rsidP="0018393A" w14:paraId="1B083DA9" w14:textId="77777777">
      <w:pPr>
        <w:pStyle w:val="FootnoteText"/>
      </w:pPr>
      <w:r w:rsidRPr="00B23F68">
        <w:rPr>
          <w:rStyle w:val="FootnoteReference"/>
        </w:rPr>
        <w:footnoteRef/>
      </w:r>
      <w:r w:rsidRPr="00B23F68">
        <w:t xml:space="preserve"> </w:t>
      </w:r>
      <w:r w:rsidRPr="00B92E3B">
        <w:t xml:space="preserve">Public Notice, Wireless Telecommunications Bureau Market-Based Applications Accepted for Filing, Report Number 16196 </w:t>
      </w:r>
      <w:r w:rsidRPr="00B23F68">
        <w:t>(September 15, 2021).</w:t>
      </w:r>
    </w:p>
  </w:footnote>
  <w:footnote w:id="33">
    <w:p w:rsidR="0018393A" w:rsidRPr="00B92E3B" w:rsidP="0018393A" w14:paraId="26322B60" w14:textId="77777777">
      <w:pPr>
        <w:pStyle w:val="FootnoteText"/>
      </w:pPr>
      <w:r w:rsidRPr="00B23F68">
        <w:rPr>
          <w:rStyle w:val="FootnoteReference"/>
        </w:rPr>
        <w:footnoteRef/>
      </w:r>
      <w:r w:rsidRPr="00B23F68">
        <w:t xml:space="preserve"> 47 CFR § 1.925(b)(3).</w:t>
      </w:r>
    </w:p>
  </w:footnote>
  <w:footnote w:id="34">
    <w:p w:rsidR="0018393A" w:rsidRPr="00B92E3B" w:rsidP="0018393A" w14:paraId="6DB6D771" w14:textId="77777777">
      <w:pPr>
        <w:pStyle w:val="FootnoteText"/>
      </w:pPr>
      <w:r w:rsidRPr="00B23F68">
        <w:rPr>
          <w:rStyle w:val="FootnoteReference"/>
        </w:rPr>
        <w:footnoteRef/>
      </w:r>
      <w:r w:rsidRPr="00B23F68">
        <w:t xml:space="preserve"> 47 CFR § 1.946(e).  </w:t>
      </w:r>
    </w:p>
  </w:footnote>
  <w:footnote w:id="35">
    <w:p w:rsidR="0018393A" w:rsidRPr="00B23F68" w:rsidP="0018393A" w14:paraId="1A73F487" w14:textId="77777777">
      <w:pPr>
        <w:pStyle w:val="FootnoteText"/>
      </w:pPr>
      <w:r w:rsidRPr="00B23F68">
        <w:rPr>
          <w:rStyle w:val="FootnoteReference"/>
        </w:rPr>
        <w:footnoteRef/>
      </w:r>
      <w:r w:rsidRPr="00B23F68">
        <w:t xml:space="preserve"> </w:t>
      </w:r>
      <w:r w:rsidRPr="00B92E3B">
        <w:rPr>
          <w:i/>
          <w:iCs/>
        </w:rPr>
        <w:t>Id</w:t>
      </w:r>
      <w:r w:rsidRPr="003F3EA0">
        <w:t>.  Pine Cellular’s TLBC construction deadline is January 9, 202</w:t>
      </w:r>
      <w:r>
        <w:t>2</w:t>
      </w:r>
      <w:r w:rsidRPr="003F3EA0">
        <w:t xml:space="preserve">, and it filed its request prior to that deadline, on </w:t>
      </w:r>
      <w:r>
        <w:t>July</w:t>
      </w:r>
      <w:r w:rsidRPr="003F3EA0">
        <w:t xml:space="preserve"> 2</w:t>
      </w:r>
      <w:r>
        <w:t>7</w:t>
      </w:r>
      <w:r w:rsidRPr="003F3EA0">
        <w:t>, 202</w:t>
      </w:r>
      <w:r>
        <w:t>1</w:t>
      </w:r>
      <w:r w:rsidRPr="003F3EA0">
        <w:t>.</w:t>
      </w:r>
    </w:p>
  </w:footnote>
  <w:footnote w:id="36">
    <w:p w:rsidR="0018393A" w:rsidRPr="00B23F68" w:rsidP="0018393A" w14:paraId="6D7896DD" w14:textId="77777777">
      <w:pPr>
        <w:pStyle w:val="FootnoteText"/>
      </w:pPr>
      <w:r w:rsidRPr="00B23F68">
        <w:rPr>
          <w:rStyle w:val="FootnoteReference"/>
        </w:rPr>
        <w:footnoteRef/>
      </w:r>
      <w:r w:rsidRPr="00B23F68">
        <w:t xml:space="preserve"> </w:t>
      </w:r>
      <w:r w:rsidRPr="00DE0391">
        <w:rPr>
          <w:i/>
          <w:iCs/>
        </w:rPr>
        <w:t>Improving Communications Services for Tribal Nations by Promoting Greater Utilization of Spectrum over Tribal Lands</w:t>
      </w:r>
      <w:r w:rsidRPr="00B23F68">
        <w:t xml:space="preserve">, Notice of Proposed Rulemaking, </w:t>
      </w:r>
      <w:bookmarkStart w:id="14" w:name="_Hlk509318156"/>
      <w:r w:rsidRPr="00B23F68">
        <w:t xml:space="preserve">26 FCC Rcd 2623, 2624, para. 1 </w:t>
      </w:r>
      <w:bookmarkEnd w:id="14"/>
      <w:r w:rsidRPr="00B23F68">
        <w:t xml:space="preserve">(2011); </w:t>
      </w:r>
      <w:r w:rsidRPr="00B23F68">
        <w:rPr>
          <w:i/>
          <w:iCs/>
        </w:rPr>
        <w:t>see also Inquiry Concerning Deployment of Advanced Telecommunications Capability to All Americans In a Reasonable and Timely Fashion</w:t>
      </w:r>
      <w:r w:rsidRPr="00B23F68">
        <w:rPr>
          <w:iCs/>
        </w:rPr>
        <w:t>,</w:t>
      </w:r>
      <w:r w:rsidRPr="00B23F68">
        <w:t xml:space="preserve"> 2018 Broadband Deployment Report, 33 FCC Rcd 1660, 1662, 1687-88, paras. 6, 57-58 (2018) (noting that Tribal lands continue to lag behind with respect to broadband deployment)</w:t>
      </w:r>
      <w:r w:rsidRPr="00B23F68">
        <w:rPr>
          <w:i/>
          <w:iCs/>
        </w:rPr>
        <w:t>.</w:t>
      </w:r>
    </w:p>
  </w:footnote>
  <w:footnote w:id="37">
    <w:p w:rsidR="0018393A" w:rsidRPr="00B23F68" w:rsidP="0018393A" w14:paraId="4640827D" w14:textId="77777777">
      <w:pPr>
        <w:pStyle w:val="FootnoteText"/>
      </w:pPr>
      <w:r w:rsidRPr="00B23F68">
        <w:rPr>
          <w:rStyle w:val="FootnoteReference"/>
        </w:rPr>
        <w:footnoteRef/>
      </w:r>
      <w:r w:rsidRPr="00B23F68">
        <w:t xml:space="preserve"> </w:t>
      </w:r>
      <w:r w:rsidRPr="00DE0391">
        <w:rPr>
          <w:i/>
          <w:iCs/>
        </w:rPr>
        <w:t xml:space="preserve">See </w:t>
      </w:r>
      <w:r w:rsidRPr="003F3EA0">
        <w:rPr>
          <w:i/>
          <w:iCs/>
        </w:rPr>
        <w:t>Extending Wireless Telecommunications Services to Tribal Lands</w:t>
      </w:r>
      <w:r w:rsidRPr="003F3EA0">
        <w:t>, WT Docket No. 99-266, Report and Order and Further Notice of Proposed Rule Making, 1</w:t>
      </w:r>
      <w:r w:rsidRPr="00B23F68">
        <w:t>5 FCC Rcd 11794 (2000) (</w:t>
      </w:r>
      <w:r w:rsidRPr="00B23F68">
        <w:rPr>
          <w:i/>
          <w:iCs/>
        </w:rPr>
        <w:t>Tribal Lands Order</w:t>
      </w:r>
      <w:r w:rsidRPr="00B23F68">
        <w:t xml:space="preserve">).  More recently, the Commission has established other initiatives to facilitate the deployment of advanced wireless services on Tribal lands.  </w:t>
      </w:r>
      <w:r w:rsidRPr="00B23F68">
        <w:rPr>
          <w:i/>
          <w:iCs/>
        </w:rPr>
        <w:t>See, e.g.</w:t>
      </w:r>
      <w:r w:rsidRPr="00B23F68">
        <w:t xml:space="preserve">, </w:t>
      </w:r>
      <w:r w:rsidRPr="00B23F68">
        <w:rPr>
          <w:i/>
          <w:iCs/>
        </w:rPr>
        <w:t>In the Matter of Transforming the 2.5 GHz Band</w:t>
      </w:r>
      <w:r w:rsidRPr="00B23F68">
        <w:t>, WT Docket No. 18-120, Report and Order, 34 FCC Rcd 5446, 5463  para. 47 (2019) (establishing a Tribal priority window for Tribal entities to obtain unassigned 2.5 GHz spectrum on Tribal lands that are located in rural areas).</w:t>
      </w:r>
    </w:p>
  </w:footnote>
  <w:footnote w:id="38">
    <w:p w:rsidR="0018393A" w:rsidRPr="00B23F68" w:rsidP="0018393A" w14:paraId="33DAC5F6" w14:textId="77777777">
      <w:pPr>
        <w:pStyle w:val="FootnoteText"/>
      </w:pPr>
      <w:r w:rsidRPr="00B23F68">
        <w:rPr>
          <w:rStyle w:val="FootnoteReference"/>
        </w:rPr>
        <w:footnoteRef/>
      </w:r>
      <w:r w:rsidRPr="00B23F68">
        <w:t xml:space="preserve"> </w:t>
      </w:r>
      <w:r w:rsidRPr="00DE0391">
        <w:rPr>
          <w:i/>
          <w:iCs/>
        </w:rPr>
        <w:t>Extending Wireless Telecommunications Services to Tribal Lands</w:t>
      </w:r>
      <w:r w:rsidRPr="003F3EA0">
        <w:t xml:space="preserve">, WT Docket </w:t>
      </w:r>
      <w:r w:rsidRPr="00B23F68">
        <w:t>No. 99-266,</w:t>
      </w:r>
      <w:r w:rsidRPr="00B23F68">
        <w:rPr>
          <w:iCs/>
        </w:rPr>
        <w:t xml:space="preserve"> Second Report and Order and Second Further Notice of Proposed Rulemaking, </w:t>
      </w:r>
      <w:r w:rsidRPr="00B23F68">
        <w:t xml:space="preserve">18 FCC Rcd 4775, 4783  para. 22 (2003).  </w:t>
      </w:r>
    </w:p>
  </w:footnote>
  <w:footnote w:id="39">
    <w:p w:rsidR="0018393A" w:rsidRPr="00B23F68" w:rsidP="0018393A" w14:paraId="6AE92BF5" w14:textId="77777777">
      <w:pPr>
        <w:pStyle w:val="FootnoteText"/>
      </w:pPr>
      <w:r w:rsidRPr="00B23F68">
        <w:rPr>
          <w:rStyle w:val="FootnoteReference"/>
        </w:rPr>
        <w:footnoteRef/>
      </w:r>
      <w:r w:rsidRPr="00B23F68">
        <w:t xml:space="preserve"> </w:t>
      </w:r>
      <w:r w:rsidRPr="00DE0391">
        <w:rPr>
          <w:i/>
          <w:iCs/>
        </w:rPr>
        <w:t>Extending Wireless Telecommunic</w:t>
      </w:r>
      <w:r w:rsidRPr="003F3EA0">
        <w:rPr>
          <w:i/>
          <w:iCs/>
        </w:rPr>
        <w:t>ations Services to Tribal Lands</w:t>
      </w:r>
      <w:r w:rsidRPr="003F3EA0">
        <w:t>, WT Docket No. 99-266, Third Report and Order, 19 FCC Rcd 17652, 17656, para. 8 (2004) (</w:t>
      </w:r>
      <w:r w:rsidRPr="00B23F68">
        <w:rPr>
          <w:i/>
          <w:iCs/>
        </w:rPr>
        <w:t>citing Tribal Lands Order</w:t>
      </w:r>
      <w:r w:rsidRPr="00B23F68">
        <w:t>,</w:t>
      </w:r>
      <w:r w:rsidRPr="00B23F68">
        <w:rPr>
          <w:i/>
          <w:iCs/>
        </w:rPr>
        <w:t xml:space="preserve"> </w:t>
      </w:r>
      <w:r w:rsidRPr="00B23F68">
        <w:t>15 FCC Rcd at 11808, para. 39).</w:t>
      </w:r>
    </w:p>
  </w:footnote>
  <w:footnote w:id="40">
    <w:p w:rsidR="0018393A" w:rsidRPr="003F3EA0" w:rsidP="0018393A" w14:paraId="0E483BAF" w14:textId="77777777">
      <w:pPr>
        <w:pStyle w:val="FootnoteText"/>
      </w:pPr>
      <w:r w:rsidRPr="00B23F68">
        <w:rPr>
          <w:rStyle w:val="FootnoteReference"/>
        </w:rPr>
        <w:footnoteRef/>
      </w:r>
      <w:r w:rsidRPr="00B23F68">
        <w:t xml:space="preserve"> </w:t>
      </w:r>
      <w:r w:rsidRPr="00DE0391">
        <w:rPr>
          <w:i/>
          <w:iCs/>
        </w:rPr>
        <w:t>See</w:t>
      </w:r>
      <w:r w:rsidRPr="003F3EA0">
        <w:t xml:space="preserve"> 47 CFR § 1.925(b)(3)(ii).</w:t>
      </w:r>
    </w:p>
  </w:footnote>
  <w:footnote w:id="41">
    <w:p w:rsidR="0018393A" w:rsidRPr="00B23F68" w:rsidP="0018393A" w14:paraId="04266EC9" w14:textId="77777777">
      <w:pPr>
        <w:pStyle w:val="FootnoteText"/>
      </w:pPr>
      <w:r w:rsidRPr="00B23F68">
        <w:rPr>
          <w:rStyle w:val="FootnoteReference"/>
        </w:rPr>
        <w:footnoteRef/>
      </w:r>
      <w:r w:rsidRPr="00B23F68">
        <w:t xml:space="preserve"> Extension Request at 2; </w:t>
      </w:r>
      <w:r w:rsidRPr="00DE0391">
        <w:rPr>
          <w:i/>
          <w:iCs/>
        </w:rPr>
        <w:t>see also</w:t>
      </w:r>
      <w:r w:rsidRPr="003F3EA0">
        <w:t xml:space="preserve"> </w:t>
      </w:r>
      <w:r w:rsidRPr="003F3EA0">
        <w:rPr>
          <w:i/>
          <w:iCs/>
        </w:rPr>
        <w:t xml:space="preserve">generally </w:t>
      </w:r>
      <w:r w:rsidRPr="00B23F68">
        <w:t xml:space="preserve">Initial Extension Request. </w:t>
      </w:r>
    </w:p>
  </w:footnote>
  <w:footnote w:id="42">
    <w:p w:rsidR="0018393A" w:rsidRPr="00DE0391" w:rsidP="0018393A" w14:paraId="5174D010" w14:textId="77777777">
      <w:pPr>
        <w:pStyle w:val="FootnoteText"/>
      </w:pPr>
      <w:r w:rsidRPr="00B23F68">
        <w:rPr>
          <w:rStyle w:val="FootnoteReference"/>
        </w:rPr>
        <w:footnoteRef/>
      </w:r>
      <w:r w:rsidRPr="00B23F68">
        <w:t xml:space="preserve"> Extension Request at 7.</w:t>
      </w:r>
    </w:p>
  </w:footnote>
  <w:footnote w:id="43">
    <w:p w:rsidR="0018393A" w:rsidRPr="00DE0391" w:rsidP="0018393A" w14:paraId="095ED4C0" w14:textId="77777777">
      <w:pPr>
        <w:pStyle w:val="FootnoteText"/>
      </w:pPr>
      <w:r w:rsidRPr="00B23F68">
        <w:rPr>
          <w:rStyle w:val="FootnoteReference"/>
        </w:rPr>
        <w:footnoteRef/>
      </w:r>
      <w:r w:rsidRPr="00B23F68">
        <w:t xml:space="preserve"> </w:t>
      </w:r>
      <w:r>
        <w:rPr>
          <w:i/>
          <w:iCs/>
        </w:rPr>
        <w:t>Id.</w:t>
      </w:r>
      <w:r w:rsidRPr="00B23F68">
        <w:t xml:space="preserve"> at 6-7.</w:t>
      </w:r>
    </w:p>
  </w:footnote>
  <w:footnote w:id="44">
    <w:p w:rsidR="0018393A" w:rsidRPr="00B23F68" w:rsidP="0018393A" w14:paraId="1614828C" w14:textId="77777777">
      <w:pPr>
        <w:pStyle w:val="FootnoteText"/>
      </w:pPr>
      <w:r w:rsidRPr="00B23F68">
        <w:rPr>
          <w:rStyle w:val="FootnoteReference"/>
        </w:rPr>
        <w:footnoteRef/>
      </w:r>
      <w:r w:rsidRPr="00B23F68">
        <w:t xml:space="preserve"> </w:t>
      </w:r>
      <w:r>
        <w:rPr>
          <w:i/>
          <w:iCs/>
        </w:rPr>
        <w:t xml:space="preserve">Id. </w:t>
      </w:r>
      <w:r w:rsidRPr="00B23F68">
        <w:t>at 10.</w:t>
      </w:r>
    </w:p>
  </w:footnote>
  <w:footnote w:id="45">
    <w:p w:rsidR="0018393A" w:rsidRPr="00B23F68" w:rsidP="0018393A" w14:paraId="2BE10290" w14:textId="77777777">
      <w:pPr>
        <w:pStyle w:val="FootnoteText"/>
      </w:pPr>
      <w:r w:rsidRPr="00B23F68">
        <w:rPr>
          <w:rStyle w:val="FootnoteReference"/>
        </w:rPr>
        <w:footnoteRef/>
      </w:r>
      <w:r w:rsidRPr="00B23F68">
        <w:t xml:space="preserve"> </w:t>
      </w:r>
      <w:r>
        <w:rPr>
          <w:i/>
          <w:iCs/>
        </w:rPr>
        <w:t xml:space="preserve">Id. </w:t>
      </w:r>
      <w:r w:rsidRPr="00B23F68">
        <w:t>at 8-9.</w:t>
      </w:r>
    </w:p>
  </w:footnote>
  <w:footnote w:id="46">
    <w:p w:rsidR="0018393A" w:rsidRPr="00B23F68" w:rsidP="0018393A" w14:paraId="722C0FA6" w14:textId="77777777">
      <w:pPr>
        <w:pStyle w:val="FootnoteText"/>
      </w:pPr>
      <w:r w:rsidRPr="00B23F68">
        <w:rPr>
          <w:rStyle w:val="FootnoteReference"/>
        </w:rPr>
        <w:footnoteRef/>
      </w:r>
      <w:r w:rsidRPr="00B23F68">
        <w:t xml:space="preserve"> Extension Request at 9.</w:t>
      </w:r>
    </w:p>
  </w:footnote>
  <w:footnote w:id="47">
    <w:p w:rsidR="0018393A" w:rsidRPr="00B23F68" w:rsidP="0018393A" w14:paraId="1F613C22" w14:textId="77777777">
      <w:pPr>
        <w:pStyle w:val="FootnoteText"/>
      </w:pPr>
      <w:r w:rsidRPr="00B23F68">
        <w:rPr>
          <w:rStyle w:val="FootnoteReference"/>
        </w:rPr>
        <w:footnoteRef/>
      </w:r>
      <w:r w:rsidRPr="00B23F68">
        <w:t xml:space="preserve"> 47 CFR § 1.2110(f)(3)(viii).  Any licensee that fails to provide the post-construction certification demonstrating it met its TLBC buildout obligation in a timely manner must repay the bidding credit amount in its entirety, plus interest, within 30 days of the deadline, or face automatic termination of its license.  With imposition of these penalties, a licensee’s commitment to serve the Tribal land is no longer applicable.    </w:t>
      </w:r>
    </w:p>
  </w:footnote>
  <w:footnote w:id="48">
    <w:p w:rsidR="0018393A" w:rsidRPr="00B23F68" w:rsidP="0018393A" w14:paraId="704C9C52" w14:textId="77777777">
      <w:pPr>
        <w:pStyle w:val="FootnoteText"/>
      </w:pPr>
      <w:r w:rsidRPr="00B23F68">
        <w:rPr>
          <w:rStyle w:val="FootnoteReference"/>
        </w:rPr>
        <w:footnoteRef/>
      </w:r>
      <w:r w:rsidRPr="00B23F68">
        <w:t xml:space="preserve"> </w:t>
      </w:r>
      <w:r w:rsidRPr="00B23F68">
        <w:rPr>
          <w:i/>
          <w:iCs/>
        </w:rPr>
        <w:t xml:space="preserve">Ronan Telephone Company Request for Waiver and Extension of Time of Tribal Land Bidding Credit Construction Requirement for a Lower 700 MHz Band Licensee, </w:t>
      </w:r>
      <w:r w:rsidRPr="00B23F68">
        <w:rPr>
          <w:iCs/>
        </w:rPr>
        <w:t>Order,</w:t>
      </w:r>
      <w:r w:rsidRPr="00B23F68">
        <w:t xml:space="preserve"> WT Docket No. 06-231, 22 FCC Rcd 972, 975, para. 10 (WTB-MD 2007).  </w:t>
      </w:r>
      <w:r w:rsidRPr="00B23F68">
        <w:rPr>
          <w:i/>
          <w:iCs/>
        </w:rPr>
        <w:t>See also</w:t>
      </w:r>
      <w:r w:rsidRPr="00B23F68">
        <w:t xml:space="preserve"> </w:t>
      </w:r>
      <w:r w:rsidRPr="00B23F68">
        <w:rPr>
          <w:i/>
          <w:iCs/>
        </w:rPr>
        <w:t>Ronan Telephone Company Request for Waiver and Extension of Time of Tribal Land Bidding Credit Construction Requirement for a Lower 700 MHz Band Licensee,</w:t>
      </w:r>
      <w:r w:rsidRPr="00B23F68">
        <w:t xml:space="preserve"> </w:t>
      </w:r>
      <w:r w:rsidRPr="00B23F68">
        <w:rPr>
          <w:iCs/>
        </w:rPr>
        <w:t>Order</w:t>
      </w:r>
      <w:r w:rsidRPr="00B23F68">
        <w:t xml:space="preserve">, WT Docket No. 06-231, 23 FCC Rcd 845 (WTB-MD 2008); </w:t>
      </w:r>
      <w:r w:rsidRPr="00B23F68">
        <w:rPr>
          <w:i/>
          <w:iCs/>
        </w:rPr>
        <w:t>Ronan Telephone Company Request for Waiver and Extension of Time of Tribal Land Bidding Credit Construction Requirement for a Lower 700 MHz Band Licensee,</w:t>
      </w:r>
      <w:r w:rsidRPr="00B23F68">
        <w:t xml:space="preserve"> </w:t>
      </w:r>
      <w:r w:rsidRPr="00B23F68">
        <w:rPr>
          <w:iCs/>
        </w:rPr>
        <w:t>Order</w:t>
      </w:r>
      <w:r w:rsidRPr="00B23F68">
        <w:t xml:space="preserve">, WT Docket No. 06-231, 24 FCC Rcd 983 (WTB-MD 2009).  Further, in the </w:t>
      </w:r>
      <w:r w:rsidRPr="00B23F68">
        <w:rPr>
          <w:i/>
          <w:iCs/>
        </w:rPr>
        <w:t>Ronan Telephone Company</w:t>
      </w:r>
      <w:r w:rsidRPr="00B23F68">
        <w:t xml:space="preserve"> proceeding, the Bureau granted multiple one-year TLBC extensions to the same applicant when circumstances warranted granting additional time to meet the TLBC construction deadline.</w:t>
      </w:r>
    </w:p>
  </w:footnote>
  <w:footnote w:id="49">
    <w:p w:rsidR="0018393A" w:rsidRPr="00B23F68" w:rsidP="0018393A" w14:paraId="4615E9EE" w14:textId="77777777">
      <w:pPr>
        <w:pStyle w:val="FootnoteText"/>
        <w:rPr>
          <w:i/>
          <w:iCs/>
        </w:rPr>
      </w:pPr>
      <w:r w:rsidRPr="00B23F68">
        <w:rPr>
          <w:rStyle w:val="FootnoteReference"/>
        </w:rPr>
        <w:footnoteRef/>
      </w:r>
      <w:r w:rsidRPr="00B23F68">
        <w:t xml:space="preserve"> </w:t>
      </w:r>
      <w:r w:rsidRPr="00B23F68">
        <w:rPr>
          <w:i/>
          <w:iCs/>
        </w:rPr>
        <w:t>See LL License Holdings, LLC Waiver Request for Extension of Time for Wireless Services, Call Signs WQKH490 and WQKH491 (File Numbers 0005204801 and 0005204802)</w:t>
      </w:r>
      <w:r w:rsidRPr="00B23F68">
        <w:t xml:space="preserve">, Order, 30 FCC Rcd 1937 (2015) (granting additional time for TLBC buildout due to lack of available interoperable 700 MHz equipment); </w:t>
      </w:r>
      <w:r w:rsidRPr="00B23F68">
        <w:rPr>
          <w:i/>
          <w:iCs/>
        </w:rPr>
        <w:t>Space Data Spectrum Holdings, LLC, AWS Station WQIA880, A Block, Alaska 1–Wade Hampton CMA, Request for Waiver and Extension of Time of Tribal Land Bidding Credit Construction Requirement</w:t>
      </w:r>
      <w:r w:rsidRPr="00B23F68">
        <w:t>, Memorandum Opinion and Order, 29 FCC Rcd 3523 (2014) (granting additional time for TLBC buildout due to lack of suitable Advanced Wireless Services equipment).</w:t>
      </w:r>
    </w:p>
  </w:footnote>
  <w:footnote w:id="50">
    <w:p w:rsidR="0018393A" w:rsidRPr="00B23F68" w:rsidP="0018393A" w14:paraId="51BC17EA" w14:textId="77777777">
      <w:pPr>
        <w:pStyle w:val="FootnoteText"/>
      </w:pPr>
      <w:r w:rsidRPr="00B23F68">
        <w:rPr>
          <w:rStyle w:val="FootnoteReference"/>
        </w:rPr>
        <w:footnoteRef/>
      </w:r>
      <w:r w:rsidRPr="00B23F68">
        <w:t xml:space="preserve"> </w:t>
      </w:r>
      <w:r w:rsidRPr="00B23F68">
        <w:rPr>
          <w:i/>
          <w:iCs/>
        </w:rPr>
        <w:t>See</w:t>
      </w:r>
      <w:r w:rsidRPr="00B23F68">
        <w:t xml:space="preserve"> Extending Wireless Telecommunications Services to Tribal Lands, WT Docket  No. 99-266,</w:t>
      </w:r>
      <w:r w:rsidRPr="00B23F68">
        <w:rPr>
          <w:i/>
        </w:rPr>
        <w:t xml:space="preserve"> Second Report and Order and Second Further Notice of Proposed Rulemaking</w:t>
      </w:r>
      <w:r w:rsidRPr="00B23F68">
        <w:t xml:space="preserve">, 18 FCC Rcd 4775, 4783  para. 22 (2003); </w:t>
      </w:r>
      <w:r w:rsidRPr="00B23F68">
        <w:rPr>
          <w:i/>
          <w:iCs/>
        </w:rPr>
        <w:t>Tribal Lands Order</w:t>
      </w:r>
      <w:r w:rsidRPr="00B23F68">
        <w:t>, 15 FCC Rcd at 11808, para. 39.</w:t>
      </w:r>
    </w:p>
  </w:footnote>
  <w:footnote w:id="51">
    <w:p w:rsidR="0018393A" w:rsidRPr="00B23F68" w:rsidP="0018393A" w14:paraId="37EE5EA6" w14:textId="77777777">
      <w:pPr>
        <w:pStyle w:val="FootnoteText"/>
      </w:pPr>
      <w:r w:rsidRPr="00B23F68">
        <w:rPr>
          <w:rStyle w:val="FootnoteReference"/>
        </w:rPr>
        <w:footnoteRef/>
      </w:r>
      <w:r w:rsidRPr="00B23F68">
        <w:t xml:space="preserve"> </w:t>
      </w:r>
      <w:r w:rsidRPr="00DE0391">
        <w:rPr>
          <w:i/>
          <w:iCs/>
        </w:rPr>
        <w:t>Reimbursement Program Filing Window Public Notice</w:t>
      </w:r>
      <w:r w:rsidRPr="00B23F68">
        <w:t xml:space="preserve">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F1DF29" w14:textId="732197AA">
    <w:pPr>
      <w:pStyle w:val="Header"/>
      <w:rPr>
        <w:b w:val="0"/>
      </w:rPr>
    </w:pPr>
    <w:r>
      <w:tab/>
      <w:t>Federal Communications Commission</w:t>
    </w:r>
    <w:r>
      <w:tab/>
    </w:r>
    <w:r w:rsidR="006E6DCF">
      <w:t>DA 21-1553</w:t>
    </w:r>
  </w:p>
  <w:p w:rsidR="00D25FB5" w14:paraId="6A0B11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8860D4" w14:textId="7CA120D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E6DCF">
      <w:rPr>
        <w:spacing w:val="-2"/>
      </w:rPr>
      <w:t>DA 21-1553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pStyle w:val="EndnoteTex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3A"/>
    <w:rsid w:val="00036039"/>
    <w:rsid w:val="00037F90"/>
    <w:rsid w:val="000875BF"/>
    <w:rsid w:val="00096D8C"/>
    <w:rsid w:val="000C0B65"/>
    <w:rsid w:val="000E05FE"/>
    <w:rsid w:val="000E3D42"/>
    <w:rsid w:val="00122BD5"/>
    <w:rsid w:val="00133F79"/>
    <w:rsid w:val="001429DA"/>
    <w:rsid w:val="00176523"/>
    <w:rsid w:val="0018393A"/>
    <w:rsid w:val="00194A66"/>
    <w:rsid w:val="001A584D"/>
    <w:rsid w:val="001D6BCF"/>
    <w:rsid w:val="001E01CA"/>
    <w:rsid w:val="00275CF5"/>
    <w:rsid w:val="0028301F"/>
    <w:rsid w:val="00285017"/>
    <w:rsid w:val="002A2D2E"/>
    <w:rsid w:val="002C00E8"/>
    <w:rsid w:val="00343749"/>
    <w:rsid w:val="003660ED"/>
    <w:rsid w:val="003B0550"/>
    <w:rsid w:val="003B694F"/>
    <w:rsid w:val="003F171C"/>
    <w:rsid w:val="003F3EA0"/>
    <w:rsid w:val="00412FC5"/>
    <w:rsid w:val="00422276"/>
    <w:rsid w:val="004242F1"/>
    <w:rsid w:val="00445A00"/>
    <w:rsid w:val="00451B0F"/>
    <w:rsid w:val="004C2EE3"/>
    <w:rsid w:val="004E4A22"/>
    <w:rsid w:val="005000F1"/>
    <w:rsid w:val="00511968"/>
    <w:rsid w:val="0051317C"/>
    <w:rsid w:val="00514B38"/>
    <w:rsid w:val="0055614C"/>
    <w:rsid w:val="00566D06"/>
    <w:rsid w:val="005701E2"/>
    <w:rsid w:val="005E14C2"/>
    <w:rsid w:val="00607BA5"/>
    <w:rsid w:val="0061180A"/>
    <w:rsid w:val="00622C59"/>
    <w:rsid w:val="00626EB6"/>
    <w:rsid w:val="00642937"/>
    <w:rsid w:val="00655D03"/>
    <w:rsid w:val="00683388"/>
    <w:rsid w:val="00683F84"/>
    <w:rsid w:val="006A6A81"/>
    <w:rsid w:val="006E6DCF"/>
    <w:rsid w:val="006F7393"/>
    <w:rsid w:val="0070224F"/>
    <w:rsid w:val="007115F7"/>
    <w:rsid w:val="007431E4"/>
    <w:rsid w:val="00785689"/>
    <w:rsid w:val="0079754B"/>
    <w:rsid w:val="007A1E6D"/>
    <w:rsid w:val="007A520A"/>
    <w:rsid w:val="007B0EB2"/>
    <w:rsid w:val="00810B6F"/>
    <w:rsid w:val="00822CE0"/>
    <w:rsid w:val="00841AB1"/>
    <w:rsid w:val="008C68F1"/>
    <w:rsid w:val="00921803"/>
    <w:rsid w:val="00926503"/>
    <w:rsid w:val="009726D8"/>
    <w:rsid w:val="009D7308"/>
    <w:rsid w:val="009F76DB"/>
    <w:rsid w:val="00A32C3B"/>
    <w:rsid w:val="00A45F4F"/>
    <w:rsid w:val="00A600A9"/>
    <w:rsid w:val="00A92694"/>
    <w:rsid w:val="00AA55B7"/>
    <w:rsid w:val="00AA5B9E"/>
    <w:rsid w:val="00AB2407"/>
    <w:rsid w:val="00AB53DF"/>
    <w:rsid w:val="00B07E5C"/>
    <w:rsid w:val="00B23F68"/>
    <w:rsid w:val="00B811F7"/>
    <w:rsid w:val="00B92E3B"/>
    <w:rsid w:val="00BA5DC6"/>
    <w:rsid w:val="00BA6196"/>
    <w:rsid w:val="00BC00CB"/>
    <w:rsid w:val="00BC6D8C"/>
    <w:rsid w:val="00C34006"/>
    <w:rsid w:val="00C36B4C"/>
    <w:rsid w:val="00C426B1"/>
    <w:rsid w:val="00C66160"/>
    <w:rsid w:val="00C721AC"/>
    <w:rsid w:val="00C90D6A"/>
    <w:rsid w:val="00CA247E"/>
    <w:rsid w:val="00CA6D21"/>
    <w:rsid w:val="00CC72B6"/>
    <w:rsid w:val="00CD564C"/>
    <w:rsid w:val="00D0218D"/>
    <w:rsid w:val="00D03E52"/>
    <w:rsid w:val="00D25FB5"/>
    <w:rsid w:val="00D44223"/>
    <w:rsid w:val="00DA2529"/>
    <w:rsid w:val="00DB130A"/>
    <w:rsid w:val="00DB2EBB"/>
    <w:rsid w:val="00DC10A1"/>
    <w:rsid w:val="00DC655F"/>
    <w:rsid w:val="00DD0B59"/>
    <w:rsid w:val="00DD7EBD"/>
    <w:rsid w:val="00DE0391"/>
    <w:rsid w:val="00DF62B6"/>
    <w:rsid w:val="00E07225"/>
    <w:rsid w:val="00E1463C"/>
    <w:rsid w:val="00E5409F"/>
    <w:rsid w:val="00EE6488"/>
    <w:rsid w:val="00F021FA"/>
    <w:rsid w:val="00F10D75"/>
    <w:rsid w:val="00F42C80"/>
    <w:rsid w:val="00F62E97"/>
    <w:rsid w:val="00F64209"/>
    <w:rsid w:val="00F92F31"/>
    <w:rsid w:val="00F93BF5"/>
    <w:rsid w:val="00FC0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A45D73"/>
  <w15:chartTrackingRefBased/>
  <w15:docId w15:val="{4564DD54-CF48-4DBE-8B7D-B715D75C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393A"/>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 Char"/>
    <w:basedOn w:val="DefaultParagraphFont"/>
    <w:link w:val="FootnoteText"/>
    <w:rsid w:val="0018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