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2A43F01C">
            <w:pPr>
              <w:rPr>
                <w:szCs w:val="22"/>
              </w:rPr>
            </w:pPr>
            <w:r>
              <w:rPr>
                <w:szCs w:val="22"/>
              </w:rPr>
              <w:t>C</w:t>
            </w:r>
            <w:r w:rsidR="00104663">
              <w:rPr>
                <w:szCs w:val="22"/>
              </w:rPr>
              <w:t>lear Rate</w:t>
            </w:r>
            <w:r>
              <w:rPr>
                <w:szCs w:val="22"/>
              </w:rPr>
              <w:t xml:space="preserve"> Communication</w:t>
            </w:r>
            <w:r w:rsidR="00442324">
              <w:rPr>
                <w:szCs w:val="22"/>
              </w:rPr>
              <w:t>s</w:t>
            </w:r>
            <w:r w:rsidR="003506AD">
              <w:rPr>
                <w:szCs w:val="22"/>
              </w:rPr>
              <w:t>, Inc.</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6F687CCE">
            <w:pPr>
              <w:pStyle w:val="TOAHeading"/>
              <w:rPr>
                <w:szCs w:val="22"/>
              </w:rPr>
            </w:pPr>
            <w:r>
              <w:rPr>
                <w:szCs w:val="22"/>
              </w:rPr>
              <w:t>Complaint No</w:t>
            </w:r>
            <w:r w:rsidRPr="00EF2C5A">
              <w:rPr>
                <w:szCs w:val="22"/>
              </w:rPr>
              <w:t>.</w:t>
            </w:r>
            <w:r w:rsidR="006F2F56">
              <w:rPr>
                <w:szCs w:val="22"/>
              </w:rPr>
              <w:t xml:space="preserve"> </w:t>
            </w:r>
            <w:r w:rsidR="00104663">
              <w:rPr>
                <w:szCs w:val="22"/>
              </w:rPr>
              <w:t>5171474</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2DC4CD84">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EB0A91">
        <w:rPr>
          <w:b/>
          <w:spacing w:val="-2"/>
        </w:rPr>
        <w:t>December</w:t>
      </w:r>
      <w:r w:rsidRPr="00142D97">
        <w:rPr>
          <w:b/>
          <w:spacing w:val="-2"/>
        </w:rPr>
        <w:t xml:space="preserve"> </w:t>
      </w:r>
      <w:r w:rsidR="00003B02">
        <w:rPr>
          <w:b/>
          <w:spacing w:val="-2"/>
        </w:rPr>
        <w:t>13</w:t>
      </w:r>
      <w:r w:rsidRPr="00142D97">
        <w:rPr>
          <w:b/>
          <w:spacing w:val="-2"/>
        </w:rPr>
        <w:t>, 20</w:t>
      </w:r>
      <w:r w:rsidR="006D6CC3">
        <w:rPr>
          <w:b/>
          <w:spacing w:val="-2"/>
        </w:rPr>
        <w:t>2</w:t>
      </w:r>
      <w:r w:rsidR="003D262D">
        <w:rPr>
          <w:b/>
          <w:spacing w:val="-2"/>
        </w:rPr>
        <w:t>1</w:t>
      </w:r>
      <w:r w:rsidRPr="00142D97">
        <w:rPr>
          <w:b/>
          <w:spacing w:val="-2"/>
        </w:rPr>
        <w:tab/>
      </w:r>
      <w:r w:rsidR="00784A46">
        <w:rPr>
          <w:b/>
          <w:spacing w:val="-2"/>
        </w:rPr>
        <w:tab/>
      </w:r>
      <w:r w:rsidRPr="00142D97">
        <w:rPr>
          <w:b/>
          <w:spacing w:val="-2"/>
        </w:rPr>
        <w:t xml:space="preserve">Released: </w:t>
      </w:r>
      <w:r w:rsidR="00442324">
        <w:rPr>
          <w:b/>
          <w:spacing w:val="-2"/>
        </w:rPr>
        <w:t xml:space="preserve"> </w:t>
      </w:r>
      <w:r w:rsidR="00EB0A91">
        <w:rPr>
          <w:b/>
          <w:spacing w:val="-2"/>
        </w:rPr>
        <w:t xml:space="preserve">December </w:t>
      </w:r>
      <w:r w:rsidR="00003B02">
        <w:rPr>
          <w:b/>
          <w:spacing w:val="-2"/>
        </w:rPr>
        <w:t>14</w:t>
      </w:r>
      <w:r w:rsidRPr="00142D97">
        <w:rPr>
          <w:b/>
          <w:spacing w:val="-2"/>
        </w:rPr>
        <w:t>, 20</w:t>
      </w:r>
      <w:r w:rsidR="006D6CC3">
        <w:rPr>
          <w:b/>
          <w:spacing w:val="-2"/>
        </w:rPr>
        <w:t>2</w:t>
      </w:r>
      <w:r w:rsidR="003D262D">
        <w:rPr>
          <w:b/>
          <w:spacing w:val="-2"/>
        </w:rPr>
        <w:t>1</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1A6C77BA">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3506AD">
        <w:t>, Inc.</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73C3C175">
      <w:pPr>
        <w:pStyle w:val="ListParagraph"/>
        <w:widowControl/>
        <w:numPr>
          <w:ilvl w:val="0"/>
          <w:numId w:val="7"/>
        </w:numPr>
        <w:tabs>
          <w:tab w:val="clear" w:pos="1440"/>
        </w:tabs>
        <w:snapToGrid w:val="0"/>
        <w:spacing w:after="120"/>
        <w:ind w:left="0" w:firstLine="720"/>
        <w:contextualSpacing w:val="0"/>
        <w:rPr>
          <w:szCs w:val="22"/>
        </w:rPr>
      </w:pPr>
      <w:r w:rsidRPr="00B82B45">
        <w:rPr>
          <w:szCs w:val="22"/>
        </w:rPr>
        <w:t>In 2018, the Commission codified a rule to prohibit misrepresentations on sales calls to further reduce the incidence of slamming.</w:t>
      </w:r>
      <w:r>
        <w:rPr>
          <w:rStyle w:val="FootnoteReference"/>
          <w:szCs w:val="22"/>
        </w:rPr>
        <w:footnoteReference w:id="8"/>
      </w:r>
      <w:r w:rsidRPr="00B82B45">
        <w:rPr>
          <w:rStyle w:val="FootnoteReference"/>
          <w:szCs w:val="22"/>
        </w:rPr>
        <w:t xml:space="preserve"> </w:t>
      </w:r>
      <w:r w:rsidRPr="00B82B45">
        <w:rPr>
          <w:szCs w:val="22"/>
        </w:rPr>
        <w:t xml:space="preserve"> Under the revised rule, upon a finding of material misrepresentation during the sales call, the consumer’s authorization to change carriers will be deemed invalid even if the carrier has some evidence of consumer authorization of a carrier switch, e.g., a third-party verification recording</w:t>
      </w:r>
      <w:r w:rsidR="003506AD">
        <w:rPr>
          <w:szCs w:val="22"/>
        </w:rPr>
        <w:t xml:space="preserve"> (TPV)</w:t>
      </w:r>
      <w:r w:rsidRPr="00B82B45">
        <w:rPr>
          <w:szCs w:val="22"/>
        </w:rPr>
        <w:t>.  Sales misrepresentations may not be cured by a facially valid TPV.</w:t>
      </w:r>
      <w:r>
        <w:rPr>
          <w:rStyle w:val="FootnoteReference"/>
          <w:szCs w:val="22"/>
        </w:rPr>
        <w:footnoteReference w:id="9"/>
      </w:r>
      <w:r w:rsidRP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Pr>
          <w:szCs w:val="22"/>
        </w:rPr>
        <w:t>persuasive evidence to rebut the consumer’s claim that a misrepresentation was made on the sales call.</w:t>
      </w:r>
      <w:r>
        <w:rPr>
          <w:rStyle w:val="FootnoteReference"/>
          <w:szCs w:val="22"/>
        </w:rPr>
        <w:footnoteReference w:id="10"/>
      </w:r>
    </w:p>
    <w:p w:rsidR="005F3ED0" w:rsidRPr="008D41A9" w:rsidP="008D41A9" w14:paraId="5292A789" w14:textId="280B6B30">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11"/>
      </w:r>
      <w:r w:rsidRPr="00142D97">
        <w:t xml:space="preserve">  </w:t>
      </w:r>
      <w:r w:rsidRPr="000D5536">
        <w:rPr>
          <w:szCs w:val="22"/>
        </w:rPr>
        <w:t xml:space="preserve">In the complaint, </w:t>
      </w:r>
      <w:r w:rsidR="000D5536">
        <w:rPr>
          <w:szCs w:val="22"/>
        </w:rPr>
        <w:t>Complainant state</w:t>
      </w:r>
      <w:r w:rsidR="008D41A9">
        <w:rPr>
          <w:szCs w:val="22"/>
        </w:rPr>
        <w:t>s</w:t>
      </w:r>
      <w:r w:rsidR="000D5536">
        <w:rPr>
          <w:szCs w:val="22"/>
        </w:rPr>
        <w:t xml:space="preserve"> that her </w:t>
      </w:r>
      <w:r w:rsidRPr="000D5536" w:rsidR="000D5536">
        <w:rPr>
          <w:szCs w:val="22"/>
          <w:shd w:val="clear" w:color="auto" w:fill="FFFFFF"/>
        </w:rPr>
        <w:t xml:space="preserve">business </w:t>
      </w:r>
      <w:r w:rsidR="000D5536">
        <w:rPr>
          <w:szCs w:val="22"/>
          <w:shd w:val="clear" w:color="auto" w:fill="FFFFFF"/>
        </w:rPr>
        <w:t>“</w:t>
      </w:r>
      <w:r w:rsidRPr="000D5536" w:rsidR="000D5536">
        <w:rPr>
          <w:szCs w:val="22"/>
          <w:shd w:val="clear" w:color="auto" w:fill="FFFFFF"/>
        </w:rPr>
        <w:t xml:space="preserve">received a call from Tony claiming to be with </w:t>
      </w:r>
      <w:r w:rsidRPr="000D5536" w:rsidR="000D5536">
        <w:rPr>
          <w:szCs w:val="22"/>
          <w:shd w:val="clear" w:color="auto" w:fill="FFFFFF"/>
        </w:rPr>
        <w:t>Centurylink</w:t>
      </w:r>
      <w:r w:rsidRPr="000D5536" w:rsidR="000D5536">
        <w:rPr>
          <w:szCs w:val="22"/>
          <w:shd w:val="clear" w:color="auto" w:fill="FFFFFF"/>
        </w:rPr>
        <w:t xml:space="preserve"> Communication</w:t>
      </w:r>
      <w:r w:rsidR="000D5536">
        <w:rPr>
          <w:szCs w:val="22"/>
          <w:shd w:val="clear" w:color="auto" w:fill="FFFFFF"/>
        </w:rPr>
        <w:t xml:space="preserve"> [who]</w:t>
      </w:r>
      <w:r w:rsidRPr="000D5536" w:rsidR="000D5536">
        <w:rPr>
          <w:szCs w:val="22"/>
          <w:shd w:val="clear" w:color="auto" w:fill="FFFFFF"/>
        </w:rPr>
        <w:t xml:space="preserve"> explained about some lawsuit for extra charged fees. </w:t>
      </w:r>
      <w:r w:rsidR="000D5536">
        <w:rPr>
          <w:szCs w:val="22"/>
          <w:shd w:val="clear" w:color="auto" w:fill="FFFFFF"/>
        </w:rPr>
        <w:t xml:space="preserve"> </w:t>
      </w:r>
      <w:r w:rsidRPr="000D5536" w:rsidR="000D5536">
        <w:rPr>
          <w:szCs w:val="22"/>
          <w:shd w:val="clear" w:color="auto" w:fill="FFFFFF"/>
        </w:rPr>
        <w:t xml:space="preserve">He stated that my 3 lines were now going to be a flat fee of $45/line </w:t>
      </w:r>
      <w:r w:rsidR="000D5536">
        <w:rPr>
          <w:szCs w:val="22"/>
          <w:shd w:val="clear" w:color="auto" w:fill="FFFFFF"/>
        </w:rPr>
        <w:t>[and]</w:t>
      </w:r>
      <w:r w:rsidRPr="000D5536" w:rsidR="000D5536">
        <w:rPr>
          <w:szCs w:val="22"/>
          <w:shd w:val="clear" w:color="auto" w:fill="FFFFFF"/>
        </w:rPr>
        <w:t xml:space="preserve"> asked if that was ok with me, </w:t>
      </w:r>
      <w:r w:rsidR="007958FA">
        <w:rPr>
          <w:szCs w:val="22"/>
          <w:shd w:val="clear" w:color="auto" w:fill="FFFFFF"/>
        </w:rPr>
        <w:t>[and]</w:t>
      </w:r>
      <w:r w:rsidRPr="000D5536" w:rsidR="000D5536">
        <w:rPr>
          <w:szCs w:val="22"/>
          <w:shd w:val="clear" w:color="auto" w:fill="FFFFFF"/>
        </w:rPr>
        <w:t xml:space="preserve"> I stated yes. </w:t>
      </w:r>
      <w:r w:rsidR="000D5536">
        <w:rPr>
          <w:szCs w:val="22"/>
          <w:shd w:val="clear" w:color="auto" w:fill="FFFFFF"/>
        </w:rPr>
        <w:t xml:space="preserve"> </w:t>
      </w:r>
      <w:r w:rsidRPr="000D5536" w:rsidR="000D5536">
        <w:rPr>
          <w:szCs w:val="22"/>
          <w:shd w:val="clear" w:color="auto" w:fill="FFFFFF"/>
        </w:rPr>
        <w:t xml:space="preserve">He then asked if I planned on switching phone companies within the next 12 months, </w:t>
      </w:r>
      <w:r w:rsidR="000D5536">
        <w:rPr>
          <w:szCs w:val="22"/>
          <w:shd w:val="clear" w:color="auto" w:fill="FFFFFF"/>
        </w:rPr>
        <w:t xml:space="preserve">[to] </w:t>
      </w:r>
      <w:r w:rsidRPr="000D5536" w:rsidR="000D5536">
        <w:rPr>
          <w:szCs w:val="22"/>
          <w:shd w:val="clear" w:color="auto" w:fill="FFFFFF"/>
        </w:rPr>
        <w:t>which I stated that I was not.</w:t>
      </w:r>
      <w:r w:rsidR="000D5536">
        <w:rPr>
          <w:szCs w:val="22"/>
          <w:shd w:val="clear" w:color="auto" w:fill="FFFFFF"/>
        </w:rPr>
        <w:t>”</w:t>
      </w:r>
      <w:r>
        <w:rPr>
          <w:rStyle w:val="FootnoteReference"/>
          <w:szCs w:val="22"/>
          <w:shd w:val="clear" w:color="auto" w:fill="FFFFFF"/>
        </w:rPr>
        <w:footnoteReference w:id="12"/>
      </w:r>
      <w:r w:rsidR="000D5536">
        <w:rPr>
          <w:szCs w:val="22"/>
          <w:shd w:val="clear" w:color="auto" w:fill="FFFFFF"/>
        </w:rPr>
        <w:t xml:space="preserve">  Complainant </w:t>
      </w:r>
      <w:r w:rsidR="00257888">
        <w:rPr>
          <w:szCs w:val="22"/>
          <w:shd w:val="clear" w:color="auto" w:fill="FFFFFF"/>
        </w:rPr>
        <w:t xml:space="preserve">further states that </w:t>
      </w:r>
      <w:r w:rsidR="000D5536">
        <w:rPr>
          <w:szCs w:val="22"/>
          <w:shd w:val="clear" w:color="auto" w:fill="FFFFFF"/>
        </w:rPr>
        <w:t>Clear Rate’s telemarketer said he needed to ask her some questions “in order to get this set rate of $45/month/line.”</w:t>
      </w:r>
      <w:r>
        <w:rPr>
          <w:rStyle w:val="FootnoteReference"/>
          <w:szCs w:val="22"/>
          <w:shd w:val="clear" w:color="auto" w:fill="FFFFFF"/>
        </w:rPr>
        <w:footnoteReference w:id="13"/>
      </w:r>
      <w:r w:rsidR="000D5536">
        <w:rPr>
          <w:szCs w:val="22"/>
          <w:shd w:val="clear" w:color="auto" w:fill="FFFFFF"/>
        </w:rPr>
        <w:t xml:space="preserve">  Two days later, Complainant realized that her business’ long distance service was no longer working.  </w:t>
      </w:r>
      <w:r w:rsidR="000D5536">
        <w:rPr>
          <w:szCs w:val="22"/>
        </w:rPr>
        <w:t xml:space="preserve">She contacted </w:t>
      </w:r>
      <w:r w:rsidR="00AD7460">
        <w:rPr>
          <w:szCs w:val="22"/>
        </w:rPr>
        <w:t xml:space="preserve">her preferred carrier </w:t>
      </w:r>
      <w:r w:rsidR="000D5536">
        <w:rPr>
          <w:szCs w:val="22"/>
        </w:rPr>
        <w:t xml:space="preserve">CenturyLink, and CenturyLink “informed her that she was no longer a customer and </w:t>
      </w:r>
      <w:r w:rsidR="00AD7460">
        <w:rPr>
          <w:szCs w:val="22"/>
        </w:rPr>
        <w:t xml:space="preserve">[that] </w:t>
      </w:r>
      <w:r w:rsidR="000D5536">
        <w:rPr>
          <w:szCs w:val="22"/>
        </w:rPr>
        <w:t>she had been switched to Clear Rate.”</w:t>
      </w:r>
      <w:r>
        <w:rPr>
          <w:rStyle w:val="FootnoteReference"/>
          <w:szCs w:val="22"/>
        </w:rPr>
        <w:footnoteReference w:id="14"/>
      </w:r>
      <w:r w:rsidR="000D5536">
        <w:rPr>
          <w:szCs w:val="22"/>
        </w:rPr>
        <w:t xml:space="preserve">  </w:t>
      </w:r>
      <w:r w:rsidR="008D41A9">
        <w:rPr>
          <w:szCs w:val="22"/>
        </w:rPr>
        <w:t xml:space="preserve">Complainant </w:t>
      </w:r>
      <w:r w:rsidR="00257888">
        <w:rPr>
          <w:szCs w:val="22"/>
        </w:rPr>
        <w:t>maintains</w:t>
      </w:r>
      <w:r w:rsidR="008D41A9">
        <w:rPr>
          <w:szCs w:val="22"/>
        </w:rPr>
        <w:t xml:space="preserve"> that </w:t>
      </w:r>
      <w:r w:rsidR="000D5536">
        <w:rPr>
          <w:szCs w:val="22"/>
        </w:rPr>
        <w:t>“</w:t>
      </w:r>
      <w:r w:rsidRPr="000D5536" w:rsidR="000D5536">
        <w:rPr>
          <w:szCs w:val="22"/>
          <w:shd w:val="clear" w:color="auto" w:fill="FFFFFF"/>
        </w:rPr>
        <w:t xml:space="preserve">I was never told that I was changing phone companies as </w:t>
      </w:r>
      <w:r w:rsidR="008D41A9">
        <w:rPr>
          <w:szCs w:val="22"/>
          <w:shd w:val="clear" w:color="auto" w:fill="FFFFFF"/>
        </w:rPr>
        <w:t>‘</w:t>
      </w:r>
      <w:r w:rsidRPr="000D5536" w:rsidR="000D5536">
        <w:rPr>
          <w:szCs w:val="22"/>
          <w:shd w:val="clear" w:color="auto" w:fill="FFFFFF"/>
        </w:rPr>
        <w:t>Tony</w:t>
      </w:r>
      <w:r w:rsidR="008D41A9">
        <w:rPr>
          <w:szCs w:val="22"/>
          <w:shd w:val="clear" w:color="auto" w:fill="FFFFFF"/>
        </w:rPr>
        <w:t>’</w:t>
      </w:r>
      <w:r w:rsidRPr="000D5536" w:rsidR="000D5536">
        <w:rPr>
          <w:szCs w:val="22"/>
          <w:shd w:val="clear" w:color="auto" w:fill="FFFFFF"/>
        </w:rPr>
        <w:t xml:space="preserve"> lied to me </w:t>
      </w:r>
      <w:r w:rsidR="008D41A9">
        <w:rPr>
          <w:szCs w:val="22"/>
          <w:shd w:val="clear" w:color="auto" w:fill="FFFFFF"/>
        </w:rPr>
        <w:t>[and]</w:t>
      </w:r>
      <w:r w:rsidRPr="000D5536" w:rsidR="000D5536">
        <w:rPr>
          <w:szCs w:val="22"/>
          <w:shd w:val="clear" w:color="auto" w:fill="FFFFFF"/>
        </w:rPr>
        <w:t xml:space="preserve"> misrepresented what company he worked for.</w:t>
      </w:r>
      <w:r w:rsidR="000D5536">
        <w:rPr>
          <w:szCs w:val="22"/>
          <w:shd w:val="clear" w:color="auto" w:fill="FFFFFF"/>
        </w:rPr>
        <w:t>”</w:t>
      </w:r>
      <w:r>
        <w:rPr>
          <w:rStyle w:val="FootnoteReference"/>
          <w:szCs w:val="22"/>
          <w:shd w:val="clear" w:color="auto" w:fill="FFFFFF"/>
        </w:rPr>
        <w:footnoteReference w:id="15"/>
      </w:r>
      <w:r w:rsidRPr="008D41A9" w:rsidR="00454A6D">
        <w:rPr>
          <w:szCs w:val="22"/>
        </w:rPr>
        <w:t xml:space="preserve"> </w:t>
      </w:r>
    </w:p>
    <w:p w:rsidR="00454A6D" w:rsidRPr="008D41A9" w:rsidP="00A23350" w14:paraId="297337F0" w14:textId="798492DE">
      <w:pPr>
        <w:numPr>
          <w:ilvl w:val="0"/>
          <w:numId w:val="7"/>
        </w:numPr>
        <w:tabs>
          <w:tab w:val="clear" w:pos="1440"/>
        </w:tabs>
        <w:spacing w:after="120"/>
        <w:ind w:left="0" w:firstLine="720"/>
      </w:pPr>
      <w:r w:rsidRPr="00142D97">
        <w:t xml:space="preserve">Pursuant to our rules, we notified </w:t>
      </w:r>
      <w:r w:rsidR="00104663">
        <w:t>Clear Rate</w:t>
      </w:r>
      <w:r>
        <w:t xml:space="preserve"> of the complaint</w:t>
      </w:r>
      <w:r w:rsidRPr="00142D97">
        <w:t>.</w:t>
      </w:r>
      <w:r>
        <w:rPr>
          <w:rStyle w:val="FootnoteReference"/>
        </w:rPr>
        <w:footnoteReference w:id="16"/>
      </w:r>
      <w:r w:rsidRPr="00142D97">
        <w:t xml:space="preserve">  </w:t>
      </w:r>
      <w:r w:rsidR="00104663">
        <w:t>Clear Rate</w:t>
      </w:r>
      <w:r w:rsidR="0044528B">
        <w:t xml:space="preserve"> responded</w:t>
      </w:r>
      <w:r w:rsidR="00CB7D2F">
        <w:t xml:space="preserve"> to the complaint</w:t>
      </w:r>
      <w:r w:rsidR="0044528B">
        <w:t>, s</w:t>
      </w:r>
      <w:r w:rsidR="00996AA4">
        <w:t>tating</w:t>
      </w:r>
      <w:r w:rsidR="0044528B">
        <w:t xml:space="preserve"> th</w:t>
      </w:r>
      <w:r w:rsidR="00996AA4">
        <w:t>at</w:t>
      </w:r>
      <w:r w:rsidR="008A4A8D">
        <w:t xml:space="preserve"> </w:t>
      </w:r>
      <w:r w:rsidR="00AD7460">
        <w:t>it has</w:t>
      </w:r>
      <w:r w:rsidR="008A4A8D">
        <w:t xml:space="preserve"> a </w:t>
      </w:r>
      <w:r w:rsidR="00AD7460">
        <w:t>“</w:t>
      </w:r>
      <w:r w:rsidR="008A4A8D">
        <w:t>three part sales process</w:t>
      </w:r>
      <w:r w:rsidR="00AD7460">
        <w:t>”</w:t>
      </w:r>
      <w:r w:rsidR="00A8283A">
        <w:t xml:space="preserve"> that includes</w:t>
      </w:r>
      <w:r w:rsidR="00AD7460">
        <w:t xml:space="preserve"> the</w:t>
      </w:r>
      <w:r w:rsidR="00A8283A">
        <w:t xml:space="preserve"> initial sales call, </w:t>
      </w:r>
      <w:r w:rsidR="00AD7460">
        <w:t>a third</w:t>
      </w:r>
      <w:r w:rsidR="00951067">
        <w:t>-</w:t>
      </w:r>
      <w:r w:rsidR="00AD7460">
        <w:t>party verification, and a follow-up</w:t>
      </w:r>
      <w:r w:rsidR="001211C2">
        <w:t xml:space="preserve"> </w:t>
      </w:r>
      <w:r w:rsidR="00AD7460">
        <w:t>“</w:t>
      </w:r>
      <w:r w:rsidR="001211C2">
        <w:t>quality assurance call</w:t>
      </w:r>
      <w:r w:rsidR="00AD7460">
        <w:t>” to ensure</w:t>
      </w:r>
      <w:r w:rsidR="008A4A8D">
        <w:t xml:space="preserve"> th</w:t>
      </w:r>
      <w:r w:rsidR="00AD7460">
        <w:t xml:space="preserve">at </w:t>
      </w:r>
      <w:r w:rsidR="008A4A8D">
        <w:t xml:space="preserve">customers are not slammed </w:t>
      </w:r>
      <w:r w:rsidR="00A8283A">
        <w:t xml:space="preserve">and are </w:t>
      </w:r>
      <w:r w:rsidR="00F146C8">
        <w:t>“</w:t>
      </w:r>
      <w:r w:rsidR="00A8283A">
        <w:t>fully informed of the transfer of service</w:t>
      </w:r>
      <w:r>
        <w:t>.</w:t>
      </w:r>
      <w:r w:rsidR="00F146C8">
        <w:t>”</w:t>
      </w:r>
      <w:r>
        <w:rPr>
          <w:rStyle w:val="FootnoteReference"/>
        </w:rPr>
        <w:footnoteReference w:id="17"/>
      </w:r>
      <w:r w:rsidR="0044528B">
        <w:t xml:space="preserve">  </w:t>
      </w:r>
      <w:r w:rsidR="00104663">
        <w:rPr>
          <w:szCs w:val="24"/>
        </w:rPr>
        <w:t>Clear Rate</w:t>
      </w:r>
      <w:r w:rsidRPr="00177A0A" w:rsidR="00B82B45">
        <w:rPr>
          <w:szCs w:val="24"/>
        </w:rPr>
        <w:t xml:space="preserve"> </w:t>
      </w:r>
      <w:r w:rsidR="00440166">
        <w:rPr>
          <w:szCs w:val="24"/>
        </w:rPr>
        <w:t>provided the TPV</w:t>
      </w:r>
      <w:r w:rsidRPr="008D41A9" w:rsidR="00440166">
        <w:rPr>
          <w:szCs w:val="24"/>
        </w:rPr>
        <w:t xml:space="preserve">, but </w:t>
      </w:r>
      <w:r w:rsidRPr="008D41A9">
        <w:rPr>
          <w:szCs w:val="24"/>
        </w:rPr>
        <w:t>stated the company was</w:t>
      </w:r>
      <w:r w:rsidRPr="008D41A9" w:rsidR="002F77BE">
        <w:rPr>
          <w:szCs w:val="24"/>
        </w:rPr>
        <w:t xml:space="preserve"> unable to</w:t>
      </w:r>
      <w:r w:rsidRPr="008D41A9" w:rsidR="00B82B45">
        <w:rPr>
          <w:szCs w:val="24"/>
        </w:rPr>
        <w:t xml:space="preserve"> provide the sales call recording</w:t>
      </w:r>
      <w:r w:rsidRPr="008D41A9">
        <w:rPr>
          <w:szCs w:val="24"/>
        </w:rPr>
        <w:t xml:space="preserve">.  Clear Rate also failed to provide </w:t>
      </w:r>
      <w:r w:rsidRPr="008D41A9" w:rsidR="00B82B45">
        <w:rPr>
          <w:szCs w:val="24"/>
        </w:rPr>
        <w:t xml:space="preserve">any other evidence related to the sales call, such as the script used by </w:t>
      </w:r>
      <w:r w:rsidR="008D41A9">
        <w:rPr>
          <w:szCs w:val="24"/>
        </w:rPr>
        <w:t xml:space="preserve">its </w:t>
      </w:r>
      <w:r w:rsidRPr="008D41A9" w:rsidR="00B82B45">
        <w:rPr>
          <w:szCs w:val="24"/>
        </w:rPr>
        <w:t xml:space="preserve">telemarketer, to rebut Complainant’s claim of </w:t>
      </w:r>
      <w:r w:rsidRPr="008D41A9" w:rsidR="00B82B45">
        <w:rPr>
          <w:szCs w:val="24"/>
        </w:rPr>
        <w:t>misrepresentation.</w:t>
      </w:r>
      <w:r>
        <w:rPr>
          <w:rStyle w:val="FootnoteReference"/>
          <w:szCs w:val="24"/>
        </w:rPr>
        <w:footnoteReference w:id="18"/>
      </w:r>
      <w:r w:rsidRPr="008D41A9" w:rsidR="00B82B45">
        <w:rPr>
          <w:szCs w:val="24"/>
        </w:rPr>
        <w:t xml:space="preserve">  </w:t>
      </w:r>
    </w:p>
    <w:p w:rsidR="00E87EC4" w:rsidP="00A23350" w14:paraId="7E5B2A35" w14:textId="1DDC59F1">
      <w:pPr>
        <w:numPr>
          <w:ilvl w:val="0"/>
          <w:numId w:val="7"/>
        </w:numPr>
        <w:tabs>
          <w:tab w:val="clear" w:pos="1440"/>
        </w:tabs>
        <w:spacing w:after="120"/>
        <w:ind w:left="0" w:firstLine="720"/>
      </w:pPr>
      <w:r w:rsidRPr="00CB7D2F">
        <w:rPr>
          <w:szCs w:val="24"/>
        </w:rPr>
        <w:t xml:space="preserve">The Division thoroughly reviewed all the evidence in the record provided by both the Complainant and </w:t>
      </w:r>
      <w:r w:rsidR="00104663">
        <w:rPr>
          <w:szCs w:val="24"/>
        </w:rPr>
        <w:t>Clear Rate</w:t>
      </w:r>
      <w:r w:rsidRPr="00CB7D2F">
        <w:rPr>
          <w:szCs w:val="24"/>
        </w:rPr>
        <w:t xml:space="preserve">. </w:t>
      </w:r>
      <w:r w:rsidRPr="00CB7D2F">
        <w:rPr>
          <w:szCs w:val="22"/>
        </w:rPr>
        <w:t xml:space="preserve"> Based on the evidence in the record, we find Complainant’s allegation of a sales call misrepresentation to be credible.  </w:t>
      </w:r>
      <w:r w:rsidRPr="00CB7D2F" w:rsidR="0059509C">
        <w:rPr>
          <w:szCs w:val="22"/>
        </w:rPr>
        <w:t xml:space="preserve">We </w:t>
      </w:r>
      <w:r w:rsidR="0059509C">
        <w:rPr>
          <w:szCs w:val="22"/>
        </w:rPr>
        <w:t xml:space="preserve">further </w:t>
      </w:r>
      <w:r w:rsidRPr="00CB7D2F" w:rsidR="0059509C">
        <w:rPr>
          <w:szCs w:val="22"/>
        </w:rPr>
        <w:t xml:space="preserve">find that </w:t>
      </w:r>
      <w:r w:rsidR="00104663">
        <w:rPr>
          <w:szCs w:val="22"/>
        </w:rPr>
        <w:t>Clear Rate</w:t>
      </w:r>
      <w:r w:rsidRPr="00CB7D2F" w:rsidR="0059509C">
        <w:rPr>
          <w:szCs w:val="22"/>
        </w:rPr>
        <w:t xml:space="preserve"> has failed to provide persuasive evidence to rebut Complainant’s </w:t>
      </w:r>
      <w:r w:rsidR="0059509C">
        <w:rPr>
          <w:szCs w:val="22"/>
        </w:rPr>
        <w:t xml:space="preserve">misrepresentation </w:t>
      </w:r>
      <w:r w:rsidRPr="00CB7D2F" w:rsidR="0059509C">
        <w:rPr>
          <w:szCs w:val="22"/>
        </w:rPr>
        <w:t>claim and therefore that Complainant’s authorization to change carriers is invalid</w:t>
      </w:r>
      <w:r w:rsidRPr="001211C2" w:rsidR="0059509C">
        <w:rPr>
          <w:szCs w:val="22"/>
        </w:rPr>
        <w:t>.</w:t>
      </w:r>
      <w:r w:rsidRPr="001211C2" w:rsidR="001211C2">
        <w:rPr>
          <w:szCs w:val="22"/>
        </w:rPr>
        <w:t xml:space="preserve">  </w:t>
      </w:r>
      <w:r w:rsidRPr="00FA1C98">
        <w:rPr>
          <w:szCs w:val="22"/>
        </w:rPr>
        <w:t xml:space="preserve">As the Commission stated in the </w:t>
      </w:r>
      <w:r w:rsidRPr="00FA1C98">
        <w:rPr>
          <w:i/>
          <w:szCs w:val="22"/>
        </w:rPr>
        <w:t>2018 Slamming Order</w:t>
      </w:r>
      <w:r w:rsidRPr="00FA1C98">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9"/>
      </w:r>
      <w:r w:rsidRPr="00CB7D2F">
        <w:rPr>
          <w:szCs w:val="22"/>
        </w:rPr>
        <w:t xml:space="preserve">  We therefore find that </w:t>
      </w:r>
      <w:r w:rsidR="00104663">
        <w:rPr>
          <w:szCs w:val="22"/>
        </w:rPr>
        <w:t>Clear Rate</w:t>
      </w:r>
      <w:r w:rsidRPr="00CB7D2F">
        <w:rPr>
          <w:szCs w:val="22"/>
        </w:rPr>
        <w:t xml:space="preserve">’s actions resulted in an unauthorized change in Complainant’s telecommunications service provider, as defined by the rules, and we discuss </w:t>
      </w:r>
      <w:r w:rsidR="00104663">
        <w:rPr>
          <w:szCs w:val="22"/>
        </w:rPr>
        <w:t>Clear Rate</w:t>
      </w:r>
      <w:r w:rsidRPr="00CB7D2F">
        <w:rPr>
          <w:szCs w:val="22"/>
        </w:rPr>
        <w:t>’s liability below.</w:t>
      </w:r>
      <w:r>
        <w:rPr>
          <w:rStyle w:val="FootnoteReference"/>
          <w:szCs w:val="22"/>
        </w:rPr>
        <w:footnoteReference w:id="20"/>
      </w:r>
      <w:r w:rsidRPr="00A23350" w:rsidR="00FD5F16">
        <w:rPr>
          <w:szCs w:val="24"/>
        </w:rPr>
        <w:t xml:space="preserve">      </w:t>
      </w:r>
    </w:p>
    <w:p w:rsidR="00E87EC4" w:rsidP="004A1870" w14:paraId="0A6F2D17" w14:textId="1269D977">
      <w:pPr>
        <w:widowControl/>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21"/>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2"/>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3"/>
      </w:r>
    </w:p>
    <w:p w:rsidR="00E87EC4" w:rsidP="008A32BF" w14:paraId="66218C51" w14:textId="61B1C0AD">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00951067">
        <w:t>, Inc.</w:t>
      </w:r>
      <w:r w:rsidRPr="006D6CC3">
        <w:t xml:space="preserve"> </w:t>
      </w:r>
      <w:r w:rsidR="004B41C6">
        <w:t>IS</w:t>
      </w:r>
      <w:r>
        <w:t xml:space="preserve"> GRANTED</w:t>
      </w:r>
      <w:r w:rsidRPr="00142D97">
        <w:t>.</w:t>
      </w:r>
    </w:p>
    <w:p w:rsidR="004B41C6" w:rsidP="00FD5F16" w14:paraId="7FDD1154" w14:textId="4567B27B">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w:t>
      </w:r>
      <w:r w:rsidR="00CB5A5A">
        <w:rPr>
          <w:szCs w:val="22"/>
        </w:rPr>
        <w:t>,</w:t>
      </w:r>
      <w:r w:rsidRPr="00C525ED">
        <w:rPr>
          <w:szCs w:val="22"/>
        </w:rPr>
        <w:t xml:space="preserve">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951067">
        <w:rPr>
          <w:szCs w:val="22"/>
        </w:rPr>
        <w:t>, Inc.</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F546AB" w:rsidP="00F546AB" w14:paraId="3636E436" w14:textId="72DDC90D">
      <w:pPr>
        <w:spacing w:after="120"/>
        <w:rPr>
          <w:szCs w:val="22"/>
        </w:rPr>
      </w:pPr>
    </w:p>
    <w:p w:rsidR="00F546AB" w:rsidP="00F546AB" w14:paraId="4176E4F8" w14:textId="093AD1A4">
      <w:pPr>
        <w:spacing w:after="120"/>
        <w:rPr>
          <w:szCs w:val="22"/>
        </w:rPr>
      </w:pPr>
    </w:p>
    <w:p w:rsidR="00F546AB" w:rsidP="00F546AB" w14:paraId="3089485C" w14:textId="1DA9CBB6">
      <w:pPr>
        <w:spacing w:after="120"/>
        <w:rPr>
          <w:szCs w:val="22"/>
        </w:rPr>
      </w:pPr>
    </w:p>
    <w:p w:rsidR="00F546AB" w:rsidRPr="00FD5F16" w:rsidP="00F546AB" w14:paraId="514D6D20" w14:textId="77777777">
      <w:pPr>
        <w:spacing w:after="120"/>
        <w:rPr>
          <w:szCs w:val="22"/>
        </w:rPr>
      </w:pP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7335C811">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EB0A91">
        <w:t>5171474</w:t>
      </w:r>
      <w:r>
        <w:t xml:space="preserve"> (filed </w:t>
      </w:r>
      <w:r w:rsidR="00EB0A91">
        <w:t>Dec</w:t>
      </w:r>
      <w:r w:rsidR="003D262D">
        <w:t>. 2</w:t>
      </w:r>
      <w:r>
        <w:t>, 202</w:t>
      </w:r>
      <w:r w:rsidR="003D262D">
        <w:t>1</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45DC4A99">
      <w:pPr>
        <w:pStyle w:val="FootnoteText"/>
      </w:pPr>
      <w:r>
        <w:rPr>
          <w:rStyle w:val="FootnoteReference"/>
        </w:rPr>
        <w:footnoteRef/>
      </w:r>
      <w:r>
        <w:t xml:space="preserve"> </w:t>
      </w:r>
      <w:r w:rsidRPr="000C7E88">
        <w:rPr>
          <w:i/>
          <w:iCs/>
        </w:rPr>
        <w:t>See</w:t>
      </w:r>
      <w:r>
        <w:t xml:space="preserve"> Informal Complaint No. </w:t>
      </w:r>
      <w:r w:rsidR="00EB0A91">
        <w:t>5171474</w:t>
      </w:r>
      <w:r>
        <w:t>.</w:t>
      </w:r>
    </w:p>
  </w:footnote>
  <w:footnote w:id="12">
    <w:p w:rsidR="00AD7460" w14:paraId="27BE6DF9" w14:textId="11873998">
      <w:pPr>
        <w:pStyle w:val="FootnoteText"/>
      </w:pPr>
      <w:r>
        <w:rPr>
          <w:rStyle w:val="FootnoteReference"/>
        </w:rPr>
        <w:footnoteRef/>
      </w:r>
      <w:r>
        <w:t xml:space="preserve"> </w:t>
      </w:r>
      <w:r w:rsidRPr="00AD7460">
        <w:rPr>
          <w:i/>
          <w:iCs/>
        </w:rPr>
        <w:t>Id.</w:t>
      </w:r>
    </w:p>
  </w:footnote>
  <w:footnote w:id="13">
    <w:p w:rsidR="00AD7460" w14:paraId="71923CAE" w14:textId="097790B6">
      <w:pPr>
        <w:pStyle w:val="FootnoteText"/>
      </w:pPr>
      <w:r>
        <w:rPr>
          <w:rStyle w:val="FootnoteReference"/>
        </w:rPr>
        <w:footnoteRef/>
      </w:r>
      <w:r>
        <w:t xml:space="preserve"> </w:t>
      </w:r>
      <w:r w:rsidRPr="00AD7460">
        <w:rPr>
          <w:i/>
          <w:iCs/>
        </w:rPr>
        <w:t>Id.</w:t>
      </w:r>
    </w:p>
  </w:footnote>
  <w:footnote w:id="14">
    <w:p w:rsidR="000D5536" w:rsidP="000D5536" w14:paraId="016044F7" w14:textId="77777777">
      <w:pPr>
        <w:pStyle w:val="FootnoteText"/>
      </w:pPr>
      <w:r>
        <w:rPr>
          <w:rStyle w:val="FootnoteReference"/>
        </w:rPr>
        <w:footnoteRef/>
      </w:r>
      <w:r>
        <w:t xml:space="preserve"> </w:t>
      </w:r>
      <w:r w:rsidRPr="00EE67D0">
        <w:rPr>
          <w:i/>
          <w:iCs/>
        </w:rPr>
        <w:t>Id</w:t>
      </w:r>
      <w:r>
        <w:t>.</w:t>
      </w:r>
    </w:p>
  </w:footnote>
  <w:footnote w:id="15">
    <w:p w:rsidR="008D41A9" w:rsidRPr="008D41A9" w14:paraId="7CC16982" w14:textId="70002BCA">
      <w:pPr>
        <w:pStyle w:val="FootnoteText"/>
        <w:rPr>
          <w:i/>
          <w:iCs/>
        </w:rPr>
      </w:pPr>
      <w:r>
        <w:rPr>
          <w:rStyle w:val="FootnoteReference"/>
        </w:rPr>
        <w:footnoteRef/>
      </w:r>
      <w:r>
        <w:t xml:space="preserve"> </w:t>
      </w:r>
      <w:r w:rsidRPr="008D41A9">
        <w:rPr>
          <w:i/>
          <w:iCs/>
        </w:rPr>
        <w:t>Id.</w:t>
      </w:r>
    </w:p>
  </w:footnote>
  <w:footnote w:id="16">
    <w:p w:rsidR="00E87EC4" w:rsidP="00E87EC4" w14:paraId="3B3D0754" w14:textId="077EA8AF">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p>
  </w:footnote>
  <w:footnote w:id="17">
    <w:p w:rsidR="00996AA4" w14:paraId="4022C8EC" w14:textId="1064BC63">
      <w:pPr>
        <w:pStyle w:val="FootnoteText"/>
      </w:pPr>
      <w:r>
        <w:rPr>
          <w:rStyle w:val="FootnoteReference"/>
        </w:rPr>
        <w:footnoteRef/>
      </w:r>
      <w:r>
        <w:t xml:space="preserve"> </w:t>
      </w:r>
      <w:r w:rsidRPr="00996AA4">
        <w:rPr>
          <w:i/>
          <w:iCs/>
        </w:rPr>
        <w:t>See</w:t>
      </w:r>
      <w:r>
        <w:t xml:space="preserve"> </w:t>
      </w:r>
      <w:r w:rsidR="00104663">
        <w:t>Clear Rate</w:t>
      </w:r>
      <w:r>
        <w:t xml:space="preserve"> Response to Informal Complaint No. </w:t>
      </w:r>
      <w:r w:rsidR="00EB0A91">
        <w:t>5171474</w:t>
      </w:r>
      <w:r>
        <w:t xml:space="preserve"> (filed </w:t>
      </w:r>
      <w:r w:rsidR="00EB0A91">
        <w:t>Dec</w:t>
      </w:r>
      <w:r w:rsidR="003D262D">
        <w:t xml:space="preserve">. </w:t>
      </w:r>
      <w:r w:rsidR="00EB0A91">
        <w:t>7</w:t>
      </w:r>
      <w:r>
        <w:t>, 202</w:t>
      </w:r>
      <w:r w:rsidR="003D262D">
        <w:t>1</w:t>
      </w:r>
      <w:r>
        <w:t>)</w:t>
      </w:r>
      <w:r w:rsidR="00633382">
        <w:t xml:space="preserve"> (</w:t>
      </w:r>
      <w:r w:rsidRPr="00633382" w:rsidR="00633382">
        <w:rPr>
          <w:i/>
          <w:iCs/>
        </w:rPr>
        <w:t>Clear Rate Response</w:t>
      </w:r>
      <w:r w:rsidR="00633382">
        <w:t>)</w:t>
      </w:r>
      <w:r w:rsidR="002F77BE">
        <w:t xml:space="preserve">; </w:t>
      </w:r>
      <w:r w:rsidRPr="002F77BE" w:rsidR="002F77BE">
        <w:rPr>
          <w:i/>
          <w:iCs/>
        </w:rPr>
        <w:t>see also</w:t>
      </w:r>
      <w:r w:rsidR="002F77BE">
        <w:t xml:space="preserve"> Clear Rate’s response to </w:t>
      </w:r>
      <w:r w:rsidR="00454A6D">
        <w:t>the Division’s</w:t>
      </w:r>
      <w:r w:rsidR="000E2FC4">
        <w:t xml:space="preserve"> e-mail notifying the company</w:t>
      </w:r>
      <w:r w:rsidR="00F146C8">
        <w:t xml:space="preserve"> that </w:t>
      </w:r>
      <w:r w:rsidR="000E2FC4">
        <w:t>it</w:t>
      </w:r>
      <w:r w:rsidR="00F146C8">
        <w:t xml:space="preserve"> had provided the incorrect TPV and </w:t>
      </w:r>
      <w:r w:rsidR="002F77BE">
        <w:t>reques</w:t>
      </w:r>
      <w:r w:rsidR="00F146C8">
        <w:t>t</w:t>
      </w:r>
      <w:r w:rsidR="000E2FC4">
        <w:t xml:space="preserve">ing both </w:t>
      </w:r>
      <w:r w:rsidR="00454A6D">
        <w:t xml:space="preserve">the </w:t>
      </w:r>
      <w:r w:rsidR="002F77BE">
        <w:t xml:space="preserve">correct </w:t>
      </w:r>
      <w:r w:rsidR="00454A6D">
        <w:t>TPV</w:t>
      </w:r>
      <w:r w:rsidR="002F77BE">
        <w:t xml:space="preserve"> and </w:t>
      </w:r>
      <w:r w:rsidR="00454A6D">
        <w:t xml:space="preserve">the </w:t>
      </w:r>
      <w:r w:rsidR="002F77BE">
        <w:t xml:space="preserve">sales call recording </w:t>
      </w:r>
      <w:r w:rsidR="00454A6D">
        <w:t xml:space="preserve">(Dec. 9, 2021). </w:t>
      </w:r>
      <w:r w:rsidR="002F77BE">
        <w:t xml:space="preserve"> </w:t>
      </w:r>
    </w:p>
  </w:footnote>
  <w:footnote w:id="18">
    <w:p w:rsidR="008D41A9" w14:paraId="3AE8C452" w14:textId="34C5B434">
      <w:pPr>
        <w:pStyle w:val="FootnoteText"/>
      </w:pPr>
      <w:r>
        <w:rPr>
          <w:rStyle w:val="FootnoteReference"/>
        </w:rPr>
        <w:footnoteRef/>
      </w:r>
      <w:r>
        <w:t xml:space="preserve"> Clear R</w:t>
      </w:r>
      <w:r w:rsidR="00633382">
        <w:t xml:space="preserve">ate acknowledges that </w:t>
      </w:r>
      <w:r>
        <w:t xml:space="preserve">Complainant contacted Clear Rate immediately to dispute the carrier change, </w:t>
      </w:r>
      <w:r w:rsidR="00D94D74">
        <w:t xml:space="preserve">yet </w:t>
      </w:r>
      <w:r>
        <w:t>Clear Rate</w:t>
      </w:r>
      <w:r w:rsidR="00633382">
        <w:t xml:space="preserve"> </w:t>
      </w:r>
      <w:r>
        <w:t>failed to complete</w:t>
      </w:r>
      <w:r w:rsidR="00633382">
        <w:t xml:space="preserve"> the cancellation request and that a balance of $125.05 remained on the account.  </w:t>
      </w:r>
      <w:r w:rsidRPr="00633382" w:rsidR="00633382">
        <w:rPr>
          <w:i/>
          <w:iCs/>
        </w:rPr>
        <w:t>See Clear Rate Response</w:t>
      </w:r>
      <w:r w:rsidR="00633382">
        <w:t xml:space="preserve"> at 3.</w:t>
      </w:r>
    </w:p>
  </w:footnote>
  <w:footnote w:id="19">
    <w:p w:rsidR="006D7D9E" w:rsidP="006D7D9E"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20">
    <w:p w:rsidR="006D7D9E" w:rsidP="006D7D9E" w14:paraId="76F398F1"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21">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22">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3">
    <w:p w:rsidR="00E87EC4" w:rsidP="00E87EC4" w14:paraId="719BF8DA" w14:textId="1B7CCA36">
      <w:pPr>
        <w:pStyle w:val="FootnoteText"/>
      </w:pPr>
      <w:r>
        <w:rPr>
          <w:rStyle w:val="FootnoteReference"/>
        </w:rPr>
        <w:footnoteRef/>
      </w:r>
      <w:r>
        <w:t xml:space="preserve"> </w:t>
      </w:r>
      <w:r w:rsidRPr="003D1861">
        <w:rPr>
          <w:i/>
        </w:rPr>
        <w:t>See</w:t>
      </w:r>
      <w:r>
        <w:rPr>
          <w:i/>
        </w:rPr>
        <w:t xml:space="preserve"> id.</w:t>
      </w:r>
      <w:r>
        <w:t xml:space="preserve"> §</w:t>
      </w:r>
      <w:r w:rsidR="00A5060F">
        <w:t>§</w:t>
      </w:r>
      <w:r>
        <w:t xml:space="preserve">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3864E4ED">
    <w:pPr>
      <w:pStyle w:val="Header"/>
      <w:rPr>
        <w:b w:val="0"/>
      </w:rPr>
    </w:pPr>
    <w:r>
      <w:tab/>
    </w:r>
    <w:r>
      <w:t>Federal Communications Commission</w:t>
    </w:r>
    <w:r>
      <w:tab/>
    </w:r>
    <w:r w:rsidR="00AE241C">
      <w:t xml:space="preserve">DA </w:t>
    </w:r>
    <w:r w:rsidR="003D262D">
      <w:t>21-</w:t>
    </w:r>
    <w:r w:rsidR="00003B02">
      <w:t>1555</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1E32E57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41C">
      <w:rPr>
        <w:spacing w:val="-2"/>
      </w:rPr>
      <w:t xml:space="preserve">DA </w:t>
    </w:r>
    <w:r w:rsidR="006D6CC3">
      <w:rPr>
        <w:spacing w:val="-2"/>
      </w:rPr>
      <w:t>2</w:t>
    </w:r>
    <w:r w:rsidR="003D262D">
      <w:rPr>
        <w:spacing w:val="-2"/>
      </w:rPr>
      <w:t>1-</w:t>
    </w:r>
    <w:r w:rsidR="00003B02">
      <w:rPr>
        <w:spacing w:val="-2"/>
      </w:rPr>
      <w:t>1555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03B02"/>
    <w:rsid w:val="000237AB"/>
    <w:rsid w:val="000267DE"/>
    <w:rsid w:val="00036039"/>
    <w:rsid w:val="00037F90"/>
    <w:rsid w:val="000409FA"/>
    <w:rsid w:val="00056F0B"/>
    <w:rsid w:val="000875BF"/>
    <w:rsid w:val="00096D8C"/>
    <w:rsid w:val="000A1D19"/>
    <w:rsid w:val="000C0B65"/>
    <w:rsid w:val="000C7E88"/>
    <w:rsid w:val="000D5536"/>
    <w:rsid w:val="000E05FE"/>
    <w:rsid w:val="000E2FC4"/>
    <w:rsid w:val="000E3D42"/>
    <w:rsid w:val="00104663"/>
    <w:rsid w:val="001211C2"/>
    <w:rsid w:val="00122BD5"/>
    <w:rsid w:val="00133F79"/>
    <w:rsid w:val="00142D97"/>
    <w:rsid w:val="00177A0A"/>
    <w:rsid w:val="00194A66"/>
    <w:rsid w:val="001C1F54"/>
    <w:rsid w:val="001D6BCF"/>
    <w:rsid w:val="001E01CA"/>
    <w:rsid w:val="001F3959"/>
    <w:rsid w:val="00210356"/>
    <w:rsid w:val="00257888"/>
    <w:rsid w:val="00275CF5"/>
    <w:rsid w:val="0028301F"/>
    <w:rsid w:val="0028304E"/>
    <w:rsid w:val="00285017"/>
    <w:rsid w:val="002A2D2E"/>
    <w:rsid w:val="002C00E8"/>
    <w:rsid w:val="002C43CB"/>
    <w:rsid w:val="002F09DF"/>
    <w:rsid w:val="002F77BE"/>
    <w:rsid w:val="00305DCB"/>
    <w:rsid w:val="00343749"/>
    <w:rsid w:val="003506AD"/>
    <w:rsid w:val="003605AE"/>
    <w:rsid w:val="003660ED"/>
    <w:rsid w:val="0037166F"/>
    <w:rsid w:val="00384F89"/>
    <w:rsid w:val="003B0550"/>
    <w:rsid w:val="003B341C"/>
    <w:rsid w:val="003B694F"/>
    <w:rsid w:val="003D1861"/>
    <w:rsid w:val="003D262D"/>
    <w:rsid w:val="003F171C"/>
    <w:rsid w:val="00412FC5"/>
    <w:rsid w:val="00422276"/>
    <w:rsid w:val="004242F1"/>
    <w:rsid w:val="00424582"/>
    <w:rsid w:val="00440166"/>
    <w:rsid w:val="00442324"/>
    <w:rsid w:val="0044528B"/>
    <w:rsid w:val="00445A00"/>
    <w:rsid w:val="00451B0F"/>
    <w:rsid w:val="00454A6D"/>
    <w:rsid w:val="00484334"/>
    <w:rsid w:val="004A1870"/>
    <w:rsid w:val="004A7371"/>
    <w:rsid w:val="004B41C6"/>
    <w:rsid w:val="004C2EE3"/>
    <w:rsid w:val="004E4A22"/>
    <w:rsid w:val="00511968"/>
    <w:rsid w:val="0055614C"/>
    <w:rsid w:val="00566D06"/>
    <w:rsid w:val="0059509C"/>
    <w:rsid w:val="005E14C2"/>
    <w:rsid w:val="005F3ED0"/>
    <w:rsid w:val="005F7CD1"/>
    <w:rsid w:val="00607BA5"/>
    <w:rsid w:val="0061180A"/>
    <w:rsid w:val="00626EB6"/>
    <w:rsid w:val="00633382"/>
    <w:rsid w:val="00653ADB"/>
    <w:rsid w:val="00655D03"/>
    <w:rsid w:val="00683388"/>
    <w:rsid w:val="00683F84"/>
    <w:rsid w:val="006A0C61"/>
    <w:rsid w:val="006A6A81"/>
    <w:rsid w:val="006D6CC3"/>
    <w:rsid w:val="006D7D9E"/>
    <w:rsid w:val="006F2F56"/>
    <w:rsid w:val="006F7393"/>
    <w:rsid w:val="0070224F"/>
    <w:rsid w:val="007115F7"/>
    <w:rsid w:val="00766B85"/>
    <w:rsid w:val="00784A46"/>
    <w:rsid w:val="00785689"/>
    <w:rsid w:val="007958FA"/>
    <w:rsid w:val="0079754B"/>
    <w:rsid w:val="007A1E6D"/>
    <w:rsid w:val="007B0EB2"/>
    <w:rsid w:val="00810B6F"/>
    <w:rsid w:val="00822CE0"/>
    <w:rsid w:val="00841AB1"/>
    <w:rsid w:val="00855334"/>
    <w:rsid w:val="00856985"/>
    <w:rsid w:val="008A32BF"/>
    <w:rsid w:val="008A4A8D"/>
    <w:rsid w:val="008B5281"/>
    <w:rsid w:val="008C68F1"/>
    <w:rsid w:val="008D41A9"/>
    <w:rsid w:val="00910DFB"/>
    <w:rsid w:val="00921803"/>
    <w:rsid w:val="00923668"/>
    <w:rsid w:val="00926503"/>
    <w:rsid w:val="00951067"/>
    <w:rsid w:val="00955FC0"/>
    <w:rsid w:val="009726D8"/>
    <w:rsid w:val="00996AA4"/>
    <w:rsid w:val="009D7308"/>
    <w:rsid w:val="009F0064"/>
    <w:rsid w:val="009F6F0E"/>
    <w:rsid w:val="009F76DB"/>
    <w:rsid w:val="00A15D6E"/>
    <w:rsid w:val="00A23350"/>
    <w:rsid w:val="00A32C3B"/>
    <w:rsid w:val="00A45F4F"/>
    <w:rsid w:val="00A5060F"/>
    <w:rsid w:val="00A600A9"/>
    <w:rsid w:val="00A8283A"/>
    <w:rsid w:val="00A92978"/>
    <w:rsid w:val="00AA55B7"/>
    <w:rsid w:val="00AA5B9E"/>
    <w:rsid w:val="00AB2407"/>
    <w:rsid w:val="00AB53DF"/>
    <w:rsid w:val="00AD7460"/>
    <w:rsid w:val="00AE241C"/>
    <w:rsid w:val="00B06C6D"/>
    <w:rsid w:val="00B07E5C"/>
    <w:rsid w:val="00B205BD"/>
    <w:rsid w:val="00B30D69"/>
    <w:rsid w:val="00B469CE"/>
    <w:rsid w:val="00B64743"/>
    <w:rsid w:val="00B811F7"/>
    <w:rsid w:val="00B82B45"/>
    <w:rsid w:val="00B841CA"/>
    <w:rsid w:val="00B91DEB"/>
    <w:rsid w:val="00BA5DC6"/>
    <w:rsid w:val="00BA6196"/>
    <w:rsid w:val="00BC6D8C"/>
    <w:rsid w:val="00C34006"/>
    <w:rsid w:val="00C36B4C"/>
    <w:rsid w:val="00C426B1"/>
    <w:rsid w:val="00C525ED"/>
    <w:rsid w:val="00C66160"/>
    <w:rsid w:val="00C721AC"/>
    <w:rsid w:val="00C90D6A"/>
    <w:rsid w:val="00CA247E"/>
    <w:rsid w:val="00CA6D21"/>
    <w:rsid w:val="00CB5A5A"/>
    <w:rsid w:val="00CB7D2F"/>
    <w:rsid w:val="00CC72B6"/>
    <w:rsid w:val="00CE1F45"/>
    <w:rsid w:val="00CE5BF4"/>
    <w:rsid w:val="00CF10D8"/>
    <w:rsid w:val="00D0218D"/>
    <w:rsid w:val="00D22481"/>
    <w:rsid w:val="00D25FB5"/>
    <w:rsid w:val="00D26C2C"/>
    <w:rsid w:val="00D44223"/>
    <w:rsid w:val="00D60674"/>
    <w:rsid w:val="00D64893"/>
    <w:rsid w:val="00D94D74"/>
    <w:rsid w:val="00DA2529"/>
    <w:rsid w:val="00DB130A"/>
    <w:rsid w:val="00DB2EBB"/>
    <w:rsid w:val="00DC10A1"/>
    <w:rsid w:val="00DC655F"/>
    <w:rsid w:val="00DD0B59"/>
    <w:rsid w:val="00DD7EBD"/>
    <w:rsid w:val="00DF32CC"/>
    <w:rsid w:val="00DF62B6"/>
    <w:rsid w:val="00E07225"/>
    <w:rsid w:val="00E5409F"/>
    <w:rsid w:val="00E87EC4"/>
    <w:rsid w:val="00EB0A91"/>
    <w:rsid w:val="00ED0DB7"/>
    <w:rsid w:val="00EE6488"/>
    <w:rsid w:val="00EE67D0"/>
    <w:rsid w:val="00EF2C5A"/>
    <w:rsid w:val="00F021FA"/>
    <w:rsid w:val="00F146C8"/>
    <w:rsid w:val="00F2035B"/>
    <w:rsid w:val="00F546AB"/>
    <w:rsid w:val="00F62E97"/>
    <w:rsid w:val="00F64209"/>
    <w:rsid w:val="00F86B2C"/>
    <w:rsid w:val="00F93BF5"/>
    <w:rsid w:val="00FA1C98"/>
    <w:rsid w:val="00FA75A5"/>
    <w:rsid w:val="00FD5F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