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B2481" w:rsidP="005A1CF0" w14:paraId="223D4667" w14:textId="77777777">
      <w:pPr>
        <w:tabs>
          <w:tab w:val="left" w:pos="6480"/>
        </w:tabs>
        <w:ind w:left="5760" w:firstLine="720"/>
        <w:rPr>
          <w:sz w:val="22"/>
          <w:szCs w:val="22"/>
        </w:rPr>
      </w:pPr>
    </w:p>
    <w:p w:rsidR="005B2481" w:rsidP="005A1CF0" w14:paraId="23C2989D" w14:textId="77777777">
      <w:pPr>
        <w:tabs>
          <w:tab w:val="left" w:pos="6480"/>
        </w:tabs>
        <w:ind w:left="5760" w:firstLine="720"/>
        <w:rPr>
          <w:sz w:val="22"/>
          <w:szCs w:val="22"/>
        </w:rPr>
      </w:pPr>
    </w:p>
    <w:p w:rsidR="005A1CF0" w:rsidRPr="00826CB1" w:rsidP="005A1CF0" w14:paraId="7B65858A" w14:textId="77777777">
      <w:pPr>
        <w:tabs>
          <w:tab w:val="left" w:pos="6480"/>
        </w:tabs>
        <w:ind w:left="5760" w:firstLine="720"/>
        <w:rPr>
          <w:sz w:val="22"/>
          <w:szCs w:val="22"/>
        </w:rPr>
      </w:pPr>
      <w:r w:rsidRPr="00826CB1">
        <w:rPr>
          <w:sz w:val="22"/>
          <w:szCs w:val="22"/>
        </w:rPr>
        <w:t>In Reply Refer To:</w:t>
      </w:r>
    </w:p>
    <w:p w:rsidR="005A1CF0" w:rsidP="005A1CF0" w14:paraId="00C0FC6B" w14:textId="27446DEE">
      <w:pPr>
        <w:tabs>
          <w:tab w:val="left" w:pos="6480"/>
        </w:tabs>
        <w:ind w:firstLine="720"/>
        <w:rPr>
          <w:sz w:val="20"/>
        </w:rPr>
      </w:pPr>
      <w:r w:rsidRPr="00826CB1">
        <w:rPr>
          <w:sz w:val="22"/>
          <w:szCs w:val="22"/>
        </w:rPr>
        <w:tab/>
        <w:t>1800B3</w:t>
      </w:r>
      <w:r w:rsidR="00604C0E">
        <w:rPr>
          <w:sz w:val="22"/>
          <w:szCs w:val="22"/>
        </w:rPr>
        <w:t>-TSN</w:t>
      </w:r>
      <w:r w:rsidRPr="001330FC">
        <w:rPr>
          <w:sz w:val="20"/>
        </w:rPr>
        <w:tab/>
        <w:t xml:space="preserve"> </w:t>
      </w:r>
    </w:p>
    <w:p w:rsidR="00F86363" w:rsidP="005A1CF0" w14:paraId="073A0D1F" w14:textId="59160094">
      <w:pPr>
        <w:tabs>
          <w:tab w:val="left" w:pos="6480"/>
        </w:tabs>
        <w:ind w:firstLine="720"/>
        <w:rPr>
          <w:sz w:val="20"/>
        </w:rPr>
      </w:pPr>
    </w:p>
    <w:p w:rsidR="00F86363" w:rsidRPr="00BB346A" w:rsidP="005A1CF0" w14:paraId="3C210EF3" w14:textId="312AC876">
      <w:pPr>
        <w:tabs>
          <w:tab w:val="left" w:pos="6480"/>
        </w:tabs>
        <w:ind w:firstLine="720"/>
        <w:rPr>
          <w:b/>
          <w:bCs/>
          <w:sz w:val="22"/>
          <w:szCs w:val="22"/>
        </w:rPr>
      </w:pPr>
      <w:r>
        <w:rPr>
          <w:sz w:val="20"/>
        </w:rPr>
        <w:tab/>
      </w:r>
      <w:r w:rsidRPr="00BB346A">
        <w:rPr>
          <w:b/>
          <w:bCs/>
          <w:sz w:val="22"/>
          <w:szCs w:val="22"/>
        </w:rPr>
        <w:t>DA 21-</w:t>
      </w:r>
      <w:r w:rsidR="00ED732D">
        <w:rPr>
          <w:b/>
          <w:bCs/>
          <w:sz w:val="22"/>
          <w:szCs w:val="22"/>
        </w:rPr>
        <w:t>1561</w:t>
      </w:r>
    </w:p>
    <w:p w:rsidR="00F86363" w:rsidRPr="00BB346A" w:rsidP="005A1CF0" w14:paraId="0B8FE370" w14:textId="402FE52F">
      <w:pPr>
        <w:tabs>
          <w:tab w:val="left" w:pos="6480"/>
        </w:tabs>
        <w:ind w:firstLine="720"/>
        <w:rPr>
          <w:sz w:val="22"/>
          <w:szCs w:val="22"/>
        </w:rPr>
      </w:pPr>
      <w:r w:rsidRPr="00BB346A">
        <w:rPr>
          <w:sz w:val="22"/>
          <w:szCs w:val="22"/>
        </w:rPr>
        <w:tab/>
        <w:t xml:space="preserve">Released:  </w:t>
      </w:r>
      <w:r w:rsidR="0038065B">
        <w:rPr>
          <w:sz w:val="22"/>
          <w:szCs w:val="22"/>
        </w:rPr>
        <w:t>December 15</w:t>
      </w:r>
      <w:r w:rsidRPr="00BB346A">
        <w:rPr>
          <w:sz w:val="22"/>
          <w:szCs w:val="22"/>
        </w:rPr>
        <w:t>, 2021</w:t>
      </w:r>
    </w:p>
    <w:p w:rsidR="005A1CF0" w:rsidRPr="00826CB1" w:rsidP="005A1CF0" w14:paraId="06A03CF6" w14:textId="77777777">
      <w:pPr>
        <w:tabs>
          <w:tab w:val="left" w:pos="6480"/>
        </w:tabs>
        <w:ind w:firstLine="720"/>
        <w:rPr>
          <w:sz w:val="22"/>
          <w:szCs w:val="22"/>
        </w:rPr>
      </w:pPr>
      <w:r w:rsidRPr="001330FC">
        <w:rPr>
          <w:sz w:val="20"/>
        </w:rPr>
        <w:tab/>
      </w:r>
    </w:p>
    <w:p w:rsidR="005A1CF0" w:rsidRPr="00BF6E82" w:rsidP="005A1CF0" w14:paraId="4C4F63AA" w14:textId="77777777">
      <w:pPr>
        <w:tabs>
          <w:tab w:val="left" w:pos="6480"/>
        </w:tabs>
        <w:rPr>
          <w:b/>
          <w:sz w:val="20"/>
          <w:u w:val="single"/>
        </w:rPr>
      </w:pPr>
    </w:p>
    <w:p w:rsidR="00604C0E" w:rsidP="00604C0E" w14:paraId="7C2C7668" w14:textId="77777777">
      <w:pPr>
        <w:tabs>
          <w:tab w:val="left" w:pos="0"/>
        </w:tabs>
        <w:suppressAutoHyphens/>
        <w:ind w:left="5040" w:hanging="5040"/>
        <w:rPr>
          <w:sz w:val="22"/>
          <w:szCs w:val="22"/>
        </w:rPr>
      </w:pPr>
      <w:r>
        <w:rPr>
          <w:sz w:val="22"/>
          <w:szCs w:val="22"/>
        </w:rPr>
        <w:t>William Johnson, Managing Member</w:t>
      </w:r>
    </w:p>
    <w:p w:rsidR="00604C0E" w:rsidP="00604C0E" w14:paraId="50C77914" w14:textId="77777777">
      <w:pPr>
        <w:tabs>
          <w:tab w:val="left" w:pos="0"/>
        </w:tabs>
        <w:suppressAutoHyphens/>
        <w:ind w:left="5040" w:hanging="5040"/>
        <w:rPr>
          <w:sz w:val="22"/>
          <w:szCs w:val="22"/>
        </w:rPr>
      </w:pPr>
      <w:r>
        <w:rPr>
          <w:sz w:val="22"/>
          <w:szCs w:val="22"/>
        </w:rPr>
        <w:t>Urban One Broadcasting Network, LLC</w:t>
      </w:r>
    </w:p>
    <w:p w:rsidR="00604C0E" w:rsidP="00604C0E" w14:paraId="0F7CD381" w14:textId="77777777">
      <w:pPr>
        <w:tabs>
          <w:tab w:val="left" w:pos="0"/>
        </w:tabs>
        <w:suppressAutoHyphens/>
        <w:ind w:left="5040" w:hanging="5040"/>
        <w:rPr>
          <w:sz w:val="22"/>
          <w:szCs w:val="22"/>
        </w:rPr>
      </w:pPr>
      <w:r>
        <w:rPr>
          <w:sz w:val="22"/>
          <w:szCs w:val="22"/>
        </w:rPr>
        <w:t>414 SW 140</w:t>
      </w:r>
      <w:r>
        <w:rPr>
          <w:sz w:val="22"/>
          <w:szCs w:val="22"/>
          <w:vertAlign w:val="superscript"/>
        </w:rPr>
        <w:t>th</w:t>
      </w:r>
      <w:r>
        <w:rPr>
          <w:sz w:val="22"/>
          <w:szCs w:val="22"/>
        </w:rPr>
        <w:t xml:space="preserve"> Terrace, Suite 120</w:t>
      </w:r>
    </w:p>
    <w:p w:rsidR="00604C0E" w:rsidP="00604C0E" w14:paraId="42CAAA2B" w14:textId="77777777">
      <w:pPr>
        <w:tabs>
          <w:tab w:val="left" w:pos="0"/>
        </w:tabs>
        <w:suppressAutoHyphens/>
        <w:ind w:left="5040" w:hanging="5040"/>
        <w:rPr>
          <w:sz w:val="22"/>
          <w:szCs w:val="22"/>
        </w:rPr>
      </w:pPr>
      <w:r>
        <w:rPr>
          <w:sz w:val="22"/>
          <w:szCs w:val="22"/>
        </w:rPr>
        <w:t>Newberry, FL 32669</w:t>
      </w:r>
    </w:p>
    <w:p w:rsidR="00604C0E" w:rsidP="00604C0E" w14:paraId="73EF1733" w14:textId="77777777">
      <w:pPr>
        <w:tabs>
          <w:tab w:val="left" w:pos="0"/>
        </w:tabs>
        <w:suppressAutoHyphens/>
        <w:ind w:left="5040" w:hanging="5040"/>
        <w:rPr>
          <w:sz w:val="22"/>
          <w:szCs w:val="22"/>
        </w:rPr>
      </w:pPr>
    </w:p>
    <w:p w:rsidR="005A1CF0" w:rsidRPr="00D76F8A" w:rsidP="005A1CF0" w14:paraId="09989CB4" w14:textId="77777777">
      <w:pPr>
        <w:rPr>
          <w:sz w:val="22"/>
          <w:szCs w:val="22"/>
        </w:rPr>
      </w:pPr>
    </w:p>
    <w:p w:rsidR="00604C0E" w:rsidP="00604C0E" w14:paraId="1DDAE895" w14:textId="3D8B567D">
      <w:pPr>
        <w:tabs>
          <w:tab w:val="left" w:pos="0"/>
          <w:tab w:val="left" w:pos="3600"/>
          <w:tab w:val="left" w:pos="3870"/>
          <w:tab w:val="left" w:pos="4500"/>
          <w:tab w:val="left" w:pos="4590"/>
        </w:tabs>
        <w:suppressAutoHyphens/>
        <w:ind w:left="5040" w:hanging="5040"/>
        <w:rPr>
          <w:b/>
          <w:sz w:val="22"/>
          <w:szCs w:val="22"/>
        </w:rPr>
      </w:pPr>
      <w:r w:rsidRPr="00D76F8A">
        <w:rPr>
          <w:sz w:val="22"/>
          <w:szCs w:val="22"/>
        </w:rPr>
        <w:t xml:space="preserve">                                                                   </w:t>
      </w:r>
      <w:r w:rsidRPr="00D76F8A">
        <w:rPr>
          <w:sz w:val="22"/>
          <w:szCs w:val="22"/>
        </w:rPr>
        <w:tab/>
      </w:r>
      <w:r>
        <w:rPr>
          <w:sz w:val="22"/>
          <w:szCs w:val="22"/>
        </w:rPr>
        <w:tab/>
      </w:r>
      <w:r w:rsidRPr="00D76F8A">
        <w:rPr>
          <w:b/>
          <w:sz w:val="22"/>
          <w:szCs w:val="22"/>
        </w:rPr>
        <w:t xml:space="preserve">In re:  </w:t>
      </w:r>
      <w:r w:rsidRPr="00D76F8A">
        <w:rPr>
          <w:b/>
          <w:sz w:val="22"/>
          <w:szCs w:val="22"/>
        </w:rPr>
        <w:tab/>
      </w:r>
      <w:r w:rsidR="00283D3C">
        <w:rPr>
          <w:b/>
          <w:sz w:val="22"/>
          <w:szCs w:val="22"/>
        </w:rPr>
        <w:t>D</w:t>
      </w:r>
      <w:r>
        <w:rPr>
          <w:b/>
          <w:sz w:val="22"/>
          <w:szCs w:val="22"/>
        </w:rPr>
        <w:t>WURB(FM), Cross City, FL</w:t>
      </w:r>
    </w:p>
    <w:p w:rsidR="00604C0E" w:rsidP="00604C0E" w14:paraId="72196DDF" w14:textId="7FCE6696">
      <w:pPr>
        <w:tabs>
          <w:tab w:val="left" w:pos="0"/>
          <w:tab w:val="left" w:pos="3870"/>
          <w:tab w:val="left" w:pos="4500"/>
          <w:tab w:val="left" w:pos="5310"/>
        </w:tabs>
        <w:suppressAutoHyphens/>
        <w:ind w:left="5040" w:hanging="5040"/>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Facility ID No. 189555</w:t>
      </w:r>
    </w:p>
    <w:p w:rsidR="005A1CF0" w:rsidP="00191245" w14:paraId="4C3C4034" w14:textId="2CA250A9">
      <w:pPr>
        <w:tabs>
          <w:tab w:val="left" w:pos="0"/>
          <w:tab w:val="left" w:pos="3870"/>
          <w:tab w:val="left" w:pos="4500"/>
          <w:tab w:val="left" w:pos="4590"/>
        </w:tabs>
        <w:suppressAutoHyphens/>
        <w:ind w:left="5040" w:hanging="504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File No.  </w:t>
      </w:r>
      <w:r w:rsidR="00191245">
        <w:rPr>
          <w:sz w:val="22"/>
          <w:szCs w:val="22"/>
        </w:rPr>
        <w:t>BNPH-20110524AHQ</w:t>
      </w:r>
      <w:r>
        <w:rPr>
          <w:sz w:val="22"/>
          <w:szCs w:val="22"/>
        </w:rPr>
        <w:t xml:space="preserve">            </w:t>
      </w:r>
      <w:r>
        <w:rPr>
          <w:sz w:val="22"/>
          <w:szCs w:val="22"/>
        </w:rPr>
        <w:tab/>
      </w:r>
      <w:r>
        <w:rPr>
          <w:sz w:val="22"/>
          <w:szCs w:val="22"/>
        </w:rPr>
        <w:tab/>
        <w:t xml:space="preserve">  </w:t>
      </w:r>
    </w:p>
    <w:p w:rsidR="005A1CF0" w:rsidP="00604C0E" w14:paraId="188EAB9C" w14:textId="05EE613D">
      <w:pPr>
        <w:tabs>
          <w:tab w:val="left" w:pos="4680"/>
          <w:tab w:val="left" w:pos="5040"/>
        </w:tabs>
        <w:rPr>
          <w:b/>
          <w:sz w:val="22"/>
          <w:szCs w:val="22"/>
        </w:rPr>
      </w:pPr>
      <w:r>
        <w:rPr>
          <w:b/>
          <w:sz w:val="22"/>
          <w:szCs w:val="22"/>
        </w:rPr>
        <w:tab/>
      </w:r>
      <w:r>
        <w:rPr>
          <w:b/>
          <w:sz w:val="22"/>
          <w:szCs w:val="22"/>
        </w:rPr>
        <w:tab/>
      </w:r>
      <w:r>
        <w:rPr>
          <w:b/>
          <w:sz w:val="22"/>
          <w:szCs w:val="22"/>
        </w:rPr>
        <w:tab/>
        <w:t>Petition for Declaratory Ruling</w:t>
      </w:r>
    </w:p>
    <w:p w:rsidR="005A1CF0" w:rsidRPr="005D407D" w:rsidP="005A1CF0" w14:paraId="345A32B3" w14:textId="77777777">
      <w:pPr>
        <w:tabs>
          <w:tab w:val="left" w:pos="4680"/>
          <w:tab w:val="left" w:pos="5040"/>
        </w:tabs>
        <w:rPr>
          <w:sz w:val="22"/>
          <w:szCs w:val="22"/>
        </w:rPr>
      </w:pPr>
      <w:r w:rsidRPr="005D407D">
        <w:rPr>
          <w:sz w:val="22"/>
          <w:szCs w:val="22"/>
        </w:rPr>
        <w:tab/>
      </w:r>
      <w:r w:rsidRPr="005D407D">
        <w:rPr>
          <w:sz w:val="22"/>
          <w:szCs w:val="22"/>
        </w:rPr>
        <w:tab/>
      </w:r>
    </w:p>
    <w:p w:rsidR="005A1CF0" w:rsidRPr="005D407D" w:rsidP="005A1CF0" w14:paraId="0357CB42" w14:textId="4FD962F2">
      <w:pPr>
        <w:tabs>
          <w:tab w:val="left" w:pos="6840"/>
        </w:tabs>
        <w:rPr>
          <w:sz w:val="22"/>
          <w:szCs w:val="22"/>
        </w:rPr>
      </w:pPr>
      <w:r w:rsidRPr="005D407D">
        <w:rPr>
          <w:sz w:val="22"/>
          <w:szCs w:val="22"/>
        </w:rPr>
        <w:t xml:space="preserve">Dear </w:t>
      </w:r>
      <w:r w:rsidR="004365F4">
        <w:rPr>
          <w:sz w:val="22"/>
          <w:szCs w:val="22"/>
        </w:rPr>
        <w:t>Mr. Johnson</w:t>
      </w:r>
      <w:r w:rsidRPr="005D407D">
        <w:rPr>
          <w:sz w:val="22"/>
          <w:szCs w:val="22"/>
        </w:rPr>
        <w:t>:</w:t>
      </w:r>
    </w:p>
    <w:p w:rsidR="005A1CF0" w:rsidRPr="005D407D" w:rsidP="005A1CF0" w14:paraId="5A1D485D" w14:textId="77777777">
      <w:pPr>
        <w:tabs>
          <w:tab w:val="left" w:pos="4680"/>
          <w:tab w:val="left" w:pos="5337"/>
        </w:tabs>
        <w:rPr>
          <w:sz w:val="22"/>
          <w:szCs w:val="22"/>
        </w:rPr>
      </w:pPr>
    </w:p>
    <w:p w:rsidR="005A1CF0" w:rsidP="005A1CF0" w14:paraId="306E0A21" w14:textId="113416D8">
      <w:pPr>
        <w:ind w:firstLine="720"/>
        <w:rPr>
          <w:sz w:val="22"/>
          <w:szCs w:val="22"/>
        </w:rPr>
      </w:pPr>
      <w:r>
        <w:rPr>
          <w:sz w:val="22"/>
          <w:szCs w:val="22"/>
        </w:rPr>
        <w:t xml:space="preserve">We have before us a Petition for Declaratory Ruling (Petition) filed by Urban One Broadcasting Network, LLC (Urban One), on June 17, 2021.  In the Petition, Urban One </w:t>
      </w:r>
      <w:r w:rsidR="00405A4B">
        <w:rPr>
          <w:sz w:val="22"/>
          <w:szCs w:val="22"/>
        </w:rPr>
        <w:t xml:space="preserve">(1) </w:t>
      </w:r>
      <w:r w:rsidR="000A5263">
        <w:rPr>
          <w:sz w:val="22"/>
          <w:szCs w:val="22"/>
        </w:rPr>
        <w:t xml:space="preserve">seeks to </w:t>
      </w:r>
      <w:r w:rsidR="00405A4B">
        <w:rPr>
          <w:sz w:val="22"/>
          <w:szCs w:val="22"/>
        </w:rPr>
        <w:t xml:space="preserve">amend </w:t>
      </w:r>
      <w:r w:rsidR="000A5263">
        <w:rPr>
          <w:sz w:val="22"/>
          <w:szCs w:val="22"/>
        </w:rPr>
        <w:t>its</w:t>
      </w:r>
      <w:r w:rsidR="00405A4B">
        <w:rPr>
          <w:sz w:val="22"/>
          <w:szCs w:val="22"/>
        </w:rPr>
        <w:t xml:space="preserve"> </w:t>
      </w:r>
      <w:r w:rsidR="00D3119C">
        <w:rPr>
          <w:sz w:val="22"/>
          <w:szCs w:val="22"/>
        </w:rPr>
        <w:t xml:space="preserve"> </w:t>
      </w:r>
      <w:r w:rsidR="00405A4B">
        <w:rPr>
          <w:sz w:val="22"/>
          <w:szCs w:val="22"/>
        </w:rPr>
        <w:t xml:space="preserve">December 13, 2016, “Petition for Reinstatement of Construction Permit,” </w:t>
      </w:r>
      <w:r w:rsidR="000A5263">
        <w:rPr>
          <w:sz w:val="22"/>
          <w:szCs w:val="22"/>
        </w:rPr>
        <w:t xml:space="preserve">asking the Commission to reinstate Urban One’s </w:t>
      </w:r>
      <w:r w:rsidR="00400AC1">
        <w:rPr>
          <w:sz w:val="22"/>
          <w:szCs w:val="22"/>
        </w:rPr>
        <w:t>forfeited</w:t>
      </w:r>
      <w:r w:rsidR="000A5263">
        <w:rPr>
          <w:sz w:val="22"/>
          <w:szCs w:val="22"/>
        </w:rPr>
        <w:t xml:space="preserve"> permit to construct </w:t>
      </w:r>
      <w:r w:rsidR="00405A4B">
        <w:rPr>
          <w:sz w:val="22"/>
          <w:szCs w:val="22"/>
        </w:rPr>
        <w:t>an FM radio station at Cross City, Florida</w:t>
      </w:r>
      <w:r w:rsidR="000A5263">
        <w:rPr>
          <w:sz w:val="22"/>
          <w:szCs w:val="22"/>
        </w:rPr>
        <w:t xml:space="preserve"> and to grant an 18-month construction period</w:t>
      </w:r>
      <w:r w:rsidR="00405A4B">
        <w:rPr>
          <w:sz w:val="22"/>
          <w:szCs w:val="22"/>
        </w:rPr>
        <w:t xml:space="preserve">, and (2) </w:t>
      </w:r>
      <w:r w:rsidR="000A5263">
        <w:rPr>
          <w:sz w:val="22"/>
          <w:szCs w:val="22"/>
        </w:rPr>
        <w:t xml:space="preserve">asks for </w:t>
      </w:r>
      <w:r w:rsidR="00405A4B">
        <w:rPr>
          <w:sz w:val="22"/>
          <w:szCs w:val="22"/>
        </w:rPr>
        <w:t>remov</w:t>
      </w:r>
      <w:r w:rsidR="000A5263">
        <w:rPr>
          <w:sz w:val="22"/>
          <w:szCs w:val="22"/>
        </w:rPr>
        <w:t>al of</w:t>
      </w:r>
      <w:r w:rsidR="00405A4B">
        <w:rPr>
          <w:sz w:val="22"/>
          <w:szCs w:val="22"/>
        </w:rPr>
        <w:t xml:space="preserve"> the allotment </w:t>
      </w:r>
      <w:r w:rsidR="00400AC1">
        <w:rPr>
          <w:sz w:val="22"/>
          <w:szCs w:val="22"/>
        </w:rPr>
        <w:t xml:space="preserve">for </w:t>
      </w:r>
      <w:r w:rsidR="00400AC1">
        <w:rPr>
          <w:color w:val="000000"/>
          <w:sz w:val="22"/>
          <w:szCs w:val="22"/>
        </w:rPr>
        <w:t>Channel 249C3 at Cross City, Florida, which previously covered</w:t>
      </w:r>
      <w:r w:rsidR="00400AC1">
        <w:rPr>
          <w:sz w:val="22"/>
          <w:szCs w:val="22"/>
        </w:rPr>
        <w:t xml:space="preserve"> Urban One’s now-forfeited construction permit, from the </w:t>
      </w:r>
      <w:r w:rsidR="004D3C0E">
        <w:rPr>
          <w:sz w:val="22"/>
          <w:szCs w:val="22"/>
        </w:rPr>
        <w:t>Auction 109</w:t>
      </w:r>
      <w:r w:rsidR="00400AC1">
        <w:rPr>
          <w:sz w:val="22"/>
          <w:szCs w:val="22"/>
        </w:rPr>
        <w:t xml:space="preserve"> inventory</w:t>
      </w:r>
      <w:r w:rsidR="004D3C0E">
        <w:rPr>
          <w:sz w:val="22"/>
          <w:szCs w:val="22"/>
        </w:rPr>
        <w:t xml:space="preserve">.  </w:t>
      </w:r>
      <w:r>
        <w:rPr>
          <w:sz w:val="22"/>
          <w:szCs w:val="22"/>
        </w:rPr>
        <w:t xml:space="preserve">We </w:t>
      </w:r>
      <w:r w:rsidR="00903459">
        <w:rPr>
          <w:sz w:val="22"/>
          <w:szCs w:val="22"/>
        </w:rPr>
        <w:t>deny</w:t>
      </w:r>
      <w:r w:rsidR="00AE2EB3">
        <w:rPr>
          <w:sz w:val="22"/>
          <w:szCs w:val="22"/>
        </w:rPr>
        <w:t xml:space="preserve"> </w:t>
      </w:r>
      <w:r>
        <w:rPr>
          <w:sz w:val="22"/>
          <w:szCs w:val="22"/>
        </w:rPr>
        <w:t>the Petition.</w:t>
      </w:r>
    </w:p>
    <w:p w:rsidR="0059519D" w:rsidP="005A1CF0" w14:paraId="4EC0B9B2" w14:textId="52A0BF40">
      <w:pPr>
        <w:ind w:firstLine="720"/>
        <w:rPr>
          <w:sz w:val="22"/>
          <w:szCs w:val="22"/>
        </w:rPr>
      </w:pPr>
    </w:p>
    <w:p w:rsidR="000A2AC9" w:rsidP="000A2AC9" w14:paraId="1A334E94" w14:textId="5F54D561">
      <w:pPr>
        <w:ind w:firstLine="720"/>
        <w:rPr>
          <w:color w:val="000000"/>
          <w:sz w:val="22"/>
          <w:szCs w:val="22"/>
        </w:rPr>
      </w:pPr>
      <w:r>
        <w:rPr>
          <w:b/>
          <w:color w:val="000000"/>
          <w:sz w:val="22"/>
          <w:szCs w:val="22"/>
        </w:rPr>
        <w:t xml:space="preserve">Background.  </w:t>
      </w:r>
      <w:r w:rsidR="0091509C">
        <w:rPr>
          <w:bCs/>
          <w:color w:val="000000"/>
          <w:sz w:val="22"/>
          <w:szCs w:val="22"/>
        </w:rPr>
        <w:t>This matter stems from Urban One’s 2013 acquisition of an expiring construction permit for Channel 249 at Cross City, Florida</w:t>
      </w:r>
      <w:r w:rsidR="00980228">
        <w:rPr>
          <w:bCs/>
          <w:color w:val="000000"/>
          <w:sz w:val="22"/>
          <w:szCs w:val="22"/>
        </w:rPr>
        <w:t xml:space="preserve"> with an expiration date of July 21, 2014</w:t>
      </w:r>
      <w:r w:rsidR="0091509C">
        <w:rPr>
          <w:bCs/>
          <w:color w:val="000000"/>
          <w:sz w:val="22"/>
          <w:szCs w:val="22"/>
        </w:rPr>
        <w:t>.</w:t>
      </w:r>
      <w:r>
        <w:rPr>
          <w:rStyle w:val="FootnoteReference"/>
          <w:color w:val="000000"/>
          <w:sz w:val="22"/>
          <w:szCs w:val="22"/>
        </w:rPr>
        <w:footnoteReference w:id="2"/>
      </w:r>
      <w:r w:rsidR="0091509C">
        <w:rPr>
          <w:color w:val="000000"/>
          <w:sz w:val="22"/>
          <w:szCs w:val="22"/>
        </w:rPr>
        <w:t xml:space="preserve">  On </w:t>
      </w:r>
      <w:bookmarkStart w:id="2" w:name="_Hlk79075992"/>
      <w:r w:rsidR="0091509C">
        <w:rPr>
          <w:color w:val="000000"/>
          <w:sz w:val="22"/>
          <w:szCs w:val="22"/>
        </w:rPr>
        <w:t>May 19, 2014, Urban One filed an application to modify the construction permit (Modification Application</w:t>
      </w:r>
      <w:bookmarkEnd w:id="2"/>
      <w:r w:rsidR="0091509C">
        <w:rPr>
          <w:color w:val="000000"/>
          <w:sz w:val="22"/>
          <w:szCs w:val="22"/>
        </w:rPr>
        <w:t>).</w:t>
      </w:r>
      <w:r>
        <w:rPr>
          <w:rStyle w:val="FootnoteReference"/>
          <w:color w:val="000000"/>
          <w:szCs w:val="22"/>
        </w:rPr>
        <w:footnoteReference w:id="3"/>
      </w:r>
      <w:r w:rsidR="0091509C">
        <w:rPr>
          <w:color w:val="000000"/>
          <w:sz w:val="22"/>
          <w:szCs w:val="22"/>
        </w:rPr>
        <w:t xml:space="preserve">  On June 16, 2014, Suncoast Radio, Inc. filed an Informal Objection to the Modification Application, arguing that it should be denied for failure to comply with the Commission’s rules </w:t>
      </w:r>
      <w:bookmarkStart w:id="3" w:name="_Hlk79076089"/>
      <w:r w:rsidR="0091509C">
        <w:rPr>
          <w:color w:val="000000"/>
          <w:sz w:val="22"/>
          <w:szCs w:val="22"/>
        </w:rPr>
        <w:t xml:space="preserve">and </w:t>
      </w:r>
      <w:r w:rsidR="005056DC">
        <w:rPr>
          <w:color w:val="000000"/>
          <w:sz w:val="22"/>
          <w:szCs w:val="22"/>
        </w:rPr>
        <w:t xml:space="preserve">section 106 of </w:t>
      </w:r>
      <w:r w:rsidR="0091509C">
        <w:rPr>
          <w:color w:val="000000"/>
          <w:sz w:val="22"/>
          <w:szCs w:val="22"/>
        </w:rPr>
        <w:t xml:space="preserve">the National </w:t>
      </w:r>
      <w:r w:rsidR="0091509C">
        <w:rPr>
          <w:color w:val="000000"/>
          <w:sz w:val="22"/>
          <w:szCs w:val="22"/>
        </w:rPr>
        <w:t>Historic Preservation Act</w:t>
      </w:r>
      <w:bookmarkEnd w:id="3"/>
      <w:r w:rsidR="0091509C">
        <w:rPr>
          <w:color w:val="000000"/>
          <w:sz w:val="22"/>
          <w:szCs w:val="22"/>
        </w:rPr>
        <w:t>.</w:t>
      </w:r>
      <w:r>
        <w:rPr>
          <w:rStyle w:val="FootnoteReference"/>
          <w:color w:val="000000"/>
          <w:sz w:val="22"/>
          <w:szCs w:val="22"/>
        </w:rPr>
        <w:footnoteReference w:id="4"/>
      </w:r>
      <w:r w:rsidR="0091509C">
        <w:rPr>
          <w:color w:val="000000"/>
          <w:sz w:val="22"/>
          <w:szCs w:val="22"/>
        </w:rPr>
        <w:t xml:space="preserve">  In reply, Urban One asserted that the antenna structure proposed in the Modification Application qualified for an </w:t>
      </w:r>
      <w:r w:rsidR="005E60BC">
        <w:rPr>
          <w:color w:val="000000"/>
          <w:sz w:val="22"/>
          <w:szCs w:val="22"/>
        </w:rPr>
        <w:t>exclusion from</w:t>
      </w:r>
      <w:r w:rsidR="0091509C">
        <w:rPr>
          <w:color w:val="000000"/>
          <w:sz w:val="22"/>
          <w:szCs w:val="22"/>
        </w:rPr>
        <w:t xml:space="preserve"> Section 106 </w:t>
      </w:r>
      <w:r w:rsidR="006267F2">
        <w:rPr>
          <w:color w:val="000000"/>
          <w:sz w:val="22"/>
          <w:szCs w:val="22"/>
        </w:rPr>
        <w:t>R</w:t>
      </w:r>
      <w:r w:rsidR="0091509C">
        <w:rPr>
          <w:color w:val="000000"/>
          <w:sz w:val="22"/>
          <w:szCs w:val="22"/>
        </w:rPr>
        <w:t>eview</w:t>
      </w:r>
      <w:r w:rsidR="005E60BC">
        <w:rPr>
          <w:color w:val="000000"/>
          <w:sz w:val="22"/>
          <w:szCs w:val="22"/>
        </w:rPr>
        <w:t xml:space="preserve"> on the basis that the proposed antenna structure would be “temporary</w:t>
      </w:r>
      <w:r w:rsidR="00A60EE4">
        <w:rPr>
          <w:color w:val="000000"/>
          <w:sz w:val="22"/>
          <w:szCs w:val="22"/>
        </w:rPr>
        <w:t>.</w:t>
      </w:r>
      <w:r w:rsidR="005E60BC">
        <w:rPr>
          <w:color w:val="000000"/>
          <w:sz w:val="22"/>
          <w:szCs w:val="22"/>
        </w:rPr>
        <w:t>”</w:t>
      </w:r>
      <w:r>
        <w:rPr>
          <w:rStyle w:val="FootnoteReference"/>
          <w:color w:val="000000"/>
          <w:sz w:val="22"/>
          <w:szCs w:val="22"/>
        </w:rPr>
        <w:footnoteReference w:id="5"/>
      </w:r>
      <w:r w:rsidR="0091509C">
        <w:rPr>
          <w:color w:val="000000"/>
          <w:sz w:val="22"/>
          <w:szCs w:val="22"/>
        </w:rPr>
        <w:t xml:space="preserve"> </w:t>
      </w:r>
      <w:r>
        <w:rPr>
          <w:color w:val="000000"/>
          <w:sz w:val="22"/>
          <w:szCs w:val="22"/>
        </w:rPr>
        <w:t xml:space="preserve"> </w:t>
      </w:r>
    </w:p>
    <w:p w:rsidR="000A2AC9" w:rsidP="000A2AC9" w14:paraId="3D5A4C5F" w14:textId="77777777">
      <w:pPr>
        <w:ind w:firstLine="720"/>
        <w:rPr>
          <w:color w:val="000000"/>
          <w:sz w:val="22"/>
          <w:szCs w:val="22"/>
        </w:rPr>
      </w:pPr>
    </w:p>
    <w:p w:rsidR="000A2AC9" w:rsidP="000A2AC9" w14:paraId="4C30B2BA" w14:textId="15648776">
      <w:pPr>
        <w:ind w:firstLine="720"/>
        <w:rPr>
          <w:color w:val="000000"/>
          <w:sz w:val="22"/>
          <w:szCs w:val="22"/>
        </w:rPr>
      </w:pPr>
      <w:bookmarkStart w:id="4" w:name="_Hlk79076518"/>
      <w:r>
        <w:rPr>
          <w:color w:val="000000"/>
          <w:sz w:val="22"/>
          <w:szCs w:val="22"/>
        </w:rPr>
        <w:t xml:space="preserve">On June 23, 2014, Urban One requested tolling of the </w:t>
      </w:r>
      <w:r w:rsidR="00FB107A">
        <w:rPr>
          <w:color w:val="000000"/>
          <w:sz w:val="22"/>
          <w:szCs w:val="22"/>
        </w:rPr>
        <w:t>p</w:t>
      </w:r>
      <w:r>
        <w:rPr>
          <w:color w:val="000000"/>
          <w:sz w:val="22"/>
          <w:szCs w:val="22"/>
        </w:rPr>
        <w:t>ermit</w:t>
      </w:r>
      <w:r w:rsidR="00FB107A">
        <w:rPr>
          <w:color w:val="000000"/>
          <w:sz w:val="22"/>
          <w:szCs w:val="22"/>
        </w:rPr>
        <w:t>’s construction</w:t>
      </w:r>
      <w:r>
        <w:rPr>
          <w:color w:val="000000"/>
          <w:sz w:val="22"/>
          <w:szCs w:val="22"/>
        </w:rPr>
        <w:t xml:space="preserve"> deadline</w:t>
      </w:r>
      <w:bookmarkEnd w:id="4"/>
      <w:r>
        <w:rPr>
          <w:color w:val="000000"/>
          <w:sz w:val="22"/>
          <w:szCs w:val="22"/>
        </w:rPr>
        <w:t xml:space="preserve">, claiming that the filing of the Informal Objection made the </w:t>
      </w:r>
      <w:r w:rsidR="006358F5">
        <w:rPr>
          <w:color w:val="000000"/>
          <w:sz w:val="22"/>
          <w:szCs w:val="22"/>
        </w:rPr>
        <w:t>c</w:t>
      </w:r>
      <w:r>
        <w:rPr>
          <w:color w:val="000000"/>
          <w:sz w:val="22"/>
          <w:szCs w:val="22"/>
        </w:rPr>
        <w:t xml:space="preserve">onstruction </w:t>
      </w:r>
      <w:r w:rsidR="006358F5">
        <w:rPr>
          <w:color w:val="000000"/>
          <w:sz w:val="22"/>
          <w:szCs w:val="22"/>
        </w:rPr>
        <w:t>p</w:t>
      </w:r>
      <w:r>
        <w:rPr>
          <w:color w:val="000000"/>
          <w:sz w:val="22"/>
          <w:szCs w:val="22"/>
        </w:rPr>
        <w:t xml:space="preserve">ermit the subject of administrative review and thus entitled to tolling under </w:t>
      </w:r>
      <w:r w:rsidR="006358F5">
        <w:rPr>
          <w:color w:val="000000"/>
          <w:sz w:val="22"/>
          <w:szCs w:val="22"/>
        </w:rPr>
        <w:t>s</w:t>
      </w:r>
      <w:r>
        <w:rPr>
          <w:color w:val="000000"/>
          <w:sz w:val="22"/>
          <w:szCs w:val="22"/>
        </w:rPr>
        <w:t xml:space="preserve">ection 73.3598(b)(2) of the </w:t>
      </w:r>
      <w:r w:rsidR="006358F5">
        <w:rPr>
          <w:color w:val="000000"/>
          <w:sz w:val="22"/>
          <w:szCs w:val="22"/>
        </w:rPr>
        <w:t>Commission’s r</w:t>
      </w:r>
      <w:r>
        <w:rPr>
          <w:color w:val="000000"/>
          <w:sz w:val="22"/>
          <w:szCs w:val="22"/>
        </w:rPr>
        <w:t>ules.</w:t>
      </w:r>
      <w:r>
        <w:rPr>
          <w:rStyle w:val="FootnoteReference"/>
          <w:color w:val="000000"/>
          <w:sz w:val="22"/>
          <w:szCs w:val="22"/>
        </w:rPr>
        <w:footnoteReference w:id="6"/>
      </w:r>
      <w:r>
        <w:rPr>
          <w:color w:val="000000"/>
          <w:sz w:val="22"/>
          <w:szCs w:val="22"/>
        </w:rPr>
        <w:t xml:space="preserve">  On </w:t>
      </w:r>
      <w:bookmarkStart w:id="5" w:name="_Hlk79076771"/>
      <w:r>
        <w:rPr>
          <w:color w:val="000000"/>
          <w:sz w:val="22"/>
          <w:szCs w:val="22"/>
        </w:rPr>
        <w:t>June 25, 2014</w:t>
      </w:r>
      <w:bookmarkEnd w:id="5"/>
      <w:r>
        <w:rPr>
          <w:color w:val="000000"/>
          <w:sz w:val="22"/>
          <w:szCs w:val="22"/>
        </w:rPr>
        <w:t xml:space="preserve">, </w:t>
      </w:r>
      <w:r w:rsidR="000E4483">
        <w:rPr>
          <w:color w:val="000000"/>
          <w:sz w:val="22"/>
          <w:szCs w:val="22"/>
        </w:rPr>
        <w:t xml:space="preserve">Media </w:t>
      </w:r>
      <w:r>
        <w:rPr>
          <w:color w:val="000000"/>
          <w:sz w:val="22"/>
          <w:szCs w:val="22"/>
        </w:rPr>
        <w:t xml:space="preserve">Bureau </w:t>
      </w:r>
      <w:r w:rsidR="000E4483">
        <w:rPr>
          <w:color w:val="000000"/>
          <w:sz w:val="22"/>
          <w:szCs w:val="22"/>
        </w:rPr>
        <w:t xml:space="preserve">(Bureau) </w:t>
      </w:r>
      <w:r>
        <w:rPr>
          <w:color w:val="000000"/>
          <w:sz w:val="22"/>
          <w:szCs w:val="22"/>
        </w:rPr>
        <w:t>staff rejected Urban One’s tolling request, explaining that difficulties at an alternative site cannot provide the basis for tolling and that an informal objection filed against a modification application does not render the original construction permit the subject of administrative review.</w:t>
      </w:r>
      <w:r>
        <w:rPr>
          <w:rStyle w:val="FootnoteReference"/>
          <w:color w:val="000000"/>
          <w:sz w:val="22"/>
          <w:szCs w:val="22"/>
        </w:rPr>
        <w:footnoteReference w:id="7"/>
      </w:r>
      <w:r>
        <w:rPr>
          <w:color w:val="000000"/>
          <w:sz w:val="22"/>
          <w:szCs w:val="22"/>
        </w:rPr>
        <w:t xml:space="preserve"> </w:t>
      </w:r>
    </w:p>
    <w:p w:rsidR="000A2AC9" w:rsidP="00B27046" w14:paraId="27229860" w14:textId="77777777">
      <w:pPr>
        <w:rPr>
          <w:color w:val="000000"/>
          <w:sz w:val="22"/>
          <w:szCs w:val="22"/>
        </w:rPr>
      </w:pPr>
    </w:p>
    <w:p w:rsidR="000A2AC9" w:rsidP="00425092" w14:paraId="753C6C05" w14:textId="6B295E15">
      <w:pPr>
        <w:ind w:firstLine="720"/>
        <w:rPr>
          <w:color w:val="000000"/>
          <w:sz w:val="22"/>
          <w:szCs w:val="22"/>
        </w:rPr>
      </w:pPr>
      <w:r>
        <w:rPr>
          <w:color w:val="000000"/>
          <w:sz w:val="22"/>
          <w:szCs w:val="22"/>
        </w:rPr>
        <w:t xml:space="preserve">In a letter decision dated July 17, 2014, the Bureau found that Urban One did not qualify for the exclusion </w:t>
      </w:r>
      <w:r w:rsidR="00C336A0">
        <w:rPr>
          <w:color w:val="000000"/>
          <w:sz w:val="22"/>
          <w:szCs w:val="22"/>
        </w:rPr>
        <w:t xml:space="preserve">from </w:t>
      </w:r>
      <w:r>
        <w:rPr>
          <w:color w:val="000000"/>
          <w:sz w:val="22"/>
          <w:szCs w:val="22"/>
        </w:rPr>
        <w:t>Section 106 Review</w:t>
      </w:r>
      <w:r w:rsidR="00C336A0">
        <w:rPr>
          <w:color w:val="000000"/>
          <w:sz w:val="22"/>
          <w:szCs w:val="22"/>
        </w:rPr>
        <w:t xml:space="preserve"> for temporary structures</w:t>
      </w:r>
      <w:r>
        <w:rPr>
          <w:color w:val="000000"/>
          <w:sz w:val="22"/>
          <w:szCs w:val="22"/>
        </w:rPr>
        <w:t>.  The Bureau granted Suncoast’s Informal Objection in part, and gave Urban One 30 days in which to amend its Modification Application.</w:t>
      </w:r>
      <w:r w:rsidRPr="00900D96">
        <w:rPr>
          <w:rStyle w:val="FootnoteReference"/>
          <w:color w:val="000000"/>
          <w:szCs w:val="22"/>
        </w:rPr>
        <w:t xml:space="preserve"> </w:t>
      </w:r>
      <w:r>
        <w:rPr>
          <w:rStyle w:val="FootnoteReference"/>
          <w:color w:val="000000"/>
          <w:szCs w:val="22"/>
        </w:rPr>
        <w:footnoteReference w:id="8"/>
      </w:r>
      <w:r>
        <w:rPr>
          <w:color w:val="000000"/>
          <w:sz w:val="22"/>
          <w:szCs w:val="22"/>
        </w:rPr>
        <w:t xml:space="preserve">  However, the Bureau also specifically stated that “</w:t>
      </w:r>
      <w:r>
        <w:rPr>
          <w:rFonts w:eastAsiaTheme="minorHAnsi"/>
          <w:snapToGrid/>
          <w:sz w:val="22"/>
          <w:szCs w:val="22"/>
        </w:rPr>
        <w:t xml:space="preserve">Construction Permit BNPH-20110524AHQ expires on July 21, 2014.  This letter does not extend the expiration date of that construction </w:t>
      </w:r>
      <w:r w:rsidRPr="00EB7F1C">
        <w:rPr>
          <w:color w:val="000000"/>
          <w:sz w:val="22"/>
          <w:szCs w:val="22"/>
        </w:rPr>
        <w:t>permit</w:t>
      </w:r>
      <w:r>
        <w:rPr>
          <w:rFonts w:eastAsiaTheme="minorHAnsi"/>
          <w:snapToGrid/>
          <w:sz w:val="22"/>
          <w:szCs w:val="22"/>
        </w:rPr>
        <w:t xml:space="preserve"> or provide any additional time to construct.”</w:t>
      </w:r>
      <w:r>
        <w:rPr>
          <w:rStyle w:val="FootnoteReference"/>
          <w:rFonts w:eastAsiaTheme="minorHAnsi"/>
          <w:snapToGrid/>
          <w:szCs w:val="22"/>
        </w:rPr>
        <w:footnoteReference w:id="9"/>
      </w:r>
      <w:r>
        <w:rPr>
          <w:color w:val="000000"/>
          <w:sz w:val="22"/>
          <w:szCs w:val="22"/>
        </w:rPr>
        <w:t xml:space="preserve"> </w:t>
      </w:r>
      <w:r w:rsidR="007D28FB">
        <w:rPr>
          <w:color w:val="000000"/>
          <w:sz w:val="22"/>
          <w:szCs w:val="22"/>
        </w:rPr>
        <w:t xml:space="preserve"> </w:t>
      </w:r>
    </w:p>
    <w:p w:rsidR="000A2AC9" w:rsidP="000A2AC9" w14:paraId="2A08F128" w14:textId="77777777">
      <w:pPr>
        <w:rPr>
          <w:color w:val="000000"/>
          <w:sz w:val="22"/>
          <w:szCs w:val="22"/>
        </w:rPr>
      </w:pPr>
    </w:p>
    <w:p w:rsidR="004D3C0E" w:rsidP="000621EC" w14:paraId="4DCCC065" w14:textId="7CF8D6C9">
      <w:pPr>
        <w:ind w:firstLine="720"/>
        <w:rPr>
          <w:rFonts w:ascii="TimesNewRoman" w:hAnsi="TimesNewRoman" w:eastAsiaTheme="minorHAnsi" w:cs="TimesNewRoman"/>
          <w:snapToGrid/>
          <w:color w:val="010101"/>
          <w:sz w:val="22"/>
          <w:szCs w:val="22"/>
        </w:rPr>
      </w:pPr>
      <w:r>
        <w:rPr>
          <w:color w:val="000000"/>
          <w:sz w:val="22"/>
          <w:szCs w:val="22"/>
        </w:rPr>
        <w:t xml:space="preserve">Urban One </w:t>
      </w:r>
      <w:r w:rsidR="00E37135">
        <w:rPr>
          <w:color w:val="000000"/>
          <w:sz w:val="22"/>
          <w:szCs w:val="22"/>
        </w:rPr>
        <w:t xml:space="preserve">filed two petitions for reconsideration:  (1) a </w:t>
      </w:r>
      <w:r w:rsidR="00C9724E">
        <w:rPr>
          <w:color w:val="000000"/>
          <w:sz w:val="22"/>
          <w:szCs w:val="22"/>
        </w:rPr>
        <w:t xml:space="preserve">July 24, 2014, </w:t>
      </w:r>
      <w:r w:rsidR="00E37135">
        <w:rPr>
          <w:color w:val="000000"/>
          <w:sz w:val="22"/>
          <w:szCs w:val="22"/>
        </w:rPr>
        <w:t xml:space="preserve">petition challenging the </w:t>
      </w:r>
      <w:r w:rsidRPr="00C9724E" w:rsidR="00E37135">
        <w:rPr>
          <w:i/>
          <w:iCs/>
          <w:color w:val="000000"/>
          <w:sz w:val="22"/>
          <w:szCs w:val="22"/>
        </w:rPr>
        <w:t>Tolling Decision</w:t>
      </w:r>
      <w:r w:rsidR="00E37135">
        <w:rPr>
          <w:color w:val="000000"/>
          <w:sz w:val="22"/>
          <w:szCs w:val="22"/>
        </w:rPr>
        <w:t>;</w:t>
      </w:r>
      <w:r>
        <w:rPr>
          <w:rStyle w:val="FootnoteReference"/>
          <w:color w:val="000000"/>
          <w:szCs w:val="22"/>
        </w:rPr>
        <w:footnoteReference w:id="10"/>
      </w:r>
      <w:r w:rsidR="00E37135">
        <w:rPr>
          <w:color w:val="000000"/>
          <w:sz w:val="22"/>
          <w:szCs w:val="22"/>
        </w:rPr>
        <w:t xml:space="preserve"> and (2) a</w:t>
      </w:r>
      <w:r w:rsidR="00C9724E">
        <w:rPr>
          <w:color w:val="000000"/>
          <w:sz w:val="22"/>
          <w:szCs w:val="22"/>
        </w:rPr>
        <w:t>n August 4, 2014,</w:t>
      </w:r>
      <w:r w:rsidR="00E37135">
        <w:rPr>
          <w:color w:val="000000"/>
          <w:sz w:val="22"/>
          <w:szCs w:val="22"/>
        </w:rPr>
        <w:t xml:space="preserve"> petition </w:t>
      </w:r>
      <w:r w:rsidR="00C9724E">
        <w:rPr>
          <w:color w:val="000000"/>
          <w:sz w:val="22"/>
          <w:szCs w:val="22"/>
        </w:rPr>
        <w:t>seeking reconsideration of</w:t>
      </w:r>
      <w:r w:rsidR="00E37135">
        <w:rPr>
          <w:color w:val="000000"/>
          <w:sz w:val="22"/>
          <w:szCs w:val="22"/>
        </w:rPr>
        <w:t xml:space="preserve"> the </w:t>
      </w:r>
      <w:r w:rsidRPr="00C9724E" w:rsidR="00E37135">
        <w:rPr>
          <w:i/>
          <w:iCs/>
          <w:color w:val="000000"/>
          <w:sz w:val="22"/>
          <w:szCs w:val="22"/>
        </w:rPr>
        <w:t xml:space="preserve">Modification </w:t>
      </w:r>
      <w:r w:rsidRPr="00C9724E" w:rsidR="00E37135">
        <w:rPr>
          <w:i/>
          <w:iCs/>
          <w:color w:val="000000"/>
          <w:sz w:val="22"/>
          <w:szCs w:val="22"/>
        </w:rPr>
        <w:t>Decision</w:t>
      </w:r>
      <w:r w:rsidR="00C9724E">
        <w:rPr>
          <w:color w:val="000000"/>
          <w:sz w:val="22"/>
          <w:szCs w:val="22"/>
        </w:rPr>
        <w:t>.</w:t>
      </w:r>
      <w:r>
        <w:rPr>
          <w:rStyle w:val="FootnoteReference"/>
          <w:color w:val="000000"/>
          <w:szCs w:val="22"/>
        </w:rPr>
        <w:footnoteReference w:id="11"/>
      </w:r>
      <w:r w:rsidR="00C9724E">
        <w:rPr>
          <w:color w:val="000000"/>
          <w:sz w:val="22"/>
          <w:szCs w:val="22"/>
        </w:rPr>
        <w:t xml:space="preserve">  Urban One </w:t>
      </w:r>
      <w:r>
        <w:rPr>
          <w:color w:val="000000"/>
          <w:sz w:val="22"/>
          <w:szCs w:val="22"/>
        </w:rPr>
        <w:t>challenge</w:t>
      </w:r>
      <w:r w:rsidR="00BC60A3">
        <w:rPr>
          <w:color w:val="000000"/>
          <w:sz w:val="22"/>
          <w:szCs w:val="22"/>
        </w:rPr>
        <w:t>d</w:t>
      </w:r>
      <w:r>
        <w:rPr>
          <w:color w:val="000000"/>
          <w:sz w:val="22"/>
          <w:szCs w:val="22"/>
        </w:rPr>
        <w:t xml:space="preserve"> the </w:t>
      </w:r>
      <w:r>
        <w:rPr>
          <w:i/>
          <w:color w:val="000000"/>
          <w:sz w:val="22"/>
          <w:szCs w:val="22"/>
        </w:rPr>
        <w:t xml:space="preserve">Modification Decision </w:t>
      </w:r>
      <w:r>
        <w:rPr>
          <w:color w:val="000000"/>
          <w:sz w:val="22"/>
          <w:szCs w:val="22"/>
        </w:rPr>
        <w:t xml:space="preserve">on </w:t>
      </w:r>
      <w:r w:rsidR="00C60B3E">
        <w:rPr>
          <w:color w:val="000000"/>
          <w:sz w:val="22"/>
          <w:szCs w:val="22"/>
        </w:rPr>
        <w:t>both procedural and substantive</w:t>
      </w:r>
      <w:r>
        <w:rPr>
          <w:color w:val="000000"/>
          <w:sz w:val="22"/>
          <w:szCs w:val="22"/>
        </w:rPr>
        <w:t xml:space="preserve"> grounds</w:t>
      </w:r>
      <w:r w:rsidR="00BC60A3">
        <w:rPr>
          <w:color w:val="000000"/>
          <w:sz w:val="22"/>
          <w:szCs w:val="22"/>
        </w:rPr>
        <w:t xml:space="preserve">.  </w:t>
      </w:r>
      <w:r w:rsidR="00910175">
        <w:rPr>
          <w:color w:val="000000"/>
          <w:sz w:val="22"/>
          <w:szCs w:val="22"/>
        </w:rPr>
        <w:t>Among other things</w:t>
      </w:r>
      <w:r w:rsidR="00BC60A3">
        <w:rPr>
          <w:color w:val="000000"/>
          <w:sz w:val="22"/>
          <w:szCs w:val="22"/>
        </w:rPr>
        <w:t xml:space="preserve">, it argued </w:t>
      </w:r>
      <w:r>
        <w:rPr>
          <w:color w:val="000000"/>
          <w:sz w:val="22"/>
          <w:szCs w:val="22"/>
        </w:rPr>
        <w:t xml:space="preserve">that </w:t>
      </w:r>
      <w:r w:rsidR="006406EF">
        <w:rPr>
          <w:color w:val="000000"/>
          <w:sz w:val="22"/>
          <w:szCs w:val="22"/>
        </w:rPr>
        <w:t xml:space="preserve">it </w:t>
      </w:r>
      <w:bookmarkStart w:id="6" w:name="_Hlk79079777"/>
      <w:r w:rsidR="006406EF">
        <w:rPr>
          <w:color w:val="000000"/>
          <w:sz w:val="22"/>
          <w:szCs w:val="22"/>
        </w:rPr>
        <w:t>would have been eligible for an extension of the Construction Permit deadline under the at-th</w:t>
      </w:r>
      <w:r w:rsidR="008D7EAD">
        <w:rPr>
          <w:color w:val="000000"/>
          <w:sz w:val="22"/>
          <w:szCs w:val="22"/>
        </w:rPr>
        <w:t>at</w:t>
      </w:r>
      <w:r w:rsidR="006406EF">
        <w:rPr>
          <w:color w:val="000000"/>
          <w:sz w:val="22"/>
          <w:szCs w:val="22"/>
        </w:rPr>
        <w:t>-time defunct “eligible entity” policy</w:t>
      </w:r>
      <w:bookmarkEnd w:id="6"/>
      <w:r w:rsidR="00CE06ED">
        <w:rPr>
          <w:color w:val="000000"/>
          <w:sz w:val="22"/>
          <w:szCs w:val="22"/>
        </w:rPr>
        <w:t>,</w:t>
      </w:r>
      <w:r>
        <w:rPr>
          <w:rStyle w:val="FootnoteReference"/>
          <w:color w:val="000000"/>
          <w:szCs w:val="22"/>
        </w:rPr>
        <w:footnoteReference w:id="12"/>
      </w:r>
      <w:r w:rsidR="00161B4D">
        <w:rPr>
          <w:color w:val="000000"/>
          <w:sz w:val="22"/>
          <w:szCs w:val="22"/>
        </w:rPr>
        <w:t xml:space="preserve"> which, </w:t>
      </w:r>
      <w:r w:rsidRPr="00B40EB6" w:rsidR="00161B4D">
        <w:rPr>
          <w:i/>
          <w:iCs/>
          <w:color w:val="000000"/>
          <w:sz w:val="22"/>
          <w:szCs w:val="22"/>
        </w:rPr>
        <w:t>inter alia</w:t>
      </w:r>
      <w:r w:rsidR="00161B4D">
        <w:rPr>
          <w:color w:val="000000"/>
          <w:sz w:val="22"/>
          <w:szCs w:val="22"/>
        </w:rPr>
        <w:t>, permits certain entities acquiring a construction permit additional time to construct</w:t>
      </w:r>
      <w:r w:rsidR="00CE06ED">
        <w:rPr>
          <w:color w:val="000000"/>
          <w:sz w:val="22"/>
          <w:szCs w:val="22"/>
        </w:rPr>
        <w:t>,</w:t>
      </w:r>
      <w:r w:rsidR="00161B4D">
        <w:rPr>
          <w:color w:val="000000"/>
          <w:sz w:val="22"/>
          <w:szCs w:val="22"/>
        </w:rPr>
        <w:t xml:space="preserve"> but </w:t>
      </w:r>
      <w:r w:rsidR="00CE06ED">
        <w:rPr>
          <w:color w:val="000000"/>
          <w:sz w:val="22"/>
          <w:szCs w:val="22"/>
        </w:rPr>
        <w:t xml:space="preserve">which </w:t>
      </w:r>
      <w:r w:rsidR="00161B4D">
        <w:rPr>
          <w:color w:val="000000"/>
          <w:sz w:val="22"/>
          <w:szCs w:val="22"/>
        </w:rPr>
        <w:t>had been suspended in July 2011</w:t>
      </w:r>
      <w:r w:rsidR="006406EF">
        <w:rPr>
          <w:color w:val="000000"/>
          <w:sz w:val="22"/>
          <w:szCs w:val="22"/>
        </w:rPr>
        <w:t>.</w:t>
      </w:r>
      <w:r>
        <w:rPr>
          <w:rStyle w:val="FootnoteReference"/>
          <w:color w:val="000000"/>
          <w:sz w:val="22"/>
          <w:szCs w:val="22"/>
        </w:rPr>
        <w:footnoteReference w:id="13"/>
      </w:r>
      <w:r w:rsidR="006406EF">
        <w:rPr>
          <w:color w:val="000000"/>
          <w:sz w:val="22"/>
          <w:szCs w:val="22"/>
        </w:rPr>
        <w:t xml:space="preserve">  </w:t>
      </w:r>
      <w:bookmarkStart w:id="10" w:name="_Hlk79079901"/>
      <w:r w:rsidR="0096020A">
        <w:rPr>
          <w:color w:val="000000"/>
          <w:sz w:val="22"/>
          <w:szCs w:val="22"/>
        </w:rPr>
        <w:t>Urban One therefore requested that the “</w:t>
      </w:r>
      <w:r w:rsidRPr="0096020A" w:rsidR="0096020A">
        <w:rPr>
          <w:rFonts w:eastAsiaTheme="minorHAnsi"/>
          <w:snapToGrid/>
          <w:sz w:val="22"/>
          <w:szCs w:val="22"/>
        </w:rPr>
        <w:t xml:space="preserve">Commission act quickly to reestablish its </w:t>
      </w:r>
      <w:r w:rsidR="0096020A">
        <w:rPr>
          <w:rFonts w:eastAsiaTheme="minorHAnsi"/>
          <w:snapToGrid/>
          <w:sz w:val="22"/>
          <w:szCs w:val="22"/>
        </w:rPr>
        <w:t>‘</w:t>
      </w:r>
      <w:r w:rsidRPr="0096020A" w:rsidR="0096020A">
        <w:rPr>
          <w:rFonts w:eastAsiaTheme="minorHAnsi"/>
          <w:snapToGrid/>
          <w:sz w:val="22"/>
          <w:szCs w:val="22"/>
        </w:rPr>
        <w:t>eligible entity</w:t>
      </w:r>
      <w:r w:rsidR="0096020A">
        <w:rPr>
          <w:rFonts w:eastAsiaTheme="minorHAnsi"/>
          <w:snapToGrid/>
          <w:sz w:val="22"/>
          <w:szCs w:val="22"/>
        </w:rPr>
        <w:t>’</w:t>
      </w:r>
      <w:r w:rsidRPr="0096020A" w:rsidR="0096020A">
        <w:rPr>
          <w:rFonts w:eastAsiaTheme="minorHAnsi"/>
          <w:snapToGrid/>
          <w:sz w:val="22"/>
          <w:szCs w:val="22"/>
        </w:rPr>
        <w:t xml:space="preserve"> policy by revising that policy</w:t>
      </w:r>
      <w:r w:rsidR="0096020A">
        <w:rPr>
          <w:rFonts w:eastAsiaTheme="minorHAnsi"/>
          <w:snapToGrid/>
          <w:sz w:val="22"/>
          <w:szCs w:val="22"/>
        </w:rPr>
        <w:t>”</w:t>
      </w:r>
      <w:r w:rsidRPr="0096020A" w:rsidR="0096020A">
        <w:rPr>
          <w:rFonts w:eastAsiaTheme="minorHAnsi"/>
          <w:snapToGrid/>
          <w:sz w:val="22"/>
          <w:szCs w:val="22"/>
        </w:rPr>
        <w:t xml:space="preserve"> t</w:t>
      </w:r>
      <w:bookmarkEnd w:id="10"/>
      <w:r w:rsidRPr="0096020A" w:rsidR="0096020A">
        <w:rPr>
          <w:rFonts w:eastAsiaTheme="minorHAnsi"/>
          <w:snapToGrid/>
          <w:sz w:val="22"/>
          <w:szCs w:val="22"/>
        </w:rPr>
        <w:t xml:space="preserve">o </w:t>
      </w:r>
      <w:r w:rsidRPr="00243161" w:rsidR="00E33323">
        <w:rPr>
          <w:rFonts w:eastAsiaTheme="minorHAnsi"/>
          <w:snapToGrid/>
          <w:sz w:val="22"/>
          <w:szCs w:val="22"/>
        </w:rPr>
        <w:t>state that the unbuilt construction permit assigned to an</w:t>
      </w:r>
      <w:r w:rsidRPr="00243161" w:rsidR="0096020A">
        <w:rPr>
          <w:rFonts w:eastAsiaTheme="minorHAnsi"/>
          <w:snapToGrid/>
          <w:sz w:val="22"/>
          <w:szCs w:val="22"/>
        </w:rPr>
        <w:t xml:space="preserve"> eligible entity (such as Urban One), upon Commission approval of the assignment or transfer, </w:t>
      </w:r>
      <w:r w:rsidRPr="00243161" w:rsidR="00E33323">
        <w:rPr>
          <w:rFonts w:eastAsiaTheme="minorHAnsi"/>
          <w:snapToGrid/>
          <w:sz w:val="22"/>
          <w:szCs w:val="22"/>
        </w:rPr>
        <w:t>“shall be restored with the full 36 months a</w:t>
      </w:r>
      <w:r w:rsidRPr="00E33323" w:rsidR="00E33323">
        <w:rPr>
          <w:rFonts w:eastAsiaTheme="minorHAnsi"/>
          <w:snapToGrid/>
          <w:sz w:val="22"/>
          <w:szCs w:val="22"/>
        </w:rPr>
        <w:t xml:space="preserve">llowed by the Commission for constructing a full power commercial or full power noncommercial radio station as provided under the Commissions current applicable </w:t>
      </w:r>
      <w:r w:rsidRPr="008F566B" w:rsidR="00E33323">
        <w:rPr>
          <w:rFonts w:eastAsiaTheme="minorHAnsi"/>
          <w:snapToGrid/>
          <w:sz w:val="22"/>
          <w:szCs w:val="22"/>
        </w:rPr>
        <w:t>construction period rules</w:t>
      </w:r>
      <w:r w:rsidRPr="008F566B" w:rsidR="0096020A">
        <w:rPr>
          <w:rFonts w:eastAsiaTheme="minorHAnsi"/>
          <w:snapToGrid/>
          <w:sz w:val="22"/>
          <w:szCs w:val="22"/>
        </w:rPr>
        <w:t>.</w:t>
      </w:r>
      <w:r w:rsidRPr="008F566B" w:rsidR="00E33323">
        <w:rPr>
          <w:rFonts w:eastAsiaTheme="minorHAnsi"/>
          <w:snapToGrid/>
          <w:sz w:val="22"/>
          <w:szCs w:val="22"/>
        </w:rPr>
        <w:t>”</w:t>
      </w:r>
      <w:r>
        <w:rPr>
          <w:rStyle w:val="FootnoteReference"/>
          <w:rFonts w:ascii="Times New Roman" w:hAnsi="Times New Roman" w:eastAsiaTheme="minorHAnsi"/>
          <w:snapToGrid/>
          <w:sz w:val="22"/>
          <w:szCs w:val="22"/>
        </w:rPr>
        <w:footnoteReference w:id="14"/>
      </w:r>
      <w:r w:rsidRPr="008F566B">
        <w:rPr>
          <w:color w:val="000000"/>
          <w:sz w:val="22"/>
          <w:szCs w:val="22"/>
        </w:rPr>
        <w:t xml:space="preserve">  </w:t>
      </w:r>
      <w:bookmarkStart w:id="11" w:name="_Hlk79089961"/>
      <w:r w:rsidRPr="008F566B" w:rsidR="00BC60A3">
        <w:rPr>
          <w:color w:val="000000"/>
          <w:sz w:val="22"/>
          <w:szCs w:val="22"/>
        </w:rPr>
        <w:t xml:space="preserve">The Bureau denied </w:t>
      </w:r>
      <w:r w:rsidRPr="008F566B" w:rsidR="00D56F1B">
        <w:rPr>
          <w:color w:val="000000"/>
          <w:sz w:val="22"/>
          <w:szCs w:val="22"/>
        </w:rPr>
        <w:t>both of Urban One’s petitions by letter order dated March 3, 2015.</w:t>
      </w:r>
      <w:r>
        <w:rPr>
          <w:rStyle w:val="FootnoteReference"/>
          <w:rFonts w:ascii="Times New Roman" w:hAnsi="Times New Roman"/>
          <w:color w:val="000000"/>
          <w:sz w:val="22"/>
          <w:szCs w:val="22"/>
        </w:rPr>
        <w:footnoteReference w:id="15"/>
      </w:r>
      <w:r w:rsidRPr="008F566B" w:rsidR="00D56F1B">
        <w:rPr>
          <w:color w:val="000000"/>
          <w:sz w:val="22"/>
          <w:szCs w:val="22"/>
        </w:rPr>
        <w:t xml:space="preserve">  </w:t>
      </w:r>
      <w:bookmarkEnd w:id="11"/>
      <w:r w:rsidRPr="008F566B" w:rsidR="007D28FB">
        <w:rPr>
          <w:color w:val="000000"/>
          <w:sz w:val="22"/>
          <w:szCs w:val="22"/>
        </w:rPr>
        <w:t xml:space="preserve">In the </w:t>
      </w:r>
      <w:r w:rsidRPr="008F566B" w:rsidR="000621EC">
        <w:rPr>
          <w:i/>
          <w:iCs/>
          <w:color w:val="000000"/>
          <w:sz w:val="22"/>
          <w:szCs w:val="22"/>
        </w:rPr>
        <w:t>R</w:t>
      </w:r>
      <w:r w:rsidRPr="008F566B" w:rsidR="007D28FB">
        <w:rPr>
          <w:i/>
          <w:iCs/>
          <w:color w:val="000000"/>
          <w:sz w:val="22"/>
          <w:szCs w:val="22"/>
        </w:rPr>
        <w:t>econsideration Decision</w:t>
      </w:r>
      <w:r w:rsidRPr="008F566B" w:rsidR="007D28FB">
        <w:rPr>
          <w:color w:val="000000"/>
          <w:sz w:val="22"/>
          <w:szCs w:val="22"/>
        </w:rPr>
        <w:t xml:space="preserve">, the Bureau also upheld </w:t>
      </w:r>
      <w:r w:rsidRPr="008F566B" w:rsidR="003631B8">
        <w:rPr>
          <w:color w:val="000000"/>
          <w:sz w:val="22"/>
          <w:szCs w:val="22"/>
        </w:rPr>
        <w:t>the staff’s determination</w:t>
      </w:r>
      <w:r w:rsidRPr="008F566B" w:rsidR="007D28FB">
        <w:rPr>
          <w:color w:val="000000"/>
          <w:sz w:val="22"/>
          <w:szCs w:val="22"/>
        </w:rPr>
        <w:t xml:space="preserve"> “</w:t>
      </w:r>
      <w:r w:rsidRPr="008F566B" w:rsidR="007D28FB">
        <w:rPr>
          <w:rFonts w:eastAsiaTheme="minorHAnsi"/>
          <w:snapToGrid/>
          <w:color w:val="010101"/>
          <w:sz w:val="22"/>
          <w:szCs w:val="22"/>
        </w:rPr>
        <w:t xml:space="preserve">that the Construction </w:t>
      </w:r>
      <w:bookmarkStart w:id="12" w:name="_Hlk79090017"/>
      <w:r w:rsidRPr="008F566B" w:rsidR="007D28FB">
        <w:rPr>
          <w:rFonts w:eastAsiaTheme="minorHAnsi"/>
          <w:snapToGrid/>
          <w:color w:val="010101"/>
          <w:sz w:val="22"/>
          <w:szCs w:val="22"/>
        </w:rPr>
        <w:t>Permit</w:t>
      </w:r>
      <w:r w:rsidRPr="008F566B" w:rsidR="000621EC">
        <w:rPr>
          <w:rFonts w:eastAsiaTheme="minorHAnsi"/>
          <w:snapToGrid/>
          <w:color w:val="010101"/>
          <w:sz w:val="22"/>
          <w:szCs w:val="22"/>
        </w:rPr>
        <w:t xml:space="preserve"> </w:t>
      </w:r>
      <w:r w:rsidRPr="008F566B" w:rsidR="007D28FB">
        <w:rPr>
          <w:rFonts w:eastAsiaTheme="minorHAnsi"/>
          <w:snapToGrid/>
          <w:color w:val="010101"/>
          <w:sz w:val="22"/>
          <w:szCs w:val="22"/>
        </w:rPr>
        <w:t>automatically expired and was forfeit by its own terms and Section 73.3598(e) of the Rules on July 21, 2014</w:t>
      </w:r>
      <w:bookmarkEnd w:id="12"/>
      <w:r w:rsidRPr="008F566B" w:rsidR="007D28FB">
        <w:rPr>
          <w:rFonts w:eastAsiaTheme="minorHAnsi"/>
          <w:snapToGrid/>
          <w:color w:val="010101"/>
          <w:sz w:val="22"/>
          <w:szCs w:val="22"/>
        </w:rPr>
        <w:t>.”</w:t>
      </w:r>
      <w:r>
        <w:rPr>
          <w:rStyle w:val="FootnoteReference"/>
          <w:rFonts w:eastAsiaTheme="minorHAnsi" w:cs="TimesNewRoman"/>
          <w:snapToGrid/>
          <w:color w:val="010101"/>
          <w:szCs w:val="22"/>
        </w:rPr>
        <w:footnoteReference w:id="16"/>
      </w:r>
    </w:p>
    <w:p w:rsidR="000621EC" w:rsidRPr="007D28FB" w:rsidP="000621EC" w14:paraId="72136153" w14:textId="77777777">
      <w:pPr>
        <w:ind w:firstLine="720"/>
        <w:rPr>
          <w:rFonts w:ascii="TimesNewRoman" w:hAnsi="TimesNewRoman" w:eastAsiaTheme="minorHAnsi" w:cs="TimesNewRoman"/>
          <w:snapToGrid/>
          <w:color w:val="010101"/>
          <w:sz w:val="22"/>
          <w:szCs w:val="22"/>
        </w:rPr>
      </w:pPr>
    </w:p>
    <w:p w:rsidR="00221D7C" w:rsidP="00715E12" w14:paraId="440AD42F" w14:textId="1B96C3FA">
      <w:pPr>
        <w:spacing w:after="240"/>
        <w:ind w:firstLine="720"/>
        <w:rPr>
          <w:color w:val="000000"/>
          <w:sz w:val="22"/>
          <w:szCs w:val="22"/>
        </w:rPr>
      </w:pPr>
      <w:bookmarkStart w:id="13" w:name="_Hlk79090108"/>
      <w:r>
        <w:rPr>
          <w:color w:val="000000"/>
          <w:sz w:val="22"/>
          <w:szCs w:val="22"/>
        </w:rPr>
        <w:t xml:space="preserve">Urban </w:t>
      </w:r>
      <w:r w:rsidR="0018275A">
        <w:rPr>
          <w:color w:val="000000"/>
          <w:sz w:val="22"/>
          <w:szCs w:val="22"/>
        </w:rPr>
        <w:t xml:space="preserve">One timely </w:t>
      </w:r>
      <w:r w:rsidR="00E4368E">
        <w:rPr>
          <w:color w:val="000000"/>
          <w:sz w:val="22"/>
          <w:szCs w:val="22"/>
        </w:rPr>
        <w:t>filed an application for</w:t>
      </w:r>
      <w:r w:rsidR="0018275A">
        <w:rPr>
          <w:color w:val="000000"/>
          <w:sz w:val="22"/>
          <w:szCs w:val="22"/>
        </w:rPr>
        <w:t xml:space="preserve"> review of the Bureau’s denial of its petitions for reconsideration; </w:t>
      </w:r>
      <w:r w:rsidR="00440CB9">
        <w:rPr>
          <w:color w:val="000000"/>
          <w:sz w:val="22"/>
          <w:szCs w:val="22"/>
        </w:rPr>
        <w:t xml:space="preserve">the Commission denied the </w:t>
      </w:r>
      <w:r w:rsidR="0018275A">
        <w:rPr>
          <w:color w:val="000000"/>
          <w:sz w:val="22"/>
          <w:szCs w:val="22"/>
        </w:rPr>
        <w:t xml:space="preserve">application for review by Memorandum Opinion and Order released </w:t>
      </w:r>
      <w:r w:rsidR="00E96BCF">
        <w:rPr>
          <w:color w:val="000000"/>
          <w:sz w:val="22"/>
          <w:szCs w:val="22"/>
        </w:rPr>
        <w:t>April 5, 2016.</w:t>
      </w:r>
      <w:r>
        <w:rPr>
          <w:rStyle w:val="FootnoteReference"/>
          <w:color w:val="000000"/>
          <w:szCs w:val="22"/>
        </w:rPr>
        <w:footnoteReference w:id="17"/>
      </w:r>
      <w:r w:rsidR="00C17C2B">
        <w:rPr>
          <w:color w:val="000000"/>
          <w:sz w:val="22"/>
          <w:szCs w:val="22"/>
        </w:rPr>
        <w:t xml:space="preserve">  Urban One subsequently filed an April 29, 2016, petition for reconsideration of </w:t>
      </w:r>
      <w:r w:rsidR="00C17C2B">
        <w:rPr>
          <w:color w:val="000000"/>
          <w:sz w:val="22"/>
          <w:szCs w:val="22"/>
        </w:rPr>
        <w:t xml:space="preserve">the </w:t>
      </w:r>
      <w:r w:rsidRPr="004D3C0E" w:rsidR="00C17C2B">
        <w:rPr>
          <w:i/>
          <w:iCs/>
          <w:color w:val="000000"/>
          <w:sz w:val="22"/>
          <w:szCs w:val="22"/>
        </w:rPr>
        <w:t>Urban One MO&amp;O</w:t>
      </w:r>
      <w:r w:rsidR="00C17C2B">
        <w:rPr>
          <w:color w:val="000000"/>
          <w:sz w:val="22"/>
          <w:szCs w:val="22"/>
        </w:rPr>
        <w:t xml:space="preserve">, which was dismissed </w:t>
      </w:r>
      <w:r w:rsidR="000621EC">
        <w:rPr>
          <w:color w:val="000000"/>
          <w:sz w:val="22"/>
          <w:szCs w:val="22"/>
        </w:rPr>
        <w:t xml:space="preserve">by the Media Bureau </w:t>
      </w:r>
      <w:r w:rsidR="00C17C2B">
        <w:rPr>
          <w:color w:val="000000"/>
          <w:sz w:val="22"/>
          <w:szCs w:val="22"/>
        </w:rPr>
        <w:t>on July 18, 2016.</w:t>
      </w:r>
      <w:r>
        <w:rPr>
          <w:rStyle w:val="FootnoteReference"/>
          <w:color w:val="000000"/>
          <w:szCs w:val="22"/>
        </w:rPr>
        <w:footnoteReference w:id="18"/>
      </w:r>
      <w:r w:rsidR="00C17C2B">
        <w:rPr>
          <w:color w:val="000000"/>
          <w:sz w:val="22"/>
          <w:szCs w:val="22"/>
        </w:rPr>
        <w:t xml:space="preserve">  Urban One </w:t>
      </w:r>
      <w:r w:rsidR="00633074">
        <w:rPr>
          <w:color w:val="000000"/>
          <w:sz w:val="22"/>
          <w:szCs w:val="22"/>
        </w:rPr>
        <w:t xml:space="preserve">then </w:t>
      </w:r>
      <w:r w:rsidR="001A7965">
        <w:rPr>
          <w:color w:val="000000"/>
          <w:sz w:val="22"/>
          <w:szCs w:val="22"/>
        </w:rPr>
        <w:t>filed a Petition for Review</w:t>
      </w:r>
      <w:r w:rsidR="00C17C2B">
        <w:rPr>
          <w:color w:val="000000"/>
          <w:sz w:val="22"/>
          <w:szCs w:val="22"/>
        </w:rPr>
        <w:t xml:space="preserve"> with the United States Court of Appeals for the District of Columbia Circuit</w:t>
      </w:r>
      <w:r w:rsidR="00F63EB8">
        <w:rPr>
          <w:color w:val="000000"/>
          <w:sz w:val="22"/>
          <w:szCs w:val="22"/>
        </w:rPr>
        <w:t xml:space="preserve"> </w:t>
      </w:r>
      <w:r w:rsidR="001A7965">
        <w:rPr>
          <w:color w:val="000000"/>
          <w:sz w:val="22"/>
          <w:szCs w:val="22"/>
        </w:rPr>
        <w:t xml:space="preserve">on </w:t>
      </w:r>
      <w:r w:rsidR="009A7E71">
        <w:rPr>
          <w:color w:val="000000"/>
          <w:sz w:val="22"/>
          <w:szCs w:val="22"/>
        </w:rPr>
        <w:t>August 15, 2016</w:t>
      </w:r>
      <w:r w:rsidR="00F63EB8">
        <w:rPr>
          <w:color w:val="000000"/>
          <w:sz w:val="22"/>
          <w:szCs w:val="22"/>
        </w:rPr>
        <w:t>.</w:t>
      </w:r>
      <w:r>
        <w:rPr>
          <w:rStyle w:val="FootnoteReference"/>
          <w:color w:val="000000"/>
          <w:szCs w:val="22"/>
        </w:rPr>
        <w:footnoteReference w:id="19"/>
      </w:r>
      <w:r w:rsidR="009A7E71">
        <w:rPr>
          <w:color w:val="000000"/>
          <w:sz w:val="22"/>
          <w:szCs w:val="22"/>
        </w:rPr>
        <w:t xml:space="preserve"> </w:t>
      </w:r>
      <w:bookmarkEnd w:id="13"/>
    </w:p>
    <w:p w:rsidR="001A1A78" w:rsidP="00E37328" w14:paraId="0816BEE5" w14:textId="5D97532C">
      <w:pPr>
        <w:spacing w:after="240"/>
        <w:ind w:firstLine="720"/>
        <w:rPr>
          <w:color w:val="000000"/>
          <w:sz w:val="22"/>
          <w:szCs w:val="22"/>
        </w:rPr>
      </w:pPr>
      <w:r>
        <w:rPr>
          <w:color w:val="000000"/>
          <w:sz w:val="22"/>
          <w:szCs w:val="22"/>
        </w:rPr>
        <w:t xml:space="preserve">On </w:t>
      </w:r>
      <w:r w:rsidR="00A870D5">
        <w:rPr>
          <w:color w:val="000000"/>
          <w:sz w:val="22"/>
          <w:szCs w:val="22"/>
        </w:rPr>
        <w:t xml:space="preserve">August 25, 2016, the Commission released the </w:t>
      </w:r>
      <w:r w:rsidRPr="00B8506C" w:rsidR="00A870D5">
        <w:rPr>
          <w:i/>
          <w:iCs/>
          <w:color w:val="000000"/>
          <w:sz w:val="22"/>
          <w:szCs w:val="22"/>
        </w:rPr>
        <w:t xml:space="preserve">2014/2010 </w:t>
      </w:r>
      <w:r w:rsidRPr="00C9556B" w:rsidR="00A870D5">
        <w:rPr>
          <w:i/>
          <w:iCs/>
          <w:color w:val="000000"/>
          <w:sz w:val="22"/>
          <w:szCs w:val="22"/>
        </w:rPr>
        <w:t>Quadrennial Second R&amp;O</w:t>
      </w:r>
      <w:r w:rsidR="00A870D5">
        <w:rPr>
          <w:color w:val="000000"/>
          <w:sz w:val="22"/>
          <w:szCs w:val="22"/>
        </w:rPr>
        <w:t>,</w:t>
      </w:r>
      <w:r>
        <w:rPr>
          <w:rStyle w:val="FootnoteReference"/>
          <w:color w:val="000000"/>
          <w:szCs w:val="22"/>
        </w:rPr>
        <w:footnoteReference w:id="20"/>
      </w:r>
      <w:r w:rsidR="00A870D5">
        <w:rPr>
          <w:color w:val="000000"/>
          <w:sz w:val="22"/>
          <w:szCs w:val="22"/>
        </w:rPr>
        <w:t xml:space="preserve"> which reinstated the eligible entity definition and the regulatory measures to which it applied,</w:t>
      </w:r>
      <w:r>
        <w:rPr>
          <w:rStyle w:val="FootnoteReference"/>
          <w:color w:val="000000"/>
          <w:szCs w:val="22"/>
        </w:rPr>
        <w:footnoteReference w:id="21"/>
      </w:r>
      <w:r w:rsidR="00A870D5">
        <w:rPr>
          <w:color w:val="000000"/>
          <w:sz w:val="22"/>
          <w:szCs w:val="22"/>
        </w:rPr>
        <w:t xml:space="preserve"> including the policy allowing </w:t>
      </w:r>
      <w:r w:rsidRPr="007D41DD" w:rsidR="00A870D5">
        <w:rPr>
          <w:sz w:val="22"/>
          <w:szCs w:val="22"/>
        </w:rPr>
        <w:t>an eligible entity that acquire</w:t>
      </w:r>
      <w:r w:rsidR="00A870D5">
        <w:rPr>
          <w:sz w:val="22"/>
          <w:szCs w:val="22"/>
        </w:rPr>
        <w:t>s</w:t>
      </w:r>
      <w:r w:rsidRPr="007D41DD" w:rsidR="00A870D5">
        <w:rPr>
          <w:sz w:val="22"/>
          <w:szCs w:val="22"/>
        </w:rPr>
        <w:t xml:space="preserve"> an expiring broadcast construction permit to obtain additional time to build out its facilities in certain circumstances</w:t>
      </w:r>
      <w:r w:rsidR="00A870D5">
        <w:rPr>
          <w:sz w:val="22"/>
          <w:szCs w:val="22"/>
        </w:rPr>
        <w:t>.</w:t>
      </w:r>
      <w:r>
        <w:rPr>
          <w:rStyle w:val="FootnoteReference"/>
          <w:szCs w:val="22"/>
        </w:rPr>
        <w:footnoteReference w:id="22"/>
      </w:r>
      <w:r w:rsidR="00A870D5">
        <w:rPr>
          <w:color w:val="000000"/>
          <w:sz w:val="22"/>
          <w:szCs w:val="22"/>
        </w:rPr>
        <w:t xml:space="preserve">  On </w:t>
      </w:r>
      <w:r>
        <w:rPr>
          <w:color w:val="000000"/>
          <w:sz w:val="22"/>
          <w:szCs w:val="22"/>
        </w:rPr>
        <w:t xml:space="preserve">December 1, 2016, three and a half months after Urban One removed the matter </w:t>
      </w:r>
      <w:r w:rsidR="00965FE4">
        <w:rPr>
          <w:color w:val="000000"/>
          <w:sz w:val="22"/>
          <w:szCs w:val="22"/>
        </w:rPr>
        <w:t xml:space="preserve">from the Commission to the </w:t>
      </w:r>
      <w:r w:rsidR="000B5DDE">
        <w:rPr>
          <w:color w:val="000000"/>
          <w:sz w:val="22"/>
          <w:szCs w:val="22"/>
        </w:rPr>
        <w:t>D.C. Circuit</w:t>
      </w:r>
      <w:r w:rsidR="00965FE4">
        <w:rPr>
          <w:color w:val="000000"/>
          <w:sz w:val="22"/>
          <w:szCs w:val="22"/>
        </w:rPr>
        <w:t xml:space="preserve"> </w:t>
      </w:r>
      <w:r>
        <w:rPr>
          <w:color w:val="000000"/>
          <w:sz w:val="22"/>
          <w:szCs w:val="22"/>
        </w:rPr>
        <w:t>by its appeal, the reinstated eligible entity policy became effective.</w:t>
      </w:r>
      <w:r>
        <w:rPr>
          <w:rStyle w:val="FootnoteReference"/>
          <w:color w:val="000000"/>
          <w:szCs w:val="22"/>
        </w:rPr>
        <w:footnoteReference w:id="23"/>
      </w:r>
      <w:r>
        <w:rPr>
          <w:color w:val="000000"/>
          <w:sz w:val="22"/>
          <w:szCs w:val="22"/>
        </w:rPr>
        <w:t xml:space="preserve"> </w:t>
      </w:r>
      <w:r w:rsidR="00221D7C">
        <w:rPr>
          <w:color w:val="000000"/>
          <w:sz w:val="22"/>
          <w:szCs w:val="22"/>
        </w:rPr>
        <w:t xml:space="preserve"> </w:t>
      </w:r>
      <w:r>
        <w:rPr>
          <w:color w:val="000000"/>
          <w:sz w:val="22"/>
          <w:szCs w:val="22"/>
        </w:rPr>
        <w:t xml:space="preserve">Subsequently, </w:t>
      </w:r>
      <w:bookmarkStart w:id="14" w:name="_Hlk79092776"/>
      <w:r>
        <w:rPr>
          <w:color w:val="000000"/>
          <w:sz w:val="22"/>
          <w:szCs w:val="22"/>
        </w:rPr>
        <w:t xml:space="preserve">on </w:t>
      </w:r>
      <w:r w:rsidR="00221D7C">
        <w:rPr>
          <w:color w:val="000000"/>
          <w:sz w:val="22"/>
          <w:szCs w:val="22"/>
        </w:rPr>
        <w:t>December 1</w:t>
      </w:r>
      <w:r w:rsidR="006C543F">
        <w:rPr>
          <w:color w:val="000000"/>
          <w:sz w:val="22"/>
          <w:szCs w:val="22"/>
        </w:rPr>
        <w:t>9</w:t>
      </w:r>
      <w:r w:rsidR="00221D7C">
        <w:rPr>
          <w:color w:val="000000"/>
          <w:sz w:val="22"/>
          <w:szCs w:val="22"/>
        </w:rPr>
        <w:t>, 2016, Urban One filed with the Commission a pleading styled “Petition for Reinstatement of Permittee’s Construction Permit Based on the Reinstatement of the FCC’s Eligible Entity Policy”</w:t>
      </w:r>
      <w:bookmarkEnd w:id="14"/>
      <w:r w:rsidR="00221D7C">
        <w:rPr>
          <w:color w:val="000000"/>
          <w:sz w:val="22"/>
          <w:szCs w:val="22"/>
        </w:rPr>
        <w:t xml:space="preserve"> (2016 Reinstatement Petition).  </w:t>
      </w:r>
      <w:r w:rsidR="00715E12">
        <w:rPr>
          <w:color w:val="000000"/>
          <w:sz w:val="22"/>
          <w:szCs w:val="22"/>
        </w:rPr>
        <w:t xml:space="preserve"> </w:t>
      </w:r>
      <w:r w:rsidR="005402C3">
        <w:rPr>
          <w:color w:val="000000"/>
          <w:sz w:val="22"/>
          <w:szCs w:val="22"/>
        </w:rPr>
        <w:t xml:space="preserve">  </w:t>
      </w:r>
    </w:p>
    <w:p w:rsidR="00715E12" w:rsidP="00715E12" w14:paraId="1DAFD225" w14:textId="454AF489">
      <w:pPr>
        <w:spacing w:after="240"/>
        <w:ind w:firstLine="720"/>
        <w:rPr>
          <w:color w:val="000000"/>
          <w:sz w:val="22"/>
          <w:szCs w:val="22"/>
        </w:rPr>
      </w:pPr>
      <w:r>
        <w:rPr>
          <w:color w:val="000000"/>
          <w:sz w:val="22"/>
          <w:szCs w:val="22"/>
        </w:rPr>
        <w:t>The court of appeals dismissed Urban One’s Petition for Review for lack of prosecution on August 11, 2017.</w:t>
      </w:r>
      <w:r>
        <w:rPr>
          <w:rStyle w:val="FootnoteReference"/>
          <w:color w:val="000000"/>
          <w:szCs w:val="22"/>
        </w:rPr>
        <w:footnoteReference w:id="24"/>
      </w:r>
      <w:r>
        <w:rPr>
          <w:color w:val="000000"/>
          <w:sz w:val="22"/>
          <w:szCs w:val="22"/>
        </w:rPr>
        <w:t xml:space="preserve">  With Urban One’s appeals exhausted and the matter thus final, the Bureau </w:t>
      </w:r>
      <w:r w:rsidRPr="00386236" w:rsidR="00386236">
        <w:rPr>
          <w:sz w:val="22"/>
          <w:szCs w:val="22"/>
        </w:rPr>
        <w:t>as an administrative action in its Consolidated Data Base System (CDBS), deleted the call sign</w:t>
      </w:r>
      <w:r w:rsidRPr="00386236">
        <w:rPr>
          <w:color w:val="000000"/>
          <w:sz w:val="22"/>
          <w:szCs w:val="22"/>
        </w:rPr>
        <w:t>.</w:t>
      </w:r>
      <w:r>
        <w:rPr>
          <w:rStyle w:val="FootnoteReference"/>
          <w:rFonts w:ascii="Times New Roman" w:hAnsi="Times New Roman"/>
          <w:color w:val="000000"/>
          <w:sz w:val="22"/>
          <w:szCs w:val="22"/>
        </w:rPr>
        <w:footnoteReference w:id="25"/>
      </w:r>
    </w:p>
    <w:p w:rsidR="00386236" w:rsidRPr="00386236" w:rsidP="00715E12" w14:paraId="1360BAFB" w14:textId="1D1F6D66">
      <w:pPr>
        <w:spacing w:after="240"/>
        <w:ind w:firstLine="720"/>
        <w:rPr>
          <w:color w:val="000000"/>
          <w:sz w:val="22"/>
          <w:szCs w:val="22"/>
        </w:rPr>
      </w:pPr>
      <w:r>
        <w:rPr>
          <w:color w:val="000000"/>
          <w:sz w:val="22"/>
          <w:szCs w:val="22"/>
        </w:rPr>
        <w:t>O</w:t>
      </w:r>
      <w:r w:rsidRPr="00B54118">
        <w:rPr>
          <w:color w:val="000000"/>
          <w:sz w:val="22"/>
          <w:szCs w:val="22"/>
        </w:rPr>
        <w:t>n October 10, 2019, the Office of Economics and Analytics</w:t>
      </w:r>
      <w:r>
        <w:rPr>
          <w:color w:val="000000"/>
          <w:sz w:val="22"/>
          <w:szCs w:val="22"/>
        </w:rPr>
        <w:t xml:space="preserve"> (OEA)</w:t>
      </w:r>
      <w:r w:rsidRPr="00B54118">
        <w:rPr>
          <w:color w:val="000000"/>
          <w:sz w:val="22"/>
          <w:szCs w:val="22"/>
        </w:rPr>
        <w:t xml:space="preserve">, in conjunction with the Bureau, </w:t>
      </w:r>
      <w:r>
        <w:rPr>
          <w:color w:val="000000"/>
          <w:sz w:val="22"/>
          <w:szCs w:val="22"/>
        </w:rPr>
        <w:t xml:space="preserve">announced that they would conduct Auction 106, which would offer FM construction permits at various locations, including one at Cross City, and sought </w:t>
      </w:r>
      <w:r w:rsidRPr="00B54118">
        <w:rPr>
          <w:color w:val="000000"/>
          <w:sz w:val="22"/>
          <w:szCs w:val="22"/>
        </w:rPr>
        <w:t xml:space="preserve">comment </w:t>
      </w:r>
      <w:r>
        <w:rPr>
          <w:color w:val="000000"/>
          <w:sz w:val="22"/>
          <w:szCs w:val="22"/>
        </w:rPr>
        <w:t>on, among other things,</w:t>
      </w:r>
      <w:r w:rsidRPr="00B54118">
        <w:rPr>
          <w:color w:val="000000"/>
          <w:sz w:val="22"/>
          <w:szCs w:val="22"/>
        </w:rPr>
        <w:t xml:space="preserve"> the </w:t>
      </w:r>
      <w:r>
        <w:rPr>
          <w:color w:val="000000"/>
          <w:sz w:val="22"/>
          <w:szCs w:val="22"/>
        </w:rPr>
        <w:t>procedures for conducting an auction of those permits.</w:t>
      </w:r>
      <w:r>
        <w:rPr>
          <w:rStyle w:val="FootnoteReference"/>
          <w:color w:val="000000"/>
          <w:szCs w:val="22"/>
        </w:rPr>
        <w:footnoteReference w:id="26"/>
      </w:r>
      <w:r>
        <w:rPr>
          <w:color w:val="000000"/>
          <w:sz w:val="22"/>
          <w:szCs w:val="22"/>
        </w:rPr>
        <w:t xml:space="preserve">  Three separate parties submitted comments </w:t>
      </w:r>
      <w:r>
        <w:rPr>
          <w:color w:val="000000"/>
          <w:sz w:val="22"/>
          <w:szCs w:val="22"/>
        </w:rPr>
        <w:t>advocating for the inclusion or exclusion of certain permits for Auction 106, but Urban One did not file any comments or object to the inclusion of the Cross City permit at that time.</w:t>
      </w:r>
      <w:r>
        <w:rPr>
          <w:rStyle w:val="FootnoteReference"/>
          <w:color w:val="000000"/>
          <w:szCs w:val="22"/>
        </w:rPr>
        <w:footnoteReference w:id="27"/>
      </w:r>
      <w:r w:rsidRPr="00B54118">
        <w:rPr>
          <w:color w:val="000000"/>
          <w:sz w:val="22"/>
          <w:szCs w:val="22"/>
        </w:rPr>
        <w:t xml:space="preserve"> </w:t>
      </w:r>
      <w:r>
        <w:rPr>
          <w:color w:val="000000"/>
          <w:sz w:val="22"/>
          <w:szCs w:val="22"/>
        </w:rPr>
        <w:t xml:space="preserve"> Auction 106 was postponed in early 2020 due to the COVID-19 pandemic, and in 2021 OEA and the Bureau cancelled Auction 106 and proposed to include all of those FM permits </w:t>
      </w:r>
      <w:r w:rsidRPr="00B54118">
        <w:rPr>
          <w:color w:val="000000"/>
          <w:sz w:val="22"/>
          <w:szCs w:val="22"/>
        </w:rPr>
        <w:t xml:space="preserve">in </w:t>
      </w:r>
      <w:r>
        <w:rPr>
          <w:color w:val="000000"/>
          <w:sz w:val="22"/>
          <w:szCs w:val="22"/>
        </w:rPr>
        <w:t xml:space="preserve">a subsequent auction, </w:t>
      </w:r>
      <w:r w:rsidRPr="00B54118">
        <w:rPr>
          <w:color w:val="000000"/>
          <w:sz w:val="22"/>
          <w:szCs w:val="22"/>
        </w:rPr>
        <w:t>Auction 109.</w:t>
      </w:r>
      <w:r>
        <w:rPr>
          <w:rStyle w:val="FootnoteReference"/>
          <w:color w:val="000000"/>
          <w:szCs w:val="22"/>
        </w:rPr>
        <w:footnoteReference w:id="28"/>
      </w:r>
      <w:r w:rsidRPr="00B54118">
        <w:rPr>
          <w:color w:val="000000"/>
          <w:sz w:val="22"/>
          <w:szCs w:val="22"/>
        </w:rPr>
        <w:t xml:space="preserve">  </w:t>
      </w:r>
      <w:r>
        <w:rPr>
          <w:color w:val="000000"/>
          <w:sz w:val="22"/>
          <w:szCs w:val="22"/>
        </w:rPr>
        <w:t>Again, while other parties filed comments seeking changes to the set of permits to be offered in Auction 109, Urban One did not comment on the inclusion of a construction permit for the allotment at Channel 249C3 at Cross City, Florida,</w:t>
      </w:r>
      <w:r w:rsidRPr="00B54118">
        <w:rPr>
          <w:color w:val="000000"/>
          <w:sz w:val="22"/>
          <w:szCs w:val="22"/>
        </w:rPr>
        <w:t xml:space="preserve"> </w:t>
      </w:r>
      <w:r>
        <w:rPr>
          <w:color w:val="000000"/>
          <w:sz w:val="22"/>
          <w:szCs w:val="22"/>
        </w:rPr>
        <w:t>in Auction 109.</w:t>
      </w:r>
      <w:r>
        <w:rPr>
          <w:rStyle w:val="FootnoteReference"/>
          <w:color w:val="000000"/>
          <w:szCs w:val="22"/>
        </w:rPr>
        <w:footnoteReference w:id="29"/>
      </w:r>
      <w:r>
        <w:rPr>
          <w:color w:val="000000"/>
          <w:sz w:val="22"/>
          <w:szCs w:val="22"/>
        </w:rPr>
        <w:t xml:space="preserve">  Thus, OEA and the Bureau included that permit in the inventory for Auction 109.  Over 150 parties filed an application to participate in the competitive bidding in Auction 109, but Urban One did not.  One of those applicants submitted a winning bid for the new Cross City permit, and their construction permit application is currently being processed pursuant to the Commission’s rules.</w:t>
      </w:r>
      <w:r>
        <w:rPr>
          <w:rStyle w:val="FootnoteReference"/>
          <w:color w:val="000000"/>
          <w:szCs w:val="22"/>
        </w:rPr>
        <w:footnoteReference w:id="30"/>
      </w:r>
    </w:p>
    <w:p w:rsidR="0089273E" w:rsidP="002A7195" w14:paraId="25303CC4" w14:textId="378FD145">
      <w:pPr>
        <w:ind w:firstLine="720"/>
        <w:rPr>
          <w:color w:val="000000"/>
          <w:sz w:val="22"/>
          <w:szCs w:val="22"/>
        </w:rPr>
      </w:pPr>
      <w:r w:rsidRPr="00794FC3">
        <w:rPr>
          <w:b/>
          <w:bCs/>
          <w:color w:val="000000"/>
          <w:sz w:val="22"/>
          <w:szCs w:val="22"/>
        </w:rPr>
        <w:t>Discussion.</w:t>
      </w:r>
      <w:r>
        <w:rPr>
          <w:color w:val="000000"/>
          <w:sz w:val="22"/>
          <w:szCs w:val="22"/>
        </w:rPr>
        <w:t xml:space="preserve">  </w:t>
      </w:r>
      <w:r w:rsidR="00584071">
        <w:rPr>
          <w:color w:val="000000"/>
          <w:sz w:val="22"/>
          <w:szCs w:val="22"/>
        </w:rPr>
        <w:t xml:space="preserve">In the instant Petition, Urban One insists we must reinstate its construction permit and provide an additional 18 months in which to construct the Station, based on the recent reinstatement of the eligible entity policy following the </w:t>
      </w:r>
      <w:r w:rsidRPr="00906428" w:rsidR="00584071">
        <w:rPr>
          <w:i/>
          <w:iCs/>
          <w:color w:val="000000"/>
          <w:sz w:val="22"/>
          <w:szCs w:val="22"/>
        </w:rPr>
        <w:t>Prometheus Supreme Court Decision</w:t>
      </w:r>
      <w:r w:rsidR="00584071">
        <w:rPr>
          <w:color w:val="000000"/>
          <w:sz w:val="22"/>
          <w:szCs w:val="22"/>
        </w:rPr>
        <w:t>.</w:t>
      </w:r>
      <w:r>
        <w:rPr>
          <w:rStyle w:val="FootnoteReference"/>
          <w:color w:val="000000"/>
          <w:szCs w:val="22"/>
        </w:rPr>
        <w:footnoteReference w:id="31"/>
      </w:r>
      <w:r w:rsidR="00584071">
        <w:rPr>
          <w:color w:val="000000"/>
          <w:sz w:val="22"/>
          <w:szCs w:val="22"/>
        </w:rPr>
        <w:t xml:space="preserve">  Urban One also demands that we remove the </w:t>
      </w:r>
      <w:bookmarkStart w:id="15" w:name="_Hlk79073136"/>
      <w:r w:rsidR="00584071">
        <w:rPr>
          <w:color w:val="000000"/>
          <w:sz w:val="22"/>
          <w:szCs w:val="22"/>
        </w:rPr>
        <w:t>vacant allotment, Channel 249C3 at Cross City, Florida</w:t>
      </w:r>
      <w:bookmarkEnd w:id="15"/>
      <w:r w:rsidR="00584071">
        <w:rPr>
          <w:color w:val="000000"/>
          <w:sz w:val="22"/>
          <w:szCs w:val="22"/>
        </w:rPr>
        <w:t xml:space="preserve">, from the inventory of Auction 109.  </w:t>
      </w:r>
      <w:r w:rsidR="00612657">
        <w:rPr>
          <w:color w:val="000000"/>
          <w:sz w:val="22"/>
          <w:szCs w:val="22"/>
        </w:rPr>
        <w:t xml:space="preserve">Because Urban One’s construction permit </w:t>
      </w:r>
      <w:r w:rsidR="005A56F8">
        <w:rPr>
          <w:color w:val="000000"/>
          <w:sz w:val="22"/>
          <w:szCs w:val="22"/>
        </w:rPr>
        <w:t>was automatically forfeited on July 21, 2014</w:t>
      </w:r>
      <w:r>
        <w:rPr>
          <w:rStyle w:val="FootnoteReference"/>
          <w:color w:val="000000"/>
          <w:szCs w:val="22"/>
        </w:rPr>
        <w:footnoteReference w:id="32"/>
      </w:r>
      <w:r w:rsidR="005A56F8">
        <w:rPr>
          <w:color w:val="000000"/>
          <w:sz w:val="22"/>
          <w:szCs w:val="22"/>
        </w:rPr>
        <w:t xml:space="preserve"> </w:t>
      </w:r>
      <w:r w:rsidR="00612657">
        <w:rPr>
          <w:color w:val="000000"/>
          <w:sz w:val="22"/>
          <w:szCs w:val="22"/>
        </w:rPr>
        <w:t>and the dismissal of its appeals</w:t>
      </w:r>
      <w:r w:rsidR="005A56F8">
        <w:rPr>
          <w:color w:val="000000"/>
          <w:sz w:val="22"/>
          <w:szCs w:val="22"/>
        </w:rPr>
        <w:t xml:space="preserve"> of the </w:t>
      </w:r>
      <w:r w:rsidR="00184541">
        <w:rPr>
          <w:color w:val="000000"/>
          <w:sz w:val="22"/>
          <w:szCs w:val="22"/>
        </w:rPr>
        <w:t xml:space="preserve">related </w:t>
      </w:r>
      <w:r w:rsidR="00726285">
        <w:rPr>
          <w:color w:val="000000"/>
          <w:sz w:val="22"/>
          <w:szCs w:val="22"/>
        </w:rPr>
        <w:t>actions on</w:t>
      </w:r>
      <w:r w:rsidR="005A56F8">
        <w:rPr>
          <w:color w:val="000000"/>
          <w:sz w:val="22"/>
          <w:szCs w:val="22"/>
        </w:rPr>
        <w:t xml:space="preserve"> the modification application and the tolling request</w:t>
      </w:r>
      <w:r w:rsidR="00612657">
        <w:rPr>
          <w:color w:val="000000"/>
          <w:sz w:val="22"/>
          <w:szCs w:val="22"/>
        </w:rPr>
        <w:t xml:space="preserve"> became final in 2017, we</w:t>
      </w:r>
      <w:r w:rsidR="00584071">
        <w:rPr>
          <w:color w:val="000000"/>
          <w:sz w:val="22"/>
          <w:szCs w:val="22"/>
        </w:rPr>
        <w:t xml:space="preserve"> take neither action.</w:t>
      </w:r>
      <w:bookmarkStart w:id="16" w:name="_Hlk77323135"/>
      <w:r w:rsidR="006C2222">
        <w:rPr>
          <w:color w:val="000000"/>
          <w:sz w:val="22"/>
          <w:szCs w:val="22"/>
        </w:rPr>
        <w:t xml:space="preserve"> </w:t>
      </w:r>
    </w:p>
    <w:p w:rsidR="003F2E2E" w:rsidP="002A7195" w14:paraId="623268B9" w14:textId="42E86A2F">
      <w:pPr>
        <w:rPr>
          <w:color w:val="000000"/>
          <w:sz w:val="22"/>
          <w:szCs w:val="22"/>
        </w:rPr>
      </w:pPr>
    </w:p>
    <w:p w:rsidR="002652F4" w:rsidP="006C2222" w14:paraId="6AA63500" w14:textId="235C0854">
      <w:pPr>
        <w:ind w:firstLine="720"/>
        <w:rPr>
          <w:color w:val="000000"/>
          <w:sz w:val="22"/>
          <w:szCs w:val="22"/>
        </w:rPr>
      </w:pPr>
      <w:r>
        <w:rPr>
          <w:color w:val="000000"/>
          <w:sz w:val="22"/>
          <w:szCs w:val="22"/>
        </w:rPr>
        <w:t>Urban One first acquired the Station permit after filing an assignment application on September 17, 2012.</w:t>
      </w:r>
      <w:r>
        <w:rPr>
          <w:rStyle w:val="FootnoteReference"/>
          <w:color w:val="000000"/>
          <w:szCs w:val="22"/>
        </w:rPr>
        <w:footnoteReference w:id="33"/>
      </w:r>
      <w:r>
        <w:rPr>
          <w:color w:val="000000"/>
          <w:sz w:val="22"/>
          <w:szCs w:val="22"/>
        </w:rPr>
        <w:t xml:space="preserve">  Although Urban One did certify in the Assignment Application that it qualified as an eligible </w:t>
      </w:r>
      <w:r>
        <w:rPr>
          <w:color w:val="000000"/>
          <w:sz w:val="22"/>
          <w:szCs w:val="22"/>
        </w:rPr>
        <w:t>entity,</w:t>
      </w:r>
      <w:r>
        <w:rPr>
          <w:rStyle w:val="FootnoteReference"/>
          <w:color w:val="000000"/>
          <w:szCs w:val="22"/>
        </w:rPr>
        <w:footnoteReference w:id="34"/>
      </w:r>
      <w:r>
        <w:rPr>
          <w:color w:val="000000"/>
          <w:sz w:val="22"/>
          <w:szCs w:val="22"/>
        </w:rPr>
        <w:t xml:space="preserve"> this did not change the fact that at the time the Assignment Application was filed, granted, and the transaction consummated, the eligible entity policy had been vacated and was not in effect.</w:t>
      </w:r>
      <w:r>
        <w:rPr>
          <w:rStyle w:val="FootnoteReference"/>
          <w:color w:val="000000"/>
          <w:szCs w:val="22"/>
        </w:rPr>
        <w:footnoteReference w:id="35"/>
      </w:r>
      <w:r>
        <w:rPr>
          <w:color w:val="000000"/>
          <w:sz w:val="22"/>
          <w:szCs w:val="22"/>
        </w:rPr>
        <w:t xml:space="preserve">  Likewise, the eligible entity policy was not in effect on July 21, 2014, when the </w:t>
      </w:r>
      <w:r w:rsidRPr="002736A2" w:rsidR="003F2E2E">
        <w:rPr>
          <w:color w:val="000000"/>
          <w:sz w:val="22"/>
          <w:szCs w:val="22"/>
        </w:rPr>
        <w:t>construction permit was forfeited as a matter of law—</w:t>
      </w:r>
      <w:r>
        <w:rPr>
          <w:color w:val="000000"/>
          <w:sz w:val="22"/>
          <w:szCs w:val="22"/>
        </w:rPr>
        <w:t xml:space="preserve">on that date </w:t>
      </w:r>
      <w:r w:rsidRPr="002736A2" w:rsidR="003F2E2E">
        <w:rPr>
          <w:color w:val="000000"/>
          <w:sz w:val="22"/>
          <w:szCs w:val="22"/>
        </w:rPr>
        <w:t>the station was not ready for operation, nor had Urban One filed an application for license, and the staff had denied its modification application.</w:t>
      </w:r>
      <w:r>
        <w:rPr>
          <w:rStyle w:val="FootnoteReference"/>
          <w:rFonts w:ascii="Times New Roman" w:hAnsi="Times New Roman"/>
          <w:color w:val="000000"/>
          <w:sz w:val="22"/>
          <w:szCs w:val="22"/>
        </w:rPr>
        <w:footnoteReference w:id="36"/>
      </w:r>
      <w:r w:rsidRPr="003F2E2E" w:rsidR="003F2E2E">
        <w:rPr>
          <w:color w:val="000000"/>
          <w:sz w:val="22"/>
          <w:szCs w:val="22"/>
        </w:rPr>
        <w:t xml:space="preserve">  </w:t>
      </w:r>
      <w:r w:rsidR="006C06C3">
        <w:rPr>
          <w:color w:val="000000"/>
          <w:sz w:val="22"/>
          <w:szCs w:val="22"/>
        </w:rPr>
        <w:t>In short</w:t>
      </w:r>
      <w:r>
        <w:rPr>
          <w:color w:val="000000"/>
          <w:sz w:val="22"/>
          <w:szCs w:val="22"/>
        </w:rPr>
        <w:t>, t</w:t>
      </w:r>
      <w:r w:rsidRPr="003F2E2E" w:rsidR="003F2E2E">
        <w:rPr>
          <w:color w:val="000000"/>
          <w:sz w:val="22"/>
          <w:szCs w:val="22"/>
        </w:rPr>
        <w:t>he eligible entity policy was not in effect at any time between when Urban One obtained the Cross City construction permit and when that permit</w:t>
      </w:r>
      <w:r w:rsidR="002A7195">
        <w:rPr>
          <w:color w:val="000000"/>
          <w:sz w:val="22"/>
          <w:szCs w:val="22"/>
        </w:rPr>
        <w:t xml:space="preserve"> </w:t>
      </w:r>
      <w:r w:rsidRPr="002A7195" w:rsidR="000D265F">
        <w:rPr>
          <w:color w:val="000000"/>
          <w:sz w:val="22"/>
          <w:szCs w:val="22"/>
        </w:rPr>
        <w:t>was forfeited</w:t>
      </w:r>
      <w:r>
        <w:rPr>
          <w:color w:val="000000"/>
          <w:sz w:val="22"/>
          <w:szCs w:val="22"/>
        </w:rPr>
        <w:t>.  Th</w:t>
      </w:r>
      <w:r>
        <w:rPr>
          <w:color w:val="000000"/>
          <w:sz w:val="22"/>
          <w:szCs w:val="22"/>
        </w:rPr>
        <w:t>e eligible entity policy never applied to the Cross City permit</w:t>
      </w:r>
      <w:r w:rsidR="006C06C3">
        <w:rPr>
          <w:color w:val="000000"/>
          <w:sz w:val="22"/>
          <w:szCs w:val="22"/>
        </w:rPr>
        <w:t xml:space="preserve"> at any time that it was held by Urban One</w:t>
      </w:r>
      <w:r>
        <w:rPr>
          <w:color w:val="000000"/>
          <w:sz w:val="22"/>
          <w:szCs w:val="22"/>
        </w:rPr>
        <w:t>.</w:t>
      </w:r>
      <w:r w:rsidRPr="003F2E2E" w:rsidR="003F2E2E">
        <w:rPr>
          <w:color w:val="000000"/>
          <w:sz w:val="22"/>
          <w:szCs w:val="22"/>
        </w:rPr>
        <w:t xml:space="preserve">  </w:t>
      </w:r>
    </w:p>
    <w:p w:rsidR="002652F4" w:rsidP="006C2222" w14:paraId="38017CF2" w14:textId="77777777">
      <w:pPr>
        <w:ind w:firstLine="720"/>
        <w:rPr>
          <w:color w:val="000000"/>
          <w:sz w:val="22"/>
          <w:szCs w:val="22"/>
        </w:rPr>
      </w:pPr>
    </w:p>
    <w:p w:rsidR="00DB60FD" w:rsidP="006C2222" w14:paraId="56EDFF32" w14:textId="5816AF95">
      <w:pPr>
        <w:ind w:firstLine="720"/>
        <w:rPr>
          <w:color w:val="252525"/>
          <w:sz w:val="22"/>
          <w:szCs w:val="22"/>
        </w:rPr>
      </w:pPr>
      <w:r w:rsidRPr="003F2E2E">
        <w:rPr>
          <w:color w:val="000000"/>
          <w:sz w:val="22"/>
          <w:szCs w:val="22"/>
        </w:rPr>
        <w:t xml:space="preserve">The only justifications offered by Urban One for application of the eligible entity policy to its expired construction permit are its eligible entity status and the fact that it demonstrated that status in its assignment application for Cross City; that the Cross City construction permit was “still pending before the Commission on a stay of appeals of the action, taken against the permit,” when the eligible entity policy was reinstated in the </w:t>
      </w:r>
      <w:r w:rsidRPr="003F2E2E">
        <w:rPr>
          <w:i/>
          <w:iCs/>
          <w:color w:val="252525"/>
          <w:sz w:val="22"/>
          <w:szCs w:val="22"/>
        </w:rPr>
        <w:t>2014/2010</w:t>
      </w:r>
      <w:r w:rsidRPr="003F2E2E">
        <w:rPr>
          <w:color w:val="252525"/>
          <w:sz w:val="22"/>
          <w:szCs w:val="22"/>
        </w:rPr>
        <w:t xml:space="preserve"> </w:t>
      </w:r>
      <w:r w:rsidRPr="003F2E2E">
        <w:rPr>
          <w:i/>
          <w:iCs/>
          <w:color w:val="252525"/>
          <w:sz w:val="22"/>
          <w:szCs w:val="22"/>
        </w:rPr>
        <w:t>Quadrennial Second R&amp;O</w:t>
      </w:r>
      <w:r w:rsidRPr="003F2E2E">
        <w:rPr>
          <w:color w:val="252525"/>
          <w:sz w:val="22"/>
          <w:szCs w:val="22"/>
        </w:rPr>
        <w:t>; and that reinstating the construction permit “would put Urban One on an even par with prior eligible entity applicants.”</w:t>
      </w:r>
      <w:r>
        <w:rPr>
          <w:rStyle w:val="FootnoteReference"/>
          <w:rFonts w:ascii="Times New Roman" w:hAnsi="Times New Roman"/>
          <w:color w:val="252525"/>
          <w:sz w:val="22"/>
          <w:szCs w:val="22"/>
        </w:rPr>
        <w:footnoteReference w:id="37"/>
      </w:r>
      <w:r w:rsidRPr="003F2E2E">
        <w:rPr>
          <w:color w:val="252525"/>
          <w:sz w:val="22"/>
          <w:szCs w:val="22"/>
        </w:rPr>
        <w:t xml:space="preserve">  Essentially, Urban One argues that it qualifies as an eligible entity, </w:t>
      </w:r>
      <w:r w:rsidR="002652F4">
        <w:rPr>
          <w:color w:val="252525"/>
          <w:sz w:val="22"/>
          <w:szCs w:val="22"/>
        </w:rPr>
        <w:t xml:space="preserve">that other eligible entities were able to obtain extended construction periods when </w:t>
      </w:r>
      <w:r w:rsidR="004E6C07">
        <w:rPr>
          <w:color w:val="252525"/>
          <w:sz w:val="22"/>
          <w:szCs w:val="22"/>
        </w:rPr>
        <w:t>the</w:t>
      </w:r>
      <w:r w:rsidR="002652F4">
        <w:rPr>
          <w:color w:val="252525"/>
          <w:sz w:val="22"/>
          <w:szCs w:val="22"/>
        </w:rPr>
        <w:t xml:space="preserve"> eligible entity construction permit policy was in effect, </w:t>
      </w:r>
      <w:r w:rsidRPr="003F2E2E">
        <w:rPr>
          <w:color w:val="252525"/>
          <w:sz w:val="22"/>
          <w:szCs w:val="22"/>
        </w:rPr>
        <w:t xml:space="preserve">and that </w:t>
      </w:r>
      <w:r>
        <w:rPr>
          <w:color w:val="252525"/>
          <w:sz w:val="22"/>
          <w:szCs w:val="22"/>
        </w:rPr>
        <w:t xml:space="preserve">therefore </w:t>
      </w:r>
      <w:r w:rsidRPr="003F2E2E">
        <w:rPr>
          <w:color w:val="252525"/>
          <w:sz w:val="22"/>
          <w:szCs w:val="22"/>
        </w:rPr>
        <w:t>it is now entitled to the benefits of a</w:t>
      </w:r>
      <w:r w:rsidR="002652F4">
        <w:rPr>
          <w:color w:val="252525"/>
          <w:sz w:val="22"/>
          <w:szCs w:val="22"/>
        </w:rPr>
        <w:t xml:space="preserve"> revived</w:t>
      </w:r>
      <w:r w:rsidRPr="003F2E2E">
        <w:rPr>
          <w:color w:val="252525"/>
          <w:sz w:val="22"/>
          <w:szCs w:val="22"/>
        </w:rPr>
        <w:t xml:space="preserve"> eligible entity policy that was not in effect at </w:t>
      </w:r>
      <w:r w:rsidRPr="002A7195" w:rsidR="00307018">
        <w:rPr>
          <w:color w:val="252525"/>
          <w:sz w:val="22"/>
          <w:szCs w:val="22"/>
        </w:rPr>
        <w:t xml:space="preserve">any </w:t>
      </w:r>
      <w:r w:rsidRPr="002A7195">
        <w:rPr>
          <w:color w:val="252525"/>
          <w:sz w:val="22"/>
          <w:szCs w:val="22"/>
        </w:rPr>
        <w:t xml:space="preserve">time </w:t>
      </w:r>
      <w:r w:rsidRPr="002A7195" w:rsidR="00307018">
        <w:rPr>
          <w:color w:val="252525"/>
          <w:sz w:val="22"/>
          <w:szCs w:val="22"/>
        </w:rPr>
        <w:t xml:space="preserve">starting with </w:t>
      </w:r>
      <w:r w:rsidRPr="002A7195">
        <w:rPr>
          <w:color w:val="252525"/>
          <w:sz w:val="22"/>
          <w:szCs w:val="22"/>
        </w:rPr>
        <w:t>it</w:t>
      </w:r>
      <w:r w:rsidRPr="002A7195" w:rsidR="00307018">
        <w:rPr>
          <w:color w:val="252525"/>
          <w:sz w:val="22"/>
          <w:szCs w:val="22"/>
        </w:rPr>
        <w:t>s</w:t>
      </w:r>
      <w:r w:rsidRPr="002A7195">
        <w:rPr>
          <w:color w:val="252525"/>
          <w:sz w:val="22"/>
          <w:szCs w:val="22"/>
        </w:rPr>
        <w:t xml:space="preserve"> </w:t>
      </w:r>
      <w:r w:rsidRPr="002A7195" w:rsidR="00307018">
        <w:rPr>
          <w:color w:val="252525"/>
          <w:sz w:val="22"/>
          <w:szCs w:val="22"/>
        </w:rPr>
        <w:t>acquisition</w:t>
      </w:r>
      <w:r w:rsidRPr="002A7195">
        <w:rPr>
          <w:color w:val="252525"/>
          <w:sz w:val="22"/>
          <w:szCs w:val="22"/>
        </w:rPr>
        <w:t xml:space="preserve"> </w:t>
      </w:r>
      <w:r w:rsidRPr="002A7195" w:rsidR="00307018">
        <w:rPr>
          <w:color w:val="252525"/>
          <w:sz w:val="22"/>
          <w:szCs w:val="22"/>
        </w:rPr>
        <w:t xml:space="preserve">of </w:t>
      </w:r>
      <w:r w:rsidRPr="002A7195">
        <w:rPr>
          <w:color w:val="252525"/>
          <w:sz w:val="22"/>
          <w:szCs w:val="22"/>
        </w:rPr>
        <w:t>the Cross City construction permit</w:t>
      </w:r>
      <w:r w:rsidRPr="002A7195" w:rsidR="00307018">
        <w:rPr>
          <w:color w:val="252525"/>
          <w:sz w:val="22"/>
          <w:szCs w:val="22"/>
        </w:rPr>
        <w:t xml:space="preserve"> and continuing through </w:t>
      </w:r>
      <w:r w:rsidRPr="002A7195">
        <w:rPr>
          <w:color w:val="252525"/>
          <w:sz w:val="22"/>
          <w:szCs w:val="22"/>
        </w:rPr>
        <w:t xml:space="preserve"> the time that permit</w:t>
      </w:r>
      <w:r w:rsidRPr="002A7195" w:rsidR="002A7195">
        <w:rPr>
          <w:color w:val="252525"/>
          <w:sz w:val="22"/>
          <w:szCs w:val="22"/>
        </w:rPr>
        <w:t xml:space="preserve"> </w:t>
      </w:r>
      <w:r w:rsidRPr="002A7195" w:rsidR="000D265F">
        <w:rPr>
          <w:color w:val="252525"/>
          <w:sz w:val="22"/>
          <w:szCs w:val="22"/>
        </w:rPr>
        <w:t>was</w:t>
      </w:r>
      <w:r w:rsidRPr="002A7195" w:rsidR="000D265F">
        <w:rPr>
          <w:color w:val="000000"/>
          <w:sz w:val="22"/>
          <w:szCs w:val="22"/>
        </w:rPr>
        <w:t xml:space="preserve"> forfeited</w:t>
      </w:r>
      <w:r w:rsidRPr="003F2E2E">
        <w:rPr>
          <w:color w:val="252525"/>
          <w:sz w:val="22"/>
          <w:szCs w:val="22"/>
        </w:rPr>
        <w:t>.  Urban One is mistaken.  First, the construction permit automatically</w:t>
      </w:r>
      <w:r w:rsidR="00C126B0">
        <w:rPr>
          <w:color w:val="252525"/>
          <w:sz w:val="22"/>
          <w:szCs w:val="22"/>
        </w:rPr>
        <w:t xml:space="preserve"> forfeited upon expiration</w:t>
      </w:r>
      <w:r w:rsidRPr="003F2E2E">
        <w:rPr>
          <w:color w:val="252525"/>
          <w:sz w:val="22"/>
          <w:szCs w:val="22"/>
        </w:rPr>
        <w:t xml:space="preserve">.  The fact that Urban One continued, unsuccessfully, to prosecute its attempted modification and tolling of that </w:t>
      </w:r>
      <w:r w:rsidR="00184541">
        <w:rPr>
          <w:color w:val="252525"/>
          <w:sz w:val="22"/>
          <w:szCs w:val="22"/>
        </w:rPr>
        <w:t xml:space="preserve">forfeited construction </w:t>
      </w:r>
      <w:r w:rsidRPr="003F2E2E">
        <w:rPr>
          <w:color w:val="252525"/>
          <w:sz w:val="22"/>
          <w:szCs w:val="22"/>
        </w:rPr>
        <w:t xml:space="preserve">permit does not mean that the permit itself </w:t>
      </w:r>
      <w:r w:rsidR="00184541">
        <w:rPr>
          <w:color w:val="252525"/>
          <w:sz w:val="22"/>
          <w:szCs w:val="22"/>
        </w:rPr>
        <w:t>remained “</w:t>
      </w:r>
      <w:r w:rsidRPr="003F2E2E">
        <w:rPr>
          <w:color w:val="252525"/>
          <w:sz w:val="22"/>
          <w:szCs w:val="22"/>
        </w:rPr>
        <w:t>pending</w:t>
      </w:r>
      <w:r w:rsidRPr="000364B6" w:rsidR="00184541">
        <w:rPr>
          <w:color w:val="252525"/>
          <w:sz w:val="22"/>
          <w:szCs w:val="22"/>
        </w:rPr>
        <w:t>”</w:t>
      </w:r>
      <w:r w:rsidRPr="000364B6">
        <w:rPr>
          <w:color w:val="252525"/>
          <w:sz w:val="22"/>
          <w:szCs w:val="22"/>
        </w:rPr>
        <w:t xml:space="preserve"> </w:t>
      </w:r>
      <w:r w:rsidRPr="003F2E2E">
        <w:rPr>
          <w:color w:val="252525"/>
          <w:sz w:val="22"/>
          <w:szCs w:val="22"/>
        </w:rPr>
        <w:t xml:space="preserve">when the eligible entity policy was reinstated.  </w:t>
      </w:r>
      <w:r w:rsidR="009D2E93">
        <w:rPr>
          <w:color w:val="000000"/>
          <w:sz w:val="22"/>
          <w:szCs w:val="22"/>
        </w:rPr>
        <w:t>The remaining matters concerning the Station, namely the tolling request and modification application, had been decided by the Commission, adversely to Urban One, and reconsideration dismissed, all before the eligible entity policy was reinstated as of December 1, 2016.</w:t>
      </w:r>
      <w:r>
        <w:rPr>
          <w:rStyle w:val="FootnoteReference"/>
          <w:color w:val="000000"/>
          <w:szCs w:val="22"/>
        </w:rPr>
        <w:footnoteReference w:id="38"/>
      </w:r>
      <w:r w:rsidR="009D2E93">
        <w:rPr>
          <w:color w:val="000000"/>
          <w:sz w:val="22"/>
          <w:szCs w:val="22"/>
        </w:rPr>
        <w:t xml:space="preserve">  </w:t>
      </w:r>
      <w:r w:rsidR="009D2E93">
        <w:rPr>
          <w:color w:val="252525"/>
          <w:sz w:val="22"/>
          <w:szCs w:val="22"/>
        </w:rPr>
        <w:t>The</w:t>
      </w:r>
      <w:r w:rsidRPr="003F2E2E">
        <w:rPr>
          <w:color w:val="252525"/>
          <w:sz w:val="22"/>
          <w:szCs w:val="22"/>
        </w:rPr>
        <w:t xml:space="preserve"> modification</w:t>
      </w:r>
      <w:r w:rsidR="009D2E93">
        <w:rPr>
          <w:color w:val="252525"/>
          <w:sz w:val="22"/>
          <w:szCs w:val="22"/>
        </w:rPr>
        <w:t xml:space="preserve"> in particular</w:t>
      </w:r>
      <w:r w:rsidRPr="003F2E2E">
        <w:rPr>
          <w:color w:val="252525"/>
          <w:sz w:val="22"/>
          <w:szCs w:val="22"/>
        </w:rPr>
        <w:t xml:space="preserve">, even if granted, would </w:t>
      </w:r>
      <w:r w:rsidRPr="000364B6">
        <w:rPr>
          <w:color w:val="252525"/>
          <w:sz w:val="22"/>
          <w:szCs w:val="22"/>
        </w:rPr>
        <w:t>not have extended Urban One’s construction</w:t>
      </w:r>
      <w:r w:rsidRPr="003F2E2E">
        <w:rPr>
          <w:color w:val="252525"/>
          <w:sz w:val="22"/>
          <w:szCs w:val="22"/>
        </w:rPr>
        <w:t xml:space="preserve"> period</w:t>
      </w:r>
      <w:r w:rsidR="00B945E3">
        <w:rPr>
          <w:color w:val="252525"/>
          <w:sz w:val="22"/>
          <w:szCs w:val="22"/>
        </w:rPr>
        <w:t>.</w:t>
      </w:r>
      <w:r>
        <w:rPr>
          <w:rStyle w:val="FootnoteReference"/>
          <w:color w:val="252525"/>
          <w:szCs w:val="22"/>
        </w:rPr>
        <w:footnoteReference w:id="39"/>
      </w:r>
      <w:r w:rsidR="00E53DA9">
        <w:rPr>
          <w:color w:val="252525"/>
          <w:sz w:val="22"/>
          <w:szCs w:val="22"/>
        </w:rPr>
        <w:t xml:space="preserve"> </w:t>
      </w:r>
      <w:r w:rsidR="00243899">
        <w:rPr>
          <w:color w:val="252525"/>
          <w:sz w:val="22"/>
          <w:szCs w:val="22"/>
        </w:rPr>
        <w:t xml:space="preserve"> </w:t>
      </w:r>
      <w:r>
        <w:rPr>
          <w:color w:val="252525"/>
          <w:sz w:val="22"/>
          <w:szCs w:val="22"/>
        </w:rPr>
        <w:t xml:space="preserve">Thus, contrary to Urban One’s assertions, there was no construction permit to “reinstate” when the Commission </w:t>
      </w:r>
      <w:r w:rsidR="009F301A">
        <w:rPr>
          <w:color w:val="252525"/>
          <w:sz w:val="22"/>
          <w:szCs w:val="22"/>
        </w:rPr>
        <w:t>restored</w:t>
      </w:r>
      <w:r>
        <w:rPr>
          <w:color w:val="252525"/>
          <w:sz w:val="22"/>
          <w:szCs w:val="22"/>
        </w:rPr>
        <w:t xml:space="preserve"> the eligible entity policy in 2016.  </w:t>
      </w:r>
      <w:r w:rsidR="009F301A">
        <w:rPr>
          <w:color w:val="252525"/>
          <w:sz w:val="22"/>
          <w:szCs w:val="22"/>
        </w:rPr>
        <w:t>Urban One’s 2016 Reinstatement Petition could not have been granted.</w:t>
      </w:r>
    </w:p>
    <w:p w:rsidR="00DB60FD" w:rsidP="006C2222" w14:paraId="4A36A45D" w14:textId="77777777">
      <w:pPr>
        <w:ind w:firstLine="720"/>
        <w:rPr>
          <w:color w:val="252525"/>
          <w:sz w:val="22"/>
          <w:szCs w:val="22"/>
        </w:rPr>
      </w:pPr>
    </w:p>
    <w:p w:rsidR="003F2E2E" w:rsidRPr="003F2E2E" w:rsidP="006C2222" w14:paraId="693E52E8" w14:textId="561A9871">
      <w:pPr>
        <w:ind w:firstLine="720"/>
        <w:rPr>
          <w:color w:val="000000"/>
          <w:sz w:val="22"/>
          <w:szCs w:val="22"/>
        </w:rPr>
      </w:pPr>
      <w:r>
        <w:rPr>
          <w:color w:val="252525"/>
          <w:sz w:val="22"/>
          <w:szCs w:val="22"/>
        </w:rPr>
        <w:t>Finally</w:t>
      </w:r>
      <w:r w:rsidRPr="003F2E2E">
        <w:rPr>
          <w:color w:val="252525"/>
          <w:sz w:val="22"/>
          <w:szCs w:val="22"/>
        </w:rPr>
        <w:t xml:space="preserve">, we reiterate that Urban One’s efforts to prosecute its application to modify the construction permit </w:t>
      </w:r>
      <w:r w:rsidR="00C45470">
        <w:rPr>
          <w:color w:val="252525"/>
          <w:sz w:val="22"/>
          <w:szCs w:val="22"/>
        </w:rPr>
        <w:t xml:space="preserve">and its tolling request </w:t>
      </w:r>
      <w:r w:rsidRPr="003F2E2E">
        <w:rPr>
          <w:color w:val="252525"/>
          <w:sz w:val="22"/>
          <w:szCs w:val="22"/>
        </w:rPr>
        <w:t xml:space="preserve">were, ultimately, unsuccessful and </w:t>
      </w:r>
      <w:r w:rsidR="00EC5FF6">
        <w:rPr>
          <w:color w:val="252525"/>
          <w:sz w:val="22"/>
          <w:szCs w:val="22"/>
        </w:rPr>
        <w:t>concluded several years ago</w:t>
      </w:r>
      <w:r w:rsidRPr="003F2E2E">
        <w:rPr>
          <w:color w:val="252525"/>
          <w:sz w:val="22"/>
          <w:szCs w:val="22"/>
        </w:rPr>
        <w:t>.</w:t>
      </w:r>
      <w:r w:rsidR="00EC5FF6">
        <w:rPr>
          <w:color w:val="252525"/>
          <w:sz w:val="22"/>
          <w:szCs w:val="22"/>
        </w:rPr>
        <w:t xml:space="preserve">  </w:t>
      </w:r>
      <w:r w:rsidR="00EC5FF6">
        <w:rPr>
          <w:color w:val="252525"/>
          <w:sz w:val="22"/>
          <w:szCs w:val="22"/>
        </w:rPr>
        <w:t xml:space="preserve">The 2021 </w:t>
      </w:r>
      <w:r w:rsidRPr="00EC5FF6" w:rsidR="00EC5FF6">
        <w:rPr>
          <w:i/>
          <w:iCs/>
          <w:color w:val="252525"/>
          <w:sz w:val="22"/>
          <w:szCs w:val="22"/>
        </w:rPr>
        <w:t>Prometheus Supreme Court Decision</w:t>
      </w:r>
      <w:r w:rsidR="00EC5FF6">
        <w:rPr>
          <w:color w:val="252525"/>
          <w:sz w:val="22"/>
          <w:szCs w:val="22"/>
        </w:rPr>
        <w:t>, which forms the basis for Urban One’s most recent request for declaratory relief, did not change the fact that all matters surrounding the Station were final in 2017, long before the Supreme Court reinstated the eligible entity policy in 2021.</w:t>
      </w:r>
      <w:r>
        <w:rPr>
          <w:rStyle w:val="FootnoteReference"/>
          <w:color w:val="252525"/>
          <w:szCs w:val="22"/>
        </w:rPr>
        <w:footnoteReference w:id="40"/>
      </w:r>
      <w:r w:rsidR="00EC5FF6">
        <w:rPr>
          <w:color w:val="252525"/>
          <w:sz w:val="22"/>
          <w:szCs w:val="22"/>
        </w:rPr>
        <w:t xml:space="preserve"> </w:t>
      </w:r>
      <w:r w:rsidRPr="003F2E2E">
        <w:rPr>
          <w:color w:val="252525"/>
          <w:sz w:val="22"/>
          <w:szCs w:val="22"/>
        </w:rPr>
        <w:t xml:space="preserve"> </w:t>
      </w:r>
      <w:r w:rsidRPr="003F2E2E">
        <w:rPr>
          <w:color w:val="000000"/>
          <w:sz w:val="22"/>
          <w:szCs w:val="22"/>
        </w:rPr>
        <w:t>A subsequent rule change cannot resurrect a matter that is final and, as in this case, has been final for almost four years.</w:t>
      </w:r>
      <w:r>
        <w:rPr>
          <w:rStyle w:val="FootnoteReference"/>
          <w:rFonts w:ascii="Times New Roman" w:hAnsi="Times New Roman"/>
          <w:color w:val="000000"/>
          <w:sz w:val="22"/>
          <w:szCs w:val="22"/>
        </w:rPr>
        <w:footnoteReference w:id="41"/>
      </w:r>
      <w:r w:rsidRPr="003F2E2E">
        <w:rPr>
          <w:color w:val="000000"/>
          <w:sz w:val="22"/>
          <w:szCs w:val="22"/>
        </w:rPr>
        <w:t xml:space="preserve">  Moreover, Urban One offers no Commission precedent for applying the eligible entity policy retroactively over </w:t>
      </w:r>
      <w:r w:rsidR="000F3C63">
        <w:rPr>
          <w:color w:val="000000"/>
          <w:sz w:val="22"/>
          <w:szCs w:val="22"/>
        </w:rPr>
        <w:t>seven</w:t>
      </w:r>
      <w:r w:rsidRPr="003F2E2E">
        <w:rPr>
          <w:color w:val="000000"/>
          <w:sz w:val="22"/>
          <w:szCs w:val="22"/>
        </w:rPr>
        <w:t xml:space="preserve"> years after the </w:t>
      </w:r>
      <w:r w:rsidR="000F3C63">
        <w:rPr>
          <w:color w:val="000000"/>
          <w:sz w:val="22"/>
          <w:szCs w:val="22"/>
        </w:rPr>
        <w:t xml:space="preserve">Cross City construction permit </w:t>
      </w:r>
      <w:r w:rsidR="00B758D5">
        <w:rPr>
          <w:color w:val="000000"/>
          <w:sz w:val="22"/>
          <w:szCs w:val="22"/>
        </w:rPr>
        <w:t>was forfeited upon expiration</w:t>
      </w:r>
      <w:r w:rsidR="000F3C63">
        <w:rPr>
          <w:color w:val="000000"/>
          <w:sz w:val="22"/>
          <w:szCs w:val="22"/>
        </w:rPr>
        <w:t xml:space="preserve"> as a matter of law</w:t>
      </w:r>
      <w:r w:rsidRPr="003F2E2E">
        <w:rPr>
          <w:color w:val="000000"/>
          <w:sz w:val="22"/>
          <w:szCs w:val="22"/>
        </w:rPr>
        <w:t>.</w:t>
      </w:r>
      <w:r>
        <w:rPr>
          <w:rStyle w:val="FootnoteReference"/>
          <w:rFonts w:ascii="Times New Roman" w:hAnsi="Times New Roman"/>
          <w:color w:val="000000"/>
          <w:sz w:val="22"/>
          <w:szCs w:val="22"/>
        </w:rPr>
        <w:footnoteReference w:id="42"/>
      </w:r>
    </w:p>
    <w:p w:rsidR="006C2222" w:rsidRPr="003F2E2E" w:rsidP="006C2222" w14:paraId="0CBEBDD7" w14:textId="77777777">
      <w:pPr>
        <w:ind w:firstLine="720"/>
        <w:rPr>
          <w:color w:val="000000"/>
          <w:sz w:val="22"/>
          <w:szCs w:val="22"/>
        </w:rPr>
      </w:pPr>
    </w:p>
    <w:p w:rsidR="009E4EAD" w:rsidP="003F440C" w14:paraId="538CED39" w14:textId="0CF5F39F">
      <w:pPr>
        <w:ind w:firstLine="720"/>
        <w:rPr>
          <w:color w:val="000000"/>
          <w:sz w:val="22"/>
          <w:szCs w:val="22"/>
        </w:rPr>
      </w:pPr>
      <w:r>
        <w:rPr>
          <w:color w:val="000000"/>
          <w:sz w:val="22"/>
          <w:szCs w:val="22"/>
        </w:rPr>
        <w:t>In short, then, there remains no construction permit for us to reinstate, as it was forfeited by its own terms on July 21, 2014</w:t>
      </w:r>
      <w:r w:rsidR="000D668C">
        <w:rPr>
          <w:color w:val="000000"/>
          <w:sz w:val="22"/>
          <w:szCs w:val="22"/>
        </w:rPr>
        <w:t>.</w:t>
      </w:r>
      <w:r>
        <w:rPr>
          <w:rStyle w:val="FootnoteReference"/>
          <w:color w:val="000000"/>
          <w:szCs w:val="22"/>
        </w:rPr>
        <w:footnoteReference w:id="43"/>
      </w:r>
      <w:r>
        <w:rPr>
          <w:color w:val="000000"/>
          <w:sz w:val="22"/>
          <w:szCs w:val="22"/>
        </w:rPr>
        <w:t xml:space="preserve">  The call sign WURB was deleted, and the unbuilt Cross City FM channel assignment was deleted and designated as a vacant allotment in the Table of Allotments, from which it was subsequently added to the Auction 109 inventory.</w:t>
      </w:r>
    </w:p>
    <w:p w:rsidR="000D103F" w:rsidP="000A2AC9" w14:paraId="7B5988D7" w14:textId="77777777">
      <w:pPr>
        <w:ind w:firstLine="720"/>
        <w:rPr>
          <w:color w:val="000000"/>
          <w:sz w:val="22"/>
          <w:szCs w:val="22"/>
        </w:rPr>
      </w:pPr>
    </w:p>
    <w:bookmarkEnd w:id="16"/>
    <w:p w:rsidR="00A97B35" w:rsidP="000A2AC9" w14:paraId="2DDEF201" w14:textId="795ACD8D">
      <w:pPr>
        <w:ind w:firstLine="720"/>
        <w:rPr>
          <w:sz w:val="22"/>
          <w:szCs w:val="22"/>
        </w:rPr>
      </w:pPr>
      <w:r w:rsidRPr="006917C8">
        <w:rPr>
          <w:b/>
          <w:bCs/>
          <w:color w:val="000000"/>
          <w:sz w:val="22"/>
          <w:szCs w:val="22"/>
        </w:rPr>
        <w:t>Ordering Clause.</w:t>
      </w:r>
      <w:r>
        <w:rPr>
          <w:color w:val="000000"/>
          <w:sz w:val="22"/>
          <w:szCs w:val="22"/>
        </w:rPr>
        <w:t xml:space="preserve">  </w:t>
      </w:r>
      <w:r>
        <w:rPr>
          <w:color w:val="000000"/>
          <w:sz w:val="22"/>
          <w:szCs w:val="22"/>
        </w:rPr>
        <w:t xml:space="preserve">Accordingly, </w:t>
      </w:r>
      <w:r w:rsidR="007A35D4">
        <w:rPr>
          <w:color w:val="000000"/>
          <w:sz w:val="22"/>
          <w:szCs w:val="22"/>
        </w:rPr>
        <w:t>the Petition</w:t>
      </w:r>
      <w:r w:rsidR="00FE56D1">
        <w:rPr>
          <w:color w:val="000000"/>
          <w:sz w:val="22"/>
          <w:szCs w:val="22"/>
        </w:rPr>
        <w:t xml:space="preserve"> for Declaratory Ruling</w:t>
      </w:r>
      <w:r w:rsidR="007A35D4">
        <w:rPr>
          <w:color w:val="000000"/>
          <w:sz w:val="22"/>
          <w:szCs w:val="22"/>
        </w:rPr>
        <w:t xml:space="preserve"> filed by Urban One on June 17, 2021, IS</w:t>
      </w:r>
      <w:r w:rsidR="002A7195">
        <w:rPr>
          <w:color w:val="000000"/>
          <w:sz w:val="22"/>
          <w:szCs w:val="22"/>
        </w:rPr>
        <w:t xml:space="preserve"> </w:t>
      </w:r>
      <w:r w:rsidRPr="002A7195" w:rsidR="00AE2EB3">
        <w:rPr>
          <w:color w:val="000000"/>
          <w:sz w:val="22"/>
          <w:szCs w:val="22"/>
        </w:rPr>
        <w:t>DENIED</w:t>
      </w:r>
      <w:r w:rsidR="007A35D4">
        <w:rPr>
          <w:color w:val="000000"/>
          <w:sz w:val="22"/>
          <w:szCs w:val="22"/>
        </w:rPr>
        <w:t>.</w:t>
      </w:r>
    </w:p>
    <w:p w:rsidR="005A1CF0" w:rsidP="005A1CF0" w14:paraId="08874E83" w14:textId="77777777">
      <w:pPr>
        <w:pStyle w:val="BodyText"/>
        <w:ind w:left="5040"/>
        <w:rPr>
          <w:sz w:val="22"/>
          <w:szCs w:val="22"/>
        </w:rPr>
      </w:pPr>
    </w:p>
    <w:p w:rsidR="005A1CF0" w:rsidRPr="00DE5E79" w:rsidP="005A1CF0" w14:paraId="49DBA5BF" w14:textId="77777777">
      <w:pPr>
        <w:pStyle w:val="BodyText"/>
        <w:ind w:left="5040"/>
        <w:rPr>
          <w:sz w:val="22"/>
          <w:szCs w:val="22"/>
        </w:rPr>
      </w:pPr>
      <w:r w:rsidRPr="00DE5E79">
        <w:rPr>
          <w:sz w:val="22"/>
          <w:szCs w:val="22"/>
        </w:rPr>
        <w:t>Sincerely,</w:t>
      </w:r>
    </w:p>
    <w:p w:rsidR="005A1CF0" w:rsidRPr="00DE5E79" w:rsidP="005A1CF0" w14:paraId="0A726609" w14:textId="77777777">
      <w:pPr>
        <w:pStyle w:val="BodyText"/>
        <w:rPr>
          <w:sz w:val="22"/>
          <w:szCs w:val="22"/>
        </w:rPr>
      </w:pPr>
    </w:p>
    <w:p w:rsidR="005A1CF0" w:rsidRPr="00DE5E79" w:rsidP="005A1CF0" w14:paraId="61C10BFC" w14:textId="77777777">
      <w:pPr>
        <w:pStyle w:val="BodyText"/>
        <w:rPr>
          <w:sz w:val="22"/>
          <w:szCs w:val="22"/>
        </w:rPr>
      </w:pPr>
    </w:p>
    <w:p w:rsidR="005A1CF0" w:rsidRPr="00DE5E79" w:rsidP="005A1CF0" w14:paraId="45F59C89" w14:textId="77777777">
      <w:pPr>
        <w:pStyle w:val="BodyText"/>
        <w:rPr>
          <w:sz w:val="22"/>
          <w:szCs w:val="22"/>
        </w:rPr>
      </w:pPr>
    </w:p>
    <w:p w:rsidR="005A1CF0" w:rsidRPr="00DE5E79" w:rsidP="005A1CF0" w14:paraId="7A831360" w14:textId="77777777">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000078C9">
        <w:rPr>
          <w:sz w:val="22"/>
          <w:szCs w:val="22"/>
        </w:rPr>
        <w:t>Albert Shuldiner</w:t>
      </w:r>
    </w:p>
    <w:p w:rsidR="005A1CF0" w:rsidRPr="00DE5E79" w:rsidP="005A1CF0" w14:paraId="118B4164" w14:textId="77777777">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t>Chief, Audio Division</w:t>
      </w:r>
    </w:p>
    <w:p w:rsidR="005A1CF0" w:rsidRPr="00E375BA" w:rsidP="005A1CF0" w14:paraId="26584204" w14:textId="77777777">
      <w:pPr>
        <w:ind w:left="2160" w:firstLine="720"/>
      </w:pPr>
      <w:r w:rsidRPr="00DE5E79">
        <w:rPr>
          <w:sz w:val="22"/>
          <w:szCs w:val="22"/>
        </w:rPr>
        <w:tab/>
      </w:r>
      <w:r w:rsidRPr="00DE5E79">
        <w:rPr>
          <w:sz w:val="22"/>
          <w:szCs w:val="22"/>
        </w:rPr>
        <w:tab/>
      </w:r>
      <w:r w:rsidRPr="00DE5E79">
        <w:rPr>
          <w:sz w:val="22"/>
          <w:szCs w:val="22"/>
        </w:rPr>
        <w:tab/>
        <w:t>Media Bureau</w:t>
      </w:r>
    </w:p>
    <w:p w:rsidR="00E47C02" w:rsidRPr="005A1CF0" w:rsidP="005A1CF0" w14:paraId="22E95F22" w14:textId="77777777"/>
    <w:sectPr w:rsidSect="00BF6E58">
      <w:headerReference w:type="default" r:id="rId5"/>
      <w:footerReference w:type="even" r:id="rId6"/>
      <w:footerReference w:type="default" r:id="rId7"/>
      <w:headerReference w:type="first" r:id="rId8"/>
      <w:endnotePr>
        <w:numFmt w:val="decimal"/>
      </w:endnotePr>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14:paraId="5BB82DA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6E58" w14:paraId="43BBA0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14:paraId="72DB35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6CB1">
      <w:rPr>
        <w:rStyle w:val="PageNumber"/>
        <w:noProof/>
      </w:rPr>
      <w:t>3</w:t>
    </w:r>
    <w:r>
      <w:rPr>
        <w:rStyle w:val="PageNumber"/>
      </w:rPr>
      <w:fldChar w:fldCharType="end"/>
    </w:r>
  </w:p>
  <w:p w:rsidR="00BF6E58" w14:paraId="5E9D8CAF" w14:textId="77777777">
    <w:pPr>
      <w:spacing w:before="140" w:line="100" w:lineRule="exact"/>
      <w:rPr>
        <w:sz w:val="10"/>
      </w:rPr>
    </w:pPr>
  </w:p>
  <w:p w:rsidR="00BF6E58" w14:paraId="5D2AF99A" w14:textId="77777777">
    <w:pPr>
      <w:suppressAutoHyphens/>
      <w:spacing w:line="227" w:lineRule="auto"/>
      <w:jc w:val="both"/>
    </w:pPr>
  </w:p>
  <w:p w:rsidR="00BF6E58" w14:paraId="54B6759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1825" w:rsidP="00DE5E79" w14:paraId="02EB20DC" w14:textId="77777777">
      <w:r>
        <w:separator/>
      </w:r>
    </w:p>
  </w:footnote>
  <w:footnote w:type="continuationSeparator" w:id="1">
    <w:p w:rsidR="00EA1825" w:rsidP="00DE5E79" w14:paraId="0109D3FC" w14:textId="77777777">
      <w:r>
        <w:continuationSeparator/>
      </w:r>
    </w:p>
  </w:footnote>
  <w:footnote w:id="2">
    <w:p w:rsidR="0091509C" w:rsidP="0091509C" w14:paraId="39F5426F" w14:textId="565C63BD">
      <w:pPr>
        <w:pStyle w:val="FootnoteText"/>
      </w:pPr>
      <w:r>
        <w:rPr>
          <w:rStyle w:val="FootnoteReference"/>
        </w:rPr>
        <w:footnoteRef/>
      </w:r>
      <w:r>
        <w:t xml:space="preserve"> </w:t>
      </w:r>
      <w:bookmarkStart w:id="0" w:name="_Hlk79075627"/>
      <w:r w:rsidRPr="00792118">
        <w:rPr>
          <w:color w:val="000000"/>
        </w:rPr>
        <w:t xml:space="preserve">Alex Media, Inc. (Alex Media) was the winning bidder for the </w:t>
      </w:r>
      <w:r w:rsidR="00D9198D">
        <w:rPr>
          <w:color w:val="000000"/>
        </w:rPr>
        <w:t>construction permit</w:t>
      </w:r>
      <w:r w:rsidRPr="00792118" w:rsidR="00D9198D">
        <w:rPr>
          <w:color w:val="000000"/>
        </w:rPr>
        <w:t xml:space="preserve"> </w:t>
      </w:r>
      <w:r w:rsidRPr="00792118">
        <w:rPr>
          <w:color w:val="000000"/>
        </w:rPr>
        <w:t xml:space="preserve">(Station) in FM Auction 91.  </w:t>
      </w:r>
      <w:r w:rsidRPr="00792118">
        <w:rPr>
          <w:i/>
        </w:rPr>
        <w:t>See Auction of FM Broadcast Construction Permits Closes; Winning Bidders Announced for Auction 91</w:t>
      </w:r>
      <w:r w:rsidRPr="00792118">
        <w:t xml:space="preserve">, Public Notice, </w:t>
      </w:r>
      <w:r w:rsidRPr="00792118">
        <w:rPr>
          <w:iCs/>
        </w:rPr>
        <w:t xml:space="preserve">26 FCC </w:t>
      </w:r>
      <w:r w:rsidRPr="00792118">
        <w:rPr>
          <w:iCs/>
        </w:rPr>
        <w:t>Rcd</w:t>
      </w:r>
      <w:r w:rsidRPr="00792118">
        <w:rPr>
          <w:iCs/>
        </w:rPr>
        <w:t xml:space="preserve"> 7541, Attachment A (MB/WTB 2011).  </w:t>
      </w:r>
      <w:bookmarkStart w:id="1" w:name="_Hlk79076871"/>
      <w:r w:rsidRPr="00792118">
        <w:rPr>
          <w:color w:val="000000"/>
        </w:rPr>
        <w:t xml:space="preserve">We granted </w:t>
      </w:r>
      <w:r w:rsidR="00D9198D">
        <w:rPr>
          <w:color w:val="000000"/>
        </w:rPr>
        <w:t>Alex Media’s post-auction construction permit application</w:t>
      </w:r>
      <w:r w:rsidRPr="00792118" w:rsidR="00D9198D">
        <w:rPr>
          <w:color w:val="000000"/>
        </w:rPr>
        <w:t xml:space="preserve"> on </w:t>
      </w:r>
      <w:r w:rsidRPr="00792118">
        <w:rPr>
          <w:color w:val="000000"/>
        </w:rPr>
        <w:t xml:space="preserve">July 21, 2011, </w:t>
      </w:r>
      <w:bookmarkEnd w:id="1"/>
      <w:r w:rsidRPr="00792118">
        <w:rPr>
          <w:color w:val="000000"/>
        </w:rPr>
        <w:t xml:space="preserve">which was set to expire on July 21, 2014.  </w:t>
      </w:r>
      <w:r w:rsidR="008B1227">
        <w:t xml:space="preserve">Public Notice, Broadcast Actions, Report No. 47536 (July 26, 2011).  </w:t>
      </w:r>
      <w:r w:rsidRPr="00792118">
        <w:rPr>
          <w:color w:val="000000"/>
        </w:rPr>
        <w:t>On March 1, 2013, Urban One acquired the construction permit from Alex Media.</w:t>
      </w:r>
      <w:r>
        <w:rPr>
          <w:color w:val="000000"/>
        </w:rPr>
        <w:t xml:space="preserve">  </w:t>
      </w:r>
      <w:r>
        <w:t>File No. BAPH-20120917AGZ</w:t>
      </w:r>
      <w:r w:rsidR="00290986">
        <w:t xml:space="preserve"> (Assignment Application)</w:t>
      </w:r>
      <w:r>
        <w:t xml:space="preserve"> (assignment approved December 26, 2012, and consummated March 1, 2013).</w:t>
      </w:r>
      <w:r w:rsidR="00290986">
        <w:t xml:space="preserve">  Urban One certified in the Assignment Application that it qualified as an eligible entity.</w:t>
      </w:r>
    </w:p>
    <w:bookmarkEnd w:id="0"/>
  </w:footnote>
  <w:footnote w:id="3">
    <w:p w:rsidR="0091509C" w:rsidRPr="0091509C" w:rsidP="0091509C" w14:paraId="11025F3D" w14:textId="77777777">
      <w:pPr>
        <w:pStyle w:val="FootnoteText"/>
      </w:pPr>
      <w:r>
        <w:rPr>
          <w:rStyle w:val="FootnoteReference"/>
        </w:rPr>
        <w:footnoteRef/>
      </w:r>
      <w:r>
        <w:t xml:space="preserve"> </w:t>
      </w:r>
      <w:r w:rsidRPr="0091509C">
        <w:rPr>
          <w:color w:val="000000"/>
        </w:rPr>
        <w:t xml:space="preserve">The application proposed changing the Station’s class, antenna location, effective radiated power, antenna height and tower height because of difficulties accessing the permitted site. </w:t>
      </w:r>
      <w:r w:rsidRPr="0091509C">
        <w:t xml:space="preserve"> File No. BMPH-20140519ABG.</w:t>
      </w:r>
    </w:p>
  </w:footnote>
  <w:footnote w:id="4">
    <w:p w:rsidR="0091509C" w:rsidP="0091509C" w14:paraId="230C6281" w14:textId="7582FBC7">
      <w:pPr>
        <w:pStyle w:val="FootnoteText"/>
      </w:pPr>
      <w:r>
        <w:rPr>
          <w:rStyle w:val="FootnoteReference"/>
        </w:rPr>
        <w:footnoteRef/>
      </w:r>
      <w:r>
        <w:t xml:space="preserve"> </w:t>
      </w:r>
      <w:r w:rsidR="003C71FC">
        <w:t xml:space="preserve">Informal Objection of Suncoast Radio, Inc., File No. BMPH-20140519ABG (filed June 16, 2014).  </w:t>
      </w:r>
      <w:r>
        <w:t>Specifically</w:t>
      </w:r>
      <w:r w:rsidR="00BB346A">
        <w:t>,</w:t>
      </w:r>
      <w:r w:rsidRPr="00942601">
        <w:t xml:space="preserve"> </w:t>
      </w:r>
      <w:r w:rsidR="00D6132E">
        <w:t xml:space="preserve">Suncoast Radio asserted that the Modification Application did not </w:t>
      </w:r>
      <w:r w:rsidR="002F52E2">
        <w:t>follow</w:t>
      </w:r>
      <w:r w:rsidR="00D6132E">
        <w:t xml:space="preserve"> </w:t>
      </w:r>
      <w:r w:rsidRPr="00942601">
        <w:t xml:space="preserve">the procedure set out in </w:t>
      </w:r>
      <w:r w:rsidR="00BB346A">
        <w:t>47 CFR §</w:t>
      </w:r>
      <w:r w:rsidRPr="00942601">
        <w:t xml:space="preserve"> 1.1307(a)(4) and section 106 of the National Historic Preservation Act (Section 106 Review).</w:t>
      </w:r>
      <w:r>
        <w:t xml:space="preserve"> </w:t>
      </w:r>
      <w:r w:rsidR="00BB346A">
        <w:t xml:space="preserve"> </w:t>
      </w:r>
      <w:r>
        <w:rPr>
          <w:i/>
        </w:rPr>
        <w:t>National Historic Preservation Act of 1966</w:t>
      </w:r>
      <w:r>
        <w:t>, as amended, 16 U.S.C. § 470f;</w:t>
      </w:r>
      <w:r>
        <w:rPr>
          <w:i/>
        </w:rPr>
        <w:t xml:space="preserve"> Nationwide Programmatic Agreement Regarding the Section 106 National Historic Preservation Act</w:t>
      </w:r>
      <w:r>
        <w:t>, 47 CFR Pt. 1, App. C, § III.C (NPA));</w:t>
      </w:r>
      <w:r>
        <w:rPr>
          <w:rStyle w:val="emphi"/>
          <w:i/>
        </w:rPr>
        <w:t xml:space="preserve"> Nationwide Programmatic Agreement Regarding the Section 106 National Historic Preservation Act Review Process</w:t>
      </w:r>
      <w:r>
        <w:rPr>
          <w:rStyle w:val="emphi"/>
        </w:rPr>
        <w:t>,</w:t>
      </w:r>
      <w:r>
        <w:t xml:space="preserve"> Report and Order, 20 FCC </w:t>
      </w:r>
      <w:r>
        <w:t>Rcd</w:t>
      </w:r>
      <w:r>
        <w:t xml:space="preserve"> 1073, Appendix B, Section III.C  (2004).</w:t>
      </w:r>
    </w:p>
  </w:footnote>
  <w:footnote w:id="5">
    <w:p w:rsidR="0091509C" w:rsidP="0091509C" w14:paraId="2D2BC34F" w14:textId="2E29D1BF">
      <w:pPr>
        <w:pStyle w:val="FootnoteText"/>
      </w:pPr>
      <w:r>
        <w:rPr>
          <w:rStyle w:val="FootnoteReference"/>
        </w:rPr>
        <w:footnoteRef/>
      </w:r>
      <w:r>
        <w:t xml:space="preserve"> </w:t>
      </w:r>
      <w:r w:rsidRPr="00BF1679">
        <w:rPr>
          <w:color w:val="000000"/>
        </w:rPr>
        <w:t xml:space="preserve">Urban One claimed exemption from Section 106 Review based on its assertion that the 2004 National Programmatic Agreement contained an exclusion for “temporary” antenna structures, defined as those erected “for no more than twenty-four months duration,” </w:t>
      </w:r>
      <w:r>
        <w:rPr>
          <w:color w:val="000000"/>
        </w:rPr>
        <w:t>and</w:t>
      </w:r>
      <w:r w:rsidRPr="00BF1679">
        <w:rPr>
          <w:color w:val="000000"/>
        </w:rPr>
        <w:t xml:space="preserve"> the antenna structure proposed in the Modification Application would have been standing for 24 months or less.  </w:t>
      </w:r>
      <w:r w:rsidRPr="00CE763E">
        <w:t>Modification Application, Exhibit 35, “Permittee’s Documentation of Exclusions from Section 106 Review and FCC Form 620” (citing the NPA).</w:t>
      </w:r>
    </w:p>
  </w:footnote>
  <w:footnote w:id="6">
    <w:p w:rsidR="000A2AC9" w:rsidP="000A2AC9" w14:paraId="71BE376D" w14:textId="13A9C69E">
      <w:pPr>
        <w:pStyle w:val="FootnoteText"/>
      </w:pPr>
      <w:r>
        <w:rPr>
          <w:rStyle w:val="FootnoteReference"/>
        </w:rPr>
        <w:footnoteRef/>
      </w:r>
      <w:r>
        <w:t xml:space="preserve"> </w:t>
      </w:r>
      <w:r>
        <w:t xml:space="preserve">47 </w:t>
      </w:r>
      <w:r w:rsidR="006D1E69">
        <w:t>CFR</w:t>
      </w:r>
      <w:r>
        <w:t xml:space="preserve"> § 73.3598(b)(2).</w:t>
      </w:r>
    </w:p>
  </w:footnote>
  <w:footnote w:id="7">
    <w:p w:rsidR="000A2AC9" w:rsidRPr="00B27046" w:rsidP="000A2AC9" w14:paraId="296140B1" w14:textId="705178AA">
      <w:pPr>
        <w:pStyle w:val="FootnoteText"/>
        <w:rPr>
          <w:color w:val="000000"/>
        </w:rPr>
      </w:pPr>
      <w:r>
        <w:rPr>
          <w:rStyle w:val="FootnoteReference"/>
        </w:rPr>
        <w:footnoteRef/>
      </w:r>
      <w:r>
        <w:t xml:space="preserve"> </w:t>
      </w:r>
      <w:r w:rsidR="00951A0F">
        <w:rPr>
          <w:i/>
        </w:rPr>
        <w:t xml:space="preserve">See </w:t>
      </w:r>
      <w:r w:rsidR="00951A0F">
        <w:t xml:space="preserve">Email from Victoria McCauley to William Johnson (MB June 25, 2014) </w:t>
      </w:r>
      <w:r w:rsidRPr="00B27046">
        <w:rPr>
          <w:i/>
        </w:rPr>
        <w:t xml:space="preserve"> </w:t>
      </w:r>
      <w:r w:rsidRPr="00B27046" w:rsidR="00E37135">
        <w:t>(</w:t>
      </w:r>
      <w:r w:rsidRPr="00B27046" w:rsidR="00E37135">
        <w:rPr>
          <w:i/>
          <w:iCs/>
        </w:rPr>
        <w:t>Tolling Decision</w:t>
      </w:r>
      <w:r w:rsidRPr="00B27046" w:rsidR="00E37135">
        <w:t>)</w:t>
      </w:r>
      <w:r w:rsidRPr="00B27046">
        <w:t>.</w:t>
      </w:r>
      <w:r w:rsidRPr="00B27046" w:rsidR="00B27046">
        <w:t xml:space="preserve">  </w:t>
      </w:r>
      <w:r w:rsidRPr="00B27046" w:rsidR="00B27046">
        <w:rPr>
          <w:color w:val="000000"/>
        </w:rPr>
        <w:t xml:space="preserve">On June 24, 2014, the Bureau notified Urban One by letter that the Modification Application could not be processed because the proposed facility failed the slope requirement (for an antenna structure near an airport) set out in </w:t>
      </w:r>
      <w:r w:rsidR="008E51F6">
        <w:rPr>
          <w:color w:val="000000"/>
        </w:rPr>
        <w:t xml:space="preserve">47 CFR </w:t>
      </w:r>
      <w:r w:rsidR="008E51F6">
        <w:t xml:space="preserve">§ </w:t>
      </w:r>
      <w:r w:rsidRPr="00B27046" w:rsidR="00B27046">
        <w:rPr>
          <w:color w:val="000000"/>
        </w:rPr>
        <w:t>17.7(b), and that therefore Urban One was required to notify the Federal Aviation Administration (FAA) of the proposed tower and obtain an FAA “no hazard” determination, and register the tower with the Commission.</w:t>
      </w:r>
      <w:r w:rsidR="008E51F6">
        <w:rPr>
          <w:color w:val="000000"/>
        </w:rPr>
        <w:t xml:space="preserve">  </w:t>
      </w:r>
      <w:r w:rsidR="00C051EB">
        <w:rPr>
          <w:i/>
        </w:rPr>
        <w:t>Mr. William Johnson</w:t>
      </w:r>
      <w:r w:rsidR="00C051EB">
        <w:t>, Letter, Ref. No. 1800B3-AED (MB June 24, 2014)</w:t>
      </w:r>
      <w:r w:rsidR="008E51F6">
        <w:t xml:space="preserve">; </w:t>
      </w:r>
      <w:r w:rsidR="008E51F6">
        <w:rPr>
          <w:i/>
        </w:rPr>
        <w:t xml:space="preserve">see also </w:t>
      </w:r>
      <w:r w:rsidR="008E51F6">
        <w:t>47 CFR § 17.4.</w:t>
      </w:r>
      <w:r w:rsidRPr="00B27046" w:rsidR="00B27046">
        <w:rPr>
          <w:color w:val="000000"/>
        </w:rPr>
        <w:t xml:space="preserve">  On June 30, 2014, Urban One instead amended the Modification Application to reduce the proposed tower height to 14 meters, thus obviating the need to comply with notification and registration requirements.  </w:t>
      </w:r>
    </w:p>
  </w:footnote>
  <w:footnote w:id="8">
    <w:p w:rsidR="00394BB2" w:rsidP="00394BB2" w14:paraId="6F0D735A" w14:textId="77777777">
      <w:pPr>
        <w:pStyle w:val="FootnoteText"/>
      </w:pPr>
      <w:r>
        <w:rPr>
          <w:rStyle w:val="FootnoteReference"/>
        </w:rPr>
        <w:footnoteRef/>
      </w:r>
      <w:r>
        <w:t xml:space="preserve"> </w:t>
      </w:r>
      <w:r>
        <w:rPr>
          <w:i/>
        </w:rPr>
        <w:t>Mr. William Johnson</w:t>
      </w:r>
      <w:r>
        <w:t>, Letter, Ref. No. 1800B3-AED (July 17, 2014) (</w:t>
      </w:r>
      <w:r w:rsidRPr="004D3C0E">
        <w:rPr>
          <w:i/>
          <w:iCs/>
        </w:rPr>
        <w:t>Modification Decision</w:t>
      </w:r>
      <w:r>
        <w:t>).</w:t>
      </w:r>
    </w:p>
  </w:footnote>
  <w:footnote w:id="9">
    <w:p w:rsidR="00394BB2" w:rsidP="00394BB2" w14:paraId="720F42D9" w14:textId="77777777">
      <w:pPr>
        <w:pStyle w:val="FootnoteText"/>
      </w:pPr>
      <w:r>
        <w:rPr>
          <w:rStyle w:val="FootnoteReference"/>
        </w:rPr>
        <w:footnoteRef/>
      </w:r>
      <w:r>
        <w:t xml:space="preserve"> </w:t>
      </w:r>
      <w:r w:rsidRPr="00EB7F1C">
        <w:rPr>
          <w:i/>
          <w:iCs/>
        </w:rPr>
        <w:t>Id</w:t>
      </w:r>
      <w:r>
        <w:t>. at 2.</w:t>
      </w:r>
    </w:p>
  </w:footnote>
  <w:footnote w:id="10">
    <w:p w:rsidR="00642B3B" w:rsidP="002632A8" w14:paraId="155F64FF" w14:textId="2B54EA7B">
      <w:pPr>
        <w:pStyle w:val="Default"/>
        <w:spacing w:after="120"/>
      </w:pPr>
      <w:r>
        <w:rPr>
          <w:rStyle w:val="FootnoteReference"/>
        </w:rPr>
        <w:footnoteRef/>
      </w:r>
      <w:r>
        <w:t xml:space="preserve"> </w:t>
      </w:r>
      <w:r>
        <w:rPr>
          <w:sz w:val="20"/>
          <w:szCs w:val="20"/>
        </w:rPr>
        <w:t>Petition for Reconsideration of the Denial of the Petitioner’s Request for Waiver of the Commission’s Construction Period Rule of Urban One</w:t>
      </w:r>
      <w:r w:rsidR="002632A8">
        <w:rPr>
          <w:sz w:val="20"/>
          <w:szCs w:val="20"/>
        </w:rPr>
        <w:t xml:space="preserve"> Broadcasting Network, LLC, File No. BMPH-20140519ABG (filed July 24, 2014) (Tolling PFR).</w:t>
      </w:r>
    </w:p>
  </w:footnote>
  <w:footnote w:id="11">
    <w:p w:rsidR="002632A8" w:rsidRPr="002632A8" w:rsidP="002632A8" w14:paraId="6869A5C8" w14:textId="34BAA5F8">
      <w:pPr>
        <w:pStyle w:val="Default"/>
        <w:spacing w:after="120"/>
        <w:rPr>
          <w:sz w:val="20"/>
          <w:szCs w:val="20"/>
        </w:rPr>
      </w:pPr>
      <w:r>
        <w:rPr>
          <w:rStyle w:val="FootnoteReference"/>
        </w:rPr>
        <w:footnoteRef/>
      </w:r>
      <w:r>
        <w:t xml:space="preserve"> </w:t>
      </w:r>
      <w:r>
        <w:rPr>
          <w:sz w:val="20"/>
          <w:szCs w:val="20"/>
        </w:rPr>
        <w:t xml:space="preserve">Petition for Reconsideration of the Erroneous Granting in Part of the Respondent’s Informal Objection on the Basis that the Petitioner’s Pending Modification Application was </w:t>
      </w:r>
      <w:r>
        <w:rPr>
          <w:sz w:val="20"/>
          <w:szCs w:val="20"/>
        </w:rPr>
        <w:t>Catergorically</w:t>
      </w:r>
      <w:r>
        <w:rPr>
          <w:sz w:val="20"/>
          <w:szCs w:val="20"/>
        </w:rPr>
        <w:t xml:space="preserve"> (sic) Excluded from 47 C.F.R. Section 1.1306(a) </w:t>
      </w:r>
      <w:r>
        <w:rPr>
          <w:sz w:val="20"/>
          <w:szCs w:val="20"/>
        </w:rPr>
        <w:t>Envorimental</w:t>
      </w:r>
      <w:r>
        <w:rPr>
          <w:sz w:val="20"/>
          <w:szCs w:val="20"/>
        </w:rPr>
        <w:t xml:space="preserve"> (sic) Processing and Section 106 Review and on the Additional Basis of the Erroneous Adjudicating on the Merits of an Issue Raised by the FCC Staff’s Adjudicating Officer that was Outside the Scope of the Pleadings Raised of Urban One Broadcasting Network, LLC, File No. BMPH-20140519ABG (filed Aug. 4, 2014) (Modification PFR).</w:t>
      </w:r>
    </w:p>
  </w:footnote>
  <w:footnote w:id="12">
    <w:p w:rsidR="00CE06ED" w14:paraId="62401D1F" w14:textId="4EE5A8DC">
      <w:pPr>
        <w:pStyle w:val="FootnoteText"/>
      </w:pPr>
      <w:r>
        <w:rPr>
          <w:rStyle w:val="FootnoteReference"/>
        </w:rPr>
        <w:footnoteRef/>
      </w:r>
      <w:r>
        <w:t xml:space="preserve"> </w:t>
      </w:r>
      <w:r w:rsidRPr="00134A16">
        <w:rPr>
          <w:i/>
          <w:iCs/>
        </w:rPr>
        <w:t>Id</w:t>
      </w:r>
      <w:r>
        <w:t xml:space="preserve">. at </w:t>
      </w:r>
      <w:r w:rsidR="00134A16">
        <w:t>13.</w:t>
      </w:r>
    </w:p>
  </w:footnote>
  <w:footnote w:id="13">
    <w:p w:rsidR="006406EF" w:rsidP="006406EF" w14:paraId="70DD4C14" w14:textId="008F0BD2">
      <w:pPr>
        <w:pStyle w:val="FootnoteText"/>
      </w:pPr>
      <w:r>
        <w:rPr>
          <w:rStyle w:val="FootnoteReference"/>
        </w:rPr>
        <w:footnoteRef/>
      </w:r>
      <w:r>
        <w:t xml:space="preserve"> </w:t>
      </w:r>
      <w:r w:rsidR="0096020A">
        <w:rPr>
          <w:i/>
        </w:rPr>
        <w:t>Promoting Diversification of Ownership in the Broadcast Services</w:t>
      </w:r>
      <w:r w:rsidR="0096020A">
        <w:t xml:space="preserve">, Report and Order and Third Further Notice of Proposed Rulemaking, 23 FCC </w:t>
      </w:r>
      <w:r w:rsidR="0096020A">
        <w:t>Rcd</w:t>
      </w:r>
      <w:r w:rsidR="0096020A">
        <w:t xml:space="preserve"> 5922 (2008).  </w:t>
      </w:r>
      <w:bookmarkStart w:id="7" w:name="_Hlk79077203"/>
      <w:r w:rsidR="0096020A">
        <w:t xml:space="preserve">The policy was vacated on July 7, 2011, </w:t>
      </w:r>
      <w:r w:rsidR="0096020A">
        <w:rPr>
          <w:color w:val="000000"/>
        </w:rPr>
        <w:t xml:space="preserve">by the U.S. Court of Appeals for the Third Circuit.  </w:t>
      </w:r>
      <w:r w:rsidR="0096020A">
        <w:rPr>
          <w:rStyle w:val="emphi"/>
          <w:i/>
        </w:rPr>
        <w:t>Prometheus Radio Project v. FCC</w:t>
      </w:r>
      <w:r w:rsidR="0096020A">
        <w:rPr>
          <w:rStyle w:val="emphi"/>
        </w:rPr>
        <w:t>,</w:t>
      </w:r>
      <w:r w:rsidR="0096020A">
        <w:t xml:space="preserve"> 652 F.3d 431, 465-71 (3rd Cir. 2011) (</w:t>
      </w:r>
      <w:r w:rsidR="0096020A">
        <w:rPr>
          <w:i/>
        </w:rPr>
        <w:t>Prometheus</w:t>
      </w:r>
      <w:r w:rsidR="0096020A">
        <w:t xml:space="preserve">).   Following the </w:t>
      </w:r>
      <w:r w:rsidR="0096020A">
        <w:rPr>
          <w:i/>
        </w:rPr>
        <w:t>Prometheus</w:t>
      </w:r>
      <w:r w:rsidR="0096020A">
        <w:t xml:space="preserve"> decision, by Public Notice released July 25, 2011, the Media Bureau suspended the eligible entity policy.  </w:t>
      </w:r>
      <w:r w:rsidR="0096020A">
        <w:rPr>
          <w:i/>
        </w:rPr>
        <w:t>See Media Bureau Provides Notice of Suspension of Eligible Entity Rule Changes and Guidance on the Assignment of Broadcast Station Construction Permits to Eligible Entities</w:t>
      </w:r>
      <w:r w:rsidR="0096020A">
        <w:t xml:space="preserve">, Public Notice, 26 FCC </w:t>
      </w:r>
      <w:r w:rsidR="0096020A">
        <w:t>Rcd</w:t>
      </w:r>
      <w:r w:rsidR="0096020A">
        <w:t xml:space="preserve"> 10370 (MB 2011)</w:t>
      </w:r>
      <w:r w:rsidR="00386FFB">
        <w:t xml:space="preserve"> (</w:t>
      </w:r>
      <w:r w:rsidRPr="00386FFB" w:rsidR="00386FFB">
        <w:rPr>
          <w:i/>
          <w:iCs/>
        </w:rPr>
        <w:t>2011 Rule Suspension Public Notice</w:t>
      </w:r>
      <w:r w:rsidR="00386FFB">
        <w:t>)</w:t>
      </w:r>
      <w:r w:rsidR="0096020A">
        <w:t xml:space="preserve">. </w:t>
      </w:r>
      <w:bookmarkEnd w:id="7"/>
      <w:r w:rsidR="0096020A">
        <w:t xml:space="preserve"> </w:t>
      </w:r>
      <w:bookmarkStart w:id="8" w:name="_Hlk79092573"/>
      <w:r w:rsidR="0096020A">
        <w:t xml:space="preserve">In 2016, the Commission revived the eligible entity policy.  </w:t>
      </w:r>
      <w:r w:rsidRPr="0060319B" w:rsidR="0096020A">
        <w:rPr>
          <w:i/>
          <w:iCs/>
        </w:rPr>
        <w:t xml:space="preserve">2014 Quadrennial Regulatory Review - </w:t>
      </w:r>
      <w:r w:rsidRPr="0060319B" w:rsidR="0096020A">
        <w:rPr>
          <w:i/>
          <w:iCs/>
          <w:color w:val="252525"/>
        </w:rPr>
        <w:t>Review of the Commission’s Broadcast Ownership Rules and Other Rules Adopted Pursuant to Section 202 of the Telecommunications Act of 1996</w:t>
      </w:r>
      <w:r w:rsidR="0096020A">
        <w:rPr>
          <w:color w:val="252525"/>
        </w:rPr>
        <w:t xml:space="preserve">, MB Docket Nos. </w:t>
      </w:r>
      <w:r w:rsidR="0096020A">
        <w:rPr>
          <w:color w:val="000000"/>
        </w:rPr>
        <w:t xml:space="preserve">14-50, 09-182, 07-294, 04-256, </w:t>
      </w:r>
      <w:r w:rsidR="0096020A">
        <w:rPr>
          <w:color w:val="252525"/>
        </w:rPr>
        <w:t xml:space="preserve">Second Report and Order, 31 FCC </w:t>
      </w:r>
      <w:r w:rsidR="0096020A">
        <w:rPr>
          <w:color w:val="252525"/>
        </w:rPr>
        <w:t>Rcd</w:t>
      </w:r>
      <w:r w:rsidR="0096020A">
        <w:rPr>
          <w:color w:val="252525"/>
        </w:rPr>
        <w:t xml:space="preserve"> 9864 (2016) (</w:t>
      </w:r>
      <w:bookmarkStart w:id="9" w:name="_Hlk80884722"/>
      <w:r w:rsidRPr="00B8506C" w:rsidR="0096020A">
        <w:rPr>
          <w:i/>
          <w:iCs/>
          <w:color w:val="252525"/>
        </w:rPr>
        <w:t>2014/2010</w:t>
      </w:r>
      <w:r w:rsidR="0096020A">
        <w:rPr>
          <w:color w:val="252525"/>
        </w:rPr>
        <w:t xml:space="preserve"> </w:t>
      </w:r>
      <w:r w:rsidRPr="00633074" w:rsidR="0096020A">
        <w:rPr>
          <w:i/>
          <w:iCs/>
          <w:color w:val="252525"/>
        </w:rPr>
        <w:t>Quadrennial Second R&amp;O</w:t>
      </w:r>
      <w:bookmarkEnd w:id="9"/>
      <w:r w:rsidR="0096020A">
        <w:rPr>
          <w:color w:val="252525"/>
        </w:rPr>
        <w:t xml:space="preserve">).  The reinstated eligible entity policy became effective on December 1, 2016.  </w:t>
      </w:r>
      <w:r w:rsidRPr="006406EF" w:rsidR="0096020A">
        <w:rPr>
          <w:i/>
          <w:iCs/>
          <w:color w:val="252525"/>
        </w:rPr>
        <w:t>See</w:t>
      </w:r>
      <w:r w:rsidR="0096020A">
        <w:rPr>
          <w:color w:val="252525"/>
        </w:rPr>
        <w:t xml:space="preserve"> 81 Fed. Reg. 76220-01 (Nov. 1, 2016)</w:t>
      </w:r>
      <w:r w:rsidR="000621EC">
        <w:rPr>
          <w:color w:val="252525"/>
        </w:rPr>
        <w:t xml:space="preserve"> (</w:t>
      </w:r>
      <w:r w:rsidRPr="000621EC" w:rsidR="000621EC">
        <w:rPr>
          <w:i/>
          <w:iCs/>
          <w:color w:val="252525"/>
        </w:rPr>
        <w:t>2016 FR Public Notice</w:t>
      </w:r>
      <w:r w:rsidR="000621EC">
        <w:rPr>
          <w:color w:val="252525"/>
        </w:rPr>
        <w:t>)</w:t>
      </w:r>
      <w:r w:rsidR="0096020A">
        <w:rPr>
          <w:color w:val="252525"/>
        </w:rPr>
        <w:t xml:space="preserve">.  </w:t>
      </w:r>
      <w:bookmarkEnd w:id="8"/>
      <w:r w:rsidR="0096020A">
        <w:rPr>
          <w:color w:val="252525"/>
        </w:rPr>
        <w:t xml:space="preserve">The eligible entity policy was subsequently vacated on September 23, 2019, </w:t>
      </w:r>
      <w:r w:rsidRPr="006C7DD0" w:rsidR="0096020A">
        <w:rPr>
          <w:i/>
          <w:iCs/>
          <w:color w:val="252525"/>
        </w:rPr>
        <w:t>Prometheus Radio Project v. FCC</w:t>
      </w:r>
      <w:r w:rsidR="0096020A">
        <w:rPr>
          <w:color w:val="252525"/>
        </w:rPr>
        <w:t>, 939 F.3d 567 (3d Cir. 2019)</w:t>
      </w:r>
      <w:r w:rsidR="00505577">
        <w:rPr>
          <w:color w:val="252525"/>
        </w:rPr>
        <w:t xml:space="preserve">, </w:t>
      </w:r>
      <w:r w:rsidRPr="00505577" w:rsidR="00505577">
        <w:rPr>
          <w:i/>
          <w:iCs/>
        </w:rPr>
        <w:t xml:space="preserve">petition for rehearing </w:t>
      </w:r>
      <w:r w:rsidRPr="00505577" w:rsidR="00505577">
        <w:rPr>
          <w:i/>
          <w:iCs/>
        </w:rPr>
        <w:t>en</w:t>
      </w:r>
      <w:r w:rsidRPr="00505577" w:rsidR="00505577">
        <w:rPr>
          <w:i/>
          <w:iCs/>
        </w:rPr>
        <w:t xml:space="preserve"> banc denied</w:t>
      </w:r>
      <w:r w:rsidRPr="00505577" w:rsidR="00505577">
        <w:t xml:space="preserve"> (3d Cir. Nov. 20, 2019)</w:t>
      </w:r>
      <w:r w:rsidRPr="00505577" w:rsidR="0096020A">
        <w:rPr>
          <w:color w:val="252525"/>
        </w:rPr>
        <w:t xml:space="preserve">.  </w:t>
      </w:r>
      <w:r w:rsidRPr="00505577" w:rsidR="00505577">
        <w:rPr>
          <w:color w:val="252525"/>
        </w:rPr>
        <w:t>On</w:t>
      </w:r>
      <w:r w:rsidR="00505577">
        <w:rPr>
          <w:color w:val="252525"/>
        </w:rPr>
        <w:t xml:space="preserve"> December 20, 2019, the </w:t>
      </w:r>
      <w:r w:rsidR="0060439A">
        <w:rPr>
          <w:color w:val="252525"/>
        </w:rPr>
        <w:t>Media Bureau</w:t>
      </w:r>
      <w:r w:rsidR="00505577">
        <w:rPr>
          <w:color w:val="252525"/>
        </w:rPr>
        <w:t xml:space="preserve"> </w:t>
      </w:r>
      <w:r w:rsidR="0060439A">
        <w:rPr>
          <w:color w:val="252525"/>
        </w:rPr>
        <w:t xml:space="preserve">announced it had amended its rules to conform to the Third Circuit’s </w:t>
      </w:r>
      <w:r w:rsidR="008E0E66">
        <w:rPr>
          <w:color w:val="252525"/>
        </w:rPr>
        <w:t>decision</w:t>
      </w:r>
      <w:r w:rsidR="0060439A">
        <w:rPr>
          <w:color w:val="252525"/>
        </w:rPr>
        <w:t xml:space="preserve">, including the court’s vacatur of the eligible entity policy.  </w:t>
      </w:r>
      <w:r w:rsidRPr="0060439A" w:rsidR="0060439A">
        <w:rPr>
          <w:i/>
          <w:iCs/>
          <w:color w:val="252525"/>
        </w:rPr>
        <w:t>Media Bureau Announces Procedures for Processing FCC Form 314 and 315 Assignment and Transfer of Control Applications for Commercial Stations in Light of Third Circuit Mandate</w:t>
      </w:r>
      <w:r w:rsidR="0060439A">
        <w:rPr>
          <w:color w:val="252525"/>
        </w:rPr>
        <w:t xml:space="preserve">, Public Notice, 34 FCC </w:t>
      </w:r>
      <w:r w:rsidR="0060439A">
        <w:rPr>
          <w:color w:val="252525"/>
        </w:rPr>
        <w:t>Rcd</w:t>
      </w:r>
      <w:r w:rsidR="0060439A">
        <w:rPr>
          <w:color w:val="252525"/>
        </w:rPr>
        <w:t xml:space="preserve"> 12374 (2019).  </w:t>
      </w:r>
      <w:r w:rsidRPr="008D4B9C" w:rsidR="0060439A">
        <w:rPr>
          <w:rFonts w:ascii="TimesNewRomanPSMT" w:hAnsi="TimesNewRomanPSMT" w:cs="TimesNewRomanPSMT"/>
        </w:rPr>
        <w:t xml:space="preserve">On April 1, 2021, the U.S. Supreme Court, in </w:t>
      </w:r>
      <w:r w:rsidRPr="008D4B9C" w:rsidR="0060439A">
        <w:rPr>
          <w:rFonts w:ascii="TimesNewRomanPS-ItalicMT" w:hAnsi="TimesNewRomanPS-ItalicMT" w:cs="TimesNewRomanPS-ItalicMT"/>
          <w:i/>
          <w:iCs/>
        </w:rPr>
        <w:t>FCC v. Prometheus Radio Project</w:t>
      </w:r>
      <w:r w:rsidRPr="008D4B9C" w:rsidR="0060439A">
        <w:rPr>
          <w:rFonts w:ascii="TimesNewRomanPSMT" w:hAnsi="TimesNewRomanPSMT" w:cs="TimesNewRomanPSMT"/>
        </w:rPr>
        <w:t xml:space="preserve">, reversed the </w:t>
      </w:r>
      <w:r w:rsidR="00221D7C">
        <w:rPr>
          <w:rFonts w:ascii="TimesNewRomanPSMT" w:hAnsi="TimesNewRomanPSMT" w:cs="TimesNewRomanPSMT"/>
        </w:rPr>
        <w:t xml:space="preserve">September 23, 2019, </w:t>
      </w:r>
      <w:r w:rsidRPr="008D4B9C" w:rsidR="0060439A">
        <w:rPr>
          <w:rFonts w:ascii="TimesNewRomanPSMT" w:hAnsi="TimesNewRomanPSMT" w:cs="TimesNewRomanPSMT"/>
        </w:rPr>
        <w:t>decision of the United States Court of Appeals for the Third Circuit.</w:t>
      </w:r>
      <w:r w:rsidR="0096020A">
        <w:rPr>
          <w:color w:val="252525"/>
        </w:rPr>
        <w:t xml:space="preserve"> </w:t>
      </w:r>
      <w:r w:rsidR="00221D7C">
        <w:rPr>
          <w:color w:val="252525"/>
        </w:rPr>
        <w:t xml:space="preserve"> </w:t>
      </w:r>
      <w:r w:rsidRPr="006C7DD0" w:rsidR="0096020A">
        <w:rPr>
          <w:i/>
          <w:iCs/>
          <w:color w:val="252525"/>
        </w:rPr>
        <w:t>FCC v. Prometheus Radio Project</w:t>
      </w:r>
      <w:r w:rsidR="0096020A">
        <w:rPr>
          <w:color w:val="252525"/>
        </w:rPr>
        <w:t xml:space="preserve">, 141 </w:t>
      </w:r>
      <w:r w:rsidR="0096020A">
        <w:rPr>
          <w:color w:val="252525"/>
        </w:rPr>
        <w:t>S.Ct</w:t>
      </w:r>
      <w:r w:rsidR="0096020A">
        <w:rPr>
          <w:color w:val="252525"/>
        </w:rPr>
        <w:t>. 1150, 209 L.Ed.2d 287 (2021) (</w:t>
      </w:r>
      <w:r w:rsidRPr="00906428" w:rsidR="0096020A">
        <w:rPr>
          <w:i/>
          <w:iCs/>
          <w:color w:val="252525"/>
        </w:rPr>
        <w:t>Prometheus Supreme Court Decision</w:t>
      </w:r>
      <w:r w:rsidR="0096020A">
        <w:rPr>
          <w:color w:val="252525"/>
        </w:rPr>
        <w:t>).</w:t>
      </w:r>
    </w:p>
  </w:footnote>
  <w:footnote w:id="14">
    <w:p w:rsidR="00E33323" w14:paraId="2764C182" w14:textId="1E256F33">
      <w:pPr>
        <w:pStyle w:val="FootnoteText"/>
      </w:pPr>
      <w:r>
        <w:rPr>
          <w:rStyle w:val="FootnoteReference"/>
        </w:rPr>
        <w:footnoteRef/>
      </w:r>
      <w:r>
        <w:t xml:space="preserve"> </w:t>
      </w:r>
      <w:r>
        <w:t>Modification PFR at 13.</w:t>
      </w:r>
    </w:p>
  </w:footnote>
  <w:footnote w:id="15">
    <w:p w:rsidR="00D56F1B" w14:paraId="6AC4B41C" w14:textId="6F035270">
      <w:pPr>
        <w:pStyle w:val="FootnoteText"/>
      </w:pPr>
      <w:r>
        <w:rPr>
          <w:rStyle w:val="FootnoteReference"/>
        </w:rPr>
        <w:footnoteRef/>
      </w:r>
      <w:r>
        <w:t xml:space="preserve"> </w:t>
      </w:r>
      <w:r>
        <w:rPr>
          <w:i/>
        </w:rPr>
        <w:t>William Johnson</w:t>
      </w:r>
      <w:r>
        <w:t xml:space="preserve">, Letter Decision, </w:t>
      </w:r>
      <w:r w:rsidRPr="009D4CDB">
        <w:rPr>
          <w:iCs/>
        </w:rPr>
        <w:t xml:space="preserve">30 FCC </w:t>
      </w:r>
      <w:r w:rsidRPr="009D4CDB">
        <w:rPr>
          <w:iCs/>
        </w:rPr>
        <w:t>Rcd</w:t>
      </w:r>
      <w:r w:rsidRPr="009D4CDB">
        <w:rPr>
          <w:iCs/>
        </w:rPr>
        <w:t xml:space="preserve"> 2015</w:t>
      </w:r>
      <w:r w:rsidRPr="009D4CDB">
        <w:t xml:space="preserve"> </w:t>
      </w:r>
      <w:r w:rsidRPr="00D72AA5">
        <w:t>(MB 2015</w:t>
      </w:r>
      <w:r>
        <w:t>) (</w:t>
      </w:r>
      <w:r>
        <w:rPr>
          <w:i/>
        </w:rPr>
        <w:t>Reconsideration Decision</w:t>
      </w:r>
      <w:r>
        <w:t>).</w:t>
      </w:r>
    </w:p>
  </w:footnote>
  <w:footnote w:id="16">
    <w:p w:rsidR="007D28FB" w14:paraId="4E20D989" w14:textId="65D6FE0B">
      <w:pPr>
        <w:pStyle w:val="FootnoteText"/>
      </w:pPr>
      <w:r>
        <w:rPr>
          <w:rStyle w:val="FootnoteReference"/>
        </w:rPr>
        <w:footnoteRef/>
      </w:r>
      <w:r>
        <w:t xml:space="preserve"> </w:t>
      </w:r>
      <w:r w:rsidRPr="007D28FB">
        <w:rPr>
          <w:i/>
          <w:iCs/>
        </w:rPr>
        <w:t>Id</w:t>
      </w:r>
      <w:r>
        <w:t>. at 7.</w:t>
      </w:r>
    </w:p>
  </w:footnote>
  <w:footnote w:id="17">
    <w:p w:rsidR="00E96BCF" w14:paraId="2846B179" w14:textId="0A35C5BB">
      <w:pPr>
        <w:pStyle w:val="FootnoteText"/>
      </w:pPr>
      <w:r>
        <w:rPr>
          <w:rStyle w:val="FootnoteReference"/>
        </w:rPr>
        <w:footnoteRef/>
      </w:r>
      <w:r>
        <w:t xml:space="preserve"> </w:t>
      </w:r>
      <w:r w:rsidRPr="00E96BCF">
        <w:rPr>
          <w:i/>
          <w:iCs/>
        </w:rPr>
        <w:t>Urban One Broadcasting Network, LLC</w:t>
      </w:r>
      <w:r>
        <w:t xml:space="preserve">, Memorandum Opinion and Order, 31 FCC </w:t>
      </w:r>
      <w:r>
        <w:t>Rcd</w:t>
      </w:r>
      <w:r>
        <w:t xml:space="preserve"> 4186 (2016)</w:t>
      </w:r>
      <w:r w:rsidR="00C17C2B">
        <w:t xml:space="preserve"> (</w:t>
      </w:r>
      <w:r w:rsidRPr="00C17C2B" w:rsidR="00C17C2B">
        <w:rPr>
          <w:i/>
          <w:iCs/>
        </w:rPr>
        <w:t>Urban One MO&amp;O</w:t>
      </w:r>
      <w:r w:rsidR="00C17C2B">
        <w:t>)</w:t>
      </w:r>
      <w:r>
        <w:t>.</w:t>
      </w:r>
    </w:p>
  </w:footnote>
  <w:footnote w:id="18">
    <w:p w:rsidR="00C17C2B" w14:paraId="3621BD07" w14:textId="39CE6B63">
      <w:pPr>
        <w:pStyle w:val="FootnoteText"/>
      </w:pPr>
      <w:r>
        <w:rPr>
          <w:rStyle w:val="FootnoteReference"/>
        </w:rPr>
        <w:footnoteRef/>
      </w:r>
      <w:r>
        <w:t xml:space="preserve"> </w:t>
      </w:r>
      <w:r w:rsidRPr="00E96BCF">
        <w:rPr>
          <w:i/>
          <w:iCs/>
        </w:rPr>
        <w:t>Urban One Broadcasting Network, LLC</w:t>
      </w:r>
      <w:r>
        <w:t xml:space="preserve">, Order on Reconsideration, 31 FCC </w:t>
      </w:r>
      <w:r>
        <w:t>Rcd</w:t>
      </w:r>
      <w:r>
        <w:t xml:space="preserve"> 7680 (MB 2016)</w:t>
      </w:r>
      <w:r w:rsidR="00827C06">
        <w:t xml:space="preserve"> (</w:t>
      </w:r>
      <w:r w:rsidRPr="00A97B35" w:rsidR="00827C06">
        <w:rPr>
          <w:i/>
          <w:iCs/>
        </w:rPr>
        <w:t xml:space="preserve">Reconsideration </w:t>
      </w:r>
      <w:r w:rsidR="00A97B35">
        <w:rPr>
          <w:i/>
          <w:iCs/>
        </w:rPr>
        <w:t>Dismissal</w:t>
      </w:r>
      <w:r w:rsidR="00827C06">
        <w:t>).</w:t>
      </w:r>
    </w:p>
  </w:footnote>
  <w:footnote w:id="19">
    <w:p w:rsidR="00806120" w:rsidP="00DA14A0" w14:paraId="4886388F" w14:textId="41706407">
      <w:pPr>
        <w:widowControl/>
        <w:autoSpaceDE w:val="0"/>
        <w:autoSpaceDN w:val="0"/>
        <w:adjustRightInd w:val="0"/>
        <w:rPr>
          <w:sz w:val="20"/>
        </w:rPr>
      </w:pPr>
      <w:r>
        <w:rPr>
          <w:rStyle w:val="FootnoteReference"/>
        </w:rPr>
        <w:footnoteRef/>
      </w:r>
      <w:r>
        <w:t xml:space="preserve"> </w:t>
      </w:r>
      <w:r w:rsidR="007B5E73">
        <w:rPr>
          <w:sz w:val="20"/>
        </w:rPr>
        <w:t>On August 22, 2016, Urban One filed an “Amended Motion Requesting Stay of the Commission’s MO&amp;O Decision Rendered in the Instant Matter on April 5, 2016</w:t>
      </w:r>
      <w:r w:rsidR="0009417C">
        <w:rPr>
          <w:sz w:val="20"/>
        </w:rPr>
        <w:t>”</w:t>
      </w:r>
      <w:r w:rsidR="007B5E73">
        <w:rPr>
          <w:sz w:val="20"/>
        </w:rPr>
        <w:t xml:space="preserve"> (Stay Motion).  In the Stay Motion, Urban One made two requests:  first, that the Commission stay the </w:t>
      </w:r>
      <w:r w:rsidRPr="0009417C" w:rsidR="007B5E73">
        <w:rPr>
          <w:i/>
          <w:iCs/>
          <w:sz w:val="20"/>
        </w:rPr>
        <w:t>Urban One MO&amp;O</w:t>
      </w:r>
      <w:r w:rsidR="007B5E73">
        <w:rPr>
          <w:sz w:val="20"/>
        </w:rPr>
        <w:t xml:space="preserve"> </w:t>
      </w:r>
      <w:r w:rsidR="00A00386">
        <w:rPr>
          <w:sz w:val="20"/>
        </w:rPr>
        <w:t>“</w:t>
      </w:r>
      <w:r w:rsidRPr="00FF0577" w:rsidR="00A00386">
        <w:rPr>
          <w:sz w:val="20"/>
        </w:rPr>
        <w:t xml:space="preserve">pending the </w:t>
      </w:r>
      <w:r w:rsidRPr="00FF0577" w:rsidR="00A00386">
        <w:rPr>
          <w:rFonts w:eastAsiaTheme="minorHAnsi"/>
          <w:snapToGrid/>
          <w:sz w:val="20"/>
        </w:rPr>
        <w:t>outcome of</w:t>
      </w:r>
      <w:r w:rsidR="00A00386">
        <w:rPr>
          <w:rFonts w:eastAsiaTheme="minorHAnsi"/>
          <w:snapToGrid/>
          <w:sz w:val="20"/>
        </w:rPr>
        <w:t xml:space="preserve"> </w:t>
      </w:r>
      <w:r w:rsidRPr="00FF0577" w:rsidR="00A00386">
        <w:rPr>
          <w:rFonts w:eastAsiaTheme="minorHAnsi"/>
          <w:snapToGrid/>
          <w:sz w:val="20"/>
        </w:rPr>
        <w:t>the United States Court of Appeals District of Columbia Circuit direct review of</w:t>
      </w:r>
      <w:r w:rsidR="00A00386">
        <w:rPr>
          <w:rFonts w:eastAsiaTheme="minorHAnsi"/>
          <w:snapToGrid/>
          <w:sz w:val="20"/>
        </w:rPr>
        <w:t xml:space="preserve">” the </w:t>
      </w:r>
      <w:r w:rsidRPr="00A00386" w:rsidR="00A00386">
        <w:rPr>
          <w:rFonts w:eastAsiaTheme="minorHAnsi"/>
          <w:i/>
          <w:iCs/>
          <w:snapToGrid/>
          <w:sz w:val="20"/>
        </w:rPr>
        <w:t>Urban One MO&amp;O</w:t>
      </w:r>
      <w:r w:rsidR="007B5E73">
        <w:rPr>
          <w:sz w:val="20"/>
        </w:rPr>
        <w:t xml:space="preserve">, and second that </w:t>
      </w:r>
      <w:r w:rsidR="00A20A6E">
        <w:rPr>
          <w:sz w:val="20"/>
        </w:rPr>
        <w:t xml:space="preserve">the </w:t>
      </w:r>
      <w:r w:rsidRPr="00A00386" w:rsidR="00A20A6E">
        <w:rPr>
          <w:i/>
          <w:iCs/>
          <w:sz w:val="20"/>
        </w:rPr>
        <w:t>Urban One MO&amp;O</w:t>
      </w:r>
      <w:r w:rsidR="00A20A6E">
        <w:rPr>
          <w:sz w:val="20"/>
        </w:rPr>
        <w:t xml:space="preserve"> be stayed pending Urban One’s request </w:t>
      </w:r>
      <w:r w:rsidR="0009417C">
        <w:rPr>
          <w:sz w:val="20"/>
        </w:rPr>
        <w:t>to</w:t>
      </w:r>
      <w:r w:rsidR="00A20A6E">
        <w:rPr>
          <w:sz w:val="20"/>
        </w:rPr>
        <w:t xml:space="preserve"> the Commission</w:t>
      </w:r>
      <w:r w:rsidR="009859BE">
        <w:rPr>
          <w:sz w:val="20"/>
        </w:rPr>
        <w:t xml:space="preserve"> that</w:t>
      </w:r>
      <w:r w:rsidR="00A20A6E">
        <w:rPr>
          <w:sz w:val="20"/>
        </w:rPr>
        <w:t xml:space="preserve">, in reinstating the eligible entity policy, </w:t>
      </w:r>
      <w:r w:rsidR="009859BE">
        <w:rPr>
          <w:sz w:val="20"/>
        </w:rPr>
        <w:t xml:space="preserve">it </w:t>
      </w:r>
      <w:r w:rsidR="00A20A6E">
        <w:rPr>
          <w:sz w:val="20"/>
        </w:rPr>
        <w:t xml:space="preserve">include “a </w:t>
      </w:r>
      <w:r w:rsidRPr="00A00386" w:rsidR="00A20A6E">
        <w:rPr>
          <w:rFonts w:eastAsiaTheme="minorHAnsi"/>
          <w:snapToGrid/>
          <w:sz w:val="20"/>
        </w:rPr>
        <w:t>special clause for permittees like Urban One that</w:t>
      </w:r>
      <w:r w:rsidR="00A20A6E">
        <w:rPr>
          <w:rFonts w:eastAsiaTheme="minorHAnsi"/>
          <w:snapToGrid/>
          <w:sz w:val="20"/>
        </w:rPr>
        <w:t xml:space="preserve"> </w:t>
      </w:r>
      <w:r w:rsidRPr="00A00386" w:rsidR="00A20A6E">
        <w:rPr>
          <w:rFonts w:eastAsiaTheme="minorHAnsi"/>
          <w:snapToGrid/>
          <w:sz w:val="20"/>
        </w:rPr>
        <w:t xml:space="preserve">purchased their construction permit </w:t>
      </w:r>
      <w:r w:rsidR="009859BE">
        <w:rPr>
          <w:rFonts w:eastAsiaTheme="minorHAnsi"/>
          <w:snapToGrid/>
          <w:sz w:val="20"/>
        </w:rPr>
        <w:t>. . .</w:t>
      </w:r>
      <w:r w:rsidRPr="00A00386" w:rsidR="00A20A6E">
        <w:rPr>
          <w:rFonts w:eastAsiaTheme="minorHAnsi"/>
          <w:snapToGrid/>
          <w:sz w:val="20"/>
        </w:rPr>
        <w:t xml:space="preserve"> without the benefit of being given an additional</w:t>
      </w:r>
      <w:r w:rsidR="00A00386">
        <w:rPr>
          <w:rFonts w:eastAsiaTheme="minorHAnsi"/>
          <w:snapToGrid/>
          <w:sz w:val="20"/>
        </w:rPr>
        <w:t xml:space="preserve"> </w:t>
      </w:r>
      <w:r w:rsidRPr="00A00386" w:rsidR="00A20A6E">
        <w:rPr>
          <w:rFonts w:eastAsiaTheme="minorHAnsi"/>
          <w:snapToGrid/>
          <w:sz w:val="20"/>
        </w:rPr>
        <w:t>eighteen (18) month extension to construct their stations.</w:t>
      </w:r>
      <w:r w:rsidR="00A20A6E">
        <w:rPr>
          <w:rFonts w:eastAsiaTheme="minorHAnsi"/>
          <w:snapToGrid/>
          <w:sz w:val="20"/>
        </w:rPr>
        <w:t>”  Stay Motion at 1-2.</w:t>
      </w:r>
      <w:r w:rsidR="00A00386">
        <w:rPr>
          <w:rFonts w:eastAsiaTheme="minorHAnsi"/>
          <w:snapToGrid/>
          <w:sz w:val="20"/>
        </w:rPr>
        <w:t xml:space="preserve">  </w:t>
      </w:r>
      <w:r w:rsidR="00733DBF">
        <w:rPr>
          <w:rFonts w:eastAsiaTheme="minorHAnsi"/>
          <w:snapToGrid/>
          <w:sz w:val="20"/>
        </w:rPr>
        <w:t>The</w:t>
      </w:r>
      <w:r w:rsidR="00A00386">
        <w:rPr>
          <w:rFonts w:eastAsiaTheme="minorHAnsi"/>
          <w:snapToGrid/>
          <w:sz w:val="20"/>
        </w:rPr>
        <w:t xml:space="preserve"> Commission did not formally act on the Stay Motion</w:t>
      </w:r>
      <w:r w:rsidR="00733DBF">
        <w:rPr>
          <w:rFonts w:eastAsiaTheme="minorHAnsi"/>
          <w:snapToGrid/>
          <w:sz w:val="20"/>
        </w:rPr>
        <w:t>;</w:t>
      </w:r>
      <w:r w:rsidR="00A00386">
        <w:rPr>
          <w:rFonts w:eastAsiaTheme="minorHAnsi"/>
          <w:snapToGrid/>
          <w:sz w:val="20"/>
        </w:rPr>
        <w:t xml:space="preserve"> it </w:t>
      </w:r>
      <w:r w:rsidR="00733DBF">
        <w:rPr>
          <w:rFonts w:eastAsiaTheme="minorHAnsi"/>
          <w:snapToGrid/>
          <w:sz w:val="20"/>
        </w:rPr>
        <w:t>became moot upon</w:t>
      </w:r>
      <w:r w:rsidR="00A00386">
        <w:rPr>
          <w:rFonts w:eastAsiaTheme="minorHAnsi"/>
          <w:snapToGrid/>
          <w:sz w:val="20"/>
        </w:rPr>
        <w:t xml:space="preserve"> the court of </w:t>
      </w:r>
      <w:r w:rsidR="00A00386">
        <w:rPr>
          <w:rFonts w:eastAsiaTheme="minorHAnsi"/>
          <w:snapToGrid/>
          <w:sz w:val="20"/>
        </w:rPr>
        <w:t>appeals</w:t>
      </w:r>
      <w:r w:rsidR="00733DBF">
        <w:rPr>
          <w:rFonts w:eastAsiaTheme="minorHAnsi"/>
          <w:snapToGrid/>
          <w:sz w:val="20"/>
        </w:rPr>
        <w:t>’s</w:t>
      </w:r>
      <w:r w:rsidR="00A00386">
        <w:rPr>
          <w:rFonts w:eastAsiaTheme="minorHAnsi"/>
          <w:snapToGrid/>
          <w:sz w:val="20"/>
        </w:rPr>
        <w:t xml:space="preserve"> dismiss</w:t>
      </w:r>
      <w:r w:rsidR="00733DBF">
        <w:rPr>
          <w:rFonts w:eastAsiaTheme="minorHAnsi"/>
          <w:snapToGrid/>
          <w:sz w:val="20"/>
        </w:rPr>
        <w:t>al of</w:t>
      </w:r>
      <w:r w:rsidR="00A00386">
        <w:rPr>
          <w:rFonts w:eastAsiaTheme="minorHAnsi"/>
          <w:snapToGrid/>
          <w:sz w:val="20"/>
        </w:rPr>
        <w:t xml:space="preserve"> Urban One’s appeal.  Moreover, </w:t>
      </w:r>
      <w:r w:rsidR="00385572">
        <w:rPr>
          <w:rFonts w:eastAsiaTheme="minorHAnsi"/>
          <w:snapToGrid/>
          <w:sz w:val="20"/>
        </w:rPr>
        <w:t xml:space="preserve">the record in this proceeding indicates that </w:t>
      </w:r>
      <w:r w:rsidR="00A00386">
        <w:rPr>
          <w:rFonts w:eastAsiaTheme="minorHAnsi"/>
          <w:snapToGrid/>
          <w:sz w:val="20"/>
        </w:rPr>
        <w:t xml:space="preserve">Urban One </w:t>
      </w:r>
      <w:r w:rsidR="00385572">
        <w:rPr>
          <w:rFonts w:eastAsiaTheme="minorHAnsi"/>
          <w:snapToGrid/>
          <w:sz w:val="20"/>
        </w:rPr>
        <w:t>did not submit</w:t>
      </w:r>
      <w:r w:rsidR="00887876">
        <w:rPr>
          <w:rFonts w:eastAsiaTheme="minorHAnsi"/>
          <w:snapToGrid/>
          <w:sz w:val="20"/>
        </w:rPr>
        <w:t>, in any form,</w:t>
      </w:r>
      <w:r w:rsidR="00A00386">
        <w:rPr>
          <w:rFonts w:eastAsiaTheme="minorHAnsi"/>
          <w:snapToGrid/>
          <w:sz w:val="20"/>
        </w:rPr>
        <w:t xml:space="preserve"> its request for the “special clause” </w:t>
      </w:r>
      <w:r w:rsidR="009859BE">
        <w:rPr>
          <w:rFonts w:eastAsiaTheme="minorHAnsi"/>
          <w:snapToGrid/>
          <w:sz w:val="20"/>
        </w:rPr>
        <w:t>mentioned</w:t>
      </w:r>
      <w:r w:rsidR="00A00386">
        <w:rPr>
          <w:rFonts w:eastAsiaTheme="minorHAnsi"/>
          <w:snapToGrid/>
          <w:sz w:val="20"/>
        </w:rPr>
        <w:t xml:space="preserve"> in the Stay Motion in any of the docket</w:t>
      </w:r>
      <w:r w:rsidR="009859BE">
        <w:rPr>
          <w:rFonts w:eastAsiaTheme="minorHAnsi"/>
          <w:snapToGrid/>
          <w:sz w:val="20"/>
        </w:rPr>
        <w:t>ed proceedings</w:t>
      </w:r>
      <w:r w:rsidR="00A00386">
        <w:rPr>
          <w:rFonts w:eastAsiaTheme="minorHAnsi"/>
          <w:snapToGrid/>
          <w:sz w:val="20"/>
        </w:rPr>
        <w:t xml:space="preserve"> </w:t>
      </w:r>
      <w:r w:rsidR="009859BE">
        <w:rPr>
          <w:rFonts w:eastAsiaTheme="minorHAnsi"/>
          <w:snapToGrid/>
          <w:sz w:val="20"/>
        </w:rPr>
        <w:t>referenced</w:t>
      </w:r>
      <w:r w:rsidR="00A00386">
        <w:rPr>
          <w:rFonts w:eastAsiaTheme="minorHAnsi"/>
          <w:snapToGrid/>
          <w:sz w:val="20"/>
        </w:rPr>
        <w:t xml:space="preserve"> in the </w:t>
      </w:r>
      <w:r w:rsidRPr="009859BE" w:rsidR="00A00386">
        <w:rPr>
          <w:rFonts w:eastAsiaTheme="minorHAnsi"/>
          <w:i/>
          <w:iCs/>
          <w:snapToGrid/>
          <w:sz w:val="20"/>
        </w:rPr>
        <w:t>2014/2010 Quadrennial Second R&amp;O</w:t>
      </w:r>
      <w:r w:rsidR="009859BE">
        <w:rPr>
          <w:rFonts w:eastAsiaTheme="minorHAnsi"/>
          <w:snapToGrid/>
          <w:sz w:val="20"/>
        </w:rPr>
        <w:t xml:space="preserve"> or subsequent Order on Reconsideration</w:t>
      </w:r>
      <w:r w:rsidR="00A00386">
        <w:rPr>
          <w:rFonts w:eastAsiaTheme="minorHAnsi"/>
          <w:snapToGrid/>
          <w:sz w:val="20"/>
        </w:rPr>
        <w:t xml:space="preserve"> (</w:t>
      </w:r>
      <w:r w:rsidR="00F64D13">
        <w:rPr>
          <w:rFonts w:eastAsiaTheme="minorHAnsi"/>
          <w:snapToGrid/>
          <w:sz w:val="20"/>
        </w:rPr>
        <w:t xml:space="preserve">MB Dockets </w:t>
      </w:r>
      <w:r w:rsidR="009859BE">
        <w:rPr>
          <w:rFonts w:eastAsiaTheme="minorHAnsi"/>
          <w:snapToGrid/>
          <w:sz w:val="20"/>
        </w:rPr>
        <w:t xml:space="preserve">17-289, </w:t>
      </w:r>
      <w:r w:rsidR="00F64D13">
        <w:rPr>
          <w:rFonts w:eastAsiaTheme="minorHAnsi"/>
          <w:snapToGrid/>
          <w:sz w:val="20"/>
        </w:rPr>
        <w:t>14-50, 09-182, 07-294, 04-256)</w:t>
      </w:r>
      <w:r w:rsidR="00A00386">
        <w:rPr>
          <w:rFonts w:eastAsiaTheme="minorHAnsi"/>
          <w:snapToGrid/>
          <w:sz w:val="20"/>
        </w:rPr>
        <w:t>.</w:t>
      </w:r>
      <w:r w:rsidRPr="00A20A6E" w:rsidR="00A20A6E">
        <w:rPr>
          <w:sz w:val="20"/>
        </w:rPr>
        <w:t xml:space="preserve"> </w:t>
      </w:r>
      <w:r w:rsidR="00887876">
        <w:rPr>
          <w:sz w:val="20"/>
        </w:rPr>
        <w:t xml:space="preserve"> </w:t>
      </w:r>
      <w:r w:rsidR="00C42B6D">
        <w:rPr>
          <w:sz w:val="20"/>
        </w:rPr>
        <w:t xml:space="preserve">  </w:t>
      </w:r>
      <w:r w:rsidR="00887876">
        <w:rPr>
          <w:sz w:val="20"/>
        </w:rPr>
        <w:t xml:space="preserve"> </w:t>
      </w:r>
      <w:r w:rsidR="002652F4">
        <w:rPr>
          <w:sz w:val="20"/>
        </w:rPr>
        <w:t xml:space="preserve"> </w:t>
      </w:r>
    </w:p>
    <w:p w:rsidR="00DA14A0" w:rsidRPr="00DA14A0" w:rsidP="00DA14A0" w14:paraId="4EE4FDDC" w14:textId="77777777">
      <w:pPr>
        <w:widowControl/>
        <w:autoSpaceDE w:val="0"/>
        <w:autoSpaceDN w:val="0"/>
        <w:adjustRightInd w:val="0"/>
        <w:rPr>
          <w:rFonts w:eastAsiaTheme="minorHAnsi"/>
          <w:snapToGrid/>
          <w:sz w:val="20"/>
        </w:rPr>
      </w:pPr>
    </w:p>
  </w:footnote>
  <w:footnote w:id="20">
    <w:p w:rsidR="00965FE4" w14:paraId="4B9EA3F4" w14:textId="4DCAA560">
      <w:pPr>
        <w:pStyle w:val="FootnoteText"/>
      </w:pPr>
      <w:r>
        <w:rPr>
          <w:rStyle w:val="FootnoteReference"/>
        </w:rPr>
        <w:footnoteRef/>
      </w:r>
      <w:r>
        <w:t xml:space="preserve"> </w:t>
      </w:r>
      <w:r w:rsidRPr="00965FE4">
        <w:rPr>
          <w:i/>
          <w:iCs/>
        </w:rPr>
        <w:t>See supra</w:t>
      </w:r>
      <w:r>
        <w:t xml:space="preserve"> note 12.</w:t>
      </w:r>
    </w:p>
  </w:footnote>
  <w:footnote w:id="21">
    <w:p w:rsidR="00965FE4" w14:paraId="7B7051B5" w14:textId="6D05C99F">
      <w:pPr>
        <w:pStyle w:val="FootnoteText"/>
      </w:pPr>
      <w:r>
        <w:rPr>
          <w:rStyle w:val="FootnoteReference"/>
        </w:rPr>
        <w:footnoteRef/>
      </w:r>
      <w:r>
        <w:t xml:space="preserve"> </w:t>
      </w:r>
      <w:r w:rsidRPr="00965FE4">
        <w:rPr>
          <w:i/>
          <w:iCs/>
        </w:rPr>
        <w:t xml:space="preserve">See </w:t>
      </w:r>
      <w:r w:rsidR="003C7280">
        <w:rPr>
          <w:i/>
          <w:iCs/>
        </w:rPr>
        <w:t>2014/2010 Quadrennial Second R&amp;O</w:t>
      </w:r>
      <w:r>
        <w:t xml:space="preserve">, 31 FCC </w:t>
      </w:r>
      <w:r>
        <w:t>Rcd</w:t>
      </w:r>
      <w:r>
        <w:t xml:space="preserve"> at 9982, para. 285 and n.857.</w:t>
      </w:r>
    </w:p>
  </w:footnote>
  <w:footnote w:id="22">
    <w:p w:rsidR="00A870D5" w:rsidP="00A870D5" w14:paraId="77D505B7" w14:textId="7689B155">
      <w:pPr>
        <w:pStyle w:val="FootnoteText"/>
      </w:pPr>
      <w:r>
        <w:rPr>
          <w:rStyle w:val="FootnoteReference"/>
        </w:rPr>
        <w:footnoteRef/>
      </w:r>
      <w:r>
        <w:t xml:space="preserve"> </w:t>
      </w:r>
      <w:r>
        <w:t>47 CFR §73.3598(a).</w:t>
      </w:r>
    </w:p>
  </w:footnote>
  <w:footnote w:id="23">
    <w:p w:rsidR="000621EC" w14:paraId="03FC23D3" w14:textId="317B8AA9">
      <w:pPr>
        <w:pStyle w:val="FootnoteText"/>
      </w:pPr>
      <w:r>
        <w:rPr>
          <w:rStyle w:val="FootnoteReference"/>
        </w:rPr>
        <w:footnoteRef/>
      </w:r>
      <w:r>
        <w:t xml:space="preserve"> </w:t>
      </w:r>
      <w:r w:rsidRPr="000621EC">
        <w:rPr>
          <w:i/>
          <w:iCs/>
        </w:rPr>
        <w:t>See 2016 FR Public Notice</w:t>
      </w:r>
      <w:r>
        <w:t>.</w:t>
      </w:r>
    </w:p>
  </w:footnote>
  <w:footnote w:id="24">
    <w:p w:rsidR="00221D7C" w:rsidP="00221D7C" w14:paraId="642F42B5" w14:textId="77777777">
      <w:pPr>
        <w:pStyle w:val="FootnoteText"/>
      </w:pPr>
      <w:r>
        <w:rPr>
          <w:rStyle w:val="FootnoteReference"/>
        </w:rPr>
        <w:footnoteRef/>
      </w:r>
      <w:r>
        <w:t xml:space="preserve"> </w:t>
      </w:r>
      <w:r w:rsidRPr="006A1DC9">
        <w:rPr>
          <w:i/>
          <w:iCs/>
        </w:rPr>
        <w:t>Urban One Broadcasting Network, LLC v. FCC</w:t>
      </w:r>
      <w:r>
        <w:t>, Order, Document No. 1688385 (D.C. Cir. Aug. 11, 2017).</w:t>
      </w:r>
    </w:p>
  </w:footnote>
  <w:footnote w:id="25">
    <w:p w:rsidR="00221D7C" w:rsidP="00221D7C" w14:paraId="041EF672" w14:textId="17E0BBC1">
      <w:pPr>
        <w:pStyle w:val="FootnoteText"/>
      </w:pPr>
      <w:r>
        <w:rPr>
          <w:rStyle w:val="FootnoteReference"/>
        </w:rPr>
        <w:footnoteRef/>
      </w:r>
      <w:r>
        <w:t xml:space="preserve"> </w:t>
      </w:r>
      <w:r w:rsidRPr="0059795F">
        <w:rPr>
          <w:i/>
          <w:iCs/>
        </w:rPr>
        <w:t>See</w:t>
      </w:r>
      <w:r>
        <w:t xml:space="preserve"> Consolidated Database System Legal Action Information for File No. BNPH-20110524AHQ, </w:t>
      </w:r>
      <w:hyperlink r:id="rId1" w:history="1">
        <w:r w:rsidRPr="00482D0B">
          <w:rPr>
            <w:rStyle w:val="Hyperlink"/>
          </w:rPr>
          <w:t>http://licensing.fcc.gov/cgi-bin/ws.exe/prod/cdbs/pubacc/prod/leg_det.pl?Application_id=1428956&amp;File_number=BNPH-20110524AHQ</w:t>
        </w:r>
      </w:hyperlink>
      <w:r>
        <w:t xml:space="preserve"> </w:t>
      </w:r>
      <w:r w:rsidR="0059795F">
        <w:t>(available in CDBS Public Access)</w:t>
      </w:r>
      <w:r>
        <w:t xml:space="preserve">.  </w:t>
      </w:r>
    </w:p>
  </w:footnote>
  <w:footnote w:id="26">
    <w:p w:rsidR="00483215" w:rsidP="00483215" w14:paraId="222A4E27" w14:textId="77777777">
      <w:pPr>
        <w:pStyle w:val="FootnoteText"/>
      </w:pPr>
      <w:r>
        <w:rPr>
          <w:rStyle w:val="FootnoteReference"/>
        </w:rPr>
        <w:footnoteRef/>
      </w:r>
      <w:r>
        <w:t xml:space="preserve"> </w:t>
      </w:r>
      <w:r w:rsidRPr="00637B87">
        <w:rPr>
          <w:i/>
          <w:iCs/>
        </w:rPr>
        <w:t>Auction of FM Broadcast Construction Permits Scheduled for April 28, 2020; Comment Sought on Competitive Bidding Procedures for Auction 106</w:t>
      </w:r>
      <w:r w:rsidRPr="007678F3">
        <w:t xml:space="preserve">, AU Docket No. 19-290, Public Notice, DA 19-1027, 34 FCC </w:t>
      </w:r>
      <w:r w:rsidRPr="007678F3">
        <w:t>Rcd</w:t>
      </w:r>
      <w:r w:rsidRPr="007678F3">
        <w:t xml:space="preserve"> 9375 (OEA/MB 2019) (</w:t>
      </w:r>
      <w:r w:rsidRPr="00637B87">
        <w:rPr>
          <w:i/>
          <w:iCs/>
        </w:rPr>
        <w:t>Auction 106 Comment Public Notice</w:t>
      </w:r>
      <w:r w:rsidRPr="007678F3">
        <w:t>).</w:t>
      </w:r>
    </w:p>
  </w:footnote>
  <w:footnote w:id="27">
    <w:p w:rsidR="00483215" w:rsidRPr="001D09B7" w:rsidP="00483215" w14:paraId="4C04FDD1" w14:textId="77777777">
      <w:pPr>
        <w:pStyle w:val="FootnoteText"/>
      </w:pPr>
      <w:r>
        <w:rPr>
          <w:rStyle w:val="FootnoteReference"/>
        </w:rPr>
        <w:footnoteRef/>
      </w:r>
      <w:r>
        <w:t xml:space="preserve"> </w:t>
      </w:r>
      <w:r w:rsidRPr="00834C7C">
        <w:rPr>
          <w:i/>
          <w:iCs/>
        </w:rPr>
        <w:t>Auction of FM Broadcast Construction Permits Scheduled for April 28, 2020; Notice and Filing Requirements, Minimum Opening Bids, Upfront Payments, and Other Procedures for Auction 106</w:t>
      </w:r>
      <w:r>
        <w:t>, AU Docket No. 19-290, Public Notice,</w:t>
      </w:r>
      <w:r w:rsidRPr="00C1090F">
        <w:t xml:space="preserve"> 34 FCC </w:t>
      </w:r>
      <w:r w:rsidRPr="00C1090F">
        <w:t>Rcd</w:t>
      </w:r>
      <w:r w:rsidRPr="00C1090F">
        <w:t xml:space="preserve"> 11993</w:t>
      </w:r>
      <w:r>
        <w:t xml:space="preserve">, </w:t>
      </w:r>
      <w:r w:rsidRPr="00BE0F4E">
        <w:t>11996</w:t>
      </w:r>
      <w:r>
        <w:t>, para. 4 (OEA/MB 2019) (</w:t>
      </w:r>
      <w:r>
        <w:rPr>
          <w:i/>
          <w:iCs/>
        </w:rPr>
        <w:t>Auction 106 Procedures Public Notice</w:t>
      </w:r>
      <w:r>
        <w:t xml:space="preserve">). </w:t>
      </w:r>
    </w:p>
  </w:footnote>
  <w:footnote w:id="28">
    <w:p w:rsidR="00483215" w:rsidP="00483215" w14:paraId="768A17FC" w14:textId="77777777">
      <w:pPr>
        <w:pStyle w:val="FootnoteText"/>
      </w:pPr>
      <w:r>
        <w:rPr>
          <w:rStyle w:val="FootnoteReference"/>
        </w:rPr>
        <w:footnoteRef/>
      </w:r>
      <w:r>
        <w:t xml:space="preserve"> </w:t>
      </w:r>
      <w:r w:rsidRPr="00832205">
        <w:rPr>
          <w:i/>
          <w:iCs/>
        </w:rPr>
        <w:t>Public Notice Auction of AM and FM Broadcast Construction Permits Scheduled for July 27, 2021; Comment Sought on Competitive Bidding Procedures for Auction 109</w:t>
      </w:r>
      <w:r w:rsidRPr="0030370B">
        <w:t xml:space="preserve">, AU Docket No. 21-39, Public Notice, 36 FCC </w:t>
      </w:r>
      <w:r w:rsidRPr="0030370B">
        <w:t>Rcd</w:t>
      </w:r>
      <w:r w:rsidRPr="0030370B">
        <w:t xml:space="preserve"> 1409</w:t>
      </w:r>
      <w:r>
        <w:t xml:space="preserve">, </w:t>
      </w:r>
      <w:r w:rsidRPr="002034AF">
        <w:t>1410</w:t>
      </w:r>
      <w:r>
        <w:t>, para. 3</w:t>
      </w:r>
      <w:r w:rsidRPr="0030370B">
        <w:t xml:space="preserve"> (OEA/MB 2021) (</w:t>
      </w:r>
      <w:r w:rsidRPr="00834C7C">
        <w:rPr>
          <w:i/>
          <w:iCs/>
        </w:rPr>
        <w:t>Auction 109 Comment Public Notice</w:t>
      </w:r>
      <w:r w:rsidRPr="0030370B">
        <w:t>).</w:t>
      </w:r>
    </w:p>
  </w:footnote>
  <w:footnote w:id="29">
    <w:p w:rsidR="00483215" w:rsidRPr="00834C7C" w:rsidP="00483215" w14:paraId="2AC70F51" w14:textId="115507AF">
      <w:pPr>
        <w:pStyle w:val="FootnoteText"/>
        <w:rPr>
          <w:i/>
          <w:iCs/>
        </w:rPr>
      </w:pPr>
      <w:r>
        <w:rPr>
          <w:rStyle w:val="FootnoteReference"/>
        </w:rPr>
        <w:footnoteRef/>
      </w:r>
      <w:r w:rsidRPr="0030370B">
        <w:t xml:space="preserve"> </w:t>
      </w:r>
      <w:r w:rsidRPr="00834C7C">
        <w:rPr>
          <w:i/>
          <w:iCs/>
        </w:rPr>
        <w:t>Auction of AM and FM Broadcast Construction Permits Scheduled for July 27, 2021; Notice and Filing Requirements, Minimum Opening Bids, Upfront Payments, and Other Procedures for Auction 109</w:t>
      </w:r>
      <w:r>
        <w:t>, AU Docket No. 21-39, Public Notice,</w:t>
      </w:r>
      <w:r w:rsidRPr="00381A2A">
        <w:t xml:space="preserve"> 6 FCC </w:t>
      </w:r>
      <w:r w:rsidRPr="00381A2A">
        <w:t>Rcd</w:t>
      </w:r>
      <w:r w:rsidRPr="00381A2A">
        <w:t xml:space="preserve"> 6424</w:t>
      </w:r>
      <w:r>
        <w:t>,</w:t>
      </w:r>
      <w:r w:rsidRPr="00366DCF">
        <w:t xml:space="preserve"> 6428</w:t>
      </w:r>
      <w:r>
        <w:t>-27, paras. 9-10 (OEA/MB 2021) (</w:t>
      </w:r>
      <w:r>
        <w:rPr>
          <w:i/>
          <w:iCs/>
        </w:rPr>
        <w:t>Auction 109 Procedures Public Notice</w:t>
      </w:r>
      <w:r>
        <w:t>).</w:t>
      </w:r>
    </w:p>
  </w:footnote>
  <w:footnote w:id="30">
    <w:p w:rsidR="00483215" w:rsidRPr="009716CC" w:rsidP="00483215" w14:paraId="31A35824" w14:textId="77777777">
      <w:pPr>
        <w:pStyle w:val="FootnoteText"/>
      </w:pPr>
      <w:r>
        <w:rPr>
          <w:rStyle w:val="FootnoteReference"/>
        </w:rPr>
        <w:footnoteRef/>
      </w:r>
      <w:r>
        <w:t xml:space="preserve"> </w:t>
      </w:r>
      <w:r w:rsidRPr="00BE45BD">
        <w:rPr>
          <w:i/>
          <w:iCs/>
        </w:rPr>
        <w:t>Auction of AM and FM Broadcast Construction Permits Closes; Winning Bidders Announced for Auction 109</w:t>
      </w:r>
      <w:r>
        <w:t xml:space="preserve">, AU Docket No. 21-39, Public Notice, </w:t>
      </w:r>
      <w:r w:rsidRPr="00F6543B">
        <w:t>DA-21-983</w:t>
      </w:r>
      <w:r>
        <w:t>, Attachment A, 3 (OEA/MB Aug. 12, 2021).</w:t>
      </w:r>
    </w:p>
  </w:footnote>
  <w:footnote w:id="31">
    <w:p w:rsidR="00584071" w:rsidP="00584071" w14:paraId="24825FBA" w14:textId="238FA1C6">
      <w:pPr>
        <w:pStyle w:val="FootnoteText"/>
      </w:pPr>
      <w:r>
        <w:rPr>
          <w:rStyle w:val="FootnoteReference"/>
        </w:rPr>
        <w:footnoteRef/>
      </w:r>
      <w:r>
        <w:t xml:space="preserve"> </w:t>
      </w:r>
      <w:r w:rsidR="00442B58">
        <w:t xml:space="preserve">Petition at 2, 4.  </w:t>
      </w:r>
      <w:r w:rsidR="00ED098E">
        <w:t xml:space="preserve">In June 2021, the Media Bureau announced that the eligible entity rules would be reinstated pursuant to the </w:t>
      </w:r>
      <w:r w:rsidRPr="002B64B7" w:rsidR="00ED098E">
        <w:rPr>
          <w:i/>
          <w:iCs/>
        </w:rPr>
        <w:t xml:space="preserve">Prometheus Supreme Court </w:t>
      </w:r>
      <w:r w:rsidRPr="00AC543B" w:rsidR="00ED098E">
        <w:rPr>
          <w:i/>
          <w:iCs/>
        </w:rPr>
        <w:t>Decision</w:t>
      </w:r>
      <w:r w:rsidR="00ED098E">
        <w:t xml:space="preserve">. </w:t>
      </w:r>
      <w:r>
        <w:t xml:space="preserve"> </w:t>
      </w:r>
      <w:r w:rsidRPr="0060319B">
        <w:rPr>
          <w:i/>
          <w:iCs/>
        </w:rPr>
        <w:t xml:space="preserve">2014 Quadrennial Regulatory Review - </w:t>
      </w:r>
      <w:r w:rsidRPr="0060319B">
        <w:rPr>
          <w:i/>
          <w:iCs/>
          <w:color w:val="252525"/>
        </w:rPr>
        <w:t>Review of the Commission’s Broadcast Ownership Rules and Other Rules Adopted Pursuant to Section 202 of the Telecommunications Act of 1996</w:t>
      </w:r>
      <w:r>
        <w:rPr>
          <w:color w:val="252525"/>
        </w:rPr>
        <w:t xml:space="preserve">, MB Docket Nos. </w:t>
      </w:r>
      <w:r>
        <w:rPr>
          <w:color w:val="000000"/>
        </w:rPr>
        <w:t>14-50, 09-182, 07-294, 04-256, 17-289, Order, DA 21-656, at 1-2, para. 1 (MB June 4, 2021).</w:t>
      </w:r>
      <w:r w:rsidR="000160C5">
        <w:rPr>
          <w:color w:val="000000"/>
        </w:rPr>
        <w:t xml:space="preserve">  </w:t>
      </w:r>
      <w:r w:rsidRPr="008D4B9C" w:rsidR="000160C5">
        <w:t xml:space="preserve">Subsequently on July 1, 2021, the Media Bureau </w:t>
      </w:r>
      <w:r w:rsidRPr="00295680" w:rsidR="000160C5">
        <w:t xml:space="preserve">announced by public notice that the summary of the Order had been published in the </w:t>
      </w:r>
      <w:r w:rsidRPr="00295680" w:rsidR="000160C5">
        <w:rPr>
          <w:i/>
          <w:iCs/>
        </w:rPr>
        <w:t>Federal Register</w:t>
      </w:r>
      <w:r w:rsidRPr="00295680" w:rsidR="000160C5">
        <w:t xml:space="preserve"> and that the reinstated rules became effective on June 30, 2021.</w:t>
      </w:r>
      <w:r w:rsidR="000160C5">
        <w:t xml:space="preserve">  </w:t>
      </w:r>
      <w:r w:rsidRPr="008D4B9C" w:rsidR="000160C5">
        <w:rPr>
          <w:i/>
          <w:iCs/>
        </w:rPr>
        <w:t xml:space="preserve">Media Bureau Announces June 30, 2021 Effective Date of Reinstated Media Ownership Rules, </w:t>
      </w:r>
      <w:r w:rsidRPr="008D4B9C" w:rsidR="000160C5">
        <w:t xml:space="preserve">Public Notice, DA </w:t>
      </w:r>
      <w:r w:rsidRPr="00DC4C37" w:rsidR="000160C5">
        <w:t xml:space="preserve">21-783 (MB July 1, 2021); </w:t>
      </w:r>
      <w:r w:rsidRPr="00295680" w:rsidR="000160C5">
        <w:rPr>
          <w:i/>
          <w:iCs/>
        </w:rPr>
        <w:t>Media Bureau Reinstates Commission's Prior Rule Changes Regarding Media Ownership Consistent with the U.S. Supreme Court's Decision</w:t>
      </w:r>
      <w:r w:rsidRPr="00295680" w:rsidR="000160C5">
        <w:t>, 86 Fed. Reg. 34627 (June 30, 2021).</w:t>
      </w:r>
    </w:p>
  </w:footnote>
  <w:footnote w:id="32">
    <w:p w:rsidR="006965AD" w14:paraId="424E4BC7" w14:textId="1B82BD93">
      <w:pPr>
        <w:pStyle w:val="FootnoteText"/>
      </w:pPr>
      <w:r>
        <w:rPr>
          <w:rStyle w:val="FootnoteReference"/>
        </w:rPr>
        <w:footnoteRef/>
      </w:r>
      <w:r>
        <w:t xml:space="preserve"> </w:t>
      </w:r>
      <w:r w:rsidRPr="00987086">
        <w:t>Section 319(b) of the Communications Act of 1934, as amended (Act) and section 73.3598(e) of the Rules provide that a station’s construction permit forfeits automatically if the station is not ready for operation by the construction deadline</w:t>
      </w:r>
      <w:r>
        <w:t xml:space="preserve">.  </w:t>
      </w:r>
      <w:r w:rsidRPr="00987086">
        <w:rPr>
          <w:i/>
        </w:rPr>
        <w:t xml:space="preserve">See </w:t>
      </w:r>
      <w:r w:rsidRPr="00987086">
        <w:t>47 U.S.C. § 319(b); 47 CFR § 73.3598(e).</w:t>
      </w:r>
    </w:p>
  </w:footnote>
  <w:footnote w:id="33">
    <w:p w:rsidR="00796969" w:rsidP="00796969" w14:paraId="7C1CE7FA" w14:textId="6A1BBF92">
      <w:pPr>
        <w:pStyle w:val="FootnoteText"/>
      </w:pPr>
      <w:r>
        <w:rPr>
          <w:rStyle w:val="FootnoteReference"/>
        </w:rPr>
        <w:footnoteRef/>
      </w:r>
      <w:r>
        <w:t xml:space="preserve"> </w:t>
      </w:r>
      <w:r w:rsidR="00E175F9">
        <w:t xml:space="preserve">Assignment Application, </w:t>
      </w:r>
      <w:r>
        <w:t>File No. BAPH-20120917AGZ.  The Assignment Application was granted on December 26, 2012, and the transaction was consummated on March 1, 2013.</w:t>
      </w:r>
    </w:p>
  </w:footnote>
  <w:footnote w:id="34">
    <w:p w:rsidR="00796969" w:rsidP="00796969" w14:paraId="7BFC695D" w14:textId="77777777">
      <w:pPr>
        <w:pStyle w:val="FootnoteText"/>
      </w:pPr>
      <w:r>
        <w:rPr>
          <w:rStyle w:val="FootnoteReference"/>
        </w:rPr>
        <w:footnoteRef/>
      </w:r>
      <w:r>
        <w:t xml:space="preserve"> </w:t>
      </w:r>
      <w:r w:rsidRPr="00FD53E3">
        <w:rPr>
          <w:i/>
          <w:iCs/>
        </w:rPr>
        <w:t>See</w:t>
      </w:r>
      <w:r>
        <w:t xml:space="preserve"> Assignment Application, Section III, Question 6(d), and Attachment 20.</w:t>
      </w:r>
    </w:p>
  </w:footnote>
  <w:footnote w:id="35">
    <w:p w:rsidR="00796969" w:rsidRPr="00386FFB" w:rsidP="00796969" w14:paraId="1D630541" w14:textId="77777777">
      <w:pPr>
        <w:pStyle w:val="FootnoteText"/>
      </w:pPr>
      <w:r>
        <w:rPr>
          <w:rStyle w:val="FootnoteReference"/>
        </w:rPr>
        <w:footnoteRef/>
      </w:r>
      <w:r>
        <w:t xml:space="preserve"> </w:t>
      </w:r>
      <w:r w:rsidRPr="00386FFB">
        <w:rPr>
          <w:i/>
          <w:iCs/>
        </w:rPr>
        <w:t>See</w:t>
      </w:r>
      <w:r>
        <w:t xml:space="preserve"> </w:t>
      </w:r>
      <w:r w:rsidRPr="00386FFB">
        <w:rPr>
          <w:i/>
          <w:iCs/>
        </w:rPr>
        <w:t>2011 Rule Suspension Public Notice</w:t>
      </w:r>
      <w:r>
        <w:t>.</w:t>
      </w:r>
    </w:p>
  </w:footnote>
  <w:footnote w:id="36">
    <w:p w:rsidR="003F2E2E" w:rsidP="003F2E2E" w14:paraId="60F3ABCB" w14:textId="73BE4C7A">
      <w:pPr>
        <w:pStyle w:val="FootnoteText"/>
      </w:pPr>
      <w:r>
        <w:rPr>
          <w:rStyle w:val="FootnoteReference"/>
        </w:rPr>
        <w:footnoteRef/>
      </w:r>
      <w:r>
        <w:t xml:space="preserve"> </w:t>
      </w:r>
      <w:r w:rsidRPr="00CA793B">
        <w:rPr>
          <w:i/>
          <w:iCs/>
        </w:rPr>
        <w:t>See</w:t>
      </w:r>
      <w:r>
        <w:t xml:space="preserve"> 47 U.S.C. § 319(b) (construction permit “shall be automatically forfeited if the station is not ready for operation within the time specified or within such further time as the Commission may allow, unless prevented by causes not under the control of the grantee.”); 47 CFR § 73.3598(e) (“Any construction permit for which construction has not been completed and for which an application for license has not been filed, shall be automatically forfeited upon expiration without any further affirmative cancellation by the Commission.”).  Urban One attempted to claim, in the Reconsideration Petition, that repeal of the eligible entity policy “was the result of court action, and not due to any cause relating to Urban One’s Form 314 assignment application.”  Reconsideration Petition at 2.  This does not, however, constitute a “cause not under the control of the grantee,” given that, as discussed in the text, the policy was not in effect at any time during Urban One’s tenure as </w:t>
      </w:r>
      <w:r w:rsidR="0026451F">
        <w:t>the Cross City</w:t>
      </w:r>
      <w:r>
        <w:t xml:space="preserve"> permittee.</w:t>
      </w:r>
    </w:p>
  </w:footnote>
  <w:footnote w:id="37">
    <w:p w:rsidR="003F2E2E" w:rsidP="003F2E2E" w14:paraId="7F126807" w14:textId="0947C016">
      <w:pPr>
        <w:pStyle w:val="FootnoteText"/>
      </w:pPr>
      <w:r>
        <w:rPr>
          <w:rStyle w:val="FootnoteReference"/>
        </w:rPr>
        <w:footnoteRef/>
      </w:r>
      <w:r>
        <w:t xml:space="preserve"> </w:t>
      </w:r>
      <w:r w:rsidR="00BA32E3">
        <w:t xml:space="preserve">2016 </w:t>
      </w:r>
      <w:r>
        <w:t>Reinstatement Petition at 2-4.</w:t>
      </w:r>
    </w:p>
  </w:footnote>
  <w:footnote w:id="38">
    <w:p w:rsidR="009D2E93" w:rsidRPr="00386FFB" w:rsidP="009D2E93" w14:paraId="7E12767D" w14:textId="77777777">
      <w:pPr>
        <w:pStyle w:val="FootnoteText"/>
      </w:pPr>
      <w:r>
        <w:rPr>
          <w:rStyle w:val="FootnoteReference"/>
        </w:rPr>
        <w:footnoteRef/>
      </w:r>
      <w:r>
        <w:t xml:space="preserve"> </w:t>
      </w:r>
      <w:r>
        <w:t xml:space="preserve">See </w:t>
      </w:r>
      <w:r w:rsidRPr="00B8506C">
        <w:rPr>
          <w:i/>
          <w:iCs/>
          <w:color w:val="252525"/>
        </w:rPr>
        <w:t>2014/2010</w:t>
      </w:r>
      <w:r>
        <w:rPr>
          <w:color w:val="252525"/>
        </w:rPr>
        <w:t xml:space="preserve"> </w:t>
      </w:r>
      <w:r w:rsidRPr="00633074">
        <w:rPr>
          <w:i/>
          <w:iCs/>
          <w:color w:val="252525"/>
        </w:rPr>
        <w:t>Quadrennial Second R&amp;O</w:t>
      </w:r>
      <w:r>
        <w:rPr>
          <w:i/>
          <w:iCs/>
          <w:color w:val="252525"/>
        </w:rPr>
        <w:t>,</w:t>
      </w:r>
      <w:r>
        <w:rPr>
          <w:color w:val="252525"/>
        </w:rPr>
        <w:t xml:space="preserve"> 81 Fed. Reg. 76220-01 (Nov. 1, 2016).</w:t>
      </w:r>
    </w:p>
  </w:footnote>
  <w:footnote w:id="39">
    <w:p w:rsidR="00E53DA9" w:rsidRPr="00B945E3" w14:paraId="04B8B273" w14:textId="11DE1C8C">
      <w:pPr>
        <w:pStyle w:val="FootnoteText"/>
      </w:pPr>
      <w:r w:rsidRPr="00B945E3">
        <w:rPr>
          <w:rStyle w:val="FootnoteReference"/>
          <w:rFonts w:ascii="Times New Roman" w:hAnsi="Times New Roman"/>
        </w:rPr>
        <w:footnoteRef/>
      </w:r>
      <w:r w:rsidRPr="00B945E3">
        <w:t xml:space="preserve"> </w:t>
      </w:r>
      <w:r w:rsidR="00B945E3">
        <w:rPr>
          <w:color w:val="252525"/>
        </w:rPr>
        <w:t>S</w:t>
      </w:r>
      <w:r w:rsidRPr="00B945E3" w:rsidR="00B945E3">
        <w:rPr>
          <w:color w:val="252525"/>
        </w:rPr>
        <w:t xml:space="preserve">imilarly, the tolling request, if granted, would </w:t>
      </w:r>
      <w:r w:rsidR="00B945E3">
        <w:rPr>
          <w:color w:val="252525"/>
        </w:rPr>
        <w:t>at most</w:t>
      </w:r>
      <w:r w:rsidRPr="00B945E3" w:rsidR="00B945E3">
        <w:rPr>
          <w:color w:val="252525"/>
        </w:rPr>
        <w:t xml:space="preserve"> have given Urban One the remaining 35 days of its construction period in which to complete the Station once tolling was lifted.</w:t>
      </w:r>
      <w:r w:rsidR="00B945E3">
        <w:rPr>
          <w:color w:val="252525"/>
        </w:rPr>
        <w:t xml:space="preserve">  </w:t>
      </w:r>
      <w:r w:rsidRPr="00B945E3">
        <w:t>The informal objection was filed June 16, 2014, 35 days before the Cross City permit expired.</w:t>
      </w:r>
    </w:p>
  </w:footnote>
  <w:footnote w:id="40">
    <w:p w:rsidR="00EC5FF6" w14:paraId="6A263681" w14:textId="4D65BDB2">
      <w:pPr>
        <w:pStyle w:val="FootnoteText"/>
      </w:pPr>
      <w:r>
        <w:rPr>
          <w:rStyle w:val="FootnoteReference"/>
        </w:rPr>
        <w:footnoteRef/>
      </w:r>
      <w:r>
        <w:t xml:space="preserve"> </w:t>
      </w:r>
      <w:r w:rsidRPr="00FB18C5">
        <w:rPr>
          <w:i/>
          <w:iCs/>
        </w:rPr>
        <w:t>Prometheus Supreme Court Decision</w:t>
      </w:r>
      <w:r>
        <w:t xml:space="preserve">, </w:t>
      </w:r>
      <w:r w:rsidR="00FB18C5">
        <w:t xml:space="preserve">141 </w:t>
      </w:r>
      <w:r w:rsidR="00FB18C5">
        <w:t>S.Ct</w:t>
      </w:r>
      <w:r w:rsidR="00FB18C5">
        <w:t>. at 1160 n.4.</w:t>
      </w:r>
    </w:p>
  </w:footnote>
  <w:footnote w:id="41">
    <w:p w:rsidR="003F2E2E" w:rsidP="003F2E2E" w14:paraId="002DDA38" w14:textId="77777777">
      <w:pPr>
        <w:pStyle w:val="FootnoteText"/>
      </w:pPr>
      <w:r>
        <w:rPr>
          <w:rStyle w:val="FootnoteReference"/>
        </w:rPr>
        <w:footnoteRef/>
      </w:r>
      <w:r>
        <w:t xml:space="preserve"> </w:t>
      </w:r>
      <w:r w:rsidRPr="00CB2066">
        <w:rPr>
          <w:i/>
          <w:iCs/>
        </w:rPr>
        <w:t>See</w:t>
      </w:r>
      <w:r>
        <w:t xml:space="preserve">, </w:t>
      </w:r>
      <w:r w:rsidRPr="00CB2066">
        <w:rPr>
          <w:i/>
          <w:iCs/>
        </w:rPr>
        <w:t>e.g.</w:t>
      </w:r>
      <w:r>
        <w:t xml:space="preserve">, </w:t>
      </w:r>
      <w:r w:rsidRPr="00CB2066">
        <w:rPr>
          <w:i/>
          <w:iCs/>
        </w:rPr>
        <w:t>Meredith Colon Johnston (WECP), Carthage, Mississippi</w:t>
      </w:r>
      <w:r>
        <w:t>, Memorandum Opinion and Order, 41 F.C.C.2d 512, 514 para. 8 (1973) (</w:t>
      </w:r>
      <w:r w:rsidRPr="00BB4575">
        <w:rPr>
          <w:i/>
          <w:iCs/>
        </w:rPr>
        <w:t>Johnston</w:t>
      </w:r>
      <w:r>
        <w:t xml:space="preserve">) (declining to apply new rule to long-standing comparative proceeding when rule became effective some seven weeks after release of final decision, and </w:t>
      </w:r>
      <w:r>
        <w:rPr>
          <w:color w:val="000000"/>
        </w:rPr>
        <w:t>no outstanding public interest considerations were advanced that would warrant such an “extreme retroactive application”)</w:t>
      </w:r>
      <w:r>
        <w:t>.</w:t>
      </w:r>
    </w:p>
  </w:footnote>
  <w:footnote w:id="42">
    <w:p w:rsidR="003F2E2E" w:rsidP="003F2E2E" w14:paraId="3776CBDC" w14:textId="65BC9A0C">
      <w:pPr>
        <w:pStyle w:val="FootnoteText"/>
      </w:pPr>
      <w:r>
        <w:rPr>
          <w:rStyle w:val="FootnoteReference"/>
        </w:rPr>
        <w:footnoteRef/>
      </w:r>
      <w:r>
        <w:t xml:space="preserve"> </w:t>
      </w:r>
      <w:r w:rsidRPr="009A2011" w:rsidR="0087246C">
        <w:rPr>
          <w:i/>
          <w:iCs/>
        </w:rPr>
        <w:t xml:space="preserve">See </w:t>
      </w:r>
      <w:r w:rsidR="0087246C">
        <w:rPr>
          <w:i/>
          <w:iCs/>
        </w:rPr>
        <w:t>id</w:t>
      </w:r>
      <w:r w:rsidR="0087246C">
        <w:t xml:space="preserve">.  As to Urban One’s invocation of minority status (Petition at 6), the Commission has adopted race-neutral licensing measures to address the legal requirements of the Supreme Court’s decision in </w:t>
      </w:r>
      <w:r w:rsidRPr="00F31F78" w:rsidR="0087246C">
        <w:rPr>
          <w:i/>
          <w:iCs/>
        </w:rPr>
        <w:t>Adarand</w:t>
      </w:r>
      <w:r w:rsidR="0087246C">
        <w:t xml:space="preserve">.  </w:t>
      </w:r>
      <w:r w:rsidRPr="001A2892" w:rsidR="0087246C">
        <w:rPr>
          <w:i/>
          <w:iCs/>
        </w:rPr>
        <w:t>S</w:t>
      </w:r>
      <w:r w:rsidRPr="00394571" w:rsidR="0087246C">
        <w:rPr>
          <w:i/>
          <w:iCs/>
        </w:rPr>
        <w:t xml:space="preserve">ee </w:t>
      </w:r>
      <w:r w:rsidR="0087246C">
        <w:rPr>
          <w:i/>
          <w:iCs/>
        </w:rPr>
        <w:t xml:space="preserve">e.g., </w:t>
      </w:r>
      <w:r w:rsidRPr="008D74C8" w:rsidR="0087246C">
        <w:rPr>
          <w:i/>
          <w:iCs/>
        </w:rPr>
        <w:t xml:space="preserve">Implementation of Section 309(j) of the Communications Act—Competitive Bidding, </w:t>
      </w:r>
      <w:r w:rsidR="0087246C">
        <w:t>Tenth Report and Order</w:t>
      </w:r>
      <w:r w:rsidRPr="008D74C8" w:rsidR="0087246C">
        <w:rPr>
          <w:i/>
          <w:iCs/>
        </w:rPr>
        <w:t xml:space="preserve">, </w:t>
      </w:r>
      <w:r w:rsidRPr="0087246C" w:rsidR="0087246C">
        <w:t xml:space="preserve">11 FCC </w:t>
      </w:r>
      <w:r w:rsidRPr="0087246C" w:rsidR="0087246C">
        <w:t>Rcd</w:t>
      </w:r>
      <w:r w:rsidRPr="0087246C" w:rsidR="0087246C">
        <w:t xml:space="preserve"> 19974, 19975-77</w:t>
      </w:r>
      <w:r w:rsidR="0087246C">
        <w:t>, paras.</w:t>
      </w:r>
      <w:r w:rsidRPr="008D74C8" w:rsidR="0087246C">
        <w:rPr>
          <w:i/>
          <w:iCs/>
        </w:rPr>
        <w:t xml:space="preserve"> </w:t>
      </w:r>
      <w:r w:rsidRPr="0087246C" w:rsidR="0087246C">
        <w:t>1-3 (1996)</w:t>
      </w:r>
      <w:r w:rsidR="0087246C">
        <w:rPr>
          <w:i/>
          <w:iCs/>
        </w:rPr>
        <w:t>, citing</w:t>
      </w:r>
      <w:r w:rsidRPr="00394571" w:rsidR="0087246C">
        <w:rPr>
          <w:i/>
          <w:iCs/>
        </w:rPr>
        <w:t xml:space="preserve"> </w:t>
      </w:r>
      <w:r w:rsidRPr="00394571" w:rsidR="0087246C">
        <w:rPr>
          <w:i/>
          <w:iCs/>
        </w:rPr>
        <w:t>Adarand</w:t>
      </w:r>
      <w:r w:rsidRPr="00394571" w:rsidR="0087246C">
        <w:rPr>
          <w:i/>
          <w:iCs/>
        </w:rPr>
        <w:t xml:space="preserve"> Constructors v. Pena</w:t>
      </w:r>
      <w:r w:rsidR="0087246C">
        <w:t>, 515 U.S. 200, 229-30 (1995)</w:t>
      </w:r>
      <w:r w:rsidRPr="00F31F78" w:rsidR="0087246C">
        <w:t xml:space="preserve"> </w:t>
      </w:r>
      <w:r w:rsidR="0087246C">
        <w:t>(strict scrutiny standard applied to any government program involving a racial preference).</w:t>
      </w:r>
    </w:p>
  </w:footnote>
  <w:footnote w:id="43">
    <w:p w:rsidR="006C2222" w:rsidP="006C2222" w14:paraId="575A267C" w14:textId="06926AA6">
      <w:pPr>
        <w:pStyle w:val="FootnoteText"/>
      </w:pPr>
      <w:r>
        <w:rPr>
          <w:rStyle w:val="FootnoteReference"/>
        </w:rPr>
        <w:footnoteRef/>
      </w:r>
      <w:r>
        <w:t xml:space="preserve"> </w:t>
      </w:r>
      <w:r w:rsidRPr="00987086" w:rsidR="000D668C">
        <w:rPr>
          <w:i/>
        </w:rPr>
        <w:t xml:space="preserve">See </w:t>
      </w:r>
      <w:r w:rsidRPr="00987086" w:rsidR="000D668C">
        <w:t>47 U.S.C. § 319(b); 47 CFR § 73.3598(e).</w:t>
      </w:r>
      <w:r w:rsidR="000D668C">
        <w:t xml:space="preserve">  </w:t>
      </w:r>
      <w:r w:rsidRPr="000D668C" w:rsidR="000D668C">
        <w:rPr>
          <w:i/>
          <w:iCs/>
        </w:rPr>
        <w:t>See also</w:t>
      </w:r>
      <w:r w:rsidR="000D668C">
        <w:t xml:space="preserve"> </w:t>
      </w:r>
      <w:r w:rsidRPr="00444D13">
        <w:rPr>
          <w:i/>
          <w:iCs/>
        </w:rPr>
        <w:t>Reconsideration Decision</w:t>
      </w:r>
      <w:r>
        <w:t xml:space="preserve"> at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14:paraId="28C5DE7C" w14:textId="77777777">
    <w:pPr>
      <w:tabs>
        <w:tab w:val="center" w:pos="4680"/>
        <w:tab w:val="right" w:pos="9360"/>
      </w:tabs>
      <w:suppressAutoHyphens/>
      <w:spacing w:line="227" w:lineRule="auto"/>
      <w:jc w:val="both"/>
      <w:rPr>
        <w:rFonts w:ascii="Calisto MT" w:hAnsi="Calisto MT"/>
        <w:spacing w:val="-2"/>
      </w:rPr>
    </w:pPr>
  </w:p>
  <w:p w:rsidR="00BF6E58" w14:paraId="49F50AC5" w14:textId="77777777">
    <w:pPr>
      <w:tabs>
        <w:tab w:val="left" w:pos="-720"/>
      </w:tabs>
      <w:suppressAutoHyphens/>
      <w:spacing w:line="19" w:lineRule="exact"/>
      <w:jc w:val="both"/>
      <w:rPr>
        <w:sz w:val="10"/>
      </w:rPr>
    </w:pPr>
  </w:p>
  <w:p w:rsidR="00BF6E58" w14:paraId="58AB0B98" w14:textId="77777777">
    <w:pPr>
      <w:tabs>
        <w:tab w:val="left" w:pos="-720"/>
      </w:tabs>
      <w:suppressAutoHyphens/>
      <w:spacing w:line="19" w:lineRule="exact"/>
      <w:jc w:val="both"/>
      <w:rPr>
        <w:sz w:val="10"/>
      </w:rPr>
    </w:pPr>
  </w:p>
  <w:p w:rsidR="00BF6E58" w14:paraId="34E8B2DE" w14:textId="77777777">
    <w:pPr>
      <w:tabs>
        <w:tab w:val="left" w:pos="-720"/>
      </w:tabs>
      <w:suppressAutoHyphens/>
      <w:spacing w:line="19" w:lineRule="exact"/>
      <w:jc w:val="both"/>
      <w:rPr>
        <w:sz w:val="10"/>
      </w:rPr>
    </w:pPr>
  </w:p>
  <w:p w:rsidR="00BF6E58" w14:paraId="5E22B0A9" w14:textId="77777777">
    <w:pPr>
      <w:tabs>
        <w:tab w:val="left" w:pos="-720"/>
      </w:tabs>
      <w:suppressAutoHyphens/>
      <w:spacing w:line="19" w:lineRule="exact"/>
      <w:jc w:val="both"/>
      <w:rPr>
        <w:sz w:val="10"/>
      </w:rPr>
    </w:pPr>
  </w:p>
  <w:p w:rsidR="00BF6E58" w14:paraId="73E01E34" w14:textId="77777777">
    <w:pPr>
      <w:tabs>
        <w:tab w:val="left" w:pos="-720"/>
      </w:tabs>
      <w:suppressAutoHyphens/>
      <w:spacing w:line="19"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0F8" w:rsidP="003E1DF5" w14:paraId="3FF7543F" w14:textId="77777777">
    <w:pPr>
      <w:pStyle w:val="Heading2"/>
      <w:spacing w:line="240" w:lineRule="auto"/>
      <w:rPr>
        <w:rFonts w:ascii="CG Times" w:hAnsi="CG Times"/>
        <w:b/>
        <w:color w:val="000000"/>
        <w:szCs w:val="24"/>
      </w:rPr>
    </w:pPr>
    <w:r>
      <w:rPr>
        <w:rFonts w:ascii="CG Times" w:hAnsi="CG Times"/>
        <w:b/>
        <w:noProof/>
        <w:snapToGrid/>
        <w:color w:val="000000"/>
        <w:szCs w:val="24"/>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156210</wp:posOffset>
          </wp:positionV>
          <wp:extent cx="806450" cy="8001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seal-bw-2020.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06450" cy="800100"/>
                  </a:xfrm>
                  <a:prstGeom prst="rect">
                    <a:avLst/>
                  </a:prstGeom>
                </pic:spPr>
              </pic:pic>
            </a:graphicData>
          </a:graphic>
        </wp:anchor>
      </w:drawing>
    </w:r>
  </w:p>
  <w:p w:rsidR="00BF6E58" w:rsidRPr="00504897" w:rsidP="003E1DF5" w14:paraId="0E67D46C" w14:textId="77777777">
    <w:pPr>
      <w:pStyle w:val="Heading2"/>
      <w:spacing w:line="240" w:lineRule="auto"/>
      <w:rPr>
        <w:rFonts w:ascii="CG Times" w:hAnsi="CG Times"/>
        <w:b/>
        <w:color w:val="000000"/>
        <w:szCs w:val="24"/>
      </w:rPr>
    </w:pPr>
    <w:r w:rsidRPr="00504897">
      <w:rPr>
        <w:rFonts w:ascii="CG Times" w:hAnsi="CG Times"/>
        <w:b/>
        <w:color w:val="000000"/>
        <w:szCs w:val="24"/>
      </w:rPr>
      <w:t>Federal Communications Commission</w:t>
    </w:r>
  </w:p>
  <w:p w:rsidR="00BF6E58" w:rsidRPr="00504897" w:rsidP="003E1DF5" w14:paraId="404CFD6A" w14:textId="77777777">
    <w:pPr>
      <w:jc w:val="center"/>
      <w:rPr>
        <w:rFonts w:ascii="CG Times" w:hAnsi="CG Times"/>
        <w:b/>
        <w:color w:val="000000"/>
        <w:spacing w:val="-2"/>
        <w:sz w:val="28"/>
      </w:rPr>
    </w:pPr>
    <w:r w:rsidRPr="00504897">
      <w:rPr>
        <w:rFonts w:ascii="CG Times" w:hAnsi="CG Times"/>
        <w:b/>
        <w:color w:val="000000"/>
        <w:spacing w:val="-2"/>
        <w:szCs w:val="24"/>
      </w:rPr>
      <w:t>Washington, D.C. 20554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30F62"/>
    <w:multiLevelType w:val="hybridMultilevel"/>
    <w:tmpl w:val="4D7E380A"/>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D376C2"/>
    <w:multiLevelType w:val="hybridMultilevel"/>
    <w:tmpl w:val="4D6CA9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3">
    <w:nsid w:val="668971C8"/>
    <w:multiLevelType w:val="hybridMultilevel"/>
    <w:tmpl w:val="BD807D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C4"/>
    <w:rsid w:val="0000758F"/>
    <w:rsid w:val="000078C9"/>
    <w:rsid w:val="000113C9"/>
    <w:rsid w:val="00012853"/>
    <w:rsid w:val="000153CE"/>
    <w:rsid w:val="00015BD9"/>
    <w:rsid w:val="000160C5"/>
    <w:rsid w:val="00017AA2"/>
    <w:rsid w:val="00021827"/>
    <w:rsid w:val="00022013"/>
    <w:rsid w:val="00034D92"/>
    <w:rsid w:val="000358E0"/>
    <w:rsid w:val="000364B6"/>
    <w:rsid w:val="0004128E"/>
    <w:rsid w:val="00041977"/>
    <w:rsid w:val="00042D42"/>
    <w:rsid w:val="00042E1B"/>
    <w:rsid w:val="00045910"/>
    <w:rsid w:val="00046E56"/>
    <w:rsid w:val="00047815"/>
    <w:rsid w:val="000503A3"/>
    <w:rsid w:val="00053B86"/>
    <w:rsid w:val="000621EC"/>
    <w:rsid w:val="000624CA"/>
    <w:rsid w:val="000665CC"/>
    <w:rsid w:val="00070FCF"/>
    <w:rsid w:val="00075A80"/>
    <w:rsid w:val="0008000F"/>
    <w:rsid w:val="00082358"/>
    <w:rsid w:val="00087CDE"/>
    <w:rsid w:val="00091CF8"/>
    <w:rsid w:val="0009417C"/>
    <w:rsid w:val="000A0EEF"/>
    <w:rsid w:val="000A1BB8"/>
    <w:rsid w:val="000A2AC9"/>
    <w:rsid w:val="000A5263"/>
    <w:rsid w:val="000B0118"/>
    <w:rsid w:val="000B5DDE"/>
    <w:rsid w:val="000B690E"/>
    <w:rsid w:val="000C17E2"/>
    <w:rsid w:val="000C4D57"/>
    <w:rsid w:val="000C619E"/>
    <w:rsid w:val="000C6CF4"/>
    <w:rsid w:val="000D103F"/>
    <w:rsid w:val="000D265F"/>
    <w:rsid w:val="000D401B"/>
    <w:rsid w:val="000D668C"/>
    <w:rsid w:val="000E4483"/>
    <w:rsid w:val="000E6F11"/>
    <w:rsid w:val="000E798B"/>
    <w:rsid w:val="000F1FE7"/>
    <w:rsid w:val="000F3C63"/>
    <w:rsid w:val="000F400A"/>
    <w:rsid w:val="000F40EF"/>
    <w:rsid w:val="000F53CC"/>
    <w:rsid w:val="000F6F02"/>
    <w:rsid w:val="00101AA7"/>
    <w:rsid w:val="0010409A"/>
    <w:rsid w:val="00107965"/>
    <w:rsid w:val="00117D87"/>
    <w:rsid w:val="00126366"/>
    <w:rsid w:val="00130105"/>
    <w:rsid w:val="001330FC"/>
    <w:rsid w:val="001333BF"/>
    <w:rsid w:val="00134547"/>
    <w:rsid w:val="00134A16"/>
    <w:rsid w:val="00136843"/>
    <w:rsid w:val="00136D33"/>
    <w:rsid w:val="00137E5E"/>
    <w:rsid w:val="00140611"/>
    <w:rsid w:val="00142DE0"/>
    <w:rsid w:val="00143955"/>
    <w:rsid w:val="001477B5"/>
    <w:rsid w:val="001507F1"/>
    <w:rsid w:val="001538FE"/>
    <w:rsid w:val="001545B9"/>
    <w:rsid w:val="001565CA"/>
    <w:rsid w:val="00156E97"/>
    <w:rsid w:val="0015710F"/>
    <w:rsid w:val="0016083D"/>
    <w:rsid w:val="00160FB8"/>
    <w:rsid w:val="00161B4D"/>
    <w:rsid w:val="00163DC2"/>
    <w:rsid w:val="0016649B"/>
    <w:rsid w:val="001674FC"/>
    <w:rsid w:val="001708D8"/>
    <w:rsid w:val="001746A7"/>
    <w:rsid w:val="00174C40"/>
    <w:rsid w:val="0017588E"/>
    <w:rsid w:val="001773E5"/>
    <w:rsid w:val="00180AAE"/>
    <w:rsid w:val="0018275A"/>
    <w:rsid w:val="00184541"/>
    <w:rsid w:val="00184D62"/>
    <w:rsid w:val="00191245"/>
    <w:rsid w:val="0019332E"/>
    <w:rsid w:val="001A1612"/>
    <w:rsid w:val="001A1A78"/>
    <w:rsid w:val="001A2892"/>
    <w:rsid w:val="001A4257"/>
    <w:rsid w:val="001A7965"/>
    <w:rsid w:val="001B28FC"/>
    <w:rsid w:val="001B3387"/>
    <w:rsid w:val="001B47E9"/>
    <w:rsid w:val="001B66EF"/>
    <w:rsid w:val="001B7180"/>
    <w:rsid w:val="001C057C"/>
    <w:rsid w:val="001C1B89"/>
    <w:rsid w:val="001C32DC"/>
    <w:rsid w:val="001C458A"/>
    <w:rsid w:val="001C481D"/>
    <w:rsid w:val="001C655A"/>
    <w:rsid w:val="001D09B7"/>
    <w:rsid w:val="001D24A8"/>
    <w:rsid w:val="001D6B88"/>
    <w:rsid w:val="001E0944"/>
    <w:rsid w:val="001E56F6"/>
    <w:rsid w:val="001E5E59"/>
    <w:rsid w:val="001F0750"/>
    <w:rsid w:val="001F08AF"/>
    <w:rsid w:val="001F319E"/>
    <w:rsid w:val="001F3C59"/>
    <w:rsid w:val="001F4B25"/>
    <w:rsid w:val="001F53F9"/>
    <w:rsid w:val="001F6D38"/>
    <w:rsid w:val="00201064"/>
    <w:rsid w:val="002034AF"/>
    <w:rsid w:val="00206D48"/>
    <w:rsid w:val="002073F7"/>
    <w:rsid w:val="00212CE9"/>
    <w:rsid w:val="00214561"/>
    <w:rsid w:val="002178EE"/>
    <w:rsid w:val="00220F78"/>
    <w:rsid w:val="00221D7C"/>
    <w:rsid w:val="00224BFF"/>
    <w:rsid w:val="00224DD0"/>
    <w:rsid w:val="00231138"/>
    <w:rsid w:val="002411DD"/>
    <w:rsid w:val="00241200"/>
    <w:rsid w:val="002413EE"/>
    <w:rsid w:val="00243161"/>
    <w:rsid w:val="00243899"/>
    <w:rsid w:val="0024615B"/>
    <w:rsid w:val="00247119"/>
    <w:rsid w:val="0024766A"/>
    <w:rsid w:val="00254090"/>
    <w:rsid w:val="00256682"/>
    <w:rsid w:val="00260D61"/>
    <w:rsid w:val="00261967"/>
    <w:rsid w:val="002632A8"/>
    <w:rsid w:val="00263563"/>
    <w:rsid w:val="0026451F"/>
    <w:rsid w:val="00264B1F"/>
    <w:rsid w:val="002652F4"/>
    <w:rsid w:val="00265D4E"/>
    <w:rsid w:val="0027253D"/>
    <w:rsid w:val="00272AF0"/>
    <w:rsid w:val="002736A2"/>
    <w:rsid w:val="00275ECE"/>
    <w:rsid w:val="00282254"/>
    <w:rsid w:val="00283D3C"/>
    <w:rsid w:val="00285DB8"/>
    <w:rsid w:val="00286436"/>
    <w:rsid w:val="00290986"/>
    <w:rsid w:val="00292DBC"/>
    <w:rsid w:val="00294D17"/>
    <w:rsid w:val="00295680"/>
    <w:rsid w:val="002A102B"/>
    <w:rsid w:val="002A3A3E"/>
    <w:rsid w:val="002A3E09"/>
    <w:rsid w:val="002A51D0"/>
    <w:rsid w:val="002A7195"/>
    <w:rsid w:val="002A7D51"/>
    <w:rsid w:val="002B64B7"/>
    <w:rsid w:val="002B7F8D"/>
    <w:rsid w:val="002D7B4C"/>
    <w:rsid w:val="002D7DDA"/>
    <w:rsid w:val="002F52E2"/>
    <w:rsid w:val="0030097C"/>
    <w:rsid w:val="00302503"/>
    <w:rsid w:val="0030370B"/>
    <w:rsid w:val="00304E1F"/>
    <w:rsid w:val="00307018"/>
    <w:rsid w:val="003103E2"/>
    <w:rsid w:val="003223F4"/>
    <w:rsid w:val="00323E49"/>
    <w:rsid w:val="00330C08"/>
    <w:rsid w:val="003408CD"/>
    <w:rsid w:val="00340958"/>
    <w:rsid w:val="00344CA0"/>
    <w:rsid w:val="00347EE5"/>
    <w:rsid w:val="003504C8"/>
    <w:rsid w:val="00357D30"/>
    <w:rsid w:val="00362AB0"/>
    <w:rsid w:val="003631B8"/>
    <w:rsid w:val="00365DE4"/>
    <w:rsid w:val="00366DCF"/>
    <w:rsid w:val="00366FDB"/>
    <w:rsid w:val="0037110B"/>
    <w:rsid w:val="0037772A"/>
    <w:rsid w:val="0038065B"/>
    <w:rsid w:val="00381A2A"/>
    <w:rsid w:val="00385572"/>
    <w:rsid w:val="00386236"/>
    <w:rsid w:val="00386FFB"/>
    <w:rsid w:val="00392984"/>
    <w:rsid w:val="00394571"/>
    <w:rsid w:val="00394BB2"/>
    <w:rsid w:val="003979BE"/>
    <w:rsid w:val="003A04BB"/>
    <w:rsid w:val="003A1A62"/>
    <w:rsid w:val="003B155C"/>
    <w:rsid w:val="003B59B8"/>
    <w:rsid w:val="003C6E5D"/>
    <w:rsid w:val="003C71FC"/>
    <w:rsid w:val="003C7280"/>
    <w:rsid w:val="003D1D72"/>
    <w:rsid w:val="003D1EAF"/>
    <w:rsid w:val="003D38F5"/>
    <w:rsid w:val="003D4953"/>
    <w:rsid w:val="003D6B6F"/>
    <w:rsid w:val="003E0A3E"/>
    <w:rsid w:val="003E175A"/>
    <w:rsid w:val="003E1DF5"/>
    <w:rsid w:val="003F0A77"/>
    <w:rsid w:val="003F2285"/>
    <w:rsid w:val="003F2E2E"/>
    <w:rsid w:val="003F440C"/>
    <w:rsid w:val="00400AC1"/>
    <w:rsid w:val="0040489E"/>
    <w:rsid w:val="00404A2A"/>
    <w:rsid w:val="00405A4B"/>
    <w:rsid w:val="004108B0"/>
    <w:rsid w:val="00411D1B"/>
    <w:rsid w:val="004134DE"/>
    <w:rsid w:val="004152ED"/>
    <w:rsid w:val="004157F9"/>
    <w:rsid w:val="004178D2"/>
    <w:rsid w:val="00422CE3"/>
    <w:rsid w:val="00425092"/>
    <w:rsid w:val="00433B5A"/>
    <w:rsid w:val="004365F4"/>
    <w:rsid w:val="00436669"/>
    <w:rsid w:val="00440CB9"/>
    <w:rsid w:val="0044269B"/>
    <w:rsid w:val="00442B58"/>
    <w:rsid w:val="0044495C"/>
    <w:rsid w:val="00444D13"/>
    <w:rsid w:val="0045079A"/>
    <w:rsid w:val="00452D5B"/>
    <w:rsid w:val="004551F1"/>
    <w:rsid w:val="00465902"/>
    <w:rsid w:val="0046661F"/>
    <w:rsid w:val="004728F3"/>
    <w:rsid w:val="00476BB2"/>
    <w:rsid w:val="00482D0B"/>
    <w:rsid w:val="00483215"/>
    <w:rsid w:val="00486AFF"/>
    <w:rsid w:val="00492D96"/>
    <w:rsid w:val="00493725"/>
    <w:rsid w:val="00494216"/>
    <w:rsid w:val="004A7EE0"/>
    <w:rsid w:val="004B0291"/>
    <w:rsid w:val="004B2C81"/>
    <w:rsid w:val="004B3D55"/>
    <w:rsid w:val="004B63D4"/>
    <w:rsid w:val="004C4D7F"/>
    <w:rsid w:val="004C5BE3"/>
    <w:rsid w:val="004C6CBF"/>
    <w:rsid w:val="004D026A"/>
    <w:rsid w:val="004D1E20"/>
    <w:rsid w:val="004D23D0"/>
    <w:rsid w:val="004D280C"/>
    <w:rsid w:val="004D3C0E"/>
    <w:rsid w:val="004D511C"/>
    <w:rsid w:val="004D6759"/>
    <w:rsid w:val="004E13A9"/>
    <w:rsid w:val="004E2573"/>
    <w:rsid w:val="004E6C07"/>
    <w:rsid w:val="004F2E7B"/>
    <w:rsid w:val="004F43CE"/>
    <w:rsid w:val="00504897"/>
    <w:rsid w:val="00505577"/>
    <w:rsid w:val="005056DC"/>
    <w:rsid w:val="00512E81"/>
    <w:rsid w:val="00524B10"/>
    <w:rsid w:val="00526333"/>
    <w:rsid w:val="00527768"/>
    <w:rsid w:val="00536B6B"/>
    <w:rsid w:val="005402C3"/>
    <w:rsid w:val="00542C49"/>
    <w:rsid w:val="00543915"/>
    <w:rsid w:val="00544166"/>
    <w:rsid w:val="0054492F"/>
    <w:rsid w:val="00544B21"/>
    <w:rsid w:val="005459F8"/>
    <w:rsid w:val="00546FFA"/>
    <w:rsid w:val="00556A2B"/>
    <w:rsid w:val="00557BAD"/>
    <w:rsid w:val="0056197E"/>
    <w:rsid w:val="0056590D"/>
    <w:rsid w:val="00572507"/>
    <w:rsid w:val="005745EF"/>
    <w:rsid w:val="0057797F"/>
    <w:rsid w:val="005834B6"/>
    <w:rsid w:val="00584071"/>
    <w:rsid w:val="005937D7"/>
    <w:rsid w:val="0059519D"/>
    <w:rsid w:val="0059795F"/>
    <w:rsid w:val="005A1CF0"/>
    <w:rsid w:val="005A3A94"/>
    <w:rsid w:val="005A56F8"/>
    <w:rsid w:val="005A6DBB"/>
    <w:rsid w:val="005B189C"/>
    <w:rsid w:val="005B2481"/>
    <w:rsid w:val="005B7633"/>
    <w:rsid w:val="005C2D6E"/>
    <w:rsid w:val="005C2F93"/>
    <w:rsid w:val="005C6A7C"/>
    <w:rsid w:val="005C7D4E"/>
    <w:rsid w:val="005D00A0"/>
    <w:rsid w:val="005D407D"/>
    <w:rsid w:val="005E60BC"/>
    <w:rsid w:val="005F3A37"/>
    <w:rsid w:val="005F5198"/>
    <w:rsid w:val="005F581E"/>
    <w:rsid w:val="005F6B6F"/>
    <w:rsid w:val="0060135A"/>
    <w:rsid w:val="00602923"/>
    <w:rsid w:val="0060319B"/>
    <w:rsid w:val="0060439A"/>
    <w:rsid w:val="00604C0E"/>
    <w:rsid w:val="00612657"/>
    <w:rsid w:val="00613658"/>
    <w:rsid w:val="00614DC1"/>
    <w:rsid w:val="006244A4"/>
    <w:rsid w:val="00624816"/>
    <w:rsid w:val="006267F2"/>
    <w:rsid w:val="00627072"/>
    <w:rsid w:val="00631A89"/>
    <w:rsid w:val="00633074"/>
    <w:rsid w:val="00633F48"/>
    <w:rsid w:val="00634F90"/>
    <w:rsid w:val="006358F5"/>
    <w:rsid w:val="00637B87"/>
    <w:rsid w:val="006406EF"/>
    <w:rsid w:val="00642B3B"/>
    <w:rsid w:val="00645D87"/>
    <w:rsid w:val="00650CCF"/>
    <w:rsid w:val="00656B66"/>
    <w:rsid w:val="00662424"/>
    <w:rsid w:val="00666CE1"/>
    <w:rsid w:val="00667DA3"/>
    <w:rsid w:val="00682AC8"/>
    <w:rsid w:val="00682E31"/>
    <w:rsid w:val="006833F3"/>
    <w:rsid w:val="00684012"/>
    <w:rsid w:val="006917C8"/>
    <w:rsid w:val="006965AD"/>
    <w:rsid w:val="006A1DC9"/>
    <w:rsid w:val="006A3E62"/>
    <w:rsid w:val="006B036F"/>
    <w:rsid w:val="006B26A7"/>
    <w:rsid w:val="006B7804"/>
    <w:rsid w:val="006C06C3"/>
    <w:rsid w:val="006C126C"/>
    <w:rsid w:val="006C1725"/>
    <w:rsid w:val="006C1C79"/>
    <w:rsid w:val="006C2222"/>
    <w:rsid w:val="006C4231"/>
    <w:rsid w:val="006C4A14"/>
    <w:rsid w:val="006C543F"/>
    <w:rsid w:val="006C6791"/>
    <w:rsid w:val="006C7DD0"/>
    <w:rsid w:val="006D1E69"/>
    <w:rsid w:val="006D2082"/>
    <w:rsid w:val="006E128B"/>
    <w:rsid w:val="006E3675"/>
    <w:rsid w:val="006E3AF1"/>
    <w:rsid w:val="006E46F6"/>
    <w:rsid w:val="006E5631"/>
    <w:rsid w:val="006F259A"/>
    <w:rsid w:val="007049FC"/>
    <w:rsid w:val="00706AC4"/>
    <w:rsid w:val="007129F9"/>
    <w:rsid w:val="00715E12"/>
    <w:rsid w:val="00725279"/>
    <w:rsid w:val="007257A6"/>
    <w:rsid w:val="00726285"/>
    <w:rsid w:val="00733D52"/>
    <w:rsid w:val="00733DBF"/>
    <w:rsid w:val="007378CF"/>
    <w:rsid w:val="00740D82"/>
    <w:rsid w:val="00740E18"/>
    <w:rsid w:val="00740E6C"/>
    <w:rsid w:val="00742038"/>
    <w:rsid w:val="007525ED"/>
    <w:rsid w:val="00752679"/>
    <w:rsid w:val="007537F1"/>
    <w:rsid w:val="0075508F"/>
    <w:rsid w:val="00756F39"/>
    <w:rsid w:val="00762D7C"/>
    <w:rsid w:val="00762FD2"/>
    <w:rsid w:val="00763417"/>
    <w:rsid w:val="00763B66"/>
    <w:rsid w:val="007678F3"/>
    <w:rsid w:val="00771A46"/>
    <w:rsid w:val="0077599A"/>
    <w:rsid w:val="00776968"/>
    <w:rsid w:val="007828C8"/>
    <w:rsid w:val="00782DFF"/>
    <w:rsid w:val="0078381F"/>
    <w:rsid w:val="00792118"/>
    <w:rsid w:val="00793F60"/>
    <w:rsid w:val="00794FC3"/>
    <w:rsid w:val="00795E39"/>
    <w:rsid w:val="00796969"/>
    <w:rsid w:val="007971DC"/>
    <w:rsid w:val="007A35D4"/>
    <w:rsid w:val="007A5F15"/>
    <w:rsid w:val="007B0610"/>
    <w:rsid w:val="007B44A2"/>
    <w:rsid w:val="007B5E73"/>
    <w:rsid w:val="007C2C8D"/>
    <w:rsid w:val="007C2FFE"/>
    <w:rsid w:val="007C4294"/>
    <w:rsid w:val="007C79FB"/>
    <w:rsid w:val="007C7FE1"/>
    <w:rsid w:val="007D12F1"/>
    <w:rsid w:val="007D188F"/>
    <w:rsid w:val="007D237A"/>
    <w:rsid w:val="007D28FB"/>
    <w:rsid w:val="007D41DD"/>
    <w:rsid w:val="007D4C14"/>
    <w:rsid w:val="007D4C82"/>
    <w:rsid w:val="007D4C9B"/>
    <w:rsid w:val="007D4EB1"/>
    <w:rsid w:val="007D58C4"/>
    <w:rsid w:val="007D66E7"/>
    <w:rsid w:val="007E01BB"/>
    <w:rsid w:val="007F1415"/>
    <w:rsid w:val="007F2959"/>
    <w:rsid w:val="007F7EC1"/>
    <w:rsid w:val="00803206"/>
    <w:rsid w:val="0080577C"/>
    <w:rsid w:val="00805EF7"/>
    <w:rsid w:val="00806120"/>
    <w:rsid w:val="00806E9C"/>
    <w:rsid w:val="00807749"/>
    <w:rsid w:val="00810780"/>
    <w:rsid w:val="008107D4"/>
    <w:rsid w:val="00811565"/>
    <w:rsid w:val="00812A68"/>
    <w:rsid w:val="00816977"/>
    <w:rsid w:val="00817999"/>
    <w:rsid w:val="00826CB1"/>
    <w:rsid w:val="00827C06"/>
    <w:rsid w:val="008301F7"/>
    <w:rsid w:val="00830993"/>
    <w:rsid w:val="0083143B"/>
    <w:rsid w:val="00831CFE"/>
    <w:rsid w:val="00832205"/>
    <w:rsid w:val="00834C7C"/>
    <w:rsid w:val="00841404"/>
    <w:rsid w:val="00842060"/>
    <w:rsid w:val="00842CE9"/>
    <w:rsid w:val="0085133B"/>
    <w:rsid w:val="0087246C"/>
    <w:rsid w:val="00877D93"/>
    <w:rsid w:val="008857BD"/>
    <w:rsid w:val="00887876"/>
    <w:rsid w:val="0089273E"/>
    <w:rsid w:val="00892F27"/>
    <w:rsid w:val="00893DE4"/>
    <w:rsid w:val="008A0F7C"/>
    <w:rsid w:val="008A2A90"/>
    <w:rsid w:val="008A3DAC"/>
    <w:rsid w:val="008B1227"/>
    <w:rsid w:val="008C1026"/>
    <w:rsid w:val="008C2CC0"/>
    <w:rsid w:val="008D2845"/>
    <w:rsid w:val="008D4B9C"/>
    <w:rsid w:val="008D74C8"/>
    <w:rsid w:val="008D7EAD"/>
    <w:rsid w:val="008E08F9"/>
    <w:rsid w:val="008E0E66"/>
    <w:rsid w:val="008E2529"/>
    <w:rsid w:val="008E4553"/>
    <w:rsid w:val="008E477B"/>
    <w:rsid w:val="008E4F70"/>
    <w:rsid w:val="008E51F6"/>
    <w:rsid w:val="008E735F"/>
    <w:rsid w:val="008F124A"/>
    <w:rsid w:val="008F566B"/>
    <w:rsid w:val="008F569C"/>
    <w:rsid w:val="00900D96"/>
    <w:rsid w:val="00903459"/>
    <w:rsid w:val="00906428"/>
    <w:rsid w:val="00907882"/>
    <w:rsid w:val="00907EB7"/>
    <w:rsid w:val="00910175"/>
    <w:rsid w:val="00911E32"/>
    <w:rsid w:val="0091509C"/>
    <w:rsid w:val="0092040F"/>
    <w:rsid w:val="009250D8"/>
    <w:rsid w:val="0092591D"/>
    <w:rsid w:val="00925E03"/>
    <w:rsid w:val="0093639E"/>
    <w:rsid w:val="00937A4D"/>
    <w:rsid w:val="00942601"/>
    <w:rsid w:val="00942FBE"/>
    <w:rsid w:val="00942FF3"/>
    <w:rsid w:val="00943117"/>
    <w:rsid w:val="00951A0F"/>
    <w:rsid w:val="00952364"/>
    <w:rsid w:val="00956255"/>
    <w:rsid w:val="00957D4A"/>
    <w:rsid w:val="0096020A"/>
    <w:rsid w:val="0096145A"/>
    <w:rsid w:val="00965FE4"/>
    <w:rsid w:val="009716CC"/>
    <w:rsid w:val="00972258"/>
    <w:rsid w:val="00974AA9"/>
    <w:rsid w:val="00974C3C"/>
    <w:rsid w:val="009774D0"/>
    <w:rsid w:val="00977F6F"/>
    <w:rsid w:val="00980228"/>
    <w:rsid w:val="00981632"/>
    <w:rsid w:val="009835DE"/>
    <w:rsid w:val="00983FB7"/>
    <w:rsid w:val="009859BE"/>
    <w:rsid w:val="00987086"/>
    <w:rsid w:val="00987E31"/>
    <w:rsid w:val="009939E8"/>
    <w:rsid w:val="00995653"/>
    <w:rsid w:val="00995D89"/>
    <w:rsid w:val="00997DEA"/>
    <w:rsid w:val="009A2011"/>
    <w:rsid w:val="009A7E71"/>
    <w:rsid w:val="009B2167"/>
    <w:rsid w:val="009B6AB8"/>
    <w:rsid w:val="009B7C4A"/>
    <w:rsid w:val="009C03F3"/>
    <w:rsid w:val="009C38DF"/>
    <w:rsid w:val="009C4A06"/>
    <w:rsid w:val="009D2973"/>
    <w:rsid w:val="009D2E93"/>
    <w:rsid w:val="009D3569"/>
    <w:rsid w:val="009D4CDB"/>
    <w:rsid w:val="009D4F17"/>
    <w:rsid w:val="009D53FD"/>
    <w:rsid w:val="009D6D00"/>
    <w:rsid w:val="009D7B1A"/>
    <w:rsid w:val="009E4CBB"/>
    <w:rsid w:val="009E4EAD"/>
    <w:rsid w:val="009E50F4"/>
    <w:rsid w:val="009E75F2"/>
    <w:rsid w:val="009E7C1A"/>
    <w:rsid w:val="009F097A"/>
    <w:rsid w:val="009F301A"/>
    <w:rsid w:val="009F692E"/>
    <w:rsid w:val="00A00386"/>
    <w:rsid w:val="00A00449"/>
    <w:rsid w:val="00A01F55"/>
    <w:rsid w:val="00A027DB"/>
    <w:rsid w:val="00A04AC0"/>
    <w:rsid w:val="00A164D6"/>
    <w:rsid w:val="00A175FD"/>
    <w:rsid w:val="00A20A6E"/>
    <w:rsid w:val="00A235EC"/>
    <w:rsid w:val="00A26A72"/>
    <w:rsid w:val="00A34539"/>
    <w:rsid w:val="00A416AB"/>
    <w:rsid w:val="00A41919"/>
    <w:rsid w:val="00A4415F"/>
    <w:rsid w:val="00A44FEF"/>
    <w:rsid w:val="00A47B6D"/>
    <w:rsid w:val="00A53E1D"/>
    <w:rsid w:val="00A55D3A"/>
    <w:rsid w:val="00A565A9"/>
    <w:rsid w:val="00A60EE4"/>
    <w:rsid w:val="00A632C0"/>
    <w:rsid w:val="00A7439D"/>
    <w:rsid w:val="00A74780"/>
    <w:rsid w:val="00A77E83"/>
    <w:rsid w:val="00A82A67"/>
    <w:rsid w:val="00A84C5B"/>
    <w:rsid w:val="00A85CED"/>
    <w:rsid w:val="00A870D5"/>
    <w:rsid w:val="00A90AD0"/>
    <w:rsid w:val="00A91722"/>
    <w:rsid w:val="00A91BB8"/>
    <w:rsid w:val="00A926B3"/>
    <w:rsid w:val="00A941D1"/>
    <w:rsid w:val="00A97B35"/>
    <w:rsid w:val="00A97F07"/>
    <w:rsid w:val="00AA0C4E"/>
    <w:rsid w:val="00AA0CEA"/>
    <w:rsid w:val="00AA4185"/>
    <w:rsid w:val="00AA746A"/>
    <w:rsid w:val="00AB3552"/>
    <w:rsid w:val="00AB434D"/>
    <w:rsid w:val="00AB438D"/>
    <w:rsid w:val="00AB551F"/>
    <w:rsid w:val="00AB6A52"/>
    <w:rsid w:val="00AC38C9"/>
    <w:rsid w:val="00AC543B"/>
    <w:rsid w:val="00AD0F3C"/>
    <w:rsid w:val="00AD7CF1"/>
    <w:rsid w:val="00AE2EB3"/>
    <w:rsid w:val="00AE5593"/>
    <w:rsid w:val="00AE5A3A"/>
    <w:rsid w:val="00AE6389"/>
    <w:rsid w:val="00AE707E"/>
    <w:rsid w:val="00AF25CF"/>
    <w:rsid w:val="00AF415F"/>
    <w:rsid w:val="00AF4E84"/>
    <w:rsid w:val="00AF769D"/>
    <w:rsid w:val="00B00BEF"/>
    <w:rsid w:val="00B00E1A"/>
    <w:rsid w:val="00B013E4"/>
    <w:rsid w:val="00B03F94"/>
    <w:rsid w:val="00B0557A"/>
    <w:rsid w:val="00B07B0F"/>
    <w:rsid w:val="00B14142"/>
    <w:rsid w:val="00B210EB"/>
    <w:rsid w:val="00B216BF"/>
    <w:rsid w:val="00B21BF1"/>
    <w:rsid w:val="00B2225C"/>
    <w:rsid w:val="00B259B3"/>
    <w:rsid w:val="00B27046"/>
    <w:rsid w:val="00B27BE0"/>
    <w:rsid w:val="00B32503"/>
    <w:rsid w:val="00B347AE"/>
    <w:rsid w:val="00B34F0F"/>
    <w:rsid w:val="00B40844"/>
    <w:rsid w:val="00B40EB6"/>
    <w:rsid w:val="00B47A4C"/>
    <w:rsid w:val="00B54118"/>
    <w:rsid w:val="00B62B19"/>
    <w:rsid w:val="00B634BB"/>
    <w:rsid w:val="00B66884"/>
    <w:rsid w:val="00B67E87"/>
    <w:rsid w:val="00B72380"/>
    <w:rsid w:val="00B758D5"/>
    <w:rsid w:val="00B811CD"/>
    <w:rsid w:val="00B83121"/>
    <w:rsid w:val="00B834CB"/>
    <w:rsid w:val="00B8372F"/>
    <w:rsid w:val="00B8506C"/>
    <w:rsid w:val="00B85E10"/>
    <w:rsid w:val="00B8794B"/>
    <w:rsid w:val="00B92030"/>
    <w:rsid w:val="00B92627"/>
    <w:rsid w:val="00B945E3"/>
    <w:rsid w:val="00B94BF9"/>
    <w:rsid w:val="00B967C9"/>
    <w:rsid w:val="00BA318D"/>
    <w:rsid w:val="00BA32E3"/>
    <w:rsid w:val="00BA3EF8"/>
    <w:rsid w:val="00BA553D"/>
    <w:rsid w:val="00BB346A"/>
    <w:rsid w:val="00BB4575"/>
    <w:rsid w:val="00BB4EE0"/>
    <w:rsid w:val="00BB52F7"/>
    <w:rsid w:val="00BC0F47"/>
    <w:rsid w:val="00BC190E"/>
    <w:rsid w:val="00BC60A3"/>
    <w:rsid w:val="00BC6D5C"/>
    <w:rsid w:val="00BC6E9B"/>
    <w:rsid w:val="00BD492E"/>
    <w:rsid w:val="00BD68B0"/>
    <w:rsid w:val="00BE0F4E"/>
    <w:rsid w:val="00BE45BD"/>
    <w:rsid w:val="00BF123A"/>
    <w:rsid w:val="00BF1679"/>
    <w:rsid w:val="00BF6B98"/>
    <w:rsid w:val="00BF6E58"/>
    <w:rsid w:val="00BF6E82"/>
    <w:rsid w:val="00C042D0"/>
    <w:rsid w:val="00C048B0"/>
    <w:rsid w:val="00C04F1C"/>
    <w:rsid w:val="00C051EB"/>
    <w:rsid w:val="00C1090F"/>
    <w:rsid w:val="00C1217A"/>
    <w:rsid w:val="00C126B0"/>
    <w:rsid w:val="00C12B90"/>
    <w:rsid w:val="00C17C2B"/>
    <w:rsid w:val="00C25BA6"/>
    <w:rsid w:val="00C2749A"/>
    <w:rsid w:val="00C336A0"/>
    <w:rsid w:val="00C34168"/>
    <w:rsid w:val="00C41848"/>
    <w:rsid w:val="00C42B6D"/>
    <w:rsid w:val="00C4328D"/>
    <w:rsid w:val="00C44E04"/>
    <w:rsid w:val="00C45470"/>
    <w:rsid w:val="00C53C41"/>
    <w:rsid w:val="00C5616B"/>
    <w:rsid w:val="00C60B3E"/>
    <w:rsid w:val="00C63236"/>
    <w:rsid w:val="00C6371B"/>
    <w:rsid w:val="00C64846"/>
    <w:rsid w:val="00C661BD"/>
    <w:rsid w:val="00C679E2"/>
    <w:rsid w:val="00C70CD9"/>
    <w:rsid w:val="00C70DE7"/>
    <w:rsid w:val="00C81AA5"/>
    <w:rsid w:val="00C87041"/>
    <w:rsid w:val="00C87C06"/>
    <w:rsid w:val="00C929D2"/>
    <w:rsid w:val="00C9556B"/>
    <w:rsid w:val="00C9724E"/>
    <w:rsid w:val="00C972C7"/>
    <w:rsid w:val="00CA01C7"/>
    <w:rsid w:val="00CA1882"/>
    <w:rsid w:val="00CA793B"/>
    <w:rsid w:val="00CA796E"/>
    <w:rsid w:val="00CB2066"/>
    <w:rsid w:val="00CC5E5B"/>
    <w:rsid w:val="00CD1EC6"/>
    <w:rsid w:val="00CD28FD"/>
    <w:rsid w:val="00CD4E42"/>
    <w:rsid w:val="00CD590E"/>
    <w:rsid w:val="00CD6ACF"/>
    <w:rsid w:val="00CE06ED"/>
    <w:rsid w:val="00CE11EA"/>
    <w:rsid w:val="00CE12ED"/>
    <w:rsid w:val="00CE17EB"/>
    <w:rsid w:val="00CE1EB5"/>
    <w:rsid w:val="00CE20D7"/>
    <w:rsid w:val="00CE45D9"/>
    <w:rsid w:val="00CE763E"/>
    <w:rsid w:val="00CF1BC9"/>
    <w:rsid w:val="00CF7641"/>
    <w:rsid w:val="00D00946"/>
    <w:rsid w:val="00D00E15"/>
    <w:rsid w:val="00D015FD"/>
    <w:rsid w:val="00D01965"/>
    <w:rsid w:val="00D27559"/>
    <w:rsid w:val="00D3119C"/>
    <w:rsid w:val="00D32885"/>
    <w:rsid w:val="00D37475"/>
    <w:rsid w:val="00D403AF"/>
    <w:rsid w:val="00D42BD3"/>
    <w:rsid w:val="00D44A6F"/>
    <w:rsid w:val="00D46E66"/>
    <w:rsid w:val="00D47832"/>
    <w:rsid w:val="00D5510E"/>
    <w:rsid w:val="00D56F1B"/>
    <w:rsid w:val="00D60D90"/>
    <w:rsid w:val="00D6132E"/>
    <w:rsid w:val="00D63BB3"/>
    <w:rsid w:val="00D72206"/>
    <w:rsid w:val="00D72AA5"/>
    <w:rsid w:val="00D734A6"/>
    <w:rsid w:val="00D76F8A"/>
    <w:rsid w:val="00D77296"/>
    <w:rsid w:val="00D7731A"/>
    <w:rsid w:val="00D804A1"/>
    <w:rsid w:val="00D805DC"/>
    <w:rsid w:val="00D8069F"/>
    <w:rsid w:val="00D80CFA"/>
    <w:rsid w:val="00D816DA"/>
    <w:rsid w:val="00D8287A"/>
    <w:rsid w:val="00D82D7D"/>
    <w:rsid w:val="00D872E4"/>
    <w:rsid w:val="00D90799"/>
    <w:rsid w:val="00D9198D"/>
    <w:rsid w:val="00D933D1"/>
    <w:rsid w:val="00D93A62"/>
    <w:rsid w:val="00D9620C"/>
    <w:rsid w:val="00D9638C"/>
    <w:rsid w:val="00DA14A0"/>
    <w:rsid w:val="00DA5598"/>
    <w:rsid w:val="00DA621E"/>
    <w:rsid w:val="00DB2131"/>
    <w:rsid w:val="00DB4E31"/>
    <w:rsid w:val="00DB60FD"/>
    <w:rsid w:val="00DC20CE"/>
    <w:rsid w:val="00DC31AB"/>
    <w:rsid w:val="00DC3AA8"/>
    <w:rsid w:val="00DC3E37"/>
    <w:rsid w:val="00DC4C37"/>
    <w:rsid w:val="00DC55BE"/>
    <w:rsid w:val="00DD0852"/>
    <w:rsid w:val="00DD0DAA"/>
    <w:rsid w:val="00DE0E5F"/>
    <w:rsid w:val="00DE2844"/>
    <w:rsid w:val="00DE2BD2"/>
    <w:rsid w:val="00DE408A"/>
    <w:rsid w:val="00DE5240"/>
    <w:rsid w:val="00DE5E79"/>
    <w:rsid w:val="00DF2E57"/>
    <w:rsid w:val="00DF3226"/>
    <w:rsid w:val="00DF4787"/>
    <w:rsid w:val="00E004E5"/>
    <w:rsid w:val="00E02648"/>
    <w:rsid w:val="00E064D7"/>
    <w:rsid w:val="00E06CFF"/>
    <w:rsid w:val="00E076E1"/>
    <w:rsid w:val="00E078A8"/>
    <w:rsid w:val="00E07B6E"/>
    <w:rsid w:val="00E126AC"/>
    <w:rsid w:val="00E14275"/>
    <w:rsid w:val="00E15396"/>
    <w:rsid w:val="00E15B66"/>
    <w:rsid w:val="00E175F9"/>
    <w:rsid w:val="00E202D0"/>
    <w:rsid w:val="00E32245"/>
    <w:rsid w:val="00E33323"/>
    <w:rsid w:val="00E34D9A"/>
    <w:rsid w:val="00E37135"/>
    <w:rsid w:val="00E37328"/>
    <w:rsid w:val="00E375BA"/>
    <w:rsid w:val="00E40E47"/>
    <w:rsid w:val="00E41F56"/>
    <w:rsid w:val="00E4320E"/>
    <w:rsid w:val="00E43459"/>
    <w:rsid w:val="00E4368E"/>
    <w:rsid w:val="00E4532C"/>
    <w:rsid w:val="00E47C02"/>
    <w:rsid w:val="00E507CA"/>
    <w:rsid w:val="00E51198"/>
    <w:rsid w:val="00E53DA9"/>
    <w:rsid w:val="00E74014"/>
    <w:rsid w:val="00E80676"/>
    <w:rsid w:val="00E80D54"/>
    <w:rsid w:val="00E82352"/>
    <w:rsid w:val="00E85C45"/>
    <w:rsid w:val="00E9135D"/>
    <w:rsid w:val="00E92677"/>
    <w:rsid w:val="00E96BCF"/>
    <w:rsid w:val="00E97407"/>
    <w:rsid w:val="00EA1825"/>
    <w:rsid w:val="00EA222F"/>
    <w:rsid w:val="00EA451F"/>
    <w:rsid w:val="00EA48CE"/>
    <w:rsid w:val="00EA7AD1"/>
    <w:rsid w:val="00EB2772"/>
    <w:rsid w:val="00EB3DA6"/>
    <w:rsid w:val="00EB4794"/>
    <w:rsid w:val="00EB7F1C"/>
    <w:rsid w:val="00EC190E"/>
    <w:rsid w:val="00EC2A43"/>
    <w:rsid w:val="00EC5FF6"/>
    <w:rsid w:val="00EC6AC1"/>
    <w:rsid w:val="00ED098E"/>
    <w:rsid w:val="00ED15C4"/>
    <w:rsid w:val="00ED4F73"/>
    <w:rsid w:val="00ED732D"/>
    <w:rsid w:val="00EE0A46"/>
    <w:rsid w:val="00EE381C"/>
    <w:rsid w:val="00EE4BA2"/>
    <w:rsid w:val="00EE631F"/>
    <w:rsid w:val="00EF1761"/>
    <w:rsid w:val="00EF1A2D"/>
    <w:rsid w:val="00EF3AE7"/>
    <w:rsid w:val="00F017F1"/>
    <w:rsid w:val="00F01A2C"/>
    <w:rsid w:val="00F020F8"/>
    <w:rsid w:val="00F02BFF"/>
    <w:rsid w:val="00F043B4"/>
    <w:rsid w:val="00F144D3"/>
    <w:rsid w:val="00F16681"/>
    <w:rsid w:val="00F1714A"/>
    <w:rsid w:val="00F17B56"/>
    <w:rsid w:val="00F22217"/>
    <w:rsid w:val="00F248BF"/>
    <w:rsid w:val="00F27AF1"/>
    <w:rsid w:val="00F31F78"/>
    <w:rsid w:val="00F32678"/>
    <w:rsid w:val="00F33E8B"/>
    <w:rsid w:val="00F34E58"/>
    <w:rsid w:val="00F35809"/>
    <w:rsid w:val="00F41F37"/>
    <w:rsid w:val="00F4556A"/>
    <w:rsid w:val="00F47688"/>
    <w:rsid w:val="00F519EA"/>
    <w:rsid w:val="00F53246"/>
    <w:rsid w:val="00F536A5"/>
    <w:rsid w:val="00F6086C"/>
    <w:rsid w:val="00F60EE2"/>
    <w:rsid w:val="00F61B8E"/>
    <w:rsid w:val="00F61FF1"/>
    <w:rsid w:val="00F63EB8"/>
    <w:rsid w:val="00F64D13"/>
    <w:rsid w:val="00F6543B"/>
    <w:rsid w:val="00F67526"/>
    <w:rsid w:val="00F7062C"/>
    <w:rsid w:val="00F762EE"/>
    <w:rsid w:val="00F82086"/>
    <w:rsid w:val="00F86363"/>
    <w:rsid w:val="00F86ABA"/>
    <w:rsid w:val="00F86F50"/>
    <w:rsid w:val="00F91375"/>
    <w:rsid w:val="00F92FEE"/>
    <w:rsid w:val="00F943DB"/>
    <w:rsid w:val="00F95451"/>
    <w:rsid w:val="00F96333"/>
    <w:rsid w:val="00FA6DF5"/>
    <w:rsid w:val="00FB107A"/>
    <w:rsid w:val="00FB139B"/>
    <w:rsid w:val="00FB18C5"/>
    <w:rsid w:val="00FB4150"/>
    <w:rsid w:val="00FB5640"/>
    <w:rsid w:val="00FB7113"/>
    <w:rsid w:val="00FC16F5"/>
    <w:rsid w:val="00FC3D13"/>
    <w:rsid w:val="00FC3E2B"/>
    <w:rsid w:val="00FD1D24"/>
    <w:rsid w:val="00FD4462"/>
    <w:rsid w:val="00FD5136"/>
    <w:rsid w:val="00FD53E3"/>
    <w:rsid w:val="00FE1DF3"/>
    <w:rsid w:val="00FE3B5B"/>
    <w:rsid w:val="00FE3C3A"/>
    <w:rsid w:val="00FE4CB1"/>
    <w:rsid w:val="00FE56D1"/>
    <w:rsid w:val="00FE5929"/>
    <w:rsid w:val="00FF0577"/>
    <w:rsid w:val="00FF1CF8"/>
    <w:rsid w:val="00FF1E66"/>
    <w:rsid w:val="00FF2B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FEF009"/>
  <w15:docId w15:val="{E0ADA33A-D980-4449-B7A5-A854B208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rsid w:val="00DE5E79"/>
    <w:pPr>
      <w:widowControl/>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DE5E79"/>
    <w:rPr>
      <w:rFonts w:ascii="Times New Roman" w:eastAsia="Times New Roman" w:hAnsi="Times New Roman" w:cs="Times New Roman"/>
      <w:snapToGrid w:val="0"/>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iPriority w:val="99"/>
    <w:qForma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 Char1 Char Char,Footnote Text Char Char1 Char Char Char1 Char,Footnote Text Char1 Char Char,Footnote Text Char1 Char Char Char1 Char Char Char,Footnote Text Char1 Char1,Footnote Text Char2 Char1 Char Char Char"/>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unhideWhenUsed/>
    <w:rsid w:val="0027253D"/>
    <w:rPr>
      <w:sz w:val="20"/>
    </w:rPr>
  </w:style>
  <w:style w:type="character" w:customStyle="1" w:styleId="CommentTextChar">
    <w:name w:val="Comment Text Char"/>
    <w:basedOn w:val="DefaultParagraphFont"/>
    <w:link w:val="CommentText"/>
    <w:uiPriority w:val="99"/>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emphi">
    <w:name w:val="emphi"/>
    <w:rsid w:val="000A2AC9"/>
  </w:style>
  <w:style w:type="character" w:customStyle="1" w:styleId="UnresolvedMention">
    <w:name w:val="Unresolved Mention"/>
    <w:basedOn w:val="DefaultParagraphFont"/>
    <w:uiPriority w:val="99"/>
    <w:semiHidden/>
    <w:unhideWhenUsed/>
    <w:rsid w:val="00715E12"/>
    <w:rPr>
      <w:color w:val="605E5C"/>
      <w:shd w:val="clear" w:color="auto" w:fill="E1DFDD"/>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2178EE"/>
    <w:rPr>
      <w:lang w:val="en-US" w:eastAsia="en-US" w:bidi="ar-SA"/>
    </w:rPr>
  </w:style>
  <w:style w:type="paragraph" w:styleId="Revision">
    <w:name w:val="Revision"/>
    <w:hidden/>
    <w:uiPriority w:val="99"/>
    <w:semiHidden/>
    <w:rsid w:val="00452D5B"/>
    <w:pPr>
      <w:spacing w:after="0" w:line="240" w:lineRule="auto"/>
    </w:pPr>
    <w:rPr>
      <w:rFonts w:ascii="Times New Roman" w:eastAsia="Times New Roman" w:hAnsi="Times New Roman" w:cs="Times New Roman"/>
      <w:snapToGrid w:val="0"/>
      <w:sz w:val="24"/>
      <w:szCs w:val="20"/>
    </w:rPr>
  </w:style>
  <w:style w:type="paragraph" w:customStyle="1" w:styleId="Default">
    <w:name w:val="Default"/>
    <w:rsid w:val="00642B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licensing.fcc.gov/cgi-bin/ws.exe/prod/cdbs/pubacc/prod/leg_det.pl?Application_id=1428956&amp;File_number=BNPH-20110524AHQ"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