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E5884" w:rsidRPr="00B02A93" w:rsidP="75796D0F" w14:paraId="1304E72A" w14:textId="77777777">
      <w:pPr>
        <w:jc w:val="right"/>
        <w:rPr>
          <w:sz w:val="24"/>
          <w:szCs w:val="24"/>
        </w:rPr>
      </w:pPr>
      <w:r w:rsidRPr="00B02A93">
        <w:rPr>
          <w:sz w:val="24"/>
          <w:szCs w:val="24"/>
        </w:rPr>
        <w:t xml:space="preserve"> </w:t>
      </w:r>
    </w:p>
    <w:p w:rsidR="005614FA" w:rsidRPr="00B02A93" w:rsidP="005614FA" w14:paraId="3E24FDAA" w14:textId="536FC40B">
      <w:pPr>
        <w:widowControl/>
        <w:suppressAutoHyphens/>
        <w:jc w:val="right"/>
        <w:rPr>
          <w:b/>
        </w:rPr>
      </w:pPr>
      <w:r w:rsidRPr="00C004D7">
        <w:rPr>
          <w:b/>
        </w:rPr>
        <w:t>DA 2</w:t>
      </w:r>
      <w:r w:rsidRPr="00C004D7" w:rsidR="001E397D">
        <w:rPr>
          <w:b/>
        </w:rPr>
        <w:t>1-</w:t>
      </w:r>
      <w:r w:rsidR="00C004D7">
        <w:rPr>
          <w:b/>
        </w:rPr>
        <w:t>1563</w:t>
      </w:r>
    </w:p>
    <w:p w:rsidR="005614FA" w:rsidRPr="00B02A93" w:rsidP="005614FA" w14:paraId="2C244092" w14:textId="2914658B">
      <w:pPr>
        <w:widowControl/>
        <w:suppressAutoHyphens/>
        <w:spacing w:after="240"/>
        <w:jc w:val="right"/>
        <w:rPr>
          <w:b/>
        </w:rPr>
      </w:pPr>
      <w:r w:rsidRPr="00B02A93">
        <w:rPr>
          <w:b/>
        </w:rPr>
        <w:t>Released</w:t>
      </w:r>
      <w:r w:rsidRPr="00C004D7">
        <w:rPr>
          <w:b/>
        </w:rPr>
        <w:t xml:space="preserve">: </w:t>
      </w:r>
      <w:r w:rsidR="00C004D7">
        <w:rPr>
          <w:b/>
        </w:rPr>
        <w:t>December 15, 2021</w:t>
      </w:r>
    </w:p>
    <w:p w:rsidR="00A212D1" w:rsidP="00A212D1" w14:paraId="43907AC6" w14:textId="77777777">
      <w:pPr>
        <w:autoSpaceDE w:val="0"/>
        <w:autoSpaceDN w:val="0"/>
        <w:adjustRightInd w:val="0"/>
        <w:jc w:val="center"/>
        <w:rPr>
          <w:b/>
          <w:bCs/>
          <w:szCs w:val="22"/>
        </w:rPr>
      </w:pPr>
      <w:r w:rsidRPr="00B02A93">
        <w:rPr>
          <w:b/>
          <w:szCs w:val="22"/>
        </w:rPr>
        <w:t xml:space="preserve">DOMESTIC 214 </w:t>
      </w:r>
      <w:r w:rsidRPr="00B02A93" w:rsidR="00C31891">
        <w:rPr>
          <w:b/>
          <w:szCs w:val="22"/>
        </w:rPr>
        <w:t>APPLICATION</w:t>
      </w:r>
      <w:r w:rsidRPr="00B02A93" w:rsidR="0054043D">
        <w:rPr>
          <w:b/>
          <w:szCs w:val="22"/>
        </w:rPr>
        <w:t xml:space="preserve"> G</w:t>
      </w:r>
      <w:r w:rsidRPr="00B02A93" w:rsidR="00C31891">
        <w:rPr>
          <w:b/>
          <w:szCs w:val="22"/>
        </w:rPr>
        <w:t>RANTED FOR</w:t>
      </w:r>
      <w:r w:rsidR="00DD7CEF">
        <w:rPr>
          <w:b/>
          <w:szCs w:val="22"/>
        </w:rPr>
        <w:t xml:space="preserve"> </w:t>
      </w:r>
      <w:r>
        <w:rPr>
          <w:b/>
          <w:bCs/>
          <w:szCs w:val="22"/>
        </w:rPr>
        <w:t>THE TRANSFER OF CONTROL</w:t>
      </w:r>
    </w:p>
    <w:p w:rsidR="00DD7CEF" w:rsidRPr="00A212D1" w:rsidP="00A212D1" w14:paraId="0A292D40" w14:textId="06CDE761">
      <w:pPr>
        <w:autoSpaceDE w:val="0"/>
        <w:autoSpaceDN w:val="0"/>
        <w:adjustRightInd w:val="0"/>
        <w:jc w:val="center"/>
        <w:rPr>
          <w:b/>
          <w:szCs w:val="22"/>
        </w:rPr>
      </w:pPr>
      <w:r>
        <w:rPr>
          <w:b/>
          <w:bCs/>
          <w:szCs w:val="22"/>
        </w:rPr>
        <w:t>OF</w:t>
      </w:r>
      <w:r>
        <w:rPr>
          <w:b/>
          <w:szCs w:val="22"/>
        </w:rPr>
        <w:t xml:space="preserve"> </w:t>
      </w:r>
      <w:r>
        <w:rPr>
          <w:b/>
          <w:bCs/>
          <w:szCs w:val="22"/>
        </w:rPr>
        <w:t>BROADBAND VI, LLC TO LIBERTY MOBILE USVI, INC.</w:t>
      </w:r>
    </w:p>
    <w:p w:rsidR="005614FA" w:rsidRPr="00B02A93" w:rsidP="0084412A" w14:paraId="5537ED2A" w14:textId="77777777">
      <w:pPr>
        <w:autoSpaceDE w:val="0"/>
        <w:autoSpaceDN w:val="0"/>
        <w:adjustRightInd w:val="0"/>
        <w:rPr>
          <w:b/>
          <w:szCs w:val="22"/>
        </w:rPr>
      </w:pPr>
    </w:p>
    <w:p w:rsidR="005614FA" w:rsidRPr="00B02A93" w:rsidP="005614FA" w14:paraId="5D9244B0" w14:textId="1326691C">
      <w:pPr>
        <w:autoSpaceDE w:val="0"/>
        <w:autoSpaceDN w:val="0"/>
        <w:adjustRightInd w:val="0"/>
        <w:jc w:val="center"/>
        <w:rPr>
          <w:b/>
          <w:szCs w:val="22"/>
        </w:rPr>
      </w:pPr>
      <w:bookmarkStart w:id="0" w:name="_Hlk80002431"/>
      <w:r w:rsidRPr="00B02A93">
        <w:rPr>
          <w:b/>
          <w:szCs w:val="22"/>
        </w:rPr>
        <w:t xml:space="preserve">WC Docket No. </w:t>
      </w:r>
      <w:r w:rsidRPr="00B02A93" w:rsidR="00207939">
        <w:rPr>
          <w:b/>
          <w:szCs w:val="22"/>
        </w:rPr>
        <w:t>2</w:t>
      </w:r>
      <w:r w:rsidRPr="00B02A93" w:rsidR="004F737A">
        <w:rPr>
          <w:b/>
          <w:szCs w:val="22"/>
        </w:rPr>
        <w:t>1</w:t>
      </w:r>
      <w:r w:rsidRPr="00B02A93" w:rsidR="001E397D">
        <w:rPr>
          <w:b/>
          <w:szCs w:val="22"/>
        </w:rPr>
        <w:t>-</w:t>
      </w:r>
      <w:bookmarkEnd w:id="0"/>
      <w:r w:rsidR="00A212D1">
        <w:rPr>
          <w:b/>
          <w:szCs w:val="22"/>
        </w:rPr>
        <w:t>386</w:t>
      </w:r>
    </w:p>
    <w:p w:rsidR="005614FA" w:rsidRPr="00B02A93" w:rsidP="005614FA" w14:paraId="4F620B5F" w14:textId="77777777">
      <w:pPr>
        <w:widowControl/>
        <w:suppressAutoHyphens/>
        <w:rPr>
          <w:b/>
        </w:rPr>
      </w:pPr>
    </w:p>
    <w:p w:rsidR="002E5941" w:rsidRPr="00B02A93" w:rsidP="00960B05" w14:paraId="7F5B29E1" w14:textId="78AB4F2D">
      <w:pPr>
        <w:widowControl/>
        <w:autoSpaceDE w:val="0"/>
        <w:autoSpaceDN w:val="0"/>
        <w:adjustRightInd w:val="0"/>
        <w:spacing w:after="120"/>
        <w:ind w:firstLine="720"/>
        <w:rPr>
          <w:snapToGrid/>
          <w:kern w:val="0"/>
          <w:szCs w:val="22"/>
        </w:rPr>
      </w:pPr>
      <w:r w:rsidRPr="00B02A93">
        <w:rPr>
          <w:snapToGrid/>
          <w:kern w:val="0"/>
          <w:szCs w:val="22"/>
        </w:rPr>
        <w:t xml:space="preserve">By this Public Notice, the Wireline Competition Bureau (Bureau) grants </w:t>
      </w:r>
      <w:r w:rsidRPr="00B02A93" w:rsidR="008774D9">
        <w:rPr>
          <w:snapToGrid/>
          <w:kern w:val="0"/>
          <w:szCs w:val="22"/>
        </w:rPr>
        <w:t>an application filed</w:t>
      </w:r>
      <w:r w:rsidRPr="005F5D60" w:rsidR="005F5D60">
        <w:rPr>
          <w:snapToGrid/>
          <w:kern w:val="0"/>
          <w:szCs w:val="22"/>
        </w:rPr>
        <w:t xml:space="preserve"> by </w:t>
      </w:r>
      <w:bookmarkStart w:id="1" w:name="_Hlk67917977"/>
      <w:r w:rsidRPr="006E1C9A" w:rsidR="006E1C9A">
        <w:rPr>
          <w:snapToGrid/>
          <w:kern w:val="0"/>
          <w:szCs w:val="22"/>
        </w:rPr>
        <w:t xml:space="preserve">Broadband VI, LLC (BBVI) and Liberty Mobile USVI, Inc. (Liberty) </w:t>
      </w:r>
      <w:bookmarkEnd w:id="1"/>
      <w:r w:rsidRPr="006E1C9A" w:rsidR="006E1C9A">
        <w:rPr>
          <w:snapToGrid/>
          <w:kern w:val="0"/>
          <w:szCs w:val="22"/>
        </w:rPr>
        <w:t>(collectively, Applicants)</w:t>
      </w:r>
      <w:r w:rsidRPr="00B02A93" w:rsidR="008774D9">
        <w:rPr>
          <w:snapToGrid/>
          <w:kern w:val="0"/>
          <w:szCs w:val="22"/>
        </w:rPr>
        <w:t>, pursuant to section 214 of the Communications Act of 1934, as amended</w:t>
      </w:r>
      <w:r w:rsidR="009556CA">
        <w:rPr>
          <w:snapToGrid/>
          <w:kern w:val="0"/>
          <w:szCs w:val="22"/>
        </w:rPr>
        <w:t xml:space="preserve"> (Act)</w:t>
      </w:r>
      <w:r w:rsidRPr="00B02A93" w:rsidR="008774D9">
        <w:rPr>
          <w:snapToGrid/>
          <w:kern w:val="0"/>
          <w:szCs w:val="22"/>
        </w:rPr>
        <w:t xml:space="preserve">, and sections 63.03-04 of the Commission’s rules, </w:t>
      </w:r>
      <w:r w:rsidRPr="00FE6E90" w:rsidR="00FE6E90">
        <w:rPr>
          <w:snapToGrid/>
          <w:kern w:val="0"/>
          <w:szCs w:val="22"/>
        </w:rPr>
        <w:t>requesting approval for the transfer of control of BBVI, an eligible telecommunications carrier (ETC) authorized to receive Connect USVI Fund universal service support, to Liberty</w:t>
      </w:r>
      <w:r w:rsidRPr="00B02A93" w:rsidR="008774D9">
        <w:rPr>
          <w:snapToGrid/>
          <w:kern w:val="0"/>
          <w:szCs w:val="22"/>
        </w:rPr>
        <w:t>.</w:t>
      </w:r>
      <w:r>
        <w:rPr>
          <w:snapToGrid/>
          <w:kern w:val="0"/>
          <w:szCs w:val="22"/>
          <w:vertAlign w:val="superscript"/>
        </w:rPr>
        <w:footnoteReference w:id="3"/>
      </w:r>
      <w:r w:rsidRPr="00B02A93" w:rsidR="008774D9">
        <w:rPr>
          <w:snapToGrid/>
          <w:kern w:val="0"/>
          <w:szCs w:val="22"/>
        </w:rPr>
        <w:t xml:space="preserve">  </w:t>
      </w:r>
    </w:p>
    <w:p w:rsidR="005614FA" w:rsidRPr="00B02A93" w:rsidP="00960B05" w14:paraId="67628BEE" w14:textId="78403F8B">
      <w:pPr>
        <w:widowControl/>
        <w:autoSpaceDE w:val="0"/>
        <w:autoSpaceDN w:val="0"/>
        <w:adjustRightInd w:val="0"/>
        <w:spacing w:after="120"/>
        <w:ind w:firstLine="720"/>
        <w:rPr>
          <w:snapToGrid/>
          <w:kern w:val="0"/>
          <w:szCs w:val="22"/>
        </w:rPr>
      </w:pPr>
      <w:r w:rsidRPr="00B02A93">
        <w:rPr>
          <w:szCs w:val="22"/>
        </w:rPr>
        <w:t xml:space="preserve">On </w:t>
      </w:r>
      <w:r w:rsidR="006E1C9A">
        <w:rPr>
          <w:szCs w:val="22"/>
        </w:rPr>
        <w:t>October 22</w:t>
      </w:r>
      <w:r w:rsidRPr="00B02A93">
        <w:rPr>
          <w:szCs w:val="22"/>
        </w:rPr>
        <w:t xml:space="preserve">, </w:t>
      </w:r>
      <w:r w:rsidRPr="00960B05">
        <w:rPr>
          <w:snapToGrid/>
          <w:kern w:val="0"/>
          <w:szCs w:val="22"/>
        </w:rPr>
        <w:t>2021</w:t>
      </w:r>
      <w:r w:rsidRPr="00B02A93">
        <w:rPr>
          <w:szCs w:val="22"/>
        </w:rPr>
        <w:t>, the Bureau released a public notice seeking comment on the Application.</w:t>
      </w:r>
      <w:r>
        <w:rPr>
          <w:rStyle w:val="FootnoteReference"/>
          <w:szCs w:val="22"/>
        </w:rPr>
        <w:footnoteReference w:id="4"/>
      </w:r>
      <w:r w:rsidRPr="00B02A93">
        <w:rPr>
          <w:szCs w:val="22"/>
        </w:rPr>
        <w:t xml:space="preserve">  </w:t>
      </w:r>
      <w:r w:rsidRPr="00B02A93" w:rsidR="00AB3596">
        <w:rPr>
          <w:szCs w:val="22"/>
        </w:rPr>
        <w:t xml:space="preserve">The Bureau </w:t>
      </w:r>
      <w:r w:rsidRPr="00B02A93">
        <w:rPr>
          <w:szCs w:val="22"/>
        </w:rPr>
        <w:t>did not receive comments or petitions in opposition to the Application.</w:t>
      </w:r>
      <w:r w:rsidRPr="00B02A93" w:rsidR="0085777F">
        <w:rPr>
          <w:snapToGrid/>
          <w:kern w:val="0"/>
          <w:szCs w:val="22"/>
        </w:rPr>
        <w:t xml:space="preserve"> </w:t>
      </w:r>
    </w:p>
    <w:p w:rsidR="008D5B54" w:rsidRPr="00B02A93" w:rsidP="00960B05" w14:paraId="4A9F1894" w14:textId="77777777">
      <w:pPr>
        <w:widowControl/>
        <w:autoSpaceDE w:val="0"/>
        <w:autoSpaceDN w:val="0"/>
        <w:adjustRightInd w:val="0"/>
        <w:spacing w:after="120"/>
        <w:rPr>
          <w:b/>
          <w:bCs/>
          <w:snapToGrid/>
          <w:kern w:val="0"/>
          <w:szCs w:val="22"/>
          <w:u w:val="single"/>
        </w:rPr>
      </w:pPr>
      <w:r w:rsidRPr="00B02A93">
        <w:rPr>
          <w:b/>
          <w:bCs/>
          <w:snapToGrid/>
          <w:kern w:val="0"/>
          <w:szCs w:val="22"/>
          <w:u w:val="single"/>
        </w:rPr>
        <w:t>Applicants and Description of Transaction</w:t>
      </w:r>
    </w:p>
    <w:p w:rsidR="007F2E5D" w:rsidRPr="007F2E5D" w:rsidP="007F2E5D" w14:paraId="0D87A398" w14:textId="129996DB">
      <w:pPr>
        <w:autoSpaceDE w:val="0"/>
        <w:autoSpaceDN w:val="0"/>
        <w:adjustRightInd w:val="0"/>
        <w:spacing w:after="120"/>
        <w:ind w:firstLine="720"/>
        <w:rPr>
          <w:rFonts w:ascii="TimesNewRomanPSMT" w:hAnsi="TimesNewRomanPSMT" w:cs="TimesNewRomanPSMT"/>
          <w:szCs w:val="22"/>
        </w:rPr>
      </w:pPr>
      <w:bookmarkStart w:id="5" w:name="_Hlk67918832"/>
      <w:r w:rsidRPr="007F2E5D">
        <w:rPr>
          <w:rFonts w:ascii="TimesNewRomanPSMT" w:hAnsi="TimesNewRomanPSMT" w:cs="TimesNewRomanPSMT"/>
          <w:szCs w:val="22"/>
        </w:rPr>
        <w:t>BBVI, a limited liability company (LLC) organized under the laws of the U.S. Virgin Islands, provides fixed wireless broadband and voice services to approximately 9,000 consumers, businesses, educational institutions, and government facilities throughout the U.S. Virgin Islands.</w:t>
      </w:r>
      <w:r>
        <w:rPr>
          <w:rFonts w:ascii="TimesNewRomanPSMT" w:hAnsi="TimesNewRomanPSMT" w:cs="TimesNewRomanPSMT"/>
          <w:szCs w:val="22"/>
          <w:vertAlign w:val="superscript"/>
        </w:rPr>
        <w:footnoteReference w:id="5"/>
      </w:r>
      <w:r w:rsidRPr="007F2E5D">
        <w:rPr>
          <w:rFonts w:ascii="TimesNewRomanPSMT" w:hAnsi="TimesNewRomanPSMT" w:cs="TimesNewRomanPSMT"/>
          <w:szCs w:val="22"/>
        </w:rPr>
        <w:t xml:space="preserve">  BBVI </w:t>
      </w:r>
      <w:r w:rsidR="00170F41">
        <w:rPr>
          <w:rFonts w:ascii="TimesNewRomanPSMT" w:hAnsi="TimesNewRomanPSMT" w:cs="TimesNewRomanPSMT"/>
          <w:szCs w:val="22"/>
        </w:rPr>
        <w:t xml:space="preserve">was </w:t>
      </w:r>
      <w:r w:rsidRPr="007F2E5D">
        <w:rPr>
          <w:rFonts w:ascii="TimesNewRomanPSMT" w:hAnsi="TimesNewRomanPSMT" w:cs="TimesNewRomanPSMT"/>
          <w:szCs w:val="22"/>
        </w:rPr>
        <w:t>designated as an ETC</w:t>
      </w:r>
      <w:r w:rsidR="00170F41">
        <w:rPr>
          <w:rFonts w:ascii="TimesNewRomanPSMT" w:hAnsi="TimesNewRomanPSMT" w:cs="TimesNewRomanPSMT"/>
          <w:szCs w:val="22"/>
        </w:rPr>
        <w:t xml:space="preserve"> in September 2021</w:t>
      </w:r>
      <w:r w:rsidRPr="007F2E5D">
        <w:rPr>
          <w:rFonts w:ascii="TimesNewRomanPSMT" w:hAnsi="TimesNewRomanPSMT" w:cs="TimesNewRomanPSMT"/>
          <w:szCs w:val="22"/>
        </w:rPr>
        <w:t>.</w:t>
      </w:r>
      <w:r>
        <w:rPr>
          <w:rFonts w:ascii="TimesNewRomanPSMT" w:hAnsi="TimesNewRomanPSMT" w:cs="TimesNewRomanPSMT"/>
          <w:szCs w:val="22"/>
          <w:vertAlign w:val="superscript"/>
        </w:rPr>
        <w:footnoteReference w:id="6"/>
      </w:r>
      <w:r w:rsidRPr="007F2E5D">
        <w:rPr>
          <w:rFonts w:ascii="TimesNewRomanPSMT" w:hAnsi="TimesNewRomanPSMT" w:cs="TimesNewRomanPSMT"/>
          <w:szCs w:val="22"/>
        </w:rPr>
        <w:t xml:space="preserve">  The members of BBVI are Broadband Investments LLLP (Investments), a U.S. Virgin Islands limited liability limited partnership, and Michael J. Meluskey, an individual who is also the Chief Technology Officer of BBVI.</w:t>
      </w:r>
      <w:r>
        <w:rPr>
          <w:rStyle w:val="FootnoteReference"/>
          <w:rFonts w:cs="TimesNewRomanPSMT"/>
          <w:szCs w:val="22"/>
        </w:rPr>
        <w:footnoteReference w:id="7"/>
      </w:r>
      <w:r w:rsidRPr="007F2E5D">
        <w:rPr>
          <w:rFonts w:ascii="TimesNewRomanPSMT" w:hAnsi="TimesNewRomanPSMT" w:cs="TimesNewRomanPSMT"/>
          <w:szCs w:val="22"/>
        </w:rPr>
        <w:t xml:space="preserve">  Investments holds 63.87% of the </w:t>
      </w:r>
      <w:r w:rsidRPr="007F2E5D">
        <w:rPr>
          <w:rFonts w:ascii="TimesNewRomanPSMT" w:hAnsi="TimesNewRomanPSMT" w:cs="TimesNewRomanPSMT"/>
          <w:szCs w:val="22"/>
        </w:rPr>
        <w:t>membership units in BBVI.</w:t>
      </w:r>
      <w:r>
        <w:rPr>
          <w:rStyle w:val="FootnoteReference"/>
          <w:rFonts w:cs="TimesNewRomanPSMT"/>
          <w:szCs w:val="22"/>
        </w:rPr>
        <w:footnoteReference w:id="8"/>
      </w:r>
      <w:r w:rsidRPr="007F2E5D">
        <w:rPr>
          <w:rFonts w:ascii="TimesNewRomanPSMT" w:hAnsi="TimesNewRomanPSMT" w:cs="TimesNewRomanPSMT"/>
          <w:szCs w:val="22"/>
        </w:rPr>
        <w:t xml:space="preserve">  Investments is ultimately controlled by William V. Neville, who is also the CEO of BBVI, and his wife, Connie Jones Neville, both of whom are U.S. citizens.</w:t>
      </w:r>
      <w:r>
        <w:rPr>
          <w:rFonts w:ascii="TimesNewRomanPSMT" w:hAnsi="TimesNewRomanPSMT" w:cs="TimesNewRomanPSMT"/>
          <w:szCs w:val="22"/>
          <w:vertAlign w:val="superscript"/>
        </w:rPr>
        <w:footnoteReference w:id="9"/>
      </w:r>
      <w:r w:rsidRPr="007F2E5D">
        <w:rPr>
          <w:rFonts w:ascii="TimesNewRomanPSMT" w:hAnsi="TimesNewRomanPSMT" w:cs="TimesNewRomanPSMT"/>
          <w:szCs w:val="22"/>
        </w:rPr>
        <w:t xml:space="preserve">  Mr. Meluskey, also a U.S. citizen, holds 31.93% of the membership units in BBVI.</w:t>
      </w:r>
      <w:r>
        <w:rPr>
          <w:rFonts w:ascii="TimesNewRomanPSMT" w:hAnsi="TimesNewRomanPSMT" w:cs="TimesNewRomanPSMT"/>
          <w:szCs w:val="22"/>
          <w:vertAlign w:val="superscript"/>
        </w:rPr>
        <w:footnoteReference w:id="10"/>
      </w:r>
      <w:r w:rsidRPr="007F2E5D">
        <w:rPr>
          <w:rFonts w:ascii="TimesNewRomanPSMT" w:hAnsi="TimesNewRomanPSMT" w:cs="TimesNewRomanPSMT"/>
          <w:szCs w:val="22"/>
        </w:rPr>
        <w:t xml:space="preserve">  If the proposed transaction is consummated, Liberty will own approximately 96% of BBVI.</w:t>
      </w:r>
      <w:r>
        <w:rPr>
          <w:rFonts w:ascii="TimesNewRomanPSMT" w:hAnsi="TimesNewRomanPSMT" w:cs="TimesNewRomanPSMT"/>
          <w:szCs w:val="22"/>
          <w:vertAlign w:val="superscript"/>
        </w:rPr>
        <w:footnoteReference w:id="11"/>
      </w:r>
      <w:r w:rsidRPr="007F2E5D">
        <w:rPr>
          <w:rFonts w:ascii="TimesNewRomanPSMT" w:hAnsi="TimesNewRomanPSMT" w:cs="TimesNewRomanPSMT"/>
          <w:szCs w:val="22"/>
        </w:rPr>
        <w:t xml:space="preserve"> </w:t>
      </w:r>
    </w:p>
    <w:p w:rsidR="00976938" w:rsidRPr="007F2E5D" w:rsidP="00D05C17" w14:paraId="36E8825E" w14:textId="293D1D09">
      <w:pPr>
        <w:widowControl/>
        <w:autoSpaceDE w:val="0"/>
        <w:autoSpaceDN w:val="0"/>
        <w:adjustRightInd w:val="0"/>
        <w:spacing w:after="120"/>
        <w:ind w:firstLine="720"/>
        <w:rPr>
          <w:rFonts w:ascii="TimesNewRomanPSMT" w:hAnsi="TimesNewRomanPSMT" w:cs="TimesNewRomanPSMT"/>
          <w:szCs w:val="22"/>
        </w:rPr>
      </w:pPr>
      <w:r w:rsidRPr="007F2E5D">
        <w:rPr>
          <w:rFonts w:ascii="TimesNewRomanPSMT" w:hAnsi="TimesNewRomanPSMT" w:cs="TimesNewRomanPSMT"/>
          <w:szCs w:val="22"/>
        </w:rPr>
        <w:t>Liberty, a Delaware corporation, provides commercial mobile services in the U.S. Virgin Islands.</w:t>
      </w:r>
      <w:r>
        <w:rPr>
          <w:rFonts w:ascii="TimesNewRomanPSMT" w:hAnsi="TimesNewRomanPSMT" w:cs="TimesNewRomanPSMT"/>
          <w:szCs w:val="22"/>
          <w:vertAlign w:val="superscript"/>
        </w:rPr>
        <w:footnoteReference w:id="12"/>
      </w:r>
      <w:r w:rsidRPr="007F2E5D">
        <w:rPr>
          <w:rFonts w:ascii="TimesNewRomanPSMT" w:hAnsi="TimesNewRomanPSMT" w:cs="TimesNewRomanPSMT"/>
          <w:szCs w:val="22"/>
        </w:rPr>
        <w:t xml:space="preserve">  Liberty Latin America Ltd. (LLA), a publicly traded Bermuda corporation, is the ultimate corporate parent to multiple wireline and wireless telecommunications, broadband, and video services</w:t>
      </w:r>
      <w:r w:rsidR="009A382B">
        <w:rPr>
          <w:rFonts w:ascii="TimesNewRomanPSMT" w:hAnsi="TimesNewRomanPSMT" w:cs="TimesNewRomanPSMT"/>
          <w:szCs w:val="22"/>
        </w:rPr>
        <w:t>’</w:t>
      </w:r>
      <w:r w:rsidRPr="007F2E5D">
        <w:rPr>
          <w:rFonts w:ascii="TimesNewRomanPSMT" w:hAnsi="TimesNewRomanPSMT" w:cs="TimesNewRomanPSMT"/>
          <w:szCs w:val="22"/>
        </w:rPr>
        <w:t xml:space="preserve"> </w:t>
      </w:r>
      <w:r w:rsidR="00E85BD5">
        <w:rPr>
          <w:rFonts w:ascii="TimesNewRomanPSMT" w:hAnsi="TimesNewRomanPSMT" w:cs="TimesNewRomanPSMT"/>
          <w:szCs w:val="22"/>
        </w:rPr>
        <w:t xml:space="preserve">companies </w:t>
      </w:r>
      <w:r w:rsidRPr="007F2E5D">
        <w:rPr>
          <w:rFonts w:ascii="TimesNewRomanPSMT" w:hAnsi="TimesNewRomanPSMT" w:cs="TimesNewRomanPSMT"/>
          <w:szCs w:val="22"/>
        </w:rPr>
        <w:t>operating in the U.S. Virgin Islands, Puerto Rico, and other areas of Latin America and the Caribbean.</w:t>
      </w:r>
      <w:r>
        <w:rPr>
          <w:rFonts w:ascii="TimesNewRomanPSMT" w:hAnsi="TimesNewRomanPSMT" w:cs="TimesNewRomanPSMT"/>
          <w:szCs w:val="22"/>
          <w:vertAlign w:val="superscript"/>
        </w:rPr>
        <w:footnoteReference w:id="13"/>
      </w:r>
      <w:r w:rsidRPr="007F2E5D">
        <w:rPr>
          <w:rFonts w:ascii="TimesNewRomanPSMT" w:hAnsi="TimesNewRomanPSMT" w:cs="TimesNewRomanPSMT"/>
          <w:szCs w:val="22"/>
        </w:rPr>
        <w:t xml:space="preserve">  LLA holds a 100% indirect interest in Liberty through Liberty Mobile Inc. (f/k/a Beach Holding Corporation), LLA Holdco LLC, LCPR Ventures LLC, and Liberty Communications PR Holding LP (f/k/a Leo Cable LP)—each of which is a Delaware holding company, holding a 100% direct equity and voting interest in the company below it in the corporate structure.</w:t>
      </w:r>
      <w:r>
        <w:rPr>
          <w:rFonts w:ascii="TimesNewRomanPSMT" w:hAnsi="TimesNewRomanPSMT" w:cs="TimesNewRomanPSMT"/>
          <w:szCs w:val="22"/>
          <w:vertAlign w:val="superscript"/>
        </w:rPr>
        <w:footnoteReference w:id="14"/>
      </w:r>
      <w:r w:rsidRPr="007F2E5D">
        <w:rPr>
          <w:rFonts w:ascii="TimesNewRomanPSMT" w:hAnsi="TimesNewRomanPSMT" w:cs="TimesNewRomanPSMT"/>
          <w:szCs w:val="22"/>
        </w:rPr>
        <w:t xml:space="preserve">  Leo Cable LLC, a Delaware LLC, holds a 100% voting (general partner interest) in Liberty Communications PR Holding LP.</w:t>
      </w:r>
      <w:r>
        <w:rPr>
          <w:rFonts w:ascii="TimesNewRomanPSMT" w:hAnsi="TimesNewRomanPSMT" w:cs="TimesNewRomanPSMT"/>
          <w:szCs w:val="22"/>
          <w:vertAlign w:val="superscript"/>
        </w:rPr>
        <w:footnoteReference w:id="15"/>
      </w:r>
      <w:r w:rsidRPr="007F2E5D">
        <w:rPr>
          <w:rFonts w:ascii="TimesNewRomanPSMT" w:hAnsi="TimesNewRomanPSMT" w:cs="TimesNewRomanPSMT"/>
          <w:szCs w:val="22"/>
        </w:rPr>
        <w:t xml:space="preserve">  </w:t>
      </w:r>
      <w:r w:rsidRPr="007F2E5D">
        <w:rPr>
          <w:rFonts w:ascii="TimesNewRomanPSMT" w:hAnsi="TimesNewRomanPSMT" w:cs="TimesNewRomanPSMT"/>
          <w:szCs w:val="22"/>
        </w:rPr>
        <w:t>LiLAC</w:t>
      </w:r>
      <w:r w:rsidRPr="007F2E5D">
        <w:rPr>
          <w:rFonts w:ascii="TimesNewRomanPSMT" w:hAnsi="TimesNewRomanPSMT" w:cs="TimesNewRomanPSMT"/>
          <w:szCs w:val="22"/>
        </w:rPr>
        <w:t xml:space="preserve"> Ventures Ltd. of the Cayman Islands holds a 66.39% limited partnership/economic interest in Liberty Communications PR Holding LP and a 66.39% voting/equity interest in Leo Cable LLC.</w:t>
      </w:r>
      <w:r>
        <w:rPr>
          <w:rFonts w:ascii="TimesNewRomanPSMT" w:hAnsi="TimesNewRomanPSMT" w:cs="TimesNewRomanPSMT"/>
          <w:szCs w:val="22"/>
          <w:vertAlign w:val="superscript"/>
        </w:rPr>
        <w:footnoteReference w:id="16"/>
      </w:r>
      <w:r w:rsidRPr="007F2E5D">
        <w:rPr>
          <w:rFonts w:ascii="TimesNewRomanPSMT" w:hAnsi="TimesNewRomanPSMT" w:cs="TimesNewRomanPSMT"/>
          <w:szCs w:val="22"/>
        </w:rPr>
        <w:t xml:space="preserve">  </w:t>
      </w:r>
      <w:r w:rsidRPr="007F2E5D">
        <w:rPr>
          <w:rFonts w:ascii="TimesNewRomanPSMT" w:hAnsi="TimesNewRomanPSMT" w:cs="TimesNewRomanPSMT"/>
          <w:szCs w:val="22"/>
        </w:rPr>
        <w:t>LiLAC</w:t>
      </w:r>
      <w:r w:rsidRPr="007F2E5D">
        <w:rPr>
          <w:rFonts w:ascii="TimesNewRomanPSMT" w:hAnsi="TimesNewRomanPSMT" w:cs="TimesNewRomanPSMT"/>
          <w:szCs w:val="22"/>
        </w:rPr>
        <w:t xml:space="preserve"> Communications Inc., a Delaware corporation, holds a 33.61% limited partnership/economic interest in Liberty Communications PR Holding LP and a 33.61% voting/equity interest in Leo Cable LLC.</w:t>
      </w:r>
      <w:r>
        <w:rPr>
          <w:rFonts w:ascii="TimesNewRomanPSMT" w:hAnsi="TimesNewRomanPSMT" w:cs="TimesNewRomanPSMT"/>
          <w:szCs w:val="22"/>
          <w:vertAlign w:val="superscript"/>
        </w:rPr>
        <w:footnoteReference w:id="17"/>
      </w:r>
      <w:r w:rsidRPr="007F2E5D">
        <w:rPr>
          <w:rFonts w:ascii="TimesNewRomanPSMT" w:hAnsi="TimesNewRomanPSMT" w:cs="TimesNewRomanPSMT"/>
          <w:szCs w:val="22"/>
        </w:rPr>
        <w:t xml:space="preserve">  LGI International Holdings, LLC, a Colorado limited liability company, holds a direct 100% equity/voting interest in </w:t>
      </w:r>
      <w:r w:rsidRPr="007F2E5D">
        <w:rPr>
          <w:rFonts w:ascii="TimesNewRomanPSMT" w:hAnsi="TimesNewRomanPSMT" w:cs="TimesNewRomanPSMT"/>
          <w:szCs w:val="22"/>
        </w:rPr>
        <w:t>LiLAC</w:t>
      </w:r>
      <w:r w:rsidRPr="007F2E5D">
        <w:rPr>
          <w:rFonts w:ascii="TimesNewRomanPSMT" w:hAnsi="TimesNewRomanPSMT" w:cs="TimesNewRomanPSMT"/>
          <w:szCs w:val="22"/>
        </w:rPr>
        <w:t xml:space="preserve"> Communications, Inc.</w:t>
      </w:r>
      <w:r>
        <w:rPr>
          <w:rFonts w:ascii="TimesNewRomanPSMT" w:hAnsi="TimesNewRomanPSMT" w:cs="TimesNewRomanPSMT"/>
          <w:szCs w:val="22"/>
          <w:vertAlign w:val="superscript"/>
        </w:rPr>
        <w:footnoteReference w:id="18"/>
      </w:r>
      <w:r w:rsidRPr="007F2E5D">
        <w:rPr>
          <w:rFonts w:ascii="TimesNewRomanPSMT" w:hAnsi="TimesNewRomanPSMT" w:cs="TimesNewRomanPSMT"/>
          <w:szCs w:val="22"/>
        </w:rPr>
        <w:t xml:space="preserve">  </w:t>
      </w:r>
      <w:r w:rsidRPr="007F2E5D">
        <w:rPr>
          <w:rFonts w:ascii="TimesNewRomanPSMT" w:hAnsi="TimesNewRomanPSMT" w:cs="TimesNewRomanPSMT"/>
          <w:szCs w:val="22"/>
        </w:rPr>
        <w:t>LiLAC</w:t>
      </w:r>
      <w:r w:rsidRPr="007F2E5D">
        <w:rPr>
          <w:rFonts w:ascii="TimesNewRomanPSMT" w:hAnsi="TimesNewRomanPSMT" w:cs="TimesNewRomanPSMT"/>
          <w:szCs w:val="22"/>
        </w:rPr>
        <w:t xml:space="preserve"> Services Ltd. of Bermuda holds a direct 100% equity/voting interest in LGI International Holdings, LLC.</w:t>
      </w:r>
      <w:r>
        <w:rPr>
          <w:rFonts w:ascii="TimesNewRomanPSMT" w:hAnsi="TimesNewRomanPSMT" w:cs="TimesNewRomanPSMT"/>
          <w:szCs w:val="22"/>
          <w:vertAlign w:val="superscript"/>
        </w:rPr>
        <w:footnoteReference w:id="19"/>
      </w:r>
      <w:r w:rsidRPr="007F2E5D">
        <w:rPr>
          <w:rFonts w:ascii="TimesNewRomanPSMT" w:hAnsi="TimesNewRomanPSMT" w:cs="TimesNewRomanPSMT"/>
          <w:szCs w:val="22"/>
        </w:rPr>
        <w:t xml:space="preserve">  LLA holds a direct 100% equity/voting interest in </w:t>
      </w:r>
      <w:r w:rsidRPr="007F2E5D">
        <w:rPr>
          <w:rFonts w:ascii="TimesNewRomanPSMT" w:hAnsi="TimesNewRomanPSMT" w:cs="TimesNewRomanPSMT"/>
          <w:szCs w:val="22"/>
        </w:rPr>
        <w:t>LiLAC</w:t>
      </w:r>
      <w:r w:rsidRPr="007F2E5D">
        <w:rPr>
          <w:rFonts w:ascii="TimesNewRomanPSMT" w:hAnsi="TimesNewRomanPSMT" w:cs="TimesNewRomanPSMT"/>
          <w:szCs w:val="22"/>
        </w:rPr>
        <w:t xml:space="preserve"> Services Ltd.</w:t>
      </w:r>
      <w:r>
        <w:rPr>
          <w:rFonts w:ascii="TimesNewRomanPSMT" w:hAnsi="TimesNewRomanPSMT" w:cs="TimesNewRomanPSMT"/>
          <w:szCs w:val="22"/>
          <w:vertAlign w:val="superscript"/>
        </w:rPr>
        <w:footnoteReference w:id="20"/>
      </w:r>
      <w:r w:rsidRPr="007F2E5D">
        <w:rPr>
          <w:rFonts w:ascii="TimesNewRomanPSMT" w:hAnsi="TimesNewRomanPSMT" w:cs="TimesNewRomanPSMT"/>
          <w:szCs w:val="22"/>
        </w:rPr>
        <w:t xml:space="preserve">  John C. Malone, a U.S. Citizen, holds a direct 10% or </w:t>
      </w:r>
      <w:r w:rsidRPr="007F2E5D">
        <w:rPr>
          <w:rFonts w:ascii="TimesNewRomanPSMT" w:hAnsi="TimesNewRomanPSMT" w:cs="TimesNewRomanPSMT"/>
          <w:szCs w:val="22"/>
        </w:rPr>
        <w:t>greater interest in Liberty Latin America Ltd.</w:t>
      </w:r>
      <w:r>
        <w:rPr>
          <w:rStyle w:val="FootnoteReference"/>
          <w:rFonts w:cs="TimesNewRomanPSMT"/>
          <w:szCs w:val="22"/>
        </w:rPr>
        <w:footnoteReference w:id="21"/>
      </w:r>
      <w:r w:rsidRPr="007F2E5D">
        <w:rPr>
          <w:rFonts w:ascii="TimesNewRomanPSMT" w:hAnsi="TimesNewRomanPSMT" w:cs="TimesNewRomanPSMT"/>
          <w:szCs w:val="22"/>
        </w:rPr>
        <w:t xml:space="preserve">  As a result, Mr. Malone holds a 25.40% indirect voting and 5.40% indirect equity interest in Liberty.</w:t>
      </w:r>
      <w:r>
        <w:rPr>
          <w:rFonts w:ascii="TimesNewRomanPSMT" w:hAnsi="TimesNewRomanPSMT" w:cs="TimesNewRomanPSMT"/>
          <w:szCs w:val="22"/>
          <w:vertAlign w:val="superscript"/>
        </w:rPr>
        <w:footnoteReference w:id="22"/>
      </w:r>
      <w:r w:rsidRPr="007F2E5D">
        <w:rPr>
          <w:rFonts w:ascii="TimesNewRomanPSMT" w:hAnsi="TimesNewRomanPSMT" w:cs="TimesNewRomanPSMT"/>
          <w:szCs w:val="22"/>
        </w:rPr>
        <w:t xml:space="preserve">  </w:t>
      </w:r>
      <w:bookmarkEnd w:id="5"/>
    </w:p>
    <w:p w:rsidR="007F2E5D" w:rsidRPr="007F2E5D" w:rsidP="007F2E5D" w14:paraId="5B0C7892" w14:textId="77777777">
      <w:pPr>
        <w:widowControl/>
        <w:autoSpaceDE w:val="0"/>
        <w:autoSpaceDN w:val="0"/>
        <w:adjustRightInd w:val="0"/>
        <w:spacing w:after="120"/>
        <w:ind w:firstLine="720"/>
        <w:rPr>
          <w:snapToGrid/>
          <w:kern w:val="0"/>
          <w:szCs w:val="22"/>
        </w:rPr>
      </w:pPr>
      <w:r w:rsidRPr="007F2E5D">
        <w:rPr>
          <w:snapToGrid/>
          <w:kern w:val="0"/>
          <w:szCs w:val="22"/>
        </w:rPr>
        <w:t>Pursuant to the terms of the proposed transaction, Liberty would acquire a controlling interest of approximately 96% of BBVI from Broadband Investments LLLP, Michael J. Meluskey, and two other individuals who hold a total of 0.20% of BBVI.</w:t>
      </w:r>
      <w:r>
        <w:rPr>
          <w:snapToGrid/>
          <w:kern w:val="0"/>
          <w:szCs w:val="22"/>
          <w:vertAlign w:val="superscript"/>
        </w:rPr>
        <w:footnoteReference w:id="23"/>
      </w:r>
      <w:r w:rsidRPr="007F2E5D">
        <w:rPr>
          <w:snapToGrid/>
          <w:kern w:val="0"/>
          <w:szCs w:val="22"/>
        </w:rPr>
        <w:t xml:space="preserve">  Applicants explain that, upon consummation of the proposed transaction, Liberty’s experienced management team would assume the operations of BBVI, including BBVI’s Connect USVI Fund obligations.</w:t>
      </w:r>
      <w:r>
        <w:rPr>
          <w:snapToGrid/>
          <w:kern w:val="0"/>
          <w:szCs w:val="22"/>
          <w:vertAlign w:val="superscript"/>
        </w:rPr>
        <w:footnoteReference w:id="24"/>
      </w:r>
      <w:r w:rsidRPr="007F2E5D">
        <w:rPr>
          <w:snapToGrid/>
          <w:kern w:val="0"/>
          <w:szCs w:val="22"/>
        </w:rPr>
        <w:t xml:space="preserve">  </w:t>
      </w:r>
    </w:p>
    <w:p w:rsidR="00143076" w:rsidRPr="00143076" w:rsidP="007F2E5D" w14:paraId="4ED17AAC" w14:textId="6BDE2505">
      <w:pPr>
        <w:widowControl/>
        <w:autoSpaceDE w:val="0"/>
        <w:autoSpaceDN w:val="0"/>
        <w:adjustRightInd w:val="0"/>
        <w:spacing w:after="120"/>
        <w:ind w:firstLine="720"/>
        <w:rPr>
          <w:bCs/>
          <w:szCs w:val="22"/>
        </w:rPr>
      </w:pPr>
      <w:r w:rsidRPr="007F2E5D">
        <w:rPr>
          <w:bCs/>
          <w:szCs w:val="22"/>
        </w:rPr>
        <w:t>Applicants assert that a grant of the Application would serve the public interest, convenience, and necessity.  They state that the proposed transaction “will promote the public interest by providing BBVI with additional financial resources, operational capability and management expertise that will allow the company to accelerate its efforts to deploy resilient fiber-based voice and broadband services in the U.S. Virgin Islands and thereby help bridge the digital divide.”</w:t>
      </w:r>
      <w:r>
        <w:rPr>
          <w:bCs/>
          <w:szCs w:val="22"/>
          <w:vertAlign w:val="superscript"/>
        </w:rPr>
        <w:footnoteReference w:id="25"/>
      </w:r>
      <w:r w:rsidRPr="007F2E5D">
        <w:rPr>
          <w:bCs/>
          <w:szCs w:val="22"/>
        </w:rPr>
        <w:t xml:space="preserve">  Specifically, Applicants state that the proposed transaction will provide BBVI access to capital from Liberty’s substantial financial resources, and that “as a result of this infusion of capital, BBVI will be well positioned to accelerate the network construction and deployment of the [Connect] USVI Fund fiber network that will make voice and Gigabit broadband available to all 46,039 locations in the U.S. Virgin Islands by the end of 2027, as required by Stage 2 of the [Connect] USVI Fund program.”</w:t>
      </w:r>
      <w:r>
        <w:rPr>
          <w:bCs/>
          <w:szCs w:val="22"/>
          <w:vertAlign w:val="superscript"/>
        </w:rPr>
        <w:footnoteReference w:id="26"/>
      </w:r>
      <w:r w:rsidRPr="007F2E5D">
        <w:rPr>
          <w:bCs/>
          <w:szCs w:val="22"/>
        </w:rPr>
        <w:t xml:space="preserve">  Applicants further contend that Liberty “has extensive operational experience and managerial capabilities and resources, which will help steer BBVI’s service enhancements and expansion, including in connection with BBVI’s existing fixed wireless broadband network and deployment of the planned fiber network.”</w:t>
      </w:r>
      <w:r>
        <w:rPr>
          <w:bCs/>
          <w:szCs w:val="22"/>
          <w:vertAlign w:val="superscript"/>
        </w:rPr>
        <w:footnoteReference w:id="27"/>
      </w:r>
      <w:r w:rsidRPr="007F2E5D">
        <w:rPr>
          <w:bCs/>
          <w:szCs w:val="22"/>
        </w:rPr>
        <w:t xml:space="preserve">  Finally, </w:t>
      </w:r>
      <w:bookmarkStart w:id="6" w:name="_Hlk89639836"/>
      <w:r w:rsidRPr="007F2E5D">
        <w:rPr>
          <w:bCs/>
          <w:szCs w:val="22"/>
        </w:rPr>
        <w:t>Applicants assert that the proposed transaction will not adversely affect competition and will be seamless with respect to BBVI’s existing customers.</w:t>
      </w:r>
      <w:r>
        <w:rPr>
          <w:bCs/>
          <w:szCs w:val="22"/>
          <w:vertAlign w:val="superscript"/>
        </w:rPr>
        <w:footnoteReference w:id="28"/>
      </w:r>
      <w:r>
        <w:t xml:space="preserve"> </w:t>
      </w:r>
      <w:bookmarkEnd w:id="6"/>
    </w:p>
    <w:p w:rsidR="008D5B54" w:rsidRPr="00B02A93" w:rsidP="006C1880" w14:paraId="460F2DA2" w14:textId="77777777">
      <w:pPr>
        <w:keepNext/>
        <w:widowControl/>
        <w:autoSpaceDE w:val="0"/>
        <w:autoSpaceDN w:val="0"/>
        <w:adjustRightInd w:val="0"/>
        <w:spacing w:after="120"/>
        <w:rPr>
          <w:b/>
          <w:bCs/>
          <w:szCs w:val="22"/>
          <w:u w:val="single"/>
        </w:rPr>
      </w:pPr>
      <w:r w:rsidRPr="00B02A93">
        <w:rPr>
          <w:b/>
          <w:bCs/>
          <w:szCs w:val="22"/>
          <w:u w:val="single"/>
        </w:rPr>
        <w:t>Discussion</w:t>
      </w:r>
    </w:p>
    <w:p w:rsidR="00A901ED" w:rsidP="005A7365" w14:paraId="59A6062E" w14:textId="2702AEC7">
      <w:pPr>
        <w:widowControl/>
        <w:autoSpaceDE w:val="0"/>
        <w:autoSpaceDN w:val="0"/>
        <w:adjustRightInd w:val="0"/>
        <w:spacing w:after="120"/>
        <w:ind w:firstLine="720"/>
        <w:rPr>
          <w:szCs w:val="22"/>
        </w:rPr>
      </w:pPr>
      <w:r w:rsidRPr="00B02A93">
        <w:rPr>
          <w:szCs w:val="22"/>
        </w:rPr>
        <w:t xml:space="preserve">We find, upon </w:t>
      </w:r>
      <w:r w:rsidRPr="001A7655">
        <w:rPr>
          <w:szCs w:val="22"/>
        </w:rPr>
        <w:t xml:space="preserve">consideration </w:t>
      </w:r>
      <w:r w:rsidRPr="00B02A93">
        <w:rPr>
          <w:szCs w:val="22"/>
        </w:rPr>
        <w:t>of the record, that grant of the Application will serve the public interest, convenience, and necessity.</w:t>
      </w:r>
      <w:r>
        <w:rPr>
          <w:szCs w:val="22"/>
          <w:vertAlign w:val="superscript"/>
        </w:rPr>
        <w:footnoteReference w:id="29"/>
      </w:r>
      <w:r w:rsidRPr="00B02A93">
        <w:rPr>
          <w:szCs w:val="22"/>
        </w:rPr>
        <w:t xml:space="preserve">  </w:t>
      </w:r>
      <w:r w:rsidRPr="00A901ED">
        <w:rPr>
          <w:szCs w:val="22"/>
        </w:rPr>
        <w:t>To make this determination under Commission precedent, we consider whether the proposed transaction could result in public interest harms by substantially frustrating or impairing the objectives or implementation of the</w:t>
      </w:r>
      <w:r>
        <w:rPr>
          <w:szCs w:val="22"/>
        </w:rPr>
        <w:t xml:space="preserve"> </w:t>
      </w:r>
      <w:r w:rsidRPr="00A901ED">
        <w:rPr>
          <w:szCs w:val="22"/>
        </w:rPr>
        <w:t>Act or related statutes.</w:t>
      </w:r>
      <w:r>
        <w:rPr>
          <w:szCs w:val="22"/>
          <w:vertAlign w:val="superscript"/>
        </w:rPr>
        <w:footnoteReference w:id="30"/>
      </w:r>
      <w:r w:rsidRPr="00A901ED">
        <w:rPr>
          <w:szCs w:val="22"/>
        </w:rPr>
        <w:t xml:space="preserve">  We then employ a </w:t>
      </w:r>
      <w:r w:rsidRPr="00A901ED">
        <w:rPr>
          <w:szCs w:val="22"/>
        </w:rPr>
        <w:t>balancing test weighing any potential public interest harms of the proposed transaction against any potential public interest benefits.</w:t>
      </w:r>
      <w:r>
        <w:rPr>
          <w:szCs w:val="22"/>
          <w:vertAlign w:val="superscript"/>
        </w:rPr>
        <w:footnoteReference w:id="31"/>
      </w:r>
      <w:r w:rsidRPr="00A901ED">
        <w:rPr>
          <w:szCs w:val="22"/>
        </w:rPr>
        <w:t xml:space="preserve">  The Applicants bear the burden of proving, by a preponderance of the evidence, that the proposed transaction, on balance, serves the public interest.</w:t>
      </w:r>
      <w:r>
        <w:rPr>
          <w:szCs w:val="22"/>
          <w:vertAlign w:val="superscript"/>
        </w:rPr>
        <w:footnoteReference w:id="32"/>
      </w:r>
    </w:p>
    <w:p w:rsidR="00682D96" w:rsidRPr="00682D96" w:rsidP="008C5AED" w14:paraId="0C33C53F" w14:textId="35CCB785">
      <w:pPr>
        <w:widowControl/>
        <w:autoSpaceDE w:val="0"/>
        <w:autoSpaceDN w:val="0"/>
        <w:adjustRightInd w:val="0"/>
        <w:spacing w:after="120"/>
        <w:ind w:firstLine="720"/>
        <w:rPr>
          <w:color w:val="000000"/>
          <w:szCs w:val="22"/>
        </w:rPr>
      </w:pPr>
      <w:r w:rsidRPr="00682D96">
        <w:rPr>
          <w:color w:val="000000"/>
          <w:szCs w:val="22"/>
        </w:rPr>
        <w:t>We find that there are no potential public interest harms identified in the record.  First, the proposed transaction</w:t>
      </w:r>
      <w:r w:rsidR="00025905">
        <w:rPr>
          <w:color w:val="000000"/>
          <w:szCs w:val="22"/>
        </w:rPr>
        <w:t xml:space="preserve"> likely</w:t>
      </w:r>
      <w:r w:rsidRPr="00682D96">
        <w:rPr>
          <w:color w:val="000000"/>
          <w:szCs w:val="22"/>
        </w:rPr>
        <w:t xml:space="preserve"> </w:t>
      </w:r>
      <w:r w:rsidRPr="007F2E5D" w:rsidR="00025905">
        <w:rPr>
          <w:bCs/>
          <w:color w:val="000000"/>
          <w:szCs w:val="22"/>
        </w:rPr>
        <w:t>will not adversely affect competition</w:t>
      </w:r>
      <w:r w:rsidR="005D1FDC">
        <w:rPr>
          <w:bCs/>
          <w:color w:val="000000"/>
          <w:szCs w:val="22"/>
        </w:rPr>
        <w:t>, and no commenter has raised other potential harms</w:t>
      </w:r>
      <w:r w:rsidR="00DF02FA">
        <w:rPr>
          <w:bCs/>
          <w:color w:val="000000"/>
          <w:szCs w:val="22"/>
        </w:rPr>
        <w:t xml:space="preserve">.  </w:t>
      </w:r>
      <w:r w:rsidR="005D1FDC">
        <w:rPr>
          <w:bCs/>
          <w:color w:val="000000"/>
          <w:szCs w:val="22"/>
        </w:rPr>
        <w:t>Liberty provides commercial mobile services in the USVI.</w:t>
      </w:r>
      <w:r>
        <w:rPr>
          <w:rStyle w:val="FootnoteReference"/>
          <w:bCs/>
          <w:szCs w:val="22"/>
        </w:rPr>
        <w:footnoteReference w:id="33"/>
      </w:r>
      <w:r w:rsidR="005D1FDC">
        <w:rPr>
          <w:bCs/>
          <w:color w:val="000000"/>
          <w:szCs w:val="22"/>
        </w:rPr>
        <w:t xml:space="preserve">  As the Commission has found, the combination of competitive providers</w:t>
      </w:r>
      <w:r w:rsidR="00337CCE">
        <w:rPr>
          <w:bCs/>
          <w:color w:val="000000"/>
          <w:szCs w:val="22"/>
        </w:rPr>
        <w:t xml:space="preserve"> </w:t>
      </w:r>
      <w:r w:rsidR="005D1FDC">
        <w:rPr>
          <w:bCs/>
          <w:color w:val="000000"/>
          <w:szCs w:val="22"/>
        </w:rPr>
        <w:t>can result in a stronger and more effective competitor against incumbent LEC providers.</w:t>
      </w:r>
      <w:r>
        <w:rPr>
          <w:rStyle w:val="FootnoteReference"/>
          <w:bCs/>
          <w:szCs w:val="22"/>
        </w:rPr>
        <w:footnoteReference w:id="34"/>
      </w:r>
      <w:r w:rsidR="005D1FDC">
        <w:rPr>
          <w:bCs/>
          <w:color w:val="000000"/>
          <w:szCs w:val="22"/>
        </w:rPr>
        <w:t xml:space="preserve">  </w:t>
      </w:r>
      <w:r w:rsidRPr="00025905" w:rsidR="00025905">
        <w:rPr>
          <w:bCs/>
          <w:color w:val="000000"/>
          <w:szCs w:val="22"/>
        </w:rPr>
        <w:t>As proposed, Applicants state that</w:t>
      </w:r>
      <w:r w:rsidR="008C5AED">
        <w:rPr>
          <w:bCs/>
          <w:color w:val="000000"/>
          <w:szCs w:val="22"/>
        </w:rPr>
        <w:t xml:space="preserve"> because the proposed change in ownership will occur at the investor level, </w:t>
      </w:r>
      <w:r w:rsidRPr="00025905" w:rsidR="00025905">
        <w:rPr>
          <w:bCs/>
          <w:color w:val="000000"/>
          <w:szCs w:val="22"/>
        </w:rPr>
        <w:t xml:space="preserve">the transaction </w:t>
      </w:r>
      <w:r w:rsidRPr="007F2E5D" w:rsidR="00025905">
        <w:rPr>
          <w:bCs/>
          <w:color w:val="000000"/>
          <w:szCs w:val="22"/>
        </w:rPr>
        <w:t>will be seamless with respect to BBVI’s existing customers</w:t>
      </w:r>
      <w:r w:rsidRPr="00025905" w:rsidR="00025905">
        <w:rPr>
          <w:bCs/>
          <w:color w:val="000000"/>
          <w:szCs w:val="22"/>
        </w:rPr>
        <w:t xml:space="preserve">, and therefore, we expect no </w:t>
      </w:r>
      <w:r w:rsidR="008C5AED">
        <w:rPr>
          <w:bCs/>
          <w:color w:val="000000"/>
          <w:szCs w:val="22"/>
        </w:rPr>
        <w:t>harm to existing customers</w:t>
      </w:r>
      <w:r w:rsidRPr="00025905" w:rsidR="00025905">
        <w:rPr>
          <w:bCs/>
          <w:color w:val="000000"/>
          <w:szCs w:val="22"/>
        </w:rPr>
        <w:t xml:space="preserve"> to result from the transactio</w:t>
      </w:r>
      <w:r w:rsidR="00025905">
        <w:rPr>
          <w:bCs/>
          <w:color w:val="000000"/>
          <w:szCs w:val="22"/>
        </w:rPr>
        <w:t>n.</w:t>
      </w:r>
      <w:r>
        <w:rPr>
          <w:rStyle w:val="FootnoteReference"/>
          <w:bCs/>
          <w:szCs w:val="22"/>
        </w:rPr>
        <w:footnoteReference w:id="35"/>
      </w:r>
    </w:p>
    <w:p w:rsidR="00682D96" w:rsidRPr="00682D96" w:rsidP="00682D96" w14:paraId="3922BA62" w14:textId="52FDB20F">
      <w:pPr>
        <w:widowControl/>
        <w:autoSpaceDE w:val="0"/>
        <w:autoSpaceDN w:val="0"/>
        <w:adjustRightInd w:val="0"/>
        <w:spacing w:after="120"/>
        <w:ind w:firstLine="720"/>
        <w:rPr>
          <w:color w:val="000000"/>
          <w:szCs w:val="22"/>
        </w:rPr>
      </w:pPr>
      <w:r w:rsidRPr="00682D96">
        <w:rPr>
          <w:color w:val="000000"/>
          <w:szCs w:val="22"/>
        </w:rPr>
        <w:t xml:space="preserve">Second, </w:t>
      </w:r>
      <w:r w:rsidR="008C5AED">
        <w:rPr>
          <w:color w:val="000000"/>
          <w:szCs w:val="22"/>
        </w:rPr>
        <w:t>BBVI</w:t>
      </w:r>
      <w:r w:rsidRPr="00682D96">
        <w:rPr>
          <w:color w:val="000000"/>
          <w:szCs w:val="22"/>
        </w:rPr>
        <w:t xml:space="preserve"> remains financially and technically obligated to meet all public interest and performance obligations associated with the receipt of </w:t>
      </w:r>
      <w:r w:rsidRPr="00A422EA" w:rsidR="00A422EA">
        <w:rPr>
          <w:color w:val="000000"/>
          <w:szCs w:val="22"/>
        </w:rPr>
        <w:t>Connect USVI Fund</w:t>
      </w:r>
      <w:r w:rsidRPr="00682D96">
        <w:rPr>
          <w:color w:val="000000"/>
          <w:szCs w:val="22"/>
        </w:rPr>
        <w:t xml:space="preserve"> funding in accordance with the Commission’s pre-transaction approval of its qualifications, and we expect that the proposed transaction will not negatively impact these obligations.</w:t>
      </w:r>
      <w:r w:rsidRPr="00682D96">
        <w:rPr>
          <w:bCs/>
          <w:color w:val="000000"/>
          <w:szCs w:val="22"/>
        </w:rPr>
        <w:t xml:space="preserve">  </w:t>
      </w:r>
      <w:r w:rsidR="00093575">
        <w:rPr>
          <w:color w:val="000000"/>
          <w:szCs w:val="22"/>
        </w:rPr>
        <w:t>Indeed</w:t>
      </w:r>
      <w:r w:rsidRPr="00682D96">
        <w:rPr>
          <w:color w:val="000000"/>
          <w:szCs w:val="22"/>
        </w:rPr>
        <w:t xml:space="preserve">, Applicants have confirmed that, following the proposed transaction, </w:t>
      </w:r>
      <w:r w:rsidR="00A422EA">
        <w:rPr>
          <w:color w:val="000000"/>
          <w:szCs w:val="22"/>
        </w:rPr>
        <w:t>BBVI</w:t>
      </w:r>
      <w:r w:rsidRPr="00682D96">
        <w:rPr>
          <w:color w:val="000000"/>
          <w:szCs w:val="22"/>
        </w:rPr>
        <w:t xml:space="preserve">’s deployment plans “will remain unchanged,” and that the proposed transaction will thus “not result in any harms to </w:t>
      </w:r>
      <w:r w:rsidR="00A422EA">
        <w:rPr>
          <w:color w:val="000000"/>
          <w:szCs w:val="22"/>
        </w:rPr>
        <w:t>BBVI</w:t>
      </w:r>
      <w:r w:rsidRPr="00682D96">
        <w:rPr>
          <w:color w:val="000000"/>
          <w:szCs w:val="22"/>
        </w:rPr>
        <w:t xml:space="preserve">’s existing customers and will </w:t>
      </w:r>
      <w:r w:rsidR="00A422EA">
        <w:rPr>
          <w:color w:val="000000"/>
          <w:szCs w:val="22"/>
        </w:rPr>
        <w:t>accelerate the company’s ongoing efforts to deploy its Gigabit network</w:t>
      </w:r>
      <w:r w:rsidRPr="00682D96">
        <w:rPr>
          <w:color w:val="000000"/>
          <w:szCs w:val="22"/>
        </w:rPr>
        <w:t>.”</w:t>
      </w:r>
      <w:r>
        <w:rPr>
          <w:color w:val="000000"/>
          <w:szCs w:val="22"/>
          <w:vertAlign w:val="superscript"/>
        </w:rPr>
        <w:footnoteReference w:id="36"/>
      </w:r>
      <w:r w:rsidRPr="00682D96">
        <w:rPr>
          <w:color w:val="000000"/>
          <w:szCs w:val="22"/>
        </w:rPr>
        <w:t xml:space="preserve">  They have also confirmed </w:t>
      </w:r>
      <w:r w:rsidR="00742221">
        <w:rPr>
          <w:color w:val="000000"/>
          <w:szCs w:val="22"/>
        </w:rPr>
        <w:t xml:space="preserve">that following consummation of the proposed transaction, BBVI will have the necessary managerial and operational expertise to meet the company’s </w:t>
      </w:r>
      <w:bookmarkStart w:id="7" w:name="_Hlk89641820"/>
      <w:r w:rsidRPr="00742221" w:rsidR="00742221">
        <w:rPr>
          <w:color w:val="000000"/>
          <w:szCs w:val="22"/>
        </w:rPr>
        <w:t>Connect USVI Fund</w:t>
      </w:r>
      <w:bookmarkEnd w:id="7"/>
      <w:r w:rsidR="00742221">
        <w:rPr>
          <w:color w:val="000000"/>
          <w:szCs w:val="22"/>
        </w:rPr>
        <w:t xml:space="preserve"> commitments</w:t>
      </w:r>
      <w:r w:rsidR="00DC7C75">
        <w:rPr>
          <w:color w:val="000000"/>
          <w:szCs w:val="22"/>
        </w:rPr>
        <w:t xml:space="preserve"> and will retain key BBVI employees</w:t>
      </w:r>
      <w:r w:rsidRPr="00682D96">
        <w:rPr>
          <w:color w:val="000000"/>
          <w:szCs w:val="22"/>
        </w:rPr>
        <w:t>,</w:t>
      </w:r>
      <w:r>
        <w:rPr>
          <w:color w:val="000000"/>
          <w:szCs w:val="22"/>
          <w:vertAlign w:val="superscript"/>
        </w:rPr>
        <w:footnoteReference w:id="37"/>
      </w:r>
      <w:r w:rsidRPr="00682D96">
        <w:rPr>
          <w:color w:val="000000"/>
          <w:szCs w:val="22"/>
        </w:rPr>
        <w:t xml:space="preserve"> and that </w:t>
      </w:r>
      <w:r w:rsidR="00742221">
        <w:rPr>
          <w:color w:val="000000"/>
          <w:szCs w:val="22"/>
        </w:rPr>
        <w:t>BBVI</w:t>
      </w:r>
      <w:r w:rsidRPr="00682D96">
        <w:rPr>
          <w:color w:val="000000"/>
          <w:szCs w:val="22"/>
        </w:rPr>
        <w:t xml:space="preserve"> </w:t>
      </w:r>
      <w:r w:rsidR="003720B5">
        <w:rPr>
          <w:color w:val="000000"/>
          <w:szCs w:val="22"/>
        </w:rPr>
        <w:t xml:space="preserve">will meet all </w:t>
      </w:r>
      <w:r w:rsidRPr="00682D96">
        <w:rPr>
          <w:color w:val="000000"/>
          <w:szCs w:val="22"/>
        </w:rPr>
        <w:t xml:space="preserve">applicable </w:t>
      </w:r>
      <w:r w:rsidR="00F5736F">
        <w:rPr>
          <w:color w:val="000000"/>
          <w:szCs w:val="22"/>
        </w:rPr>
        <w:t>obligations</w:t>
      </w:r>
      <w:r w:rsidRPr="00682D96">
        <w:rPr>
          <w:color w:val="000000"/>
          <w:szCs w:val="22"/>
        </w:rPr>
        <w:t xml:space="preserve"> associated with its receipt of </w:t>
      </w:r>
      <w:r w:rsidRPr="00742221" w:rsidR="00742221">
        <w:rPr>
          <w:color w:val="000000"/>
          <w:szCs w:val="22"/>
        </w:rPr>
        <w:t xml:space="preserve">Connect USVI Fund </w:t>
      </w:r>
      <w:r w:rsidRPr="00682D96">
        <w:rPr>
          <w:color w:val="000000"/>
          <w:szCs w:val="22"/>
        </w:rPr>
        <w:t>support.</w:t>
      </w:r>
      <w:r>
        <w:rPr>
          <w:color w:val="000000"/>
          <w:szCs w:val="22"/>
          <w:vertAlign w:val="superscript"/>
        </w:rPr>
        <w:footnoteReference w:id="38"/>
      </w:r>
      <w:r w:rsidRPr="00682D96">
        <w:rPr>
          <w:color w:val="000000"/>
          <w:szCs w:val="22"/>
        </w:rPr>
        <w:t xml:space="preserve">  </w:t>
      </w:r>
      <w:r w:rsidR="00043FF5">
        <w:rPr>
          <w:color w:val="000000"/>
          <w:szCs w:val="22"/>
        </w:rPr>
        <w:t>Applicants further state that the proposed transaction will not compromise BBVI’s support obligations through the assumption of debt.</w:t>
      </w:r>
      <w:r>
        <w:rPr>
          <w:rStyle w:val="FootnoteReference"/>
          <w:szCs w:val="22"/>
        </w:rPr>
        <w:footnoteReference w:id="39"/>
      </w:r>
      <w:r w:rsidR="00043FF5">
        <w:rPr>
          <w:color w:val="000000"/>
          <w:szCs w:val="22"/>
        </w:rPr>
        <w:t xml:space="preserve">  </w:t>
      </w:r>
      <w:r w:rsidR="007E4A79">
        <w:rPr>
          <w:color w:val="000000"/>
          <w:szCs w:val="22"/>
        </w:rPr>
        <w:t xml:space="preserve">In addition, BBVI </w:t>
      </w:r>
      <w:r w:rsidRPr="007E4A79" w:rsidR="007E4A79">
        <w:t xml:space="preserve">will be subject to ongoing oversight, must comply with annual reporting and certification requirements, and must submit an updated </w:t>
      </w:r>
      <w:r w:rsidRPr="007E4A79" w:rsidR="007E4A79">
        <w:t>Disaster Preparation and Response Plan for our</w:t>
      </w:r>
      <w:r w:rsidRPr="007E4A79" w:rsidR="007E4A79">
        <w:rPr>
          <w:szCs w:val="22"/>
        </w:rPr>
        <w:t xml:space="preserve"> </w:t>
      </w:r>
      <w:r w:rsidRPr="007E4A79" w:rsidR="007E4A79">
        <w:t>consideration within 10 business days of the completed transfer, and comply with the Disaster Information Reporting System (DIRS) requirements</w:t>
      </w:r>
      <w:r w:rsidRPr="007E4A79" w:rsidR="007E4A79">
        <w:rPr>
          <w:szCs w:val="22"/>
        </w:rPr>
        <w:t>.</w:t>
      </w:r>
      <w:r>
        <w:rPr>
          <w:sz w:val="20"/>
          <w:vertAlign w:val="superscript"/>
        </w:rPr>
        <w:footnoteReference w:id="40"/>
      </w:r>
    </w:p>
    <w:p w:rsidR="00A901ED" w:rsidP="00B33C83" w14:paraId="6A9051AB" w14:textId="441527EE">
      <w:pPr>
        <w:widowControl/>
        <w:autoSpaceDE w:val="0"/>
        <w:autoSpaceDN w:val="0"/>
        <w:adjustRightInd w:val="0"/>
        <w:spacing w:after="120"/>
        <w:ind w:firstLine="720"/>
        <w:rPr>
          <w:szCs w:val="22"/>
        </w:rPr>
      </w:pPr>
      <w:r>
        <w:rPr>
          <w:szCs w:val="22"/>
        </w:rPr>
        <w:t>We</w:t>
      </w:r>
      <w:r w:rsidRPr="00A901ED">
        <w:rPr>
          <w:szCs w:val="22"/>
        </w:rPr>
        <w:t xml:space="preserve"> next consider whether the proposed transaction is likely to generate verifiable, transaction-specific public interest benefits.</w:t>
      </w:r>
      <w:r>
        <w:rPr>
          <w:szCs w:val="22"/>
          <w:vertAlign w:val="superscript"/>
        </w:rPr>
        <w:footnoteReference w:id="41"/>
      </w:r>
      <w:r w:rsidRPr="00A901ED">
        <w:rPr>
          <w:szCs w:val="22"/>
        </w:rPr>
        <w:t xml:space="preserve"> Applicants must provide evidence of a claimed benefit to allow the Commission to verify its likelihood and magnitude.</w:t>
      </w:r>
      <w:r>
        <w:rPr>
          <w:szCs w:val="22"/>
          <w:vertAlign w:val="superscript"/>
        </w:rPr>
        <w:footnoteReference w:id="42"/>
      </w:r>
      <w:r w:rsidRPr="00A901ED">
        <w:rPr>
          <w:szCs w:val="22"/>
        </w:rPr>
        <w:t xml:space="preserve">  Where potential harms appear unlikely, as is the case with the Application before us here, the Commission accepts a lesser degree of magnitude and likelihood than when harms are present.</w:t>
      </w:r>
      <w:r>
        <w:rPr>
          <w:szCs w:val="22"/>
          <w:vertAlign w:val="superscript"/>
        </w:rPr>
        <w:footnoteReference w:id="43"/>
      </w:r>
      <w:r w:rsidRPr="00A901ED">
        <w:rPr>
          <w:szCs w:val="22"/>
        </w:rPr>
        <w:t xml:space="preserve">  </w:t>
      </w:r>
    </w:p>
    <w:p w:rsidR="00682D96" w:rsidRPr="0076309F" w:rsidP="0076309F" w14:paraId="301919C1" w14:textId="2D4C77FB">
      <w:pPr>
        <w:widowControl/>
        <w:autoSpaceDE w:val="0"/>
        <w:autoSpaceDN w:val="0"/>
        <w:adjustRightInd w:val="0"/>
        <w:spacing w:after="120"/>
        <w:ind w:firstLine="720"/>
        <w:rPr>
          <w:szCs w:val="22"/>
        </w:rPr>
      </w:pPr>
      <w:r>
        <w:rPr>
          <w:bCs/>
          <w:szCs w:val="22"/>
        </w:rPr>
        <w:t>Applicants claim that</w:t>
      </w:r>
      <w:r w:rsidRPr="007F2E5D" w:rsidR="00B33C83">
        <w:rPr>
          <w:bCs/>
          <w:szCs w:val="22"/>
        </w:rPr>
        <w:t xml:space="preserve"> the proposed transaction “will promote the public interest by providing BBVI with additional financial resources, operational capability and management expertise that will allow the company to accelerate its efforts to deploy resilient fiber-based voice and broadband services in the U.S. Virgin Islands and thereby help bridge the digital divide.”</w:t>
      </w:r>
      <w:r>
        <w:rPr>
          <w:bCs/>
          <w:szCs w:val="22"/>
          <w:vertAlign w:val="superscript"/>
        </w:rPr>
        <w:footnoteReference w:id="44"/>
      </w:r>
      <w:r w:rsidRPr="007F2E5D" w:rsidR="00B33C83">
        <w:rPr>
          <w:bCs/>
          <w:szCs w:val="22"/>
        </w:rPr>
        <w:t xml:space="preserve">  </w:t>
      </w:r>
      <w:r w:rsidRPr="0076309F">
        <w:rPr>
          <w:bCs/>
          <w:szCs w:val="22"/>
        </w:rPr>
        <w:t>The Commission has specified that ensuring consumers receive new or additional services is an important public interest factor</w:t>
      </w:r>
      <w:r>
        <w:rPr>
          <w:bCs/>
          <w:szCs w:val="22"/>
          <w:vertAlign w:val="superscript"/>
        </w:rPr>
        <w:footnoteReference w:id="45"/>
      </w:r>
      <w:r w:rsidRPr="0076309F">
        <w:rPr>
          <w:bCs/>
          <w:szCs w:val="22"/>
        </w:rPr>
        <w:t xml:space="preserve"> </w:t>
      </w:r>
      <w:r w:rsidR="00CE6E0B">
        <w:rPr>
          <w:bCs/>
          <w:szCs w:val="22"/>
        </w:rPr>
        <w:t>and</w:t>
      </w:r>
      <w:r w:rsidRPr="0076309F">
        <w:rPr>
          <w:bCs/>
          <w:szCs w:val="22"/>
        </w:rPr>
        <w:t xml:space="preserve"> accelerating private sector deployment of advanced services</w:t>
      </w:r>
      <w:r w:rsidR="00CE6E0B">
        <w:rPr>
          <w:bCs/>
          <w:szCs w:val="22"/>
        </w:rPr>
        <w:t xml:space="preserve"> is one of the aims of the Communications Act</w:t>
      </w:r>
      <w:r w:rsidRPr="0076309F">
        <w:rPr>
          <w:bCs/>
          <w:szCs w:val="22"/>
        </w:rPr>
        <w:t>.</w:t>
      </w:r>
      <w:r>
        <w:rPr>
          <w:bCs/>
          <w:szCs w:val="22"/>
          <w:vertAlign w:val="superscript"/>
        </w:rPr>
        <w:footnoteReference w:id="46"/>
      </w:r>
      <w:r w:rsidRPr="0076309F">
        <w:rPr>
          <w:bCs/>
          <w:szCs w:val="22"/>
        </w:rPr>
        <w:t xml:space="preserve">  </w:t>
      </w:r>
      <w:r w:rsidR="00246575">
        <w:rPr>
          <w:bCs/>
          <w:snapToGrid/>
          <w:kern w:val="0"/>
          <w:szCs w:val="22"/>
        </w:rPr>
        <w:t>Liberty is already a recipient of universal service funding in Puerto Rico, has experience upgrading island-based voice and broadband telecommunications networks,</w:t>
      </w:r>
      <w:r>
        <w:rPr>
          <w:rStyle w:val="FootnoteReference"/>
          <w:bCs/>
          <w:snapToGrid/>
          <w:kern w:val="0"/>
          <w:szCs w:val="22"/>
        </w:rPr>
        <w:footnoteReference w:id="47"/>
      </w:r>
      <w:r w:rsidR="00246575">
        <w:rPr>
          <w:bCs/>
          <w:snapToGrid/>
          <w:kern w:val="0"/>
          <w:szCs w:val="22"/>
        </w:rPr>
        <w:t xml:space="preserve"> and intends to retain BBVI employees who are knowledgeable about the company’s existing operations in the USVI.</w:t>
      </w:r>
      <w:r>
        <w:rPr>
          <w:rStyle w:val="FootnoteReference"/>
          <w:bCs/>
          <w:snapToGrid/>
          <w:kern w:val="0"/>
          <w:szCs w:val="22"/>
        </w:rPr>
        <w:footnoteReference w:id="48"/>
      </w:r>
      <w:r w:rsidR="00246575">
        <w:rPr>
          <w:bCs/>
          <w:snapToGrid/>
          <w:kern w:val="0"/>
          <w:szCs w:val="22"/>
        </w:rPr>
        <w:t xml:space="preserve">  </w:t>
      </w:r>
      <w:r>
        <w:rPr>
          <w:bCs/>
          <w:snapToGrid/>
          <w:kern w:val="0"/>
          <w:szCs w:val="22"/>
        </w:rPr>
        <w:t>Based on the record of this proceeding, we find it likely that the proposed transaction would result in some public interest benefits</w:t>
      </w:r>
      <w:r w:rsidR="00246575">
        <w:rPr>
          <w:bCs/>
          <w:snapToGrid/>
          <w:kern w:val="0"/>
          <w:szCs w:val="22"/>
        </w:rPr>
        <w:t>, including increased resources for BBVI to expand service offerings and better compete</w:t>
      </w:r>
      <w:r>
        <w:rPr>
          <w:bCs/>
          <w:snapToGrid/>
          <w:kern w:val="0"/>
          <w:szCs w:val="22"/>
        </w:rPr>
        <w:t xml:space="preserve">.  </w:t>
      </w:r>
      <w:r>
        <w:rPr>
          <w:snapToGrid/>
          <w:kern w:val="0"/>
          <w:szCs w:val="22"/>
        </w:rPr>
        <w:t xml:space="preserve">Absent </w:t>
      </w:r>
      <w:r>
        <w:rPr>
          <w:snapToGrid/>
          <w:kern w:val="0"/>
          <w:szCs w:val="22"/>
        </w:rPr>
        <w:t>any potential harms, and c</w:t>
      </w:r>
      <w:r w:rsidRPr="00585EC7">
        <w:rPr>
          <w:snapToGrid/>
          <w:kern w:val="0"/>
          <w:szCs w:val="22"/>
        </w:rPr>
        <w:t>onsidering that the proposed transaction is likely to yield some benefits, we find</w:t>
      </w:r>
      <w:r>
        <w:rPr>
          <w:snapToGrid/>
          <w:kern w:val="0"/>
          <w:szCs w:val="22"/>
        </w:rPr>
        <w:t>,</w:t>
      </w:r>
      <w:r w:rsidRPr="00585EC7">
        <w:rPr>
          <w:snapToGrid/>
          <w:kern w:val="0"/>
          <w:szCs w:val="22"/>
        </w:rPr>
        <w:t xml:space="preserve"> on balance</w:t>
      </w:r>
      <w:r>
        <w:rPr>
          <w:snapToGrid/>
          <w:kern w:val="0"/>
          <w:szCs w:val="22"/>
        </w:rPr>
        <w:t>,</w:t>
      </w:r>
      <w:r w:rsidRPr="00585EC7">
        <w:rPr>
          <w:snapToGrid/>
          <w:kern w:val="0"/>
          <w:szCs w:val="22"/>
        </w:rPr>
        <w:t xml:space="preserve"> that the proposed transaction serves the public interest.</w:t>
      </w:r>
    </w:p>
    <w:p w:rsidR="00D06F09" w:rsidP="00D0137A" w14:paraId="588EC071" w14:textId="7AE7DF6A">
      <w:pPr>
        <w:widowControl/>
        <w:autoSpaceDE w:val="0"/>
        <w:autoSpaceDN w:val="0"/>
        <w:adjustRightInd w:val="0"/>
        <w:spacing w:after="120"/>
        <w:ind w:firstLine="720"/>
        <w:rPr>
          <w:szCs w:val="22"/>
        </w:rPr>
      </w:pPr>
      <w:r w:rsidRPr="00B02A93">
        <w:rPr>
          <w:szCs w:val="22"/>
        </w:rPr>
        <w:t xml:space="preserve">Therefore, pursuant to section 214 of the Act, 47 U.S.C. § 214, and sections 0.91, 0.291, </w:t>
      </w:r>
      <w:r w:rsidRPr="00B02A93">
        <w:rPr>
          <w:snapToGrid/>
          <w:kern w:val="0"/>
          <w:szCs w:val="22"/>
        </w:rPr>
        <w:t>63.03, and 63.04</w:t>
      </w:r>
      <w:r w:rsidRPr="00B02A93">
        <w:rPr>
          <w:szCs w:val="22"/>
        </w:rPr>
        <w:t xml:space="preserve"> of the Commission’s rules, 47 CFR §§ 0.91, 0.291, 63.03, and 63.04, the Bureau hereby grants the </w:t>
      </w:r>
      <w:r w:rsidRPr="00D0137A">
        <w:t>Application</w:t>
      </w:r>
      <w:r w:rsidRPr="00B02A93">
        <w:rPr>
          <w:szCs w:val="22"/>
        </w:rPr>
        <w:t xml:space="preserve"> discussed in this Public Notice.  </w:t>
      </w:r>
    </w:p>
    <w:p w:rsidR="002D7CCE" w:rsidRPr="00B02A93" w:rsidP="00D0137A" w14:paraId="110330C6" w14:textId="00DCCB16">
      <w:pPr>
        <w:widowControl/>
        <w:autoSpaceDE w:val="0"/>
        <w:autoSpaceDN w:val="0"/>
        <w:adjustRightInd w:val="0"/>
        <w:spacing w:after="120"/>
        <w:ind w:firstLine="720"/>
        <w:rPr>
          <w:szCs w:val="22"/>
        </w:rPr>
      </w:pPr>
      <w:r w:rsidRPr="00B02A93">
        <w:rPr>
          <w:szCs w:val="22"/>
        </w:rPr>
        <w:t>Pursuant to section 1.103 of the Commission</w:t>
      </w:r>
      <w:r w:rsidR="00BC1F26">
        <w:rPr>
          <w:szCs w:val="22"/>
        </w:rPr>
        <w:t>’</w:t>
      </w:r>
      <w:r w:rsidRPr="00B02A93">
        <w:rPr>
          <w:szCs w:val="22"/>
        </w:rPr>
        <w:t xml:space="preserve">s rules, 47 </w:t>
      </w:r>
      <w:r w:rsidRPr="00931D6F" w:rsidR="00931D6F">
        <w:rPr>
          <w:szCs w:val="22"/>
        </w:rPr>
        <w:t xml:space="preserve">CFR </w:t>
      </w:r>
      <w:r w:rsidRPr="00B02A93">
        <w:rPr>
          <w:szCs w:val="22"/>
        </w:rPr>
        <w:t>§ 1.103, the grant is effective upon release of this Public Notice.</w:t>
      </w:r>
      <w:r>
        <w:rPr>
          <w:szCs w:val="22"/>
          <w:vertAlign w:val="superscript"/>
        </w:rPr>
        <w:footnoteReference w:id="49"/>
      </w:r>
      <w:r w:rsidRPr="00B02A93">
        <w:rPr>
          <w:szCs w:val="22"/>
        </w:rPr>
        <w:t xml:space="preserve">  Petitions for reconsideration under section 1.106 or applications for review under section 1.115 of the Commission</w:t>
      </w:r>
      <w:r w:rsidR="00033AD2">
        <w:rPr>
          <w:szCs w:val="22"/>
        </w:rPr>
        <w:t>’</w:t>
      </w:r>
      <w:r w:rsidRPr="00B02A93">
        <w:rPr>
          <w:szCs w:val="22"/>
        </w:rPr>
        <w:t xml:space="preserve">s rules, 47 </w:t>
      </w:r>
      <w:r w:rsidRPr="00931D6F" w:rsidR="00931D6F">
        <w:rPr>
          <w:szCs w:val="22"/>
        </w:rPr>
        <w:t xml:space="preserve">CFR </w:t>
      </w:r>
      <w:r w:rsidRPr="00B02A93">
        <w:rPr>
          <w:szCs w:val="22"/>
        </w:rPr>
        <w:t>§§ 1.106, 1.115, may be filed within 30 days of the date of this Public Notice.</w:t>
      </w:r>
      <w:bookmarkStart w:id="10" w:name="FN[FN9]"/>
      <w:bookmarkStart w:id="11" w:name="sp_999_1"/>
      <w:bookmarkStart w:id="12" w:name="SDU_1"/>
      <w:bookmarkEnd w:id="10"/>
      <w:bookmarkEnd w:id="11"/>
      <w:bookmarkEnd w:id="12"/>
    </w:p>
    <w:p w:rsidR="002D7CCE" w:rsidRPr="00B02A93" w:rsidP="00986B91" w14:paraId="4272D04E" w14:textId="79B20C7F">
      <w:pPr>
        <w:ind w:firstLine="720"/>
        <w:rPr>
          <w:szCs w:val="22"/>
        </w:rPr>
      </w:pPr>
      <w:bookmarkStart w:id="13" w:name="sp_999_2"/>
      <w:bookmarkStart w:id="14" w:name="SDU_2"/>
      <w:bookmarkEnd w:id="13"/>
      <w:bookmarkEnd w:id="14"/>
      <w:r w:rsidRPr="00B02A93">
        <w:rPr>
          <w:szCs w:val="22"/>
        </w:rPr>
        <w:t xml:space="preserve">For further information, please contact </w:t>
      </w:r>
      <w:r w:rsidR="005A3ADF">
        <w:rPr>
          <w:szCs w:val="22"/>
        </w:rPr>
        <w:t>Christi Shewman</w:t>
      </w:r>
      <w:r w:rsidRPr="00B02A93">
        <w:rPr>
          <w:szCs w:val="22"/>
        </w:rPr>
        <w:t>, Wireline Competition Bureau, Competition Policy Division, (202) 418-</w:t>
      </w:r>
      <w:r w:rsidR="005A3ADF">
        <w:rPr>
          <w:szCs w:val="22"/>
        </w:rPr>
        <w:t>0646</w:t>
      </w:r>
      <w:r w:rsidRPr="00B02A93">
        <w:rPr>
          <w:szCs w:val="22"/>
        </w:rPr>
        <w:t>.</w:t>
      </w:r>
    </w:p>
    <w:p w:rsidR="002D7CCE" w:rsidRPr="00B02A93" w:rsidP="002D7CCE" w14:paraId="49AE18E7" w14:textId="77777777">
      <w:pPr>
        <w:pStyle w:val="Default"/>
        <w:rPr>
          <w:color w:val="auto"/>
          <w:sz w:val="22"/>
          <w:szCs w:val="22"/>
        </w:rPr>
      </w:pPr>
    </w:p>
    <w:p w:rsidR="002D7CCE" w:rsidRPr="00B02A93" w:rsidP="002D7CCE" w14:paraId="36FE2438" w14:textId="77777777">
      <w:pPr>
        <w:pStyle w:val="Default"/>
        <w:jc w:val="center"/>
        <w:rPr>
          <w:b/>
          <w:bCs/>
          <w:color w:val="auto"/>
          <w:sz w:val="22"/>
          <w:szCs w:val="22"/>
        </w:rPr>
      </w:pPr>
      <w:r w:rsidRPr="00B02A93">
        <w:rPr>
          <w:b/>
          <w:bCs/>
          <w:color w:val="auto"/>
          <w:sz w:val="22"/>
          <w:szCs w:val="22"/>
        </w:rPr>
        <w:t>-FCC-</w:t>
      </w:r>
    </w:p>
    <w:p w:rsidR="00B17B13" w:rsidRPr="00B02A93" w:rsidP="00E61137" w14:paraId="1C186417"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P="0055614C" w14:paraId="02F7F1A9" w14:textId="77777777">
    <w:pPr>
      <w:pStyle w:val="Footer"/>
      <w:framePr w:wrap="around" w:vAnchor="text" w:hAnchor="margin" w:xAlign="center" w:y="1"/>
    </w:pPr>
    <w:r>
      <w:fldChar w:fldCharType="begin"/>
    </w:r>
    <w:r>
      <w:instrText xml:space="preserve">PAGE  </w:instrText>
    </w:r>
    <w:r>
      <w:fldChar w:fldCharType="separate"/>
    </w:r>
    <w:r>
      <w:fldChar w:fldCharType="end"/>
    </w:r>
  </w:p>
  <w:p w:rsidR="00475AE7" w14:paraId="7CFEA2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P="00910F12" w14:paraId="7385F844" w14:textId="77777777">
    <w:pPr>
      <w:pStyle w:val="Footer"/>
      <w:jc w:val="center"/>
    </w:pPr>
    <w:r>
      <w:fldChar w:fldCharType="begin"/>
    </w:r>
    <w:r>
      <w:instrText xml:space="preserve"> PAGE   \* MERGEFORMAT </w:instrText>
    </w:r>
    <w: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14:paraId="7AE8A7D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71544" w14:paraId="025A6EB4" w14:textId="77777777">
      <w:r>
        <w:separator/>
      </w:r>
    </w:p>
  </w:footnote>
  <w:footnote w:type="continuationSeparator" w:id="1">
    <w:p w:rsidR="00C71544" w14:paraId="08816568" w14:textId="77777777">
      <w:pPr>
        <w:rPr>
          <w:sz w:val="20"/>
        </w:rPr>
      </w:pPr>
      <w:r>
        <w:rPr>
          <w:sz w:val="20"/>
        </w:rPr>
        <w:t xml:space="preserve">(Continued from previous page)  </w:t>
      </w:r>
      <w:r>
        <w:rPr>
          <w:sz w:val="20"/>
        </w:rPr>
        <w:separator/>
      </w:r>
    </w:p>
  </w:footnote>
  <w:footnote w:type="continuationNotice" w:id="2">
    <w:p w:rsidR="00C71544" w:rsidP="00910F12" w14:paraId="37EC412F" w14:textId="77777777">
      <w:pPr>
        <w:jc w:val="right"/>
        <w:rPr>
          <w:sz w:val="20"/>
        </w:rPr>
      </w:pPr>
      <w:r>
        <w:rPr>
          <w:sz w:val="20"/>
        </w:rPr>
        <w:t>(continued….)</w:t>
      </w:r>
    </w:p>
  </w:footnote>
  <w:footnote w:id="3">
    <w:p w:rsidR="008774D9" w:rsidRPr="00746759" w:rsidP="008774D9" w14:paraId="06AD6A0E" w14:textId="4F0FD74E">
      <w:pPr>
        <w:spacing w:after="120"/>
        <w:rPr>
          <w:sz w:val="20"/>
        </w:rPr>
      </w:pPr>
      <w:r w:rsidRPr="00746759">
        <w:rPr>
          <w:rStyle w:val="FootnoteReference"/>
          <w:sz w:val="20"/>
        </w:rPr>
        <w:footnoteRef/>
      </w:r>
      <w:r w:rsidRPr="00746759">
        <w:rPr>
          <w:sz w:val="20"/>
        </w:rPr>
        <w:t xml:space="preserve"> </w:t>
      </w:r>
      <w:r w:rsidRPr="00746759">
        <w:rPr>
          <w:i/>
          <w:sz w:val="20"/>
        </w:rPr>
        <w:t>See</w:t>
      </w:r>
      <w:r w:rsidRPr="00746759">
        <w:rPr>
          <w:sz w:val="20"/>
        </w:rPr>
        <w:t xml:space="preserve"> 47 U.S.C. § 214; 47 </w:t>
      </w:r>
      <w:r w:rsidR="000778AF">
        <w:rPr>
          <w:sz w:val="20"/>
        </w:rPr>
        <w:t>CFR</w:t>
      </w:r>
      <w:r w:rsidRPr="00746759">
        <w:rPr>
          <w:sz w:val="20"/>
        </w:rPr>
        <w:t xml:space="preserve"> § 63.03-04</w:t>
      </w:r>
      <w:r w:rsidR="00F61F48">
        <w:rPr>
          <w:sz w:val="20"/>
        </w:rPr>
        <w:t>;</w:t>
      </w:r>
      <w:r w:rsidRPr="00746759">
        <w:rPr>
          <w:sz w:val="20"/>
        </w:rPr>
        <w:t xml:space="preserve"> </w:t>
      </w:r>
      <w:r w:rsidRPr="000778AF" w:rsidR="000778AF">
        <w:rPr>
          <w:sz w:val="20"/>
        </w:rPr>
        <w:t>Application of Members of Broadband VI, LLC, and Liberty Mobile USVI Inc. for Consent to Transfer of Control of Broadband VI, LLC Pursuant to Section 214 of the Communications Act of 1934, as Amended, WC Docket No. 21-386 (filed Oct. 5, 2021</w:t>
      </w:r>
      <w:r w:rsidRPr="005D7816" w:rsidR="005D7816">
        <w:rPr>
          <w:sz w:val="20"/>
        </w:rPr>
        <w:t>) (Application)</w:t>
      </w:r>
      <w:r w:rsidR="00FE6E90">
        <w:rPr>
          <w:sz w:val="20"/>
        </w:rPr>
        <w:t xml:space="preserve">; </w:t>
      </w:r>
      <w:r w:rsidRPr="00FE6E90" w:rsidR="00FE6E90">
        <w:rPr>
          <w:i/>
          <w:iCs/>
          <w:sz w:val="20"/>
        </w:rPr>
        <w:t>Connect USVI Fund Stage 2 Support Authorized for Broadband VI</w:t>
      </w:r>
      <w:r w:rsidRPr="00FE6E90" w:rsidR="00FE6E90">
        <w:rPr>
          <w:sz w:val="20"/>
        </w:rPr>
        <w:t>, WC Docket Nos. 18-143, 10-90, Public Notice, DA 21-666 (WCB June 8, 2021) (</w:t>
      </w:r>
      <w:r w:rsidRPr="00FE6E90" w:rsidR="00FE6E90">
        <w:rPr>
          <w:i/>
          <w:iCs/>
          <w:sz w:val="20"/>
        </w:rPr>
        <w:t>BBVI Authorization Notice</w:t>
      </w:r>
      <w:r w:rsidRPr="00FE6E90" w:rsidR="00FE6E90">
        <w:rPr>
          <w:sz w:val="20"/>
        </w:rPr>
        <w:t xml:space="preserve">) at 6 (authorizing BBVI to receive $84,456,870 in support for the deployment of voice and fixed broadband service to 46,039 locations throughout the U.S. Virgin Islands at speeds of 1 Gbps download and 500 Mbps upload).  </w:t>
      </w:r>
      <w:r w:rsidRPr="00746759">
        <w:rPr>
          <w:sz w:val="20"/>
        </w:rPr>
        <w:t>Any action on this domestic section 214 application is without prejudice to Commission action on other related, pending applications</w:t>
      </w:r>
      <w:r w:rsidRPr="00746759">
        <w:rPr>
          <w:rFonts w:eastAsia="Calibri"/>
          <w:sz w:val="20"/>
        </w:rPr>
        <w:t>.</w:t>
      </w:r>
    </w:p>
  </w:footnote>
  <w:footnote w:id="4">
    <w:p w:rsidR="008774D9" w:rsidP="005F5D60" w14:paraId="45CA48F1" w14:textId="51F309EE">
      <w:pPr>
        <w:spacing w:after="120"/>
      </w:pPr>
      <w:r>
        <w:rPr>
          <w:rStyle w:val="FootnoteReference"/>
        </w:rPr>
        <w:footnoteRef/>
      </w:r>
      <w:r>
        <w:t xml:space="preserve"> </w:t>
      </w:r>
      <w:bookmarkStart w:id="2" w:name="_Hlk519509475"/>
      <w:bookmarkStart w:id="3" w:name="_Hlk502044717"/>
      <w:bookmarkStart w:id="4" w:name="_Hlk516578398"/>
      <w:r w:rsidRPr="000778AF" w:rsidR="000778AF">
        <w:rPr>
          <w:rFonts w:eastAsia="Calibri"/>
          <w:i/>
          <w:iCs/>
          <w:sz w:val="20"/>
        </w:rPr>
        <w:t xml:space="preserve">Domestic Section 214 Application Filed </w:t>
      </w:r>
      <w:r w:rsidR="000778AF">
        <w:rPr>
          <w:rFonts w:eastAsia="Calibri"/>
          <w:i/>
          <w:iCs/>
          <w:sz w:val="20"/>
        </w:rPr>
        <w:t>f</w:t>
      </w:r>
      <w:r w:rsidRPr="000778AF" w:rsidR="000778AF">
        <w:rPr>
          <w:rFonts w:eastAsia="Calibri"/>
          <w:i/>
          <w:iCs/>
          <w:sz w:val="20"/>
        </w:rPr>
        <w:t xml:space="preserve">or </w:t>
      </w:r>
      <w:r w:rsidR="000778AF">
        <w:rPr>
          <w:rFonts w:eastAsia="Calibri"/>
          <w:i/>
          <w:iCs/>
          <w:sz w:val="20"/>
        </w:rPr>
        <w:t>t</w:t>
      </w:r>
      <w:r w:rsidRPr="000778AF" w:rsidR="000778AF">
        <w:rPr>
          <w:rFonts w:eastAsia="Calibri"/>
          <w:i/>
          <w:iCs/>
          <w:sz w:val="20"/>
        </w:rPr>
        <w:t xml:space="preserve">he Transfer </w:t>
      </w:r>
      <w:r w:rsidR="000778AF">
        <w:rPr>
          <w:rFonts w:eastAsia="Calibri"/>
          <w:i/>
          <w:iCs/>
          <w:sz w:val="20"/>
        </w:rPr>
        <w:t>o</w:t>
      </w:r>
      <w:r w:rsidRPr="000778AF" w:rsidR="000778AF">
        <w:rPr>
          <w:rFonts w:eastAsia="Calibri"/>
          <w:i/>
          <w:iCs/>
          <w:sz w:val="20"/>
        </w:rPr>
        <w:t>f Control</w:t>
      </w:r>
      <w:r w:rsidR="000778AF">
        <w:rPr>
          <w:rFonts w:eastAsia="Calibri"/>
          <w:i/>
          <w:iCs/>
          <w:sz w:val="20"/>
        </w:rPr>
        <w:t xml:space="preserve"> o</w:t>
      </w:r>
      <w:r w:rsidRPr="000778AF" w:rsidR="000778AF">
        <w:rPr>
          <w:rFonts w:eastAsia="Calibri"/>
          <w:i/>
          <w:iCs/>
          <w:sz w:val="20"/>
        </w:rPr>
        <w:t>f Broadband V</w:t>
      </w:r>
      <w:r w:rsidR="000778AF">
        <w:rPr>
          <w:rFonts w:eastAsia="Calibri"/>
          <w:i/>
          <w:iCs/>
          <w:sz w:val="20"/>
        </w:rPr>
        <w:t>I</w:t>
      </w:r>
      <w:r w:rsidRPr="000778AF" w:rsidR="000778AF">
        <w:rPr>
          <w:rFonts w:eastAsia="Calibri"/>
          <w:i/>
          <w:iCs/>
          <w:sz w:val="20"/>
        </w:rPr>
        <w:t>, LLC To Liberty Mobile U</w:t>
      </w:r>
      <w:r w:rsidR="000778AF">
        <w:rPr>
          <w:rFonts w:eastAsia="Calibri"/>
          <w:i/>
          <w:iCs/>
          <w:sz w:val="20"/>
        </w:rPr>
        <w:t>SVI</w:t>
      </w:r>
      <w:r w:rsidRPr="000778AF" w:rsidR="000778AF">
        <w:rPr>
          <w:rFonts w:eastAsia="Calibri"/>
          <w:i/>
          <w:iCs/>
          <w:sz w:val="20"/>
        </w:rPr>
        <w:t>, Inc</w:t>
      </w:r>
      <w:r w:rsidR="000778AF">
        <w:rPr>
          <w:rFonts w:eastAsia="Calibri"/>
          <w:b/>
          <w:bCs/>
          <w:i/>
          <w:iCs/>
          <w:sz w:val="20"/>
        </w:rPr>
        <w:t>.</w:t>
      </w:r>
      <w:bookmarkEnd w:id="2"/>
      <w:bookmarkEnd w:id="3"/>
      <w:bookmarkEnd w:id="4"/>
      <w:r w:rsidRPr="005F5D60">
        <w:rPr>
          <w:rFonts w:eastAsia="Calibri"/>
          <w:sz w:val="20"/>
        </w:rPr>
        <w:t>, WC Docket No. 21-</w:t>
      </w:r>
      <w:r w:rsidR="000778AF">
        <w:rPr>
          <w:rFonts w:eastAsia="Calibri"/>
          <w:sz w:val="20"/>
        </w:rPr>
        <w:t>386</w:t>
      </w:r>
      <w:r w:rsidRPr="005F5D60">
        <w:rPr>
          <w:rFonts w:eastAsia="Calibri"/>
          <w:sz w:val="20"/>
        </w:rPr>
        <w:t>, Public Notice, DA 21-</w:t>
      </w:r>
      <w:r w:rsidR="000778AF">
        <w:rPr>
          <w:rFonts w:eastAsia="Calibri"/>
          <w:sz w:val="20"/>
        </w:rPr>
        <w:t>1329</w:t>
      </w:r>
      <w:r w:rsidRPr="005F5D60">
        <w:rPr>
          <w:rFonts w:eastAsia="Calibri"/>
          <w:sz w:val="20"/>
        </w:rPr>
        <w:t xml:space="preserve"> (WCB 2021). </w:t>
      </w:r>
    </w:p>
  </w:footnote>
  <w:footnote w:id="5">
    <w:p w:rsidR="007F2E5D" w:rsidRPr="00285BEB" w:rsidP="007F2E5D" w14:paraId="1ABD8E2F" w14:textId="77777777">
      <w:pPr>
        <w:pStyle w:val="FootnoteText"/>
      </w:pPr>
      <w:r>
        <w:rPr>
          <w:rStyle w:val="FootnoteReference"/>
        </w:rPr>
        <w:footnoteRef/>
      </w:r>
      <w:r>
        <w:t xml:space="preserve"> </w:t>
      </w:r>
      <w:r w:rsidRPr="00285BEB">
        <w:t>Application at 2.</w:t>
      </w:r>
      <w:r>
        <w:t xml:space="preserve">  </w:t>
      </w:r>
    </w:p>
  </w:footnote>
  <w:footnote w:id="6">
    <w:p w:rsidR="007F2E5D" w:rsidP="007F2E5D" w14:paraId="75046209" w14:textId="77777777">
      <w:pPr>
        <w:pStyle w:val="FootnoteText"/>
      </w:pPr>
      <w:r>
        <w:rPr>
          <w:rStyle w:val="FootnoteReference"/>
        </w:rPr>
        <w:footnoteRef/>
      </w:r>
      <w:r>
        <w:t xml:space="preserve"> </w:t>
      </w:r>
      <w:r w:rsidRPr="00D5321C">
        <w:rPr>
          <w:i/>
          <w:iCs/>
        </w:rPr>
        <w:t>Id</w:t>
      </w:r>
      <w:r>
        <w:t>. at 2 (citing U.S. Virgin Islands Public Service Commission, Order, Docket No. 669, Order No. 49/2018 (Sept. 5, 2021).</w:t>
      </w:r>
      <w:r w:rsidRPr="00D5321C">
        <w:rPr>
          <w:szCs w:val="22"/>
        </w:rPr>
        <w:t xml:space="preserve"> </w:t>
      </w:r>
      <w:r w:rsidRPr="004D63F5">
        <w:rPr>
          <w:szCs w:val="22"/>
        </w:rPr>
        <w:t>ETCs seeking to transfer control of their domestic authorizations to operate pursuant to section 214 of the</w:t>
      </w:r>
      <w:r>
        <w:rPr>
          <w:szCs w:val="22"/>
        </w:rPr>
        <w:t xml:space="preserve"> Act</w:t>
      </w:r>
      <w:r w:rsidRPr="004D63F5">
        <w:rPr>
          <w:szCs w:val="22"/>
        </w:rPr>
        <w:t>, or to engage in the sale of assets under section 214 must first receive approval from the Commission in accordance with sections 63.03 and 63.04 of the Commission’s rules governing the procedures for domestic transfer of control/asset applications.</w:t>
      </w:r>
      <w:r>
        <w:rPr>
          <w:szCs w:val="22"/>
        </w:rPr>
        <w:t xml:space="preserve">  </w:t>
      </w:r>
      <w:r>
        <w:rPr>
          <w:i/>
          <w:iCs/>
          <w:szCs w:val="22"/>
        </w:rPr>
        <w:t>BBVI Authorization Notice</w:t>
      </w:r>
      <w:r>
        <w:rPr>
          <w:szCs w:val="22"/>
        </w:rPr>
        <w:t xml:space="preserve"> at 6.</w:t>
      </w:r>
      <w:r>
        <w:t xml:space="preserve">  </w:t>
      </w:r>
      <w:r w:rsidRPr="00CB0C66">
        <w:t xml:space="preserve">  </w:t>
      </w:r>
    </w:p>
  </w:footnote>
  <w:footnote w:id="7">
    <w:p w:rsidR="00B852E5" w14:paraId="2CD37121" w14:textId="3E9A013E">
      <w:pPr>
        <w:pStyle w:val="FootnoteText"/>
      </w:pPr>
      <w:r>
        <w:rPr>
          <w:rStyle w:val="FootnoteReference"/>
        </w:rPr>
        <w:footnoteRef/>
      </w:r>
      <w:r>
        <w:t xml:space="preserve"> </w:t>
      </w:r>
      <w:r>
        <w:t>Application at 3.</w:t>
      </w:r>
    </w:p>
  </w:footnote>
  <w:footnote w:id="8">
    <w:p w:rsidR="00B852E5" w:rsidRPr="00B852E5" w14:paraId="54004023" w14:textId="043FB52E">
      <w:pPr>
        <w:pStyle w:val="FootnoteText"/>
      </w:pPr>
      <w:r>
        <w:rPr>
          <w:rStyle w:val="FootnoteReference"/>
        </w:rPr>
        <w:footnoteRef/>
      </w:r>
      <w:r>
        <w:t xml:space="preserve"> </w:t>
      </w:r>
      <w:r>
        <w:rPr>
          <w:i/>
          <w:iCs/>
        </w:rPr>
        <w:t>Id</w:t>
      </w:r>
      <w:r>
        <w:t>.</w:t>
      </w:r>
    </w:p>
  </w:footnote>
  <w:footnote w:id="9">
    <w:p w:rsidR="007F2E5D" w:rsidRPr="008B2900" w:rsidP="007F2E5D" w14:paraId="4431DF9E" w14:textId="3CBF0F93">
      <w:pPr>
        <w:pStyle w:val="FootnoteText"/>
      </w:pPr>
      <w:r>
        <w:rPr>
          <w:rStyle w:val="FootnoteReference"/>
        </w:rPr>
        <w:footnoteRef/>
      </w:r>
      <w:r>
        <w:t xml:space="preserve"> </w:t>
      </w:r>
      <w:r w:rsidRPr="00B852E5" w:rsidR="00B852E5">
        <w:rPr>
          <w:i/>
          <w:iCs/>
        </w:rPr>
        <w:t>Id</w:t>
      </w:r>
      <w:r w:rsidR="00B852E5">
        <w:t>.</w:t>
      </w:r>
      <w:r w:rsidRPr="008B2900">
        <w:t xml:space="preserve"> at 3</w:t>
      </w:r>
      <w:r>
        <w:t xml:space="preserve">, </w:t>
      </w:r>
      <w:r>
        <w:t>Exh</w:t>
      </w:r>
      <w:r>
        <w:t>. A (Pre-Transaction Ownership of BBVI).</w:t>
      </w:r>
    </w:p>
  </w:footnote>
  <w:footnote w:id="10">
    <w:p w:rsidR="007F2E5D" w:rsidRPr="008B2900" w:rsidP="007F2E5D" w14:paraId="485C7D0D" w14:textId="77777777">
      <w:pPr>
        <w:pStyle w:val="FootnoteText"/>
      </w:pPr>
      <w:r>
        <w:rPr>
          <w:rStyle w:val="FootnoteReference"/>
        </w:rPr>
        <w:footnoteRef/>
      </w:r>
      <w:r>
        <w:t xml:space="preserve"> </w:t>
      </w:r>
      <w:r w:rsidRPr="008B2900">
        <w:rPr>
          <w:i/>
          <w:iCs/>
        </w:rPr>
        <w:t>Id.</w:t>
      </w:r>
      <w:r w:rsidRPr="008B2900">
        <w:t xml:space="preserve"> </w:t>
      </w:r>
    </w:p>
  </w:footnote>
  <w:footnote w:id="11">
    <w:p w:rsidR="007F2E5D" w:rsidP="007F2E5D" w14:paraId="13CB731C" w14:textId="77777777">
      <w:pPr>
        <w:pStyle w:val="FootnoteText"/>
      </w:pPr>
      <w:r>
        <w:rPr>
          <w:rStyle w:val="FootnoteReference"/>
        </w:rPr>
        <w:footnoteRef/>
      </w:r>
      <w:r>
        <w:t xml:space="preserve"> </w:t>
      </w:r>
      <w:r w:rsidRPr="008B2900">
        <w:rPr>
          <w:i/>
          <w:iCs/>
        </w:rPr>
        <w:t>Id.</w:t>
      </w:r>
    </w:p>
  </w:footnote>
  <w:footnote w:id="12">
    <w:p w:rsidR="007F2E5D" w:rsidRPr="009070DC" w:rsidP="007F2E5D" w14:paraId="7F0BA48D" w14:textId="77777777">
      <w:pPr>
        <w:pStyle w:val="FootnoteText"/>
      </w:pPr>
      <w:r>
        <w:rPr>
          <w:rStyle w:val="FootnoteReference"/>
        </w:rPr>
        <w:footnoteRef/>
      </w:r>
      <w:r>
        <w:t xml:space="preserve"> </w:t>
      </w:r>
      <w:r w:rsidRPr="00783DDE">
        <w:t>Application at 3, 9.</w:t>
      </w:r>
      <w:r>
        <w:t xml:space="preserve">  The Bureau authorized Liberty Communications of Puerto Rico LLC, an affiliate of Liberty, to receive universal service support through the Bringing Puerto Rico Together Fund to serve 914,000 locations in Puerto Rico.  </w:t>
      </w:r>
      <w:r>
        <w:rPr>
          <w:i/>
          <w:iCs/>
        </w:rPr>
        <w:t>Id</w:t>
      </w:r>
      <w:r>
        <w:t xml:space="preserve">. at 4 (citing </w:t>
      </w:r>
      <w:r w:rsidRPr="008B7187">
        <w:rPr>
          <w:i/>
          <w:iCs/>
        </w:rPr>
        <w:t>Wireline Competition Bureau Authorizes Stage 2 Support for Puerto Rico Telephone Company and Liberty Communications of Puerto Rico</w:t>
      </w:r>
      <w:r>
        <w:t>, WC Docket Nos. 18-143, 10-90, Public Notice, DA 21-718 (WCB 2021)).  An application for review filed by Puerto Rico Telephone Company, Inc. challenging the selection of Liberty Communications of Puerto Rico as the winning applicant of certain areas remains pending.  Application for Review filed by Puerto Rico Telephone Company, Inc. d/b/a Claro, WC Docket Nos. 18-143, 10-90 (Dec. 2, 2020).</w:t>
      </w:r>
    </w:p>
  </w:footnote>
  <w:footnote w:id="13">
    <w:p w:rsidR="007F2E5D" w:rsidP="007F2E5D" w14:paraId="7CB4BBF1" w14:textId="4FD00907">
      <w:pPr>
        <w:pStyle w:val="FootnoteText"/>
      </w:pPr>
      <w:r>
        <w:rPr>
          <w:rStyle w:val="FootnoteReference"/>
        </w:rPr>
        <w:footnoteRef/>
      </w:r>
      <w:r>
        <w:t xml:space="preserve"> </w:t>
      </w:r>
      <w:r w:rsidRPr="003720B5" w:rsidR="003720B5">
        <w:t>Application</w:t>
      </w:r>
      <w:r>
        <w:t xml:space="preserve"> at 3, 13, </w:t>
      </w:r>
      <w:r>
        <w:t>Exh</w:t>
      </w:r>
      <w:r>
        <w:t xml:space="preserve">. B (Post-Transaction Ownership of BBVI).  </w:t>
      </w:r>
    </w:p>
  </w:footnote>
  <w:footnote w:id="14">
    <w:p w:rsidR="007F2E5D" w:rsidP="007F2E5D" w14:paraId="3C9AFD2B" w14:textId="77777777">
      <w:pPr>
        <w:pStyle w:val="FootnoteText"/>
      </w:pPr>
      <w:r>
        <w:rPr>
          <w:rStyle w:val="FootnoteReference"/>
        </w:rPr>
        <w:footnoteRef/>
      </w:r>
      <w:r>
        <w:t xml:space="preserve"> </w:t>
      </w:r>
      <w:r w:rsidRPr="009F780C">
        <w:rPr>
          <w:i/>
          <w:iCs/>
        </w:rPr>
        <w:t>Id.</w:t>
      </w:r>
      <w:r>
        <w:t xml:space="preserve"> at 11, </w:t>
      </w:r>
      <w:r>
        <w:t>Exh</w:t>
      </w:r>
      <w:r>
        <w:t>. B.</w:t>
      </w:r>
    </w:p>
  </w:footnote>
  <w:footnote w:id="15">
    <w:p w:rsidR="007F2E5D" w:rsidP="007F2E5D" w14:paraId="20EF34C3" w14:textId="77777777">
      <w:pPr>
        <w:pStyle w:val="FootnoteText"/>
      </w:pPr>
      <w:r>
        <w:rPr>
          <w:rStyle w:val="FootnoteReference"/>
        </w:rPr>
        <w:footnoteRef/>
      </w:r>
      <w:r>
        <w:t xml:space="preserve"> </w:t>
      </w:r>
      <w:r w:rsidRPr="009F780C">
        <w:rPr>
          <w:i/>
          <w:iCs/>
        </w:rPr>
        <w:t>Id.</w:t>
      </w:r>
      <w:r>
        <w:t xml:space="preserve"> at 12.</w:t>
      </w:r>
    </w:p>
  </w:footnote>
  <w:footnote w:id="16">
    <w:p w:rsidR="007F2E5D" w:rsidP="007F2E5D" w14:paraId="13C7E406" w14:textId="77777777">
      <w:pPr>
        <w:pStyle w:val="FootnoteText"/>
      </w:pPr>
      <w:r>
        <w:rPr>
          <w:rStyle w:val="FootnoteReference"/>
        </w:rPr>
        <w:footnoteRef/>
      </w:r>
      <w:r>
        <w:t xml:space="preserve"> </w:t>
      </w:r>
      <w:r w:rsidRPr="009F780C">
        <w:rPr>
          <w:i/>
          <w:iCs/>
        </w:rPr>
        <w:t>Id.</w:t>
      </w:r>
      <w:r>
        <w:t xml:space="preserve"> </w:t>
      </w:r>
    </w:p>
  </w:footnote>
  <w:footnote w:id="17">
    <w:p w:rsidR="007F2E5D" w:rsidP="007F2E5D" w14:paraId="76838315" w14:textId="77777777">
      <w:pPr>
        <w:pStyle w:val="FootnoteText"/>
      </w:pPr>
      <w:r>
        <w:rPr>
          <w:rStyle w:val="FootnoteReference"/>
        </w:rPr>
        <w:footnoteRef/>
      </w:r>
      <w:r>
        <w:t xml:space="preserve"> </w:t>
      </w:r>
      <w:r w:rsidRPr="009F780C">
        <w:rPr>
          <w:i/>
          <w:iCs/>
        </w:rPr>
        <w:t>Id.</w:t>
      </w:r>
    </w:p>
  </w:footnote>
  <w:footnote w:id="18">
    <w:p w:rsidR="007F2E5D" w:rsidRPr="00176139" w:rsidP="007F2E5D" w14:paraId="2E48B2B8" w14:textId="77777777">
      <w:pPr>
        <w:pStyle w:val="FootnoteText"/>
      </w:pPr>
      <w:r>
        <w:rPr>
          <w:rStyle w:val="FootnoteReference"/>
        </w:rPr>
        <w:footnoteRef/>
      </w:r>
      <w:r>
        <w:t xml:space="preserve"> </w:t>
      </w:r>
      <w:r w:rsidRPr="00176139">
        <w:t>Application at 12.</w:t>
      </w:r>
    </w:p>
  </w:footnote>
  <w:footnote w:id="19">
    <w:p w:rsidR="007F2E5D" w:rsidP="007F2E5D" w14:paraId="35FCFA83" w14:textId="77777777">
      <w:pPr>
        <w:pStyle w:val="FootnoteText"/>
      </w:pPr>
      <w:r>
        <w:rPr>
          <w:rStyle w:val="FootnoteReference"/>
        </w:rPr>
        <w:footnoteRef/>
      </w:r>
      <w:r>
        <w:t xml:space="preserve"> </w:t>
      </w:r>
      <w:r w:rsidRPr="009F780C">
        <w:rPr>
          <w:i/>
          <w:iCs/>
        </w:rPr>
        <w:t>Id.</w:t>
      </w:r>
      <w:r>
        <w:rPr>
          <w:i/>
          <w:iCs/>
        </w:rPr>
        <w:t xml:space="preserve"> </w:t>
      </w:r>
      <w:r w:rsidRPr="00002230">
        <w:t>at 12-13</w:t>
      </w:r>
      <w:r>
        <w:t xml:space="preserve">, </w:t>
      </w:r>
      <w:r>
        <w:t>Exh</w:t>
      </w:r>
      <w:r>
        <w:t>. B.</w:t>
      </w:r>
    </w:p>
  </w:footnote>
  <w:footnote w:id="20">
    <w:p w:rsidR="007F2E5D" w:rsidRPr="00002230" w:rsidP="007F2E5D" w14:paraId="452339DF" w14:textId="77777777">
      <w:pPr>
        <w:pStyle w:val="FootnoteText"/>
      </w:pPr>
      <w:r>
        <w:rPr>
          <w:rStyle w:val="FootnoteReference"/>
        </w:rPr>
        <w:footnoteRef/>
      </w:r>
      <w:r>
        <w:t xml:space="preserve"> </w:t>
      </w:r>
      <w:r w:rsidRPr="009F780C">
        <w:rPr>
          <w:i/>
          <w:iCs/>
        </w:rPr>
        <w:t>Id.</w:t>
      </w:r>
      <w:r>
        <w:t xml:space="preserve"> at 13, </w:t>
      </w:r>
      <w:r>
        <w:t>Exh</w:t>
      </w:r>
      <w:r>
        <w:t>. B.</w:t>
      </w:r>
    </w:p>
  </w:footnote>
  <w:footnote w:id="21">
    <w:p w:rsidR="00DF43F4" w:rsidRPr="00DF43F4" w14:paraId="09CEFE11" w14:textId="63885008">
      <w:pPr>
        <w:pStyle w:val="FootnoteText"/>
      </w:pPr>
      <w:r>
        <w:rPr>
          <w:rStyle w:val="FootnoteReference"/>
        </w:rPr>
        <w:footnoteRef/>
      </w:r>
      <w:r>
        <w:t xml:space="preserve"> </w:t>
      </w:r>
      <w:r>
        <w:rPr>
          <w:i/>
          <w:iCs/>
        </w:rPr>
        <w:t>Id</w:t>
      </w:r>
      <w:r>
        <w:t>. at 13.</w:t>
      </w:r>
    </w:p>
  </w:footnote>
  <w:footnote w:id="22">
    <w:p w:rsidR="007F2E5D" w:rsidRPr="004E323A" w:rsidP="007F2E5D" w14:paraId="73700862" w14:textId="1DD68EE9">
      <w:pPr>
        <w:pStyle w:val="FootnoteText"/>
      </w:pPr>
      <w:r>
        <w:rPr>
          <w:rStyle w:val="FootnoteReference"/>
        </w:rPr>
        <w:footnoteRef/>
      </w:r>
      <w:r>
        <w:t xml:space="preserve"> </w:t>
      </w:r>
      <w:r w:rsidRPr="009F780C">
        <w:rPr>
          <w:i/>
          <w:iCs/>
        </w:rPr>
        <w:t>Id.</w:t>
      </w:r>
    </w:p>
  </w:footnote>
  <w:footnote w:id="23">
    <w:p w:rsidR="007F2E5D" w:rsidP="007F2E5D" w14:paraId="087A4FBC" w14:textId="77777777">
      <w:pPr>
        <w:pStyle w:val="FootnoteText"/>
      </w:pPr>
      <w:r>
        <w:rPr>
          <w:rStyle w:val="FootnoteReference"/>
        </w:rPr>
        <w:footnoteRef/>
      </w:r>
      <w:r>
        <w:t xml:space="preserve"> </w:t>
      </w:r>
      <w:r w:rsidRPr="009F780C">
        <w:rPr>
          <w:i/>
          <w:iCs/>
        </w:rPr>
        <w:t>Id.</w:t>
      </w:r>
      <w:r>
        <w:t xml:space="preserve"> at 3-4.  </w:t>
      </w:r>
    </w:p>
  </w:footnote>
  <w:footnote w:id="24">
    <w:p w:rsidR="007F2E5D" w:rsidP="007F2E5D" w14:paraId="575198D7" w14:textId="77777777">
      <w:pPr>
        <w:pStyle w:val="FootnoteText"/>
      </w:pPr>
      <w:r>
        <w:rPr>
          <w:rStyle w:val="FootnoteReference"/>
        </w:rPr>
        <w:footnoteRef/>
      </w:r>
      <w:r>
        <w:t xml:space="preserve"> </w:t>
      </w:r>
      <w:r>
        <w:t>Application at 5.</w:t>
      </w:r>
    </w:p>
  </w:footnote>
  <w:footnote w:id="25">
    <w:p w:rsidR="007F2E5D" w:rsidP="007F2E5D" w14:paraId="6AA3D90E" w14:textId="77777777">
      <w:pPr>
        <w:pStyle w:val="FootnoteText"/>
      </w:pPr>
      <w:r>
        <w:rPr>
          <w:rStyle w:val="FootnoteReference"/>
        </w:rPr>
        <w:footnoteRef/>
      </w:r>
      <w:r>
        <w:t xml:space="preserve"> </w:t>
      </w:r>
      <w:r w:rsidRPr="009F780C">
        <w:rPr>
          <w:i/>
          <w:iCs/>
        </w:rPr>
        <w:t>Id.</w:t>
      </w:r>
      <w:r>
        <w:t xml:space="preserve"> at 2. </w:t>
      </w:r>
    </w:p>
  </w:footnote>
  <w:footnote w:id="26">
    <w:p w:rsidR="007F2E5D" w:rsidP="007F2E5D" w14:paraId="2ACADA49" w14:textId="77777777">
      <w:pPr>
        <w:pStyle w:val="FootnoteText"/>
      </w:pPr>
      <w:r>
        <w:rPr>
          <w:rStyle w:val="FootnoteReference"/>
        </w:rPr>
        <w:footnoteRef/>
      </w:r>
      <w:r>
        <w:t xml:space="preserve"> </w:t>
      </w:r>
      <w:r w:rsidRPr="009F780C">
        <w:rPr>
          <w:i/>
          <w:iCs/>
        </w:rPr>
        <w:t>Id.</w:t>
      </w:r>
      <w:r>
        <w:t xml:space="preserve"> at 7.</w:t>
      </w:r>
    </w:p>
  </w:footnote>
  <w:footnote w:id="27">
    <w:p w:rsidR="007F2E5D" w:rsidP="007F2E5D" w14:paraId="4324E116" w14:textId="77777777">
      <w:pPr>
        <w:pStyle w:val="FootnoteText"/>
      </w:pPr>
      <w:r>
        <w:rPr>
          <w:rStyle w:val="FootnoteReference"/>
        </w:rPr>
        <w:footnoteRef/>
      </w:r>
      <w:r>
        <w:t xml:space="preserve"> </w:t>
      </w:r>
      <w:r w:rsidRPr="009F780C">
        <w:rPr>
          <w:i/>
          <w:iCs/>
        </w:rPr>
        <w:t>Id.</w:t>
      </w:r>
      <w:r>
        <w:t xml:space="preserve"> at 8.</w:t>
      </w:r>
    </w:p>
  </w:footnote>
  <w:footnote w:id="28">
    <w:p w:rsidR="007F2E5D" w:rsidP="007F2E5D" w14:paraId="78DBD62A" w14:textId="69061908">
      <w:pPr>
        <w:pStyle w:val="FootnoteText"/>
      </w:pPr>
      <w:r>
        <w:rPr>
          <w:rStyle w:val="FootnoteReference"/>
        </w:rPr>
        <w:footnoteRef/>
      </w:r>
      <w:r>
        <w:t xml:space="preserve"> </w:t>
      </w:r>
      <w:r w:rsidRPr="00114E09" w:rsidR="00114E09">
        <w:rPr>
          <w:i/>
          <w:iCs/>
        </w:rPr>
        <w:t>Id</w:t>
      </w:r>
      <w:r>
        <w:t xml:space="preserve">.  </w:t>
      </w:r>
    </w:p>
  </w:footnote>
  <w:footnote w:id="29">
    <w:p w:rsidR="00CB52EB" w:rsidP="00CB52EB" w14:paraId="471B9C11" w14:textId="5A0D19B8">
      <w:pPr>
        <w:pStyle w:val="FootnoteText"/>
      </w:pPr>
      <w:r>
        <w:rPr>
          <w:rStyle w:val="FootnoteReference"/>
        </w:rPr>
        <w:footnoteRef/>
      </w:r>
      <w:r>
        <w:t xml:space="preserve"> </w:t>
      </w:r>
      <w:r>
        <w:t>47 U.S.C. § 214(a); 47 C</w:t>
      </w:r>
      <w:r w:rsidR="00D64012">
        <w:t>.</w:t>
      </w:r>
      <w:r>
        <w:t>F</w:t>
      </w:r>
      <w:r w:rsidR="00D64012">
        <w:t>.</w:t>
      </w:r>
      <w:r>
        <w:t>R</w:t>
      </w:r>
      <w:r w:rsidR="00D64012">
        <w:t>.</w:t>
      </w:r>
      <w:r>
        <w:t xml:space="preserve"> § 63.03</w:t>
      </w:r>
      <w:r w:rsidR="00855DB1">
        <w:t xml:space="preserve">; </w:t>
      </w:r>
      <w:r w:rsidR="00070000">
        <w:rPr>
          <w:i/>
          <w:iCs/>
        </w:rPr>
        <w:t>Telecommunications Carriers Eligible for Universal Service Support</w:t>
      </w:r>
      <w:r w:rsidR="00070000">
        <w:t xml:space="preserve">, WC Docket No. 09-197, </w:t>
      </w:r>
      <w:r w:rsidR="00070000">
        <w:rPr>
          <w:i/>
          <w:iCs/>
        </w:rPr>
        <w:t>Connect America Fund</w:t>
      </w:r>
      <w:r w:rsidR="00070000">
        <w:t>, WC Docket No. 10-90, Order, DA 21-663, para. 30 (WCB 2021)</w:t>
      </w:r>
      <w:r w:rsidR="002D1435">
        <w:t>.</w:t>
      </w:r>
    </w:p>
  </w:footnote>
  <w:footnote w:id="30">
    <w:p w:rsidR="00A901ED" w:rsidRPr="00C37B71" w:rsidP="00A901ED" w14:paraId="38FAE2BC" w14:textId="2CF7DBFD">
      <w:pPr>
        <w:pStyle w:val="FootnoteText"/>
        <w:widowControl w:val="0"/>
      </w:pPr>
      <w:r w:rsidRPr="00C37B71">
        <w:rPr>
          <w:rStyle w:val="FootnoteReference"/>
        </w:rPr>
        <w:footnoteRef/>
      </w:r>
      <w:r w:rsidRPr="00C37B71">
        <w:t xml:space="preserve"> </w:t>
      </w:r>
      <w:r w:rsidRPr="006E3ED7">
        <w:rPr>
          <w:i/>
        </w:rPr>
        <w:t>See, e.g.</w:t>
      </w:r>
      <w:r w:rsidRPr="006E3ED7">
        <w:t xml:space="preserve">, </w:t>
      </w:r>
      <w:r w:rsidRPr="006E3ED7">
        <w:rPr>
          <w:i/>
          <w:iCs/>
        </w:rPr>
        <w:t xml:space="preserve">Application of Verizon Communications Inc. and América </w:t>
      </w:r>
      <w:r w:rsidRPr="006E3ED7">
        <w:rPr>
          <w:i/>
          <w:iCs/>
        </w:rPr>
        <w:t>Móvil</w:t>
      </w:r>
      <w:r w:rsidRPr="006E3ED7">
        <w:rPr>
          <w:i/>
          <w:iCs/>
        </w:rPr>
        <w:t xml:space="preserve"> S.A.B. de C.V for Consent to Transfer Control of International Section 214 Authorization</w:t>
      </w:r>
      <w:r w:rsidRPr="006E3ED7">
        <w:t>, GN Docket No. 21-112; IBFS File No. ITC-T/C-20200930-00173, Memorandum Opinion and Order, FCC 21-121, at para. 21 (rel. Nov. 22, 2021) (</w:t>
      </w:r>
      <w:r w:rsidRPr="00C37B71">
        <w:rPr>
          <w:i/>
          <w:iCs/>
        </w:rPr>
        <w:t>Verizon-TracFone Order</w:t>
      </w:r>
      <w:r w:rsidRPr="00C37B71">
        <w:t>)</w:t>
      </w:r>
      <w:r w:rsidRPr="00C37B71">
        <w:rPr>
          <w:sz w:val="28"/>
          <w:szCs w:val="28"/>
        </w:rPr>
        <w:t xml:space="preserve"> </w:t>
      </w:r>
      <w:r w:rsidRPr="00C37B71">
        <w:t xml:space="preserve">(citing </w:t>
      </w:r>
      <w:r w:rsidRPr="00C37B71">
        <w:rPr>
          <w:i/>
        </w:rPr>
        <w:t>China Mobile International (USA) Inc., Application for Global Facilities-Based and Global Resale International Telecommunications Authority Pursuant to Section 214 of the Communications Act of 1934, as Amended</w:t>
      </w:r>
      <w:r w:rsidRPr="00C37B71">
        <w:t xml:space="preserve">, Memorandum Opinion and Order, 34 FCC </w:t>
      </w:r>
      <w:r w:rsidRPr="00C37B71">
        <w:t>Rcd</w:t>
      </w:r>
      <w:r w:rsidRPr="00C37B71">
        <w:t xml:space="preserve"> 3361, 3366, para. 9 (2019); </w:t>
      </w:r>
      <w:r w:rsidRPr="00C37B71">
        <w:rPr>
          <w:i/>
        </w:rPr>
        <w:t>Applications for Consent to the Assignment and/or Transfer of Control of Licenses, Adelphia Communications Corporation (and subsidiaries, debtors-in-possession), Assignors, to Time Warner Cable Inc. (subsidiaries), Assignees; Adelphia Communications Corporation, (and subsidiaries, debtors-in-possession), Assignors and Transferors et al</w:t>
      </w:r>
      <w:r w:rsidRPr="00C37B71">
        <w:t xml:space="preserve">., MB Docket No. 05-192, Memorandum Opinion and Order, 21 FCC </w:t>
      </w:r>
      <w:r w:rsidRPr="00C37B71">
        <w:t>Rcd</w:t>
      </w:r>
      <w:r w:rsidRPr="00C37B71">
        <w:t xml:space="preserve"> 8203, 8219-21, paras. 27-28 (2006) (</w:t>
      </w:r>
      <w:r w:rsidRPr="00C37B71">
        <w:rPr>
          <w:i/>
          <w:iCs/>
        </w:rPr>
        <w:t>Adelphia-TWC Order</w:t>
      </w:r>
      <w:r w:rsidRPr="00C37B71">
        <w:t>))</w:t>
      </w:r>
      <w:r>
        <w:t>.</w:t>
      </w:r>
    </w:p>
  </w:footnote>
  <w:footnote w:id="31">
    <w:p w:rsidR="00A901ED" w:rsidRPr="00B83976" w:rsidP="00A901ED" w14:paraId="0BD928E8" w14:textId="77777777">
      <w:pPr>
        <w:pStyle w:val="FootnoteText"/>
      </w:pPr>
      <w:r w:rsidRPr="00C37B71">
        <w:rPr>
          <w:rStyle w:val="FootnoteReference"/>
        </w:rPr>
        <w:footnoteRef/>
      </w:r>
      <w:r w:rsidRPr="00C37B71">
        <w:t xml:space="preserve"> </w:t>
      </w:r>
      <w:r w:rsidRPr="00C37B71">
        <w:rPr>
          <w:i/>
        </w:rPr>
        <w:t>See Verizon-TracFone Order</w:t>
      </w:r>
      <w:r w:rsidRPr="00C37B71">
        <w:rPr>
          <w:iCs/>
        </w:rPr>
        <w:t xml:space="preserve"> at para. 21 (citing </w:t>
      </w:r>
      <w:r w:rsidRPr="00C37B71">
        <w:rPr>
          <w:i/>
        </w:rPr>
        <w:t xml:space="preserve">Applications of </w:t>
      </w:r>
      <w:r w:rsidRPr="00C37B71">
        <w:rPr>
          <w:i/>
          <w:iCs/>
        </w:rPr>
        <w:t>AT&amp;T</w:t>
      </w:r>
      <w:r w:rsidRPr="00C37B71">
        <w:rPr>
          <w:i/>
        </w:rPr>
        <w:t xml:space="preserve"> Inc. and </w:t>
      </w:r>
      <w:r w:rsidRPr="00C37B71">
        <w:rPr>
          <w:i/>
          <w:iCs/>
        </w:rPr>
        <w:t xml:space="preserve">DIRECTV </w:t>
      </w:r>
      <w:r w:rsidRPr="00C37B71">
        <w:rPr>
          <w:i/>
        </w:rPr>
        <w:t>for Consent to Assign or Transfer Control of Licenses and Authorizations</w:t>
      </w:r>
      <w:r w:rsidRPr="00C37B71">
        <w:t xml:space="preserve">, MB Docket No. 14-90, Memorandum Opinion and Order, 30 </w:t>
      </w:r>
      <w:r w:rsidRPr="00C37B71">
        <w:rPr>
          <w:iCs/>
        </w:rPr>
        <w:t xml:space="preserve">FCC </w:t>
      </w:r>
      <w:r w:rsidRPr="00C37B71">
        <w:rPr>
          <w:iCs/>
        </w:rPr>
        <w:t>Rcd</w:t>
      </w:r>
      <w:r w:rsidRPr="00C37B71">
        <w:rPr>
          <w:iCs/>
        </w:rPr>
        <w:t xml:space="preserve"> </w:t>
      </w:r>
      <w:r w:rsidRPr="00C37B71">
        <w:t>9131,</w:t>
      </w:r>
      <w:r w:rsidRPr="00C37B71">
        <w:rPr>
          <w:iCs/>
        </w:rPr>
        <w:t xml:space="preserve"> 9140, para. 18</w:t>
      </w:r>
      <w:r w:rsidRPr="00C37B71">
        <w:t xml:space="preserve"> (2015) (</w:t>
      </w:r>
      <w:r w:rsidRPr="00C37B71">
        <w:rPr>
          <w:i/>
          <w:iCs/>
        </w:rPr>
        <w:t>AT&amp;T-DIRECTV Order</w:t>
      </w:r>
      <w:r w:rsidRPr="00C37B71">
        <w:rPr>
          <w:iCs/>
        </w:rPr>
        <w:t>)</w:t>
      </w:r>
      <w:r>
        <w:rPr>
          <w:iCs/>
        </w:rPr>
        <w:t xml:space="preserve"> (further internal citations omitted).</w:t>
      </w:r>
    </w:p>
  </w:footnote>
  <w:footnote w:id="32">
    <w:p w:rsidR="00A901ED" w:rsidRPr="00B83976" w:rsidP="00A901ED" w14:paraId="25030142" w14:textId="77777777">
      <w:pPr>
        <w:pStyle w:val="FootnoteText"/>
      </w:pPr>
      <w:r w:rsidRPr="00B83976">
        <w:rPr>
          <w:rStyle w:val="FootnoteReference"/>
        </w:rPr>
        <w:footnoteRef/>
      </w:r>
      <w:r w:rsidRPr="00B83976">
        <w:t xml:space="preserve"> </w:t>
      </w:r>
      <w:r>
        <w:rPr>
          <w:i/>
        </w:rPr>
        <w:t>See Verizon-TracFone Order</w:t>
      </w:r>
      <w:r>
        <w:rPr>
          <w:iCs/>
        </w:rPr>
        <w:t xml:space="preserve"> at para. 21 (citing</w:t>
      </w:r>
      <w:r w:rsidRPr="003A6B1D">
        <w:t xml:space="preserve"> </w:t>
      </w:r>
      <w:r w:rsidRPr="00B83976">
        <w:rPr>
          <w:i/>
          <w:iCs/>
        </w:rPr>
        <w:t>AT&amp;T-DIRECTV Order</w:t>
      </w:r>
      <w:r w:rsidRPr="00B83976">
        <w:rPr>
          <w:iCs/>
        </w:rPr>
        <w:t xml:space="preserve">, </w:t>
      </w:r>
      <w:r w:rsidRPr="00B83976">
        <w:t xml:space="preserve">30 </w:t>
      </w:r>
      <w:r w:rsidRPr="00B83976">
        <w:rPr>
          <w:iCs/>
        </w:rPr>
        <w:t xml:space="preserve">FCC </w:t>
      </w:r>
      <w:r w:rsidRPr="00B83976">
        <w:rPr>
          <w:iCs/>
        </w:rPr>
        <w:t>Rcd</w:t>
      </w:r>
      <w:r w:rsidRPr="00B83976">
        <w:rPr>
          <w:iCs/>
        </w:rPr>
        <w:t xml:space="preserve"> at 9140, para. 18; </w:t>
      </w:r>
      <w:r w:rsidRPr="00B83976">
        <w:rPr>
          <w:i/>
        </w:rPr>
        <w:t>Adelphia-TWC Order</w:t>
      </w:r>
      <w:r w:rsidRPr="00B83976">
        <w:t xml:space="preserve">, 21 FCC </w:t>
      </w:r>
      <w:r w:rsidRPr="00B83976">
        <w:t>Rcd</w:t>
      </w:r>
      <w:r w:rsidRPr="00B83976">
        <w:t xml:space="preserve"> at 8217, para. 23; </w:t>
      </w:r>
      <w:r>
        <w:rPr>
          <w:i/>
        </w:rPr>
        <w:t xml:space="preserve">Application of </w:t>
      </w:r>
      <w:r w:rsidRPr="00B83976">
        <w:rPr>
          <w:i/>
        </w:rPr>
        <w:t>EchoStar</w:t>
      </w:r>
      <w:r>
        <w:rPr>
          <w:i/>
        </w:rPr>
        <w:t xml:space="preserve"> Communications Corp., General Motors Corp., and Hughes Electronics Corp., Transferors, and EchoStar Communications Corp., Transferee</w:t>
      </w:r>
      <w:r>
        <w:t xml:space="preserve">, CS Docket No. 01-348, Hearing Designation Order, 17 FCC </w:t>
      </w:r>
      <w:r>
        <w:t>Rcd</w:t>
      </w:r>
      <w:r>
        <w:t xml:space="preserve"> 20559, </w:t>
      </w:r>
      <w:r>
        <w:rPr>
          <w:snapToGrid w:val="0"/>
        </w:rPr>
        <w:t>20574, para.</w:t>
      </w:r>
      <w:r>
        <w:t xml:space="preserve"> 25 (2002) (</w:t>
      </w:r>
      <w:r w:rsidRPr="00B83976">
        <w:rPr>
          <w:i/>
        </w:rPr>
        <w:t>EchoStar-DIRECTV HDO</w:t>
      </w:r>
      <w:r>
        <w:rPr>
          <w:iCs/>
        </w:rPr>
        <w:t>) (further internal citations omitted)</w:t>
      </w:r>
      <w:r w:rsidRPr="00B83976">
        <w:t>.</w:t>
      </w:r>
    </w:p>
  </w:footnote>
  <w:footnote w:id="33">
    <w:p w:rsidR="005D1FDC" w14:paraId="6013D11B" w14:textId="46830058">
      <w:pPr>
        <w:pStyle w:val="FootnoteText"/>
      </w:pPr>
      <w:r>
        <w:rPr>
          <w:rStyle w:val="FootnoteReference"/>
        </w:rPr>
        <w:footnoteRef/>
      </w:r>
      <w:r>
        <w:t xml:space="preserve"> </w:t>
      </w:r>
      <w:r>
        <w:t>Application at 3.</w:t>
      </w:r>
    </w:p>
  </w:footnote>
  <w:footnote w:id="34">
    <w:p w:rsidR="005D1FDC" w14:paraId="4A83F5B3" w14:textId="68E47D10">
      <w:pPr>
        <w:pStyle w:val="FootnoteText"/>
      </w:pPr>
      <w:r>
        <w:rPr>
          <w:rStyle w:val="FootnoteReference"/>
        </w:rPr>
        <w:footnoteRef/>
      </w:r>
      <w:r>
        <w:t xml:space="preserve"> </w:t>
      </w:r>
      <w:r w:rsidRPr="00337CCE">
        <w:rPr>
          <w:i/>
          <w:iCs/>
        </w:rPr>
        <w:t>See, e.g</w:t>
      </w:r>
      <w:r>
        <w:t xml:space="preserve">., </w:t>
      </w:r>
      <w:r w:rsidRPr="00337CCE">
        <w:rPr>
          <w:i/>
          <w:iCs/>
        </w:rPr>
        <w:t>Applications of Level 3 Communications, Inc. and CenturyLink, Inc. for Consent to Transfer Control of Licenses and Authorizations</w:t>
      </w:r>
      <w:r>
        <w:t xml:space="preserve">, Memorandum Opinion and Order, 32 FCC </w:t>
      </w:r>
      <w:r>
        <w:t>Rcd</w:t>
      </w:r>
      <w:r>
        <w:t xml:space="preserve"> 9581, 9594, 9605, paras. 26 and 52 (2017) (finding no harm to competition where applicants operate as competitive LECs, and further finding that the transaction “will expand the on-net reach of the newly combined firm resulting in a more effective and stronger competitor against larger cable and incumbent LEC competitors, among others, particularly outside of Century Link's incumbent LEC region, where it, like Level 3, operates as a competitive LEC.”).</w:t>
      </w:r>
    </w:p>
  </w:footnote>
  <w:footnote w:id="35">
    <w:p w:rsidR="00025905" w14:paraId="35BCCDFE" w14:textId="1DB36871">
      <w:pPr>
        <w:pStyle w:val="FootnoteText"/>
      </w:pPr>
      <w:r>
        <w:rPr>
          <w:rStyle w:val="FootnoteReference"/>
        </w:rPr>
        <w:footnoteRef/>
      </w:r>
      <w:r>
        <w:t xml:space="preserve"> </w:t>
      </w:r>
      <w:r w:rsidR="00337CCE">
        <w:t>Application at 8.</w:t>
      </w:r>
    </w:p>
  </w:footnote>
  <w:footnote w:id="36">
    <w:p w:rsidR="00682D96" w:rsidRPr="0096483A" w:rsidP="00682D96" w14:paraId="4FCB5291" w14:textId="43BDA6C9">
      <w:pPr>
        <w:pStyle w:val="FootnoteText"/>
      </w:pPr>
      <w:r>
        <w:rPr>
          <w:rStyle w:val="FootnoteReference"/>
        </w:rPr>
        <w:footnoteRef/>
      </w:r>
      <w:r>
        <w:t xml:space="preserve"> </w:t>
      </w:r>
      <w:r>
        <w:rPr>
          <w:i/>
        </w:rPr>
        <w:t xml:space="preserve">See </w:t>
      </w:r>
      <w:r w:rsidRPr="003720B5" w:rsidR="003720B5">
        <w:rPr>
          <w:i/>
          <w:iCs/>
        </w:rPr>
        <w:t>id</w:t>
      </w:r>
      <w:r w:rsidRPr="003720B5" w:rsidR="003720B5">
        <w:t>.</w:t>
      </w:r>
      <w:r>
        <w:t xml:space="preserve"> at </w:t>
      </w:r>
      <w:r w:rsidR="00A422EA">
        <w:t>7.</w:t>
      </w:r>
    </w:p>
  </w:footnote>
  <w:footnote w:id="37">
    <w:p w:rsidR="00682D96" w:rsidRPr="0096483A" w:rsidP="00682D96" w14:paraId="462B6C00" w14:textId="60BBA733">
      <w:pPr>
        <w:pStyle w:val="FootnoteText"/>
      </w:pPr>
      <w:r>
        <w:rPr>
          <w:rStyle w:val="FootnoteReference"/>
        </w:rPr>
        <w:footnoteRef/>
      </w:r>
      <w:r>
        <w:t xml:space="preserve"> </w:t>
      </w:r>
      <w:r>
        <w:rPr>
          <w:i/>
        </w:rPr>
        <w:t xml:space="preserve">See </w:t>
      </w:r>
      <w:r w:rsidRPr="003720B5" w:rsidR="003720B5">
        <w:rPr>
          <w:i/>
          <w:iCs/>
        </w:rPr>
        <w:t>id</w:t>
      </w:r>
      <w:r w:rsidRPr="003720B5" w:rsidR="003720B5">
        <w:t>.</w:t>
      </w:r>
      <w:r>
        <w:t xml:space="preserve"> at </w:t>
      </w:r>
      <w:r w:rsidR="00742221">
        <w:t>8</w:t>
      </w:r>
      <w:r w:rsidR="00F5736F">
        <w:t xml:space="preserve">, Attach. (Certification of Carla </w:t>
      </w:r>
      <w:r w:rsidR="00F5736F">
        <w:t>Framil</w:t>
      </w:r>
      <w:r w:rsidR="00F5736F">
        <w:t xml:space="preserve"> </w:t>
      </w:r>
      <w:r w:rsidR="00F5736F">
        <w:t>Ferran</w:t>
      </w:r>
      <w:r w:rsidR="00F5736F">
        <w:t>).</w:t>
      </w:r>
    </w:p>
  </w:footnote>
  <w:footnote w:id="38">
    <w:p w:rsidR="00682D96" w:rsidRPr="0096483A" w:rsidP="00682D96" w14:paraId="0ADB285A" w14:textId="0586989C">
      <w:pPr>
        <w:pStyle w:val="FootnoteText"/>
      </w:pPr>
      <w:r>
        <w:rPr>
          <w:rStyle w:val="FootnoteReference"/>
        </w:rPr>
        <w:footnoteRef/>
      </w:r>
      <w:r>
        <w:t xml:space="preserve"> </w:t>
      </w:r>
      <w:r>
        <w:rPr>
          <w:i/>
        </w:rPr>
        <w:t>See</w:t>
      </w:r>
      <w:r w:rsidRPr="00F5736F">
        <w:rPr>
          <w:i/>
          <w:iCs/>
        </w:rPr>
        <w:t xml:space="preserve"> </w:t>
      </w:r>
      <w:bookmarkStart w:id="8" w:name="_Hlk89646106"/>
      <w:r w:rsidRPr="00F5736F" w:rsidR="00F5736F">
        <w:rPr>
          <w:i/>
          <w:iCs/>
        </w:rPr>
        <w:t>id</w:t>
      </w:r>
      <w:r w:rsidR="00F5736F">
        <w:t>.</w:t>
      </w:r>
      <w:bookmarkEnd w:id="8"/>
      <w:r w:rsidR="009B2979">
        <w:rPr>
          <w:rFonts w:ascii="Source Sans Pro" w:hAnsi="Source Sans Pro"/>
          <w:color w:val="3D3D3D"/>
          <w:sz w:val="23"/>
          <w:szCs w:val="23"/>
          <w:shd w:val="clear" w:color="auto" w:fill="FFFFFF"/>
        </w:rPr>
        <w:t xml:space="preserve">  </w:t>
      </w:r>
    </w:p>
  </w:footnote>
  <w:footnote w:id="39">
    <w:p w:rsidR="00043FF5" w:rsidRPr="00043FF5" w14:paraId="46A94DC4" w14:textId="04518402">
      <w:pPr>
        <w:pStyle w:val="FootnoteText"/>
      </w:pPr>
      <w:r>
        <w:rPr>
          <w:rStyle w:val="FootnoteReference"/>
        </w:rPr>
        <w:footnoteRef/>
      </w:r>
      <w:r>
        <w:t xml:space="preserve"> </w:t>
      </w:r>
      <w:r>
        <w:rPr>
          <w:i/>
          <w:iCs/>
        </w:rPr>
        <w:t>Id</w:t>
      </w:r>
      <w:r>
        <w:t>. at 7.</w:t>
      </w:r>
    </w:p>
  </w:footnote>
  <w:footnote w:id="40">
    <w:p w:rsidR="007E4A79" w:rsidP="007E4A79" w14:paraId="04F17FD7" w14:textId="67F0A1CB">
      <w:pPr>
        <w:pStyle w:val="FootnoteText"/>
      </w:pPr>
      <w:r>
        <w:rPr>
          <w:rStyle w:val="FootnoteReference"/>
        </w:rPr>
        <w:footnoteRef/>
      </w:r>
      <w:r>
        <w:t xml:space="preserve"> </w:t>
      </w:r>
      <w:r w:rsidRPr="00EF1DF0">
        <w:rPr>
          <w:i/>
          <w:iCs/>
        </w:rPr>
        <w:t>See</w:t>
      </w:r>
      <w:r>
        <w:rPr>
          <w:i/>
          <w:iCs/>
        </w:rPr>
        <w:t>, e.g.</w:t>
      </w:r>
      <w:r>
        <w:t xml:space="preserve">, 47 CFR </w:t>
      </w:r>
      <w:r w:rsidRPr="00E72607">
        <w:rPr>
          <w:rFonts w:eastAsia="Calibri"/>
        </w:rPr>
        <w:t xml:space="preserve">§§ 54.313(n)-(o), 54.316(b), </w:t>
      </w:r>
      <w:r>
        <w:t xml:space="preserve">54.1509-1515; </w:t>
      </w:r>
      <w:r w:rsidRPr="00057D38">
        <w:rPr>
          <w:i/>
          <w:iCs/>
        </w:rPr>
        <w:t>Uniendo</w:t>
      </w:r>
      <w:r w:rsidRPr="00057D38">
        <w:rPr>
          <w:i/>
          <w:iCs/>
        </w:rPr>
        <w:t xml:space="preserve"> a Puerto Rico Fund and the Connect USVI Fund, Connect America Fund, ETC Annual Reports and Certifications</w:t>
      </w:r>
      <w:r>
        <w:t xml:space="preserve">, WC Docket Nos. 18-143, 10-90, 14-58, Memorandum Opinion and Order and Order on Reconsideration, 34 FCC </w:t>
      </w:r>
      <w:r>
        <w:t>Rcd</w:t>
      </w:r>
      <w:r>
        <w:t xml:space="preserve"> 9109, 174-77, paras. 133-40 (2019) (</w:t>
      </w:r>
      <w:r w:rsidRPr="00337CCE">
        <w:rPr>
          <w:i/>
          <w:iCs/>
        </w:rPr>
        <w:t xml:space="preserve">2019 Bringing Puerto Rico Together </w:t>
      </w:r>
      <w:r>
        <w:rPr>
          <w:i/>
          <w:iCs/>
        </w:rPr>
        <w:t xml:space="preserve">and Connect USVI Stage 2 </w:t>
      </w:r>
      <w:r w:rsidRPr="00337CCE">
        <w:rPr>
          <w:i/>
          <w:iCs/>
        </w:rPr>
        <w:t>Order</w:t>
      </w:r>
      <w:r>
        <w:t xml:space="preserve">) and App. B (Disaster Preparation and Response Plan) (requiring all support recipients to comply with Disaster Preparation and Response Plan and </w:t>
      </w:r>
      <w:r w:rsidR="00EE2A38">
        <w:t>DIRS</w:t>
      </w:r>
      <w:r>
        <w:t xml:space="preserve"> requirements).  Section 54.1515 of the Commission’s rules requires Bringing Puerto Rico Together and Connect USVI Fund recipients to amend their Disaster Preparation and Response Plan submitted to WCB following “any material change(s) to internal processes and responsibilities and provide the updated Disaster Preparation and Response Plan to the Bureau within 10 business days following the material change(s).”  47 CFR § 54.1515(c).</w:t>
      </w:r>
    </w:p>
  </w:footnote>
  <w:footnote w:id="41">
    <w:p w:rsidR="00A901ED" w:rsidP="00A901ED" w14:paraId="54A939C7" w14:textId="182292E9">
      <w:pPr>
        <w:pStyle w:val="FootnoteText"/>
      </w:pPr>
      <w:r>
        <w:rPr>
          <w:rStyle w:val="FootnoteReference"/>
        </w:rPr>
        <w:footnoteRef/>
      </w:r>
      <w:r>
        <w:t xml:space="preserve"> </w:t>
      </w:r>
      <w:r w:rsidRPr="001005A4">
        <w:rPr>
          <w:i/>
          <w:iCs/>
        </w:rPr>
        <w:t>See AT&amp;T/DIRECTV Order</w:t>
      </w:r>
      <w:r>
        <w:t xml:space="preserve">, 30 FCC </w:t>
      </w:r>
      <w:r>
        <w:t>Rcd</w:t>
      </w:r>
      <w:r>
        <w:t xml:space="preserve"> at 9237, para. 273-74.</w:t>
      </w:r>
    </w:p>
  </w:footnote>
  <w:footnote w:id="42">
    <w:p w:rsidR="00A901ED" w:rsidP="00A901ED" w14:paraId="7B1A5EA8" w14:textId="77777777">
      <w:pPr>
        <w:pStyle w:val="FootnoteText"/>
      </w:pPr>
      <w:r>
        <w:rPr>
          <w:rStyle w:val="FootnoteReference"/>
        </w:rPr>
        <w:footnoteRef/>
      </w:r>
      <w:r>
        <w:t xml:space="preserve"> </w:t>
      </w:r>
      <w:r w:rsidRPr="00907911">
        <w:rPr>
          <w:i/>
          <w:iCs/>
        </w:rPr>
        <w:t>See id</w:t>
      </w:r>
      <w:r>
        <w:t xml:space="preserve">. </w:t>
      </w:r>
      <w:r w:rsidRPr="00907911">
        <w:t>at</w:t>
      </w:r>
      <w:r>
        <w:t xml:space="preserve"> 9237-38, paras. 275-76.</w:t>
      </w:r>
    </w:p>
  </w:footnote>
  <w:footnote w:id="43">
    <w:p w:rsidR="00A901ED" w:rsidP="00A901ED" w14:paraId="3DAE4B4B" w14:textId="77777777">
      <w:pPr>
        <w:pStyle w:val="FootnoteText"/>
      </w:pPr>
      <w:r>
        <w:rPr>
          <w:rStyle w:val="FootnoteReference"/>
        </w:rPr>
        <w:footnoteRef/>
      </w:r>
      <w:r>
        <w:t xml:space="preserve"> </w:t>
      </w:r>
      <w:r w:rsidRPr="001005A4">
        <w:rPr>
          <w:i/>
          <w:iCs/>
        </w:rPr>
        <w:t xml:space="preserve">See </w:t>
      </w:r>
      <w:r>
        <w:rPr>
          <w:i/>
          <w:iCs/>
        </w:rPr>
        <w:t>id</w:t>
      </w:r>
      <w:r>
        <w:t>.</w:t>
      </w:r>
    </w:p>
  </w:footnote>
  <w:footnote w:id="44">
    <w:p w:rsidR="00B33C83" w:rsidP="00B33C83" w14:paraId="6BCA5A74" w14:textId="25B8D158">
      <w:pPr>
        <w:pStyle w:val="FootnoteText"/>
      </w:pPr>
      <w:r>
        <w:rPr>
          <w:rStyle w:val="FootnoteReference"/>
        </w:rPr>
        <w:footnoteRef/>
      </w:r>
      <w:r>
        <w:t xml:space="preserve"> </w:t>
      </w:r>
      <w:r w:rsidR="00F5088D">
        <w:t xml:space="preserve">Application </w:t>
      </w:r>
      <w:r>
        <w:t>at 2</w:t>
      </w:r>
      <w:r w:rsidR="0076309F">
        <w:t xml:space="preserve">; </w:t>
      </w:r>
      <w:r w:rsidRPr="0076309F" w:rsidR="0076309F">
        <w:rPr>
          <w:i/>
          <w:iCs/>
        </w:rPr>
        <w:t>see</w:t>
      </w:r>
      <w:r w:rsidR="0076309F">
        <w:t xml:space="preserve"> </w:t>
      </w:r>
      <w:r w:rsidR="0076309F">
        <w:rPr>
          <w:i/>
          <w:iCs/>
        </w:rPr>
        <w:t>i</w:t>
      </w:r>
      <w:r w:rsidRPr="009F780C" w:rsidR="0076309F">
        <w:rPr>
          <w:i/>
          <w:iCs/>
        </w:rPr>
        <w:t>d.</w:t>
      </w:r>
      <w:r w:rsidR="0076309F">
        <w:t xml:space="preserve"> at 7 (</w:t>
      </w:r>
      <w:r w:rsidRPr="007F2E5D" w:rsidR="0076309F">
        <w:rPr>
          <w:bCs/>
          <w:szCs w:val="22"/>
        </w:rPr>
        <w:t>stat</w:t>
      </w:r>
      <w:r w:rsidR="0076309F">
        <w:rPr>
          <w:bCs/>
          <w:szCs w:val="22"/>
        </w:rPr>
        <w:t>ing</w:t>
      </w:r>
      <w:r w:rsidRPr="007F2E5D" w:rsidR="0076309F">
        <w:rPr>
          <w:bCs/>
          <w:szCs w:val="22"/>
        </w:rPr>
        <w:t xml:space="preserve"> that the proposed transaction will provide BBVI access to capital from Liberty’s substantial financial resources, and that “as a result of this infusion of capital, BBVI will be well positioned to accelerate the network construction and deployment of the [Connect] USVI Fund fiber network that will make voice and Gigabit broadband available to all 46,039 locations in the U.S. Virgin Islands by the end of 2027, as required by Stage 2 of the [Connect] USVI Fund program.”</w:t>
      </w:r>
      <w:r w:rsidR="0076309F">
        <w:rPr>
          <w:bCs/>
          <w:szCs w:val="22"/>
        </w:rPr>
        <w:t>), 8 (stating</w:t>
      </w:r>
      <w:r w:rsidRPr="007F2E5D" w:rsidR="0076309F">
        <w:rPr>
          <w:bCs/>
          <w:szCs w:val="22"/>
        </w:rPr>
        <w:t xml:space="preserve"> that Liberty “has extensive operational experience and managerial capabilities and resources, which will help steer BBVI’s service enhancements and expansion, including in connection with BBVI’s existing fixed wireless broadband network and deployment of the planned fiber network.”</w:t>
      </w:r>
      <w:r w:rsidR="0076309F">
        <w:rPr>
          <w:bCs/>
          <w:szCs w:val="22"/>
        </w:rPr>
        <w:t>).</w:t>
      </w:r>
    </w:p>
  </w:footnote>
  <w:footnote w:id="45">
    <w:p w:rsidR="0076309F" w:rsidP="0076309F" w14:paraId="0BC73B88" w14:textId="77777777">
      <w:pPr>
        <w:pStyle w:val="FootnoteText"/>
      </w:pPr>
      <w:r>
        <w:rPr>
          <w:rStyle w:val="FootnoteReference"/>
        </w:rPr>
        <w:footnoteRef/>
      </w:r>
      <w:r>
        <w:t xml:space="preserve"> </w:t>
      </w:r>
      <w:r w:rsidRPr="00B83976">
        <w:rPr>
          <w:i/>
          <w:iCs/>
        </w:rPr>
        <w:t>See</w:t>
      </w:r>
      <w:r>
        <w:rPr>
          <w:i/>
          <w:iCs/>
        </w:rPr>
        <w:t>, e.g.</w:t>
      </w:r>
      <w:r w:rsidRPr="003A6B1D">
        <w:t xml:space="preserve">, </w:t>
      </w:r>
      <w:r w:rsidRPr="00B83976">
        <w:rPr>
          <w:i/>
          <w:iCs/>
        </w:rPr>
        <w:t>AT&amp;T-DIRECTV Order</w:t>
      </w:r>
      <w:r w:rsidRPr="00B83976">
        <w:rPr>
          <w:iCs/>
        </w:rPr>
        <w:t xml:space="preserve">, </w:t>
      </w:r>
      <w:r w:rsidRPr="00B83976">
        <w:t xml:space="preserve">30 </w:t>
      </w:r>
      <w:r w:rsidRPr="00B83976">
        <w:rPr>
          <w:iCs/>
        </w:rPr>
        <w:t xml:space="preserve">FCC </w:t>
      </w:r>
      <w:r w:rsidRPr="00B83976">
        <w:rPr>
          <w:iCs/>
        </w:rPr>
        <w:t>Rcd</w:t>
      </w:r>
      <w:r w:rsidRPr="00B83976">
        <w:rPr>
          <w:iCs/>
        </w:rPr>
        <w:t xml:space="preserve"> at 9140, para. 19</w:t>
      </w:r>
      <w:r>
        <w:rPr>
          <w:iCs/>
        </w:rPr>
        <w:t>.</w:t>
      </w:r>
    </w:p>
  </w:footnote>
  <w:footnote w:id="46">
    <w:p w:rsidR="0076309F" w:rsidRPr="00B83976" w:rsidP="0076309F" w14:paraId="754390EB" w14:textId="629BF906">
      <w:pPr>
        <w:pStyle w:val="FootnoteText"/>
      </w:pPr>
      <w:r w:rsidRPr="00B83976">
        <w:rPr>
          <w:rStyle w:val="FootnoteReference"/>
        </w:rPr>
        <w:footnoteRef/>
      </w:r>
      <w:r w:rsidRPr="00B83976">
        <w:t xml:space="preserve"> </w:t>
      </w:r>
      <w:r>
        <w:rPr>
          <w:i/>
        </w:rPr>
        <w:t>See Verizon-TracFone Order</w:t>
      </w:r>
      <w:r>
        <w:rPr>
          <w:iCs/>
        </w:rPr>
        <w:t xml:space="preserve"> at para. 22 (citing </w:t>
      </w:r>
      <w:r w:rsidRPr="00B83976">
        <w:t>47 U.S.C. §§ 254, 332(c)(7), 1302; Telecommunications Act of 1996, Preamble, Pub. L. No. 104-104, 110 Stat. 56 (1996) (one purpose of the Act is to “accelerate rapidly private sector deployment of advanced telecommunications and information technologies and services”)</w:t>
      </w:r>
      <w:r>
        <w:t>)</w:t>
      </w:r>
      <w:r w:rsidRPr="00B83976">
        <w:t>.</w:t>
      </w:r>
      <w:r w:rsidR="00F656F4">
        <w:t xml:space="preserve">  The Commis</w:t>
      </w:r>
      <w:r w:rsidR="00FE16FD">
        <w:t>sion</w:t>
      </w:r>
      <w:r w:rsidR="00F656F4">
        <w:t xml:space="preserve"> has stated that it exp</w:t>
      </w:r>
      <w:r w:rsidR="00FE16FD">
        <w:t>e</w:t>
      </w:r>
      <w:r w:rsidR="00F656F4">
        <w:t xml:space="preserve">cts </w:t>
      </w:r>
      <w:r w:rsidR="00FE16FD">
        <w:t xml:space="preserve">universal service funding, combined with private investment by providers, to help ensure that broadband is deployed on a reasonable and timely basis for residents of the U.S. Virgin Islands and that it remains deployed following future dangerous storms.  </w:t>
      </w:r>
      <w:bookmarkStart w:id="9" w:name="_Hlk89690812"/>
      <w:r w:rsidRPr="00057D38" w:rsidR="009145C5">
        <w:rPr>
          <w:i/>
          <w:iCs/>
        </w:rPr>
        <w:t xml:space="preserve">2019 Bringing Puerto Rico Together </w:t>
      </w:r>
      <w:r w:rsidR="009145C5">
        <w:rPr>
          <w:i/>
          <w:iCs/>
        </w:rPr>
        <w:t xml:space="preserve">and Connect USVI Stage 2 </w:t>
      </w:r>
      <w:r w:rsidRPr="00057D38" w:rsidR="009145C5">
        <w:rPr>
          <w:i/>
          <w:iCs/>
        </w:rPr>
        <w:t>Order</w:t>
      </w:r>
      <w:r w:rsidR="00FE16FD">
        <w:t xml:space="preserve">, 34 FCC </w:t>
      </w:r>
      <w:r w:rsidR="00FE16FD">
        <w:t>Rcd</w:t>
      </w:r>
      <w:r w:rsidR="00FE16FD">
        <w:t xml:space="preserve"> </w:t>
      </w:r>
      <w:r w:rsidR="009145C5">
        <w:t xml:space="preserve">at </w:t>
      </w:r>
      <w:r w:rsidR="00FE16FD">
        <w:t xml:space="preserve"> 9110, para. 3</w:t>
      </w:r>
      <w:bookmarkEnd w:id="9"/>
      <w:r w:rsidR="00FE16FD">
        <w:t xml:space="preserve">.   </w:t>
      </w:r>
    </w:p>
  </w:footnote>
  <w:footnote w:id="47">
    <w:p w:rsidR="00246575" w:rsidP="00246575" w14:paraId="5573664C" w14:textId="77777777">
      <w:pPr>
        <w:pStyle w:val="FootnoteText"/>
      </w:pPr>
      <w:r>
        <w:rPr>
          <w:rStyle w:val="FootnoteReference"/>
        </w:rPr>
        <w:footnoteRef/>
      </w:r>
      <w:r>
        <w:t xml:space="preserve"> </w:t>
      </w:r>
      <w:r>
        <w:t>Application at 7 (listing fiber upgrades Liberty has undertaken in the Caribbean).</w:t>
      </w:r>
    </w:p>
  </w:footnote>
  <w:footnote w:id="48">
    <w:p w:rsidR="00246575" w:rsidRPr="00043FF5" w:rsidP="00246575" w14:paraId="472859C3" w14:textId="77777777">
      <w:pPr>
        <w:pStyle w:val="FootnoteText"/>
      </w:pPr>
      <w:r>
        <w:rPr>
          <w:rStyle w:val="FootnoteReference"/>
        </w:rPr>
        <w:footnoteRef/>
      </w:r>
      <w:r>
        <w:t xml:space="preserve"> </w:t>
      </w:r>
      <w:r>
        <w:rPr>
          <w:i/>
          <w:iCs/>
        </w:rPr>
        <w:t>Id</w:t>
      </w:r>
      <w:r>
        <w:t>. at 6, 8.</w:t>
      </w:r>
    </w:p>
  </w:footnote>
  <w:footnote w:id="49">
    <w:p w:rsidR="00023EE2" w:rsidRPr="000B01F0" w:rsidP="000B01F0" w14:paraId="6236ADB7" w14:textId="4E232845">
      <w:pPr>
        <w:rPr>
          <w:snapToGrid/>
          <w:kern w:val="0"/>
        </w:rPr>
      </w:pPr>
      <w:r w:rsidRPr="00F4366C">
        <w:rPr>
          <w:rStyle w:val="FootnoteReference"/>
          <w:sz w:val="20"/>
        </w:rPr>
        <w:footnoteRef/>
      </w:r>
      <w:r w:rsidR="006813E7">
        <w:rPr>
          <w:color w:val="000000" w:themeColor="text1"/>
        </w:rPr>
        <w:t xml:space="preserve"> </w:t>
      </w:r>
      <w:r w:rsidRPr="006813E7" w:rsidR="006813E7">
        <w:rPr>
          <w:snapToGrid/>
          <w:kern w:val="0"/>
          <w:sz w:val="20"/>
        </w:rPr>
        <w:t>W</w:t>
      </w:r>
      <w:r w:rsidRPr="006813E7">
        <w:rPr>
          <w:snapToGrid/>
          <w:kern w:val="0"/>
          <w:sz w:val="20"/>
        </w:rPr>
        <w:t>e direct Applicants to submit</w:t>
      </w:r>
      <w:r w:rsidRPr="006813E7" w:rsidR="006813E7">
        <w:rPr>
          <w:snapToGrid/>
          <w:kern w:val="0"/>
          <w:sz w:val="20"/>
        </w:rPr>
        <w:t>,</w:t>
      </w:r>
      <w:r w:rsidRPr="006813E7">
        <w:rPr>
          <w:snapToGrid/>
          <w:kern w:val="0"/>
          <w:sz w:val="20"/>
        </w:rPr>
        <w:t xml:space="preserve"> </w:t>
      </w:r>
      <w:r w:rsidRPr="006813E7" w:rsidR="006813E7">
        <w:rPr>
          <w:snapToGrid/>
          <w:kern w:val="0"/>
          <w:sz w:val="20"/>
        </w:rPr>
        <w:t xml:space="preserve">within 30 days of closing the proposed transaction, </w:t>
      </w:r>
      <w:r w:rsidRPr="006813E7">
        <w:rPr>
          <w:snapToGrid/>
          <w:kern w:val="0"/>
          <w:sz w:val="20"/>
        </w:rPr>
        <w:t xml:space="preserve">a notice </w:t>
      </w:r>
      <w:r w:rsidRPr="006813E7" w:rsidR="006813E7">
        <w:rPr>
          <w:snapToGrid/>
          <w:kern w:val="0"/>
          <w:sz w:val="20"/>
        </w:rPr>
        <w:t>in WC Docket No. 21-</w:t>
      </w:r>
      <w:r w:rsidR="00660750">
        <w:rPr>
          <w:snapToGrid/>
          <w:kern w:val="0"/>
          <w:sz w:val="20"/>
        </w:rPr>
        <w:t>386</w:t>
      </w:r>
      <w:r w:rsidRPr="006813E7" w:rsidR="006813E7">
        <w:rPr>
          <w:snapToGrid/>
          <w:kern w:val="0"/>
          <w:sz w:val="20"/>
        </w:rPr>
        <w:t xml:space="preserve"> </w:t>
      </w:r>
      <w:r w:rsidRPr="006813E7">
        <w:rPr>
          <w:snapToGrid/>
          <w:kern w:val="0"/>
          <w:sz w:val="20"/>
        </w:rPr>
        <w:t>that the proposed transaction has closed with the consummation date, and also provide a courtesy copy of the notice to </w:t>
      </w:r>
      <w:hyperlink r:id="rId1" w:history="1">
        <w:r w:rsidRPr="006813E7" w:rsidR="006813E7">
          <w:rPr>
            <w:snapToGrid/>
            <w:kern w:val="0"/>
            <w:sz w:val="20"/>
          </w:rPr>
          <w:t>hcinfo@usac.org</w:t>
        </w:r>
      </w:hyperlink>
      <w:r w:rsidRPr="006813E7">
        <w:rPr>
          <w:snapToGrid/>
          <w:kern w:val="0"/>
          <w:sz w:val="20"/>
        </w:rPr>
        <w:t>.</w:t>
      </w:r>
      <w:r w:rsidRPr="006813E7" w:rsidR="006813E7">
        <w:rPr>
          <w:snapToGrid/>
          <w:kern w:val="0"/>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RPr="009838BC" w:rsidP="009838BC" w14:paraId="091CA6E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RPr="00A866AC" w:rsidP="009838BC" w14:paraId="0520FF58"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475AE7" w:rsidP="009838BC" w14:textId="77777777">
                          <w:pPr>
                            <w:rPr>
                              <w:rFonts w:ascii="Arial" w:hAnsi="Arial"/>
                              <w:b/>
                            </w:rPr>
                          </w:pPr>
                          <w:r>
                            <w:rPr>
                              <w:rFonts w:ascii="Arial" w:hAnsi="Arial"/>
                              <w:b/>
                            </w:rPr>
                            <w:t>Federal Communications Commission</w:t>
                          </w:r>
                        </w:p>
                        <w:p w:rsidR="00475AE7" w:rsidP="009838BC" w14:textId="77777777">
                          <w:pPr>
                            <w:rPr>
                              <w:rFonts w:ascii="Arial" w:hAnsi="Arial"/>
                              <w:b/>
                            </w:rPr>
                          </w:pPr>
                          <w:r>
                            <w:rPr>
                              <w:rFonts w:ascii="Arial" w:hAnsi="Arial"/>
                              <w:b/>
                            </w:rPr>
                            <w:t>45 L St., N.E.</w:t>
                          </w:r>
                        </w:p>
                        <w:p w:rsidR="00475AE7"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475AE7" w:rsidP="009838BC" w14:paraId="21A4A4CD" w14:textId="77777777">
                    <w:pPr>
                      <w:rPr>
                        <w:rFonts w:ascii="Arial" w:hAnsi="Arial"/>
                        <w:b/>
                      </w:rPr>
                    </w:pPr>
                    <w:r>
                      <w:rPr>
                        <w:rFonts w:ascii="Arial" w:hAnsi="Arial"/>
                        <w:b/>
                      </w:rPr>
                      <w:t>Federal Communications Commission</w:t>
                    </w:r>
                  </w:p>
                  <w:p w:rsidR="00475AE7" w:rsidP="009838BC" w14:paraId="4453238A" w14:textId="77777777">
                    <w:pPr>
                      <w:rPr>
                        <w:rFonts w:ascii="Arial" w:hAnsi="Arial"/>
                        <w:b/>
                      </w:rPr>
                    </w:pPr>
                    <w:r>
                      <w:rPr>
                        <w:rFonts w:ascii="Arial" w:hAnsi="Arial"/>
                        <w:b/>
                      </w:rPr>
                      <w:t>45 L St., N.E.</w:t>
                    </w:r>
                  </w:p>
                  <w:p w:rsidR="00475AE7" w:rsidP="009838BC" w14:paraId="44874185"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75796D0F" w:rsidR="0085777F">
      <w:rPr>
        <w:rFonts w:ascii="Arial" w:hAnsi="Arial" w:cs="Arial"/>
        <w:b/>
        <w:bCs/>
        <w:sz w:val="96"/>
        <w:szCs w:val="96"/>
      </w:rPr>
      <w:t>PUBLIC NOTICE</w:t>
    </w:r>
  </w:p>
  <w:p w:rsidR="00475AE7" w:rsidRPr="00357D50" w:rsidP="009838BC" w14:paraId="5DF084F2"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475AE7" w:rsidP="009838BC" w14:textId="77777777">
                          <w:pPr>
                            <w:spacing w:before="40"/>
                            <w:jc w:val="right"/>
                            <w:rPr>
                              <w:rFonts w:ascii="Arial" w:hAnsi="Arial"/>
                              <w:b/>
                              <w:sz w:val="16"/>
                            </w:rPr>
                          </w:pPr>
                          <w:r>
                            <w:rPr>
                              <w:rFonts w:ascii="Arial" w:hAnsi="Arial"/>
                              <w:b/>
                              <w:sz w:val="16"/>
                            </w:rPr>
                            <w:t>News Media Information 202 / 418-0500</w:t>
                          </w:r>
                        </w:p>
                        <w:p w:rsidR="00475AE7" w:rsidP="009838BC" w14:textId="77777777">
                          <w:pPr>
                            <w:jc w:val="right"/>
                            <w:rPr>
                              <w:rFonts w:ascii="Arial" w:hAnsi="Arial"/>
                              <w:b/>
                              <w:sz w:val="16"/>
                            </w:rPr>
                          </w:pPr>
                          <w:r>
                            <w:rPr>
                              <w:rFonts w:ascii="Arial" w:hAnsi="Arial"/>
                              <w:b/>
                              <w:sz w:val="16"/>
                            </w:rPr>
                            <w:t xml:space="preserve">Internet: </w:t>
                          </w:r>
                          <w:bookmarkStart w:id="15" w:name="_Hlt233824"/>
                          <w:hyperlink r:id="rId2" w:history="1">
                            <w:r w:rsidRPr="00D216CD">
                              <w:rPr>
                                <w:rStyle w:val="Hyperlink"/>
                                <w:rFonts w:ascii="Arial" w:hAnsi="Arial"/>
                                <w:b/>
                                <w:sz w:val="16"/>
                              </w:rPr>
                              <w:t>h</w:t>
                            </w:r>
                            <w:bookmarkEnd w:id="15"/>
                            <w:r w:rsidRPr="00D216CD">
                              <w:rPr>
                                <w:rStyle w:val="Hyperlink"/>
                                <w:rFonts w:ascii="Arial" w:hAnsi="Arial"/>
                                <w:b/>
                                <w:sz w:val="16"/>
                              </w:rPr>
                              <w:t>ttps://www.fcc.gov</w:t>
                            </w:r>
                          </w:hyperlink>
                        </w:p>
                        <w:p w:rsidR="00475AE7" w:rsidP="009838B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475AE7" w:rsidP="009838BC" w14:paraId="7BA3E3A8" w14:textId="77777777">
                    <w:pPr>
                      <w:spacing w:before="40"/>
                      <w:jc w:val="right"/>
                      <w:rPr>
                        <w:rFonts w:ascii="Arial" w:hAnsi="Arial"/>
                        <w:b/>
                        <w:sz w:val="16"/>
                      </w:rPr>
                    </w:pPr>
                    <w:r>
                      <w:rPr>
                        <w:rFonts w:ascii="Arial" w:hAnsi="Arial"/>
                        <w:b/>
                        <w:sz w:val="16"/>
                      </w:rPr>
                      <w:t>News Media Information 202 / 418-0500</w:t>
                    </w:r>
                  </w:p>
                  <w:p w:rsidR="00475AE7" w:rsidP="009838BC" w14:paraId="5961A55B" w14:textId="77777777">
                    <w:pPr>
                      <w:jc w:val="right"/>
                      <w:rPr>
                        <w:rFonts w:ascii="Arial" w:hAnsi="Arial"/>
                        <w:b/>
                        <w:sz w:val="16"/>
                      </w:rPr>
                    </w:pPr>
                    <w:r>
                      <w:rPr>
                        <w:rFonts w:ascii="Arial" w:hAnsi="Arial"/>
                        <w:b/>
                        <w:sz w:val="16"/>
                      </w:rPr>
                      <w:t xml:space="preserve">Internet: </w:t>
                    </w:r>
                    <w:bookmarkStart w:id="15" w:name="_Hlt233824"/>
                    <w:hyperlink r:id="rId2" w:history="1">
                      <w:r w:rsidRPr="00D216CD">
                        <w:rPr>
                          <w:rStyle w:val="Hyperlink"/>
                          <w:rFonts w:ascii="Arial" w:hAnsi="Arial"/>
                          <w:b/>
                          <w:sz w:val="16"/>
                        </w:rPr>
                        <w:t>h</w:t>
                      </w:r>
                      <w:bookmarkEnd w:id="15"/>
                      <w:r w:rsidRPr="00D216CD">
                        <w:rPr>
                          <w:rStyle w:val="Hyperlink"/>
                          <w:rFonts w:ascii="Arial" w:hAnsi="Arial"/>
                          <w:b/>
                          <w:sz w:val="16"/>
                        </w:rPr>
                        <w:t>ttps://www.fcc.gov</w:t>
                      </w:r>
                    </w:hyperlink>
                  </w:p>
                  <w:p w:rsidR="00475AE7" w:rsidP="009838BC" w14:paraId="121181AF" w14:textId="77777777">
                    <w:pPr>
                      <w:jc w:val="right"/>
                    </w:pPr>
                  </w:p>
                </w:txbxContent>
              </v:textbox>
            </v:shape>
          </w:pict>
        </mc:Fallback>
      </mc:AlternateContent>
    </w:r>
  </w:p>
  <w:p w:rsidR="00475AE7" w:rsidRPr="009838BC" w:rsidP="009838BC" w14:paraId="6F2917A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891219A"/>
    <w:multiLevelType w:val="hybridMultilevel"/>
    <w:tmpl w:val="2D2420CE"/>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FA"/>
    <w:rsid w:val="000009A3"/>
    <w:rsid w:val="00002230"/>
    <w:rsid w:val="000025FE"/>
    <w:rsid w:val="00003905"/>
    <w:rsid w:val="00005C82"/>
    <w:rsid w:val="000072CE"/>
    <w:rsid w:val="000109B1"/>
    <w:rsid w:val="00011ED7"/>
    <w:rsid w:val="00013A8B"/>
    <w:rsid w:val="000157A9"/>
    <w:rsid w:val="00016BF1"/>
    <w:rsid w:val="00021252"/>
    <w:rsid w:val="00021445"/>
    <w:rsid w:val="00023E9D"/>
    <w:rsid w:val="00023EE2"/>
    <w:rsid w:val="0002579D"/>
    <w:rsid w:val="00025905"/>
    <w:rsid w:val="000326B7"/>
    <w:rsid w:val="00033AD2"/>
    <w:rsid w:val="00036039"/>
    <w:rsid w:val="00037F90"/>
    <w:rsid w:val="00040D06"/>
    <w:rsid w:val="000418EE"/>
    <w:rsid w:val="00043FF5"/>
    <w:rsid w:val="00044FC2"/>
    <w:rsid w:val="0004637E"/>
    <w:rsid w:val="000505D6"/>
    <w:rsid w:val="00052C36"/>
    <w:rsid w:val="00052D7C"/>
    <w:rsid w:val="000578D9"/>
    <w:rsid w:val="00057D38"/>
    <w:rsid w:val="000630A2"/>
    <w:rsid w:val="0006453A"/>
    <w:rsid w:val="000654FE"/>
    <w:rsid w:val="00065885"/>
    <w:rsid w:val="00070000"/>
    <w:rsid w:val="0007304F"/>
    <w:rsid w:val="000778AF"/>
    <w:rsid w:val="000875BF"/>
    <w:rsid w:val="00090879"/>
    <w:rsid w:val="000929A6"/>
    <w:rsid w:val="00093575"/>
    <w:rsid w:val="00095E72"/>
    <w:rsid w:val="00096D8C"/>
    <w:rsid w:val="000A15E0"/>
    <w:rsid w:val="000A43AA"/>
    <w:rsid w:val="000A715F"/>
    <w:rsid w:val="000A719C"/>
    <w:rsid w:val="000B01F0"/>
    <w:rsid w:val="000B1EFD"/>
    <w:rsid w:val="000B206F"/>
    <w:rsid w:val="000B3A1F"/>
    <w:rsid w:val="000B5082"/>
    <w:rsid w:val="000B5D03"/>
    <w:rsid w:val="000B6581"/>
    <w:rsid w:val="000B7562"/>
    <w:rsid w:val="000C0B65"/>
    <w:rsid w:val="000C0E52"/>
    <w:rsid w:val="000C43BA"/>
    <w:rsid w:val="000C5DEF"/>
    <w:rsid w:val="000C67E7"/>
    <w:rsid w:val="000D50EB"/>
    <w:rsid w:val="000D5BC1"/>
    <w:rsid w:val="000D7CAA"/>
    <w:rsid w:val="000E1A64"/>
    <w:rsid w:val="000E340C"/>
    <w:rsid w:val="000E3D42"/>
    <w:rsid w:val="000E5884"/>
    <w:rsid w:val="000E6601"/>
    <w:rsid w:val="000F248A"/>
    <w:rsid w:val="000F3EAA"/>
    <w:rsid w:val="000F4C4E"/>
    <w:rsid w:val="000F652F"/>
    <w:rsid w:val="000F70F5"/>
    <w:rsid w:val="000F7336"/>
    <w:rsid w:val="000F7AFB"/>
    <w:rsid w:val="001005A4"/>
    <w:rsid w:val="00103CFD"/>
    <w:rsid w:val="001050B1"/>
    <w:rsid w:val="001073A5"/>
    <w:rsid w:val="00107713"/>
    <w:rsid w:val="001137A6"/>
    <w:rsid w:val="00114C73"/>
    <w:rsid w:val="00114E09"/>
    <w:rsid w:val="00116C3F"/>
    <w:rsid w:val="00122BD5"/>
    <w:rsid w:val="0012361D"/>
    <w:rsid w:val="00125C60"/>
    <w:rsid w:val="001265C3"/>
    <w:rsid w:val="00132378"/>
    <w:rsid w:val="0013301F"/>
    <w:rsid w:val="001330FF"/>
    <w:rsid w:val="00135F54"/>
    <w:rsid w:val="00136137"/>
    <w:rsid w:val="001415BA"/>
    <w:rsid w:val="00143076"/>
    <w:rsid w:val="00144A2D"/>
    <w:rsid w:val="001539F3"/>
    <w:rsid w:val="001541A8"/>
    <w:rsid w:val="00154EB8"/>
    <w:rsid w:val="00161259"/>
    <w:rsid w:val="00164F1D"/>
    <w:rsid w:val="00164FFA"/>
    <w:rsid w:val="00170F41"/>
    <w:rsid w:val="00171F2B"/>
    <w:rsid w:val="00176139"/>
    <w:rsid w:val="001807A4"/>
    <w:rsid w:val="00181174"/>
    <w:rsid w:val="00181795"/>
    <w:rsid w:val="00183949"/>
    <w:rsid w:val="001856A8"/>
    <w:rsid w:val="001975FA"/>
    <w:rsid w:val="001979D9"/>
    <w:rsid w:val="001A0E9C"/>
    <w:rsid w:val="001A312A"/>
    <w:rsid w:val="001A3A79"/>
    <w:rsid w:val="001A6361"/>
    <w:rsid w:val="001A7655"/>
    <w:rsid w:val="001B158F"/>
    <w:rsid w:val="001B7D51"/>
    <w:rsid w:val="001C4655"/>
    <w:rsid w:val="001C6F20"/>
    <w:rsid w:val="001D052E"/>
    <w:rsid w:val="001D0A43"/>
    <w:rsid w:val="001D6BCF"/>
    <w:rsid w:val="001E01CA"/>
    <w:rsid w:val="001E397D"/>
    <w:rsid w:val="001E410D"/>
    <w:rsid w:val="001F1CB2"/>
    <w:rsid w:val="001F1FC6"/>
    <w:rsid w:val="001F1FF1"/>
    <w:rsid w:val="001F3582"/>
    <w:rsid w:val="001F5903"/>
    <w:rsid w:val="001F731B"/>
    <w:rsid w:val="001F795B"/>
    <w:rsid w:val="002025E9"/>
    <w:rsid w:val="002027F0"/>
    <w:rsid w:val="00203604"/>
    <w:rsid w:val="00203A09"/>
    <w:rsid w:val="002049B9"/>
    <w:rsid w:val="00204D99"/>
    <w:rsid w:val="002060D9"/>
    <w:rsid w:val="00206137"/>
    <w:rsid w:val="002078DE"/>
    <w:rsid w:val="00207939"/>
    <w:rsid w:val="00215AF2"/>
    <w:rsid w:val="0021655B"/>
    <w:rsid w:val="00224DB8"/>
    <w:rsid w:val="0022664E"/>
    <w:rsid w:val="00226822"/>
    <w:rsid w:val="00227E61"/>
    <w:rsid w:val="00230331"/>
    <w:rsid w:val="002334CD"/>
    <w:rsid w:val="00240A9F"/>
    <w:rsid w:val="00242F44"/>
    <w:rsid w:val="00243092"/>
    <w:rsid w:val="00245087"/>
    <w:rsid w:val="002456F6"/>
    <w:rsid w:val="00246575"/>
    <w:rsid w:val="0025072B"/>
    <w:rsid w:val="0025082C"/>
    <w:rsid w:val="00252AB1"/>
    <w:rsid w:val="00253923"/>
    <w:rsid w:val="00254E19"/>
    <w:rsid w:val="002557CC"/>
    <w:rsid w:val="00256D48"/>
    <w:rsid w:val="002572DC"/>
    <w:rsid w:val="00260594"/>
    <w:rsid w:val="002610EC"/>
    <w:rsid w:val="00264313"/>
    <w:rsid w:val="00265992"/>
    <w:rsid w:val="00273BAD"/>
    <w:rsid w:val="00276C04"/>
    <w:rsid w:val="00280975"/>
    <w:rsid w:val="00281B21"/>
    <w:rsid w:val="00285017"/>
    <w:rsid w:val="00285BEB"/>
    <w:rsid w:val="00286468"/>
    <w:rsid w:val="00290BBA"/>
    <w:rsid w:val="002979E3"/>
    <w:rsid w:val="002A03DD"/>
    <w:rsid w:val="002A11B4"/>
    <w:rsid w:val="002A2D2E"/>
    <w:rsid w:val="002A6D6A"/>
    <w:rsid w:val="002B0207"/>
    <w:rsid w:val="002B0351"/>
    <w:rsid w:val="002B4C9C"/>
    <w:rsid w:val="002B54FB"/>
    <w:rsid w:val="002B7763"/>
    <w:rsid w:val="002C1AF9"/>
    <w:rsid w:val="002C3ECE"/>
    <w:rsid w:val="002C5846"/>
    <w:rsid w:val="002D1435"/>
    <w:rsid w:val="002D2146"/>
    <w:rsid w:val="002D447E"/>
    <w:rsid w:val="002D6286"/>
    <w:rsid w:val="002D62DD"/>
    <w:rsid w:val="002D7A48"/>
    <w:rsid w:val="002D7CCE"/>
    <w:rsid w:val="002E5941"/>
    <w:rsid w:val="002F2339"/>
    <w:rsid w:val="002F4819"/>
    <w:rsid w:val="002F7221"/>
    <w:rsid w:val="00306D00"/>
    <w:rsid w:val="00307030"/>
    <w:rsid w:val="0031328E"/>
    <w:rsid w:val="003231F8"/>
    <w:rsid w:val="0032799C"/>
    <w:rsid w:val="00327A84"/>
    <w:rsid w:val="00333030"/>
    <w:rsid w:val="0033308B"/>
    <w:rsid w:val="00334D34"/>
    <w:rsid w:val="00337CCE"/>
    <w:rsid w:val="00337EDD"/>
    <w:rsid w:val="00343749"/>
    <w:rsid w:val="00344102"/>
    <w:rsid w:val="00351B89"/>
    <w:rsid w:val="00351E93"/>
    <w:rsid w:val="00353A57"/>
    <w:rsid w:val="00353EAF"/>
    <w:rsid w:val="00357D50"/>
    <w:rsid w:val="003602FC"/>
    <w:rsid w:val="003609F7"/>
    <w:rsid w:val="00366291"/>
    <w:rsid w:val="003720B5"/>
    <w:rsid w:val="00376E27"/>
    <w:rsid w:val="00377C00"/>
    <w:rsid w:val="00377F86"/>
    <w:rsid w:val="003816CE"/>
    <w:rsid w:val="00381FE8"/>
    <w:rsid w:val="00385229"/>
    <w:rsid w:val="0038758C"/>
    <w:rsid w:val="00387EAB"/>
    <w:rsid w:val="003925DC"/>
    <w:rsid w:val="003942C1"/>
    <w:rsid w:val="00395CFE"/>
    <w:rsid w:val="00395F38"/>
    <w:rsid w:val="0039668F"/>
    <w:rsid w:val="00396E41"/>
    <w:rsid w:val="003A1093"/>
    <w:rsid w:val="003A2F1B"/>
    <w:rsid w:val="003A3B46"/>
    <w:rsid w:val="003A3FC6"/>
    <w:rsid w:val="003A49D1"/>
    <w:rsid w:val="003A67F6"/>
    <w:rsid w:val="003A6B1D"/>
    <w:rsid w:val="003B0550"/>
    <w:rsid w:val="003B06B7"/>
    <w:rsid w:val="003B18C4"/>
    <w:rsid w:val="003B28FF"/>
    <w:rsid w:val="003B366F"/>
    <w:rsid w:val="003B694F"/>
    <w:rsid w:val="003B7D0E"/>
    <w:rsid w:val="003C2436"/>
    <w:rsid w:val="003C47B1"/>
    <w:rsid w:val="003C48AB"/>
    <w:rsid w:val="003C589A"/>
    <w:rsid w:val="003C5A19"/>
    <w:rsid w:val="003C77F1"/>
    <w:rsid w:val="003D2256"/>
    <w:rsid w:val="003E34D5"/>
    <w:rsid w:val="003E5ACA"/>
    <w:rsid w:val="003E7B6C"/>
    <w:rsid w:val="003F0EF2"/>
    <w:rsid w:val="003F171C"/>
    <w:rsid w:val="003F1EE9"/>
    <w:rsid w:val="004004AF"/>
    <w:rsid w:val="00402A03"/>
    <w:rsid w:val="00403231"/>
    <w:rsid w:val="00412582"/>
    <w:rsid w:val="00412FC5"/>
    <w:rsid w:val="00413423"/>
    <w:rsid w:val="00415EFC"/>
    <w:rsid w:val="00420182"/>
    <w:rsid w:val="00422276"/>
    <w:rsid w:val="00422B9A"/>
    <w:rsid w:val="004242F1"/>
    <w:rsid w:val="004243FE"/>
    <w:rsid w:val="00432406"/>
    <w:rsid w:val="0043254C"/>
    <w:rsid w:val="00432569"/>
    <w:rsid w:val="00437716"/>
    <w:rsid w:val="00441312"/>
    <w:rsid w:val="00445A00"/>
    <w:rsid w:val="00451B0F"/>
    <w:rsid w:val="00456CBE"/>
    <w:rsid w:val="004570A3"/>
    <w:rsid w:val="0046125F"/>
    <w:rsid w:val="00462520"/>
    <w:rsid w:val="00466B8E"/>
    <w:rsid w:val="0046783E"/>
    <w:rsid w:val="00467C77"/>
    <w:rsid w:val="00470E9D"/>
    <w:rsid w:val="00471CE2"/>
    <w:rsid w:val="00475591"/>
    <w:rsid w:val="00475AE7"/>
    <w:rsid w:val="00476CA4"/>
    <w:rsid w:val="004806FB"/>
    <w:rsid w:val="004872D0"/>
    <w:rsid w:val="00487524"/>
    <w:rsid w:val="004876D1"/>
    <w:rsid w:val="004903BF"/>
    <w:rsid w:val="0049112B"/>
    <w:rsid w:val="004928F5"/>
    <w:rsid w:val="004943CA"/>
    <w:rsid w:val="0049488B"/>
    <w:rsid w:val="00495252"/>
    <w:rsid w:val="00496106"/>
    <w:rsid w:val="00496949"/>
    <w:rsid w:val="004A660E"/>
    <w:rsid w:val="004B088F"/>
    <w:rsid w:val="004B091D"/>
    <w:rsid w:val="004B6492"/>
    <w:rsid w:val="004C12D0"/>
    <w:rsid w:val="004C2EE3"/>
    <w:rsid w:val="004C3FFB"/>
    <w:rsid w:val="004C70FB"/>
    <w:rsid w:val="004D22C3"/>
    <w:rsid w:val="004D362E"/>
    <w:rsid w:val="004D5869"/>
    <w:rsid w:val="004D63F5"/>
    <w:rsid w:val="004D6C60"/>
    <w:rsid w:val="004E323A"/>
    <w:rsid w:val="004E4A22"/>
    <w:rsid w:val="004E72B7"/>
    <w:rsid w:val="004F35CA"/>
    <w:rsid w:val="004F4239"/>
    <w:rsid w:val="004F60EC"/>
    <w:rsid w:val="004F737A"/>
    <w:rsid w:val="005053A7"/>
    <w:rsid w:val="00506C61"/>
    <w:rsid w:val="005106C5"/>
    <w:rsid w:val="00511968"/>
    <w:rsid w:val="005123BE"/>
    <w:rsid w:val="00516819"/>
    <w:rsid w:val="00516C98"/>
    <w:rsid w:val="0052214B"/>
    <w:rsid w:val="00523F0D"/>
    <w:rsid w:val="00524B7D"/>
    <w:rsid w:val="00525F91"/>
    <w:rsid w:val="00532BEA"/>
    <w:rsid w:val="005357B8"/>
    <w:rsid w:val="00536CF8"/>
    <w:rsid w:val="0054043D"/>
    <w:rsid w:val="00545A19"/>
    <w:rsid w:val="0054650E"/>
    <w:rsid w:val="00550354"/>
    <w:rsid w:val="00552A15"/>
    <w:rsid w:val="0055614C"/>
    <w:rsid w:val="005614FA"/>
    <w:rsid w:val="00563C1F"/>
    <w:rsid w:val="00564FFA"/>
    <w:rsid w:val="00577322"/>
    <w:rsid w:val="00577BFF"/>
    <w:rsid w:val="00581C61"/>
    <w:rsid w:val="00582BAF"/>
    <w:rsid w:val="00584B7F"/>
    <w:rsid w:val="00585A53"/>
    <w:rsid w:val="00585EC7"/>
    <w:rsid w:val="00595381"/>
    <w:rsid w:val="0059746C"/>
    <w:rsid w:val="005A0BF4"/>
    <w:rsid w:val="005A3062"/>
    <w:rsid w:val="005A31B2"/>
    <w:rsid w:val="005A3ADF"/>
    <w:rsid w:val="005A445D"/>
    <w:rsid w:val="005A4610"/>
    <w:rsid w:val="005A7365"/>
    <w:rsid w:val="005B3EC2"/>
    <w:rsid w:val="005B5B7B"/>
    <w:rsid w:val="005C24D8"/>
    <w:rsid w:val="005C680A"/>
    <w:rsid w:val="005C7EF4"/>
    <w:rsid w:val="005D0403"/>
    <w:rsid w:val="005D092D"/>
    <w:rsid w:val="005D0A49"/>
    <w:rsid w:val="005D1FDC"/>
    <w:rsid w:val="005D3464"/>
    <w:rsid w:val="005D7816"/>
    <w:rsid w:val="005E347C"/>
    <w:rsid w:val="005E5BA2"/>
    <w:rsid w:val="005E5F6A"/>
    <w:rsid w:val="005E74A9"/>
    <w:rsid w:val="005F0449"/>
    <w:rsid w:val="005F4263"/>
    <w:rsid w:val="005F5D60"/>
    <w:rsid w:val="00603CBE"/>
    <w:rsid w:val="00607BA5"/>
    <w:rsid w:val="006126AF"/>
    <w:rsid w:val="00615C48"/>
    <w:rsid w:val="00620DBB"/>
    <w:rsid w:val="00620F82"/>
    <w:rsid w:val="00621457"/>
    <w:rsid w:val="00625270"/>
    <w:rsid w:val="00626EB6"/>
    <w:rsid w:val="006275B0"/>
    <w:rsid w:val="00631B71"/>
    <w:rsid w:val="006353A3"/>
    <w:rsid w:val="00637E27"/>
    <w:rsid w:val="00642E7B"/>
    <w:rsid w:val="00643878"/>
    <w:rsid w:val="006439DA"/>
    <w:rsid w:val="00644B2C"/>
    <w:rsid w:val="006548AC"/>
    <w:rsid w:val="00655D03"/>
    <w:rsid w:val="00660386"/>
    <w:rsid w:val="00660750"/>
    <w:rsid w:val="00664AB4"/>
    <w:rsid w:val="006650A4"/>
    <w:rsid w:val="006665E6"/>
    <w:rsid w:val="00675E8A"/>
    <w:rsid w:val="0068023C"/>
    <w:rsid w:val="006813E7"/>
    <w:rsid w:val="00682D96"/>
    <w:rsid w:val="00683F84"/>
    <w:rsid w:val="00684738"/>
    <w:rsid w:val="0068763E"/>
    <w:rsid w:val="006901C6"/>
    <w:rsid w:val="00694196"/>
    <w:rsid w:val="00694C92"/>
    <w:rsid w:val="006953EE"/>
    <w:rsid w:val="0069577D"/>
    <w:rsid w:val="006972E8"/>
    <w:rsid w:val="006A467F"/>
    <w:rsid w:val="006A6A81"/>
    <w:rsid w:val="006B2F55"/>
    <w:rsid w:val="006B5D0A"/>
    <w:rsid w:val="006B68F8"/>
    <w:rsid w:val="006B6F46"/>
    <w:rsid w:val="006C1880"/>
    <w:rsid w:val="006C28BB"/>
    <w:rsid w:val="006C47FA"/>
    <w:rsid w:val="006C7A94"/>
    <w:rsid w:val="006D0FAA"/>
    <w:rsid w:val="006D40DD"/>
    <w:rsid w:val="006D660A"/>
    <w:rsid w:val="006D6AFD"/>
    <w:rsid w:val="006D760F"/>
    <w:rsid w:val="006D7B2B"/>
    <w:rsid w:val="006E1C9A"/>
    <w:rsid w:val="006E26AF"/>
    <w:rsid w:val="006E3ED7"/>
    <w:rsid w:val="006E57B3"/>
    <w:rsid w:val="006F1183"/>
    <w:rsid w:val="006F3559"/>
    <w:rsid w:val="006F4636"/>
    <w:rsid w:val="006F7393"/>
    <w:rsid w:val="00701094"/>
    <w:rsid w:val="007019B6"/>
    <w:rsid w:val="007019FF"/>
    <w:rsid w:val="0070224F"/>
    <w:rsid w:val="00703BB5"/>
    <w:rsid w:val="0070486C"/>
    <w:rsid w:val="007056A4"/>
    <w:rsid w:val="007115F7"/>
    <w:rsid w:val="007178B4"/>
    <w:rsid w:val="00717B07"/>
    <w:rsid w:val="00725674"/>
    <w:rsid w:val="0072578B"/>
    <w:rsid w:val="00726F80"/>
    <w:rsid w:val="00731C3E"/>
    <w:rsid w:val="00731D5F"/>
    <w:rsid w:val="00735B84"/>
    <w:rsid w:val="00740AD9"/>
    <w:rsid w:val="00742221"/>
    <w:rsid w:val="00744F93"/>
    <w:rsid w:val="00746759"/>
    <w:rsid w:val="00747C64"/>
    <w:rsid w:val="007525C3"/>
    <w:rsid w:val="00762FC4"/>
    <w:rsid w:val="0076309F"/>
    <w:rsid w:val="007668C8"/>
    <w:rsid w:val="00770F47"/>
    <w:rsid w:val="00780E7D"/>
    <w:rsid w:val="00783DDE"/>
    <w:rsid w:val="00785689"/>
    <w:rsid w:val="00792664"/>
    <w:rsid w:val="0079754B"/>
    <w:rsid w:val="007A0B06"/>
    <w:rsid w:val="007A1E6D"/>
    <w:rsid w:val="007A29A0"/>
    <w:rsid w:val="007A555E"/>
    <w:rsid w:val="007B1170"/>
    <w:rsid w:val="007B1F0E"/>
    <w:rsid w:val="007B72F9"/>
    <w:rsid w:val="007B7C16"/>
    <w:rsid w:val="007C179B"/>
    <w:rsid w:val="007C2228"/>
    <w:rsid w:val="007C4371"/>
    <w:rsid w:val="007C5078"/>
    <w:rsid w:val="007C53B3"/>
    <w:rsid w:val="007C674D"/>
    <w:rsid w:val="007D3761"/>
    <w:rsid w:val="007D4842"/>
    <w:rsid w:val="007D4DB7"/>
    <w:rsid w:val="007D6054"/>
    <w:rsid w:val="007E32AB"/>
    <w:rsid w:val="007E4A79"/>
    <w:rsid w:val="007F0701"/>
    <w:rsid w:val="007F0DBB"/>
    <w:rsid w:val="007F1D7C"/>
    <w:rsid w:val="007F29ED"/>
    <w:rsid w:val="007F2E5D"/>
    <w:rsid w:val="007F400A"/>
    <w:rsid w:val="007F40C5"/>
    <w:rsid w:val="007F5818"/>
    <w:rsid w:val="007F5C59"/>
    <w:rsid w:val="00800267"/>
    <w:rsid w:val="00801AAA"/>
    <w:rsid w:val="00801FDC"/>
    <w:rsid w:val="00805401"/>
    <w:rsid w:val="008068FD"/>
    <w:rsid w:val="00822CE0"/>
    <w:rsid w:val="00825E7D"/>
    <w:rsid w:val="008271E2"/>
    <w:rsid w:val="008275B8"/>
    <w:rsid w:val="0083155B"/>
    <w:rsid w:val="008338CE"/>
    <w:rsid w:val="00837C62"/>
    <w:rsid w:val="00841404"/>
    <w:rsid w:val="00841AB1"/>
    <w:rsid w:val="00844109"/>
    <w:rsid w:val="0084412A"/>
    <w:rsid w:val="00845944"/>
    <w:rsid w:val="00851E64"/>
    <w:rsid w:val="008550B5"/>
    <w:rsid w:val="00855DB1"/>
    <w:rsid w:val="0085777F"/>
    <w:rsid w:val="0086068D"/>
    <w:rsid w:val="00861958"/>
    <w:rsid w:val="0086597B"/>
    <w:rsid w:val="008670A1"/>
    <w:rsid w:val="00872701"/>
    <w:rsid w:val="008759A0"/>
    <w:rsid w:val="008774D9"/>
    <w:rsid w:val="00880549"/>
    <w:rsid w:val="00880961"/>
    <w:rsid w:val="008823A6"/>
    <w:rsid w:val="00885346"/>
    <w:rsid w:val="008860DF"/>
    <w:rsid w:val="008865BD"/>
    <w:rsid w:val="00890537"/>
    <w:rsid w:val="008928B0"/>
    <w:rsid w:val="00892BEE"/>
    <w:rsid w:val="00893955"/>
    <w:rsid w:val="008969B3"/>
    <w:rsid w:val="0089722C"/>
    <w:rsid w:val="008A5F0D"/>
    <w:rsid w:val="008A6865"/>
    <w:rsid w:val="008A72A2"/>
    <w:rsid w:val="008B2900"/>
    <w:rsid w:val="008B3790"/>
    <w:rsid w:val="008B3951"/>
    <w:rsid w:val="008B3DC7"/>
    <w:rsid w:val="008B51AD"/>
    <w:rsid w:val="008B7187"/>
    <w:rsid w:val="008C0043"/>
    <w:rsid w:val="008C09B2"/>
    <w:rsid w:val="008C1A0F"/>
    <w:rsid w:val="008C1DAA"/>
    <w:rsid w:val="008C22FD"/>
    <w:rsid w:val="008C2513"/>
    <w:rsid w:val="008C5059"/>
    <w:rsid w:val="008C5AED"/>
    <w:rsid w:val="008C78F0"/>
    <w:rsid w:val="008D327D"/>
    <w:rsid w:val="008D5B54"/>
    <w:rsid w:val="008D5EA0"/>
    <w:rsid w:val="008D6240"/>
    <w:rsid w:val="008E5D2B"/>
    <w:rsid w:val="008F52F1"/>
    <w:rsid w:val="008F58CF"/>
    <w:rsid w:val="00902F76"/>
    <w:rsid w:val="0090545D"/>
    <w:rsid w:val="009070DC"/>
    <w:rsid w:val="00907911"/>
    <w:rsid w:val="00910F12"/>
    <w:rsid w:val="00913041"/>
    <w:rsid w:val="009145C5"/>
    <w:rsid w:val="0091539A"/>
    <w:rsid w:val="0091650F"/>
    <w:rsid w:val="00922696"/>
    <w:rsid w:val="00923F59"/>
    <w:rsid w:val="00925ACF"/>
    <w:rsid w:val="00926397"/>
    <w:rsid w:val="00926503"/>
    <w:rsid w:val="0092692D"/>
    <w:rsid w:val="00926C1D"/>
    <w:rsid w:val="00930ECF"/>
    <w:rsid w:val="0093162D"/>
    <w:rsid w:val="00931CEB"/>
    <w:rsid w:val="00931D6F"/>
    <w:rsid w:val="0093267F"/>
    <w:rsid w:val="009432A3"/>
    <w:rsid w:val="00943407"/>
    <w:rsid w:val="00943B23"/>
    <w:rsid w:val="00946DF9"/>
    <w:rsid w:val="0095053C"/>
    <w:rsid w:val="0095057C"/>
    <w:rsid w:val="009556CA"/>
    <w:rsid w:val="0096037E"/>
    <w:rsid w:val="00960B05"/>
    <w:rsid w:val="0096483A"/>
    <w:rsid w:val="00967271"/>
    <w:rsid w:val="00970A34"/>
    <w:rsid w:val="009713DD"/>
    <w:rsid w:val="0097544A"/>
    <w:rsid w:val="00976129"/>
    <w:rsid w:val="00976938"/>
    <w:rsid w:val="009801F8"/>
    <w:rsid w:val="009838BC"/>
    <w:rsid w:val="00983A14"/>
    <w:rsid w:val="00983EE2"/>
    <w:rsid w:val="00986B91"/>
    <w:rsid w:val="00987966"/>
    <w:rsid w:val="00987A27"/>
    <w:rsid w:val="009901F7"/>
    <w:rsid w:val="009929EC"/>
    <w:rsid w:val="0099637A"/>
    <w:rsid w:val="0099720B"/>
    <w:rsid w:val="009A382B"/>
    <w:rsid w:val="009A65B8"/>
    <w:rsid w:val="009A685A"/>
    <w:rsid w:val="009B2979"/>
    <w:rsid w:val="009B3988"/>
    <w:rsid w:val="009B63B0"/>
    <w:rsid w:val="009C2EC9"/>
    <w:rsid w:val="009C448A"/>
    <w:rsid w:val="009C73EF"/>
    <w:rsid w:val="009D175D"/>
    <w:rsid w:val="009D36AB"/>
    <w:rsid w:val="009D708B"/>
    <w:rsid w:val="009E0A80"/>
    <w:rsid w:val="009F1761"/>
    <w:rsid w:val="009F71A2"/>
    <w:rsid w:val="009F780C"/>
    <w:rsid w:val="00A011D2"/>
    <w:rsid w:val="00A029B6"/>
    <w:rsid w:val="00A03FAC"/>
    <w:rsid w:val="00A06E7E"/>
    <w:rsid w:val="00A13DDC"/>
    <w:rsid w:val="00A1615A"/>
    <w:rsid w:val="00A164EA"/>
    <w:rsid w:val="00A212D1"/>
    <w:rsid w:val="00A22D46"/>
    <w:rsid w:val="00A239D2"/>
    <w:rsid w:val="00A30968"/>
    <w:rsid w:val="00A32C6E"/>
    <w:rsid w:val="00A351CE"/>
    <w:rsid w:val="00A40309"/>
    <w:rsid w:val="00A42060"/>
    <w:rsid w:val="00A422EA"/>
    <w:rsid w:val="00A45F4F"/>
    <w:rsid w:val="00A5137A"/>
    <w:rsid w:val="00A51758"/>
    <w:rsid w:val="00A554EE"/>
    <w:rsid w:val="00A600A9"/>
    <w:rsid w:val="00A61E25"/>
    <w:rsid w:val="00A6263A"/>
    <w:rsid w:val="00A6329B"/>
    <w:rsid w:val="00A6538C"/>
    <w:rsid w:val="00A663DB"/>
    <w:rsid w:val="00A7404D"/>
    <w:rsid w:val="00A7407D"/>
    <w:rsid w:val="00A77268"/>
    <w:rsid w:val="00A84BCC"/>
    <w:rsid w:val="00A8620D"/>
    <w:rsid w:val="00A86681"/>
    <w:rsid w:val="00A866AC"/>
    <w:rsid w:val="00A86C45"/>
    <w:rsid w:val="00A901ED"/>
    <w:rsid w:val="00A90ABC"/>
    <w:rsid w:val="00A922E8"/>
    <w:rsid w:val="00A92712"/>
    <w:rsid w:val="00A92F17"/>
    <w:rsid w:val="00A950E2"/>
    <w:rsid w:val="00A95C94"/>
    <w:rsid w:val="00AA020D"/>
    <w:rsid w:val="00AA412A"/>
    <w:rsid w:val="00AA52F2"/>
    <w:rsid w:val="00AA55B7"/>
    <w:rsid w:val="00AA5B9E"/>
    <w:rsid w:val="00AB2109"/>
    <w:rsid w:val="00AB2407"/>
    <w:rsid w:val="00AB3596"/>
    <w:rsid w:val="00AB53DF"/>
    <w:rsid w:val="00AB61ED"/>
    <w:rsid w:val="00AB7889"/>
    <w:rsid w:val="00AB7E37"/>
    <w:rsid w:val="00AC4DB3"/>
    <w:rsid w:val="00AC669A"/>
    <w:rsid w:val="00AD1DA5"/>
    <w:rsid w:val="00AD3257"/>
    <w:rsid w:val="00AD50D4"/>
    <w:rsid w:val="00AD62E9"/>
    <w:rsid w:val="00AE1813"/>
    <w:rsid w:val="00AE3C92"/>
    <w:rsid w:val="00AE47E9"/>
    <w:rsid w:val="00AE522A"/>
    <w:rsid w:val="00AF2B5C"/>
    <w:rsid w:val="00B021EE"/>
    <w:rsid w:val="00B02A93"/>
    <w:rsid w:val="00B07E5C"/>
    <w:rsid w:val="00B11D8C"/>
    <w:rsid w:val="00B17836"/>
    <w:rsid w:val="00B17B13"/>
    <w:rsid w:val="00B238E7"/>
    <w:rsid w:val="00B31B86"/>
    <w:rsid w:val="00B326E3"/>
    <w:rsid w:val="00B334D7"/>
    <w:rsid w:val="00B3351F"/>
    <w:rsid w:val="00B33C83"/>
    <w:rsid w:val="00B368CC"/>
    <w:rsid w:val="00B36901"/>
    <w:rsid w:val="00B402F4"/>
    <w:rsid w:val="00B4215C"/>
    <w:rsid w:val="00B43169"/>
    <w:rsid w:val="00B44339"/>
    <w:rsid w:val="00B47261"/>
    <w:rsid w:val="00B5389B"/>
    <w:rsid w:val="00B61C60"/>
    <w:rsid w:val="00B7124D"/>
    <w:rsid w:val="00B721C8"/>
    <w:rsid w:val="00B73C0C"/>
    <w:rsid w:val="00B74EB4"/>
    <w:rsid w:val="00B811F7"/>
    <w:rsid w:val="00B82285"/>
    <w:rsid w:val="00B83976"/>
    <w:rsid w:val="00B848FE"/>
    <w:rsid w:val="00B84BD2"/>
    <w:rsid w:val="00B84CD9"/>
    <w:rsid w:val="00B852E5"/>
    <w:rsid w:val="00B905AA"/>
    <w:rsid w:val="00B90BD1"/>
    <w:rsid w:val="00B959E6"/>
    <w:rsid w:val="00B97BD5"/>
    <w:rsid w:val="00BA1134"/>
    <w:rsid w:val="00BA1383"/>
    <w:rsid w:val="00BA196F"/>
    <w:rsid w:val="00BA4A23"/>
    <w:rsid w:val="00BA5DC6"/>
    <w:rsid w:val="00BA6196"/>
    <w:rsid w:val="00BA7043"/>
    <w:rsid w:val="00BB0D65"/>
    <w:rsid w:val="00BB2DCC"/>
    <w:rsid w:val="00BB4022"/>
    <w:rsid w:val="00BB6496"/>
    <w:rsid w:val="00BB6DCE"/>
    <w:rsid w:val="00BC1F26"/>
    <w:rsid w:val="00BC6BB5"/>
    <w:rsid w:val="00BC6D8C"/>
    <w:rsid w:val="00BC6FB9"/>
    <w:rsid w:val="00BC76BB"/>
    <w:rsid w:val="00BD0A9B"/>
    <w:rsid w:val="00BD1F31"/>
    <w:rsid w:val="00BD332E"/>
    <w:rsid w:val="00BD38DB"/>
    <w:rsid w:val="00BD41D9"/>
    <w:rsid w:val="00BD4B59"/>
    <w:rsid w:val="00BD50BA"/>
    <w:rsid w:val="00BD5994"/>
    <w:rsid w:val="00BE1AA3"/>
    <w:rsid w:val="00BF43CF"/>
    <w:rsid w:val="00BF4EC4"/>
    <w:rsid w:val="00BF7678"/>
    <w:rsid w:val="00C004D7"/>
    <w:rsid w:val="00C00B2A"/>
    <w:rsid w:val="00C01B19"/>
    <w:rsid w:val="00C0633C"/>
    <w:rsid w:val="00C07140"/>
    <w:rsid w:val="00C077E1"/>
    <w:rsid w:val="00C07BDE"/>
    <w:rsid w:val="00C10E83"/>
    <w:rsid w:val="00C1189E"/>
    <w:rsid w:val="00C14E8F"/>
    <w:rsid w:val="00C16AF2"/>
    <w:rsid w:val="00C21646"/>
    <w:rsid w:val="00C2261D"/>
    <w:rsid w:val="00C2475E"/>
    <w:rsid w:val="00C24DD2"/>
    <w:rsid w:val="00C27664"/>
    <w:rsid w:val="00C27859"/>
    <w:rsid w:val="00C27EA3"/>
    <w:rsid w:val="00C31891"/>
    <w:rsid w:val="00C33898"/>
    <w:rsid w:val="00C34006"/>
    <w:rsid w:val="00C35272"/>
    <w:rsid w:val="00C360F5"/>
    <w:rsid w:val="00C367FB"/>
    <w:rsid w:val="00C37B71"/>
    <w:rsid w:val="00C41A27"/>
    <w:rsid w:val="00C426B1"/>
    <w:rsid w:val="00C43525"/>
    <w:rsid w:val="00C4665E"/>
    <w:rsid w:val="00C47FF8"/>
    <w:rsid w:val="00C509AC"/>
    <w:rsid w:val="00C50A2E"/>
    <w:rsid w:val="00C5129F"/>
    <w:rsid w:val="00C61BB7"/>
    <w:rsid w:val="00C621EC"/>
    <w:rsid w:val="00C70F5B"/>
    <w:rsid w:val="00C71544"/>
    <w:rsid w:val="00C7200D"/>
    <w:rsid w:val="00C7218A"/>
    <w:rsid w:val="00C7222F"/>
    <w:rsid w:val="00C7392A"/>
    <w:rsid w:val="00C80924"/>
    <w:rsid w:val="00C82B6B"/>
    <w:rsid w:val="00C850D8"/>
    <w:rsid w:val="00C90D6A"/>
    <w:rsid w:val="00C96CB6"/>
    <w:rsid w:val="00CA23D7"/>
    <w:rsid w:val="00CA5E0B"/>
    <w:rsid w:val="00CA63AF"/>
    <w:rsid w:val="00CB0C66"/>
    <w:rsid w:val="00CB14D4"/>
    <w:rsid w:val="00CB4801"/>
    <w:rsid w:val="00CB52EB"/>
    <w:rsid w:val="00CC3745"/>
    <w:rsid w:val="00CC4904"/>
    <w:rsid w:val="00CC60EB"/>
    <w:rsid w:val="00CC6A10"/>
    <w:rsid w:val="00CC72B6"/>
    <w:rsid w:val="00CD1437"/>
    <w:rsid w:val="00CD1447"/>
    <w:rsid w:val="00CD2FA0"/>
    <w:rsid w:val="00CD30B5"/>
    <w:rsid w:val="00CD5655"/>
    <w:rsid w:val="00CE1A4B"/>
    <w:rsid w:val="00CE359D"/>
    <w:rsid w:val="00CE3C68"/>
    <w:rsid w:val="00CE6E0B"/>
    <w:rsid w:val="00CF1A56"/>
    <w:rsid w:val="00CF6523"/>
    <w:rsid w:val="00D0137A"/>
    <w:rsid w:val="00D0218D"/>
    <w:rsid w:val="00D03809"/>
    <w:rsid w:val="00D04868"/>
    <w:rsid w:val="00D05C17"/>
    <w:rsid w:val="00D06F09"/>
    <w:rsid w:val="00D06FA2"/>
    <w:rsid w:val="00D12B3C"/>
    <w:rsid w:val="00D13707"/>
    <w:rsid w:val="00D216CD"/>
    <w:rsid w:val="00D22B78"/>
    <w:rsid w:val="00D238CC"/>
    <w:rsid w:val="00D26EF4"/>
    <w:rsid w:val="00D351CC"/>
    <w:rsid w:val="00D3650B"/>
    <w:rsid w:val="00D41B3B"/>
    <w:rsid w:val="00D45A14"/>
    <w:rsid w:val="00D5095E"/>
    <w:rsid w:val="00D51481"/>
    <w:rsid w:val="00D5321C"/>
    <w:rsid w:val="00D53ADF"/>
    <w:rsid w:val="00D64012"/>
    <w:rsid w:val="00D6557E"/>
    <w:rsid w:val="00D6581B"/>
    <w:rsid w:val="00D74AEC"/>
    <w:rsid w:val="00D76953"/>
    <w:rsid w:val="00D806AA"/>
    <w:rsid w:val="00D8081B"/>
    <w:rsid w:val="00D81F91"/>
    <w:rsid w:val="00D8472B"/>
    <w:rsid w:val="00D84C22"/>
    <w:rsid w:val="00D851AB"/>
    <w:rsid w:val="00D85EF5"/>
    <w:rsid w:val="00D87B6E"/>
    <w:rsid w:val="00D90DAC"/>
    <w:rsid w:val="00DA07AA"/>
    <w:rsid w:val="00DA2529"/>
    <w:rsid w:val="00DA455F"/>
    <w:rsid w:val="00DA63CD"/>
    <w:rsid w:val="00DA77F0"/>
    <w:rsid w:val="00DB130A"/>
    <w:rsid w:val="00DB36BF"/>
    <w:rsid w:val="00DB54CA"/>
    <w:rsid w:val="00DB5AC1"/>
    <w:rsid w:val="00DB6527"/>
    <w:rsid w:val="00DC10A1"/>
    <w:rsid w:val="00DC1A63"/>
    <w:rsid w:val="00DC44DE"/>
    <w:rsid w:val="00DC4D66"/>
    <w:rsid w:val="00DC53B1"/>
    <w:rsid w:val="00DC56D1"/>
    <w:rsid w:val="00DC655F"/>
    <w:rsid w:val="00DC7BAE"/>
    <w:rsid w:val="00DC7C75"/>
    <w:rsid w:val="00DD0336"/>
    <w:rsid w:val="00DD0F22"/>
    <w:rsid w:val="00DD6C7F"/>
    <w:rsid w:val="00DD7CEF"/>
    <w:rsid w:val="00DD7EBD"/>
    <w:rsid w:val="00DE070F"/>
    <w:rsid w:val="00DE0D04"/>
    <w:rsid w:val="00DE4B07"/>
    <w:rsid w:val="00DF02FA"/>
    <w:rsid w:val="00DF1B24"/>
    <w:rsid w:val="00DF43F4"/>
    <w:rsid w:val="00DF4E87"/>
    <w:rsid w:val="00DF62B6"/>
    <w:rsid w:val="00E02416"/>
    <w:rsid w:val="00E04D5A"/>
    <w:rsid w:val="00E07225"/>
    <w:rsid w:val="00E155B7"/>
    <w:rsid w:val="00E15AD6"/>
    <w:rsid w:val="00E15F88"/>
    <w:rsid w:val="00E169CC"/>
    <w:rsid w:val="00E17865"/>
    <w:rsid w:val="00E21870"/>
    <w:rsid w:val="00E262F3"/>
    <w:rsid w:val="00E27214"/>
    <w:rsid w:val="00E313A3"/>
    <w:rsid w:val="00E3399D"/>
    <w:rsid w:val="00E361F5"/>
    <w:rsid w:val="00E4245C"/>
    <w:rsid w:val="00E50130"/>
    <w:rsid w:val="00E504A8"/>
    <w:rsid w:val="00E50F11"/>
    <w:rsid w:val="00E5409F"/>
    <w:rsid w:val="00E61137"/>
    <w:rsid w:val="00E63E9C"/>
    <w:rsid w:val="00E65904"/>
    <w:rsid w:val="00E70C9B"/>
    <w:rsid w:val="00E72298"/>
    <w:rsid w:val="00E72607"/>
    <w:rsid w:val="00E73463"/>
    <w:rsid w:val="00E743F2"/>
    <w:rsid w:val="00E74F67"/>
    <w:rsid w:val="00E77864"/>
    <w:rsid w:val="00E85276"/>
    <w:rsid w:val="00E85BD5"/>
    <w:rsid w:val="00E87847"/>
    <w:rsid w:val="00E96AC2"/>
    <w:rsid w:val="00E96B4B"/>
    <w:rsid w:val="00E9794F"/>
    <w:rsid w:val="00EA003B"/>
    <w:rsid w:val="00EA1D70"/>
    <w:rsid w:val="00EA5DC5"/>
    <w:rsid w:val="00EB08CE"/>
    <w:rsid w:val="00EB17F9"/>
    <w:rsid w:val="00EB2C44"/>
    <w:rsid w:val="00EC0185"/>
    <w:rsid w:val="00EC0BF7"/>
    <w:rsid w:val="00EC195C"/>
    <w:rsid w:val="00EC2DFD"/>
    <w:rsid w:val="00EC68BF"/>
    <w:rsid w:val="00ED05B6"/>
    <w:rsid w:val="00ED11B3"/>
    <w:rsid w:val="00ED33DB"/>
    <w:rsid w:val="00ED3D49"/>
    <w:rsid w:val="00ED61CE"/>
    <w:rsid w:val="00ED6F96"/>
    <w:rsid w:val="00EE0028"/>
    <w:rsid w:val="00EE2A38"/>
    <w:rsid w:val="00EE6ADD"/>
    <w:rsid w:val="00EF064F"/>
    <w:rsid w:val="00EF1DF0"/>
    <w:rsid w:val="00EF5C69"/>
    <w:rsid w:val="00EF5E4D"/>
    <w:rsid w:val="00F021FA"/>
    <w:rsid w:val="00F03EE6"/>
    <w:rsid w:val="00F051B1"/>
    <w:rsid w:val="00F10131"/>
    <w:rsid w:val="00F10428"/>
    <w:rsid w:val="00F11F96"/>
    <w:rsid w:val="00F13114"/>
    <w:rsid w:val="00F13E8E"/>
    <w:rsid w:val="00F14D69"/>
    <w:rsid w:val="00F159B2"/>
    <w:rsid w:val="00F1632C"/>
    <w:rsid w:val="00F23750"/>
    <w:rsid w:val="00F243B7"/>
    <w:rsid w:val="00F304C0"/>
    <w:rsid w:val="00F311FC"/>
    <w:rsid w:val="00F322CA"/>
    <w:rsid w:val="00F37BD3"/>
    <w:rsid w:val="00F40476"/>
    <w:rsid w:val="00F432AC"/>
    <w:rsid w:val="00F4366C"/>
    <w:rsid w:val="00F43E3B"/>
    <w:rsid w:val="00F446CC"/>
    <w:rsid w:val="00F46420"/>
    <w:rsid w:val="00F5088D"/>
    <w:rsid w:val="00F5223B"/>
    <w:rsid w:val="00F5736F"/>
    <w:rsid w:val="00F57ACA"/>
    <w:rsid w:val="00F61F48"/>
    <w:rsid w:val="00F62E97"/>
    <w:rsid w:val="00F64209"/>
    <w:rsid w:val="00F656F4"/>
    <w:rsid w:val="00F65711"/>
    <w:rsid w:val="00F66D37"/>
    <w:rsid w:val="00F67726"/>
    <w:rsid w:val="00F72B31"/>
    <w:rsid w:val="00F73399"/>
    <w:rsid w:val="00F7410E"/>
    <w:rsid w:val="00F76515"/>
    <w:rsid w:val="00F84F68"/>
    <w:rsid w:val="00F90BC3"/>
    <w:rsid w:val="00F93BF5"/>
    <w:rsid w:val="00F96438"/>
    <w:rsid w:val="00F96F63"/>
    <w:rsid w:val="00F9742C"/>
    <w:rsid w:val="00FA3284"/>
    <w:rsid w:val="00FB0C37"/>
    <w:rsid w:val="00FB0DCC"/>
    <w:rsid w:val="00FB1102"/>
    <w:rsid w:val="00FB2F91"/>
    <w:rsid w:val="00FB3EDD"/>
    <w:rsid w:val="00FB6AC1"/>
    <w:rsid w:val="00FC392C"/>
    <w:rsid w:val="00FC565D"/>
    <w:rsid w:val="00FC734F"/>
    <w:rsid w:val="00FC7C2A"/>
    <w:rsid w:val="00FE1675"/>
    <w:rsid w:val="00FE16FD"/>
    <w:rsid w:val="00FE56A1"/>
    <w:rsid w:val="00FE56C4"/>
    <w:rsid w:val="00FE583B"/>
    <w:rsid w:val="00FE6E90"/>
    <w:rsid w:val="00FF4199"/>
    <w:rsid w:val="00FF6278"/>
    <w:rsid w:val="00FF682A"/>
    <w:rsid w:val="00FF7A37"/>
    <w:rsid w:val="75796D0F"/>
    <w:rsid w:val="7AC21DF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964AAE2"/>
  <w15:chartTrackingRefBased/>
  <w15:docId w15:val="{781F4A31-8D49-4320-B192-22E1A735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FA"/>
    <w:pPr>
      <w:widowControl w:val="0"/>
    </w:pPr>
    <w:rPr>
      <w:snapToGrid w:val="0"/>
      <w:kern w:val="28"/>
      <w:sz w:val="22"/>
      <w:lang w:eastAsia="en-US"/>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rsid w:val="000E3D42"/>
    <w:pPr>
      <w:spacing w:after="120"/>
    </w:pPr>
    <w:rPr>
      <w:lang w:eastAsia="en-US"/>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5614FA"/>
    <w:rPr>
      <w:snapToGrid w:val="0"/>
      <w:kern w:val="28"/>
      <w:sz w:val="22"/>
    </w:rPr>
  </w:style>
  <w:style w:type="character" w:styleId="CommentReference">
    <w:name w:val="annotation reference"/>
    <w:uiPriority w:val="99"/>
    <w:semiHidden/>
    <w:unhideWhenUsed/>
    <w:rsid w:val="00642E7B"/>
    <w:rPr>
      <w:sz w:val="16"/>
      <w:szCs w:val="16"/>
    </w:rPr>
  </w:style>
  <w:style w:type="paragraph" w:styleId="CommentText">
    <w:name w:val="annotation text"/>
    <w:basedOn w:val="Normal"/>
    <w:link w:val="CommentTextChar"/>
    <w:uiPriority w:val="99"/>
    <w:semiHidden/>
    <w:unhideWhenUsed/>
    <w:rsid w:val="00642E7B"/>
    <w:rPr>
      <w:sz w:val="20"/>
    </w:rPr>
  </w:style>
  <w:style w:type="character" w:customStyle="1" w:styleId="CommentTextChar">
    <w:name w:val="Comment Text Char"/>
    <w:link w:val="CommentText"/>
    <w:uiPriority w:val="99"/>
    <w:semiHidden/>
    <w:rsid w:val="00642E7B"/>
    <w:rPr>
      <w:snapToGrid w:val="0"/>
      <w:kern w:val="28"/>
    </w:rPr>
  </w:style>
  <w:style w:type="paragraph" w:styleId="CommentSubject">
    <w:name w:val="annotation subject"/>
    <w:basedOn w:val="CommentText"/>
    <w:next w:val="CommentText"/>
    <w:link w:val="CommentSubjectChar"/>
    <w:uiPriority w:val="99"/>
    <w:semiHidden/>
    <w:unhideWhenUsed/>
    <w:rsid w:val="00642E7B"/>
    <w:rPr>
      <w:b/>
      <w:bCs/>
    </w:rPr>
  </w:style>
  <w:style w:type="character" w:customStyle="1" w:styleId="CommentSubjectChar">
    <w:name w:val="Comment Subject Char"/>
    <w:link w:val="CommentSubject"/>
    <w:uiPriority w:val="99"/>
    <w:semiHidden/>
    <w:rsid w:val="00642E7B"/>
    <w:rPr>
      <w:b/>
      <w:bCs/>
      <w:snapToGrid w:val="0"/>
      <w:kern w:val="28"/>
    </w:rPr>
  </w:style>
  <w:style w:type="paragraph" w:styleId="BalloonText">
    <w:name w:val="Balloon Text"/>
    <w:basedOn w:val="Normal"/>
    <w:link w:val="BalloonTextChar"/>
    <w:uiPriority w:val="99"/>
    <w:semiHidden/>
    <w:unhideWhenUsed/>
    <w:rsid w:val="00642E7B"/>
    <w:rPr>
      <w:rFonts w:ascii="Segoe UI" w:hAnsi="Segoe UI" w:cs="Segoe UI"/>
      <w:sz w:val="18"/>
      <w:szCs w:val="18"/>
    </w:rPr>
  </w:style>
  <w:style w:type="character" w:customStyle="1" w:styleId="BalloonTextChar">
    <w:name w:val="Balloon Text Char"/>
    <w:link w:val="BalloonText"/>
    <w:uiPriority w:val="99"/>
    <w:semiHidden/>
    <w:rsid w:val="00642E7B"/>
    <w:rPr>
      <w:rFonts w:ascii="Segoe UI" w:hAnsi="Segoe UI" w:cs="Segoe UI"/>
      <w:snapToGrid w:val="0"/>
      <w:kern w:val="28"/>
      <w:sz w:val="18"/>
      <w:szCs w:val="18"/>
    </w:rPr>
  </w:style>
  <w:style w:type="character" w:styleId="PlaceholderText">
    <w:name w:val="Placeholder Text"/>
    <w:uiPriority w:val="99"/>
    <w:semiHidden/>
    <w:rsid w:val="00377C00"/>
    <w:rPr>
      <w:color w:val="808080"/>
    </w:rPr>
  </w:style>
  <w:style w:type="paragraph" w:customStyle="1" w:styleId="Default">
    <w:name w:val="Default"/>
    <w:rsid w:val="000D50EB"/>
    <w:pPr>
      <w:autoSpaceDE w:val="0"/>
      <w:autoSpaceDN w:val="0"/>
      <w:adjustRightInd w:val="0"/>
    </w:pPr>
    <w:rPr>
      <w:color w:val="000000"/>
      <w:sz w:val="24"/>
      <w:szCs w:val="24"/>
      <w:lang w:eastAsia="en-US"/>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uiPriority w:val="99"/>
    <w:rsid w:val="009901F7"/>
  </w:style>
  <w:style w:type="paragraph" w:styleId="Revision">
    <w:name w:val="Revision"/>
    <w:hidden/>
    <w:uiPriority w:val="99"/>
    <w:semiHidden/>
    <w:rsid w:val="007019FF"/>
    <w:rPr>
      <w:snapToGrid w:val="0"/>
      <w:kern w:val="28"/>
      <w:sz w:val="22"/>
      <w:lang w:eastAsia="en-US"/>
    </w:rPr>
  </w:style>
  <w:style w:type="character" w:styleId="Emphasis">
    <w:name w:val="Emphasis"/>
    <w:uiPriority w:val="20"/>
    <w:qFormat/>
    <w:rsid w:val="002049B9"/>
    <w:rPr>
      <w:i/>
      <w:iCs/>
    </w:rPr>
  </w:style>
  <w:style w:type="character" w:customStyle="1" w:styleId="cosearchterm">
    <w:name w:val="co_searchterm"/>
    <w:basedOn w:val="DefaultParagraphFont"/>
    <w:rsid w:val="002049B9"/>
  </w:style>
  <w:style w:type="character" w:customStyle="1" w:styleId="copinpointicon">
    <w:name w:val="co_pinpointicon"/>
    <w:basedOn w:val="DefaultParagraphFont"/>
    <w:rsid w:val="005B5B7B"/>
  </w:style>
  <w:style w:type="character" w:customStyle="1" w:styleId="UnresolvedMention1">
    <w:name w:val="Unresolved Mention1"/>
    <w:uiPriority w:val="99"/>
    <w:rsid w:val="00432569"/>
    <w:rPr>
      <w:color w:val="605E5C"/>
      <w:shd w:val="clear" w:color="auto" w:fill="E1DFDD"/>
    </w:rPr>
  </w:style>
  <w:style w:type="character" w:styleId="FollowedHyperlink">
    <w:name w:val="FollowedHyperlink"/>
    <w:uiPriority w:val="99"/>
    <w:semiHidden/>
    <w:unhideWhenUsed/>
    <w:rsid w:val="00432569"/>
    <w:rPr>
      <w:color w:val="954F72"/>
      <w:u w:val="single"/>
    </w:rPr>
  </w:style>
  <w:style w:type="paragraph" w:customStyle="1" w:styleId="xmsonormal">
    <w:name w:val="x_msonormal"/>
    <w:basedOn w:val="Normal"/>
    <w:rsid w:val="00EC68BF"/>
    <w:pPr>
      <w:widowControl/>
    </w:pPr>
    <w:rPr>
      <w:rFonts w:ascii="Calibri" w:hAnsi="Calibri" w:eastAsiaTheme="minorHAnsi" w:cs="Calibri"/>
      <w:snapToGrid/>
      <w:kern w:val="0"/>
      <w:szCs w:val="22"/>
    </w:rPr>
  </w:style>
  <w:style w:type="character" w:customStyle="1" w:styleId="UnresolvedMention">
    <w:name w:val="Unresolved Mention"/>
    <w:basedOn w:val="DefaultParagraphFont"/>
    <w:uiPriority w:val="99"/>
    <w:rsid w:val="006813E7"/>
    <w:rPr>
      <w:color w:val="605E5C"/>
      <w:shd w:val="clear" w:color="auto" w:fill="E1DFDD"/>
    </w:rPr>
  </w:style>
  <w:style w:type="character" w:customStyle="1" w:styleId="ALTSFOOTNOTEChar">
    <w:name w:val="ALTS FOOTNOTE Char"/>
    <w:aliases w:val="ALTS FOOTNOTE Char1 Char,Footnote Text Char Char Char,Footnote Text Char2 Char1 Char1 Char Char Char,Footnote Text Char3 Char1 Char Char Char,f Char"/>
    <w:rsid w:val="007E4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mailto:hcinfo@usac.org"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