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1C126427" w14:textId="77777777">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0898EBC9" w14:textId="35DB2DF1">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112888">
        <w:rPr>
          <w:b/>
          <w:szCs w:val="22"/>
        </w:rPr>
        <w:t>1570</w:t>
      </w:r>
    </w:p>
    <w:p w:rsidR="00E7033D" w14:paraId="6D9A39A9" w14:textId="77777777">
      <w:pPr>
        <w:spacing w:before="60"/>
        <w:jc w:val="right"/>
        <w:rPr>
          <w:b/>
          <w:szCs w:val="22"/>
        </w:rPr>
      </w:pPr>
      <w:r>
        <w:rPr>
          <w:b/>
          <w:szCs w:val="22"/>
        </w:rPr>
        <w:t xml:space="preserve">December </w:t>
      </w:r>
      <w:r w:rsidR="00F64B27">
        <w:rPr>
          <w:b/>
          <w:szCs w:val="22"/>
        </w:rPr>
        <w:t>15</w:t>
      </w:r>
      <w:r>
        <w:rPr>
          <w:b/>
          <w:szCs w:val="22"/>
        </w:rPr>
        <w:t xml:space="preserve">, </w:t>
      </w:r>
      <w:r w:rsidR="00830743">
        <w:rPr>
          <w:b/>
          <w:szCs w:val="22"/>
        </w:rPr>
        <w:t>2021</w:t>
      </w:r>
    </w:p>
    <w:p w:rsidR="00E7033D" w:rsidP="00AB5112" w14:paraId="50A2F8B6" w14:textId="77777777">
      <w:pPr>
        <w:tabs>
          <w:tab w:val="left" w:pos="5900"/>
        </w:tabs>
        <w:rPr>
          <w:szCs w:val="22"/>
        </w:rPr>
      </w:pPr>
      <w:r>
        <w:rPr>
          <w:szCs w:val="22"/>
        </w:rPr>
        <w:tab/>
      </w:r>
    </w:p>
    <w:p w:rsidR="00110B52" w:rsidP="001F67E3" w14:paraId="172C42C0" w14:textId="77777777">
      <w:pPr>
        <w:ind w:right="144"/>
        <w:jc w:val="center"/>
        <w:rPr>
          <w:b/>
          <w:bCs/>
          <w:szCs w:val="22"/>
        </w:rPr>
      </w:pPr>
      <w:bookmarkStart w:id="3" w:name="_Hlk519509475"/>
      <w:bookmarkStart w:id="4" w:name="_Hlk502044717"/>
      <w:bookmarkStart w:id="5" w:name="_Hlk516578398"/>
      <w:r>
        <w:rPr>
          <w:b/>
          <w:bCs/>
          <w:szCs w:val="22"/>
        </w:rPr>
        <w:t xml:space="preserve">SECTION 214 </w:t>
      </w:r>
      <w:r w:rsidRPr="00D96301" w:rsidR="00830743">
        <w:rPr>
          <w:b/>
          <w:bCs/>
          <w:szCs w:val="22"/>
        </w:rPr>
        <w:t>APPLICATION</w:t>
      </w:r>
      <w:r w:rsidR="00111CC8">
        <w:rPr>
          <w:b/>
          <w:bCs/>
          <w:szCs w:val="22"/>
        </w:rPr>
        <w:t>S</w:t>
      </w:r>
      <w:r w:rsidRPr="00D96301" w:rsidR="00830743">
        <w:rPr>
          <w:b/>
          <w:bCs/>
          <w:szCs w:val="22"/>
        </w:rPr>
        <w:t xml:space="preserve"> FILED FOR THE</w:t>
      </w:r>
      <w:r w:rsidR="00846A82">
        <w:rPr>
          <w:b/>
          <w:bCs/>
          <w:szCs w:val="22"/>
        </w:rPr>
        <w:t xml:space="preserve"> </w:t>
      </w:r>
      <w:r w:rsidR="00871CFC">
        <w:rPr>
          <w:b/>
          <w:bCs/>
          <w:szCs w:val="22"/>
        </w:rPr>
        <w:t xml:space="preserve">TRANSFER </w:t>
      </w:r>
      <w:r>
        <w:rPr>
          <w:b/>
          <w:bCs/>
          <w:szCs w:val="22"/>
        </w:rPr>
        <w:t>OF</w:t>
      </w:r>
      <w:r w:rsidR="00871CFC">
        <w:rPr>
          <w:b/>
          <w:bCs/>
          <w:szCs w:val="22"/>
        </w:rPr>
        <w:t xml:space="preserve"> </w:t>
      </w:r>
      <w:r w:rsidR="00475F48">
        <w:rPr>
          <w:b/>
          <w:bCs/>
          <w:szCs w:val="22"/>
        </w:rPr>
        <w:t>CO</w:t>
      </w:r>
      <w:r w:rsidR="00895F2E">
        <w:rPr>
          <w:b/>
          <w:bCs/>
          <w:szCs w:val="22"/>
        </w:rPr>
        <w:t>N</w:t>
      </w:r>
      <w:r w:rsidR="00475F48">
        <w:rPr>
          <w:b/>
          <w:bCs/>
          <w:szCs w:val="22"/>
        </w:rPr>
        <w:t xml:space="preserve">TROL OF </w:t>
      </w:r>
    </w:p>
    <w:p w:rsidR="00E7033D" w:rsidP="001F67E3" w14:paraId="1809710E" w14:textId="77777777">
      <w:pPr>
        <w:ind w:right="144"/>
        <w:jc w:val="center"/>
        <w:rPr>
          <w:b/>
          <w:bCs/>
          <w:szCs w:val="22"/>
        </w:rPr>
      </w:pPr>
      <w:r>
        <w:rPr>
          <w:b/>
          <w:bCs/>
          <w:szCs w:val="22"/>
        </w:rPr>
        <w:t xml:space="preserve">GTT COMMUNICATIONS, INC., DEBTOR-IN-POSSESSION </w:t>
      </w:r>
      <w:bookmarkEnd w:id="3"/>
      <w:bookmarkEnd w:id="4"/>
      <w:bookmarkEnd w:id="5"/>
    </w:p>
    <w:p w:rsidR="001F67E3" w14:paraId="3D42ED7E" w14:textId="77777777">
      <w:pPr>
        <w:jc w:val="center"/>
        <w:rPr>
          <w:b/>
          <w:bCs/>
          <w:szCs w:val="22"/>
        </w:rPr>
      </w:pPr>
    </w:p>
    <w:p w:rsidR="00E7033D" w14:paraId="4B9DD895" w14:textId="77777777">
      <w:pPr>
        <w:jc w:val="center"/>
        <w:rPr>
          <w:b/>
          <w:szCs w:val="22"/>
        </w:rPr>
      </w:pPr>
      <w:r>
        <w:rPr>
          <w:b/>
          <w:szCs w:val="22"/>
        </w:rPr>
        <w:t>PLEADING CYCLE ESTABLISHED</w:t>
      </w:r>
    </w:p>
    <w:p w:rsidR="00E7033D" w14:paraId="018AB5DB" w14:textId="77777777">
      <w:pPr>
        <w:jc w:val="center"/>
        <w:rPr>
          <w:b/>
          <w:szCs w:val="22"/>
        </w:rPr>
      </w:pPr>
    </w:p>
    <w:p w:rsidR="00E7033D" w14:paraId="416F5159" w14:textId="77777777">
      <w:pPr>
        <w:jc w:val="center"/>
        <w:rPr>
          <w:b/>
          <w:szCs w:val="22"/>
        </w:rPr>
      </w:pPr>
      <w:r w:rsidRPr="00AB369C">
        <w:rPr>
          <w:b/>
          <w:szCs w:val="22"/>
        </w:rPr>
        <w:t>WC Docket No. 21-</w:t>
      </w:r>
      <w:r w:rsidR="007934F5">
        <w:rPr>
          <w:b/>
          <w:szCs w:val="22"/>
        </w:rPr>
        <w:t>4</w:t>
      </w:r>
      <w:r w:rsidR="00CB1B9D">
        <w:rPr>
          <w:b/>
          <w:szCs w:val="22"/>
        </w:rPr>
        <w:t>45</w:t>
      </w:r>
    </w:p>
    <w:p w:rsidR="00E7033D" w14:paraId="6690A56A" w14:textId="77777777">
      <w:pPr>
        <w:jc w:val="center"/>
        <w:rPr>
          <w:szCs w:val="22"/>
        </w:rPr>
      </w:pPr>
    </w:p>
    <w:bookmarkEnd w:id="1"/>
    <w:p w:rsidR="00AB369C" w:rsidRPr="006F586C" w:rsidP="00AB369C" w14:paraId="5626AFE5" w14:textId="77777777">
      <w:pPr>
        <w:tabs>
          <w:tab w:val="left" w:pos="6221"/>
        </w:tabs>
        <w:autoSpaceDE w:val="0"/>
        <w:autoSpaceDN w:val="0"/>
        <w:adjustRightInd w:val="0"/>
        <w:rPr>
          <w:b/>
          <w:szCs w:val="22"/>
        </w:rPr>
      </w:pPr>
      <w:r w:rsidRPr="006F586C">
        <w:rPr>
          <w:b/>
          <w:szCs w:val="22"/>
        </w:rPr>
        <w:t xml:space="preserve">Comments Due:  </w:t>
      </w:r>
      <w:r w:rsidR="00DA4A41">
        <w:rPr>
          <w:b/>
          <w:szCs w:val="22"/>
        </w:rPr>
        <w:t>December</w:t>
      </w:r>
      <w:r w:rsidR="007934F5">
        <w:rPr>
          <w:b/>
          <w:szCs w:val="22"/>
        </w:rPr>
        <w:t xml:space="preserve"> </w:t>
      </w:r>
      <w:r w:rsidR="00F64B27">
        <w:rPr>
          <w:b/>
          <w:szCs w:val="22"/>
        </w:rPr>
        <w:t>29</w:t>
      </w:r>
      <w:r w:rsidRPr="006F586C">
        <w:rPr>
          <w:b/>
          <w:szCs w:val="22"/>
        </w:rPr>
        <w:t>, 2021</w:t>
      </w:r>
    </w:p>
    <w:p w:rsidR="00CB1B9D" w:rsidP="00AB369C" w14:paraId="2536BC9C" w14:textId="77777777">
      <w:pPr>
        <w:tabs>
          <w:tab w:val="left" w:pos="6221"/>
        </w:tabs>
        <w:autoSpaceDE w:val="0"/>
        <w:autoSpaceDN w:val="0"/>
        <w:adjustRightInd w:val="0"/>
        <w:rPr>
          <w:b/>
          <w:szCs w:val="22"/>
        </w:rPr>
      </w:pPr>
      <w:r w:rsidRPr="006F586C">
        <w:rPr>
          <w:b/>
          <w:szCs w:val="22"/>
        </w:rPr>
        <w:t xml:space="preserve">Reply Comments Due:  </w:t>
      </w:r>
      <w:r w:rsidR="000371EC">
        <w:rPr>
          <w:b/>
          <w:szCs w:val="22"/>
        </w:rPr>
        <w:t xml:space="preserve">January </w:t>
      </w:r>
      <w:r w:rsidR="00F64B27">
        <w:rPr>
          <w:b/>
          <w:szCs w:val="22"/>
        </w:rPr>
        <w:t>5</w:t>
      </w:r>
      <w:r w:rsidR="00FD3D14">
        <w:rPr>
          <w:b/>
          <w:szCs w:val="22"/>
        </w:rPr>
        <w:t>,</w:t>
      </w:r>
      <w:r w:rsidRPr="006F586C">
        <w:rPr>
          <w:b/>
          <w:szCs w:val="22"/>
        </w:rPr>
        <w:t xml:space="preserve"> 202</w:t>
      </w:r>
      <w:r w:rsidR="004E1D88">
        <w:rPr>
          <w:b/>
          <w:szCs w:val="22"/>
        </w:rPr>
        <w:t>2</w:t>
      </w:r>
    </w:p>
    <w:bookmarkEnd w:id="2"/>
    <w:p w:rsidR="00760269" w:rsidRPr="005B2105" w:rsidP="00AB369C" w14:paraId="3FEE6D09" w14:textId="77777777">
      <w:pPr>
        <w:tabs>
          <w:tab w:val="left" w:pos="6221"/>
        </w:tabs>
        <w:autoSpaceDE w:val="0"/>
        <w:autoSpaceDN w:val="0"/>
        <w:adjustRightInd w:val="0"/>
        <w:rPr>
          <w:szCs w:val="22"/>
        </w:rPr>
      </w:pPr>
    </w:p>
    <w:p w:rsidR="00CB1B9D" w:rsidP="000754B1" w14:paraId="38D9CD3C" w14:textId="77777777">
      <w:pPr>
        <w:autoSpaceDE w:val="0"/>
        <w:autoSpaceDN w:val="0"/>
        <w:adjustRightInd w:val="0"/>
        <w:spacing w:after="120"/>
        <w:ind w:firstLine="720"/>
        <w:rPr>
          <w:szCs w:val="22"/>
        </w:rPr>
      </w:pPr>
      <w:r w:rsidRPr="00AB5112">
        <w:rPr>
          <w:szCs w:val="22"/>
        </w:rPr>
        <w:t>By this Public Notice, the Wireline Competition Bureau</w:t>
      </w:r>
      <w:r w:rsidRPr="00AB5112" w:rsidR="008A5E3E">
        <w:rPr>
          <w:szCs w:val="22"/>
        </w:rPr>
        <w:t xml:space="preserve"> </w:t>
      </w:r>
      <w:r w:rsidR="006F5D93">
        <w:rPr>
          <w:szCs w:val="22"/>
        </w:rPr>
        <w:t xml:space="preserve">and International Bureau </w:t>
      </w:r>
      <w:r w:rsidRPr="00AB5112">
        <w:rPr>
          <w:szCs w:val="22"/>
        </w:rPr>
        <w:t>seek comment from interested parties</w:t>
      </w:r>
      <w:r w:rsidRPr="00AB5112" w:rsidR="007572E5">
        <w:rPr>
          <w:szCs w:val="22"/>
        </w:rPr>
        <w:t xml:space="preserve"> </w:t>
      </w:r>
      <w:r w:rsidRPr="00AB5112" w:rsidR="00EA6114">
        <w:rPr>
          <w:szCs w:val="22"/>
        </w:rPr>
        <w:t>on application</w:t>
      </w:r>
      <w:r w:rsidR="00BD1655">
        <w:rPr>
          <w:szCs w:val="22"/>
        </w:rPr>
        <w:t>s</w:t>
      </w:r>
      <w:r>
        <w:rPr>
          <w:rStyle w:val="FootnoteReference"/>
          <w:szCs w:val="22"/>
        </w:rPr>
        <w:footnoteReference w:id="3"/>
      </w:r>
      <w:r w:rsidRPr="00AB5112" w:rsidR="00EA6114">
        <w:rPr>
          <w:szCs w:val="22"/>
        </w:rPr>
        <w:t xml:space="preserve"> </w:t>
      </w:r>
      <w:r w:rsidRPr="00AB5112" w:rsidR="00876514">
        <w:rPr>
          <w:szCs w:val="22"/>
        </w:rPr>
        <w:t xml:space="preserve">filed </w:t>
      </w:r>
      <w:r w:rsidRPr="00AB5112" w:rsidR="008F2C68">
        <w:rPr>
          <w:szCs w:val="22"/>
        </w:rPr>
        <w:t xml:space="preserve">by </w:t>
      </w:r>
      <w:r>
        <w:rPr>
          <w:szCs w:val="22"/>
        </w:rPr>
        <w:t>GTT Communications, Inc., debtor-in-possession (GTT</w:t>
      </w:r>
      <w:r w:rsidR="00595021">
        <w:rPr>
          <w:szCs w:val="22"/>
        </w:rPr>
        <w:t>)</w:t>
      </w:r>
      <w:r w:rsidR="00BD1655">
        <w:rPr>
          <w:szCs w:val="22"/>
        </w:rPr>
        <w:t>,</w:t>
      </w:r>
      <w:r>
        <w:rPr>
          <w:szCs w:val="22"/>
        </w:rPr>
        <w:t xml:space="preserve"> and</w:t>
      </w:r>
      <w:r w:rsidR="000754B1">
        <w:rPr>
          <w:szCs w:val="22"/>
        </w:rPr>
        <w:t xml:space="preserve"> </w:t>
      </w:r>
      <w:r>
        <w:rPr>
          <w:szCs w:val="22"/>
        </w:rPr>
        <w:t xml:space="preserve">its direct and indirect subsidiaries, </w:t>
      </w:r>
      <w:r w:rsidR="00595021">
        <w:rPr>
          <w:szCs w:val="22"/>
        </w:rPr>
        <w:t>GTT Americas, LLC, debtor-in-possession (GTT Americas)</w:t>
      </w:r>
      <w:r w:rsidR="00BD1655">
        <w:rPr>
          <w:szCs w:val="22"/>
        </w:rPr>
        <w:t>,</w:t>
      </w:r>
      <w:r w:rsidR="00595021">
        <w:rPr>
          <w:szCs w:val="22"/>
        </w:rPr>
        <w:t xml:space="preserve"> and GC Pivotal, LLC, debtor-in-possession </w:t>
      </w:r>
      <w:r w:rsidR="0064533D">
        <w:rPr>
          <w:szCs w:val="22"/>
        </w:rPr>
        <w:t xml:space="preserve">(GC Pivotal) (GTT Americas and GC Pivotal, together, GTT Subsidiaries) (GTT and GTT </w:t>
      </w:r>
      <w:r w:rsidR="00110B52">
        <w:rPr>
          <w:szCs w:val="22"/>
        </w:rPr>
        <w:t>S</w:t>
      </w:r>
      <w:r w:rsidR="0064533D">
        <w:rPr>
          <w:szCs w:val="22"/>
        </w:rPr>
        <w:t xml:space="preserve">ubsidiaries, together, the Company </w:t>
      </w:r>
      <w:r w:rsidR="00351F33">
        <w:rPr>
          <w:szCs w:val="22"/>
        </w:rPr>
        <w:t>or</w:t>
      </w:r>
      <w:r w:rsidR="0064533D">
        <w:rPr>
          <w:szCs w:val="22"/>
        </w:rPr>
        <w:t xml:space="preserve"> </w:t>
      </w:r>
      <w:r w:rsidRPr="00F80231" w:rsidR="0064533D">
        <w:rPr>
          <w:szCs w:val="22"/>
        </w:rPr>
        <w:t>Applicants</w:t>
      </w:r>
      <w:r w:rsidR="0064533D">
        <w:rPr>
          <w:szCs w:val="22"/>
        </w:rPr>
        <w:t>)</w:t>
      </w:r>
      <w:r w:rsidRPr="00AB5112" w:rsidR="008F2C68">
        <w:rPr>
          <w:szCs w:val="22"/>
        </w:rPr>
        <w:t>,</w:t>
      </w:r>
      <w:r>
        <w:rPr>
          <w:rStyle w:val="FootnoteReference"/>
          <w:szCs w:val="22"/>
        </w:rPr>
        <w:footnoteReference w:id="4"/>
      </w:r>
      <w:r w:rsidRPr="00AB5112" w:rsidR="008F2C68">
        <w:rPr>
          <w:szCs w:val="22"/>
        </w:rPr>
        <w:t xml:space="preserve"> </w:t>
      </w:r>
      <w:r w:rsidRPr="00AB5112" w:rsidR="00EC10D1">
        <w:rPr>
          <w:szCs w:val="22"/>
        </w:rPr>
        <w:t xml:space="preserve">pursuant to </w:t>
      </w:r>
      <w:r w:rsidRPr="00AB5112" w:rsidR="008036BB">
        <w:rPr>
          <w:szCs w:val="22"/>
        </w:rPr>
        <w:t>s</w:t>
      </w:r>
      <w:r w:rsidRPr="00AB5112" w:rsidR="00EC10D1">
        <w:rPr>
          <w:szCs w:val="22"/>
        </w:rPr>
        <w:t>ection 214 of the Communications Act of 1934, as amended,</w:t>
      </w:r>
      <w:r>
        <w:rPr>
          <w:rStyle w:val="FootnoteReference"/>
          <w:szCs w:val="22"/>
        </w:rPr>
        <w:footnoteReference w:id="5"/>
      </w:r>
      <w:r w:rsidRPr="00AB5112" w:rsidR="00EC10D1">
        <w:rPr>
          <w:szCs w:val="22"/>
        </w:rPr>
        <w:t xml:space="preserve"> and sections 63.03-04</w:t>
      </w:r>
      <w:r w:rsidR="00110B52">
        <w:rPr>
          <w:szCs w:val="22"/>
        </w:rPr>
        <w:t>, 63</w:t>
      </w:r>
      <w:r w:rsidR="00861933">
        <w:rPr>
          <w:szCs w:val="22"/>
        </w:rPr>
        <w:t>.</w:t>
      </w:r>
      <w:r w:rsidR="00110B52">
        <w:rPr>
          <w:szCs w:val="22"/>
        </w:rPr>
        <w:t>18, and 63.24</w:t>
      </w:r>
      <w:r w:rsidRPr="00AB5112" w:rsidR="008B4FC7">
        <w:rPr>
          <w:szCs w:val="22"/>
        </w:rPr>
        <w:t xml:space="preserve"> </w:t>
      </w:r>
      <w:r w:rsidRPr="00AB5112" w:rsidR="00EC10D1">
        <w:rPr>
          <w:szCs w:val="22"/>
        </w:rPr>
        <w:t>of the Commission’s rules,</w:t>
      </w:r>
      <w:r>
        <w:rPr>
          <w:rStyle w:val="FootnoteReference"/>
          <w:szCs w:val="22"/>
        </w:rPr>
        <w:footnoteReference w:id="6"/>
      </w:r>
      <w:r w:rsidRPr="00AB5112" w:rsidR="00EC10D1">
        <w:rPr>
          <w:szCs w:val="22"/>
        </w:rPr>
        <w:t xml:space="preserve"> </w:t>
      </w:r>
      <w:r w:rsidRPr="00AB5112">
        <w:rPr>
          <w:szCs w:val="22"/>
        </w:rPr>
        <w:t>request</w:t>
      </w:r>
      <w:r w:rsidRPr="00AB5112" w:rsidR="008F2C68">
        <w:rPr>
          <w:szCs w:val="22"/>
        </w:rPr>
        <w:t>ing</w:t>
      </w:r>
      <w:r w:rsidRPr="00AB5112">
        <w:rPr>
          <w:szCs w:val="22"/>
        </w:rPr>
        <w:t xml:space="preserve"> consent </w:t>
      </w:r>
      <w:r w:rsidR="008974B1">
        <w:rPr>
          <w:szCs w:val="22"/>
        </w:rPr>
        <w:t>for the</w:t>
      </w:r>
      <w:r w:rsidR="00110B52">
        <w:rPr>
          <w:szCs w:val="22"/>
        </w:rPr>
        <w:t xml:space="preserve"> assignment of the section 214 authorizations held by the GTT Subsidiaries, as debtors-in-possession, to the re</w:t>
      </w:r>
      <w:r w:rsidR="0066589B">
        <w:rPr>
          <w:szCs w:val="22"/>
        </w:rPr>
        <w:t xml:space="preserve">organized GTT Subsidiaries, and the </w:t>
      </w:r>
      <w:r w:rsidRPr="000754B1" w:rsidR="000754B1">
        <w:rPr>
          <w:szCs w:val="22"/>
        </w:rPr>
        <w:t>transfer of control of GTT from the existing stockholders to new equity holders of reorganized GTT (Reorganized GTT)</w:t>
      </w:r>
      <w:r w:rsidR="0066589B">
        <w:rPr>
          <w:szCs w:val="22"/>
        </w:rPr>
        <w:t xml:space="preserve"> following GTT’s emergence from </w:t>
      </w:r>
      <w:r w:rsidR="00861933">
        <w:rPr>
          <w:szCs w:val="22"/>
        </w:rPr>
        <w:t xml:space="preserve">Chapter 11 </w:t>
      </w:r>
      <w:r w:rsidR="0066589B">
        <w:rPr>
          <w:szCs w:val="22"/>
        </w:rPr>
        <w:t>bankruptcy</w:t>
      </w:r>
      <w:r w:rsidR="000754B1">
        <w:rPr>
          <w:szCs w:val="22"/>
        </w:rPr>
        <w:t>.</w:t>
      </w:r>
      <w:r w:rsidRPr="00AB5112" w:rsidR="005320B5">
        <w:rPr>
          <w:szCs w:val="22"/>
        </w:rPr>
        <w:t xml:space="preserve"> </w:t>
      </w:r>
      <w:r w:rsidRPr="00AB5112" w:rsidR="0028555C">
        <w:rPr>
          <w:szCs w:val="22"/>
        </w:rPr>
        <w:t xml:space="preserve"> </w:t>
      </w:r>
    </w:p>
    <w:p w:rsidR="00F30EAA" w:rsidP="005A292D" w14:paraId="16A33DE8" w14:textId="77777777">
      <w:pPr>
        <w:autoSpaceDE w:val="0"/>
        <w:autoSpaceDN w:val="0"/>
        <w:adjustRightInd w:val="0"/>
        <w:spacing w:after="120"/>
        <w:ind w:firstLine="720"/>
        <w:rPr>
          <w:rStyle w:val="markedcontent"/>
          <w:szCs w:val="22"/>
        </w:rPr>
      </w:pPr>
      <w:r>
        <w:rPr>
          <w:rStyle w:val="markedcontent"/>
          <w:szCs w:val="22"/>
        </w:rPr>
        <w:t>GTT is a Delaware holding company that does not hold any section 214 authorizations itself.</w:t>
      </w:r>
      <w:r>
        <w:rPr>
          <w:rStyle w:val="FootnoteReference"/>
          <w:szCs w:val="22"/>
        </w:rPr>
        <w:footnoteReference w:id="7"/>
      </w:r>
      <w:r>
        <w:rPr>
          <w:rStyle w:val="markedcontent"/>
          <w:szCs w:val="22"/>
        </w:rPr>
        <w:t xml:space="preserve">  </w:t>
      </w:r>
      <w:r w:rsidR="001247DC">
        <w:rPr>
          <w:rStyle w:val="markedcontent"/>
          <w:szCs w:val="22"/>
        </w:rPr>
        <w:t xml:space="preserve">GTT indirectly wholly-owns GTT Americas, a </w:t>
      </w:r>
      <w:r w:rsidR="0075148C">
        <w:rPr>
          <w:rStyle w:val="markedcontent"/>
          <w:szCs w:val="22"/>
        </w:rPr>
        <w:t>Delaware limited liability company, which is the direct parent of GC Pivotal.</w:t>
      </w:r>
      <w:r>
        <w:rPr>
          <w:rStyle w:val="FootnoteReference"/>
          <w:szCs w:val="22"/>
        </w:rPr>
        <w:footnoteReference w:id="8"/>
      </w:r>
      <w:r w:rsidR="00EE0E2B">
        <w:rPr>
          <w:rStyle w:val="markedcontent"/>
          <w:szCs w:val="22"/>
        </w:rPr>
        <w:t xml:space="preserve">  </w:t>
      </w:r>
      <w:r>
        <w:rPr>
          <w:rStyle w:val="markedcontent"/>
          <w:szCs w:val="22"/>
        </w:rPr>
        <w:t xml:space="preserve">GTT Americas </w:t>
      </w:r>
      <w:r w:rsidRPr="00461089">
        <w:rPr>
          <w:rStyle w:val="markedcontent"/>
          <w:color w:val="000000"/>
          <w:szCs w:val="22"/>
        </w:rPr>
        <w:t>holds authority</w:t>
      </w:r>
      <w:r>
        <w:rPr>
          <w:rStyle w:val="markedcontent"/>
          <w:szCs w:val="22"/>
        </w:rPr>
        <w:t xml:space="preserve"> from the Commission to provide interstate and international telecommunications services</w:t>
      </w:r>
      <w:r w:rsidR="004E6EDB">
        <w:rPr>
          <w:rStyle w:val="markedcontent"/>
          <w:szCs w:val="22"/>
        </w:rPr>
        <w:t xml:space="preserve"> </w:t>
      </w:r>
      <w:r w:rsidRPr="00D172BF" w:rsidR="0075148C">
        <w:rPr>
          <w:rStyle w:val="markedcontent"/>
          <w:szCs w:val="22"/>
        </w:rPr>
        <w:t xml:space="preserve">in all of the 48 states in the continental United States plus Hawaii and the District of Columbia </w:t>
      </w:r>
      <w:r w:rsidR="004E6EDB">
        <w:rPr>
          <w:rStyle w:val="markedcontent"/>
          <w:szCs w:val="22"/>
        </w:rPr>
        <w:t>and</w:t>
      </w:r>
      <w:r>
        <w:rPr>
          <w:rStyle w:val="markedcontent"/>
          <w:szCs w:val="22"/>
        </w:rPr>
        <w:t xml:space="preserve"> provide</w:t>
      </w:r>
      <w:r w:rsidR="00C51909">
        <w:rPr>
          <w:rStyle w:val="markedcontent"/>
          <w:szCs w:val="22"/>
        </w:rPr>
        <w:t>s</w:t>
      </w:r>
      <w:r>
        <w:rPr>
          <w:rStyle w:val="markedcontent"/>
          <w:szCs w:val="22"/>
        </w:rPr>
        <w:t xml:space="preserve"> </w:t>
      </w:r>
      <w:r w:rsidR="004E6EDB">
        <w:rPr>
          <w:rStyle w:val="markedcontent"/>
          <w:szCs w:val="22"/>
        </w:rPr>
        <w:t xml:space="preserve">services as a </w:t>
      </w:r>
      <w:r>
        <w:rPr>
          <w:rStyle w:val="markedcontent"/>
          <w:szCs w:val="22"/>
        </w:rPr>
        <w:t xml:space="preserve">competitive local </w:t>
      </w:r>
      <w:r w:rsidR="004E6EDB">
        <w:rPr>
          <w:rStyle w:val="markedcontent"/>
          <w:szCs w:val="22"/>
        </w:rPr>
        <w:t xml:space="preserve">exchange </w:t>
      </w:r>
      <w:r>
        <w:rPr>
          <w:rStyle w:val="markedcontent"/>
          <w:szCs w:val="22"/>
        </w:rPr>
        <w:t xml:space="preserve">carrier </w:t>
      </w:r>
      <w:r w:rsidRPr="005A292D" w:rsidR="004E6EDB">
        <w:rPr>
          <w:rStyle w:val="markedcontent"/>
          <w:szCs w:val="22"/>
        </w:rPr>
        <w:t>(LEC)</w:t>
      </w:r>
      <w:r w:rsidR="004E6EDB">
        <w:rPr>
          <w:rStyle w:val="markedcontent"/>
          <w:szCs w:val="22"/>
        </w:rPr>
        <w:t xml:space="preserve"> </w:t>
      </w:r>
      <w:r>
        <w:rPr>
          <w:rStyle w:val="markedcontent"/>
          <w:szCs w:val="22"/>
        </w:rPr>
        <w:t xml:space="preserve">in </w:t>
      </w:r>
      <w:r w:rsidRPr="00D172BF">
        <w:rPr>
          <w:rStyle w:val="markedcontent"/>
          <w:szCs w:val="22"/>
        </w:rPr>
        <w:t>California.</w:t>
      </w:r>
      <w:r>
        <w:rPr>
          <w:rStyle w:val="FootnoteReference"/>
          <w:szCs w:val="22"/>
        </w:rPr>
        <w:footnoteReference w:id="9"/>
      </w:r>
      <w:r w:rsidRPr="00D172BF">
        <w:rPr>
          <w:rStyle w:val="markedcontent"/>
          <w:szCs w:val="22"/>
        </w:rPr>
        <w:t xml:space="preserve"> </w:t>
      </w:r>
      <w:r w:rsidRPr="00D172BF" w:rsidR="005A292D">
        <w:rPr>
          <w:rStyle w:val="markedcontent"/>
          <w:szCs w:val="22"/>
        </w:rPr>
        <w:t xml:space="preserve"> </w:t>
      </w:r>
      <w:r w:rsidR="00861933">
        <w:rPr>
          <w:rStyle w:val="markedcontent"/>
          <w:szCs w:val="22"/>
        </w:rPr>
        <w:t xml:space="preserve">GC Pivotal is a direct, wholly-owned subsidiary of GTT Americas and has been authorized to provide competitive LEC and interexchange services in multiple states, </w:t>
      </w:r>
      <w:r w:rsidR="009636EA">
        <w:rPr>
          <w:rStyle w:val="markedcontent"/>
          <w:szCs w:val="22"/>
        </w:rPr>
        <w:t xml:space="preserve">primarily serving </w:t>
      </w:r>
      <w:r w:rsidR="00861933">
        <w:rPr>
          <w:rStyle w:val="markedcontent"/>
          <w:szCs w:val="22"/>
        </w:rPr>
        <w:t>enterprise customers.</w:t>
      </w:r>
      <w:r>
        <w:rPr>
          <w:rStyle w:val="FootnoteReference"/>
          <w:szCs w:val="22"/>
        </w:rPr>
        <w:footnoteReference w:id="10"/>
      </w:r>
      <w:r w:rsidR="00861933">
        <w:rPr>
          <w:rStyle w:val="markedcontent"/>
          <w:szCs w:val="22"/>
        </w:rPr>
        <w:t xml:space="preserve">  GC Pivotal also </w:t>
      </w:r>
      <w:r w:rsidRPr="00461089" w:rsidR="00861933">
        <w:rPr>
          <w:rStyle w:val="markedcontent"/>
          <w:color w:val="000000"/>
          <w:szCs w:val="22"/>
        </w:rPr>
        <w:t>holds authority</w:t>
      </w:r>
      <w:r w:rsidR="00861933">
        <w:rPr>
          <w:rStyle w:val="markedcontent"/>
          <w:szCs w:val="22"/>
        </w:rPr>
        <w:t xml:space="preserve"> from the Commission to provide interstate and international telecommunications services </w:t>
      </w:r>
      <w:r w:rsidRPr="00D172BF" w:rsidR="00861933">
        <w:rPr>
          <w:rStyle w:val="markedcontent"/>
          <w:szCs w:val="22"/>
        </w:rPr>
        <w:t>in all of the 48 states in the continental United States plus Hawaii and the District of Columbia</w:t>
      </w:r>
      <w:r w:rsidR="00861933">
        <w:rPr>
          <w:rStyle w:val="markedcontent"/>
          <w:szCs w:val="22"/>
        </w:rPr>
        <w:t>.</w:t>
      </w:r>
      <w:r>
        <w:rPr>
          <w:rStyle w:val="FootnoteReference"/>
          <w:szCs w:val="22"/>
        </w:rPr>
        <w:footnoteReference w:id="11"/>
      </w:r>
      <w:r w:rsidR="00861933">
        <w:rPr>
          <w:rStyle w:val="markedcontent"/>
          <w:szCs w:val="22"/>
        </w:rPr>
        <w:t xml:space="preserve">  </w:t>
      </w:r>
      <w:r w:rsidRPr="00D172BF" w:rsidR="00861933">
        <w:rPr>
          <w:rStyle w:val="markedcontent"/>
          <w:szCs w:val="22"/>
        </w:rPr>
        <w:t xml:space="preserve"> </w:t>
      </w:r>
      <w:r w:rsidR="009636EA">
        <w:rPr>
          <w:rStyle w:val="markedcontent"/>
          <w:szCs w:val="22"/>
        </w:rPr>
        <w:t>A</w:t>
      </w:r>
      <w:r w:rsidRPr="00D172BF" w:rsidR="005A292D">
        <w:rPr>
          <w:rStyle w:val="markedcontent"/>
          <w:szCs w:val="22"/>
        </w:rPr>
        <w:t>fter emergence from bankruptcy, the GTT Subsidiaries will continue to operate</w:t>
      </w:r>
      <w:r w:rsidR="003A7ABA">
        <w:rPr>
          <w:rStyle w:val="markedcontent"/>
          <w:szCs w:val="22"/>
        </w:rPr>
        <w:t xml:space="preserve"> in their service territories</w:t>
      </w:r>
      <w:r w:rsidRPr="00D172BF" w:rsidR="005A292D">
        <w:rPr>
          <w:rStyle w:val="markedcontent"/>
          <w:szCs w:val="22"/>
        </w:rPr>
        <w:t>.</w:t>
      </w:r>
      <w:r>
        <w:rPr>
          <w:rStyle w:val="FootnoteReference"/>
          <w:szCs w:val="22"/>
        </w:rPr>
        <w:footnoteReference w:id="12"/>
      </w:r>
    </w:p>
    <w:p w:rsidR="003A7ABA" w:rsidRPr="00D34D9F" w:rsidP="003A7ABA" w14:paraId="0F8AAF39" w14:textId="77777777">
      <w:pPr>
        <w:autoSpaceDE w:val="0"/>
        <w:autoSpaceDN w:val="0"/>
        <w:adjustRightInd w:val="0"/>
        <w:spacing w:after="120"/>
        <w:ind w:firstLine="720"/>
        <w:rPr>
          <w:szCs w:val="22"/>
        </w:rPr>
      </w:pPr>
      <w:r>
        <w:rPr>
          <w:szCs w:val="22"/>
        </w:rPr>
        <w:t xml:space="preserve">Applicants state that the reorganization Plan </w:t>
      </w:r>
      <w:r>
        <w:rPr>
          <w:sz w:val="23"/>
          <w:szCs w:val="23"/>
        </w:rPr>
        <w:t>“provides for the issuance of new equity interests representing 100% of the voting and equity ownership in Reorganized GTT at Emergence [from Chapter 11] to the Debtors’ Funded Debt Creditors (as defined herein).   Specifically, upon Emergence, the holders of the 2018 Credit Facility Claims</w:t>
      </w:r>
      <w:r>
        <w:rPr>
          <w:rStyle w:val="FootnoteReference"/>
          <w:sz w:val="23"/>
          <w:szCs w:val="23"/>
        </w:rPr>
        <w:footnoteReference w:id="13"/>
      </w:r>
      <w:r>
        <w:rPr>
          <w:sz w:val="16"/>
          <w:szCs w:val="16"/>
        </w:rPr>
        <w:t xml:space="preserve"> </w:t>
      </w:r>
      <w:r>
        <w:rPr>
          <w:sz w:val="23"/>
          <w:szCs w:val="23"/>
        </w:rPr>
        <w:t>will receive on a pro rata basis 88% of the new equity interests in Reorganized GTT and the holders of Senior Notes Claims</w:t>
      </w:r>
      <w:r>
        <w:rPr>
          <w:rStyle w:val="FootnoteReference"/>
          <w:sz w:val="23"/>
          <w:szCs w:val="23"/>
        </w:rPr>
        <w:footnoteReference w:id="14"/>
      </w:r>
      <w:r>
        <w:rPr>
          <w:sz w:val="16"/>
          <w:szCs w:val="16"/>
        </w:rPr>
        <w:t xml:space="preserve"> </w:t>
      </w:r>
      <w:r>
        <w:rPr>
          <w:sz w:val="23"/>
          <w:szCs w:val="23"/>
        </w:rPr>
        <w:t>will receive 12% of the new equity interests in Reorganized GTT (the holders of such 2018 Credit Facility Claims and Senior Notes Claims, collectively, the “Funded Debt Creditors”).”</w:t>
      </w:r>
      <w:r>
        <w:rPr>
          <w:rStyle w:val="FootnoteReference"/>
          <w:sz w:val="23"/>
          <w:szCs w:val="23"/>
        </w:rPr>
        <w:footnoteReference w:id="15"/>
      </w:r>
      <w:r w:rsidRPr="00D34D9F">
        <w:rPr>
          <w:szCs w:val="22"/>
        </w:rPr>
        <w:t xml:space="preserve">  </w:t>
      </w:r>
    </w:p>
    <w:p w:rsidR="005D508E" w:rsidP="0078218F" w14:paraId="5670CB30" w14:textId="77777777">
      <w:pPr>
        <w:autoSpaceDE w:val="0"/>
        <w:autoSpaceDN w:val="0"/>
        <w:adjustRightInd w:val="0"/>
        <w:spacing w:after="120"/>
        <w:ind w:firstLine="720"/>
        <w:rPr>
          <w:szCs w:val="22"/>
        </w:rPr>
      </w:pPr>
      <w:r>
        <w:rPr>
          <w:szCs w:val="22"/>
        </w:rPr>
        <w:t>R</w:t>
      </w:r>
      <w:r w:rsidRPr="005D508E">
        <w:rPr>
          <w:szCs w:val="22"/>
        </w:rPr>
        <w:t xml:space="preserve">eorganized GTT will be widely held after </w:t>
      </w:r>
      <w:r>
        <w:rPr>
          <w:szCs w:val="22"/>
        </w:rPr>
        <w:t>e</w:t>
      </w:r>
      <w:r w:rsidRPr="005D508E">
        <w:rPr>
          <w:szCs w:val="22"/>
        </w:rPr>
        <w:t>mergence</w:t>
      </w:r>
      <w:r>
        <w:rPr>
          <w:szCs w:val="22"/>
        </w:rPr>
        <w:t xml:space="preserve"> from Chapter 11</w:t>
      </w:r>
      <w:r w:rsidR="00C52747">
        <w:rPr>
          <w:szCs w:val="22"/>
        </w:rPr>
        <w:t xml:space="preserve"> pursuant to the </w:t>
      </w:r>
      <w:r w:rsidR="003A7ABA">
        <w:rPr>
          <w:szCs w:val="22"/>
        </w:rPr>
        <w:t xml:space="preserve">reorganization </w:t>
      </w:r>
      <w:r w:rsidR="00C52747">
        <w:rPr>
          <w:szCs w:val="22"/>
        </w:rPr>
        <w:t>Plan</w:t>
      </w:r>
      <w:r w:rsidR="003A7ABA">
        <w:rPr>
          <w:szCs w:val="22"/>
        </w:rPr>
        <w:t>.</w:t>
      </w:r>
      <w:r>
        <w:rPr>
          <w:rStyle w:val="FootnoteReference"/>
          <w:szCs w:val="22"/>
        </w:rPr>
        <w:footnoteReference w:id="16"/>
      </w:r>
      <w:r w:rsidRPr="005D508E">
        <w:rPr>
          <w:szCs w:val="22"/>
        </w:rPr>
        <w:t xml:space="preserve"> </w:t>
      </w:r>
      <w:r>
        <w:rPr>
          <w:szCs w:val="22"/>
        </w:rPr>
        <w:t xml:space="preserve"> Applicants state that, b</w:t>
      </w:r>
      <w:r w:rsidRPr="005D508E">
        <w:rPr>
          <w:szCs w:val="22"/>
        </w:rPr>
        <w:t xml:space="preserve">ased upon </w:t>
      </w:r>
      <w:r>
        <w:rPr>
          <w:szCs w:val="22"/>
        </w:rPr>
        <w:t xml:space="preserve">current </w:t>
      </w:r>
      <w:r w:rsidRPr="005D508E">
        <w:rPr>
          <w:szCs w:val="22"/>
        </w:rPr>
        <w:t>holdings</w:t>
      </w:r>
      <w:r>
        <w:rPr>
          <w:szCs w:val="22"/>
        </w:rPr>
        <w:t>,</w:t>
      </w:r>
      <w:r w:rsidRPr="005D508E">
        <w:rPr>
          <w:szCs w:val="22"/>
        </w:rPr>
        <w:t xml:space="preserve"> </w:t>
      </w:r>
      <w:r>
        <w:rPr>
          <w:szCs w:val="22"/>
        </w:rPr>
        <w:t xml:space="preserve">and </w:t>
      </w:r>
      <w:r w:rsidRPr="005D508E">
        <w:rPr>
          <w:szCs w:val="22"/>
        </w:rPr>
        <w:t xml:space="preserve">as a result of the </w:t>
      </w:r>
      <w:r>
        <w:rPr>
          <w:szCs w:val="22"/>
        </w:rPr>
        <w:t>r</w:t>
      </w:r>
      <w:r w:rsidRPr="005D508E">
        <w:rPr>
          <w:szCs w:val="22"/>
        </w:rPr>
        <w:t xml:space="preserve">estructuring, </w:t>
      </w:r>
      <w:r>
        <w:rPr>
          <w:szCs w:val="22"/>
        </w:rPr>
        <w:t xml:space="preserve">various </w:t>
      </w:r>
      <w:r w:rsidRPr="00461089">
        <w:rPr>
          <w:color w:val="000000"/>
          <w:szCs w:val="22"/>
        </w:rPr>
        <w:t xml:space="preserve">investment funds managed and controlled by </w:t>
      </w:r>
      <w:r w:rsidRPr="00461089">
        <w:rPr>
          <w:color w:val="000000"/>
          <w:szCs w:val="22"/>
        </w:rPr>
        <w:t>Anchorage Capital Group, L.L.C. (Anchorage)</w:t>
      </w:r>
      <w:r w:rsidR="00425B86">
        <w:rPr>
          <w:szCs w:val="22"/>
        </w:rPr>
        <w:t>, a Delaware limited liability company,</w:t>
      </w:r>
      <w:r w:rsidRPr="006B3B57">
        <w:rPr>
          <w:color w:val="000000"/>
          <w:sz w:val="23"/>
          <w:szCs w:val="23"/>
        </w:rPr>
        <w:t xml:space="preserve"> </w:t>
      </w:r>
      <w:r w:rsidRPr="006B3B57">
        <w:rPr>
          <w:szCs w:val="22"/>
        </w:rPr>
        <w:t xml:space="preserve">will acquire an approximate 12.25% direct equity and voting interest in Reorganized GTT </w:t>
      </w:r>
      <w:r>
        <w:rPr>
          <w:szCs w:val="22"/>
        </w:rPr>
        <w:t>following the emergence from Chapter 11.</w:t>
      </w:r>
      <w:r>
        <w:rPr>
          <w:rStyle w:val="FootnoteReference"/>
          <w:szCs w:val="22"/>
        </w:rPr>
        <w:footnoteReference w:id="17"/>
      </w:r>
      <w:r w:rsidR="00425B86">
        <w:rPr>
          <w:szCs w:val="22"/>
        </w:rPr>
        <w:t xml:space="preserve">  </w:t>
      </w:r>
      <w:bookmarkStart w:id="6" w:name="_Hlk89266035"/>
      <w:r w:rsidRPr="00425B86" w:rsidR="00425B86">
        <w:rPr>
          <w:szCs w:val="22"/>
        </w:rPr>
        <w:t xml:space="preserve">Anchorage Advisors Management, L.L.C. </w:t>
      </w:r>
      <w:bookmarkEnd w:id="6"/>
      <w:r w:rsidRPr="00425B86" w:rsidR="00425B86">
        <w:rPr>
          <w:szCs w:val="22"/>
        </w:rPr>
        <w:t>(Anchorage Advisors), a Delaware limited liability company, holds 86.5% of Anchorage, and various non-managing members collectively hold 13.5% of Anchorage.</w:t>
      </w:r>
      <w:r>
        <w:rPr>
          <w:rStyle w:val="FootnoteReference"/>
          <w:szCs w:val="22"/>
        </w:rPr>
        <w:footnoteReference w:id="18"/>
      </w:r>
      <w:r w:rsidR="00766048">
        <w:rPr>
          <w:szCs w:val="22"/>
        </w:rPr>
        <w:t xml:space="preserve"> </w:t>
      </w:r>
      <w:r w:rsidRPr="00425B86" w:rsidR="00425B86">
        <w:rPr>
          <w:szCs w:val="22"/>
        </w:rPr>
        <w:t xml:space="preserve"> </w:t>
      </w:r>
      <w:bookmarkStart w:id="7" w:name="_Hlk89261097"/>
      <w:r w:rsidRPr="00425B86" w:rsidR="00425B86">
        <w:rPr>
          <w:szCs w:val="22"/>
        </w:rPr>
        <w:t>Kevin Ulrich</w:t>
      </w:r>
      <w:bookmarkEnd w:id="7"/>
      <w:r w:rsidRPr="00425B86" w:rsidR="00425B86">
        <w:rPr>
          <w:szCs w:val="22"/>
        </w:rPr>
        <w:t xml:space="preserve">, a citizen of Canada, holds </w:t>
      </w:r>
      <w:r w:rsidRPr="003F2B7B" w:rsidR="00425B86">
        <w:rPr>
          <w:szCs w:val="22"/>
        </w:rPr>
        <w:t>a greater than 75%</w:t>
      </w:r>
      <w:r w:rsidRPr="00425B86" w:rsidR="00425B86">
        <w:rPr>
          <w:szCs w:val="22"/>
        </w:rPr>
        <w:t xml:space="preserve"> interest in Anchorage Advisors, and various non-managing members</w:t>
      </w:r>
      <w:r w:rsidR="006F5D93">
        <w:rPr>
          <w:szCs w:val="22"/>
        </w:rPr>
        <w:t xml:space="preserve"> </w:t>
      </w:r>
      <w:r w:rsidRPr="00425B86" w:rsidR="00425B86">
        <w:rPr>
          <w:szCs w:val="22"/>
        </w:rPr>
        <w:t>collectively hold a less than 25% interest in Anchorage Advisors.</w:t>
      </w:r>
      <w:r>
        <w:rPr>
          <w:rStyle w:val="FootnoteReference"/>
          <w:szCs w:val="22"/>
        </w:rPr>
        <w:footnoteReference w:id="19"/>
      </w:r>
      <w:r w:rsidR="004E5EC2">
        <w:rPr>
          <w:szCs w:val="22"/>
        </w:rPr>
        <w:t xml:space="preserve">  </w:t>
      </w:r>
      <w:r w:rsidR="003A7ABA">
        <w:rPr>
          <w:szCs w:val="22"/>
        </w:rPr>
        <w:t>N</w:t>
      </w:r>
      <w:r w:rsidR="004E5EC2">
        <w:rPr>
          <w:szCs w:val="22"/>
        </w:rPr>
        <w:t>one of the various Anchorage-affiliated investment funds, including their affiliates, hold or will individually hold a 10% or greater interest in Reorganized GTT.</w:t>
      </w:r>
      <w:r>
        <w:rPr>
          <w:rStyle w:val="FootnoteReference"/>
          <w:szCs w:val="22"/>
        </w:rPr>
        <w:footnoteReference w:id="20"/>
      </w:r>
      <w:r w:rsidR="004E5EC2">
        <w:rPr>
          <w:szCs w:val="22"/>
        </w:rPr>
        <w:t xml:space="preserve">  </w:t>
      </w:r>
      <w:r w:rsidR="003A7ABA">
        <w:rPr>
          <w:szCs w:val="22"/>
        </w:rPr>
        <w:t>N</w:t>
      </w:r>
      <w:r w:rsidR="004E5EC2">
        <w:rPr>
          <w:szCs w:val="22"/>
        </w:rPr>
        <w:t>one of the Anchorage investment funds or their affiliates hold a 10% or greater interest in any other domestic telecommunications service provider.</w:t>
      </w:r>
      <w:r>
        <w:rPr>
          <w:rStyle w:val="FootnoteReference"/>
          <w:szCs w:val="22"/>
        </w:rPr>
        <w:footnoteReference w:id="21"/>
      </w:r>
      <w:r w:rsidR="004E5EC2">
        <w:rPr>
          <w:szCs w:val="22"/>
        </w:rPr>
        <w:t xml:space="preserve">  </w:t>
      </w:r>
    </w:p>
    <w:p w:rsidR="0032370B" w:rsidRPr="00D34D9F" w:rsidP="00776FA3" w14:paraId="402FD418" w14:textId="77777777">
      <w:pPr>
        <w:autoSpaceDE w:val="0"/>
        <w:autoSpaceDN w:val="0"/>
        <w:adjustRightInd w:val="0"/>
        <w:spacing w:after="120"/>
        <w:ind w:firstLine="720"/>
        <w:rPr>
          <w:szCs w:val="22"/>
        </w:rPr>
      </w:pPr>
      <w:r w:rsidRPr="00D34D9F">
        <w:rPr>
          <w:szCs w:val="22"/>
        </w:rPr>
        <w:t xml:space="preserve">Applicants further state that the Plan also “provides for the issuance of warrants in Reorganized GTT upon Emergence from Chapter 11 to holders of the Senior Notes Claims and to existing holders of equity interests in GTT. </w:t>
      </w:r>
      <w:r w:rsidR="001B1E2B">
        <w:rPr>
          <w:szCs w:val="22"/>
        </w:rPr>
        <w:t xml:space="preserve"> </w:t>
      </w:r>
      <w:r w:rsidRPr="00D34D9F">
        <w:rPr>
          <w:szCs w:val="22"/>
        </w:rPr>
        <w:t xml:space="preserve">Both types of warrants will be exercisable at the option of the holder only after GTT’s Emergence. </w:t>
      </w:r>
      <w:r w:rsidR="009636EA">
        <w:rPr>
          <w:szCs w:val="22"/>
        </w:rPr>
        <w:t xml:space="preserve"> </w:t>
      </w:r>
      <w:r w:rsidRPr="00D34D9F">
        <w:rPr>
          <w:szCs w:val="22"/>
        </w:rPr>
        <w:t xml:space="preserve">If all of the warrants issued to the existing holders of equity interests were exercised, equity interests issued upon such exercise would represent in the aggregate 4.9% of the new equity interests in Reorganized GTT at Emergence. </w:t>
      </w:r>
      <w:r w:rsidR="001B1E2B">
        <w:rPr>
          <w:szCs w:val="22"/>
        </w:rPr>
        <w:t xml:space="preserve"> </w:t>
      </w:r>
      <w:r w:rsidRPr="00D34D9F">
        <w:rPr>
          <w:szCs w:val="22"/>
        </w:rPr>
        <w:t xml:space="preserve">If all of the warrants issued to holders of Senior Notes Claims were exercised, equity interests issued upon such exercise would represent in the aggregate 30% of the new equity interests in Reorganized GTT at Emergence. </w:t>
      </w:r>
      <w:r w:rsidR="009636EA">
        <w:rPr>
          <w:szCs w:val="22"/>
        </w:rPr>
        <w:t xml:space="preserve"> </w:t>
      </w:r>
      <w:r w:rsidRPr="00D34D9F">
        <w:rPr>
          <w:szCs w:val="22"/>
        </w:rPr>
        <w:t xml:space="preserve">All equity interests in Reorganized GTT will be subject to dilution from a management incentive plan for officers and directors of Reorganized GTT.” </w:t>
      </w:r>
      <w:r>
        <w:rPr>
          <w:rStyle w:val="FootnoteReference"/>
          <w:szCs w:val="22"/>
        </w:rPr>
        <w:footnoteReference w:id="22"/>
      </w:r>
      <w:r w:rsidRPr="00D34D9F" w:rsidR="00BC4ABB">
        <w:rPr>
          <w:szCs w:val="22"/>
        </w:rPr>
        <w:t xml:space="preserve"> </w:t>
      </w:r>
      <w:r w:rsidRPr="00D34D9F" w:rsidR="00A03323">
        <w:rPr>
          <w:szCs w:val="22"/>
        </w:rPr>
        <w:t xml:space="preserve"> </w:t>
      </w:r>
    </w:p>
    <w:p w:rsidR="00CD1B2E" w:rsidP="00BD7715" w14:paraId="05E86687" w14:textId="77777777">
      <w:pPr>
        <w:autoSpaceDE w:val="0"/>
        <w:autoSpaceDN w:val="0"/>
        <w:adjustRightInd w:val="0"/>
        <w:spacing w:after="120"/>
        <w:ind w:firstLine="720"/>
        <w:rPr>
          <w:bCs/>
          <w:szCs w:val="22"/>
        </w:rPr>
      </w:pPr>
      <w:r w:rsidRPr="001F67E3">
        <w:rPr>
          <w:bCs/>
          <w:szCs w:val="22"/>
        </w:rPr>
        <w:t>Applicants assert that grant of the Application would serve the public interest, convenience, and necessity.</w:t>
      </w:r>
      <w:r>
        <w:rPr>
          <w:bCs/>
          <w:szCs w:val="22"/>
          <w:vertAlign w:val="superscript"/>
        </w:rPr>
        <w:footnoteReference w:id="23"/>
      </w:r>
      <w:r w:rsidRPr="001F67E3">
        <w:rPr>
          <w:bCs/>
          <w:szCs w:val="22"/>
        </w:rPr>
        <w:t xml:space="preserve">  </w:t>
      </w:r>
      <w:r w:rsidR="003A7ABA">
        <w:rPr>
          <w:bCs/>
          <w:szCs w:val="22"/>
        </w:rPr>
        <w:t>They state</w:t>
      </w:r>
      <w:r w:rsidR="00B07AD7">
        <w:rPr>
          <w:bCs/>
          <w:szCs w:val="22"/>
        </w:rPr>
        <w:t xml:space="preserve"> that </w:t>
      </w:r>
      <w:r w:rsidR="00BA5853">
        <w:rPr>
          <w:bCs/>
          <w:szCs w:val="22"/>
        </w:rPr>
        <w:t xml:space="preserve">the Company </w:t>
      </w:r>
      <w:r w:rsidR="001103A0">
        <w:rPr>
          <w:bCs/>
          <w:szCs w:val="22"/>
        </w:rPr>
        <w:t>will</w:t>
      </w:r>
      <w:r w:rsidR="00BA5853">
        <w:rPr>
          <w:bCs/>
          <w:szCs w:val="22"/>
        </w:rPr>
        <w:t xml:space="preserve"> continue its operations uninterrupted</w:t>
      </w:r>
      <w:r w:rsidR="00B07AD7">
        <w:rPr>
          <w:bCs/>
          <w:szCs w:val="22"/>
        </w:rPr>
        <w:t xml:space="preserve"> and that “</w:t>
      </w:r>
      <w:r w:rsidR="003C1F09">
        <w:rPr>
          <w:bCs/>
          <w:szCs w:val="22"/>
        </w:rPr>
        <w:t>t</w:t>
      </w:r>
      <w:r w:rsidR="00BA5853">
        <w:rPr>
          <w:bCs/>
          <w:szCs w:val="22"/>
        </w:rPr>
        <w:t xml:space="preserve">he </w:t>
      </w:r>
      <w:r w:rsidR="003C1F09">
        <w:rPr>
          <w:bCs/>
          <w:szCs w:val="22"/>
        </w:rPr>
        <w:t>[r]</w:t>
      </w:r>
      <w:r w:rsidR="00BA5853">
        <w:rPr>
          <w:bCs/>
          <w:szCs w:val="22"/>
        </w:rPr>
        <w:t xml:space="preserve">estructuring is designed to ensure that the Debtors will emerge from the Chapter 11 </w:t>
      </w:r>
      <w:r w:rsidR="000B0607">
        <w:rPr>
          <w:bCs/>
          <w:szCs w:val="22"/>
        </w:rPr>
        <w:t>c</w:t>
      </w:r>
      <w:r w:rsidR="00BA5853">
        <w:rPr>
          <w:bCs/>
          <w:szCs w:val="22"/>
        </w:rPr>
        <w:t>ases to enable the Company to be a financially stronger service provider and competitor.</w:t>
      </w:r>
      <w:r w:rsidR="00B07AD7">
        <w:rPr>
          <w:bCs/>
          <w:szCs w:val="22"/>
        </w:rPr>
        <w:t>”</w:t>
      </w:r>
      <w:r>
        <w:rPr>
          <w:rStyle w:val="FootnoteReference"/>
          <w:bCs/>
          <w:szCs w:val="22"/>
        </w:rPr>
        <w:footnoteReference w:id="24"/>
      </w:r>
      <w:r w:rsidR="00BA5853">
        <w:rPr>
          <w:bCs/>
          <w:szCs w:val="22"/>
        </w:rPr>
        <w:t xml:space="preserve">  </w:t>
      </w:r>
    </w:p>
    <w:p w:rsidR="009636EA" w:rsidRPr="00062BAA" w:rsidP="009636EA" w14:paraId="3FB1F94C" w14:textId="77777777">
      <w:pPr>
        <w:autoSpaceDE w:val="0"/>
        <w:autoSpaceDN w:val="0"/>
        <w:adjustRightInd w:val="0"/>
        <w:ind w:firstLine="720"/>
        <w:rPr>
          <w:snapToGrid w:val="0"/>
          <w:kern w:val="28"/>
          <w:szCs w:val="22"/>
        </w:rPr>
      </w:pPr>
      <w:r w:rsidRPr="00062BAA">
        <w:rPr>
          <w:snapToGrid w:val="0"/>
          <w:kern w:val="28"/>
          <w:szCs w:val="22"/>
          <w:u w:val="single"/>
        </w:rPr>
        <w:t>Referral to Executive Branch Agencies</w:t>
      </w:r>
      <w:r w:rsidRPr="00062BAA">
        <w:rPr>
          <w:snapToGrid w:val="0"/>
          <w:kern w:val="28"/>
          <w:szCs w:val="22"/>
        </w:rPr>
        <w:t>.  Through this Public Notice, pursuant to Commission practice, the Application</w:t>
      </w:r>
      <w:r w:rsidR="007D2035">
        <w:rPr>
          <w:snapToGrid w:val="0"/>
          <w:kern w:val="28"/>
          <w:szCs w:val="22"/>
        </w:rPr>
        <w:t xml:space="preserve">s </w:t>
      </w:r>
      <w:r w:rsidR="007D2035">
        <w:rPr>
          <w:bCs/>
          <w:color w:val="000000"/>
          <w:szCs w:val="22"/>
        </w:rPr>
        <w:t>set out in Attachment A</w:t>
      </w:r>
      <w:r w:rsidRPr="00062BAA">
        <w:rPr>
          <w:snapToGrid w:val="0"/>
          <w:kern w:val="28"/>
          <w:szCs w:val="22"/>
        </w:rPr>
        <w:t xml:space="preserve"> are being referred to the relevant </w:t>
      </w:r>
      <w:r w:rsidRPr="00062BAA">
        <w:rPr>
          <w:snapToGrid w:val="0"/>
          <w:kern w:val="28"/>
          <w:szCs w:val="22"/>
        </w:rPr>
        <w:t>Executive Branch agencies for their views on any national security, law enforcement, foreign policy, or trade policy concerns related to the foreign ownership of the Applicants.</w:t>
      </w:r>
      <w:r>
        <w:rPr>
          <w:snapToGrid w:val="0"/>
          <w:kern w:val="28"/>
          <w:szCs w:val="22"/>
          <w:vertAlign w:val="superscript"/>
        </w:rPr>
        <w:footnoteReference w:id="25"/>
      </w:r>
    </w:p>
    <w:p w:rsidR="009636EA" w:rsidRPr="00CD1B2E" w:rsidP="00BD7715" w14:paraId="29B5B18D" w14:textId="77777777">
      <w:pPr>
        <w:autoSpaceDE w:val="0"/>
        <w:autoSpaceDN w:val="0"/>
        <w:adjustRightInd w:val="0"/>
        <w:spacing w:after="120"/>
        <w:ind w:firstLine="720"/>
        <w:rPr>
          <w:rStyle w:val="markedcontent"/>
          <w:szCs w:val="22"/>
        </w:rPr>
      </w:pPr>
    </w:p>
    <w:p w:rsidR="00332884" w:rsidP="0063457E" w14:paraId="3A693900" w14:textId="77777777">
      <w:pPr>
        <w:autoSpaceDE w:val="0"/>
        <w:autoSpaceDN w:val="0"/>
        <w:adjustRightInd w:val="0"/>
        <w:spacing w:after="120"/>
        <w:rPr>
          <w:szCs w:val="22"/>
        </w:rPr>
      </w:pPr>
      <w:r w:rsidRPr="00B713DE">
        <w:rPr>
          <w:b/>
          <w:szCs w:val="22"/>
          <w:u w:val="single"/>
        </w:rPr>
        <w:t>GENERAL INFORMATION</w:t>
      </w:r>
    </w:p>
    <w:p w:rsidR="00332884" w:rsidRPr="00EC66CA" w:rsidP="00332884" w14:paraId="71BC997A" w14:textId="77777777">
      <w:pPr>
        <w:autoSpaceDE w:val="0"/>
        <w:autoSpaceDN w:val="0"/>
        <w:adjustRightInd w:val="0"/>
        <w:spacing w:after="12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32884" w:rsidRPr="00EC66CA" w:rsidP="00332884" w14:paraId="6B58CD69" w14:textId="77777777">
      <w:pPr>
        <w:autoSpaceDE w:val="0"/>
        <w:autoSpaceDN w:val="0"/>
        <w:adjustRightInd w:val="0"/>
        <w:spacing w:after="120"/>
        <w:ind w:firstLine="720"/>
        <w:rPr>
          <w:szCs w:val="22"/>
        </w:rPr>
      </w:pPr>
      <w:r w:rsidRPr="00CB2908">
        <w:rPr>
          <w:szCs w:val="22"/>
        </w:rPr>
        <w:t>Interested parties may fil</w:t>
      </w:r>
      <w:r w:rsidRPr="00221CCF">
        <w:rPr>
          <w:szCs w:val="22"/>
        </w:rPr>
        <w:t xml:space="preserve">e comments </w:t>
      </w:r>
      <w:r w:rsidRPr="006F586C">
        <w:rPr>
          <w:b/>
          <w:szCs w:val="22"/>
        </w:rPr>
        <w:t xml:space="preserve">on or before </w:t>
      </w:r>
      <w:r w:rsidR="00DA4A41">
        <w:rPr>
          <w:b/>
          <w:szCs w:val="22"/>
        </w:rPr>
        <w:t xml:space="preserve">December </w:t>
      </w:r>
      <w:r w:rsidR="00F64B27">
        <w:rPr>
          <w:b/>
          <w:szCs w:val="22"/>
        </w:rPr>
        <w:t>29</w:t>
      </w:r>
      <w:r w:rsidRPr="006F586C">
        <w:rPr>
          <w:b/>
          <w:szCs w:val="22"/>
        </w:rPr>
        <w:t>, 2021</w:t>
      </w:r>
      <w:r w:rsidRPr="006F586C">
        <w:rPr>
          <w:szCs w:val="22"/>
        </w:rPr>
        <w:t xml:space="preserve">, and reply comments </w:t>
      </w:r>
      <w:r w:rsidRPr="006F586C">
        <w:rPr>
          <w:b/>
          <w:szCs w:val="22"/>
        </w:rPr>
        <w:t xml:space="preserve">on or before </w:t>
      </w:r>
      <w:r w:rsidR="000371EC">
        <w:rPr>
          <w:b/>
          <w:szCs w:val="22"/>
        </w:rPr>
        <w:t xml:space="preserve">January </w:t>
      </w:r>
      <w:r w:rsidR="00F64B27">
        <w:rPr>
          <w:b/>
          <w:szCs w:val="22"/>
        </w:rPr>
        <w:t>5</w:t>
      </w:r>
      <w:r w:rsidRPr="006F586C">
        <w:rPr>
          <w:b/>
          <w:szCs w:val="22"/>
        </w:rPr>
        <w:t>, 202</w:t>
      </w:r>
      <w:r w:rsidR="004E1D88">
        <w:rPr>
          <w:b/>
          <w:szCs w:val="22"/>
        </w:rPr>
        <w:t>2</w:t>
      </w:r>
      <w:r w:rsidRPr="006F586C">
        <w:rPr>
          <w:szCs w:val="22"/>
        </w:rPr>
        <w:t>.</w:t>
      </w:r>
      <w:r w:rsidRPr="00CB2908">
        <w:rPr>
          <w:szCs w:val="22"/>
        </w:rPr>
        <w:t xml:space="preserve">  </w:t>
      </w:r>
      <w:r w:rsidRPr="00EC66CA" w:rsidR="008D79D6">
        <w:rPr>
          <w:szCs w:val="22"/>
        </w:rPr>
        <w:t>Comments may be filed using the Commission’s Electronic Comment Filing System (ECFS) or by paper.  </w:t>
      </w:r>
    </w:p>
    <w:p w:rsidR="00332884" w:rsidP="00332884" w14:paraId="48CD2B28" w14:textId="77777777">
      <w:pPr>
        <w:numPr>
          <w:ilvl w:val="0"/>
          <w:numId w:val="20"/>
        </w:numPr>
        <w:autoSpaceDE w:val="0"/>
        <w:autoSpaceDN w:val="0"/>
        <w:adjustRightInd w:val="0"/>
        <w:rPr>
          <w:szCs w:val="22"/>
        </w:rPr>
      </w:pPr>
      <w:r w:rsidRPr="00EC66CA">
        <w:rPr>
          <w:szCs w:val="22"/>
        </w:rPr>
        <w:t>Electronic Filers:  Comments may be filed electronically by accessing ECFS at </w:t>
      </w:r>
      <w:hyperlink r:id="rId9" w:history="1">
        <w:r w:rsidRPr="00EC66CA">
          <w:rPr>
            <w:rStyle w:val="Hyperlink"/>
            <w:szCs w:val="22"/>
          </w:rPr>
          <w:t>http://apps.fcc.gov/ecfs/</w:t>
        </w:r>
      </w:hyperlink>
      <w:r w:rsidR="00CF7885">
        <w:rPr>
          <w:rStyle w:val="Hyperlink"/>
          <w:szCs w:val="22"/>
        </w:rPr>
        <w:t xml:space="preserve"> </w:t>
      </w:r>
      <w:r w:rsidR="00E2075B">
        <w:rPr>
          <w:szCs w:val="22"/>
        </w:rPr>
        <w:t>.</w:t>
      </w:r>
    </w:p>
    <w:p w:rsidR="00332884" w:rsidRPr="00EC66CA" w:rsidP="00332884" w14:paraId="01FD7AAC" w14:textId="77777777">
      <w:pPr>
        <w:autoSpaceDE w:val="0"/>
        <w:autoSpaceDN w:val="0"/>
        <w:adjustRightInd w:val="0"/>
        <w:ind w:left="720"/>
        <w:rPr>
          <w:szCs w:val="22"/>
        </w:rPr>
      </w:pPr>
    </w:p>
    <w:p w:rsidR="00332884" w:rsidP="00332884" w14:paraId="7457C37E" w14:textId="77777777">
      <w:pPr>
        <w:numPr>
          <w:ilvl w:val="0"/>
          <w:numId w:val="21"/>
        </w:numPr>
        <w:tabs>
          <w:tab w:val="clear" w:pos="720"/>
        </w:tabs>
        <w:autoSpaceDE w:val="0"/>
        <w:autoSpaceDN w:val="0"/>
        <w:adjustRightInd w:val="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32884" w:rsidRPr="004D7912" w:rsidP="00332884" w14:paraId="65F39CA7" w14:textId="77777777">
      <w:pPr>
        <w:autoSpaceDE w:val="0"/>
        <w:autoSpaceDN w:val="0"/>
        <w:adjustRightInd w:val="0"/>
        <w:ind w:left="720"/>
        <w:rPr>
          <w:szCs w:val="22"/>
        </w:rPr>
      </w:pPr>
    </w:p>
    <w:p w:rsidR="00332884" w:rsidRPr="004D7912" w:rsidP="00332884" w14:paraId="4DCDA861" w14:textId="77777777">
      <w:pPr>
        <w:numPr>
          <w:ilvl w:val="1"/>
          <w:numId w:val="21"/>
        </w:numPr>
        <w:autoSpaceDE w:val="0"/>
        <w:autoSpaceDN w:val="0"/>
        <w:adjustRightInd w:val="0"/>
        <w:rPr>
          <w:szCs w:val="22"/>
        </w:rPr>
      </w:pPr>
      <w:r w:rsidRPr="004D7912">
        <w:rPr>
          <w:szCs w:val="22"/>
        </w:rPr>
        <w:t>Filings can be sent by commercial overnight courier or by first-class or overnight U.S. Postal Service mail.</w:t>
      </w:r>
      <w:r>
        <w:rPr>
          <w:szCs w:val="22"/>
          <w:vertAlign w:val="superscript"/>
        </w:rPr>
        <w:footnoteReference w:id="26"/>
      </w:r>
      <w:r w:rsidRPr="004D7912">
        <w:rPr>
          <w:szCs w:val="22"/>
        </w:rPr>
        <w:t xml:space="preserve">  All filings must be addressed to the Commission’s Secretary, Office of the Secretary, Federal Communications Commission.</w:t>
      </w:r>
    </w:p>
    <w:p w:rsidR="00332884" w:rsidRPr="0011311D" w14:paraId="65C178CA" w14:textId="77777777">
      <w:pPr>
        <w:numPr>
          <w:ilvl w:val="1"/>
          <w:numId w:val="21"/>
        </w:numPr>
        <w:autoSpaceDE w:val="0"/>
        <w:autoSpaceDN w:val="0"/>
        <w:adjustRightInd w:val="0"/>
        <w:rPr>
          <w:szCs w:val="22"/>
        </w:rPr>
      </w:pPr>
      <w:r w:rsidRPr="0075291B">
        <w:rPr>
          <w:szCs w:val="22"/>
        </w:rPr>
        <w:t>Commercial overnight mail (other than U.S. Postal Service Express Mail and Priority Mail) must be sent to 9050 Junction Drive, Annapolis Junction, MD 20701.</w:t>
      </w:r>
      <w:r w:rsidR="0011311D">
        <w:rPr>
          <w:szCs w:val="22"/>
        </w:rPr>
        <w:t xml:space="preserve">  </w:t>
      </w:r>
      <w:r w:rsidRPr="0011311D" w:rsidR="0011311D">
        <w:rPr>
          <w:szCs w:val="22"/>
        </w:rPr>
        <w:t>U.S. Postal Service first-class, Express, and Priority mail must be addressed to 45 L Street, NE, Washington, DC 20554.</w:t>
      </w:r>
    </w:p>
    <w:p w:rsidR="00910140" w:rsidRPr="0075291B" w:rsidP="006F586C" w14:paraId="4A43B845" w14:textId="77777777">
      <w:pPr>
        <w:autoSpaceDE w:val="0"/>
        <w:autoSpaceDN w:val="0"/>
        <w:adjustRightInd w:val="0"/>
        <w:rPr>
          <w:szCs w:val="22"/>
        </w:rPr>
      </w:pPr>
    </w:p>
    <w:p w:rsidR="00C86D25" w:rsidP="00C86D25" w14:paraId="23011592"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0" w:tgtFrame="_blank" w:history="1">
        <w:r w:rsidRPr="009B1CCF">
          <w:rPr>
            <w:rStyle w:val="Hyperlink"/>
            <w:szCs w:val="22"/>
          </w:rPr>
          <w:t>fcc504@fcc.gov</w:t>
        </w:r>
      </w:hyperlink>
      <w:r w:rsidRPr="009B1CCF">
        <w:rPr>
          <w:szCs w:val="22"/>
        </w:rPr>
        <w:t> or call the Consumer and Governmental Affairs Bureau at (202) 418-0530.</w:t>
      </w:r>
    </w:p>
    <w:p w:rsidR="00332884" w:rsidRPr="00EC66CA" w:rsidP="00332884" w14:paraId="7BA54818" w14:textId="77777777">
      <w:pPr>
        <w:autoSpaceDE w:val="0"/>
        <w:autoSpaceDN w:val="0"/>
        <w:adjustRightInd w:val="0"/>
        <w:ind w:firstLine="720"/>
        <w:rPr>
          <w:b/>
          <w:szCs w:val="22"/>
        </w:rPr>
      </w:pPr>
    </w:p>
    <w:p w:rsidR="00332884" w:rsidRPr="00EC66CA" w:rsidP="00332884" w14:paraId="0ECBBA8E" w14:textId="77777777">
      <w:pPr>
        <w:autoSpaceDE w:val="0"/>
        <w:autoSpaceDN w:val="0"/>
        <w:adjustRightInd w:val="0"/>
        <w:ind w:firstLine="720"/>
        <w:rPr>
          <w:b/>
          <w:szCs w:val="22"/>
        </w:rPr>
      </w:pPr>
      <w:r w:rsidRPr="00EC66CA">
        <w:rPr>
          <w:b/>
          <w:szCs w:val="22"/>
        </w:rPr>
        <w:t>In addition, e-mail one copy of each pleading to each of the following:</w:t>
      </w:r>
    </w:p>
    <w:p w:rsidR="00332884" w:rsidRPr="00EC66CA" w:rsidP="00332884" w14:paraId="38C09A8D" w14:textId="77777777">
      <w:pPr>
        <w:autoSpaceDE w:val="0"/>
        <w:autoSpaceDN w:val="0"/>
        <w:adjustRightInd w:val="0"/>
        <w:ind w:firstLine="720"/>
        <w:rPr>
          <w:b/>
          <w:szCs w:val="22"/>
        </w:rPr>
      </w:pPr>
    </w:p>
    <w:p w:rsidR="000A3BF0" w:rsidP="000A3BF0" w14:paraId="4FF5D934" w14:textId="77777777">
      <w:pPr>
        <w:numPr>
          <w:ilvl w:val="0"/>
          <w:numId w:val="18"/>
        </w:numPr>
        <w:autoSpaceDE w:val="0"/>
        <w:autoSpaceDN w:val="0"/>
        <w:adjustRightInd w:val="0"/>
        <w:spacing w:after="220"/>
        <w:rPr>
          <w:szCs w:val="22"/>
        </w:rPr>
      </w:pPr>
      <w:r>
        <w:rPr>
          <w:szCs w:val="22"/>
        </w:rPr>
        <w:t>Gregory Kwan</w:t>
      </w:r>
      <w:r w:rsidRPr="000A3BF0" w:rsidR="00830743">
        <w:rPr>
          <w:szCs w:val="22"/>
        </w:rPr>
        <w:t>, Competition Policy Divisio</w:t>
      </w:r>
      <w:r w:rsidR="009409DD">
        <w:rPr>
          <w:szCs w:val="22"/>
        </w:rPr>
        <w:t xml:space="preserve">n, Wireline Competition Bureau, </w:t>
      </w:r>
      <w:hyperlink r:id="rId11" w:history="1">
        <w:r w:rsidRPr="00282D2F">
          <w:rPr>
            <w:rStyle w:val="Hyperlink"/>
            <w:szCs w:val="22"/>
          </w:rPr>
          <w:t>gregory.kwan@fcc.gov</w:t>
        </w:r>
      </w:hyperlink>
      <w:r w:rsidRPr="000A3BF0" w:rsidR="00830743">
        <w:rPr>
          <w:szCs w:val="22"/>
        </w:rPr>
        <w:t>;</w:t>
      </w:r>
      <w:r w:rsidR="00BF291C">
        <w:rPr>
          <w:szCs w:val="22"/>
        </w:rPr>
        <w:t xml:space="preserve"> </w:t>
      </w:r>
    </w:p>
    <w:p w:rsidR="00B52F9D" w:rsidP="000A3BF0" w14:paraId="259A92C2" w14:textId="77777777">
      <w:pPr>
        <w:numPr>
          <w:ilvl w:val="0"/>
          <w:numId w:val="18"/>
        </w:numPr>
        <w:autoSpaceDE w:val="0"/>
        <w:autoSpaceDN w:val="0"/>
        <w:adjustRightInd w:val="0"/>
        <w:spacing w:after="220"/>
        <w:rPr>
          <w:szCs w:val="22"/>
        </w:rPr>
      </w:pPr>
      <w:r>
        <w:rPr>
          <w:szCs w:val="22"/>
        </w:rPr>
        <w:t xml:space="preserve">David Krech, </w:t>
      </w:r>
      <w:r w:rsidRPr="00B52F9D">
        <w:rPr>
          <w:szCs w:val="22"/>
        </w:rPr>
        <w:t>Telecommunications and Analysis Division, International Bureau,</w:t>
      </w:r>
      <w:r>
        <w:rPr>
          <w:szCs w:val="22"/>
        </w:rPr>
        <w:t xml:space="preserve"> </w:t>
      </w:r>
      <w:hyperlink r:id="rId12" w:history="1">
        <w:r w:rsidRPr="007B4F48">
          <w:rPr>
            <w:rStyle w:val="Hyperlink"/>
            <w:szCs w:val="22"/>
          </w:rPr>
          <w:t>david.krech@fcc.gov</w:t>
        </w:r>
      </w:hyperlink>
      <w:r>
        <w:rPr>
          <w:szCs w:val="22"/>
        </w:rPr>
        <w:t xml:space="preserve">; and </w:t>
      </w:r>
    </w:p>
    <w:p w:rsidR="00332884" w:rsidP="000A3BF0" w14:paraId="35FCE169" w14:textId="77777777">
      <w:pPr>
        <w:numPr>
          <w:ilvl w:val="0"/>
          <w:numId w:val="18"/>
        </w:numPr>
        <w:autoSpaceDE w:val="0"/>
        <w:autoSpaceDN w:val="0"/>
        <w:adjustRightInd w:val="0"/>
        <w:spacing w:after="220"/>
        <w:rPr>
          <w:szCs w:val="22"/>
        </w:rPr>
      </w:pPr>
      <w:r w:rsidRPr="000A3BF0">
        <w:rPr>
          <w:szCs w:val="22"/>
        </w:rPr>
        <w:t>Jim Bird, Office of General Counsel,</w:t>
      </w:r>
      <w:r w:rsidR="001E5B68">
        <w:rPr>
          <w:szCs w:val="22"/>
        </w:rPr>
        <w:t xml:space="preserve"> </w:t>
      </w:r>
      <w:hyperlink r:id="rId13" w:history="1">
        <w:r w:rsidRPr="001E5B68" w:rsidR="001E5B68">
          <w:rPr>
            <w:rStyle w:val="Hyperlink"/>
            <w:szCs w:val="22"/>
          </w:rPr>
          <w:t>jim.bird@fcc.gov</w:t>
        </w:r>
      </w:hyperlink>
      <w:r w:rsidR="001E5B68">
        <w:rPr>
          <w:szCs w:val="22"/>
        </w:rPr>
        <w:t>.</w:t>
      </w:r>
      <w:r w:rsidRPr="000A3BF0">
        <w:rPr>
          <w:szCs w:val="22"/>
        </w:rPr>
        <w:t xml:space="preserve"> </w:t>
      </w:r>
    </w:p>
    <w:p w:rsidR="00332884" w:rsidRPr="00EC66CA" w:rsidP="00332884" w14:paraId="4160572E"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332884" w:rsidRPr="00EB5F81" w:rsidP="00332884" w14:paraId="27FD57FA"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7"/>
      </w:r>
      <w:r w:rsidRPr="00EC66CA">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32884" w:rsidRPr="006B7F06" w:rsidP="00332884" w14:paraId="3D24EA9C" w14:textId="77777777">
      <w:pPr>
        <w:autoSpaceDE w:val="0"/>
        <w:autoSpaceDN w:val="0"/>
        <w:adjustRightInd w:val="0"/>
        <w:spacing w:after="120"/>
        <w:ind w:firstLine="720"/>
        <w:rPr>
          <w:szCs w:val="22"/>
        </w:rPr>
      </w:pPr>
      <w:r w:rsidRPr="009753C0">
        <w:rPr>
          <w:szCs w:val="22"/>
        </w:rPr>
        <w:t xml:space="preserve">For further information, please contact </w:t>
      </w:r>
      <w:r w:rsidR="008D17AF">
        <w:rPr>
          <w:szCs w:val="22"/>
        </w:rPr>
        <w:t>Gregory Kwan</w:t>
      </w:r>
      <w:r w:rsidR="007C3551">
        <w:rPr>
          <w:szCs w:val="22"/>
        </w:rPr>
        <w:t>, Wireline Competition Bureau</w:t>
      </w:r>
      <w:r w:rsidR="00861933">
        <w:rPr>
          <w:szCs w:val="22"/>
        </w:rPr>
        <w:t>,</w:t>
      </w:r>
      <w:r w:rsidR="00DA62EA">
        <w:rPr>
          <w:szCs w:val="22"/>
        </w:rPr>
        <w:t xml:space="preserve"> </w:t>
      </w:r>
      <w:r w:rsidR="007F6290">
        <w:rPr>
          <w:szCs w:val="22"/>
        </w:rPr>
        <w:t>at (202) 418-1191</w:t>
      </w:r>
      <w:r w:rsidR="00DA62EA">
        <w:rPr>
          <w:szCs w:val="22"/>
        </w:rPr>
        <w:t>or David Krech, International Bureau</w:t>
      </w:r>
      <w:r w:rsidR="006C283F">
        <w:rPr>
          <w:szCs w:val="22"/>
        </w:rPr>
        <w:t>,</w:t>
      </w:r>
      <w:r w:rsidR="00DA62EA">
        <w:rPr>
          <w:szCs w:val="22"/>
        </w:rPr>
        <w:t xml:space="preserve"> at (202) 418-7443</w:t>
      </w:r>
      <w:r w:rsidR="00BF291C">
        <w:rPr>
          <w:szCs w:val="22"/>
        </w:rPr>
        <w:t>.</w:t>
      </w:r>
    </w:p>
    <w:p w:rsidR="00186065" w:rsidRPr="00186065" w:rsidP="00186065" w14:paraId="4C4945E0" w14:textId="77777777">
      <w:pPr>
        <w:autoSpaceDE w:val="0"/>
        <w:autoSpaceDN w:val="0"/>
        <w:adjustRightInd w:val="0"/>
        <w:rPr>
          <w:b/>
          <w:szCs w:val="22"/>
        </w:rPr>
      </w:pPr>
      <w:r>
        <w:rPr>
          <w:szCs w:val="22"/>
        </w:rPr>
        <w:br w:type="page"/>
      </w:r>
    </w:p>
    <w:p w:rsidR="00186065" w:rsidRPr="00186065" w:rsidP="00186065" w14:paraId="320A8F19" w14:textId="77777777">
      <w:pPr>
        <w:autoSpaceDE w:val="0"/>
        <w:autoSpaceDN w:val="0"/>
        <w:adjustRightInd w:val="0"/>
        <w:jc w:val="center"/>
        <w:rPr>
          <w:b/>
          <w:szCs w:val="22"/>
          <w:u w:val="single"/>
        </w:rPr>
      </w:pPr>
      <w:r w:rsidRPr="00186065">
        <w:rPr>
          <w:b/>
          <w:szCs w:val="22"/>
          <w:u w:val="single"/>
        </w:rPr>
        <w:t>ATTACHMENT A</w:t>
      </w:r>
    </w:p>
    <w:p w:rsidR="00186065" w:rsidRPr="00186065" w:rsidP="00186065" w14:paraId="5A207B10" w14:textId="77777777">
      <w:pPr>
        <w:autoSpaceDE w:val="0"/>
        <w:autoSpaceDN w:val="0"/>
        <w:adjustRightInd w:val="0"/>
        <w:rPr>
          <w:b/>
          <w:szCs w:val="22"/>
        </w:rPr>
      </w:pPr>
    </w:p>
    <w:p w:rsidR="00186065" w:rsidRPr="00186065" w:rsidP="00186065" w14:paraId="2B1DEB82" w14:textId="77777777">
      <w:pPr>
        <w:autoSpaceDE w:val="0"/>
        <w:autoSpaceDN w:val="0"/>
        <w:adjustRightInd w:val="0"/>
        <w:rPr>
          <w:b/>
          <w:szCs w:val="22"/>
        </w:rPr>
      </w:pPr>
    </w:p>
    <w:p w:rsidR="00186065" w:rsidRPr="00186065" w:rsidP="00186065" w14:paraId="35E093C6" w14:textId="77777777">
      <w:pPr>
        <w:autoSpaceDE w:val="0"/>
        <w:autoSpaceDN w:val="0"/>
        <w:adjustRightInd w:val="0"/>
        <w:rPr>
          <w:szCs w:val="22"/>
        </w:rPr>
      </w:pPr>
      <w:r w:rsidRPr="00186065">
        <w:rPr>
          <w:b/>
          <w:szCs w:val="22"/>
        </w:rPr>
        <w:t>SECTION 214 AUTHORIZATIONS</w:t>
      </w:r>
    </w:p>
    <w:p w:rsidR="00186065" w:rsidRPr="00186065" w:rsidP="00186065" w14:paraId="0391D997" w14:textId="77777777">
      <w:pPr>
        <w:autoSpaceDE w:val="0"/>
        <w:autoSpaceDN w:val="0"/>
        <w:adjustRightInd w:val="0"/>
        <w:rPr>
          <w:szCs w:val="22"/>
        </w:rPr>
      </w:pPr>
    </w:p>
    <w:p w:rsidR="00186065" w:rsidRPr="00186065" w:rsidP="00186065" w14:paraId="0D553459" w14:textId="77777777">
      <w:pPr>
        <w:autoSpaceDE w:val="0"/>
        <w:autoSpaceDN w:val="0"/>
        <w:adjustRightInd w:val="0"/>
        <w:rPr>
          <w:b/>
          <w:szCs w:val="22"/>
        </w:rPr>
      </w:pPr>
      <w:r w:rsidRPr="00186065">
        <w:rPr>
          <w:b/>
          <w:szCs w:val="22"/>
        </w:rPr>
        <w:t>A.</w:t>
      </w:r>
      <w:r w:rsidRPr="00186065">
        <w:rPr>
          <w:b/>
          <w:szCs w:val="22"/>
        </w:rPr>
        <w:tab/>
        <w:t>International</w:t>
      </w:r>
    </w:p>
    <w:p w:rsidR="00186065" w:rsidRPr="00186065" w:rsidP="00186065" w14:paraId="18C6008B" w14:textId="77777777">
      <w:pPr>
        <w:autoSpaceDE w:val="0"/>
        <w:autoSpaceDN w:val="0"/>
        <w:adjustRightInd w:val="0"/>
        <w:rPr>
          <w:szCs w:val="22"/>
        </w:rPr>
      </w:pPr>
    </w:p>
    <w:p w:rsidR="00186065" w:rsidRPr="00186065" w:rsidP="00475F48" w14:paraId="7F0F8F89" w14:textId="77777777">
      <w:pPr>
        <w:autoSpaceDE w:val="0"/>
        <w:autoSpaceDN w:val="0"/>
        <w:adjustRightInd w:val="0"/>
        <w:ind w:firstLine="720"/>
        <w:rPr>
          <w:szCs w:val="22"/>
        </w:rPr>
      </w:pPr>
      <w:bookmarkStart w:id="10" w:name="_Hlk1664737"/>
      <w:r w:rsidRPr="00186065">
        <w:rPr>
          <w:szCs w:val="22"/>
        </w:rPr>
        <w:t>The applications for consent to the transfer of control of certain international section 214 authorizations have been assigned the file numbers listed below.</w:t>
      </w:r>
    </w:p>
    <w:bookmarkEnd w:id="10"/>
    <w:p w:rsidR="00186065" w:rsidRPr="00186065" w:rsidP="00186065" w14:paraId="13028012" w14:textId="77777777">
      <w:pPr>
        <w:autoSpaceDE w:val="0"/>
        <w:autoSpaceDN w:val="0"/>
        <w:adjustRightInd w:val="0"/>
        <w:rPr>
          <w:szCs w:val="22"/>
        </w:rPr>
      </w:pPr>
    </w:p>
    <w:tbl>
      <w:tblPr>
        <w:tblW w:w="9738" w:type="dxa"/>
        <w:tblLook w:val="01E0"/>
      </w:tblPr>
      <w:tblGrid>
        <w:gridCol w:w="2880"/>
        <w:gridCol w:w="3888"/>
        <w:gridCol w:w="2970"/>
      </w:tblGrid>
      <w:tr w14:paraId="5902267A" w14:textId="77777777" w:rsidTr="00DC3F75">
        <w:tblPrEx>
          <w:tblW w:w="9738" w:type="dxa"/>
          <w:tblLook w:val="01E0"/>
        </w:tblPrEx>
        <w:tc>
          <w:tcPr>
            <w:tcW w:w="2880" w:type="dxa"/>
          </w:tcPr>
          <w:p w:rsidR="00186065" w:rsidRPr="00186065" w:rsidP="00186065" w14:paraId="61F7EB68" w14:textId="77777777">
            <w:pPr>
              <w:autoSpaceDE w:val="0"/>
              <w:autoSpaceDN w:val="0"/>
              <w:adjustRightInd w:val="0"/>
              <w:rPr>
                <w:szCs w:val="22"/>
              </w:rPr>
            </w:pPr>
            <w:bookmarkStart w:id="11" w:name="_Hlk1656452"/>
            <w:r w:rsidRPr="00186065">
              <w:rPr>
                <w:szCs w:val="22"/>
                <w:u w:val="single"/>
              </w:rPr>
              <w:t>File Number</w:t>
            </w:r>
          </w:p>
        </w:tc>
        <w:tc>
          <w:tcPr>
            <w:tcW w:w="3888" w:type="dxa"/>
          </w:tcPr>
          <w:p w:rsidR="00186065" w:rsidRPr="00186065" w:rsidP="00186065" w14:paraId="7F0EEFCF" w14:textId="77777777">
            <w:pPr>
              <w:autoSpaceDE w:val="0"/>
              <w:autoSpaceDN w:val="0"/>
              <w:adjustRightInd w:val="0"/>
              <w:rPr>
                <w:szCs w:val="22"/>
              </w:rPr>
            </w:pPr>
            <w:r w:rsidRPr="00186065">
              <w:rPr>
                <w:szCs w:val="22"/>
                <w:u w:val="single"/>
              </w:rPr>
              <w:t>Authorization Holder</w:t>
            </w:r>
          </w:p>
        </w:tc>
        <w:tc>
          <w:tcPr>
            <w:tcW w:w="2970" w:type="dxa"/>
          </w:tcPr>
          <w:p w:rsidR="00186065" w:rsidRPr="00186065" w:rsidP="00186065" w14:paraId="7B12E224" w14:textId="77777777">
            <w:pPr>
              <w:autoSpaceDE w:val="0"/>
              <w:autoSpaceDN w:val="0"/>
              <w:adjustRightInd w:val="0"/>
              <w:rPr>
                <w:szCs w:val="22"/>
                <w:u w:val="single"/>
              </w:rPr>
            </w:pPr>
            <w:r w:rsidRPr="00186065">
              <w:rPr>
                <w:szCs w:val="22"/>
                <w:u w:val="single"/>
              </w:rPr>
              <w:t>Authorization Number</w:t>
            </w:r>
          </w:p>
          <w:p w:rsidR="00186065" w:rsidRPr="00186065" w:rsidP="00186065" w14:paraId="1E7A685B" w14:textId="77777777">
            <w:pPr>
              <w:autoSpaceDE w:val="0"/>
              <w:autoSpaceDN w:val="0"/>
              <w:adjustRightInd w:val="0"/>
              <w:rPr>
                <w:szCs w:val="22"/>
                <w:u w:val="single"/>
              </w:rPr>
            </w:pPr>
          </w:p>
        </w:tc>
      </w:tr>
      <w:bookmarkEnd w:id="11"/>
      <w:tr w14:paraId="519188A9" w14:textId="77777777" w:rsidTr="00DC3F75">
        <w:tblPrEx>
          <w:tblW w:w="9738" w:type="dxa"/>
          <w:tblLook w:val="01E0"/>
        </w:tblPrEx>
        <w:tc>
          <w:tcPr>
            <w:tcW w:w="2880" w:type="dxa"/>
          </w:tcPr>
          <w:p w:rsidR="005F0448" w:rsidRPr="005C4925" w:rsidP="005F0448" w14:paraId="428AF1BC" w14:textId="77777777">
            <w:pPr>
              <w:autoSpaceDE w:val="0"/>
              <w:autoSpaceDN w:val="0"/>
              <w:adjustRightInd w:val="0"/>
              <w:rPr>
                <w:szCs w:val="22"/>
              </w:rPr>
            </w:pPr>
            <w:r w:rsidRPr="005C4925">
              <w:rPr>
                <w:szCs w:val="22"/>
              </w:rPr>
              <w:t>ITC-ASG-20211115-00168</w:t>
            </w:r>
          </w:p>
        </w:tc>
        <w:tc>
          <w:tcPr>
            <w:tcW w:w="3888" w:type="dxa"/>
          </w:tcPr>
          <w:p w:rsidR="005F0448" w:rsidRPr="001B1E2B" w:rsidP="005F0448" w14:paraId="676883D9" w14:textId="77777777">
            <w:pPr>
              <w:autoSpaceDE w:val="0"/>
              <w:autoSpaceDN w:val="0"/>
              <w:adjustRightInd w:val="0"/>
              <w:rPr>
                <w:szCs w:val="22"/>
              </w:rPr>
            </w:pPr>
            <w:r w:rsidRPr="007C2485">
              <w:rPr>
                <w:szCs w:val="22"/>
              </w:rPr>
              <w:t>GT</w:t>
            </w:r>
            <w:r w:rsidRPr="00960F76">
              <w:rPr>
                <w:szCs w:val="22"/>
              </w:rPr>
              <w:t>T Americas, LLC</w:t>
            </w:r>
            <w:r w:rsidRPr="00960F76" w:rsidR="00B87789">
              <w:rPr>
                <w:szCs w:val="22"/>
              </w:rPr>
              <w:t xml:space="preserve">, </w:t>
            </w:r>
            <w:r w:rsidRPr="00960F76" w:rsidR="00B87789">
              <w:t>debtor in possession</w:t>
            </w:r>
          </w:p>
        </w:tc>
        <w:tc>
          <w:tcPr>
            <w:tcW w:w="2970" w:type="dxa"/>
          </w:tcPr>
          <w:p w:rsidR="005F0448" w:rsidRPr="007C2485" w:rsidP="005F0448" w14:paraId="2F9711C5" w14:textId="77777777">
            <w:pPr>
              <w:autoSpaceDE w:val="0"/>
              <w:autoSpaceDN w:val="0"/>
              <w:adjustRightInd w:val="0"/>
              <w:rPr>
                <w:szCs w:val="22"/>
              </w:rPr>
            </w:pPr>
            <w:r w:rsidRPr="005C4925">
              <w:rPr>
                <w:szCs w:val="22"/>
              </w:rPr>
              <w:t xml:space="preserve">ITC-214-20020619-00332 </w:t>
            </w:r>
          </w:p>
        </w:tc>
      </w:tr>
      <w:tr w14:paraId="76EE3FF6" w14:textId="77777777" w:rsidTr="00DC3F75">
        <w:tblPrEx>
          <w:tblW w:w="9738" w:type="dxa"/>
          <w:tblLook w:val="01E0"/>
        </w:tblPrEx>
        <w:tc>
          <w:tcPr>
            <w:tcW w:w="2880" w:type="dxa"/>
          </w:tcPr>
          <w:p w:rsidR="005F0448" w:rsidRPr="005C4925" w:rsidP="005F0448" w14:paraId="573489EB" w14:textId="77777777">
            <w:pPr>
              <w:autoSpaceDE w:val="0"/>
              <w:autoSpaceDN w:val="0"/>
              <w:adjustRightInd w:val="0"/>
              <w:rPr>
                <w:szCs w:val="22"/>
              </w:rPr>
            </w:pPr>
            <w:bookmarkStart w:id="12" w:name="_Hlk12362083"/>
            <w:r w:rsidRPr="005C4925">
              <w:rPr>
                <w:szCs w:val="22"/>
              </w:rPr>
              <w:t>ITC-ASG-20211115-00169</w:t>
            </w:r>
          </w:p>
        </w:tc>
        <w:tc>
          <w:tcPr>
            <w:tcW w:w="3888" w:type="dxa"/>
          </w:tcPr>
          <w:p w:rsidR="005F0448" w:rsidRPr="001B1E2B" w:rsidP="005F0448" w14:paraId="159BE400" w14:textId="77777777">
            <w:pPr>
              <w:autoSpaceDE w:val="0"/>
              <w:autoSpaceDN w:val="0"/>
              <w:adjustRightInd w:val="0"/>
              <w:rPr>
                <w:szCs w:val="22"/>
              </w:rPr>
            </w:pPr>
            <w:r w:rsidRPr="007C2485">
              <w:rPr>
                <w:szCs w:val="22"/>
              </w:rPr>
              <w:t>GC</w:t>
            </w:r>
            <w:r w:rsidRPr="00960F76">
              <w:rPr>
                <w:szCs w:val="22"/>
              </w:rPr>
              <w:t xml:space="preserve"> Pivotal, LLC</w:t>
            </w:r>
            <w:r w:rsidRPr="00960F76" w:rsidR="00B87789">
              <w:rPr>
                <w:szCs w:val="22"/>
              </w:rPr>
              <w:t xml:space="preserve">, </w:t>
            </w:r>
            <w:r w:rsidRPr="00960F76" w:rsidR="00B87789">
              <w:t>debtor in possession</w:t>
            </w:r>
          </w:p>
        </w:tc>
        <w:tc>
          <w:tcPr>
            <w:tcW w:w="2970" w:type="dxa"/>
          </w:tcPr>
          <w:p w:rsidR="00644402" w:rsidRPr="005C4925" w:rsidP="005F0448" w14:paraId="18868F7F" w14:textId="77777777">
            <w:pPr>
              <w:autoSpaceDE w:val="0"/>
              <w:autoSpaceDN w:val="0"/>
              <w:adjustRightInd w:val="0"/>
              <w:rPr>
                <w:szCs w:val="22"/>
              </w:rPr>
            </w:pPr>
            <w:r w:rsidRPr="005C4925">
              <w:rPr>
                <w:szCs w:val="22"/>
              </w:rPr>
              <w:t>ITC-214-20061101-00500</w:t>
            </w:r>
          </w:p>
          <w:p w:rsidR="005F0448" w:rsidRPr="007C2485" w:rsidP="005F0448" w14:paraId="7D3BB727" w14:textId="77777777">
            <w:pPr>
              <w:autoSpaceDE w:val="0"/>
              <w:autoSpaceDN w:val="0"/>
              <w:adjustRightInd w:val="0"/>
              <w:rPr>
                <w:szCs w:val="22"/>
              </w:rPr>
            </w:pPr>
            <w:r w:rsidRPr="005C4925">
              <w:rPr>
                <w:szCs w:val="22"/>
              </w:rPr>
              <w:t xml:space="preserve">ITC-214-20110201-00049 </w:t>
            </w:r>
          </w:p>
        </w:tc>
      </w:tr>
      <w:bookmarkEnd w:id="12"/>
      <w:tr w14:paraId="595E1D93" w14:textId="77777777" w:rsidTr="00DC3F75">
        <w:tblPrEx>
          <w:tblW w:w="9738" w:type="dxa"/>
          <w:tblLook w:val="01E0"/>
        </w:tblPrEx>
        <w:tc>
          <w:tcPr>
            <w:tcW w:w="2880" w:type="dxa"/>
          </w:tcPr>
          <w:p w:rsidR="005F0448" w:rsidRPr="00186065" w:rsidP="005F0448" w14:paraId="2D18B6AE" w14:textId="77777777">
            <w:pPr>
              <w:autoSpaceDE w:val="0"/>
              <w:autoSpaceDN w:val="0"/>
              <w:adjustRightInd w:val="0"/>
              <w:rPr>
                <w:szCs w:val="22"/>
              </w:rPr>
            </w:pPr>
          </w:p>
        </w:tc>
        <w:tc>
          <w:tcPr>
            <w:tcW w:w="3888" w:type="dxa"/>
          </w:tcPr>
          <w:p w:rsidR="005F0448" w:rsidRPr="00186065" w:rsidP="005F0448" w14:paraId="282503DC" w14:textId="77777777">
            <w:pPr>
              <w:autoSpaceDE w:val="0"/>
              <w:autoSpaceDN w:val="0"/>
              <w:adjustRightInd w:val="0"/>
              <w:rPr>
                <w:szCs w:val="22"/>
              </w:rPr>
            </w:pPr>
          </w:p>
        </w:tc>
        <w:tc>
          <w:tcPr>
            <w:tcW w:w="2970" w:type="dxa"/>
          </w:tcPr>
          <w:p w:rsidR="005F0448" w:rsidRPr="00186065" w:rsidP="005F0448" w14:paraId="2F11CFD0" w14:textId="77777777">
            <w:pPr>
              <w:autoSpaceDE w:val="0"/>
              <w:autoSpaceDN w:val="0"/>
              <w:adjustRightInd w:val="0"/>
              <w:rPr>
                <w:szCs w:val="22"/>
              </w:rPr>
            </w:pPr>
          </w:p>
        </w:tc>
      </w:tr>
    </w:tbl>
    <w:p w:rsidR="00186065" w:rsidRPr="00186065" w:rsidP="00186065" w14:paraId="0AA18764" w14:textId="77777777">
      <w:pPr>
        <w:autoSpaceDE w:val="0"/>
        <w:autoSpaceDN w:val="0"/>
        <w:adjustRightInd w:val="0"/>
        <w:rPr>
          <w:b/>
          <w:szCs w:val="22"/>
        </w:rPr>
      </w:pPr>
      <w:r w:rsidRPr="00186065">
        <w:rPr>
          <w:b/>
          <w:szCs w:val="22"/>
        </w:rPr>
        <w:t>B.</w:t>
      </w:r>
      <w:r w:rsidRPr="00186065">
        <w:rPr>
          <w:b/>
          <w:szCs w:val="22"/>
        </w:rPr>
        <w:tab/>
        <w:t>Domestic</w:t>
      </w:r>
    </w:p>
    <w:p w:rsidR="00186065" w:rsidRPr="00186065" w:rsidP="00186065" w14:paraId="71D3CBE3" w14:textId="77777777">
      <w:pPr>
        <w:autoSpaceDE w:val="0"/>
        <w:autoSpaceDN w:val="0"/>
        <w:adjustRightInd w:val="0"/>
        <w:rPr>
          <w:szCs w:val="22"/>
        </w:rPr>
      </w:pPr>
    </w:p>
    <w:p w:rsidR="00186065" w:rsidP="00475F48" w14:paraId="6541A505" w14:textId="77777777">
      <w:pPr>
        <w:autoSpaceDE w:val="0"/>
        <w:autoSpaceDN w:val="0"/>
        <w:adjustRightInd w:val="0"/>
        <w:ind w:firstLine="720"/>
        <w:rPr>
          <w:szCs w:val="22"/>
        </w:rPr>
      </w:pPr>
      <w:r w:rsidRPr="00186065">
        <w:rPr>
          <w:szCs w:val="22"/>
        </w:rPr>
        <w:t>Applicants filed an application to transfer control of domestic section 214 authority in connection with the proposed transaction.</w:t>
      </w:r>
      <w:bookmarkStart w:id="13" w:name="sp_999_4"/>
      <w:bookmarkStart w:id="14" w:name="SDU_4"/>
      <w:bookmarkStart w:id="15" w:name="citeas((Cite_as:_26_F.C.C.R._13372,_*133"/>
      <w:bookmarkEnd w:id="13"/>
      <w:bookmarkEnd w:id="14"/>
      <w:bookmarkEnd w:id="15"/>
      <w:r w:rsidRPr="00186065">
        <w:rPr>
          <w:szCs w:val="22"/>
        </w:rPr>
        <w:t xml:space="preserve">  In light of the multiple applications pending before the Commission with respect to this transaction and the public interest review associated with them, the domestic transfer of control application is not subject to streamlined treatment.</w:t>
      </w:r>
      <w:r>
        <w:rPr>
          <w:szCs w:val="22"/>
          <w:vertAlign w:val="superscript"/>
        </w:rPr>
        <w:footnoteReference w:id="28"/>
      </w:r>
      <w:r w:rsidRPr="00186065">
        <w:rPr>
          <w:szCs w:val="22"/>
        </w:rPr>
        <w:t xml:space="preserve"> </w:t>
      </w:r>
    </w:p>
    <w:p w:rsidR="00887E53" w:rsidRPr="00186065" w:rsidP="00475F48" w14:paraId="22649DD7" w14:textId="77777777">
      <w:pPr>
        <w:autoSpaceDE w:val="0"/>
        <w:autoSpaceDN w:val="0"/>
        <w:adjustRightInd w:val="0"/>
        <w:ind w:firstLine="720"/>
        <w:rPr>
          <w:szCs w:val="22"/>
        </w:rPr>
      </w:pPr>
    </w:p>
    <w:p w:rsidR="00186065" w:rsidRPr="00186065" w:rsidP="00186065" w14:paraId="0907FF99" w14:textId="77777777">
      <w:pPr>
        <w:autoSpaceDE w:val="0"/>
        <w:autoSpaceDN w:val="0"/>
        <w:adjustRightInd w:val="0"/>
        <w:rPr>
          <w:szCs w:val="22"/>
        </w:rPr>
      </w:pPr>
    </w:p>
    <w:p w:rsidR="00186065" w:rsidRPr="00186065" w:rsidP="00186065" w14:paraId="12E556CB" w14:textId="77777777">
      <w:pPr>
        <w:autoSpaceDE w:val="0"/>
        <w:autoSpaceDN w:val="0"/>
        <w:adjustRightInd w:val="0"/>
        <w:jc w:val="center"/>
        <w:rPr>
          <w:szCs w:val="22"/>
        </w:rPr>
      </w:pPr>
      <w:r w:rsidRPr="00186065">
        <w:rPr>
          <w:b/>
          <w:szCs w:val="22"/>
        </w:rPr>
        <w:t>- FCC -</w:t>
      </w:r>
    </w:p>
    <w:p w:rsidR="00CF704F" w:rsidRPr="0022664E" w:rsidP="005C680F" w14:paraId="033F64CB" w14:textId="77777777">
      <w:pPr>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58D41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672178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6BE213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5B15E9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0E851D94"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23CC618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5E1DC23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535D" w14:paraId="320A7851" w14:textId="77777777">
      <w:r>
        <w:separator/>
      </w:r>
    </w:p>
  </w:footnote>
  <w:footnote w:type="continuationSeparator" w:id="1">
    <w:p w:rsidR="00F0535D" w14:paraId="36555132" w14:textId="77777777">
      <w:r>
        <w:continuationSeparator/>
      </w:r>
    </w:p>
  </w:footnote>
  <w:footnote w:type="continuationNotice" w:id="2">
    <w:p w:rsidR="00F0535D" w14:paraId="0C0280C3" w14:textId="77777777"/>
  </w:footnote>
  <w:footnote w:id="3">
    <w:p w:rsidR="0066589B" w:rsidRPr="009636EA" w:rsidP="0066589B" w14:paraId="2857F54F" w14:textId="77777777">
      <w:pPr>
        <w:spacing w:after="120"/>
        <w:rPr>
          <w:sz w:val="20"/>
        </w:rPr>
      </w:pPr>
      <w:r w:rsidRPr="00933C54">
        <w:rPr>
          <w:rStyle w:val="FootnoteReference"/>
          <w:sz w:val="20"/>
        </w:rPr>
        <w:footnoteRef/>
      </w:r>
      <w:r w:rsidRPr="00933C54">
        <w:rPr>
          <w:sz w:val="20"/>
        </w:rPr>
        <w:t xml:space="preserve"> </w:t>
      </w:r>
      <w:r w:rsidRPr="009636EA">
        <w:rPr>
          <w:i/>
          <w:sz w:val="20"/>
        </w:rPr>
        <w:t>See</w:t>
      </w:r>
      <w:r w:rsidRPr="009636EA">
        <w:rPr>
          <w:sz w:val="20"/>
        </w:rPr>
        <w:t xml:space="preserve"> Joint Application for Consent to Assign and Transfer Control of Domestic and International Authorizations of GTT Communications, Inc., Debtor-In-Possession, and Its Wholly-Owned Debtor-In-Possession Operating Subsidiaries, Pursuant to Section 214 of the Communications Act of 1934, as Amended, WC Docket No. 21-445, IB File Nos. ITC-ASG-20211115-00168, ITC-ASG</w:t>
      </w:r>
      <w:r w:rsidR="00960F76">
        <w:rPr>
          <w:sz w:val="20"/>
        </w:rPr>
        <w:t>-</w:t>
      </w:r>
      <w:r w:rsidRPr="009636EA">
        <w:rPr>
          <w:sz w:val="20"/>
        </w:rPr>
        <w:t xml:space="preserve">20211115-00169 (filed Nov. 15, 2021) (Application).  </w:t>
      </w:r>
      <w:r w:rsidRPr="00E23282" w:rsidR="003F08CA">
        <w:t xml:space="preserve">Applicants filed a supplement to the Application on </w:t>
      </w:r>
      <w:r w:rsidR="003F08CA">
        <w:t xml:space="preserve">December 10, </w:t>
      </w:r>
      <w:r w:rsidRPr="00E23282" w:rsidR="003F08CA">
        <w:t xml:space="preserve">2021.  Letter from </w:t>
      </w:r>
      <w:r w:rsidRPr="003F08CA" w:rsidR="003F08CA">
        <w:t>Tom W. Davidson</w:t>
      </w:r>
      <w:r w:rsidR="003F08CA">
        <w:t xml:space="preserve">, Counsel for GTT Communications, Inc., GTT Americas, LLC, and GC Pivotal, LLC, </w:t>
      </w:r>
      <w:r w:rsidRPr="00E23282" w:rsidR="003F08CA">
        <w:t xml:space="preserve">to Marlene H. Dortch, Secretary, FCC (filed </w:t>
      </w:r>
      <w:r w:rsidR="003F08CA">
        <w:t xml:space="preserve">Dec. 10, </w:t>
      </w:r>
      <w:r w:rsidRPr="00E23282" w:rsidR="003F08CA">
        <w:t xml:space="preserve">2021) (Supplement). </w:t>
      </w:r>
      <w:r w:rsidR="003F08CA">
        <w:t xml:space="preserve"> </w:t>
      </w:r>
      <w:r w:rsidRPr="009636EA">
        <w:rPr>
          <w:sz w:val="20"/>
        </w:rPr>
        <w:t xml:space="preserve">Applicants have filed domestic and international section 214 applications.  </w:t>
      </w:r>
      <w:r w:rsidRPr="009636EA">
        <w:rPr>
          <w:i/>
          <w:iCs/>
          <w:sz w:val="20"/>
        </w:rPr>
        <w:t xml:space="preserve">See </w:t>
      </w:r>
      <w:r w:rsidRPr="009636EA">
        <w:rPr>
          <w:sz w:val="20"/>
        </w:rPr>
        <w:t xml:space="preserve">Application at 12.  </w:t>
      </w:r>
      <w:r w:rsidRPr="005C4925" w:rsidR="005C4925">
        <w:rPr>
          <w:sz w:val="20"/>
        </w:rPr>
        <w:t>The application file numbers and the Commission authorizations subject to the applications are listed</w:t>
      </w:r>
      <w:r w:rsidRPr="00774699" w:rsidR="005C4925">
        <w:t xml:space="preserve"> </w:t>
      </w:r>
      <w:r w:rsidRPr="009636EA" w:rsidR="005C4925">
        <w:rPr>
          <w:sz w:val="20"/>
        </w:rPr>
        <w:t>in Attachment A to this Public Notice</w:t>
      </w:r>
      <w:r w:rsidR="005C4925">
        <w:rPr>
          <w:sz w:val="20"/>
        </w:rPr>
        <w:t>.</w:t>
      </w:r>
      <w:r w:rsidRPr="009636EA" w:rsidR="005C4925">
        <w:rPr>
          <w:sz w:val="20"/>
        </w:rPr>
        <w:t xml:space="preserve"> </w:t>
      </w:r>
      <w:r w:rsidR="005C4925">
        <w:rPr>
          <w:sz w:val="20"/>
        </w:rPr>
        <w:t xml:space="preserve">  </w:t>
      </w:r>
      <w:r w:rsidRPr="009636EA">
        <w:rPr>
          <w:sz w:val="20"/>
        </w:rPr>
        <w:t>Any action on these section 214 applications is without prejudice to Commission action on other related, pending applications.</w:t>
      </w:r>
    </w:p>
  </w:footnote>
  <w:footnote w:id="4">
    <w:p w:rsidR="00595021" w:rsidRPr="00F84913" w:rsidP="00933C54" w14:paraId="516A9B23" w14:textId="77777777">
      <w:pPr>
        <w:pStyle w:val="FootnoteText"/>
        <w:spacing w:after="120"/>
        <w:rPr>
          <w:sz w:val="20"/>
        </w:rPr>
      </w:pPr>
      <w:r w:rsidRPr="009636EA">
        <w:rPr>
          <w:rStyle w:val="FootnoteReference"/>
          <w:sz w:val="20"/>
        </w:rPr>
        <w:footnoteRef/>
      </w:r>
      <w:r w:rsidRPr="009636EA">
        <w:rPr>
          <w:sz w:val="20"/>
        </w:rPr>
        <w:t xml:space="preserve"> </w:t>
      </w:r>
      <w:r w:rsidRPr="009636EA">
        <w:rPr>
          <w:sz w:val="20"/>
        </w:rPr>
        <w:t xml:space="preserve">On October 31, 2021, </w:t>
      </w:r>
      <w:r w:rsidRPr="009636EA" w:rsidR="0064533D">
        <w:rPr>
          <w:sz w:val="20"/>
        </w:rPr>
        <w:t xml:space="preserve">the Company </w:t>
      </w:r>
      <w:r w:rsidRPr="009636EA">
        <w:rPr>
          <w:sz w:val="20"/>
        </w:rPr>
        <w:t xml:space="preserve">filed voluntary petitions for relief under Chapter 11 in the United States Bankruptcy Court for the Southern District of New York. </w:t>
      </w:r>
      <w:r w:rsidRPr="009636EA" w:rsidR="0064533D">
        <w:rPr>
          <w:sz w:val="20"/>
        </w:rPr>
        <w:t xml:space="preserve"> </w:t>
      </w:r>
      <w:r w:rsidRPr="009636EA" w:rsidR="0066589B">
        <w:rPr>
          <w:sz w:val="20"/>
        </w:rPr>
        <w:t xml:space="preserve">Application at 2, n.3 (citing </w:t>
      </w:r>
      <w:r w:rsidRPr="009636EA">
        <w:rPr>
          <w:i/>
          <w:iCs/>
          <w:sz w:val="20"/>
        </w:rPr>
        <w:t>GTT Communications, Inc., et al.</w:t>
      </w:r>
      <w:r w:rsidRPr="009636EA">
        <w:rPr>
          <w:sz w:val="20"/>
        </w:rPr>
        <w:t>, Case No. 21-11880 (MEW)</w:t>
      </w:r>
      <w:r w:rsidRPr="009636EA" w:rsidR="0066589B">
        <w:rPr>
          <w:sz w:val="20"/>
        </w:rPr>
        <w:t>)</w:t>
      </w:r>
      <w:r w:rsidRPr="009636EA">
        <w:rPr>
          <w:sz w:val="20"/>
        </w:rPr>
        <w:t xml:space="preserve">.  </w:t>
      </w:r>
      <w:r w:rsidRPr="009636EA" w:rsidR="000754B1">
        <w:rPr>
          <w:sz w:val="20"/>
        </w:rPr>
        <w:t xml:space="preserve">The </w:t>
      </w:r>
      <w:r w:rsidRPr="009636EA" w:rsidR="0011383F">
        <w:rPr>
          <w:sz w:val="20"/>
        </w:rPr>
        <w:t xml:space="preserve">prepacked plan of reorganization (the </w:t>
      </w:r>
      <w:r w:rsidRPr="009636EA" w:rsidR="000754B1">
        <w:rPr>
          <w:sz w:val="20"/>
        </w:rPr>
        <w:t>Plan</w:t>
      </w:r>
      <w:r w:rsidRPr="009636EA" w:rsidR="0011383F">
        <w:rPr>
          <w:sz w:val="20"/>
        </w:rPr>
        <w:t>)</w:t>
      </w:r>
      <w:r w:rsidRPr="009636EA" w:rsidR="000754B1">
        <w:rPr>
          <w:sz w:val="20"/>
        </w:rPr>
        <w:t xml:space="preserve"> and related disclosure statement also were filed with the Bankruptcy Court on October 31, 2021</w:t>
      </w:r>
      <w:r w:rsidRPr="009636EA" w:rsidR="0066589B">
        <w:rPr>
          <w:sz w:val="20"/>
        </w:rPr>
        <w:t>.</w:t>
      </w:r>
      <w:r w:rsidRPr="009636EA" w:rsidR="00861933">
        <w:rPr>
          <w:sz w:val="20"/>
        </w:rPr>
        <w:t xml:space="preserve">  </w:t>
      </w:r>
      <w:r w:rsidRPr="009636EA" w:rsidR="00861933">
        <w:rPr>
          <w:i/>
          <w:iCs/>
          <w:sz w:val="20"/>
        </w:rPr>
        <w:t>Id</w:t>
      </w:r>
      <w:r w:rsidRPr="009636EA" w:rsidR="00861933">
        <w:rPr>
          <w:sz w:val="20"/>
        </w:rPr>
        <w:t>.</w:t>
      </w:r>
      <w:r w:rsidR="00F84913">
        <w:rPr>
          <w:sz w:val="20"/>
        </w:rPr>
        <w:t xml:space="preserve">  Applicants state that the Bankruptcy Court has scheduled a confirmation hearing on the prepackaged Plan for December 15, 2021.  </w:t>
      </w:r>
      <w:r w:rsidR="00F84913">
        <w:rPr>
          <w:i/>
          <w:iCs/>
          <w:sz w:val="20"/>
        </w:rPr>
        <w:t>Id</w:t>
      </w:r>
      <w:r w:rsidR="00F84913">
        <w:rPr>
          <w:sz w:val="20"/>
        </w:rPr>
        <w:t xml:space="preserve">. at </w:t>
      </w:r>
      <w:r w:rsidRPr="009636EA" w:rsidR="00F84913">
        <w:rPr>
          <w:sz w:val="20"/>
        </w:rPr>
        <w:t>Exh. 1 (Description of the Parties, Description of the Transaction, Public Interest Statement)</w:t>
      </w:r>
      <w:r w:rsidR="00F84913">
        <w:rPr>
          <w:sz w:val="20"/>
        </w:rPr>
        <w:t xml:space="preserve"> at 19-20.</w:t>
      </w:r>
    </w:p>
  </w:footnote>
  <w:footnote w:id="5">
    <w:p w:rsidR="009E5ABC" w14:paraId="01CE6A7B" w14:textId="77777777">
      <w:pPr>
        <w:pStyle w:val="FootnoteText"/>
      </w:pPr>
      <w:r>
        <w:rPr>
          <w:rStyle w:val="FootnoteReference"/>
        </w:rPr>
        <w:footnoteRef/>
      </w:r>
      <w:r>
        <w:t xml:space="preserve"> </w:t>
      </w:r>
      <w:r w:rsidRPr="009636EA">
        <w:rPr>
          <w:sz w:val="20"/>
        </w:rPr>
        <w:t>47 U.S.C. § 214</w:t>
      </w:r>
      <w:r>
        <w:rPr>
          <w:sz w:val="20"/>
        </w:rPr>
        <w:t>.</w:t>
      </w:r>
    </w:p>
  </w:footnote>
  <w:footnote w:id="6">
    <w:p w:rsidR="009E5ABC" w:rsidP="003307E5" w14:paraId="66D79F36" w14:textId="77777777">
      <w:pPr>
        <w:pStyle w:val="FootnoteText"/>
        <w:spacing w:after="120"/>
      </w:pPr>
      <w:r>
        <w:rPr>
          <w:rStyle w:val="FootnoteReference"/>
        </w:rPr>
        <w:footnoteRef/>
      </w:r>
      <w:r>
        <w:t xml:space="preserve"> </w:t>
      </w:r>
      <w:r w:rsidRPr="009636EA">
        <w:rPr>
          <w:sz w:val="20"/>
        </w:rPr>
        <w:t>47 CFR §§ 63.03-04, 63.18, 63.24</w:t>
      </w:r>
      <w:r>
        <w:rPr>
          <w:sz w:val="20"/>
        </w:rPr>
        <w:t>.</w:t>
      </w:r>
    </w:p>
  </w:footnote>
  <w:footnote w:id="7">
    <w:p w:rsidR="001247DC" w:rsidRPr="009636EA" w:rsidP="003307E5" w14:paraId="7903D31A" w14:textId="77777777">
      <w:pPr>
        <w:spacing w:after="120"/>
        <w:rPr>
          <w:sz w:val="20"/>
        </w:rPr>
      </w:pPr>
      <w:r w:rsidRPr="009636EA">
        <w:rPr>
          <w:rStyle w:val="FootnoteReference"/>
          <w:sz w:val="20"/>
        </w:rPr>
        <w:footnoteRef/>
      </w:r>
      <w:r w:rsidRPr="009636EA">
        <w:rPr>
          <w:sz w:val="20"/>
        </w:rPr>
        <w:t xml:space="preserve"> </w:t>
      </w:r>
      <w:r w:rsidRPr="009636EA">
        <w:rPr>
          <w:sz w:val="20"/>
        </w:rPr>
        <w:t>Application at 4.</w:t>
      </w:r>
    </w:p>
  </w:footnote>
  <w:footnote w:id="8">
    <w:p w:rsidR="004E6EDB" w:rsidRPr="009636EA" w:rsidP="003307E5" w14:paraId="22C68049" w14:textId="77777777">
      <w:pPr>
        <w:pStyle w:val="FootnoteText"/>
        <w:spacing w:after="120"/>
        <w:rPr>
          <w:sz w:val="20"/>
        </w:rPr>
      </w:pPr>
      <w:r w:rsidRPr="009636EA">
        <w:rPr>
          <w:rStyle w:val="FootnoteReference"/>
          <w:sz w:val="20"/>
        </w:rPr>
        <w:footnoteRef/>
      </w:r>
      <w:r w:rsidRPr="009636EA">
        <w:rPr>
          <w:sz w:val="20"/>
        </w:rPr>
        <w:t xml:space="preserve"> </w:t>
      </w:r>
      <w:r w:rsidRPr="009636EA" w:rsidR="005A292D">
        <w:rPr>
          <w:i/>
          <w:iCs/>
          <w:sz w:val="20"/>
        </w:rPr>
        <w:t>Id.</w:t>
      </w:r>
      <w:r w:rsidRPr="009636EA" w:rsidR="005A292D">
        <w:rPr>
          <w:sz w:val="20"/>
        </w:rPr>
        <w:t xml:space="preserve"> at </w:t>
      </w:r>
      <w:r w:rsidRPr="009636EA" w:rsidR="00861933">
        <w:rPr>
          <w:sz w:val="20"/>
        </w:rPr>
        <w:t xml:space="preserve">Exh. 1 at </w:t>
      </w:r>
      <w:r w:rsidRPr="009636EA" w:rsidR="005A292D">
        <w:rPr>
          <w:sz w:val="20"/>
        </w:rPr>
        <w:t>17.</w:t>
      </w:r>
      <w:r w:rsidRPr="009636EA" w:rsidR="00807056">
        <w:rPr>
          <w:sz w:val="20"/>
        </w:rPr>
        <w:t xml:space="preserve">  Applicants provide information on intermediate entities holding interests in the GTT Subsidiaries and provide pre</w:t>
      </w:r>
      <w:r w:rsidR="001201EA">
        <w:rPr>
          <w:sz w:val="20"/>
        </w:rPr>
        <w:t>-</w:t>
      </w:r>
      <w:r w:rsidRPr="009636EA" w:rsidR="00807056">
        <w:rPr>
          <w:sz w:val="20"/>
        </w:rPr>
        <w:t xml:space="preserve"> and post-emergence ownership charts.  </w:t>
      </w:r>
      <w:r w:rsidRPr="009636EA" w:rsidR="00807056">
        <w:rPr>
          <w:i/>
          <w:iCs/>
          <w:sz w:val="20"/>
        </w:rPr>
        <w:t xml:space="preserve">Id. </w:t>
      </w:r>
      <w:r w:rsidRPr="009636EA" w:rsidR="00807056">
        <w:rPr>
          <w:sz w:val="20"/>
        </w:rPr>
        <w:t>at</w:t>
      </w:r>
      <w:r w:rsidRPr="009636EA" w:rsidR="003F2B7B">
        <w:rPr>
          <w:sz w:val="20"/>
        </w:rPr>
        <w:t xml:space="preserve"> 8 and</w:t>
      </w:r>
      <w:r w:rsidRPr="009636EA" w:rsidR="00807056">
        <w:rPr>
          <w:sz w:val="20"/>
        </w:rPr>
        <w:t xml:space="preserve"> Exh. 2 (Pre-</w:t>
      </w:r>
      <w:r w:rsidR="001201EA">
        <w:rPr>
          <w:sz w:val="20"/>
        </w:rPr>
        <w:t xml:space="preserve"> </w:t>
      </w:r>
      <w:r w:rsidRPr="009636EA" w:rsidR="00807056">
        <w:rPr>
          <w:sz w:val="20"/>
        </w:rPr>
        <w:t>and Post-Emergence Organizational Charts).</w:t>
      </w:r>
    </w:p>
  </w:footnote>
  <w:footnote w:id="9">
    <w:p w:rsidR="004E6EDB" w:rsidRPr="009636EA" w:rsidP="003307E5" w14:paraId="34344377" w14:textId="77777777">
      <w:pPr>
        <w:pStyle w:val="FootnoteText"/>
        <w:spacing w:after="120"/>
        <w:rPr>
          <w:i/>
          <w:iCs/>
          <w:sz w:val="20"/>
        </w:rPr>
      </w:pPr>
      <w:r w:rsidRPr="009636EA">
        <w:rPr>
          <w:rStyle w:val="FootnoteReference"/>
          <w:sz w:val="20"/>
        </w:rPr>
        <w:footnoteRef/>
      </w:r>
      <w:r w:rsidRPr="009636EA">
        <w:rPr>
          <w:sz w:val="20"/>
        </w:rPr>
        <w:t xml:space="preserve"> </w:t>
      </w:r>
      <w:r w:rsidRPr="009636EA" w:rsidR="00425B86">
        <w:rPr>
          <w:i/>
          <w:iCs/>
          <w:sz w:val="20"/>
        </w:rPr>
        <w:t>Id.</w:t>
      </w:r>
      <w:r w:rsidRPr="009636EA" w:rsidR="00CC1329">
        <w:rPr>
          <w:sz w:val="20"/>
        </w:rPr>
        <w:t xml:space="preserve"> at </w:t>
      </w:r>
      <w:r w:rsidRPr="009636EA" w:rsidR="00861933">
        <w:rPr>
          <w:sz w:val="20"/>
        </w:rPr>
        <w:t xml:space="preserve">Exh. 1 at </w:t>
      </w:r>
      <w:r w:rsidRPr="009636EA" w:rsidR="00CC1329">
        <w:rPr>
          <w:sz w:val="20"/>
        </w:rPr>
        <w:t xml:space="preserve">17; Supplement at </w:t>
      </w:r>
      <w:r w:rsidRPr="009636EA" w:rsidR="00C51909">
        <w:rPr>
          <w:sz w:val="20"/>
        </w:rPr>
        <w:t>1</w:t>
      </w:r>
      <w:r w:rsidRPr="009636EA" w:rsidR="00CC1329">
        <w:rPr>
          <w:sz w:val="20"/>
        </w:rPr>
        <w:t>.</w:t>
      </w:r>
      <w:r w:rsidRPr="009636EA" w:rsidR="00425B86">
        <w:rPr>
          <w:i/>
          <w:iCs/>
          <w:sz w:val="20"/>
        </w:rPr>
        <w:t xml:space="preserve"> </w:t>
      </w:r>
    </w:p>
  </w:footnote>
  <w:footnote w:id="10">
    <w:p w:rsidR="00861933" w:rsidRPr="009636EA" w:rsidP="003307E5" w14:paraId="540D08FE" w14:textId="77777777">
      <w:pPr>
        <w:pStyle w:val="FootnoteText"/>
        <w:spacing w:after="120"/>
        <w:rPr>
          <w:sz w:val="20"/>
        </w:rPr>
      </w:pPr>
      <w:r w:rsidRPr="009636EA">
        <w:rPr>
          <w:rStyle w:val="FootnoteReference"/>
          <w:sz w:val="20"/>
        </w:rPr>
        <w:footnoteRef/>
      </w:r>
      <w:r w:rsidRPr="009636EA">
        <w:rPr>
          <w:sz w:val="20"/>
        </w:rPr>
        <w:t xml:space="preserve"> </w:t>
      </w:r>
      <w:r w:rsidRPr="009636EA">
        <w:rPr>
          <w:sz w:val="20"/>
        </w:rPr>
        <w:t xml:space="preserve">Application at Exh. 1 at 17-18.  </w:t>
      </w:r>
    </w:p>
  </w:footnote>
  <w:footnote w:id="11">
    <w:p w:rsidR="00861933" w:rsidRPr="009636EA" w:rsidP="003307E5" w14:paraId="131ECD2C" w14:textId="77777777">
      <w:pPr>
        <w:spacing w:after="120"/>
        <w:rPr>
          <w:sz w:val="20"/>
        </w:rPr>
      </w:pPr>
      <w:r w:rsidRPr="009636EA">
        <w:rPr>
          <w:rStyle w:val="FootnoteReference"/>
          <w:sz w:val="20"/>
        </w:rPr>
        <w:footnoteRef/>
      </w:r>
      <w:r w:rsidRPr="009636EA">
        <w:rPr>
          <w:sz w:val="20"/>
        </w:rPr>
        <w:t xml:space="preserve"> </w:t>
      </w:r>
      <w:r w:rsidRPr="00552AAD">
        <w:rPr>
          <w:i/>
          <w:iCs/>
          <w:sz w:val="20"/>
        </w:rPr>
        <w:t>Id.</w:t>
      </w:r>
      <w:r w:rsidRPr="009636EA">
        <w:rPr>
          <w:sz w:val="20"/>
        </w:rPr>
        <w:t xml:space="preserve"> at </w:t>
      </w:r>
      <w:r w:rsidRPr="009636EA" w:rsidR="009636EA">
        <w:rPr>
          <w:sz w:val="20"/>
        </w:rPr>
        <w:t xml:space="preserve">Exh. 1 at </w:t>
      </w:r>
      <w:r w:rsidRPr="009636EA">
        <w:rPr>
          <w:sz w:val="20"/>
        </w:rPr>
        <w:t>17.</w:t>
      </w:r>
    </w:p>
  </w:footnote>
  <w:footnote w:id="12">
    <w:p w:rsidR="00D123FE" w:rsidRPr="009636EA" w:rsidP="003307E5" w14:paraId="1FB1BCBF" w14:textId="77777777">
      <w:pPr>
        <w:pStyle w:val="FootnoteText"/>
        <w:spacing w:after="120"/>
        <w:rPr>
          <w:sz w:val="20"/>
        </w:rPr>
      </w:pPr>
      <w:r w:rsidRPr="009636EA">
        <w:rPr>
          <w:rStyle w:val="FootnoteReference"/>
          <w:sz w:val="20"/>
        </w:rPr>
        <w:footnoteRef/>
      </w:r>
      <w:r w:rsidRPr="009636EA">
        <w:rPr>
          <w:sz w:val="20"/>
        </w:rPr>
        <w:t xml:space="preserve"> </w:t>
      </w:r>
      <w:r w:rsidRPr="009636EA" w:rsidR="004F6AE4">
        <w:rPr>
          <w:sz w:val="20"/>
        </w:rPr>
        <w:t>Application at 2.</w:t>
      </w:r>
    </w:p>
  </w:footnote>
  <w:footnote w:id="13">
    <w:p w:rsidR="003A7ABA" w:rsidRPr="009636EA" w:rsidP="003A7ABA" w14:paraId="00A2A1DD" w14:textId="77777777">
      <w:pPr>
        <w:spacing w:after="120"/>
        <w:rPr>
          <w:sz w:val="20"/>
        </w:rPr>
      </w:pPr>
      <w:r w:rsidRPr="009636EA">
        <w:rPr>
          <w:rStyle w:val="FootnoteReference"/>
          <w:sz w:val="20"/>
        </w:rPr>
        <w:footnoteRef/>
      </w:r>
      <w:r w:rsidRPr="009636EA">
        <w:rPr>
          <w:sz w:val="20"/>
        </w:rPr>
        <w:t xml:space="preserve"> </w:t>
      </w:r>
      <w:r w:rsidRPr="009636EA">
        <w:rPr>
          <w:sz w:val="20"/>
        </w:rPr>
        <w:t xml:space="preserve">Applicants state that 2018 Credit Facility Claims means “certain secured indebtedness issued and outstanding pursuant to that certain credit agreement dated as of May 31, 2018.”  Application at 2, n.12.  </w:t>
      </w:r>
    </w:p>
  </w:footnote>
  <w:footnote w:id="14">
    <w:p w:rsidR="001B1E2B" w:rsidRPr="009636EA" w:rsidP="001B1E2B" w14:paraId="7A2850C8" w14:textId="77777777">
      <w:pPr>
        <w:spacing w:after="120"/>
        <w:rPr>
          <w:sz w:val="20"/>
        </w:rPr>
      </w:pPr>
      <w:r w:rsidRPr="009636EA">
        <w:rPr>
          <w:rStyle w:val="FootnoteReference"/>
          <w:sz w:val="20"/>
        </w:rPr>
        <w:footnoteRef/>
      </w:r>
      <w:r w:rsidRPr="009636EA">
        <w:rPr>
          <w:sz w:val="20"/>
        </w:rPr>
        <w:t xml:space="preserve"> </w:t>
      </w:r>
      <w:r w:rsidRPr="009636EA">
        <w:rPr>
          <w:sz w:val="20"/>
        </w:rPr>
        <w:t xml:space="preserve">Applicants state that Senior Notes Claims means “any claims on account of those certain 7.875% Senior Notes due 2024 issued by GTT.”  </w:t>
      </w:r>
      <w:r w:rsidRPr="009636EA">
        <w:rPr>
          <w:i/>
          <w:iCs/>
          <w:sz w:val="20"/>
        </w:rPr>
        <w:t>Id</w:t>
      </w:r>
      <w:r w:rsidRPr="009636EA">
        <w:rPr>
          <w:sz w:val="20"/>
        </w:rPr>
        <w:t xml:space="preserve">. at n.13.  </w:t>
      </w:r>
    </w:p>
  </w:footnote>
  <w:footnote w:id="15">
    <w:p w:rsidR="003A7ABA" w:rsidRPr="009636EA" w:rsidP="003A7ABA" w14:paraId="77AFFD05" w14:textId="77777777">
      <w:pPr>
        <w:spacing w:after="120"/>
        <w:rPr>
          <w:sz w:val="20"/>
        </w:rPr>
      </w:pPr>
      <w:r w:rsidRPr="009636EA">
        <w:rPr>
          <w:rStyle w:val="FootnoteReference"/>
          <w:sz w:val="20"/>
        </w:rPr>
        <w:footnoteRef/>
      </w:r>
      <w:r w:rsidRPr="009636EA">
        <w:rPr>
          <w:sz w:val="20"/>
        </w:rPr>
        <w:t xml:space="preserve"> </w:t>
      </w:r>
      <w:r w:rsidRPr="009636EA">
        <w:rPr>
          <w:sz w:val="20"/>
        </w:rPr>
        <w:t xml:space="preserve">Application at </w:t>
      </w:r>
      <w:r>
        <w:rPr>
          <w:sz w:val="20"/>
        </w:rPr>
        <w:t>Exh</w:t>
      </w:r>
      <w:r>
        <w:rPr>
          <w:sz w:val="20"/>
        </w:rPr>
        <w:t xml:space="preserve">. 1 at </w:t>
      </w:r>
      <w:r w:rsidRPr="009636EA">
        <w:rPr>
          <w:sz w:val="20"/>
        </w:rPr>
        <w:t>20-21 (stating that ‘through a combination of the distribution of proceeds from the sale of the infrastructure business and the balance sheet deleveraging contemplated by the Plan, the Debtors will reduce their funded debt burden from approximately $2.015 billion to a projected $929 million upon Emergence. The reorganization of the Debtors through the bankruptcy process is expected to improve the Company’s financial and operational status to the benefit of its customers and other stakeholders by allowing the Company to restructure its consolidated balance sheet and reduce its outstanding debt while continuing to operate and provide service to its customers in the ordinary course of business.”).</w:t>
      </w:r>
    </w:p>
  </w:footnote>
  <w:footnote w:id="16">
    <w:p w:rsidR="006B3B57" w:rsidRPr="009636EA" w:rsidP="00D172BF" w14:paraId="358A91A4" w14:textId="77777777">
      <w:pPr>
        <w:pStyle w:val="FootnoteText"/>
        <w:spacing w:after="120"/>
        <w:rPr>
          <w:sz w:val="20"/>
        </w:rPr>
      </w:pPr>
      <w:r w:rsidRPr="009636EA">
        <w:rPr>
          <w:rStyle w:val="FootnoteReference"/>
          <w:sz w:val="20"/>
        </w:rPr>
        <w:footnoteRef/>
      </w:r>
      <w:r w:rsidRPr="009636EA">
        <w:rPr>
          <w:sz w:val="20"/>
        </w:rPr>
        <w:t xml:space="preserve"> </w:t>
      </w:r>
      <w:r w:rsidRPr="009636EA" w:rsidR="009636EA">
        <w:rPr>
          <w:sz w:val="20"/>
        </w:rPr>
        <w:t xml:space="preserve"> </w:t>
      </w:r>
      <w:r w:rsidRPr="009636EA">
        <w:rPr>
          <w:i/>
          <w:iCs/>
          <w:sz w:val="20"/>
        </w:rPr>
        <w:t xml:space="preserve">Id. </w:t>
      </w:r>
      <w:r w:rsidRPr="009636EA">
        <w:rPr>
          <w:sz w:val="20"/>
        </w:rPr>
        <w:t>at 5.</w:t>
      </w:r>
    </w:p>
  </w:footnote>
  <w:footnote w:id="17">
    <w:p w:rsidR="009717CE" w:rsidRPr="009636EA" w:rsidP="00D172BF" w14:paraId="20021EEA" w14:textId="77777777">
      <w:pPr>
        <w:pStyle w:val="FootnoteText"/>
        <w:spacing w:after="120"/>
        <w:rPr>
          <w:sz w:val="20"/>
        </w:rPr>
      </w:pPr>
      <w:r w:rsidRPr="009636EA">
        <w:rPr>
          <w:rStyle w:val="FootnoteReference"/>
          <w:sz w:val="20"/>
        </w:rPr>
        <w:footnoteRef/>
      </w:r>
      <w:r w:rsidRPr="009636EA">
        <w:rPr>
          <w:sz w:val="20"/>
        </w:rPr>
        <w:t xml:space="preserve"> </w:t>
      </w:r>
      <w:r w:rsidRPr="009636EA">
        <w:rPr>
          <w:i/>
          <w:iCs/>
          <w:sz w:val="20"/>
        </w:rPr>
        <w:t xml:space="preserve">Id. </w:t>
      </w:r>
      <w:r w:rsidRPr="009636EA">
        <w:rPr>
          <w:sz w:val="20"/>
        </w:rPr>
        <w:t xml:space="preserve">at 6.  </w:t>
      </w:r>
      <w:r w:rsidRPr="009636EA" w:rsidR="00D172BF">
        <w:rPr>
          <w:sz w:val="20"/>
        </w:rPr>
        <w:t>Applicants provide a list of these investment funds and their respective jurisdiction of formation.  Supplement at 3-4.</w:t>
      </w:r>
    </w:p>
  </w:footnote>
  <w:footnote w:id="18">
    <w:p w:rsidR="00766048" w:rsidRPr="009636EA" w:rsidP="00D172BF" w14:paraId="0C68C4C9" w14:textId="77777777">
      <w:pPr>
        <w:pStyle w:val="FootnoteText"/>
        <w:spacing w:after="120"/>
        <w:rPr>
          <w:sz w:val="20"/>
        </w:rPr>
      </w:pPr>
      <w:r w:rsidRPr="009636EA">
        <w:rPr>
          <w:rStyle w:val="FootnoteReference"/>
          <w:sz w:val="20"/>
        </w:rPr>
        <w:footnoteRef/>
      </w:r>
      <w:r w:rsidRPr="009636EA">
        <w:rPr>
          <w:sz w:val="20"/>
        </w:rPr>
        <w:t xml:space="preserve"> </w:t>
      </w:r>
      <w:r w:rsidRPr="009636EA" w:rsidR="00F07149">
        <w:rPr>
          <w:sz w:val="20"/>
        </w:rPr>
        <w:t>Application</w:t>
      </w:r>
      <w:r w:rsidRPr="009636EA">
        <w:rPr>
          <w:i/>
          <w:iCs/>
          <w:sz w:val="20"/>
        </w:rPr>
        <w:t xml:space="preserve"> </w:t>
      </w:r>
      <w:r w:rsidRPr="009636EA" w:rsidR="004F6AE4">
        <w:rPr>
          <w:sz w:val="20"/>
        </w:rPr>
        <w:t xml:space="preserve">at 6. </w:t>
      </w:r>
      <w:r w:rsidRPr="009636EA">
        <w:rPr>
          <w:i/>
          <w:iCs/>
          <w:sz w:val="20"/>
        </w:rPr>
        <w:t xml:space="preserve"> </w:t>
      </w:r>
    </w:p>
  </w:footnote>
  <w:footnote w:id="19">
    <w:p w:rsidR="003F2B7B" w:rsidRPr="009636EA" w:rsidP="00933C54" w14:paraId="2A521B54" w14:textId="77777777">
      <w:pPr>
        <w:pStyle w:val="FootnoteText"/>
        <w:spacing w:after="120"/>
        <w:rPr>
          <w:sz w:val="20"/>
        </w:rPr>
      </w:pPr>
      <w:r w:rsidRPr="009636EA">
        <w:rPr>
          <w:rStyle w:val="FootnoteReference"/>
          <w:sz w:val="20"/>
        </w:rPr>
        <w:footnoteRef/>
      </w:r>
      <w:r w:rsidRPr="009636EA">
        <w:rPr>
          <w:sz w:val="20"/>
        </w:rPr>
        <w:t xml:space="preserve"> </w:t>
      </w:r>
      <w:r w:rsidRPr="009636EA">
        <w:rPr>
          <w:i/>
          <w:iCs/>
          <w:sz w:val="20"/>
        </w:rPr>
        <w:t xml:space="preserve">Id. </w:t>
      </w:r>
      <w:r w:rsidRPr="009636EA">
        <w:rPr>
          <w:sz w:val="20"/>
        </w:rPr>
        <w:t>at 6</w:t>
      </w:r>
      <w:r w:rsidRPr="009636EA" w:rsidR="00F07149">
        <w:rPr>
          <w:sz w:val="20"/>
        </w:rPr>
        <w:t>; Supplement at 2-3</w:t>
      </w:r>
      <w:r w:rsidRPr="009636EA">
        <w:rPr>
          <w:color w:val="000000"/>
          <w:sz w:val="20"/>
        </w:rPr>
        <w:t xml:space="preserve">.  </w:t>
      </w:r>
      <w:r w:rsidRPr="009636EA" w:rsidR="000D6113">
        <w:rPr>
          <w:sz w:val="20"/>
        </w:rPr>
        <w:t xml:space="preserve">Applicants further state </w:t>
      </w:r>
      <w:r w:rsidRPr="009636EA" w:rsidR="00F07149">
        <w:rPr>
          <w:sz w:val="20"/>
        </w:rPr>
        <w:t xml:space="preserve">that </w:t>
      </w:r>
      <w:r w:rsidRPr="009636EA" w:rsidR="000D6113">
        <w:rPr>
          <w:sz w:val="20"/>
        </w:rPr>
        <w:t xml:space="preserve">the Anchorage entities do not have a right to appoint a director of Reorganized GTT and </w:t>
      </w:r>
      <w:r w:rsidRPr="009636EA" w:rsidR="004E5EC2">
        <w:rPr>
          <w:sz w:val="20"/>
        </w:rPr>
        <w:t xml:space="preserve">do have </w:t>
      </w:r>
      <w:r w:rsidRPr="009636EA" w:rsidR="000D6113">
        <w:rPr>
          <w:sz w:val="20"/>
        </w:rPr>
        <w:t>the right to a</w:t>
      </w:r>
      <w:r w:rsidRPr="009636EA" w:rsidR="004E5EC2">
        <w:rPr>
          <w:sz w:val="20"/>
        </w:rPr>
        <w:t xml:space="preserve"> “</w:t>
      </w:r>
      <w:r w:rsidRPr="009636EA" w:rsidR="000D6113">
        <w:rPr>
          <w:sz w:val="20"/>
        </w:rPr>
        <w:t>board observer to the extent they continue to hold a greater than 5% ownership interest, and there is not an Anchorage employee or representative serving on Reorganized GTT’s Board.</w:t>
      </w:r>
      <w:r w:rsidRPr="009636EA" w:rsidR="004E5EC2">
        <w:rPr>
          <w:sz w:val="20"/>
        </w:rPr>
        <w:t>”</w:t>
      </w:r>
      <w:r w:rsidRPr="009636EA" w:rsidR="000D6113">
        <w:rPr>
          <w:sz w:val="20"/>
        </w:rPr>
        <w:t xml:space="preserve">  Supplement at 2.  </w:t>
      </w:r>
      <w:r w:rsidRPr="009636EA">
        <w:rPr>
          <w:color w:val="000000"/>
          <w:sz w:val="20"/>
        </w:rPr>
        <w:t xml:space="preserve">Applicants state </w:t>
      </w:r>
      <w:bookmarkStart w:id="8" w:name="_Hlk89265300"/>
      <w:r w:rsidRPr="009636EA">
        <w:rPr>
          <w:color w:val="000000"/>
          <w:sz w:val="20"/>
        </w:rPr>
        <w:t>that Kevin Ulrich does not hold a 10% or greater interest in any other provider of domestic telecommunications services.</w:t>
      </w:r>
      <w:r w:rsidRPr="009636EA">
        <w:rPr>
          <w:sz w:val="20"/>
        </w:rPr>
        <w:t xml:space="preserve">  </w:t>
      </w:r>
      <w:bookmarkEnd w:id="8"/>
      <w:r w:rsidRPr="009636EA">
        <w:rPr>
          <w:i/>
          <w:iCs/>
          <w:sz w:val="20"/>
        </w:rPr>
        <w:t>Id</w:t>
      </w:r>
      <w:r w:rsidRPr="009636EA" w:rsidR="004F6AE4">
        <w:rPr>
          <w:sz w:val="20"/>
        </w:rPr>
        <w:t>.</w:t>
      </w:r>
    </w:p>
  </w:footnote>
  <w:footnote w:id="20">
    <w:p w:rsidR="004E5EC2" w:rsidRPr="009636EA" w:rsidP="009636EA" w14:paraId="2AEF23DC" w14:textId="77777777">
      <w:pPr>
        <w:spacing w:after="120"/>
        <w:rPr>
          <w:sz w:val="20"/>
        </w:rPr>
      </w:pPr>
      <w:r w:rsidRPr="009636EA">
        <w:rPr>
          <w:rStyle w:val="FootnoteReference"/>
          <w:sz w:val="20"/>
        </w:rPr>
        <w:footnoteRef/>
      </w:r>
      <w:r w:rsidRPr="009636EA">
        <w:rPr>
          <w:sz w:val="20"/>
        </w:rPr>
        <w:t xml:space="preserve"> </w:t>
      </w:r>
      <w:r w:rsidRPr="009636EA">
        <w:rPr>
          <w:sz w:val="20"/>
        </w:rPr>
        <w:t>Supplement at 2.</w:t>
      </w:r>
    </w:p>
  </w:footnote>
  <w:footnote w:id="21">
    <w:p w:rsidR="004E5EC2" w:rsidRPr="009636EA" w:rsidP="005C4925" w14:paraId="333F6732" w14:textId="77777777">
      <w:pPr>
        <w:pStyle w:val="FootnoteText"/>
        <w:spacing w:after="120"/>
        <w:rPr>
          <w:sz w:val="20"/>
        </w:rPr>
      </w:pPr>
      <w:r w:rsidRPr="009636EA">
        <w:rPr>
          <w:rStyle w:val="FootnoteReference"/>
          <w:sz w:val="20"/>
        </w:rPr>
        <w:footnoteRef/>
      </w:r>
      <w:r w:rsidR="003A7ABA">
        <w:rPr>
          <w:sz w:val="20"/>
        </w:rPr>
        <w:t xml:space="preserve"> </w:t>
      </w:r>
      <w:r w:rsidR="003A7ABA">
        <w:rPr>
          <w:i/>
          <w:iCs/>
          <w:sz w:val="20"/>
        </w:rPr>
        <w:t>Id</w:t>
      </w:r>
      <w:r w:rsidR="003A7ABA">
        <w:rPr>
          <w:sz w:val="20"/>
        </w:rPr>
        <w:t>.</w:t>
      </w:r>
    </w:p>
  </w:footnote>
  <w:footnote w:id="22">
    <w:p w:rsidR="00C30D26" w:rsidRPr="009636EA" w:rsidP="00933C54" w14:paraId="2266AC74" w14:textId="77777777">
      <w:pPr>
        <w:pStyle w:val="FootnoteText"/>
        <w:spacing w:after="120"/>
        <w:rPr>
          <w:i/>
          <w:iCs/>
          <w:sz w:val="20"/>
        </w:rPr>
      </w:pPr>
      <w:r w:rsidRPr="009636EA">
        <w:rPr>
          <w:rStyle w:val="FootnoteReference"/>
          <w:sz w:val="20"/>
        </w:rPr>
        <w:footnoteRef/>
      </w:r>
      <w:r w:rsidRPr="009636EA">
        <w:rPr>
          <w:sz w:val="20"/>
        </w:rPr>
        <w:t xml:space="preserve"> </w:t>
      </w:r>
      <w:r w:rsidRPr="009636EA" w:rsidR="006D7688">
        <w:rPr>
          <w:i/>
          <w:iCs/>
          <w:sz w:val="20"/>
        </w:rPr>
        <w:t>Id.</w:t>
      </w:r>
      <w:r w:rsidRPr="009636EA" w:rsidR="00BE58B3">
        <w:rPr>
          <w:sz w:val="20"/>
        </w:rPr>
        <w:t xml:space="preserve"> </w:t>
      </w:r>
      <w:r w:rsidRPr="009636EA" w:rsidR="00D34D9F">
        <w:rPr>
          <w:sz w:val="20"/>
        </w:rPr>
        <w:t xml:space="preserve">at </w:t>
      </w:r>
      <w:r w:rsidR="009636EA">
        <w:rPr>
          <w:sz w:val="20"/>
        </w:rPr>
        <w:t xml:space="preserve">Exh. 1 at </w:t>
      </w:r>
      <w:r w:rsidRPr="009636EA" w:rsidR="00D34D9F">
        <w:rPr>
          <w:sz w:val="20"/>
        </w:rPr>
        <w:t>20, n.15.</w:t>
      </w:r>
      <w:r w:rsidRPr="009636EA" w:rsidR="00BE58B3">
        <w:rPr>
          <w:sz w:val="20"/>
        </w:rPr>
        <w:t xml:space="preserve"> </w:t>
      </w:r>
    </w:p>
  </w:footnote>
  <w:footnote w:id="23">
    <w:p w:rsidR="00F90E90" w:rsidRPr="009636EA" w:rsidP="00933C54" w14:paraId="57F295F6" w14:textId="77777777">
      <w:pPr>
        <w:pStyle w:val="FootnoteText"/>
        <w:spacing w:after="120"/>
        <w:rPr>
          <w:sz w:val="20"/>
        </w:rPr>
      </w:pPr>
      <w:r w:rsidRPr="009636EA">
        <w:rPr>
          <w:rStyle w:val="FootnoteReference"/>
          <w:sz w:val="20"/>
        </w:rPr>
        <w:footnoteRef/>
      </w:r>
      <w:r w:rsidRPr="009636EA">
        <w:rPr>
          <w:sz w:val="20"/>
        </w:rPr>
        <w:t xml:space="preserve"> </w:t>
      </w:r>
      <w:r w:rsidRPr="009636EA" w:rsidR="0024719B">
        <w:rPr>
          <w:i/>
          <w:iCs/>
          <w:sz w:val="20"/>
        </w:rPr>
        <w:t xml:space="preserve">Id. </w:t>
      </w:r>
      <w:r w:rsidRPr="009636EA">
        <w:rPr>
          <w:sz w:val="20"/>
        </w:rPr>
        <w:t xml:space="preserve">at </w:t>
      </w:r>
      <w:r w:rsidR="009636EA">
        <w:rPr>
          <w:sz w:val="20"/>
        </w:rPr>
        <w:t xml:space="preserve">Exh. 1 at </w:t>
      </w:r>
      <w:r w:rsidRPr="009636EA" w:rsidR="00B07AD7">
        <w:rPr>
          <w:sz w:val="20"/>
        </w:rPr>
        <w:t>22-28.</w:t>
      </w:r>
    </w:p>
  </w:footnote>
  <w:footnote w:id="24">
    <w:p w:rsidR="00B07AD7" w:rsidRPr="009636EA" w:rsidP="00933C54" w14:paraId="106FE493" w14:textId="77777777">
      <w:pPr>
        <w:pStyle w:val="FootnoteText"/>
        <w:spacing w:after="120"/>
        <w:rPr>
          <w:sz w:val="20"/>
        </w:rPr>
      </w:pPr>
      <w:r w:rsidRPr="009636EA">
        <w:rPr>
          <w:rStyle w:val="FootnoteReference"/>
          <w:sz w:val="20"/>
        </w:rPr>
        <w:footnoteRef/>
      </w:r>
      <w:r w:rsidRPr="009636EA">
        <w:rPr>
          <w:sz w:val="20"/>
        </w:rPr>
        <w:t xml:space="preserve"> </w:t>
      </w:r>
      <w:r w:rsidRPr="009636EA" w:rsidR="00BD7715">
        <w:rPr>
          <w:i/>
          <w:iCs/>
          <w:sz w:val="20"/>
        </w:rPr>
        <w:t xml:space="preserve">Id. </w:t>
      </w:r>
      <w:bookmarkStart w:id="9" w:name="_Hlk90042902"/>
      <w:r w:rsidRPr="009636EA" w:rsidR="00BD7715">
        <w:rPr>
          <w:sz w:val="20"/>
        </w:rPr>
        <w:t xml:space="preserve">at </w:t>
      </w:r>
      <w:r w:rsidR="009636EA">
        <w:rPr>
          <w:sz w:val="20"/>
        </w:rPr>
        <w:t xml:space="preserve">Exh. 1 at </w:t>
      </w:r>
      <w:r w:rsidRPr="009636EA" w:rsidR="00BD7715">
        <w:rPr>
          <w:sz w:val="20"/>
        </w:rPr>
        <w:t>25</w:t>
      </w:r>
      <w:bookmarkEnd w:id="9"/>
      <w:r w:rsidRPr="009636EA" w:rsidR="00BD7715">
        <w:rPr>
          <w:sz w:val="20"/>
        </w:rPr>
        <w:t>.</w:t>
      </w:r>
    </w:p>
  </w:footnote>
  <w:footnote w:id="25">
    <w:p w:rsidR="009636EA" w:rsidRPr="00796872" w:rsidP="009636EA" w14:paraId="2FA08597" w14:textId="77777777">
      <w:pPr>
        <w:pStyle w:val="FootnoteText"/>
        <w:spacing w:after="120"/>
        <w:rPr>
          <w:sz w:val="20"/>
        </w:rPr>
      </w:pPr>
      <w:r w:rsidRPr="00796872">
        <w:rPr>
          <w:rStyle w:val="FootnoteReference"/>
          <w:sz w:val="20"/>
        </w:rPr>
        <w:footnoteRef/>
      </w:r>
      <w:r w:rsidRPr="00796872">
        <w:rPr>
          <w:sz w:val="20"/>
        </w:rPr>
        <w:t xml:space="preserve"> </w:t>
      </w:r>
      <w:r w:rsidRPr="00796872">
        <w:rPr>
          <w:color w:val="000000"/>
          <w:sz w:val="20"/>
        </w:rPr>
        <w:t xml:space="preserve">47 CFR § 1.40001.  </w:t>
      </w:r>
      <w:r w:rsidRPr="00796872">
        <w:rPr>
          <w:i/>
          <w:iCs/>
          <w:sz w:val="20"/>
        </w:rPr>
        <w:t>See Process Reform for Executive Branch Review of Certain FCC Applications and Petitions Involving Foreign Ownership,</w:t>
      </w:r>
      <w:r w:rsidRPr="00796872">
        <w:rPr>
          <w:sz w:val="20"/>
        </w:rPr>
        <w:t xml:space="preserve"> IB Docket 16-155, Report and Order, 35 FCC Rcd 10927 (2020), Erratum (Appendix B — Final Rules), DA 20-1404 (OMD/IB rel. Nov. 27, 2020).  </w:t>
      </w:r>
      <w:r w:rsidRPr="00796872">
        <w:rPr>
          <w:i/>
          <w:iCs/>
          <w:sz w:val="20"/>
        </w:rPr>
        <w:t>See also Rules and Policies on Foreign Participation in the U.S. Telecommunications Market; Market Entry and Regulation of Foreign- Affiliated Entities</w:t>
      </w:r>
      <w:r w:rsidRPr="00796872">
        <w:rPr>
          <w:sz w:val="20"/>
        </w:rPr>
        <w:t xml:space="preserve">, IB Docket Nos. 97-142 and 95-22, Report and Order and Order on Reconsideration, 12 FCC Rcd 23891, 23918-19, paras. 61-63 (1997), recon. denied, 15 FCC Rcd 18158 (2000).  </w:t>
      </w:r>
    </w:p>
  </w:footnote>
  <w:footnote w:id="26">
    <w:p w:rsidR="00361DF1" w:rsidRPr="009636EA" w:rsidP="00933C54" w14:paraId="3C31AF72" w14:textId="77777777">
      <w:pPr>
        <w:pStyle w:val="FootnoteText"/>
        <w:spacing w:after="120"/>
        <w:rPr>
          <w:sz w:val="20"/>
        </w:rPr>
      </w:pPr>
      <w:r w:rsidRPr="009636EA">
        <w:rPr>
          <w:rStyle w:val="FootnoteReference"/>
          <w:sz w:val="20"/>
        </w:rPr>
        <w:footnoteRef/>
      </w:r>
      <w:r w:rsidRPr="009636EA">
        <w:rPr>
          <w:sz w:val="20"/>
        </w:rPr>
        <w:t xml:space="preserve"> </w:t>
      </w:r>
      <w:r w:rsidRPr="009636EA">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9636EA" w:rsidR="005E0BA8">
        <w:rPr>
          <w:sz w:val="20"/>
        </w:rPr>
        <w:t xml:space="preserve"> </w:t>
      </w:r>
      <w:r w:rsidRPr="009636EA">
        <w:rPr>
          <w:sz w:val="20"/>
        </w:rPr>
        <w:t xml:space="preserve"> </w:t>
      </w:r>
      <w:r w:rsidRPr="009636EA">
        <w:rPr>
          <w:i/>
          <w:iCs/>
          <w:sz w:val="20"/>
        </w:rPr>
        <w:t>See FCC Announces Closure of FCC Headquarters Open Window and Change in Hand-Delivery Policy</w:t>
      </w:r>
      <w:r w:rsidRPr="009636EA">
        <w:rPr>
          <w:sz w:val="20"/>
        </w:rPr>
        <w:t xml:space="preserve">, Public Notice, 35 FCC Rcd 2788 (Mar. 19, 2020), </w:t>
      </w:r>
      <w:hyperlink r:id="rId1" w:history="1">
        <w:r w:rsidRPr="009636EA" w:rsidR="0005438B">
          <w:rPr>
            <w:rStyle w:val="Hyperlink"/>
            <w:sz w:val="20"/>
          </w:rPr>
          <w:t>https://www.fcc.gov/document/fcc-closes-headquarters-open-window-and-changes-hand-delivery-policy</w:t>
        </w:r>
      </w:hyperlink>
      <w:r w:rsidRPr="009636EA">
        <w:rPr>
          <w:rStyle w:val="Hyperlink"/>
          <w:color w:val="auto"/>
          <w:sz w:val="20"/>
          <w:u w:val="none"/>
        </w:rPr>
        <w:t>.</w:t>
      </w:r>
    </w:p>
  </w:footnote>
  <w:footnote w:id="27">
    <w:p w:rsidR="00361DF1" w:rsidRPr="009636EA" w:rsidP="00F13E8E" w14:paraId="59248E17" w14:textId="77777777">
      <w:pPr>
        <w:pStyle w:val="FootnoteText"/>
        <w:tabs>
          <w:tab w:val="clear" w:pos="720"/>
        </w:tabs>
        <w:spacing w:after="120"/>
        <w:rPr>
          <w:sz w:val="20"/>
        </w:rPr>
      </w:pPr>
      <w:r w:rsidRPr="009636EA">
        <w:rPr>
          <w:rStyle w:val="FootnoteReference"/>
          <w:sz w:val="20"/>
        </w:rPr>
        <w:footnoteRef/>
      </w:r>
      <w:r w:rsidRPr="009636EA">
        <w:rPr>
          <w:sz w:val="20"/>
        </w:rPr>
        <w:t xml:space="preserve"> </w:t>
      </w:r>
      <w:r w:rsidRPr="009636EA">
        <w:rPr>
          <w:i/>
          <w:sz w:val="20"/>
        </w:rPr>
        <w:t>See</w:t>
      </w:r>
      <w:r w:rsidRPr="009636EA">
        <w:rPr>
          <w:sz w:val="20"/>
        </w:rPr>
        <w:t xml:space="preserve"> 47 CFR § 1.45(c).</w:t>
      </w:r>
    </w:p>
  </w:footnote>
  <w:footnote w:id="28">
    <w:p w:rsidR="00186065" w:rsidRPr="00021F2D" w:rsidP="00186065" w14:paraId="6A6BF4D9" w14:textId="77777777">
      <w:pPr>
        <w:pStyle w:val="FootnoteText"/>
        <w:rPr>
          <w:color w:val="000000"/>
          <w:sz w:val="20"/>
        </w:rPr>
      </w:pPr>
      <w:r w:rsidRPr="00021F2D">
        <w:rPr>
          <w:rStyle w:val="FootnoteReference"/>
          <w:color w:val="000000"/>
          <w:sz w:val="20"/>
        </w:rPr>
        <w:footnoteRef/>
      </w:r>
      <w:r w:rsidRPr="00021F2D">
        <w:rPr>
          <w:color w:val="000000"/>
          <w:sz w:val="20"/>
        </w:rPr>
        <w:t xml:space="preserve"> </w:t>
      </w:r>
      <w:r w:rsidRPr="00021F2D">
        <w:rPr>
          <w:color w:val="000000"/>
          <w:sz w:val="20"/>
        </w:rPr>
        <w:t>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40F6B52"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361DF1" w14:paraId="0A530EE9" w14:textId="77777777">
                <w:pPr>
                  <w:rPr>
                    <w:rFonts w:ascii="Arial" w:hAnsi="Arial"/>
                    <w:b/>
                  </w:rPr>
                </w:pPr>
                <w:r>
                  <w:rPr>
                    <w:rFonts w:ascii="Arial" w:hAnsi="Arial"/>
                    <w:b/>
                  </w:rPr>
                  <w:t>Federal Communications Commission</w:t>
                </w:r>
              </w:p>
              <w:p w:rsidR="00361DF1" w14:paraId="2F6FB911" w14:textId="77777777">
                <w:pPr>
                  <w:rPr>
                    <w:rFonts w:ascii="Arial" w:hAnsi="Arial"/>
                    <w:b/>
                  </w:rPr>
                </w:pPr>
                <w:r>
                  <w:rPr>
                    <w:rFonts w:ascii="Arial" w:hAnsi="Arial"/>
                    <w:b/>
                  </w:rPr>
                  <w:t>45 L St., N.E.</w:t>
                </w:r>
              </w:p>
              <w:p w:rsidR="00361DF1" w14:paraId="6C1B9265" w14:textId="77777777">
                <w:pPr>
                  <w:rPr>
                    <w:rFonts w:ascii="Arial" w:hAnsi="Arial"/>
                    <w:sz w:val="24"/>
                  </w:rPr>
                </w:pPr>
                <w:r>
                  <w:rPr>
                    <w:rFonts w:ascii="Arial" w:hAnsi="Arial"/>
                    <w:b/>
                  </w:rPr>
                  <w:t>Washington, D.C. 20554</w:t>
                </w:r>
              </w:p>
            </w:txbxContent>
          </v:textbox>
        </v:shape>
      </w:pict>
    </w:r>
    <w:r w:rsidRPr="7B6157F7" w:rsidR="009409DD">
      <w:rPr>
        <w:rFonts w:ascii="News Gothic MT" w:hAnsi="News Gothic MT"/>
        <w:b/>
        <w:bCs/>
        <w:kern w:val="28"/>
        <w:sz w:val="96"/>
        <w:szCs w:val="96"/>
      </w:rPr>
      <w:t>PUBLIC NOTICE</w:t>
    </w:r>
  </w:p>
  <w:p w:rsidR="00361DF1" w14:paraId="2E94D81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361DF1" w14:paraId="4B4DA5AA" w14:textId="77777777">
                <w:pPr>
                  <w:spacing w:before="40"/>
                  <w:jc w:val="right"/>
                  <w:rPr>
                    <w:rFonts w:ascii="Arial" w:hAnsi="Arial"/>
                    <w:b/>
                    <w:sz w:val="16"/>
                  </w:rPr>
                </w:pPr>
                <w:r>
                  <w:rPr>
                    <w:rFonts w:ascii="Arial" w:hAnsi="Arial"/>
                    <w:b/>
                    <w:sz w:val="16"/>
                  </w:rPr>
                  <w:t>News Media Information 202 / 418-0500</w:t>
                </w:r>
              </w:p>
              <w:p w:rsidR="00361DF1" w14:paraId="7CD93B4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34C5034B" w14:textId="77777777">
                <w:pPr>
                  <w:jc w:val="right"/>
                </w:pPr>
              </w:p>
            </w:txbxContent>
          </v:textbox>
        </v:shape>
      </w:pict>
    </w:r>
  </w:p>
  <w:p w:rsidR="00361DF1" w14:paraId="1F31F59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4ED7466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7846"/>
    <w:rsid w:val="00007FDC"/>
    <w:rsid w:val="0001023F"/>
    <w:rsid w:val="0001135F"/>
    <w:rsid w:val="0001280D"/>
    <w:rsid w:val="00017A3A"/>
    <w:rsid w:val="00021F2D"/>
    <w:rsid w:val="000238EB"/>
    <w:rsid w:val="0002470A"/>
    <w:rsid w:val="00031596"/>
    <w:rsid w:val="00031841"/>
    <w:rsid w:val="00033093"/>
    <w:rsid w:val="00035F32"/>
    <w:rsid w:val="000371EC"/>
    <w:rsid w:val="00040610"/>
    <w:rsid w:val="00040BA0"/>
    <w:rsid w:val="00040DAF"/>
    <w:rsid w:val="00041C01"/>
    <w:rsid w:val="00042890"/>
    <w:rsid w:val="000439B6"/>
    <w:rsid w:val="00046881"/>
    <w:rsid w:val="00051E2C"/>
    <w:rsid w:val="000534AC"/>
    <w:rsid w:val="0005438B"/>
    <w:rsid w:val="00055109"/>
    <w:rsid w:val="00057E12"/>
    <w:rsid w:val="000629CF"/>
    <w:rsid w:val="00062BAA"/>
    <w:rsid w:val="00062F7C"/>
    <w:rsid w:val="000656F9"/>
    <w:rsid w:val="00066D12"/>
    <w:rsid w:val="000734F5"/>
    <w:rsid w:val="000735C8"/>
    <w:rsid w:val="0007409B"/>
    <w:rsid w:val="000747F3"/>
    <w:rsid w:val="0007483B"/>
    <w:rsid w:val="000754B1"/>
    <w:rsid w:val="0007648A"/>
    <w:rsid w:val="000768B9"/>
    <w:rsid w:val="00080D7C"/>
    <w:rsid w:val="0008381D"/>
    <w:rsid w:val="00087205"/>
    <w:rsid w:val="00095E72"/>
    <w:rsid w:val="000A3BF0"/>
    <w:rsid w:val="000A7F5F"/>
    <w:rsid w:val="000B0607"/>
    <w:rsid w:val="000B069D"/>
    <w:rsid w:val="000B4EDD"/>
    <w:rsid w:val="000B6F01"/>
    <w:rsid w:val="000B7587"/>
    <w:rsid w:val="000B7644"/>
    <w:rsid w:val="000C04FD"/>
    <w:rsid w:val="000C28FC"/>
    <w:rsid w:val="000C2C0A"/>
    <w:rsid w:val="000D04B7"/>
    <w:rsid w:val="000D0D16"/>
    <w:rsid w:val="000D6113"/>
    <w:rsid w:val="000D6AA4"/>
    <w:rsid w:val="000E3E17"/>
    <w:rsid w:val="000E42F9"/>
    <w:rsid w:val="000E5147"/>
    <w:rsid w:val="000E74F9"/>
    <w:rsid w:val="000F02F7"/>
    <w:rsid w:val="000F034F"/>
    <w:rsid w:val="000F0712"/>
    <w:rsid w:val="000F33A7"/>
    <w:rsid w:val="00100310"/>
    <w:rsid w:val="00101D0B"/>
    <w:rsid w:val="001032DD"/>
    <w:rsid w:val="00103EAC"/>
    <w:rsid w:val="0010521A"/>
    <w:rsid w:val="001103A0"/>
    <w:rsid w:val="00110B52"/>
    <w:rsid w:val="0011161C"/>
    <w:rsid w:val="0011192C"/>
    <w:rsid w:val="00111CC8"/>
    <w:rsid w:val="00112888"/>
    <w:rsid w:val="0011311D"/>
    <w:rsid w:val="0011383F"/>
    <w:rsid w:val="001150BA"/>
    <w:rsid w:val="0011572A"/>
    <w:rsid w:val="001201EA"/>
    <w:rsid w:val="00123D1D"/>
    <w:rsid w:val="001247DC"/>
    <w:rsid w:val="001264E8"/>
    <w:rsid w:val="00126638"/>
    <w:rsid w:val="00130996"/>
    <w:rsid w:val="0013405D"/>
    <w:rsid w:val="00140814"/>
    <w:rsid w:val="00141388"/>
    <w:rsid w:val="00143484"/>
    <w:rsid w:val="00145BBB"/>
    <w:rsid w:val="00146D1C"/>
    <w:rsid w:val="001470F0"/>
    <w:rsid w:val="0015016B"/>
    <w:rsid w:val="001516AE"/>
    <w:rsid w:val="0015217F"/>
    <w:rsid w:val="00153C77"/>
    <w:rsid w:val="00157DBA"/>
    <w:rsid w:val="00157E29"/>
    <w:rsid w:val="0016562C"/>
    <w:rsid w:val="00171000"/>
    <w:rsid w:val="00176A08"/>
    <w:rsid w:val="00180439"/>
    <w:rsid w:val="0018237D"/>
    <w:rsid w:val="001827FB"/>
    <w:rsid w:val="00186065"/>
    <w:rsid w:val="00187617"/>
    <w:rsid w:val="001907CA"/>
    <w:rsid w:val="00194E1E"/>
    <w:rsid w:val="001A00A7"/>
    <w:rsid w:val="001A3813"/>
    <w:rsid w:val="001A4CCE"/>
    <w:rsid w:val="001A5568"/>
    <w:rsid w:val="001B0861"/>
    <w:rsid w:val="001B15FB"/>
    <w:rsid w:val="001B1E2B"/>
    <w:rsid w:val="001B4C2F"/>
    <w:rsid w:val="001B5BF7"/>
    <w:rsid w:val="001B66CB"/>
    <w:rsid w:val="001B69F9"/>
    <w:rsid w:val="001C0C29"/>
    <w:rsid w:val="001C3C98"/>
    <w:rsid w:val="001D126E"/>
    <w:rsid w:val="001D19A0"/>
    <w:rsid w:val="001D3505"/>
    <w:rsid w:val="001E382D"/>
    <w:rsid w:val="001E5B68"/>
    <w:rsid w:val="001E659B"/>
    <w:rsid w:val="001F1939"/>
    <w:rsid w:val="001F28BA"/>
    <w:rsid w:val="001F365F"/>
    <w:rsid w:val="001F4ED3"/>
    <w:rsid w:val="001F5138"/>
    <w:rsid w:val="001F57DE"/>
    <w:rsid w:val="001F595E"/>
    <w:rsid w:val="001F6762"/>
    <w:rsid w:val="001F67E3"/>
    <w:rsid w:val="00201FB5"/>
    <w:rsid w:val="00202A79"/>
    <w:rsid w:val="0021524B"/>
    <w:rsid w:val="0021680F"/>
    <w:rsid w:val="00216E9B"/>
    <w:rsid w:val="00220B67"/>
    <w:rsid w:val="002217F0"/>
    <w:rsid w:val="00221CCF"/>
    <w:rsid w:val="0022449B"/>
    <w:rsid w:val="00225F62"/>
    <w:rsid w:val="0022664E"/>
    <w:rsid w:val="00233EA3"/>
    <w:rsid w:val="002341CC"/>
    <w:rsid w:val="00234E4F"/>
    <w:rsid w:val="00237A3D"/>
    <w:rsid w:val="00240B1E"/>
    <w:rsid w:val="0024166D"/>
    <w:rsid w:val="002448F4"/>
    <w:rsid w:val="0024606D"/>
    <w:rsid w:val="0024719B"/>
    <w:rsid w:val="00247623"/>
    <w:rsid w:val="00252880"/>
    <w:rsid w:val="0025317E"/>
    <w:rsid w:val="00253247"/>
    <w:rsid w:val="0025743F"/>
    <w:rsid w:val="00262E65"/>
    <w:rsid w:val="002648C6"/>
    <w:rsid w:val="00275EE0"/>
    <w:rsid w:val="00280802"/>
    <w:rsid w:val="0028149F"/>
    <w:rsid w:val="002816BF"/>
    <w:rsid w:val="00282D2F"/>
    <w:rsid w:val="0028555C"/>
    <w:rsid w:val="002906ED"/>
    <w:rsid w:val="00291913"/>
    <w:rsid w:val="00292C84"/>
    <w:rsid w:val="002A1D13"/>
    <w:rsid w:val="002A58FE"/>
    <w:rsid w:val="002A5A6E"/>
    <w:rsid w:val="002B0C57"/>
    <w:rsid w:val="002B16FA"/>
    <w:rsid w:val="002B1A33"/>
    <w:rsid w:val="002B1AFB"/>
    <w:rsid w:val="002B3EB7"/>
    <w:rsid w:val="002B4971"/>
    <w:rsid w:val="002C1DC1"/>
    <w:rsid w:val="002C203E"/>
    <w:rsid w:val="002C22F3"/>
    <w:rsid w:val="002C27F4"/>
    <w:rsid w:val="002C3ADF"/>
    <w:rsid w:val="002D09E2"/>
    <w:rsid w:val="002D1B19"/>
    <w:rsid w:val="002D2251"/>
    <w:rsid w:val="002D430D"/>
    <w:rsid w:val="002D5247"/>
    <w:rsid w:val="002D60A0"/>
    <w:rsid w:val="002D61F8"/>
    <w:rsid w:val="002D640A"/>
    <w:rsid w:val="002D65CC"/>
    <w:rsid w:val="002D6F61"/>
    <w:rsid w:val="002E053A"/>
    <w:rsid w:val="002E1E27"/>
    <w:rsid w:val="002F2F2D"/>
    <w:rsid w:val="00302C56"/>
    <w:rsid w:val="00303877"/>
    <w:rsid w:val="003046CE"/>
    <w:rsid w:val="00306670"/>
    <w:rsid w:val="00306A03"/>
    <w:rsid w:val="0031156F"/>
    <w:rsid w:val="00313546"/>
    <w:rsid w:val="00313924"/>
    <w:rsid w:val="00314891"/>
    <w:rsid w:val="00314CD0"/>
    <w:rsid w:val="0031554B"/>
    <w:rsid w:val="0031559D"/>
    <w:rsid w:val="00315D50"/>
    <w:rsid w:val="00315FCD"/>
    <w:rsid w:val="0031636F"/>
    <w:rsid w:val="00316395"/>
    <w:rsid w:val="00317A70"/>
    <w:rsid w:val="00321A17"/>
    <w:rsid w:val="00323153"/>
    <w:rsid w:val="0032370B"/>
    <w:rsid w:val="0032625B"/>
    <w:rsid w:val="003307E5"/>
    <w:rsid w:val="00332804"/>
    <w:rsid w:val="00332884"/>
    <w:rsid w:val="003335F9"/>
    <w:rsid w:val="00335EC2"/>
    <w:rsid w:val="00340D4E"/>
    <w:rsid w:val="00341BC2"/>
    <w:rsid w:val="0034350C"/>
    <w:rsid w:val="0034551D"/>
    <w:rsid w:val="00350329"/>
    <w:rsid w:val="00351F33"/>
    <w:rsid w:val="00353CB5"/>
    <w:rsid w:val="003606C4"/>
    <w:rsid w:val="00361DF1"/>
    <w:rsid w:val="00362CDC"/>
    <w:rsid w:val="003632CF"/>
    <w:rsid w:val="00363960"/>
    <w:rsid w:val="00365194"/>
    <w:rsid w:val="003670D8"/>
    <w:rsid w:val="00367E50"/>
    <w:rsid w:val="00370A70"/>
    <w:rsid w:val="00372CA2"/>
    <w:rsid w:val="00374C6B"/>
    <w:rsid w:val="00376094"/>
    <w:rsid w:val="0038521D"/>
    <w:rsid w:val="003855A0"/>
    <w:rsid w:val="003856EC"/>
    <w:rsid w:val="00385FF3"/>
    <w:rsid w:val="0038632F"/>
    <w:rsid w:val="003879D0"/>
    <w:rsid w:val="00387BBE"/>
    <w:rsid w:val="00395A7A"/>
    <w:rsid w:val="00396AE3"/>
    <w:rsid w:val="003975CE"/>
    <w:rsid w:val="003A18A0"/>
    <w:rsid w:val="003A32D5"/>
    <w:rsid w:val="003A580D"/>
    <w:rsid w:val="003A7ABA"/>
    <w:rsid w:val="003B1DA0"/>
    <w:rsid w:val="003B43C3"/>
    <w:rsid w:val="003B48CF"/>
    <w:rsid w:val="003B5CEE"/>
    <w:rsid w:val="003C137A"/>
    <w:rsid w:val="003C1F09"/>
    <w:rsid w:val="003C6C90"/>
    <w:rsid w:val="003D0F8F"/>
    <w:rsid w:val="003D27C1"/>
    <w:rsid w:val="003D410C"/>
    <w:rsid w:val="003D43D6"/>
    <w:rsid w:val="003D70A8"/>
    <w:rsid w:val="003D732C"/>
    <w:rsid w:val="003E00F5"/>
    <w:rsid w:val="003E34DD"/>
    <w:rsid w:val="003E40DA"/>
    <w:rsid w:val="003E5491"/>
    <w:rsid w:val="003E58EC"/>
    <w:rsid w:val="003E6571"/>
    <w:rsid w:val="003F01B8"/>
    <w:rsid w:val="003F08CA"/>
    <w:rsid w:val="003F0BDB"/>
    <w:rsid w:val="003F0ECD"/>
    <w:rsid w:val="003F1004"/>
    <w:rsid w:val="003F1D04"/>
    <w:rsid w:val="003F2B7B"/>
    <w:rsid w:val="003F41B0"/>
    <w:rsid w:val="003F45E5"/>
    <w:rsid w:val="003F7233"/>
    <w:rsid w:val="003F7A3F"/>
    <w:rsid w:val="00400AB9"/>
    <w:rsid w:val="0040416E"/>
    <w:rsid w:val="0040580F"/>
    <w:rsid w:val="00405815"/>
    <w:rsid w:val="00406679"/>
    <w:rsid w:val="004077D0"/>
    <w:rsid w:val="00415528"/>
    <w:rsid w:val="004174B5"/>
    <w:rsid w:val="00422C91"/>
    <w:rsid w:val="00425B86"/>
    <w:rsid w:val="00427277"/>
    <w:rsid w:val="00427654"/>
    <w:rsid w:val="004331D7"/>
    <w:rsid w:val="00433D8C"/>
    <w:rsid w:val="00434C96"/>
    <w:rsid w:val="004359CE"/>
    <w:rsid w:val="00436D38"/>
    <w:rsid w:val="004411C5"/>
    <w:rsid w:val="00445CF7"/>
    <w:rsid w:val="0044608C"/>
    <w:rsid w:val="00451193"/>
    <w:rsid w:val="0045472D"/>
    <w:rsid w:val="004547DB"/>
    <w:rsid w:val="0046036F"/>
    <w:rsid w:val="00460544"/>
    <w:rsid w:val="00460914"/>
    <w:rsid w:val="004609A4"/>
    <w:rsid w:val="00460BDC"/>
    <w:rsid w:val="00461089"/>
    <w:rsid w:val="00461479"/>
    <w:rsid w:val="004646D3"/>
    <w:rsid w:val="00464E8A"/>
    <w:rsid w:val="004670AE"/>
    <w:rsid w:val="00467976"/>
    <w:rsid w:val="00467CD6"/>
    <w:rsid w:val="00475F48"/>
    <w:rsid w:val="00476B50"/>
    <w:rsid w:val="00477D20"/>
    <w:rsid w:val="004808FC"/>
    <w:rsid w:val="00480E51"/>
    <w:rsid w:val="00482EB0"/>
    <w:rsid w:val="004842E4"/>
    <w:rsid w:val="0048538B"/>
    <w:rsid w:val="0048551B"/>
    <w:rsid w:val="00485D4A"/>
    <w:rsid w:val="00485DD1"/>
    <w:rsid w:val="00490F2D"/>
    <w:rsid w:val="004913A0"/>
    <w:rsid w:val="004913FF"/>
    <w:rsid w:val="004921C9"/>
    <w:rsid w:val="00492290"/>
    <w:rsid w:val="004951AE"/>
    <w:rsid w:val="004A2141"/>
    <w:rsid w:val="004A2872"/>
    <w:rsid w:val="004A684C"/>
    <w:rsid w:val="004A740D"/>
    <w:rsid w:val="004A7EFC"/>
    <w:rsid w:val="004B0C9D"/>
    <w:rsid w:val="004B1D86"/>
    <w:rsid w:val="004B3EAE"/>
    <w:rsid w:val="004B7520"/>
    <w:rsid w:val="004B78B9"/>
    <w:rsid w:val="004C219F"/>
    <w:rsid w:val="004C22B8"/>
    <w:rsid w:val="004C3DB0"/>
    <w:rsid w:val="004C712F"/>
    <w:rsid w:val="004C73D8"/>
    <w:rsid w:val="004D5A7C"/>
    <w:rsid w:val="004D7912"/>
    <w:rsid w:val="004E0DEC"/>
    <w:rsid w:val="004E1D88"/>
    <w:rsid w:val="004E49E1"/>
    <w:rsid w:val="004E5A60"/>
    <w:rsid w:val="004E5EC2"/>
    <w:rsid w:val="004E6EDB"/>
    <w:rsid w:val="004F298D"/>
    <w:rsid w:val="004F336F"/>
    <w:rsid w:val="004F3603"/>
    <w:rsid w:val="004F3CEC"/>
    <w:rsid w:val="004F4639"/>
    <w:rsid w:val="004F6AE4"/>
    <w:rsid w:val="004F6F64"/>
    <w:rsid w:val="00501D17"/>
    <w:rsid w:val="00507B4B"/>
    <w:rsid w:val="00510A68"/>
    <w:rsid w:val="005145DC"/>
    <w:rsid w:val="0051471D"/>
    <w:rsid w:val="00515979"/>
    <w:rsid w:val="00517A3B"/>
    <w:rsid w:val="0052588A"/>
    <w:rsid w:val="00525F17"/>
    <w:rsid w:val="0052638E"/>
    <w:rsid w:val="00526797"/>
    <w:rsid w:val="005273AB"/>
    <w:rsid w:val="0053007F"/>
    <w:rsid w:val="005320B5"/>
    <w:rsid w:val="00533E67"/>
    <w:rsid w:val="0053439A"/>
    <w:rsid w:val="00536554"/>
    <w:rsid w:val="00536ED2"/>
    <w:rsid w:val="00537D6B"/>
    <w:rsid w:val="00541FF2"/>
    <w:rsid w:val="00545B71"/>
    <w:rsid w:val="005524B5"/>
    <w:rsid w:val="00552AAD"/>
    <w:rsid w:val="00554AAA"/>
    <w:rsid w:val="0056058F"/>
    <w:rsid w:val="00560D99"/>
    <w:rsid w:val="00560E2D"/>
    <w:rsid w:val="00562E0E"/>
    <w:rsid w:val="0056303C"/>
    <w:rsid w:val="0056696A"/>
    <w:rsid w:val="00566B47"/>
    <w:rsid w:val="00567845"/>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2192"/>
    <w:rsid w:val="005932BA"/>
    <w:rsid w:val="00595021"/>
    <w:rsid w:val="00595ECF"/>
    <w:rsid w:val="00596D5C"/>
    <w:rsid w:val="005A13D0"/>
    <w:rsid w:val="005A292D"/>
    <w:rsid w:val="005A64A7"/>
    <w:rsid w:val="005B2105"/>
    <w:rsid w:val="005B4E08"/>
    <w:rsid w:val="005B57F1"/>
    <w:rsid w:val="005B6764"/>
    <w:rsid w:val="005B758D"/>
    <w:rsid w:val="005C027E"/>
    <w:rsid w:val="005C403A"/>
    <w:rsid w:val="005C4925"/>
    <w:rsid w:val="005C5165"/>
    <w:rsid w:val="005C680F"/>
    <w:rsid w:val="005C740F"/>
    <w:rsid w:val="005D1134"/>
    <w:rsid w:val="005D3908"/>
    <w:rsid w:val="005D508E"/>
    <w:rsid w:val="005D6D5C"/>
    <w:rsid w:val="005E0BA8"/>
    <w:rsid w:val="005E1380"/>
    <w:rsid w:val="005E370E"/>
    <w:rsid w:val="005E5E11"/>
    <w:rsid w:val="005E6CD1"/>
    <w:rsid w:val="005F0448"/>
    <w:rsid w:val="005F3256"/>
    <w:rsid w:val="005F423E"/>
    <w:rsid w:val="005F73CF"/>
    <w:rsid w:val="005F7F51"/>
    <w:rsid w:val="0060105E"/>
    <w:rsid w:val="0060106A"/>
    <w:rsid w:val="00601C1E"/>
    <w:rsid w:val="00603E2B"/>
    <w:rsid w:val="00604A3C"/>
    <w:rsid w:val="00604CFF"/>
    <w:rsid w:val="00607672"/>
    <w:rsid w:val="006079F6"/>
    <w:rsid w:val="0061137C"/>
    <w:rsid w:val="00611777"/>
    <w:rsid w:val="00613D42"/>
    <w:rsid w:val="006144A3"/>
    <w:rsid w:val="00616221"/>
    <w:rsid w:val="00616638"/>
    <w:rsid w:val="0061697F"/>
    <w:rsid w:val="00617185"/>
    <w:rsid w:val="00623FAB"/>
    <w:rsid w:val="006342D4"/>
    <w:rsid w:val="0063457E"/>
    <w:rsid w:val="00634FA7"/>
    <w:rsid w:val="00641B06"/>
    <w:rsid w:val="00641B1C"/>
    <w:rsid w:val="0064419D"/>
    <w:rsid w:val="00644402"/>
    <w:rsid w:val="0064533D"/>
    <w:rsid w:val="00650AA4"/>
    <w:rsid w:val="00652163"/>
    <w:rsid w:val="00652A5F"/>
    <w:rsid w:val="00653610"/>
    <w:rsid w:val="00654447"/>
    <w:rsid w:val="00656777"/>
    <w:rsid w:val="0065693D"/>
    <w:rsid w:val="00663975"/>
    <w:rsid w:val="0066589B"/>
    <w:rsid w:val="00670CC1"/>
    <w:rsid w:val="006768CC"/>
    <w:rsid w:val="00680D6E"/>
    <w:rsid w:val="0068188D"/>
    <w:rsid w:val="006823D9"/>
    <w:rsid w:val="00683A96"/>
    <w:rsid w:val="00687959"/>
    <w:rsid w:val="00690EA9"/>
    <w:rsid w:val="00691832"/>
    <w:rsid w:val="00697359"/>
    <w:rsid w:val="006A08B1"/>
    <w:rsid w:val="006A201E"/>
    <w:rsid w:val="006A7126"/>
    <w:rsid w:val="006B3211"/>
    <w:rsid w:val="006B3590"/>
    <w:rsid w:val="006B36F1"/>
    <w:rsid w:val="006B3B57"/>
    <w:rsid w:val="006B470C"/>
    <w:rsid w:val="006B5C06"/>
    <w:rsid w:val="006B62E5"/>
    <w:rsid w:val="006B6AC8"/>
    <w:rsid w:val="006B7F06"/>
    <w:rsid w:val="006C283F"/>
    <w:rsid w:val="006C32C8"/>
    <w:rsid w:val="006C4019"/>
    <w:rsid w:val="006C591C"/>
    <w:rsid w:val="006C6494"/>
    <w:rsid w:val="006C781A"/>
    <w:rsid w:val="006D1302"/>
    <w:rsid w:val="006D31FF"/>
    <w:rsid w:val="006D6C82"/>
    <w:rsid w:val="006D7688"/>
    <w:rsid w:val="006E0531"/>
    <w:rsid w:val="006E3E11"/>
    <w:rsid w:val="006E61ED"/>
    <w:rsid w:val="006E7452"/>
    <w:rsid w:val="006F2832"/>
    <w:rsid w:val="006F2F1F"/>
    <w:rsid w:val="006F3441"/>
    <w:rsid w:val="006F44AB"/>
    <w:rsid w:val="006F4D60"/>
    <w:rsid w:val="006F4F9A"/>
    <w:rsid w:val="006F586C"/>
    <w:rsid w:val="006F590B"/>
    <w:rsid w:val="006F5D93"/>
    <w:rsid w:val="00701394"/>
    <w:rsid w:val="00702A22"/>
    <w:rsid w:val="007067E2"/>
    <w:rsid w:val="00706D49"/>
    <w:rsid w:val="00706EBF"/>
    <w:rsid w:val="007072FA"/>
    <w:rsid w:val="0071041E"/>
    <w:rsid w:val="00711C81"/>
    <w:rsid w:val="007124C8"/>
    <w:rsid w:val="00712888"/>
    <w:rsid w:val="007150A2"/>
    <w:rsid w:val="0071784F"/>
    <w:rsid w:val="00720864"/>
    <w:rsid w:val="00721AA9"/>
    <w:rsid w:val="007220E7"/>
    <w:rsid w:val="00724176"/>
    <w:rsid w:val="00724722"/>
    <w:rsid w:val="00731BA9"/>
    <w:rsid w:val="00732C3A"/>
    <w:rsid w:val="00732F41"/>
    <w:rsid w:val="00733B9B"/>
    <w:rsid w:val="007361D6"/>
    <w:rsid w:val="00740AD9"/>
    <w:rsid w:val="00744C57"/>
    <w:rsid w:val="00745CD2"/>
    <w:rsid w:val="00746090"/>
    <w:rsid w:val="00746759"/>
    <w:rsid w:val="00747FB8"/>
    <w:rsid w:val="00750B9D"/>
    <w:rsid w:val="0075148C"/>
    <w:rsid w:val="0075291B"/>
    <w:rsid w:val="00753F3C"/>
    <w:rsid w:val="00754895"/>
    <w:rsid w:val="007569C5"/>
    <w:rsid w:val="007572E5"/>
    <w:rsid w:val="0075743F"/>
    <w:rsid w:val="007576F1"/>
    <w:rsid w:val="00760269"/>
    <w:rsid w:val="00760571"/>
    <w:rsid w:val="00762D92"/>
    <w:rsid w:val="007631B9"/>
    <w:rsid w:val="0076385A"/>
    <w:rsid w:val="00764109"/>
    <w:rsid w:val="00766048"/>
    <w:rsid w:val="00766672"/>
    <w:rsid w:val="007679F3"/>
    <w:rsid w:val="00771214"/>
    <w:rsid w:val="00772125"/>
    <w:rsid w:val="00773172"/>
    <w:rsid w:val="007744AF"/>
    <w:rsid w:val="00774699"/>
    <w:rsid w:val="00774DB6"/>
    <w:rsid w:val="00775CD4"/>
    <w:rsid w:val="00776FA3"/>
    <w:rsid w:val="00777AFE"/>
    <w:rsid w:val="0078057D"/>
    <w:rsid w:val="00780F55"/>
    <w:rsid w:val="0078218F"/>
    <w:rsid w:val="0079265D"/>
    <w:rsid w:val="007934F5"/>
    <w:rsid w:val="00795DF8"/>
    <w:rsid w:val="00796872"/>
    <w:rsid w:val="00796E19"/>
    <w:rsid w:val="007A426E"/>
    <w:rsid w:val="007A5130"/>
    <w:rsid w:val="007B0DBD"/>
    <w:rsid w:val="007B0FA7"/>
    <w:rsid w:val="007B1EAE"/>
    <w:rsid w:val="007B2EA3"/>
    <w:rsid w:val="007B3126"/>
    <w:rsid w:val="007B49EE"/>
    <w:rsid w:val="007B4D1E"/>
    <w:rsid w:val="007B4F48"/>
    <w:rsid w:val="007B7204"/>
    <w:rsid w:val="007C2485"/>
    <w:rsid w:val="007C263F"/>
    <w:rsid w:val="007C2F86"/>
    <w:rsid w:val="007C3551"/>
    <w:rsid w:val="007C3B1B"/>
    <w:rsid w:val="007C4108"/>
    <w:rsid w:val="007C7F64"/>
    <w:rsid w:val="007D2035"/>
    <w:rsid w:val="007D5FA2"/>
    <w:rsid w:val="007D6881"/>
    <w:rsid w:val="007E03E5"/>
    <w:rsid w:val="007E1409"/>
    <w:rsid w:val="007E5DAA"/>
    <w:rsid w:val="007F327F"/>
    <w:rsid w:val="007F3C7A"/>
    <w:rsid w:val="007F6290"/>
    <w:rsid w:val="007F63BD"/>
    <w:rsid w:val="007F7EE5"/>
    <w:rsid w:val="007F7FCD"/>
    <w:rsid w:val="0080169E"/>
    <w:rsid w:val="008036BB"/>
    <w:rsid w:val="0080674A"/>
    <w:rsid w:val="00807056"/>
    <w:rsid w:val="00811A2F"/>
    <w:rsid w:val="00812369"/>
    <w:rsid w:val="00813C6D"/>
    <w:rsid w:val="00816285"/>
    <w:rsid w:val="00821491"/>
    <w:rsid w:val="008226E9"/>
    <w:rsid w:val="00823044"/>
    <w:rsid w:val="008239CE"/>
    <w:rsid w:val="00824E65"/>
    <w:rsid w:val="008272A8"/>
    <w:rsid w:val="00830743"/>
    <w:rsid w:val="008325EE"/>
    <w:rsid w:val="008344FD"/>
    <w:rsid w:val="00835696"/>
    <w:rsid w:val="00836023"/>
    <w:rsid w:val="00843429"/>
    <w:rsid w:val="008446BC"/>
    <w:rsid w:val="0084596A"/>
    <w:rsid w:val="00846A82"/>
    <w:rsid w:val="0084778A"/>
    <w:rsid w:val="0085137C"/>
    <w:rsid w:val="00853114"/>
    <w:rsid w:val="0085536D"/>
    <w:rsid w:val="0085579D"/>
    <w:rsid w:val="00856944"/>
    <w:rsid w:val="00860F11"/>
    <w:rsid w:val="00861933"/>
    <w:rsid w:val="00864A89"/>
    <w:rsid w:val="0086688B"/>
    <w:rsid w:val="0086691C"/>
    <w:rsid w:val="008675C7"/>
    <w:rsid w:val="00871CFC"/>
    <w:rsid w:val="00872454"/>
    <w:rsid w:val="0087554B"/>
    <w:rsid w:val="00876514"/>
    <w:rsid w:val="0087685F"/>
    <w:rsid w:val="00876E9B"/>
    <w:rsid w:val="00877D35"/>
    <w:rsid w:val="00884EEF"/>
    <w:rsid w:val="008868D6"/>
    <w:rsid w:val="00887E53"/>
    <w:rsid w:val="00890541"/>
    <w:rsid w:val="00895F2E"/>
    <w:rsid w:val="00896EDF"/>
    <w:rsid w:val="008974B1"/>
    <w:rsid w:val="00897F74"/>
    <w:rsid w:val="008A2B3A"/>
    <w:rsid w:val="008A2EA4"/>
    <w:rsid w:val="008A3786"/>
    <w:rsid w:val="008A5E3E"/>
    <w:rsid w:val="008B02C0"/>
    <w:rsid w:val="008B241F"/>
    <w:rsid w:val="008B4FC7"/>
    <w:rsid w:val="008C0A81"/>
    <w:rsid w:val="008C27B7"/>
    <w:rsid w:val="008C294A"/>
    <w:rsid w:val="008C31BC"/>
    <w:rsid w:val="008C3559"/>
    <w:rsid w:val="008C564D"/>
    <w:rsid w:val="008C6F8E"/>
    <w:rsid w:val="008D0BE6"/>
    <w:rsid w:val="008D0E14"/>
    <w:rsid w:val="008D0F9C"/>
    <w:rsid w:val="008D17AF"/>
    <w:rsid w:val="008D2804"/>
    <w:rsid w:val="008D288D"/>
    <w:rsid w:val="008D5A69"/>
    <w:rsid w:val="008D648B"/>
    <w:rsid w:val="008D6492"/>
    <w:rsid w:val="008D79D6"/>
    <w:rsid w:val="008E11C1"/>
    <w:rsid w:val="008E1CB4"/>
    <w:rsid w:val="008E27B4"/>
    <w:rsid w:val="008E282A"/>
    <w:rsid w:val="008E2EB8"/>
    <w:rsid w:val="008E416A"/>
    <w:rsid w:val="008F2C68"/>
    <w:rsid w:val="008F6981"/>
    <w:rsid w:val="00902B5D"/>
    <w:rsid w:val="00903154"/>
    <w:rsid w:val="00903DE0"/>
    <w:rsid w:val="00904B70"/>
    <w:rsid w:val="0090751E"/>
    <w:rsid w:val="009075DA"/>
    <w:rsid w:val="00910140"/>
    <w:rsid w:val="009101A4"/>
    <w:rsid w:val="00910560"/>
    <w:rsid w:val="00910B40"/>
    <w:rsid w:val="009129F7"/>
    <w:rsid w:val="00913852"/>
    <w:rsid w:val="00913DB8"/>
    <w:rsid w:val="00916D50"/>
    <w:rsid w:val="009203A0"/>
    <w:rsid w:val="009211C4"/>
    <w:rsid w:val="009236BF"/>
    <w:rsid w:val="00925F38"/>
    <w:rsid w:val="00931D26"/>
    <w:rsid w:val="00933C54"/>
    <w:rsid w:val="00935846"/>
    <w:rsid w:val="00935DC9"/>
    <w:rsid w:val="009362B8"/>
    <w:rsid w:val="009375A4"/>
    <w:rsid w:val="00937CB0"/>
    <w:rsid w:val="009409DD"/>
    <w:rsid w:val="00941653"/>
    <w:rsid w:val="00946662"/>
    <w:rsid w:val="00950639"/>
    <w:rsid w:val="00954C80"/>
    <w:rsid w:val="009558A7"/>
    <w:rsid w:val="00960F76"/>
    <w:rsid w:val="00961792"/>
    <w:rsid w:val="00962DA3"/>
    <w:rsid w:val="00962EED"/>
    <w:rsid w:val="009636EA"/>
    <w:rsid w:val="00963954"/>
    <w:rsid w:val="0096533D"/>
    <w:rsid w:val="009662DC"/>
    <w:rsid w:val="0096776A"/>
    <w:rsid w:val="00970203"/>
    <w:rsid w:val="009703C9"/>
    <w:rsid w:val="009717CE"/>
    <w:rsid w:val="009753C0"/>
    <w:rsid w:val="009757F3"/>
    <w:rsid w:val="00976F0F"/>
    <w:rsid w:val="0098015F"/>
    <w:rsid w:val="00985C24"/>
    <w:rsid w:val="00986A53"/>
    <w:rsid w:val="00987235"/>
    <w:rsid w:val="009926EB"/>
    <w:rsid w:val="00992B42"/>
    <w:rsid w:val="009979D8"/>
    <w:rsid w:val="009A0D7F"/>
    <w:rsid w:val="009A124E"/>
    <w:rsid w:val="009A2C2E"/>
    <w:rsid w:val="009A3285"/>
    <w:rsid w:val="009A5A7F"/>
    <w:rsid w:val="009B0128"/>
    <w:rsid w:val="009B0BDA"/>
    <w:rsid w:val="009B0FFE"/>
    <w:rsid w:val="009B18C4"/>
    <w:rsid w:val="009B1CCF"/>
    <w:rsid w:val="009B2F69"/>
    <w:rsid w:val="009B30B2"/>
    <w:rsid w:val="009B6797"/>
    <w:rsid w:val="009B6AEB"/>
    <w:rsid w:val="009C3242"/>
    <w:rsid w:val="009C3EC2"/>
    <w:rsid w:val="009C4A1C"/>
    <w:rsid w:val="009C66BD"/>
    <w:rsid w:val="009D0731"/>
    <w:rsid w:val="009D1AB7"/>
    <w:rsid w:val="009D21DD"/>
    <w:rsid w:val="009D3236"/>
    <w:rsid w:val="009D34D7"/>
    <w:rsid w:val="009E0877"/>
    <w:rsid w:val="009E08FA"/>
    <w:rsid w:val="009E1C83"/>
    <w:rsid w:val="009E2CB1"/>
    <w:rsid w:val="009E5ABC"/>
    <w:rsid w:val="009F09EF"/>
    <w:rsid w:val="009F5FC4"/>
    <w:rsid w:val="009F7BAB"/>
    <w:rsid w:val="00A00CAA"/>
    <w:rsid w:val="00A03323"/>
    <w:rsid w:val="00A033E8"/>
    <w:rsid w:val="00A05E78"/>
    <w:rsid w:val="00A06C0A"/>
    <w:rsid w:val="00A07453"/>
    <w:rsid w:val="00A077DA"/>
    <w:rsid w:val="00A11865"/>
    <w:rsid w:val="00A14176"/>
    <w:rsid w:val="00A14255"/>
    <w:rsid w:val="00A15248"/>
    <w:rsid w:val="00A1544A"/>
    <w:rsid w:val="00A1692B"/>
    <w:rsid w:val="00A17F96"/>
    <w:rsid w:val="00A214C6"/>
    <w:rsid w:val="00A229F0"/>
    <w:rsid w:val="00A25AB6"/>
    <w:rsid w:val="00A25C41"/>
    <w:rsid w:val="00A267BC"/>
    <w:rsid w:val="00A323FD"/>
    <w:rsid w:val="00A341AA"/>
    <w:rsid w:val="00A3545A"/>
    <w:rsid w:val="00A36DEA"/>
    <w:rsid w:val="00A44AD0"/>
    <w:rsid w:val="00A44D63"/>
    <w:rsid w:val="00A464DC"/>
    <w:rsid w:val="00A47815"/>
    <w:rsid w:val="00A54711"/>
    <w:rsid w:val="00A547AE"/>
    <w:rsid w:val="00A54E38"/>
    <w:rsid w:val="00A55468"/>
    <w:rsid w:val="00A55F2F"/>
    <w:rsid w:val="00A569E4"/>
    <w:rsid w:val="00A5795E"/>
    <w:rsid w:val="00A67B9D"/>
    <w:rsid w:val="00A72CE3"/>
    <w:rsid w:val="00A72E61"/>
    <w:rsid w:val="00A7396F"/>
    <w:rsid w:val="00A75CD7"/>
    <w:rsid w:val="00A77A3C"/>
    <w:rsid w:val="00A8094C"/>
    <w:rsid w:val="00A809DF"/>
    <w:rsid w:val="00A824AF"/>
    <w:rsid w:val="00A8273F"/>
    <w:rsid w:val="00A8336A"/>
    <w:rsid w:val="00A840E3"/>
    <w:rsid w:val="00A86A03"/>
    <w:rsid w:val="00A922FD"/>
    <w:rsid w:val="00A927E1"/>
    <w:rsid w:val="00A92C9E"/>
    <w:rsid w:val="00A9377C"/>
    <w:rsid w:val="00AA252A"/>
    <w:rsid w:val="00AA265D"/>
    <w:rsid w:val="00AA3683"/>
    <w:rsid w:val="00AA45EC"/>
    <w:rsid w:val="00AA5B82"/>
    <w:rsid w:val="00AA6AD5"/>
    <w:rsid w:val="00AA79C4"/>
    <w:rsid w:val="00AB35BE"/>
    <w:rsid w:val="00AB369C"/>
    <w:rsid w:val="00AB5112"/>
    <w:rsid w:val="00AB620D"/>
    <w:rsid w:val="00AC4CEF"/>
    <w:rsid w:val="00AC73C8"/>
    <w:rsid w:val="00AC7647"/>
    <w:rsid w:val="00AD0185"/>
    <w:rsid w:val="00AD0360"/>
    <w:rsid w:val="00AD0CC5"/>
    <w:rsid w:val="00AD131E"/>
    <w:rsid w:val="00AD15C7"/>
    <w:rsid w:val="00AD291B"/>
    <w:rsid w:val="00AD45FC"/>
    <w:rsid w:val="00AE16BD"/>
    <w:rsid w:val="00AE4EB4"/>
    <w:rsid w:val="00AE522A"/>
    <w:rsid w:val="00AF04F4"/>
    <w:rsid w:val="00AF1A8C"/>
    <w:rsid w:val="00AF2955"/>
    <w:rsid w:val="00AF35EB"/>
    <w:rsid w:val="00AF6AD7"/>
    <w:rsid w:val="00B00CBF"/>
    <w:rsid w:val="00B02CE4"/>
    <w:rsid w:val="00B02F9E"/>
    <w:rsid w:val="00B0316F"/>
    <w:rsid w:val="00B055D7"/>
    <w:rsid w:val="00B069AF"/>
    <w:rsid w:val="00B06CA1"/>
    <w:rsid w:val="00B07323"/>
    <w:rsid w:val="00B07AD7"/>
    <w:rsid w:val="00B12C5F"/>
    <w:rsid w:val="00B166E3"/>
    <w:rsid w:val="00B23981"/>
    <w:rsid w:val="00B24F56"/>
    <w:rsid w:val="00B25D2D"/>
    <w:rsid w:val="00B26F81"/>
    <w:rsid w:val="00B27794"/>
    <w:rsid w:val="00B27D04"/>
    <w:rsid w:val="00B30941"/>
    <w:rsid w:val="00B335D6"/>
    <w:rsid w:val="00B42144"/>
    <w:rsid w:val="00B44E2C"/>
    <w:rsid w:val="00B47E08"/>
    <w:rsid w:val="00B5055F"/>
    <w:rsid w:val="00B52358"/>
    <w:rsid w:val="00B52F9D"/>
    <w:rsid w:val="00B55A93"/>
    <w:rsid w:val="00B56E1B"/>
    <w:rsid w:val="00B62EDB"/>
    <w:rsid w:val="00B6340B"/>
    <w:rsid w:val="00B63699"/>
    <w:rsid w:val="00B65FFD"/>
    <w:rsid w:val="00B713DE"/>
    <w:rsid w:val="00B72F45"/>
    <w:rsid w:val="00B73886"/>
    <w:rsid w:val="00B73AED"/>
    <w:rsid w:val="00B7557F"/>
    <w:rsid w:val="00B80934"/>
    <w:rsid w:val="00B83A4C"/>
    <w:rsid w:val="00B8520F"/>
    <w:rsid w:val="00B872AB"/>
    <w:rsid w:val="00B87789"/>
    <w:rsid w:val="00B908C9"/>
    <w:rsid w:val="00B9333E"/>
    <w:rsid w:val="00B93BD0"/>
    <w:rsid w:val="00B949AD"/>
    <w:rsid w:val="00B958E7"/>
    <w:rsid w:val="00B96969"/>
    <w:rsid w:val="00BA240A"/>
    <w:rsid w:val="00BA3568"/>
    <w:rsid w:val="00BA45FE"/>
    <w:rsid w:val="00BA52B0"/>
    <w:rsid w:val="00BA56E2"/>
    <w:rsid w:val="00BA5853"/>
    <w:rsid w:val="00BA7CBD"/>
    <w:rsid w:val="00BB005A"/>
    <w:rsid w:val="00BB03BE"/>
    <w:rsid w:val="00BB3B90"/>
    <w:rsid w:val="00BB4337"/>
    <w:rsid w:val="00BC0F23"/>
    <w:rsid w:val="00BC4ABB"/>
    <w:rsid w:val="00BC7555"/>
    <w:rsid w:val="00BD0A4B"/>
    <w:rsid w:val="00BD1655"/>
    <w:rsid w:val="00BD2520"/>
    <w:rsid w:val="00BD320C"/>
    <w:rsid w:val="00BD3278"/>
    <w:rsid w:val="00BD4CC6"/>
    <w:rsid w:val="00BD5F83"/>
    <w:rsid w:val="00BD6631"/>
    <w:rsid w:val="00BD7715"/>
    <w:rsid w:val="00BD7D86"/>
    <w:rsid w:val="00BE02A5"/>
    <w:rsid w:val="00BE1FC9"/>
    <w:rsid w:val="00BE2803"/>
    <w:rsid w:val="00BE58B3"/>
    <w:rsid w:val="00BE6021"/>
    <w:rsid w:val="00BF0265"/>
    <w:rsid w:val="00BF07F1"/>
    <w:rsid w:val="00BF0B00"/>
    <w:rsid w:val="00BF291C"/>
    <w:rsid w:val="00BF49E0"/>
    <w:rsid w:val="00C03EC3"/>
    <w:rsid w:val="00C051BE"/>
    <w:rsid w:val="00C100C9"/>
    <w:rsid w:val="00C117C2"/>
    <w:rsid w:val="00C11C1B"/>
    <w:rsid w:val="00C16F28"/>
    <w:rsid w:val="00C20B0B"/>
    <w:rsid w:val="00C211CB"/>
    <w:rsid w:val="00C219A5"/>
    <w:rsid w:val="00C21E2A"/>
    <w:rsid w:val="00C229D8"/>
    <w:rsid w:val="00C2428C"/>
    <w:rsid w:val="00C2502C"/>
    <w:rsid w:val="00C25666"/>
    <w:rsid w:val="00C25D26"/>
    <w:rsid w:val="00C30D26"/>
    <w:rsid w:val="00C321CC"/>
    <w:rsid w:val="00C40909"/>
    <w:rsid w:val="00C4152D"/>
    <w:rsid w:val="00C430CD"/>
    <w:rsid w:val="00C4446E"/>
    <w:rsid w:val="00C45BFD"/>
    <w:rsid w:val="00C461C8"/>
    <w:rsid w:val="00C47720"/>
    <w:rsid w:val="00C51909"/>
    <w:rsid w:val="00C52747"/>
    <w:rsid w:val="00C55CF3"/>
    <w:rsid w:val="00C612FD"/>
    <w:rsid w:val="00C62132"/>
    <w:rsid w:val="00C64B14"/>
    <w:rsid w:val="00C657ED"/>
    <w:rsid w:val="00C72163"/>
    <w:rsid w:val="00C749BC"/>
    <w:rsid w:val="00C7599C"/>
    <w:rsid w:val="00C75DF3"/>
    <w:rsid w:val="00C7753F"/>
    <w:rsid w:val="00C80742"/>
    <w:rsid w:val="00C82D34"/>
    <w:rsid w:val="00C869E8"/>
    <w:rsid w:val="00C86D25"/>
    <w:rsid w:val="00C9095A"/>
    <w:rsid w:val="00C9414E"/>
    <w:rsid w:val="00C950B4"/>
    <w:rsid w:val="00CA1B8A"/>
    <w:rsid w:val="00CA4F9F"/>
    <w:rsid w:val="00CB08EA"/>
    <w:rsid w:val="00CB0C66"/>
    <w:rsid w:val="00CB1B9D"/>
    <w:rsid w:val="00CB2908"/>
    <w:rsid w:val="00CB6FCF"/>
    <w:rsid w:val="00CB79C1"/>
    <w:rsid w:val="00CC1329"/>
    <w:rsid w:val="00CC1A9A"/>
    <w:rsid w:val="00CC236D"/>
    <w:rsid w:val="00CC31C4"/>
    <w:rsid w:val="00CC70CB"/>
    <w:rsid w:val="00CC7E05"/>
    <w:rsid w:val="00CD1B2E"/>
    <w:rsid w:val="00CD363B"/>
    <w:rsid w:val="00CD3CBE"/>
    <w:rsid w:val="00CD615B"/>
    <w:rsid w:val="00CD685D"/>
    <w:rsid w:val="00CE0363"/>
    <w:rsid w:val="00CE03DE"/>
    <w:rsid w:val="00CE49B4"/>
    <w:rsid w:val="00CF101F"/>
    <w:rsid w:val="00CF1452"/>
    <w:rsid w:val="00CF2BE4"/>
    <w:rsid w:val="00CF3254"/>
    <w:rsid w:val="00CF3F2C"/>
    <w:rsid w:val="00CF41C2"/>
    <w:rsid w:val="00CF4A66"/>
    <w:rsid w:val="00CF704F"/>
    <w:rsid w:val="00CF7885"/>
    <w:rsid w:val="00D01E11"/>
    <w:rsid w:val="00D03C70"/>
    <w:rsid w:val="00D04B65"/>
    <w:rsid w:val="00D04DB0"/>
    <w:rsid w:val="00D111DF"/>
    <w:rsid w:val="00D123FE"/>
    <w:rsid w:val="00D15048"/>
    <w:rsid w:val="00D1618E"/>
    <w:rsid w:val="00D16259"/>
    <w:rsid w:val="00D172BF"/>
    <w:rsid w:val="00D17873"/>
    <w:rsid w:val="00D20874"/>
    <w:rsid w:val="00D22738"/>
    <w:rsid w:val="00D24A27"/>
    <w:rsid w:val="00D252B2"/>
    <w:rsid w:val="00D30DAA"/>
    <w:rsid w:val="00D34BF8"/>
    <w:rsid w:val="00D34D9F"/>
    <w:rsid w:val="00D42D5A"/>
    <w:rsid w:val="00D46AD1"/>
    <w:rsid w:val="00D47918"/>
    <w:rsid w:val="00D51FA5"/>
    <w:rsid w:val="00D553EC"/>
    <w:rsid w:val="00D61B62"/>
    <w:rsid w:val="00D64788"/>
    <w:rsid w:val="00D668AD"/>
    <w:rsid w:val="00D700F0"/>
    <w:rsid w:val="00D71B3A"/>
    <w:rsid w:val="00D727A9"/>
    <w:rsid w:val="00D737DA"/>
    <w:rsid w:val="00D8288E"/>
    <w:rsid w:val="00D93CAC"/>
    <w:rsid w:val="00D94FDC"/>
    <w:rsid w:val="00D96301"/>
    <w:rsid w:val="00DA1392"/>
    <w:rsid w:val="00DA19A0"/>
    <w:rsid w:val="00DA1A77"/>
    <w:rsid w:val="00DA4A41"/>
    <w:rsid w:val="00DA4E06"/>
    <w:rsid w:val="00DA62EA"/>
    <w:rsid w:val="00DB3122"/>
    <w:rsid w:val="00DB59FD"/>
    <w:rsid w:val="00DB5B34"/>
    <w:rsid w:val="00DB6754"/>
    <w:rsid w:val="00DC3F75"/>
    <w:rsid w:val="00DC4291"/>
    <w:rsid w:val="00DC5BDD"/>
    <w:rsid w:val="00DD0968"/>
    <w:rsid w:val="00DD6F2E"/>
    <w:rsid w:val="00DD7580"/>
    <w:rsid w:val="00DE2158"/>
    <w:rsid w:val="00DF0192"/>
    <w:rsid w:val="00DF02C0"/>
    <w:rsid w:val="00DF1AD9"/>
    <w:rsid w:val="00DF4031"/>
    <w:rsid w:val="00DF48D4"/>
    <w:rsid w:val="00DF498E"/>
    <w:rsid w:val="00DF4EB1"/>
    <w:rsid w:val="00DF6B3C"/>
    <w:rsid w:val="00DF72FD"/>
    <w:rsid w:val="00E06A60"/>
    <w:rsid w:val="00E0730C"/>
    <w:rsid w:val="00E11A1D"/>
    <w:rsid w:val="00E13BC8"/>
    <w:rsid w:val="00E201EE"/>
    <w:rsid w:val="00E2075B"/>
    <w:rsid w:val="00E20DF3"/>
    <w:rsid w:val="00E21D8E"/>
    <w:rsid w:val="00E23282"/>
    <w:rsid w:val="00E25CC7"/>
    <w:rsid w:val="00E30140"/>
    <w:rsid w:val="00E30610"/>
    <w:rsid w:val="00E30A5D"/>
    <w:rsid w:val="00E31538"/>
    <w:rsid w:val="00E32AED"/>
    <w:rsid w:val="00E330E0"/>
    <w:rsid w:val="00E36A37"/>
    <w:rsid w:val="00E40AD9"/>
    <w:rsid w:val="00E40C67"/>
    <w:rsid w:val="00E417E3"/>
    <w:rsid w:val="00E42717"/>
    <w:rsid w:val="00E53F87"/>
    <w:rsid w:val="00E54722"/>
    <w:rsid w:val="00E554BA"/>
    <w:rsid w:val="00E55A96"/>
    <w:rsid w:val="00E55BDD"/>
    <w:rsid w:val="00E56D1E"/>
    <w:rsid w:val="00E643ED"/>
    <w:rsid w:val="00E65E80"/>
    <w:rsid w:val="00E6660F"/>
    <w:rsid w:val="00E7033D"/>
    <w:rsid w:val="00E71440"/>
    <w:rsid w:val="00E71A9C"/>
    <w:rsid w:val="00E71F91"/>
    <w:rsid w:val="00E72F60"/>
    <w:rsid w:val="00E73EF8"/>
    <w:rsid w:val="00E77729"/>
    <w:rsid w:val="00E82CF0"/>
    <w:rsid w:val="00E84DF2"/>
    <w:rsid w:val="00E87A1A"/>
    <w:rsid w:val="00E90A56"/>
    <w:rsid w:val="00E913FE"/>
    <w:rsid w:val="00E9381B"/>
    <w:rsid w:val="00EA2C38"/>
    <w:rsid w:val="00EA5056"/>
    <w:rsid w:val="00EA5DC9"/>
    <w:rsid w:val="00EA6114"/>
    <w:rsid w:val="00EA6F37"/>
    <w:rsid w:val="00EB2E3F"/>
    <w:rsid w:val="00EB395F"/>
    <w:rsid w:val="00EB4B17"/>
    <w:rsid w:val="00EB5F81"/>
    <w:rsid w:val="00EB6765"/>
    <w:rsid w:val="00EC0FDA"/>
    <w:rsid w:val="00EC10D1"/>
    <w:rsid w:val="00EC3BF9"/>
    <w:rsid w:val="00EC3CCE"/>
    <w:rsid w:val="00EC3D67"/>
    <w:rsid w:val="00EC510D"/>
    <w:rsid w:val="00EC66CA"/>
    <w:rsid w:val="00ED0183"/>
    <w:rsid w:val="00ED2E2B"/>
    <w:rsid w:val="00ED40B2"/>
    <w:rsid w:val="00EE0E2B"/>
    <w:rsid w:val="00EE1321"/>
    <w:rsid w:val="00EE37C8"/>
    <w:rsid w:val="00EE4AD8"/>
    <w:rsid w:val="00EE74B2"/>
    <w:rsid w:val="00EF1EA9"/>
    <w:rsid w:val="00EF4DEA"/>
    <w:rsid w:val="00EF5177"/>
    <w:rsid w:val="00F04E22"/>
    <w:rsid w:val="00F0535D"/>
    <w:rsid w:val="00F05755"/>
    <w:rsid w:val="00F07149"/>
    <w:rsid w:val="00F111A2"/>
    <w:rsid w:val="00F12D7D"/>
    <w:rsid w:val="00F13432"/>
    <w:rsid w:val="00F13E8E"/>
    <w:rsid w:val="00F16076"/>
    <w:rsid w:val="00F21285"/>
    <w:rsid w:val="00F213CF"/>
    <w:rsid w:val="00F23C02"/>
    <w:rsid w:val="00F24030"/>
    <w:rsid w:val="00F242B0"/>
    <w:rsid w:val="00F24D54"/>
    <w:rsid w:val="00F24FEC"/>
    <w:rsid w:val="00F25C6B"/>
    <w:rsid w:val="00F26593"/>
    <w:rsid w:val="00F26F03"/>
    <w:rsid w:val="00F3092F"/>
    <w:rsid w:val="00F30EAA"/>
    <w:rsid w:val="00F32016"/>
    <w:rsid w:val="00F3410B"/>
    <w:rsid w:val="00F34761"/>
    <w:rsid w:val="00F3488D"/>
    <w:rsid w:val="00F43CCF"/>
    <w:rsid w:val="00F4490B"/>
    <w:rsid w:val="00F56EE2"/>
    <w:rsid w:val="00F56F5E"/>
    <w:rsid w:val="00F63C45"/>
    <w:rsid w:val="00F64B27"/>
    <w:rsid w:val="00F65523"/>
    <w:rsid w:val="00F6664A"/>
    <w:rsid w:val="00F67744"/>
    <w:rsid w:val="00F70158"/>
    <w:rsid w:val="00F71D80"/>
    <w:rsid w:val="00F71E6A"/>
    <w:rsid w:val="00F735B0"/>
    <w:rsid w:val="00F75E79"/>
    <w:rsid w:val="00F80231"/>
    <w:rsid w:val="00F80851"/>
    <w:rsid w:val="00F814E9"/>
    <w:rsid w:val="00F81C0B"/>
    <w:rsid w:val="00F84913"/>
    <w:rsid w:val="00F871E9"/>
    <w:rsid w:val="00F90E90"/>
    <w:rsid w:val="00F91EBF"/>
    <w:rsid w:val="00F91F71"/>
    <w:rsid w:val="00F95BCF"/>
    <w:rsid w:val="00FA1643"/>
    <w:rsid w:val="00FA48E6"/>
    <w:rsid w:val="00FA4A52"/>
    <w:rsid w:val="00FA546C"/>
    <w:rsid w:val="00FA5C93"/>
    <w:rsid w:val="00FA7282"/>
    <w:rsid w:val="00FB729A"/>
    <w:rsid w:val="00FB7881"/>
    <w:rsid w:val="00FC3E30"/>
    <w:rsid w:val="00FC55AB"/>
    <w:rsid w:val="00FC61CE"/>
    <w:rsid w:val="00FC74B1"/>
    <w:rsid w:val="00FD12A3"/>
    <w:rsid w:val="00FD2B53"/>
    <w:rsid w:val="00FD3D14"/>
    <w:rsid w:val="00FD40F2"/>
    <w:rsid w:val="00FD690A"/>
    <w:rsid w:val="00FE1E64"/>
    <w:rsid w:val="00FE6F2D"/>
    <w:rsid w:val="00FF1B0B"/>
    <w:rsid w:val="00FF451A"/>
    <w:rsid w:val="00FF51E5"/>
    <w:rsid w:val="7B6157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EEF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rsid w:val="006B3211"/>
    <w:rPr>
      <w:color w:val="605E5C"/>
      <w:shd w:val="clear" w:color="auto" w:fill="E1DFDD"/>
    </w:rPr>
  </w:style>
  <w:style w:type="character" w:customStyle="1" w:styleId="UnresolvedMention15">
    <w:name w:val="Unresolved Mention15"/>
    <w:uiPriority w:val="99"/>
    <w:semiHidden/>
    <w:unhideWhenUsed/>
    <w:rsid w:val="00AB620D"/>
    <w:rPr>
      <w:color w:val="605E5C"/>
      <w:shd w:val="clear" w:color="auto" w:fill="E1DFDD"/>
    </w:rPr>
  </w:style>
  <w:style w:type="character" w:customStyle="1" w:styleId="UnresolvedMention16">
    <w:name w:val="Unresolved Mention16"/>
    <w:rsid w:val="00F12D7D"/>
    <w:rPr>
      <w:color w:val="605E5C"/>
      <w:shd w:val="clear" w:color="auto" w:fill="E1DFDD"/>
    </w:rPr>
  </w:style>
  <w:style w:type="character" w:customStyle="1" w:styleId="markedcontent">
    <w:name w:val="markedcontent"/>
    <w:basedOn w:val="DefaultParagraphFont"/>
    <w:rsid w:val="00CB1B9D"/>
  </w:style>
  <w:style w:type="character" w:customStyle="1" w:styleId="UnresolvedMention">
    <w:name w:val="Unresolved Mention"/>
    <w:rsid w:val="00DA4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gregory.kwa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http://apps.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