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RPr="00B02A93" w:rsidP="75796D0F" w14:paraId="49A332D6" w14:textId="77777777">
      <w:pPr>
        <w:jc w:val="right"/>
        <w:rPr>
          <w:sz w:val="24"/>
          <w:szCs w:val="24"/>
        </w:rPr>
      </w:pPr>
      <w:r w:rsidRPr="00B02A93">
        <w:rPr>
          <w:sz w:val="24"/>
          <w:szCs w:val="24"/>
        </w:rPr>
        <w:t xml:space="preserve"> </w:t>
      </w:r>
    </w:p>
    <w:p w:rsidR="005614FA" w:rsidRPr="00B02A93" w:rsidP="005614FA" w14:paraId="14E21ECD" w14:textId="5727973A">
      <w:pPr>
        <w:widowControl/>
        <w:suppressAutoHyphens/>
        <w:jc w:val="right"/>
        <w:rPr>
          <w:b/>
        </w:rPr>
      </w:pPr>
      <w:r w:rsidRPr="00B02A93">
        <w:rPr>
          <w:b/>
        </w:rPr>
        <w:t xml:space="preserve">DA </w:t>
      </w:r>
      <w:r w:rsidR="00AF0EFB">
        <w:rPr>
          <w:b/>
        </w:rPr>
        <w:t>21</w:t>
      </w:r>
      <w:r w:rsidR="00F70890">
        <w:rPr>
          <w:b/>
        </w:rPr>
        <w:t>-</w:t>
      </w:r>
      <w:r w:rsidR="00AF0EFB">
        <w:rPr>
          <w:b/>
        </w:rPr>
        <w:t>1574</w:t>
      </w:r>
    </w:p>
    <w:p w:rsidR="005614FA" w:rsidRPr="00B02A93" w:rsidP="005614FA" w14:paraId="41C456E5" w14:textId="27D25019">
      <w:pPr>
        <w:widowControl/>
        <w:suppressAutoHyphens/>
        <w:spacing w:after="240"/>
        <w:jc w:val="right"/>
        <w:rPr>
          <w:b/>
        </w:rPr>
      </w:pPr>
      <w:r w:rsidRPr="00B02A93">
        <w:rPr>
          <w:b/>
        </w:rPr>
        <w:t xml:space="preserve">Released:  </w:t>
      </w:r>
      <w:r w:rsidR="009C21B4">
        <w:rPr>
          <w:b/>
        </w:rPr>
        <w:t>December 15, 2021</w:t>
      </w:r>
    </w:p>
    <w:p w:rsidR="00242F44" w:rsidRPr="00B02A93" w:rsidP="005614FA" w14:paraId="2446606A" w14:textId="77777777">
      <w:pPr>
        <w:autoSpaceDE w:val="0"/>
        <w:autoSpaceDN w:val="0"/>
        <w:adjustRightInd w:val="0"/>
        <w:jc w:val="center"/>
        <w:rPr>
          <w:b/>
          <w:szCs w:val="22"/>
        </w:rPr>
      </w:pPr>
      <w:r w:rsidRPr="00B02A93">
        <w:rPr>
          <w:b/>
          <w:szCs w:val="22"/>
        </w:rPr>
        <w:t xml:space="preserve">DOMESTIC </w:t>
      </w:r>
      <w:r w:rsidR="003A2225">
        <w:rPr>
          <w:b/>
          <w:szCs w:val="22"/>
        </w:rPr>
        <w:t xml:space="preserve">SECTION </w:t>
      </w:r>
      <w:r w:rsidRPr="00B02A93">
        <w:rPr>
          <w:b/>
          <w:szCs w:val="22"/>
        </w:rPr>
        <w:t xml:space="preserve">214 </w:t>
      </w:r>
      <w:r w:rsidRPr="00B02A93" w:rsidR="00C31891">
        <w:rPr>
          <w:b/>
          <w:szCs w:val="22"/>
        </w:rPr>
        <w:t>APPLICATION</w:t>
      </w:r>
      <w:r w:rsidRPr="00B02A93" w:rsidR="0054043D">
        <w:rPr>
          <w:b/>
          <w:szCs w:val="22"/>
        </w:rPr>
        <w:t xml:space="preserve"> G</w:t>
      </w:r>
      <w:r w:rsidRPr="00B02A93" w:rsidR="00C31891">
        <w:rPr>
          <w:b/>
          <w:szCs w:val="22"/>
        </w:rPr>
        <w:t xml:space="preserve">RANTED FOR </w:t>
      </w:r>
    </w:p>
    <w:p w:rsidR="00F70890" w:rsidP="00F70890" w14:paraId="029A1C96" w14:textId="77777777">
      <w:pPr>
        <w:jc w:val="center"/>
        <w:rPr>
          <w:b/>
          <w:bCs/>
          <w:szCs w:val="22"/>
        </w:rPr>
      </w:pPr>
      <w:r w:rsidRPr="00B02A93">
        <w:rPr>
          <w:b/>
          <w:szCs w:val="22"/>
        </w:rPr>
        <w:t xml:space="preserve">THE TRANSFER OF CONTROL OF </w:t>
      </w:r>
      <w:r>
        <w:rPr>
          <w:b/>
          <w:bCs/>
          <w:szCs w:val="22"/>
        </w:rPr>
        <w:t xml:space="preserve">ASPIRE NETWORKS 1, LLC TO </w:t>
      </w:r>
    </w:p>
    <w:p w:rsidR="00C84CB7" w:rsidP="00F70890" w14:paraId="47FE5ABB" w14:textId="120FC8E1">
      <w:pPr>
        <w:jc w:val="center"/>
        <w:rPr>
          <w:b/>
          <w:bCs/>
          <w:szCs w:val="22"/>
        </w:rPr>
      </w:pPr>
      <w:r>
        <w:rPr>
          <w:b/>
          <w:bCs/>
          <w:szCs w:val="22"/>
        </w:rPr>
        <w:t>ITC BROADBAND OPERATING, LLC</w:t>
      </w:r>
    </w:p>
    <w:p w:rsidR="005614FA" w:rsidRPr="00B02A93" w:rsidP="0084412A" w14:paraId="03EB8171" w14:textId="77777777">
      <w:pPr>
        <w:autoSpaceDE w:val="0"/>
        <w:autoSpaceDN w:val="0"/>
        <w:adjustRightInd w:val="0"/>
        <w:rPr>
          <w:b/>
          <w:szCs w:val="22"/>
        </w:rPr>
      </w:pPr>
    </w:p>
    <w:p w:rsidR="005614FA" w:rsidRPr="00B02A93" w:rsidP="005614FA" w14:paraId="7CD186CB" w14:textId="7D00EA5F">
      <w:pPr>
        <w:autoSpaceDE w:val="0"/>
        <w:autoSpaceDN w:val="0"/>
        <w:adjustRightInd w:val="0"/>
        <w:jc w:val="center"/>
        <w:rPr>
          <w:b/>
          <w:szCs w:val="22"/>
        </w:rPr>
      </w:pPr>
      <w:r w:rsidRPr="00B02A93">
        <w:rPr>
          <w:b/>
          <w:szCs w:val="22"/>
        </w:rPr>
        <w:t xml:space="preserve">WC Docket No. </w:t>
      </w:r>
      <w:r w:rsidRPr="00B02A93" w:rsidR="00207939">
        <w:rPr>
          <w:b/>
          <w:szCs w:val="22"/>
        </w:rPr>
        <w:t>2</w:t>
      </w:r>
      <w:r w:rsidRPr="00B02A93" w:rsidR="004F737A">
        <w:rPr>
          <w:b/>
          <w:szCs w:val="22"/>
        </w:rPr>
        <w:t>1</w:t>
      </w:r>
      <w:r w:rsidRPr="00B02A93" w:rsidR="001E397D">
        <w:rPr>
          <w:b/>
          <w:szCs w:val="22"/>
        </w:rPr>
        <w:t>-</w:t>
      </w:r>
      <w:r w:rsidR="00F70890">
        <w:rPr>
          <w:b/>
          <w:szCs w:val="22"/>
        </w:rPr>
        <w:t>415</w:t>
      </w:r>
    </w:p>
    <w:p w:rsidR="005614FA" w:rsidRPr="00B02A93" w:rsidP="005614FA" w14:paraId="0D2D032C" w14:textId="77777777">
      <w:pPr>
        <w:widowControl/>
        <w:suppressAutoHyphens/>
        <w:rPr>
          <w:b/>
        </w:rPr>
      </w:pPr>
    </w:p>
    <w:p w:rsidR="00FD2298" w:rsidP="00C543F9" w14:paraId="5A53A2AB" w14:textId="02A8C9E5">
      <w:pPr>
        <w:widowControl/>
        <w:autoSpaceDE w:val="0"/>
        <w:autoSpaceDN w:val="0"/>
        <w:adjustRightInd w:val="0"/>
        <w:spacing w:after="120"/>
        <w:ind w:firstLine="720"/>
        <w:rPr>
          <w:szCs w:val="22"/>
        </w:rPr>
      </w:pPr>
      <w:r w:rsidRPr="00B02A93">
        <w:rPr>
          <w:snapToGrid/>
          <w:kern w:val="0"/>
          <w:szCs w:val="22"/>
        </w:rPr>
        <w:t>By this Public Notice, the Wireline Competition Bureau</w:t>
      </w:r>
      <w:r w:rsidR="00756EBC">
        <w:rPr>
          <w:snapToGrid/>
          <w:kern w:val="0"/>
          <w:szCs w:val="22"/>
        </w:rPr>
        <w:t xml:space="preserve"> </w:t>
      </w:r>
      <w:r w:rsidR="002958B1">
        <w:rPr>
          <w:snapToGrid/>
          <w:kern w:val="0"/>
          <w:szCs w:val="22"/>
        </w:rPr>
        <w:t xml:space="preserve">(Bureau) </w:t>
      </w:r>
      <w:r w:rsidRPr="00B02A93">
        <w:rPr>
          <w:snapToGrid/>
          <w:kern w:val="0"/>
          <w:szCs w:val="22"/>
        </w:rPr>
        <w:t>grant</w:t>
      </w:r>
      <w:r w:rsidR="00257E30">
        <w:rPr>
          <w:snapToGrid/>
          <w:kern w:val="0"/>
          <w:szCs w:val="22"/>
        </w:rPr>
        <w:t>s</w:t>
      </w:r>
      <w:r w:rsidRPr="00B02A93">
        <w:rPr>
          <w:snapToGrid/>
          <w:kern w:val="0"/>
          <w:szCs w:val="22"/>
        </w:rPr>
        <w:t xml:space="preserve"> </w:t>
      </w:r>
      <w:r w:rsidRPr="00B02A93" w:rsidR="008774D9">
        <w:rPr>
          <w:snapToGrid/>
          <w:kern w:val="0"/>
          <w:szCs w:val="22"/>
        </w:rPr>
        <w:t>a</w:t>
      </w:r>
      <w:r w:rsidR="00135644">
        <w:rPr>
          <w:snapToGrid/>
          <w:kern w:val="0"/>
          <w:szCs w:val="22"/>
        </w:rPr>
        <w:t>n</w:t>
      </w:r>
      <w:r w:rsidR="00C84CB7">
        <w:rPr>
          <w:snapToGrid/>
          <w:kern w:val="0"/>
          <w:szCs w:val="22"/>
        </w:rPr>
        <w:t xml:space="preserve"> </w:t>
      </w:r>
      <w:r w:rsidRPr="00B02A93" w:rsidR="008774D9">
        <w:rPr>
          <w:snapToGrid/>
          <w:kern w:val="0"/>
          <w:szCs w:val="22"/>
        </w:rPr>
        <w:t>application</w:t>
      </w:r>
      <w:r w:rsidR="00213050">
        <w:rPr>
          <w:snapToGrid/>
          <w:kern w:val="0"/>
          <w:szCs w:val="22"/>
        </w:rPr>
        <w:t>,</w:t>
      </w:r>
      <w:r>
        <w:rPr>
          <w:rStyle w:val="FootnoteReference"/>
          <w:szCs w:val="22"/>
        </w:rPr>
        <w:footnoteReference w:id="3"/>
      </w:r>
      <w:r w:rsidRPr="00B02A93" w:rsidR="008774D9">
        <w:rPr>
          <w:snapToGrid/>
          <w:kern w:val="0"/>
          <w:szCs w:val="22"/>
        </w:rPr>
        <w:t xml:space="preserve"> </w:t>
      </w:r>
      <w:r w:rsidRPr="00B26F81">
        <w:rPr>
          <w:szCs w:val="22"/>
        </w:rPr>
        <w:t>filed pursuant to section 214 of the Communications Act of 1934, as amended</w:t>
      </w:r>
      <w:r w:rsidR="00026664">
        <w:rPr>
          <w:szCs w:val="22"/>
        </w:rPr>
        <w:t xml:space="preserve"> (Act)</w:t>
      </w:r>
      <w:r w:rsidRPr="00B26F81">
        <w:rPr>
          <w:szCs w:val="22"/>
        </w:rPr>
        <w:t>, and sections 63.03-04 of the Commission’s rules</w:t>
      </w:r>
      <w:r w:rsidRPr="00B26F81" w:rsidR="00315BE0">
        <w:rPr>
          <w:szCs w:val="22"/>
        </w:rPr>
        <w:t>, to transfer control</w:t>
      </w:r>
      <w:r w:rsidR="00315BE0">
        <w:rPr>
          <w:szCs w:val="22"/>
        </w:rPr>
        <w:t xml:space="preserve"> of</w:t>
      </w:r>
      <w:r w:rsidRPr="00B26F81" w:rsidR="00315BE0">
        <w:rPr>
          <w:szCs w:val="22"/>
        </w:rPr>
        <w:t xml:space="preserve"> </w:t>
      </w:r>
      <w:r w:rsidR="00315BE0">
        <w:rPr>
          <w:szCs w:val="22"/>
        </w:rPr>
        <w:t>Aspire Networks 1, LLC (Aspire), an indirect, wholly</w:t>
      </w:r>
      <w:r w:rsidR="00B44B9E">
        <w:rPr>
          <w:szCs w:val="22"/>
        </w:rPr>
        <w:t>-</w:t>
      </w:r>
      <w:r w:rsidR="00315BE0">
        <w:rPr>
          <w:szCs w:val="22"/>
        </w:rPr>
        <w:t>owned subsidiary of Atlantic Engineering Group, Inc. (AEG), to ITC Broadband Operating, LLC (ITC Operating) (ITC Operating, together with AEG and Aspire, Applicants).</w:t>
      </w:r>
      <w:r>
        <w:rPr>
          <w:rStyle w:val="FootnoteReference"/>
          <w:szCs w:val="22"/>
        </w:rPr>
        <w:footnoteReference w:id="4"/>
      </w:r>
      <w:r w:rsidRPr="00E554BA" w:rsidR="00C84CB7">
        <w:rPr>
          <w:szCs w:val="22"/>
        </w:rPr>
        <w:t xml:space="preserve">  </w:t>
      </w:r>
    </w:p>
    <w:p w:rsidR="005614FA" w:rsidRPr="00B02A93" w:rsidP="00C543F9" w14:paraId="221874C7" w14:textId="39B470AE">
      <w:pPr>
        <w:widowControl/>
        <w:autoSpaceDE w:val="0"/>
        <w:autoSpaceDN w:val="0"/>
        <w:adjustRightInd w:val="0"/>
        <w:spacing w:after="120"/>
        <w:ind w:firstLine="720"/>
        <w:rPr>
          <w:snapToGrid/>
          <w:kern w:val="0"/>
          <w:szCs w:val="22"/>
        </w:rPr>
      </w:pPr>
      <w:r w:rsidRPr="00B02A93">
        <w:rPr>
          <w:szCs w:val="22"/>
        </w:rPr>
        <w:t xml:space="preserve">On </w:t>
      </w:r>
      <w:r w:rsidR="00C543F9">
        <w:rPr>
          <w:szCs w:val="22"/>
        </w:rPr>
        <w:t>November</w:t>
      </w:r>
      <w:r w:rsidR="00C84CB7">
        <w:rPr>
          <w:szCs w:val="22"/>
        </w:rPr>
        <w:t xml:space="preserve"> </w:t>
      </w:r>
      <w:r w:rsidR="00C543F9">
        <w:rPr>
          <w:szCs w:val="22"/>
        </w:rPr>
        <w:t>5</w:t>
      </w:r>
      <w:r w:rsidRPr="00B02A93">
        <w:rPr>
          <w:szCs w:val="22"/>
        </w:rPr>
        <w:t>, 2021, the Bureau released a public notice seeking comment on the Application.</w:t>
      </w:r>
      <w:r>
        <w:rPr>
          <w:rStyle w:val="FootnoteReference"/>
          <w:szCs w:val="22"/>
        </w:rPr>
        <w:footnoteReference w:id="5"/>
      </w:r>
      <w:r w:rsidRPr="00B02A93">
        <w:rPr>
          <w:szCs w:val="22"/>
        </w:rPr>
        <w:t xml:space="preserve">  </w:t>
      </w:r>
      <w:r w:rsidRPr="00B02A93" w:rsidR="00AB3596">
        <w:rPr>
          <w:szCs w:val="22"/>
        </w:rPr>
        <w:t xml:space="preserve"> The Bureau </w:t>
      </w:r>
      <w:r w:rsidRPr="00B02A93">
        <w:rPr>
          <w:szCs w:val="22"/>
        </w:rPr>
        <w:t>did not receive comments or petitions in opposition</w:t>
      </w:r>
      <w:r w:rsidR="002F7521">
        <w:rPr>
          <w:szCs w:val="22"/>
        </w:rPr>
        <w:t xml:space="preserve"> to </w:t>
      </w:r>
      <w:r w:rsidR="002078B3">
        <w:rPr>
          <w:szCs w:val="22"/>
        </w:rPr>
        <w:t xml:space="preserve">the </w:t>
      </w:r>
      <w:r w:rsidRPr="00B02A93">
        <w:rPr>
          <w:szCs w:val="22"/>
        </w:rPr>
        <w:t>Application.</w:t>
      </w:r>
      <w:r w:rsidRPr="00B02A93" w:rsidR="0085777F">
        <w:rPr>
          <w:snapToGrid/>
          <w:kern w:val="0"/>
          <w:szCs w:val="22"/>
        </w:rPr>
        <w:t xml:space="preserve"> </w:t>
      </w:r>
    </w:p>
    <w:p w:rsidR="008D5B54" w:rsidRPr="00B02A93" w:rsidP="00132378" w14:paraId="1F44C199" w14:textId="77777777">
      <w:pPr>
        <w:widowControl/>
        <w:autoSpaceDE w:val="0"/>
        <w:autoSpaceDN w:val="0"/>
        <w:adjustRightInd w:val="0"/>
        <w:spacing w:after="120"/>
        <w:rPr>
          <w:b/>
          <w:bCs/>
          <w:snapToGrid/>
          <w:kern w:val="0"/>
          <w:szCs w:val="22"/>
          <w:u w:val="single"/>
        </w:rPr>
      </w:pPr>
      <w:r w:rsidRPr="00B02A93">
        <w:rPr>
          <w:b/>
          <w:bCs/>
          <w:snapToGrid/>
          <w:kern w:val="0"/>
          <w:szCs w:val="22"/>
          <w:u w:val="single"/>
        </w:rPr>
        <w:t>Applicants and Description of Transaction</w:t>
      </w:r>
    </w:p>
    <w:p w:rsidR="00C84CB7" w:rsidP="00C84CB7" w14:paraId="2BC3D31D" w14:textId="3E154640">
      <w:pPr>
        <w:autoSpaceDE w:val="0"/>
        <w:autoSpaceDN w:val="0"/>
        <w:adjustRightInd w:val="0"/>
        <w:spacing w:after="240"/>
        <w:ind w:firstLine="720"/>
        <w:rPr>
          <w:szCs w:val="22"/>
        </w:rPr>
      </w:pPr>
      <w:r>
        <w:rPr>
          <w:szCs w:val="22"/>
        </w:rPr>
        <w:t>AEG</w:t>
      </w:r>
      <w:r w:rsidR="00C43547">
        <w:rPr>
          <w:szCs w:val="22"/>
        </w:rPr>
        <w:t>, a Georgia corporation</w:t>
      </w:r>
      <w:r>
        <w:rPr>
          <w:szCs w:val="22"/>
        </w:rPr>
        <w:t>, is the ultimate parent company of Aspire, a Delaware limited liability company that is authorized as a competitive local exchange carrier (LEC) and eligible telecommunications carrier in Michigan.</w:t>
      </w:r>
      <w:r>
        <w:rPr>
          <w:rStyle w:val="FootnoteReference"/>
          <w:szCs w:val="22"/>
        </w:rPr>
        <w:footnoteReference w:id="6"/>
      </w:r>
      <w:r>
        <w:rPr>
          <w:szCs w:val="22"/>
        </w:rPr>
        <w:t xml:space="preserve">  </w:t>
      </w:r>
      <w:r w:rsidRPr="008A3DCE" w:rsidR="008A3DCE">
        <w:rPr>
          <w:szCs w:val="22"/>
        </w:rPr>
        <w:t xml:space="preserve">AEG is </w:t>
      </w:r>
      <w:r w:rsidR="009C6D1A">
        <w:rPr>
          <w:szCs w:val="22"/>
        </w:rPr>
        <w:t>part of a consortium</w:t>
      </w:r>
      <w:r w:rsidRPr="008A3DCE" w:rsidR="008A3DCE">
        <w:rPr>
          <w:szCs w:val="22"/>
        </w:rPr>
        <w:t xml:space="preserve"> of AEG and Heron Broadband I, which </w:t>
      </w:r>
      <w:r w:rsidR="009C6D1A">
        <w:rPr>
          <w:szCs w:val="22"/>
        </w:rPr>
        <w:t xml:space="preserve">participated </w:t>
      </w:r>
      <w:r w:rsidR="006D7D03">
        <w:rPr>
          <w:szCs w:val="22"/>
        </w:rPr>
        <w:t xml:space="preserve">in </w:t>
      </w:r>
      <w:r w:rsidR="009C6D1A">
        <w:rPr>
          <w:szCs w:val="22"/>
        </w:rPr>
        <w:t xml:space="preserve">and </w:t>
      </w:r>
      <w:r w:rsidR="00CB6CE9">
        <w:rPr>
          <w:szCs w:val="22"/>
        </w:rPr>
        <w:t xml:space="preserve">was awarded support to provide </w:t>
      </w:r>
      <w:r w:rsidR="006D7D03">
        <w:rPr>
          <w:szCs w:val="22"/>
        </w:rPr>
        <w:t xml:space="preserve">service </w:t>
      </w:r>
      <w:r w:rsidR="009C6D1A">
        <w:rPr>
          <w:szCs w:val="22"/>
        </w:rPr>
        <w:t xml:space="preserve">to 48,449 locations in </w:t>
      </w:r>
      <w:r w:rsidRPr="008A3DCE" w:rsidR="008A3DCE">
        <w:rPr>
          <w:szCs w:val="22"/>
        </w:rPr>
        <w:t>Michigan</w:t>
      </w:r>
      <w:r w:rsidRPr="009C6D1A" w:rsidR="009C6D1A">
        <w:rPr>
          <w:snapToGrid/>
          <w:kern w:val="0"/>
          <w:szCs w:val="22"/>
        </w:rPr>
        <w:t xml:space="preserve"> through Phase I of the Rural Digital Opportunity Fund (RDOF) Auction.</w:t>
      </w:r>
      <w:r>
        <w:rPr>
          <w:snapToGrid/>
          <w:kern w:val="0"/>
          <w:szCs w:val="22"/>
          <w:vertAlign w:val="superscript"/>
        </w:rPr>
        <w:footnoteReference w:id="7"/>
      </w:r>
      <w:r w:rsidRPr="008A3DCE" w:rsidR="008A3DCE">
        <w:rPr>
          <w:szCs w:val="22"/>
        </w:rPr>
        <w:t xml:space="preserve"> </w:t>
      </w:r>
      <w:r w:rsidR="009C6D1A">
        <w:rPr>
          <w:szCs w:val="22"/>
        </w:rPr>
        <w:t xml:space="preserve"> </w:t>
      </w:r>
      <w:r w:rsidRPr="008A3DCE" w:rsidR="008A3DCE">
        <w:rPr>
          <w:szCs w:val="22"/>
        </w:rPr>
        <w:t xml:space="preserve">The </w:t>
      </w:r>
      <w:r w:rsidR="009C6D1A">
        <w:rPr>
          <w:szCs w:val="22"/>
        </w:rPr>
        <w:t>c</w:t>
      </w:r>
      <w:r w:rsidRPr="008A3DCE" w:rsidR="008A3DCE">
        <w:rPr>
          <w:szCs w:val="22"/>
        </w:rPr>
        <w:t>onsortium assigned its winning RDOF bids to Aspire.</w:t>
      </w:r>
      <w:r>
        <w:rPr>
          <w:rStyle w:val="FootnoteReference"/>
          <w:szCs w:val="22"/>
        </w:rPr>
        <w:footnoteReference w:id="8"/>
      </w:r>
      <w:r w:rsidR="00C223D8">
        <w:rPr>
          <w:szCs w:val="22"/>
        </w:rPr>
        <w:t xml:space="preserve"> </w:t>
      </w:r>
      <w:r w:rsidR="00760F76">
        <w:rPr>
          <w:szCs w:val="22"/>
        </w:rPr>
        <w:t xml:space="preserve"> </w:t>
      </w:r>
      <w:r w:rsidRPr="00762725" w:rsidR="009500AD">
        <w:rPr>
          <w:snapToGrid/>
        </w:rPr>
        <w:t>On December 14, 20</w:t>
      </w:r>
      <w:r w:rsidR="009500AD">
        <w:rPr>
          <w:snapToGrid/>
        </w:rPr>
        <w:t>2</w:t>
      </w:r>
      <w:r w:rsidRPr="00762725" w:rsidR="009500AD">
        <w:rPr>
          <w:snapToGrid/>
        </w:rPr>
        <w:t xml:space="preserve">1, the Bureau authorized </w:t>
      </w:r>
      <w:r w:rsidR="009500AD">
        <w:rPr>
          <w:snapToGrid/>
        </w:rPr>
        <w:t xml:space="preserve">Aspire </w:t>
      </w:r>
      <w:r w:rsidRPr="00762725" w:rsidR="009500AD">
        <w:rPr>
          <w:snapToGrid/>
        </w:rPr>
        <w:t xml:space="preserve">to receive Auction </w:t>
      </w:r>
      <w:r w:rsidRPr="00762725" w:rsidR="009500AD">
        <w:rPr>
          <w:snapToGrid/>
        </w:rPr>
        <w:t>904 support.</w:t>
      </w:r>
      <w:r>
        <w:rPr>
          <w:rStyle w:val="FootnoteReference"/>
          <w:snapToGrid/>
          <w:kern w:val="0"/>
          <w:szCs w:val="22"/>
        </w:rPr>
        <w:footnoteReference w:id="9"/>
      </w:r>
      <w:r w:rsidRPr="00BB5D60" w:rsidR="00CF0F77">
        <w:rPr>
          <w:snapToGrid/>
          <w:kern w:val="0"/>
          <w:szCs w:val="22"/>
          <w:highlight w:val="yellow"/>
        </w:rPr>
        <w:t xml:space="preserve">  </w:t>
      </w:r>
      <w:r w:rsidR="00CF0F77">
        <w:rPr>
          <w:szCs w:val="22"/>
        </w:rPr>
        <w:t xml:space="preserve"> </w:t>
      </w:r>
    </w:p>
    <w:p w:rsidR="00C84CB7" w:rsidRPr="007E03E5" w:rsidP="00C84CB7" w14:paraId="1286D2C9" w14:textId="341ADAF3">
      <w:pPr>
        <w:autoSpaceDE w:val="0"/>
        <w:autoSpaceDN w:val="0"/>
        <w:adjustRightInd w:val="0"/>
        <w:spacing w:after="240"/>
        <w:ind w:firstLine="720"/>
        <w:rPr>
          <w:szCs w:val="22"/>
        </w:rPr>
      </w:pPr>
      <w:r>
        <w:rPr>
          <w:szCs w:val="22"/>
        </w:rPr>
        <w:t xml:space="preserve">Transferee, ITC Operating, </w:t>
      </w:r>
      <w:r w:rsidRPr="00485DD1" w:rsidR="00C223D8">
        <w:rPr>
          <w:szCs w:val="22"/>
        </w:rPr>
        <w:t>is a</w:t>
      </w:r>
      <w:r w:rsidR="00C223D8">
        <w:rPr>
          <w:szCs w:val="22"/>
        </w:rPr>
        <w:t xml:space="preserve"> </w:t>
      </w:r>
      <w:r w:rsidRPr="00485DD1" w:rsidR="00C223D8">
        <w:rPr>
          <w:szCs w:val="22"/>
        </w:rPr>
        <w:t xml:space="preserve">Delaware limited liability company </w:t>
      </w:r>
      <w:r w:rsidRPr="00F85C74">
        <w:rPr>
          <w:szCs w:val="22"/>
        </w:rPr>
        <w:t>owned by ITC Broadband Holdings, LLC (ITC Holdings), a U.S. entity</w:t>
      </w:r>
      <w:r>
        <w:rPr>
          <w:szCs w:val="22"/>
        </w:rPr>
        <w:t>.</w:t>
      </w:r>
      <w:r>
        <w:rPr>
          <w:rStyle w:val="FootnoteReference"/>
          <w:szCs w:val="22"/>
        </w:rPr>
        <w:footnoteReference w:id="10"/>
      </w:r>
      <w:r w:rsidRPr="00485DD1">
        <w:rPr>
          <w:szCs w:val="22"/>
        </w:rPr>
        <w:t xml:space="preserve"> </w:t>
      </w:r>
      <w:r w:rsidR="00687BC4">
        <w:rPr>
          <w:szCs w:val="22"/>
        </w:rPr>
        <w:t xml:space="preserve"> </w:t>
      </w:r>
      <w:r w:rsidRPr="00F85C74" w:rsidR="006A487A">
        <w:rPr>
          <w:szCs w:val="22"/>
        </w:rPr>
        <w:t xml:space="preserve">ITC </w:t>
      </w:r>
      <w:r w:rsidR="006A487A">
        <w:rPr>
          <w:szCs w:val="22"/>
        </w:rPr>
        <w:t xml:space="preserve">Operating is affiliated with </w:t>
      </w:r>
      <w:r w:rsidRPr="00F85C74" w:rsidR="006A487A">
        <w:rPr>
          <w:szCs w:val="22"/>
        </w:rPr>
        <w:t xml:space="preserve">incumbent LEC </w:t>
      </w:r>
      <w:r w:rsidR="006A487A">
        <w:rPr>
          <w:szCs w:val="22"/>
        </w:rPr>
        <w:t xml:space="preserve">and other </w:t>
      </w:r>
      <w:r w:rsidRPr="00F85C74" w:rsidR="006A487A">
        <w:rPr>
          <w:szCs w:val="22"/>
        </w:rPr>
        <w:t>telecommunications service</w:t>
      </w:r>
      <w:r w:rsidR="006A487A">
        <w:rPr>
          <w:szCs w:val="22"/>
        </w:rPr>
        <w:t xml:space="preserve"> providers </w:t>
      </w:r>
      <w:r w:rsidRPr="00F85C74" w:rsidR="006A487A">
        <w:rPr>
          <w:szCs w:val="22"/>
        </w:rPr>
        <w:t>in Colorado, Georgia, Kansas, Nebraska, and Texas.</w:t>
      </w:r>
      <w:r>
        <w:rPr>
          <w:rStyle w:val="FootnoteReference"/>
          <w:szCs w:val="22"/>
        </w:rPr>
        <w:footnoteReference w:id="11"/>
      </w:r>
      <w:r w:rsidR="006A487A">
        <w:rPr>
          <w:szCs w:val="22"/>
        </w:rPr>
        <w:t xml:space="preserve">  </w:t>
      </w:r>
      <w:r w:rsidR="00C223D8">
        <w:rPr>
          <w:szCs w:val="22"/>
        </w:rPr>
        <w:t xml:space="preserve">Post-transaction, Applicants state </w:t>
      </w:r>
      <w:r w:rsidRPr="005C315F" w:rsidR="005C315F">
        <w:rPr>
          <w:snapToGrid/>
          <w:kern w:val="0"/>
          <w:szCs w:val="22"/>
        </w:rPr>
        <w:t>the following U.S.-based investment entities will own a 10% or greater equity interest in ITC Operating and indirectly an equal interest in Aspire:  HF Direct Investments Pool LLC (14.5%); 4612-Broadband Holdco, LP (14.5%); ITC Broadband Investments (QP), LLC (17.8%); Kinetic-ITC Broadband Investments, LLC (13.9%); AEG (16.2%), and ITC Broadband Management, LP (15%).</w:t>
      </w:r>
      <w:r>
        <w:rPr>
          <w:snapToGrid/>
          <w:kern w:val="0"/>
          <w:szCs w:val="22"/>
          <w:vertAlign w:val="superscript"/>
        </w:rPr>
        <w:footnoteReference w:id="12"/>
      </w:r>
      <w:r w:rsidRPr="005C315F" w:rsidR="005C315F">
        <w:rPr>
          <w:snapToGrid/>
          <w:kern w:val="0"/>
          <w:szCs w:val="22"/>
        </w:rPr>
        <w:t xml:space="preserve">  Applicants state that no other entity or individual will hold directly or indirectly a 10% or greater interest in Aspire.</w:t>
      </w:r>
      <w:r>
        <w:rPr>
          <w:snapToGrid/>
          <w:kern w:val="0"/>
          <w:szCs w:val="22"/>
          <w:vertAlign w:val="superscript"/>
        </w:rPr>
        <w:footnoteReference w:id="13"/>
      </w:r>
      <w:r w:rsidRPr="005C315F" w:rsidR="005C315F">
        <w:rPr>
          <w:snapToGrid/>
          <w:kern w:val="0"/>
          <w:szCs w:val="22"/>
        </w:rPr>
        <w:t xml:space="preserve">  </w:t>
      </w:r>
    </w:p>
    <w:p w:rsidR="00FC6E66" w:rsidRPr="00BB5D60" w:rsidP="00BB5D60" w14:paraId="16975D9B" w14:textId="24751C8A">
      <w:pPr>
        <w:autoSpaceDE w:val="0"/>
        <w:autoSpaceDN w:val="0"/>
        <w:adjustRightInd w:val="0"/>
        <w:spacing w:after="120"/>
        <w:ind w:firstLine="720"/>
        <w:rPr>
          <w:bCs/>
          <w:szCs w:val="22"/>
        </w:rPr>
      </w:pPr>
      <w:r>
        <w:rPr>
          <w:bCs/>
          <w:szCs w:val="22"/>
        </w:rPr>
        <w:t xml:space="preserve">Pursuant </w:t>
      </w:r>
      <w:r w:rsidR="00757E0B">
        <w:rPr>
          <w:bCs/>
          <w:szCs w:val="22"/>
        </w:rPr>
        <w:t>to the terms of the proposed transaction</w:t>
      </w:r>
      <w:r w:rsidR="00C43547">
        <w:rPr>
          <w:bCs/>
          <w:szCs w:val="22"/>
        </w:rPr>
        <w:t>,</w:t>
      </w:r>
      <w:r>
        <w:rPr>
          <w:bCs/>
          <w:szCs w:val="22"/>
        </w:rPr>
        <w:t xml:space="preserve"> </w:t>
      </w:r>
      <w:r w:rsidRPr="00A855DE" w:rsidR="00A855DE">
        <w:rPr>
          <w:snapToGrid/>
          <w:kern w:val="0"/>
          <w:szCs w:val="22"/>
        </w:rPr>
        <w:t>ITC Operating will acquire the interests in Aspire from AEG, and Aspire will become a wholly</w:t>
      </w:r>
      <w:r w:rsidR="00B44B9E">
        <w:rPr>
          <w:snapToGrid/>
          <w:kern w:val="0"/>
          <w:szCs w:val="22"/>
        </w:rPr>
        <w:t>-</w:t>
      </w:r>
      <w:r w:rsidRPr="00A855DE" w:rsidR="00A855DE">
        <w:rPr>
          <w:snapToGrid/>
          <w:kern w:val="0"/>
          <w:szCs w:val="22"/>
        </w:rPr>
        <w:t>owned subsidiary of ITC Operating.</w:t>
      </w:r>
      <w:r>
        <w:rPr>
          <w:snapToGrid/>
          <w:kern w:val="0"/>
          <w:szCs w:val="22"/>
          <w:vertAlign w:val="superscript"/>
        </w:rPr>
        <w:footnoteReference w:id="14"/>
      </w:r>
      <w:r w:rsidRPr="00A855DE" w:rsidR="00A855DE">
        <w:rPr>
          <w:snapToGrid/>
          <w:kern w:val="0"/>
          <w:szCs w:val="22"/>
        </w:rPr>
        <w:t xml:space="preserve"> </w:t>
      </w:r>
      <w:r w:rsidR="00FD2298">
        <w:rPr>
          <w:snapToGrid/>
          <w:kern w:val="0"/>
          <w:szCs w:val="22"/>
        </w:rPr>
        <w:t xml:space="preserve"> </w:t>
      </w:r>
      <w:r w:rsidRPr="009D31FB" w:rsidR="00BB5D60">
        <w:rPr>
          <w:bCs/>
          <w:szCs w:val="22"/>
        </w:rPr>
        <w:t xml:space="preserve">Applicants state that </w:t>
      </w:r>
      <w:r w:rsidR="00A63A6A">
        <w:rPr>
          <w:bCs/>
          <w:szCs w:val="22"/>
        </w:rPr>
        <w:t>authorization of RDOF support is a condition to closing the proposed transaction.</w:t>
      </w:r>
      <w:r>
        <w:rPr>
          <w:rStyle w:val="FootnoteReference"/>
          <w:bCs/>
          <w:szCs w:val="22"/>
        </w:rPr>
        <w:footnoteReference w:id="15"/>
      </w:r>
      <w:r w:rsidR="00A63A6A">
        <w:rPr>
          <w:bCs/>
          <w:szCs w:val="22"/>
        </w:rPr>
        <w:t xml:space="preserve">  </w:t>
      </w:r>
      <w:r w:rsidRPr="009D31FB" w:rsidR="00C223D8">
        <w:t>The Applicants</w:t>
      </w:r>
      <w:r w:rsidRPr="009D31FB" w:rsidR="00C223D8">
        <w:rPr>
          <w:szCs w:val="22"/>
        </w:rPr>
        <w:t xml:space="preserve"> </w:t>
      </w:r>
      <w:r w:rsidRPr="009D31FB" w:rsidR="00C223D8">
        <w:t xml:space="preserve">further state that </w:t>
      </w:r>
      <w:r w:rsidRPr="009D31FB" w:rsidR="000231D6">
        <w:rPr>
          <w:snapToGrid/>
          <w:kern w:val="0"/>
          <w:szCs w:val="22"/>
        </w:rPr>
        <w:t xml:space="preserve">they will “work jointly to continue building out </w:t>
      </w:r>
      <w:r w:rsidRPr="009D31FB" w:rsidR="000231D6">
        <w:rPr>
          <w:snapToGrid/>
          <w:kern w:val="0"/>
          <w:szCs w:val="22"/>
        </w:rPr>
        <w:t>Aspire’s</w:t>
      </w:r>
      <w:r w:rsidRPr="009D31FB" w:rsidR="000231D6">
        <w:rPr>
          <w:snapToGrid/>
          <w:kern w:val="0"/>
          <w:szCs w:val="22"/>
        </w:rPr>
        <w:t xml:space="preserve"> RDOF supported</w:t>
      </w:r>
      <w:r w:rsidRPr="000231D6" w:rsidR="000231D6">
        <w:rPr>
          <w:snapToGrid/>
          <w:kern w:val="0"/>
          <w:szCs w:val="22"/>
        </w:rPr>
        <w:t xml:space="preserve"> network, which began providing service to residential customers in Michigan in October 2021.”</w:t>
      </w:r>
      <w:r>
        <w:rPr>
          <w:snapToGrid/>
          <w:kern w:val="0"/>
          <w:szCs w:val="22"/>
          <w:vertAlign w:val="superscript"/>
        </w:rPr>
        <w:footnoteReference w:id="16"/>
      </w:r>
      <w:r w:rsidR="00BE5A68">
        <w:rPr>
          <w:snapToGrid/>
          <w:kern w:val="0"/>
          <w:szCs w:val="22"/>
        </w:rPr>
        <w:t xml:space="preserve">  Specifically, Aspire will provide “gigabit-speed broadband and VoIP service to residential end user customers in census blocks in the Upper Peninsula of Michigan, including within the tribal lands of the Hannahville Indian Community.”</w:t>
      </w:r>
      <w:r>
        <w:rPr>
          <w:rStyle w:val="FootnoteReference"/>
          <w:snapToGrid/>
          <w:kern w:val="0"/>
          <w:szCs w:val="22"/>
        </w:rPr>
        <w:footnoteReference w:id="17"/>
      </w:r>
    </w:p>
    <w:p w:rsidR="008D5B54" w:rsidRPr="00B02A93" w:rsidP="00132378" w14:paraId="47EEB31D" w14:textId="77777777">
      <w:pPr>
        <w:widowControl/>
        <w:autoSpaceDE w:val="0"/>
        <w:autoSpaceDN w:val="0"/>
        <w:adjustRightInd w:val="0"/>
        <w:spacing w:after="120"/>
        <w:rPr>
          <w:b/>
          <w:bCs/>
          <w:szCs w:val="22"/>
          <w:u w:val="single"/>
        </w:rPr>
      </w:pPr>
      <w:r w:rsidRPr="00B02A93">
        <w:rPr>
          <w:b/>
          <w:bCs/>
          <w:szCs w:val="22"/>
          <w:u w:val="single"/>
        </w:rPr>
        <w:t>Discussion</w:t>
      </w:r>
    </w:p>
    <w:p w:rsidR="009D31FB" w:rsidP="00EF3D8E" w14:paraId="764C6E2F" w14:textId="08BF21F2">
      <w:pPr>
        <w:widowControl/>
        <w:autoSpaceDE w:val="0"/>
        <w:autoSpaceDN w:val="0"/>
        <w:adjustRightInd w:val="0"/>
        <w:spacing w:after="120"/>
        <w:ind w:firstLine="720"/>
        <w:rPr>
          <w:color w:val="000000"/>
        </w:rPr>
      </w:pPr>
      <w:r w:rsidRPr="00B02A93">
        <w:rPr>
          <w:szCs w:val="22"/>
        </w:rPr>
        <w:t xml:space="preserve">We find, upon </w:t>
      </w:r>
      <w:r w:rsidRPr="001A7655">
        <w:rPr>
          <w:szCs w:val="22"/>
        </w:rPr>
        <w:t xml:space="preserve">consideration </w:t>
      </w:r>
      <w:r w:rsidRPr="00B02A93">
        <w:rPr>
          <w:szCs w:val="22"/>
        </w:rPr>
        <w:t xml:space="preserve">of the record, that </w:t>
      </w:r>
      <w:r>
        <w:rPr>
          <w:szCs w:val="22"/>
        </w:rPr>
        <w:t xml:space="preserve">a </w:t>
      </w:r>
      <w:r w:rsidRPr="00B02A93">
        <w:rPr>
          <w:szCs w:val="22"/>
        </w:rPr>
        <w:t xml:space="preserve">grant of the Application will serve the public interest, convenience, and necessity. </w:t>
      </w:r>
      <w:r w:rsidR="00760F76">
        <w:rPr>
          <w:szCs w:val="22"/>
        </w:rPr>
        <w:t xml:space="preserve"> </w:t>
      </w:r>
      <w:r>
        <w:rPr>
          <w:szCs w:val="22"/>
        </w:rPr>
        <w:t xml:space="preserve">To make this determination under Commission precedent, </w:t>
      </w:r>
      <w:r w:rsidRPr="00B72D84">
        <w:t xml:space="preserve">we </w:t>
      </w:r>
      <w:r w:rsidR="0036214D">
        <w:t xml:space="preserve">first </w:t>
      </w:r>
      <w:r w:rsidRPr="00B72D84">
        <w:t xml:space="preserve">consider whether the </w:t>
      </w:r>
      <w:r>
        <w:t xml:space="preserve">proposed </w:t>
      </w:r>
      <w:r w:rsidRPr="00B72D84">
        <w:t xml:space="preserve">transaction could result in public interest harms by substantially frustrating or impairing the objectives or implementation of the </w:t>
      </w:r>
      <w:r>
        <w:t xml:space="preserve">Act </w:t>
      </w:r>
      <w:r w:rsidRPr="00B72D84">
        <w:t>or related statutes.</w:t>
      </w:r>
      <w:r>
        <w:rPr>
          <w:sz w:val="20"/>
          <w:vertAlign w:val="superscript"/>
        </w:rPr>
        <w:footnoteReference w:id="18"/>
      </w:r>
      <w:r w:rsidRPr="00B72D84">
        <w:t xml:space="preserve">  </w:t>
      </w:r>
      <w:r w:rsidRPr="002F2C9E">
        <w:rPr>
          <w:color w:val="000000"/>
        </w:rPr>
        <w:t xml:space="preserve">We then employ a </w:t>
      </w:r>
      <w:r w:rsidRPr="002F2C9E">
        <w:rPr>
          <w:color w:val="000000"/>
        </w:rPr>
        <w:t>balancing test weighing any potential public interest harms of the proposed transaction against any potential public interest benefits.</w:t>
      </w:r>
      <w:r>
        <w:rPr>
          <w:color w:val="000000"/>
          <w:sz w:val="20"/>
          <w:vertAlign w:val="superscript"/>
        </w:rPr>
        <w:footnoteReference w:id="19"/>
      </w:r>
      <w:r w:rsidRPr="002F2C9E">
        <w:rPr>
          <w:color w:val="000000"/>
        </w:rPr>
        <w:t xml:space="preserve">  The Applicants bear the burden of proving, by a preponderance of the evidence, that the proposed transaction, on balance, serves the public interest.</w:t>
      </w:r>
      <w:r>
        <w:rPr>
          <w:color w:val="000000"/>
          <w:sz w:val="20"/>
          <w:vertAlign w:val="superscript"/>
        </w:rPr>
        <w:footnoteReference w:id="20"/>
      </w:r>
    </w:p>
    <w:p w:rsidR="00622C85" w:rsidRPr="00DE13BD" w:rsidP="00DE13BD" w14:paraId="362DB0EC" w14:textId="672D3803">
      <w:pPr>
        <w:widowControl/>
        <w:autoSpaceDE w:val="0"/>
        <w:autoSpaceDN w:val="0"/>
        <w:adjustRightInd w:val="0"/>
        <w:spacing w:after="120"/>
        <w:ind w:firstLine="720"/>
        <w:rPr>
          <w:color w:val="000000"/>
        </w:rPr>
      </w:pPr>
      <w:r w:rsidRPr="00622C85">
        <w:rPr>
          <w:snapToGrid/>
          <w:kern w:val="0"/>
          <w:szCs w:val="22"/>
        </w:rPr>
        <w:t xml:space="preserve">We find that there are no potential public interest harms identified in the record.  </w:t>
      </w:r>
      <w:r w:rsidRPr="00622C85" w:rsidR="008B1C48">
        <w:rPr>
          <w:snapToGrid/>
          <w:kern w:val="0"/>
          <w:szCs w:val="22"/>
        </w:rPr>
        <w:t>The proposed transaction will not result in a significant reduction in competition because none of ITC Operating’s other subsidiaries operate within the Michigan areas that Aspire serves</w:t>
      </w:r>
      <w:r w:rsidRPr="00622C85" w:rsidR="00773F6A">
        <w:rPr>
          <w:snapToGrid/>
          <w:kern w:val="0"/>
          <w:szCs w:val="22"/>
        </w:rPr>
        <w:t>.</w:t>
      </w:r>
      <w:r>
        <w:rPr>
          <w:color w:val="000000"/>
          <w:szCs w:val="22"/>
          <w:vertAlign w:val="superscript"/>
        </w:rPr>
        <w:footnoteReference w:id="21"/>
      </w:r>
      <w:r w:rsidRPr="00622C85" w:rsidR="008B1C48">
        <w:rPr>
          <w:snapToGrid/>
          <w:kern w:val="0"/>
          <w:szCs w:val="22"/>
        </w:rPr>
        <w:t xml:space="preserve">  </w:t>
      </w:r>
      <w:r w:rsidRPr="00622C85" w:rsidR="00A75E4C">
        <w:rPr>
          <w:snapToGrid/>
          <w:kern w:val="0"/>
          <w:szCs w:val="22"/>
        </w:rPr>
        <w:t>Moreover,</w:t>
      </w:r>
      <w:r w:rsidRPr="00622C85" w:rsidR="00773F6A">
        <w:rPr>
          <w:snapToGrid/>
          <w:kern w:val="0"/>
          <w:szCs w:val="22"/>
        </w:rPr>
        <w:t xml:space="preserve"> </w:t>
      </w:r>
      <w:r w:rsidR="00A63A6A">
        <w:rPr>
          <w:snapToGrid/>
          <w:kern w:val="0"/>
          <w:szCs w:val="22"/>
        </w:rPr>
        <w:t>Aspire</w:t>
      </w:r>
      <w:r w:rsidRPr="00622C85" w:rsidR="00773F6A">
        <w:rPr>
          <w:snapToGrid/>
          <w:kern w:val="0"/>
          <w:szCs w:val="22"/>
        </w:rPr>
        <w:t xml:space="preserve"> remains financially</w:t>
      </w:r>
      <w:r w:rsidR="00545724">
        <w:rPr>
          <w:snapToGrid/>
          <w:kern w:val="0"/>
          <w:szCs w:val="22"/>
        </w:rPr>
        <w:t>,</w:t>
      </w:r>
      <w:r w:rsidRPr="00622C85" w:rsidR="00773F6A">
        <w:rPr>
          <w:snapToGrid/>
          <w:kern w:val="0"/>
          <w:szCs w:val="22"/>
        </w:rPr>
        <w:t xml:space="preserve"> </w:t>
      </w:r>
      <w:r w:rsidR="00545724">
        <w:rPr>
          <w:snapToGrid/>
          <w:kern w:val="0"/>
          <w:szCs w:val="22"/>
        </w:rPr>
        <w:t xml:space="preserve">managerially, </w:t>
      </w:r>
      <w:r w:rsidRPr="00622C85" w:rsidR="00773F6A">
        <w:rPr>
          <w:snapToGrid/>
          <w:kern w:val="0"/>
          <w:szCs w:val="22"/>
        </w:rPr>
        <w:t>and technically obligated to meet all public interest and performance obligations associated with the receipt of RDOF funding in accordance with the Commission’s pre-transaction approval of its qualifications</w:t>
      </w:r>
      <w:r w:rsidR="0022167C">
        <w:rPr>
          <w:snapToGrid/>
          <w:kern w:val="0"/>
          <w:szCs w:val="22"/>
        </w:rPr>
        <w:t>.  We</w:t>
      </w:r>
      <w:r w:rsidRPr="00622C85" w:rsidR="00773F6A">
        <w:rPr>
          <w:snapToGrid/>
          <w:kern w:val="0"/>
          <w:szCs w:val="22"/>
        </w:rPr>
        <w:t xml:space="preserve"> expect that the proposed transaction will not negatively impact these obligations.  To that end, Applicants have confirmed that the </w:t>
      </w:r>
      <w:r w:rsidR="009D0498">
        <w:rPr>
          <w:snapToGrid/>
          <w:kern w:val="0"/>
          <w:szCs w:val="22"/>
        </w:rPr>
        <w:t xml:space="preserve">proposed </w:t>
      </w:r>
      <w:r w:rsidRPr="00622C85" w:rsidR="00773F6A">
        <w:rPr>
          <w:snapToGrid/>
          <w:kern w:val="0"/>
          <w:szCs w:val="22"/>
        </w:rPr>
        <w:t>transaction “will not result in any alteration to the buildout plans submitted to the Commission in</w:t>
      </w:r>
      <w:r w:rsidRPr="00622C85">
        <w:rPr>
          <w:snapToGrid/>
          <w:kern w:val="0"/>
          <w:szCs w:val="22"/>
        </w:rPr>
        <w:t xml:space="preserve"> </w:t>
      </w:r>
      <w:r w:rsidRPr="00622C85" w:rsidR="00773F6A">
        <w:rPr>
          <w:snapToGrid/>
          <w:kern w:val="0"/>
          <w:szCs w:val="22"/>
        </w:rPr>
        <w:t>order to qualify for RDOF Auction funding.”</w:t>
      </w:r>
      <w:r>
        <w:rPr>
          <w:rStyle w:val="FootnoteReference"/>
          <w:snapToGrid/>
          <w:kern w:val="0"/>
          <w:szCs w:val="22"/>
        </w:rPr>
        <w:footnoteReference w:id="22"/>
      </w:r>
      <w:r w:rsidRPr="00622C85" w:rsidR="00773F6A">
        <w:rPr>
          <w:snapToGrid/>
          <w:kern w:val="0"/>
          <w:szCs w:val="22"/>
        </w:rPr>
        <w:t xml:space="preserve">  Indeed, Applicants submit </w:t>
      </w:r>
      <w:r w:rsidRPr="00622C85">
        <w:rPr>
          <w:snapToGrid/>
          <w:kern w:val="0"/>
          <w:szCs w:val="22"/>
        </w:rPr>
        <w:t xml:space="preserve">the </w:t>
      </w:r>
      <w:r w:rsidR="009D0498">
        <w:rPr>
          <w:snapToGrid/>
          <w:kern w:val="0"/>
          <w:szCs w:val="22"/>
        </w:rPr>
        <w:t xml:space="preserve">proposed </w:t>
      </w:r>
      <w:r w:rsidRPr="00622C85">
        <w:rPr>
          <w:snapToGrid/>
          <w:kern w:val="0"/>
          <w:szCs w:val="22"/>
        </w:rPr>
        <w:t xml:space="preserve">transaction </w:t>
      </w:r>
      <w:r w:rsidRPr="00622C85">
        <w:rPr>
          <w:snapToGrid/>
          <w:kern w:val="0"/>
          <w:szCs w:val="22"/>
          <w:lang w:eastAsia="ja-JP"/>
        </w:rPr>
        <w:t xml:space="preserve">will “serve to better safeguard RDOF funds by providing Aspire with additional resources to address any unexpected challenges it may encounter </w:t>
      </w:r>
      <w:r w:rsidRPr="00DE13BD">
        <w:rPr>
          <w:color w:val="000000"/>
        </w:rPr>
        <w:t>during network build-out</w:t>
      </w:r>
      <w:r w:rsidRPr="00DE13BD" w:rsidR="00754440">
        <w:rPr>
          <w:color w:val="000000"/>
        </w:rPr>
        <w:t>.</w:t>
      </w:r>
      <w:r w:rsidRPr="00DE13BD">
        <w:rPr>
          <w:color w:val="000000"/>
        </w:rPr>
        <w:t>”</w:t>
      </w:r>
      <w:r>
        <w:rPr>
          <w:color w:val="000000"/>
          <w:sz w:val="20"/>
          <w:vertAlign w:val="superscript"/>
        </w:rPr>
        <w:footnoteReference w:id="23"/>
      </w:r>
      <w:r w:rsidR="00E8036C">
        <w:rPr>
          <w:color w:val="000000"/>
        </w:rPr>
        <w:t xml:space="preserve"> </w:t>
      </w:r>
      <w:r w:rsidR="00BE5A68">
        <w:rPr>
          <w:color w:val="000000"/>
        </w:rPr>
        <w:t xml:space="preserve"> </w:t>
      </w:r>
      <w:bookmarkStart w:id="0" w:name="_Hlk89769166"/>
      <w:r w:rsidR="0088632C">
        <w:rPr>
          <w:color w:val="000000"/>
        </w:rPr>
        <w:t xml:space="preserve">Applicants </w:t>
      </w:r>
      <w:r w:rsidR="00BE5A68">
        <w:rPr>
          <w:color w:val="000000"/>
        </w:rPr>
        <w:t>have also stated on the record that the proposed transaction will not result in an increase to the debt load of ITC Operating post-transaction.</w:t>
      </w:r>
      <w:r>
        <w:rPr>
          <w:rStyle w:val="FootnoteReference"/>
        </w:rPr>
        <w:footnoteReference w:id="24"/>
      </w:r>
      <w:r w:rsidR="00BE5A68">
        <w:rPr>
          <w:color w:val="000000"/>
        </w:rPr>
        <w:t xml:space="preserve"> </w:t>
      </w:r>
      <w:bookmarkEnd w:id="0"/>
      <w:r w:rsidR="00BE5A68">
        <w:rPr>
          <w:color w:val="000000"/>
        </w:rPr>
        <w:t xml:space="preserve"> </w:t>
      </w:r>
      <w:r w:rsidR="0088632C">
        <w:rPr>
          <w:color w:val="000000"/>
        </w:rPr>
        <w:t xml:space="preserve">With respect to </w:t>
      </w:r>
      <w:r w:rsidR="00545724">
        <w:rPr>
          <w:color w:val="000000"/>
        </w:rPr>
        <w:t xml:space="preserve">management, </w:t>
      </w:r>
      <w:r w:rsidR="006D7D03">
        <w:rPr>
          <w:color w:val="000000"/>
        </w:rPr>
        <w:t xml:space="preserve">Applicants </w:t>
      </w:r>
      <w:r w:rsidR="0022167C">
        <w:rPr>
          <w:color w:val="000000"/>
        </w:rPr>
        <w:t>state that</w:t>
      </w:r>
      <w:r w:rsidR="006D7D03">
        <w:rPr>
          <w:color w:val="000000"/>
        </w:rPr>
        <w:t xml:space="preserve"> there are no plans to change the existing management of </w:t>
      </w:r>
      <w:r w:rsidR="00545724">
        <w:rPr>
          <w:color w:val="000000"/>
        </w:rPr>
        <w:t>AEG</w:t>
      </w:r>
      <w:r w:rsidR="00DC0759">
        <w:rPr>
          <w:color w:val="000000"/>
        </w:rPr>
        <w:t xml:space="preserve">, </w:t>
      </w:r>
      <w:r w:rsidR="006D7D03">
        <w:rPr>
          <w:color w:val="000000"/>
        </w:rPr>
        <w:t xml:space="preserve">which </w:t>
      </w:r>
      <w:r w:rsidR="00AA3752">
        <w:rPr>
          <w:color w:val="000000"/>
        </w:rPr>
        <w:t xml:space="preserve">will </w:t>
      </w:r>
      <w:r w:rsidR="00DC0759">
        <w:rPr>
          <w:color w:val="000000"/>
        </w:rPr>
        <w:t xml:space="preserve">retain a </w:t>
      </w:r>
      <w:r w:rsidR="00545724">
        <w:rPr>
          <w:color w:val="000000"/>
        </w:rPr>
        <w:t>16.2% ownership in</w:t>
      </w:r>
      <w:r w:rsidR="00DC0759">
        <w:rPr>
          <w:color w:val="000000"/>
        </w:rPr>
        <w:t>terest</w:t>
      </w:r>
      <w:r w:rsidR="00545724">
        <w:rPr>
          <w:color w:val="000000"/>
        </w:rPr>
        <w:t xml:space="preserve"> </w:t>
      </w:r>
      <w:r w:rsidR="00DC0759">
        <w:rPr>
          <w:color w:val="000000"/>
        </w:rPr>
        <w:t>in Aspire</w:t>
      </w:r>
      <w:r w:rsidR="006D7D03">
        <w:rPr>
          <w:color w:val="000000"/>
        </w:rPr>
        <w:t xml:space="preserve"> as a partner in ITC Holdings</w:t>
      </w:r>
      <w:r w:rsidR="0088632C">
        <w:rPr>
          <w:color w:val="000000"/>
        </w:rPr>
        <w:t>,</w:t>
      </w:r>
      <w:r>
        <w:rPr>
          <w:rStyle w:val="FootnoteReference"/>
        </w:rPr>
        <w:footnoteReference w:id="25"/>
      </w:r>
      <w:r w:rsidR="00DC0759">
        <w:rPr>
          <w:color w:val="000000"/>
        </w:rPr>
        <w:t xml:space="preserve"> </w:t>
      </w:r>
      <w:r w:rsidR="0088632C">
        <w:rPr>
          <w:color w:val="000000"/>
        </w:rPr>
        <w:t>and they</w:t>
      </w:r>
      <w:r w:rsidR="00DC0759">
        <w:rPr>
          <w:color w:val="000000"/>
        </w:rPr>
        <w:t xml:space="preserve"> have provided information detailing the telecommunications industry experience of </w:t>
      </w:r>
      <w:r w:rsidR="00BE5A68">
        <w:rPr>
          <w:color w:val="000000"/>
        </w:rPr>
        <w:t xml:space="preserve">the </w:t>
      </w:r>
      <w:r w:rsidR="00DC0759">
        <w:rPr>
          <w:color w:val="000000"/>
        </w:rPr>
        <w:t xml:space="preserve">ITC managers </w:t>
      </w:r>
      <w:r w:rsidR="00A63A6A">
        <w:rPr>
          <w:color w:val="000000"/>
        </w:rPr>
        <w:t>who</w:t>
      </w:r>
      <w:r w:rsidR="00DC0759">
        <w:rPr>
          <w:color w:val="000000"/>
        </w:rPr>
        <w:t xml:space="preserve"> will </w:t>
      </w:r>
      <w:r w:rsidR="006D7D03">
        <w:rPr>
          <w:color w:val="000000"/>
        </w:rPr>
        <w:t>join Aspire as its “primary managers.”</w:t>
      </w:r>
      <w:r>
        <w:rPr>
          <w:rStyle w:val="FootnoteReference"/>
        </w:rPr>
        <w:footnoteReference w:id="26"/>
      </w:r>
      <w:r w:rsidR="00DC0759">
        <w:rPr>
          <w:color w:val="000000"/>
        </w:rPr>
        <w:t xml:space="preserve">  </w:t>
      </w:r>
      <w:r w:rsidR="0088632C">
        <w:rPr>
          <w:color w:val="000000"/>
        </w:rPr>
        <w:t xml:space="preserve">Finally, </w:t>
      </w:r>
      <w:r w:rsidR="00E8036C">
        <w:rPr>
          <w:color w:val="000000"/>
        </w:rPr>
        <w:t>Applicants have certified that Aspire will meet all of its relevant RDOF support obligations.</w:t>
      </w:r>
      <w:r>
        <w:rPr>
          <w:rStyle w:val="FootnoteReference"/>
        </w:rPr>
        <w:footnoteReference w:id="27"/>
      </w:r>
      <w:r w:rsidR="00E8036C">
        <w:rPr>
          <w:color w:val="000000"/>
        </w:rPr>
        <w:t xml:space="preserve">  </w:t>
      </w:r>
    </w:p>
    <w:p w:rsidR="00213050" w:rsidRPr="00622C85" w:rsidP="00DE13BD" w14:paraId="47A97A8C" w14:textId="5E90D5EE">
      <w:pPr>
        <w:widowControl/>
        <w:autoSpaceDE w:val="0"/>
        <w:autoSpaceDN w:val="0"/>
        <w:adjustRightInd w:val="0"/>
        <w:spacing w:after="120"/>
        <w:ind w:firstLine="720"/>
        <w:rPr>
          <w:rFonts w:ascii="TimesNewRoman" w:hAnsi="TimesNewRoman" w:cs="TimesNewRoman"/>
          <w:snapToGrid/>
          <w:kern w:val="0"/>
          <w:sz w:val="24"/>
          <w:szCs w:val="24"/>
          <w:lang w:eastAsia="ja-JP"/>
        </w:rPr>
      </w:pPr>
      <w:r>
        <w:t>W</w:t>
      </w:r>
      <w:r w:rsidR="00A75E4C">
        <w:t>e next consider whether the proposed transaction is likely to generate verifiable, transaction-specific public interest benefits.</w:t>
      </w:r>
      <w:r>
        <w:rPr>
          <w:rStyle w:val="FootnoteReference"/>
        </w:rPr>
        <w:footnoteReference w:id="28"/>
      </w:r>
      <w:r w:rsidR="00A75E4C">
        <w:t xml:space="preserve"> </w:t>
      </w:r>
      <w:r w:rsidR="0088632C">
        <w:t xml:space="preserve"> </w:t>
      </w:r>
      <w:r w:rsidR="00A75E4C">
        <w:t>Applicants must provide evidence of a claimed benefit to allow the Commission to verify its likelihood and magnitude.</w:t>
      </w:r>
      <w:r>
        <w:rPr>
          <w:rStyle w:val="FootnoteReference"/>
        </w:rPr>
        <w:footnoteReference w:id="29"/>
      </w:r>
      <w:r w:rsidR="00A75E4C">
        <w:t xml:space="preserve">  Where potential harms appear unlikely, as is the </w:t>
      </w:r>
      <w:r w:rsidR="00A75E4C">
        <w:t>case with the Application before us here, the Commission accepts a lesser degree of magnitude and likelihood than when harms are present.</w:t>
      </w:r>
      <w:r>
        <w:rPr>
          <w:rStyle w:val="FootnoteReference"/>
        </w:rPr>
        <w:footnoteReference w:id="30"/>
      </w:r>
      <w:r w:rsidR="00A75E4C">
        <w:t xml:space="preserve">  </w:t>
      </w:r>
    </w:p>
    <w:p w:rsidR="00CF0F77" w:rsidP="008C0714" w14:paraId="734AB2EA" w14:textId="77777777">
      <w:pPr>
        <w:widowControl/>
        <w:autoSpaceDE w:val="0"/>
        <w:autoSpaceDN w:val="0"/>
        <w:adjustRightInd w:val="0"/>
        <w:spacing w:after="120"/>
        <w:ind w:firstLine="720"/>
        <w:rPr>
          <w:snapToGrid/>
          <w:kern w:val="0"/>
          <w:szCs w:val="22"/>
        </w:rPr>
      </w:pPr>
      <w:r>
        <w:rPr>
          <w:snapToGrid/>
          <w:kern w:val="0"/>
          <w:szCs w:val="22"/>
        </w:rPr>
        <w:t>Applicants claim that the proposed transactio</w:t>
      </w:r>
      <w:r w:rsidR="00DB0101">
        <w:rPr>
          <w:snapToGrid/>
          <w:kern w:val="0"/>
          <w:szCs w:val="22"/>
        </w:rPr>
        <w:t>n</w:t>
      </w:r>
      <w:r w:rsidRPr="00951059">
        <w:rPr>
          <w:snapToGrid/>
          <w:kern w:val="0"/>
          <w:szCs w:val="22"/>
        </w:rPr>
        <w:t xml:space="preserve"> will provide Aspire with “extensive financial resources and managerial and technical expertise in building out broadband networks”</w:t>
      </w:r>
      <w:r>
        <w:rPr>
          <w:snapToGrid/>
          <w:kern w:val="0"/>
          <w:szCs w:val="22"/>
          <w:vertAlign w:val="superscript"/>
        </w:rPr>
        <w:footnoteReference w:id="31"/>
      </w:r>
      <w:r w:rsidRPr="00951059">
        <w:rPr>
          <w:snapToGrid/>
          <w:kern w:val="0"/>
          <w:szCs w:val="22"/>
        </w:rPr>
        <w:t xml:space="preserve"> and will “better position Aspire to accelerate its network deployment and provide high quality broadband service to customers in Michigan in the near term, as well as fulfill its RDOF public interest obligations.”</w:t>
      </w:r>
      <w:r>
        <w:rPr>
          <w:snapToGrid/>
          <w:kern w:val="0"/>
          <w:szCs w:val="22"/>
          <w:vertAlign w:val="superscript"/>
        </w:rPr>
        <w:footnoteReference w:id="32"/>
      </w:r>
      <w:r w:rsidR="00262F00">
        <w:rPr>
          <w:snapToGrid/>
          <w:kern w:val="0"/>
          <w:szCs w:val="22"/>
        </w:rPr>
        <w:t xml:space="preserve">  </w:t>
      </w:r>
      <w:r w:rsidR="00A63A6A">
        <w:rPr>
          <w:snapToGrid/>
          <w:kern w:val="0"/>
          <w:szCs w:val="22"/>
        </w:rPr>
        <w:t xml:space="preserve">Applicants maintain that ITC Operating’s investment will </w:t>
      </w:r>
      <w:r w:rsidR="00BE5A68">
        <w:rPr>
          <w:snapToGrid/>
          <w:kern w:val="0"/>
          <w:szCs w:val="22"/>
        </w:rPr>
        <w:t>provide it with additional resources to address any unexpected challenges it may encounter during network build-out.</w:t>
      </w:r>
      <w:r>
        <w:rPr>
          <w:rStyle w:val="FootnoteReference"/>
          <w:snapToGrid/>
          <w:kern w:val="0"/>
          <w:szCs w:val="22"/>
        </w:rPr>
        <w:footnoteReference w:id="33"/>
      </w:r>
      <w:r w:rsidR="00A63A6A">
        <w:rPr>
          <w:snapToGrid/>
          <w:kern w:val="0"/>
          <w:szCs w:val="22"/>
        </w:rPr>
        <w:t xml:space="preserve">  </w:t>
      </w:r>
    </w:p>
    <w:p w:rsidR="00447D22" w:rsidRPr="008C0714" w:rsidP="008C0714" w14:paraId="2B5A3508" w14:textId="756BF09C">
      <w:pPr>
        <w:widowControl/>
        <w:autoSpaceDE w:val="0"/>
        <w:autoSpaceDN w:val="0"/>
        <w:adjustRightInd w:val="0"/>
        <w:spacing w:after="120"/>
        <w:ind w:firstLine="720"/>
        <w:rPr>
          <w:color w:val="000000"/>
        </w:rPr>
      </w:pPr>
      <w:r>
        <w:t>The Commission has specified that ensuring consumers receive new or additional services is an important public interest factor</w:t>
      </w:r>
      <w:r w:rsidR="00E37785">
        <w:t>,</w:t>
      </w:r>
      <w:r>
        <w:rPr>
          <w:rStyle w:val="FootnoteReference"/>
        </w:rPr>
        <w:footnoteReference w:id="34"/>
      </w:r>
      <w:r>
        <w:t xml:space="preserve"> </w:t>
      </w:r>
      <w:r w:rsidR="00E37785">
        <w:t xml:space="preserve">and </w:t>
      </w:r>
      <w:r w:rsidRPr="002F2C9E">
        <w:rPr>
          <w:color w:val="000000"/>
        </w:rPr>
        <w:t>accelerating private sector deployment of advanced services</w:t>
      </w:r>
      <w:r w:rsidR="00E37785">
        <w:rPr>
          <w:color w:val="000000"/>
        </w:rPr>
        <w:t xml:space="preserve"> is one of the aims of the Communications Act</w:t>
      </w:r>
      <w:r>
        <w:rPr>
          <w:color w:val="000000"/>
        </w:rPr>
        <w:t>.</w:t>
      </w:r>
      <w:r>
        <w:rPr>
          <w:color w:val="000000"/>
          <w:sz w:val="20"/>
          <w:vertAlign w:val="superscript"/>
        </w:rPr>
        <w:footnoteReference w:id="35"/>
      </w:r>
      <w:r>
        <w:rPr>
          <w:color w:val="000000"/>
        </w:rPr>
        <w:t xml:space="preserve">  </w:t>
      </w:r>
      <w:r>
        <w:rPr>
          <w:bCs/>
          <w:snapToGrid/>
          <w:kern w:val="0"/>
          <w:szCs w:val="22"/>
        </w:rPr>
        <w:t xml:space="preserve">In light of the Applicants’ commitments to meet </w:t>
      </w:r>
      <w:r>
        <w:rPr>
          <w:bCs/>
          <w:snapToGrid/>
          <w:kern w:val="0"/>
          <w:szCs w:val="22"/>
        </w:rPr>
        <w:t>Aspire’s</w:t>
      </w:r>
      <w:r>
        <w:rPr>
          <w:bCs/>
          <w:snapToGrid/>
          <w:kern w:val="0"/>
          <w:szCs w:val="22"/>
        </w:rPr>
        <w:t xml:space="preserve"> federal high cost funding obligations and </w:t>
      </w:r>
      <w:r w:rsidR="00A42EE2">
        <w:rPr>
          <w:bCs/>
          <w:snapToGrid/>
          <w:kern w:val="0"/>
          <w:szCs w:val="22"/>
        </w:rPr>
        <w:t xml:space="preserve">their statement </w:t>
      </w:r>
      <w:r>
        <w:rPr>
          <w:bCs/>
          <w:snapToGrid/>
          <w:kern w:val="0"/>
          <w:szCs w:val="22"/>
        </w:rPr>
        <w:t xml:space="preserve">that ITC Operating is prepared to increase capital and other resources for </w:t>
      </w:r>
      <w:r w:rsidR="00DB0101">
        <w:rPr>
          <w:bCs/>
          <w:snapToGrid/>
          <w:kern w:val="0"/>
          <w:szCs w:val="22"/>
        </w:rPr>
        <w:t xml:space="preserve">Aspire </w:t>
      </w:r>
      <w:r>
        <w:rPr>
          <w:bCs/>
          <w:snapToGrid/>
          <w:kern w:val="0"/>
          <w:szCs w:val="22"/>
        </w:rPr>
        <w:t>to accelerate and expand facilities-based service offerings, we find it likely that the proposed transaction would result in some public interest benefits.</w:t>
      </w:r>
      <w:r w:rsidR="0074229D">
        <w:rPr>
          <w:bCs/>
          <w:snapToGrid/>
          <w:kern w:val="0"/>
          <w:szCs w:val="22"/>
        </w:rPr>
        <w:t xml:space="preserve"> </w:t>
      </w:r>
      <w:r w:rsidR="00DB0101">
        <w:rPr>
          <w:bCs/>
          <w:snapToGrid/>
          <w:kern w:val="0"/>
          <w:szCs w:val="22"/>
        </w:rPr>
        <w:t xml:space="preserve"> </w:t>
      </w:r>
      <w:r w:rsidR="00CF0F77">
        <w:rPr>
          <w:bCs/>
          <w:snapToGrid/>
          <w:kern w:val="0"/>
          <w:szCs w:val="22"/>
        </w:rPr>
        <w:t xml:space="preserve">In addition, as the Commission has found, the </w:t>
      </w:r>
      <w:r w:rsidR="00CF0F77">
        <w:rPr>
          <w:bCs/>
          <w:color w:val="000000"/>
          <w:szCs w:val="22"/>
        </w:rPr>
        <w:t>combination of competitive providers can result in a stronger and more effective competitor against larger cable and incumbent LEC providers.</w:t>
      </w:r>
      <w:r>
        <w:rPr>
          <w:rStyle w:val="FootnoteReference"/>
          <w:bCs/>
          <w:szCs w:val="22"/>
        </w:rPr>
        <w:footnoteReference w:id="36"/>
      </w:r>
      <w:r w:rsidR="00CF0F77">
        <w:rPr>
          <w:bCs/>
          <w:color w:val="000000"/>
          <w:szCs w:val="22"/>
        </w:rPr>
        <w:t xml:space="preserve"> </w:t>
      </w:r>
      <w:r w:rsidR="0088632C">
        <w:rPr>
          <w:bCs/>
          <w:color w:val="000000"/>
          <w:szCs w:val="22"/>
        </w:rPr>
        <w:t xml:space="preserve"> </w:t>
      </w:r>
      <w:r w:rsidR="00DB0101">
        <w:rPr>
          <w:snapToGrid/>
          <w:kern w:val="0"/>
          <w:szCs w:val="22"/>
        </w:rPr>
        <w:t>Absent any potential harms, and c</w:t>
      </w:r>
      <w:r w:rsidRPr="00585EC7" w:rsidR="00DB0101">
        <w:rPr>
          <w:snapToGrid/>
          <w:kern w:val="0"/>
          <w:szCs w:val="22"/>
        </w:rPr>
        <w:t>onsidering that the proposed transaction is likely to yield some benefits, we find</w:t>
      </w:r>
      <w:r w:rsidR="00DB0101">
        <w:rPr>
          <w:snapToGrid/>
          <w:kern w:val="0"/>
          <w:szCs w:val="22"/>
        </w:rPr>
        <w:t>,</w:t>
      </w:r>
      <w:r w:rsidRPr="00585EC7" w:rsidR="00DB0101">
        <w:rPr>
          <w:snapToGrid/>
          <w:kern w:val="0"/>
          <w:szCs w:val="22"/>
        </w:rPr>
        <w:t xml:space="preserve"> on balance</w:t>
      </w:r>
      <w:r w:rsidR="00DB0101">
        <w:rPr>
          <w:snapToGrid/>
          <w:kern w:val="0"/>
          <w:szCs w:val="22"/>
        </w:rPr>
        <w:t>,</w:t>
      </w:r>
      <w:r w:rsidRPr="00585EC7" w:rsidR="00DB0101">
        <w:rPr>
          <w:snapToGrid/>
          <w:kern w:val="0"/>
          <w:szCs w:val="22"/>
        </w:rPr>
        <w:t xml:space="preserve"> that the proposed transaction serves the public interest.</w:t>
      </w:r>
      <w:r w:rsidR="00DB0101">
        <w:rPr>
          <w:snapToGrid/>
          <w:kern w:val="0"/>
          <w:szCs w:val="22"/>
        </w:rPr>
        <w:t xml:space="preserve"> </w:t>
      </w:r>
      <w:r w:rsidR="00DB0101">
        <w:rPr>
          <w:bCs/>
          <w:snapToGrid/>
          <w:kern w:val="0"/>
          <w:szCs w:val="22"/>
        </w:rPr>
        <w:t xml:space="preserve"> </w:t>
      </w:r>
    </w:p>
    <w:p w:rsidR="00D06F09" w:rsidRPr="00D06F09" w:rsidP="0000222B" w14:paraId="3EB1310C" w14:textId="77777777">
      <w:pPr>
        <w:widowControl/>
        <w:autoSpaceDE w:val="0"/>
        <w:autoSpaceDN w:val="0"/>
        <w:adjustRightInd w:val="0"/>
        <w:spacing w:after="120"/>
        <w:ind w:firstLine="720"/>
        <w:rPr>
          <w:sz w:val="12"/>
          <w:szCs w:val="12"/>
        </w:rPr>
      </w:pPr>
      <w:r w:rsidRPr="00B02A93">
        <w:rPr>
          <w:szCs w:val="22"/>
        </w:rPr>
        <w:t xml:space="preserve">Therefore, pursuant to section 214 of the Act, 47 U.S.C. § 214, and sections 0.91, 0.291, </w:t>
      </w:r>
      <w:r w:rsidRPr="00B02A93">
        <w:rPr>
          <w:snapToGrid/>
          <w:kern w:val="0"/>
          <w:szCs w:val="22"/>
        </w:rPr>
        <w:t>63.03, and 63.04</w:t>
      </w:r>
      <w:r w:rsidRPr="00B02A93">
        <w:rPr>
          <w:szCs w:val="22"/>
        </w:rPr>
        <w:t xml:space="preserve"> of the Commission’s rules, 47 C</w:t>
      </w:r>
      <w:r w:rsidR="0044678A">
        <w:rPr>
          <w:szCs w:val="22"/>
        </w:rPr>
        <w:t>.</w:t>
      </w:r>
      <w:r w:rsidRPr="00B02A93">
        <w:rPr>
          <w:szCs w:val="22"/>
        </w:rPr>
        <w:t>F</w:t>
      </w:r>
      <w:r w:rsidR="0044678A">
        <w:rPr>
          <w:szCs w:val="22"/>
        </w:rPr>
        <w:t>.</w:t>
      </w:r>
      <w:r w:rsidRPr="00B02A93">
        <w:rPr>
          <w:szCs w:val="22"/>
        </w:rPr>
        <w:t>R</w:t>
      </w:r>
      <w:r w:rsidR="0044678A">
        <w:rPr>
          <w:szCs w:val="22"/>
        </w:rPr>
        <w:t>.</w:t>
      </w:r>
      <w:r w:rsidRPr="00B02A93">
        <w:rPr>
          <w:szCs w:val="22"/>
        </w:rPr>
        <w:t xml:space="preserve"> §§ 0.91, 0.291, 63.03, and 63.04, the Bureau hereby grants the Application discussed in this Public </w:t>
      </w:r>
      <w:r w:rsidR="0000222B">
        <w:rPr>
          <w:szCs w:val="22"/>
        </w:rPr>
        <w:t>Notice.</w:t>
      </w:r>
    </w:p>
    <w:p w:rsidR="002D7CCE" w:rsidRPr="00B02A93" w:rsidP="00D06F09" w14:paraId="2EB37B97" w14:textId="69C3E3E1">
      <w:pPr>
        <w:widowControl/>
        <w:autoSpaceDE w:val="0"/>
        <w:autoSpaceDN w:val="0"/>
        <w:adjustRightInd w:val="0"/>
        <w:spacing w:after="120"/>
        <w:ind w:firstLine="720"/>
        <w:rPr>
          <w:szCs w:val="22"/>
        </w:rPr>
      </w:pPr>
      <w:r w:rsidRPr="00B02A93">
        <w:rPr>
          <w:szCs w:val="22"/>
        </w:rPr>
        <w:t>Pursuant to section 1.103 of the Commission's rules, 47 C.F.R. § 1.103, the grant is effective upon release of this Public Notice.</w:t>
      </w:r>
      <w:r>
        <w:rPr>
          <w:rStyle w:val="FootnoteReference"/>
          <w:szCs w:val="22"/>
        </w:rPr>
        <w:footnoteReference w:id="37"/>
      </w:r>
      <w:r w:rsidRPr="00B02A93">
        <w:rPr>
          <w:szCs w:val="22"/>
        </w:rPr>
        <w:t xml:space="preserve">  Petitions for reconsideration under section 1.106 or applications for review under section 1.115 of the Commission's rules, 47 C.F.R. §§ 1.106, 1.115, may be filed within 30 days of the date of this Public Notice.</w:t>
      </w:r>
      <w:bookmarkStart w:id="1" w:name="FN[FN9]"/>
      <w:bookmarkStart w:id="2" w:name="sp_999_1"/>
      <w:bookmarkStart w:id="3" w:name="SDU_1"/>
      <w:bookmarkEnd w:id="1"/>
      <w:bookmarkEnd w:id="2"/>
      <w:bookmarkEnd w:id="3"/>
    </w:p>
    <w:p w:rsidR="002D7CCE" w:rsidRPr="00B02A93" w:rsidP="00986B91" w14:paraId="36992EB7" w14:textId="65EF31B2">
      <w:pPr>
        <w:ind w:firstLine="720"/>
        <w:rPr>
          <w:szCs w:val="22"/>
        </w:rPr>
      </w:pPr>
      <w:bookmarkStart w:id="4" w:name="sp_999_2"/>
      <w:bookmarkStart w:id="5" w:name="SDU_2"/>
      <w:bookmarkEnd w:id="4"/>
      <w:bookmarkEnd w:id="5"/>
      <w:r w:rsidRPr="00B02A93">
        <w:rPr>
          <w:szCs w:val="22"/>
        </w:rPr>
        <w:t xml:space="preserve">For further information, please contact </w:t>
      </w:r>
      <w:r w:rsidR="00A63A6A">
        <w:rPr>
          <w:szCs w:val="22"/>
        </w:rPr>
        <w:t>Heather Hendrickson</w:t>
      </w:r>
      <w:r w:rsidRPr="00B02A93">
        <w:rPr>
          <w:szCs w:val="22"/>
        </w:rPr>
        <w:t>, Wireline Competition Bureau, Competition Policy Division,</w:t>
      </w:r>
      <w:r w:rsidR="00410921">
        <w:rPr>
          <w:szCs w:val="22"/>
        </w:rPr>
        <w:t xml:space="preserve"> </w:t>
      </w:r>
      <w:r w:rsidR="00FC6E66">
        <w:rPr>
          <w:szCs w:val="22"/>
        </w:rPr>
        <w:t>(202) 418-</w:t>
      </w:r>
      <w:r w:rsidR="00A63A6A">
        <w:rPr>
          <w:szCs w:val="22"/>
        </w:rPr>
        <w:t>7295</w:t>
      </w:r>
      <w:r w:rsidR="00CE2113">
        <w:rPr>
          <w:szCs w:val="22"/>
        </w:rPr>
        <w:t xml:space="preserve">. </w:t>
      </w:r>
    </w:p>
    <w:p w:rsidR="002D7CCE" w:rsidRPr="00B02A93" w:rsidP="002D7CCE" w14:paraId="2DA1FAAC" w14:textId="77777777">
      <w:pPr>
        <w:pStyle w:val="Default"/>
        <w:rPr>
          <w:color w:val="auto"/>
          <w:sz w:val="22"/>
          <w:szCs w:val="22"/>
        </w:rPr>
      </w:pPr>
    </w:p>
    <w:p w:rsidR="006F4636" w:rsidRPr="00B02A93" w:rsidP="00687BC4" w14:paraId="4E7E54BE" w14:textId="09310D27">
      <w:pPr>
        <w:pStyle w:val="Default"/>
        <w:jc w:val="center"/>
        <w:rPr>
          <w:color w:val="auto"/>
          <w:sz w:val="22"/>
          <w:szCs w:val="22"/>
        </w:rPr>
      </w:pPr>
      <w:r w:rsidRPr="00B02A93">
        <w:rPr>
          <w:b/>
          <w:bCs/>
          <w:color w:val="auto"/>
          <w:sz w:val="22"/>
          <w:szCs w:val="22"/>
        </w:rPr>
        <w:t>-FCC-</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55614C" w14:paraId="68C4CE2E" w14:textId="77777777">
    <w:pPr>
      <w:pStyle w:val="Footer"/>
      <w:framePr w:wrap="around" w:vAnchor="text" w:hAnchor="margin" w:xAlign="center" w:y="1"/>
    </w:pPr>
    <w:r>
      <w:fldChar w:fldCharType="begin"/>
    </w:r>
    <w:r>
      <w:instrText xml:space="preserve">PAGE  </w:instrText>
    </w:r>
    <w:r>
      <w:fldChar w:fldCharType="separate"/>
    </w:r>
    <w:r>
      <w:fldChar w:fldCharType="end"/>
    </w:r>
  </w:p>
  <w:p w:rsidR="00475AE7" w14:paraId="6126A4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910F12" w14:paraId="014DF968"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14:paraId="33DBFD7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297D" w14:paraId="5F85C986" w14:textId="77777777">
      <w:r>
        <w:separator/>
      </w:r>
    </w:p>
  </w:footnote>
  <w:footnote w:type="continuationSeparator" w:id="1">
    <w:p w:rsidR="0024297D" w14:paraId="1878C8DC" w14:textId="77777777">
      <w:pPr>
        <w:rPr>
          <w:sz w:val="20"/>
        </w:rPr>
      </w:pPr>
      <w:r>
        <w:rPr>
          <w:sz w:val="20"/>
        </w:rPr>
        <w:t xml:space="preserve">(Continued from previous page)  </w:t>
      </w:r>
      <w:r>
        <w:rPr>
          <w:sz w:val="20"/>
        </w:rPr>
        <w:separator/>
      </w:r>
    </w:p>
  </w:footnote>
  <w:footnote w:type="continuationNotice" w:id="2">
    <w:p w:rsidR="0024297D" w:rsidP="00910F12" w14:paraId="5C55E471" w14:textId="77777777">
      <w:pPr>
        <w:jc w:val="right"/>
        <w:rPr>
          <w:sz w:val="20"/>
        </w:rPr>
      </w:pPr>
      <w:r>
        <w:rPr>
          <w:sz w:val="20"/>
        </w:rPr>
        <w:t>(continued….)</w:t>
      </w:r>
    </w:p>
  </w:footnote>
  <w:footnote w:id="3">
    <w:p w:rsidR="00C84CB7" w:rsidRPr="00C25666" w:rsidP="00C84CB7" w14:paraId="0822C240" w14:textId="7DF47408">
      <w:pPr>
        <w:pStyle w:val="FootnoteText"/>
      </w:pPr>
      <w:r w:rsidRPr="00C25666">
        <w:rPr>
          <w:rStyle w:val="FootnoteReference"/>
        </w:rPr>
        <w:footnoteRef/>
      </w:r>
      <w:r w:rsidRPr="00C25666">
        <w:t xml:space="preserve"> </w:t>
      </w:r>
      <w:r w:rsidRPr="00806538" w:rsidR="00F70890">
        <w:t>Application of Atlantic Engineering Group, Inc., Aspire Networks 1, LLC, and ITC Broadband Operating, LLC for Consent to Transfer Control of Domestic Authority Pursuant to Section 214 of the Communications, Act, as Amended, WC Docket No. 21-415 (filed Oct. 21, 2021)</w:t>
      </w:r>
      <w:r w:rsidRPr="00C25666">
        <w:t>,</w:t>
      </w:r>
      <w:r w:rsidR="00A81385">
        <w:t xml:space="preserve"> </w:t>
      </w:r>
      <w:hyperlink r:id="rId1" w:history="1">
        <w:r w:rsidRPr="005C432D" w:rsidR="00A81385">
          <w:rPr>
            <w:rStyle w:val="Hyperlink"/>
          </w:rPr>
          <w:t>https://ecfsapi.fcc.gov/file/1021520326727/Aspire%20214</w:t>
        </w:r>
        <w:r w:rsidRPr="005C432D" w:rsidR="00A81385">
          <w:rPr>
            <w:rStyle w:val="Hyperlink"/>
          </w:rPr>
          <w:br/>
          <w:t>%20application%20102121.pdf</w:t>
        </w:r>
      </w:hyperlink>
      <w:r w:rsidR="00A81385">
        <w:t xml:space="preserve"> </w:t>
      </w:r>
      <w:r w:rsidRPr="00C25666">
        <w:t xml:space="preserve">(Application). </w:t>
      </w:r>
      <w:r>
        <w:t xml:space="preserve"> </w:t>
      </w:r>
    </w:p>
  </w:footnote>
  <w:footnote w:id="4">
    <w:p w:rsidR="00C84CB7" w:rsidRPr="00C25666" w:rsidP="00C84CB7" w14:paraId="3882B4C5" w14:textId="08FD7323">
      <w:pPr>
        <w:spacing w:after="120"/>
        <w:rPr>
          <w:sz w:val="20"/>
        </w:rPr>
      </w:pPr>
      <w:r w:rsidRPr="00C25666">
        <w:rPr>
          <w:rStyle w:val="FootnoteReference"/>
          <w:sz w:val="20"/>
        </w:rPr>
        <w:footnoteRef/>
      </w:r>
      <w:r w:rsidRPr="00C25666">
        <w:rPr>
          <w:sz w:val="20"/>
        </w:rPr>
        <w:t xml:space="preserve"> </w:t>
      </w:r>
      <w:r w:rsidRPr="00806538" w:rsidR="00F70890">
        <w:rPr>
          <w:i/>
          <w:sz w:val="20"/>
        </w:rPr>
        <w:t>See</w:t>
      </w:r>
      <w:r w:rsidRPr="00806538" w:rsidR="00F70890">
        <w:rPr>
          <w:sz w:val="20"/>
        </w:rPr>
        <w:t xml:space="preserve"> 47 U.S.C. § 214; 47 CFR §§ 63.03-04.  On November 3, 2021, Applicants filed a supplement to the Application.  Letter from Phillip Marchesiello and Mark </w:t>
      </w:r>
      <w:r w:rsidRPr="00806538" w:rsidR="00F70890">
        <w:rPr>
          <w:sz w:val="20"/>
        </w:rPr>
        <w:t>Wiranowski</w:t>
      </w:r>
      <w:r w:rsidRPr="00806538" w:rsidR="00F70890">
        <w:rPr>
          <w:sz w:val="20"/>
        </w:rPr>
        <w:t xml:space="preserve">, Counsel for AEG and Aspire, and John </w:t>
      </w:r>
      <w:r w:rsidRPr="00806538" w:rsidR="00F70890">
        <w:rPr>
          <w:sz w:val="20"/>
        </w:rPr>
        <w:t>Beahn</w:t>
      </w:r>
      <w:r w:rsidRPr="00806538" w:rsidR="00F70890">
        <w:rPr>
          <w:sz w:val="20"/>
        </w:rPr>
        <w:t xml:space="preserve"> and Dana Zelman, Counsel for ITC Operating, to Marlene H. Dortch, Secretary, FCC, WC Docket No. 21-415 (filed Nov. 3, 2021) </w:t>
      </w:r>
      <w:hyperlink r:id="rId2" w:history="1">
        <w:r w:rsidRPr="00A81385" w:rsidR="00A81385">
          <w:rPr>
            <w:rStyle w:val="Hyperlink"/>
            <w:sz w:val="20"/>
          </w:rPr>
          <w:t>https://ecfsapi.fcc.gov/file/11041256618169/Aspire%20214%20Supplement%20110321%20.pdf</w:t>
        </w:r>
      </w:hyperlink>
      <w:r w:rsidRPr="00A81385" w:rsidR="00A81385">
        <w:rPr>
          <w:sz w:val="20"/>
        </w:rPr>
        <w:t xml:space="preserve"> </w:t>
      </w:r>
      <w:r w:rsidR="00A81385">
        <w:rPr>
          <w:sz w:val="20"/>
        </w:rPr>
        <w:t xml:space="preserve"> </w:t>
      </w:r>
      <w:r w:rsidRPr="00806538" w:rsidR="00F70890">
        <w:rPr>
          <w:sz w:val="20"/>
        </w:rPr>
        <w:t>(Supplement).</w:t>
      </w:r>
    </w:p>
  </w:footnote>
  <w:footnote w:id="5">
    <w:p w:rsidR="008774D9" w:rsidP="008774D9" w14:paraId="095DB7C9" w14:textId="7FDB5B91">
      <w:pPr>
        <w:pStyle w:val="FootnoteText"/>
      </w:pPr>
      <w:r>
        <w:rPr>
          <w:rStyle w:val="FootnoteReference"/>
        </w:rPr>
        <w:footnoteRef/>
      </w:r>
      <w:r>
        <w:t xml:space="preserve"> </w:t>
      </w:r>
      <w:r w:rsidR="00C84CB7">
        <w:rPr>
          <w:i/>
          <w:iCs/>
        </w:rPr>
        <w:t xml:space="preserve">Application Filed for the Transfer of Control of </w:t>
      </w:r>
      <w:r w:rsidR="00C543F9">
        <w:rPr>
          <w:i/>
          <w:iCs/>
        </w:rPr>
        <w:t>Aspire Networks 1, LLC to ITC Broadband Operating, LLC</w:t>
      </w:r>
      <w:r w:rsidR="00C84CB7">
        <w:t>,</w:t>
      </w:r>
      <w:r w:rsidRPr="00207939">
        <w:t xml:space="preserve"> WC Docket No. 2</w:t>
      </w:r>
      <w:r>
        <w:t>1</w:t>
      </w:r>
      <w:r w:rsidR="00C543F9">
        <w:t>-415</w:t>
      </w:r>
      <w:r>
        <w:t>, Public Notice, DA 21-</w:t>
      </w:r>
      <w:r w:rsidR="00C543F9">
        <w:t>1391</w:t>
      </w:r>
      <w:r w:rsidRPr="008670A1">
        <w:t xml:space="preserve"> </w:t>
      </w:r>
      <w:r>
        <w:t>(WCB</w:t>
      </w:r>
      <w:r w:rsidR="00C543F9">
        <w:t xml:space="preserve"> </w:t>
      </w:r>
      <w:r>
        <w:t xml:space="preserve">2021).     </w:t>
      </w:r>
    </w:p>
  </w:footnote>
  <w:footnote w:id="6">
    <w:p w:rsidR="00721778" w14:paraId="7E4096E6" w14:textId="512B4F47">
      <w:pPr>
        <w:pStyle w:val="FootnoteText"/>
      </w:pPr>
      <w:r>
        <w:rPr>
          <w:rStyle w:val="FootnoteReference"/>
        </w:rPr>
        <w:footnoteRef/>
      </w:r>
      <w:r>
        <w:t xml:space="preserve"> </w:t>
      </w:r>
      <w:r w:rsidRPr="00721778">
        <w:rPr>
          <w:i/>
          <w:iCs/>
        </w:rPr>
        <w:t>Id</w:t>
      </w:r>
      <w:r>
        <w:t>.</w:t>
      </w:r>
      <w:r w:rsidR="00EB4A52">
        <w:t xml:space="preserve"> (</w:t>
      </w:r>
      <w:r w:rsidRPr="00806538" w:rsidR="00EB4A52">
        <w:t>citing Michigan Public Service Commission Cases U-20956 and U-20957)</w:t>
      </w:r>
      <w:r w:rsidR="00EB4A52">
        <w:t>.</w:t>
      </w:r>
    </w:p>
  </w:footnote>
  <w:footnote w:id="7">
    <w:p w:rsidR="009C6D1A" w:rsidRPr="00806538" w:rsidP="009C6D1A" w14:paraId="5C443D0C" w14:textId="45AC6603">
      <w:pPr>
        <w:pStyle w:val="FootnoteText"/>
      </w:pPr>
      <w:r w:rsidRPr="00806538">
        <w:rPr>
          <w:rStyle w:val="FootnoteReference"/>
        </w:rPr>
        <w:footnoteRef/>
      </w:r>
      <w:r w:rsidRPr="00806538">
        <w:t xml:space="preserve"> </w:t>
      </w:r>
      <w:r w:rsidRPr="00806538">
        <w:t>Application at 2 and n.1</w:t>
      </w:r>
      <w:r w:rsidR="004C7A5C">
        <w:t xml:space="preserve">; </w:t>
      </w:r>
      <w:r w:rsidRPr="004C7A5C" w:rsidR="004C7A5C">
        <w:rPr>
          <w:i/>
          <w:iCs/>
        </w:rPr>
        <w:t>s</w:t>
      </w:r>
      <w:r w:rsidRPr="00806538">
        <w:rPr>
          <w:i/>
          <w:iCs/>
        </w:rPr>
        <w:t>ee</w:t>
      </w:r>
      <w:r w:rsidR="00FD2ED6">
        <w:rPr>
          <w:i/>
          <w:iCs/>
        </w:rPr>
        <w:t xml:space="preserve"> also</w:t>
      </w:r>
      <w:r w:rsidRPr="00806538">
        <w:rPr>
          <w:i/>
          <w:iCs/>
        </w:rPr>
        <w:t xml:space="preserve"> Rural Digital Opportunity Fund Phase I Auction (Auction 904) Closes; Winning Bidders Announced, </w:t>
      </w:r>
      <w:r w:rsidRPr="00806538">
        <w:t xml:space="preserve">AU Docket No. 20-34, WC Docket No. 19-126, WC Docket No. 10-90, Public Notice, 35 FCC </w:t>
      </w:r>
      <w:r w:rsidRPr="00806538">
        <w:t>Rcd</w:t>
      </w:r>
      <w:r w:rsidRPr="00806538">
        <w:t xml:space="preserve"> 13888, Attach. A (Winning Bidder Summary) (2020); </w:t>
      </w:r>
      <w:r w:rsidRPr="00806538">
        <w:rPr>
          <w:i/>
          <w:iCs/>
        </w:rPr>
        <w:t>Rural Digital Opportunity Fund Support for 1,774 Winning Bids Ready to be Authorized</w:t>
      </w:r>
      <w:r w:rsidRPr="00806538">
        <w:t xml:space="preserve">, AU Docket No. 20-34, WC Docket Nos. 19-126, 10-90, Public Notice, DA 21-1310, Attach. A (Ready to Authorize Long-Form Applicants and Winning Bids) (WCB 2021). </w:t>
      </w:r>
    </w:p>
  </w:footnote>
  <w:footnote w:id="8">
    <w:p w:rsidR="008A3DCE" w14:paraId="121D0DF4" w14:textId="06BC2297">
      <w:pPr>
        <w:pStyle w:val="FootnoteText"/>
      </w:pPr>
      <w:r>
        <w:rPr>
          <w:rStyle w:val="FootnoteReference"/>
        </w:rPr>
        <w:footnoteRef/>
      </w:r>
      <w:r>
        <w:t xml:space="preserve"> </w:t>
      </w:r>
      <w:r w:rsidRPr="009C6D1A" w:rsidR="009C6D1A">
        <w:t>Application at 2.</w:t>
      </w:r>
    </w:p>
  </w:footnote>
  <w:footnote w:id="9">
    <w:p w:rsidR="009500AD" w:rsidP="009500AD" w14:paraId="159C6431" w14:textId="77777777">
      <w:pPr>
        <w:pStyle w:val="FootnoteText"/>
      </w:pPr>
      <w:r>
        <w:rPr>
          <w:rStyle w:val="FootnoteReference"/>
        </w:rPr>
        <w:footnoteRef/>
      </w:r>
      <w:r>
        <w:t xml:space="preserve"> </w:t>
      </w:r>
      <w:r w:rsidRPr="00762725">
        <w:rPr>
          <w:i/>
          <w:iCs/>
        </w:rPr>
        <w:t>Rural Digital Opportunity Fund Support Authorized for 2,008 Winning Bids</w:t>
      </w:r>
      <w:r w:rsidRPr="00762725">
        <w:t xml:space="preserve">, AU Docket No. 20-34, WC Docket Nos. 19-126, 10-90, Public Notice, </w:t>
      </w:r>
      <w:r>
        <w:t xml:space="preserve">DA 21-1560, </w:t>
      </w:r>
      <w:r w:rsidRPr="00762725">
        <w:t>Attach. A (Authorized Long-Form Applicants and Winning Bids) (WCB/OEA 2021).</w:t>
      </w:r>
    </w:p>
  </w:footnote>
  <w:footnote w:id="10">
    <w:p w:rsidR="00687BC4" w14:paraId="054E5E5E" w14:textId="003F351E">
      <w:pPr>
        <w:pStyle w:val="FootnoteText"/>
      </w:pPr>
      <w:r>
        <w:rPr>
          <w:rStyle w:val="FootnoteReference"/>
        </w:rPr>
        <w:footnoteRef/>
      </w:r>
      <w:r>
        <w:t xml:space="preserve"> </w:t>
      </w:r>
      <w:r>
        <w:t>Application at 2-3.</w:t>
      </w:r>
    </w:p>
  </w:footnote>
  <w:footnote w:id="11">
    <w:p w:rsidR="006A487A" w14:paraId="602CC29E" w14:textId="7A5A9858">
      <w:pPr>
        <w:pStyle w:val="FootnoteText"/>
      </w:pPr>
      <w:r>
        <w:rPr>
          <w:rStyle w:val="FootnoteReference"/>
        </w:rPr>
        <w:footnoteRef/>
      </w:r>
      <w:r>
        <w:t xml:space="preserve"> </w:t>
      </w:r>
      <w:r w:rsidRPr="006A487A">
        <w:rPr>
          <w:i/>
          <w:iCs/>
        </w:rPr>
        <w:t>Id</w:t>
      </w:r>
      <w:r>
        <w:t xml:space="preserve">. </w:t>
      </w:r>
    </w:p>
  </w:footnote>
  <w:footnote w:id="12">
    <w:p w:rsidR="005C315F" w:rsidRPr="00806538" w:rsidP="005C315F" w14:paraId="4A60AFC3" w14:textId="77777777">
      <w:pPr>
        <w:pStyle w:val="FootnoteText"/>
      </w:pPr>
      <w:r w:rsidRPr="00806538">
        <w:rPr>
          <w:rStyle w:val="FootnoteReference"/>
        </w:rPr>
        <w:footnoteRef/>
      </w:r>
      <w:r w:rsidRPr="00806538">
        <w:t xml:space="preserve"> </w:t>
      </w:r>
      <w:r w:rsidRPr="00806538">
        <w:rPr>
          <w:i/>
          <w:iCs/>
        </w:rPr>
        <w:t>Id</w:t>
      </w:r>
      <w:r w:rsidRPr="00806538">
        <w:t xml:space="preserve">. at 5-7 and </w:t>
      </w:r>
      <w:r w:rsidRPr="00806538">
        <w:t>Exh</w:t>
      </w:r>
      <w:r w:rsidRPr="00806538">
        <w:t>. A. (Pre-and Post-Transaction Ownership Charts).</w:t>
      </w:r>
    </w:p>
  </w:footnote>
  <w:footnote w:id="13">
    <w:p w:rsidR="005C315F" w:rsidRPr="00806538" w:rsidP="005C315F" w14:paraId="7A43B63C" w14:textId="77777777">
      <w:pPr>
        <w:pStyle w:val="FootnoteText"/>
      </w:pPr>
      <w:r w:rsidRPr="00806538">
        <w:rPr>
          <w:rStyle w:val="FootnoteReference"/>
        </w:rPr>
        <w:footnoteRef/>
      </w:r>
      <w:r w:rsidRPr="00806538">
        <w:t xml:space="preserve"> </w:t>
      </w:r>
      <w:r w:rsidRPr="00806538">
        <w:rPr>
          <w:i/>
          <w:iCs/>
        </w:rPr>
        <w:t>Id.</w:t>
      </w:r>
      <w:r w:rsidRPr="00806538">
        <w:t xml:space="preserve"> at 7; Supplement at 1-2.  All individual members and majority owners of the ITC Operating entities, who are identified in the Supplement, are U.S. citizens.  Supplement at 1-2 and </w:t>
      </w:r>
      <w:r w:rsidRPr="00806538">
        <w:t>Exh</w:t>
      </w:r>
      <w:r w:rsidRPr="00806538">
        <w:t xml:space="preserve">. A (Management and Ownership for AEG) and </w:t>
      </w:r>
      <w:r w:rsidRPr="00806538">
        <w:t>Exh</w:t>
      </w:r>
      <w:r w:rsidRPr="00806538">
        <w:t xml:space="preserve">. B (Senior Management Team of ITC Broadband Operating, LLC). </w:t>
      </w:r>
    </w:p>
  </w:footnote>
  <w:footnote w:id="14">
    <w:p w:rsidR="00A855DE" w:rsidRPr="00806538" w:rsidP="00A855DE" w14:paraId="4CFEC3C9" w14:textId="52A9E8EE">
      <w:pPr>
        <w:pStyle w:val="FootnoteText"/>
      </w:pPr>
      <w:r w:rsidRPr="00806538">
        <w:rPr>
          <w:rStyle w:val="FootnoteReference"/>
        </w:rPr>
        <w:footnoteRef/>
      </w:r>
      <w:r w:rsidRPr="00806538">
        <w:t xml:space="preserve"> </w:t>
      </w:r>
      <w:r w:rsidR="00687BC4">
        <w:t>Application</w:t>
      </w:r>
      <w:r w:rsidRPr="00806538">
        <w:t xml:space="preserve"> at 3.</w:t>
      </w:r>
    </w:p>
  </w:footnote>
  <w:footnote w:id="15">
    <w:p w:rsidR="00A63A6A" w14:paraId="1E1E77F2" w14:textId="08B72772">
      <w:pPr>
        <w:pStyle w:val="FootnoteText"/>
      </w:pPr>
      <w:r>
        <w:rPr>
          <w:rStyle w:val="FootnoteReference"/>
        </w:rPr>
        <w:footnoteRef/>
      </w:r>
      <w:r>
        <w:t xml:space="preserve"> </w:t>
      </w:r>
      <w:r w:rsidR="00687BC4">
        <w:rPr>
          <w:i/>
          <w:iCs/>
        </w:rPr>
        <w:t>Id</w:t>
      </w:r>
      <w:r w:rsidR="00687BC4">
        <w:t>.</w:t>
      </w:r>
      <w:r>
        <w:t xml:space="preserve"> at </w:t>
      </w:r>
      <w:r w:rsidR="00BE5A68">
        <w:t xml:space="preserve">3, </w:t>
      </w:r>
      <w:r>
        <w:t>9.</w:t>
      </w:r>
    </w:p>
  </w:footnote>
  <w:footnote w:id="16">
    <w:p w:rsidR="000231D6" w:rsidRPr="00806538" w:rsidP="000231D6" w14:paraId="0A4E3917" w14:textId="095B3BCA">
      <w:pPr>
        <w:pStyle w:val="FootnoteText"/>
      </w:pPr>
      <w:r w:rsidRPr="00806538">
        <w:rPr>
          <w:rStyle w:val="FootnoteReference"/>
        </w:rPr>
        <w:footnoteRef/>
      </w:r>
      <w:r w:rsidRPr="00806538">
        <w:t xml:space="preserve"> </w:t>
      </w:r>
      <w:r w:rsidR="00BE4E73">
        <w:rPr>
          <w:i/>
          <w:iCs/>
        </w:rPr>
        <w:t>Id.</w:t>
      </w:r>
      <w:r w:rsidRPr="00BE4E73" w:rsidR="00BE4E73">
        <w:t xml:space="preserve"> at 3.</w:t>
      </w:r>
      <w:r w:rsidRPr="00806538">
        <w:t xml:space="preserve">   </w:t>
      </w:r>
    </w:p>
  </w:footnote>
  <w:footnote w:id="17">
    <w:p w:rsidR="00BE5A68" w:rsidRPr="00BE5A68" w14:paraId="04CC47D1" w14:textId="1B8ACD20">
      <w:pPr>
        <w:pStyle w:val="FootnoteText"/>
      </w:pPr>
      <w:r>
        <w:rPr>
          <w:rStyle w:val="FootnoteReference"/>
        </w:rPr>
        <w:footnoteRef/>
      </w:r>
      <w:r>
        <w:t xml:space="preserve"> </w:t>
      </w:r>
      <w:r>
        <w:rPr>
          <w:i/>
          <w:iCs/>
        </w:rPr>
        <w:t>Id</w:t>
      </w:r>
      <w:r>
        <w:t>. at 8.</w:t>
      </w:r>
    </w:p>
  </w:footnote>
  <w:footnote w:id="18">
    <w:p w:rsidR="009D31FB" w:rsidRPr="00C37B71" w:rsidP="009D31FB" w14:paraId="620FCB75" w14:textId="22905C22">
      <w:pPr>
        <w:pStyle w:val="FootnoteText"/>
        <w:widowControl w:val="0"/>
      </w:pPr>
      <w:r w:rsidRPr="00C37B71">
        <w:rPr>
          <w:rStyle w:val="FootnoteReference"/>
        </w:rPr>
        <w:footnoteRef/>
      </w:r>
      <w:r w:rsidRPr="00C37B71">
        <w:t xml:space="preserve"> </w:t>
      </w:r>
      <w:r w:rsidRPr="006E3ED7">
        <w:rPr>
          <w:i/>
        </w:rPr>
        <w:t>See, e.g.</w:t>
      </w:r>
      <w:r w:rsidRPr="006E3ED7">
        <w:t xml:space="preserve">, </w:t>
      </w:r>
      <w:r w:rsidRPr="006E3ED7">
        <w:rPr>
          <w:i/>
          <w:iCs/>
        </w:rPr>
        <w:t xml:space="preserve">Application of Verizon Communications Inc. and </w:t>
      </w:r>
      <w:r w:rsidRPr="006E3ED7">
        <w:rPr>
          <w:rStyle w:val="markedcontent"/>
          <w:i/>
          <w:iCs/>
        </w:rPr>
        <w:t xml:space="preserve">América </w:t>
      </w:r>
      <w:r w:rsidRPr="006E3ED7">
        <w:rPr>
          <w:rStyle w:val="markedcontent"/>
          <w:i/>
          <w:iCs/>
        </w:rPr>
        <w:t>Móvil</w:t>
      </w:r>
      <w:r w:rsidRPr="006E3ED7">
        <w:rPr>
          <w:rStyle w:val="markedcontent"/>
          <w:i/>
          <w:iCs/>
        </w:rPr>
        <w:t xml:space="preserve"> S.A.B. de C.V for Consent to Transfer Control of International Section 214 Authorization</w:t>
      </w:r>
      <w:r w:rsidRPr="006E3ED7">
        <w:rPr>
          <w:rStyle w:val="markedcontent"/>
        </w:rPr>
        <w:t>, GN Docket No. 21-112; IBFS File No. ITC-T/C-20200930-00173, Memorandum Opinion and Order, FCC 21-121, at para. 21 (rel. Nov. 22, 2021) (</w:t>
      </w:r>
      <w:r w:rsidRPr="00C37B71">
        <w:rPr>
          <w:rStyle w:val="markedcontent"/>
          <w:i/>
          <w:iCs/>
        </w:rPr>
        <w:t>Verizon-TracFone Order</w:t>
      </w:r>
      <w:r w:rsidRPr="00C37B71">
        <w:rPr>
          <w:rStyle w:val="markedcontent"/>
        </w:rPr>
        <w:t>)</w:t>
      </w:r>
      <w:r w:rsidRPr="00C37B71">
        <w:rPr>
          <w:rStyle w:val="markedcontent"/>
          <w:sz w:val="28"/>
          <w:szCs w:val="28"/>
        </w:rPr>
        <w:t xml:space="preserve"> </w:t>
      </w:r>
      <w:r w:rsidRPr="00C37B71">
        <w:t xml:space="preserve">(citing </w:t>
      </w:r>
      <w:r w:rsidRPr="00C37B71">
        <w:rPr>
          <w:i/>
        </w:rPr>
        <w:t>China Mobile International (USA) Inc., Application for Global Facilities-Based and Global Resale International Telecommunications Authority Pursuant to Section 214 of the Communications Act of 1934, as Amended</w:t>
      </w:r>
      <w:r w:rsidRPr="00C37B71">
        <w:t xml:space="preserve">, Memorandum Opinion and Order, 34 FCC </w:t>
      </w:r>
      <w:r w:rsidRPr="00C37B71">
        <w:t>Rcd</w:t>
      </w:r>
      <w:r w:rsidRPr="00C37B71">
        <w:t xml:space="preserve"> 3361, 3366, para. 9 (2019); </w:t>
      </w:r>
      <w:r w:rsidRPr="00C37B71">
        <w:rPr>
          <w:i/>
        </w:rPr>
        <w:t>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et al</w:t>
      </w:r>
      <w:r w:rsidRPr="00C37B71">
        <w:t xml:space="preserve">., MB Docket No. 05-192, Memorandum Opinion and Order, 21 FCC </w:t>
      </w:r>
      <w:r w:rsidRPr="00C37B71">
        <w:t>Rcd</w:t>
      </w:r>
      <w:r w:rsidRPr="00C37B71">
        <w:t xml:space="preserve"> 8203, 8219-21, paras. 27-28 (2006) (</w:t>
      </w:r>
      <w:r w:rsidRPr="00C37B71">
        <w:rPr>
          <w:i/>
          <w:iCs/>
        </w:rPr>
        <w:t>Adelphia-TWC Order</w:t>
      </w:r>
      <w:r w:rsidRPr="00C37B71">
        <w:t>))</w:t>
      </w:r>
      <w:r w:rsidR="00FD2ED6">
        <w:t>.</w:t>
      </w:r>
    </w:p>
  </w:footnote>
  <w:footnote w:id="19">
    <w:p w:rsidR="009D31FB" w:rsidRPr="00B83976" w:rsidP="009D31FB" w14:paraId="12FD38B9" w14:textId="7570F2B0">
      <w:pPr>
        <w:pStyle w:val="FootnoteText"/>
      </w:pPr>
      <w:r w:rsidRPr="00C37B71">
        <w:rPr>
          <w:rStyle w:val="FootnoteReference"/>
        </w:rPr>
        <w:footnoteRef/>
      </w:r>
      <w:r w:rsidRPr="00C37B71">
        <w:t xml:space="preserve"> </w:t>
      </w:r>
      <w:r w:rsidRPr="00C37B71">
        <w:rPr>
          <w:i/>
        </w:rPr>
        <w:t>See Verizon-TracFone Order</w:t>
      </w:r>
      <w:r w:rsidRPr="00C37B71">
        <w:rPr>
          <w:iCs/>
        </w:rPr>
        <w:t xml:space="preserve"> at para. 21 (citing </w:t>
      </w:r>
      <w:r w:rsidRPr="00C37B71">
        <w:rPr>
          <w:i/>
        </w:rPr>
        <w:t xml:space="preserve">Applications of </w:t>
      </w:r>
      <w:r w:rsidRPr="00C37B71">
        <w:rPr>
          <w:i/>
          <w:iCs/>
        </w:rPr>
        <w:t>AT&amp;T</w:t>
      </w:r>
      <w:r w:rsidRPr="00C37B71">
        <w:rPr>
          <w:i/>
        </w:rPr>
        <w:t xml:space="preserve"> Inc. and </w:t>
      </w:r>
      <w:r w:rsidRPr="00C37B71">
        <w:rPr>
          <w:i/>
          <w:iCs/>
        </w:rPr>
        <w:t xml:space="preserve">DIRECTV </w:t>
      </w:r>
      <w:r w:rsidRPr="00C37B71">
        <w:rPr>
          <w:i/>
        </w:rPr>
        <w:t>for Consent to Assign or Transfer Control of Licenses and Authorizations</w:t>
      </w:r>
      <w:r w:rsidRPr="00C37B71">
        <w:t xml:space="preserve">, MB Docket No. 14-90, Memorandum Opinion and Order, 30 </w:t>
      </w:r>
      <w:r w:rsidRPr="00C37B71">
        <w:rPr>
          <w:iCs/>
        </w:rPr>
        <w:t xml:space="preserve">FCC </w:t>
      </w:r>
      <w:r w:rsidRPr="00C37B71">
        <w:rPr>
          <w:iCs/>
        </w:rPr>
        <w:t>Rcd</w:t>
      </w:r>
      <w:r w:rsidRPr="00C37B71">
        <w:rPr>
          <w:iCs/>
        </w:rPr>
        <w:t xml:space="preserve"> </w:t>
      </w:r>
      <w:r w:rsidRPr="00C37B71">
        <w:t>9131,</w:t>
      </w:r>
      <w:r w:rsidRPr="00C37B71">
        <w:rPr>
          <w:iCs/>
        </w:rPr>
        <w:t xml:space="preserve"> 9140, para. 18</w:t>
      </w:r>
      <w:r w:rsidRPr="00C37B71">
        <w:t xml:space="preserve"> (2015) (</w:t>
      </w:r>
      <w:r w:rsidRPr="00C37B71">
        <w:rPr>
          <w:i/>
          <w:iCs/>
        </w:rPr>
        <w:t>AT&amp;T-DIRECTV Order</w:t>
      </w:r>
      <w:r w:rsidRPr="00C37B71">
        <w:rPr>
          <w:iCs/>
        </w:rPr>
        <w:t>)</w:t>
      </w:r>
      <w:r>
        <w:rPr>
          <w:iCs/>
        </w:rPr>
        <w:t xml:space="preserve"> (further internal citations omitted)</w:t>
      </w:r>
      <w:r w:rsidR="00687BC4">
        <w:rPr>
          <w:iCs/>
        </w:rPr>
        <w:t>)</w:t>
      </w:r>
      <w:r>
        <w:rPr>
          <w:iCs/>
        </w:rPr>
        <w:t>.</w:t>
      </w:r>
    </w:p>
  </w:footnote>
  <w:footnote w:id="20">
    <w:p w:rsidR="009D31FB" w:rsidRPr="00B83976" w:rsidP="009D31FB" w14:paraId="1775D64B" w14:textId="4E896CEB">
      <w:pPr>
        <w:pStyle w:val="FootnoteText"/>
      </w:pPr>
      <w:r w:rsidRPr="00B83976">
        <w:rPr>
          <w:rStyle w:val="FootnoteReference"/>
        </w:rPr>
        <w:footnoteRef/>
      </w:r>
      <w:r w:rsidRPr="00B83976">
        <w:t xml:space="preserve"> </w:t>
      </w:r>
      <w:r>
        <w:rPr>
          <w:i/>
        </w:rPr>
        <w:t>See Verizon-TracFone Order</w:t>
      </w:r>
      <w:r>
        <w:rPr>
          <w:iCs/>
        </w:rPr>
        <w:t xml:space="preserve"> at para. 21 (citing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w:t>
      </w:r>
      <w:r w:rsidRPr="00B83976">
        <w:rPr>
          <w:iCs/>
        </w:rPr>
        <w:t>Rcd</w:t>
      </w:r>
      <w:r w:rsidRPr="00B83976">
        <w:rPr>
          <w:iCs/>
        </w:rPr>
        <w:t xml:space="preserve"> at 9140, para. 18; </w:t>
      </w:r>
      <w:r w:rsidRPr="00B83976">
        <w:rPr>
          <w:i/>
        </w:rPr>
        <w:t>Adelphia-TWC Order</w:t>
      </w:r>
      <w:r w:rsidRPr="00B83976">
        <w:t xml:space="preserve">, 21 FCC </w:t>
      </w:r>
      <w:r w:rsidRPr="00B83976">
        <w:t>Rcd</w:t>
      </w:r>
      <w:r w:rsidRPr="00B83976">
        <w:t xml:space="preserve"> at 8217, para. 23; </w:t>
      </w:r>
      <w:r>
        <w:rPr>
          <w:i/>
        </w:rPr>
        <w:t xml:space="preserve">Application of </w:t>
      </w:r>
      <w:r w:rsidRPr="00B83976">
        <w:rPr>
          <w:i/>
        </w:rPr>
        <w:t>EchoStar</w:t>
      </w:r>
      <w:r>
        <w:rPr>
          <w:i/>
        </w:rPr>
        <w:t xml:space="preserve"> Communications Corp., General Motors Corp., and Hughes Electronics Corp., Transferors, and EchoStar Communications Corp., Transferee</w:t>
      </w:r>
      <w:r>
        <w:t xml:space="preserve">, CS Docket No. 01-348, Hearing Designation Order, 17 FCC </w:t>
      </w:r>
      <w:r>
        <w:t>Rcd</w:t>
      </w:r>
      <w:r>
        <w:t xml:space="preserve"> 20559, </w:t>
      </w:r>
      <w:r>
        <w:rPr>
          <w:snapToGrid w:val="0"/>
        </w:rPr>
        <w:t>20574, para.</w:t>
      </w:r>
      <w:r>
        <w:t xml:space="preserve"> 25 (2002) (</w:t>
      </w:r>
      <w:r w:rsidRPr="00B83976">
        <w:rPr>
          <w:i/>
        </w:rPr>
        <w:t>EchoStar-DIRECTV HDO</w:t>
      </w:r>
      <w:r>
        <w:rPr>
          <w:iCs/>
        </w:rPr>
        <w:t>) (further internal citations omitted)</w:t>
      </w:r>
      <w:r w:rsidR="00687BC4">
        <w:rPr>
          <w:iCs/>
        </w:rPr>
        <w:t>)</w:t>
      </w:r>
      <w:r w:rsidRPr="00B83976">
        <w:t>.</w:t>
      </w:r>
    </w:p>
  </w:footnote>
  <w:footnote w:id="21">
    <w:p w:rsidR="008B1C48" w14:paraId="5FDB6E2D" w14:textId="5F50F8C9">
      <w:pPr>
        <w:pStyle w:val="FootnoteText"/>
      </w:pPr>
      <w:r>
        <w:rPr>
          <w:rStyle w:val="FootnoteReference"/>
        </w:rPr>
        <w:footnoteRef/>
      </w:r>
      <w:r>
        <w:t xml:space="preserve"> </w:t>
      </w:r>
      <w:r>
        <w:t xml:space="preserve">Application at 3, 11.  </w:t>
      </w:r>
    </w:p>
  </w:footnote>
  <w:footnote w:id="22">
    <w:p w:rsidR="00773F6A" w14:paraId="0834CCD3" w14:textId="4400F0E0">
      <w:pPr>
        <w:pStyle w:val="FootnoteText"/>
      </w:pPr>
      <w:r>
        <w:rPr>
          <w:rStyle w:val="FootnoteReference"/>
        </w:rPr>
        <w:footnoteRef/>
      </w:r>
      <w:r>
        <w:t xml:space="preserve"> </w:t>
      </w:r>
      <w:r w:rsidRPr="00773F6A">
        <w:rPr>
          <w:i/>
          <w:iCs/>
        </w:rPr>
        <w:t>Id</w:t>
      </w:r>
      <w:r>
        <w:t>. at 10.</w:t>
      </w:r>
    </w:p>
  </w:footnote>
  <w:footnote w:id="23">
    <w:p w:rsidR="00754440" w14:paraId="67C36B2D" w14:textId="1AAC075E">
      <w:pPr>
        <w:pStyle w:val="FootnoteText"/>
      </w:pPr>
      <w:r>
        <w:rPr>
          <w:rStyle w:val="FootnoteReference"/>
        </w:rPr>
        <w:footnoteRef/>
      </w:r>
      <w:r>
        <w:t xml:space="preserve"> </w:t>
      </w:r>
      <w:r w:rsidRPr="00754440">
        <w:rPr>
          <w:i/>
          <w:iCs/>
        </w:rPr>
        <w:t>Id</w:t>
      </w:r>
      <w:r>
        <w:t>. at 8-9.</w:t>
      </w:r>
    </w:p>
  </w:footnote>
  <w:footnote w:id="24">
    <w:p w:rsidR="00BE5A68" w:rsidP="00BE5A68" w14:paraId="368FEC5A" w14:textId="77777777">
      <w:pPr>
        <w:pStyle w:val="FootnoteText"/>
      </w:pPr>
      <w:r>
        <w:rPr>
          <w:rStyle w:val="FootnoteReference"/>
        </w:rPr>
        <w:footnoteRef/>
      </w:r>
      <w:r>
        <w:t xml:space="preserve"> </w:t>
      </w:r>
      <w:r>
        <w:t>Supplement at 2.</w:t>
      </w:r>
    </w:p>
  </w:footnote>
  <w:footnote w:id="25">
    <w:p w:rsidR="00DC0759" w14:paraId="33EBA342" w14:textId="70CA1BBC">
      <w:pPr>
        <w:pStyle w:val="FootnoteText"/>
      </w:pPr>
      <w:r>
        <w:rPr>
          <w:rStyle w:val="FootnoteReference"/>
        </w:rPr>
        <w:footnoteRef/>
      </w:r>
      <w:r>
        <w:t xml:space="preserve"> </w:t>
      </w:r>
      <w:r w:rsidR="00AA3752">
        <w:t>Application</w:t>
      </w:r>
      <w:r w:rsidR="006D7D03">
        <w:t xml:space="preserve"> </w:t>
      </w:r>
      <w:r w:rsidRPr="00806538" w:rsidR="00AA3752">
        <w:t>at 5-7</w:t>
      </w:r>
      <w:r w:rsidR="006D7D03">
        <w:t>, 9</w:t>
      </w:r>
      <w:r w:rsidRPr="00806538" w:rsidR="00AA3752">
        <w:t xml:space="preserve"> and </w:t>
      </w:r>
      <w:r w:rsidRPr="00806538" w:rsidR="00AA3752">
        <w:t>Exh</w:t>
      </w:r>
      <w:r w:rsidRPr="00806538" w:rsidR="00AA3752">
        <w:t>. A</w:t>
      </w:r>
      <w:r w:rsidR="00AA3752">
        <w:t xml:space="preserve">.  </w:t>
      </w:r>
      <w:r w:rsidRPr="006D7D03" w:rsidR="00AA3752">
        <w:rPr>
          <w:i/>
          <w:iCs/>
        </w:rPr>
        <w:t>See</w:t>
      </w:r>
      <w:r w:rsidR="00AA3752">
        <w:t xml:space="preserve"> </w:t>
      </w:r>
      <w:r>
        <w:t xml:space="preserve">Supplement at </w:t>
      </w:r>
      <w:r w:rsidR="006D7D03">
        <w:t xml:space="preserve">1 and </w:t>
      </w:r>
      <w:r>
        <w:t>Exh</w:t>
      </w:r>
      <w:r>
        <w:t>. A (Management and Ownership for AEG).</w:t>
      </w:r>
    </w:p>
  </w:footnote>
  <w:footnote w:id="26">
    <w:p w:rsidR="00DC0759" w:rsidRPr="00DC0759" w14:paraId="02BDC6BE" w14:textId="665C351B">
      <w:pPr>
        <w:pStyle w:val="FootnoteText"/>
      </w:pPr>
      <w:r>
        <w:rPr>
          <w:rStyle w:val="FootnoteReference"/>
        </w:rPr>
        <w:footnoteRef/>
      </w:r>
      <w:r>
        <w:t xml:space="preserve">  </w:t>
      </w:r>
      <w:r w:rsidR="00AA3752">
        <w:t>Supplement at</w:t>
      </w:r>
      <w:r>
        <w:t xml:space="preserve"> </w:t>
      </w:r>
      <w:r w:rsidR="006D7D03">
        <w:t xml:space="preserve">1 and </w:t>
      </w:r>
      <w:r>
        <w:t>Exh</w:t>
      </w:r>
      <w:r>
        <w:t xml:space="preserve">. B (Senior Management Team of ITC Broadband Operating, LLC).  </w:t>
      </w:r>
      <w:r>
        <w:rPr>
          <w:i/>
          <w:iCs/>
        </w:rPr>
        <w:t>See</w:t>
      </w:r>
      <w:r>
        <w:t xml:space="preserve"> Application at 9.</w:t>
      </w:r>
    </w:p>
  </w:footnote>
  <w:footnote w:id="27">
    <w:p w:rsidR="00E8036C" w14:paraId="352480AC" w14:textId="62E65FE7">
      <w:pPr>
        <w:pStyle w:val="FootnoteText"/>
      </w:pPr>
      <w:r>
        <w:rPr>
          <w:rStyle w:val="FootnoteReference"/>
        </w:rPr>
        <w:footnoteRef/>
      </w:r>
      <w:r>
        <w:t xml:space="preserve"> </w:t>
      </w:r>
      <w:r>
        <w:t>Supplement</w:t>
      </w:r>
      <w:r w:rsidR="00687BC4">
        <w:t xml:space="preserve">, </w:t>
      </w:r>
      <w:r>
        <w:t>Certifications of Robert Mills, Chief Financial Officer, ITC Broadband Operating, LLC, and James H. Salter, President, Atlantic Engineering Group.</w:t>
      </w:r>
    </w:p>
  </w:footnote>
  <w:footnote w:id="28">
    <w:p w:rsidR="00A75E4C" w:rsidP="00A75E4C" w14:paraId="144DD9CC" w14:textId="77777777">
      <w:pPr>
        <w:pStyle w:val="FootnoteText"/>
      </w:pPr>
      <w:r>
        <w:rPr>
          <w:rStyle w:val="FootnoteReference"/>
        </w:rPr>
        <w:footnoteRef/>
      </w:r>
      <w:r>
        <w:t xml:space="preserve"> </w:t>
      </w:r>
      <w:r w:rsidRPr="001005A4">
        <w:rPr>
          <w:i/>
          <w:iCs/>
        </w:rPr>
        <w:t>See AT&amp;T/DIRECTV Order</w:t>
      </w:r>
      <w:r>
        <w:t xml:space="preserve">, 30 FCC </w:t>
      </w:r>
      <w:r>
        <w:t>Rcd</w:t>
      </w:r>
      <w:r>
        <w:t xml:space="preserve"> at 9237, para. 273-274.</w:t>
      </w:r>
    </w:p>
  </w:footnote>
  <w:footnote w:id="29">
    <w:p w:rsidR="00A75E4C" w:rsidP="00A75E4C" w14:paraId="09A925FA" w14:textId="77777777">
      <w:pPr>
        <w:pStyle w:val="FootnoteText"/>
      </w:pPr>
      <w:r>
        <w:rPr>
          <w:rStyle w:val="FootnoteReference"/>
        </w:rPr>
        <w:footnoteRef/>
      </w:r>
      <w:r>
        <w:t xml:space="preserve"> </w:t>
      </w:r>
      <w:r w:rsidRPr="00907911">
        <w:rPr>
          <w:i/>
          <w:iCs/>
        </w:rPr>
        <w:t>See id</w:t>
      </w:r>
      <w:r>
        <w:t xml:space="preserve">. </w:t>
      </w:r>
      <w:r w:rsidRPr="00907911">
        <w:t>at</w:t>
      </w:r>
      <w:r>
        <w:t xml:space="preserve"> 9237-38, paras. 275-76.</w:t>
      </w:r>
    </w:p>
  </w:footnote>
  <w:footnote w:id="30">
    <w:p w:rsidR="00A75E4C" w:rsidP="00A75E4C" w14:paraId="3922AA82" w14:textId="77777777">
      <w:pPr>
        <w:pStyle w:val="FootnoteText"/>
      </w:pPr>
      <w:r>
        <w:rPr>
          <w:rStyle w:val="FootnoteReference"/>
        </w:rPr>
        <w:footnoteRef/>
      </w:r>
      <w:r>
        <w:t xml:space="preserve"> </w:t>
      </w:r>
      <w:r w:rsidRPr="001005A4">
        <w:rPr>
          <w:i/>
          <w:iCs/>
        </w:rPr>
        <w:t xml:space="preserve">See </w:t>
      </w:r>
      <w:r>
        <w:rPr>
          <w:i/>
          <w:iCs/>
        </w:rPr>
        <w:t>id</w:t>
      </w:r>
      <w:r>
        <w:t>.</w:t>
      </w:r>
    </w:p>
  </w:footnote>
  <w:footnote w:id="31">
    <w:p w:rsidR="00951059" w:rsidRPr="00806538" w:rsidP="00951059" w14:paraId="3531CE40" w14:textId="3803FAE7">
      <w:pPr>
        <w:pStyle w:val="FootnoteText"/>
      </w:pPr>
      <w:r w:rsidRPr="00806538">
        <w:rPr>
          <w:rStyle w:val="FootnoteReference"/>
        </w:rPr>
        <w:footnoteRef/>
      </w:r>
      <w:r w:rsidRPr="00806538">
        <w:t xml:space="preserve"> </w:t>
      </w:r>
      <w:r w:rsidRPr="00394346" w:rsidR="00394346">
        <w:t>Application</w:t>
      </w:r>
      <w:r w:rsidR="00394346">
        <w:rPr>
          <w:i/>
          <w:iCs/>
        </w:rPr>
        <w:t xml:space="preserve"> </w:t>
      </w:r>
      <w:r w:rsidRPr="00806538">
        <w:t>at 9.</w:t>
      </w:r>
    </w:p>
  </w:footnote>
  <w:footnote w:id="32">
    <w:p w:rsidR="00951059" w:rsidRPr="00806538" w:rsidP="00951059" w14:paraId="52C2363B" w14:textId="77777777">
      <w:pPr>
        <w:pStyle w:val="FootnoteText"/>
      </w:pPr>
      <w:r w:rsidRPr="00806538">
        <w:rPr>
          <w:rStyle w:val="FootnoteReference"/>
        </w:rPr>
        <w:footnoteRef/>
      </w:r>
      <w:r w:rsidRPr="00806538">
        <w:t xml:space="preserve"> </w:t>
      </w:r>
      <w:r w:rsidRPr="00806538">
        <w:rPr>
          <w:i/>
          <w:iCs/>
        </w:rPr>
        <w:t>Id</w:t>
      </w:r>
      <w:r w:rsidRPr="00806538">
        <w:t xml:space="preserve">.  </w:t>
      </w:r>
    </w:p>
  </w:footnote>
  <w:footnote w:id="33">
    <w:p w:rsidR="00A63A6A" w:rsidRPr="00A63A6A" w14:paraId="4DF27ED0" w14:textId="2AB3A584">
      <w:pPr>
        <w:pStyle w:val="FootnoteText"/>
      </w:pPr>
      <w:r>
        <w:rPr>
          <w:rStyle w:val="FootnoteReference"/>
        </w:rPr>
        <w:footnoteRef/>
      </w:r>
      <w:r>
        <w:t xml:space="preserve"> </w:t>
      </w:r>
      <w:r>
        <w:rPr>
          <w:i/>
          <w:iCs/>
        </w:rPr>
        <w:t>Id</w:t>
      </w:r>
      <w:r>
        <w:t xml:space="preserve">. </w:t>
      </w:r>
      <w:r w:rsidR="00BE5A68">
        <w:t>at 9-10.</w:t>
      </w:r>
    </w:p>
  </w:footnote>
  <w:footnote w:id="34">
    <w:p w:rsidR="00262F00" w:rsidP="00262F00" w14:paraId="6310C3F3" w14:textId="77777777">
      <w:pPr>
        <w:pStyle w:val="FootnoteText"/>
      </w:pPr>
      <w:r>
        <w:rPr>
          <w:rStyle w:val="FootnoteReference"/>
        </w:rPr>
        <w:footnoteRef/>
      </w:r>
      <w:r>
        <w:t xml:space="preserve"> </w:t>
      </w:r>
      <w:r w:rsidRPr="00B83976">
        <w:rPr>
          <w:i/>
          <w:iCs/>
        </w:rPr>
        <w:t>See</w:t>
      </w:r>
      <w:r>
        <w:rPr>
          <w:i/>
          <w:iCs/>
        </w:rPr>
        <w:t>, e.g.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w:t>
      </w:r>
      <w:r w:rsidRPr="00B83976">
        <w:rPr>
          <w:iCs/>
        </w:rPr>
        <w:t>Rcd</w:t>
      </w:r>
      <w:r w:rsidRPr="00B83976">
        <w:rPr>
          <w:iCs/>
        </w:rPr>
        <w:t xml:space="preserve"> at 9140, para. 19</w:t>
      </w:r>
      <w:r>
        <w:rPr>
          <w:iCs/>
        </w:rPr>
        <w:t>.</w:t>
      </w:r>
    </w:p>
  </w:footnote>
  <w:footnote w:id="35">
    <w:p w:rsidR="00262F00" w:rsidRPr="00B83976" w:rsidP="00262F00" w14:paraId="153A2D2D" w14:textId="3575304B">
      <w:pPr>
        <w:pStyle w:val="FootnoteText"/>
      </w:pPr>
      <w:r w:rsidRPr="00B83976">
        <w:rPr>
          <w:rStyle w:val="FootnoteReference"/>
        </w:rPr>
        <w:footnoteRef/>
      </w:r>
      <w:r w:rsidRPr="00B83976">
        <w:t xml:space="preserve"> </w:t>
      </w:r>
      <w:r>
        <w:rPr>
          <w:i/>
        </w:rPr>
        <w:t>See Verizon-TracFone Order</w:t>
      </w:r>
      <w:r>
        <w:rPr>
          <w:iCs/>
        </w:rPr>
        <w:t xml:space="preserve"> at para. 22 (citing </w:t>
      </w:r>
      <w:r w:rsidRPr="00B83976">
        <w:t>47 U.S.C. §§ 254, 332(c)(7), 1302; Telecommunications Act of 1996, Preamble, Pub. L. No. 104-104, 110 Stat. 56 (1996) (one purpose of the Act is to “accelerate rapidly private sector deployment of advanced telecommunications and information technologies and services”</w:t>
      </w:r>
      <w:r w:rsidR="003445C6">
        <w:t>)</w:t>
      </w:r>
      <w:r>
        <w:t>)</w:t>
      </w:r>
      <w:r w:rsidRPr="00B83976">
        <w:t>.</w:t>
      </w:r>
    </w:p>
  </w:footnote>
  <w:footnote w:id="36">
    <w:p w:rsidR="00CF0F77" w:rsidP="00CF0F77" w14:paraId="147A76E3" w14:textId="77777777">
      <w:pPr>
        <w:pStyle w:val="FootnoteText"/>
      </w:pPr>
      <w:r>
        <w:rPr>
          <w:rStyle w:val="FootnoteReference"/>
        </w:rPr>
        <w:footnoteRef/>
      </w:r>
      <w:r>
        <w:t xml:space="preserve"> </w:t>
      </w:r>
      <w:r w:rsidRPr="00337CCE">
        <w:rPr>
          <w:i/>
          <w:iCs/>
        </w:rPr>
        <w:t>See, e.g</w:t>
      </w:r>
      <w:r>
        <w:t xml:space="preserve">., </w:t>
      </w:r>
      <w:r w:rsidRPr="00337CCE">
        <w:rPr>
          <w:i/>
          <w:iCs/>
        </w:rPr>
        <w:t>Applications of Level 3 Communications, Inc. and CenturyLink, Inc. for Consent to Transfer Control of Licenses and Authorizations</w:t>
      </w:r>
      <w:r>
        <w:t xml:space="preserve">, Memorandum Opinion and Order, 32 FCC </w:t>
      </w:r>
      <w:r>
        <w:t>Rcd</w:t>
      </w:r>
      <w:r>
        <w:t xml:space="preserve"> 9581, 9594, 9605, paras. 26 and 52 (2017) (finding no harm to competition where applicants operate as competitive LECs, and further finding that the transaction “will expand the on-net reach of the newly combined firm resulting in a more effective and stronger competitor against larger cable and incumbent LEC competitors, among others, particularly outside of Century Link's incumbent LEC region, where it, like Level 3, operates as a competitive LEC.”).</w:t>
      </w:r>
    </w:p>
  </w:footnote>
  <w:footnote w:id="37">
    <w:p w:rsidR="00972B39" w14:paraId="10CED839" w14:textId="4CCAB63D">
      <w:pPr>
        <w:pStyle w:val="FootnoteText"/>
      </w:pPr>
      <w:r>
        <w:rPr>
          <w:rStyle w:val="FootnoteReference"/>
        </w:rPr>
        <w:footnoteRef/>
      </w:r>
      <w:r>
        <w:t xml:space="preserve"> </w:t>
      </w:r>
      <w:r>
        <w:t>We direct Applicants to submit, within 30 days of closing the proposed transaction, a notice in WC Docket No. 21-</w:t>
      </w:r>
      <w:r w:rsidR="00E0101E">
        <w:t>415</w:t>
      </w:r>
      <w:r>
        <w:t xml:space="preserve"> that the proposed transaction has closed</w:t>
      </w:r>
      <w:r w:rsidR="0088632C">
        <w:t xml:space="preserve">, including </w:t>
      </w:r>
      <w:r>
        <w:t>the consummation date, and also provide a courtesy copy of the notice to hcinfo@usac.org.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9838BC" w:rsidP="009838BC" w14:paraId="2A6692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A866AC" w:rsidP="009838BC" w14:paraId="03EAAB0B"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475AE7" w:rsidP="009838BC" w14:textId="77777777">
                          <w:pPr>
                            <w:rPr>
                              <w:rFonts w:ascii="Arial" w:hAnsi="Arial"/>
                              <w:b/>
                            </w:rPr>
                          </w:pPr>
                          <w:r>
                            <w:rPr>
                              <w:rFonts w:ascii="Arial" w:hAnsi="Arial"/>
                              <w:b/>
                            </w:rPr>
                            <w:t>Federal Communications Commission</w:t>
                          </w:r>
                        </w:p>
                        <w:p w:rsidR="00475AE7" w:rsidP="009838BC" w14:textId="77777777">
                          <w:pPr>
                            <w:rPr>
                              <w:rFonts w:ascii="Arial" w:hAnsi="Arial"/>
                              <w:b/>
                            </w:rPr>
                          </w:pPr>
                          <w:r>
                            <w:rPr>
                              <w:rFonts w:ascii="Arial" w:hAnsi="Arial"/>
                              <w:b/>
                            </w:rPr>
                            <w:t>45 L St., N.E.</w:t>
                          </w:r>
                        </w:p>
                        <w:p w:rsidR="00475AE7"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75AE7" w:rsidP="009838BC" w14:paraId="2AEA2336" w14:textId="77777777">
                    <w:pPr>
                      <w:rPr>
                        <w:rFonts w:ascii="Arial" w:hAnsi="Arial"/>
                        <w:b/>
                      </w:rPr>
                    </w:pPr>
                    <w:r>
                      <w:rPr>
                        <w:rFonts w:ascii="Arial" w:hAnsi="Arial"/>
                        <w:b/>
                      </w:rPr>
                      <w:t>Federal Communications Commission</w:t>
                    </w:r>
                  </w:p>
                  <w:p w:rsidR="00475AE7" w:rsidP="009838BC" w14:paraId="735592E0" w14:textId="77777777">
                    <w:pPr>
                      <w:rPr>
                        <w:rFonts w:ascii="Arial" w:hAnsi="Arial"/>
                        <w:b/>
                      </w:rPr>
                    </w:pPr>
                    <w:r>
                      <w:rPr>
                        <w:rFonts w:ascii="Arial" w:hAnsi="Arial"/>
                        <w:b/>
                      </w:rPr>
                      <w:t>45 L St., N.E.</w:t>
                    </w:r>
                  </w:p>
                  <w:p w:rsidR="00475AE7" w:rsidP="009838BC" w14:paraId="34F0876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75796D0F" w:rsidR="0085777F">
      <w:rPr>
        <w:rFonts w:ascii="Arial" w:hAnsi="Arial" w:cs="Arial"/>
        <w:b/>
        <w:bCs/>
        <w:sz w:val="96"/>
        <w:szCs w:val="96"/>
      </w:rPr>
      <w:t>PUBLIC NOTICE</w:t>
    </w:r>
  </w:p>
  <w:p w:rsidR="00475AE7" w:rsidRPr="00357D50" w:rsidP="009838BC" w14:paraId="5CB07B35"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475AE7" w:rsidP="009838BC" w14:textId="77777777">
                          <w:pPr>
                            <w:spacing w:before="40"/>
                            <w:jc w:val="right"/>
                            <w:rPr>
                              <w:rFonts w:ascii="Arial" w:hAnsi="Arial"/>
                              <w:b/>
                              <w:sz w:val="16"/>
                            </w:rPr>
                          </w:pPr>
                          <w:r>
                            <w:rPr>
                              <w:rFonts w:ascii="Arial" w:hAnsi="Arial"/>
                              <w:b/>
                              <w:sz w:val="16"/>
                            </w:rPr>
                            <w:t>News Media Information 202 / 418-0500</w:t>
                          </w:r>
                        </w:p>
                        <w:p w:rsidR="00475AE7" w:rsidP="009838BC"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475AE7"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475AE7" w:rsidP="009838BC" w14:paraId="210F733B" w14:textId="77777777">
                    <w:pPr>
                      <w:spacing w:before="40"/>
                      <w:jc w:val="right"/>
                      <w:rPr>
                        <w:rFonts w:ascii="Arial" w:hAnsi="Arial"/>
                        <w:b/>
                        <w:sz w:val="16"/>
                      </w:rPr>
                    </w:pPr>
                    <w:r>
                      <w:rPr>
                        <w:rFonts w:ascii="Arial" w:hAnsi="Arial"/>
                        <w:b/>
                        <w:sz w:val="16"/>
                      </w:rPr>
                      <w:t>News Media Information 202 / 418-0500</w:t>
                    </w:r>
                  </w:p>
                  <w:p w:rsidR="00475AE7" w:rsidP="009838BC" w14:paraId="68C472BA"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475AE7" w:rsidP="009838BC" w14:paraId="537230AC" w14:textId="77777777">
                    <w:pPr>
                      <w:jc w:val="right"/>
                    </w:pPr>
                  </w:p>
                </w:txbxContent>
              </v:textbox>
            </v:shape>
          </w:pict>
        </mc:Fallback>
      </mc:AlternateContent>
    </w:r>
  </w:p>
  <w:p w:rsidR="00475AE7" w:rsidRPr="009838BC" w:rsidP="009838BC" w14:paraId="797376E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09A3"/>
    <w:rsid w:val="0000222B"/>
    <w:rsid w:val="000025FE"/>
    <w:rsid w:val="00005C82"/>
    <w:rsid w:val="000072CE"/>
    <w:rsid w:val="000109B1"/>
    <w:rsid w:val="00011ED7"/>
    <w:rsid w:val="00013A8B"/>
    <w:rsid w:val="000157A9"/>
    <w:rsid w:val="00016BF1"/>
    <w:rsid w:val="00020817"/>
    <w:rsid w:val="00021252"/>
    <w:rsid w:val="00021445"/>
    <w:rsid w:val="000231D6"/>
    <w:rsid w:val="00023E9D"/>
    <w:rsid w:val="0002579D"/>
    <w:rsid w:val="00025BD1"/>
    <w:rsid w:val="00026664"/>
    <w:rsid w:val="000326B7"/>
    <w:rsid w:val="00036039"/>
    <w:rsid w:val="00037F90"/>
    <w:rsid w:val="00040D06"/>
    <w:rsid w:val="000418EE"/>
    <w:rsid w:val="00042D10"/>
    <w:rsid w:val="00044FC2"/>
    <w:rsid w:val="0004637E"/>
    <w:rsid w:val="000505D6"/>
    <w:rsid w:val="00052C36"/>
    <w:rsid w:val="00052D7C"/>
    <w:rsid w:val="000578D9"/>
    <w:rsid w:val="000630A2"/>
    <w:rsid w:val="0006453A"/>
    <w:rsid w:val="000654FE"/>
    <w:rsid w:val="00065885"/>
    <w:rsid w:val="000724AD"/>
    <w:rsid w:val="0007304F"/>
    <w:rsid w:val="0007741B"/>
    <w:rsid w:val="000875BF"/>
    <w:rsid w:val="00090879"/>
    <w:rsid w:val="00092431"/>
    <w:rsid w:val="000929A6"/>
    <w:rsid w:val="00095E72"/>
    <w:rsid w:val="00096D8C"/>
    <w:rsid w:val="000A15E0"/>
    <w:rsid w:val="000A43AA"/>
    <w:rsid w:val="000A715F"/>
    <w:rsid w:val="000A719C"/>
    <w:rsid w:val="000B206F"/>
    <w:rsid w:val="000B3A1F"/>
    <w:rsid w:val="000B5082"/>
    <w:rsid w:val="000B5D03"/>
    <w:rsid w:val="000B6581"/>
    <w:rsid w:val="000B7562"/>
    <w:rsid w:val="000C0B65"/>
    <w:rsid w:val="000C1001"/>
    <w:rsid w:val="000C43BA"/>
    <w:rsid w:val="000C5DEF"/>
    <w:rsid w:val="000D0D16"/>
    <w:rsid w:val="000D50EB"/>
    <w:rsid w:val="000D5BC1"/>
    <w:rsid w:val="000D7CAA"/>
    <w:rsid w:val="000E1A64"/>
    <w:rsid w:val="000E340C"/>
    <w:rsid w:val="000E3D42"/>
    <w:rsid w:val="000E5884"/>
    <w:rsid w:val="000E5E50"/>
    <w:rsid w:val="000E6601"/>
    <w:rsid w:val="000F248A"/>
    <w:rsid w:val="000F3B15"/>
    <w:rsid w:val="000F3EAA"/>
    <w:rsid w:val="000F4C4E"/>
    <w:rsid w:val="000F652F"/>
    <w:rsid w:val="000F70F5"/>
    <w:rsid w:val="000F7336"/>
    <w:rsid w:val="000F7AFB"/>
    <w:rsid w:val="000F7CF9"/>
    <w:rsid w:val="001005A4"/>
    <w:rsid w:val="00103CFD"/>
    <w:rsid w:val="001050B1"/>
    <w:rsid w:val="001073A5"/>
    <w:rsid w:val="00107713"/>
    <w:rsid w:val="001137A6"/>
    <w:rsid w:val="00114C73"/>
    <w:rsid w:val="00116C3F"/>
    <w:rsid w:val="00122BD5"/>
    <w:rsid w:val="0012361D"/>
    <w:rsid w:val="00125C60"/>
    <w:rsid w:val="001265C3"/>
    <w:rsid w:val="00132378"/>
    <w:rsid w:val="0013301F"/>
    <w:rsid w:val="001330FF"/>
    <w:rsid w:val="001348F2"/>
    <w:rsid w:val="00135644"/>
    <w:rsid w:val="00135F54"/>
    <w:rsid w:val="00136137"/>
    <w:rsid w:val="0014064D"/>
    <w:rsid w:val="001415BA"/>
    <w:rsid w:val="00144A2D"/>
    <w:rsid w:val="0014551C"/>
    <w:rsid w:val="00150B91"/>
    <w:rsid w:val="001539F3"/>
    <w:rsid w:val="001541A8"/>
    <w:rsid w:val="00154EB8"/>
    <w:rsid w:val="00161259"/>
    <w:rsid w:val="00164F1D"/>
    <w:rsid w:val="00164FFA"/>
    <w:rsid w:val="00165E2A"/>
    <w:rsid w:val="00171F2B"/>
    <w:rsid w:val="0017566C"/>
    <w:rsid w:val="001807A4"/>
    <w:rsid w:val="00181174"/>
    <w:rsid w:val="00181795"/>
    <w:rsid w:val="00183949"/>
    <w:rsid w:val="001856A8"/>
    <w:rsid w:val="001963EE"/>
    <w:rsid w:val="001975FA"/>
    <w:rsid w:val="001979D9"/>
    <w:rsid w:val="001A0E9C"/>
    <w:rsid w:val="001A312A"/>
    <w:rsid w:val="001A3A79"/>
    <w:rsid w:val="001A6361"/>
    <w:rsid w:val="001A7655"/>
    <w:rsid w:val="001B158F"/>
    <w:rsid w:val="001C4655"/>
    <w:rsid w:val="001C6F20"/>
    <w:rsid w:val="001D052E"/>
    <w:rsid w:val="001D0A43"/>
    <w:rsid w:val="001D6BCF"/>
    <w:rsid w:val="001E01CA"/>
    <w:rsid w:val="001E397D"/>
    <w:rsid w:val="001E410D"/>
    <w:rsid w:val="001E75C2"/>
    <w:rsid w:val="001F1CB2"/>
    <w:rsid w:val="001F1FC6"/>
    <w:rsid w:val="001F1FF1"/>
    <w:rsid w:val="001F3582"/>
    <w:rsid w:val="001F5903"/>
    <w:rsid w:val="001F731B"/>
    <w:rsid w:val="001F795B"/>
    <w:rsid w:val="002025E9"/>
    <w:rsid w:val="002027F0"/>
    <w:rsid w:val="002035D2"/>
    <w:rsid w:val="00203604"/>
    <w:rsid w:val="00203A09"/>
    <w:rsid w:val="002049B9"/>
    <w:rsid w:val="00204D99"/>
    <w:rsid w:val="002060D9"/>
    <w:rsid w:val="00206137"/>
    <w:rsid w:val="002078B3"/>
    <w:rsid w:val="002078DE"/>
    <w:rsid w:val="00207939"/>
    <w:rsid w:val="00213050"/>
    <w:rsid w:val="00215AF2"/>
    <w:rsid w:val="0021655B"/>
    <w:rsid w:val="0022167C"/>
    <w:rsid w:val="00224DB8"/>
    <w:rsid w:val="0022664E"/>
    <w:rsid w:val="00226822"/>
    <w:rsid w:val="00227E61"/>
    <w:rsid w:val="00230331"/>
    <w:rsid w:val="002334CD"/>
    <w:rsid w:val="00234FCC"/>
    <w:rsid w:val="00240A9F"/>
    <w:rsid w:val="0024297D"/>
    <w:rsid w:val="00242F44"/>
    <w:rsid w:val="00243092"/>
    <w:rsid w:val="00245087"/>
    <w:rsid w:val="002456F6"/>
    <w:rsid w:val="0025072B"/>
    <w:rsid w:val="0025082C"/>
    <w:rsid w:val="00251DA7"/>
    <w:rsid w:val="00252AB1"/>
    <w:rsid w:val="00253923"/>
    <w:rsid w:val="00254E19"/>
    <w:rsid w:val="002557CC"/>
    <w:rsid w:val="00256D48"/>
    <w:rsid w:val="002572DC"/>
    <w:rsid w:val="00257E30"/>
    <w:rsid w:val="00260594"/>
    <w:rsid w:val="002610EC"/>
    <w:rsid w:val="00262F00"/>
    <w:rsid w:val="00264313"/>
    <w:rsid w:val="00264F4E"/>
    <w:rsid w:val="00265992"/>
    <w:rsid w:val="00273BAD"/>
    <w:rsid w:val="00274366"/>
    <w:rsid w:val="00276C04"/>
    <w:rsid w:val="00280975"/>
    <w:rsid w:val="00281B21"/>
    <w:rsid w:val="00282714"/>
    <w:rsid w:val="00285017"/>
    <w:rsid w:val="00286468"/>
    <w:rsid w:val="002958B1"/>
    <w:rsid w:val="002979E3"/>
    <w:rsid w:val="002A03DD"/>
    <w:rsid w:val="002A087D"/>
    <w:rsid w:val="002A11B4"/>
    <w:rsid w:val="002A2D2E"/>
    <w:rsid w:val="002A6D6A"/>
    <w:rsid w:val="002B0207"/>
    <w:rsid w:val="002B0351"/>
    <w:rsid w:val="002B4C9C"/>
    <w:rsid w:val="002B54FB"/>
    <w:rsid w:val="002B5E88"/>
    <w:rsid w:val="002B7763"/>
    <w:rsid w:val="002C1AF9"/>
    <w:rsid w:val="002C5846"/>
    <w:rsid w:val="002C6348"/>
    <w:rsid w:val="002D2146"/>
    <w:rsid w:val="002D447E"/>
    <w:rsid w:val="002D6286"/>
    <w:rsid w:val="002D62DD"/>
    <w:rsid w:val="002D7A48"/>
    <w:rsid w:val="002D7CCE"/>
    <w:rsid w:val="002E44DF"/>
    <w:rsid w:val="002E5941"/>
    <w:rsid w:val="002F2339"/>
    <w:rsid w:val="002F2C9E"/>
    <w:rsid w:val="002F4819"/>
    <w:rsid w:val="002F7221"/>
    <w:rsid w:val="002F7521"/>
    <w:rsid w:val="003028B1"/>
    <w:rsid w:val="00307030"/>
    <w:rsid w:val="0031328E"/>
    <w:rsid w:val="00315BE0"/>
    <w:rsid w:val="003169D5"/>
    <w:rsid w:val="003231F8"/>
    <w:rsid w:val="0032799C"/>
    <w:rsid w:val="00327A84"/>
    <w:rsid w:val="0033308B"/>
    <w:rsid w:val="00334D34"/>
    <w:rsid w:val="00337CCE"/>
    <w:rsid w:val="00337EDD"/>
    <w:rsid w:val="00343749"/>
    <w:rsid w:val="00344102"/>
    <w:rsid w:val="003445C6"/>
    <w:rsid w:val="00351B89"/>
    <w:rsid w:val="00351E93"/>
    <w:rsid w:val="00353A57"/>
    <w:rsid w:val="00353EAF"/>
    <w:rsid w:val="00357D50"/>
    <w:rsid w:val="003602FC"/>
    <w:rsid w:val="003609F7"/>
    <w:rsid w:val="0036214D"/>
    <w:rsid w:val="00366291"/>
    <w:rsid w:val="00367E60"/>
    <w:rsid w:val="00376E27"/>
    <w:rsid w:val="00377C00"/>
    <w:rsid w:val="00377F86"/>
    <w:rsid w:val="003816CE"/>
    <w:rsid w:val="00381FE8"/>
    <w:rsid w:val="00385229"/>
    <w:rsid w:val="0038758C"/>
    <w:rsid w:val="00387EAB"/>
    <w:rsid w:val="003925DC"/>
    <w:rsid w:val="003942C1"/>
    <w:rsid w:val="00394346"/>
    <w:rsid w:val="00395F38"/>
    <w:rsid w:val="0039668F"/>
    <w:rsid w:val="00396E41"/>
    <w:rsid w:val="003A1093"/>
    <w:rsid w:val="003A2225"/>
    <w:rsid w:val="003A2F1B"/>
    <w:rsid w:val="003A3FC6"/>
    <w:rsid w:val="003A49D1"/>
    <w:rsid w:val="003A67F6"/>
    <w:rsid w:val="003A6B1D"/>
    <w:rsid w:val="003B0550"/>
    <w:rsid w:val="003B06B7"/>
    <w:rsid w:val="003B18C4"/>
    <w:rsid w:val="003B28FF"/>
    <w:rsid w:val="003B366F"/>
    <w:rsid w:val="003B694F"/>
    <w:rsid w:val="003B7D0E"/>
    <w:rsid w:val="003C0A28"/>
    <w:rsid w:val="003C2436"/>
    <w:rsid w:val="003C47B1"/>
    <w:rsid w:val="003C48AB"/>
    <w:rsid w:val="003C589A"/>
    <w:rsid w:val="003C77F1"/>
    <w:rsid w:val="003D2256"/>
    <w:rsid w:val="003E5ACA"/>
    <w:rsid w:val="003E7B6C"/>
    <w:rsid w:val="003F0EF2"/>
    <w:rsid w:val="003F171C"/>
    <w:rsid w:val="003F1EE9"/>
    <w:rsid w:val="004004AF"/>
    <w:rsid w:val="00402A03"/>
    <w:rsid w:val="00403231"/>
    <w:rsid w:val="00406E69"/>
    <w:rsid w:val="00410921"/>
    <w:rsid w:val="00412582"/>
    <w:rsid w:val="00412FC5"/>
    <w:rsid w:val="00413423"/>
    <w:rsid w:val="00415CF3"/>
    <w:rsid w:val="00415EFC"/>
    <w:rsid w:val="00420182"/>
    <w:rsid w:val="00422276"/>
    <w:rsid w:val="00422B9A"/>
    <w:rsid w:val="004242F1"/>
    <w:rsid w:val="004243FE"/>
    <w:rsid w:val="00427D15"/>
    <w:rsid w:val="00431EBD"/>
    <w:rsid w:val="00432406"/>
    <w:rsid w:val="0043254C"/>
    <w:rsid w:val="00432569"/>
    <w:rsid w:val="00437716"/>
    <w:rsid w:val="00441312"/>
    <w:rsid w:val="00441B3C"/>
    <w:rsid w:val="00445A00"/>
    <w:rsid w:val="0044678A"/>
    <w:rsid w:val="00447D22"/>
    <w:rsid w:val="00451B0F"/>
    <w:rsid w:val="004551E4"/>
    <w:rsid w:val="00455621"/>
    <w:rsid w:val="00456CBE"/>
    <w:rsid w:val="004570A3"/>
    <w:rsid w:val="00457499"/>
    <w:rsid w:val="0046125F"/>
    <w:rsid w:val="00462520"/>
    <w:rsid w:val="00466B8E"/>
    <w:rsid w:val="0046783E"/>
    <w:rsid w:val="00467C77"/>
    <w:rsid w:val="00470E9D"/>
    <w:rsid w:val="00471CE2"/>
    <w:rsid w:val="00472C46"/>
    <w:rsid w:val="00475073"/>
    <w:rsid w:val="00475591"/>
    <w:rsid w:val="00475AE7"/>
    <w:rsid w:val="004806FB"/>
    <w:rsid w:val="00485DD1"/>
    <w:rsid w:val="004872D0"/>
    <w:rsid w:val="00487524"/>
    <w:rsid w:val="004876D1"/>
    <w:rsid w:val="004903BF"/>
    <w:rsid w:val="0049112B"/>
    <w:rsid w:val="004928F5"/>
    <w:rsid w:val="004943CA"/>
    <w:rsid w:val="0049488B"/>
    <w:rsid w:val="00495252"/>
    <w:rsid w:val="00496106"/>
    <w:rsid w:val="00496949"/>
    <w:rsid w:val="004A660E"/>
    <w:rsid w:val="004B088F"/>
    <w:rsid w:val="004B091D"/>
    <w:rsid w:val="004B6492"/>
    <w:rsid w:val="004C12D0"/>
    <w:rsid w:val="004C2EE3"/>
    <w:rsid w:val="004C3FFB"/>
    <w:rsid w:val="004C57A4"/>
    <w:rsid w:val="004C70FB"/>
    <w:rsid w:val="004C7A5C"/>
    <w:rsid w:val="004D22C3"/>
    <w:rsid w:val="004D362E"/>
    <w:rsid w:val="004D5869"/>
    <w:rsid w:val="004D6C60"/>
    <w:rsid w:val="004D7C16"/>
    <w:rsid w:val="004E4A22"/>
    <w:rsid w:val="004E72B7"/>
    <w:rsid w:val="004F35CA"/>
    <w:rsid w:val="004F4239"/>
    <w:rsid w:val="004F60EC"/>
    <w:rsid w:val="004F737A"/>
    <w:rsid w:val="0050167C"/>
    <w:rsid w:val="00501F12"/>
    <w:rsid w:val="005053A7"/>
    <w:rsid w:val="00506C61"/>
    <w:rsid w:val="005106C5"/>
    <w:rsid w:val="00510EB3"/>
    <w:rsid w:val="00511968"/>
    <w:rsid w:val="005123BE"/>
    <w:rsid w:val="00516819"/>
    <w:rsid w:val="00516C98"/>
    <w:rsid w:val="00520AE6"/>
    <w:rsid w:val="0052214B"/>
    <w:rsid w:val="00523F0D"/>
    <w:rsid w:val="00524B7D"/>
    <w:rsid w:val="00525169"/>
    <w:rsid w:val="00525F91"/>
    <w:rsid w:val="00532BEA"/>
    <w:rsid w:val="0053387F"/>
    <w:rsid w:val="005357B8"/>
    <w:rsid w:val="00536CF8"/>
    <w:rsid w:val="0054043D"/>
    <w:rsid w:val="00545724"/>
    <w:rsid w:val="00545A19"/>
    <w:rsid w:val="0054650E"/>
    <w:rsid w:val="00550354"/>
    <w:rsid w:val="00552A15"/>
    <w:rsid w:val="00552AF3"/>
    <w:rsid w:val="0055614C"/>
    <w:rsid w:val="005614FA"/>
    <w:rsid w:val="00563C1F"/>
    <w:rsid w:val="00564FFA"/>
    <w:rsid w:val="00577322"/>
    <w:rsid w:val="00577BFF"/>
    <w:rsid w:val="00581C61"/>
    <w:rsid w:val="00582BAF"/>
    <w:rsid w:val="00584B7F"/>
    <w:rsid w:val="00585EC7"/>
    <w:rsid w:val="00595381"/>
    <w:rsid w:val="0059746C"/>
    <w:rsid w:val="005A0BF4"/>
    <w:rsid w:val="005A3062"/>
    <w:rsid w:val="005A31B2"/>
    <w:rsid w:val="005A445D"/>
    <w:rsid w:val="005A4610"/>
    <w:rsid w:val="005B3EC2"/>
    <w:rsid w:val="005B5B7B"/>
    <w:rsid w:val="005C24D8"/>
    <w:rsid w:val="005C315F"/>
    <w:rsid w:val="005C432D"/>
    <w:rsid w:val="005C680A"/>
    <w:rsid w:val="005C7EF4"/>
    <w:rsid w:val="005D0403"/>
    <w:rsid w:val="005D092D"/>
    <w:rsid w:val="005D0A49"/>
    <w:rsid w:val="005D0EA4"/>
    <w:rsid w:val="005E347C"/>
    <w:rsid w:val="005E49DF"/>
    <w:rsid w:val="005E58F0"/>
    <w:rsid w:val="005E5F6A"/>
    <w:rsid w:val="005E74A9"/>
    <w:rsid w:val="005F0449"/>
    <w:rsid w:val="005F4263"/>
    <w:rsid w:val="005F4F63"/>
    <w:rsid w:val="005F572F"/>
    <w:rsid w:val="00603CBE"/>
    <w:rsid w:val="00607BA5"/>
    <w:rsid w:val="006126AF"/>
    <w:rsid w:val="00615C48"/>
    <w:rsid w:val="00620DBB"/>
    <w:rsid w:val="00620F82"/>
    <w:rsid w:val="00621457"/>
    <w:rsid w:val="00622C85"/>
    <w:rsid w:val="00625270"/>
    <w:rsid w:val="00626EB6"/>
    <w:rsid w:val="006275B0"/>
    <w:rsid w:val="00630790"/>
    <w:rsid w:val="00631B71"/>
    <w:rsid w:val="006353A3"/>
    <w:rsid w:val="00637E27"/>
    <w:rsid w:val="00642E7B"/>
    <w:rsid w:val="00643878"/>
    <w:rsid w:val="00644B2C"/>
    <w:rsid w:val="00655D03"/>
    <w:rsid w:val="00660386"/>
    <w:rsid w:val="00661A1F"/>
    <w:rsid w:val="00663CEB"/>
    <w:rsid w:val="00664AB4"/>
    <w:rsid w:val="006650A4"/>
    <w:rsid w:val="006665E6"/>
    <w:rsid w:val="00673C03"/>
    <w:rsid w:val="00675E8A"/>
    <w:rsid w:val="0068023C"/>
    <w:rsid w:val="00680945"/>
    <w:rsid w:val="00683F84"/>
    <w:rsid w:val="00684738"/>
    <w:rsid w:val="0068763E"/>
    <w:rsid w:val="00687BC4"/>
    <w:rsid w:val="006901C6"/>
    <w:rsid w:val="00694196"/>
    <w:rsid w:val="00694C92"/>
    <w:rsid w:val="006953EE"/>
    <w:rsid w:val="0069577D"/>
    <w:rsid w:val="006972E8"/>
    <w:rsid w:val="006A467F"/>
    <w:rsid w:val="006A487A"/>
    <w:rsid w:val="006A6A81"/>
    <w:rsid w:val="006B2F55"/>
    <w:rsid w:val="006B5D0A"/>
    <w:rsid w:val="006B6F46"/>
    <w:rsid w:val="006C47FA"/>
    <w:rsid w:val="006C7A94"/>
    <w:rsid w:val="006D0FAA"/>
    <w:rsid w:val="006D40DD"/>
    <w:rsid w:val="006D660A"/>
    <w:rsid w:val="006D6AFD"/>
    <w:rsid w:val="006D760F"/>
    <w:rsid w:val="006D7B2B"/>
    <w:rsid w:val="006D7D03"/>
    <w:rsid w:val="006E26AF"/>
    <w:rsid w:val="006E3ED7"/>
    <w:rsid w:val="006E57B3"/>
    <w:rsid w:val="006E6B9A"/>
    <w:rsid w:val="006F1183"/>
    <w:rsid w:val="006F3559"/>
    <w:rsid w:val="006F4636"/>
    <w:rsid w:val="006F7393"/>
    <w:rsid w:val="00701094"/>
    <w:rsid w:val="007019B6"/>
    <w:rsid w:val="007019FF"/>
    <w:rsid w:val="0070224F"/>
    <w:rsid w:val="00703BB5"/>
    <w:rsid w:val="0070486C"/>
    <w:rsid w:val="00705DDB"/>
    <w:rsid w:val="007115F7"/>
    <w:rsid w:val="007164EB"/>
    <w:rsid w:val="007178B4"/>
    <w:rsid w:val="00717B07"/>
    <w:rsid w:val="00721778"/>
    <w:rsid w:val="00725674"/>
    <w:rsid w:val="00726F80"/>
    <w:rsid w:val="00731C3E"/>
    <w:rsid w:val="00735B84"/>
    <w:rsid w:val="00740AD9"/>
    <w:rsid w:val="00740F37"/>
    <w:rsid w:val="0074229D"/>
    <w:rsid w:val="00743B3E"/>
    <w:rsid w:val="00744F93"/>
    <w:rsid w:val="00746393"/>
    <w:rsid w:val="00746759"/>
    <w:rsid w:val="00747230"/>
    <w:rsid w:val="00754440"/>
    <w:rsid w:val="00756EBC"/>
    <w:rsid w:val="00757E0B"/>
    <w:rsid w:val="00760F76"/>
    <w:rsid w:val="00762725"/>
    <w:rsid w:val="00762FC4"/>
    <w:rsid w:val="00763B93"/>
    <w:rsid w:val="007668C8"/>
    <w:rsid w:val="00770F47"/>
    <w:rsid w:val="00773F6A"/>
    <w:rsid w:val="00775097"/>
    <w:rsid w:val="00780E7D"/>
    <w:rsid w:val="00785689"/>
    <w:rsid w:val="00792664"/>
    <w:rsid w:val="0079754B"/>
    <w:rsid w:val="007A0B06"/>
    <w:rsid w:val="007A1E6D"/>
    <w:rsid w:val="007A29A0"/>
    <w:rsid w:val="007B1170"/>
    <w:rsid w:val="007B1F0E"/>
    <w:rsid w:val="007B72F9"/>
    <w:rsid w:val="007B7C16"/>
    <w:rsid w:val="007C179B"/>
    <w:rsid w:val="007C2228"/>
    <w:rsid w:val="007C3551"/>
    <w:rsid w:val="007C4371"/>
    <w:rsid w:val="007C5078"/>
    <w:rsid w:val="007C53B3"/>
    <w:rsid w:val="007C674D"/>
    <w:rsid w:val="007D3761"/>
    <w:rsid w:val="007D4842"/>
    <w:rsid w:val="007D4DB7"/>
    <w:rsid w:val="007D6054"/>
    <w:rsid w:val="007E03E5"/>
    <w:rsid w:val="007E32AB"/>
    <w:rsid w:val="007F0701"/>
    <w:rsid w:val="007F0DBB"/>
    <w:rsid w:val="007F1D7C"/>
    <w:rsid w:val="007F29ED"/>
    <w:rsid w:val="007F400A"/>
    <w:rsid w:val="007F40C5"/>
    <w:rsid w:val="007F4D42"/>
    <w:rsid w:val="007F5818"/>
    <w:rsid w:val="007F5C59"/>
    <w:rsid w:val="00800267"/>
    <w:rsid w:val="00801AAA"/>
    <w:rsid w:val="00801FDC"/>
    <w:rsid w:val="00805401"/>
    <w:rsid w:val="00806538"/>
    <w:rsid w:val="008068FD"/>
    <w:rsid w:val="00822CE0"/>
    <w:rsid w:val="00825E7D"/>
    <w:rsid w:val="008271E2"/>
    <w:rsid w:val="008275B8"/>
    <w:rsid w:val="0083155B"/>
    <w:rsid w:val="008338CE"/>
    <w:rsid w:val="00835AB1"/>
    <w:rsid w:val="00837C62"/>
    <w:rsid w:val="00841404"/>
    <w:rsid w:val="00841AB1"/>
    <w:rsid w:val="00844109"/>
    <w:rsid w:val="0084412A"/>
    <w:rsid w:val="00845944"/>
    <w:rsid w:val="00851E64"/>
    <w:rsid w:val="008550B5"/>
    <w:rsid w:val="0085777F"/>
    <w:rsid w:val="0086068D"/>
    <w:rsid w:val="00861822"/>
    <w:rsid w:val="00861958"/>
    <w:rsid w:val="0086597B"/>
    <w:rsid w:val="008670A1"/>
    <w:rsid w:val="00867CFB"/>
    <w:rsid w:val="00872701"/>
    <w:rsid w:val="008759A0"/>
    <w:rsid w:val="008774D9"/>
    <w:rsid w:val="00880227"/>
    <w:rsid w:val="00880549"/>
    <w:rsid w:val="00880961"/>
    <w:rsid w:val="008823A6"/>
    <w:rsid w:val="00885346"/>
    <w:rsid w:val="008860DF"/>
    <w:rsid w:val="0088632C"/>
    <w:rsid w:val="008865BD"/>
    <w:rsid w:val="00890537"/>
    <w:rsid w:val="008928B0"/>
    <w:rsid w:val="00892BEE"/>
    <w:rsid w:val="00893955"/>
    <w:rsid w:val="008969B3"/>
    <w:rsid w:val="0089722C"/>
    <w:rsid w:val="008A3DCE"/>
    <w:rsid w:val="008A5F0D"/>
    <w:rsid w:val="008A6865"/>
    <w:rsid w:val="008A72A2"/>
    <w:rsid w:val="008B1C48"/>
    <w:rsid w:val="008B3790"/>
    <w:rsid w:val="008B3951"/>
    <w:rsid w:val="008B3DC7"/>
    <w:rsid w:val="008B4CC9"/>
    <w:rsid w:val="008B51AD"/>
    <w:rsid w:val="008C0043"/>
    <w:rsid w:val="008C0714"/>
    <w:rsid w:val="008C09B2"/>
    <w:rsid w:val="008C1A0F"/>
    <w:rsid w:val="008C1DAA"/>
    <w:rsid w:val="008C22FD"/>
    <w:rsid w:val="008C2513"/>
    <w:rsid w:val="008C5059"/>
    <w:rsid w:val="008D327D"/>
    <w:rsid w:val="008D5B54"/>
    <w:rsid w:val="008D5EA0"/>
    <w:rsid w:val="008D6240"/>
    <w:rsid w:val="008E5D2B"/>
    <w:rsid w:val="008F58CF"/>
    <w:rsid w:val="008F7C26"/>
    <w:rsid w:val="00902F76"/>
    <w:rsid w:val="0090545D"/>
    <w:rsid w:val="009054E8"/>
    <w:rsid w:val="00907911"/>
    <w:rsid w:val="00910F12"/>
    <w:rsid w:val="00913041"/>
    <w:rsid w:val="0091539A"/>
    <w:rsid w:val="0091650F"/>
    <w:rsid w:val="00922696"/>
    <w:rsid w:val="00923F59"/>
    <w:rsid w:val="00925ACF"/>
    <w:rsid w:val="00926397"/>
    <w:rsid w:val="00926503"/>
    <w:rsid w:val="0092692D"/>
    <w:rsid w:val="00926C1D"/>
    <w:rsid w:val="00930ECF"/>
    <w:rsid w:val="00931CEB"/>
    <w:rsid w:val="0093267F"/>
    <w:rsid w:val="009432A3"/>
    <w:rsid w:val="00943407"/>
    <w:rsid w:val="00943B23"/>
    <w:rsid w:val="00946DF9"/>
    <w:rsid w:val="009500AD"/>
    <w:rsid w:val="0095053C"/>
    <w:rsid w:val="0095057C"/>
    <w:rsid w:val="00951059"/>
    <w:rsid w:val="00955EA2"/>
    <w:rsid w:val="009566AD"/>
    <w:rsid w:val="009571AF"/>
    <w:rsid w:val="0096037E"/>
    <w:rsid w:val="00967271"/>
    <w:rsid w:val="00970A34"/>
    <w:rsid w:val="009713DD"/>
    <w:rsid w:val="00972B39"/>
    <w:rsid w:val="00976129"/>
    <w:rsid w:val="009801F8"/>
    <w:rsid w:val="009838BC"/>
    <w:rsid w:val="00983A14"/>
    <w:rsid w:val="00983EE2"/>
    <w:rsid w:val="00986B91"/>
    <w:rsid w:val="00987966"/>
    <w:rsid w:val="00987A27"/>
    <w:rsid w:val="009901F7"/>
    <w:rsid w:val="009929EC"/>
    <w:rsid w:val="0099720B"/>
    <w:rsid w:val="009A65B8"/>
    <w:rsid w:val="009A685A"/>
    <w:rsid w:val="009B3988"/>
    <w:rsid w:val="009B63B0"/>
    <w:rsid w:val="009C13CB"/>
    <w:rsid w:val="009C21B4"/>
    <w:rsid w:val="009C2EC9"/>
    <w:rsid w:val="009C448A"/>
    <w:rsid w:val="009C6D1A"/>
    <w:rsid w:val="009C73EF"/>
    <w:rsid w:val="009D0498"/>
    <w:rsid w:val="009D175D"/>
    <w:rsid w:val="009D2AC9"/>
    <w:rsid w:val="009D31FB"/>
    <w:rsid w:val="009D36AB"/>
    <w:rsid w:val="009D6B11"/>
    <w:rsid w:val="009D708B"/>
    <w:rsid w:val="009D71BD"/>
    <w:rsid w:val="009E0A80"/>
    <w:rsid w:val="009F1761"/>
    <w:rsid w:val="009F71A2"/>
    <w:rsid w:val="00A029B6"/>
    <w:rsid w:val="00A03FAC"/>
    <w:rsid w:val="00A06E7E"/>
    <w:rsid w:val="00A105E6"/>
    <w:rsid w:val="00A13CE2"/>
    <w:rsid w:val="00A13DDC"/>
    <w:rsid w:val="00A1615A"/>
    <w:rsid w:val="00A164EA"/>
    <w:rsid w:val="00A22D46"/>
    <w:rsid w:val="00A239D2"/>
    <w:rsid w:val="00A255D7"/>
    <w:rsid w:val="00A30968"/>
    <w:rsid w:val="00A32C6E"/>
    <w:rsid w:val="00A33E9C"/>
    <w:rsid w:val="00A351CE"/>
    <w:rsid w:val="00A36733"/>
    <w:rsid w:val="00A40309"/>
    <w:rsid w:val="00A42060"/>
    <w:rsid w:val="00A42EE2"/>
    <w:rsid w:val="00A45DD0"/>
    <w:rsid w:val="00A45F4F"/>
    <w:rsid w:val="00A5137A"/>
    <w:rsid w:val="00A51758"/>
    <w:rsid w:val="00A554EE"/>
    <w:rsid w:val="00A600A9"/>
    <w:rsid w:val="00A61E25"/>
    <w:rsid w:val="00A6263A"/>
    <w:rsid w:val="00A6329B"/>
    <w:rsid w:val="00A63A6A"/>
    <w:rsid w:val="00A6538C"/>
    <w:rsid w:val="00A663DB"/>
    <w:rsid w:val="00A7404D"/>
    <w:rsid w:val="00A74D70"/>
    <w:rsid w:val="00A75E4C"/>
    <w:rsid w:val="00A77268"/>
    <w:rsid w:val="00A81385"/>
    <w:rsid w:val="00A84BCC"/>
    <w:rsid w:val="00A85063"/>
    <w:rsid w:val="00A855DE"/>
    <w:rsid w:val="00A8620D"/>
    <w:rsid w:val="00A86681"/>
    <w:rsid w:val="00A866AC"/>
    <w:rsid w:val="00A90ABC"/>
    <w:rsid w:val="00A922E8"/>
    <w:rsid w:val="00A9262C"/>
    <w:rsid w:val="00A92F17"/>
    <w:rsid w:val="00A93BBB"/>
    <w:rsid w:val="00A950E2"/>
    <w:rsid w:val="00A95C94"/>
    <w:rsid w:val="00AA020D"/>
    <w:rsid w:val="00AA2C76"/>
    <w:rsid w:val="00AA3752"/>
    <w:rsid w:val="00AA412A"/>
    <w:rsid w:val="00AA52F2"/>
    <w:rsid w:val="00AA55B7"/>
    <w:rsid w:val="00AA5B9E"/>
    <w:rsid w:val="00AB2109"/>
    <w:rsid w:val="00AB2407"/>
    <w:rsid w:val="00AB3596"/>
    <w:rsid w:val="00AB53DF"/>
    <w:rsid w:val="00AB61ED"/>
    <w:rsid w:val="00AB7889"/>
    <w:rsid w:val="00AC4DB3"/>
    <w:rsid w:val="00AC59EC"/>
    <w:rsid w:val="00AC669A"/>
    <w:rsid w:val="00AD3257"/>
    <w:rsid w:val="00AD50D4"/>
    <w:rsid w:val="00AD62E9"/>
    <w:rsid w:val="00AE13A6"/>
    <w:rsid w:val="00AE1813"/>
    <w:rsid w:val="00AE3030"/>
    <w:rsid w:val="00AE3C92"/>
    <w:rsid w:val="00AE47E9"/>
    <w:rsid w:val="00AE522A"/>
    <w:rsid w:val="00AF0EFB"/>
    <w:rsid w:val="00AF2B5C"/>
    <w:rsid w:val="00B0042A"/>
    <w:rsid w:val="00B00C3A"/>
    <w:rsid w:val="00B021EE"/>
    <w:rsid w:val="00B02A93"/>
    <w:rsid w:val="00B07E5C"/>
    <w:rsid w:val="00B10DE5"/>
    <w:rsid w:val="00B17836"/>
    <w:rsid w:val="00B17B13"/>
    <w:rsid w:val="00B238E7"/>
    <w:rsid w:val="00B26F81"/>
    <w:rsid w:val="00B31B86"/>
    <w:rsid w:val="00B326E3"/>
    <w:rsid w:val="00B334D7"/>
    <w:rsid w:val="00B3351F"/>
    <w:rsid w:val="00B368CC"/>
    <w:rsid w:val="00B36901"/>
    <w:rsid w:val="00B402F4"/>
    <w:rsid w:val="00B43169"/>
    <w:rsid w:val="00B44339"/>
    <w:rsid w:val="00B44B9E"/>
    <w:rsid w:val="00B464B2"/>
    <w:rsid w:val="00B47261"/>
    <w:rsid w:val="00B5389B"/>
    <w:rsid w:val="00B549D5"/>
    <w:rsid w:val="00B61C60"/>
    <w:rsid w:val="00B7124D"/>
    <w:rsid w:val="00B721C8"/>
    <w:rsid w:val="00B72D84"/>
    <w:rsid w:val="00B73C0C"/>
    <w:rsid w:val="00B74EB4"/>
    <w:rsid w:val="00B77AB8"/>
    <w:rsid w:val="00B811F7"/>
    <w:rsid w:val="00B81771"/>
    <w:rsid w:val="00B82285"/>
    <w:rsid w:val="00B83976"/>
    <w:rsid w:val="00B848FE"/>
    <w:rsid w:val="00B84BD2"/>
    <w:rsid w:val="00B84CD9"/>
    <w:rsid w:val="00B905AA"/>
    <w:rsid w:val="00B90BD1"/>
    <w:rsid w:val="00B93375"/>
    <w:rsid w:val="00B959E6"/>
    <w:rsid w:val="00B97BD5"/>
    <w:rsid w:val="00BA1134"/>
    <w:rsid w:val="00BA1383"/>
    <w:rsid w:val="00BA196F"/>
    <w:rsid w:val="00BA4A23"/>
    <w:rsid w:val="00BA5DC6"/>
    <w:rsid w:val="00BA6196"/>
    <w:rsid w:val="00BA7043"/>
    <w:rsid w:val="00BB0D65"/>
    <w:rsid w:val="00BB2DCC"/>
    <w:rsid w:val="00BB4022"/>
    <w:rsid w:val="00BB5D60"/>
    <w:rsid w:val="00BB6496"/>
    <w:rsid w:val="00BB6DCE"/>
    <w:rsid w:val="00BC6BB5"/>
    <w:rsid w:val="00BC6D8C"/>
    <w:rsid w:val="00BC737A"/>
    <w:rsid w:val="00BC76BB"/>
    <w:rsid w:val="00BD0A9B"/>
    <w:rsid w:val="00BD1F31"/>
    <w:rsid w:val="00BD332E"/>
    <w:rsid w:val="00BD38DB"/>
    <w:rsid w:val="00BD41D9"/>
    <w:rsid w:val="00BD4B59"/>
    <w:rsid w:val="00BD50BA"/>
    <w:rsid w:val="00BD5994"/>
    <w:rsid w:val="00BE1AA3"/>
    <w:rsid w:val="00BE4E73"/>
    <w:rsid w:val="00BE5A68"/>
    <w:rsid w:val="00BF4EC4"/>
    <w:rsid w:val="00C00B2A"/>
    <w:rsid w:val="00C01B19"/>
    <w:rsid w:val="00C0633C"/>
    <w:rsid w:val="00C07140"/>
    <w:rsid w:val="00C077E1"/>
    <w:rsid w:val="00C10E83"/>
    <w:rsid w:val="00C1189E"/>
    <w:rsid w:val="00C14E8F"/>
    <w:rsid w:val="00C16AF2"/>
    <w:rsid w:val="00C20E44"/>
    <w:rsid w:val="00C223D8"/>
    <w:rsid w:val="00C2261D"/>
    <w:rsid w:val="00C2475E"/>
    <w:rsid w:val="00C24DD2"/>
    <w:rsid w:val="00C25666"/>
    <w:rsid w:val="00C27664"/>
    <w:rsid w:val="00C27859"/>
    <w:rsid w:val="00C27EA3"/>
    <w:rsid w:val="00C31891"/>
    <w:rsid w:val="00C33898"/>
    <w:rsid w:val="00C34006"/>
    <w:rsid w:val="00C34F82"/>
    <w:rsid w:val="00C35272"/>
    <w:rsid w:val="00C360F5"/>
    <w:rsid w:val="00C367FB"/>
    <w:rsid w:val="00C37B71"/>
    <w:rsid w:val="00C41A27"/>
    <w:rsid w:val="00C426B1"/>
    <w:rsid w:val="00C43525"/>
    <w:rsid w:val="00C43547"/>
    <w:rsid w:val="00C43AC6"/>
    <w:rsid w:val="00C4665E"/>
    <w:rsid w:val="00C47FF8"/>
    <w:rsid w:val="00C509AC"/>
    <w:rsid w:val="00C50A2E"/>
    <w:rsid w:val="00C543F9"/>
    <w:rsid w:val="00C55FF6"/>
    <w:rsid w:val="00C56B90"/>
    <w:rsid w:val="00C61BB7"/>
    <w:rsid w:val="00C621EC"/>
    <w:rsid w:val="00C70F5B"/>
    <w:rsid w:val="00C7200D"/>
    <w:rsid w:val="00C7218A"/>
    <w:rsid w:val="00C7222F"/>
    <w:rsid w:val="00C7392A"/>
    <w:rsid w:val="00C80924"/>
    <w:rsid w:val="00C82B6B"/>
    <w:rsid w:val="00C84CB7"/>
    <w:rsid w:val="00C850D8"/>
    <w:rsid w:val="00C85AF8"/>
    <w:rsid w:val="00C90D6A"/>
    <w:rsid w:val="00C96CB6"/>
    <w:rsid w:val="00CA5E0B"/>
    <w:rsid w:val="00CA63AF"/>
    <w:rsid w:val="00CB14D4"/>
    <w:rsid w:val="00CB4801"/>
    <w:rsid w:val="00CB6CE9"/>
    <w:rsid w:val="00CC3745"/>
    <w:rsid w:val="00CC4904"/>
    <w:rsid w:val="00CC60EB"/>
    <w:rsid w:val="00CC6A10"/>
    <w:rsid w:val="00CC72B6"/>
    <w:rsid w:val="00CD1437"/>
    <w:rsid w:val="00CD2FA0"/>
    <w:rsid w:val="00CD30B5"/>
    <w:rsid w:val="00CD5655"/>
    <w:rsid w:val="00CE2113"/>
    <w:rsid w:val="00CE359D"/>
    <w:rsid w:val="00CE3C68"/>
    <w:rsid w:val="00CF0F77"/>
    <w:rsid w:val="00CF1A56"/>
    <w:rsid w:val="00D0218D"/>
    <w:rsid w:val="00D03809"/>
    <w:rsid w:val="00D04868"/>
    <w:rsid w:val="00D06F09"/>
    <w:rsid w:val="00D06FA2"/>
    <w:rsid w:val="00D12B3C"/>
    <w:rsid w:val="00D13707"/>
    <w:rsid w:val="00D17873"/>
    <w:rsid w:val="00D216CD"/>
    <w:rsid w:val="00D22B78"/>
    <w:rsid w:val="00D238CC"/>
    <w:rsid w:val="00D26EF4"/>
    <w:rsid w:val="00D32848"/>
    <w:rsid w:val="00D351CC"/>
    <w:rsid w:val="00D3650B"/>
    <w:rsid w:val="00D41B3B"/>
    <w:rsid w:val="00D45A14"/>
    <w:rsid w:val="00D501C6"/>
    <w:rsid w:val="00D5095E"/>
    <w:rsid w:val="00D51481"/>
    <w:rsid w:val="00D53ADF"/>
    <w:rsid w:val="00D541B7"/>
    <w:rsid w:val="00D5454A"/>
    <w:rsid w:val="00D5495C"/>
    <w:rsid w:val="00D6557E"/>
    <w:rsid w:val="00D6581B"/>
    <w:rsid w:val="00D7290A"/>
    <w:rsid w:val="00D74AEC"/>
    <w:rsid w:val="00D76953"/>
    <w:rsid w:val="00D806AA"/>
    <w:rsid w:val="00D8081B"/>
    <w:rsid w:val="00D80BEF"/>
    <w:rsid w:val="00D81F91"/>
    <w:rsid w:val="00D8472B"/>
    <w:rsid w:val="00D84C22"/>
    <w:rsid w:val="00D851AB"/>
    <w:rsid w:val="00D85EF5"/>
    <w:rsid w:val="00D90DAC"/>
    <w:rsid w:val="00DA07AA"/>
    <w:rsid w:val="00DA2529"/>
    <w:rsid w:val="00DA455F"/>
    <w:rsid w:val="00DA77F0"/>
    <w:rsid w:val="00DB0101"/>
    <w:rsid w:val="00DB130A"/>
    <w:rsid w:val="00DB36BF"/>
    <w:rsid w:val="00DB54CA"/>
    <w:rsid w:val="00DB5AC1"/>
    <w:rsid w:val="00DB6527"/>
    <w:rsid w:val="00DB6AC7"/>
    <w:rsid w:val="00DC0759"/>
    <w:rsid w:val="00DC10A1"/>
    <w:rsid w:val="00DC44DE"/>
    <w:rsid w:val="00DC4D66"/>
    <w:rsid w:val="00DC53B1"/>
    <w:rsid w:val="00DC56D1"/>
    <w:rsid w:val="00DC655F"/>
    <w:rsid w:val="00DC7BAE"/>
    <w:rsid w:val="00DD0336"/>
    <w:rsid w:val="00DD0F22"/>
    <w:rsid w:val="00DD6C7F"/>
    <w:rsid w:val="00DD7EBD"/>
    <w:rsid w:val="00DE0D04"/>
    <w:rsid w:val="00DE13BD"/>
    <w:rsid w:val="00DE4B07"/>
    <w:rsid w:val="00DF1B24"/>
    <w:rsid w:val="00DF4E87"/>
    <w:rsid w:val="00DF62B6"/>
    <w:rsid w:val="00E0101E"/>
    <w:rsid w:val="00E04D5A"/>
    <w:rsid w:val="00E07225"/>
    <w:rsid w:val="00E155B7"/>
    <w:rsid w:val="00E15AD6"/>
    <w:rsid w:val="00E15F88"/>
    <w:rsid w:val="00E17865"/>
    <w:rsid w:val="00E21870"/>
    <w:rsid w:val="00E262F3"/>
    <w:rsid w:val="00E27214"/>
    <w:rsid w:val="00E336E6"/>
    <w:rsid w:val="00E3399D"/>
    <w:rsid w:val="00E37785"/>
    <w:rsid w:val="00E4245C"/>
    <w:rsid w:val="00E504A8"/>
    <w:rsid w:val="00E50F11"/>
    <w:rsid w:val="00E5409F"/>
    <w:rsid w:val="00E554BA"/>
    <w:rsid w:val="00E61137"/>
    <w:rsid w:val="00E63E9C"/>
    <w:rsid w:val="00E65904"/>
    <w:rsid w:val="00E66D2C"/>
    <w:rsid w:val="00E70C9B"/>
    <w:rsid w:val="00E72298"/>
    <w:rsid w:val="00E73463"/>
    <w:rsid w:val="00E743F2"/>
    <w:rsid w:val="00E74F67"/>
    <w:rsid w:val="00E77864"/>
    <w:rsid w:val="00E8036C"/>
    <w:rsid w:val="00E85276"/>
    <w:rsid w:val="00E87847"/>
    <w:rsid w:val="00E96AC2"/>
    <w:rsid w:val="00E96B4B"/>
    <w:rsid w:val="00E9794F"/>
    <w:rsid w:val="00EA003B"/>
    <w:rsid w:val="00EA1D70"/>
    <w:rsid w:val="00EA5DC5"/>
    <w:rsid w:val="00EB08CE"/>
    <w:rsid w:val="00EB17F9"/>
    <w:rsid w:val="00EB28CF"/>
    <w:rsid w:val="00EB2C44"/>
    <w:rsid w:val="00EB4A52"/>
    <w:rsid w:val="00EC0185"/>
    <w:rsid w:val="00EC0BF7"/>
    <w:rsid w:val="00EC195C"/>
    <w:rsid w:val="00EC2DFD"/>
    <w:rsid w:val="00EC5A87"/>
    <w:rsid w:val="00EC68BF"/>
    <w:rsid w:val="00ED05B6"/>
    <w:rsid w:val="00ED11B3"/>
    <w:rsid w:val="00ED33DB"/>
    <w:rsid w:val="00ED3D49"/>
    <w:rsid w:val="00ED61CE"/>
    <w:rsid w:val="00ED6F96"/>
    <w:rsid w:val="00EE0028"/>
    <w:rsid w:val="00EE4BF4"/>
    <w:rsid w:val="00EE6ADD"/>
    <w:rsid w:val="00EF064F"/>
    <w:rsid w:val="00EF0CEF"/>
    <w:rsid w:val="00EF3D8E"/>
    <w:rsid w:val="00EF5C69"/>
    <w:rsid w:val="00EF5E4D"/>
    <w:rsid w:val="00F021FA"/>
    <w:rsid w:val="00F03EE6"/>
    <w:rsid w:val="00F051B1"/>
    <w:rsid w:val="00F10131"/>
    <w:rsid w:val="00F10428"/>
    <w:rsid w:val="00F11F96"/>
    <w:rsid w:val="00F13114"/>
    <w:rsid w:val="00F13E8E"/>
    <w:rsid w:val="00F14D69"/>
    <w:rsid w:val="00F1632C"/>
    <w:rsid w:val="00F23D30"/>
    <w:rsid w:val="00F243B7"/>
    <w:rsid w:val="00F304C0"/>
    <w:rsid w:val="00F311FC"/>
    <w:rsid w:val="00F322CA"/>
    <w:rsid w:val="00F37BD3"/>
    <w:rsid w:val="00F432AC"/>
    <w:rsid w:val="00F4366C"/>
    <w:rsid w:val="00F43E3B"/>
    <w:rsid w:val="00F446CC"/>
    <w:rsid w:val="00F46420"/>
    <w:rsid w:val="00F50197"/>
    <w:rsid w:val="00F5223B"/>
    <w:rsid w:val="00F57ACA"/>
    <w:rsid w:val="00F61010"/>
    <w:rsid w:val="00F61F48"/>
    <w:rsid w:val="00F62E97"/>
    <w:rsid w:val="00F64209"/>
    <w:rsid w:val="00F65711"/>
    <w:rsid w:val="00F66D37"/>
    <w:rsid w:val="00F67726"/>
    <w:rsid w:val="00F70890"/>
    <w:rsid w:val="00F72B31"/>
    <w:rsid w:val="00F73399"/>
    <w:rsid w:val="00F7410E"/>
    <w:rsid w:val="00F76515"/>
    <w:rsid w:val="00F80370"/>
    <w:rsid w:val="00F84F68"/>
    <w:rsid w:val="00F85C74"/>
    <w:rsid w:val="00F93BF5"/>
    <w:rsid w:val="00F96438"/>
    <w:rsid w:val="00F96F63"/>
    <w:rsid w:val="00F9742C"/>
    <w:rsid w:val="00FA3284"/>
    <w:rsid w:val="00FB0C37"/>
    <w:rsid w:val="00FB1102"/>
    <w:rsid w:val="00FB2F91"/>
    <w:rsid w:val="00FB3EDD"/>
    <w:rsid w:val="00FB6AC1"/>
    <w:rsid w:val="00FC392C"/>
    <w:rsid w:val="00FC565D"/>
    <w:rsid w:val="00FC6E66"/>
    <w:rsid w:val="00FC7C2A"/>
    <w:rsid w:val="00FD2298"/>
    <w:rsid w:val="00FD2ED6"/>
    <w:rsid w:val="00FE1675"/>
    <w:rsid w:val="00FE56A1"/>
    <w:rsid w:val="00FE56C4"/>
    <w:rsid w:val="00FE583B"/>
    <w:rsid w:val="00FF4199"/>
    <w:rsid w:val="00FF6278"/>
    <w:rsid w:val="00FF682A"/>
    <w:rsid w:val="00FF7A37"/>
    <w:rsid w:val="75796D0F"/>
    <w:rsid w:val="7AC21DFE"/>
    <w:rsid w:val="7B6157F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B975EBC"/>
  <w15:chartTrackingRefBased/>
  <w15:docId w15:val="{781F4A31-8D49-4320-B192-22E1A735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lang w:eastAsia="en-US"/>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rsid w:val="000E3D42"/>
    <w:pPr>
      <w:spacing w:after="120"/>
    </w:pPr>
    <w:rPr>
      <w:lang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lang w:eastAsia="en-US"/>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9901F7"/>
  </w:style>
  <w:style w:type="paragraph" w:styleId="Revision">
    <w:name w:val="Revision"/>
    <w:hidden/>
    <w:uiPriority w:val="99"/>
    <w:semiHidden/>
    <w:rsid w:val="007019FF"/>
    <w:rPr>
      <w:snapToGrid w:val="0"/>
      <w:kern w:val="28"/>
      <w:sz w:val="22"/>
      <w:lang w:eastAsia="en-US"/>
    </w:rPr>
  </w:style>
  <w:style w:type="character" w:styleId="Emphasis">
    <w:name w:val="Emphasis"/>
    <w:uiPriority w:val="20"/>
    <w:qFormat/>
    <w:rsid w:val="002049B9"/>
    <w:rPr>
      <w:i/>
      <w:iCs/>
    </w:rPr>
  </w:style>
  <w:style w:type="character" w:customStyle="1" w:styleId="cosearchterm">
    <w:name w:val="co_searchterm"/>
    <w:basedOn w:val="DefaultParagraphFont"/>
    <w:rsid w:val="002049B9"/>
  </w:style>
  <w:style w:type="character" w:customStyle="1" w:styleId="copinpointicon">
    <w:name w:val="co_pinpointicon"/>
    <w:basedOn w:val="DefaultParagraphFont"/>
    <w:rsid w:val="005B5B7B"/>
  </w:style>
  <w:style w:type="character" w:customStyle="1" w:styleId="UnresolvedMention1">
    <w:name w:val="Unresolved Mention1"/>
    <w:uiPriority w:val="99"/>
    <w:rsid w:val="00432569"/>
    <w:rPr>
      <w:color w:val="605E5C"/>
      <w:shd w:val="clear" w:color="auto" w:fill="E1DFDD"/>
    </w:rPr>
  </w:style>
  <w:style w:type="character" w:styleId="FollowedHyperlink">
    <w:name w:val="FollowedHyperlink"/>
    <w:uiPriority w:val="99"/>
    <w:semiHidden/>
    <w:unhideWhenUsed/>
    <w:rsid w:val="00432569"/>
    <w:rPr>
      <w:color w:val="954F72"/>
      <w:u w:val="single"/>
    </w:rPr>
  </w:style>
  <w:style w:type="paragraph" w:customStyle="1" w:styleId="xmsonormal">
    <w:name w:val="x_msonormal"/>
    <w:basedOn w:val="Normal"/>
    <w:rsid w:val="00EC68BF"/>
    <w:pPr>
      <w:widowControl/>
    </w:pPr>
    <w:rPr>
      <w:rFonts w:ascii="Calibri" w:hAnsi="Calibri" w:eastAsiaTheme="minorHAnsi" w:cs="Calibri"/>
      <w:snapToGrid/>
      <w:kern w:val="0"/>
      <w:szCs w:val="22"/>
    </w:rPr>
  </w:style>
  <w:style w:type="character" w:customStyle="1" w:styleId="UnresolvedMention2">
    <w:name w:val="Unresolved Mention2"/>
    <w:basedOn w:val="DefaultParagraphFont"/>
    <w:uiPriority w:val="99"/>
    <w:rsid w:val="003169D5"/>
    <w:rPr>
      <w:color w:val="605E5C"/>
      <w:shd w:val="clear" w:color="auto" w:fill="E1DFDD"/>
    </w:rPr>
  </w:style>
  <w:style w:type="character" w:customStyle="1" w:styleId="UnresolvedMention">
    <w:name w:val="Unresolved Mention"/>
    <w:basedOn w:val="DefaultParagraphFont"/>
    <w:uiPriority w:val="99"/>
    <w:rsid w:val="00F70890"/>
    <w:rPr>
      <w:color w:val="605E5C"/>
      <w:shd w:val="clear" w:color="auto" w:fill="E1DFDD"/>
    </w:rPr>
  </w:style>
  <w:style w:type="character" w:customStyle="1" w:styleId="markedcontent">
    <w:name w:val="markedcontent"/>
    <w:basedOn w:val="DefaultParagraphFont"/>
    <w:rsid w:val="009D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21520326727/Aspire%20214%20application%20102121.pdf" TargetMode="External" /><Relationship Id="rId2" Type="http://schemas.openxmlformats.org/officeDocument/2006/relationships/hyperlink" Target="https://ecfsapi.fcc.gov/file/11041256618169/Aspire%20214%20Supplement%20110321%20.pdf%20"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