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E5884" w:rsidRPr="00B02A93" w:rsidP="75796D0F" w14:paraId="49A332D6" w14:textId="77777777">
      <w:pPr>
        <w:jc w:val="right"/>
        <w:rPr>
          <w:sz w:val="24"/>
          <w:szCs w:val="24"/>
        </w:rPr>
      </w:pPr>
      <w:r w:rsidRPr="00B02A93">
        <w:rPr>
          <w:sz w:val="24"/>
          <w:szCs w:val="24"/>
        </w:rPr>
        <w:t xml:space="preserve"> </w:t>
      </w:r>
    </w:p>
    <w:p w:rsidR="005614FA" w:rsidRPr="00B02A93" w:rsidP="005614FA" w14:paraId="14E21ECD" w14:textId="45A4F348">
      <w:pPr>
        <w:widowControl/>
        <w:suppressAutoHyphens/>
        <w:jc w:val="right"/>
        <w:rPr>
          <w:b/>
        </w:rPr>
      </w:pPr>
      <w:r w:rsidRPr="00B02A93">
        <w:rPr>
          <w:b/>
        </w:rPr>
        <w:t xml:space="preserve">DA </w:t>
      </w:r>
      <w:r w:rsidR="0074353A">
        <w:rPr>
          <w:b/>
        </w:rPr>
        <w:t>21</w:t>
      </w:r>
      <w:r w:rsidR="00F70890">
        <w:rPr>
          <w:b/>
        </w:rPr>
        <w:t>-</w:t>
      </w:r>
      <w:r w:rsidR="0074353A">
        <w:rPr>
          <w:b/>
        </w:rPr>
        <w:t>1577</w:t>
      </w:r>
    </w:p>
    <w:p w:rsidR="005614FA" w:rsidRPr="00B02A93" w:rsidP="005614FA" w14:paraId="41C456E5" w14:textId="4E4960F5">
      <w:pPr>
        <w:widowControl/>
        <w:suppressAutoHyphens/>
        <w:spacing w:after="240"/>
        <w:jc w:val="right"/>
        <w:rPr>
          <w:b/>
        </w:rPr>
      </w:pPr>
      <w:r w:rsidRPr="00B02A93">
        <w:rPr>
          <w:b/>
        </w:rPr>
        <w:t xml:space="preserve">Released: </w:t>
      </w:r>
      <w:r w:rsidR="006B38A3">
        <w:rPr>
          <w:b/>
        </w:rPr>
        <w:t>December 15, 2021</w:t>
      </w:r>
      <w:r w:rsidRPr="00B02A93">
        <w:rPr>
          <w:b/>
        </w:rPr>
        <w:t xml:space="preserve"> </w:t>
      </w:r>
    </w:p>
    <w:p w:rsidR="00242F44" w:rsidRPr="00B02A93" w:rsidP="005614FA" w14:paraId="2446606A" w14:textId="77777777">
      <w:pPr>
        <w:autoSpaceDE w:val="0"/>
        <w:autoSpaceDN w:val="0"/>
        <w:adjustRightInd w:val="0"/>
        <w:jc w:val="center"/>
        <w:rPr>
          <w:b/>
          <w:szCs w:val="22"/>
        </w:rPr>
      </w:pPr>
      <w:r w:rsidRPr="00B02A93">
        <w:rPr>
          <w:b/>
          <w:szCs w:val="22"/>
        </w:rPr>
        <w:t xml:space="preserve">DOMESTIC </w:t>
      </w:r>
      <w:r w:rsidR="003A2225">
        <w:rPr>
          <w:b/>
          <w:szCs w:val="22"/>
        </w:rPr>
        <w:t xml:space="preserve">SECTION </w:t>
      </w:r>
      <w:r w:rsidRPr="00B02A93">
        <w:rPr>
          <w:b/>
          <w:szCs w:val="22"/>
        </w:rPr>
        <w:t xml:space="preserve">214 </w:t>
      </w:r>
      <w:r w:rsidRPr="00B02A93" w:rsidR="00C31891">
        <w:rPr>
          <w:b/>
          <w:szCs w:val="22"/>
        </w:rPr>
        <w:t>APPLICATION</w:t>
      </w:r>
      <w:r w:rsidRPr="00B02A93" w:rsidR="0054043D">
        <w:rPr>
          <w:b/>
          <w:szCs w:val="22"/>
        </w:rPr>
        <w:t xml:space="preserve"> G</w:t>
      </w:r>
      <w:r w:rsidRPr="00B02A93" w:rsidR="00C31891">
        <w:rPr>
          <w:b/>
          <w:szCs w:val="22"/>
        </w:rPr>
        <w:t xml:space="preserve">RANTED FOR </w:t>
      </w:r>
    </w:p>
    <w:p w:rsidR="00D37DBE" w:rsidRPr="00D37DBE" w:rsidP="00D37DBE" w14:paraId="796DA119" w14:textId="77777777">
      <w:pPr>
        <w:jc w:val="center"/>
        <w:rPr>
          <w:b/>
          <w:bCs/>
          <w:caps/>
          <w:snapToGrid/>
          <w:kern w:val="0"/>
          <w:szCs w:val="22"/>
        </w:rPr>
      </w:pPr>
      <w:r w:rsidRPr="00B02A93">
        <w:rPr>
          <w:b/>
          <w:szCs w:val="22"/>
        </w:rPr>
        <w:t xml:space="preserve">THE </w:t>
      </w:r>
      <w:r w:rsidRPr="00D37DBE">
        <w:rPr>
          <w:b/>
          <w:bCs/>
          <w:caps/>
          <w:snapToGrid/>
          <w:kern w:val="0"/>
          <w:szCs w:val="22"/>
        </w:rPr>
        <w:t xml:space="preserve">TRANSFER OF CONTROL OF </w:t>
      </w:r>
      <w:bookmarkStart w:id="0" w:name="_Hlk83973973"/>
      <w:r w:rsidRPr="00D37DBE">
        <w:rPr>
          <w:b/>
          <w:bCs/>
          <w:caps/>
          <w:snapToGrid/>
          <w:kern w:val="0"/>
          <w:szCs w:val="22"/>
        </w:rPr>
        <w:t xml:space="preserve">Troy Cablevision, Inc. and </w:t>
      </w:r>
    </w:p>
    <w:p w:rsidR="00D37DBE" w:rsidRPr="00D37DBE" w:rsidP="00D37DBE" w14:paraId="7DCA47F8" w14:textId="77777777">
      <w:pPr>
        <w:widowControl/>
        <w:jc w:val="center"/>
        <w:rPr>
          <w:b/>
          <w:bCs/>
          <w:caps/>
          <w:snapToGrid/>
          <w:kern w:val="0"/>
          <w:szCs w:val="22"/>
        </w:rPr>
      </w:pPr>
      <w:r w:rsidRPr="00D37DBE">
        <w:rPr>
          <w:b/>
          <w:bCs/>
          <w:caps/>
          <w:snapToGrid/>
          <w:kern w:val="0"/>
          <w:szCs w:val="22"/>
        </w:rPr>
        <w:t xml:space="preserve">Union Springs Telephone Company, Inc. TO </w:t>
      </w:r>
      <w:bookmarkEnd w:id="0"/>
      <w:r w:rsidRPr="00D37DBE">
        <w:rPr>
          <w:b/>
          <w:bCs/>
          <w:caps/>
          <w:snapToGrid/>
          <w:kern w:val="0"/>
          <w:szCs w:val="22"/>
        </w:rPr>
        <w:t>Telapex, Inc.</w:t>
      </w:r>
    </w:p>
    <w:p w:rsidR="005614FA" w:rsidRPr="00B02A93" w:rsidP="0084412A" w14:paraId="03EB8171" w14:textId="77777777">
      <w:pPr>
        <w:autoSpaceDE w:val="0"/>
        <w:autoSpaceDN w:val="0"/>
        <w:adjustRightInd w:val="0"/>
        <w:rPr>
          <w:b/>
          <w:szCs w:val="22"/>
        </w:rPr>
      </w:pPr>
    </w:p>
    <w:p w:rsidR="005614FA" w:rsidRPr="00B02A93" w:rsidP="005614FA" w14:paraId="7CD186CB" w14:textId="20879150">
      <w:pPr>
        <w:autoSpaceDE w:val="0"/>
        <w:autoSpaceDN w:val="0"/>
        <w:adjustRightInd w:val="0"/>
        <w:jc w:val="center"/>
        <w:rPr>
          <w:b/>
          <w:szCs w:val="22"/>
        </w:rPr>
      </w:pPr>
      <w:r w:rsidRPr="00B02A93">
        <w:rPr>
          <w:b/>
          <w:szCs w:val="22"/>
        </w:rPr>
        <w:t xml:space="preserve">WC Docket No. </w:t>
      </w:r>
      <w:r w:rsidRPr="00B02A93" w:rsidR="00207939">
        <w:rPr>
          <w:b/>
          <w:szCs w:val="22"/>
        </w:rPr>
        <w:t>2</w:t>
      </w:r>
      <w:r w:rsidRPr="00B02A93" w:rsidR="004F737A">
        <w:rPr>
          <w:b/>
          <w:szCs w:val="22"/>
        </w:rPr>
        <w:t>1</w:t>
      </w:r>
      <w:r w:rsidRPr="00B02A93" w:rsidR="001E397D">
        <w:rPr>
          <w:b/>
          <w:szCs w:val="22"/>
        </w:rPr>
        <w:t>-</w:t>
      </w:r>
      <w:r w:rsidR="00F70890">
        <w:rPr>
          <w:b/>
          <w:szCs w:val="22"/>
        </w:rPr>
        <w:t>41</w:t>
      </w:r>
      <w:r w:rsidR="00D37DBE">
        <w:rPr>
          <w:b/>
          <w:szCs w:val="22"/>
        </w:rPr>
        <w:t>1</w:t>
      </w:r>
    </w:p>
    <w:p w:rsidR="005614FA" w:rsidRPr="00B02A93" w:rsidP="005614FA" w14:paraId="0D2D032C" w14:textId="77777777">
      <w:pPr>
        <w:widowControl/>
        <w:suppressAutoHyphens/>
        <w:rPr>
          <w:b/>
        </w:rPr>
      </w:pPr>
    </w:p>
    <w:p w:rsidR="00FD2298" w:rsidRPr="00202159" w:rsidP="00202159" w14:paraId="5A53A2AB" w14:textId="169548A6">
      <w:pPr>
        <w:widowControl/>
        <w:autoSpaceDE w:val="0"/>
        <w:autoSpaceDN w:val="0"/>
        <w:adjustRightInd w:val="0"/>
        <w:spacing w:after="120"/>
        <w:ind w:firstLine="720"/>
        <w:rPr>
          <w:szCs w:val="22"/>
        </w:rPr>
      </w:pPr>
      <w:r w:rsidRPr="00202159">
        <w:rPr>
          <w:snapToGrid/>
          <w:kern w:val="0"/>
          <w:szCs w:val="22"/>
        </w:rPr>
        <w:t>By this Public Notice, the Wireline Competition Bureau</w:t>
      </w:r>
      <w:r w:rsidRPr="00202159" w:rsidR="00756EBC">
        <w:rPr>
          <w:snapToGrid/>
          <w:kern w:val="0"/>
          <w:szCs w:val="22"/>
        </w:rPr>
        <w:t xml:space="preserve"> </w:t>
      </w:r>
      <w:r w:rsidRPr="00202159" w:rsidR="002958B1">
        <w:rPr>
          <w:snapToGrid/>
          <w:kern w:val="0"/>
          <w:szCs w:val="22"/>
        </w:rPr>
        <w:t xml:space="preserve">(Bureau) </w:t>
      </w:r>
      <w:r w:rsidRPr="00202159">
        <w:rPr>
          <w:snapToGrid/>
          <w:kern w:val="0"/>
          <w:szCs w:val="22"/>
        </w:rPr>
        <w:t>grant</w:t>
      </w:r>
      <w:r w:rsidRPr="00202159" w:rsidR="00257E30">
        <w:rPr>
          <w:snapToGrid/>
          <w:kern w:val="0"/>
          <w:szCs w:val="22"/>
        </w:rPr>
        <w:t>s</w:t>
      </w:r>
      <w:r w:rsidRPr="00202159">
        <w:rPr>
          <w:snapToGrid/>
          <w:kern w:val="0"/>
          <w:szCs w:val="22"/>
        </w:rPr>
        <w:t xml:space="preserve"> </w:t>
      </w:r>
      <w:r w:rsidRPr="00202159" w:rsidR="00A87085">
        <w:rPr>
          <w:snapToGrid/>
          <w:kern w:val="0"/>
          <w:szCs w:val="22"/>
        </w:rPr>
        <w:t>an application</w:t>
      </w:r>
      <w:r>
        <w:rPr>
          <w:snapToGrid/>
          <w:kern w:val="0"/>
          <w:szCs w:val="22"/>
          <w:vertAlign w:val="superscript"/>
        </w:rPr>
        <w:footnoteReference w:id="3"/>
      </w:r>
      <w:r w:rsidRPr="00202159" w:rsidR="00A87085">
        <w:rPr>
          <w:snapToGrid/>
          <w:kern w:val="0"/>
          <w:szCs w:val="22"/>
        </w:rPr>
        <w:t xml:space="preserve"> filed by </w:t>
      </w:r>
      <w:bookmarkStart w:id="1" w:name="_Hlk73713070"/>
      <w:bookmarkStart w:id="2" w:name="_Hlk67917977"/>
      <w:r w:rsidRPr="00202159" w:rsidR="00A87085">
        <w:rPr>
          <w:snapToGrid/>
          <w:kern w:val="0"/>
          <w:szCs w:val="22"/>
        </w:rPr>
        <w:t>Troy Cablevision, Inc., d/b/a Troy Cable (Troy Cable), Union Springs Telephone Company, Inc. (USTC), and Telapex, Inc. (Telapex) (collectively, Applicants), pursuant to section 214 of the Communications Act of 1934, as amended</w:t>
      </w:r>
      <w:r w:rsidRPr="00202159" w:rsidR="00AD766F">
        <w:rPr>
          <w:snapToGrid/>
          <w:kern w:val="0"/>
          <w:szCs w:val="22"/>
        </w:rPr>
        <w:t xml:space="preserve"> (Act)</w:t>
      </w:r>
      <w:r w:rsidRPr="00202159" w:rsidR="00A87085">
        <w:rPr>
          <w:snapToGrid/>
          <w:kern w:val="0"/>
          <w:szCs w:val="22"/>
        </w:rPr>
        <w:t>, and sections 63.03-04 of the Commission’s rules, requesting consent to transfer control of Troy Cable and USTC to Telapex.</w:t>
      </w:r>
      <w:bookmarkStart w:id="3" w:name="_Hlk72758776"/>
      <w:bookmarkEnd w:id="1"/>
      <w:bookmarkEnd w:id="2"/>
      <w:r>
        <w:rPr>
          <w:snapToGrid/>
          <w:kern w:val="0"/>
          <w:szCs w:val="22"/>
          <w:vertAlign w:val="superscript"/>
        </w:rPr>
        <w:footnoteReference w:id="4"/>
      </w:r>
      <w:bookmarkEnd w:id="3"/>
      <w:r w:rsidRPr="00202159" w:rsidR="00A87085">
        <w:rPr>
          <w:snapToGrid/>
          <w:kern w:val="0"/>
          <w:szCs w:val="22"/>
        </w:rPr>
        <w:t xml:space="preserve">  </w:t>
      </w:r>
      <w:r w:rsidRPr="00202159" w:rsidR="00C84CB7">
        <w:rPr>
          <w:szCs w:val="22"/>
        </w:rPr>
        <w:t xml:space="preserve">  </w:t>
      </w:r>
    </w:p>
    <w:p w:rsidR="005614FA" w:rsidRPr="00202159" w:rsidP="00202159" w14:paraId="221874C7" w14:textId="6B365B39">
      <w:pPr>
        <w:widowControl/>
        <w:autoSpaceDE w:val="0"/>
        <w:autoSpaceDN w:val="0"/>
        <w:adjustRightInd w:val="0"/>
        <w:spacing w:after="120"/>
        <w:ind w:firstLine="720"/>
        <w:rPr>
          <w:snapToGrid/>
          <w:kern w:val="0"/>
          <w:szCs w:val="22"/>
        </w:rPr>
      </w:pPr>
      <w:r w:rsidRPr="00202159">
        <w:rPr>
          <w:szCs w:val="22"/>
        </w:rPr>
        <w:t xml:space="preserve">On </w:t>
      </w:r>
      <w:r w:rsidRPr="00202159" w:rsidR="00C543F9">
        <w:rPr>
          <w:szCs w:val="22"/>
        </w:rPr>
        <w:t>November</w:t>
      </w:r>
      <w:r w:rsidRPr="00202159" w:rsidR="00C84CB7">
        <w:rPr>
          <w:szCs w:val="22"/>
        </w:rPr>
        <w:t xml:space="preserve"> </w:t>
      </w:r>
      <w:r w:rsidRPr="00202159" w:rsidR="00A87085">
        <w:rPr>
          <w:szCs w:val="22"/>
        </w:rPr>
        <w:t>4</w:t>
      </w:r>
      <w:r w:rsidRPr="00202159">
        <w:rPr>
          <w:szCs w:val="22"/>
        </w:rPr>
        <w:t>, 2021, the Bureau released a public notice seeking comment on the Application.</w:t>
      </w:r>
      <w:r>
        <w:rPr>
          <w:rStyle w:val="FootnoteReference"/>
          <w:szCs w:val="22"/>
        </w:rPr>
        <w:footnoteReference w:id="5"/>
      </w:r>
      <w:r w:rsidRPr="00202159">
        <w:rPr>
          <w:szCs w:val="22"/>
        </w:rPr>
        <w:t xml:space="preserve"> </w:t>
      </w:r>
      <w:r w:rsidRPr="00202159" w:rsidR="00AB3596">
        <w:rPr>
          <w:szCs w:val="22"/>
        </w:rPr>
        <w:t xml:space="preserve"> The Bureau </w:t>
      </w:r>
      <w:r w:rsidRPr="00202159">
        <w:rPr>
          <w:szCs w:val="22"/>
        </w:rPr>
        <w:t>did not receive comments or petitions in opposition</w:t>
      </w:r>
      <w:r w:rsidRPr="00202159" w:rsidR="002F7521">
        <w:rPr>
          <w:szCs w:val="22"/>
        </w:rPr>
        <w:t xml:space="preserve"> to </w:t>
      </w:r>
      <w:r w:rsidRPr="00202159" w:rsidR="002078B3">
        <w:rPr>
          <w:szCs w:val="22"/>
        </w:rPr>
        <w:t xml:space="preserve">the </w:t>
      </w:r>
      <w:r w:rsidRPr="00202159">
        <w:rPr>
          <w:szCs w:val="22"/>
        </w:rPr>
        <w:t>Application.</w:t>
      </w:r>
      <w:r w:rsidRPr="00202159" w:rsidR="0085777F">
        <w:rPr>
          <w:snapToGrid/>
          <w:kern w:val="0"/>
          <w:szCs w:val="22"/>
        </w:rPr>
        <w:t xml:space="preserve"> </w:t>
      </w:r>
    </w:p>
    <w:p w:rsidR="008D5B54" w:rsidRPr="00202159" w:rsidP="00202159" w14:paraId="1F44C199" w14:textId="77777777">
      <w:pPr>
        <w:widowControl/>
        <w:autoSpaceDE w:val="0"/>
        <w:autoSpaceDN w:val="0"/>
        <w:adjustRightInd w:val="0"/>
        <w:spacing w:after="120"/>
        <w:rPr>
          <w:b/>
          <w:bCs/>
          <w:snapToGrid/>
          <w:kern w:val="0"/>
          <w:szCs w:val="22"/>
          <w:u w:val="single"/>
        </w:rPr>
      </w:pPr>
      <w:r w:rsidRPr="00202159">
        <w:rPr>
          <w:b/>
          <w:bCs/>
          <w:snapToGrid/>
          <w:kern w:val="0"/>
          <w:szCs w:val="22"/>
          <w:u w:val="single"/>
        </w:rPr>
        <w:t>Applicants and Description of Transaction</w:t>
      </w:r>
    </w:p>
    <w:p w:rsidR="00A87085" w:rsidRPr="00202159" w:rsidP="00202159" w14:paraId="580AA74D" w14:textId="00496E8A">
      <w:pPr>
        <w:widowControl/>
        <w:autoSpaceDE w:val="0"/>
        <w:autoSpaceDN w:val="0"/>
        <w:adjustRightInd w:val="0"/>
        <w:spacing w:after="120"/>
        <w:ind w:firstLine="720"/>
        <w:rPr>
          <w:snapToGrid/>
          <w:szCs w:val="22"/>
        </w:rPr>
      </w:pPr>
      <w:r w:rsidRPr="00202159">
        <w:rPr>
          <w:snapToGrid/>
          <w:szCs w:val="22"/>
        </w:rPr>
        <w:t>Troy Cable, an Alabama corporation, provides competitive local exchange carrier (LEC), video, and other services in south central Alabama.</w:t>
      </w:r>
      <w:r>
        <w:rPr>
          <w:snapToGrid/>
          <w:szCs w:val="22"/>
          <w:vertAlign w:val="superscript"/>
        </w:rPr>
        <w:footnoteReference w:id="6"/>
      </w:r>
      <w:r w:rsidRPr="00202159">
        <w:rPr>
          <w:snapToGrid/>
          <w:szCs w:val="22"/>
        </w:rPr>
        <w:t xml:space="preserve">  Troy Cable </w:t>
      </w:r>
      <w:r w:rsidRPr="00202159" w:rsidR="00996476">
        <w:rPr>
          <w:szCs w:val="22"/>
        </w:rPr>
        <w:t>is designated as an eligible telecommunications carrier (ETC)</w:t>
      </w:r>
      <w:r>
        <w:rPr>
          <w:rStyle w:val="FootnoteReference"/>
          <w:szCs w:val="22"/>
        </w:rPr>
        <w:footnoteReference w:id="7"/>
      </w:r>
      <w:r w:rsidRPr="00202159" w:rsidR="00996476">
        <w:rPr>
          <w:szCs w:val="22"/>
        </w:rPr>
        <w:t xml:space="preserve"> and </w:t>
      </w:r>
      <w:r w:rsidRPr="00202159">
        <w:rPr>
          <w:snapToGrid/>
          <w:szCs w:val="22"/>
        </w:rPr>
        <w:t xml:space="preserve">participated in and </w:t>
      </w:r>
      <w:r w:rsidRPr="00202159" w:rsidR="009C58E0">
        <w:rPr>
          <w:szCs w:val="22"/>
        </w:rPr>
        <w:t xml:space="preserve">was awarded support to provide service </w:t>
      </w:r>
      <w:r w:rsidRPr="00202159">
        <w:rPr>
          <w:snapToGrid/>
          <w:szCs w:val="22"/>
        </w:rPr>
        <w:t xml:space="preserve">to </w:t>
      </w:r>
      <w:r w:rsidRPr="00202159" w:rsidR="00240DA8">
        <w:rPr>
          <w:snapToGrid/>
          <w:szCs w:val="22"/>
        </w:rPr>
        <w:t xml:space="preserve">3,792 locations in </w:t>
      </w:r>
      <w:r w:rsidRPr="00202159" w:rsidR="00240DA8">
        <w:rPr>
          <w:snapToGrid/>
          <w:szCs w:val="22"/>
        </w:rPr>
        <w:t xml:space="preserve">Alabama </w:t>
      </w:r>
      <w:r w:rsidRPr="00202159">
        <w:rPr>
          <w:snapToGrid/>
          <w:szCs w:val="22"/>
        </w:rPr>
        <w:t>through Phase I of the Rural Digital Opportunity Fund (RDOF) Auction.</w:t>
      </w:r>
      <w:r>
        <w:rPr>
          <w:snapToGrid/>
          <w:szCs w:val="22"/>
          <w:vertAlign w:val="superscript"/>
        </w:rPr>
        <w:footnoteReference w:id="8"/>
      </w:r>
      <w:r w:rsidRPr="00202159">
        <w:rPr>
          <w:snapToGrid/>
          <w:szCs w:val="22"/>
        </w:rPr>
        <w:t xml:space="preserve">  On </w:t>
      </w:r>
      <w:r w:rsidRPr="00202159" w:rsidR="00762725">
        <w:rPr>
          <w:snapToGrid/>
          <w:szCs w:val="22"/>
        </w:rPr>
        <w:t>December 14, 2021,</w:t>
      </w:r>
      <w:r w:rsidRPr="00202159">
        <w:rPr>
          <w:snapToGrid/>
          <w:szCs w:val="22"/>
        </w:rPr>
        <w:t xml:space="preserve"> </w:t>
      </w:r>
      <w:r w:rsidRPr="00202159" w:rsidR="00762725">
        <w:rPr>
          <w:snapToGrid/>
          <w:szCs w:val="22"/>
        </w:rPr>
        <w:t xml:space="preserve">the Bureau authorized Troy Cable to </w:t>
      </w:r>
      <w:r w:rsidRPr="00202159">
        <w:rPr>
          <w:snapToGrid/>
          <w:szCs w:val="22"/>
        </w:rPr>
        <w:t>receive Auction 904 support.</w:t>
      </w:r>
      <w:r>
        <w:rPr>
          <w:rStyle w:val="FootnoteReference"/>
          <w:snapToGrid/>
          <w:kern w:val="0"/>
          <w:szCs w:val="22"/>
        </w:rPr>
        <w:footnoteReference w:id="9"/>
      </w:r>
      <w:r w:rsidRPr="00202159">
        <w:rPr>
          <w:snapToGrid/>
          <w:szCs w:val="22"/>
        </w:rPr>
        <w:t xml:space="preserve">  USTC, also an Alabama corporation and a wholly-owned subsidiary of Troy Cable, provides incumbent LEC services in Bullock County, Alabama.</w:t>
      </w:r>
      <w:r>
        <w:rPr>
          <w:snapToGrid/>
          <w:szCs w:val="22"/>
          <w:vertAlign w:val="superscript"/>
        </w:rPr>
        <w:footnoteReference w:id="10"/>
      </w:r>
      <w:r w:rsidRPr="00202159">
        <w:rPr>
          <w:snapToGrid/>
          <w:szCs w:val="22"/>
        </w:rPr>
        <w:t xml:space="preserve">  </w:t>
      </w:r>
    </w:p>
    <w:p w:rsidR="00CB6E0A" w:rsidRPr="00202159" w:rsidP="00202159" w14:paraId="16D3E243" w14:textId="1DDDB067">
      <w:pPr>
        <w:widowControl/>
        <w:autoSpaceDE w:val="0"/>
        <w:autoSpaceDN w:val="0"/>
        <w:adjustRightInd w:val="0"/>
        <w:spacing w:after="120"/>
        <w:ind w:firstLine="720"/>
        <w:rPr>
          <w:snapToGrid/>
          <w:kern w:val="0"/>
          <w:szCs w:val="22"/>
        </w:rPr>
      </w:pPr>
      <w:r w:rsidRPr="00202159">
        <w:rPr>
          <w:snapToGrid/>
          <w:kern w:val="0"/>
          <w:szCs w:val="22"/>
        </w:rPr>
        <w:t>Telapex, a Mississippi holding corporation, wholly-owns the following subsidiaries that provide telecommunications services:  Franklin Telephone Company, Inc. (FTC), a Mississippi corporation</w:t>
      </w:r>
      <w:r w:rsidRPr="00202159" w:rsidR="003C7639">
        <w:rPr>
          <w:snapToGrid/>
          <w:kern w:val="0"/>
          <w:szCs w:val="22"/>
        </w:rPr>
        <w:t xml:space="preserve"> that  </w:t>
      </w:r>
      <w:r w:rsidRPr="00202159">
        <w:rPr>
          <w:snapToGrid/>
          <w:kern w:val="0"/>
          <w:szCs w:val="22"/>
        </w:rPr>
        <w:t>provides incumbent LEC services in 27 rural Mississippi counties;</w:t>
      </w:r>
      <w:r>
        <w:rPr>
          <w:snapToGrid/>
          <w:kern w:val="0"/>
          <w:szCs w:val="22"/>
          <w:vertAlign w:val="superscript"/>
        </w:rPr>
        <w:footnoteReference w:id="11"/>
      </w:r>
      <w:r w:rsidRPr="00202159">
        <w:rPr>
          <w:snapToGrid/>
          <w:kern w:val="0"/>
          <w:szCs w:val="22"/>
        </w:rPr>
        <w:t xml:space="preserve"> Callis Communications, Inc., an Alabama corporation</w:t>
      </w:r>
      <w:r w:rsidRPr="00202159" w:rsidR="003C7639">
        <w:rPr>
          <w:snapToGrid/>
          <w:kern w:val="0"/>
          <w:szCs w:val="22"/>
        </w:rPr>
        <w:t xml:space="preserve"> that</w:t>
      </w:r>
      <w:r w:rsidRPr="00202159">
        <w:rPr>
          <w:snapToGrid/>
          <w:kern w:val="0"/>
          <w:szCs w:val="22"/>
        </w:rPr>
        <w:t xml:space="preserve"> provides competitive LEC and long distance resale services in Mississippi; Telepak Networks, Inc. (Telepak Networks), a Mississippi corporation</w:t>
      </w:r>
      <w:r w:rsidRPr="00202159" w:rsidR="003C7639">
        <w:rPr>
          <w:snapToGrid/>
          <w:kern w:val="0"/>
          <w:szCs w:val="22"/>
        </w:rPr>
        <w:t xml:space="preserve"> that</w:t>
      </w:r>
      <w:r w:rsidRPr="00202159">
        <w:rPr>
          <w:snapToGrid/>
          <w:kern w:val="0"/>
          <w:szCs w:val="22"/>
        </w:rPr>
        <w:t xml:space="preserve"> provides </w:t>
      </w:r>
      <w:r w:rsidRPr="00202159" w:rsidR="00B62F68">
        <w:rPr>
          <w:snapToGrid/>
          <w:kern w:val="0"/>
          <w:szCs w:val="22"/>
        </w:rPr>
        <w:t xml:space="preserve">facilities-based </w:t>
      </w:r>
      <w:r w:rsidRPr="00202159">
        <w:rPr>
          <w:snapToGrid/>
          <w:kern w:val="0"/>
          <w:szCs w:val="22"/>
        </w:rPr>
        <w:t>competitive telecommunications services in Mississippi, Alabama, and Tennessee; Cellular South, Inc., a Mississippi corporation</w:t>
      </w:r>
      <w:r w:rsidRPr="00202159" w:rsidR="003C7639">
        <w:rPr>
          <w:snapToGrid/>
          <w:kern w:val="0"/>
          <w:szCs w:val="22"/>
        </w:rPr>
        <w:t xml:space="preserve"> that </w:t>
      </w:r>
      <w:r w:rsidRPr="00202159">
        <w:rPr>
          <w:snapToGrid/>
          <w:kern w:val="0"/>
          <w:szCs w:val="22"/>
        </w:rPr>
        <w:t>provides commercial mobile radio services in Mississippi, Alabama, Tennessee, and Florida;</w:t>
      </w:r>
      <w:r>
        <w:rPr>
          <w:snapToGrid/>
          <w:kern w:val="0"/>
          <w:szCs w:val="22"/>
          <w:vertAlign w:val="superscript"/>
        </w:rPr>
        <w:footnoteReference w:id="12"/>
      </w:r>
      <w:r w:rsidRPr="00202159">
        <w:rPr>
          <w:snapToGrid/>
          <w:kern w:val="0"/>
          <w:szCs w:val="22"/>
        </w:rPr>
        <w:t xml:space="preserve"> and Harbor Communications, LLC, an Alabama limited liability company</w:t>
      </w:r>
      <w:r w:rsidRPr="00202159" w:rsidR="003C7639">
        <w:rPr>
          <w:snapToGrid/>
          <w:kern w:val="0"/>
          <w:szCs w:val="22"/>
        </w:rPr>
        <w:t xml:space="preserve"> that </w:t>
      </w:r>
      <w:r w:rsidRPr="00202159">
        <w:rPr>
          <w:snapToGrid/>
          <w:kern w:val="0"/>
          <w:szCs w:val="22"/>
        </w:rPr>
        <w:t>provides competitive telecommunications services in Alabama.</w:t>
      </w:r>
      <w:r>
        <w:rPr>
          <w:snapToGrid/>
          <w:kern w:val="0"/>
          <w:szCs w:val="22"/>
          <w:vertAlign w:val="superscript"/>
        </w:rPr>
        <w:footnoteReference w:id="13"/>
      </w:r>
      <w:r w:rsidRPr="00202159">
        <w:rPr>
          <w:snapToGrid/>
          <w:kern w:val="0"/>
          <w:szCs w:val="22"/>
        </w:rPr>
        <w:t xml:space="preserve">  The following U.S. citizens and Mississippi entities hold a 10% or greater interest in Telapex:  James H. Creekmore (34.67%); JMC Blessings, LLC (JMC Blessings) (16.80%);</w:t>
      </w:r>
      <w:r>
        <w:rPr>
          <w:snapToGrid/>
          <w:kern w:val="0"/>
          <w:szCs w:val="22"/>
          <w:vertAlign w:val="superscript"/>
        </w:rPr>
        <w:footnoteReference w:id="14"/>
      </w:r>
      <w:r w:rsidRPr="00202159">
        <w:rPr>
          <w:snapToGrid/>
          <w:kern w:val="0"/>
          <w:szCs w:val="22"/>
        </w:rPr>
        <w:t xml:space="preserve"> Telapex, Inc. Employee Stock Ownership Plan (13.30%); Elizabeth C. Pickering (10.96%); Ashley C. Meena (10.47%); and Sidney C. Crews (10.49%).</w:t>
      </w:r>
      <w:r>
        <w:rPr>
          <w:snapToGrid/>
          <w:kern w:val="0"/>
          <w:szCs w:val="22"/>
          <w:vertAlign w:val="superscript"/>
        </w:rPr>
        <w:footnoteReference w:id="15"/>
      </w:r>
      <w:r w:rsidRPr="00202159">
        <w:rPr>
          <w:snapToGrid/>
          <w:kern w:val="0"/>
          <w:szCs w:val="22"/>
        </w:rPr>
        <w:t xml:space="preserve">  </w:t>
      </w:r>
    </w:p>
    <w:p w:rsidR="00CB6E0A" w:rsidRPr="00202159" w:rsidP="00202159" w14:paraId="599BF4E3" w14:textId="1B4ACCB7">
      <w:pPr>
        <w:widowControl/>
        <w:shd w:val="clear" w:color="auto" w:fill="FFFFFF"/>
        <w:spacing w:after="120"/>
        <w:ind w:firstLine="720"/>
        <w:rPr>
          <w:snapToGrid/>
          <w:kern w:val="0"/>
          <w:szCs w:val="22"/>
        </w:rPr>
      </w:pPr>
      <w:r w:rsidRPr="00202159">
        <w:rPr>
          <w:snapToGrid/>
          <w:kern w:val="0"/>
          <w:szCs w:val="22"/>
        </w:rPr>
        <w:t>Pursuant to the terms of the proposed transaction, Tel</w:t>
      </w:r>
      <w:r w:rsidRPr="00202159" w:rsidR="00412430">
        <w:rPr>
          <w:snapToGrid/>
          <w:kern w:val="0"/>
          <w:szCs w:val="22"/>
        </w:rPr>
        <w:t>e</w:t>
      </w:r>
      <w:r w:rsidRPr="00202159">
        <w:rPr>
          <w:snapToGrid/>
          <w:kern w:val="0"/>
          <w:szCs w:val="22"/>
        </w:rPr>
        <w:t xml:space="preserve">pak Networks will acquire all of </w:t>
      </w:r>
      <w:r w:rsidRPr="00202159" w:rsidR="009C58E0">
        <w:rPr>
          <w:snapToGrid/>
          <w:kern w:val="0"/>
          <w:szCs w:val="22"/>
        </w:rPr>
        <w:t xml:space="preserve">the </w:t>
      </w:r>
      <w:r w:rsidRPr="00202159">
        <w:rPr>
          <w:snapToGrid/>
          <w:kern w:val="0"/>
          <w:szCs w:val="22"/>
        </w:rPr>
        <w:t>issued and outstanding shares of Troy Cable.</w:t>
      </w:r>
      <w:r>
        <w:rPr>
          <w:snapToGrid/>
          <w:kern w:val="0"/>
          <w:szCs w:val="22"/>
          <w:vertAlign w:val="superscript"/>
        </w:rPr>
        <w:footnoteReference w:id="16"/>
      </w:r>
      <w:r w:rsidRPr="00202159">
        <w:rPr>
          <w:snapToGrid/>
          <w:kern w:val="0"/>
          <w:szCs w:val="22"/>
        </w:rPr>
        <w:t xml:space="preserve">  Following the consummation of the transaction, Troy Cable will </w:t>
      </w:r>
      <w:r w:rsidRPr="00202159">
        <w:rPr>
          <w:snapToGrid/>
          <w:kern w:val="0"/>
          <w:szCs w:val="22"/>
        </w:rPr>
        <w:t>continue to wholly-own USTC, and both Troy Cable and USTC will become indirect wholly-owned subsidiaries of Telapex.</w:t>
      </w:r>
      <w:r>
        <w:rPr>
          <w:snapToGrid/>
          <w:kern w:val="0"/>
          <w:szCs w:val="22"/>
          <w:vertAlign w:val="superscript"/>
        </w:rPr>
        <w:footnoteReference w:id="17"/>
      </w:r>
      <w:r w:rsidRPr="00202159">
        <w:rPr>
          <w:snapToGrid/>
          <w:kern w:val="0"/>
          <w:szCs w:val="22"/>
        </w:rPr>
        <w:t xml:space="preserve">  </w:t>
      </w:r>
    </w:p>
    <w:p w:rsidR="008D5B54" w:rsidRPr="00202159" w:rsidP="00202159" w14:paraId="47EEB31D" w14:textId="7F65C8BC">
      <w:pPr>
        <w:widowControl/>
        <w:autoSpaceDE w:val="0"/>
        <w:autoSpaceDN w:val="0"/>
        <w:adjustRightInd w:val="0"/>
        <w:spacing w:after="120"/>
        <w:rPr>
          <w:b/>
          <w:bCs/>
          <w:szCs w:val="22"/>
          <w:u w:val="single"/>
        </w:rPr>
      </w:pPr>
      <w:r w:rsidRPr="00202159">
        <w:rPr>
          <w:b/>
          <w:bCs/>
          <w:szCs w:val="22"/>
          <w:u w:val="single"/>
        </w:rPr>
        <w:t>Discussion</w:t>
      </w:r>
    </w:p>
    <w:p w:rsidR="009D31FB" w:rsidRPr="00202159" w:rsidP="00202159" w14:paraId="764C6E2F" w14:textId="22EEF96D">
      <w:pPr>
        <w:widowControl/>
        <w:autoSpaceDE w:val="0"/>
        <w:autoSpaceDN w:val="0"/>
        <w:adjustRightInd w:val="0"/>
        <w:spacing w:after="120"/>
        <w:ind w:firstLine="720"/>
        <w:rPr>
          <w:color w:val="000000"/>
          <w:szCs w:val="22"/>
        </w:rPr>
      </w:pPr>
      <w:r w:rsidRPr="00202159">
        <w:rPr>
          <w:szCs w:val="22"/>
        </w:rPr>
        <w:t xml:space="preserve">We find, upon consideration of the record, that </w:t>
      </w:r>
      <w:r w:rsidRPr="00202159">
        <w:rPr>
          <w:szCs w:val="22"/>
        </w:rPr>
        <w:t xml:space="preserve">a </w:t>
      </w:r>
      <w:r w:rsidRPr="00202159">
        <w:rPr>
          <w:szCs w:val="22"/>
        </w:rPr>
        <w:t xml:space="preserve">grant of the Application will serve the public interest, convenience, and necessity. </w:t>
      </w:r>
      <w:r w:rsidRPr="00202159" w:rsidR="00D62E3C">
        <w:rPr>
          <w:szCs w:val="22"/>
        </w:rPr>
        <w:t xml:space="preserve"> </w:t>
      </w:r>
      <w:r w:rsidRPr="00202159">
        <w:rPr>
          <w:szCs w:val="22"/>
        </w:rPr>
        <w:t xml:space="preserve">To make this determination under Commission precedent, we consider whether the proposed transaction could result in public interest harms by substantially frustrating or impairing the objectives or implementation of the </w:t>
      </w:r>
      <w:r w:rsidRPr="00202159" w:rsidR="00AD766F">
        <w:rPr>
          <w:szCs w:val="22"/>
        </w:rPr>
        <w:t xml:space="preserve">Act </w:t>
      </w:r>
      <w:r w:rsidRPr="00202159">
        <w:rPr>
          <w:szCs w:val="22"/>
        </w:rPr>
        <w:t>or related statutes.</w:t>
      </w:r>
      <w:r>
        <w:rPr>
          <w:szCs w:val="22"/>
          <w:vertAlign w:val="superscript"/>
        </w:rPr>
        <w:footnoteReference w:id="18"/>
      </w:r>
      <w:r w:rsidRPr="00202159">
        <w:rPr>
          <w:szCs w:val="22"/>
        </w:rPr>
        <w:t xml:space="preserve">  </w:t>
      </w:r>
      <w:r w:rsidRPr="00202159">
        <w:rPr>
          <w:color w:val="000000"/>
          <w:szCs w:val="22"/>
        </w:rPr>
        <w:t>We then employ a balancing test weighing any potential public interest harms of the proposed transaction against any potential public interest benefits.</w:t>
      </w:r>
      <w:r>
        <w:rPr>
          <w:color w:val="000000"/>
          <w:szCs w:val="22"/>
          <w:vertAlign w:val="superscript"/>
        </w:rPr>
        <w:footnoteReference w:id="19"/>
      </w:r>
      <w:r w:rsidRPr="00202159">
        <w:rPr>
          <w:color w:val="000000"/>
          <w:szCs w:val="22"/>
        </w:rPr>
        <w:t xml:space="preserve">  The Applicants bear the burden of proving, by a preponderance of the evidence, that the proposed transaction, on balance, serves the public interest.</w:t>
      </w:r>
      <w:r>
        <w:rPr>
          <w:color w:val="000000"/>
          <w:szCs w:val="22"/>
          <w:vertAlign w:val="superscript"/>
        </w:rPr>
        <w:footnoteReference w:id="20"/>
      </w:r>
    </w:p>
    <w:p w:rsidR="00622C85" w:rsidRPr="00202159" w:rsidP="00202159" w14:paraId="362DB0EC" w14:textId="550B8484">
      <w:pPr>
        <w:widowControl/>
        <w:autoSpaceDE w:val="0"/>
        <w:autoSpaceDN w:val="0"/>
        <w:adjustRightInd w:val="0"/>
        <w:spacing w:after="120"/>
        <w:ind w:firstLine="720"/>
        <w:rPr>
          <w:color w:val="000000"/>
          <w:szCs w:val="22"/>
        </w:rPr>
      </w:pPr>
      <w:r w:rsidRPr="00202159">
        <w:rPr>
          <w:snapToGrid/>
          <w:kern w:val="0"/>
          <w:szCs w:val="22"/>
        </w:rPr>
        <w:t xml:space="preserve">We find that there are no potential public interest harms identified in the record.  </w:t>
      </w:r>
      <w:r w:rsidRPr="00202159" w:rsidR="00965253">
        <w:rPr>
          <w:snapToGrid/>
          <w:kern w:val="0"/>
          <w:szCs w:val="22"/>
        </w:rPr>
        <w:t>First, t</w:t>
      </w:r>
      <w:r w:rsidRPr="00202159" w:rsidR="008B1C48">
        <w:rPr>
          <w:snapToGrid/>
          <w:kern w:val="0"/>
          <w:szCs w:val="22"/>
        </w:rPr>
        <w:t xml:space="preserve">he proposed transaction will not result in a significant reduction in competition because </w:t>
      </w:r>
      <w:r w:rsidRPr="00202159" w:rsidR="005364A4">
        <w:rPr>
          <w:snapToGrid/>
          <w:kern w:val="0"/>
          <w:szCs w:val="22"/>
        </w:rPr>
        <w:t>Telapex and its subsidiaries do no</w:t>
      </w:r>
      <w:r w:rsidRPr="00202159" w:rsidR="006375D8">
        <w:rPr>
          <w:snapToGrid/>
          <w:kern w:val="0"/>
          <w:szCs w:val="22"/>
        </w:rPr>
        <w:t>t</w:t>
      </w:r>
      <w:r w:rsidRPr="00202159" w:rsidR="005364A4">
        <w:rPr>
          <w:snapToGrid/>
          <w:kern w:val="0"/>
          <w:szCs w:val="22"/>
        </w:rPr>
        <w:t xml:space="preserve"> operate in the areas serv</w:t>
      </w:r>
      <w:r w:rsidRPr="00202159" w:rsidR="00446F3E">
        <w:rPr>
          <w:snapToGrid/>
          <w:kern w:val="0"/>
          <w:szCs w:val="22"/>
        </w:rPr>
        <w:t>ed</w:t>
      </w:r>
      <w:r w:rsidRPr="00202159" w:rsidR="005364A4">
        <w:rPr>
          <w:snapToGrid/>
          <w:kern w:val="0"/>
          <w:szCs w:val="22"/>
        </w:rPr>
        <w:t xml:space="preserve"> by Troy Cable and USTC</w:t>
      </w:r>
      <w:r w:rsidRPr="00202159" w:rsidR="00773F6A">
        <w:rPr>
          <w:snapToGrid/>
          <w:kern w:val="0"/>
          <w:szCs w:val="22"/>
        </w:rPr>
        <w:t>.</w:t>
      </w:r>
      <w:r>
        <w:rPr>
          <w:color w:val="000000"/>
          <w:szCs w:val="22"/>
          <w:vertAlign w:val="superscript"/>
        </w:rPr>
        <w:footnoteReference w:id="21"/>
      </w:r>
      <w:r w:rsidRPr="00202159" w:rsidR="008B1C48">
        <w:rPr>
          <w:snapToGrid/>
          <w:kern w:val="0"/>
          <w:szCs w:val="22"/>
        </w:rPr>
        <w:t xml:space="preserve">  </w:t>
      </w:r>
      <w:r w:rsidRPr="00202159" w:rsidR="00965253">
        <w:rPr>
          <w:snapToGrid/>
          <w:kern w:val="0"/>
          <w:szCs w:val="22"/>
        </w:rPr>
        <w:t xml:space="preserve">Second, </w:t>
      </w:r>
      <w:r w:rsidRPr="00202159" w:rsidR="005364A4">
        <w:rPr>
          <w:snapToGrid/>
          <w:kern w:val="0"/>
          <w:szCs w:val="22"/>
        </w:rPr>
        <w:t xml:space="preserve">Troy Cable </w:t>
      </w:r>
      <w:r w:rsidRPr="00202159" w:rsidR="00773F6A">
        <w:rPr>
          <w:snapToGrid/>
          <w:kern w:val="0"/>
          <w:szCs w:val="22"/>
        </w:rPr>
        <w:t>remains financially</w:t>
      </w:r>
      <w:r w:rsidRPr="00202159" w:rsidR="00545724">
        <w:rPr>
          <w:snapToGrid/>
          <w:kern w:val="0"/>
          <w:szCs w:val="22"/>
        </w:rPr>
        <w:t>,</w:t>
      </w:r>
      <w:r w:rsidRPr="00202159" w:rsidR="00773F6A">
        <w:rPr>
          <w:snapToGrid/>
          <w:kern w:val="0"/>
          <w:szCs w:val="22"/>
        </w:rPr>
        <w:t xml:space="preserve"> </w:t>
      </w:r>
      <w:r w:rsidRPr="00202159" w:rsidR="00545724">
        <w:rPr>
          <w:snapToGrid/>
          <w:kern w:val="0"/>
          <w:szCs w:val="22"/>
        </w:rPr>
        <w:t xml:space="preserve">managerially, </w:t>
      </w:r>
      <w:r w:rsidRPr="00202159" w:rsidR="00773F6A">
        <w:rPr>
          <w:snapToGrid/>
          <w:kern w:val="0"/>
          <w:szCs w:val="22"/>
        </w:rPr>
        <w:t xml:space="preserve">and technically obligated to meet all public interest and performance obligations associated with the receipt of RDOF </w:t>
      </w:r>
      <w:r w:rsidRPr="00202159" w:rsidR="006375D8">
        <w:rPr>
          <w:snapToGrid/>
          <w:kern w:val="0"/>
          <w:szCs w:val="22"/>
        </w:rPr>
        <w:t xml:space="preserve">and all </w:t>
      </w:r>
      <w:r w:rsidRPr="00202159" w:rsidR="00AD766F">
        <w:rPr>
          <w:snapToGrid/>
          <w:kern w:val="0"/>
          <w:szCs w:val="22"/>
        </w:rPr>
        <w:t xml:space="preserve">other </w:t>
      </w:r>
      <w:r w:rsidRPr="00202159" w:rsidR="006375D8">
        <w:rPr>
          <w:snapToGrid/>
          <w:kern w:val="0"/>
          <w:szCs w:val="22"/>
        </w:rPr>
        <w:t xml:space="preserve">universal service </w:t>
      </w:r>
      <w:r w:rsidRPr="00202159" w:rsidR="00773F6A">
        <w:rPr>
          <w:snapToGrid/>
          <w:kern w:val="0"/>
          <w:szCs w:val="22"/>
        </w:rPr>
        <w:t xml:space="preserve">funding in accordance with the Commission’s pre-transaction approval of its qualifications, and we expect that the proposed transaction will not negatively impact these obligations.  </w:t>
      </w:r>
      <w:r w:rsidRPr="00202159" w:rsidR="006D4FC8">
        <w:rPr>
          <w:snapToGrid/>
          <w:kern w:val="0"/>
          <w:szCs w:val="22"/>
        </w:rPr>
        <w:t xml:space="preserve">Indeed, </w:t>
      </w:r>
      <w:r w:rsidRPr="00202159" w:rsidR="00773F6A">
        <w:rPr>
          <w:snapToGrid/>
          <w:kern w:val="0"/>
          <w:szCs w:val="22"/>
        </w:rPr>
        <w:t>Applicants have confirmed that</w:t>
      </w:r>
      <w:r w:rsidRPr="00202159" w:rsidR="005364A4">
        <w:rPr>
          <w:snapToGrid/>
          <w:kern w:val="0"/>
          <w:szCs w:val="22"/>
        </w:rPr>
        <w:t xml:space="preserve">, post-transaction, </w:t>
      </w:r>
      <w:r w:rsidRPr="00202159" w:rsidR="00B32E44">
        <w:rPr>
          <w:snapToGrid/>
          <w:kern w:val="0"/>
          <w:szCs w:val="22"/>
        </w:rPr>
        <w:t>Telapex will “provide Troy Cable with additional financial resources, such as access to more capital, to meet the RDOF performance requirements,”</w:t>
      </w:r>
      <w:r>
        <w:rPr>
          <w:bCs/>
          <w:snapToGrid/>
          <w:color w:val="000000"/>
          <w:kern w:val="0"/>
          <w:szCs w:val="22"/>
          <w:vertAlign w:val="superscript"/>
        </w:rPr>
        <w:footnoteReference w:id="22"/>
      </w:r>
      <w:r w:rsidRPr="00202159" w:rsidR="00B32E44">
        <w:rPr>
          <w:bCs/>
          <w:snapToGrid/>
          <w:kern w:val="0"/>
          <w:szCs w:val="22"/>
        </w:rPr>
        <w:t xml:space="preserve"> and that Troy Cable, under the guidance of Telapex, will </w:t>
      </w:r>
      <w:r w:rsidRPr="00202159" w:rsidR="005364A4">
        <w:rPr>
          <w:snapToGrid/>
          <w:kern w:val="0"/>
          <w:szCs w:val="22"/>
        </w:rPr>
        <w:t>“adhere to the proposed build-out plans set forth in the RDOF long-form application and meet all RDOF obligations.”</w:t>
      </w:r>
      <w:r>
        <w:rPr>
          <w:rStyle w:val="FootnoteReference"/>
          <w:snapToGrid/>
          <w:kern w:val="0"/>
          <w:szCs w:val="22"/>
        </w:rPr>
        <w:footnoteReference w:id="23"/>
      </w:r>
      <w:r w:rsidRPr="00202159" w:rsidR="005364A4">
        <w:rPr>
          <w:snapToGrid/>
          <w:kern w:val="0"/>
          <w:szCs w:val="22"/>
        </w:rPr>
        <w:t xml:space="preserve"> </w:t>
      </w:r>
      <w:r w:rsidRPr="00202159" w:rsidR="00AB6A23">
        <w:rPr>
          <w:snapToGrid/>
          <w:kern w:val="0"/>
          <w:szCs w:val="22"/>
        </w:rPr>
        <w:t xml:space="preserve"> </w:t>
      </w:r>
      <w:r w:rsidRPr="00202159" w:rsidR="00B32E44">
        <w:rPr>
          <w:snapToGrid/>
          <w:kern w:val="0"/>
          <w:szCs w:val="22"/>
        </w:rPr>
        <w:t>According to Tel</w:t>
      </w:r>
      <w:r w:rsidRPr="00202159" w:rsidR="00680ADA">
        <w:rPr>
          <w:snapToGrid/>
          <w:kern w:val="0"/>
          <w:szCs w:val="22"/>
        </w:rPr>
        <w:t>a</w:t>
      </w:r>
      <w:r w:rsidRPr="00202159" w:rsidR="00B32E44">
        <w:rPr>
          <w:snapToGrid/>
          <w:kern w:val="0"/>
          <w:szCs w:val="22"/>
        </w:rPr>
        <w:t>pex, the proposed transaction will not result in additional debt that could impact the ability of Troy Cable to meet its RDOF obligations.</w:t>
      </w:r>
      <w:r>
        <w:rPr>
          <w:rStyle w:val="FootnoteReference"/>
          <w:snapToGrid/>
          <w:kern w:val="0"/>
          <w:szCs w:val="22"/>
        </w:rPr>
        <w:footnoteReference w:id="24"/>
      </w:r>
      <w:r w:rsidRPr="00202159" w:rsidR="00B32E44">
        <w:rPr>
          <w:snapToGrid/>
          <w:kern w:val="0"/>
          <w:szCs w:val="22"/>
        </w:rPr>
        <w:t xml:space="preserve">  </w:t>
      </w:r>
      <w:r w:rsidRPr="00202159" w:rsidR="00446F3E">
        <w:rPr>
          <w:snapToGrid/>
          <w:kern w:val="0"/>
          <w:szCs w:val="22"/>
        </w:rPr>
        <w:t xml:space="preserve">Applicants </w:t>
      </w:r>
      <w:r w:rsidRPr="00202159" w:rsidR="006375D8">
        <w:rPr>
          <w:snapToGrid/>
          <w:kern w:val="0"/>
          <w:szCs w:val="22"/>
        </w:rPr>
        <w:t xml:space="preserve">further confirm that Troy </w:t>
      </w:r>
      <w:r w:rsidRPr="00202159" w:rsidR="00376169">
        <w:rPr>
          <w:snapToGrid/>
          <w:kern w:val="0"/>
          <w:szCs w:val="22"/>
        </w:rPr>
        <w:t>C</w:t>
      </w:r>
      <w:r w:rsidRPr="00202159" w:rsidR="006375D8">
        <w:rPr>
          <w:snapToGrid/>
          <w:kern w:val="0"/>
          <w:szCs w:val="22"/>
        </w:rPr>
        <w:t xml:space="preserve">able and USTC, which receives universal service high cost support under the Alternative Connect America </w:t>
      </w:r>
      <w:r w:rsidRPr="00202159" w:rsidR="00AD766F">
        <w:rPr>
          <w:snapToGrid/>
          <w:kern w:val="0"/>
          <w:szCs w:val="22"/>
        </w:rPr>
        <w:t xml:space="preserve">Cost </w:t>
      </w:r>
      <w:r w:rsidRPr="00202159" w:rsidR="006375D8">
        <w:rPr>
          <w:snapToGrid/>
          <w:kern w:val="0"/>
          <w:szCs w:val="22"/>
        </w:rPr>
        <w:t>Model</w:t>
      </w:r>
      <w:r w:rsidRPr="00202159" w:rsidR="00376169">
        <w:rPr>
          <w:snapToGrid/>
          <w:kern w:val="0"/>
          <w:szCs w:val="22"/>
        </w:rPr>
        <w:t xml:space="preserve"> (A-CAM)</w:t>
      </w:r>
      <w:r w:rsidRPr="00202159" w:rsidR="006375D8">
        <w:rPr>
          <w:snapToGrid/>
          <w:kern w:val="0"/>
          <w:szCs w:val="22"/>
        </w:rPr>
        <w:t xml:space="preserve">, will continue to satisfy all applicable requirements </w:t>
      </w:r>
      <w:r w:rsidRPr="00202159" w:rsidR="006375D8">
        <w:rPr>
          <w:snapToGrid/>
          <w:kern w:val="0"/>
          <w:szCs w:val="22"/>
        </w:rPr>
        <w:t>associated with th</w:t>
      </w:r>
      <w:r w:rsidRPr="00202159" w:rsidR="009C58E0">
        <w:rPr>
          <w:snapToGrid/>
          <w:kern w:val="0"/>
          <w:szCs w:val="22"/>
        </w:rPr>
        <w:t>at</w:t>
      </w:r>
      <w:r w:rsidRPr="00202159" w:rsidR="006375D8">
        <w:rPr>
          <w:snapToGrid/>
          <w:kern w:val="0"/>
          <w:szCs w:val="22"/>
        </w:rPr>
        <w:t xml:space="preserve"> support.</w:t>
      </w:r>
      <w:r>
        <w:rPr>
          <w:rStyle w:val="FootnoteReference"/>
          <w:snapToGrid/>
          <w:kern w:val="0"/>
          <w:szCs w:val="22"/>
        </w:rPr>
        <w:footnoteReference w:id="25"/>
      </w:r>
      <w:r w:rsidRPr="00202159" w:rsidR="006375D8">
        <w:rPr>
          <w:snapToGrid/>
          <w:kern w:val="0"/>
          <w:szCs w:val="22"/>
        </w:rPr>
        <w:t xml:space="preserve"> </w:t>
      </w:r>
      <w:r w:rsidRPr="00202159" w:rsidR="00A8463B">
        <w:rPr>
          <w:snapToGrid/>
          <w:kern w:val="0"/>
          <w:szCs w:val="22"/>
        </w:rPr>
        <w:t xml:space="preserve"> </w:t>
      </w:r>
      <w:r w:rsidRPr="00202159" w:rsidR="00376169">
        <w:rPr>
          <w:snapToGrid/>
          <w:kern w:val="0"/>
          <w:szCs w:val="22"/>
        </w:rPr>
        <w:t xml:space="preserve">Telapex, itself, owns entities receiving universal service funding, and we </w:t>
      </w:r>
      <w:r w:rsidRPr="00202159" w:rsidR="008821DF">
        <w:rPr>
          <w:snapToGrid/>
          <w:kern w:val="0"/>
          <w:szCs w:val="22"/>
        </w:rPr>
        <w:t>e</w:t>
      </w:r>
      <w:r w:rsidRPr="00202159" w:rsidR="00376169">
        <w:rPr>
          <w:snapToGrid/>
          <w:kern w:val="0"/>
          <w:szCs w:val="22"/>
        </w:rPr>
        <w:t>xpect that it therefore has the requisite qualifications to ensure all commitments are met.</w:t>
      </w:r>
      <w:r>
        <w:rPr>
          <w:rStyle w:val="FootnoteReference"/>
          <w:snapToGrid/>
          <w:kern w:val="0"/>
          <w:szCs w:val="22"/>
        </w:rPr>
        <w:footnoteReference w:id="26"/>
      </w:r>
      <w:r w:rsidRPr="00202159" w:rsidR="00376169">
        <w:rPr>
          <w:snapToGrid/>
          <w:kern w:val="0"/>
          <w:szCs w:val="22"/>
        </w:rPr>
        <w:t xml:space="preserve">  </w:t>
      </w:r>
      <w:r w:rsidRPr="00202159" w:rsidR="006375D8">
        <w:rPr>
          <w:snapToGrid/>
          <w:kern w:val="0"/>
          <w:szCs w:val="22"/>
        </w:rPr>
        <w:t xml:space="preserve">With regard to management, </w:t>
      </w:r>
      <w:r w:rsidRPr="00202159" w:rsidR="00376169">
        <w:rPr>
          <w:snapToGrid/>
          <w:kern w:val="0"/>
          <w:szCs w:val="22"/>
        </w:rPr>
        <w:t>T</w:t>
      </w:r>
      <w:r w:rsidRPr="00202159" w:rsidR="006375D8">
        <w:rPr>
          <w:snapToGrid/>
          <w:kern w:val="0"/>
          <w:szCs w:val="22"/>
        </w:rPr>
        <w:t>el</w:t>
      </w:r>
      <w:r w:rsidRPr="00202159" w:rsidR="00376169">
        <w:rPr>
          <w:snapToGrid/>
          <w:kern w:val="0"/>
          <w:szCs w:val="22"/>
        </w:rPr>
        <w:t>a</w:t>
      </w:r>
      <w:r w:rsidRPr="00202159" w:rsidR="006375D8">
        <w:rPr>
          <w:snapToGrid/>
          <w:kern w:val="0"/>
          <w:szCs w:val="22"/>
        </w:rPr>
        <w:t>pex has confirmed that</w:t>
      </w:r>
      <w:r w:rsidRPr="00202159" w:rsidR="00376169">
        <w:rPr>
          <w:snapToGrid/>
          <w:kern w:val="0"/>
          <w:szCs w:val="22"/>
        </w:rPr>
        <w:t>,</w:t>
      </w:r>
      <w:r w:rsidRPr="00202159" w:rsidR="006375D8">
        <w:rPr>
          <w:snapToGrid/>
          <w:kern w:val="0"/>
          <w:szCs w:val="22"/>
        </w:rPr>
        <w:t xml:space="preserve"> following the proposed transaction, Troy Cable will</w:t>
      </w:r>
      <w:r w:rsidRPr="00202159" w:rsidR="00376169">
        <w:rPr>
          <w:snapToGrid/>
          <w:kern w:val="0"/>
          <w:szCs w:val="22"/>
        </w:rPr>
        <w:t xml:space="preserve"> </w:t>
      </w:r>
      <w:r w:rsidRPr="00202159" w:rsidR="006375D8">
        <w:rPr>
          <w:snapToGrid/>
          <w:kern w:val="0"/>
          <w:szCs w:val="22"/>
        </w:rPr>
        <w:t>co</w:t>
      </w:r>
      <w:r w:rsidRPr="00202159" w:rsidR="00376169">
        <w:rPr>
          <w:snapToGrid/>
          <w:kern w:val="0"/>
          <w:szCs w:val="22"/>
        </w:rPr>
        <w:t>ntinue</w:t>
      </w:r>
      <w:r w:rsidRPr="00202159" w:rsidR="006375D8">
        <w:rPr>
          <w:snapToGrid/>
          <w:kern w:val="0"/>
          <w:szCs w:val="22"/>
        </w:rPr>
        <w:t xml:space="preserve"> to</w:t>
      </w:r>
      <w:r w:rsidRPr="00202159" w:rsidR="00376169">
        <w:rPr>
          <w:snapToGrid/>
          <w:kern w:val="0"/>
          <w:szCs w:val="22"/>
        </w:rPr>
        <w:t xml:space="preserve"> </w:t>
      </w:r>
      <w:r w:rsidRPr="00202159" w:rsidR="006375D8">
        <w:rPr>
          <w:snapToGrid/>
          <w:kern w:val="0"/>
          <w:szCs w:val="22"/>
        </w:rPr>
        <w:t>operate as a stand-alone en</w:t>
      </w:r>
      <w:r w:rsidRPr="00202159" w:rsidR="00376169">
        <w:rPr>
          <w:snapToGrid/>
          <w:kern w:val="0"/>
          <w:szCs w:val="22"/>
        </w:rPr>
        <w:t>t</w:t>
      </w:r>
      <w:r w:rsidRPr="00202159" w:rsidR="006375D8">
        <w:rPr>
          <w:snapToGrid/>
          <w:kern w:val="0"/>
          <w:szCs w:val="22"/>
        </w:rPr>
        <w:t xml:space="preserve">ity and that </w:t>
      </w:r>
      <w:r w:rsidRPr="00202159" w:rsidR="00376169">
        <w:rPr>
          <w:snapToGrid/>
          <w:kern w:val="0"/>
          <w:szCs w:val="22"/>
        </w:rPr>
        <w:t>Telapex</w:t>
      </w:r>
      <w:r w:rsidRPr="00202159" w:rsidR="006375D8">
        <w:rPr>
          <w:snapToGrid/>
          <w:kern w:val="0"/>
          <w:szCs w:val="22"/>
        </w:rPr>
        <w:t xml:space="preserve"> doe</w:t>
      </w:r>
      <w:r w:rsidRPr="00202159" w:rsidR="00376169">
        <w:rPr>
          <w:snapToGrid/>
          <w:kern w:val="0"/>
          <w:szCs w:val="22"/>
        </w:rPr>
        <w:t>s</w:t>
      </w:r>
      <w:r w:rsidRPr="00202159" w:rsidR="006375D8">
        <w:rPr>
          <w:snapToGrid/>
          <w:kern w:val="0"/>
          <w:szCs w:val="22"/>
        </w:rPr>
        <w:t xml:space="preserve"> not anticipate any managerial changes for the operation</w:t>
      </w:r>
      <w:r w:rsidRPr="00202159" w:rsidR="00D835F0">
        <w:rPr>
          <w:snapToGrid/>
          <w:kern w:val="0"/>
          <w:szCs w:val="22"/>
        </w:rPr>
        <w:t xml:space="preserve">s </w:t>
      </w:r>
      <w:r w:rsidRPr="00202159" w:rsidR="006375D8">
        <w:rPr>
          <w:snapToGrid/>
          <w:kern w:val="0"/>
          <w:szCs w:val="22"/>
        </w:rPr>
        <w:t>of Troy Cable.</w:t>
      </w:r>
      <w:r>
        <w:rPr>
          <w:rStyle w:val="FootnoteReference"/>
          <w:snapToGrid/>
          <w:kern w:val="0"/>
          <w:szCs w:val="22"/>
        </w:rPr>
        <w:footnoteReference w:id="27"/>
      </w:r>
      <w:r w:rsidRPr="00202159" w:rsidR="006375D8">
        <w:rPr>
          <w:snapToGrid/>
          <w:kern w:val="0"/>
          <w:szCs w:val="22"/>
        </w:rPr>
        <w:t xml:space="preserve">     </w:t>
      </w:r>
      <w:r w:rsidRPr="00202159" w:rsidR="00E8036C">
        <w:rPr>
          <w:color w:val="000000"/>
          <w:szCs w:val="22"/>
        </w:rPr>
        <w:t xml:space="preserve">  </w:t>
      </w:r>
    </w:p>
    <w:p w:rsidR="00AD766F" w:rsidRPr="00202159" w:rsidP="00202159" w14:paraId="1C56785D" w14:textId="7F266115">
      <w:pPr>
        <w:widowControl/>
        <w:autoSpaceDE w:val="0"/>
        <w:autoSpaceDN w:val="0"/>
        <w:adjustRightInd w:val="0"/>
        <w:spacing w:after="120"/>
        <w:ind w:firstLine="720"/>
        <w:rPr>
          <w:szCs w:val="22"/>
        </w:rPr>
      </w:pPr>
      <w:r w:rsidRPr="00202159">
        <w:rPr>
          <w:color w:val="000000"/>
          <w:szCs w:val="22"/>
        </w:rPr>
        <w:t xml:space="preserve">We </w:t>
      </w:r>
      <w:r w:rsidRPr="00202159" w:rsidR="00A75E4C">
        <w:rPr>
          <w:szCs w:val="22"/>
        </w:rPr>
        <w:t>next consider whether the proposed transaction is likely to generate verifiable, transaction-specific public interest benefits.</w:t>
      </w:r>
      <w:r>
        <w:rPr>
          <w:rStyle w:val="FootnoteReference"/>
          <w:szCs w:val="22"/>
        </w:rPr>
        <w:footnoteReference w:id="28"/>
      </w:r>
      <w:r w:rsidRPr="00202159" w:rsidR="00A75E4C">
        <w:rPr>
          <w:szCs w:val="22"/>
        </w:rPr>
        <w:t xml:space="preserve"> </w:t>
      </w:r>
      <w:r w:rsidRPr="00202159" w:rsidR="003C7639">
        <w:rPr>
          <w:szCs w:val="22"/>
        </w:rPr>
        <w:t xml:space="preserve"> </w:t>
      </w:r>
      <w:r w:rsidRPr="00202159" w:rsidR="00A75E4C">
        <w:rPr>
          <w:szCs w:val="22"/>
        </w:rPr>
        <w:t>Applicants must provide evidence of a claimed benefit to allow the Commission to verify its likelihood and magnitude.</w:t>
      </w:r>
      <w:r>
        <w:rPr>
          <w:rStyle w:val="FootnoteReference"/>
          <w:szCs w:val="22"/>
        </w:rPr>
        <w:footnoteReference w:id="29"/>
      </w:r>
      <w:r w:rsidRPr="00202159" w:rsidR="00A75E4C">
        <w:rPr>
          <w:szCs w:val="22"/>
        </w:rPr>
        <w:t xml:space="preserve">  Where potential harms appear unlikely, as is the case with the Application before us here, the Commission accepts a lesser degree of magnitude and likelihood than when harms are present.</w:t>
      </w:r>
      <w:r>
        <w:rPr>
          <w:rStyle w:val="FootnoteReference"/>
          <w:szCs w:val="22"/>
        </w:rPr>
        <w:footnoteReference w:id="30"/>
      </w:r>
      <w:r w:rsidRPr="00202159" w:rsidR="00A75E4C">
        <w:rPr>
          <w:szCs w:val="22"/>
        </w:rPr>
        <w:t xml:space="preserve">  </w:t>
      </w:r>
    </w:p>
    <w:p w:rsidR="00447D22" w:rsidRPr="00202159" w:rsidP="00202159" w14:paraId="2B5A3508" w14:textId="3B2089E1">
      <w:pPr>
        <w:widowControl/>
        <w:autoSpaceDE w:val="0"/>
        <w:autoSpaceDN w:val="0"/>
        <w:adjustRightInd w:val="0"/>
        <w:spacing w:after="120"/>
        <w:ind w:firstLine="720"/>
        <w:rPr>
          <w:rFonts w:ascii="TimesNewRoman" w:hAnsi="TimesNewRoman" w:cs="TimesNewRoman"/>
          <w:snapToGrid/>
          <w:kern w:val="0"/>
          <w:szCs w:val="22"/>
          <w:lang w:eastAsia="ja-JP"/>
        </w:rPr>
      </w:pPr>
      <w:r w:rsidRPr="00202159">
        <w:rPr>
          <w:szCs w:val="22"/>
        </w:rPr>
        <w:t>The Commission has specified that ensuring consumers receive new or additional services is an important public interest factor</w:t>
      </w:r>
      <w:r w:rsidRPr="00202159" w:rsidR="006D4FC8">
        <w:rPr>
          <w:szCs w:val="22"/>
        </w:rPr>
        <w:t>,</w:t>
      </w:r>
      <w:r>
        <w:rPr>
          <w:rStyle w:val="FootnoteReference"/>
          <w:szCs w:val="22"/>
        </w:rPr>
        <w:footnoteReference w:id="31"/>
      </w:r>
      <w:r w:rsidRPr="00202159">
        <w:rPr>
          <w:szCs w:val="22"/>
        </w:rPr>
        <w:t xml:space="preserve"> </w:t>
      </w:r>
      <w:r w:rsidRPr="00202159" w:rsidR="006D4FC8">
        <w:rPr>
          <w:szCs w:val="22"/>
        </w:rPr>
        <w:t>and</w:t>
      </w:r>
      <w:r w:rsidRPr="00202159">
        <w:rPr>
          <w:szCs w:val="22"/>
        </w:rPr>
        <w:t xml:space="preserve"> </w:t>
      </w:r>
      <w:r w:rsidRPr="00202159">
        <w:rPr>
          <w:color w:val="000000"/>
          <w:szCs w:val="22"/>
        </w:rPr>
        <w:t>accelerating private sector deployment of advanced services</w:t>
      </w:r>
      <w:r w:rsidRPr="00202159" w:rsidR="006D4FC8">
        <w:rPr>
          <w:color w:val="000000"/>
          <w:szCs w:val="22"/>
        </w:rPr>
        <w:t xml:space="preserve"> is one of the aims of the Communications Act</w:t>
      </w:r>
      <w:r w:rsidRPr="00202159">
        <w:rPr>
          <w:color w:val="000000"/>
          <w:szCs w:val="22"/>
        </w:rPr>
        <w:t>.</w:t>
      </w:r>
      <w:r>
        <w:rPr>
          <w:color w:val="000000"/>
          <w:szCs w:val="22"/>
          <w:vertAlign w:val="superscript"/>
        </w:rPr>
        <w:footnoteReference w:id="32"/>
      </w:r>
      <w:r w:rsidRPr="00202159">
        <w:rPr>
          <w:color w:val="000000"/>
          <w:szCs w:val="22"/>
        </w:rPr>
        <w:t xml:space="preserve">  </w:t>
      </w:r>
      <w:r w:rsidRPr="00202159">
        <w:rPr>
          <w:bCs/>
          <w:snapToGrid/>
          <w:kern w:val="0"/>
          <w:szCs w:val="22"/>
        </w:rPr>
        <w:t xml:space="preserve">In light of the Applicants’ commitments to meet </w:t>
      </w:r>
      <w:r w:rsidRPr="00202159" w:rsidR="00D835F0">
        <w:rPr>
          <w:bCs/>
          <w:snapToGrid/>
          <w:kern w:val="0"/>
          <w:szCs w:val="22"/>
        </w:rPr>
        <w:t>Troy Cable’s and USTC’s f</w:t>
      </w:r>
      <w:r w:rsidRPr="00202159">
        <w:rPr>
          <w:bCs/>
          <w:snapToGrid/>
          <w:kern w:val="0"/>
          <w:szCs w:val="22"/>
        </w:rPr>
        <w:t xml:space="preserve">ederal high cost funding obligations and </w:t>
      </w:r>
      <w:r w:rsidRPr="00202159" w:rsidR="00A42EE2">
        <w:rPr>
          <w:bCs/>
          <w:snapToGrid/>
          <w:kern w:val="0"/>
          <w:szCs w:val="22"/>
        </w:rPr>
        <w:t xml:space="preserve">their statement </w:t>
      </w:r>
      <w:r w:rsidRPr="00202159">
        <w:rPr>
          <w:bCs/>
          <w:snapToGrid/>
          <w:kern w:val="0"/>
          <w:szCs w:val="22"/>
        </w:rPr>
        <w:t xml:space="preserve">that </w:t>
      </w:r>
      <w:r w:rsidRPr="00202159" w:rsidR="00D835F0">
        <w:rPr>
          <w:bCs/>
          <w:snapToGrid/>
          <w:kern w:val="0"/>
          <w:szCs w:val="22"/>
        </w:rPr>
        <w:t>Telapex is</w:t>
      </w:r>
      <w:r w:rsidRPr="00202159">
        <w:rPr>
          <w:bCs/>
          <w:snapToGrid/>
          <w:kern w:val="0"/>
          <w:szCs w:val="22"/>
        </w:rPr>
        <w:t xml:space="preserve"> prepared to increase capital and other resources </w:t>
      </w:r>
      <w:r w:rsidRPr="00202159" w:rsidR="00D835F0">
        <w:rPr>
          <w:bCs/>
          <w:snapToGrid/>
          <w:kern w:val="0"/>
          <w:szCs w:val="22"/>
        </w:rPr>
        <w:t xml:space="preserve">to </w:t>
      </w:r>
      <w:r w:rsidRPr="00202159">
        <w:rPr>
          <w:bCs/>
          <w:snapToGrid/>
          <w:kern w:val="0"/>
          <w:szCs w:val="22"/>
        </w:rPr>
        <w:t>expand facilities-based service offerings, we find it likely that the proposed transaction would result in some public interest benefits.</w:t>
      </w:r>
      <w:r w:rsidRPr="00202159" w:rsidR="0074229D">
        <w:rPr>
          <w:bCs/>
          <w:snapToGrid/>
          <w:kern w:val="0"/>
          <w:szCs w:val="22"/>
        </w:rPr>
        <w:t xml:space="preserve"> </w:t>
      </w:r>
      <w:r w:rsidRPr="00202159" w:rsidR="00DB0101">
        <w:rPr>
          <w:bCs/>
          <w:snapToGrid/>
          <w:kern w:val="0"/>
          <w:szCs w:val="22"/>
        </w:rPr>
        <w:t xml:space="preserve"> </w:t>
      </w:r>
      <w:r w:rsidRPr="00202159" w:rsidR="00CF0F77">
        <w:rPr>
          <w:bCs/>
          <w:snapToGrid/>
          <w:kern w:val="0"/>
          <w:szCs w:val="22"/>
        </w:rPr>
        <w:t xml:space="preserve">In addition, as the Commission has found, the </w:t>
      </w:r>
      <w:r w:rsidRPr="00202159" w:rsidR="00CF0F77">
        <w:rPr>
          <w:bCs/>
          <w:color w:val="000000"/>
          <w:szCs w:val="22"/>
        </w:rPr>
        <w:t>combination of competitive providers can result in a stronger and more effective competitor against larger cable and incumbent LEC providers.</w:t>
      </w:r>
      <w:r>
        <w:rPr>
          <w:rStyle w:val="FootnoteReference"/>
          <w:bCs/>
          <w:szCs w:val="22"/>
        </w:rPr>
        <w:footnoteReference w:id="33"/>
      </w:r>
      <w:r w:rsidRPr="00202159" w:rsidR="00CF0F77">
        <w:rPr>
          <w:bCs/>
          <w:color w:val="000000"/>
          <w:szCs w:val="22"/>
        </w:rPr>
        <w:t xml:space="preserve"> </w:t>
      </w:r>
      <w:r w:rsidRPr="00202159" w:rsidR="00AD766F">
        <w:rPr>
          <w:bCs/>
          <w:color w:val="000000"/>
          <w:szCs w:val="22"/>
        </w:rPr>
        <w:t xml:space="preserve"> </w:t>
      </w:r>
      <w:r w:rsidRPr="00202159" w:rsidR="00DB0101">
        <w:rPr>
          <w:snapToGrid/>
          <w:kern w:val="0"/>
          <w:szCs w:val="22"/>
        </w:rPr>
        <w:t xml:space="preserve">Absent any potential harms, and considering that the proposed transaction is likely to yield some benefits, we find, on balance, that the proposed transaction serves the public interest. </w:t>
      </w:r>
      <w:r w:rsidRPr="00202159" w:rsidR="00DB0101">
        <w:rPr>
          <w:bCs/>
          <w:snapToGrid/>
          <w:kern w:val="0"/>
          <w:szCs w:val="22"/>
        </w:rPr>
        <w:t xml:space="preserve"> </w:t>
      </w:r>
    </w:p>
    <w:p w:rsidR="00D06F09" w:rsidRPr="00202159" w:rsidP="00202159" w14:paraId="3EB1310C" w14:textId="77777777">
      <w:pPr>
        <w:widowControl/>
        <w:autoSpaceDE w:val="0"/>
        <w:autoSpaceDN w:val="0"/>
        <w:adjustRightInd w:val="0"/>
        <w:spacing w:after="120"/>
        <w:ind w:firstLine="720"/>
        <w:rPr>
          <w:szCs w:val="22"/>
        </w:rPr>
      </w:pPr>
      <w:r w:rsidRPr="00202159">
        <w:rPr>
          <w:szCs w:val="22"/>
        </w:rPr>
        <w:t xml:space="preserve">Therefore, pursuant to section 214 of the Act, 47 U.S.C. § 214, and sections 0.91, 0.291, </w:t>
      </w:r>
      <w:r w:rsidRPr="00202159">
        <w:rPr>
          <w:snapToGrid/>
          <w:kern w:val="0"/>
          <w:szCs w:val="22"/>
        </w:rPr>
        <w:t>63.03, and 63.04</w:t>
      </w:r>
      <w:r w:rsidRPr="00202159">
        <w:rPr>
          <w:szCs w:val="22"/>
        </w:rPr>
        <w:t xml:space="preserve"> of the Commission’s rules, 47 C</w:t>
      </w:r>
      <w:r w:rsidRPr="00202159" w:rsidR="0044678A">
        <w:rPr>
          <w:szCs w:val="22"/>
        </w:rPr>
        <w:t>.</w:t>
      </w:r>
      <w:r w:rsidRPr="00202159">
        <w:rPr>
          <w:szCs w:val="22"/>
        </w:rPr>
        <w:t>F</w:t>
      </w:r>
      <w:r w:rsidRPr="00202159" w:rsidR="0044678A">
        <w:rPr>
          <w:szCs w:val="22"/>
        </w:rPr>
        <w:t>.</w:t>
      </w:r>
      <w:r w:rsidRPr="00202159">
        <w:rPr>
          <w:szCs w:val="22"/>
        </w:rPr>
        <w:t>R</w:t>
      </w:r>
      <w:r w:rsidRPr="00202159" w:rsidR="0044678A">
        <w:rPr>
          <w:szCs w:val="22"/>
        </w:rPr>
        <w:t>.</w:t>
      </w:r>
      <w:r w:rsidRPr="00202159">
        <w:rPr>
          <w:szCs w:val="22"/>
        </w:rPr>
        <w:t xml:space="preserve"> §§ 0.91, 0.291, 63.03, and 63.04, the Bureau hereby grants the Application discussed in this Public </w:t>
      </w:r>
      <w:r w:rsidRPr="00202159" w:rsidR="0000222B">
        <w:rPr>
          <w:szCs w:val="22"/>
        </w:rPr>
        <w:t>Notice.</w:t>
      </w:r>
    </w:p>
    <w:p w:rsidR="002D7CCE" w:rsidRPr="00202159" w:rsidP="00202159" w14:paraId="2EB37B97" w14:textId="69C3E3E1">
      <w:pPr>
        <w:widowControl/>
        <w:autoSpaceDE w:val="0"/>
        <w:autoSpaceDN w:val="0"/>
        <w:adjustRightInd w:val="0"/>
        <w:spacing w:after="120"/>
        <w:ind w:firstLine="720"/>
        <w:rPr>
          <w:szCs w:val="22"/>
        </w:rPr>
      </w:pPr>
      <w:r w:rsidRPr="00202159">
        <w:rPr>
          <w:szCs w:val="22"/>
        </w:rPr>
        <w:t>Pursuant to section 1.103 of the Commission's rules, 47 C.F.R. § 1.103, the grant is effective upon release of this Public Notice.</w:t>
      </w:r>
      <w:r>
        <w:rPr>
          <w:rStyle w:val="FootnoteReference"/>
          <w:szCs w:val="22"/>
        </w:rPr>
        <w:footnoteReference w:id="34"/>
      </w:r>
      <w:r w:rsidRPr="00202159">
        <w:rPr>
          <w:szCs w:val="22"/>
        </w:rPr>
        <w:t xml:space="preserve">  Petitions for reconsideration under section 1.106 or applications for </w:t>
      </w:r>
      <w:r w:rsidRPr="00202159">
        <w:rPr>
          <w:szCs w:val="22"/>
        </w:rPr>
        <w:t>review under section 1.115 of the Commission's rules, 47 C.F.R. §§ 1.106, 1.115, may be filed within 30 days of the date of this Public Notice.</w:t>
      </w:r>
      <w:bookmarkStart w:id="4" w:name="FN[FN9]"/>
      <w:bookmarkStart w:id="5" w:name="sp_999_1"/>
      <w:bookmarkStart w:id="6" w:name="SDU_1"/>
      <w:bookmarkEnd w:id="4"/>
      <w:bookmarkEnd w:id="5"/>
      <w:bookmarkEnd w:id="6"/>
    </w:p>
    <w:p w:rsidR="002D7CCE" w:rsidRPr="00202159" w:rsidP="00202159" w14:paraId="36992EB7" w14:textId="5A7F2A36">
      <w:pPr>
        <w:spacing w:after="120"/>
        <w:ind w:firstLine="720"/>
        <w:rPr>
          <w:szCs w:val="22"/>
        </w:rPr>
      </w:pPr>
      <w:bookmarkStart w:id="7" w:name="sp_999_2"/>
      <w:bookmarkStart w:id="8" w:name="SDU_2"/>
      <w:bookmarkEnd w:id="7"/>
      <w:bookmarkEnd w:id="8"/>
      <w:r w:rsidRPr="00202159">
        <w:rPr>
          <w:szCs w:val="22"/>
        </w:rPr>
        <w:t>For further information, please contact Myrva Charles at (202) 418-1506 or Gregory Kwan at (202) 418-1191</w:t>
      </w:r>
    </w:p>
    <w:p w:rsidR="002D7CCE" w:rsidRPr="00B02A93" w:rsidP="002D7CCE" w14:paraId="2DA1FAAC" w14:textId="77777777">
      <w:pPr>
        <w:pStyle w:val="Default"/>
        <w:rPr>
          <w:color w:val="auto"/>
          <w:sz w:val="22"/>
          <w:szCs w:val="22"/>
        </w:rPr>
      </w:pPr>
    </w:p>
    <w:p w:rsidR="002D7CCE" w:rsidRPr="00B02A93" w:rsidP="002D7CCE" w14:paraId="3A1A6A4F" w14:textId="77777777">
      <w:pPr>
        <w:pStyle w:val="Default"/>
        <w:jc w:val="center"/>
        <w:rPr>
          <w:b/>
          <w:bCs/>
          <w:color w:val="auto"/>
          <w:sz w:val="22"/>
          <w:szCs w:val="22"/>
        </w:rPr>
      </w:pPr>
      <w:r w:rsidRPr="00B02A93">
        <w:rPr>
          <w:b/>
          <w:bCs/>
          <w:color w:val="auto"/>
          <w:sz w:val="22"/>
          <w:szCs w:val="22"/>
        </w:rPr>
        <w:t>-FCC-</w:t>
      </w:r>
    </w:p>
    <w:p w:rsidR="006F4636" w:rsidRPr="00B02A93" w:rsidP="00EC2DFD" w14:paraId="4E7E54BE" w14:textId="77777777">
      <w:pPr>
        <w:pStyle w:val="Default"/>
        <w:ind w:firstLine="720"/>
        <w:rPr>
          <w:color w:val="auto"/>
          <w:sz w:val="22"/>
          <w:szCs w:val="22"/>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AE7" w:rsidP="0055614C" w14:paraId="68C4CE2E" w14:textId="77777777">
    <w:pPr>
      <w:pStyle w:val="Footer"/>
      <w:framePr w:wrap="around" w:vAnchor="text" w:hAnchor="margin" w:xAlign="center" w:y="1"/>
    </w:pPr>
    <w:r>
      <w:fldChar w:fldCharType="begin"/>
    </w:r>
    <w:r>
      <w:instrText xml:space="preserve">PAGE  </w:instrText>
    </w:r>
    <w:r>
      <w:fldChar w:fldCharType="separate"/>
    </w:r>
    <w:r>
      <w:fldChar w:fldCharType="end"/>
    </w:r>
  </w:p>
  <w:p w:rsidR="00475AE7" w14:paraId="6126A46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AE7" w:rsidP="00910F12" w14:paraId="014DF968" w14:textId="77777777">
    <w:pPr>
      <w:pStyle w:val="Footer"/>
      <w:jc w:val="center"/>
    </w:pPr>
    <w:r>
      <w:fldChar w:fldCharType="begin"/>
    </w:r>
    <w:r>
      <w:instrText xml:space="preserve"> PAGE   \* MERGEFORMAT </w:instrText>
    </w:r>
    <w:r>
      <w:fldChar w:fldCharType="separate"/>
    </w:r>
    <w:r>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AE7" w14:paraId="33DBFD7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C7590" w14:paraId="67C8A209" w14:textId="77777777">
      <w:r>
        <w:separator/>
      </w:r>
    </w:p>
  </w:footnote>
  <w:footnote w:type="continuationSeparator" w:id="1">
    <w:p w:rsidR="00DC7590" w14:paraId="0AA0FB26" w14:textId="77777777">
      <w:pPr>
        <w:rPr>
          <w:sz w:val="20"/>
        </w:rPr>
      </w:pPr>
      <w:r>
        <w:rPr>
          <w:sz w:val="20"/>
        </w:rPr>
        <w:t xml:space="preserve">(Continued from previous page)  </w:t>
      </w:r>
      <w:r>
        <w:rPr>
          <w:sz w:val="20"/>
        </w:rPr>
        <w:separator/>
      </w:r>
    </w:p>
  </w:footnote>
  <w:footnote w:type="continuationNotice" w:id="2">
    <w:p w:rsidR="00DC7590" w:rsidP="00910F12" w14:paraId="24DF8428" w14:textId="77777777">
      <w:pPr>
        <w:jc w:val="right"/>
        <w:rPr>
          <w:sz w:val="20"/>
        </w:rPr>
      </w:pPr>
      <w:r>
        <w:rPr>
          <w:sz w:val="20"/>
        </w:rPr>
        <w:t>(continued….)</w:t>
      </w:r>
    </w:p>
  </w:footnote>
  <w:footnote w:id="3">
    <w:p w:rsidR="00A87085" w:rsidRPr="00DE64A0" w:rsidP="00A87085" w14:paraId="734E31DD" w14:textId="77777777">
      <w:pPr>
        <w:pStyle w:val="FootnoteText"/>
      </w:pPr>
      <w:r w:rsidRPr="00DE64A0">
        <w:rPr>
          <w:rStyle w:val="FootnoteReference"/>
        </w:rPr>
        <w:footnoteRef/>
      </w:r>
      <w:r w:rsidRPr="00DE64A0">
        <w:t xml:space="preserve"> Joint Application of Troy Cablevision, Inc., Union Springs Telephone Company, Inc. and Telapex, Inc. for Transfer of Control of Domestic and International Section 214 Authorizations Pursuant to Section 214 of the Communications Act, as Amended, WC Docket No. 21-411 (filed Oct. 20, 2021), </w:t>
      </w:r>
      <w:hyperlink r:id="rId1" w:history="1">
        <w:r w:rsidRPr="00DE64A0">
          <w:rPr>
            <w:rStyle w:val="Hyperlink"/>
          </w:rPr>
          <w:t>https://ecfsapi.fcc.gov/file/102084537813/214%20FCC%20Transfer%20of%20Control%20Application%20Narrative%2010%2020%2021%20%20FINAL.pdf</w:t>
        </w:r>
      </w:hyperlink>
      <w:r w:rsidRPr="00DE64A0">
        <w:t xml:space="preserve"> (Application).</w:t>
      </w:r>
    </w:p>
  </w:footnote>
  <w:footnote w:id="4">
    <w:p w:rsidR="00A87085" w:rsidRPr="00DE64A0" w:rsidP="00A87085" w14:paraId="19DBDBD5" w14:textId="77777777">
      <w:pPr>
        <w:spacing w:after="120"/>
        <w:rPr>
          <w:bCs/>
          <w:sz w:val="20"/>
        </w:rPr>
      </w:pPr>
      <w:r w:rsidRPr="00DE64A0">
        <w:rPr>
          <w:rStyle w:val="FootnoteReference"/>
          <w:sz w:val="20"/>
        </w:rPr>
        <w:footnoteRef/>
      </w:r>
      <w:r w:rsidRPr="00DE64A0">
        <w:rPr>
          <w:sz w:val="20"/>
        </w:rPr>
        <w:t xml:space="preserve"> </w:t>
      </w:r>
      <w:r w:rsidRPr="00DE64A0">
        <w:rPr>
          <w:i/>
          <w:sz w:val="20"/>
        </w:rPr>
        <w:t>See</w:t>
      </w:r>
      <w:r w:rsidRPr="00DE64A0">
        <w:rPr>
          <w:sz w:val="20"/>
        </w:rPr>
        <w:t xml:space="preserve"> 47 U.S.C. § 214; 47 CFR §§ 63.03-04.  Applicants also filed applications for the transfer of authorizations associated with international services.  On November 3, 2021, Applicants filed declarations supplementing their domestics section 214 application.  </w:t>
      </w:r>
      <w:r w:rsidRPr="00DE64A0">
        <w:rPr>
          <w:i/>
          <w:iCs/>
          <w:sz w:val="20"/>
        </w:rPr>
        <w:t xml:space="preserve">See </w:t>
      </w:r>
      <w:r w:rsidRPr="00DE64A0">
        <w:rPr>
          <w:sz w:val="20"/>
        </w:rPr>
        <w:t>Declaration of William H. Freemen, President of Troy Cablevision, Inc., to Marlene H. Dortch, Secretary, FCC (filed Nov. 3, 2021) (on file in WC Docket No. 21-411) (Decl</w:t>
      </w:r>
      <w:r>
        <w:rPr>
          <w:sz w:val="20"/>
        </w:rPr>
        <w:t>.</w:t>
      </w:r>
      <w:r w:rsidRPr="00DE64A0">
        <w:rPr>
          <w:sz w:val="20"/>
        </w:rPr>
        <w:t xml:space="preserve"> of William H. Freeman); Declaration of Benjamin C. Pace, Chief Financial Officer of Telapex, Inc., to Marlene H. Dortch, Secretary, FCC (filed Nov. 3, 2021) (on file in WC Docket No. 21-411) (Decl</w:t>
      </w:r>
      <w:r>
        <w:rPr>
          <w:sz w:val="20"/>
        </w:rPr>
        <w:t xml:space="preserve">. </w:t>
      </w:r>
      <w:r w:rsidRPr="00DE64A0">
        <w:rPr>
          <w:sz w:val="20"/>
        </w:rPr>
        <w:t>of Benjamin C. Pace).  Any action on this domestic section 214 application is without prejudice to Commission action on other related, pending applications</w:t>
      </w:r>
      <w:r>
        <w:rPr>
          <w:sz w:val="20"/>
        </w:rPr>
        <w:t>.</w:t>
      </w:r>
      <w:r w:rsidRPr="00DE64A0">
        <w:rPr>
          <w:sz w:val="20"/>
        </w:rPr>
        <w:t xml:space="preserve"> </w:t>
      </w:r>
    </w:p>
  </w:footnote>
  <w:footnote w:id="5">
    <w:p w:rsidR="008774D9" w:rsidP="008774D9" w14:paraId="095DB7C9" w14:textId="68348E09">
      <w:pPr>
        <w:pStyle w:val="FootnoteText"/>
      </w:pPr>
      <w:r>
        <w:rPr>
          <w:rStyle w:val="FootnoteReference"/>
        </w:rPr>
        <w:footnoteRef/>
      </w:r>
      <w:r>
        <w:t xml:space="preserve"> </w:t>
      </w:r>
      <w:r w:rsidR="00C84CB7">
        <w:rPr>
          <w:i/>
          <w:iCs/>
        </w:rPr>
        <w:t xml:space="preserve">Application Filed for the Transfer of Control of </w:t>
      </w:r>
      <w:r w:rsidR="00A87085">
        <w:rPr>
          <w:i/>
          <w:iCs/>
        </w:rPr>
        <w:t xml:space="preserve">Troy Cablevision, Inc. and Union Springs Telephone Company, Inc. to Telapex, </w:t>
      </w:r>
      <w:r w:rsidRPr="00A87085" w:rsidR="00A87085">
        <w:t>Inc</w:t>
      </w:r>
      <w:r w:rsidR="00A87085">
        <w:t xml:space="preserve">., </w:t>
      </w:r>
      <w:r w:rsidRPr="00207939">
        <w:t>WC Docket No. 2</w:t>
      </w:r>
      <w:r>
        <w:t>1</w:t>
      </w:r>
      <w:r w:rsidR="00C543F9">
        <w:t>-41</w:t>
      </w:r>
      <w:r w:rsidR="00A87085">
        <w:t>1</w:t>
      </w:r>
      <w:r>
        <w:t>, Public Notice, DA 21-</w:t>
      </w:r>
      <w:r w:rsidR="00A87085">
        <w:t>1381</w:t>
      </w:r>
      <w:r w:rsidRPr="008670A1">
        <w:t xml:space="preserve"> </w:t>
      </w:r>
      <w:r>
        <w:t>(WCB</w:t>
      </w:r>
      <w:r w:rsidR="00C543F9">
        <w:t xml:space="preserve"> </w:t>
      </w:r>
      <w:r>
        <w:t>2021)</w:t>
      </w:r>
      <w:r w:rsidR="00240DA8">
        <w:t>.</w:t>
      </w:r>
      <w:r>
        <w:t xml:space="preserve">     </w:t>
      </w:r>
    </w:p>
  </w:footnote>
  <w:footnote w:id="6">
    <w:p w:rsidR="00A87085" w:rsidRPr="006F7904" w:rsidP="00A87085" w14:paraId="2BC10D9D" w14:textId="77777777">
      <w:pPr>
        <w:spacing w:after="120"/>
        <w:rPr>
          <w:sz w:val="20"/>
        </w:rPr>
      </w:pPr>
      <w:r>
        <w:rPr>
          <w:rStyle w:val="FootnoteReference"/>
        </w:rPr>
        <w:footnoteRef/>
      </w:r>
      <w:r>
        <w:t xml:space="preserve"> </w:t>
      </w:r>
      <w:r w:rsidRPr="006F7904">
        <w:rPr>
          <w:sz w:val="20"/>
        </w:rPr>
        <w:t>Application at 2.</w:t>
      </w:r>
    </w:p>
  </w:footnote>
  <w:footnote w:id="7">
    <w:p w:rsidR="00996476" w:rsidRPr="00E35D85" w:rsidP="00996476" w14:paraId="57F51935" w14:textId="7A1F4691">
      <w:pPr>
        <w:pStyle w:val="FootnoteText"/>
      </w:pPr>
      <w:r>
        <w:rPr>
          <w:rStyle w:val="FootnoteReference"/>
        </w:rPr>
        <w:footnoteRef/>
      </w:r>
      <w:r>
        <w:t xml:space="preserve"> </w:t>
      </w:r>
      <w:r>
        <w:rPr>
          <w:i/>
        </w:rPr>
        <w:t>See Telecommunications Carriers Eligible for Universal Service Support; Connect America Fund</w:t>
      </w:r>
      <w:r>
        <w:t>, WC Docket Nos. 09-197, 10-90, Order, DA 21-663</w:t>
      </w:r>
      <w:r w:rsidR="002A07AB">
        <w:t>,</w:t>
      </w:r>
      <w:r>
        <w:t xml:space="preserve"> at 12 (WCB 2021) (</w:t>
      </w:r>
      <w:r>
        <w:rPr>
          <w:i/>
        </w:rPr>
        <w:t>RDOF ETC Order</w:t>
      </w:r>
      <w:r>
        <w:t xml:space="preserve">).  The Bureau stated in the </w:t>
      </w:r>
      <w:r>
        <w:rPr>
          <w:i/>
        </w:rPr>
        <w:t>RDOF ETC Order</w:t>
      </w:r>
      <w:r>
        <w:t xml:space="preserve"> that ETCs seeking to transfer control of their domestic authorizations to operate pursuant to section 214 of the Act or to engage in the sale of assets under section 214 (including any authorization to receive RDOF support) must first receive approval from the Commission in accordance with sections 63.03 and 63.04 of the Commission’s rules governing the procedures for domestic transfer of control/asset applications.  </w:t>
      </w:r>
      <w:r>
        <w:rPr>
          <w:i/>
        </w:rPr>
        <w:t>See RDOF ETC Order</w:t>
      </w:r>
      <w:r>
        <w:t xml:space="preserve">, DA 21-663 at 10-11, para. 30; 47 U.S.C. </w:t>
      </w:r>
      <w:r w:rsidRPr="00C25666">
        <w:t>§</w:t>
      </w:r>
      <w:r>
        <w:t xml:space="preserve"> 214; 47 CFR </w:t>
      </w:r>
      <w:r w:rsidRPr="00C25666">
        <w:t>§§</w:t>
      </w:r>
      <w:r>
        <w:t xml:space="preserve"> 63.03-04.</w:t>
      </w:r>
    </w:p>
  </w:footnote>
  <w:footnote w:id="8">
    <w:p w:rsidR="00A87085" w:rsidRPr="00E42463" w:rsidP="00A87085" w14:paraId="2834154E" w14:textId="1605C850">
      <w:pPr>
        <w:pStyle w:val="FootnoteText"/>
      </w:pPr>
      <w:r w:rsidRPr="006F7904">
        <w:rPr>
          <w:rStyle w:val="FootnoteReference"/>
        </w:rPr>
        <w:footnoteRef/>
      </w:r>
      <w:r w:rsidRPr="006F7904">
        <w:t xml:space="preserve"> Application at 3.  </w:t>
      </w:r>
      <w:r w:rsidRPr="006F7904">
        <w:rPr>
          <w:i/>
          <w:iCs/>
        </w:rPr>
        <w:t>See Rural Digital Opportunity Fund Phase I Auction (Auction 904) Closes; Winning Bidders Announced</w:t>
      </w:r>
      <w:r w:rsidRPr="00DE64A0">
        <w:rPr>
          <w:i/>
          <w:iCs/>
        </w:rPr>
        <w:t xml:space="preserve">, </w:t>
      </w:r>
      <w:r w:rsidRPr="00DE64A0">
        <w:t xml:space="preserve">AU </w:t>
      </w:r>
      <w:r w:rsidRPr="0071471C">
        <w:t xml:space="preserve">Docket No. 20-34, WC Docket No. 19-126, WC </w:t>
      </w:r>
      <w:r w:rsidRPr="00E42463">
        <w:t>Docket No. 10-90, Public Notice, 35 FCC Rcd 13888, Attach. A (Winning Bidder Summary) (WCB/OEA 2020)</w:t>
      </w:r>
      <w:r w:rsidR="00240DA8">
        <w:t xml:space="preserve">; </w:t>
      </w:r>
      <w:r w:rsidRPr="00240DA8" w:rsidR="00240DA8">
        <w:rPr>
          <w:i/>
          <w:iCs/>
        </w:rPr>
        <w:t xml:space="preserve">Rural Digital Opportunity Fund Support for 2,081 Winning Bids </w:t>
      </w:r>
      <w:r w:rsidR="00240DA8">
        <w:rPr>
          <w:i/>
          <w:iCs/>
        </w:rPr>
        <w:t>R</w:t>
      </w:r>
      <w:r w:rsidRPr="00240DA8" w:rsidR="00240DA8">
        <w:rPr>
          <w:i/>
          <w:iCs/>
        </w:rPr>
        <w:t>eady to be Authorized</w:t>
      </w:r>
      <w:r w:rsidR="00240DA8">
        <w:t>,</w:t>
      </w:r>
      <w:r w:rsidRPr="00240DA8" w:rsidR="00240DA8">
        <w:t xml:space="preserve"> </w:t>
      </w:r>
      <w:r w:rsidRPr="00DE64A0" w:rsidR="00240DA8">
        <w:t xml:space="preserve">AU </w:t>
      </w:r>
      <w:r w:rsidRPr="0071471C" w:rsidR="00240DA8">
        <w:t xml:space="preserve">Docket No. 20-34, WC Docket No. 19-126, WC </w:t>
      </w:r>
      <w:r w:rsidRPr="00E42463" w:rsidR="00240DA8">
        <w:t>Docket No. 10-90, Public Notice</w:t>
      </w:r>
      <w:r w:rsidR="00240DA8">
        <w:t>, DA 21-1401, Attach. A (WCB/OEA 2021).</w:t>
      </w:r>
    </w:p>
  </w:footnote>
  <w:footnote w:id="9">
    <w:p w:rsidR="00A87085" w:rsidP="00A87085" w14:paraId="78A91662" w14:textId="6820DBCA">
      <w:pPr>
        <w:pStyle w:val="FootnoteText"/>
      </w:pPr>
      <w:r>
        <w:rPr>
          <w:rStyle w:val="FootnoteReference"/>
        </w:rPr>
        <w:footnoteRef/>
      </w:r>
      <w:r>
        <w:t xml:space="preserve"> </w:t>
      </w:r>
      <w:r w:rsidRPr="00762725">
        <w:rPr>
          <w:i/>
          <w:iCs/>
        </w:rPr>
        <w:t>R</w:t>
      </w:r>
      <w:r w:rsidRPr="00762725" w:rsidR="00762725">
        <w:rPr>
          <w:i/>
          <w:iCs/>
        </w:rPr>
        <w:t>ural Digital Opportunity Fund Support Authorized for 2,008 Winning Bids</w:t>
      </w:r>
      <w:r w:rsidRPr="00762725" w:rsidR="00762725">
        <w:t>,</w:t>
      </w:r>
      <w:r w:rsidRPr="00762725">
        <w:t xml:space="preserve"> AU Docket No. 20-34, WC Docket Nos. 19-126, 10-90, Public Notice, </w:t>
      </w:r>
      <w:r w:rsidR="00E0105E">
        <w:t xml:space="preserve">DA 21-1560, </w:t>
      </w:r>
      <w:r w:rsidRPr="00762725">
        <w:t>Attach. A (Authorized</w:t>
      </w:r>
      <w:r w:rsidRPr="00762725" w:rsidR="00762725">
        <w:t xml:space="preserve"> Long-Form Applicants and Winning Bids</w:t>
      </w:r>
      <w:r w:rsidRPr="00762725">
        <w:t>) (WCB/OEA 2021).</w:t>
      </w:r>
    </w:p>
  </w:footnote>
  <w:footnote w:id="10">
    <w:p w:rsidR="00A87085" w:rsidRPr="00DE64A0" w:rsidP="00A87085" w14:paraId="71221FEF" w14:textId="77777777">
      <w:pPr>
        <w:pStyle w:val="FootnoteText"/>
        <w:rPr>
          <w:i/>
          <w:iCs/>
        </w:rPr>
      </w:pPr>
      <w:r w:rsidRPr="00DE64A0">
        <w:rPr>
          <w:rStyle w:val="FootnoteReference"/>
        </w:rPr>
        <w:footnoteRef/>
      </w:r>
      <w:r w:rsidRPr="00DE64A0">
        <w:t xml:space="preserve"> Application at 3; Decl</w:t>
      </w:r>
      <w:r>
        <w:t xml:space="preserve">. </w:t>
      </w:r>
      <w:r w:rsidRPr="00DE64A0">
        <w:t xml:space="preserve">of William H. Freeman at </w:t>
      </w:r>
      <w:r>
        <w:t>para. 4</w:t>
      </w:r>
      <w:r w:rsidRPr="00DE64A0">
        <w:t>.</w:t>
      </w:r>
    </w:p>
  </w:footnote>
  <w:footnote w:id="11">
    <w:p w:rsidR="00CB6E0A" w:rsidRPr="00DE64A0" w:rsidP="00CB6E0A" w14:paraId="4F0E8C6B" w14:textId="330966C2">
      <w:pPr>
        <w:pStyle w:val="FootnoteText"/>
      </w:pPr>
      <w:r w:rsidRPr="00DE64A0">
        <w:rPr>
          <w:rStyle w:val="FootnoteReference"/>
        </w:rPr>
        <w:footnoteRef/>
      </w:r>
      <w:r w:rsidRPr="00DE64A0">
        <w:t xml:space="preserve"> Applicants </w:t>
      </w:r>
      <w:r>
        <w:t xml:space="preserve">state </w:t>
      </w:r>
      <w:r w:rsidRPr="00DE64A0">
        <w:t xml:space="preserve">that </w:t>
      </w:r>
      <w:r>
        <w:t xml:space="preserve">consummation of the proposed transaction would not </w:t>
      </w:r>
      <w:r w:rsidR="009C58E0">
        <w:t>cause</w:t>
      </w:r>
      <w:r>
        <w:t xml:space="preserve"> the service areas of Telapex</w:t>
      </w:r>
      <w:r w:rsidR="009C58E0">
        <w:t xml:space="preserve"> </w:t>
      </w:r>
      <w:r w:rsidR="005B476C">
        <w:t xml:space="preserve">or </w:t>
      </w:r>
      <w:r>
        <w:t>any of its wholly-owned subsidiarie</w:t>
      </w:r>
      <w:r w:rsidR="009C58E0">
        <w:t xml:space="preserve">s </w:t>
      </w:r>
      <w:r w:rsidR="005B476C">
        <w:t xml:space="preserve">to </w:t>
      </w:r>
      <w:r>
        <w:t xml:space="preserve">overlap or be adjacent to the service areas of either Troy Cable or USTC.  </w:t>
      </w:r>
      <w:r w:rsidRPr="00DE64A0">
        <w:t>Decl</w:t>
      </w:r>
      <w:r>
        <w:t>.</w:t>
      </w:r>
      <w:r w:rsidRPr="00DE64A0">
        <w:t xml:space="preserve"> of Benjamin C. Pace at </w:t>
      </w:r>
      <w:r>
        <w:t>para. 14; Decl. of William H. Freeman at para. 6</w:t>
      </w:r>
      <w:r w:rsidRPr="00DE64A0">
        <w:t>.</w:t>
      </w:r>
    </w:p>
  </w:footnote>
  <w:footnote w:id="12">
    <w:p w:rsidR="00CB6E0A" w:rsidRPr="00DE64A0" w:rsidP="00CB6E0A" w14:paraId="7C2DCA8C" w14:textId="5CC51D9B">
      <w:pPr>
        <w:pStyle w:val="FootnoteText"/>
      </w:pPr>
      <w:r w:rsidRPr="00DE64A0">
        <w:rPr>
          <w:rStyle w:val="FootnoteReference"/>
        </w:rPr>
        <w:footnoteRef/>
      </w:r>
      <w:r w:rsidRPr="00DE64A0">
        <w:t xml:space="preserve"> Application at 4; Decl</w:t>
      </w:r>
      <w:r>
        <w:t>.</w:t>
      </w:r>
      <w:r w:rsidRPr="00DE64A0">
        <w:t xml:space="preserve"> of Benjamin C. Pace at </w:t>
      </w:r>
      <w:r>
        <w:t>para. 11</w:t>
      </w:r>
      <w:r w:rsidRPr="00DE64A0">
        <w:t>.  Applicants state that Cellular South, Inc. provides services pursuant to Commission licenses which are held by its wholly-owned subsidiary, Cellular South Licenses, LLC, a Mississippi limited liability company that provides service as an eligible telecommunications carrier</w:t>
      </w:r>
      <w:r>
        <w:t xml:space="preserve"> in </w:t>
      </w:r>
      <w:r w:rsidRPr="00DE64A0">
        <w:t>Mississippi and Alabama.  Decl</w:t>
      </w:r>
      <w:r>
        <w:t>.</w:t>
      </w:r>
      <w:r w:rsidRPr="00DE64A0">
        <w:t xml:space="preserve"> of Benjamin C. Pace at </w:t>
      </w:r>
      <w:r>
        <w:t>paras 7 and 11</w:t>
      </w:r>
      <w:r w:rsidRPr="00DE64A0">
        <w:t xml:space="preserve">.  </w:t>
      </w:r>
    </w:p>
  </w:footnote>
  <w:footnote w:id="13">
    <w:p w:rsidR="00CB6E0A" w:rsidRPr="00DE64A0" w:rsidP="00CB6E0A" w14:paraId="03C0495C" w14:textId="77777777">
      <w:pPr>
        <w:pStyle w:val="FootnoteText"/>
      </w:pPr>
      <w:r w:rsidRPr="00DE64A0">
        <w:rPr>
          <w:rStyle w:val="FootnoteReference"/>
        </w:rPr>
        <w:footnoteRef/>
      </w:r>
      <w:r w:rsidRPr="00DE64A0">
        <w:t xml:space="preserve"> Telapex also wholly-owns Teklinks, Inc., an Alabama corporation that provides managed and cloud services primarily in Alabama, Tennessee, and Mississippi.  Decl</w:t>
      </w:r>
      <w:r>
        <w:t>.</w:t>
      </w:r>
      <w:r w:rsidRPr="00DE64A0">
        <w:t xml:space="preserve"> of </w:t>
      </w:r>
      <w:r>
        <w:t>Benjamin C. Pace</w:t>
      </w:r>
      <w:r w:rsidRPr="00DE64A0">
        <w:t xml:space="preserve"> at </w:t>
      </w:r>
      <w:r>
        <w:t>para. 10</w:t>
      </w:r>
      <w:r w:rsidRPr="00DE64A0">
        <w:t xml:space="preserve">.  </w:t>
      </w:r>
    </w:p>
  </w:footnote>
  <w:footnote w:id="14">
    <w:p w:rsidR="00CB6E0A" w:rsidRPr="00DE64A0" w:rsidP="00CB6E0A" w14:paraId="02CB0280" w14:textId="77777777">
      <w:pPr>
        <w:pStyle w:val="FootnoteText"/>
      </w:pPr>
      <w:r w:rsidRPr="00DE64A0">
        <w:rPr>
          <w:rStyle w:val="FootnoteReference"/>
        </w:rPr>
        <w:footnoteRef/>
      </w:r>
      <w:r w:rsidRPr="00DE64A0">
        <w:t xml:space="preserve"> Application at 12; Decl</w:t>
      </w:r>
      <w:r>
        <w:t xml:space="preserve">. </w:t>
      </w:r>
      <w:r w:rsidRPr="00DE64A0">
        <w:t xml:space="preserve">of Benjamin C. Pace at </w:t>
      </w:r>
      <w:r>
        <w:t>para. 15</w:t>
      </w:r>
      <w:r w:rsidRPr="00DE64A0">
        <w:t>.  Applicants state that the 16.80% interest in Telapex held by J</w:t>
      </w:r>
      <w:r>
        <w:t>MC</w:t>
      </w:r>
      <w:r w:rsidRPr="00DE64A0">
        <w:t xml:space="preserve"> Blessings is attributed to, and voted on, by James H. Creekmore and that </w:t>
      </w:r>
      <w:r>
        <w:t xml:space="preserve">the </w:t>
      </w:r>
      <w:r w:rsidRPr="00DE64A0">
        <w:t>16.80% interest is included in Mr. Creekmore’s 34.67% interest in Telapex.  Decl</w:t>
      </w:r>
      <w:r>
        <w:t>.</w:t>
      </w:r>
      <w:r w:rsidRPr="00DE64A0">
        <w:t xml:space="preserve"> of Benjamin C. Pace at </w:t>
      </w:r>
      <w:r>
        <w:t>para. 16</w:t>
      </w:r>
      <w:r w:rsidRPr="00DE64A0">
        <w:t>.</w:t>
      </w:r>
    </w:p>
  </w:footnote>
  <w:footnote w:id="15">
    <w:p w:rsidR="00CB6E0A" w:rsidRPr="00E43197" w:rsidP="00CB6E0A" w14:paraId="412BA531" w14:textId="367B566E">
      <w:pPr>
        <w:pStyle w:val="FootnoteText"/>
      </w:pPr>
      <w:r w:rsidRPr="00DE64A0">
        <w:rPr>
          <w:rStyle w:val="FootnoteReference"/>
        </w:rPr>
        <w:footnoteRef/>
      </w:r>
      <w:r w:rsidRPr="00DE64A0">
        <w:t xml:space="preserve"> </w:t>
      </w:r>
      <w:r w:rsidRPr="00E43197">
        <w:t xml:space="preserve">Applicants state </w:t>
      </w:r>
      <w:r w:rsidR="003C7639">
        <w:t xml:space="preserve">that </w:t>
      </w:r>
      <w:r w:rsidRPr="00E43197">
        <w:t>none of these individuals nor entities hold a 10% or greater interest in any other provider of domestic telecommunications services.  Decl</w:t>
      </w:r>
      <w:r>
        <w:t>.</w:t>
      </w:r>
      <w:r w:rsidRPr="00E43197">
        <w:t xml:space="preserve"> of Benjamin C. Pace at </w:t>
      </w:r>
      <w:r>
        <w:t>para. 17</w:t>
      </w:r>
      <w:r w:rsidRPr="00E43197">
        <w:t>.</w:t>
      </w:r>
    </w:p>
  </w:footnote>
  <w:footnote w:id="16">
    <w:p w:rsidR="00CB6E0A" w:rsidRPr="00E43197" w:rsidP="00CB6E0A" w14:paraId="426D2796" w14:textId="77777777">
      <w:pPr>
        <w:pStyle w:val="FootnoteText"/>
      </w:pPr>
      <w:r w:rsidRPr="00E43197">
        <w:rPr>
          <w:rStyle w:val="FootnoteReference"/>
        </w:rPr>
        <w:footnoteRef/>
      </w:r>
      <w:r w:rsidRPr="00E43197">
        <w:t xml:space="preserve"> Application at 7.</w:t>
      </w:r>
    </w:p>
  </w:footnote>
  <w:footnote w:id="17">
    <w:p w:rsidR="00CB6E0A" w:rsidRPr="001A52EE" w:rsidP="00CB6E0A" w14:paraId="70948DB7" w14:textId="77777777">
      <w:pPr>
        <w:pStyle w:val="FootnoteText"/>
      </w:pPr>
      <w:r w:rsidRPr="001A52EE">
        <w:rPr>
          <w:rStyle w:val="FootnoteReference"/>
        </w:rPr>
        <w:footnoteRef/>
      </w:r>
      <w:r w:rsidRPr="001A52EE">
        <w:t xml:space="preserve"> </w:t>
      </w:r>
      <w:r w:rsidRPr="001A52EE">
        <w:rPr>
          <w:i/>
          <w:iCs/>
        </w:rPr>
        <w:t>Id</w:t>
      </w:r>
      <w:r w:rsidRPr="001A52EE">
        <w:t>.</w:t>
      </w:r>
    </w:p>
  </w:footnote>
  <w:footnote w:id="18">
    <w:p w:rsidR="009D31FB" w:rsidRPr="00C37B71" w:rsidP="009D31FB" w14:paraId="620FCB75" w14:textId="22905C22">
      <w:pPr>
        <w:pStyle w:val="FootnoteText"/>
        <w:widowControl w:val="0"/>
      </w:pPr>
      <w:r w:rsidRPr="00C37B71">
        <w:rPr>
          <w:rStyle w:val="FootnoteReference"/>
        </w:rPr>
        <w:footnoteRef/>
      </w:r>
      <w:r w:rsidRPr="00C37B71">
        <w:t xml:space="preserve"> </w:t>
      </w:r>
      <w:r w:rsidRPr="006E3ED7">
        <w:rPr>
          <w:i/>
        </w:rPr>
        <w:t>See, e.g.</w:t>
      </w:r>
      <w:r w:rsidRPr="006E3ED7">
        <w:t xml:space="preserve">, </w:t>
      </w:r>
      <w:r w:rsidRPr="006E3ED7">
        <w:rPr>
          <w:i/>
          <w:iCs/>
        </w:rPr>
        <w:t xml:space="preserve">Application of Verizon Communications Inc. and </w:t>
      </w:r>
      <w:r w:rsidRPr="006E3ED7">
        <w:rPr>
          <w:rStyle w:val="markedcontent"/>
          <w:i/>
          <w:iCs/>
        </w:rPr>
        <w:t>América Móvil S.A.B. de C.V for Consent to Transfer Control of International Section 214 Authorization</w:t>
      </w:r>
      <w:r w:rsidRPr="006E3ED7">
        <w:rPr>
          <w:rStyle w:val="markedcontent"/>
        </w:rPr>
        <w:t>, GN Docket No. 21-112; IBFS File No. ITC-T/C-20200930-00173, Memorandum Opinion and Order, FCC 21-121, at para. 21 (rel. Nov. 22, 2021) (</w:t>
      </w:r>
      <w:r w:rsidRPr="00C37B71">
        <w:rPr>
          <w:rStyle w:val="markedcontent"/>
          <w:i/>
          <w:iCs/>
        </w:rPr>
        <w:t>Verizon-TracFone Order</w:t>
      </w:r>
      <w:r w:rsidRPr="00C37B71">
        <w:rPr>
          <w:rStyle w:val="markedcontent"/>
        </w:rPr>
        <w:t>)</w:t>
      </w:r>
      <w:r w:rsidRPr="00C37B71">
        <w:rPr>
          <w:rStyle w:val="markedcontent"/>
          <w:sz w:val="28"/>
          <w:szCs w:val="28"/>
        </w:rPr>
        <w:t xml:space="preserve"> </w:t>
      </w:r>
      <w:r w:rsidRPr="00C37B71">
        <w:t xml:space="preserve">(citing </w:t>
      </w:r>
      <w:r w:rsidRPr="00C37B71">
        <w:rPr>
          <w:i/>
        </w:rPr>
        <w:t>China Mobile International (USA) Inc., Application for Global Facilities-Based and Global Resale International Telecommunications Authority Pursuant to Section 214 of the Communications Act of 1934, as Amended</w:t>
      </w:r>
      <w:r w:rsidRPr="00C37B71">
        <w:t xml:space="preserve">, Memorandum Opinion and Order, 34 FCC Rcd 3361, 3366, para. 9 (2019); </w:t>
      </w:r>
      <w:r w:rsidRPr="00C37B71">
        <w:rPr>
          <w:i/>
        </w:rPr>
        <w:t>Applications for Consent to the Assignment and/or Transfer of Control of Licenses, Adelphia Communications Corporation (and subsidiaries, debtors-in-possession), Assignors, to Time Warner Cable Inc. (subsidiaries), Assignees; Adelphia Communications Corporation, (and subsidiaries, debtors-in-possession), Assignors and Transferors et al</w:t>
      </w:r>
      <w:r w:rsidRPr="00C37B71">
        <w:t>., MB Docket No. 05-192, Memorandum Opinion and Order, 21 FCC Rcd 8203, 8219-21, paras. 27-28 (2006) (</w:t>
      </w:r>
      <w:r w:rsidRPr="00C37B71">
        <w:rPr>
          <w:i/>
          <w:iCs/>
        </w:rPr>
        <w:t>Adelphia-TWC Order</w:t>
      </w:r>
      <w:r w:rsidRPr="00C37B71">
        <w:t>))</w:t>
      </w:r>
      <w:r w:rsidR="00FD2ED6">
        <w:t>.</w:t>
      </w:r>
    </w:p>
  </w:footnote>
  <w:footnote w:id="19">
    <w:p w:rsidR="009D31FB" w:rsidRPr="00B83976" w:rsidP="009D31FB" w14:paraId="12FD38B9" w14:textId="0AB7F6F3">
      <w:pPr>
        <w:pStyle w:val="FootnoteText"/>
      </w:pPr>
      <w:r w:rsidRPr="00C37B71">
        <w:rPr>
          <w:rStyle w:val="FootnoteReference"/>
        </w:rPr>
        <w:footnoteRef/>
      </w:r>
      <w:r w:rsidRPr="00C37B71">
        <w:t xml:space="preserve"> </w:t>
      </w:r>
      <w:r w:rsidRPr="00C37B71">
        <w:rPr>
          <w:i/>
        </w:rPr>
        <w:t>See Verizon-TracFone Order</w:t>
      </w:r>
      <w:r w:rsidRPr="00C37B71">
        <w:rPr>
          <w:iCs/>
        </w:rPr>
        <w:t xml:space="preserve"> at para. 21 (citing </w:t>
      </w:r>
      <w:r w:rsidRPr="00C37B71">
        <w:rPr>
          <w:i/>
        </w:rPr>
        <w:t xml:space="preserve">Applications of </w:t>
      </w:r>
      <w:r w:rsidRPr="00C37B71">
        <w:rPr>
          <w:i/>
          <w:iCs/>
        </w:rPr>
        <w:t>AT&amp;T</w:t>
      </w:r>
      <w:r w:rsidRPr="00C37B71">
        <w:rPr>
          <w:i/>
        </w:rPr>
        <w:t xml:space="preserve"> Inc. and </w:t>
      </w:r>
      <w:r w:rsidRPr="00C37B71">
        <w:rPr>
          <w:i/>
          <w:iCs/>
        </w:rPr>
        <w:t xml:space="preserve">DIRECTV </w:t>
      </w:r>
      <w:r w:rsidRPr="00C37B71">
        <w:rPr>
          <w:i/>
        </w:rPr>
        <w:t>for Consent to Assign or Transfer Control of Licenses and Authorizations</w:t>
      </w:r>
      <w:r w:rsidRPr="00C37B71">
        <w:t xml:space="preserve">, MB Docket No. 14-90, Memorandum Opinion and Order, 30 </w:t>
      </w:r>
      <w:r w:rsidRPr="00C37B71">
        <w:rPr>
          <w:iCs/>
        </w:rPr>
        <w:t xml:space="preserve">FCC Rcd </w:t>
      </w:r>
      <w:r w:rsidRPr="00C37B71">
        <w:t>9131,</w:t>
      </w:r>
      <w:r w:rsidRPr="00C37B71">
        <w:rPr>
          <w:iCs/>
        </w:rPr>
        <w:t xml:space="preserve"> 9140, para. 18</w:t>
      </w:r>
      <w:r w:rsidRPr="00C37B71">
        <w:t xml:space="preserve"> (2015) (</w:t>
      </w:r>
      <w:r w:rsidRPr="00C37B71">
        <w:rPr>
          <w:i/>
          <w:iCs/>
        </w:rPr>
        <w:t>AT&amp;T-DIRECTV Order</w:t>
      </w:r>
      <w:r w:rsidRPr="00C37B71">
        <w:rPr>
          <w:iCs/>
        </w:rPr>
        <w:t>)</w:t>
      </w:r>
      <w:r>
        <w:rPr>
          <w:iCs/>
        </w:rPr>
        <w:t xml:space="preserve"> (further internal citations omitted)</w:t>
      </w:r>
      <w:r w:rsidR="009C58E0">
        <w:rPr>
          <w:iCs/>
        </w:rPr>
        <w:t>)</w:t>
      </w:r>
      <w:r>
        <w:rPr>
          <w:iCs/>
        </w:rPr>
        <w:t>.</w:t>
      </w:r>
    </w:p>
  </w:footnote>
  <w:footnote w:id="20">
    <w:p w:rsidR="009D31FB" w:rsidRPr="00B83976" w:rsidP="009D31FB" w14:paraId="1775D64B" w14:textId="091B4593">
      <w:pPr>
        <w:pStyle w:val="FootnoteText"/>
      </w:pPr>
      <w:r w:rsidRPr="00B83976">
        <w:rPr>
          <w:rStyle w:val="FootnoteReference"/>
        </w:rPr>
        <w:footnoteRef/>
      </w:r>
      <w:r w:rsidRPr="00B83976">
        <w:t xml:space="preserve"> </w:t>
      </w:r>
      <w:r>
        <w:rPr>
          <w:i/>
        </w:rPr>
        <w:t>See Verizon-TracFone Order</w:t>
      </w:r>
      <w:r>
        <w:rPr>
          <w:iCs/>
        </w:rPr>
        <w:t xml:space="preserve"> at para. 21 (citing</w:t>
      </w:r>
      <w:r w:rsidRPr="003A6B1D">
        <w:t xml:space="preserve"> </w:t>
      </w:r>
      <w:r w:rsidRPr="00B83976">
        <w:rPr>
          <w:i/>
          <w:iCs/>
        </w:rPr>
        <w:t>AT&amp;T-DIRECTV Order</w:t>
      </w:r>
      <w:r w:rsidRPr="00B83976">
        <w:rPr>
          <w:iCs/>
        </w:rPr>
        <w:t xml:space="preserve">, </w:t>
      </w:r>
      <w:r w:rsidRPr="00B83976">
        <w:t xml:space="preserve">30 </w:t>
      </w:r>
      <w:r w:rsidRPr="00B83976">
        <w:rPr>
          <w:iCs/>
        </w:rPr>
        <w:t xml:space="preserve">FCC Rcd at 9140, para. 18; </w:t>
      </w:r>
      <w:r w:rsidRPr="00B83976">
        <w:rPr>
          <w:i/>
        </w:rPr>
        <w:t>Adelphia-TWC Order</w:t>
      </w:r>
      <w:r w:rsidRPr="00B83976">
        <w:t xml:space="preserve">, 21 FCC Rcd at 8217, para. 23; </w:t>
      </w:r>
      <w:r>
        <w:rPr>
          <w:i/>
        </w:rPr>
        <w:t xml:space="preserve">Application of </w:t>
      </w:r>
      <w:r w:rsidRPr="00B83976">
        <w:rPr>
          <w:i/>
        </w:rPr>
        <w:t>EchoStar</w:t>
      </w:r>
      <w:r>
        <w:rPr>
          <w:i/>
        </w:rPr>
        <w:t xml:space="preserve"> Communications Corp., General Motors Corp., and Hughes Electronics Corp., Transferors, and EchoStar Communications Corp., Transferee</w:t>
      </w:r>
      <w:r>
        <w:t xml:space="preserve">, CS Docket No. 01-348, Hearing Designation Order, 17 FCC Rcd 20559, </w:t>
      </w:r>
      <w:r>
        <w:rPr>
          <w:snapToGrid w:val="0"/>
        </w:rPr>
        <w:t>20574, para.</w:t>
      </w:r>
      <w:r>
        <w:t xml:space="preserve"> 25 (2002)</w:t>
      </w:r>
      <w:r>
        <w:rPr>
          <w:iCs/>
        </w:rPr>
        <w:t xml:space="preserve"> (further internal citations omitted)</w:t>
      </w:r>
      <w:r w:rsidR="007F7FF7">
        <w:rPr>
          <w:iCs/>
        </w:rPr>
        <w:t>)</w:t>
      </w:r>
      <w:r w:rsidRPr="00B83976">
        <w:t>.</w:t>
      </w:r>
    </w:p>
  </w:footnote>
  <w:footnote w:id="21">
    <w:p w:rsidR="008B1C48" w14:paraId="5FDB6E2D" w14:textId="065DC791">
      <w:pPr>
        <w:pStyle w:val="FootnoteText"/>
      </w:pPr>
      <w:r>
        <w:rPr>
          <w:rStyle w:val="FootnoteReference"/>
        </w:rPr>
        <w:footnoteRef/>
      </w:r>
      <w:r w:rsidR="005364A4">
        <w:t xml:space="preserve"> </w:t>
      </w:r>
      <w:r w:rsidRPr="00DE64A0" w:rsidR="005364A4">
        <w:t>Decl</w:t>
      </w:r>
      <w:r w:rsidR="005364A4">
        <w:t>.</w:t>
      </w:r>
      <w:r w:rsidRPr="00DE64A0" w:rsidR="005364A4">
        <w:t xml:space="preserve"> of Benjamin C. Pace at </w:t>
      </w:r>
      <w:r w:rsidR="005364A4">
        <w:t>para. 14; Decl. of William H. Freeman at para. 6</w:t>
      </w:r>
      <w:r w:rsidRPr="00DE64A0" w:rsidR="005364A4">
        <w:t>.</w:t>
      </w:r>
      <w:r>
        <w:t xml:space="preserve">  </w:t>
      </w:r>
    </w:p>
  </w:footnote>
  <w:footnote w:id="22">
    <w:p w:rsidR="00B32E44" w:rsidRPr="00DE64A0" w:rsidP="00B32E44" w14:paraId="4351D690" w14:textId="77777777">
      <w:pPr>
        <w:pStyle w:val="FootnoteText"/>
      </w:pPr>
      <w:r w:rsidRPr="00DE64A0">
        <w:rPr>
          <w:rStyle w:val="FootnoteReference"/>
        </w:rPr>
        <w:footnoteRef/>
      </w:r>
      <w:r w:rsidRPr="00DE64A0">
        <w:t xml:space="preserve"> Decl</w:t>
      </w:r>
      <w:r>
        <w:t>.</w:t>
      </w:r>
      <w:r w:rsidRPr="00DE64A0">
        <w:t xml:space="preserve"> of Benjamin C. Pace at </w:t>
      </w:r>
      <w:r>
        <w:t>para. 6</w:t>
      </w:r>
      <w:r w:rsidRPr="00DE64A0">
        <w:t>.</w:t>
      </w:r>
    </w:p>
  </w:footnote>
  <w:footnote w:id="23">
    <w:p w:rsidR="005364A4" w14:paraId="7AE91CA5" w14:textId="1250E8AE">
      <w:pPr>
        <w:pStyle w:val="FootnoteText"/>
      </w:pPr>
      <w:r>
        <w:rPr>
          <w:rStyle w:val="FootnoteReference"/>
        </w:rPr>
        <w:footnoteRef/>
      </w:r>
      <w:r>
        <w:t xml:space="preserve"> </w:t>
      </w:r>
      <w:r w:rsidRPr="00DE64A0">
        <w:t>Decl</w:t>
      </w:r>
      <w:r>
        <w:t>.</w:t>
      </w:r>
      <w:r w:rsidRPr="00DE64A0">
        <w:t xml:space="preserve"> of Benjamin C. Pace at </w:t>
      </w:r>
      <w:r>
        <w:t>para. 5; Decl. of William H. Freeman at para. 3</w:t>
      </w:r>
      <w:r w:rsidR="006375D8">
        <w:t>.</w:t>
      </w:r>
    </w:p>
  </w:footnote>
  <w:footnote w:id="24">
    <w:p w:rsidR="00B32E44" w14:paraId="7FF0F7BD" w14:textId="11894A65">
      <w:pPr>
        <w:pStyle w:val="FootnoteText"/>
      </w:pPr>
      <w:r>
        <w:rPr>
          <w:rStyle w:val="FootnoteReference"/>
        </w:rPr>
        <w:footnoteRef/>
      </w:r>
      <w:r>
        <w:t xml:space="preserve"> </w:t>
      </w:r>
      <w:r w:rsidRPr="00DE64A0">
        <w:t>Decl</w:t>
      </w:r>
      <w:r>
        <w:t>.</w:t>
      </w:r>
      <w:r w:rsidRPr="00DE64A0">
        <w:t xml:space="preserve"> of Benjamin C. Pace at </w:t>
      </w:r>
      <w:r>
        <w:t xml:space="preserve">para. </w:t>
      </w:r>
      <w:r w:rsidR="00A8463B">
        <w:t>6.</w:t>
      </w:r>
    </w:p>
  </w:footnote>
  <w:footnote w:id="25">
    <w:p w:rsidR="006375D8" w14:paraId="01445DC6" w14:textId="46BAA5B8">
      <w:pPr>
        <w:pStyle w:val="FootnoteText"/>
      </w:pPr>
      <w:r>
        <w:rPr>
          <w:rStyle w:val="FootnoteReference"/>
        </w:rPr>
        <w:footnoteRef/>
      </w:r>
      <w:r>
        <w:t xml:space="preserve"> Decl. of William H. Freeman at para. 2; Application at 3.</w:t>
      </w:r>
    </w:p>
  </w:footnote>
  <w:footnote w:id="26">
    <w:p w:rsidR="00376169" w14:paraId="04F99704" w14:textId="2A7E5FCA">
      <w:pPr>
        <w:pStyle w:val="FootnoteText"/>
      </w:pPr>
      <w:r>
        <w:rPr>
          <w:rStyle w:val="FootnoteReference"/>
        </w:rPr>
        <w:footnoteRef/>
      </w:r>
      <w:r>
        <w:t xml:space="preserve"> </w:t>
      </w:r>
      <w:r w:rsidRPr="00DE64A0">
        <w:t>Decl</w:t>
      </w:r>
      <w:r>
        <w:t>.</w:t>
      </w:r>
      <w:r w:rsidRPr="00DE64A0">
        <w:t xml:space="preserve"> of Benjamin C. Pace at </w:t>
      </w:r>
      <w:r>
        <w:t xml:space="preserve">paras. 3, 7 (describing A-CAM support received by </w:t>
      </w:r>
      <w:r w:rsidR="00B62F68">
        <w:t>FTC</w:t>
      </w:r>
      <w:r>
        <w:t>, an incumbent LEC</w:t>
      </w:r>
      <w:r w:rsidR="00B62F68">
        <w:t>,</w:t>
      </w:r>
      <w:r>
        <w:t xml:space="preserve"> and Cellular South, </w:t>
      </w:r>
      <w:r w:rsidR="00B62F68">
        <w:t>I</w:t>
      </w:r>
      <w:r>
        <w:t>nc., an ETC receiving high cost support</w:t>
      </w:r>
      <w:r w:rsidR="00B62F68">
        <w:t>, both of which are affiliates of Telapex</w:t>
      </w:r>
      <w:r>
        <w:t>.); Application at 3-4.</w:t>
      </w:r>
    </w:p>
  </w:footnote>
  <w:footnote w:id="27">
    <w:p w:rsidR="006375D8" w14:paraId="5B9CCB94" w14:textId="3DD6B51E">
      <w:pPr>
        <w:pStyle w:val="FootnoteText"/>
      </w:pPr>
      <w:r>
        <w:rPr>
          <w:rStyle w:val="FootnoteReference"/>
        </w:rPr>
        <w:footnoteRef/>
      </w:r>
      <w:r>
        <w:t xml:space="preserve"> </w:t>
      </w:r>
      <w:r w:rsidRPr="00DE64A0" w:rsidR="00376169">
        <w:t>Decl</w:t>
      </w:r>
      <w:r w:rsidR="00376169">
        <w:t>.</w:t>
      </w:r>
      <w:r w:rsidRPr="00DE64A0" w:rsidR="00376169">
        <w:t xml:space="preserve"> of Benjamin C. Pace at </w:t>
      </w:r>
      <w:r w:rsidR="00376169">
        <w:t>para. 4.</w:t>
      </w:r>
    </w:p>
  </w:footnote>
  <w:footnote w:id="28">
    <w:p w:rsidR="00A75E4C" w:rsidP="00A75E4C" w14:paraId="144DD9CC" w14:textId="77777777">
      <w:pPr>
        <w:pStyle w:val="FootnoteText"/>
      </w:pPr>
      <w:r>
        <w:rPr>
          <w:rStyle w:val="FootnoteReference"/>
        </w:rPr>
        <w:footnoteRef/>
      </w:r>
      <w:r>
        <w:t xml:space="preserve"> </w:t>
      </w:r>
      <w:r w:rsidRPr="001005A4">
        <w:rPr>
          <w:i/>
          <w:iCs/>
        </w:rPr>
        <w:t>See AT&amp;T/DIRECTV Order</w:t>
      </w:r>
      <w:r>
        <w:t>, 30 FCC Rcd at 9237, para. 273-274.</w:t>
      </w:r>
    </w:p>
  </w:footnote>
  <w:footnote w:id="29">
    <w:p w:rsidR="00A75E4C" w:rsidP="00A75E4C" w14:paraId="09A925FA" w14:textId="77777777">
      <w:pPr>
        <w:pStyle w:val="FootnoteText"/>
      </w:pPr>
      <w:r>
        <w:rPr>
          <w:rStyle w:val="FootnoteReference"/>
        </w:rPr>
        <w:footnoteRef/>
      </w:r>
      <w:r>
        <w:t xml:space="preserve"> </w:t>
      </w:r>
      <w:r w:rsidRPr="00907911">
        <w:rPr>
          <w:i/>
          <w:iCs/>
        </w:rPr>
        <w:t>See id</w:t>
      </w:r>
      <w:r>
        <w:t xml:space="preserve">. </w:t>
      </w:r>
      <w:r w:rsidRPr="00907911">
        <w:t>at</w:t>
      </w:r>
      <w:r>
        <w:t xml:space="preserve"> 9237-38, paras. 275-76.</w:t>
      </w:r>
    </w:p>
  </w:footnote>
  <w:footnote w:id="30">
    <w:p w:rsidR="00A75E4C" w:rsidP="00A75E4C" w14:paraId="3922AA82" w14:textId="77777777">
      <w:pPr>
        <w:pStyle w:val="FootnoteText"/>
      </w:pPr>
      <w:r>
        <w:rPr>
          <w:rStyle w:val="FootnoteReference"/>
        </w:rPr>
        <w:footnoteRef/>
      </w:r>
      <w:r>
        <w:t xml:space="preserve"> </w:t>
      </w:r>
      <w:r w:rsidRPr="001005A4">
        <w:rPr>
          <w:i/>
          <w:iCs/>
        </w:rPr>
        <w:t xml:space="preserve">See </w:t>
      </w:r>
      <w:r>
        <w:rPr>
          <w:i/>
          <w:iCs/>
        </w:rPr>
        <w:t>id</w:t>
      </w:r>
      <w:r>
        <w:t>.</w:t>
      </w:r>
    </w:p>
  </w:footnote>
  <w:footnote w:id="31">
    <w:p w:rsidR="00262F00" w:rsidP="00262F00" w14:paraId="6310C3F3" w14:textId="77777777">
      <w:pPr>
        <w:pStyle w:val="FootnoteText"/>
      </w:pPr>
      <w:r>
        <w:rPr>
          <w:rStyle w:val="FootnoteReference"/>
        </w:rPr>
        <w:footnoteRef/>
      </w:r>
      <w:r>
        <w:t xml:space="preserve"> </w:t>
      </w:r>
      <w:r w:rsidRPr="00B83976">
        <w:rPr>
          <w:i/>
          <w:iCs/>
        </w:rPr>
        <w:t>See</w:t>
      </w:r>
      <w:r>
        <w:rPr>
          <w:i/>
          <w:iCs/>
        </w:rPr>
        <w:t>, e.g.</w:t>
      </w:r>
      <w:r w:rsidRPr="003A6B1D">
        <w:t xml:space="preserve">, </w:t>
      </w:r>
      <w:r w:rsidRPr="00B83976">
        <w:rPr>
          <w:i/>
          <w:iCs/>
        </w:rPr>
        <w:t>AT&amp;T-DIRECTV Order</w:t>
      </w:r>
      <w:r w:rsidRPr="00B83976">
        <w:rPr>
          <w:iCs/>
        </w:rPr>
        <w:t xml:space="preserve">, </w:t>
      </w:r>
      <w:r w:rsidRPr="00B83976">
        <w:t xml:space="preserve">30 </w:t>
      </w:r>
      <w:r w:rsidRPr="00B83976">
        <w:rPr>
          <w:iCs/>
        </w:rPr>
        <w:t>FCC Rcd at 9140, para. 19</w:t>
      </w:r>
      <w:r>
        <w:rPr>
          <w:iCs/>
        </w:rPr>
        <w:t>.</w:t>
      </w:r>
    </w:p>
  </w:footnote>
  <w:footnote w:id="32">
    <w:p w:rsidR="00262F00" w:rsidRPr="00B83976" w:rsidP="00262F00" w14:paraId="153A2D2D" w14:textId="3575304B">
      <w:pPr>
        <w:pStyle w:val="FootnoteText"/>
      </w:pPr>
      <w:r w:rsidRPr="00B83976">
        <w:rPr>
          <w:rStyle w:val="FootnoteReference"/>
        </w:rPr>
        <w:footnoteRef/>
      </w:r>
      <w:r w:rsidRPr="00B83976">
        <w:t xml:space="preserve"> </w:t>
      </w:r>
      <w:r>
        <w:rPr>
          <w:i/>
        </w:rPr>
        <w:t>See Verizon-TracFone Order</w:t>
      </w:r>
      <w:r>
        <w:rPr>
          <w:iCs/>
        </w:rPr>
        <w:t xml:space="preserve"> at para. 22 (citing </w:t>
      </w:r>
      <w:r w:rsidRPr="00B83976">
        <w:t>47 U.S.C. §§ 254, 332(c)(7), 1302; Telecommunications Act of 1996, Preamble, Pub. L. No. 104-104, 110 Stat. 56 (1996) (one purpose of the Act is to “accelerate rapidly private sector deployment of advanced telecommunications and information technologies and services”</w:t>
      </w:r>
      <w:r w:rsidR="003445C6">
        <w:t>)</w:t>
      </w:r>
      <w:r>
        <w:t>)</w:t>
      </w:r>
      <w:r w:rsidRPr="00B83976">
        <w:t>.</w:t>
      </w:r>
    </w:p>
  </w:footnote>
  <w:footnote w:id="33">
    <w:p w:rsidR="00CF0F77" w:rsidP="00CF0F77" w14:paraId="147A76E3" w14:textId="77777777">
      <w:pPr>
        <w:pStyle w:val="FootnoteText"/>
      </w:pPr>
      <w:r>
        <w:rPr>
          <w:rStyle w:val="FootnoteReference"/>
        </w:rPr>
        <w:footnoteRef/>
      </w:r>
      <w:r>
        <w:t xml:space="preserve"> </w:t>
      </w:r>
      <w:r w:rsidRPr="00337CCE">
        <w:rPr>
          <w:i/>
          <w:iCs/>
        </w:rPr>
        <w:t>See, e.g</w:t>
      </w:r>
      <w:r>
        <w:t xml:space="preserve">., </w:t>
      </w:r>
      <w:r w:rsidRPr="00337CCE">
        <w:rPr>
          <w:i/>
          <w:iCs/>
        </w:rPr>
        <w:t>Applications of Level 3 Communications, Inc. and CenturyLink, Inc. for Consent to Transfer Control of Licenses and Authorizations</w:t>
      </w:r>
      <w:r>
        <w:t>, Memorandum Opinion and Order, 32 FCC Rcd 9581, 9594, 9605, paras. 26 and 52 (2017) (finding no harm to competition where applicants operate as competitive LECs, and further finding that the transaction “will expand the on-net reach of the newly combined firm resulting in a more effective and stronger competitor against larger cable and incumbent LEC competitors, among others, particularly outside of Century Link's incumbent LEC region, where it, like Level 3, operates as a competitive LEC.”).</w:t>
      </w:r>
    </w:p>
  </w:footnote>
  <w:footnote w:id="34">
    <w:p w:rsidR="00972B39" w14:paraId="10CED839" w14:textId="110DBA5F">
      <w:pPr>
        <w:pStyle w:val="FootnoteText"/>
      </w:pPr>
      <w:r>
        <w:rPr>
          <w:rStyle w:val="FootnoteReference"/>
        </w:rPr>
        <w:footnoteRef/>
      </w:r>
      <w:r>
        <w:t xml:space="preserve"> We direct Applicants to submit, within 30 days of closing the proposed transaction, a notice in WC Docket No. 21-</w:t>
      </w:r>
      <w:r w:rsidR="00E0101E">
        <w:t>41</w:t>
      </w:r>
      <w:r w:rsidR="009C58E0">
        <w:t>1</w:t>
      </w:r>
      <w:r>
        <w:t xml:space="preserve"> that the proposed transaction has closed</w:t>
      </w:r>
      <w:r w:rsidR="00A05D2F">
        <w:t>, including</w:t>
      </w:r>
      <w:r>
        <w:t xml:space="preserve"> the consummation date, and also provide a courtesy copy of the notice to </w:t>
      </w:r>
      <w:hyperlink r:id="rId2" w:history="1">
        <w:r w:rsidRPr="007B4F48" w:rsidR="00AB6A23">
          <w:rPr>
            <w:rStyle w:val="Hyperlink"/>
          </w:rPr>
          <w:t>hcinfo@usac.org</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AE7" w:rsidRPr="009838BC" w:rsidP="009838BC" w14:paraId="2A6692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AE7" w:rsidRPr="00A866AC" w:rsidP="009838BC" w14:paraId="03EAAB0B"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wps:spPr>
                    <wps:txbx>
                      <w:txbxContent>
                        <w:p w:rsidR="00475AE7" w:rsidP="009838BC" w14:textId="77777777">
                          <w:pPr>
                            <w:rPr>
                              <w:rFonts w:ascii="Arial" w:hAnsi="Arial"/>
                              <w:b/>
                            </w:rPr>
                          </w:pPr>
                          <w:r>
                            <w:rPr>
                              <w:rFonts w:ascii="Arial" w:hAnsi="Arial"/>
                              <w:b/>
                            </w:rPr>
                            <w:t>Federal Communications Commission</w:t>
                          </w:r>
                        </w:p>
                        <w:p w:rsidR="00475AE7" w:rsidP="009838BC" w14:textId="77777777">
                          <w:pPr>
                            <w:rPr>
                              <w:rFonts w:ascii="Arial" w:hAnsi="Arial"/>
                              <w:b/>
                            </w:rPr>
                          </w:pPr>
                          <w:r>
                            <w:rPr>
                              <w:rFonts w:ascii="Arial" w:hAnsi="Arial"/>
                              <w:b/>
                            </w:rPr>
                            <w:t>45 L St., N.E.</w:t>
                          </w:r>
                        </w:p>
                        <w:p w:rsidR="00475AE7"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475AE7" w:rsidP="009838BC" w14:paraId="2AEA2336" w14:textId="77777777">
                    <w:pPr>
                      <w:rPr>
                        <w:rFonts w:ascii="Arial" w:hAnsi="Arial"/>
                        <w:b/>
                      </w:rPr>
                    </w:pPr>
                    <w:r>
                      <w:rPr>
                        <w:rFonts w:ascii="Arial" w:hAnsi="Arial"/>
                        <w:b/>
                      </w:rPr>
                      <w:t>Federal Communications Commission</w:t>
                    </w:r>
                  </w:p>
                  <w:p w:rsidR="00475AE7" w:rsidP="009838BC" w14:paraId="735592E0" w14:textId="77777777">
                    <w:pPr>
                      <w:rPr>
                        <w:rFonts w:ascii="Arial" w:hAnsi="Arial"/>
                        <w:b/>
                      </w:rPr>
                    </w:pPr>
                    <w:r>
                      <w:rPr>
                        <w:rFonts w:ascii="Arial" w:hAnsi="Arial"/>
                        <w:b/>
                      </w:rPr>
                      <w:t>45 L St., N.E.</w:t>
                    </w:r>
                  </w:p>
                  <w:p w:rsidR="00475AE7" w:rsidP="009838BC" w14:paraId="34F0876C"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75796D0F" w:rsidR="0085777F">
      <w:rPr>
        <w:rFonts w:ascii="Arial" w:hAnsi="Arial" w:cs="Arial"/>
        <w:b/>
        <w:bCs/>
        <w:sz w:val="96"/>
        <w:szCs w:val="96"/>
      </w:rPr>
      <w:t>PUBLIC NOTICE</w:t>
    </w:r>
  </w:p>
  <w:p w:rsidR="00475AE7" w:rsidRPr="00357D50" w:rsidP="009838BC" w14:paraId="5CB07B35"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wps:spPr>
                    <wps:txbx>
                      <w:txbxContent>
                        <w:p w:rsidR="00475AE7" w:rsidP="009838BC" w14:textId="77777777">
                          <w:pPr>
                            <w:spacing w:before="40"/>
                            <w:jc w:val="right"/>
                            <w:rPr>
                              <w:rFonts w:ascii="Arial" w:hAnsi="Arial"/>
                              <w:b/>
                              <w:sz w:val="16"/>
                            </w:rPr>
                          </w:pPr>
                          <w:r>
                            <w:rPr>
                              <w:rFonts w:ascii="Arial" w:hAnsi="Arial"/>
                              <w:b/>
                              <w:sz w:val="16"/>
                            </w:rPr>
                            <w:t>News Media Information 202 / 418-0500</w:t>
                          </w:r>
                        </w:p>
                        <w:p w:rsidR="00475AE7" w:rsidP="009838BC" w14:textId="77777777">
                          <w:pPr>
                            <w:jc w:val="right"/>
                            <w:rPr>
                              <w:rFonts w:ascii="Arial" w:hAnsi="Arial"/>
                              <w:b/>
                              <w:sz w:val="16"/>
                            </w:rPr>
                          </w:pPr>
                          <w:r>
                            <w:rPr>
                              <w:rFonts w:ascii="Arial" w:hAnsi="Arial"/>
                              <w:b/>
                              <w:sz w:val="16"/>
                            </w:rPr>
                            <w:t xml:space="preserve">Internet: </w:t>
                          </w:r>
                          <w:bookmarkStart w:id="9" w:name="_Hlt233824"/>
                          <w:hyperlink r:id="rId2" w:history="1">
                            <w:r w:rsidRPr="00D216CD">
                              <w:rPr>
                                <w:rStyle w:val="Hyperlink"/>
                                <w:rFonts w:ascii="Arial" w:hAnsi="Arial"/>
                                <w:b/>
                                <w:sz w:val="16"/>
                              </w:rPr>
                              <w:t>h</w:t>
                            </w:r>
                            <w:bookmarkEnd w:id="9"/>
                            <w:r w:rsidRPr="00D216CD">
                              <w:rPr>
                                <w:rStyle w:val="Hyperlink"/>
                                <w:rFonts w:ascii="Arial" w:hAnsi="Arial"/>
                                <w:b/>
                                <w:sz w:val="16"/>
                              </w:rPr>
                              <w:t>ttps://www.fcc.gov</w:t>
                            </w:r>
                          </w:hyperlink>
                        </w:p>
                        <w:p w:rsidR="00475AE7" w:rsidP="009838B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475AE7" w:rsidP="009838BC" w14:paraId="210F733B" w14:textId="77777777">
                    <w:pPr>
                      <w:spacing w:before="40"/>
                      <w:jc w:val="right"/>
                      <w:rPr>
                        <w:rFonts w:ascii="Arial" w:hAnsi="Arial"/>
                        <w:b/>
                        <w:sz w:val="16"/>
                      </w:rPr>
                    </w:pPr>
                    <w:r>
                      <w:rPr>
                        <w:rFonts w:ascii="Arial" w:hAnsi="Arial"/>
                        <w:b/>
                        <w:sz w:val="16"/>
                      </w:rPr>
                      <w:t>News Media Information 202 / 418-0500</w:t>
                    </w:r>
                  </w:p>
                  <w:p w:rsidR="00475AE7" w:rsidP="009838BC" w14:paraId="68C472BA" w14:textId="77777777">
                    <w:pPr>
                      <w:jc w:val="right"/>
                      <w:rPr>
                        <w:rFonts w:ascii="Arial" w:hAnsi="Arial"/>
                        <w:b/>
                        <w:sz w:val="16"/>
                      </w:rPr>
                    </w:pPr>
                    <w:r>
                      <w:rPr>
                        <w:rFonts w:ascii="Arial" w:hAnsi="Arial"/>
                        <w:b/>
                        <w:sz w:val="16"/>
                      </w:rPr>
                      <w:t xml:space="preserve">Internet: </w:t>
                    </w:r>
                    <w:bookmarkStart w:id="9" w:name="_Hlt233824"/>
                    <w:hyperlink r:id="rId2" w:history="1">
                      <w:r w:rsidRPr="00D216CD">
                        <w:rPr>
                          <w:rStyle w:val="Hyperlink"/>
                          <w:rFonts w:ascii="Arial" w:hAnsi="Arial"/>
                          <w:b/>
                          <w:sz w:val="16"/>
                        </w:rPr>
                        <w:t>h</w:t>
                      </w:r>
                      <w:bookmarkEnd w:id="9"/>
                      <w:r w:rsidRPr="00D216CD">
                        <w:rPr>
                          <w:rStyle w:val="Hyperlink"/>
                          <w:rFonts w:ascii="Arial" w:hAnsi="Arial"/>
                          <w:b/>
                          <w:sz w:val="16"/>
                        </w:rPr>
                        <w:t>ttps://www.fcc.gov</w:t>
                      </w:r>
                    </w:hyperlink>
                  </w:p>
                  <w:p w:rsidR="00475AE7" w:rsidP="009838BC" w14:paraId="537230AC" w14:textId="77777777">
                    <w:pPr>
                      <w:jc w:val="right"/>
                    </w:pPr>
                  </w:p>
                </w:txbxContent>
              </v:textbox>
            </v:shape>
          </w:pict>
        </mc:Fallback>
      </mc:AlternateContent>
    </w:r>
  </w:p>
  <w:p w:rsidR="00475AE7" w:rsidRPr="009838BC" w:rsidP="009838BC" w14:paraId="797376E8"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891219A"/>
    <w:multiLevelType w:val="hybridMultilevel"/>
    <w:tmpl w:val="2D2420CE"/>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4FA"/>
    <w:rsid w:val="000009A3"/>
    <w:rsid w:val="0000222B"/>
    <w:rsid w:val="000025FE"/>
    <w:rsid w:val="00005C82"/>
    <w:rsid w:val="000072CE"/>
    <w:rsid w:val="000109B1"/>
    <w:rsid w:val="00011ED7"/>
    <w:rsid w:val="00013A8B"/>
    <w:rsid w:val="000157A9"/>
    <w:rsid w:val="00016BF1"/>
    <w:rsid w:val="00021252"/>
    <w:rsid w:val="00021445"/>
    <w:rsid w:val="000231D6"/>
    <w:rsid w:val="00023E9D"/>
    <w:rsid w:val="0002579D"/>
    <w:rsid w:val="00025BD1"/>
    <w:rsid w:val="000326B7"/>
    <w:rsid w:val="00036039"/>
    <w:rsid w:val="00037F90"/>
    <w:rsid w:val="00040D06"/>
    <w:rsid w:val="000418EE"/>
    <w:rsid w:val="00042D10"/>
    <w:rsid w:val="00044FC2"/>
    <w:rsid w:val="0004637E"/>
    <w:rsid w:val="000505D6"/>
    <w:rsid w:val="00052C36"/>
    <w:rsid w:val="00052D7C"/>
    <w:rsid w:val="000578D9"/>
    <w:rsid w:val="000630A2"/>
    <w:rsid w:val="0006453A"/>
    <w:rsid w:val="000654FE"/>
    <w:rsid w:val="00065885"/>
    <w:rsid w:val="000724AD"/>
    <w:rsid w:val="0007304F"/>
    <w:rsid w:val="0007741B"/>
    <w:rsid w:val="000875BF"/>
    <w:rsid w:val="00090879"/>
    <w:rsid w:val="00092431"/>
    <w:rsid w:val="000929A6"/>
    <w:rsid w:val="00095E72"/>
    <w:rsid w:val="00096D8C"/>
    <w:rsid w:val="000A15E0"/>
    <w:rsid w:val="000A43AA"/>
    <w:rsid w:val="000A715F"/>
    <w:rsid w:val="000A719C"/>
    <w:rsid w:val="000B206F"/>
    <w:rsid w:val="000B3A1F"/>
    <w:rsid w:val="000B5082"/>
    <w:rsid w:val="000B5D03"/>
    <w:rsid w:val="000B6581"/>
    <w:rsid w:val="000B7562"/>
    <w:rsid w:val="000C0B65"/>
    <w:rsid w:val="000C1001"/>
    <w:rsid w:val="000C43BA"/>
    <w:rsid w:val="000C5DEF"/>
    <w:rsid w:val="000D0D16"/>
    <w:rsid w:val="000D50EB"/>
    <w:rsid w:val="000D5BC1"/>
    <w:rsid w:val="000D782F"/>
    <w:rsid w:val="000D7CAA"/>
    <w:rsid w:val="000E1A64"/>
    <w:rsid w:val="000E340C"/>
    <w:rsid w:val="000E3D42"/>
    <w:rsid w:val="000E5884"/>
    <w:rsid w:val="000E6601"/>
    <w:rsid w:val="000F248A"/>
    <w:rsid w:val="000F3B15"/>
    <w:rsid w:val="000F3EAA"/>
    <w:rsid w:val="000F4C4E"/>
    <w:rsid w:val="000F652F"/>
    <w:rsid w:val="000F70F5"/>
    <w:rsid w:val="000F7336"/>
    <w:rsid w:val="000F7AFB"/>
    <w:rsid w:val="001005A4"/>
    <w:rsid w:val="00103CFD"/>
    <w:rsid w:val="001050B1"/>
    <w:rsid w:val="001073A5"/>
    <w:rsid w:val="00107713"/>
    <w:rsid w:val="001137A6"/>
    <w:rsid w:val="00114C73"/>
    <w:rsid w:val="00116C3F"/>
    <w:rsid w:val="00122BD5"/>
    <w:rsid w:val="0012361D"/>
    <w:rsid w:val="00125C60"/>
    <w:rsid w:val="001265C3"/>
    <w:rsid w:val="00132378"/>
    <w:rsid w:val="0013301F"/>
    <w:rsid w:val="001330FF"/>
    <w:rsid w:val="001348F2"/>
    <w:rsid w:val="00135644"/>
    <w:rsid w:val="00135F54"/>
    <w:rsid w:val="00136137"/>
    <w:rsid w:val="0014064D"/>
    <w:rsid w:val="001415BA"/>
    <w:rsid w:val="00144A2D"/>
    <w:rsid w:val="0014551C"/>
    <w:rsid w:val="00150B91"/>
    <w:rsid w:val="001539F3"/>
    <w:rsid w:val="001541A8"/>
    <w:rsid w:val="00154EB8"/>
    <w:rsid w:val="00161259"/>
    <w:rsid w:val="00164F1D"/>
    <w:rsid w:val="00164FFA"/>
    <w:rsid w:val="00165E2A"/>
    <w:rsid w:val="00171F2B"/>
    <w:rsid w:val="0017566C"/>
    <w:rsid w:val="001807A4"/>
    <w:rsid w:val="00181174"/>
    <w:rsid w:val="00181795"/>
    <w:rsid w:val="00183949"/>
    <w:rsid w:val="001856A8"/>
    <w:rsid w:val="001963EE"/>
    <w:rsid w:val="001975FA"/>
    <w:rsid w:val="001979D9"/>
    <w:rsid w:val="001A0E9C"/>
    <w:rsid w:val="001A312A"/>
    <w:rsid w:val="001A3A79"/>
    <w:rsid w:val="001A52EE"/>
    <w:rsid w:val="001A6361"/>
    <w:rsid w:val="001A7655"/>
    <w:rsid w:val="001B158F"/>
    <w:rsid w:val="001C4655"/>
    <w:rsid w:val="001C6F20"/>
    <w:rsid w:val="001D052E"/>
    <w:rsid w:val="001D0A43"/>
    <w:rsid w:val="001D6BCF"/>
    <w:rsid w:val="001E01CA"/>
    <w:rsid w:val="001E397D"/>
    <w:rsid w:val="001E410D"/>
    <w:rsid w:val="001E75C2"/>
    <w:rsid w:val="001F1CB2"/>
    <w:rsid w:val="001F1FC6"/>
    <w:rsid w:val="001F1FF1"/>
    <w:rsid w:val="001F3582"/>
    <w:rsid w:val="001F5903"/>
    <w:rsid w:val="001F731B"/>
    <w:rsid w:val="001F795B"/>
    <w:rsid w:val="00202159"/>
    <w:rsid w:val="002025E9"/>
    <w:rsid w:val="002027F0"/>
    <w:rsid w:val="002035D2"/>
    <w:rsid w:val="00203604"/>
    <w:rsid w:val="00203A09"/>
    <w:rsid w:val="0020440C"/>
    <w:rsid w:val="002049B9"/>
    <w:rsid w:val="00204D99"/>
    <w:rsid w:val="002060D9"/>
    <w:rsid w:val="00206137"/>
    <w:rsid w:val="002078B3"/>
    <w:rsid w:val="002078DE"/>
    <w:rsid w:val="00207939"/>
    <w:rsid w:val="002121E5"/>
    <w:rsid w:val="00213050"/>
    <w:rsid w:val="00215AF2"/>
    <w:rsid w:val="0021655B"/>
    <w:rsid w:val="00224DB8"/>
    <w:rsid w:val="0022664E"/>
    <w:rsid w:val="00226822"/>
    <w:rsid w:val="00227E61"/>
    <w:rsid w:val="00230331"/>
    <w:rsid w:val="002334CD"/>
    <w:rsid w:val="00240A9F"/>
    <w:rsid w:val="00240DA8"/>
    <w:rsid w:val="0024297D"/>
    <w:rsid w:val="00242F44"/>
    <w:rsid w:val="00243092"/>
    <w:rsid w:val="00245087"/>
    <w:rsid w:val="002456F6"/>
    <w:rsid w:val="0025072B"/>
    <w:rsid w:val="0025082C"/>
    <w:rsid w:val="00251DA7"/>
    <w:rsid w:val="00252AB1"/>
    <w:rsid w:val="00253923"/>
    <w:rsid w:val="00254E19"/>
    <w:rsid w:val="002557CC"/>
    <w:rsid w:val="00256D48"/>
    <w:rsid w:val="002572DC"/>
    <w:rsid w:val="00257E30"/>
    <w:rsid w:val="00260594"/>
    <w:rsid w:val="002610EC"/>
    <w:rsid w:val="00262F00"/>
    <w:rsid w:val="00264313"/>
    <w:rsid w:val="00264F4E"/>
    <w:rsid w:val="00265992"/>
    <w:rsid w:val="00273BAD"/>
    <w:rsid w:val="00274366"/>
    <w:rsid w:val="00276C04"/>
    <w:rsid w:val="00280975"/>
    <w:rsid w:val="00281B21"/>
    <w:rsid w:val="00282714"/>
    <w:rsid w:val="00282C82"/>
    <w:rsid w:val="00285017"/>
    <w:rsid w:val="00286468"/>
    <w:rsid w:val="002958B1"/>
    <w:rsid w:val="002979E3"/>
    <w:rsid w:val="002A03DD"/>
    <w:rsid w:val="002A07AB"/>
    <w:rsid w:val="002A087D"/>
    <w:rsid w:val="002A11B4"/>
    <w:rsid w:val="002A2D2E"/>
    <w:rsid w:val="002A6D6A"/>
    <w:rsid w:val="002B0207"/>
    <w:rsid w:val="002B0351"/>
    <w:rsid w:val="002B4C9C"/>
    <w:rsid w:val="002B54FB"/>
    <w:rsid w:val="002B5E88"/>
    <w:rsid w:val="002B7763"/>
    <w:rsid w:val="002C1AF9"/>
    <w:rsid w:val="002C5846"/>
    <w:rsid w:val="002C6348"/>
    <w:rsid w:val="002D2146"/>
    <w:rsid w:val="002D447E"/>
    <w:rsid w:val="002D6286"/>
    <w:rsid w:val="002D62DD"/>
    <w:rsid w:val="002D7A48"/>
    <w:rsid w:val="002D7CCE"/>
    <w:rsid w:val="002E44DF"/>
    <w:rsid w:val="002E5941"/>
    <w:rsid w:val="002F2339"/>
    <w:rsid w:val="002F4819"/>
    <w:rsid w:val="002F7221"/>
    <w:rsid w:val="002F7521"/>
    <w:rsid w:val="003028B1"/>
    <w:rsid w:val="00307030"/>
    <w:rsid w:val="0031328E"/>
    <w:rsid w:val="00315BE0"/>
    <w:rsid w:val="003169D5"/>
    <w:rsid w:val="003231F8"/>
    <w:rsid w:val="0032799C"/>
    <w:rsid w:val="00327A84"/>
    <w:rsid w:val="0033308B"/>
    <w:rsid w:val="00334D34"/>
    <w:rsid w:val="00337CCE"/>
    <w:rsid w:val="00337EDD"/>
    <w:rsid w:val="00343749"/>
    <w:rsid w:val="00344102"/>
    <w:rsid w:val="003445C6"/>
    <w:rsid w:val="00351B89"/>
    <w:rsid w:val="00351E93"/>
    <w:rsid w:val="00353A57"/>
    <w:rsid w:val="00353EAF"/>
    <w:rsid w:val="00357D50"/>
    <w:rsid w:val="003602FC"/>
    <w:rsid w:val="003609F7"/>
    <w:rsid w:val="00366291"/>
    <w:rsid w:val="00367E60"/>
    <w:rsid w:val="00376169"/>
    <w:rsid w:val="00376E27"/>
    <w:rsid w:val="00377C00"/>
    <w:rsid w:val="00377F86"/>
    <w:rsid w:val="003816CE"/>
    <w:rsid w:val="00381FE8"/>
    <w:rsid w:val="00385229"/>
    <w:rsid w:val="0038758C"/>
    <w:rsid w:val="00387EAB"/>
    <w:rsid w:val="003925DC"/>
    <w:rsid w:val="003942C1"/>
    <w:rsid w:val="00394346"/>
    <w:rsid w:val="00395F38"/>
    <w:rsid w:val="0039668F"/>
    <w:rsid w:val="00396E41"/>
    <w:rsid w:val="003A1093"/>
    <w:rsid w:val="003A2225"/>
    <w:rsid w:val="003A2F1B"/>
    <w:rsid w:val="003A3FC6"/>
    <w:rsid w:val="003A49D1"/>
    <w:rsid w:val="003A67F6"/>
    <w:rsid w:val="003A6B1D"/>
    <w:rsid w:val="003B0550"/>
    <w:rsid w:val="003B06B7"/>
    <w:rsid w:val="003B18C4"/>
    <w:rsid w:val="003B28FF"/>
    <w:rsid w:val="003B366F"/>
    <w:rsid w:val="003B694F"/>
    <w:rsid w:val="003B7D0E"/>
    <w:rsid w:val="003C0A28"/>
    <w:rsid w:val="003C2436"/>
    <w:rsid w:val="003C47B1"/>
    <w:rsid w:val="003C48AB"/>
    <w:rsid w:val="003C589A"/>
    <w:rsid w:val="003C7639"/>
    <w:rsid w:val="003C77F1"/>
    <w:rsid w:val="003D2256"/>
    <w:rsid w:val="003E2121"/>
    <w:rsid w:val="003E5ACA"/>
    <w:rsid w:val="003E7B6C"/>
    <w:rsid w:val="003F0EF2"/>
    <w:rsid w:val="003F171C"/>
    <w:rsid w:val="003F1EE9"/>
    <w:rsid w:val="004004AF"/>
    <w:rsid w:val="00402A03"/>
    <w:rsid w:val="00403231"/>
    <w:rsid w:val="00406E69"/>
    <w:rsid w:val="00410921"/>
    <w:rsid w:val="00412430"/>
    <w:rsid w:val="00412582"/>
    <w:rsid w:val="00412FC5"/>
    <w:rsid w:val="00413423"/>
    <w:rsid w:val="00415CF3"/>
    <w:rsid w:val="00415EFC"/>
    <w:rsid w:val="00420182"/>
    <w:rsid w:val="00422276"/>
    <w:rsid w:val="00422B9A"/>
    <w:rsid w:val="004242F1"/>
    <w:rsid w:val="004243FE"/>
    <w:rsid w:val="00427D15"/>
    <w:rsid w:val="00431EBD"/>
    <w:rsid w:val="00432406"/>
    <w:rsid w:val="0043254C"/>
    <w:rsid w:val="00432569"/>
    <w:rsid w:val="00437716"/>
    <w:rsid w:val="00441312"/>
    <w:rsid w:val="00441B3C"/>
    <w:rsid w:val="00445A00"/>
    <w:rsid w:val="0044678A"/>
    <w:rsid w:val="00446F3E"/>
    <w:rsid w:val="00447D22"/>
    <w:rsid w:val="00451B0F"/>
    <w:rsid w:val="004551E4"/>
    <w:rsid w:val="00455621"/>
    <w:rsid w:val="00456CBE"/>
    <w:rsid w:val="004570A3"/>
    <w:rsid w:val="00457499"/>
    <w:rsid w:val="0046125F"/>
    <w:rsid w:val="00462520"/>
    <w:rsid w:val="00464C0E"/>
    <w:rsid w:val="00466B8E"/>
    <w:rsid w:val="0046783E"/>
    <w:rsid w:val="00467C77"/>
    <w:rsid w:val="00470E9D"/>
    <w:rsid w:val="00471CE2"/>
    <w:rsid w:val="00472C46"/>
    <w:rsid w:val="00475073"/>
    <w:rsid w:val="00475591"/>
    <w:rsid w:val="00475AE7"/>
    <w:rsid w:val="004806FB"/>
    <w:rsid w:val="00485DD1"/>
    <w:rsid w:val="004872D0"/>
    <w:rsid w:val="00487524"/>
    <w:rsid w:val="004876D1"/>
    <w:rsid w:val="004903BF"/>
    <w:rsid w:val="0049112B"/>
    <w:rsid w:val="004928F5"/>
    <w:rsid w:val="004943CA"/>
    <w:rsid w:val="0049488B"/>
    <w:rsid w:val="00495252"/>
    <w:rsid w:val="00496106"/>
    <w:rsid w:val="00496949"/>
    <w:rsid w:val="004A660E"/>
    <w:rsid w:val="004B088F"/>
    <w:rsid w:val="004B091D"/>
    <w:rsid w:val="004B6492"/>
    <w:rsid w:val="004C12D0"/>
    <w:rsid w:val="004C2EE3"/>
    <w:rsid w:val="004C3FFB"/>
    <w:rsid w:val="004C57A4"/>
    <w:rsid w:val="004C70FB"/>
    <w:rsid w:val="004C7A5C"/>
    <w:rsid w:val="004D22C3"/>
    <w:rsid w:val="004D362E"/>
    <w:rsid w:val="004D5869"/>
    <w:rsid w:val="004D6C60"/>
    <w:rsid w:val="004D7C16"/>
    <w:rsid w:val="004E4A22"/>
    <w:rsid w:val="004E72B7"/>
    <w:rsid w:val="004F35CA"/>
    <w:rsid w:val="004F4239"/>
    <w:rsid w:val="004F60EC"/>
    <w:rsid w:val="004F737A"/>
    <w:rsid w:val="0050167C"/>
    <w:rsid w:val="00501F12"/>
    <w:rsid w:val="005053A7"/>
    <w:rsid w:val="00506C61"/>
    <w:rsid w:val="005106C5"/>
    <w:rsid w:val="00511968"/>
    <w:rsid w:val="005123BE"/>
    <w:rsid w:val="00516819"/>
    <w:rsid w:val="00516C98"/>
    <w:rsid w:val="00520AE6"/>
    <w:rsid w:val="0052214B"/>
    <w:rsid w:val="00523F0D"/>
    <w:rsid w:val="00524B7D"/>
    <w:rsid w:val="00525169"/>
    <w:rsid w:val="00525F91"/>
    <w:rsid w:val="00532BEA"/>
    <w:rsid w:val="0053387F"/>
    <w:rsid w:val="005357B8"/>
    <w:rsid w:val="005364A4"/>
    <w:rsid w:val="00536CF8"/>
    <w:rsid w:val="0054043D"/>
    <w:rsid w:val="00545724"/>
    <w:rsid w:val="00545A19"/>
    <w:rsid w:val="0054650E"/>
    <w:rsid w:val="00550354"/>
    <w:rsid w:val="00552A15"/>
    <w:rsid w:val="00552AF3"/>
    <w:rsid w:val="0055614C"/>
    <w:rsid w:val="005614FA"/>
    <w:rsid w:val="00563C1F"/>
    <w:rsid w:val="00564FFA"/>
    <w:rsid w:val="00577322"/>
    <w:rsid w:val="00577BFF"/>
    <w:rsid w:val="00581C61"/>
    <w:rsid w:val="00582BAF"/>
    <w:rsid w:val="00584B7F"/>
    <w:rsid w:val="00595381"/>
    <w:rsid w:val="0059746C"/>
    <w:rsid w:val="005A0BF4"/>
    <w:rsid w:val="005A3062"/>
    <w:rsid w:val="005A31B2"/>
    <w:rsid w:val="005A445D"/>
    <w:rsid w:val="005A4610"/>
    <w:rsid w:val="005B3EC2"/>
    <w:rsid w:val="005B476C"/>
    <w:rsid w:val="005B5B7B"/>
    <w:rsid w:val="005C24D8"/>
    <w:rsid w:val="005C315F"/>
    <w:rsid w:val="005C680A"/>
    <w:rsid w:val="005C7EF4"/>
    <w:rsid w:val="005D0403"/>
    <w:rsid w:val="005D092D"/>
    <w:rsid w:val="005D0A49"/>
    <w:rsid w:val="005D0EA4"/>
    <w:rsid w:val="005E347C"/>
    <w:rsid w:val="005E49DF"/>
    <w:rsid w:val="005E58F0"/>
    <w:rsid w:val="005E5F6A"/>
    <w:rsid w:val="005E74A9"/>
    <w:rsid w:val="005F0449"/>
    <w:rsid w:val="005F4263"/>
    <w:rsid w:val="005F4F63"/>
    <w:rsid w:val="005F572F"/>
    <w:rsid w:val="00603CBE"/>
    <w:rsid w:val="00607BA5"/>
    <w:rsid w:val="006126AF"/>
    <w:rsid w:val="00615C48"/>
    <w:rsid w:val="00620DBB"/>
    <w:rsid w:val="00620F82"/>
    <w:rsid w:val="00621457"/>
    <w:rsid w:val="00622C85"/>
    <w:rsid w:val="00625270"/>
    <w:rsid w:val="00626EB6"/>
    <w:rsid w:val="006275B0"/>
    <w:rsid w:val="00630790"/>
    <w:rsid w:val="00631B71"/>
    <w:rsid w:val="006353A3"/>
    <w:rsid w:val="006375D8"/>
    <w:rsid w:val="00637E27"/>
    <w:rsid w:val="00642E7B"/>
    <w:rsid w:val="00643878"/>
    <w:rsid w:val="00644B2C"/>
    <w:rsid w:val="00655D03"/>
    <w:rsid w:val="00660386"/>
    <w:rsid w:val="00661A1F"/>
    <w:rsid w:val="00663CEB"/>
    <w:rsid w:val="00664AB4"/>
    <w:rsid w:val="006650A4"/>
    <w:rsid w:val="006665E6"/>
    <w:rsid w:val="00673C03"/>
    <w:rsid w:val="00675E8A"/>
    <w:rsid w:val="0068023C"/>
    <w:rsid w:val="00680ADA"/>
    <w:rsid w:val="00683F84"/>
    <w:rsid w:val="00684738"/>
    <w:rsid w:val="0068763E"/>
    <w:rsid w:val="006901C6"/>
    <w:rsid w:val="00694196"/>
    <w:rsid w:val="00694C92"/>
    <w:rsid w:val="00694E3A"/>
    <w:rsid w:val="006953EE"/>
    <w:rsid w:val="0069577D"/>
    <w:rsid w:val="006972E8"/>
    <w:rsid w:val="006A467F"/>
    <w:rsid w:val="006A487A"/>
    <w:rsid w:val="006A6A81"/>
    <w:rsid w:val="006B2F55"/>
    <w:rsid w:val="006B38A3"/>
    <w:rsid w:val="006B5D0A"/>
    <w:rsid w:val="006B6F46"/>
    <w:rsid w:val="006C47FA"/>
    <w:rsid w:val="006C7A94"/>
    <w:rsid w:val="006D0FAA"/>
    <w:rsid w:val="006D40DD"/>
    <w:rsid w:val="006D4FC8"/>
    <w:rsid w:val="006D660A"/>
    <w:rsid w:val="006D6AFD"/>
    <w:rsid w:val="006D760F"/>
    <w:rsid w:val="006D7B2B"/>
    <w:rsid w:val="006E26AF"/>
    <w:rsid w:val="006E3ED7"/>
    <w:rsid w:val="006E57B3"/>
    <w:rsid w:val="006E6B9A"/>
    <w:rsid w:val="006F1183"/>
    <w:rsid w:val="006F3559"/>
    <w:rsid w:val="006F4636"/>
    <w:rsid w:val="006F7393"/>
    <w:rsid w:val="006F7904"/>
    <w:rsid w:val="00701094"/>
    <w:rsid w:val="007019B6"/>
    <w:rsid w:val="007019FF"/>
    <w:rsid w:val="0070224F"/>
    <w:rsid w:val="00703BB5"/>
    <w:rsid w:val="0070486C"/>
    <w:rsid w:val="00705DDB"/>
    <w:rsid w:val="007115F7"/>
    <w:rsid w:val="0071471C"/>
    <w:rsid w:val="007164EB"/>
    <w:rsid w:val="007178B4"/>
    <w:rsid w:val="00717B07"/>
    <w:rsid w:val="00721778"/>
    <w:rsid w:val="00725674"/>
    <w:rsid w:val="00726F80"/>
    <w:rsid w:val="00731C3E"/>
    <w:rsid w:val="00735B84"/>
    <w:rsid w:val="00740AD9"/>
    <w:rsid w:val="00740F37"/>
    <w:rsid w:val="0074229D"/>
    <w:rsid w:val="0074353A"/>
    <w:rsid w:val="00743B3E"/>
    <w:rsid w:val="00744B34"/>
    <w:rsid w:val="00744F93"/>
    <w:rsid w:val="00746393"/>
    <w:rsid w:val="00746759"/>
    <w:rsid w:val="00747230"/>
    <w:rsid w:val="00754440"/>
    <w:rsid w:val="00756EBC"/>
    <w:rsid w:val="00757E0B"/>
    <w:rsid w:val="00762725"/>
    <w:rsid w:val="00762FC4"/>
    <w:rsid w:val="00763B93"/>
    <w:rsid w:val="007668C8"/>
    <w:rsid w:val="00770F47"/>
    <w:rsid w:val="00773F6A"/>
    <w:rsid w:val="00775097"/>
    <w:rsid w:val="00780E7D"/>
    <w:rsid w:val="00785689"/>
    <w:rsid w:val="00792664"/>
    <w:rsid w:val="0079754B"/>
    <w:rsid w:val="007A0B06"/>
    <w:rsid w:val="007A1E6D"/>
    <w:rsid w:val="007A29A0"/>
    <w:rsid w:val="007B1170"/>
    <w:rsid w:val="007B1F0E"/>
    <w:rsid w:val="007B4F48"/>
    <w:rsid w:val="007B72F9"/>
    <w:rsid w:val="007B7C16"/>
    <w:rsid w:val="007C179B"/>
    <w:rsid w:val="007C2228"/>
    <w:rsid w:val="007C3551"/>
    <w:rsid w:val="007C4371"/>
    <w:rsid w:val="007C5078"/>
    <w:rsid w:val="007C53B3"/>
    <w:rsid w:val="007C674D"/>
    <w:rsid w:val="007D3761"/>
    <w:rsid w:val="007D4842"/>
    <w:rsid w:val="007D4A11"/>
    <w:rsid w:val="007D4DB7"/>
    <w:rsid w:val="007D6054"/>
    <w:rsid w:val="007E03E5"/>
    <w:rsid w:val="007E32AB"/>
    <w:rsid w:val="007F0701"/>
    <w:rsid w:val="007F0DBB"/>
    <w:rsid w:val="007F1D7C"/>
    <w:rsid w:val="007F29ED"/>
    <w:rsid w:val="007F400A"/>
    <w:rsid w:val="007F40C5"/>
    <w:rsid w:val="007F4D42"/>
    <w:rsid w:val="007F5818"/>
    <w:rsid w:val="007F5C59"/>
    <w:rsid w:val="007F7FF7"/>
    <w:rsid w:val="00800267"/>
    <w:rsid w:val="00801AAA"/>
    <w:rsid w:val="00801FDC"/>
    <w:rsid w:val="00805401"/>
    <w:rsid w:val="008068FD"/>
    <w:rsid w:val="00822CE0"/>
    <w:rsid w:val="00825E7D"/>
    <w:rsid w:val="008271E2"/>
    <w:rsid w:val="008275B8"/>
    <w:rsid w:val="0083155B"/>
    <w:rsid w:val="008338CE"/>
    <w:rsid w:val="00835AB1"/>
    <w:rsid w:val="00837C62"/>
    <w:rsid w:val="00841404"/>
    <w:rsid w:val="00841AB1"/>
    <w:rsid w:val="00844109"/>
    <w:rsid w:val="0084412A"/>
    <w:rsid w:val="00845944"/>
    <w:rsid w:val="00851B11"/>
    <w:rsid w:val="00851E64"/>
    <w:rsid w:val="00854834"/>
    <w:rsid w:val="008550B5"/>
    <w:rsid w:val="0085777F"/>
    <w:rsid w:val="0086068D"/>
    <w:rsid w:val="00861822"/>
    <w:rsid w:val="00861958"/>
    <w:rsid w:val="0086597B"/>
    <w:rsid w:val="008670A1"/>
    <w:rsid w:val="00867CFB"/>
    <w:rsid w:val="00872701"/>
    <w:rsid w:val="008759A0"/>
    <w:rsid w:val="008774D9"/>
    <w:rsid w:val="00880227"/>
    <w:rsid w:val="00880549"/>
    <w:rsid w:val="00880961"/>
    <w:rsid w:val="008821DF"/>
    <w:rsid w:val="008823A6"/>
    <w:rsid w:val="00885346"/>
    <w:rsid w:val="008860DF"/>
    <w:rsid w:val="008865BD"/>
    <w:rsid w:val="00890537"/>
    <w:rsid w:val="008928B0"/>
    <w:rsid w:val="00892BEE"/>
    <w:rsid w:val="00893955"/>
    <w:rsid w:val="008969B3"/>
    <w:rsid w:val="0089722C"/>
    <w:rsid w:val="008A3DCE"/>
    <w:rsid w:val="008A5F0D"/>
    <w:rsid w:val="008A6865"/>
    <w:rsid w:val="008A72A2"/>
    <w:rsid w:val="008B1C48"/>
    <w:rsid w:val="008B3790"/>
    <w:rsid w:val="008B3951"/>
    <w:rsid w:val="008B3DC7"/>
    <w:rsid w:val="008B4CC9"/>
    <w:rsid w:val="008B51AD"/>
    <w:rsid w:val="008C0043"/>
    <w:rsid w:val="008C0714"/>
    <w:rsid w:val="008C09B2"/>
    <w:rsid w:val="008C1A0F"/>
    <w:rsid w:val="008C1DAA"/>
    <w:rsid w:val="008C22FD"/>
    <w:rsid w:val="008C2513"/>
    <w:rsid w:val="008C5059"/>
    <w:rsid w:val="008D327D"/>
    <w:rsid w:val="008D5B54"/>
    <w:rsid w:val="008D5EA0"/>
    <w:rsid w:val="008D6240"/>
    <w:rsid w:val="008E5D2B"/>
    <w:rsid w:val="008F58CF"/>
    <w:rsid w:val="008F7C26"/>
    <w:rsid w:val="00902F76"/>
    <w:rsid w:val="0090545D"/>
    <w:rsid w:val="009054E8"/>
    <w:rsid w:val="00907911"/>
    <w:rsid w:val="00910F12"/>
    <w:rsid w:val="00913041"/>
    <w:rsid w:val="0091539A"/>
    <w:rsid w:val="0091650F"/>
    <w:rsid w:val="00922696"/>
    <w:rsid w:val="00923F59"/>
    <w:rsid w:val="00924C12"/>
    <w:rsid w:val="00925ACF"/>
    <w:rsid w:val="00926397"/>
    <w:rsid w:val="00926503"/>
    <w:rsid w:val="0092692D"/>
    <w:rsid w:val="00926C1D"/>
    <w:rsid w:val="00930ECF"/>
    <w:rsid w:val="00931CEB"/>
    <w:rsid w:val="0093267F"/>
    <w:rsid w:val="009432A3"/>
    <w:rsid w:val="00943407"/>
    <w:rsid w:val="00943B23"/>
    <w:rsid w:val="00946DF9"/>
    <w:rsid w:val="0095053C"/>
    <w:rsid w:val="0095057C"/>
    <w:rsid w:val="00951059"/>
    <w:rsid w:val="00955EA2"/>
    <w:rsid w:val="009566AD"/>
    <w:rsid w:val="0096037E"/>
    <w:rsid w:val="00965253"/>
    <w:rsid w:val="00967271"/>
    <w:rsid w:val="00970A34"/>
    <w:rsid w:val="009713DD"/>
    <w:rsid w:val="00972B39"/>
    <w:rsid w:val="00976129"/>
    <w:rsid w:val="009801F8"/>
    <w:rsid w:val="00980555"/>
    <w:rsid w:val="009838BC"/>
    <w:rsid w:val="00983A14"/>
    <w:rsid w:val="00983EE2"/>
    <w:rsid w:val="00986B91"/>
    <w:rsid w:val="00987966"/>
    <w:rsid w:val="00987A27"/>
    <w:rsid w:val="009901F7"/>
    <w:rsid w:val="009929EC"/>
    <w:rsid w:val="00996476"/>
    <w:rsid w:val="0099720B"/>
    <w:rsid w:val="009A65B8"/>
    <w:rsid w:val="009A685A"/>
    <w:rsid w:val="009B3988"/>
    <w:rsid w:val="009B63B0"/>
    <w:rsid w:val="009C13CB"/>
    <w:rsid w:val="009C2EC9"/>
    <w:rsid w:val="009C448A"/>
    <w:rsid w:val="009C58E0"/>
    <w:rsid w:val="009C6D1A"/>
    <w:rsid w:val="009C73EF"/>
    <w:rsid w:val="009D0498"/>
    <w:rsid w:val="009D175D"/>
    <w:rsid w:val="009D2AC9"/>
    <w:rsid w:val="009D31FB"/>
    <w:rsid w:val="009D36AB"/>
    <w:rsid w:val="009D6B11"/>
    <w:rsid w:val="009D708B"/>
    <w:rsid w:val="009E0A80"/>
    <w:rsid w:val="009F1761"/>
    <w:rsid w:val="009F71A2"/>
    <w:rsid w:val="00A029B6"/>
    <w:rsid w:val="00A03FAC"/>
    <w:rsid w:val="00A05D2F"/>
    <w:rsid w:val="00A06E7E"/>
    <w:rsid w:val="00A105E6"/>
    <w:rsid w:val="00A13CE2"/>
    <w:rsid w:val="00A13DDC"/>
    <w:rsid w:val="00A1615A"/>
    <w:rsid w:val="00A164EA"/>
    <w:rsid w:val="00A22D46"/>
    <w:rsid w:val="00A239D2"/>
    <w:rsid w:val="00A255D7"/>
    <w:rsid w:val="00A30968"/>
    <w:rsid w:val="00A32C6E"/>
    <w:rsid w:val="00A33E9C"/>
    <w:rsid w:val="00A351CE"/>
    <w:rsid w:val="00A36733"/>
    <w:rsid w:val="00A40309"/>
    <w:rsid w:val="00A42060"/>
    <w:rsid w:val="00A42EE2"/>
    <w:rsid w:val="00A45DD0"/>
    <w:rsid w:val="00A45F4F"/>
    <w:rsid w:val="00A5137A"/>
    <w:rsid w:val="00A51758"/>
    <w:rsid w:val="00A554EE"/>
    <w:rsid w:val="00A600A9"/>
    <w:rsid w:val="00A61E25"/>
    <w:rsid w:val="00A6263A"/>
    <w:rsid w:val="00A6329B"/>
    <w:rsid w:val="00A63A6A"/>
    <w:rsid w:val="00A6538C"/>
    <w:rsid w:val="00A663DB"/>
    <w:rsid w:val="00A7404D"/>
    <w:rsid w:val="00A74D70"/>
    <w:rsid w:val="00A75E4C"/>
    <w:rsid w:val="00A77268"/>
    <w:rsid w:val="00A81385"/>
    <w:rsid w:val="00A8463B"/>
    <w:rsid w:val="00A84BCC"/>
    <w:rsid w:val="00A85063"/>
    <w:rsid w:val="00A855DE"/>
    <w:rsid w:val="00A8620D"/>
    <w:rsid w:val="00A86681"/>
    <w:rsid w:val="00A866AC"/>
    <w:rsid w:val="00A87085"/>
    <w:rsid w:val="00A90ABC"/>
    <w:rsid w:val="00A922E8"/>
    <w:rsid w:val="00A9262C"/>
    <w:rsid w:val="00A92F17"/>
    <w:rsid w:val="00A93BBB"/>
    <w:rsid w:val="00A950E2"/>
    <w:rsid w:val="00A95C94"/>
    <w:rsid w:val="00AA020D"/>
    <w:rsid w:val="00AA2C76"/>
    <w:rsid w:val="00AA412A"/>
    <w:rsid w:val="00AA52F2"/>
    <w:rsid w:val="00AA55B7"/>
    <w:rsid w:val="00AA5B9E"/>
    <w:rsid w:val="00AB2109"/>
    <w:rsid w:val="00AB2407"/>
    <w:rsid w:val="00AB3596"/>
    <w:rsid w:val="00AB53DF"/>
    <w:rsid w:val="00AB61ED"/>
    <w:rsid w:val="00AB6A23"/>
    <w:rsid w:val="00AB7889"/>
    <w:rsid w:val="00AC4DB3"/>
    <w:rsid w:val="00AC59EC"/>
    <w:rsid w:val="00AC669A"/>
    <w:rsid w:val="00AD3257"/>
    <w:rsid w:val="00AD50D4"/>
    <w:rsid w:val="00AD62E9"/>
    <w:rsid w:val="00AD766F"/>
    <w:rsid w:val="00AE13A6"/>
    <w:rsid w:val="00AE1813"/>
    <w:rsid w:val="00AE3030"/>
    <w:rsid w:val="00AE3C92"/>
    <w:rsid w:val="00AE47E9"/>
    <w:rsid w:val="00AE522A"/>
    <w:rsid w:val="00AF2B5C"/>
    <w:rsid w:val="00B0042A"/>
    <w:rsid w:val="00B00C3A"/>
    <w:rsid w:val="00B021EE"/>
    <w:rsid w:val="00B02A93"/>
    <w:rsid w:val="00B07E5C"/>
    <w:rsid w:val="00B10DE5"/>
    <w:rsid w:val="00B17836"/>
    <w:rsid w:val="00B17B13"/>
    <w:rsid w:val="00B238E7"/>
    <w:rsid w:val="00B31B86"/>
    <w:rsid w:val="00B326E3"/>
    <w:rsid w:val="00B32E44"/>
    <w:rsid w:val="00B334D7"/>
    <w:rsid w:val="00B3351F"/>
    <w:rsid w:val="00B368CC"/>
    <w:rsid w:val="00B36901"/>
    <w:rsid w:val="00B402F4"/>
    <w:rsid w:val="00B43169"/>
    <w:rsid w:val="00B44339"/>
    <w:rsid w:val="00B464B2"/>
    <w:rsid w:val="00B47261"/>
    <w:rsid w:val="00B5389B"/>
    <w:rsid w:val="00B549D5"/>
    <w:rsid w:val="00B61C60"/>
    <w:rsid w:val="00B62F68"/>
    <w:rsid w:val="00B66BCD"/>
    <w:rsid w:val="00B7124D"/>
    <w:rsid w:val="00B721C8"/>
    <w:rsid w:val="00B73C0C"/>
    <w:rsid w:val="00B74EB4"/>
    <w:rsid w:val="00B77AB8"/>
    <w:rsid w:val="00B811F7"/>
    <w:rsid w:val="00B81771"/>
    <w:rsid w:val="00B82285"/>
    <w:rsid w:val="00B83976"/>
    <w:rsid w:val="00B848FE"/>
    <w:rsid w:val="00B84BD2"/>
    <w:rsid w:val="00B84CD9"/>
    <w:rsid w:val="00B905AA"/>
    <w:rsid w:val="00B90BD1"/>
    <w:rsid w:val="00B93375"/>
    <w:rsid w:val="00B959E6"/>
    <w:rsid w:val="00B9684D"/>
    <w:rsid w:val="00B97BD5"/>
    <w:rsid w:val="00BA1134"/>
    <w:rsid w:val="00BA1383"/>
    <w:rsid w:val="00BA196F"/>
    <w:rsid w:val="00BA4A23"/>
    <w:rsid w:val="00BA5DC6"/>
    <w:rsid w:val="00BA6196"/>
    <w:rsid w:val="00BA7043"/>
    <w:rsid w:val="00BB0D65"/>
    <w:rsid w:val="00BB2DCC"/>
    <w:rsid w:val="00BB4022"/>
    <w:rsid w:val="00BB5D60"/>
    <w:rsid w:val="00BB6496"/>
    <w:rsid w:val="00BB6DCE"/>
    <w:rsid w:val="00BC6BB5"/>
    <w:rsid w:val="00BC6D8C"/>
    <w:rsid w:val="00BC76BB"/>
    <w:rsid w:val="00BD0A9B"/>
    <w:rsid w:val="00BD1F31"/>
    <w:rsid w:val="00BD332E"/>
    <w:rsid w:val="00BD38DB"/>
    <w:rsid w:val="00BD41D9"/>
    <w:rsid w:val="00BD4B59"/>
    <w:rsid w:val="00BD50BA"/>
    <w:rsid w:val="00BD5994"/>
    <w:rsid w:val="00BE1AA3"/>
    <w:rsid w:val="00BE4E73"/>
    <w:rsid w:val="00BE5A68"/>
    <w:rsid w:val="00BF4EC4"/>
    <w:rsid w:val="00C00B2A"/>
    <w:rsid w:val="00C01B19"/>
    <w:rsid w:val="00C0633C"/>
    <w:rsid w:val="00C07140"/>
    <w:rsid w:val="00C077E1"/>
    <w:rsid w:val="00C10E83"/>
    <w:rsid w:val="00C1189E"/>
    <w:rsid w:val="00C14E8F"/>
    <w:rsid w:val="00C16AF2"/>
    <w:rsid w:val="00C223D8"/>
    <w:rsid w:val="00C2261D"/>
    <w:rsid w:val="00C2475E"/>
    <w:rsid w:val="00C24DD2"/>
    <w:rsid w:val="00C25666"/>
    <w:rsid w:val="00C27664"/>
    <w:rsid w:val="00C27859"/>
    <w:rsid w:val="00C27EA3"/>
    <w:rsid w:val="00C31891"/>
    <w:rsid w:val="00C33898"/>
    <w:rsid w:val="00C34006"/>
    <w:rsid w:val="00C34F82"/>
    <w:rsid w:val="00C35272"/>
    <w:rsid w:val="00C360F5"/>
    <w:rsid w:val="00C367FB"/>
    <w:rsid w:val="00C37B71"/>
    <w:rsid w:val="00C41A27"/>
    <w:rsid w:val="00C426B1"/>
    <w:rsid w:val="00C43525"/>
    <w:rsid w:val="00C43547"/>
    <w:rsid w:val="00C43AC6"/>
    <w:rsid w:val="00C4665E"/>
    <w:rsid w:val="00C47FF8"/>
    <w:rsid w:val="00C509AC"/>
    <w:rsid w:val="00C50A2E"/>
    <w:rsid w:val="00C543F9"/>
    <w:rsid w:val="00C55FF6"/>
    <w:rsid w:val="00C56B90"/>
    <w:rsid w:val="00C61BB7"/>
    <w:rsid w:val="00C621EC"/>
    <w:rsid w:val="00C70F5B"/>
    <w:rsid w:val="00C7200D"/>
    <w:rsid w:val="00C7218A"/>
    <w:rsid w:val="00C7222F"/>
    <w:rsid w:val="00C7392A"/>
    <w:rsid w:val="00C80924"/>
    <w:rsid w:val="00C82B6B"/>
    <w:rsid w:val="00C84CB7"/>
    <w:rsid w:val="00C850D8"/>
    <w:rsid w:val="00C85AF8"/>
    <w:rsid w:val="00C90D6A"/>
    <w:rsid w:val="00C96CB6"/>
    <w:rsid w:val="00CA5E0B"/>
    <w:rsid w:val="00CA63AF"/>
    <w:rsid w:val="00CB14D4"/>
    <w:rsid w:val="00CB4801"/>
    <w:rsid w:val="00CB6E0A"/>
    <w:rsid w:val="00CC3745"/>
    <w:rsid w:val="00CC4904"/>
    <w:rsid w:val="00CC60EB"/>
    <w:rsid w:val="00CC6A10"/>
    <w:rsid w:val="00CC72B6"/>
    <w:rsid w:val="00CD1437"/>
    <w:rsid w:val="00CD2FA0"/>
    <w:rsid w:val="00CD30B5"/>
    <w:rsid w:val="00CD5655"/>
    <w:rsid w:val="00CE2113"/>
    <w:rsid w:val="00CE359D"/>
    <w:rsid w:val="00CE3C68"/>
    <w:rsid w:val="00CF0F77"/>
    <w:rsid w:val="00CF1A56"/>
    <w:rsid w:val="00D0218D"/>
    <w:rsid w:val="00D03809"/>
    <w:rsid w:val="00D04868"/>
    <w:rsid w:val="00D06F09"/>
    <w:rsid w:val="00D06FA2"/>
    <w:rsid w:val="00D12B3C"/>
    <w:rsid w:val="00D13707"/>
    <w:rsid w:val="00D17873"/>
    <w:rsid w:val="00D216CD"/>
    <w:rsid w:val="00D22B78"/>
    <w:rsid w:val="00D238CC"/>
    <w:rsid w:val="00D26EF4"/>
    <w:rsid w:val="00D32848"/>
    <w:rsid w:val="00D351CC"/>
    <w:rsid w:val="00D3650B"/>
    <w:rsid w:val="00D37DBE"/>
    <w:rsid w:val="00D41B3B"/>
    <w:rsid w:val="00D45A14"/>
    <w:rsid w:val="00D501C6"/>
    <w:rsid w:val="00D5095E"/>
    <w:rsid w:val="00D51481"/>
    <w:rsid w:val="00D53ADF"/>
    <w:rsid w:val="00D541B7"/>
    <w:rsid w:val="00D5454A"/>
    <w:rsid w:val="00D5495C"/>
    <w:rsid w:val="00D62E3C"/>
    <w:rsid w:val="00D6557E"/>
    <w:rsid w:val="00D6581B"/>
    <w:rsid w:val="00D7290A"/>
    <w:rsid w:val="00D74AEC"/>
    <w:rsid w:val="00D76953"/>
    <w:rsid w:val="00D806AA"/>
    <w:rsid w:val="00D8081B"/>
    <w:rsid w:val="00D80BEF"/>
    <w:rsid w:val="00D81F91"/>
    <w:rsid w:val="00D835F0"/>
    <w:rsid w:val="00D8472B"/>
    <w:rsid w:val="00D84C22"/>
    <w:rsid w:val="00D851AB"/>
    <w:rsid w:val="00D85EF5"/>
    <w:rsid w:val="00D90DAC"/>
    <w:rsid w:val="00DA07AA"/>
    <w:rsid w:val="00DA2529"/>
    <w:rsid w:val="00DA455F"/>
    <w:rsid w:val="00DA77F0"/>
    <w:rsid w:val="00DB0101"/>
    <w:rsid w:val="00DB130A"/>
    <w:rsid w:val="00DB36BF"/>
    <w:rsid w:val="00DB54CA"/>
    <w:rsid w:val="00DB5AC1"/>
    <w:rsid w:val="00DB6527"/>
    <w:rsid w:val="00DB6AC7"/>
    <w:rsid w:val="00DC0759"/>
    <w:rsid w:val="00DC10A1"/>
    <w:rsid w:val="00DC44DE"/>
    <w:rsid w:val="00DC4D66"/>
    <w:rsid w:val="00DC53B1"/>
    <w:rsid w:val="00DC56D1"/>
    <w:rsid w:val="00DC655F"/>
    <w:rsid w:val="00DC7590"/>
    <w:rsid w:val="00DC7BAE"/>
    <w:rsid w:val="00DD0336"/>
    <w:rsid w:val="00DD0F22"/>
    <w:rsid w:val="00DD6C7F"/>
    <w:rsid w:val="00DD7EBD"/>
    <w:rsid w:val="00DE0D04"/>
    <w:rsid w:val="00DE13BD"/>
    <w:rsid w:val="00DE4B07"/>
    <w:rsid w:val="00DE64A0"/>
    <w:rsid w:val="00DF1B24"/>
    <w:rsid w:val="00DF4E87"/>
    <w:rsid w:val="00DF62B6"/>
    <w:rsid w:val="00E0101E"/>
    <w:rsid w:val="00E0105E"/>
    <w:rsid w:val="00E04D5A"/>
    <w:rsid w:val="00E07225"/>
    <w:rsid w:val="00E155B7"/>
    <w:rsid w:val="00E15AD6"/>
    <w:rsid w:val="00E15F88"/>
    <w:rsid w:val="00E17865"/>
    <w:rsid w:val="00E20CF6"/>
    <w:rsid w:val="00E21870"/>
    <w:rsid w:val="00E262F3"/>
    <w:rsid w:val="00E27214"/>
    <w:rsid w:val="00E336E6"/>
    <w:rsid w:val="00E3399D"/>
    <w:rsid w:val="00E35D85"/>
    <w:rsid w:val="00E4245C"/>
    <w:rsid w:val="00E42463"/>
    <w:rsid w:val="00E43197"/>
    <w:rsid w:val="00E504A8"/>
    <w:rsid w:val="00E50F11"/>
    <w:rsid w:val="00E5409F"/>
    <w:rsid w:val="00E554BA"/>
    <w:rsid w:val="00E61137"/>
    <w:rsid w:val="00E63E9C"/>
    <w:rsid w:val="00E65904"/>
    <w:rsid w:val="00E66D2C"/>
    <w:rsid w:val="00E70C9B"/>
    <w:rsid w:val="00E72298"/>
    <w:rsid w:val="00E7316D"/>
    <w:rsid w:val="00E73463"/>
    <w:rsid w:val="00E743F2"/>
    <w:rsid w:val="00E74F67"/>
    <w:rsid w:val="00E77864"/>
    <w:rsid w:val="00E8036C"/>
    <w:rsid w:val="00E85276"/>
    <w:rsid w:val="00E87847"/>
    <w:rsid w:val="00E96AC2"/>
    <w:rsid w:val="00E96B4B"/>
    <w:rsid w:val="00E9794F"/>
    <w:rsid w:val="00EA003B"/>
    <w:rsid w:val="00EA1D70"/>
    <w:rsid w:val="00EA5DC5"/>
    <w:rsid w:val="00EB08CE"/>
    <w:rsid w:val="00EB17F9"/>
    <w:rsid w:val="00EB28CF"/>
    <w:rsid w:val="00EB2C44"/>
    <w:rsid w:val="00EB4A52"/>
    <w:rsid w:val="00EC0185"/>
    <w:rsid w:val="00EC0BF7"/>
    <w:rsid w:val="00EC195C"/>
    <w:rsid w:val="00EC2DFD"/>
    <w:rsid w:val="00EC5A87"/>
    <w:rsid w:val="00EC68BF"/>
    <w:rsid w:val="00ED05B6"/>
    <w:rsid w:val="00ED11B3"/>
    <w:rsid w:val="00ED33DB"/>
    <w:rsid w:val="00ED3D49"/>
    <w:rsid w:val="00ED61CE"/>
    <w:rsid w:val="00ED6F96"/>
    <w:rsid w:val="00EE0028"/>
    <w:rsid w:val="00EE4BF4"/>
    <w:rsid w:val="00EE6ADD"/>
    <w:rsid w:val="00EF064F"/>
    <w:rsid w:val="00EF0CEF"/>
    <w:rsid w:val="00EF3D8E"/>
    <w:rsid w:val="00EF5C69"/>
    <w:rsid w:val="00EF5E4D"/>
    <w:rsid w:val="00F021FA"/>
    <w:rsid w:val="00F03EE6"/>
    <w:rsid w:val="00F051B1"/>
    <w:rsid w:val="00F10131"/>
    <w:rsid w:val="00F10428"/>
    <w:rsid w:val="00F11F96"/>
    <w:rsid w:val="00F13114"/>
    <w:rsid w:val="00F13E8E"/>
    <w:rsid w:val="00F14D69"/>
    <w:rsid w:val="00F1632C"/>
    <w:rsid w:val="00F23D30"/>
    <w:rsid w:val="00F243B7"/>
    <w:rsid w:val="00F304C0"/>
    <w:rsid w:val="00F311FC"/>
    <w:rsid w:val="00F322CA"/>
    <w:rsid w:val="00F37BD3"/>
    <w:rsid w:val="00F432AC"/>
    <w:rsid w:val="00F4366C"/>
    <w:rsid w:val="00F43E3B"/>
    <w:rsid w:val="00F446CC"/>
    <w:rsid w:val="00F46420"/>
    <w:rsid w:val="00F50197"/>
    <w:rsid w:val="00F5223B"/>
    <w:rsid w:val="00F57ACA"/>
    <w:rsid w:val="00F61010"/>
    <w:rsid w:val="00F61F48"/>
    <w:rsid w:val="00F62E97"/>
    <w:rsid w:val="00F64209"/>
    <w:rsid w:val="00F65711"/>
    <w:rsid w:val="00F66D37"/>
    <w:rsid w:val="00F67726"/>
    <w:rsid w:val="00F70890"/>
    <w:rsid w:val="00F72B31"/>
    <w:rsid w:val="00F73399"/>
    <w:rsid w:val="00F7410E"/>
    <w:rsid w:val="00F76515"/>
    <w:rsid w:val="00F84F68"/>
    <w:rsid w:val="00F93BF5"/>
    <w:rsid w:val="00F96438"/>
    <w:rsid w:val="00F96F63"/>
    <w:rsid w:val="00F9742C"/>
    <w:rsid w:val="00FA3284"/>
    <w:rsid w:val="00FB0C37"/>
    <w:rsid w:val="00FB1102"/>
    <w:rsid w:val="00FB2F91"/>
    <w:rsid w:val="00FB3EDD"/>
    <w:rsid w:val="00FB6AC1"/>
    <w:rsid w:val="00FC392C"/>
    <w:rsid w:val="00FC565D"/>
    <w:rsid w:val="00FC6E66"/>
    <w:rsid w:val="00FC7C2A"/>
    <w:rsid w:val="00FD2298"/>
    <w:rsid w:val="00FD2ED6"/>
    <w:rsid w:val="00FE1675"/>
    <w:rsid w:val="00FE56A1"/>
    <w:rsid w:val="00FE56C4"/>
    <w:rsid w:val="00FE583B"/>
    <w:rsid w:val="00FE7822"/>
    <w:rsid w:val="00FF4199"/>
    <w:rsid w:val="00FF6278"/>
    <w:rsid w:val="00FF682A"/>
    <w:rsid w:val="00FF7A37"/>
    <w:rsid w:val="75796D0F"/>
    <w:rsid w:val="7AC21DFE"/>
    <w:rsid w:val="7B6157F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B975EBC"/>
  <w15:chartTrackingRefBased/>
  <w15:docId w15:val="{781F4A31-8D49-4320-B192-22E1A735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4FA"/>
    <w:pPr>
      <w:widowControl w:val="0"/>
    </w:pPr>
    <w:rPr>
      <w:snapToGrid w:val="0"/>
      <w:kern w:val="28"/>
      <w:sz w:val="22"/>
      <w:lang w:eastAsia="en-US"/>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qFormat/>
    <w:rsid w:val="000E3D42"/>
    <w:pPr>
      <w:spacing w:after="120"/>
    </w:pPr>
    <w:rPr>
      <w:lang w:eastAsia="en-US"/>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ParaNumChar">
    <w:name w:val="ParaNum Char"/>
    <w:link w:val="ParaNum"/>
    <w:locked/>
    <w:rsid w:val="005614FA"/>
    <w:rPr>
      <w:snapToGrid w:val="0"/>
      <w:kern w:val="28"/>
      <w:sz w:val="22"/>
    </w:rPr>
  </w:style>
  <w:style w:type="character" w:styleId="CommentReference">
    <w:name w:val="annotation reference"/>
    <w:uiPriority w:val="99"/>
    <w:semiHidden/>
    <w:unhideWhenUsed/>
    <w:rsid w:val="00642E7B"/>
    <w:rPr>
      <w:sz w:val="16"/>
      <w:szCs w:val="16"/>
    </w:rPr>
  </w:style>
  <w:style w:type="paragraph" w:styleId="CommentText">
    <w:name w:val="annotation text"/>
    <w:basedOn w:val="Normal"/>
    <w:link w:val="CommentTextChar"/>
    <w:uiPriority w:val="99"/>
    <w:semiHidden/>
    <w:unhideWhenUsed/>
    <w:rsid w:val="00642E7B"/>
    <w:rPr>
      <w:sz w:val="20"/>
    </w:rPr>
  </w:style>
  <w:style w:type="character" w:customStyle="1" w:styleId="CommentTextChar">
    <w:name w:val="Comment Text Char"/>
    <w:link w:val="CommentText"/>
    <w:uiPriority w:val="99"/>
    <w:semiHidden/>
    <w:rsid w:val="00642E7B"/>
    <w:rPr>
      <w:snapToGrid w:val="0"/>
      <w:kern w:val="28"/>
    </w:rPr>
  </w:style>
  <w:style w:type="paragraph" w:styleId="CommentSubject">
    <w:name w:val="annotation subject"/>
    <w:basedOn w:val="CommentText"/>
    <w:next w:val="CommentText"/>
    <w:link w:val="CommentSubjectChar"/>
    <w:uiPriority w:val="99"/>
    <w:semiHidden/>
    <w:unhideWhenUsed/>
    <w:rsid w:val="00642E7B"/>
    <w:rPr>
      <w:b/>
      <w:bCs/>
    </w:rPr>
  </w:style>
  <w:style w:type="character" w:customStyle="1" w:styleId="CommentSubjectChar">
    <w:name w:val="Comment Subject Char"/>
    <w:link w:val="CommentSubject"/>
    <w:uiPriority w:val="99"/>
    <w:semiHidden/>
    <w:rsid w:val="00642E7B"/>
    <w:rPr>
      <w:b/>
      <w:bCs/>
      <w:snapToGrid w:val="0"/>
      <w:kern w:val="28"/>
    </w:rPr>
  </w:style>
  <w:style w:type="paragraph" w:styleId="BalloonText">
    <w:name w:val="Balloon Text"/>
    <w:basedOn w:val="Normal"/>
    <w:link w:val="BalloonTextChar"/>
    <w:uiPriority w:val="99"/>
    <w:semiHidden/>
    <w:unhideWhenUsed/>
    <w:rsid w:val="00642E7B"/>
    <w:rPr>
      <w:rFonts w:ascii="Segoe UI" w:hAnsi="Segoe UI" w:cs="Segoe UI"/>
      <w:sz w:val="18"/>
      <w:szCs w:val="18"/>
    </w:rPr>
  </w:style>
  <w:style w:type="character" w:customStyle="1" w:styleId="BalloonTextChar">
    <w:name w:val="Balloon Text Char"/>
    <w:link w:val="BalloonText"/>
    <w:uiPriority w:val="99"/>
    <w:semiHidden/>
    <w:rsid w:val="00642E7B"/>
    <w:rPr>
      <w:rFonts w:ascii="Segoe UI" w:hAnsi="Segoe UI" w:cs="Segoe UI"/>
      <w:snapToGrid w:val="0"/>
      <w:kern w:val="28"/>
      <w:sz w:val="18"/>
      <w:szCs w:val="18"/>
    </w:rPr>
  </w:style>
  <w:style w:type="character" w:styleId="PlaceholderText">
    <w:name w:val="Placeholder Text"/>
    <w:uiPriority w:val="99"/>
    <w:semiHidden/>
    <w:rsid w:val="00377C00"/>
    <w:rPr>
      <w:color w:val="808080"/>
    </w:rPr>
  </w:style>
  <w:style w:type="paragraph" w:customStyle="1" w:styleId="Default">
    <w:name w:val="Default"/>
    <w:rsid w:val="000D50EB"/>
    <w:pPr>
      <w:autoSpaceDE w:val="0"/>
      <w:autoSpaceDN w:val="0"/>
      <w:adjustRightInd w:val="0"/>
    </w:pPr>
    <w:rPr>
      <w:color w:val="000000"/>
      <w:sz w:val="24"/>
      <w:szCs w:val="24"/>
      <w:lang w:eastAsia="en-US"/>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9901F7"/>
  </w:style>
  <w:style w:type="paragraph" w:styleId="Revision">
    <w:name w:val="Revision"/>
    <w:hidden/>
    <w:uiPriority w:val="99"/>
    <w:semiHidden/>
    <w:rsid w:val="007019FF"/>
    <w:rPr>
      <w:snapToGrid w:val="0"/>
      <w:kern w:val="28"/>
      <w:sz w:val="22"/>
      <w:lang w:eastAsia="en-US"/>
    </w:rPr>
  </w:style>
  <w:style w:type="character" w:styleId="Emphasis">
    <w:name w:val="Emphasis"/>
    <w:uiPriority w:val="20"/>
    <w:qFormat/>
    <w:rsid w:val="002049B9"/>
    <w:rPr>
      <w:i/>
      <w:iCs/>
    </w:rPr>
  </w:style>
  <w:style w:type="character" w:customStyle="1" w:styleId="cosearchterm">
    <w:name w:val="co_searchterm"/>
    <w:basedOn w:val="DefaultParagraphFont"/>
    <w:rsid w:val="002049B9"/>
  </w:style>
  <w:style w:type="character" w:customStyle="1" w:styleId="copinpointicon">
    <w:name w:val="co_pinpointicon"/>
    <w:basedOn w:val="DefaultParagraphFont"/>
    <w:rsid w:val="005B5B7B"/>
  </w:style>
  <w:style w:type="character" w:customStyle="1" w:styleId="UnresolvedMention1">
    <w:name w:val="Unresolved Mention1"/>
    <w:uiPriority w:val="99"/>
    <w:rsid w:val="00432569"/>
    <w:rPr>
      <w:color w:val="605E5C"/>
      <w:shd w:val="clear" w:color="auto" w:fill="E1DFDD"/>
    </w:rPr>
  </w:style>
  <w:style w:type="character" w:styleId="FollowedHyperlink">
    <w:name w:val="FollowedHyperlink"/>
    <w:uiPriority w:val="99"/>
    <w:semiHidden/>
    <w:unhideWhenUsed/>
    <w:rsid w:val="00432569"/>
    <w:rPr>
      <w:color w:val="954F72"/>
      <w:u w:val="single"/>
    </w:rPr>
  </w:style>
  <w:style w:type="paragraph" w:customStyle="1" w:styleId="xmsonormal">
    <w:name w:val="x_msonormal"/>
    <w:basedOn w:val="Normal"/>
    <w:rsid w:val="00EC68BF"/>
    <w:pPr>
      <w:widowControl/>
    </w:pPr>
    <w:rPr>
      <w:rFonts w:ascii="Calibri" w:hAnsi="Calibri" w:eastAsiaTheme="minorHAnsi" w:cs="Calibri"/>
      <w:snapToGrid/>
      <w:kern w:val="0"/>
      <w:szCs w:val="22"/>
    </w:rPr>
  </w:style>
  <w:style w:type="character" w:customStyle="1" w:styleId="UnresolvedMention2">
    <w:name w:val="Unresolved Mention2"/>
    <w:basedOn w:val="DefaultParagraphFont"/>
    <w:uiPriority w:val="99"/>
    <w:rsid w:val="003169D5"/>
    <w:rPr>
      <w:color w:val="605E5C"/>
      <w:shd w:val="clear" w:color="auto" w:fill="E1DFDD"/>
    </w:rPr>
  </w:style>
  <w:style w:type="character" w:customStyle="1" w:styleId="UnresolvedMention">
    <w:name w:val="Unresolved Mention"/>
    <w:basedOn w:val="DefaultParagraphFont"/>
    <w:uiPriority w:val="99"/>
    <w:rsid w:val="00F70890"/>
    <w:rPr>
      <w:color w:val="605E5C"/>
      <w:shd w:val="clear" w:color="auto" w:fill="E1DFDD"/>
    </w:rPr>
  </w:style>
  <w:style w:type="character" w:customStyle="1" w:styleId="markedcontent">
    <w:name w:val="markedcontent"/>
    <w:basedOn w:val="DefaultParagraphFont"/>
    <w:rsid w:val="009D3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102084537813/214%20FCC%20Transfer%20of%20Control%20Application%20Narrative%2010%2020%2021%20%20FINAL.pdf" TargetMode="External" /><Relationship Id="rId2" Type="http://schemas.openxmlformats.org/officeDocument/2006/relationships/hyperlink" Target="mailto:hcinfo@usac.org"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