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85545E" w:rsidRPr="0085545E" w:rsidP="0085545E" w14:paraId="379349E7" w14:textId="77777777">
            <w:pPr>
              <w:tabs>
                <w:tab w:val="left" w:pos="0"/>
              </w:tabs>
              <w:suppressAutoHyphens/>
              <w:ind w:left="5040" w:hanging="5040"/>
              <w:rPr>
                <w:szCs w:val="22"/>
              </w:rPr>
            </w:pPr>
            <w:bookmarkStart w:id="0" w:name="_Hlk89328152"/>
            <w:r w:rsidRPr="0085545E">
              <w:rPr>
                <w:szCs w:val="22"/>
              </w:rPr>
              <w:t>Diponti</w:t>
            </w:r>
            <w:r w:rsidRPr="0085545E">
              <w:rPr>
                <w:szCs w:val="22"/>
              </w:rPr>
              <w:t xml:space="preserve"> Communications, LLC</w:t>
            </w:r>
          </w:p>
          <w:bookmarkEnd w:id="0"/>
          <w:p w:rsidR="00D50E50" w:rsidRPr="00683723" w:rsidP="00197841" w14:paraId="1F44F925" w14:textId="77777777">
            <w:pPr>
              <w:tabs>
                <w:tab w:val="left" w:pos="0"/>
              </w:tabs>
              <w:suppressAutoHyphens/>
              <w:ind w:left="5040" w:hanging="5040"/>
              <w:rPr>
                <w:szCs w:val="22"/>
              </w:rPr>
            </w:pPr>
          </w:p>
          <w:p w:rsidR="004701EB" w:rsidP="00471790" w14:paraId="342CF8CC" w14:textId="77777777">
            <w:pPr>
              <w:ind w:right="-18"/>
              <w:rPr>
                <w:szCs w:val="22"/>
              </w:rPr>
            </w:pPr>
            <w:r w:rsidRPr="00683723">
              <w:rPr>
                <w:szCs w:val="22"/>
              </w:rPr>
              <w:t xml:space="preserve">For Renewal of </w:t>
            </w:r>
            <w:r w:rsidR="002E35A6">
              <w:rPr>
                <w:szCs w:val="22"/>
              </w:rPr>
              <w:t xml:space="preserve">License </w:t>
            </w:r>
            <w:r>
              <w:rPr>
                <w:szCs w:val="22"/>
              </w:rPr>
              <w:t>and</w:t>
            </w:r>
          </w:p>
          <w:p w:rsidR="002E35A6" w:rsidP="00471790" w14:paraId="56733260" w14:textId="04752656">
            <w:pPr>
              <w:ind w:right="-18"/>
              <w:rPr>
                <w:szCs w:val="22"/>
              </w:rPr>
            </w:pPr>
            <w:r>
              <w:rPr>
                <w:szCs w:val="22"/>
              </w:rPr>
              <w:t xml:space="preserve">Special Temporary Authority </w:t>
            </w:r>
            <w:r>
              <w:rPr>
                <w:szCs w:val="22"/>
              </w:rPr>
              <w:t xml:space="preserve">for </w:t>
            </w:r>
          </w:p>
          <w:p w:rsidR="00AE2D78" w:rsidP="00197841" w14:paraId="29FE1BF5" w14:textId="64C2A2EB">
            <w:pPr>
              <w:ind w:right="-18"/>
              <w:rPr>
                <w:szCs w:val="22"/>
              </w:rPr>
            </w:pPr>
            <w:bookmarkStart w:id="1" w:name="_Hlk89683161"/>
            <w:r w:rsidRPr="00B64766">
              <w:rPr>
                <w:szCs w:val="22"/>
              </w:rPr>
              <w:t>W276DF</w:t>
            </w:r>
            <w:r>
              <w:rPr>
                <w:szCs w:val="22"/>
              </w:rPr>
              <w:t xml:space="preserve">, </w:t>
            </w:r>
            <w:r w:rsidR="000F2DAD">
              <w:rPr>
                <w:szCs w:val="22"/>
              </w:rPr>
              <w:t>Westerly, R</w:t>
            </w:r>
            <w:r w:rsidR="002356D9">
              <w:rPr>
                <w:szCs w:val="22"/>
              </w:rPr>
              <w:t xml:space="preserve">hode </w:t>
            </w:r>
            <w:r w:rsidR="000F2DAD">
              <w:rPr>
                <w:szCs w:val="22"/>
              </w:rPr>
              <w:t>I</w:t>
            </w:r>
            <w:r w:rsidR="002356D9">
              <w:rPr>
                <w:szCs w:val="22"/>
              </w:rPr>
              <w:t>sland</w:t>
            </w:r>
          </w:p>
          <w:p w:rsidR="005F7BEC" w:rsidRPr="005F7BEC" w:rsidP="00197841" w14:paraId="6A15853A" w14:textId="36DA51A4">
            <w:pPr>
              <w:ind w:right="-18"/>
              <w:rPr>
                <w:szCs w:val="22"/>
              </w:rPr>
            </w:pPr>
            <w:r w:rsidRPr="005F7BEC">
              <w:rPr>
                <w:szCs w:val="22"/>
              </w:rPr>
              <w:t>(formerly W228AU, North Bennington, Vermont)</w:t>
            </w:r>
            <w:bookmarkEnd w:id="1"/>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4B4EE1B1" w14:textId="77777777">
            <w:pPr>
              <w:rPr>
                <w:b/>
                <w:szCs w:val="22"/>
              </w:rPr>
            </w:pPr>
            <w:r w:rsidRPr="00683723">
              <w:rPr>
                <w:b/>
                <w:szCs w:val="22"/>
              </w:rPr>
              <w:t>)</w:t>
            </w:r>
          </w:p>
          <w:p w:rsidR="005F7BEC" w:rsidP="00197841" w14:paraId="6D2E814A" w14:textId="77777777">
            <w:pPr>
              <w:rPr>
                <w:b/>
                <w:szCs w:val="22"/>
              </w:rPr>
            </w:pPr>
            <w:r>
              <w:rPr>
                <w:b/>
                <w:szCs w:val="22"/>
              </w:rPr>
              <w:t>)</w:t>
            </w:r>
          </w:p>
          <w:p w:rsidR="0013287B" w:rsidRPr="00683723" w:rsidP="00197841" w14:paraId="2DACACCC" w14:textId="2C22F210">
            <w:pPr>
              <w:rPr>
                <w:b/>
                <w:szCs w:val="22"/>
              </w:rPr>
            </w:pPr>
            <w:r>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6BD914C7">
            <w:pPr>
              <w:rPr>
                <w:szCs w:val="22"/>
              </w:rPr>
            </w:pPr>
            <w:r w:rsidRPr="00683723">
              <w:rPr>
                <w:szCs w:val="22"/>
              </w:rPr>
              <w:t xml:space="preserve">Facility ID No. </w:t>
            </w:r>
            <w:bookmarkStart w:id="2" w:name="_Hlk82525857"/>
            <w:r w:rsidR="000F2DAD">
              <w:rPr>
                <w:szCs w:val="22"/>
              </w:rPr>
              <w:t>26347</w:t>
            </w:r>
            <w:bookmarkEnd w:id="2"/>
          </w:p>
          <w:p w:rsidR="00AE2D78" w:rsidRPr="00683723" w:rsidP="00197841" w14:paraId="08ABA5D7" w14:textId="7D3C8ABE">
            <w:pPr>
              <w:rPr>
                <w:szCs w:val="22"/>
              </w:rPr>
            </w:pPr>
            <w:r w:rsidRPr="00683723">
              <w:rPr>
                <w:szCs w:val="22"/>
              </w:rPr>
              <w:t>NAL/Acct. No. MB-202</w:t>
            </w:r>
            <w:r w:rsidR="0036418E">
              <w:rPr>
                <w:szCs w:val="22"/>
              </w:rPr>
              <w:t>1</w:t>
            </w:r>
            <w:r w:rsidRPr="00985ABF" w:rsidR="00985ABF">
              <w:rPr>
                <w:szCs w:val="22"/>
              </w:rPr>
              <w:t>41410047</w:t>
            </w:r>
          </w:p>
          <w:p w:rsidR="00AE2D78" w:rsidRPr="00683723" w:rsidP="00197841" w14:paraId="3C05CDD2" w14:textId="55568566">
            <w:pPr>
              <w:rPr>
                <w:szCs w:val="22"/>
              </w:rPr>
            </w:pPr>
            <w:r w:rsidRPr="00683723">
              <w:rPr>
                <w:szCs w:val="22"/>
              </w:rPr>
              <w:t xml:space="preserve">FRN:  </w:t>
            </w:r>
            <w:r w:rsidRPr="00527E80" w:rsidR="00527E80">
              <w:rPr>
                <w:szCs w:val="22"/>
              </w:rPr>
              <w:t>0028981561</w:t>
            </w:r>
          </w:p>
          <w:p w:rsidR="00AE2D78" w:rsidP="00197841" w14:paraId="5039B712" w14:textId="77777777">
            <w:pPr>
              <w:rPr>
                <w:szCs w:val="22"/>
              </w:rPr>
            </w:pPr>
            <w:r>
              <w:rPr>
                <w:szCs w:val="22"/>
              </w:rPr>
              <w:t xml:space="preserve">Application </w:t>
            </w:r>
            <w:r w:rsidRPr="00683723" w:rsidR="003C67E5">
              <w:rPr>
                <w:szCs w:val="22"/>
              </w:rPr>
              <w:t>File No</w:t>
            </w:r>
            <w:r w:rsidR="001B5246">
              <w:rPr>
                <w:szCs w:val="22"/>
              </w:rPr>
              <w:t>s</w:t>
            </w:r>
            <w:r w:rsidRPr="00683723" w:rsidR="00762D8E">
              <w:rPr>
                <w:szCs w:val="22"/>
              </w:rPr>
              <w:t xml:space="preserve">. </w:t>
            </w:r>
            <w:r w:rsidRPr="000F2DAD" w:rsidR="000F2DAD">
              <w:rPr>
                <w:szCs w:val="22"/>
              </w:rPr>
              <w:t>0000121418</w:t>
            </w:r>
          </w:p>
          <w:p w:rsidR="001B5246" w:rsidRPr="00683723" w:rsidP="00197841" w14:paraId="45B5CB47" w14:textId="5A8E8927">
            <w:pPr>
              <w:rPr>
                <w:szCs w:val="22"/>
              </w:rPr>
            </w:pPr>
            <w:r w:rsidRPr="001B5246">
              <w:rPr>
                <w:szCs w:val="22"/>
              </w:rPr>
              <w:t>BELSTA-20210326AAB</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6C0B5DA9">
      <w:pPr>
        <w:jc w:val="center"/>
        <w:rPr>
          <w:b/>
          <w:szCs w:val="22"/>
        </w:rPr>
      </w:pPr>
      <w:r w:rsidRPr="00683723">
        <w:rPr>
          <w:b/>
          <w:spacing w:val="-2"/>
          <w:szCs w:val="22"/>
        </w:rPr>
        <w:t>FORFEITURE</w:t>
      </w:r>
      <w:r w:rsidR="00D517EC">
        <w:rPr>
          <w:b/>
          <w:spacing w:val="-2"/>
          <w:szCs w:val="22"/>
        </w:rPr>
        <w:t xml:space="preserve"> ORDER</w:t>
      </w:r>
    </w:p>
    <w:p w:rsidR="00AE2D78" w:rsidRPr="00683723" w:rsidP="00AE2D78" w14:paraId="79ED2EC6" w14:textId="77777777">
      <w:pPr>
        <w:rPr>
          <w:szCs w:val="22"/>
        </w:rPr>
      </w:pPr>
    </w:p>
    <w:p w:rsidR="00AE2D78" w:rsidRPr="00683723" w:rsidP="00AE2D78" w14:paraId="1B285FF6" w14:textId="10FCC0D4">
      <w:pPr>
        <w:tabs>
          <w:tab w:val="left" w:pos="5760"/>
        </w:tabs>
        <w:rPr>
          <w:b/>
          <w:szCs w:val="22"/>
        </w:rPr>
      </w:pPr>
      <w:r w:rsidRPr="00683723">
        <w:rPr>
          <w:b/>
          <w:szCs w:val="22"/>
        </w:rPr>
        <w:t xml:space="preserve">Adopted: </w:t>
      </w:r>
      <w:r w:rsidRPr="00683723" w:rsidR="00787F68">
        <w:rPr>
          <w:b/>
          <w:szCs w:val="22"/>
        </w:rPr>
        <w:t xml:space="preserve"> </w:t>
      </w:r>
      <w:r w:rsidR="00CE4F72">
        <w:rPr>
          <w:b/>
          <w:szCs w:val="22"/>
        </w:rPr>
        <w:t>Dec</w:t>
      </w:r>
      <w:r w:rsidR="005F7BEC">
        <w:rPr>
          <w:b/>
          <w:szCs w:val="22"/>
        </w:rPr>
        <w:t>embe</w:t>
      </w:r>
      <w:r w:rsidR="00CE4F72">
        <w:rPr>
          <w:b/>
          <w:szCs w:val="22"/>
        </w:rPr>
        <w:t xml:space="preserve">r </w:t>
      </w:r>
      <w:r w:rsidR="00EA22E5">
        <w:rPr>
          <w:b/>
          <w:szCs w:val="22"/>
        </w:rPr>
        <w:t>16</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CE4F72">
        <w:rPr>
          <w:b/>
          <w:szCs w:val="22"/>
        </w:rPr>
        <w:t>Dec</w:t>
      </w:r>
      <w:r w:rsidR="000410C0">
        <w:rPr>
          <w:b/>
          <w:szCs w:val="22"/>
        </w:rPr>
        <w:t>ember</w:t>
      </w:r>
      <w:r w:rsidRPr="00683723" w:rsidR="00762D8E">
        <w:rPr>
          <w:b/>
          <w:szCs w:val="22"/>
        </w:rPr>
        <w:t xml:space="preserve"> </w:t>
      </w:r>
      <w:r w:rsidR="008064C5">
        <w:rPr>
          <w:b/>
          <w:szCs w:val="22"/>
        </w:rPr>
        <w:t>16</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6D7549" w:rsidRPr="006D7549" w:rsidP="006D7549" w14:paraId="74CE6FA7" w14:textId="1992D0E3">
      <w:pPr>
        <w:pStyle w:val="Heading1"/>
        <w:rPr>
          <w:rFonts w:ascii="Times New Roman" w:hAnsi="Times New Roman"/>
          <w:szCs w:val="22"/>
        </w:rPr>
      </w:pPr>
      <w:r w:rsidRPr="00683723">
        <w:rPr>
          <w:rFonts w:ascii="Times New Roman" w:hAnsi="Times New Roman"/>
          <w:szCs w:val="22"/>
        </w:rPr>
        <w:t>INTRODUCTION</w:t>
      </w:r>
    </w:p>
    <w:p w:rsidR="00581D3E" w:rsidRPr="00205759" w:rsidP="00205759" w14:paraId="3524B4B7" w14:textId="29DEAC02">
      <w:pPr>
        <w:pStyle w:val="ParaNum"/>
        <w:rPr>
          <w:szCs w:val="22"/>
        </w:rPr>
      </w:pPr>
      <w:r>
        <w:t xml:space="preserve">In this </w:t>
      </w:r>
      <w:r w:rsidRPr="00D66D4B" w:rsidR="00270232">
        <w:rPr>
          <w:i/>
          <w:iCs/>
          <w:szCs w:val="22"/>
        </w:rPr>
        <w:t>Memorandum Opinion and Forfeiture Order</w:t>
      </w:r>
      <w:r w:rsidRPr="006D7549" w:rsidR="00270232">
        <w:rPr>
          <w:szCs w:val="22"/>
        </w:rPr>
        <w:t xml:space="preserve"> (</w:t>
      </w:r>
      <w:r w:rsidR="004F56BD">
        <w:rPr>
          <w:szCs w:val="22"/>
        </w:rPr>
        <w:t>Order</w:t>
      </w:r>
      <w:r w:rsidRPr="006D7549" w:rsidR="00270232">
        <w:rPr>
          <w:szCs w:val="22"/>
        </w:rPr>
        <w:t>)</w:t>
      </w:r>
      <w:r w:rsidR="00270232">
        <w:rPr>
          <w:szCs w:val="22"/>
        </w:rPr>
        <w:t xml:space="preserve">, </w:t>
      </w:r>
      <w:r w:rsidRPr="006D7549" w:rsidR="00270232">
        <w:rPr>
          <w:szCs w:val="22"/>
        </w:rPr>
        <w:t xml:space="preserve">the Media Bureau (Bureau) </w:t>
      </w:r>
      <w:r>
        <w:t>issue</w:t>
      </w:r>
      <w:r w:rsidR="00270232">
        <w:t>s</w:t>
      </w:r>
      <w:r>
        <w:t xml:space="preserve"> a monetary forfeiture in the amount </w:t>
      </w:r>
      <w:r w:rsidRPr="0036280D">
        <w:t xml:space="preserve">of </w:t>
      </w:r>
      <w:r>
        <w:t xml:space="preserve">five </w:t>
      </w:r>
      <w:r w:rsidRPr="0036280D">
        <w:t>thousand dollars ($</w:t>
      </w:r>
      <w:r>
        <w:t>5,000</w:t>
      </w:r>
      <w:r w:rsidRPr="0036280D">
        <w:t>) to</w:t>
      </w:r>
      <w:r>
        <w:t xml:space="preserve"> </w:t>
      </w:r>
      <w:r>
        <w:t>Diponti</w:t>
      </w:r>
      <w:r>
        <w:t xml:space="preserve"> </w:t>
      </w:r>
      <w:r>
        <w:rPr>
          <w:szCs w:val="22"/>
        </w:rPr>
        <w:t>Communications, LLC</w:t>
      </w:r>
      <w:r w:rsidRPr="00F03E36">
        <w:rPr>
          <w:szCs w:val="22"/>
        </w:rPr>
        <w:t xml:space="preserve"> (</w:t>
      </w:r>
      <w:r>
        <w:rPr>
          <w:szCs w:val="22"/>
        </w:rPr>
        <w:t>Diponti</w:t>
      </w:r>
      <w:r w:rsidRPr="00F03E36">
        <w:rPr>
          <w:szCs w:val="22"/>
        </w:rPr>
        <w:t>)</w:t>
      </w:r>
      <w:r w:rsidRPr="0036280D">
        <w:rPr>
          <w:szCs w:val="22"/>
        </w:rPr>
        <w:t>,</w:t>
      </w:r>
      <w:r w:rsidR="00270232">
        <w:rPr>
          <w:szCs w:val="22"/>
        </w:rPr>
        <w:t xml:space="preserve"> li</w:t>
      </w:r>
      <w:r w:rsidRPr="0036280D">
        <w:rPr>
          <w:szCs w:val="22"/>
        </w:rPr>
        <w:t xml:space="preserve">censee of </w:t>
      </w:r>
      <w:r>
        <w:t xml:space="preserve">FM translator station </w:t>
      </w:r>
      <w:r w:rsidRPr="00B64766">
        <w:rPr>
          <w:szCs w:val="22"/>
        </w:rPr>
        <w:t>W276DF</w:t>
      </w:r>
      <w:r>
        <w:rPr>
          <w:szCs w:val="22"/>
        </w:rPr>
        <w:t xml:space="preserve">, Westerly, Rhode Island </w:t>
      </w:r>
      <w:r w:rsidR="00270232">
        <w:rPr>
          <w:szCs w:val="22"/>
        </w:rPr>
        <w:t xml:space="preserve">(Station). </w:t>
      </w:r>
      <w:r w:rsidR="0091308F">
        <w:rPr>
          <w:szCs w:val="22"/>
        </w:rPr>
        <w:t xml:space="preserve"> </w:t>
      </w:r>
      <w:r w:rsidR="00270232">
        <w:rPr>
          <w:szCs w:val="22"/>
        </w:rPr>
        <w:t xml:space="preserve">We find that </w:t>
      </w:r>
      <w:r w:rsidR="00270232">
        <w:rPr>
          <w:szCs w:val="22"/>
        </w:rPr>
        <w:t>Diponti</w:t>
      </w:r>
      <w:r>
        <w:rPr>
          <w:szCs w:val="22"/>
        </w:rPr>
        <w:t xml:space="preserve"> </w:t>
      </w:r>
      <w:r>
        <w:t>willfully violat</w:t>
      </w:r>
      <w:r w:rsidR="00270232">
        <w:t xml:space="preserve">ed </w:t>
      </w:r>
      <w:r>
        <w:t>section 73.3539 of the Commission’s rules (</w:t>
      </w:r>
      <w:r w:rsidRPr="000819D5">
        <w:t>Rules</w:t>
      </w:r>
      <w:r>
        <w:t>)</w:t>
      </w:r>
      <w:r>
        <w:rPr>
          <w:rStyle w:val="FootnoteReference"/>
          <w:szCs w:val="22"/>
        </w:rPr>
        <w:footnoteReference w:id="3"/>
      </w:r>
      <w:r>
        <w:t xml:space="preserve"> </w:t>
      </w:r>
      <w:r w:rsidR="00BD42AD">
        <w:t>and</w:t>
      </w:r>
      <w:r w:rsidRPr="00AF05A7" w:rsidR="00BD42AD">
        <w:t xml:space="preserve"> </w:t>
      </w:r>
      <w:r w:rsidRPr="006D7549" w:rsidR="00BD42AD">
        <w:rPr>
          <w:szCs w:val="22"/>
        </w:rPr>
        <w:t xml:space="preserve">Section 301 of the </w:t>
      </w:r>
      <w:r w:rsidR="00BD42AD">
        <w:rPr>
          <w:szCs w:val="22"/>
        </w:rPr>
        <w:t>Communications Act of 1934, as amended (</w:t>
      </w:r>
      <w:r w:rsidRPr="006D7549" w:rsidR="00BD42AD">
        <w:rPr>
          <w:szCs w:val="22"/>
        </w:rPr>
        <w:t>Act</w:t>
      </w:r>
      <w:r w:rsidR="00BD42AD">
        <w:rPr>
          <w:szCs w:val="22"/>
        </w:rPr>
        <w:t>)</w:t>
      </w:r>
      <w:r>
        <w:rPr>
          <w:rStyle w:val="FootnoteReference"/>
          <w:szCs w:val="22"/>
        </w:rPr>
        <w:footnoteReference w:id="4"/>
      </w:r>
      <w:r w:rsidR="00BD42AD">
        <w:rPr>
          <w:szCs w:val="22"/>
        </w:rPr>
        <w:t xml:space="preserve"> </w:t>
      </w:r>
      <w:r>
        <w:t>by</w:t>
      </w:r>
      <w:r w:rsidR="00BD42AD">
        <w:t>, respectively,</w:t>
      </w:r>
      <w:r>
        <w:t xml:space="preserve"> failing to file a timely license renewal application </w:t>
      </w:r>
      <w:r w:rsidR="00BD42AD">
        <w:t xml:space="preserve">and </w:t>
      </w:r>
      <w:r w:rsidRPr="006D7549">
        <w:rPr>
          <w:szCs w:val="22"/>
        </w:rPr>
        <w:t>operati</w:t>
      </w:r>
      <w:r w:rsidR="00BD42AD">
        <w:rPr>
          <w:szCs w:val="22"/>
        </w:rPr>
        <w:t>ng</w:t>
      </w:r>
      <w:r w:rsidRPr="006D7549">
        <w:rPr>
          <w:szCs w:val="22"/>
        </w:rPr>
        <w:t xml:space="preserve"> the Station </w:t>
      </w:r>
      <w:r w:rsidR="00BD42AD">
        <w:rPr>
          <w:szCs w:val="22"/>
        </w:rPr>
        <w:t xml:space="preserve">without authorization </w:t>
      </w:r>
      <w:r w:rsidRPr="006D7549">
        <w:rPr>
          <w:szCs w:val="22"/>
        </w:rPr>
        <w:t>after its license expired</w:t>
      </w:r>
      <w:r>
        <w:rPr>
          <w:szCs w:val="22"/>
        </w:rPr>
        <w:t>.</w:t>
      </w:r>
      <w:r w:rsidRPr="00AF05A7">
        <w:t xml:space="preserve"> </w:t>
      </w:r>
      <w:r>
        <w:t xml:space="preserve"> </w:t>
      </w:r>
      <w:r w:rsidR="00270232">
        <w:t xml:space="preserve">Our </w:t>
      </w:r>
      <w:r w:rsidR="004F56BD">
        <w:t xml:space="preserve">Order </w:t>
      </w:r>
      <w:r w:rsidR="0006090C">
        <w:t xml:space="preserve">reduces a </w:t>
      </w:r>
      <w:r w:rsidR="009561F9">
        <w:t xml:space="preserve">$7,000 </w:t>
      </w:r>
      <w:r w:rsidR="0006090C">
        <w:t xml:space="preserve">forfeiture amount proposed in </w:t>
      </w:r>
      <w:r w:rsidR="009561F9">
        <w:t>a</w:t>
      </w:r>
      <w:r w:rsidR="0006090C">
        <w:t xml:space="preserve"> </w:t>
      </w:r>
      <w:r w:rsidRPr="006D7549" w:rsidR="00D517EC">
        <w:rPr>
          <w:szCs w:val="22"/>
        </w:rPr>
        <w:t>Notice of Apparent Liability</w:t>
      </w:r>
      <w:r w:rsidR="000E439B">
        <w:rPr>
          <w:szCs w:val="22"/>
        </w:rPr>
        <w:t xml:space="preserve"> </w:t>
      </w:r>
      <w:r w:rsidR="00190A19">
        <w:rPr>
          <w:szCs w:val="22"/>
        </w:rPr>
        <w:t>for Forfeiture</w:t>
      </w:r>
      <w:r w:rsidR="00AC36B0">
        <w:rPr>
          <w:szCs w:val="22"/>
        </w:rPr>
        <w:t>.</w:t>
      </w:r>
      <w:r>
        <w:rPr>
          <w:rStyle w:val="FootnoteReference"/>
          <w:szCs w:val="22"/>
        </w:rPr>
        <w:footnoteReference w:id="5"/>
      </w:r>
      <w:r w:rsidRPr="006D7549" w:rsidR="00D517EC">
        <w:rPr>
          <w:szCs w:val="22"/>
        </w:rPr>
        <w:t xml:space="preserve"> </w:t>
      </w:r>
    </w:p>
    <w:p w:rsidR="009512E7" w:rsidRPr="009512E7" w:rsidP="009512E7" w14:paraId="439859CB" w14:textId="6AA63145">
      <w:pPr>
        <w:pStyle w:val="Heading1"/>
        <w:rPr>
          <w:rFonts w:ascii="Times New Roman" w:hAnsi="Times New Roman"/>
          <w:szCs w:val="22"/>
        </w:rPr>
      </w:pPr>
      <w:r w:rsidRPr="00683723">
        <w:rPr>
          <w:rFonts w:ascii="Times New Roman" w:hAnsi="Times New Roman"/>
          <w:szCs w:val="22"/>
        </w:rPr>
        <w:t>BACKGROUND</w:t>
      </w:r>
    </w:p>
    <w:p w:rsidR="00783D1A" w:rsidP="009512E7" w14:paraId="2D698176" w14:textId="2CE57520">
      <w:pPr>
        <w:pStyle w:val="ParaNum"/>
        <w:rPr>
          <w:szCs w:val="22"/>
        </w:rPr>
      </w:pPr>
      <w:r w:rsidRPr="00683723">
        <w:rPr>
          <w:szCs w:val="22"/>
        </w:rPr>
        <w:t xml:space="preserve">Section 73.3539(a) of the Rules requires </w:t>
      </w:r>
      <w:r w:rsidR="00D11BBB">
        <w:rPr>
          <w:szCs w:val="22"/>
        </w:rPr>
        <w:t>broadcast</w:t>
      </w:r>
      <w:r w:rsidR="00352510">
        <w:rPr>
          <w:szCs w:val="22"/>
        </w:rPr>
        <w:t xml:space="preserve">ers </w:t>
      </w:r>
      <w:r w:rsidR="00D11BBB">
        <w:rPr>
          <w:szCs w:val="22"/>
        </w:rPr>
        <w:t xml:space="preserve">to </w:t>
      </w:r>
      <w:r w:rsidRPr="00683723">
        <w:rPr>
          <w:szCs w:val="22"/>
        </w:rPr>
        <w:t>app</w:t>
      </w:r>
      <w:r w:rsidR="00D11BBB">
        <w:rPr>
          <w:szCs w:val="22"/>
        </w:rPr>
        <w:t>ly</w:t>
      </w:r>
      <w:r w:rsidRPr="00683723">
        <w:rPr>
          <w:szCs w:val="22"/>
        </w:rPr>
        <w:t xml:space="preserve"> for </w:t>
      </w:r>
      <w:r w:rsidR="00352510">
        <w:rPr>
          <w:szCs w:val="22"/>
        </w:rPr>
        <w:t xml:space="preserve">license </w:t>
      </w:r>
      <w:r w:rsidRPr="00683723">
        <w:rPr>
          <w:szCs w:val="22"/>
        </w:rPr>
        <w:t>renewal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w:t>
      </w:r>
      <w:r>
        <w:rPr>
          <w:szCs w:val="22"/>
        </w:rPr>
        <w:t xml:space="preserve">If a station has not filed a timely </w:t>
      </w:r>
      <w:r w:rsidR="00D11BBB">
        <w:rPr>
          <w:szCs w:val="22"/>
        </w:rPr>
        <w:t xml:space="preserve">license renewal </w:t>
      </w:r>
      <w:r>
        <w:rPr>
          <w:szCs w:val="22"/>
        </w:rPr>
        <w:t>application</w:t>
      </w:r>
      <w:r w:rsidR="00D11BBB">
        <w:rPr>
          <w:szCs w:val="22"/>
        </w:rPr>
        <w:t xml:space="preserve">, </w:t>
      </w:r>
      <w:r>
        <w:rPr>
          <w:szCs w:val="22"/>
        </w:rPr>
        <w:t xml:space="preserve">it has no authority to continue operating past the expiration date unless it requests and obtains </w:t>
      </w:r>
      <w:r w:rsidR="00821B7A">
        <w:rPr>
          <w:szCs w:val="22"/>
        </w:rPr>
        <w:t>a Special Temporary Authorization (</w:t>
      </w:r>
      <w:r>
        <w:rPr>
          <w:szCs w:val="22"/>
        </w:rPr>
        <w:t>STA</w:t>
      </w:r>
      <w:r w:rsidR="00821B7A">
        <w:rPr>
          <w:szCs w:val="22"/>
        </w:rPr>
        <w:t>)</w:t>
      </w:r>
      <w:r>
        <w:rPr>
          <w:szCs w:val="22"/>
        </w:rPr>
        <w:t>.</w:t>
      </w:r>
      <w:r>
        <w:rPr>
          <w:rStyle w:val="FootnoteReference"/>
          <w:szCs w:val="22"/>
        </w:rPr>
        <w:footnoteReference w:id="7"/>
      </w:r>
      <w:r>
        <w:rPr>
          <w:szCs w:val="22"/>
        </w:rPr>
        <w:t xml:space="preserve">  </w:t>
      </w:r>
    </w:p>
    <w:p w:rsidR="009512E7" w:rsidRPr="009512E7" w:rsidP="00783D1A" w14:paraId="1C95763B" w14:textId="7E145CFD">
      <w:pPr>
        <w:widowControl/>
        <w:rPr>
          <w:szCs w:val="22"/>
        </w:rPr>
      </w:pPr>
      <w:r>
        <w:rPr>
          <w:szCs w:val="22"/>
        </w:rPr>
        <w:br w:type="page"/>
      </w:r>
    </w:p>
    <w:p w:rsidR="003715FE" w:rsidP="003364B8" w14:paraId="73890775" w14:textId="7AF12B42">
      <w:pPr>
        <w:pStyle w:val="ParaNum"/>
        <w:rPr>
          <w:szCs w:val="22"/>
        </w:rPr>
      </w:pPr>
      <w:r>
        <w:rPr>
          <w:szCs w:val="22"/>
        </w:rPr>
        <w:t>T</w:t>
      </w:r>
      <w:r w:rsidR="009512E7">
        <w:rPr>
          <w:szCs w:val="22"/>
        </w:rPr>
        <w:t>he Station’s license expired</w:t>
      </w:r>
      <w:r>
        <w:rPr>
          <w:szCs w:val="22"/>
        </w:rPr>
        <w:t xml:space="preserve"> on </w:t>
      </w:r>
      <w:r w:rsidRPr="0049521D">
        <w:rPr>
          <w:szCs w:val="22"/>
        </w:rPr>
        <w:t>November 8, 2017</w:t>
      </w:r>
      <w:r>
        <w:rPr>
          <w:szCs w:val="22"/>
        </w:rPr>
        <w:t>.</w:t>
      </w:r>
      <w:r w:rsidR="009512E7">
        <w:rPr>
          <w:szCs w:val="22"/>
        </w:rPr>
        <w:t xml:space="preserve"> </w:t>
      </w:r>
      <w:r>
        <w:rPr>
          <w:szCs w:val="22"/>
        </w:rPr>
        <w:t xml:space="preserve"> This date </w:t>
      </w:r>
      <w:r w:rsidR="0082517A">
        <w:rPr>
          <w:szCs w:val="22"/>
        </w:rPr>
        <w:t>was</w:t>
      </w:r>
      <w:r>
        <w:rPr>
          <w:szCs w:val="22"/>
        </w:rPr>
        <w:t xml:space="preserve"> </w:t>
      </w:r>
      <w:r w:rsidR="0029156F">
        <w:rPr>
          <w:szCs w:val="22"/>
        </w:rPr>
        <w:t xml:space="preserve">earlier than </w:t>
      </w:r>
      <w:r w:rsidR="00D428F5">
        <w:rPr>
          <w:szCs w:val="22"/>
        </w:rPr>
        <w:t xml:space="preserve">the expiration of </w:t>
      </w:r>
      <w:r w:rsidR="0029156F">
        <w:rPr>
          <w:szCs w:val="22"/>
        </w:rPr>
        <w:t xml:space="preserve">other Rhode Island </w:t>
      </w:r>
      <w:r w:rsidR="00FA56D5">
        <w:rPr>
          <w:szCs w:val="22"/>
        </w:rPr>
        <w:t xml:space="preserve">radio </w:t>
      </w:r>
      <w:r w:rsidR="00D428F5">
        <w:rPr>
          <w:szCs w:val="22"/>
        </w:rPr>
        <w:t>licenses</w:t>
      </w:r>
      <w:r w:rsidR="0029156F">
        <w:rPr>
          <w:szCs w:val="22"/>
        </w:rPr>
        <w:t xml:space="preserve"> </w:t>
      </w:r>
      <w:r>
        <w:rPr>
          <w:szCs w:val="22"/>
        </w:rPr>
        <w:t xml:space="preserve">because </w:t>
      </w:r>
      <w:r w:rsidR="009512E7">
        <w:rPr>
          <w:szCs w:val="22"/>
        </w:rPr>
        <w:t>t</w:t>
      </w:r>
      <w:r w:rsidR="0050645C">
        <w:rPr>
          <w:szCs w:val="22"/>
        </w:rPr>
        <w:t xml:space="preserve">he </w:t>
      </w:r>
      <w:r>
        <w:rPr>
          <w:szCs w:val="22"/>
        </w:rPr>
        <w:t xml:space="preserve">Station’s </w:t>
      </w:r>
      <w:r w:rsidR="00FD5195">
        <w:rPr>
          <w:szCs w:val="22"/>
        </w:rPr>
        <w:t>prior</w:t>
      </w:r>
      <w:r w:rsidR="0050645C">
        <w:rPr>
          <w:szCs w:val="22"/>
        </w:rPr>
        <w:t xml:space="preserve"> licensee, </w:t>
      </w:r>
      <w:r w:rsidRPr="001B5F46" w:rsidR="001B5F46">
        <w:rPr>
          <w:szCs w:val="22"/>
        </w:rPr>
        <w:t>Brian Dodge d/b/a Harvest Broadcasting Association</w:t>
      </w:r>
      <w:r w:rsidR="001B5F46">
        <w:rPr>
          <w:szCs w:val="22"/>
        </w:rPr>
        <w:t xml:space="preserve"> (Harvest</w:t>
      </w:r>
      <w:r w:rsidR="00DE5C14">
        <w:rPr>
          <w:szCs w:val="22"/>
        </w:rPr>
        <w:t>)</w:t>
      </w:r>
      <w:r>
        <w:rPr>
          <w:szCs w:val="22"/>
        </w:rPr>
        <w:t xml:space="preserve">, received a </w:t>
      </w:r>
      <w:r w:rsidR="006F2ACD">
        <w:rPr>
          <w:szCs w:val="22"/>
        </w:rPr>
        <w:t>one-year</w:t>
      </w:r>
      <w:r w:rsidR="006628D5">
        <w:rPr>
          <w:szCs w:val="22"/>
        </w:rPr>
        <w:t>,</w:t>
      </w:r>
      <w:r w:rsidR="006F2ACD">
        <w:rPr>
          <w:szCs w:val="22"/>
        </w:rPr>
        <w:t xml:space="preserve"> </w:t>
      </w:r>
      <w:r>
        <w:rPr>
          <w:szCs w:val="22"/>
        </w:rPr>
        <w:t>short-term renewal</w:t>
      </w:r>
      <w:r w:rsidR="00454894">
        <w:rPr>
          <w:szCs w:val="22"/>
        </w:rPr>
        <w:t xml:space="preserve"> </w:t>
      </w:r>
      <w:r w:rsidR="006F2ACD">
        <w:rPr>
          <w:szCs w:val="22"/>
        </w:rPr>
        <w:t xml:space="preserve">on November 8, 2016 </w:t>
      </w:r>
      <w:r w:rsidR="00454894">
        <w:rPr>
          <w:szCs w:val="22"/>
        </w:rPr>
        <w:t xml:space="preserve">pursuant to an October </w:t>
      </w:r>
      <w:r w:rsidR="004C1831">
        <w:rPr>
          <w:szCs w:val="22"/>
        </w:rPr>
        <w:t xml:space="preserve">27, </w:t>
      </w:r>
      <w:r w:rsidR="00454894">
        <w:rPr>
          <w:szCs w:val="22"/>
        </w:rPr>
        <w:t xml:space="preserve">2016 </w:t>
      </w:r>
      <w:r w:rsidR="001B5F46">
        <w:rPr>
          <w:szCs w:val="22"/>
        </w:rPr>
        <w:t>Consent Decree</w:t>
      </w:r>
      <w:r w:rsidR="0082517A">
        <w:rPr>
          <w:szCs w:val="22"/>
        </w:rPr>
        <w:t xml:space="preserve"> with the Bureau</w:t>
      </w:r>
      <w:r w:rsidR="001B5F46">
        <w:rPr>
          <w:szCs w:val="22"/>
        </w:rPr>
        <w:t>.</w:t>
      </w:r>
      <w:r>
        <w:rPr>
          <w:szCs w:val="22"/>
          <w:vertAlign w:val="superscript"/>
        </w:rPr>
        <w:footnoteReference w:id="8"/>
      </w:r>
      <w:r w:rsidR="001B5F46">
        <w:rPr>
          <w:szCs w:val="22"/>
        </w:rPr>
        <w:t xml:space="preserve"> </w:t>
      </w:r>
      <w:r w:rsidR="006B36BD">
        <w:rPr>
          <w:szCs w:val="22"/>
        </w:rPr>
        <w:t xml:space="preserve"> </w:t>
      </w:r>
      <w:r w:rsidR="00677182">
        <w:rPr>
          <w:szCs w:val="22"/>
        </w:rPr>
        <w:t xml:space="preserve">Harvest </w:t>
      </w:r>
      <w:r w:rsidR="00571F23">
        <w:rPr>
          <w:szCs w:val="22"/>
        </w:rPr>
        <w:t xml:space="preserve">and </w:t>
      </w:r>
      <w:r w:rsidR="00571F23">
        <w:rPr>
          <w:szCs w:val="22"/>
        </w:rPr>
        <w:t>Diponti</w:t>
      </w:r>
      <w:r w:rsidR="00571F23">
        <w:rPr>
          <w:szCs w:val="22"/>
        </w:rPr>
        <w:t xml:space="preserve"> </w:t>
      </w:r>
      <w:r w:rsidR="004C1831">
        <w:rPr>
          <w:szCs w:val="22"/>
        </w:rPr>
        <w:t xml:space="preserve">had </w:t>
      </w:r>
      <w:r w:rsidR="00677182">
        <w:rPr>
          <w:szCs w:val="22"/>
        </w:rPr>
        <w:t xml:space="preserve">filed an application for consent to assign the license </w:t>
      </w:r>
      <w:r w:rsidR="00571F23">
        <w:rPr>
          <w:szCs w:val="22"/>
        </w:rPr>
        <w:t xml:space="preserve">from the former </w:t>
      </w:r>
      <w:r w:rsidR="00677182">
        <w:rPr>
          <w:szCs w:val="22"/>
        </w:rPr>
        <w:t xml:space="preserve">to </w:t>
      </w:r>
      <w:r w:rsidR="00571F23">
        <w:rPr>
          <w:szCs w:val="22"/>
        </w:rPr>
        <w:t>the latter</w:t>
      </w:r>
      <w:r w:rsidR="006D1D02">
        <w:rPr>
          <w:szCs w:val="22"/>
        </w:rPr>
        <w:t xml:space="preserve"> on November 3, 2016, </w:t>
      </w:r>
      <w:r w:rsidR="004C1831">
        <w:rPr>
          <w:szCs w:val="22"/>
        </w:rPr>
        <w:t xml:space="preserve">several days </w:t>
      </w:r>
      <w:r w:rsidR="006D1D02">
        <w:rPr>
          <w:szCs w:val="22"/>
        </w:rPr>
        <w:t>after the Consent Decree</w:t>
      </w:r>
      <w:r w:rsidR="004C1831">
        <w:rPr>
          <w:szCs w:val="22"/>
        </w:rPr>
        <w:t xml:space="preserve"> and several days before the short-term renewal grant</w:t>
      </w:r>
      <w:r w:rsidR="00677182">
        <w:rPr>
          <w:szCs w:val="22"/>
        </w:rPr>
        <w:t xml:space="preserve">.  </w:t>
      </w:r>
      <w:r w:rsidR="00CF5512">
        <w:rPr>
          <w:szCs w:val="22"/>
        </w:rPr>
        <w:t xml:space="preserve">On November 15, 2016, the Bureau granted </w:t>
      </w:r>
      <w:r w:rsidR="006857AC">
        <w:rPr>
          <w:szCs w:val="22"/>
        </w:rPr>
        <w:t xml:space="preserve">Harvest’s application for a permit </w:t>
      </w:r>
      <w:r w:rsidR="00CF5512">
        <w:rPr>
          <w:szCs w:val="22"/>
        </w:rPr>
        <w:t>to relocate</w:t>
      </w:r>
      <w:r w:rsidR="00C64439">
        <w:rPr>
          <w:szCs w:val="22"/>
        </w:rPr>
        <w:t xml:space="preserve"> </w:t>
      </w:r>
      <w:r w:rsidR="006857AC">
        <w:rPr>
          <w:szCs w:val="22"/>
        </w:rPr>
        <w:t xml:space="preserve">the </w:t>
      </w:r>
      <w:r w:rsidR="00B55374">
        <w:rPr>
          <w:szCs w:val="22"/>
        </w:rPr>
        <w:t>Station</w:t>
      </w:r>
      <w:r w:rsidR="006857AC">
        <w:rPr>
          <w:szCs w:val="22"/>
        </w:rPr>
        <w:t xml:space="preserve"> from Vermont to Rhode Island </w:t>
      </w:r>
      <w:r w:rsidR="00C64439">
        <w:rPr>
          <w:szCs w:val="22"/>
        </w:rPr>
        <w:t>so it could</w:t>
      </w:r>
      <w:r w:rsidR="00716E72">
        <w:rPr>
          <w:szCs w:val="22"/>
        </w:rPr>
        <w:t xml:space="preserve"> </w:t>
      </w:r>
      <w:r w:rsidR="00CF5512">
        <w:rPr>
          <w:szCs w:val="22"/>
        </w:rPr>
        <w:t xml:space="preserve">rebroadcast </w:t>
      </w:r>
      <w:r w:rsidR="00CF5512">
        <w:rPr>
          <w:szCs w:val="22"/>
        </w:rPr>
        <w:t>Diponti’s</w:t>
      </w:r>
      <w:r w:rsidR="00716E72">
        <w:rPr>
          <w:szCs w:val="22"/>
        </w:rPr>
        <w:t xml:space="preserve"> </w:t>
      </w:r>
      <w:r w:rsidR="00CF5512">
        <w:rPr>
          <w:szCs w:val="22"/>
        </w:rPr>
        <w:t>station WBLQ(AM), Westerly, Rhode Island</w:t>
      </w:r>
      <w:r w:rsidR="00716E72">
        <w:rPr>
          <w:szCs w:val="22"/>
        </w:rPr>
        <w:t xml:space="preserve">, </w:t>
      </w:r>
      <w:r w:rsidRPr="00716E72" w:rsidR="00716E72">
        <w:rPr>
          <w:szCs w:val="22"/>
        </w:rPr>
        <w:t>pursuant to AM revitalization policies</w:t>
      </w:r>
      <w:r w:rsidR="00CF5512">
        <w:rPr>
          <w:szCs w:val="22"/>
        </w:rPr>
        <w:t xml:space="preserve">.  </w:t>
      </w:r>
      <w:r w:rsidR="00677182">
        <w:rPr>
          <w:szCs w:val="22"/>
        </w:rPr>
        <w:t xml:space="preserve">The Bureau approved the assignment to </w:t>
      </w:r>
      <w:r w:rsidR="00FD6C53">
        <w:rPr>
          <w:szCs w:val="22"/>
        </w:rPr>
        <w:t>Di</w:t>
      </w:r>
      <w:r w:rsidR="00030FC2">
        <w:rPr>
          <w:szCs w:val="22"/>
        </w:rPr>
        <w:t>p</w:t>
      </w:r>
      <w:r w:rsidR="00FD6C53">
        <w:rPr>
          <w:szCs w:val="22"/>
        </w:rPr>
        <w:t>onti</w:t>
      </w:r>
      <w:r w:rsidR="00FD6C53">
        <w:rPr>
          <w:szCs w:val="22"/>
        </w:rPr>
        <w:t xml:space="preserve"> </w:t>
      </w:r>
      <w:r w:rsidR="00677182">
        <w:rPr>
          <w:szCs w:val="22"/>
        </w:rPr>
        <w:t>on January 17, 2017</w:t>
      </w:r>
      <w:r w:rsidR="00571F23">
        <w:rPr>
          <w:szCs w:val="22"/>
        </w:rPr>
        <w:t>,</w:t>
      </w:r>
      <w:r w:rsidR="00677182">
        <w:rPr>
          <w:szCs w:val="22"/>
        </w:rPr>
        <w:t xml:space="preserve"> and the </w:t>
      </w:r>
      <w:r w:rsidR="005B2923">
        <w:rPr>
          <w:szCs w:val="22"/>
        </w:rPr>
        <w:t xml:space="preserve">parties consummated the </w:t>
      </w:r>
      <w:r w:rsidR="00677182">
        <w:rPr>
          <w:szCs w:val="22"/>
        </w:rPr>
        <w:t xml:space="preserve">transaction on </w:t>
      </w:r>
      <w:r w:rsidR="00C84588">
        <w:rPr>
          <w:szCs w:val="22"/>
        </w:rPr>
        <w:t>March 8, 2017</w:t>
      </w:r>
      <w:r w:rsidR="001B5F46">
        <w:rPr>
          <w:szCs w:val="22"/>
        </w:rPr>
        <w:t>.</w:t>
      </w:r>
      <w:r>
        <w:rPr>
          <w:szCs w:val="22"/>
          <w:vertAlign w:val="superscript"/>
        </w:rPr>
        <w:footnoteReference w:id="9"/>
      </w:r>
      <w:r w:rsidRPr="001B5F46" w:rsidR="001B5F46">
        <w:rPr>
          <w:szCs w:val="22"/>
        </w:rPr>
        <w:t xml:space="preserve"> </w:t>
      </w:r>
      <w:r w:rsidR="001B5F46">
        <w:rPr>
          <w:szCs w:val="22"/>
        </w:rPr>
        <w:t xml:space="preserve"> </w:t>
      </w:r>
      <w:r w:rsidR="000B127E">
        <w:rPr>
          <w:szCs w:val="22"/>
        </w:rPr>
        <w:t>Diponti</w:t>
      </w:r>
      <w:r w:rsidR="000B127E">
        <w:rPr>
          <w:szCs w:val="22"/>
        </w:rPr>
        <w:t xml:space="preserve"> constructed at the new </w:t>
      </w:r>
      <w:r w:rsidR="0082517A">
        <w:rPr>
          <w:szCs w:val="22"/>
        </w:rPr>
        <w:t xml:space="preserve">Rhode Island </w:t>
      </w:r>
      <w:r w:rsidR="000B127E">
        <w:rPr>
          <w:szCs w:val="22"/>
        </w:rPr>
        <w:t>location, filed a</w:t>
      </w:r>
      <w:r w:rsidR="00F763A9">
        <w:rPr>
          <w:szCs w:val="22"/>
        </w:rPr>
        <w:t xml:space="preserve"> covering </w:t>
      </w:r>
      <w:r w:rsidR="000B127E">
        <w:rPr>
          <w:szCs w:val="22"/>
        </w:rPr>
        <w:t xml:space="preserve">application to license the new facilities on </w:t>
      </w:r>
      <w:r w:rsidR="000F63DA">
        <w:rPr>
          <w:szCs w:val="22"/>
        </w:rPr>
        <w:t>November 20, 2019</w:t>
      </w:r>
      <w:r w:rsidR="000B127E">
        <w:rPr>
          <w:szCs w:val="22"/>
        </w:rPr>
        <w:t xml:space="preserve">, and the Bureau granted </w:t>
      </w:r>
      <w:r w:rsidR="0082517A">
        <w:rPr>
          <w:szCs w:val="22"/>
        </w:rPr>
        <w:t>a</w:t>
      </w:r>
      <w:r w:rsidR="000B127E">
        <w:rPr>
          <w:szCs w:val="22"/>
        </w:rPr>
        <w:t xml:space="preserve"> Covering License on </w:t>
      </w:r>
      <w:r w:rsidR="000F63DA">
        <w:rPr>
          <w:szCs w:val="22"/>
        </w:rPr>
        <w:t>January 9, 2020</w:t>
      </w:r>
      <w:r w:rsidR="000B127E">
        <w:rPr>
          <w:szCs w:val="22"/>
        </w:rPr>
        <w:t>.</w:t>
      </w:r>
      <w:r>
        <w:rPr>
          <w:rStyle w:val="FootnoteReference"/>
          <w:szCs w:val="22"/>
        </w:rPr>
        <w:footnoteReference w:id="10"/>
      </w:r>
      <w:r w:rsidR="00445A7E">
        <w:rPr>
          <w:szCs w:val="22"/>
        </w:rPr>
        <w:t xml:space="preserve">  The </w:t>
      </w:r>
      <w:r w:rsidR="0082517A">
        <w:rPr>
          <w:szCs w:val="22"/>
        </w:rPr>
        <w:t>Covering License</w:t>
      </w:r>
      <w:r w:rsidR="00445A7E">
        <w:rPr>
          <w:szCs w:val="22"/>
        </w:rPr>
        <w:t xml:space="preserve"> continued to bear </w:t>
      </w:r>
      <w:r w:rsidR="00627757">
        <w:rPr>
          <w:szCs w:val="22"/>
        </w:rPr>
        <w:t>the underlying</w:t>
      </w:r>
      <w:r w:rsidR="00445A7E">
        <w:rPr>
          <w:szCs w:val="22"/>
        </w:rPr>
        <w:t xml:space="preserve"> station license expiration date of November 8, 2017</w:t>
      </w:r>
      <w:r w:rsidR="00F90943">
        <w:rPr>
          <w:szCs w:val="22"/>
        </w:rPr>
        <w:t xml:space="preserve"> </w:t>
      </w:r>
      <w:r w:rsidR="00A97AA0">
        <w:rPr>
          <w:szCs w:val="22"/>
        </w:rPr>
        <w:t>and specified that “</w:t>
      </w:r>
      <w:r w:rsidRPr="00A97AA0" w:rsidR="00A97AA0">
        <w:rPr>
          <w:szCs w:val="22"/>
        </w:rPr>
        <w:t>This license shall not vest in the licensee any right to operate the station nor any right in the use of the frequency designated in the license beyond the term hereof, nor in any other manner than authorized herein</w:t>
      </w:r>
      <w:r w:rsidR="00A97AA0">
        <w:rPr>
          <w:szCs w:val="22"/>
        </w:rPr>
        <w:t>.”</w:t>
      </w:r>
      <w:r>
        <w:rPr>
          <w:rStyle w:val="FootnoteReference"/>
          <w:szCs w:val="22"/>
        </w:rPr>
        <w:footnoteReference w:id="11"/>
      </w:r>
      <w:r w:rsidR="0082517A">
        <w:rPr>
          <w:szCs w:val="22"/>
        </w:rPr>
        <w:t xml:space="preserve">  In other words, the Covering License substituted </w:t>
      </w:r>
      <w:r w:rsidR="00307C77">
        <w:rPr>
          <w:szCs w:val="22"/>
        </w:rPr>
        <w:t xml:space="preserve">the </w:t>
      </w:r>
      <w:r w:rsidR="00F82811">
        <w:rPr>
          <w:szCs w:val="22"/>
        </w:rPr>
        <w:t xml:space="preserve">new </w:t>
      </w:r>
      <w:r w:rsidR="0082517A">
        <w:rPr>
          <w:szCs w:val="22"/>
        </w:rPr>
        <w:t xml:space="preserve">Rhode Island facilities for </w:t>
      </w:r>
      <w:r w:rsidR="00307C77">
        <w:rPr>
          <w:szCs w:val="22"/>
        </w:rPr>
        <w:t xml:space="preserve">the </w:t>
      </w:r>
      <w:r w:rsidR="0082517A">
        <w:rPr>
          <w:szCs w:val="22"/>
        </w:rPr>
        <w:t xml:space="preserve">prior Vermont facilities but did not extend the </w:t>
      </w:r>
      <w:r w:rsidR="00FF0EE0">
        <w:rPr>
          <w:szCs w:val="22"/>
        </w:rPr>
        <w:t xml:space="preserve">Station’s </w:t>
      </w:r>
      <w:r w:rsidR="0082517A">
        <w:rPr>
          <w:szCs w:val="22"/>
        </w:rPr>
        <w:t>license term, which had already expired.</w:t>
      </w:r>
      <w:r>
        <w:rPr>
          <w:rStyle w:val="FootnoteReference"/>
          <w:szCs w:val="22"/>
        </w:rPr>
        <w:footnoteReference w:id="12"/>
      </w:r>
      <w:r w:rsidR="00C76607">
        <w:rPr>
          <w:szCs w:val="22"/>
        </w:rPr>
        <w:t xml:space="preserve">                                                                                                  </w:t>
      </w:r>
    </w:p>
    <w:p w:rsidR="007C71AB" w:rsidRPr="0089142A" w:rsidP="0089142A" w14:paraId="01367AE4" w14:textId="111585E1">
      <w:pPr>
        <w:pStyle w:val="ParaNum"/>
        <w:rPr>
          <w:szCs w:val="22"/>
        </w:rPr>
      </w:pPr>
      <w:r>
        <w:rPr>
          <w:szCs w:val="22"/>
        </w:rPr>
        <w:t>Diponti</w:t>
      </w:r>
      <w:r>
        <w:rPr>
          <w:szCs w:val="22"/>
        </w:rPr>
        <w:t xml:space="preserve"> should have filed a</w:t>
      </w:r>
      <w:r w:rsidR="002F4D2B">
        <w:rPr>
          <w:szCs w:val="22"/>
        </w:rPr>
        <w:t xml:space="preserve"> license renewal </w:t>
      </w:r>
      <w:r w:rsidRPr="0049521D" w:rsidR="0049521D">
        <w:rPr>
          <w:szCs w:val="22"/>
        </w:rPr>
        <w:t>application by July 1, 2017, the first day of the fourth full calendar month prior to the November 8, 2017</w:t>
      </w:r>
      <w:r w:rsidR="00C83DAA">
        <w:rPr>
          <w:szCs w:val="22"/>
        </w:rPr>
        <w:t xml:space="preserve"> expiration</w:t>
      </w:r>
      <w:r w:rsidR="00F82811">
        <w:rPr>
          <w:szCs w:val="22"/>
        </w:rPr>
        <w:t xml:space="preserve">, but </w:t>
      </w:r>
      <w:r w:rsidRPr="00683BD4" w:rsidR="00541385">
        <w:rPr>
          <w:szCs w:val="22"/>
        </w:rPr>
        <w:t xml:space="preserve">did not </w:t>
      </w:r>
      <w:r w:rsidR="002F4D2B">
        <w:rPr>
          <w:szCs w:val="22"/>
        </w:rPr>
        <w:t>do so</w:t>
      </w:r>
      <w:r w:rsidR="00DF7DBE">
        <w:rPr>
          <w:szCs w:val="22"/>
        </w:rPr>
        <w:t xml:space="preserve"> </w:t>
      </w:r>
      <w:r w:rsidRPr="00683BD4" w:rsidR="0053298C">
        <w:rPr>
          <w:szCs w:val="22"/>
        </w:rPr>
        <w:t xml:space="preserve">until </w:t>
      </w:r>
      <w:r w:rsidR="004330DE">
        <w:rPr>
          <w:szCs w:val="22"/>
        </w:rPr>
        <w:t>about</w:t>
      </w:r>
      <w:r w:rsidR="00B22801">
        <w:rPr>
          <w:szCs w:val="22"/>
        </w:rPr>
        <w:t xml:space="preserve"> three years later on </w:t>
      </w:r>
      <w:r w:rsidRPr="00683BD4" w:rsidR="00E51FA9">
        <w:rPr>
          <w:szCs w:val="22"/>
        </w:rPr>
        <w:t>September 11, 2020</w:t>
      </w:r>
      <w:r w:rsidR="007E1CE8">
        <w:rPr>
          <w:szCs w:val="22"/>
        </w:rPr>
        <w:t xml:space="preserve"> </w:t>
      </w:r>
      <w:r w:rsidRPr="006D7549" w:rsidR="00DF7DBE">
        <w:rPr>
          <w:szCs w:val="22"/>
        </w:rPr>
        <w:t>(2020 Application)</w:t>
      </w:r>
      <w:r w:rsidR="00F82811">
        <w:rPr>
          <w:szCs w:val="22"/>
        </w:rPr>
        <w:t>.</w:t>
      </w:r>
      <w:r>
        <w:rPr>
          <w:rStyle w:val="FootnoteReference"/>
          <w:sz w:val="22"/>
          <w:szCs w:val="22"/>
        </w:rPr>
        <w:footnoteReference w:id="13"/>
      </w:r>
      <w:r w:rsidRPr="006D7549" w:rsidR="00DF7DBE">
        <w:rPr>
          <w:szCs w:val="22"/>
        </w:rPr>
        <w:t xml:space="preserve"> </w:t>
      </w:r>
      <w:r w:rsidR="00F82811">
        <w:rPr>
          <w:szCs w:val="22"/>
        </w:rPr>
        <w:t xml:space="preserve"> It also </w:t>
      </w:r>
      <w:r w:rsidR="007E1CE8">
        <w:rPr>
          <w:szCs w:val="22"/>
        </w:rPr>
        <w:t>did not</w:t>
      </w:r>
      <w:r w:rsidR="00FE707D">
        <w:rPr>
          <w:szCs w:val="22"/>
        </w:rPr>
        <w:t>,</w:t>
      </w:r>
      <w:r w:rsidR="007E1CE8">
        <w:rPr>
          <w:szCs w:val="22"/>
        </w:rPr>
        <w:t xml:space="preserve"> </w:t>
      </w:r>
      <w:r w:rsidR="00FA474A">
        <w:rPr>
          <w:szCs w:val="22"/>
        </w:rPr>
        <w:t>until</w:t>
      </w:r>
      <w:r w:rsidRPr="007E1CE8" w:rsidR="00FA474A">
        <w:rPr>
          <w:szCs w:val="22"/>
        </w:rPr>
        <w:t xml:space="preserve"> September 16, 2020</w:t>
      </w:r>
      <w:r w:rsidR="00FE707D">
        <w:rPr>
          <w:szCs w:val="22"/>
        </w:rPr>
        <w:t>,</w:t>
      </w:r>
      <w:r w:rsidRPr="00683BD4" w:rsidR="00FA474A">
        <w:rPr>
          <w:szCs w:val="22"/>
        </w:rPr>
        <w:t xml:space="preserve"> </w:t>
      </w:r>
      <w:r w:rsidR="007E1CE8">
        <w:rPr>
          <w:szCs w:val="22"/>
        </w:rPr>
        <w:t xml:space="preserve">request </w:t>
      </w:r>
      <w:r w:rsidRPr="006D7549" w:rsidR="00DF7DBE">
        <w:rPr>
          <w:szCs w:val="22"/>
        </w:rPr>
        <w:t xml:space="preserve">STA to </w:t>
      </w:r>
      <w:r w:rsidR="00DF7DBE">
        <w:rPr>
          <w:szCs w:val="22"/>
        </w:rPr>
        <w:t xml:space="preserve">continue </w:t>
      </w:r>
      <w:r w:rsidRPr="006D7549" w:rsidR="00DF7DBE">
        <w:rPr>
          <w:szCs w:val="22"/>
        </w:rPr>
        <w:t>operat</w:t>
      </w:r>
      <w:r w:rsidR="00DF7DBE">
        <w:rPr>
          <w:szCs w:val="22"/>
        </w:rPr>
        <w:t>ing</w:t>
      </w:r>
      <w:r w:rsidR="00FA474A">
        <w:rPr>
          <w:szCs w:val="22"/>
        </w:rPr>
        <w:t xml:space="preserve"> under the terms of </w:t>
      </w:r>
      <w:r w:rsidR="00123AA9">
        <w:rPr>
          <w:szCs w:val="22"/>
        </w:rPr>
        <w:t>the</w:t>
      </w:r>
      <w:r w:rsidR="00FA474A">
        <w:rPr>
          <w:szCs w:val="22"/>
        </w:rPr>
        <w:t xml:space="preserve"> expired license.</w:t>
      </w:r>
      <w:r>
        <w:rPr>
          <w:rStyle w:val="FootnoteReference"/>
          <w:szCs w:val="22"/>
        </w:rPr>
        <w:footnoteReference w:id="14"/>
      </w:r>
      <w:r w:rsidR="00966E3E">
        <w:rPr>
          <w:szCs w:val="22"/>
        </w:rPr>
        <w:t xml:space="preserve"> </w:t>
      </w:r>
      <w:r w:rsidRPr="006D7549" w:rsidR="00DF7DBE">
        <w:rPr>
          <w:szCs w:val="22"/>
        </w:rPr>
        <w:t xml:space="preserve"> </w:t>
      </w:r>
      <w:r w:rsidRPr="00683BD4" w:rsidR="00832F67">
        <w:rPr>
          <w:szCs w:val="22"/>
        </w:rPr>
        <w:t>Diponti</w:t>
      </w:r>
      <w:r w:rsidRPr="00683BD4" w:rsidR="00406A52">
        <w:rPr>
          <w:szCs w:val="22"/>
        </w:rPr>
        <w:t xml:space="preserve"> </w:t>
      </w:r>
      <w:r w:rsidR="0057212F">
        <w:rPr>
          <w:szCs w:val="22"/>
        </w:rPr>
        <w:t>acknowledge</w:t>
      </w:r>
      <w:r w:rsidR="00483FE1">
        <w:rPr>
          <w:szCs w:val="22"/>
        </w:rPr>
        <w:t>d</w:t>
      </w:r>
      <w:r w:rsidR="0057212F">
        <w:rPr>
          <w:szCs w:val="22"/>
        </w:rPr>
        <w:t xml:space="preserve"> that</w:t>
      </w:r>
      <w:r w:rsidR="00AF0570">
        <w:rPr>
          <w:szCs w:val="22"/>
        </w:rPr>
        <w:t xml:space="preserve"> the </w:t>
      </w:r>
      <w:r w:rsidR="002C397B">
        <w:rPr>
          <w:szCs w:val="22"/>
        </w:rPr>
        <w:t xml:space="preserve">2020 </w:t>
      </w:r>
      <w:r w:rsidR="00AF0570">
        <w:rPr>
          <w:szCs w:val="22"/>
        </w:rPr>
        <w:t xml:space="preserve">Application </w:t>
      </w:r>
      <w:r w:rsidR="00483FE1">
        <w:rPr>
          <w:szCs w:val="22"/>
        </w:rPr>
        <w:t>wa</w:t>
      </w:r>
      <w:r w:rsidR="0057212F">
        <w:rPr>
          <w:szCs w:val="22"/>
        </w:rPr>
        <w:t xml:space="preserve">s late </w:t>
      </w:r>
      <w:r w:rsidR="00075D35">
        <w:rPr>
          <w:szCs w:val="22"/>
        </w:rPr>
        <w:t xml:space="preserve">but </w:t>
      </w:r>
      <w:r w:rsidR="0057212F">
        <w:rPr>
          <w:szCs w:val="22"/>
        </w:rPr>
        <w:t>state</w:t>
      </w:r>
      <w:r w:rsidR="00483FE1">
        <w:rPr>
          <w:szCs w:val="22"/>
        </w:rPr>
        <w:t>d</w:t>
      </w:r>
      <w:r w:rsidR="0057212F">
        <w:rPr>
          <w:szCs w:val="22"/>
        </w:rPr>
        <w:t xml:space="preserve"> that it did not </w:t>
      </w:r>
      <w:r w:rsidR="005D0AC5">
        <w:rPr>
          <w:szCs w:val="22"/>
        </w:rPr>
        <w:t xml:space="preserve">previously </w:t>
      </w:r>
      <w:r w:rsidR="0057212F">
        <w:rPr>
          <w:szCs w:val="22"/>
        </w:rPr>
        <w:t xml:space="preserve">realize that its license had expired </w:t>
      </w:r>
      <w:r w:rsidR="00EE6F1C">
        <w:rPr>
          <w:szCs w:val="22"/>
        </w:rPr>
        <w:t xml:space="preserve">pursuant </w:t>
      </w:r>
      <w:r w:rsidR="0057212F">
        <w:rPr>
          <w:szCs w:val="22"/>
        </w:rPr>
        <w:t xml:space="preserve">to </w:t>
      </w:r>
      <w:r w:rsidR="00075D35">
        <w:rPr>
          <w:szCs w:val="22"/>
        </w:rPr>
        <w:t>the</w:t>
      </w:r>
      <w:r w:rsidR="0057212F">
        <w:rPr>
          <w:szCs w:val="22"/>
        </w:rPr>
        <w:t xml:space="preserve"> short-term renewal</w:t>
      </w:r>
      <w:r w:rsidR="00E3140E">
        <w:rPr>
          <w:szCs w:val="22"/>
        </w:rPr>
        <w:t xml:space="preserve"> </w:t>
      </w:r>
      <w:r w:rsidR="00D248B6">
        <w:rPr>
          <w:szCs w:val="22"/>
        </w:rPr>
        <w:t xml:space="preserve">granted to </w:t>
      </w:r>
      <w:r w:rsidR="00E3140E">
        <w:rPr>
          <w:szCs w:val="22"/>
        </w:rPr>
        <w:t>its predecessor</w:t>
      </w:r>
      <w:r w:rsidR="0057212F">
        <w:rPr>
          <w:szCs w:val="22"/>
        </w:rPr>
        <w:t>.</w:t>
      </w:r>
      <w:r>
        <w:rPr>
          <w:rStyle w:val="FootnoteReference"/>
          <w:szCs w:val="22"/>
        </w:rPr>
        <w:footnoteReference w:id="15"/>
      </w:r>
      <w:r w:rsidRPr="00683BD4" w:rsidR="00832F67">
        <w:rPr>
          <w:szCs w:val="22"/>
        </w:rPr>
        <w:t xml:space="preserve"> </w:t>
      </w:r>
      <w:r w:rsidR="00F82811">
        <w:rPr>
          <w:szCs w:val="22"/>
        </w:rPr>
        <w:t xml:space="preserve"> </w:t>
      </w:r>
      <w:r w:rsidR="001B5246">
        <w:rPr>
          <w:szCs w:val="22"/>
        </w:rPr>
        <w:t xml:space="preserve">The Bureau </w:t>
      </w:r>
      <w:r w:rsidRPr="00683BD4" w:rsidR="00957F4D">
        <w:rPr>
          <w:szCs w:val="22"/>
        </w:rPr>
        <w:t xml:space="preserve">granted STA on October 2, </w:t>
      </w:r>
      <w:r w:rsidRPr="00683BD4" w:rsidR="00957F4D">
        <w:rPr>
          <w:szCs w:val="22"/>
        </w:rPr>
        <w:t>202</w:t>
      </w:r>
      <w:r w:rsidRPr="00683BD4" w:rsidR="00FF09FE">
        <w:rPr>
          <w:szCs w:val="22"/>
        </w:rPr>
        <w:t>0</w:t>
      </w:r>
      <w:r w:rsidR="00AF0570">
        <w:rPr>
          <w:szCs w:val="22"/>
        </w:rPr>
        <w:t xml:space="preserve"> for a six-month </w:t>
      </w:r>
      <w:r w:rsidRPr="004E5A9D" w:rsidR="00AF0570">
        <w:rPr>
          <w:szCs w:val="22"/>
        </w:rPr>
        <w:t>period</w:t>
      </w:r>
      <w:r w:rsidRPr="004E5A9D" w:rsidR="00FF09FE">
        <w:rPr>
          <w:szCs w:val="22"/>
        </w:rPr>
        <w:t>.</w:t>
      </w:r>
      <w:r>
        <w:rPr>
          <w:rStyle w:val="FootnoteReference"/>
          <w:szCs w:val="22"/>
        </w:rPr>
        <w:footnoteReference w:id="16"/>
      </w:r>
      <w:r w:rsidRPr="004E5A9D" w:rsidR="00FF09FE">
        <w:rPr>
          <w:szCs w:val="22"/>
        </w:rPr>
        <w:t xml:space="preserve">  </w:t>
      </w:r>
      <w:r w:rsidRPr="004E5A9D" w:rsidR="00AF0570">
        <w:rPr>
          <w:szCs w:val="22"/>
        </w:rPr>
        <w:t>D</w:t>
      </w:r>
      <w:r w:rsidRPr="004E5A9D" w:rsidR="006C70AF">
        <w:rPr>
          <w:szCs w:val="22"/>
        </w:rPr>
        <w:t>i</w:t>
      </w:r>
      <w:r w:rsidRPr="004E5A9D" w:rsidR="00AF0570">
        <w:rPr>
          <w:szCs w:val="22"/>
        </w:rPr>
        <w:t>ponti</w:t>
      </w:r>
      <w:r w:rsidRPr="004E5A9D" w:rsidR="00FF09FE">
        <w:rPr>
          <w:szCs w:val="22"/>
        </w:rPr>
        <w:t xml:space="preserve"> </w:t>
      </w:r>
      <w:r w:rsidRPr="004E5A9D" w:rsidR="00B57DC5">
        <w:rPr>
          <w:szCs w:val="22"/>
        </w:rPr>
        <w:t xml:space="preserve">timely </w:t>
      </w:r>
      <w:r w:rsidRPr="004E5A9D" w:rsidR="00FF09FE">
        <w:rPr>
          <w:szCs w:val="22"/>
        </w:rPr>
        <w:t xml:space="preserve">sought extension of the STA </w:t>
      </w:r>
      <w:r w:rsidRPr="004E5A9D" w:rsidR="00836E53">
        <w:rPr>
          <w:szCs w:val="22"/>
        </w:rPr>
        <w:t>i</w:t>
      </w:r>
      <w:r w:rsidRPr="004E5A9D" w:rsidR="00957F4D">
        <w:rPr>
          <w:szCs w:val="22"/>
        </w:rPr>
        <w:t xml:space="preserve">n </w:t>
      </w:r>
      <w:r w:rsidR="003B11AF">
        <w:rPr>
          <w:szCs w:val="22"/>
        </w:rPr>
        <w:t>a</w:t>
      </w:r>
      <w:r w:rsidRPr="004E5A9D" w:rsidR="00836E53">
        <w:rPr>
          <w:szCs w:val="22"/>
        </w:rPr>
        <w:t xml:space="preserve"> </w:t>
      </w:r>
      <w:r w:rsidRPr="004E5A9D" w:rsidR="00957F4D">
        <w:rPr>
          <w:szCs w:val="22"/>
        </w:rPr>
        <w:t>March 2</w:t>
      </w:r>
      <w:r w:rsidRPr="004E5A9D" w:rsidR="00FF09FE">
        <w:rPr>
          <w:szCs w:val="22"/>
        </w:rPr>
        <w:t xml:space="preserve">6, </w:t>
      </w:r>
      <w:r w:rsidRPr="004E5A9D" w:rsidR="00957F4D">
        <w:rPr>
          <w:szCs w:val="22"/>
        </w:rPr>
        <w:t>2021</w:t>
      </w:r>
      <w:r w:rsidRPr="004E5A9D" w:rsidR="005B2322">
        <w:rPr>
          <w:szCs w:val="22"/>
        </w:rPr>
        <w:t xml:space="preserve"> </w:t>
      </w:r>
      <w:r w:rsidR="00644227">
        <w:rPr>
          <w:szCs w:val="22"/>
        </w:rPr>
        <w:t>r</w:t>
      </w:r>
      <w:r w:rsidRPr="004E5A9D" w:rsidR="007B301E">
        <w:rPr>
          <w:szCs w:val="22"/>
        </w:rPr>
        <w:t>equest</w:t>
      </w:r>
      <w:r w:rsidRPr="004E5A9D" w:rsidR="00836E53">
        <w:rPr>
          <w:szCs w:val="22"/>
        </w:rPr>
        <w:t>,</w:t>
      </w:r>
      <w:r w:rsidRPr="004E5A9D" w:rsidR="007B301E">
        <w:rPr>
          <w:szCs w:val="22"/>
        </w:rPr>
        <w:t xml:space="preserve"> </w:t>
      </w:r>
      <w:r w:rsidRPr="004E5A9D" w:rsidR="005B2322">
        <w:rPr>
          <w:szCs w:val="22"/>
        </w:rPr>
        <w:t>which remains pending</w:t>
      </w:r>
      <w:r w:rsidRPr="004E5A9D" w:rsidR="00957F4D">
        <w:rPr>
          <w:szCs w:val="22"/>
        </w:rPr>
        <w:t>.</w:t>
      </w:r>
      <w:r>
        <w:rPr>
          <w:rStyle w:val="FootnoteReference"/>
          <w:szCs w:val="22"/>
        </w:rPr>
        <w:footnoteReference w:id="17"/>
      </w:r>
      <w:r w:rsidRPr="004E5A9D" w:rsidR="008116AD">
        <w:rPr>
          <w:szCs w:val="22"/>
        </w:rPr>
        <w:t xml:space="preserve">  </w:t>
      </w:r>
      <w:r w:rsidRPr="0089142A" w:rsidR="00350EE9">
        <w:rPr>
          <w:szCs w:val="22"/>
        </w:rPr>
        <w:t xml:space="preserve">In a July 2021 e-mail exchange </w:t>
      </w:r>
      <w:r w:rsidR="003A6319">
        <w:rPr>
          <w:szCs w:val="22"/>
        </w:rPr>
        <w:t xml:space="preserve">between </w:t>
      </w:r>
      <w:r w:rsidR="003A6319">
        <w:rPr>
          <w:szCs w:val="22"/>
        </w:rPr>
        <w:t>Diponti’s</w:t>
      </w:r>
      <w:r w:rsidR="003A6319">
        <w:rPr>
          <w:szCs w:val="22"/>
        </w:rPr>
        <w:t xml:space="preserve"> counsel and the Bureau </w:t>
      </w:r>
      <w:r w:rsidRPr="0089142A" w:rsidR="00D000EC">
        <w:rPr>
          <w:szCs w:val="22"/>
        </w:rPr>
        <w:t xml:space="preserve">about </w:t>
      </w:r>
      <w:r w:rsidRPr="0089142A" w:rsidR="00350EE9">
        <w:rPr>
          <w:szCs w:val="22"/>
        </w:rPr>
        <w:t xml:space="preserve">the </w:t>
      </w:r>
      <w:r w:rsidR="0089142A">
        <w:rPr>
          <w:szCs w:val="22"/>
        </w:rPr>
        <w:t xml:space="preserve">2020 </w:t>
      </w:r>
      <w:r w:rsidRPr="0089142A" w:rsidR="00350EE9">
        <w:rPr>
          <w:szCs w:val="22"/>
        </w:rPr>
        <w:t xml:space="preserve">Application’s status, </w:t>
      </w:r>
      <w:r w:rsidRPr="0089142A" w:rsidR="008116AD">
        <w:rPr>
          <w:szCs w:val="22"/>
        </w:rPr>
        <w:t>counsel</w:t>
      </w:r>
      <w:r w:rsidRPr="0089142A" w:rsidR="004E5A9D">
        <w:rPr>
          <w:bCs/>
          <w:szCs w:val="22"/>
        </w:rPr>
        <w:t xml:space="preserve"> </w:t>
      </w:r>
      <w:r w:rsidR="00EA62F6">
        <w:rPr>
          <w:bCs/>
          <w:szCs w:val="22"/>
        </w:rPr>
        <w:t xml:space="preserve">stated that </w:t>
      </w:r>
      <w:r w:rsidR="007E2178">
        <w:rPr>
          <w:bCs/>
          <w:szCs w:val="22"/>
        </w:rPr>
        <w:t>he had filed</w:t>
      </w:r>
      <w:r w:rsidR="00EA62F6">
        <w:rPr>
          <w:bCs/>
          <w:szCs w:val="22"/>
        </w:rPr>
        <w:t xml:space="preserve"> </w:t>
      </w:r>
      <w:r w:rsidR="00661153">
        <w:rPr>
          <w:bCs/>
          <w:szCs w:val="22"/>
        </w:rPr>
        <w:t xml:space="preserve">the 2020 Application </w:t>
      </w:r>
      <w:r w:rsidR="005C4BA8">
        <w:rPr>
          <w:bCs/>
          <w:szCs w:val="22"/>
        </w:rPr>
        <w:t xml:space="preserve">out of “an abundance of caution” </w:t>
      </w:r>
      <w:r w:rsidR="00661153">
        <w:rPr>
          <w:bCs/>
          <w:szCs w:val="22"/>
        </w:rPr>
        <w:t xml:space="preserve">because he noticed during </w:t>
      </w:r>
      <w:r w:rsidR="004F1DAC">
        <w:rPr>
          <w:szCs w:val="22"/>
        </w:rPr>
        <w:t xml:space="preserve">a routine database check that there was a </w:t>
      </w:r>
      <w:r w:rsidRPr="0089142A" w:rsidR="008116AD">
        <w:rPr>
          <w:szCs w:val="22"/>
        </w:rPr>
        <w:t>discrepancy between the</w:t>
      </w:r>
      <w:r w:rsidRPr="0089142A" w:rsidR="00350EE9">
        <w:rPr>
          <w:szCs w:val="22"/>
        </w:rPr>
        <w:t xml:space="preserve"> </w:t>
      </w:r>
      <w:r w:rsidRPr="0089142A" w:rsidR="008116AD">
        <w:rPr>
          <w:szCs w:val="22"/>
        </w:rPr>
        <w:t>license expiration date</w:t>
      </w:r>
      <w:r w:rsidRPr="0089142A" w:rsidR="00AF0570">
        <w:rPr>
          <w:szCs w:val="22"/>
        </w:rPr>
        <w:t xml:space="preserve"> established </w:t>
      </w:r>
      <w:r w:rsidR="00724B87">
        <w:rPr>
          <w:szCs w:val="22"/>
        </w:rPr>
        <w:t>in</w:t>
      </w:r>
      <w:r w:rsidRPr="0089142A" w:rsidR="00AF0570">
        <w:rPr>
          <w:szCs w:val="22"/>
        </w:rPr>
        <w:t xml:space="preserve"> the Consent Decree</w:t>
      </w:r>
      <w:r w:rsidRPr="0089142A" w:rsidR="008116AD">
        <w:rPr>
          <w:szCs w:val="22"/>
        </w:rPr>
        <w:t xml:space="preserve"> </w:t>
      </w:r>
      <w:r w:rsidRPr="0089142A" w:rsidR="00D000EC">
        <w:rPr>
          <w:szCs w:val="22"/>
        </w:rPr>
        <w:t xml:space="preserve">(November 8, 2017) </w:t>
      </w:r>
      <w:r w:rsidRPr="0089142A" w:rsidR="008116AD">
        <w:rPr>
          <w:szCs w:val="22"/>
        </w:rPr>
        <w:t>and th</w:t>
      </w:r>
      <w:r w:rsidR="0033248A">
        <w:rPr>
          <w:szCs w:val="22"/>
        </w:rPr>
        <w:t>e date</w:t>
      </w:r>
      <w:r w:rsidRPr="0089142A" w:rsidR="008116AD">
        <w:rPr>
          <w:szCs w:val="22"/>
        </w:rPr>
        <w:t xml:space="preserve"> </w:t>
      </w:r>
      <w:r w:rsidRPr="0089142A" w:rsidR="00AF0570">
        <w:rPr>
          <w:szCs w:val="22"/>
        </w:rPr>
        <w:t xml:space="preserve">listed </w:t>
      </w:r>
      <w:r w:rsidRPr="0089142A" w:rsidR="008116AD">
        <w:rPr>
          <w:szCs w:val="22"/>
        </w:rPr>
        <w:t>in the Commission’s Licensing Management System (LMS) database</w:t>
      </w:r>
      <w:r w:rsidRPr="0089142A" w:rsidR="00D000EC">
        <w:rPr>
          <w:szCs w:val="22"/>
        </w:rPr>
        <w:t xml:space="preserve"> (April 1, 2022)</w:t>
      </w:r>
      <w:r w:rsidRPr="0089142A" w:rsidR="004E5A9D">
        <w:rPr>
          <w:bCs/>
          <w:szCs w:val="22"/>
        </w:rPr>
        <w:t>.</w:t>
      </w:r>
      <w:r>
        <w:rPr>
          <w:bCs/>
          <w:szCs w:val="22"/>
          <w:vertAlign w:val="superscript"/>
        </w:rPr>
        <w:footnoteReference w:id="18"/>
      </w:r>
      <w:r w:rsidRPr="0089142A" w:rsidR="004E5A9D">
        <w:rPr>
          <w:bCs/>
          <w:szCs w:val="22"/>
        </w:rPr>
        <w:t xml:space="preserve">  </w:t>
      </w:r>
    </w:p>
    <w:p w:rsidR="0085692E" w:rsidRPr="0085692E" w:rsidP="00262592" w14:paraId="39C84663" w14:textId="01BDC8CE">
      <w:pPr>
        <w:pStyle w:val="ParaNum"/>
        <w:widowControl/>
        <w:rPr>
          <w:szCs w:val="22"/>
        </w:rPr>
      </w:pPr>
      <w:r>
        <w:t xml:space="preserve">On </w:t>
      </w:r>
      <w:r w:rsidR="00927442">
        <w:t>September 21</w:t>
      </w:r>
      <w:r>
        <w:t xml:space="preserve">, 2021, </w:t>
      </w:r>
      <w:r w:rsidR="00234D42">
        <w:t xml:space="preserve">the Bureau </w:t>
      </w:r>
      <w:r>
        <w:t xml:space="preserve">released </w:t>
      </w:r>
      <w:r w:rsidR="00927442">
        <w:t xml:space="preserve">the </w:t>
      </w:r>
      <w:r w:rsidRPr="00B36ECE">
        <w:rPr>
          <w:iCs/>
        </w:rPr>
        <w:t>NAL</w:t>
      </w:r>
      <w:r w:rsidRPr="00B36ECE" w:rsidR="00234D42">
        <w:rPr>
          <w:iCs/>
        </w:rPr>
        <w:t xml:space="preserve"> </w:t>
      </w:r>
      <w:r>
        <w:t>propos</w:t>
      </w:r>
      <w:r w:rsidR="00234D42">
        <w:t>ing</w:t>
      </w:r>
      <w:r>
        <w:t xml:space="preserve"> a forfeiture of </w:t>
      </w:r>
      <w:r w:rsidR="00234D42">
        <w:t>s</w:t>
      </w:r>
      <w:r>
        <w:t xml:space="preserve">even thousand dollars </w:t>
      </w:r>
      <w:r w:rsidRPr="00DA3F9D">
        <w:t>($</w:t>
      </w:r>
      <w:r>
        <w:t>7,000)</w:t>
      </w:r>
      <w:r w:rsidR="00A16C18">
        <w:t>,</w:t>
      </w:r>
      <w:r w:rsidR="00A26407">
        <w:t xml:space="preserve"> of which $3,000 </w:t>
      </w:r>
      <w:r w:rsidR="00724B87">
        <w:t xml:space="preserve">pertained to </w:t>
      </w:r>
      <w:r w:rsidR="00A26407">
        <w:t xml:space="preserve">failure to file a timely renewal application and $4,000 </w:t>
      </w:r>
      <w:r w:rsidR="00B36ECE">
        <w:t xml:space="preserve">to </w:t>
      </w:r>
      <w:r w:rsidR="002A6B0E">
        <w:t xml:space="preserve">the resulting </w:t>
      </w:r>
      <w:r w:rsidR="00A26407">
        <w:t>unauthorized operation</w:t>
      </w:r>
      <w:r>
        <w:t>.</w:t>
      </w:r>
      <w:r>
        <w:rPr>
          <w:rStyle w:val="FootnoteReference"/>
        </w:rPr>
        <w:footnoteReference w:id="19"/>
      </w:r>
      <w:r>
        <w:t xml:space="preserve"> </w:t>
      </w:r>
      <w:r w:rsidR="00D075F0">
        <w:t xml:space="preserve"> </w:t>
      </w:r>
      <w:r w:rsidR="00B62DE1">
        <w:t>T</w:t>
      </w:r>
      <w:r w:rsidR="00D075F0">
        <w:t>he Bureau</w:t>
      </w:r>
      <w:r w:rsidR="00B62DE1">
        <w:t xml:space="preserve"> arrived at the proposed forfeiture amount after considering </w:t>
      </w:r>
      <w:r w:rsidR="00A60E88">
        <w:t xml:space="preserve">several </w:t>
      </w:r>
      <w:r w:rsidR="00D075F0">
        <w:t xml:space="preserve">case-specific </w:t>
      </w:r>
      <w:r w:rsidR="000779AD">
        <w:t>circumstances</w:t>
      </w:r>
      <w:r>
        <w:rPr>
          <w:rStyle w:val="FootnoteReference"/>
        </w:rPr>
        <w:footnoteReference w:id="20"/>
      </w:r>
      <w:r w:rsidR="00B62DE1">
        <w:t xml:space="preserve"> but </w:t>
      </w:r>
      <w:r w:rsidR="00A46AE5">
        <w:t xml:space="preserve">declined to reduce the amount </w:t>
      </w:r>
      <w:r w:rsidR="009E1745">
        <w:t>for</w:t>
      </w:r>
      <w:r w:rsidR="006E3301">
        <w:t xml:space="preserve"> </w:t>
      </w:r>
      <w:r w:rsidR="007E6EB6">
        <w:t xml:space="preserve">additional </w:t>
      </w:r>
      <w:r w:rsidR="006E3301">
        <w:t xml:space="preserve">factors </w:t>
      </w:r>
      <w:r w:rsidR="00A46AE5">
        <w:t xml:space="preserve">suggested by </w:t>
      </w:r>
      <w:r w:rsidR="00D075F0">
        <w:t>Diponti</w:t>
      </w:r>
      <w:r w:rsidR="00D075F0">
        <w:t xml:space="preserve">.  </w:t>
      </w:r>
      <w:r w:rsidR="00D075F0">
        <w:rPr>
          <w:szCs w:val="22"/>
        </w:rPr>
        <w:t xml:space="preserve">In particular, the Bureau rejected </w:t>
      </w:r>
      <w:r w:rsidR="00D075F0">
        <w:rPr>
          <w:szCs w:val="22"/>
        </w:rPr>
        <w:t>Diponti’s</w:t>
      </w:r>
      <w:r w:rsidR="00635CDF">
        <w:rPr>
          <w:szCs w:val="22"/>
        </w:rPr>
        <w:t xml:space="preserve"> </w:t>
      </w:r>
      <w:r w:rsidR="000328AC">
        <w:rPr>
          <w:szCs w:val="22"/>
        </w:rPr>
        <w:t>argument that the</w:t>
      </w:r>
      <w:r w:rsidR="009E1745">
        <w:rPr>
          <w:szCs w:val="22"/>
        </w:rPr>
        <w:t xml:space="preserve"> </w:t>
      </w:r>
      <w:r w:rsidR="00D075F0">
        <w:rPr>
          <w:szCs w:val="22"/>
        </w:rPr>
        <w:t>discrepancy between expiration dates in the Consent Decree and in the LMS database</w:t>
      </w:r>
      <w:r w:rsidR="000328AC">
        <w:rPr>
          <w:szCs w:val="22"/>
        </w:rPr>
        <w:t xml:space="preserve"> was a mitigating factor</w:t>
      </w:r>
      <w:r w:rsidR="003720B5">
        <w:rPr>
          <w:szCs w:val="22"/>
        </w:rPr>
        <w:t xml:space="preserve">.  The Bureau </w:t>
      </w:r>
      <w:r w:rsidR="000328AC">
        <w:rPr>
          <w:szCs w:val="22"/>
        </w:rPr>
        <w:t>found</w:t>
      </w:r>
      <w:r w:rsidR="003720B5">
        <w:rPr>
          <w:szCs w:val="22"/>
        </w:rPr>
        <w:t xml:space="preserve"> t</w:t>
      </w:r>
      <w:r w:rsidR="00D075F0">
        <w:rPr>
          <w:szCs w:val="22"/>
        </w:rPr>
        <w:t xml:space="preserve">hat an LMS error could not have caused </w:t>
      </w:r>
      <w:r w:rsidR="00A976D8">
        <w:rPr>
          <w:szCs w:val="22"/>
        </w:rPr>
        <w:t xml:space="preserve">the </w:t>
      </w:r>
      <w:r w:rsidR="00D075F0">
        <w:rPr>
          <w:szCs w:val="22"/>
        </w:rPr>
        <w:t xml:space="preserve">violations because that database did not come online until April 2019, about 21 months after </w:t>
      </w:r>
      <w:r w:rsidR="00A976D8">
        <w:rPr>
          <w:szCs w:val="22"/>
        </w:rPr>
        <w:t>Diponti</w:t>
      </w:r>
      <w:r w:rsidR="00A976D8">
        <w:rPr>
          <w:szCs w:val="22"/>
        </w:rPr>
        <w:t xml:space="preserve"> missed the renewal </w:t>
      </w:r>
      <w:r w:rsidR="00D075F0">
        <w:rPr>
          <w:szCs w:val="22"/>
        </w:rPr>
        <w:t>filing</w:t>
      </w:r>
      <w:r w:rsidR="00A976D8">
        <w:rPr>
          <w:szCs w:val="22"/>
        </w:rPr>
        <w:t xml:space="preserve"> </w:t>
      </w:r>
      <w:r w:rsidR="00D075F0">
        <w:rPr>
          <w:szCs w:val="22"/>
        </w:rPr>
        <w:t>d</w:t>
      </w:r>
      <w:r w:rsidR="00A976D8">
        <w:rPr>
          <w:szCs w:val="22"/>
        </w:rPr>
        <w:t xml:space="preserve">eadline </w:t>
      </w:r>
      <w:r w:rsidR="00D075F0">
        <w:rPr>
          <w:szCs w:val="22"/>
        </w:rPr>
        <w:t xml:space="preserve">and </w:t>
      </w:r>
      <w:r w:rsidR="00BF47B6">
        <w:rPr>
          <w:szCs w:val="22"/>
        </w:rPr>
        <w:t xml:space="preserve">about </w:t>
      </w:r>
      <w:r w:rsidR="00D075F0">
        <w:rPr>
          <w:szCs w:val="22"/>
        </w:rPr>
        <w:t xml:space="preserve">17 months after </w:t>
      </w:r>
      <w:r w:rsidR="00A976D8">
        <w:rPr>
          <w:szCs w:val="22"/>
        </w:rPr>
        <w:t>Diponti</w:t>
      </w:r>
      <w:r w:rsidR="00A976D8">
        <w:rPr>
          <w:szCs w:val="22"/>
        </w:rPr>
        <w:t xml:space="preserve"> began to operate with an expired </w:t>
      </w:r>
      <w:r w:rsidR="00D075F0">
        <w:rPr>
          <w:szCs w:val="22"/>
        </w:rPr>
        <w:t xml:space="preserve">license.  Further, because the Consent Decree and short-term renewal occurred within days of </w:t>
      </w:r>
      <w:r w:rsidR="00D075F0">
        <w:rPr>
          <w:szCs w:val="22"/>
        </w:rPr>
        <w:t>Diponti</w:t>
      </w:r>
      <w:r w:rsidR="00635CDF">
        <w:rPr>
          <w:szCs w:val="22"/>
        </w:rPr>
        <w:t>’s</w:t>
      </w:r>
      <w:r w:rsidR="00D075F0">
        <w:rPr>
          <w:szCs w:val="22"/>
        </w:rPr>
        <w:t xml:space="preserve"> application to acquire the Station, the Bureau </w:t>
      </w:r>
      <w:r w:rsidR="000328AC">
        <w:rPr>
          <w:szCs w:val="22"/>
        </w:rPr>
        <w:t>stated</w:t>
      </w:r>
      <w:r w:rsidR="00D075F0">
        <w:rPr>
          <w:szCs w:val="22"/>
        </w:rPr>
        <w:t xml:space="preserve"> that </w:t>
      </w:r>
      <w:r w:rsidR="00D075F0">
        <w:rPr>
          <w:szCs w:val="22"/>
        </w:rPr>
        <w:t>Diponti</w:t>
      </w:r>
      <w:r w:rsidR="00D075F0">
        <w:rPr>
          <w:szCs w:val="22"/>
        </w:rPr>
        <w:t xml:space="preserve"> should have been on notice of the short</w:t>
      </w:r>
      <w:r w:rsidR="00A16C18">
        <w:rPr>
          <w:szCs w:val="22"/>
        </w:rPr>
        <w:t>-</w:t>
      </w:r>
      <w:r w:rsidR="00D075F0">
        <w:rPr>
          <w:szCs w:val="22"/>
        </w:rPr>
        <w:t>term renewal as part of its due diligence.</w:t>
      </w:r>
      <w:r>
        <w:rPr>
          <w:rStyle w:val="FootnoteReference"/>
        </w:rPr>
        <w:footnoteReference w:id="21"/>
      </w:r>
      <w:r w:rsidR="00D075F0">
        <w:rPr>
          <w:szCs w:val="22"/>
        </w:rPr>
        <w:t xml:space="preserve">  </w:t>
      </w:r>
      <w:r>
        <w:t xml:space="preserve">The </w:t>
      </w:r>
      <w:r w:rsidR="00A26407">
        <w:t>NAL g</w:t>
      </w:r>
      <w:r>
        <w:t xml:space="preserve">ave </w:t>
      </w:r>
      <w:r w:rsidR="00A26407">
        <w:t>Diponti</w:t>
      </w:r>
      <w:r>
        <w:t xml:space="preserve"> </w:t>
      </w:r>
      <w:r w:rsidRPr="000D07AD">
        <w:t xml:space="preserve">thirty days </w:t>
      </w:r>
      <w:r w:rsidR="00576843">
        <w:t xml:space="preserve">either </w:t>
      </w:r>
      <w:r>
        <w:t xml:space="preserve">to pay </w:t>
      </w:r>
      <w:r w:rsidRPr="005D63BE">
        <w:t xml:space="preserve">the full amount or </w:t>
      </w:r>
      <w:r w:rsidR="00EE0990">
        <w:t xml:space="preserve">to </w:t>
      </w:r>
      <w:r w:rsidRPr="005D63BE">
        <w:t>seek</w:t>
      </w:r>
      <w:r w:rsidR="00EE0990">
        <w:t xml:space="preserve"> </w:t>
      </w:r>
      <w:r w:rsidRPr="005D63BE">
        <w:t>reduction or cancellation</w:t>
      </w:r>
      <w:r>
        <w:t>.</w:t>
      </w:r>
      <w:r>
        <w:rPr>
          <w:rStyle w:val="FootnoteReference"/>
        </w:rPr>
        <w:footnoteReference w:id="22"/>
      </w:r>
      <w:r>
        <w:t xml:space="preserve">  </w:t>
      </w:r>
      <w:r w:rsidR="00640A44">
        <w:rPr>
          <w:bCs/>
          <w:szCs w:val="22"/>
        </w:rPr>
        <w:t>The Bureau</w:t>
      </w:r>
      <w:r>
        <w:rPr>
          <w:bCs/>
          <w:szCs w:val="22"/>
        </w:rPr>
        <w:t xml:space="preserve"> stated that </w:t>
      </w:r>
      <w:r w:rsidR="00635CDF">
        <w:rPr>
          <w:bCs/>
          <w:szCs w:val="22"/>
        </w:rPr>
        <w:t>it intended to grant the 2020 Application upon completion of the forfeiture proceeding</w:t>
      </w:r>
      <w:r w:rsidR="003617D9">
        <w:rPr>
          <w:bCs/>
          <w:szCs w:val="22"/>
        </w:rPr>
        <w:t xml:space="preserve"> if no other issues arose</w:t>
      </w:r>
      <w:r w:rsidR="00CB1999">
        <w:rPr>
          <w:bCs/>
          <w:szCs w:val="22"/>
        </w:rPr>
        <w:t>.</w:t>
      </w:r>
      <w:r>
        <w:rPr>
          <w:rStyle w:val="FootnoteReference"/>
          <w:bCs/>
          <w:szCs w:val="22"/>
        </w:rPr>
        <w:footnoteReference w:id="23"/>
      </w:r>
      <w:r w:rsidR="00CB1999">
        <w:rPr>
          <w:bCs/>
          <w:szCs w:val="22"/>
        </w:rPr>
        <w:t xml:space="preserve">  </w:t>
      </w:r>
      <w:r w:rsidR="001E1037">
        <w:rPr>
          <w:bCs/>
          <w:szCs w:val="22"/>
        </w:rPr>
        <w:t>D</w:t>
      </w:r>
      <w:r w:rsidR="005E35A3">
        <w:rPr>
          <w:bCs/>
          <w:szCs w:val="22"/>
        </w:rPr>
        <w:t>i</w:t>
      </w:r>
      <w:r w:rsidR="001E1037">
        <w:rPr>
          <w:bCs/>
          <w:szCs w:val="22"/>
        </w:rPr>
        <w:t>ponti</w:t>
      </w:r>
      <w:r w:rsidR="001E1037">
        <w:rPr>
          <w:bCs/>
          <w:szCs w:val="22"/>
        </w:rPr>
        <w:t xml:space="preserve"> has since filed an additional license renewal application during the standard renewal cycle for Rhode Island stations.</w:t>
      </w:r>
      <w:r>
        <w:rPr>
          <w:rStyle w:val="FootnoteReference"/>
          <w:bCs/>
          <w:szCs w:val="22"/>
        </w:rPr>
        <w:footnoteReference w:id="24"/>
      </w:r>
    </w:p>
    <w:p w:rsidR="00792E64" w:rsidP="00262592" w14:paraId="59F398CF" w14:textId="68CD45EC">
      <w:pPr>
        <w:pStyle w:val="ParaNum"/>
        <w:widowControl/>
        <w:rPr>
          <w:szCs w:val="22"/>
        </w:rPr>
      </w:pPr>
      <w:r>
        <w:rPr>
          <w:szCs w:val="22"/>
        </w:rPr>
        <w:t xml:space="preserve">On October 21, 2021, </w:t>
      </w:r>
      <w:r w:rsidRPr="006D7549">
        <w:rPr>
          <w:szCs w:val="22"/>
        </w:rPr>
        <w:t>D</w:t>
      </w:r>
      <w:r w:rsidR="000D337F">
        <w:rPr>
          <w:szCs w:val="22"/>
        </w:rPr>
        <w:t>i</w:t>
      </w:r>
      <w:r w:rsidRPr="006D7549">
        <w:rPr>
          <w:szCs w:val="22"/>
        </w:rPr>
        <w:t>ponti</w:t>
      </w:r>
      <w:r w:rsidRPr="006D7549">
        <w:rPr>
          <w:szCs w:val="22"/>
        </w:rPr>
        <w:t xml:space="preserve"> </w:t>
      </w:r>
      <w:r>
        <w:rPr>
          <w:szCs w:val="22"/>
        </w:rPr>
        <w:t xml:space="preserve">filed a document </w:t>
      </w:r>
      <w:r w:rsidRPr="006D7549">
        <w:rPr>
          <w:szCs w:val="22"/>
        </w:rPr>
        <w:t>styled as a Petition for Reconsideration</w:t>
      </w:r>
      <w:r>
        <w:rPr>
          <w:rStyle w:val="FootnoteReference"/>
          <w:szCs w:val="22"/>
        </w:rPr>
        <w:footnoteReference w:id="25"/>
      </w:r>
      <w:r w:rsidRPr="006D7549">
        <w:rPr>
          <w:szCs w:val="22"/>
        </w:rPr>
        <w:t xml:space="preserve"> </w:t>
      </w:r>
      <w:r>
        <w:rPr>
          <w:szCs w:val="22"/>
        </w:rPr>
        <w:t xml:space="preserve">in which it </w:t>
      </w:r>
      <w:r>
        <w:rPr>
          <w:szCs w:val="22"/>
        </w:rPr>
        <w:t>seeks cancellation or reduction of the proposed forfeiture</w:t>
      </w:r>
      <w:r>
        <w:rPr>
          <w:szCs w:val="22"/>
        </w:rPr>
        <w:t>.  The Petition</w:t>
      </w:r>
      <w:r>
        <w:rPr>
          <w:szCs w:val="22"/>
        </w:rPr>
        <w:t xml:space="preserve"> </w:t>
      </w:r>
      <w:r w:rsidR="00EC2B65">
        <w:rPr>
          <w:szCs w:val="22"/>
        </w:rPr>
        <w:t>makes</w:t>
      </w:r>
      <w:r>
        <w:rPr>
          <w:szCs w:val="22"/>
        </w:rPr>
        <w:t xml:space="preserve"> the following arguments:  (1) </w:t>
      </w:r>
      <w:r>
        <w:rPr>
          <w:szCs w:val="22"/>
        </w:rPr>
        <w:t>Diponti</w:t>
      </w:r>
      <w:r>
        <w:rPr>
          <w:szCs w:val="22"/>
        </w:rPr>
        <w:t xml:space="preserve"> acted in good faith</w:t>
      </w:r>
      <w:r w:rsidR="002C6300">
        <w:rPr>
          <w:szCs w:val="22"/>
        </w:rPr>
        <w:t xml:space="preserve"> because it </w:t>
      </w:r>
      <w:r w:rsidR="00E9045F">
        <w:rPr>
          <w:szCs w:val="22"/>
        </w:rPr>
        <w:t xml:space="preserve">was not responsible for </w:t>
      </w:r>
      <w:r w:rsidR="00F62D2A">
        <w:rPr>
          <w:szCs w:val="22"/>
        </w:rPr>
        <w:t>Harvest</w:t>
      </w:r>
      <w:r w:rsidR="005E35A3">
        <w:rPr>
          <w:szCs w:val="22"/>
        </w:rPr>
        <w:t>’s</w:t>
      </w:r>
      <w:r w:rsidR="00F62D2A">
        <w:rPr>
          <w:szCs w:val="22"/>
        </w:rPr>
        <w:t xml:space="preserve"> </w:t>
      </w:r>
      <w:r w:rsidR="00E9045F">
        <w:rPr>
          <w:szCs w:val="22"/>
        </w:rPr>
        <w:t>misconduct that</w:t>
      </w:r>
      <w:r w:rsidR="00EE6F0B">
        <w:rPr>
          <w:szCs w:val="22"/>
        </w:rPr>
        <w:t xml:space="preserve"> resulted in the short-term renewal</w:t>
      </w:r>
      <w:r w:rsidR="00F62D2A">
        <w:rPr>
          <w:szCs w:val="22"/>
        </w:rPr>
        <w:t xml:space="preserve">; (2) </w:t>
      </w:r>
      <w:r w:rsidR="00EE5FCA">
        <w:rPr>
          <w:szCs w:val="22"/>
        </w:rPr>
        <w:t>Diponti’s</w:t>
      </w:r>
      <w:r w:rsidR="00EE5FCA">
        <w:rPr>
          <w:szCs w:val="22"/>
        </w:rPr>
        <w:t xml:space="preserve"> broadcasts</w:t>
      </w:r>
      <w:r>
        <w:rPr>
          <w:szCs w:val="22"/>
        </w:rPr>
        <w:t xml:space="preserve"> </w:t>
      </w:r>
      <w:r w:rsidR="00EE5FCA">
        <w:rPr>
          <w:szCs w:val="22"/>
        </w:rPr>
        <w:t>after</w:t>
      </w:r>
      <w:r>
        <w:rPr>
          <w:szCs w:val="22"/>
        </w:rPr>
        <w:t xml:space="preserve"> th</w:t>
      </w:r>
      <w:r w:rsidR="00F62D2A">
        <w:rPr>
          <w:szCs w:val="22"/>
        </w:rPr>
        <w:t>e</w:t>
      </w:r>
      <w:r>
        <w:rPr>
          <w:szCs w:val="22"/>
        </w:rPr>
        <w:t xml:space="preserve"> expiration date provided a public service </w:t>
      </w:r>
      <w:r w:rsidR="00EE6F0B">
        <w:rPr>
          <w:szCs w:val="22"/>
        </w:rPr>
        <w:t xml:space="preserve">without </w:t>
      </w:r>
      <w:r>
        <w:rPr>
          <w:szCs w:val="22"/>
        </w:rPr>
        <w:t>caus</w:t>
      </w:r>
      <w:r w:rsidR="00EE6F0B">
        <w:rPr>
          <w:szCs w:val="22"/>
        </w:rPr>
        <w:t>ing</w:t>
      </w:r>
      <w:r>
        <w:rPr>
          <w:szCs w:val="22"/>
        </w:rPr>
        <w:t xml:space="preserve"> interference to any other station; (</w:t>
      </w:r>
      <w:r w:rsidR="00F62D2A">
        <w:rPr>
          <w:szCs w:val="22"/>
        </w:rPr>
        <w:t>3</w:t>
      </w:r>
      <w:r>
        <w:rPr>
          <w:szCs w:val="22"/>
        </w:rPr>
        <w:t xml:space="preserve">) </w:t>
      </w:r>
      <w:r w:rsidR="005255AD">
        <w:rPr>
          <w:szCs w:val="22"/>
        </w:rPr>
        <w:t>Diponti</w:t>
      </w:r>
      <w:r w:rsidR="005255AD">
        <w:rPr>
          <w:szCs w:val="22"/>
        </w:rPr>
        <w:t xml:space="preserve"> has a record of compliance with </w:t>
      </w:r>
      <w:r>
        <w:rPr>
          <w:szCs w:val="22"/>
        </w:rPr>
        <w:t xml:space="preserve">the </w:t>
      </w:r>
      <w:r w:rsidR="005255AD">
        <w:rPr>
          <w:szCs w:val="22"/>
        </w:rPr>
        <w:t>Rule</w:t>
      </w:r>
      <w:r w:rsidR="005E35A3">
        <w:rPr>
          <w:szCs w:val="22"/>
        </w:rPr>
        <w:t>s</w:t>
      </w:r>
      <w:r w:rsidR="005255AD">
        <w:rPr>
          <w:szCs w:val="22"/>
        </w:rPr>
        <w:t>; (</w:t>
      </w:r>
      <w:r w:rsidR="00F62D2A">
        <w:rPr>
          <w:szCs w:val="22"/>
        </w:rPr>
        <w:t>4</w:t>
      </w:r>
      <w:r w:rsidR="005255AD">
        <w:rPr>
          <w:szCs w:val="22"/>
        </w:rPr>
        <w:t xml:space="preserve">) </w:t>
      </w:r>
      <w:r w:rsidR="00F62D2A">
        <w:rPr>
          <w:szCs w:val="22"/>
        </w:rPr>
        <w:t xml:space="preserve">the </w:t>
      </w:r>
      <w:r>
        <w:rPr>
          <w:szCs w:val="22"/>
        </w:rPr>
        <w:t>Bureau</w:t>
      </w:r>
      <w:r w:rsidR="00EB196D">
        <w:rPr>
          <w:szCs w:val="22"/>
        </w:rPr>
        <w:t xml:space="preserve"> incorrectly </w:t>
      </w:r>
      <w:r w:rsidR="00E400E5">
        <w:rPr>
          <w:szCs w:val="22"/>
        </w:rPr>
        <w:t>discounted</w:t>
      </w:r>
      <w:r w:rsidR="00EB196D">
        <w:rPr>
          <w:szCs w:val="22"/>
        </w:rPr>
        <w:t xml:space="preserve"> the LMS database </w:t>
      </w:r>
      <w:r w:rsidR="00E400E5">
        <w:rPr>
          <w:szCs w:val="22"/>
        </w:rPr>
        <w:t xml:space="preserve">error </w:t>
      </w:r>
      <w:r w:rsidR="002114EE">
        <w:rPr>
          <w:szCs w:val="22"/>
        </w:rPr>
        <w:t xml:space="preserve">because, although </w:t>
      </w:r>
      <w:r w:rsidR="00B2478B">
        <w:rPr>
          <w:szCs w:val="22"/>
        </w:rPr>
        <w:t xml:space="preserve">it is true that </w:t>
      </w:r>
      <w:r w:rsidR="00E400E5">
        <w:rPr>
          <w:szCs w:val="22"/>
        </w:rPr>
        <w:t>LMS</w:t>
      </w:r>
      <w:r w:rsidR="002114EE">
        <w:rPr>
          <w:szCs w:val="22"/>
        </w:rPr>
        <w:t xml:space="preserve"> did not yet exist at the time of violation, the </w:t>
      </w:r>
      <w:r w:rsidR="00E400E5">
        <w:rPr>
          <w:szCs w:val="22"/>
        </w:rPr>
        <w:t xml:space="preserve">same </w:t>
      </w:r>
      <w:r>
        <w:rPr>
          <w:szCs w:val="22"/>
        </w:rPr>
        <w:t xml:space="preserve">erroneous </w:t>
      </w:r>
      <w:r w:rsidR="00B3018E">
        <w:rPr>
          <w:szCs w:val="22"/>
        </w:rPr>
        <w:t xml:space="preserve">expiration </w:t>
      </w:r>
      <w:r>
        <w:rPr>
          <w:szCs w:val="22"/>
        </w:rPr>
        <w:t xml:space="preserve">date </w:t>
      </w:r>
      <w:r w:rsidR="00E400E5">
        <w:rPr>
          <w:szCs w:val="22"/>
        </w:rPr>
        <w:t>appear</w:t>
      </w:r>
      <w:r w:rsidR="00F62D2A">
        <w:rPr>
          <w:szCs w:val="22"/>
        </w:rPr>
        <w:t>s</w:t>
      </w:r>
      <w:r w:rsidR="00E400E5">
        <w:rPr>
          <w:szCs w:val="22"/>
        </w:rPr>
        <w:t xml:space="preserve"> in the </w:t>
      </w:r>
      <w:r w:rsidR="00454918">
        <w:rPr>
          <w:szCs w:val="22"/>
        </w:rPr>
        <w:t xml:space="preserve">Consolidated </w:t>
      </w:r>
      <w:r w:rsidR="009415B7">
        <w:rPr>
          <w:szCs w:val="22"/>
        </w:rPr>
        <w:t>Database System (</w:t>
      </w:r>
      <w:r>
        <w:rPr>
          <w:szCs w:val="22"/>
        </w:rPr>
        <w:t>CDBS</w:t>
      </w:r>
      <w:r w:rsidR="009415B7">
        <w:rPr>
          <w:szCs w:val="22"/>
        </w:rPr>
        <w:t>)</w:t>
      </w:r>
      <w:r w:rsidR="00B3018E">
        <w:rPr>
          <w:szCs w:val="22"/>
        </w:rPr>
        <w:t xml:space="preserve"> database which was in use at th</w:t>
      </w:r>
      <w:r w:rsidR="00F62D2A">
        <w:rPr>
          <w:szCs w:val="22"/>
        </w:rPr>
        <w:t>e relevant</w:t>
      </w:r>
      <w:r w:rsidR="00B3018E">
        <w:rPr>
          <w:szCs w:val="22"/>
        </w:rPr>
        <w:t xml:space="preserve"> time; (</w:t>
      </w:r>
      <w:r w:rsidR="00F62D2A">
        <w:rPr>
          <w:szCs w:val="22"/>
        </w:rPr>
        <w:t>5</w:t>
      </w:r>
      <w:r w:rsidR="00B3018E">
        <w:rPr>
          <w:szCs w:val="22"/>
        </w:rPr>
        <w:t xml:space="preserve">) </w:t>
      </w:r>
      <w:r w:rsidR="00260F8D">
        <w:rPr>
          <w:szCs w:val="22"/>
        </w:rPr>
        <w:t xml:space="preserve">the </w:t>
      </w:r>
      <w:r w:rsidR="00B8063D">
        <w:rPr>
          <w:szCs w:val="22"/>
        </w:rPr>
        <w:t xml:space="preserve">violation </w:t>
      </w:r>
      <w:r w:rsidR="005F0203">
        <w:rPr>
          <w:szCs w:val="22"/>
        </w:rPr>
        <w:t xml:space="preserve">occurred over a shorter period </w:t>
      </w:r>
      <w:r w:rsidR="0098541B">
        <w:rPr>
          <w:szCs w:val="22"/>
        </w:rPr>
        <w:t xml:space="preserve">than </w:t>
      </w:r>
      <w:r w:rsidR="00E214A1">
        <w:rPr>
          <w:szCs w:val="22"/>
        </w:rPr>
        <w:t xml:space="preserve">the Bureau </w:t>
      </w:r>
      <w:r w:rsidR="009415B7">
        <w:rPr>
          <w:szCs w:val="22"/>
        </w:rPr>
        <w:t>determined</w:t>
      </w:r>
      <w:r w:rsidR="0098541B">
        <w:rPr>
          <w:szCs w:val="22"/>
        </w:rPr>
        <w:t xml:space="preserve"> </w:t>
      </w:r>
      <w:r w:rsidR="00F62D2A">
        <w:rPr>
          <w:szCs w:val="22"/>
        </w:rPr>
        <w:t xml:space="preserve">because </w:t>
      </w:r>
      <w:r w:rsidR="00D67D92">
        <w:rPr>
          <w:szCs w:val="22"/>
        </w:rPr>
        <w:t xml:space="preserve">grant of the Covering License on </w:t>
      </w:r>
      <w:r w:rsidR="00E214A1">
        <w:rPr>
          <w:szCs w:val="22"/>
        </w:rPr>
        <w:t>J</w:t>
      </w:r>
      <w:r w:rsidR="00F62D2A">
        <w:rPr>
          <w:szCs w:val="22"/>
        </w:rPr>
        <w:t xml:space="preserve">anuary 9, 2020 </w:t>
      </w:r>
      <w:r w:rsidR="00D67D92">
        <w:rPr>
          <w:szCs w:val="22"/>
        </w:rPr>
        <w:t xml:space="preserve">purportedly </w:t>
      </w:r>
      <w:r w:rsidR="00F62D2A">
        <w:rPr>
          <w:szCs w:val="22"/>
        </w:rPr>
        <w:t>g</w:t>
      </w:r>
      <w:r w:rsidR="00D67D92">
        <w:rPr>
          <w:szCs w:val="22"/>
        </w:rPr>
        <w:t xml:space="preserve">ave </w:t>
      </w:r>
      <w:r w:rsidR="00D67D92">
        <w:rPr>
          <w:szCs w:val="22"/>
        </w:rPr>
        <w:t>Diponti</w:t>
      </w:r>
      <w:r w:rsidR="00D67D92">
        <w:rPr>
          <w:szCs w:val="22"/>
        </w:rPr>
        <w:t xml:space="preserve"> operating authority from that point forward</w:t>
      </w:r>
      <w:r w:rsidR="005255AD">
        <w:rPr>
          <w:szCs w:val="22"/>
        </w:rPr>
        <w:t>; and (</w:t>
      </w:r>
      <w:r w:rsidR="00F62D2A">
        <w:rPr>
          <w:szCs w:val="22"/>
        </w:rPr>
        <w:t>6</w:t>
      </w:r>
      <w:r w:rsidR="005255AD">
        <w:rPr>
          <w:szCs w:val="22"/>
        </w:rPr>
        <w:t xml:space="preserve">) </w:t>
      </w:r>
      <w:r w:rsidR="00F62D2A">
        <w:rPr>
          <w:szCs w:val="22"/>
        </w:rPr>
        <w:t>Diponti</w:t>
      </w:r>
      <w:r w:rsidR="00F62D2A">
        <w:rPr>
          <w:szCs w:val="22"/>
        </w:rPr>
        <w:t xml:space="preserve"> </w:t>
      </w:r>
      <w:r w:rsidR="000C3E63">
        <w:rPr>
          <w:szCs w:val="22"/>
        </w:rPr>
        <w:t xml:space="preserve">was unaware </w:t>
      </w:r>
      <w:r w:rsidR="00F62D2A">
        <w:rPr>
          <w:szCs w:val="22"/>
        </w:rPr>
        <w:t xml:space="preserve">that </w:t>
      </w:r>
      <w:r w:rsidR="00B8063D">
        <w:rPr>
          <w:szCs w:val="22"/>
        </w:rPr>
        <w:t xml:space="preserve">its </w:t>
      </w:r>
      <w:r w:rsidR="00F62D2A">
        <w:rPr>
          <w:szCs w:val="22"/>
        </w:rPr>
        <w:t xml:space="preserve">license </w:t>
      </w:r>
      <w:r w:rsidR="000C3E63">
        <w:rPr>
          <w:szCs w:val="22"/>
        </w:rPr>
        <w:t xml:space="preserve">had expired </w:t>
      </w:r>
      <w:r w:rsidR="00F62D2A">
        <w:rPr>
          <w:szCs w:val="22"/>
        </w:rPr>
        <w:t xml:space="preserve">because </w:t>
      </w:r>
      <w:r w:rsidRPr="00A0280E" w:rsidR="00A0280E">
        <w:rPr>
          <w:szCs w:val="22"/>
        </w:rPr>
        <w:t xml:space="preserve">the </w:t>
      </w:r>
      <w:r w:rsidR="00A0280E">
        <w:rPr>
          <w:szCs w:val="22"/>
        </w:rPr>
        <w:t xml:space="preserve">Commission continued to </w:t>
      </w:r>
      <w:r w:rsidRPr="00A0280E" w:rsidR="00A0280E">
        <w:rPr>
          <w:szCs w:val="22"/>
        </w:rPr>
        <w:t>assess regulatory fee</w:t>
      </w:r>
      <w:r w:rsidR="00A0280E">
        <w:rPr>
          <w:szCs w:val="22"/>
        </w:rPr>
        <w:t xml:space="preserve">s </w:t>
      </w:r>
      <w:r w:rsidR="00FA4EC1">
        <w:rPr>
          <w:szCs w:val="22"/>
        </w:rPr>
        <w:t xml:space="preserve">and the </w:t>
      </w:r>
      <w:r w:rsidR="00F62D2A">
        <w:rPr>
          <w:szCs w:val="22"/>
        </w:rPr>
        <w:t>S</w:t>
      </w:r>
      <w:r w:rsidR="00FA4EC1">
        <w:rPr>
          <w:szCs w:val="22"/>
        </w:rPr>
        <w:t xml:space="preserve">tation </w:t>
      </w:r>
      <w:r w:rsidR="007C5E50">
        <w:rPr>
          <w:szCs w:val="22"/>
        </w:rPr>
        <w:t xml:space="preserve">would have </w:t>
      </w:r>
      <w:r w:rsidR="00FA4EC1">
        <w:rPr>
          <w:szCs w:val="22"/>
        </w:rPr>
        <w:t xml:space="preserve">continued to </w:t>
      </w:r>
      <w:r w:rsidR="00DE016A">
        <w:rPr>
          <w:szCs w:val="22"/>
        </w:rPr>
        <w:t xml:space="preserve">show as “licensed” in FM </w:t>
      </w:r>
      <w:r w:rsidR="00E4250E">
        <w:rPr>
          <w:szCs w:val="22"/>
        </w:rPr>
        <w:t>q</w:t>
      </w:r>
      <w:r w:rsidR="00DE016A">
        <w:rPr>
          <w:szCs w:val="22"/>
        </w:rPr>
        <w:t xml:space="preserve">ueries performed </w:t>
      </w:r>
      <w:r w:rsidR="00FA4EC1">
        <w:rPr>
          <w:szCs w:val="22"/>
        </w:rPr>
        <w:t xml:space="preserve">in the </w:t>
      </w:r>
      <w:r w:rsidR="00F62D2A">
        <w:rPr>
          <w:szCs w:val="22"/>
        </w:rPr>
        <w:t xml:space="preserve">Commission’s </w:t>
      </w:r>
      <w:r w:rsidR="00FA4EC1">
        <w:rPr>
          <w:szCs w:val="22"/>
        </w:rPr>
        <w:t>database</w:t>
      </w:r>
      <w:r w:rsidR="00F62D2A">
        <w:rPr>
          <w:szCs w:val="22"/>
        </w:rPr>
        <w:t>s.</w:t>
      </w:r>
      <w:r>
        <w:rPr>
          <w:rStyle w:val="FootnoteReference"/>
          <w:szCs w:val="22"/>
        </w:rPr>
        <w:footnoteReference w:id="26"/>
      </w:r>
      <w:r w:rsidR="00F62D2A">
        <w:rPr>
          <w:szCs w:val="22"/>
        </w:rPr>
        <w:t xml:space="preserve">  </w:t>
      </w:r>
      <w:r w:rsidR="00D10311">
        <w:rPr>
          <w:szCs w:val="22"/>
        </w:rPr>
        <w:t xml:space="preserve">In support of these arguments, </w:t>
      </w:r>
      <w:r w:rsidR="00D10311">
        <w:rPr>
          <w:szCs w:val="22"/>
        </w:rPr>
        <w:t>Diponti</w:t>
      </w:r>
      <w:r w:rsidR="00D10311">
        <w:rPr>
          <w:szCs w:val="22"/>
        </w:rPr>
        <w:t xml:space="preserve"> submits copies of bills for regulatory fees, various database printouts</w:t>
      </w:r>
      <w:r w:rsidR="00B92BEC">
        <w:rPr>
          <w:szCs w:val="22"/>
        </w:rPr>
        <w:t>,</w:t>
      </w:r>
      <w:r w:rsidR="00D10311">
        <w:rPr>
          <w:szCs w:val="22"/>
        </w:rPr>
        <w:t xml:space="preserve"> and a document pertaining to the </w:t>
      </w:r>
      <w:r w:rsidR="00961BD3">
        <w:rPr>
          <w:szCs w:val="22"/>
        </w:rPr>
        <w:t xml:space="preserve">Covering </w:t>
      </w:r>
      <w:r w:rsidR="00D10311">
        <w:rPr>
          <w:szCs w:val="22"/>
        </w:rPr>
        <w:t>License.</w:t>
      </w:r>
      <w:r>
        <w:rPr>
          <w:rStyle w:val="FootnoteReference"/>
          <w:szCs w:val="22"/>
        </w:rPr>
        <w:footnoteReference w:id="27"/>
      </w:r>
      <w:r w:rsidR="00D10311">
        <w:rPr>
          <w:szCs w:val="22"/>
        </w:rPr>
        <w:t xml:space="preserve">  </w:t>
      </w:r>
      <w:r w:rsidR="00F62D2A">
        <w:rPr>
          <w:szCs w:val="22"/>
        </w:rPr>
        <w:t xml:space="preserve">Although </w:t>
      </w:r>
      <w:r w:rsidRPr="00A0280E" w:rsidR="00A0280E">
        <w:rPr>
          <w:szCs w:val="22"/>
        </w:rPr>
        <w:t>Di</w:t>
      </w:r>
      <w:r w:rsidR="00CF2947">
        <w:rPr>
          <w:szCs w:val="22"/>
        </w:rPr>
        <w:t>p</w:t>
      </w:r>
      <w:r w:rsidRPr="00A0280E" w:rsidR="00A0280E">
        <w:rPr>
          <w:szCs w:val="22"/>
        </w:rPr>
        <w:t>onti</w:t>
      </w:r>
      <w:r w:rsidRPr="00A0280E" w:rsidR="00A0280E">
        <w:rPr>
          <w:szCs w:val="22"/>
        </w:rPr>
        <w:t xml:space="preserve"> acknowledges it could have discovered </w:t>
      </w:r>
      <w:r w:rsidR="00CF6C19">
        <w:rPr>
          <w:szCs w:val="22"/>
        </w:rPr>
        <w:t>any</w:t>
      </w:r>
      <w:r w:rsidRPr="00A0280E" w:rsidR="00A0280E">
        <w:rPr>
          <w:szCs w:val="22"/>
        </w:rPr>
        <w:t xml:space="preserve"> </w:t>
      </w:r>
      <w:r w:rsidR="00961BD3">
        <w:rPr>
          <w:szCs w:val="22"/>
        </w:rPr>
        <w:t>discrepancy</w:t>
      </w:r>
      <w:r w:rsidR="00CF6C19">
        <w:rPr>
          <w:szCs w:val="22"/>
        </w:rPr>
        <w:t xml:space="preserve"> </w:t>
      </w:r>
      <w:r w:rsidR="00FB276C">
        <w:rPr>
          <w:szCs w:val="22"/>
        </w:rPr>
        <w:t xml:space="preserve">in expiration dates </w:t>
      </w:r>
      <w:r w:rsidRPr="00A0280E" w:rsidR="00A0280E">
        <w:rPr>
          <w:szCs w:val="22"/>
        </w:rPr>
        <w:t xml:space="preserve">before </w:t>
      </w:r>
      <w:r w:rsidR="00FA4EC1">
        <w:rPr>
          <w:szCs w:val="22"/>
        </w:rPr>
        <w:t>acquir</w:t>
      </w:r>
      <w:r w:rsidR="00961BD3">
        <w:rPr>
          <w:szCs w:val="22"/>
        </w:rPr>
        <w:t>ing</w:t>
      </w:r>
      <w:r w:rsidR="00FA4EC1">
        <w:rPr>
          <w:szCs w:val="22"/>
        </w:rPr>
        <w:t xml:space="preserve"> the Station, it argues that a </w:t>
      </w:r>
      <w:r w:rsidRPr="00A0280E" w:rsidR="00A0280E">
        <w:rPr>
          <w:szCs w:val="22"/>
        </w:rPr>
        <w:t>$7,000 forfeiture</w:t>
      </w:r>
      <w:r w:rsidR="00FA4EC1">
        <w:rPr>
          <w:szCs w:val="22"/>
        </w:rPr>
        <w:t xml:space="preserve"> </w:t>
      </w:r>
      <w:r w:rsidRPr="00A0280E" w:rsidR="00A0280E">
        <w:rPr>
          <w:szCs w:val="22"/>
        </w:rPr>
        <w:t xml:space="preserve">fails to take into account </w:t>
      </w:r>
      <w:r w:rsidR="00255E7D">
        <w:rPr>
          <w:szCs w:val="22"/>
        </w:rPr>
        <w:t xml:space="preserve">its </w:t>
      </w:r>
      <w:r w:rsidRPr="00A0280E" w:rsidR="00A0280E">
        <w:rPr>
          <w:szCs w:val="22"/>
        </w:rPr>
        <w:t>unique</w:t>
      </w:r>
      <w:r w:rsidR="00FA4EC1">
        <w:rPr>
          <w:szCs w:val="22"/>
        </w:rPr>
        <w:t xml:space="preserve"> </w:t>
      </w:r>
      <w:r w:rsidRPr="00A0280E" w:rsidR="00A0280E">
        <w:rPr>
          <w:szCs w:val="22"/>
        </w:rPr>
        <w:t>circumstances</w:t>
      </w:r>
      <w:r w:rsidRPr="00260F8D" w:rsidR="00260F8D">
        <w:rPr>
          <w:szCs w:val="22"/>
        </w:rPr>
        <w:t>.</w:t>
      </w:r>
      <w:r>
        <w:rPr>
          <w:rStyle w:val="FootnoteReference"/>
          <w:szCs w:val="22"/>
        </w:rPr>
        <w:footnoteReference w:id="28"/>
      </w:r>
    </w:p>
    <w:p w:rsidR="005C3CF4" w:rsidRPr="002D710A" w:rsidP="002D710A" w14:paraId="216774AC" w14:textId="22A4B281">
      <w:pPr>
        <w:pStyle w:val="Heading1"/>
        <w:rPr>
          <w:rFonts w:ascii="Times New Roman" w:hAnsi="Times New Roman"/>
          <w:szCs w:val="22"/>
        </w:rPr>
      </w:pPr>
      <w:r w:rsidRPr="00683723">
        <w:rPr>
          <w:rFonts w:ascii="Times New Roman" w:hAnsi="Times New Roman"/>
          <w:szCs w:val="22"/>
        </w:rPr>
        <w:t>DISCUSSION</w:t>
      </w:r>
    </w:p>
    <w:p w:rsidR="007C1741" w:rsidRPr="007C1741" w:rsidP="007C1741" w14:paraId="0441971C" w14:textId="795699BD">
      <w:pPr>
        <w:pStyle w:val="ParaNum"/>
        <w:rPr>
          <w:szCs w:val="22"/>
        </w:rPr>
      </w:pPr>
      <w:r>
        <w:rPr>
          <w:iCs/>
          <w:szCs w:val="22"/>
        </w:rPr>
        <w:t xml:space="preserve">We affirm that a forfeiture is appropriate </w:t>
      </w:r>
      <w:r w:rsidR="008424B7">
        <w:rPr>
          <w:iCs/>
          <w:szCs w:val="22"/>
        </w:rPr>
        <w:t>for</w:t>
      </w:r>
      <w:r w:rsidR="007916F2">
        <w:rPr>
          <w:iCs/>
          <w:szCs w:val="22"/>
        </w:rPr>
        <w:t xml:space="preserve"> </w:t>
      </w:r>
      <w:r w:rsidR="003C064E">
        <w:rPr>
          <w:szCs w:val="22"/>
        </w:rPr>
        <w:t>Diponti</w:t>
      </w:r>
      <w:r w:rsidR="008424B7">
        <w:rPr>
          <w:szCs w:val="22"/>
        </w:rPr>
        <w:t>’s</w:t>
      </w:r>
      <w:r w:rsidRPr="00683723" w:rsidR="003C67E5">
        <w:rPr>
          <w:szCs w:val="22"/>
        </w:rPr>
        <w:t xml:space="preserve"> </w:t>
      </w:r>
      <w:r w:rsidR="00D9747C">
        <w:rPr>
          <w:szCs w:val="22"/>
        </w:rPr>
        <w:t>violat</w:t>
      </w:r>
      <w:r w:rsidR="008424B7">
        <w:rPr>
          <w:szCs w:val="22"/>
        </w:rPr>
        <w:t xml:space="preserve">ions but </w:t>
      </w:r>
      <w:r w:rsidR="007916F2">
        <w:rPr>
          <w:iCs/>
          <w:szCs w:val="22"/>
        </w:rPr>
        <w:t>will adjust the</w:t>
      </w:r>
      <w:r w:rsidR="005B1E28">
        <w:rPr>
          <w:iCs/>
          <w:szCs w:val="22"/>
        </w:rPr>
        <w:t xml:space="preserve"> </w:t>
      </w:r>
      <w:r w:rsidR="007334B1">
        <w:rPr>
          <w:iCs/>
          <w:szCs w:val="22"/>
        </w:rPr>
        <w:t xml:space="preserve">amount </w:t>
      </w:r>
      <w:r w:rsidR="007916F2">
        <w:rPr>
          <w:iCs/>
          <w:szCs w:val="22"/>
        </w:rPr>
        <w:t>based on mitigating circumstances</w:t>
      </w:r>
      <w:r w:rsidR="005B1E28">
        <w:rPr>
          <w:iCs/>
          <w:szCs w:val="22"/>
        </w:rPr>
        <w:t xml:space="preserve"> presented in the Petition</w:t>
      </w:r>
      <w:r w:rsidR="007916F2">
        <w:rPr>
          <w:iCs/>
          <w:szCs w:val="22"/>
        </w:rPr>
        <w:t xml:space="preserve">.  </w:t>
      </w:r>
      <w:r>
        <w:rPr>
          <w:iCs/>
          <w:szCs w:val="22"/>
        </w:rPr>
        <w:t xml:space="preserve">The Commission can adjust a forfeiture amount </w:t>
      </w:r>
      <w:r w:rsidR="00D33939">
        <w:rPr>
          <w:iCs/>
          <w:szCs w:val="22"/>
        </w:rPr>
        <w:t>if warranted by</w:t>
      </w:r>
      <w:r w:rsidR="00A41598">
        <w:rPr>
          <w:iCs/>
          <w:szCs w:val="22"/>
        </w:rPr>
        <w:t xml:space="preserve"> </w:t>
      </w:r>
      <w:r>
        <w:rPr>
          <w:iCs/>
          <w:szCs w:val="22"/>
        </w:rPr>
        <w:t xml:space="preserve">“the nature, </w:t>
      </w:r>
      <w:r w:rsidRPr="00683723">
        <w:rPr>
          <w:szCs w:val="22"/>
        </w:rPr>
        <w:t>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9"/>
      </w:r>
      <w:r>
        <w:rPr>
          <w:szCs w:val="22"/>
        </w:rPr>
        <w:t xml:space="preserve">  </w:t>
      </w:r>
      <w:r w:rsidRPr="00831A33" w:rsidR="00D26123">
        <w:rPr>
          <w:szCs w:val="22"/>
        </w:rPr>
        <w:t>F</w:t>
      </w:r>
      <w:r w:rsidRPr="00831A33" w:rsidR="0052503C">
        <w:rPr>
          <w:szCs w:val="22"/>
        </w:rPr>
        <w:t>irst</w:t>
      </w:r>
      <w:r w:rsidRPr="00831A33" w:rsidR="00D26123">
        <w:rPr>
          <w:szCs w:val="22"/>
        </w:rPr>
        <w:t xml:space="preserve">, we will </w:t>
      </w:r>
      <w:r w:rsidRPr="00831A33" w:rsidR="00EA6129">
        <w:rPr>
          <w:szCs w:val="22"/>
        </w:rPr>
        <w:t>adjust</w:t>
      </w:r>
      <w:r w:rsidRPr="00831A33" w:rsidR="00D26123">
        <w:rPr>
          <w:szCs w:val="22"/>
        </w:rPr>
        <w:t xml:space="preserve"> the</w:t>
      </w:r>
      <w:r w:rsidRPr="00831A33" w:rsidR="00EA6129">
        <w:rPr>
          <w:szCs w:val="22"/>
        </w:rPr>
        <w:t xml:space="preserve"> forfeiture </w:t>
      </w:r>
      <w:r w:rsidRPr="00831A33" w:rsidR="00382A36">
        <w:rPr>
          <w:szCs w:val="22"/>
        </w:rPr>
        <w:t>in light of</w:t>
      </w:r>
      <w:r w:rsidRPr="00831A33" w:rsidR="00D26123">
        <w:rPr>
          <w:szCs w:val="22"/>
        </w:rPr>
        <w:t xml:space="preserve"> </w:t>
      </w:r>
      <w:r w:rsidRPr="00831A33" w:rsidR="00D26123">
        <w:rPr>
          <w:szCs w:val="22"/>
        </w:rPr>
        <w:t>Diponti’s</w:t>
      </w:r>
      <w:r w:rsidRPr="00831A33" w:rsidR="00D26123">
        <w:rPr>
          <w:szCs w:val="22"/>
        </w:rPr>
        <w:t xml:space="preserve"> history of </w:t>
      </w:r>
      <w:r w:rsidRPr="00831A33" w:rsidR="00095236">
        <w:rPr>
          <w:szCs w:val="22"/>
        </w:rPr>
        <w:t>compliance</w:t>
      </w:r>
      <w:r w:rsidRPr="00831A33" w:rsidR="00D26123">
        <w:rPr>
          <w:szCs w:val="22"/>
        </w:rPr>
        <w:t xml:space="preserve">.  </w:t>
      </w:r>
      <w:r w:rsidRPr="00831A33" w:rsidR="007E6811">
        <w:rPr>
          <w:szCs w:val="22"/>
        </w:rPr>
        <w:t xml:space="preserve">We agree with </w:t>
      </w:r>
      <w:r w:rsidRPr="00831A33" w:rsidR="00EA6129">
        <w:rPr>
          <w:szCs w:val="22"/>
        </w:rPr>
        <w:t>Diponti</w:t>
      </w:r>
      <w:r w:rsidRPr="00831A33" w:rsidR="00EA6129">
        <w:rPr>
          <w:szCs w:val="22"/>
        </w:rPr>
        <w:t xml:space="preserve"> </w:t>
      </w:r>
      <w:r w:rsidRPr="00831A33" w:rsidR="007E6811">
        <w:rPr>
          <w:szCs w:val="22"/>
        </w:rPr>
        <w:t xml:space="preserve">that </w:t>
      </w:r>
      <w:r w:rsidRPr="00831A33" w:rsidR="00095236">
        <w:rPr>
          <w:szCs w:val="22"/>
        </w:rPr>
        <w:t>its lack of prior forfeitures</w:t>
      </w:r>
      <w:r w:rsidRPr="00831A33" w:rsidR="007E6811">
        <w:rPr>
          <w:szCs w:val="22"/>
        </w:rPr>
        <w:t xml:space="preserve"> is</w:t>
      </w:r>
      <w:r w:rsidRPr="00831A33" w:rsidR="00CF2947">
        <w:rPr>
          <w:szCs w:val="22"/>
        </w:rPr>
        <w:t xml:space="preserve"> a mitigating factor</w:t>
      </w:r>
      <w:r w:rsidRPr="00831A33" w:rsidR="00382A36">
        <w:rPr>
          <w:szCs w:val="22"/>
        </w:rPr>
        <w:t xml:space="preserve"> and will reduce the proposed forfeiture by $1,000 ($500 for each </w:t>
      </w:r>
      <w:r w:rsidR="004E2A54">
        <w:rPr>
          <w:szCs w:val="22"/>
        </w:rPr>
        <w:t xml:space="preserve">of </w:t>
      </w:r>
      <w:r w:rsidR="00A16C18">
        <w:rPr>
          <w:szCs w:val="22"/>
        </w:rPr>
        <w:t xml:space="preserve">the </w:t>
      </w:r>
      <w:r w:rsidRPr="00831A33" w:rsidR="00382A36">
        <w:rPr>
          <w:szCs w:val="22"/>
        </w:rPr>
        <w:t>r</w:t>
      </w:r>
      <w:r w:rsidR="004E2A54">
        <w:rPr>
          <w:szCs w:val="22"/>
        </w:rPr>
        <w:t>egulations</w:t>
      </w:r>
      <w:r w:rsidRPr="00831A33" w:rsidR="00382A36">
        <w:rPr>
          <w:szCs w:val="22"/>
        </w:rPr>
        <w:t xml:space="preserve"> violated).  </w:t>
      </w:r>
      <w:r w:rsidRPr="00831A33" w:rsidR="009222DF">
        <w:rPr>
          <w:szCs w:val="22"/>
        </w:rPr>
        <w:t>As discussed further below, w</w:t>
      </w:r>
      <w:r w:rsidRPr="00831A33" w:rsidR="009A105F">
        <w:rPr>
          <w:szCs w:val="22"/>
        </w:rPr>
        <w:t xml:space="preserve">e also accept </w:t>
      </w:r>
      <w:r w:rsidRPr="00831A33" w:rsidR="009222DF">
        <w:rPr>
          <w:szCs w:val="22"/>
        </w:rPr>
        <w:t xml:space="preserve">that </w:t>
      </w:r>
      <w:r w:rsidR="00A65342">
        <w:rPr>
          <w:szCs w:val="22"/>
        </w:rPr>
        <w:t>there is a possibility</w:t>
      </w:r>
      <w:r w:rsidR="00A41598">
        <w:rPr>
          <w:szCs w:val="22"/>
        </w:rPr>
        <w:t>, albeit remote,</w:t>
      </w:r>
      <w:r w:rsidR="00A65342">
        <w:rPr>
          <w:szCs w:val="22"/>
        </w:rPr>
        <w:t xml:space="preserve"> that</w:t>
      </w:r>
      <w:r w:rsidRPr="00831A33" w:rsidR="009222DF">
        <w:rPr>
          <w:szCs w:val="22"/>
        </w:rPr>
        <w:t xml:space="preserve"> </w:t>
      </w:r>
      <w:r w:rsidRPr="00831A33" w:rsidR="000556C8">
        <w:rPr>
          <w:szCs w:val="22"/>
        </w:rPr>
        <w:t xml:space="preserve">a database error </w:t>
      </w:r>
      <w:r w:rsidRPr="00831A33" w:rsidR="009222DF">
        <w:rPr>
          <w:szCs w:val="22"/>
        </w:rPr>
        <w:t xml:space="preserve">might </w:t>
      </w:r>
      <w:r w:rsidR="0019232D">
        <w:rPr>
          <w:szCs w:val="22"/>
        </w:rPr>
        <w:t xml:space="preserve">have contributed to </w:t>
      </w:r>
      <w:r w:rsidR="005616F3">
        <w:rPr>
          <w:szCs w:val="22"/>
        </w:rPr>
        <w:t xml:space="preserve">a </w:t>
      </w:r>
      <w:r w:rsidR="0019232D">
        <w:rPr>
          <w:szCs w:val="22"/>
        </w:rPr>
        <w:t xml:space="preserve">portion of unauthorized operation </w:t>
      </w:r>
      <w:r w:rsidR="002F25A8">
        <w:rPr>
          <w:szCs w:val="22"/>
        </w:rPr>
        <w:t xml:space="preserve">in 2020 </w:t>
      </w:r>
      <w:r w:rsidRPr="00831A33" w:rsidR="009222DF">
        <w:rPr>
          <w:szCs w:val="22"/>
        </w:rPr>
        <w:t xml:space="preserve">and, therefore, </w:t>
      </w:r>
      <w:r w:rsidRPr="00831A33" w:rsidR="000556C8">
        <w:rPr>
          <w:szCs w:val="22"/>
        </w:rPr>
        <w:t xml:space="preserve">we </w:t>
      </w:r>
      <w:r w:rsidRPr="00831A33" w:rsidR="009222DF">
        <w:rPr>
          <w:szCs w:val="22"/>
        </w:rPr>
        <w:t xml:space="preserve">will further reduce the forfeiture amount by another $1,000.  </w:t>
      </w:r>
      <w:r w:rsidRPr="00831A33" w:rsidR="000556C8">
        <w:rPr>
          <w:szCs w:val="22"/>
        </w:rPr>
        <w:t xml:space="preserve">Accordingly, we will reduce the previously proposed forfeiture by a total of $2,000, </w:t>
      </w:r>
      <w:r w:rsidR="00A41598">
        <w:rPr>
          <w:i/>
          <w:iCs/>
          <w:szCs w:val="22"/>
        </w:rPr>
        <w:t>i.e.</w:t>
      </w:r>
      <w:r w:rsidR="00A41598">
        <w:rPr>
          <w:szCs w:val="22"/>
        </w:rPr>
        <w:t xml:space="preserve">, </w:t>
      </w:r>
      <w:r w:rsidRPr="00831A33" w:rsidR="000556C8">
        <w:rPr>
          <w:szCs w:val="22"/>
        </w:rPr>
        <w:t xml:space="preserve">from $7,000 to $5,000.  </w:t>
      </w:r>
      <w:r w:rsidRPr="00831A33" w:rsidR="009222DF">
        <w:rPr>
          <w:szCs w:val="22"/>
        </w:rPr>
        <w:t xml:space="preserve">We reject </w:t>
      </w:r>
      <w:r w:rsidRPr="00831A33" w:rsidR="009222DF">
        <w:rPr>
          <w:szCs w:val="22"/>
        </w:rPr>
        <w:t>Diponti’s</w:t>
      </w:r>
      <w:r w:rsidRPr="00831A33" w:rsidR="009222DF">
        <w:rPr>
          <w:szCs w:val="22"/>
        </w:rPr>
        <w:t xml:space="preserve"> other arguments for mitigation.</w:t>
      </w:r>
      <w:r>
        <w:rPr>
          <w:rStyle w:val="FootnoteReference"/>
          <w:szCs w:val="22"/>
        </w:rPr>
        <w:footnoteReference w:id="30"/>
      </w:r>
      <w:r>
        <w:rPr>
          <w:szCs w:val="22"/>
        </w:rPr>
        <w:t xml:space="preserve">  </w:t>
      </w:r>
      <w:r w:rsidRPr="007C1741">
        <w:rPr>
          <w:szCs w:val="22"/>
        </w:rPr>
        <w:t xml:space="preserve"> </w:t>
      </w:r>
    </w:p>
    <w:p w:rsidR="00E257DD" w:rsidRPr="00C847D2" w:rsidP="00E257DD" w14:paraId="16DC7346" w14:textId="47E00D5F">
      <w:pPr>
        <w:pStyle w:val="ParaNum"/>
        <w:rPr>
          <w:szCs w:val="22"/>
        </w:rPr>
      </w:pPr>
      <w:r>
        <w:t xml:space="preserve">At the time of the </w:t>
      </w:r>
      <w:r w:rsidR="0049779F">
        <w:t xml:space="preserve">2017 license renewal and assignment from Harvest to </w:t>
      </w:r>
      <w:r w:rsidR="0049779F">
        <w:t>Diponti</w:t>
      </w:r>
      <w:r w:rsidR="0049779F">
        <w:t xml:space="preserve">, CDBS was the only database </w:t>
      </w:r>
      <w:r w:rsidR="0092635E">
        <w:t>in use.  U</w:t>
      </w:r>
      <w:r w:rsidR="00DD3659">
        <w:t>pon</w:t>
      </w:r>
      <w:r w:rsidR="00C0523B">
        <w:t xml:space="preserve"> grant of the short</w:t>
      </w:r>
      <w:r w:rsidR="0092635E">
        <w:t>-</w:t>
      </w:r>
      <w:r w:rsidR="00C0523B">
        <w:t>term renewal on November 8, 2016,</w:t>
      </w:r>
      <w:r w:rsidR="0049779F">
        <w:t xml:space="preserve"> </w:t>
      </w:r>
      <w:r w:rsidR="0092635E">
        <w:t xml:space="preserve">CDBS </w:t>
      </w:r>
      <w:r w:rsidR="00D87EB3">
        <w:t xml:space="preserve">would have </w:t>
      </w:r>
      <w:r w:rsidR="0049779F">
        <w:t xml:space="preserve">reflected </w:t>
      </w:r>
      <w:r w:rsidR="00D87EB3">
        <w:t>the</w:t>
      </w:r>
      <w:r w:rsidR="0049779F">
        <w:t xml:space="preserve"> short-term license expiration date of November 8, 201</w:t>
      </w:r>
      <w:r w:rsidR="00D87EB3">
        <w:t>7</w:t>
      </w:r>
      <w:r w:rsidR="0049779F">
        <w:t xml:space="preserve">.  </w:t>
      </w:r>
      <w:r w:rsidR="00D87EB3">
        <w:t xml:space="preserve">A paper copy of the authorization also would have been mailed to </w:t>
      </w:r>
      <w:r w:rsidR="0092635E">
        <w:t xml:space="preserve">Harvest, which </w:t>
      </w:r>
      <w:r w:rsidR="004F0710">
        <w:t xml:space="preserve">it </w:t>
      </w:r>
      <w:r w:rsidR="0092635E">
        <w:t xml:space="preserve">would have been required to provide to </w:t>
      </w:r>
      <w:r w:rsidR="0092635E">
        <w:t>Diponti</w:t>
      </w:r>
      <w:r w:rsidR="0092635E">
        <w:t xml:space="preserve"> upon consummation, </w:t>
      </w:r>
      <w:r w:rsidR="00D87EB3">
        <w:t>and, p</w:t>
      </w:r>
      <w:r w:rsidR="00C847D2">
        <w:t>ursuant to section 74.1265(a)</w:t>
      </w:r>
      <w:r w:rsidR="0028225F">
        <w:t xml:space="preserve"> of the Rules</w:t>
      </w:r>
      <w:r w:rsidR="00C847D2">
        <w:t xml:space="preserve">, </w:t>
      </w:r>
      <w:r w:rsidR="00C847D2">
        <w:t>Diponti</w:t>
      </w:r>
      <w:r w:rsidR="00C847D2">
        <w:t xml:space="preserve"> </w:t>
      </w:r>
      <w:r w:rsidR="0092635E">
        <w:t xml:space="preserve">would have been </w:t>
      </w:r>
      <w:r w:rsidR="00C847D2">
        <w:t xml:space="preserve">required to </w:t>
      </w:r>
      <w:r w:rsidR="00D87EB3">
        <w:t>keep</w:t>
      </w:r>
      <w:r w:rsidR="00C847D2">
        <w:t xml:space="preserve"> that authorization </w:t>
      </w:r>
      <w:r w:rsidR="00DD3659">
        <w:t xml:space="preserve">among required records </w:t>
      </w:r>
      <w:r w:rsidR="00C847D2">
        <w:t>in a station file.</w:t>
      </w:r>
      <w:r>
        <w:rPr>
          <w:rStyle w:val="FootnoteReference"/>
        </w:rPr>
        <w:footnoteReference w:id="31"/>
      </w:r>
      <w:r w:rsidR="00C847D2">
        <w:t xml:space="preserve">  </w:t>
      </w:r>
    </w:p>
    <w:p w:rsidR="00613D05" w:rsidRPr="00613D05" w:rsidP="00E257DD" w14:paraId="34FBD994" w14:textId="0ABCE57D">
      <w:pPr>
        <w:pStyle w:val="ParaNum"/>
        <w:rPr>
          <w:szCs w:val="22"/>
        </w:rPr>
      </w:pPr>
      <w:r>
        <w:t>Dipont</w:t>
      </w:r>
      <w:r w:rsidR="00890842">
        <w:t>i</w:t>
      </w:r>
      <w:r w:rsidR="00890842">
        <w:t xml:space="preserve"> filed </w:t>
      </w:r>
      <w:r w:rsidR="00BD0BA2">
        <w:t>the</w:t>
      </w:r>
      <w:r>
        <w:t xml:space="preserve"> </w:t>
      </w:r>
      <w:r w:rsidR="002A7FF9">
        <w:t xml:space="preserve">2019 </w:t>
      </w:r>
      <w:r w:rsidR="00154F21">
        <w:t>Covering A</w:t>
      </w:r>
      <w:r>
        <w:t xml:space="preserve">pplication </w:t>
      </w:r>
      <w:r w:rsidR="008B3608">
        <w:t xml:space="preserve">for </w:t>
      </w:r>
      <w:r>
        <w:t>its modified facilities</w:t>
      </w:r>
      <w:r w:rsidR="005B2795">
        <w:t xml:space="preserve"> </w:t>
      </w:r>
      <w:r w:rsidR="00836D25">
        <w:t>in</w:t>
      </w:r>
      <w:r>
        <w:t xml:space="preserve"> LMS.  The </w:t>
      </w:r>
      <w:r w:rsidR="00890842">
        <w:t xml:space="preserve">Bureau’s </w:t>
      </w:r>
      <w:r w:rsidR="00154F21">
        <w:rPr>
          <w:szCs w:val="22"/>
        </w:rPr>
        <w:t>January 9, 2020</w:t>
      </w:r>
      <w:r>
        <w:t xml:space="preserve"> </w:t>
      </w:r>
      <w:r w:rsidR="00890842">
        <w:t xml:space="preserve">grant of the Covering License </w:t>
      </w:r>
      <w:r w:rsidR="008B3608">
        <w:t>bore</w:t>
      </w:r>
      <w:r w:rsidR="00205628">
        <w:t xml:space="preserve"> </w:t>
      </w:r>
      <w:r>
        <w:t xml:space="preserve">the </w:t>
      </w:r>
      <w:r w:rsidR="008B3608">
        <w:t xml:space="preserve">existing </w:t>
      </w:r>
      <w:r>
        <w:t>short-term renewal date of November 8, 201</w:t>
      </w:r>
      <w:r w:rsidR="005B2795">
        <w:t>7</w:t>
      </w:r>
      <w:r w:rsidR="00154F21">
        <w:t xml:space="preserve">, thereby </w:t>
      </w:r>
      <w:r>
        <w:t>acknowledg</w:t>
      </w:r>
      <w:r w:rsidR="00154F21">
        <w:t>ing</w:t>
      </w:r>
      <w:r>
        <w:t xml:space="preserve"> that any </w:t>
      </w:r>
      <w:r w:rsidR="00890842">
        <w:t xml:space="preserve">future </w:t>
      </w:r>
      <w:r>
        <w:t>operation of the Station would be from the new facilities, but neither extend</w:t>
      </w:r>
      <w:r w:rsidR="00154F21">
        <w:t>ing</w:t>
      </w:r>
      <w:r>
        <w:t xml:space="preserve"> the license term nor reliev</w:t>
      </w:r>
      <w:r w:rsidR="00154F21">
        <w:t>ing</w:t>
      </w:r>
      <w:r>
        <w:t xml:space="preserve"> </w:t>
      </w:r>
      <w:r>
        <w:t>Diponti</w:t>
      </w:r>
      <w:r>
        <w:t xml:space="preserve"> </w:t>
      </w:r>
      <w:r w:rsidR="00890842">
        <w:t xml:space="preserve">of </w:t>
      </w:r>
      <w:r w:rsidR="00154F21">
        <w:t xml:space="preserve">the requirement to </w:t>
      </w:r>
      <w:r w:rsidR="00E407B3">
        <w:t xml:space="preserve">file a </w:t>
      </w:r>
      <w:r w:rsidR="008B3608">
        <w:t>(</w:t>
      </w:r>
      <w:r w:rsidR="00E407B3">
        <w:t>then-overdue</w:t>
      </w:r>
      <w:r w:rsidR="008B3608">
        <w:t>)</w:t>
      </w:r>
      <w:r w:rsidR="00E407B3">
        <w:t xml:space="preserve"> application for</w:t>
      </w:r>
      <w:r>
        <w:t xml:space="preserve"> license renewal.  </w:t>
      </w:r>
      <w:r w:rsidR="008B3608">
        <w:t>The</w:t>
      </w:r>
      <w:r w:rsidR="002533DA">
        <w:t xml:space="preserve"> Covering License bear</w:t>
      </w:r>
      <w:r w:rsidR="00E05F71">
        <w:t>ing</w:t>
      </w:r>
      <w:r w:rsidR="002533DA">
        <w:t xml:space="preserve"> the November 8, 201</w:t>
      </w:r>
      <w:r w:rsidR="005B2795">
        <w:t>7</w:t>
      </w:r>
      <w:r w:rsidR="002533DA">
        <w:t xml:space="preserve"> </w:t>
      </w:r>
      <w:r w:rsidR="007E7670">
        <w:t xml:space="preserve">expiration </w:t>
      </w:r>
      <w:r w:rsidR="002533DA">
        <w:t xml:space="preserve">date </w:t>
      </w:r>
      <w:r w:rsidR="007E7670">
        <w:t xml:space="preserve">remains </w:t>
      </w:r>
      <w:r w:rsidR="001C6955">
        <w:t xml:space="preserve">available for public viewing </w:t>
      </w:r>
      <w:r w:rsidR="007E7670">
        <w:t>in LMS</w:t>
      </w:r>
      <w:r w:rsidR="002533DA">
        <w:t>.</w:t>
      </w:r>
      <w:r>
        <w:rPr>
          <w:rStyle w:val="FootnoteReference"/>
        </w:rPr>
        <w:footnoteReference w:id="32"/>
      </w:r>
      <w:r w:rsidR="002533DA">
        <w:t xml:space="preserve">  </w:t>
      </w:r>
      <w:r w:rsidR="00DA3973">
        <w:t xml:space="preserve">However, </w:t>
      </w:r>
      <w:r w:rsidR="00F76DA1">
        <w:t xml:space="preserve">we acknowledge that </w:t>
      </w:r>
      <w:r w:rsidR="00DA3973">
        <w:t>s</w:t>
      </w:r>
      <w:r w:rsidR="00C82236">
        <w:t>ometime after</w:t>
      </w:r>
      <w:r>
        <w:t xml:space="preserve"> </w:t>
      </w:r>
      <w:r w:rsidR="001C6955">
        <w:t xml:space="preserve">that January 9, 2020 </w:t>
      </w:r>
      <w:r>
        <w:t>grant</w:t>
      </w:r>
      <w:r w:rsidR="00C82236">
        <w:t>, a</w:t>
      </w:r>
      <w:r w:rsidR="007E7670">
        <w:t xml:space="preserve">n erroneous date of April 1, 2022 (the standard date for Rhode Island stations) would appear for </w:t>
      </w:r>
      <w:r w:rsidR="00C82236">
        <w:t>“facilities search</w:t>
      </w:r>
      <w:r w:rsidR="007E7670">
        <w:t>es</w:t>
      </w:r>
      <w:r w:rsidR="00C82236">
        <w:t xml:space="preserve">” </w:t>
      </w:r>
      <w:r w:rsidR="00DA3973">
        <w:t xml:space="preserve">performed </w:t>
      </w:r>
      <w:r w:rsidR="007E7670">
        <w:t xml:space="preserve">for the Station </w:t>
      </w:r>
      <w:r w:rsidR="00DA3973">
        <w:t xml:space="preserve">in </w:t>
      </w:r>
      <w:r w:rsidR="00C82236">
        <w:t>LMS a</w:t>
      </w:r>
      <w:r w:rsidR="00DA3973">
        <w:t>s well as</w:t>
      </w:r>
      <w:r w:rsidR="00C82236">
        <w:t xml:space="preserve"> </w:t>
      </w:r>
      <w:r w:rsidR="00F128C7">
        <w:t xml:space="preserve">in </w:t>
      </w:r>
      <w:r w:rsidR="00C82236">
        <w:t>CDBS</w:t>
      </w:r>
      <w:r w:rsidR="00DE016A">
        <w:t xml:space="preserve">.  </w:t>
      </w:r>
    </w:p>
    <w:p w:rsidR="008F6661" w:rsidRPr="008F6661" w:rsidP="008F6661" w14:paraId="4E9343DE" w14:textId="09E9B212">
      <w:pPr>
        <w:pStyle w:val="ParaNum"/>
        <w:rPr>
          <w:szCs w:val="22"/>
        </w:rPr>
      </w:pPr>
      <w:r>
        <w:t xml:space="preserve">Based on these </w:t>
      </w:r>
      <w:r w:rsidR="003A55C9">
        <w:t>circumstances</w:t>
      </w:r>
      <w:r>
        <w:t>, we affirm our conclusion</w:t>
      </w:r>
      <w:r w:rsidR="00F128C7">
        <w:t xml:space="preserve"> in the NAL</w:t>
      </w:r>
      <w:r>
        <w:t xml:space="preserve"> that </w:t>
      </w:r>
      <w:r w:rsidR="008734D9">
        <w:t>Diponti</w:t>
      </w:r>
      <w:r w:rsidR="008734D9">
        <w:t xml:space="preserve"> has not established </w:t>
      </w:r>
      <w:r w:rsidR="00261AC2">
        <w:t xml:space="preserve">that the database error </w:t>
      </w:r>
      <w:r>
        <w:t>caus</w:t>
      </w:r>
      <w:r w:rsidR="00261AC2">
        <w:t xml:space="preserve">ed </w:t>
      </w:r>
      <w:r w:rsidR="008734D9">
        <w:t>its</w:t>
      </w:r>
      <w:r>
        <w:t xml:space="preserve"> failure to apply for license renewal by </w:t>
      </w:r>
      <w:r w:rsidRPr="0049521D">
        <w:rPr>
          <w:szCs w:val="22"/>
        </w:rPr>
        <w:t>July 1, 2017</w:t>
      </w:r>
      <w:r w:rsidR="008734D9">
        <w:rPr>
          <w:szCs w:val="22"/>
        </w:rPr>
        <w:t xml:space="preserve"> or its </w:t>
      </w:r>
      <w:r w:rsidR="00ED26E3">
        <w:rPr>
          <w:szCs w:val="22"/>
        </w:rPr>
        <w:t xml:space="preserve">continued </w:t>
      </w:r>
      <w:r>
        <w:rPr>
          <w:szCs w:val="22"/>
        </w:rPr>
        <w:t>operat</w:t>
      </w:r>
      <w:r w:rsidR="008734D9">
        <w:rPr>
          <w:szCs w:val="22"/>
        </w:rPr>
        <w:t>ions</w:t>
      </w:r>
      <w:r>
        <w:rPr>
          <w:szCs w:val="22"/>
        </w:rPr>
        <w:t xml:space="preserve"> after the </w:t>
      </w:r>
      <w:r w:rsidRPr="0049521D">
        <w:rPr>
          <w:szCs w:val="22"/>
        </w:rPr>
        <w:t>November 8, 2017</w:t>
      </w:r>
      <w:r>
        <w:rPr>
          <w:szCs w:val="22"/>
        </w:rPr>
        <w:t xml:space="preserve"> license expiration</w:t>
      </w:r>
      <w:r w:rsidRPr="0049521D">
        <w:rPr>
          <w:szCs w:val="22"/>
        </w:rPr>
        <w:t xml:space="preserve">.  </w:t>
      </w:r>
      <w:r w:rsidR="00464644">
        <w:rPr>
          <w:szCs w:val="22"/>
        </w:rPr>
        <w:t xml:space="preserve">At most, </w:t>
      </w:r>
      <w:r w:rsidR="009B7E45">
        <w:rPr>
          <w:szCs w:val="22"/>
        </w:rPr>
        <w:t xml:space="preserve">the record reflects that </w:t>
      </w:r>
      <w:r w:rsidR="00464644">
        <w:rPr>
          <w:szCs w:val="22"/>
        </w:rPr>
        <w:t xml:space="preserve">had </w:t>
      </w:r>
      <w:r w:rsidR="00464644">
        <w:rPr>
          <w:szCs w:val="22"/>
        </w:rPr>
        <w:t>Diponti</w:t>
      </w:r>
      <w:r w:rsidR="00464644">
        <w:rPr>
          <w:szCs w:val="22"/>
        </w:rPr>
        <w:t xml:space="preserve"> used the </w:t>
      </w:r>
      <w:r w:rsidR="00483C03">
        <w:rPr>
          <w:szCs w:val="22"/>
        </w:rPr>
        <w:t xml:space="preserve">CDBS or LMS </w:t>
      </w:r>
      <w:r w:rsidR="00464644">
        <w:rPr>
          <w:szCs w:val="22"/>
        </w:rPr>
        <w:t xml:space="preserve">database to perform a facility search sometime after January 9, 2020, </w:t>
      </w:r>
      <w:r w:rsidR="00A03FA2">
        <w:rPr>
          <w:szCs w:val="22"/>
        </w:rPr>
        <w:t xml:space="preserve">the database </w:t>
      </w:r>
      <w:r w:rsidR="00464644">
        <w:rPr>
          <w:szCs w:val="22"/>
        </w:rPr>
        <w:t xml:space="preserve">would have </w:t>
      </w:r>
      <w:r w:rsidR="00A03FA2">
        <w:rPr>
          <w:szCs w:val="22"/>
        </w:rPr>
        <w:t>returned an</w:t>
      </w:r>
      <w:r w:rsidR="00464644">
        <w:rPr>
          <w:szCs w:val="22"/>
        </w:rPr>
        <w:t xml:space="preserve"> erroneous 2022 expiration date</w:t>
      </w:r>
      <w:r w:rsidR="007F3094">
        <w:rPr>
          <w:szCs w:val="22"/>
        </w:rPr>
        <w:t>.  We are</w:t>
      </w:r>
      <w:r w:rsidR="00AB7B4C">
        <w:rPr>
          <w:szCs w:val="22"/>
        </w:rPr>
        <w:t xml:space="preserve"> </w:t>
      </w:r>
      <w:r w:rsidR="007F3094">
        <w:rPr>
          <w:szCs w:val="22"/>
        </w:rPr>
        <w:t>adjusting the forfeiture amount to account for that possibility</w:t>
      </w:r>
      <w:r w:rsidR="00464644">
        <w:rPr>
          <w:szCs w:val="22"/>
        </w:rPr>
        <w:t>.</w:t>
      </w:r>
      <w:r>
        <w:rPr>
          <w:rStyle w:val="FootnoteReference"/>
          <w:szCs w:val="22"/>
        </w:rPr>
        <w:footnoteReference w:id="33"/>
      </w:r>
      <w:r w:rsidR="00464644">
        <w:rPr>
          <w:szCs w:val="22"/>
        </w:rPr>
        <w:t xml:space="preserve">    </w:t>
      </w:r>
      <w:r w:rsidR="007F3094">
        <w:rPr>
          <w:szCs w:val="22"/>
        </w:rPr>
        <w:t>Grant of t</w:t>
      </w:r>
      <w:r w:rsidR="007C44D8">
        <w:rPr>
          <w:szCs w:val="22"/>
        </w:rPr>
        <w:t xml:space="preserve">he Covering License did not, as </w:t>
      </w:r>
      <w:r w:rsidR="007C44D8">
        <w:rPr>
          <w:szCs w:val="22"/>
        </w:rPr>
        <w:t>Diponti</w:t>
      </w:r>
      <w:r w:rsidR="007C44D8">
        <w:rPr>
          <w:szCs w:val="22"/>
        </w:rPr>
        <w:t xml:space="preserve"> claims, </w:t>
      </w:r>
      <w:r w:rsidR="006251A3">
        <w:rPr>
          <w:szCs w:val="22"/>
        </w:rPr>
        <w:t>change the expiration date of the Station’s short-term authorization.</w:t>
      </w:r>
      <w:r w:rsidR="007C44D8">
        <w:rPr>
          <w:szCs w:val="22"/>
        </w:rPr>
        <w:t xml:space="preserve"> </w:t>
      </w:r>
      <w:r w:rsidR="006251A3">
        <w:rPr>
          <w:szCs w:val="22"/>
        </w:rPr>
        <w:t xml:space="preserve"> Nor did t</w:t>
      </w:r>
      <w:r>
        <w:rPr>
          <w:szCs w:val="22"/>
        </w:rPr>
        <w:t>he Commission’s bill</w:t>
      </w:r>
      <w:r w:rsidR="006251A3">
        <w:rPr>
          <w:szCs w:val="22"/>
        </w:rPr>
        <w:t xml:space="preserve">s for </w:t>
      </w:r>
      <w:r>
        <w:rPr>
          <w:szCs w:val="22"/>
        </w:rPr>
        <w:t xml:space="preserve">regulatory fees </w:t>
      </w:r>
      <w:r w:rsidR="00121C4C">
        <w:rPr>
          <w:szCs w:val="22"/>
        </w:rPr>
        <w:t>indicate</w:t>
      </w:r>
      <w:r w:rsidR="007F3094">
        <w:rPr>
          <w:szCs w:val="22"/>
        </w:rPr>
        <w:t xml:space="preserve">, as </w:t>
      </w:r>
      <w:r w:rsidR="007F3094">
        <w:rPr>
          <w:szCs w:val="22"/>
        </w:rPr>
        <w:t>Diponti</w:t>
      </w:r>
      <w:r w:rsidR="007F3094">
        <w:rPr>
          <w:szCs w:val="22"/>
        </w:rPr>
        <w:t xml:space="preserve"> contends,</w:t>
      </w:r>
      <w:r w:rsidR="00121C4C">
        <w:rPr>
          <w:szCs w:val="22"/>
        </w:rPr>
        <w:t xml:space="preserve"> </w:t>
      </w:r>
      <w:r>
        <w:rPr>
          <w:szCs w:val="22"/>
        </w:rPr>
        <w:t xml:space="preserve">that </w:t>
      </w:r>
      <w:r w:rsidR="00121C4C">
        <w:rPr>
          <w:szCs w:val="22"/>
        </w:rPr>
        <w:t>the Station’s</w:t>
      </w:r>
      <w:r w:rsidR="006251A3">
        <w:rPr>
          <w:szCs w:val="22"/>
        </w:rPr>
        <w:t xml:space="preserve"> authorization</w:t>
      </w:r>
      <w:r>
        <w:rPr>
          <w:szCs w:val="22"/>
        </w:rPr>
        <w:t xml:space="preserve"> never expired.  </w:t>
      </w:r>
      <w:r w:rsidR="00D53861">
        <w:rPr>
          <w:szCs w:val="22"/>
        </w:rPr>
        <w:t>The Commission</w:t>
      </w:r>
      <w:r w:rsidR="00885128">
        <w:rPr>
          <w:szCs w:val="22"/>
        </w:rPr>
        <w:t xml:space="preserve">’s </w:t>
      </w:r>
      <w:r w:rsidR="003F2E84">
        <w:rPr>
          <w:szCs w:val="22"/>
        </w:rPr>
        <w:t xml:space="preserve">Office of Managing Director, </w:t>
      </w:r>
      <w:r w:rsidR="00885128">
        <w:rPr>
          <w:szCs w:val="22"/>
        </w:rPr>
        <w:t xml:space="preserve">Financial Operations </w:t>
      </w:r>
      <w:r w:rsidR="003F2E84">
        <w:rPr>
          <w:szCs w:val="22"/>
        </w:rPr>
        <w:t>Group</w:t>
      </w:r>
      <w:r w:rsidR="00D53861">
        <w:rPr>
          <w:szCs w:val="22"/>
        </w:rPr>
        <w:t xml:space="preserve"> </w:t>
      </w:r>
      <w:r w:rsidR="0079722A">
        <w:rPr>
          <w:szCs w:val="22"/>
        </w:rPr>
        <w:t xml:space="preserve">(OMD) </w:t>
      </w:r>
      <w:r w:rsidR="00D53861">
        <w:rPr>
          <w:szCs w:val="22"/>
        </w:rPr>
        <w:t>automatically assesses r</w:t>
      </w:r>
      <w:r>
        <w:t>egulatory fee</w:t>
      </w:r>
      <w:r w:rsidR="00D53861">
        <w:t xml:space="preserve">s to </w:t>
      </w:r>
      <w:r w:rsidR="009259A0">
        <w:t xml:space="preserve">any </w:t>
      </w:r>
      <w:r w:rsidR="00D53861">
        <w:t xml:space="preserve">commercial broadcast station </w:t>
      </w:r>
      <w:r w:rsidR="002A5E2A">
        <w:t>whose license ha</w:t>
      </w:r>
      <w:r w:rsidR="009259A0">
        <w:t>s</w:t>
      </w:r>
      <w:r w:rsidR="002A5E2A">
        <w:t xml:space="preserve"> neither been</w:t>
      </w:r>
      <w:r w:rsidR="00D53861">
        <w:t xml:space="preserve"> turned in nor </w:t>
      </w:r>
      <w:r w:rsidR="006251A3">
        <w:t>affirmatively</w:t>
      </w:r>
      <w:r w:rsidR="00D53861">
        <w:t xml:space="preserve"> cancelled</w:t>
      </w:r>
      <w:r w:rsidR="002A5E2A">
        <w:t>/deleted</w:t>
      </w:r>
      <w:r w:rsidR="001A73FB">
        <w:t xml:space="preserve"> from the </w:t>
      </w:r>
      <w:r w:rsidR="003F2E84">
        <w:t xml:space="preserve">Media Bureau’s </w:t>
      </w:r>
      <w:r w:rsidR="001A73FB">
        <w:t>database</w:t>
      </w:r>
      <w:r w:rsidR="00836C2F">
        <w:t>s</w:t>
      </w:r>
      <w:r w:rsidR="00D53861">
        <w:t>.</w:t>
      </w:r>
      <w:r>
        <w:rPr>
          <w:rStyle w:val="FootnoteReference"/>
        </w:rPr>
        <w:footnoteReference w:id="34"/>
      </w:r>
      <w:r w:rsidR="00D53861">
        <w:t xml:space="preserve">  </w:t>
      </w:r>
    </w:p>
    <w:p w:rsidR="00A7120F" w:rsidRPr="008B5178" w:rsidP="008B5178" w14:paraId="3D5145C4" w14:textId="1B8009D3">
      <w:pPr>
        <w:pStyle w:val="ParaNum"/>
        <w:rPr>
          <w:szCs w:val="22"/>
        </w:rPr>
      </w:pPr>
      <w:r>
        <w:rPr>
          <w:szCs w:val="22"/>
        </w:rPr>
        <w:t>As stated in the NAL, w</w:t>
      </w:r>
      <w:r w:rsidRPr="00683723">
        <w:rPr>
          <w:szCs w:val="22"/>
        </w:rPr>
        <w:t xml:space="preserve">e find that </w:t>
      </w:r>
      <w:r w:rsidR="00BE5C10">
        <w:rPr>
          <w:szCs w:val="22"/>
        </w:rPr>
        <w:t>Diponti</w:t>
      </w:r>
      <w:r w:rsidRPr="00683723">
        <w:rPr>
          <w:szCs w:val="22"/>
        </w:rPr>
        <w:t>’s</w:t>
      </w:r>
      <w:r w:rsidRPr="00683723">
        <w:rPr>
          <w:szCs w:val="22"/>
        </w:rPr>
        <w:t xml:space="preserve"> violation</w:t>
      </w:r>
      <w:r>
        <w:rPr>
          <w:szCs w:val="22"/>
        </w:rPr>
        <w:t>s</w:t>
      </w:r>
      <w:r w:rsidRPr="00683723">
        <w:rPr>
          <w:szCs w:val="22"/>
        </w:rPr>
        <w:t xml:space="preserve"> of section 73.3539 of the Rules </w:t>
      </w:r>
      <w:r w:rsidR="00D97E9A">
        <w:rPr>
          <w:szCs w:val="22"/>
        </w:rPr>
        <w:t xml:space="preserve">and section 301 of the Act </w:t>
      </w:r>
      <w:r w:rsidR="00D31C28">
        <w:rPr>
          <w:szCs w:val="22"/>
        </w:rPr>
        <w:t>do</w:t>
      </w:r>
      <w:r w:rsidRPr="00683723">
        <w:rPr>
          <w:szCs w:val="22"/>
        </w:rPr>
        <w:t xml:space="preserve"> not constitute </w:t>
      </w:r>
      <w:r w:rsidR="00325D61">
        <w:rPr>
          <w:szCs w:val="22"/>
        </w:rPr>
        <w:t xml:space="preserve">a </w:t>
      </w:r>
      <w:r w:rsidRPr="00683723">
        <w:rPr>
          <w:szCs w:val="22"/>
        </w:rPr>
        <w:t xml:space="preserve">“serious violation” warranting designation of the </w:t>
      </w:r>
      <w:r>
        <w:rPr>
          <w:szCs w:val="22"/>
        </w:rPr>
        <w:t xml:space="preserve">2020 </w:t>
      </w:r>
      <w:r w:rsidRPr="00683723">
        <w:rPr>
          <w:szCs w:val="22"/>
        </w:rPr>
        <w:t>Application for evidentiary hearing.  Moreover, we find no evidence of violations that, when considered together, constitute a pattern of abuse.</w:t>
      </w:r>
      <w:r>
        <w:rPr>
          <w:rStyle w:val="FootnoteReference"/>
          <w:sz w:val="22"/>
          <w:szCs w:val="22"/>
        </w:rPr>
        <w:footnoteReference w:id="35"/>
      </w:r>
      <w:r w:rsidRPr="00683723">
        <w:rPr>
          <w:szCs w:val="22"/>
        </w:rPr>
        <w:t xml:space="preserve">  </w:t>
      </w:r>
      <w:r w:rsidRPr="00683723">
        <w:rPr>
          <w:spacing w:val="-2"/>
          <w:szCs w:val="22"/>
        </w:rPr>
        <w:t xml:space="preserve">Further, based on our review of the </w:t>
      </w:r>
      <w:r>
        <w:rPr>
          <w:spacing w:val="-2"/>
          <w:szCs w:val="22"/>
        </w:rPr>
        <w:t xml:space="preserve">2020 </w:t>
      </w:r>
      <w:r w:rsidRPr="00683723">
        <w:rPr>
          <w:spacing w:val="-2"/>
          <w:szCs w:val="22"/>
        </w:rPr>
        <w:t xml:space="preserve">Application, we find that </w:t>
      </w:r>
      <w:r w:rsidRPr="00683723">
        <w:rPr>
          <w:spacing w:val="-2"/>
          <w:szCs w:val="22"/>
        </w:rPr>
        <w:t>the</w:t>
      </w:r>
      <w:r w:rsidRPr="00683723">
        <w:rPr>
          <w:szCs w:val="22"/>
        </w:rPr>
        <w:t xml:space="preserve"> Station served the public interest, convenience, and necessity during the subject license term.  We will therefore grant the </w:t>
      </w:r>
      <w:r>
        <w:rPr>
          <w:szCs w:val="22"/>
        </w:rPr>
        <w:t xml:space="preserve">2020 </w:t>
      </w:r>
      <w:r w:rsidRPr="00683723">
        <w:rPr>
          <w:szCs w:val="22"/>
        </w:rPr>
        <w:t xml:space="preserve">Application by separate action upon the conclusion of this forfeiture proceeding if there are no </w:t>
      </w:r>
      <w:r w:rsidR="00CA6412">
        <w:rPr>
          <w:szCs w:val="22"/>
        </w:rPr>
        <w:t xml:space="preserve">other </w:t>
      </w:r>
      <w:r w:rsidRPr="00683723">
        <w:rPr>
          <w:szCs w:val="22"/>
        </w:rPr>
        <w:t xml:space="preserve">issues that would preclude grant of the </w:t>
      </w:r>
      <w:r w:rsidR="00CA6412">
        <w:rPr>
          <w:szCs w:val="22"/>
        </w:rPr>
        <w:t xml:space="preserve">2020 </w:t>
      </w:r>
      <w:r w:rsidRPr="00683723">
        <w:rPr>
          <w:szCs w:val="22"/>
        </w:rPr>
        <w:t>Application</w:t>
      </w:r>
      <w:r w:rsidR="00CA6412">
        <w:rPr>
          <w:szCs w:val="22"/>
        </w:rPr>
        <w:t xml:space="preserve"> at that time</w:t>
      </w:r>
      <w:r w:rsidRPr="00683723">
        <w:rPr>
          <w:szCs w:val="22"/>
        </w:rPr>
        <w:t>.</w:t>
      </w:r>
      <w:r w:rsidR="008B5178">
        <w:rPr>
          <w:szCs w:val="22"/>
        </w:rPr>
        <w:t xml:space="preserve">  </w:t>
      </w:r>
      <w:r w:rsidRPr="008B5178">
        <w:rPr>
          <w:szCs w:val="22"/>
        </w:rPr>
        <w:t>The 2021 Application</w:t>
      </w:r>
      <w:r w:rsidR="008B5178">
        <w:rPr>
          <w:szCs w:val="22"/>
        </w:rPr>
        <w:t xml:space="preserve">, grant </w:t>
      </w:r>
      <w:r w:rsidR="00225AA4">
        <w:rPr>
          <w:szCs w:val="22"/>
        </w:rPr>
        <w:t xml:space="preserve">of which </w:t>
      </w:r>
      <w:r w:rsidR="008B5178">
        <w:rPr>
          <w:szCs w:val="22"/>
        </w:rPr>
        <w:t xml:space="preserve">would be required to license the Station beyond </w:t>
      </w:r>
      <w:r w:rsidR="00225AA4">
        <w:rPr>
          <w:szCs w:val="22"/>
        </w:rPr>
        <w:t xml:space="preserve">the statewide </w:t>
      </w:r>
      <w:r w:rsidR="008B5178">
        <w:rPr>
          <w:szCs w:val="22"/>
        </w:rPr>
        <w:t>April 1, 2022</w:t>
      </w:r>
      <w:r w:rsidR="00225AA4">
        <w:rPr>
          <w:szCs w:val="22"/>
        </w:rPr>
        <w:t xml:space="preserve"> date,</w:t>
      </w:r>
      <w:r w:rsidRPr="008B5178">
        <w:rPr>
          <w:szCs w:val="22"/>
        </w:rPr>
        <w:t xml:space="preserve"> is currently under separate review.  </w:t>
      </w:r>
      <w:r w:rsidRPr="008B5178" w:rsidR="00E27D2E">
        <w:rPr>
          <w:sz w:val="20"/>
          <w:szCs w:val="22"/>
          <w:vertAlign w:val="superscript"/>
        </w:rPr>
        <w:t xml:space="preserve">  </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7337BF0B">
      <w:pPr>
        <w:pStyle w:val="ParaNum"/>
        <w:rPr>
          <w:szCs w:val="22"/>
        </w:rPr>
      </w:pPr>
      <w:r w:rsidRPr="00683723">
        <w:rPr>
          <w:szCs w:val="22"/>
        </w:rPr>
        <w:t xml:space="preserve">Accordingly, </w:t>
      </w:r>
      <w:r w:rsidRPr="00683723">
        <w:rPr>
          <w:b/>
          <w:bCs/>
          <w:szCs w:val="22"/>
        </w:rPr>
        <w:t>IT IS ORDERED</w:t>
      </w:r>
      <w:r w:rsidRPr="00683723">
        <w:rPr>
          <w:szCs w:val="22"/>
        </w:rPr>
        <w:t xml:space="preserve">, </w:t>
      </w:r>
      <w:r w:rsidRPr="000D07AD" w:rsidR="009659D9">
        <w:t xml:space="preserve">pursuant to </w:t>
      </w:r>
      <w:r w:rsidR="009659D9">
        <w:t>s</w:t>
      </w:r>
      <w:r w:rsidRPr="000D07AD" w:rsidR="009659D9">
        <w:t xml:space="preserve">ection 503(b) of the Communications Act of 1934, as amended, and </w:t>
      </w:r>
      <w:r w:rsidR="009659D9">
        <w:t>s</w:t>
      </w:r>
      <w:r w:rsidRPr="000D07AD" w:rsidR="009659D9">
        <w:t xml:space="preserve">ections 0.283 and 1.80 of the Commission’s Rules, </w:t>
      </w:r>
      <w:r w:rsidR="009659D9">
        <w:t xml:space="preserve">that </w:t>
      </w:r>
      <w:r w:rsidR="009659D9">
        <w:rPr>
          <w:szCs w:val="22"/>
        </w:rPr>
        <w:t>Diponti</w:t>
      </w:r>
      <w:r w:rsidR="009659D9">
        <w:rPr>
          <w:szCs w:val="22"/>
        </w:rPr>
        <w:t xml:space="preserve"> Communications, LLC</w:t>
      </w:r>
      <w:r w:rsidR="009659D9">
        <w:t xml:space="preserve">, </w:t>
      </w:r>
      <w:r w:rsidRPr="00564A34" w:rsidR="009659D9">
        <w:rPr>
          <w:b/>
        </w:rPr>
        <w:t>IS LIABLE FOR A MONETARY FORFEITURE</w:t>
      </w:r>
      <w:r w:rsidRPr="005D63BE" w:rsidR="009659D9">
        <w:t xml:space="preserve"> in the amount of </w:t>
      </w:r>
      <w:r w:rsidR="009659D9">
        <w:t>five thousand dollars (</w:t>
      </w:r>
      <w:r w:rsidRPr="005D63BE" w:rsidR="009659D9">
        <w:t>$</w:t>
      </w:r>
      <w:r w:rsidR="009659D9">
        <w:t>5,</w:t>
      </w:r>
      <w:r w:rsidRPr="005D63BE" w:rsidR="009659D9">
        <w:t>00</w:t>
      </w:r>
      <w:r w:rsidR="009659D9">
        <w:t>0)</w:t>
      </w:r>
      <w:r w:rsidRPr="005D63BE" w:rsidR="009659D9">
        <w:t xml:space="preserve"> for </w:t>
      </w:r>
      <w:r w:rsidR="009659D9">
        <w:t>its</w:t>
      </w:r>
      <w:r w:rsidRPr="005D63BE" w:rsidR="009659D9">
        <w:t xml:space="preserve"> apparent willful</w:t>
      </w:r>
      <w:r w:rsidR="009659D9">
        <w:t xml:space="preserve"> </w:t>
      </w:r>
      <w:r w:rsidRPr="00683723">
        <w:rPr>
          <w:szCs w:val="22"/>
        </w:rPr>
        <w:t>violation of section 73.3539 of the</w:t>
      </w:r>
      <w:r w:rsidR="000437E9">
        <w:rPr>
          <w:szCs w:val="22"/>
        </w:rPr>
        <w:t xml:space="preserve"> FCC’s</w:t>
      </w:r>
      <w:r w:rsidRPr="00683723">
        <w:rPr>
          <w:szCs w:val="22"/>
        </w:rPr>
        <w:t xml:space="preserve"> </w:t>
      </w:r>
      <w:r w:rsidR="001B52E5">
        <w:rPr>
          <w:szCs w:val="22"/>
        </w:rPr>
        <w:t>r</w:t>
      </w:r>
      <w:r w:rsidRPr="00683723">
        <w:rPr>
          <w:szCs w:val="22"/>
        </w:rPr>
        <w:t>ules</w:t>
      </w:r>
      <w:r w:rsidR="009D2452">
        <w:rPr>
          <w:szCs w:val="22"/>
        </w:rPr>
        <w:t xml:space="preserve"> and </w:t>
      </w:r>
      <w:r w:rsidRPr="009D2452" w:rsidR="009D2452">
        <w:rPr>
          <w:szCs w:val="22"/>
        </w:rPr>
        <w:t>Section 301 of</w:t>
      </w:r>
      <w:r w:rsidR="00E965AB">
        <w:rPr>
          <w:szCs w:val="22"/>
        </w:rPr>
        <w:t xml:space="preserve"> the Communications Act of 1934, as amended</w:t>
      </w:r>
      <w:r w:rsidRPr="00683723">
        <w:rPr>
          <w:szCs w:val="22"/>
        </w:rPr>
        <w:t xml:space="preserve">. </w:t>
      </w:r>
    </w:p>
    <w:p w:rsidR="00CF1932" w:rsidRPr="00BE3744" w:rsidP="00CF1932" w14:paraId="5426E28E" w14:textId="1E9207B8">
      <w:pPr>
        <w:pStyle w:val="ParaNum"/>
        <w:widowControl/>
        <w:rPr>
          <w:szCs w:val="22"/>
        </w:rPr>
      </w:pPr>
      <w:r w:rsidRPr="00514C8E">
        <w:rPr>
          <w:szCs w:val="22"/>
        </w:rPr>
        <w:t xml:space="preserve">Payment of the </w:t>
      </w:r>
      <w:r>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36"/>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CF1932">
        <w:rPr>
          <w:szCs w:val="22"/>
        </w:rPr>
        <w:t>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37"/>
      </w:r>
      <w:r w:rsidRPr="00514C8E">
        <w:rPr>
          <w:szCs w:val="22"/>
        </w:rPr>
        <w:t xml:space="preserve"> </w:t>
      </w:r>
    </w:p>
    <w:p w:rsidR="00CF1932" w:rsidRPr="00514C8E" w:rsidP="00CF1932" w14:paraId="72CE3CEC" w14:textId="77777777">
      <w:pPr>
        <w:widowControl/>
        <w:numPr>
          <w:ilvl w:val="0"/>
          <w:numId w:val="12"/>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8"/>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F1932" w:rsidP="00CF1932" w14:paraId="6D0413AE" w14:textId="77777777">
      <w:pPr>
        <w:pStyle w:val="ParaNum"/>
        <w:widowControl/>
        <w:numPr>
          <w:ilvl w:val="0"/>
          <w:numId w:val="12"/>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A7120F" w:rsidRPr="00D8611F" w:rsidP="00D8611F" w14:paraId="61BE5B1D" w14:textId="008C750D">
      <w:pPr>
        <w:pStyle w:val="ParaNum"/>
        <w:widowControl/>
        <w:numPr>
          <w:ilvl w:val="0"/>
          <w:numId w:val="15"/>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w:t>
      </w:r>
      <w:r w:rsidRPr="00514C8E">
        <w:rPr>
          <w:szCs w:val="22"/>
        </w:rPr>
        <w:t xml:space="preserve">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90DD8" w:rsidP="00B90DD8" w14:paraId="773E8FAE" w14:textId="562F843A">
      <w:pPr>
        <w:pStyle w:val="ParaNum"/>
        <w:rPr>
          <w:szCs w:val="22"/>
        </w:rPr>
      </w:pPr>
      <w:r w:rsidRPr="00683723">
        <w:rPr>
          <w:szCs w:val="22"/>
        </w:rPr>
        <w:t>Any requests for full payment o</w:t>
      </w:r>
      <w:r w:rsidR="006C0F08">
        <w:rPr>
          <w:szCs w:val="22"/>
        </w:rPr>
        <w:t xml:space="preserve">ver time </w:t>
      </w:r>
      <w:r w:rsidRPr="00683723">
        <w:rPr>
          <w:szCs w:val="22"/>
        </w:rPr>
        <w:t xml:space="preserve">under </w:t>
      </w:r>
      <w:r w:rsidR="00A2050A">
        <w:rPr>
          <w:szCs w:val="22"/>
        </w:rPr>
        <w:t xml:space="preserve">an </w:t>
      </w:r>
      <w:r w:rsidRPr="00683723">
        <w:rPr>
          <w:szCs w:val="22"/>
        </w:rPr>
        <w:t>installment plan should be sent to:  Associate Managing Director-Financial Operations, 45 L Street, NE, Washington, DC 20554.</w:t>
      </w:r>
      <w:r>
        <w:rPr>
          <w:szCs w:val="22"/>
          <w:vertAlign w:val="superscript"/>
        </w:rPr>
        <w:footnoteReference w:id="39"/>
      </w:r>
      <w:r w:rsidRPr="00683723">
        <w:rPr>
          <w:szCs w:val="22"/>
        </w:rPr>
        <w:t xml:space="preserve">  Questions regarding payment procedures should be directed to the Financial Operations Group Help Desk by phone, 1-877-480-3201 (option #6), or by e-mail at </w:t>
      </w:r>
      <w:hyperlink r:id="rId9" w:history="1">
        <w:r w:rsidRPr="0028082F" w:rsidR="00277180">
          <w:rPr>
            <w:rStyle w:val="Hyperlink"/>
            <w:szCs w:val="22"/>
          </w:rPr>
          <w:t>ARINQUIRIES@fcc.gov</w:t>
        </w:r>
      </w:hyperlink>
      <w:r w:rsidRPr="00683723">
        <w:rPr>
          <w:szCs w:val="22"/>
        </w:rPr>
        <w:t>.</w:t>
      </w:r>
    </w:p>
    <w:p w:rsidR="00AE2D78" w:rsidRPr="00456D03" w:rsidP="00456D03" w14:paraId="494E0E00" w14:textId="7905A02B">
      <w:pPr>
        <w:pStyle w:val="ParaNum"/>
        <w:rPr>
          <w:szCs w:val="22"/>
        </w:rPr>
      </w:pPr>
      <w:r w:rsidRPr="00456D03">
        <w:rPr>
          <w:b/>
          <w:bCs/>
        </w:rPr>
        <w:t>IT IS FURTHER ORDERED</w:t>
      </w:r>
      <w:r w:rsidRPr="00683723">
        <w:t xml:space="preserve"> that a copy of this </w:t>
      </w:r>
      <w:r w:rsidRPr="00456D03" w:rsidR="00FA31DB">
        <w:rPr>
          <w:i/>
          <w:iCs/>
        </w:rPr>
        <w:t xml:space="preserve">Memorandum Opinion and Order and Forfeiture Order </w:t>
      </w:r>
      <w:r w:rsidRPr="00683723">
        <w:t xml:space="preserve"> shall be sent, by First Class and Certified Mail, Return Receipt Requested, to</w:t>
      </w:r>
      <w:r w:rsidRPr="00456D03" w:rsidR="00CB514E">
        <w:rPr>
          <w:szCs w:val="22"/>
        </w:rPr>
        <w:t xml:space="preserve"> </w:t>
      </w:r>
      <w:r w:rsidRPr="00CB514E" w:rsidR="00CB514E">
        <w:t>Diponti</w:t>
      </w:r>
      <w:r w:rsidRPr="00CB514E" w:rsidR="00CB514E">
        <w:t xml:space="preserve"> Communications, LLC</w:t>
      </w:r>
      <w:r w:rsidR="00AC2DD4">
        <w:t xml:space="preserve">, </w:t>
      </w:r>
      <w:r w:rsidR="004D4A2F">
        <w:t>58 High St., Westerly, RI</w:t>
      </w:r>
      <w:r w:rsidR="00B24B26">
        <w:t xml:space="preserve">, </w:t>
      </w:r>
      <w:r w:rsidR="004D4A2F">
        <w:t xml:space="preserve">02891 </w:t>
      </w:r>
      <w:r w:rsidR="00B24B26">
        <w:t xml:space="preserve">and its counsel, </w:t>
      </w:r>
      <w:r w:rsidR="00FF00B9">
        <w:t>Dan J. Alpert, Esq., 2120 N. 21 St., Arlington, VA 22201.</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P="00D36FF9" w14:paraId="1A45D4E6" w14:textId="4208A2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p w:rsidR="00D4468E" w:rsidP="00D36FF9" w14:paraId="604A751F" w14:textId="237C1934">
      <w:pPr>
        <w:keepLines/>
        <w:tabs>
          <w:tab w:val="left" w:pos="0"/>
        </w:tabs>
        <w:suppressAutoHyphens/>
        <w:jc w:val="both"/>
        <w:rPr>
          <w:szCs w:val="22"/>
        </w:rPr>
      </w:pPr>
    </w:p>
    <w:p w:rsidR="00D4468E" w:rsidRPr="00FA31DB" w:rsidP="00FA31DB" w14:paraId="6ADFABCA" w14:textId="0C7DB10F">
      <w:pPr>
        <w:pStyle w:val="ParaNum"/>
        <w:numPr>
          <w:ilvl w:val="0"/>
          <w:numId w:val="0"/>
        </w:numPr>
        <w:tabs>
          <w:tab w:val="left" w:pos="1440"/>
        </w:tabs>
        <w:spacing w:after="220"/>
        <w:ind w:left="720"/>
      </w:pPr>
      <w:r>
        <w:t xml:space="preserve"> </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BA2"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D0BA2"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BA2"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D0BA2"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BA2"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BA2" w14:paraId="2F04DB4F" w14:textId="77777777">
      <w:r>
        <w:separator/>
      </w:r>
    </w:p>
  </w:footnote>
  <w:footnote w:type="continuationSeparator" w:id="1">
    <w:p w:rsidR="00BD0BA2" w:rsidP="00C721AC" w14:paraId="7E3A9688" w14:textId="77777777">
      <w:pPr>
        <w:spacing w:before="120"/>
        <w:rPr>
          <w:sz w:val="20"/>
        </w:rPr>
      </w:pPr>
      <w:r>
        <w:rPr>
          <w:sz w:val="20"/>
        </w:rPr>
        <w:t xml:space="preserve">(Continued from previous page)  </w:t>
      </w:r>
      <w:r>
        <w:rPr>
          <w:sz w:val="20"/>
        </w:rPr>
        <w:separator/>
      </w:r>
    </w:p>
  </w:footnote>
  <w:footnote w:type="continuationNotice" w:id="2">
    <w:p w:rsidR="00BD0BA2" w:rsidP="00C721AC" w14:paraId="3128F844" w14:textId="77777777">
      <w:pPr>
        <w:jc w:val="right"/>
        <w:rPr>
          <w:sz w:val="20"/>
        </w:rPr>
      </w:pPr>
    </w:p>
  </w:footnote>
  <w:footnote w:id="3">
    <w:p w:rsidR="006D7549" w:rsidRPr="004D759B" w:rsidP="006D7549" w14:paraId="13855084" w14:textId="77777777">
      <w:pPr>
        <w:pStyle w:val="FootnoteText"/>
      </w:pPr>
      <w:r w:rsidRPr="004D759B">
        <w:rPr>
          <w:rStyle w:val="FootnoteReference"/>
        </w:rPr>
        <w:footnoteRef/>
      </w:r>
      <w:r w:rsidRPr="004D759B">
        <w:t xml:space="preserve"> </w:t>
      </w:r>
      <w:r w:rsidRPr="004D759B">
        <w:rPr>
          <w:i/>
        </w:rPr>
        <w:t xml:space="preserve">See </w:t>
      </w:r>
      <w:r>
        <w:t>47 CFR § 73.3539.</w:t>
      </w:r>
    </w:p>
  </w:footnote>
  <w:footnote w:id="4">
    <w:p w:rsidR="00BD42AD" w:rsidP="00BD42AD" w14:paraId="663F71B0" w14:textId="77777777">
      <w:pPr>
        <w:pStyle w:val="FootnoteText"/>
      </w:pPr>
      <w:r>
        <w:rPr>
          <w:rStyle w:val="FootnoteReference"/>
        </w:rPr>
        <w:footnoteRef/>
      </w:r>
      <w:r>
        <w:t xml:space="preserve"> </w:t>
      </w:r>
      <w:r w:rsidRPr="006C6DAD">
        <w:rPr>
          <w:i/>
        </w:rPr>
        <w:t xml:space="preserve">See </w:t>
      </w:r>
      <w:r w:rsidRPr="006C6DAD">
        <w:t xml:space="preserve">47 </w:t>
      </w:r>
      <w:r>
        <w:t>U.S.C.</w:t>
      </w:r>
      <w:r w:rsidRPr="006C6DAD">
        <w:t xml:space="preserve"> §</w:t>
      </w:r>
      <w:r>
        <w:t xml:space="preserve"> 301.</w:t>
      </w:r>
    </w:p>
  </w:footnote>
  <w:footnote w:id="5">
    <w:p w:rsidR="00BD0BA2" w14:paraId="06B0AE7E" w14:textId="4339E344">
      <w:pPr>
        <w:pStyle w:val="FootnoteText"/>
      </w:pPr>
      <w:r>
        <w:rPr>
          <w:rStyle w:val="FootnoteReference"/>
        </w:rPr>
        <w:footnoteRef/>
      </w:r>
      <w:r>
        <w:t xml:space="preserve"> </w:t>
      </w:r>
      <w:r w:rsidRPr="00927442">
        <w:rPr>
          <w:i/>
          <w:iCs/>
        </w:rPr>
        <w:t>Diponti</w:t>
      </w:r>
      <w:r w:rsidRPr="00927442">
        <w:rPr>
          <w:i/>
          <w:iCs/>
        </w:rPr>
        <w:t xml:space="preserve"> Comm</w:t>
      </w:r>
      <w:r w:rsidR="00FF0813">
        <w:rPr>
          <w:i/>
          <w:iCs/>
        </w:rPr>
        <w:t>.</w:t>
      </w:r>
      <w:r w:rsidRPr="00927442">
        <w:rPr>
          <w:i/>
          <w:iCs/>
        </w:rPr>
        <w:t>, LLC,</w:t>
      </w:r>
      <w:r>
        <w:t xml:space="preserve"> Memorandum Opinion and Order and Notice of Apparent Liability</w:t>
      </w:r>
      <w:r w:rsidR="00F21EEE">
        <w:t xml:space="preserve"> for Forfeiture</w:t>
      </w:r>
      <w:r>
        <w:t>, DA 21-1177 (MB Sept. 21, 2021)</w:t>
      </w:r>
      <w:r w:rsidR="001627B0">
        <w:t xml:space="preserve"> (NAL)</w:t>
      </w:r>
      <w:r w:rsidRPr="00A52908">
        <w:t xml:space="preserve">.  </w:t>
      </w:r>
    </w:p>
  </w:footnote>
  <w:footnote w:id="6">
    <w:p w:rsidR="00BD0BA2" w:rsidP="009512E7" w14:paraId="58E2445F" w14:textId="77777777">
      <w:pPr>
        <w:pStyle w:val="FootnoteText"/>
      </w:pPr>
      <w:r>
        <w:rPr>
          <w:rStyle w:val="FootnoteReference"/>
        </w:rPr>
        <w:footnoteRef/>
      </w:r>
      <w:r>
        <w:t xml:space="preserve"> 47 CFR § 73.3539(a).</w:t>
      </w:r>
    </w:p>
  </w:footnote>
  <w:footnote w:id="7">
    <w:p w:rsidR="00BD0BA2" w:rsidRPr="00610C65" w:rsidP="009512E7" w14:paraId="7B65CFE4" w14:textId="591E0068">
      <w:pPr>
        <w:pStyle w:val="FootnoteText"/>
      </w:pPr>
      <w:r>
        <w:rPr>
          <w:rStyle w:val="FootnoteReference"/>
        </w:rPr>
        <w:footnoteRef/>
      </w:r>
      <w:r>
        <w:t xml:space="preserve"> </w:t>
      </w:r>
      <w:r>
        <w:rPr>
          <w:i/>
          <w:iCs/>
        </w:rPr>
        <w:t xml:space="preserve">See </w:t>
      </w:r>
      <w:r w:rsidRPr="00075D35">
        <w:rPr>
          <w:bCs/>
          <w:i/>
          <w:iCs/>
        </w:rPr>
        <w:t xml:space="preserve">Atlantic City Bd. </w:t>
      </w:r>
      <w:r w:rsidR="00612530">
        <w:rPr>
          <w:bCs/>
          <w:i/>
          <w:iCs/>
        </w:rPr>
        <w:t>o</w:t>
      </w:r>
      <w:r w:rsidRPr="00075D35">
        <w:rPr>
          <w:bCs/>
          <w:i/>
          <w:iCs/>
        </w:rPr>
        <w:t xml:space="preserve">f Educ., </w:t>
      </w:r>
      <w:r w:rsidRPr="00075D35">
        <w:rPr>
          <w:bCs/>
        </w:rPr>
        <w:t>Memorandum Opinion and Order, 31 FCC Rcd 9380, 9385</w:t>
      </w:r>
      <w:r>
        <w:rPr>
          <w:bCs/>
        </w:rPr>
        <w:t>, para. 11</w:t>
      </w:r>
      <w:r w:rsidRPr="00075D35">
        <w:rPr>
          <w:bCs/>
        </w:rPr>
        <w:t xml:space="preserve"> (2016) (</w:t>
      </w:r>
      <w:r w:rsidRPr="00075D35">
        <w:rPr>
          <w:bCs/>
          <w:i/>
          <w:iCs/>
        </w:rPr>
        <w:t>Atlantic City</w:t>
      </w:r>
      <w:r w:rsidRPr="00075D35">
        <w:rPr>
          <w:bCs/>
        </w:rPr>
        <w:t>)</w:t>
      </w:r>
      <w:r>
        <w:rPr>
          <w:bCs/>
          <w:i/>
          <w:iCs/>
        </w:rPr>
        <w:t xml:space="preserve">; see also </w:t>
      </w:r>
      <w:r>
        <w:t xml:space="preserve">47 CFR </w:t>
      </w:r>
      <w:r w:rsidRPr="00885FB1">
        <w:t>§</w:t>
      </w:r>
      <w:r>
        <w:t xml:space="preserve"> 1.62 (authorizing </w:t>
      </w:r>
      <w:r w:rsidRPr="00CD087E">
        <w:t xml:space="preserve">continued operations </w:t>
      </w:r>
      <w:r>
        <w:t xml:space="preserve">after expiration only </w:t>
      </w:r>
      <w:r w:rsidRPr="00CD087E">
        <w:t>“where there is pending before the Commission at the time of expiration of license any proper and timely application for renewal of license</w:t>
      </w:r>
      <w:r>
        <w:t>”</w:t>
      </w:r>
      <w:r w:rsidRPr="00610C65">
        <w:t>).</w:t>
      </w:r>
      <w:r>
        <w:t xml:space="preserve">  </w:t>
      </w:r>
      <w:r>
        <w:rPr>
          <w:szCs w:val="22"/>
        </w:rPr>
        <w:t xml:space="preserve">Although the Commission will process late-filed applications for license renewal to </w:t>
      </w:r>
      <w:r w:rsidRPr="00D85509">
        <w:rPr>
          <w:szCs w:val="22"/>
        </w:rPr>
        <w:t>provide stations with the opportunity to rectify th</w:t>
      </w:r>
      <w:r>
        <w:rPr>
          <w:szCs w:val="22"/>
        </w:rPr>
        <w:t xml:space="preserve">e situation and </w:t>
      </w:r>
      <w:r w:rsidRPr="00DD4998">
        <w:rPr>
          <w:szCs w:val="22"/>
        </w:rPr>
        <w:t xml:space="preserve">to avoid disruption of service to the public, </w:t>
      </w:r>
      <w:r>
        <w:rPr>
          <w:szCs w:val="22"/>
        </w:rPr>
        <w:t xml:space="preserve">the Commission generally takes appropriate </w:t>
      </w:r>
      <w:r w:rsidRPr="00D85509">
        <w:rPr>
          <w:szCs w:val="22"/>
        </w:rPr>
        <w:t>enforcement actio</w:t>
      </w:r>
      <w:r>
        <w:rPr>
          <w:szCs w:val="22"/>
        </w:rPr>
        <w:t xml:space="preserve">n, such as </w:t>
      </w:r>
      <w:r w:rsidR="0041406E">
        <w:rPr>
          <w:szCs w:val="22"/>
        </w:rPr>
        <w:t xml:space="preserve">assessing </w:t>
      </w:r>
      <w:r>
        <w:rPr>
          <w:szCs w:val="22"/>
        </w:rPr>
        <w:t>monetary forfeitures, in response to the licensee’s resulting</w:t>
      </w:r>
      <w:r w:rsidRPr="00D85509">
        <w:rPr>
          <w:szCs w:val="22"/>
        </w:rPr>
        <w:t xml:space="preserve"> rule violations</w:t>
      </w:r>
      <w:r>
        <w:rPr>
          <w:szCs w:val="22"/>
        </w:rPr>
        <w:t xml:space="preserve">.  </w:t>
      </w:r>
      <w:r>
        <w:rPr>
          <w:i/>
          <w:iCs/>
        </w:rPr>
        <w:t xml:space="preserve">See Atlantic City, </w:t>
      </w:r>
      <w:r>
        <w:t>31 FCC Rcd at 9384-85, para. 10.</w:t>
      </w:r>
    </w:p>
  </w:footnote>
  <w:footnote w:id="8">
    <w:p w:rsidR="00BD0BA2" w:rsidRPr="0062071B" w:rsidP="001B5F46" w14:paraId="4085003A" w14:textId="58F78BAD">
      <w:pPr>
        <w:pStyle w:val="FootnoteText"/>
      </w:pPr>
      <w:r>
        <w:rPr>
          <w:rStyle w:val="FootnoteReference"/>
        </w:rPr>
        <w:footnoteRef/>
      </w:r>
      <w:r>
        <w:t xml:space="preserve"> </w:t>
      </w:r>
      <w:r>
        <w:rPr>
          <w:i/>
          <w:iCs/>
        </w:rPr>
        <w:t xml:space="preserve">See Harvest Broad., et al., </w:t>
      </w:r>
      <w:r>
        <w:t xml:space="preserve">Order, 31 FCC Rcd 11840 (MB 2016) </w:t>
      </w:r>
      <w:r w:rsidRPr="00555D19">
        <w:t xml:space="preserve">(adopting consent decree </w:t>
      </w:r>
      <w:r>
        <w:t xml:space="preserve">and providing for short-term </w:t>
      </w:r>
      <w:r w:rsidRPr="00555D19">
        <w:t>renew</w:t>
      </w:r>
      <w:r>
        <w:t>al</w:t>
      </w:r>
      <w:r w:rsidRPr="00555D19">
        <w:t xml:space="preserve"> </w:t>
      </w:r>
      <w:r>
        <w:t xml:space="preserve">of </w:t>
      </w:r>
      <w:r w:rsidRPr="00555D19">
        <w:t>Station’s license upon satisfaction of conditions)</w:t>
      </w:r>
      <w:r>
        <w:t xml:space="preserve">.  </w:t>
      </w:r>
      <w:r>
        <w:rPr>
          <w:szCs w:val="22"/>
        </w:rPr>
        <w:t xml:space="preserve">The Consent Decree resolved numerous issues concerning Harvest’s qualifications. </w:t>
      </w:r>
      <w:r w:rsidRPr="001B5F46">
        <w:rPr>
          <w:szCs w:val="22"/>
        </w:rPr>
        <w:t xml:space="preserve"> </w:t>
      </w:r>
      <w:r w:rsidR="00891790">
        <w:rPr>
          <w:szCs w:val="22"/>
        </w:rPr>
        <w:t xml:space="preserve">At that time, </w:t>
      </w:r>
      <w:r w:rsidR="00891790">
        <w:t xml:space="preserve">the Station operated on a different </w:t>
      </w:r>
      <w:r w:rsidRPr="00356322" w:rsidR="00891790">
        <w:t>channel and</w:t>
      </w:r>
      <w:r w:rsidR="00891790">
        <w:t xml:space="preserve"> served </w:t>
      </w:r>
      <w:r w:rsidRPr="00356322" w:rsidR="00891790">
        <w:t>North Bennington</w:t>
      </w:r>
      <w:r w:rsidR="006628D5">
        <w:t>, Vermont</w:t>
      </w:r>
      <w:r w:rsidR="00891790">
        <w:t xml:space="preserve"> under the call sign </w:t>
      </w:r>
      <w:r w:rsidRPr="00356322" w:rsidR="00891790">
        <w:t>W228AU</w:t>
      </w:r>
      <w:r w:rsidR="00891790">
        <w:t xml:space="preserve">.  </w:t>
      </w:r>
      <w:r>
        <w:rPr>
          <w:szCs w:val="22"/>
        </w:rPr>
        <w:t xml:space="preserve">The </w:t>
      </w:r>
      <w:r w:rsidRPr="001B5F46">
        <w:rPr>
          <w:szCs w:val="22"/>
        </w:rPr>
        <w:t>Consent Decree</w:t>
      </w:r>
      <w:r>
        <w:rPr>
          <w:szCs w:val="22"/>
        </w:rPr>
        <w:t xml:space="preserve"> allowed Harvest to keep </w:t>
      </w:r>
      <w:r w:rsidR="007674AB">
        <w:rPr>
          <w:szCs w:val="22"/>
        </w:rPr>
        <w:t xml:space="preserve">(or sell) </w:t>
      </w:r>
      <w:r>
        <w:rPr>
          <w:szCs w:val="22"/>
        </w:rPr>
        <w:t xml:space="preserve">some of its broadcast interests, including the Station, with </w:t>
      </w:r>
      <w:r w:rsidRPr="001B5F46">
        <w:rPr>
          <w:szCs w:val="22"/>
        </w:rPr>
        <w:t>a conditional, one-year short-term renewal of license</w:t>
      </w:r>
      <w:r>
        <w:rPr>
          <w:szCs w:val="22"/>
        </w:rPr>
        <w:t xml:space="preserve"> so that the Bureau could reevaluate the Station’s performance in light of past problems.</w:t>
      </w:r>
      <w:r>
        <w:t xml:space="preserve">  </w:t>
      </w:r>
      <w:r w:rsidR="00891790">
        <w:t>Diponti</w:t>
      </w:r>
      <w:r w:rsidR="00891790">
        <w:t xml:space="preserve"> subsequently moved the Station to Rhode Island</w:t>
      </w:r>
      <w:r w:rsidRPr="00356322" w:rsidR="00891790">
        <w:t xml:space="preserve">.  </w:t>
      </w:r>
      <w:r w:rsidR="007674AB">
        <w:t xml:space="preserve">Aside from stations </w:t>
      </w:r>
      <w:r w:rsidR="00D428F5">
        <w:t xml:space="preserve">like the instant Station </w:t>
      </w:r>
      <w:r w:rsidR="007674AB">
        <w:t xml:space="preserve">that received short-term renewals, </w:t>
      </w:r>
      <w:r w:rsidR="006628D5">
        <w:t xml:space="preserve">broadcast licenses in </w:t>
      </w:r>
      <w:r w:rsidR="006628D5">
        <w:rPr>
          <w:szCs w:val="22"/>
        </w:rPr>
        <w:t xml:space="preserve">Rhode Island (and Vermont) expire statewide </w:t>
      </w:r>
      <w:r w:rsidR="00177A0B">
        <w:rPr>
          <w:szCs w:val="22"/>
        </w:rPr>
        <w:t>on</w:t>
      </w:r>
      <w:r w:rsidR="006628D5">
        <w:rPr>
          <w:szCs w:val="22"/>
        </w:rPr>
        <w:t xml:space="preserve"> </w:t>
      </w:r>
      <w:r w:rsidR="007674AB">
        <w:rPr>
          <w:szCs w:val="22"/>
        </w:rPr>
        <w:t>April 1, 2022</w:t>
      </w:r>
      <w:r>
        <w:rPr>
          <w:szCs w:val="22"/>
        </w:rPr>
        <w:t>.</w:t>
      </w:r>
    </w:p>
  </w:footnote>
  <w:footnote w:id="9">
    <w:p w:rsidR="00BD0BA2" w:rsidP="001B5F46" w14:paraId="43783128" w14:textId="18D1EA73">
      <w:pPr>
        <w:pStyle w:val="FootnoteText"/>
      </w:pPr>
      <w:r>
        <w:rPr>
          <w:rStyle w:val="FootnoteReference"/>
        </w:rPr>
        <w:footnoteRef/>
      </w:r>
      <w:r>
        <w:t xml:space="preserve"> Application File No. </w:t>
      </w:r>
      <w:r w:rsidRPr="00E67D56">
        <w:t>BALFT-20161103AAW</w:t>
      </w:r>
      <w:r>
        <w:t xml:space="preserve"> (granted Jan. 17, 2017, consummated Mar. 8, 2017).  </w:t>
      </w:r>
      <w:r w:rsidRPr="00DE4C6E">
        <w:t xml:space="preserve"> </w:t>
      </w:r>
    </w:p>
  </w:footnote>
  <w:footnote w:id="10">
    <w:p w:rsidR="00BD0BA2" w14:paraId="4F5FE607" w14:textId="05A30703">
      <w:pPr>
        <w:pStyle w:val="FootnoteText"/>
      </w:pPr>
      <w:r>
        <w:rPr>
          <w:rStyle w:val="FootnoteReference"/>
        </w:rPr>
        <w:footnoteRef/>
      </w:r>
      <w:r>
        <w:t xml:space="preserve"> </w:t>
      </w:r>
      <w:bookmarkStart w:id="3" w:name="_Hlk89683040"/>
      <w:r>
        <w:t>Application File No. 0000090518 (granted Jan. 9, 2020) (Covering Application/Covering License).</w:t>
      </w:r>
      <w:bookmarkEnd w:id="3"/>
      <w:r w:rsidR="00CE35FF">
        <w:t xml:space="preserve">  </w:t>
      </w:r>
    </w:p>
  </w:footnote>
  <w:footnote w:id="11">
    <w:p w:rsidR="00BD0BA2" w:rsidRPr="00A97AA0" w14:paraId="3145A089" w14:textId="043B843D">
      <w:pPr>
        <w:pStyle w:val="FootnoteText"/>
        <w:rPr>
          <w:i/>
          <w:iCs/>
        </w:rPr>
      </w:pPr>
      <w:r>
        <w:rPr>
          <w:rStyle w:val="FootnoteReference"/>
        </w:rPr>
        <w:footnoteRef/>
      </w:r>
      <w:r>
        <w:t xml:space="preserve"> </w:t>
      </w:r>
      <w:r>
        <w:rPr>
          <w:i/>
          <w:iCs/>
        </w:rPr>
        <w:t>Id.</w:t>
      </w:r>
    </w:p>
  </w:footnote>
  <w:footnote w:id="12">
    <w:p w:rsidR="00CE35FF" w14:paraId="652BD42C" w14:textId="48357A33">
      <w:pPr>
        <w:pStyle w:val="FootnoteText"/>
      </w:pPr>
      <w:r>
        <w:rPr>
          <w:rStyle w:val="FootnoteReference"/>
        </w:rPr>
        <w:footnoteRef/>
      </w:r>
      <w:r>
        <w:t xml:space="preserve"> </w:t>
      </w:r>
      <w:r w:rsidR="00975991">
        <w:t xml:space="preserve">However, shortly after grant of the Covering License, the Commission’s broadcast database began to bear an erroneous, underlying license expiration date of April 1, 2022 for the Station, </w:t>
      </w:r>
      <w:r w:rsidR="00975991">
        <w:rPr>
          <w:i/>
          <w:iCs/>
        </w:rPr>
        <w:t xml:space="preserve">i.e., </w:t>
      </w:r>
      <w:r w:rsidR="00975991">
        <w:t xml:space="preserve">the standard Rhode Island date.  </w:t>
      </w:r>
      <w:r>
        <w:t xml:space="preserve">The erroneous date </w:t>
      </w:r>
      <w:r w:rsidR="00975991">
        <w:t xml:space="preserve">seems to have </w:t>
      </w:r>
      <w:r>
        <w:t>first appea</w:t>
      </w:r>
      <w:r w:rsidR="00975991">
        <w:t>red</w:t>
      </w:r>
      <w:r>
        <w:t xml:space="preserve"> in connection with a February 28, 2020 administrative update </w:t>
      </w:r>
      <w:r w:rsidR="008F5D8E">
        <w:t>naming</w:t>
      </w:r>
      <w:r>
        <w:t xml:space="preserve"> </w:t>
      </w:r>
      <w:r w:rsidR="00975991">
        <w:t>Diponti’s</w:t>
      </w:r>
      <w:r>
        <w:t xml:space="preserve"> </w:t>
      </w:r>
      <w:r w:rsidR="008F5D8E">
        <w:t xml:space="preserve">current counsel as </w:t>
      </w:r>
      <w:r>
        <w:t xml:space="preserve">contact representative.  </w:t>
      </w:r>
      <w:r w:rsidR="006C7218">
        <w:rPr>
          <w:i/>
          <w:iCs/>
        </w:rPr>
        <w:t xml:space="preserve">See </w:t>
      </w:r>
      <w:r>
        <w:t>Application File No. 0000106769 (rec. Feb. 28, 2020).</w:t>
      </w:r>
    </w:p>
  </w:footnote>
  <w:footnote w:id="13">
    <w:p w:rsidR="00DF7DBE" w:rsidP="00DF7DBE" w14:paraId="01BE7C87" w14:textId="77777777">
      <w:pPr>
        <w:pStyle w:val="FootnoteText"/>
      </w:pPr>
      <w:r>
        <w:rPr>
          <w:rStyle w:val="FootnoteReference"/>
        </w:rPr>
        <w:footnoteRef/>
      </w:r>
      <w:r>
        <w:t xml:space="preserve"> Application File No. </w:t>
      </w:r>
      <w:r w:rsidRPr="00BB563D">
        <w:t>0000122</w:t>
      </w:r>
      <w:r>
        <w:t xml:space="preserve">059 (rec. Sept. 11, 2020).  </w:t>
      </w:r>
    </w:p>
  </w:footnote>
  <w:footnote w:id="14">
    <w:p w:rsidR="00966E3E" w:rsidP="00966E3E" w14:paraId="45B15BF1" w14:textId="77777777">
      <w:pPr>
        <w:pStyle w:val="FootnoteText"/>
      </w:pPr>
      <w:r>
        <w:rPr>
          <w:rStyle w:val="FootnoteReference"/>
        </w:rPr>
        <w:footnoteRef/>
      </w:r>
      <w:r>
        <w:t xml:space="preserve"> </w:t>
      </w:r>
      <w:r w:rsidRPr="005F284E">
        <w:t> </w:t>
      </w:r>
      <w:r>
        <w:t xml:space="preserve">Application File No. </w:t>
      </w:r>
      <w:r w:rsidRPr="005F284E">
        <w:t>BLSTA-20200916ABT</w:t>
      </w:r>
      <w:r>
        <w:t xml:space="preserve"> (rec. Sept. 16, 2020).</w:t>
      </w:r>
    </w:p>
  </w:footnote>
  <w:footnote w:id="15">
    <w:p w:rsidR="00BD0BA2" w:rsidRPr="0057212F" w14:paraId="658A3D62" w14:textId="37DB5FCF">
      <w:pPr>
        <w:pStyle w:val="FootnoteText"/>
      </w:pPr>
      <w:r>
        <w:rPr>
          <w:rStyle w:val="FootnoteReference"/>
        </w:rPr>
        <w:footnoteRef/>
      </w:r>
      <w:r>
        <w:t xml:space="preserve"> </w:t>
      </w:r>
      <w:r>
        <w:rPr>
          <w:i/>
          <w:iCs/>
        </w:rPr>
        <w:t xml:space="preserve">See </w:t>
      </w:r>
      <w:r>
        <w:t xml:space="preserve">Exhibit.pdf. attached to </w:t>
      </w:r>
      <w:r w:rsidR="00F82811">
        <w:t xml:space="preserve">2020 </w:t>
      </w:r>
      <w:r>
        <w:t>Application (</w:t>
      </w:r>
      <w:r w:rsidRPr="0057212F">
        <w:t>“</w:t>
      </w:r>
      <w:r>
        <w:t>D</w:t>
      </w:r>
      <w:r w:rsidRPr="0057212F">
        <w:t>uring a routine database check of this licensee, it was realized that prior to such time as the licensee acquired the license for W276DF (formerly W228AU), a short-term renewal of license was granted with respect to this facility. Therefore, this application for renewal of license is filed lat</w:t>
      </w:r>
      <w:r>
        <w:t>e.  S</w:t>
      </w:r>
      <w:r w:rsidRPr="00A50D3B">
        <w:t xml:space="preserve">ince acquisition of the station, the licensee has been in full compliance with all Commission rules and regulations. </w:t>
      </w:r>
      <w:r>
        <w:t xml:space="preserve"> </w:t>
      </w:r>
      <w:r w:rsidRPr="00A50D3B">
        <w:t xml:space="preserve">It is respectfully </w:t>
      </w:r>
      <w:r>
        <w:t xml:space="preserve">[requested] </w:t>
      </w:r>
      <w:r w:rsidRPr="00A50D3B">
        <w:t>that this application for renewal of license be granted, to allow the station to resume on the normal renewal cycle for Rhode Island stations.</w:t>
      </w:r>
      <w:r>
        <w:t xml:space="preserve">”).  </w:t>
      </w:r>
    </w:p>
  </w:footnote>
  <w:footnote w:id="16">
    <w:p w:rsidR="00BD0BA2" w:rsidP="00FF09FE" w14:paraId="5A89155A" w14:textId="64E5025E">
      <w:pPr>
        <w:pStyle w:val="FootnoteText"/>
      </w:pPr>
      <w:r w:rsidRPr="002169FD">
        <w:rPr>
          <w:rStyle w:val="FootnoteReference"/>
        </w:rPr>
        <w:footnoteRef/>
      </w:r>
      <w:r w:rsidRPr="002169FD">
        <w:t xml:space="preserve"> </w:t>
      </w:r>
      <w:r w:rsidRPr="002169FD">
        <w:rPr>
          <w:i/>
          <w:iCs/>
        </w:rPr>
        <w:t xml:space="preserve">See </w:t>
      </w:r>
      <w:r w:rsidRPr="00C544CC">
        <w:rPr>
          <w:i/>
          <w:iCs/>
        </w:rPr>
        <w:t>Diponti</w:t>
      </w:r>
      <w:r w:rsidRPr="00C544CC">
        <w:rPr>
          <w:i/>
          <w:iCs/>
        </w:rPr>
        <w:t xml:space="preserve"> Comm</w:t>
      </w:r>
      <w:r w:rsidR="00FC4059">
        <w:rPr>
          <w:i/>
          <w:iCs/>
        </w:rPr>
        <w:t>.</w:t>
      </w:r>
      <w:r w:rsidRPr="00C544CC">
        <w:rPr>
          <w:i/>
          <w:iCs/>
        </w:rPr>
        <w:t>, LLC</w:t>
      </w:r>
      <w:r>
        <w:rPr>
          <w:i/>
          <w:iCs/>
        </w:rPr>
        <w:t xml:space="preserve">, </w:t>
      </w:r>
      <w:r w:rsidRPr="002169FD">
        <w:t xml:space="preserve">Letter Order, </w:t>
      </w:r>
      <w:r>
        <w:t xml:space="preserve">Application </w:t>
      </w:r>
      <w:r w:rsidRPr="002169FD">
        <w:t xml:space="preserve">File No. </w:t>
      </w:r>
      <w:r w:rsidRPr="00C544CC">
        <w:t xml:space="preserve">BLSTA-20200916ABT </w:t>
      </w:r>
      <w:r w:rsidRPr="002169FD">
        <w:t>(MB Oct. 2, 2020)</w:t>
      </w:r>
      <w:r>
        <w:t>.</w:t>
      </w:r>
    </w:p>
  </w:footnote>
  <w:footnote w:id="17">
    <w:p w:rsidR="00BD0BA2" w14:paraId="10523973" w14:textId="5668F806">
      <w:pPr>
        <w:pStyle w:val="FootnoteText"/>
      </w:pPr>
      <w:r w:rsidRPr="002169FD">
        <w:rPr>
          <w:rStyle w:val="FootnoteReference"/>
        </w:rPr>
        <w:footnoteRef/>
      </w:r>
      <w:r w:rsidRPr="002169FD">
        <w:t xml:space="preserve"> </w:t>
      </w:r>
      <w:r w:rsidRPr="002169FD">
        <w:rPr>
          <w:i/>
          <w:iCs/>
        </w:rPr>
        <w:t>See</w:t>
      </w:r>
      <w:r w:rsidRPr="002169FD">
        <w:t xml:space="preserve"> </w:t>
      </w:r>
      <w:r w:rsidR="005C4BA8">
        <w:t xml:space="preserve">Application </w:t>
      </w:r>
      <w:r w:rsidRPr="002169FD">
        <w:t>File No. BELSTA-20210326AAB</w:t>
      </w:r>
      <w:r>
        <w:t xml:space="preserve"> (rec. Mar. 26, 2021)</w:t>
      </w:r>
      <w:r w:rsidRPr="002169FD">
        <w:t>.</w:t>
      </w:r>
    </w:p>
  </w:footnote>
  <w:footnote w:id="18">
    <w:p w:rsidR="00BD0BA2" w:rsidRPr="003C7C8C" w:rsidP="004E5A9D" w14:paraId="31075C37" w14:textId="718AB8F0">
      <w:pPr>
        <w:ind w:right="-18"/>
        <w:rPr>
          <w:rFonts w:eastAsia="SimSun"/>
          <w:bCs/>
          <w:sz w:val="20"/>
        </w:rPr>
      </w:pPr>
      <w:r>
        <w:rPr>
          <w:rStyle w:val="FootnoteReference"/>
        </w:rPr>
        <w:footnoteRef/>
      </w:r>
      <w:r>
        <w:t xml:space="preserve"> </w:t>
      </w:r>
      <w:r w:rsidRPr="003C7C8C">
        <w:rPr>
          <w:i/>
          <w:iCs/>
          <w:sz w:val="20"/>
        </w:rPr>
        <w:t xml:space="preserve">See </w:t>
      </w:r>
      <w:r w:rsidRPr="00DD10C6">
        <w:rPr>
          <w:sz w:val="20"/>
        </w:rPr>
        <w:t>E-mail from Dan J. Alpert, Esq. to Victoria McCauley, Attorney, FCC (</w:t>
      </w:r>
      <w:r w:rsidRPr="00DD10C6">
        <w:rPr>
          <w:bCs/>
          <w:sz w:val="20"/>
        </w:rPr>
        <w:t>July 8, 2021 12:33 AM)</w:t>
      </w:r>
      <w:r>
        <w:rPr>
          <w:bCs/>
          <w:sz w:val="20"/>
        </w:rPr>
        <w:t xml:space="preserve"> (</w:t>
      </w:r>
      <w:r w:rsidRPr="004E5A9D">
        <w:rPr>
          <w:bCs/>
          <w:sz w:val="20"/>
        </w:rPr>
        <w:t>“[d]</w:t>
      </w:r>
      <w:r w:rsidRPr="004E5A9D">
        <w:rPr>
          <w:bCs/>
          <w:sz w:val="20"/>
        </w:rPr>
        <w:t>uring</w:t>
      </w:r>
      <w:r w:rsidRPr="004E5A9D">
        <w:rPr>
          <w:bCs/>
          <w:sz w:val="20"/>
        </w:rPr>
        <w:t xml:space="preserve"> a routine database check of the licensee, it was realized last year (by me) that the “license expiration date,” although showing in LMS as “4/1/2022” </w:t>
      </w:r>
      <w:r w:rsidR="00C17273">
        <w:rPr>
          <w:bCs/>
          <w:sz w:val="20"/>
        </w:rPr>
        <w:t>[</w:t>
      </w:r>
      <w:r w:rsidRPr="004E5A9D">
        <w:rPr>
          <w:bCs/>
          <w:sz w:val="20"/>
        </w:rPr>
        <w:t>in LMS</w:t>
      </w:r>
      <w:r w:rsidR="00C17273">
        <w:rPr>
          <w:bCs/>
          <w:sz w:val="20"/>
        </w:rPr>
        <w:t>]</w:t>
      </w:r>
      <w:r w:rsidRPr="004E5A9D">
        <w:rPr>
          <w:bCs/>
          <w:sz w:val="20"/>
        </w:rPr>
        <w:t xml:space="preserve"> did not match with the date of the Order.  Despite the date in LMS, the renewal application immediately was filed in an abundance of caution.  An STA also was filed (and granted) in an abundance of caution to allow the station validly to continue to operate.”</w:t>
      </w:r>
      <w:r>
        <w:rPr>
          <w:bCs/>
          <w:sz w:val="20"/>
        </w:rPr>
        <w:t xml:space="preserve">). </w:t>
      </w:r>
    </w:p>
    <w:p w:rsidR="00BD0BA2" w:rsidRPr="00880EA6" w:rsidP="004E5A9D" w14:paraId="02696B06" w14:textId="77777777">
      <w:pPr>
        <w:ind w:right="-18"/>
        <w:rPr>
          <w:rFonts w:eastAsia="SimSun"/>
          <w:bCs/>
        </w:rPr>
      </w:pPr>
    </w:p>
  </w:footnote>
  <w:footnote w:id="19">
    <w:p w:rsidR="00DF7DBE" w:rsidP="00DF7DBE" w14:paraId="0DB5D686" w14:textId="5DA683C3">
      <w:pPr>
        <w:pStyle w:val="FootnoteText"/>
      </w:pPr>
      <w:r>
        <w:rPr>
          <w:rStyle w:val="FootnoteReference"/>
        </w:rPr>
        <w:footnoteRef/>
      </w:r>
      <w:r>
        <w:rPr>
          <w:i/>
        </w:rPr>
        <w:t xml:space="preserve"> </w:t>
      </w:r>
      <w:r w:rsidRPr="00BF47B6" w:rsidR="00234D42">
        <w:rPr>
          <w:iCs/>
        </w:rPr>
        <w:t>NAL</w:t>
      </w:r>
      <w:r w:rsidR="00234D42">
        <w:rPr>
          <w:i/>
        </w:rPr>
        <w:t xml:space="preserve"> </w:t>
      </w:r>
      <w:r w:rsidR="00234D42">
        <w:rPr>
          <w:iCs/>
        </w:rPr>
        <w:t xml:space="preserve">at </w:t>
      </w:r>
      <w:r w:rsidR="00FB0D87">
        <w:rPr>
          <w:iCs/>
        </w:rPr>
        <w:t>para. 9</w:t>
      </w:r>
      <w:r w:rsidR="00234D42">
        <w:rPr>
          <w:iCs/>
        </w:rPr>
        <w:t xml:space="preserve">. </w:t>
      </w:r>
      <w:r w:rsidR="0085692E">
        <w:rPr>
          <w:iCs/>
        </w:rPr>
        <w:t xml:space="preserve"> </w:t>
      </w:r>
      <w:r w:rsidR="0085692E">
        <w:rPr>
          <w:bCs/>
          <w:szCs w:val="22"/>
        </w:rPr>
        <w:t>T</w:t>
      </w:r>
      <w:r w:rsidRPr="00683723" w:rsidR="0085692E">
        <w:rPr>
          <w:szCs w:val="22"/>
        </w:rPr>
        <w:t>he Rules establish</w:t>
      </w:r>
      <w:r w:rsidR="0085692E">
        <w:rPr>
          <w:szCs w:val="22"/>
        </w:rPr>
        <w:t xml:space="preserve"> </w:t>
      </w:r>
      <w:r w:rsidRPr="00683723" w:rsidR="0085692E">
        <w:rPr>
          <w:szCs w:val="22"/>
        </w:rPr>
        <w:t>base forfeiture amount</w:t>
      </w:r>
      <w:r w:rsidR="0085692E">
        <w:rPr>
          <w:szCs w:val="22"/>
        </w:rPr>
        <w:t>s</w:t>
      </w:r>
      <w:r w:rsidRPr="00683723" w:rsidR="0085692E">
        <w:rPr>
          <w:szCs w:val="22"/>
        </w:rPr>
        <w:t xml:space="preserve"> of $3,000 for the failure to timely file a required form</w:t>
      </w:r>
      <w:r w:rsidR="0085692E">
        <w:rPr>
          <w:iCs/>
        </w:rPr>
        <w:t xml:space="preserve"> </w:t>
      </w:r>
      <w:r w:rsidR="0085692E">
        <w:rPr>
          <w:szCs w:val="22"/>
        </w:rPr>
        <w:t xml:space="preserve">and </w:t>
      </w:r>
      <w:r w:rsidRPr="00242FAC" w:rsidR="0085692E">
        <w:rPr>
          <w:szCs w:val="22"/>
        </w:rPr>
        <w:t>$10,000 for construction and/or operation without an instrument of authorization for the service</w:t>
      </w:r>
      <w:r w:rsidR="0085692E">
        <w:rPr>
          <w:szCs w:val="22"/>
        </w:rPr>
        <w:t xml:space="preserve">, </w:t>
      </w:r>
      <w:r w:rsidR="00F32791">
        <w:rPr>
          <w:szCs w:val="22"/>
        </w:rPr>
        <w:t xml:space="preserve">each of </w:t>
      </w:r>
      <w:r w:rsidR="0085692E">
        <w:rPr>
          <w:szCs w:val="22"/>
        </w:rPr>
        <w:t xml:space="preserve">which can be adjusted upward or downward.  </w:t>
      </w:r>
      <w:r w:rsidRPr="00CF021F" w:rsidR="0085692E">
        <w:rPr>
          <w:i/>
          <w:iCs/>
        </w:rPr>
        <w:t xml:space="preserve">See </w:t>
      </w:r>
      <w:hyperlink r:id="rId1" w:anchor="co_pp_sp_4493_17113" w:history="1">
        <w:r w:rsidRPr="00CF021F" w:rsidR="0085692E">
          <w:rPr>
            <w:i/>
            <w:iCs/>
          </w:rPr>
          <w:t>Forfeiture Policy Statement and Amendment of Section 1.80(b) of the Rules to Incorporate the Forfeiture Guidelines</w:t>
        </w:r>
        <w:r w:rsidRPr="00CB1BA6" w:rsidR="0085692E">
          <w:t>,</w:t>
        </w:r>
        <w:r w:rsidRPr="00CF021F" w:rsidR="0085692E">
          <w:t xml:space="preserve"> Report and Order, 12 FCC Rcd 17087, </w:t>
        </w:r>
        <w:r w:rsidR="0085692E">
          <w:t xml:space="preserve">17100, </w:t>
        </w:r>
        <w:r w:rsidRPr="00CF021F" w:rsidR="0085692E">
          <w:t>17113-15 (1997)</w:t>
        </w:r>
      </w:hyperlink>
      <w:r w:rsidRPr="00CF021F" w:rsidR="0085692E">
        <w:t xml:space="preserve"> (</w:t>
      </w:r>
      <w:r w:rsidRPr="00CF021F" w:rsidR="0085692E">
        <w:rPr>
          <w:i/>
          <w:iCs/>
        </w:rPr>
        <w:t>Forfeiture</w:t>
      </w:r>
      <w:r w:rsidRPr="00CF021F" w:rsidR="0085692E">
        <w:rPr>
          <w:i/>
          <w:iCs/>
          <w:sz w:val="24"/>
          <w:szCs w:val="24"/>
        </w:rPr>
        <w:t xml:space="preserve"> </w:t>
      </w:r>
      <w:r w:rsidRPr="00CF021F" w:rsidR="0085692E">
        <w:rPr>
          <w:i/>
          <w:iCs/>
        </w:rPr>
        <w:t>Policy Statement</w:t>
      </w:r>
      <w:r w:rsidRPr="00CF021F" w:rsidR="0085692E">
        <w:t xml:space="preserve">), </w:t>
      </w:r>
      <w:r w:rsidRPr="00CF021F" w:rsidR="0085692E">
        <w:rPr>
          <w:i/>
          <w:iCs/>
        </w:rPr>
        <w:t>recon. denied</w:t>
      </w:r>
      <w:r w:rsidRPr="00CF021F" w:rsidR="0085692E">
        <w:t xml:space="preserve">, </w:t>
      </w:r>
      <w:hyperlink r:id="rId2" w:history="1">
        <w:r w:rsidRPr="00CF021F" w:rsidR="0085692E">
          <w:t>15 FCC Rcd 303 (1999)</w:t>
        </w:r>
      </w:hyperlink>
      <w:r w:rsidRPr="00CF021F" w:rsidR="0085692E">
        <w:t xml:space="preserve">; </w:t>
      </w:r>
      <w:hyperlink r:id="rId3" w:anchor="co_pp_a79d0000944d2" w:history="1">
        <w:r w:rsidRPr="00650B53" w:rsidR="0085692E">
          <w:t>47 U.S.C. § 503(b)(2)(E)</w:t>
        </w:r>
      </w:hyperlink>
      <w:r w:rsidRPr="00650B53" w:rsidR="0085692E">
        <w:t>;</w:t>
      </w:r>
      <w:r w:rsidR="0085692E">
        <w:t xml:space="preserve"> </w:t>
      </w:r>
      <w:hyperlink r:id="rId4" w:anchor="co_pp_6ad60000aeea7" w:history="1">
        <w:r w:rsidRPr="00BE662A" w:rsidR="0085692E">
          <w:t>47 CFR § 1.80(b)(</w:t>
        </w:r>
        <w:r w:rsidR="0085692E">
          <w:t>10</w:t>
        </w:r>
        <w:r w:rsidRPr="00BE662A" w:rsidR="0085692E">
          <w:t>)</w:t>
        </w:r>
      </w:hyperlink>
      <w:r w:rsidRPr="00BE662A" w:rsidR="0085692E">
        <w:t xml:space="preserve">, </w:t>
      </w:r>
      <w:r w:rsidR="0085692E">
        <w:t>Table</w:t>
      </w:r>
      <w:r w:rsidRPr="00BE662A" w:rsidR="0085692E">
        <w:t xml:space="preserve"> I.</w:t>
      </w:r>
      <w:r w:rsidR="00C228CE">
        <w:t xml:space="preserve">  The NAL assessed the base </w:t>
      </w:r>
      <w:r w:rsidR="00691F46">
        <w:t xml:space="preserve">forfeiture </w:t>
      </w:r>
      <w:r w:rsidR="00C228CE">
        <w:t xml:space="preserve">amount for failure to file a timely license renewal application </w:t>
      </w:r>
      <w:r w:rsidR="00BF47B6">
        <w:t xml:space="preserve">but </w:t>
      </w:r>
      <w:r w:rsidR="00C228CE">
        <w:t xml:space="preserve">reduced </w:t>
      </w:r>
      <w:r w:rsidR="00BF47B6">
        <w:t xml:space="preserve">the base </w:t>
      </w:r>
      <w:r w:rsidR="00C228CE">
        <w:t xml:space="preserve">forfeiture for unauthorized operations.  </w:t>
      </w:r>
    </w:p>
  </w:footnote>
  <w:footnote w:id="20">
    <w:p w:rsidR="00A60E88" w14:paraId="2A73C014" w14:textId="38F31DD1">
      <w:pPr>
        <w:pStyle w:val="FootnoteText"/>
      </w:pPr>
      <w:r>
        <w:rPr>
          <w:rStyle w:val="FootnoteReference"/>
        </w:rPr>
        <w:footnoteRef/>
      </w:r>
      <w:r>
        <w:t xml:space="preserve"> </w:t>
      </w:r>
      <w:r w:rsidR="005B3C6B">
        <w:t xml:space="preserve">The Bureau noted </w:t>
      </w:r>
      <w:r>
        <w:rPr>
          <w:szCs w:val="22"/>
        </w:rPr>
        <w:t xml:space="preserve">the significant lateness of the 2020 Application, the secondary nature of FM translators, and that </w:t>
      </w:r>
      <w:r>
        <w:rPr>
          <w:szCs w:val="22"/>
        </w:rPr>
        <w:t>Diponti’s</w:t>
      </w:r>
      <w:r>
        <w:rPr>
          <w:szCs w:val="22"/>
        </w:rPr>
        <w:t xml:space="preserve"> operation with an expired license was less serious than operation by some other violators who never held any license and received forfeitures of $10,000 or more.   NAL at para. </w:t>
      </w:r>
      <w:r w:rsidR="003210AD">
        <w:rPr>
          <w:szCs w:val="22"/>
        </w:rPr>
        <w:t>9</w:t>
      </w:r>
      <w:r>
        <w:rPr>
          <w:szCs w:val="22"/>
        </w:rPr>
        <w:t>.</w:t>
      </w:r>
    </w:p>
  </w:footnote>
  <w:footnote w:id="21">
    <w:p w:rsidR="000328AC" w:rsidP="000328AC" w14:paraId="3EBA4DCE" w14:textId="77777777">
      <w:pPr>
        <w:pStyle w:val="FootnoteText"/>
      </w:pPr>
      <w:r>
        <w:rPr>
          <w:rStyle w:val="FootnoteReference"/>
        </w:rPr>
        <w:footnoteRef/>
      </w:r>
      <w:r>
        <w:t xml:space="preserve"> </w:t>
      </w:r>
      <w:r>
        <w:rPr>
          <w:i/>
        </w:rPr>
        <w:t>Id</w:t>
      </w:r>
      <w:r>
        <w:t>.</w:t>
      </w:r>
    </w:p>
  </w:footnote>
  <w:footnote w:id="22">
    <w:p w:rsidR="00DF7DBE" w:rsidP="00DF7DBE" w14:paraId="13F38B1B" w14:textId="344B16C9">
      <w:pPr>
        <w:pStyle w:val="FootnoteText"/>
      </w:pPr>
      <w:r>
        <w:rPr>
          <w:rStyle w:val="FootnoteReference"/>
        </w:rPr>
        <w:footnoteRef/>
      </w:r>
      <w:r>
        <w:t xml:space="preserve"> </w:t>
      </w:r>
      <w:r>
        <w:rPr>
          <w:i/>
        </w:rPr>
        <w:t>Id</w:t>
      </w:r>
      <w:r>
        <w:t>.</w:t>
      </w:r>
      <w:r w:rsidR="00592CDF">
        <w:t xml:space="preserve"> at para. 13.</w:t>
      </w:r>
    </w:p>
  </w:footnote>
  <w:footnote w:id="23">
    <w:p w:rsidR="00BD0BA2" w:rsidRPr="00CB1999" w14:paraId="200F58EB" w14:textId="0AF6A15C">
      <w:pPr>
        <w:pStyle w:val="FootnoteText"/>
      </w:pPr>
      <w:r>
        <w:rPr>
          <w:rStyle w:val="FootnoteReference"/>
        </w:rPr>
        <w:footnoteRef/>
      </w:r>
      <w:r>
        <w:t xml:space="preserve"> </w:t>
      </w:r>
      <w:r w:rsidR="005F0541">
        <w:rPr>
          <w:i/>
        </w:rPr>
        <w:t>Id</w:t>
      </w:r>
      <w:r w:rsidR="005F0541">
        <w:t xml:space="preserve">. at para. 11.  </w:t>
      </w:r>
      <w:r w:rsidR="003720B5">
        <w:t xml:space="preserve">Specifically, the </w:t>
      </w:r>
      <w:r w:rsidR="003720B5">
        <w:rPr>
          <w:bCs/>
          <w:szCs w:val="22"/>
        </w:rPr>
        <w:t>Bureau found that the violations were not so serious as to prevent grant under the renewal standards</w:t>
      </w:r>
      <w:r w:rsidR="00504BDE">
        <w:rPr>
          <w:bCs/>
          <w:szCs w:val="22"/>
        </w:rPr>
        <w:t xml:space="preserve"> set out in </w:t>
      </w:r>
      <w:r>
        <w:t xml:space="preserve">47 U.S.C. § 309(k). </w:t>
      </w:r>
    </w:p>
  </w:footnote>
  <w:footnote w:id="24">
    <w:p w:rsidR="001E1037" w14:paraId="30B201DA" w14:textId="51EAF0A5">
      <w:pPr>
        <w:pStyle w:val="FootnoteText"/>
      </w:pPr>
      <w:r>
        <w:rPr>
          <w:rStyle w:val="FootnoteReference"/>
        </w:rPr>
        <w:footnoteRef/>
      </w:r>
      <w:r>
        <w:t xml:space="preserve"> </w:t>
      </w:r>
      <w:r w:rsidR="008B0AD1">
        <w:t>Application</w:t>
      </w:r>
      <w:r>
        <w:t xml:space="preserve"> File No. 0000</w:t>
      </w:r>
      <w:r w:rsidR="008B0AD1">
        <w:t>176657</w:t>
      </w:r>
      <w:r>
        <w:t xml:space="preserve"> (rec. </w:t>
      </w:r>
      <w:r w:rsidR="008B0AD1">
        <w:t>Dec. 2</w:t>
      </w:r>
      <w:r>
        <w:t xml:space="preserve">, 2021) (2021 Application).  The 2021 Application was necessary because </w:t>
      </w:r>
      <w:r w:rsidR="00B32616">
        <w:t xml:space="preserve">a </w:t>
      </w:r>
      <w:r>
        <w:t xml:space="preserve">grant the 2020 Application </w:t>
      </w:r>
      <w:r w:rsidR="00FB3D05">
        <w:t>would, at most,</w:t>
      </w:r>
      <w:r>
        <w:t xml:space="preserve"> </w:t>
      </w:r>
      <w:r w:rsidR="00D0421A">
        <w:t xml:space="preserve">place the Station on the </w:t>
      </w:r>
      <w:r w:rsidR="00B32616">
        <w:t xml:space="preserve">regular </w:t>
      </w:r>
      <w:r w:rsidR="00D0421A">
        <w:t xml:space="preserve">statewide filing schedule for </w:t>
      </w:r>
      <w:r>
        <w:t>Rhode Island</w:t>
      </w:r>
      <w:r w:rsidR="00D0421A">
        <w:t xml:space="preserve"> broad</w:t>
      </w:r>
      <w:r w:rsidR="00B32616">
        <w:t xml:space="preserve">casters </w:t>
      </w:r>
      <w:r w:rsidR="00591868">
        <w:t xml:space="preserve">which were required to apply for license renewal </w:t>
      </w:r>
      <w:r w:rsidR="00D0421A">
        <w:t>in</w:t>
      </w:r>
      <w:r w:rsidR="00591868">
        <w:t xml:space="preserve"> December 2021</w:t>
      </w:r>
      <w:r>
        <w:t>.</w:t>
      </w:r>
    </w:p>
  </w:footnote>
  <w:footnote w:id="25">
    <w:p w:rsidR="00AC36B0" w:rsidP="00AC36B0" w14:paraId="3A0817A4" w14:textId="77777777">
      <w:pPr>
        <w:pStyle w:val="FootnoteText"/>
      </w:pPr>
      <w:r>
        <w:rPr>
          <w:rStyle w:val="FootnoteReference"/>
        </w:rPr>
        <w:footnoteRef/>
      </w:r>
      <w:r>
        <w:t xml:space="preserve"> </w:t>
      </w:r>
      <w:r>
        <w:t>Diponti</w:t>
      </w:r>
      <w:r>
        <w:t>, Petition for Reconsideration and Opposition to Notice of Apparent Liability for Forfeiture (Oct. 21, 2021) (Petition).</w:t>
      </w:r>
    </w:p>
  </w:footnote>
  <w:footnote w:id="26">
    <w:p w:rsidR="00BD0BA2" w14:paraId="46FB2F4D" w14:textId="283CB1B5">
      <w:pPr>
        <w:pStyle w:val="FootnoteText"/>
      </w:pPr>
      <w:r>
        <w:rPr>
          <w:rStyle w:val="FootnoteReference"/>
        </w:rPr>
        <w:footnoteRef/>
      </w:r>
      <w:r>
        <w:t xml:space="preserve"> </w:t>
      </w:r>
      <w:r w:rsidR="007642C9">
        <w:rPr>
          <w:i/>
          <w:iCs/>
        </w:rPr>
        <w:t xml:space="preserve">Id. </w:t>
      </w:r>
      <w:r>
        <w:t xml:space="preserve">at </w:t>
      </w:r>
      <w:r w:rsidR="000C3E63">
        <w:t>6-7</w:t>
      </w:r>
      <w:r>
        <w:t>.</w:t>
      </w:r>
      <w:r w:rsidR="00562633">
        <w:t xml:space="preserve">  </w:t>
      </w:r>
    </w:p>
  </w:footnote>
  <w:footnote w:id="27">
    <w:p w:rsidR="00BD0BA2" w:rsidRPr="006842B3" w14:paraId="238D9EB7" w14:textId="0E260D4C">
      <w:pPr>
        <w:pStyle w:val="FootnoteText"/>
      </w:pPr>
      <w:r>
        <w:rPr>
          <w:rStyle w:val="FootnoteReference"/>
        </w:rPr>
        <w:footnoteRef/>
      </w:r>
      <w:r>
        <w:t xml:space="preserve"> </w:t>
      </w:r>
      <w:r>
        <w:rPr>
          <w:i/>
          <w:iCs/>
        </w:rPr>
        <w:t xml:space="preserve">Id. </w:t>
      </w:r>
      <w:r>
        <w:t xml:space="preserve">at </w:t>
      </w:r>
      <w:r w:rsidR="00C00D7D">
        <w:t>Exhs</w:t>
      </w:r>
      <w:r w:rsidR="00C00D7D">
        <w:t>. 1-7</w:t>
      </w:r>
      <w:r>
        <w:t>.</w:t>
      </w:r>
    </w:p>
  </w:footnote>
  <w:footnote w:id="28">
    <w:p w:rsidR="00BD0BA2" w:rsidRPr="006842B3" w14:paraId="758BBDCD" w14:textId="2D72805C">
      <w:pPr>
        <w:pStyle w:val="FootnoteText"/>
      </w:pPr>
      <w:r>
        <w:rPr>
          <w:rStyle w:val="FootnoteReference"/>
        </w:rPr>
        <w:footnoteRef/>
      </w:r>
      <w:r>
        <w:t xml:space="preserve"> </w:t>
      </w:r>
      <w:r>
        <w:rPr>
          <w:i/>
          <w:iCs/>
        </w:rPr>
        <w:t>Id.</w:t>
      </w:r>
      <w:r>
        <w:t xml:space="preserve"> at </w:t>
      </w:r>
      <w:r w:rsidR="007642C9">
        <w:t>7</w:t>
      </w:r>
      <w:r w:rsidR="00D32994">
        <w:t>.</w:t>
      </w:r>
    </w:p>
  </w:footnote>
  <w:footnote w:id="29">
    <w:p w:rsidR="002340B2" w:rsidP="002340B2" w14:paraId="3C5B7BAF" w14:textId="1A40B210">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 xml:space="preserve">47 U.S.C. § 503(b)(2)(E); </w:t>
      </w:r>
      <w:r>
        <w:rPr>
          <w:rFonts w:ascii="TimesNewRomanPS-ItalicMT" w:hAnsi="TimesNewRomanPS-ItalicMT" w:cs="TimesNewRomanPS-ItalicMT"/>
          <w:i/>
          <w:iCs/>
          <w:snapToGrid/>
          <w:kern w:val="0"/>
          <w:sz w:val="20"/>
        </w:rPr>
        <w:t>see also Forfeiture Policy Statement</w:t>
      </w:r>
      <w:r>
        <w:rPr>
          <w:rFonts w:ascii="TimesNewRomanPSMT" w:hAnsi="TimesNewRomanPSMT" w:cs="TimesNewRomanPSMT"/>
          <w:snapToGrid/>
          <w:kern w:val="0"/>
          <w:sz w:val="20"/>
        </w:rPr>
        <w:t>, 12 FCC Rcd at 17100, para. 27; 47 CFR §</w:t>
      </w:r>
    </w:p>
    <w:p w:rsidR="00D32994" w:rsidP="002340B2" w14:paraId="10AA300D" w14:textId="1CA4B2FB">
      <w:pPr>
        <w:pStyle w:val="FootnoteText"/>
      </w:pPr>
      <w:r>
        <w:rPr>
          <w:rFonts w:ascii="TimesNewRomanPSMT" w:hAnsi="TimesNewRomanPSMT" w:cs="TimesNewRomanPSMT"/>
        </w:rPr>
        <w:t>1.80(b)(10).</w:t>
      </w:r>
    </w:p>
  </w:footnote>
  <w:footnote w:id="30">
    <w:p w:rsidR="00BD0BA2" w:rsidRPr="00662291" w14:paraId="7DDE76FB" w14:textId="20442300">
      <w:pPr>
        <w:pStyle w:val="FootnoteText"/>
        <w:rPr>
          <w:szCs w:val="22"/>
        </w:rPr>
      </w:pPr>
      <w:r>
        <w:rPr>
          <w:rStyle w:val="FootnoteReference"/>
        </w:rPr>
        <w:footnoteRef/>
      </w:r>
      <w:r>
        <w:t xml:space="preserve"> For example, it is immaterial that Harvest</w:t>
      </w:r>
      <w:r w:rsidR="00D32994">
        <w:t>’s misconduct</w:t>
      </w:r>
      <w:r>
        <w:t xml:space="preserve"> rather than </w:t>
      </w:r>
      <w:r>
        <w:t>Diponti</w:t>
      </w:r>
      <w:r w:rsidR="00AA4962">
        <w:t>’s</w:t>
      </w:r>
      <w:r w:rsidR="00AA4962">
        <w:t xml:space="preserve"> own action</w:t>
      </w:r>
      <w:r w:rsidR="007D7526">
        <w:t>s</w:t>
      </w:r>
      <w:r>
        <w:t xml:space="preserve"> </w:t>
      </w:r>
      <w:r w:rsidR="00EB22B1">
        <w:t>caused</w:t>
      </w:r>
      <w:r>
        <w:t xml:space="preserve"> the short term renewal because </w:t>
      </w:r>
      <w:r w:rsidR="007D7526">
        <w:t xml:space="preserve">an </w:t>
      </w:r>
      <w:r>
        <w:t xml:space="preserve">assignee </w:t>
      </w:r>
      <w:r w:rsidR="0090020C">
        <w:t xml:space="preserve">generally </w:t>
      </w:r>
      <w:r w:rsidR="00AD7B1A">
        <w:t>“</w:t>
      </w:r>
      <w:r>
        <w:t>step</w:t>
      </w:r>
      <w:r w:rsidR="007D7526">
        <w:t>s</w:t>
      </w:r>
      <w:r>
        <w:t xml:space="preserve"> into the shoes</w:t>
      </w:r>
      <w:r w:rsidR="00AD7B1A">
        <w:t>”</w:t>
      </w:r>
      <w:r>
        <w:t xml:space="preserve"> of the assignor.  </w:t>
      </w:r>
      <w:r w:rsidR="0090020C">
        <w:rPr>
          <w:i/>
          <w:iCs/>
        </w:rPr>
        <w:t xml:space="preserve">See, </w:t>
      </w:r>
      <w:r w:rsidR="00AD7B1A">
        <w:rPr>
          <w:i/>
          <w:iCs/>
        </w:rPr>
        <w:t>generally</w:t>
      </w:r>
      <w:r w:rsidR="0090020C">
        <w:rPr>
          <w:i/>
          <w:iCs/>
        </w:rPr>
        <w:t xml:space="preserve">, Tribune Media Co., </w:t>
      </w:r>
      <w:r w:rsidR="0090020C">
        <w:t xml:space="preserve">Memorandum Opinion and Order, </w:t>
      </w:r>
      <w:r w:rsidR="00A26559">
        <w:t xml:space="preserve">34 </w:t>
      </w:r>
      <w:r w:rsidR="0090020C">
        <w:t xml:space="preserve">FCC </w:t>
      </w:r>
      <w:r w:rsidR="002474FF">
        <w:t xml:space="preserve">Rcd 8436, 8450, 8455-56, </w:t>
      </w:r>
      <w:r w:rsidR="00AD7B1A">
        <w:t>paras</w:t>
      </w:r>
      <w:r w:rsidR="00822F01">
        <w:t>.</w:t>
      </w:r>
      <w:r w:rsidR="00AD7B1A">
        <w:t xml:space="preserve"> </w:t>
      </w:r>
      <w:r w:rsidR="00822F01">
        <w:t>27, 37-38</w:t>
      </w:r>
      <w:r w:rsidR="00AD7B1A">
        <w:t xml:space="preserve"> </w:t>
      </w:r>
      <w:r w:rsidR="002474FF">
        <w:t xml:space="preserve">(2019) </w:t>
      </w:r>
      <w:r w:rsidR="00AD7B1A">
        <w:t xml:space="preserve">(merger </w:t>
      </w:r>
      <w:r w:rsidR="00822F01">
        <w:t xml:space="preserve">involving assignment and transfers of </w:t>
      </w:r>
      <w:r w:rsidR="0063601E">
        <w:t xml:space="preserve">substantial </w:t>
      </w:r>
      <w:r w:rsidR="00822F01">
        <w:t>television int</w:t>
      </w:r>
      <w:r w:rsidR="0063601E">
        <w:t>erests</w:t>
      </w:r>
      <w:r w:rsidR="00822F01">
        <w:t xml:space="preserve"> </w:t>
      </w:r>
      <w:r w:rsidR="00AD7B1A">
        <w:t xml:space="preserve">did not raise </w:t>
      </w:r>
      <w:r w:rsidR="0063601E">
        <w:t xml:space="preserve">new </w:t>
      </w:r>
      <w:r w:rsidR="00AD7B1A">
        <w:t>competiti</w:t>
      </w:r>
      <w:r w:rsidR="00C558BA">
        <w:t>ve</w:t>
      </w:r>
      <w:r w:rsidR="00AD7B1A">
        <w:t xml:space="preserve"> concerns because </w:t>
      </w:r>
      <w:r w:rsidR="002C2ABB">
        <w:t>assignee</w:t>
      </w:r>
      <w:r w:rsidR="00AD7B1A">
        <w:t xml:space="preserve"> was merely stepping into the shoes of the </w:t>
      </w:r>
      <w:r w:rsidR="00F61C08">
        <w:t>assignor</w:t>
      </w:r>
      <w:r w:rsidR="00AD7B1A">
        <w:t>)</w:t>
      </w:r>
      <w:r w:rsidR="001C09C4">
        <w:t xml:space="preserve">.  </w:t>
      </w:r>
      <w:r w:rsidR="00AA4962">
        <w:t xml:space="preserve">Had the Bureau intended </w:t>
      </w:r>
      <w:r w:rsidR="006E2D33">
        <w:t xml:space="preserve">to apply </w:t>
      </w:r>
      <w:r w:rsidR="00AA4962">
        <w:t>the short-term renewal to Harvest alone</w:t>
      </w:r>
      <w:r w:rsidR="0037796E">
        <w:t>,</w:t>
      </w:r>
      <w:r w:rsidR="00AA4962">
        <w:t xml:space="preserve"> the Bureau </w:t>
      </w:r>
      <w:r w:rsidR="0037796E">
        <w:t>c</w:t>
      </w:r>
      <w:r w:rsidR="00AA4962">
        <w:t>ould have adj</w:t>
      </w:r>
      <w:r w:rsidR="0037796E">
        <w:t>us</w:t>
      </w:r>
      <w:r w:rsidR="00AA4962">
        <w:t xml:space="preserve">ted the expiration date </w:t>
      </w:r>
      <w:r w:rsidR="00FB2523">
        <w:t xml:space="preserve">upon </w:t>
      </w:r>
      <w:r w:rsidR="00AA4962">
        <w:t>grant</w:t>
      </w:r>
      <w:r w:rsidR="00FB2523">
        <w:t xml:space="preserve"> of</w:t>
      </w:r>
      <w:r w:rsidR="00AA4962">
        <w:t xml:space="preserve"> the assignment</w:t>
      </w:r>
      <w:r w:rsidR="00684BC9">
        <w:t xml:space="preserve"> to </w:t>
      </w:r>
      <w:r w:rsidR="00684BC9">
        <w:t>Diponti</w:t>
      </w:r>
      <w:r w:rsidR="00AA4962">
        <w:t xml:space="preserve">, but did not do so.  </w:t>
      </w:r>
      <w:r w:rsidR="001D25AF">
        <w:t xml:space="preserve">Moreover, </w:t>
      </w:r>
      <w:r w:rsidR="006E2D33">
        <w:t>under</w:t>
      </w:r>
      <w:r w:rsidR="001D25AF">
        <w:t xml:space="preserve"> long-established </w:t>
      </w:r>
      <w:r w:rsidR="006E2D33">
        <w:t xml:space="preserve">policy, interference-free </w:t>
      </w:r>
      <w:r w:rsidR="0063601E">
        <w:t>service to the community is</w:t>
      </w:r>
      <w:r w:rsidR="001D25AF">
        <w:t xml:space="preserve"> </w:t>
      </w:r>
      <w:r w:rsidR="006F744E">
        <w:t xml:space="preserve">the norm and is </w:t>
      </w:r>
      <w:r w:rsidR="001D25AF">
        <w:t xml:space="preserve">not </w:t>
      </w:r>
      <w:r w:rsidR="006F744E">
        <w:t xml:space="preserve">considered to be </w:t>
      </w:r>
      <w:r w:rsidR="0063601E">
        <w:t xml:space="preserve">a </w:t>
      </w:r>
      <w:r w:rsidR="001D25AF">
        <w:t xml:space="preserve">mitigating factor in forfeiture proceedings.  </w:t>
      </w:r>
      <w:r w:rsidR="001D25AF">
        <w:rPr>
          <w:i/>
          <w:iCs/>
        </w:rPr>
        <w:t xml:space="preserve">See </w:t>
      </w:r>
      <w:r w:rsidR="001D25AF">
        <w:rPr>
          <w:i/>
          <w:iCs/>
          <w:szCs w:val="22"/>
        </w:rPr>
        <w:t xml:space="preserve">Pacific Western Broad., Inc., </w:t>
      </w:r>
      <w:r w:rsidRPr="0024716C" w:rsidR="001D25AF">
        <w:rPr>
          <w:szCs w:val="22"/>
        </w:rPr>
        <w:t>Memorandum Opinion and Order,</w:t>
      </w:r>
      <w:r w:rsidR="001D25AF">
        <w:rPr>
          <w:szCs w:val="22"/>
        </w:rPr>
        <w:t xml:space="preserve"> 50 F.C.C. 2d 819 (1975) (“</w:t>
      </w:r>
      <w:r w:rsidRPr="00A40755" w:rsidR="001D25AF">
        <w:rPr>
          <w:szCs w:val="22"/>
        </w:rPr>
        <w:t>we do not consider the absence of a showing of actual interference to be a mitigating factor</w:t>
      </w:r>
      <w:r w:rsidR="00D32994">
        <w:rPr>
          <w:szCs w:val="22"/>
        </w:rPr>
        <w:t>….</w:t>
      </w:r>
      <w:r w:rsidRPr="00A40755" w:rsidR="00D32994">
        <w:rPr>
          <w:szCs w:val="22"/>
        </w:rPr>
        <w:t xml:space="preserve"> </w:t>
      </w:r>
      <w:r w:rsidRPr="00A40755" w:rsidR="001D25AF">
        <w:rPr>
          <w:szCs w:val="22"/>
        </w:rPr>
        <w:t>Further, the Commission is not persuaded to mitigate or remit the forfeiture because of a station's service to a community.</w:t>
      </w:r>
      <w:r w:rsidR="00192672">
        <w:rPr>
          <w:szCs w:val="22"/>
        </w:rPr>
        <w:t xml:space="preserve">  </w:t>
      </w:r>
      <w:r w:rsidRPr="00A40755" w:rsidR="001D25AF">
        <w:rPr>
          <w:szCs w:val="22"/>
        </w:rPr>
        <w:t>Stations are expected to serve their communities.</w:t>
      </w:r>
      <w:r w:rsidR="001D25AF">
        <w:rPr>
          <w:szCs w:val="22"/>
        </w:rPr>
        <w:t>”).  The Commission</w:t>
      </w:r>
      <w:r w:rsidR="006E2D33">
        <w:rPr>
          <w:szCs w:val="22"/>
        </w:rPr>
        <w:t xml:space="preserve"> continues to </w:t>
      </w:r>
      <w:r w:rsidR="00D32994">
        <w:rPr>
          <w:szCs w:val="22"/>
        </w:rPr>
        <w:t xml:space="preserve">reject </w:t>
      </w:r>
      <w:r w:rsidR="00BC583B">
        <w:rPr>
          <w:szCs w:val="22"/>
        </w:rPr>
        <w:t xml:space="preserve">requests to disregard </w:t>
      </w:r>
      <w:r w:rsidR="00D7710D">
        <w:rPr>
          <w:szCs w:val="22"/>
        </w:rPr>
        <w:t>unauthorized opera</w:t>
      </w:r>
      <w:r w:rsidR="006E2D33">
        <w:rPr>
          <w:szCs w:val="22"/>
        </w:rPr>
        <w:t>tion</w:t>
      </w:r>
      <w:r w:rsidR="00BC583B">
        <w:rPr>
          <w:szCs w:val="22"/>
        </w:rPr>
        <w:t xml:space="preserve">s </w:t>
      </w:r>
      <w:r w:rsidR="0052024E">
        <w:rPr>
          <w:szCs w:val="22"/>
        </w:rPr>
        <w:t xml:space="preserve">that result in </w:t>
      </w:r>
      <w:r w:rsidR="00BC583B">
        <w:rPr>
          <w:szCs w:val="22"/>
        </w:rPr>
        <w:t>purported public benefits</w:t>
      </w:r>
      <w:r w:rsidR="00D32994">
        <w:rPr>
          <w:szCs w:val="22"/>
        </w:rPr>
        <w:t xml:space="preserve">.  </w:t>
      </w:r>
      <w:r w:rsidR="00822F01">
        <w:rPr>
          <w:i/>
          <w:iCs/>
          <w:szCs w:val="22"/>
        </w:rPr>
        <w:t>See, e.g., Found</w:t>
      </w:r>
      <w:r w:rsidR="00DA3AD3">
        <w:rPr>
          <w:i/>
          <w:iCs/>
          <w:szCs w:val="22"/>
        </w:rPr>
        <w:t>.</w:t>
      </w:r>
      <w:r w:rsidR="00822F01">
        <w:rPr>
          <w:i/>
          <w:iCs/>
          <w:szCs w:val="22"/>
        </w:rPr>
        <w:t xml:space="preserve"> for a Beautiful Life, </w:t>
      </w:r>
      <w:r w:rsidR="0024716C">
        <w:rPr>
          <w:szCs w:val="22"/>
        </w:rPr>
        <w:t xml:space="preserve">Memorandum Opinion and Order, </w:t>
      </w:r>
      <w:r w:rsidR="00451753">
        <w:rPr>
          <w:szCs w:val="22"/>
        </w:rPr>
        <w:t>FCC 21-12 (</w:t>
      </w:r>
      <w:r w:rsidR="00DA3AD3">
        <w:rPr>
          <w:szCs w:val="22"/>
        </w:rPr>
        <w:t xml:space="preserve">rel. </w:t>
      </w:r>
      <w:r w:rsidR="005A00AC">
        <w:rPr>
          <w:szCs w:val="22"/>
        </w:rPr>
        <w:t>Oct. 25</w:t>
      </w:r>
      <w:r w:rsidR="00DA3AD3">
        <w:rPr>
          <w:szCs w:val="22"/>
        </w:rPr>
        <w:t xml:space="preserve">, </w:t>
      </w:r>
      <w:r w:rsidR="00451753">
        <w:rPr>
          <w:szCs w:val="22"/>
        </w:rPr>
        <w:t xml:space="preserve">2021) </w:t>
      </w:r>
      <w:r w:rsidR="005A00AC">
        <w:rPr>
          <w:szCs w:val="22"/>
        </w:rPr>
        <w:t xml:space="preserve">at </w:t>
      </w:r>
      <w:r w:rsidR="0024716C">
        <w:rPr>
          <w:szCs w:val="22"/>
        </w:rPr>
        <w:t>para. 24-25</w:t>
      </w:r>
      <w:r w:rsidR="00277DB4">
        <w:rPr>
          <w:szCs w:val="22"/>
        </w:rPr>
        <w:t xml:space="preserve">, </w:t>
      </w:r>
      <w:r w:rsidR="00277DB4">
        <w:rPr>
          <w:i/>
          <w:iCs/>
          <w:szCs w:val="22"/>
        </w:rPr>
        <w:t>appeal pending</w:t>
      </w:r>
      <w:r w:rsidR="001D25AF">
        <w:rPr>
          <w:szCs w:val="22"/>
        </w:rPr>
        <w:t xml:space="preserve"> (</w:t>
      </w:r>
      <w:r w:rsidR="0024716C">
        <w:rPr>
          <w:szCs w:val="22"/>
        </w:rPr>
        <w:t xml:space="preserve">citing </w:t>
      </w:r>
      <w:r w:rsidR="0024716C">
        <w:rPr>
          <w:i/>
          <w:iCs/>
          <w:szCs w:val="22"/>
        </w:rPr>
        <w:t>A-O Broad</w:t>
      </w:r>
      <w:r w:rsidR="00D7710D">
        <w:rPr>
          <w:i/>
          <w:iCs/>
          <w:szCs w:val="22"/>
        </w:rPr>
        <w:t xml:space="preserve">. </w:t>
      </w:r>
      <w:r w:rsidR="0024716C">
        <w:rPr>
          <w:i/>
          <w:iCs/>
          <w:szCs w:val="22"/>
        </w:rPr>
        <w:t xml:space="preserve">Corp., </w:t>
      </w:r>
      <w:r w:rsidRPr="0024716C" w:rsidR="0024716C">
        <w:rPr>
          <w:szCs w:val="22"/>
        </w:rPr>
        <w:t>Memorandum Opinion and Order,</w:t>
      </w:r>
      <w:r w:rsidR="0024716C">
        <w:rPr>
          <w:i/>
          <w:iCs/>
          <w:szCs w:val="22"/>
        </w:rPr>
        <w:t xml:space="preserve"> </w:t>
      </w:r>
      <w:r w:rsidR="0024716C">
        <w:rPr>
          <w:szCs w:val="22"/>
        </w:rPr>
        <w:t xml:space="preserve">23 FCC Rcd 603, </w:t>
      </w:r>
      <w:r w:rsidRPr="0024716C" w:rsidR="0024716C">
        <w:rPr>
          <w:i/>
          <w:iCs/>
          <w:szCs w:val="22"/>
        </w:rPr>
        <w:t>recon. dismissed, </w:t>
      </w:r>
      <w:hyperlink r:id="rId5" w:history="1">
        <w:r w:rsidRPr="0024716C" w:rsidR="0024716C">
          <w:rPr>
            <w:rStyle w:val="Hyperlink"/>
            <w:color w:val="auto"/>
            <w:szCs w:val="22"/>
            <w:u w:val="none"/>
          </w:rPr>
          <w:t>Barry D. Wood, Letter Order, 24 FCC Rcd 13666 (MB 2009)</w:t>
        </w:r>
      </w:hyperlink>
      <w:r w:rsidRPr="0024716C" w:rsidR="0024716C">
        <w:rPr>
          <w:szCs w:val="22"/>
        </w:rPr>
        <w:t> </w:t>
      </w:r>
      <w:r w:rsidRPr="0024716C" w:rsidR="0024716C">
        <w:rPr>
          <w:i/>
          <w:iCs/>
          <w:szCs w:val="22"/>
        </w:rPr>
        <w:t xml:space="preserve"> </w:t>
      </w:r>
      <w:r w:rsidRPr="0024716C" w:rsidR="0024716C">
        <w:rPr>
          <w:szCs w:val="22"/>
        </w:rPr>
        <w:t>(alleged public safety benefits do not justify unauthorized broadcasts).</w:t>
      </w:r>
      <w:r w:rsidR="00662291">
        <w:rPr>
          <w:szCs w:val="22"/>
        </w:rPr>
        <w:t xml:space="preserve"> </w:t>
      </w:r>
    </w:p>
  </w:footnote>
  <w:footnote w:id="31">
    <w:p w:rsidR="00BD0BA2" w14:paraId="38FB5FD7" w14:textId="4587817F">
      <w:pPr>
        <w:pStyle w:val="FootnoteText"/>
      </w:pPr>
      <w:r>
        <w:rPr>
          <w:rStyle w:val="FootnoteReference"/>
        </w:rPr>
        <w:footnoteRef/>
      </w:r>
      <w:r>
        <w:t xml:space="preserve"> </w:t>
      </w:r>
      <w:hyperlink r:id="rId4" w:anchor="co_pp_6ad60000aeea7" w:history="1">
        <w:r w:rsidRPr="00650B53">
          <w:t xml:space="preserve">47 CFR § </w:t>
        </w:r>
        <w:r>
          <w:t>74.1265(a).</w:t>
        </w:r>
      </w:hyperlink>
    </w:p>
  </w:footnote>
  <w:footnote w:id="32">
    <w:p w:rsidR="00BD0BA2" w14:paraId="132634BC" w14:textId="53F94D66">
      <w:pPr>
        <w:pStyle w:val="FootnoteText"/>
      </w:pPr>
      <w:r>
        <w:rPr>
          <w:rStyle w:val="FootnoteReference"/>
        </w:rPr>
        <w:footnoteRef/>
      </w:r>
      <w:r>
        <w:t xml:space="preserve"> T</w:t>
      </w:r>
      <w:r w:rsidR="00E05F71">
        <w:t>o view the</w:t>
      </w:r>
      <w:r>
        <w:t xml:space="preserve"> Covering License in LMS click the “Authorization” icon from File No</w:t>
      </w:r>
      <w:r w:rsidRPr="00A83404">
        <w:t xml:space="preserve">. </w:t>
      </w:r>
      <w:r w:rsidRPr="00A83404">
        <w:rPr>
          <w:color w:val="333333"/>
          <w:shd w:val="clear" w:color="auto" w:fill="FFFFFF"/>
        </w:rPr>
        <w:t xml:space="preserve">0000090518.  </w:t>
      </w:r>
      <w:r w:rsidRPr="00A83404">
        <w:rPr>
          <w:i/>
          <w:iCs/>
          <w:color w:val="333333"/>
          <w:shd w:val="clear" w:color="auto" w:fill="FFFFFF"/>
        </w:rPr>
        <w:t>See</w:t>
      </w:r>
      <w:r>
        <w:rPr>
          <w:rFonts w:ascii="Lato" w:hAnsi="Lato"/>
          <w:b/>
          <w:bCs/>
          <w:i/>
          <w:iCs/>
          <w:color w:val="333333"/>
          <w:shd w:val="clear" w:color="auto" w:fill="FFFFFF"/>
        </w:rPr>
        <w:t xml:space="preserve"> </w:t>
      </w:r>
      <w:r>
        <w:t xml:space="preserve"> </w:t>
      </w:r>
      <w:hyperlink r:id="rId6" w:history="1">
        <w:r w:rsidRPr="00BB211C">
          <w:rPr>
            <w:rStyle w:val="Hyperlink"/>
          </w:rPr>
          <w:t>https://enterpriseefiling.fcc.gov/dataentry/public/tv/draftCopy.html?displayType=html&amp;appKey=25076f916e61ec6b016e70cc244b04b2&amp;id=25076f916e61ec6b016e70cc244b04b2&amp;goBack=N</w:t>
        </w:r>
      </w:hyperlink>
      <w:r w:rsidR="00AF07F4">
        <w:rPr>
          <w:rStyle w:val="Hyperlink"/>
        </w:rPr>
        <w:t>.</w:t>
      </w:r>
      <w:r>
        <w:t xml:space="preserve">  </w:t>
      </w:r>
      <w:r w:rsidR="009B7E45">
        <w:t xml:space="preserve"> </w:t>
      </w:r>
      <w:r>
        <w:t>Diponti</w:t>
      </w:r>
      <w:r w:rsidR="004B2434">
        <w:t>’s</w:t>
      </w:r>
      <w:r w:rsidR="004B2434">
        <w:t xml:space="preserve"> Petition</w:t>
      </w:r>
      <w:r>
        <w:t xml:space="preserve"> </w:t>
      </w:r>
      <w:r w:rsidR="004B2434">
        <w:t>includes</w:t>
      </w:r>
      <w:r>
        <w:t xml:space="preserve"> a print</w:t>
      </w:r>
      <w:r w:rsidR="00AF07F4">
        <w:t>-</w:t>
      </w:r>
      <w:r>
        <w:t xml:space="preserve">out of a similar document bearing an incorrect </w:t>
      </w:r>
      <w:r w:rsidR="00AF07F4">
        <w:t xml:space="preserve">2022 </w:t>
      </w:r>
      <w:r>
        <w:t>expiration date but provide</w:t>
      </w:r>
      <w:r w:rsidR="004B2434">
        <w:t>s</w:t>
      </w:r>
      <w:r>
        <w:t xml:space="preserve"> </w:t>
      </w:r>
      <w:r w:rsidR="004B2434">
        <w:t>no</w:t>
      </w:r>
      <w:r>
        <w:t xml:space="preserve"> link </w:t>
      </w:r>
      <w:r w:rsidR="004B2434">
        <w:t xml:space="preserve">to </w:t>
      </w:r>
      <w:r>
        <w:t xml:space="preserve">or </w:t>
      </w:r>
      <w:r w:rsidR="004B2434">
        <w:t xml:space="preserve">explanation of the </w:t>
      </w:r>
      <w:r>
        <w:t xml:space="preserve">process by which it </w:t>
      </w:r>
      <w:r w:rsidR="004B2434">
        <w:t>generat</w:t>
      </w:r>
      <w:r>
        <w:t xml:space="preserve">ed that document.  </w:t>
      </w:r>
      <w:r w:rsidR="002257C8">
        <w:rPr>
          <w:i/>
          <w:iCs/>
        </w:rPr>
        <w:t xml:space="preserve">See </w:t>
      </w:r>
      <w:r w:rsidR="00822861">
        <w:t xml:space="preserve">Petition at </w:t>
      </w:r>
      <w:r w:rsidR="002257C8">
        <w:t>Attach</w:t>
      </w:r>
      <w:r w:rsidR="00822861">
        <w:t xml:space="preserve">. </w:t>
      </w:r>
      <w:r w:rsidR="002257C8">
        <w:t>7</w:t>
      </w:r>
      <w:r w:rsidR="00822861">
        <w:t xml:space="preserve">.  </w:t>
      </w:r>
      <w:r>
        <w:t xml:space="preserve">We have confirmed that the Bureau acted on the Covering Application only once and issued only one authorization to </w:t>
      </w:r>
      <w:r>
        <w:t>Diponti</w:t>
      </w:r>
      <w:r>
        <w:t>.</w:t>
      </w:r>
      <w:r w:rsidR="004B2434">
        <w:t xml:space="preserve">  Accordingly, we reject </w:t>
      </w:r>
      <w:r w:rsidR="004B2434">
        <w:t>Diponti’s</w:t>
      </w:r>
      <w:r w:rsidR="004B2434">
        <w:t xml:space="preserve"> argument that the Covering License bore a 2022 expiration date at the time of grant.  </w:t>
      </w:r>
    </w:p>
  </w:footnote>
  <w:footnote w:id="33">
    <w:p w:rsidR="00C04110" w14:paraId="63D3D209" w14:textId="1E9F9900">
      <w:pPr>
        <w:pStyle w:val="FootnoteText"/>
      </w:pPr>
      <w:r>
        <w:rPr>
          <w:rStyle w:val="FootnoteReference"/>
        </w:rPr>
        <w:footnoteRef/>
      </w:r>
      <w:r>
        <w:t xml:space="preserve"> </w:t>
      </w:r>
      <w:r>
        <w:rPr>
          <w:szCs w:val="22"/>
        </w:rPr>
        <w:t xml:space="preserve">We note, however, that </w:t>
      </w:r>
      <w:r>
        <w:rPr>
          <w:szCs w:val="22"/>
        </w:rPr>
        <w:t>Diponti</w:t>
      </w:r>
      <w:r>
        <w:rPr>
          <w:szCs w:val="22"/>
        </w:rPr>
        <w:t xml:space="preserve"> does not claim to have performed such a search until its counsel’s routine query in 2020, on an unspecified date before September of that year.</w:t>
      </w:r>
    </w:p>
  </w:footnote>
  <w:footnote w:id="34">
    <w:p w:rsidR="008A73DB" w14:paraId="14E8C395" w14:textId="6AAB3BB0">
      <w:pPr>
        <w:pStyle w:val="FootnoteText"/>
      </w:pPr>
      <w:r>
        <w:rPr>
          <w:rStyle w:val="FootnoteReference"/>
        </w:rPr>
        <w:footnoteRef/>
      </w:r>
      <w:r>
        <w:t xml:space="preserve"> </w:t>
      </w:r>
      <w:r w:rsidR="0013726B">
        <w:t xml:space="preserve">The fees are based on a download of data from the Media Bureau’s databases, but billing and licensing are separate functions of different offices.  Thus, </w:t>
      </w:r>
      <w:r w:rsidR="009B7E45">
        <w:t xml:space="preserve">billing for and </w:t>
      </w:r>
      <w:r w:rsidR="0013726B">
        <w:t>payment of regulatory fees does</w:t>
      </w:r>
      <w:r w:rsidR="009B7E45">
        <w:t xml:space="preserve"> not</w:t>
      </w:r>
      <w:r w:rsidR="0013726B">
        <w:t xml:space="preserve"> mean that a license has been renewed.  </w:t>
      </w:r>
    </w:p>
  </w:footnote>
  <w:footnote w:id="35">
    <w:p w:rsidR="00BD0BA2" w:rsidRPr="00132193" w:rsidP="00A7120F" w14:paraId="5D4BD5BE" w14:textId="33147B36">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w:t>
      </w:r>
      <w:r>
        <w:rPr>
          <w:sz w:val="20"/>
        </w:rPr>
        <w:t>Diponti</w:t>
      </w:r>
      <w:r w:rsidRPr="00132193">
        <w:rPr>
          <w:sz w:val="20"/>
        </w:rPr>
        <w:t>'s</w:t>
      </w:r>
      <w:r w:rsidRPr="00132193">
        <w:rPr>
          <w:sz w:val="20"/>
        </w:rPr>
        <w:t xml:space="preserve">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36">
    <w:p w:rsidR="00CF1932" w:rsidRPr="00514C8E" w:rsidP="00CF1932" w14:paraId="11DC34B9"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37">
    <w:p w:rsidR="00CF1932" w:rsidRPr="00514C8E" w:rsidP="00CF1932" w14:paraId="47DF4957"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7" w:history="1">
        <w:r w:rsidRPr="00514C8E">
          <w:rPr>
            <w:rStyle w:val="Hyperlink"/>
          </w:rPr>
          <w:t>ARINQUIRIES@fcc.gov</w:t>
        </w:r>
      </w:hyperlink>
      <w:r w:rsidRPr="00514C8E">
        <w:t xml:space="preserve">.  </w:t>
      </w:r>
    </w:p>
  </w:footnote>
  <w:footnote w:id="38">
    <w:p w:rsidR="00CF1932" w:rsidRPr="00514C8E" w:rsidP="00CF1932" w14:paraId="5C0D67EB" w14:textId="77777777">
      <w:pPr>
        <w:pStyle w:val="FootnoteText"/>
      </w:pPr>
      <w:r w:rsidRPr="00514C8E">
        <w:rPr>
          <w:rStyle w:val="FootnoteReference"/>
        </w:rPr>
        <w:footnoteRef/>
      </w:r>
      <w:r w:rsidRPr="00514C8E">
        <w:t xml:space="preserve"> Instructions for completing the form may be obtained at </w:t>
      </w:r>
      <w:hyperlink r:id="rId8" w:history="1">
        <w:r w:rsidRPr="00514C8E">
          <w:rPr>
            <w:rStyle w:val="Hyperlink"/>
          </w:rPr>
          <w:t>https://www.fcc.gov/Forms/Form159/159.pdf</w:t>
        </w:r>
      </w:hyperlink>
      <w:r w:rsidRPr="00514C8E">
        <w:t xml:space="preserve">. </w:t>
      </w:r>
    </w:p>
  </w:footnote>
  <w:footnote w:id="39">
    <w:p w:rsidR="00BD0BA2" w:rsidRPr="004B33E9" w:rsidP="00A7120F" w14:paraId="7F447904"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BA2" w:rsidP="00810B6F" w14:paraId="4A5F3BEF" w14:textId="44F42A2E">
    <w:pPr>
      <w:pStyle w:val="Header"/>
      <w:rPr>
        <w:b w:val="0"/>
      </w:rPr>
    </w:pPr>
    <w:r>
      <w:tab/>
    </w:r>
    <w:r>
      <w:t>Federal Communications Commission</w:t>
    </w:r>
    <w:r>
      <w:tab/>
      <w:t>DA 21-</w:t>
    </w:r>
    <w:r w:rsidR="008064C5">
      <w:t>1584</w:t>
    </w:r>
  </w:p>
  <w:p w:rsidR="00BD0BA2"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D0BA2"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BA2" w:rsidP="00810B6F" w14:paraId="733315ED" w14:textId="17EA5D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21-</w:t>
    </w:r>
    <w:r w:rsidR="008064C5">
      <w:rPr>
        <w:spacing w:val="-2"/>
      </w:rPr>
      <w:t>1584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6"/>
  </w:num>
  <w:num w:numId="4">
    <w:abstractNumId w:val="8"/>
  </w:num>
  <w:num w:numId="5">
    <w:abstractNumId w:val="4"/>
  </w:num>
  <w:num w:numId="6">
    <w:abstractNumId w:val="1"/>
  </w:num>
  <w:num w:numId="7">
    <w:abstractNumId w:val="7"/>
  </w:num>
  <w:num w:numId="8">
    <w:abstractNumId w:val="11"/>
  </w:num>
  <w:num w:numId="9">
    <w:abstractNumId w:val="2"/>
  </w:num>
  <w:num w:numId="10">
    <w:abstractNumId w:val="10"/>
    <w:lvlOverride w:ilvl="0">
      <w:startOverride w:val="1"/>
    </w:lvlOverride>
  </w:num>
  <w:num w:numId="11">
    <w:abstractNumId w:val="10"/>
  </w:num>
  <w:num w:numId="12">
    <w:abstractNumId w:val="5"/>
  </w:num>
  <w:num w:numId="13">
    <w:abstractNumId w:val="9"/>
  </w:num>
  <w:num w:numId="14">
    <w:abstractNumId w:val="10"/>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12786"/>
    <w:rsid w:val="00014A25"/>
    <w:rsid w:val="0002026E"/>
    <w:rsid w:val="00020F91"/>
    <w:rsid w:val="000210B8"/>
    <w:rsid w:val="00021174"/>
    <w:rsid w:val="00025997"/>
    <w:rsid w:val="00030FC2"/>
    <w:rsid w:val="000328AC"/>
    <w:rsid w:val="0003405A"/>
    <w:rsid w:val="00036039"/>
    <w:rsid w:val="00036ED8"/>
    <w:rsid w:val="00037F90"/>
    <w:rsid w:val="000404F3"/>
    <w:rsid w:val="00040606"/>
    <w:rsid w:val="000410C0"/>
    <w:rsid w:val="000437E9"/>
    <w:rsid w:val="000556C8"/>
    <w:rsid w:val="00056C13"/>
    <w:rsid w:val="0006090C"/>
    <w:rsid w:val="000611E6"/>
    <w:rsid w:val="00075D35"/>
    <w:rsid w:val="00076929"/>
    <w:rsid w:val="000779AD"/>
    <w:rsid w:val="000819D5"/>
    <w:rsid w:val="000875BF"/>
    <w:rsid w:val="000923FD"/>
    <w:rsid w:val="00092A6F"/>
    <w:rsid w:val="00095236"/>
    <w:rsid w:val="00096D8C"/>
    <w:rsid w:val="000A0168"/>
    <w:rsid w:val="000A11C8"/>
    <w:rsid w:val="000A2A51"/>
    <w:rsid w:val="000A6315"/>
    <w:rsid w:val="000A726E"/>
    <w:rsid w:val="000B0DAD"/>
    <w:rsid w:val="000B127E"/>
    <w:rsid w:val="000B2B40"/>
    <w:rsid w:val="000B3864"/>
    <w:rsid w:val="000C010D"/>
    <w:rsid w:val="000C0B59"/>
    <w:rsid w:val="000C0B65"/>
    <w:rsid w:val="000C2713"/>
    <w:rsid w:val="000C3E63"/>
    <w:rsid w:val="000D07AD"/>
    <w:rsid w:val="000D337F"/>
    <w:rsid w:val="000D4E69"/>
    <w:rsid w:val="000D67FE"/>
    <w:rsid w:val="000E05FE"/>
    <w:rsid w:val="000E3D42"/>
    <w:rsid w:val="000E439B"/>
    <w:rsid w:val="000E5765"/>
    <w:rsid w:val="000F0B8A"/>
    <w:rsid w:val="000F2DAD"/>
    <w:rsid w:val="000F3BFA"/>
    <w:rsid w:val="000F63DA"/>
    <w:rsid w:val="001011DB"/>
    <w:rsid w:val="001046C4"/>
    <w:rsid w:val="0011356F"/>
    <w:rsid w:val="001167C6"/>
    <w:rsid w:val="00117122"/>
    <w:rsid w:val="00120216"/>
    <w:rsid w:val="001216CE"/>
    <w:rsid w:val="00121C4C"/>
    <w:rsid w:val="00121F6D"/>
    <w:rsid w:val="00122BD5"/>
    <w:rsid w:val="00123574"/>
    <w:rsid w:val="00123AA9"/>
    <w:rsid w:val="00132193"/>
    <w:rsid w:val="0013287B"/>
    <w:rsid w:val="00133F79"/>
    <w:rsid w:val="00137016"/>
    <w:rsid w:val="0013726B"/>
    <w:rsid w:val="0014400D"/>
    <w:rsid w:val="00145D4B"/>
    <w:rsid w:val="0014794E"/>
    <w:rsid w:val="00154F21"/>
    <w:rsid w:val="00155950"/>
    <w:rsid w:val="001627B0"/>
    <w:rsid w:val="00175698"/>
    <w:rsid w:val="00177A0B"/>
    <w:rsid w:val="00177E7D"/>
    <w:rsid w:val="00181256"/>
    <w:rsid w:val="00181EEC"/>
    <w:rsid w:val="00186998"/>
    <w:rsid w:val="00190A19"/>
    <w:rsid w:val="0019232D"/>
    <w:rsid w:val="00192672"/>
    <w:rsid w:val="0019392E"/>
    <w:rsid w:val="00194A66"/>
    <w:rsid w:val="00197841"/>
    <w:rsid w:val="001A2A87"/>
    <w:rsid w:val="001A73FB"/>
    <w:rsid w:val="001A799D"/>
    <w:rsid w:val="001B13B7"/>
    <w:rsid w:val="001B232D"/>
    <w:rsid w:val="001B5246"/>
    <w:rsid w:val="001B52E5"/>
    <w:rsid w:val="001B5F46"/>
    <w:rsid w:val="001B7F33"/>
    <w:rsid w:val="001C09C4"/>
    <w:rsid w:val="001C2556"/>
    <w:rsid w:val="001C435F"/>
    <w:rsid w:val="001C4FB5"/>
    <w:rsid w:val="001C60F2"/>
    <w:rsid w:val="001C6955"/>
    <w:rsid w:val="001D25AF"/>
    <w:rsid w:val="001D68F1"/>
    <w:rsid w:val="001D6BCF"/>
    <w:rsid w:val="001E01CA"/>
    <w:rsid w:val="001E1037"/>
    <w:rsid w:val="001E1516"/>
    <w:rsid w:val="001E2B30"/>
    <w:rsid w:val="001E307A"/>
    <w:rsid w:val="001E6B1E"/>
    <w:rsid w:val="002011A6"/>
    <w:rsid w:val="00201D9D"/>
    <w:rsid w:val="00203CC8"/>
    <w:rsid w:val="00205628"/>
    <w:rsid w:val="00205759"/>
    <w:rsid w:val="002114EE"/>
    <w:rsid w:val="00212746"/>
    <w:rsid w:val="00212F26"/>
    <w:rsid w:val="002169FD"/>
    <w:rsid w:val="00217E01"/>
    <w:rsid w:val="0022190A"/>
    <w:rsid w:val="00222234"/>
    <w:rsid w:val="002257C8"/>
    <w:rsid w:val="00225AA4"/>
    <w:rsid w:val="00226B4A"/>
    <w:rsid w:val="00226F68"/>
    <w:rsid w:val="00226FB2"/>
    <w:rsid w:val="002340B2"/>
    <w:rsid w:val="00234D42"/>
    <w:rsid w:val="002356D9"/>
    <w:rsid w:val="00242FAC"/>
    <w:rsid w:val="0024351C"/>
    <w:rsid w:val="00244E59"/>
    <w:rsid w:val="0024716C"/>
    <w:rsid w:val="002474FF"/>
    <w:rsid w:val="00250E60"/>
    <w:rsid w:val="002521B2"/>
    <w:rsid w:val="002533DA"/>
    <w:rsid w:val="00254845"/>
    <w:rsid w:val="00254BEE"/>
    <w:rsid w:val="00255E7D"/>
    <w:rsid w:val="002566C9"/>
    <w:rsid w:val="002568BD"/>
    <w:rsid w:val="00260F8D"/>
    <w:rsid w:val="00261AC2"/>
    <w:rsid w:val="00262592"/>
    <w:rsid w:val="00262650"/>
    <w:rsid w:val="00266BA3"/>
    <w:rsid w:val="00270232"/>
    <w:rsid w:val="002727E2"/>
    <w:rsid w:val="002739A0"/>
    <w:rsid w:val="00275752"/>
    <w:rsid w:val="00275967"/>
    <w:rsid w:val="00275CF5"/>
    <w:rsid w:val="00277180"/>
    <w:rsid w:val="00277DB4"/>
    <w:rsid w:val="0028082F"/>
    <w:rsid w:val="0028225F"/>
    <w:rsid w:val="0028301F"/>
    <w:rsid w:val="00285017"/>
    <w:rsid w:val="0029156F"/>
    <w:rsid w:val="002950EC"/>
    <w:rsid w:val="002A1A14"/>
    <w:rsid w:val="002A2D2E"/>
    <w:rsid w:val="002A40A4"/>
    <w:rsid w:val="002A5E2A"/>
    <w:rsid w:val="002A6B0E"/>
    <w:rsid w:val="002A7FF9"/>
    <w:rsid w:val="002B07D4"/>
    <w:rsid w:val="002B2977"/>
    <w:rsid w:val="002C00E8"/>
    <w:rsid w:val="002C1B50"/>
    <w:rsid w:val="002C23A1"/>
    <w:rsid w:val="002C2ABB"/>
    <w:rsid w:val="002C397B"/>
    <w:rsid w:val="002C6300"/>
    <w:rsid w:val="002D40C2"/>
    <w:rsid w:val="002D710A"/>
    <w:rsid w:val="002E041A"/>
    <w:rsid w:val="002E0A84"/>
    <w:rsid w:val="002E35A6"/>
    <w:rsid w:val="002E3B83"/>
    <w:rsid w:val="002E3BCC"/>
    <w:rsid w:val="002E7B6F"/>
    <w:rsid w:val="002F01B8"/>
    <w:rsid w:val="002F25A8"/>
    <w:rsid w:val="002F44F7"/>
    <w:rsid w:val="002F4D2B"/>
    <w:rsid w:val="00307C77"/>
    <w:rsid w:val="003210AD"/>
    <w:rsid w:val="00324481"/>
    <w:rsid w:val="00324878"/>
    <w:rsid w:val="00325CD8"/>
    <w:rsid w:val="00325D61"/>
    <w:rsid w:val="003275F6"/>
    <w:rsid w:val="00330D09"/>
    <w:rsid w:val="003313B6"/>
    <w:rsid w:val="0033248A"/>
    <w:rsid w:val="003344E3"/>
    <w:rsid w:val="003364B8"/>
    <w:rsid w:val="003368FA"/>
    <w:rsid w:val="00337600"/>
    <w:rsid w:val="00340085"/>
    <w:rsid w:val="00340351"/>
    <w:rsid w:val="00341360"/>
    <w:rsid w:val="00343250"/>
    <w:rsid w:val="00343749"/>
    <w:rsid w:val="00347E89"/>
    <w:rsid w:val="00350C3D"/>
    <w:rsid w:val="00350EE9"/>
    <w:rsid w:val="00352510"/>
    <w:rsid w:val="00354A52"/>
    <w:rsid w:val="00354D62"/>
    <w:rsid w:val="0035535C"/>
    <w:rsid w:val="00356322"/>
    <w:rsid w:val="003568AC"/>
    <w:rsid w:val="003617D9"/>
    <w:rsid w:val="0036280D"/>
    <w:rsid w:val="003639E0"/>
    <w:rsid w:val="0036418E"/>
    <w:rsid w:val="003660ED"/>
    <w:rsid w:val="00366943"/>
    <w:rsid w:val="003713DD"/>
    <w:rsid w:val="003715FE"/>
    <w:rsid w:val="003720B5"/>
    <w:rsid w:val="003729C7"/>
    <w:rsid w:val="0037796E"/>
    <w:rsid w:val="00382A36"/>
    <w:rsid w:val="00386456"/>
    <w:rsid w:val="00390B9C"/>
    <w:rsid w:val="003A176B"/>
    <w:rsid w:val="003A55C9"/>
    <w:rsid w:val="003A6319"/>
    <w:rsid w:val="003B0550"/>
    <w:rsid w:val="003B11AF"/>
    <w:rsid w:val="003B5ED2"/>
    <w:rsid w:val="003B694F"/>
    <w:rsid w:val="003C064E"/>
    <w:rsid w:val="003C2570"/>
    <w:rsid w:val="003C67E5"/>
    <w:rsid w:val="003C7745"/>
    <w:rsid w:val="003C78E4"/>
    <w:rsid w:val="003C7C8C"/>
    <w:rsid w:val="003D428B"/>
    <w:rsid w:val="003E38E1"/>
    <w:rsid w:val="003E6510"/>
    <w:rsid w:val="003E7F17"/>
    <w:rsid w:val="003F171C"/>
    <w:rsid w:val="003F2E84"/>
    <w:rsid w:val="003F41B4"/>
    <w:rsid w:val="004029B5"/>
    <w:rsid w:val="00403C7A"/>
    <w:rsid w:val="00406A52"/>
    <w:rsid w:val="00412212"/>
    <w:rsid w:val="00412D36"/>
    <w:rsid w:val="00412FC5"/>
    <w:rsid w:val="00413F36"/>
    <w:rsid w:val="0041406E"/>
    <w:rsid w:val="00422270"/>
    <w:rsid w:val="00422276"/>
    <w:rsid w:val="004242F1"/>
    <w:rsid w:val="0042432B"/>
    <w:rsid w:val="00431BF2"/>
    <w:rsid w:val="004330DE"/>
    <w:rsid w:val="00440D17"/>
    <w:rsid w:val="0044571B"/>
    <w:rsid w:val="00445A00"/>
    <w:rsid w:val="00445A7E"/>
    <w:rsid w:val="00446F14"/>
    <w:rsid w:val="00447598"/>
    <w:rsid w:val="00451753"/>
    <w:rsid w:val="00451B0F"/>
    <w:rsid w:val="00453FE6"/>
    <w:rsid w:val="00453FF1"/>
    <w:rsid w:val="00454894"/>
    <w:rsid w:val="00454918"/>
    <w:rsid w:val="00456D03"/>
    <w:rsid w:val="0046407C"/>
    <w:rsid w:val="00464644"/>
    <w:rsid w:val="0046477F"/>
    <w:rsid w:val="00465896"/>
    <w:rsid w:val="00467B3A"/>
    <w:rsid w:val="004701EB"/>
    <w:rsid w:val="00471790"/>
    <w:rsid w:val="0047335F"/>
    <w:rsid w:val="00476205"/>
    <w:rsid w:val="00481DD0"/>
    <w:rsid w:val="00483C03"/>
    <w:rsid w:val="00483FE1"/>
    <w:rsid w:val="00490994"/>
    <w:rsid w:val="00490F7F"/>
    <w:rsid w:val="0049479B"/>
    <w:rsid w:val="0049521D"/>
    <w:rsid w:val="0049779F"/>
    <w:rsid w:val="004A4379"/>
    <w:rsid w:val="004B2434"/>
    <w:rsid w:val="004B30EA"/>
    <w:rsid w:val="004B33E9"/>
    <w:rsid w:val="004B559C"/>
    <w:rsid w:val="004B7012"/>
    <w:rsid w:val="004B7B4F"/>
    <w:rsid w:val="004C0E7E"/>
    <w:rsid w:val="004C1831"/>
    <w:rsid w:val="004C1D7C"/>
    <w:rsid w:val="004C2EE3"/>
    <w:rsid w:val="004D152E"/>
    <w:rsid w:val="004D3C6A"/>
    <w:rsid w:val="004D4A2F"/>
    <w:rsid w:val="004D6175"/>
    <w:rsid w:val="004D759B"/>
    <w:rsid w:val="004E2A54"/>
    <w:rsid w:val="004E4A22"/>
    <w:rsid w:val="004E5A9D"/>
    <w:rsid w:val="004F0710"/>
    <w:rsid w:val="004F1DAC"/>
    <w:rsid w:val="004F4D11"/>
    <w:rsid w:val="004F4D56"/>
    <w:rsid w:val="004F56BD"/>
    <w:rsid w:val="004F5DB5"/>
    <w:rsid w:val="00504BDE"/>
    <w:rsid w:val="00504F74"/>
    <w:rsid w:val="00505710"/>
    <w:rsid w:val="0050645C"/>
    <w:rsid w:val="0050667B"/>
    <w:rsid w:val="0051127D"/>
    <w:rsid w:val="00511968"/>
    <w:rsid w:val="00511C90"/>
    <w:rsid w:val="005121C1"/>
    <w:rsid w:val="0051284E"/>
    <w:rsid w:val="00514C8E"/>
    <w:rsid w:val="0051673E"/>
    <w:rsid w:val="0052024E"/>
    <w:rsid w:val="0052503C"/>
    <w:rsid w:val="005255AD"/>
    <w:rsid w:val="0052603B"/>
    <w:rsid w:val="00527E80"/>
    <w:rsid w:val="0053298C"/>
    <w:rsid w:val="00537BD6"/>
    <w:rsid w:val="00540259"/>
    <w:rsid w:val="00540DA6"/>
    <w:rsid w:val="00541385"/>
    <w:rsid w:val="00546822"/>
    <w:rsid w:val="00547527"/>
    <w:rsid w:val="005476A9"/>
    <w:rsid w:val="00553E14"/>
    <w:rsid w:val="00553FC2"/>
    <w:rsid w:val="00555D19"/>
    <w:rsid w:val="0055614C"/>
    <w:rsid w:val="00556E77"/>
    <w:rsid w:val="005616F3"/>
    <w:rsid w:val="00562633"/>
    <w:rsid w:val="00563BC9"/>
    <w:rsid w:val="00564A34"/>
    <w:rsid w:val="00566D06"/>
    <w:rsid w:val="00571F23"/>
    <w:rsid w:val="0057212F"/>
    <w:rsid w:val="00573FFC"/>
    <w:rsid w:val="00576843"/>
    <w:rsid w:val="0057749E"/>
    <w:rsid w:val="00581D3E"/>
    <w:rsid w:val="00591868"/>
    <w:rsid w:val="00591AAC"/>
    <w:rsid w:val="00592CDF"/>
    <w:rsid w:val="005A00AC"/>
    <w:rsid w:val="005A3CFA"/>
    <w:rsid w:val="005A4D87"/>
    <w:rsid w:val="005A55CC"/>
    <w:rsid w:val="005B1E28"/>
    <w:rsid w:val="005B2322"/>
    <w:rsid w:val="005B2795"/>
    <w:rsid w:val="005B2923"/>
    <w:rsid w:val="005B3C6B"/>
    <w:rsid w:val="005B3DD8"/>
    <w:rsid w:val="005B4905"/>
    <w:rsid w:val="005B5791"/>
    <w:rsid w:val="005B7F04"/>
    <w:rsid w:val="005C12ED"/>
    <w:rsid w:val="005C1BE9"/>
    <w:rsid w:val="005C2209"/>
    <w:rsid w:val="005C3464"/>
    <w:rsid w:val="005C3CF4"/>
    <w:rsid w:val="005C4BA8"/>
    <w:rsid w:val="005D0AC5"/>
    <w:rsid w:val="005D63BE"/>
    <w:rsid w:val="005D6746"/>
    <w:rsid w:val="005E14C2"/>
    <w:rsid w:val="005E1FDE"/>
    <w:rsid w:val="005E35A3"/>
    <w:rsid w:val="005E53E3"/>
    <w:rsid w:val="005E5DBC"/>
    <w:rsid w:val="005F0203"/>
    <w:rsid w:val="005F0541"/>
    <w:rsid w:val="005F0E03"/>
    <w:rsid w:val="005F282C"/>
    <w:rsid w:val="005F284E"/>
    <w:rsid w:val="005F4B5F"/>
    <w:rsid w:val="005F7BEC"/>
    <w:rsid w:val="00602165"/>
    <w:rsid w:val="00603561"/>
    <w:rsid w:val="00607BA5"/>
    <w:rsid w:val="0061097A"/>
    <w:rsid w:val="00610C65"/>
    <w:rsid w:val="0061180A"/>
    <w:rsid w:val="00612530"/>
    <w:rsid w:val="00613D05"/>
    <w:rsid w:val="0062071B"/>
    <w:rsid w:val="0062146F"/>
    <w:rsid w:val="0062230F"/>
    <w:rsid w:val="0062441C"/>
    <w:rsid w:val="006251A3"/>
    <w:rsid w:val="00626DAA"/>
    <w:rsid w:val="00626EB6"/>
    <w:rsid w:val="00627757"/>
    <w:rsid w:val="00635CDF"/>
    <w:rsid w:val="0063601E"/>
    <w:rsid w:val="00636C51"/>
    <w:rsid w:val="00640A44"/>
    <w:rsid w:val="00644227"/>
    <w:rsid w:val="00645B91"/>
    <w:rsid w:val="00647F92"/>
    <w:rsid w:val="00650B53"/>
    <w:rsid w:val="00653319"/>
    <w:rsid w:val="00655ACE"/>
    <w:rsid w:val="00655D03"/>
    <w:rsid w:val="00661153"/>
    <w:rsid w:val="00662291"/>
    <w:rsid w:val="006628D5"/>
    <w:rsid w:val="00664BAE"/>
    <w:rsid w:val="00672DD2"/>
    <w:rsid w:val="00677182"/>
    <w:rsid w:val="00683388"/>
    <w:rsid w:val="00683723"/>
    <w:rsid w:val="00683BD4"/>
    <w:rsid w:val="00683F84"/>
    <w:rsid w:val="006842B3"/>
    <w:rsid w:val="00684BC9"/>
    <w:rsid w:val="006857AC"/>
    <w:rsid w:val="00691F46"/>
    <w:rsid w:val="00692F2F"/>
    <w:rsid w:val="006A0BEA"/>
    <w:rsid w:val="006A5172"/>
    <w:rsid w:val="006A60D5"/>
    <w:rsid w:val="006A6A81"/>
    <w:rsid w:val="006B0B35"/>
    <w:rsid w:val="006B36BD"/>
    <w:rsid w:val="006B42CE"/>
    <w:rsid w:val="006B60FC"/>
    <w:rsid w:val="006C0F08"/>
    <w:rsid w:val="006C18EB"/>
    <w:rsid w:val="006C4A34"/>
    <w:rsid w:val="006C522D"/>
    <w:rsid w:val="006C53D3"/>
    <w:rsid w:val="006C6DAD"/>
    <w:rsid w:val="006C70AF"/>
    <w:rsid w:val="006C7218"/>
    <w:rsid w:val="006D019D"/>
    <w:rsid w:val="006D1D02"/>
    <w:rsid w:val="006D489D"/>
    <w:rsid w:val="006D4C7A"/>
    <w:rsid w:val="006D7549"/>
    <w:rsid w:val="006D78DB"/>
    <w:rsid w:val="006E2C2A"/>
    <w:rsid w:val="006E2D33"/>
    <w:rsid w:val="006E2E20"/>
    <w:rsid w:val="006E3301"/>
    <w:rsid w:val="006E6467"/>
    <w:rsid w:val="006E6A01"/>
    <w:rsid w:val="006E7EB5"/>
    <w:rsid w:val="006F2A16"/>
    <w:rsid w:val="006F2ACD"/>
    <w:rsid w:val="006F7393"/>
    <w:rsid w:val="006F744E"/>
    <w:rsid w:val="006F7D37"/>
    <w:rsid w:val="0070224F"/>
    <w:rsid w:val="00702C1A"/>
    <w:rsid w:val="00705F9C"/>
    <w:rsid w:val="00706195"/>
    <w:rsid w:val="00710DF1"/>
    <w:rsid w:val="007115F7"/>
    <w:rsid w:val="00712A98"/>
    <w:rsid w:val="007135F7"/>
    <w:rsid w:val="00713C38"/>
    <w:rsid w:val="007143AC"/>
    <w:rsid w:val="00716256"/>
    <w:rsid w:val="00716E72"/>
    <w:rsid w:val="007170FF"/>
    <w:rsid w:val="00724B87"/>
    <w:rsid w:val="00725320"/>
    <w:rsid w:val="00731630"/>
    <w:rsid w:val="007334B1"/>
    <w:rsid w:val="00743676"/>
    <w:rsid w:val="00745200"/>
    <w:rsid w:val="0074666D"/>
    <w:rsid w:val="00747C26"/>
    <w:rsid w:val="007505EC"/>
    <w:rsid w:val="00753947"/>
    <w:rsid w:val="00753C45"/>
    <w:rsid w:val="0075574D"/>
    <w:rsid w:val="00762D8E"/>
    <w:rsid w:val="00762DDD"/>
    <w:rsid w:val="00763078"/>
    <w:rsid w:val="007642C9"/>
    <w:rsid w:val="007674AB"/>
    <w:rsid w:val="00770F52"/>
    <w:rsid w:val="007715D8"/>
    <w:rsid w:val="00771E00"/>
    <w:rsid w:val="00773331"/>
    <w:rsid w:val="007821D2"/>
    <w:rsid w:val="00783D1A"/>
    <w:rsid w:val="00784139"/>
    <w:rsid w:val="00785689"/>
    <w:rsid w:val="00787F68"/>
    <w:rsid w:val="007900A2"/>
    <w:rsid w:val="007916F2"/>
    <w:rsid w:val="00792E64"/>
    <w:rsid w:val="007967CC"/>
    <w:rsid w:val="0079722A"/>
    <w:rsid w:val="0079754B"/>
    <w:rsid w:val="007A1E6D"/>
    <w:rsid w:val="007A3CC1"/>
    <w:rsid w:val="007B06FF"/>
    <w:rsid w:val="007B0EB2"/>
    <w:rsid w:val="007B1937"/>
    <w:rsid w:val="007B1D07"/>
    <w:rsid w:val="007B301E"/>
    <w:rsid w:val="007B6F07"/>
    <w:rsid w:val="007C0A7F"/>
    <w:rsid w:val="007C1741"/>
    <w:rsid w:val="007C44D8"/>
    <w:rsid w:val="007C4818"/>
    <w:rsid w:val="007C5E50"/>
    <w:rsid w:val="007C6043"/>
    <w:rsid w:val="007C71AB"/>
    <w:rsid w:val="007D0E97"/>
    <w:rsid w:val="007D45CE"/>
    <w:rsid w:val="007D504D"/>
    <w:rsid w:val="007D70DA"/>
    <w:rsid w:val="007D7526"/>
    <w:rsid w:val="007E1CE8"/>
    <w:rsid w:val="007E2178"/>
    <w:rsid w:val="007E6811"/>
    <w:rsid w:val="007E6EB6"/>
    <w:rsid w:val="007E7670"/>
    <w:rsid w:val="007F03EE"/>
    <w:rsid w:val="007F3094"/>
    <w:rsid w:val="007F5303"/>
    <w:rsid w:val="008049A8"/>
    <w:rsid w:val="008060EC"/>
    <w:rsid w:val="008064C5"/>
    <w:rsid w:val="008106D5"/>
    <w:rsid w:val="00810A28"/>
    <w:rsid w:val="00810B6F"/>
    <w:rsid w:val="00810FE8"/>
    <w:rsid w:val="008116AD"/>
    <w:rsid w:val="00821B7A"/>
    <w:rsid w:val="00821EEC"/>
    <w:rsid w:val="00822861"/>
    <w:rsid w:val="00822CE0"/>
    <w:rsid w:val="00822F01"/>
    <w:rsid w:val="0082517A"/>
    <w:rsid w:val="00830931"/>
    <w:rsid w:val="00831A33"/>
    <w:rsid w:val="00832AD9"/>
    <w:rsid w:val="00832F67"/>
    <w:rsid w:val="008338F6"/>
    <w:rsid w:val="008341D3"/>
    <w:rsid w:val="0083436F"/>
    <w:rsid w:val="00834A10"/>
    <w:rsid w:val="00836C2F"/>
    <w:rsid w:val="00836D25"/>
    <w:rsid w:val="00836E53"/>
    <w:rsid w:val="00841AB1"/>
    <w:rsid w:val="008424B7"/>
    <w:rsid w:val="00842EE8"/>
    <w:rsid w:val="0085001F"/>
    <w:rsid w:val="00853773"/>
    <w:rsid w:val="0085545E"/>
    <w:rsid w:val="0085692E"/>
    <w:rsid w:val="00856F96"/>
    <w:rsid w:val="00860AEC"/>
    <w:rsid w:val="00862C04"/>
    <w:rsid w:val="00862C7D"/>
    <w:rsid w:val="00863CF7"/>
    <w:rsid w:val="00863EF0"/>
    <w:rsid w:val="008642E2"/>
    <w:rsid w:val="00864999"/>
    <w:rsid w:val="0087339E"/>
    <w:rsid w:val="008734D9"/>
    <w:rsid w:val="0087629E"/>
    <w:rsid w:val="00880EA6"/>
    <w:rsid w:val="00885128"/>
    <w:rsid w:val="00885FB1"/>
    <w:rsid w:val="00890842"/>
    <w:rsid w:val="0089142A"/>
    <w:rsid w:val="00891790"/>
    <w:rsid w:val="008A0535"/>
    <w:rsid w:val="008A3F25"/>
    <w:rsid w:val="008A73DB"/>
    <w:rsid w:val="008A787B"/>
    <w:rsid w:val="008B0AD1"/>
    <w:rsid w:val="008B2CE0"/>
    <w:rsid w:val="008B3608"/>
    <w:rsid w:val="008B5178"/>
    <w:rsid w:val="008C0C80"/>
    <w:rsid w:val="008C68F1"/>
    <w:rsid w:val="008D30C5"/>
    <w:rsid w:val="008D7515"/>
    <w:rsid w:val="008E0153"/>
    <w:rsid w:val="008E3342"/>
    <w:rsid w:val="008E53B3"/>
    <w:rsid w:val="008E5CD8"/>
    <w:rsid w:val="008F5600"/>
    <w:rsid w:val="008F5D8E"/>
    <w:rsid w:val="008F6661"/>
    <w:rsid w:val="0090020C"/>
    <w:rsid w:val="009002F1"/>
    <w:rsid w:val="00910EC5"/>
    <w:rsid w:val="0091206B"/>
    <w:rsid w:val="0091308F"/>
    <w:rsid w:val="00913B3D"/>
    <w:rsid w:val="00921803"/>
    <w:rsid w:val="009222DF"/>
    <w:rsid w:val="009259A0"/>
    <w:rsid w:val="0092635E"/>
    <w:rsid w:val="00926503"/>
    <w:rsid w:val="00926E0F"/>
    <w:rsid w:val="00927442"/>
    <w:rsid w:val="00933AA0"/>
    <w:rsid w:val="00940218"/>
    <w:rsid w:val="009415B7"/>
    <w:rsid w:val="009512E7"/>
    <w:rsid w:val="00954414"/>
    <w:rsid w:val="0095510E"/>
    <w:rsid w:val="009561F9"/>
    <w:rsid w:val="00957398"/>
    <w:rsid w:val="00957F4D"/>
    <w:rsid w:val="00960C4F"/>
    <w:rsid w:val="00961BD3"/>
    <w:rsid w:val="00962702"/>
    <w:rsid w:val="009659D9"/>
    <w:rsid w:val="00966E3E"/>
    <w:rsid w:val="00970805"/>
    <w:rsid w:val="009726D8"/>
    <w:rsid w:val="00972E77"/>
    <w:rsid w:val="00975991"/>
    <w:rsid w:val="0097716D"/>
    <w:rsid w:val="009835EC"/>
    <w:rsid w:val="0098541B"/>
    <w:rsid w:val="00985ABF"/>
    <w:rsid w:val="009866A4"/>
    <w:rsid w:val="00987F23"/>
    <w:rsid w:val="0099000E"/>
    <w:rsid w:val="009910E0"/>
    <w:rsid w:val="00991446"/>
    <w:rsid w:val="009A105F"/>
    <w:rsid w:val="009A1484"/>
    <w:rsid w:val="009A2DEF"/>
    <w:rsid w:val="009A5FF8"/>
    <w:rsid w:val="009A621D"/>
    <w:rsid w:val="009A65BD"/>
    <w:rsid w:val="009B5195"/>
    <w:rsid w:val="009B7E45"/>
    <w:rsid w:val="009C4B9E"/>
    <w:rsid w:val="009C5254"/>
    <w:rsid w:val="009C5E1D"/>
    <w:rsid w:val="009C705A"/>
    <w:rsid w:val="009D2452"/>
    <w:rsid w:val="009D269D"/>
    <w:rsid w:val="009D50B3"/>
    <w:rsid w:val="009D7308"/>
    <w:rsid w:val="009E1745"/>
    <w:rsid w:val="009E5D02"/>
    <w:rsid w:val="009F6FD8"/>
    <w:rsid w:val="009F76DB"/>
    <w:rsid w:val="00A02418"/>
    <w:rsid w:val="00A0280E"/>
    <w:rsid w:val="00A03FA2"/>
    <w:rsid w:val="00A041B1"/>
    <w:rsid w:val="00A123DB"/>
    <w:rsid w:val="00A12634"/>
    <w:rsid w:val="00A1359E"/>
    <w:rsid w:val="00A16C18"/>
    <w:rsid w:val="00A17754"/>
    <w:rsid w:val="00A2050A"/>
    <w:rsid w:val="00A20B95"/>
    <w:rsid w:val="00A26407"/>
    <w:rsid w:val="00A26559"/>
    <w:rsid w:val="00A2771E"/>
    <w:rsid w:val="00A32C3B"/>
    <w:rsid w:val="00A33FB4"/>
    <w:rsid w:val="00A35413"/>
    <w:rsid w:val="00A35596"/>
    <w:rsid w:val="00A40554"/>
    <w:rsid w:val="00A40755"/>
    <w:rsid w:val="00A41598"/>
    <w:rsid w:val="00A45F4F"/>
    <w:rsid w:val="00A46AE5"/>
    <w:rsid w:val="00A46FAE"/>
    <w:rsid w:val="00A50D3B"/>
    <w:rsid w:val="00A51ADE"/>
    <w:rsid w:val="00A52268"/>
    <w:rsid w:val="00A52908"/>
    <w:rsid w:val="00A53FAF"/>
    <w:rsid w:val="00A55564"/>
    <w:rsid w:val="00A600A9"/>
    <w:rsid w:val="00A60E88"/>
    <w:rsid w:val="00A61051"/>
    <w:rsid w:val="00A65342"/>
    <w:rsid w:val="00A65C88"/>
    <w:rsid w:val="00A7009C"/>
    <w:rsid w:val="00A7120F"/>
    <w:rsid w:val="00A726ED"/>
    <w:rsid w:val="00A7564A"/>
    <w:rsid w:val="00A805FF"/>
    <w:rsid w:val="00A80BDA"/>
    <w:rsid w:val="00A811FA"/>
    <w:rsid w:val="00A83404"/>
    <w:rsid w:val="00A83757"/>
    <w:rsid w:val="00A90D44"/>
    <w:rsid w:val="00A976D8"/>
    <w:rsid w:val="00A97AA0"/>
    <w:rsid w:val="00AA228B"/>
    <w:rsid w:val="00AA4962"/>
    <w:rsid w:val="00AA55B7"/>
    <w:rsid w:val="00AA5B9E"/>
    <w:rsid w:val="00AA6139"/>
    <w:rsid w:val="00AB0947"/>
    <w:rsid w:val="00AB2407"/>
    <w:rsid w:val="00AB38FE"/>
    <w:rsid w:val="00AB53DF"/>
    <w:rsid w:val="00AB57DA"/>
    <w:rsid w:val="00AB6476"/>
    <w:rsid w:val="00AB7B4C"/>
    <w:rsid w:val="00AC18CC"/>
    <w:rsid w:val="00AC2DD4"/>
    <w:rsid w:val="00AC36B0"/>
    <w:rsid w:val="00AC6215"/>
    <w:rsid w:val="00AD7B1A"/>
    <w:rsid w:val="00AE2D78"/>
    <w:rsid w:val="00AE4BAF"/>
    <w:rsid w:val="00AE72A8"/>
    <w:rsid w:val="00AF0570"/>
    <w:rsid w:val="00AF05A7"/>
    <w:rsid w:val="00AF07F4"/>
    <w:rsid w:val="00AF0B21"/>
    <w:rsid w:val="00AF227F"/>
    <w:rsid w:val="00AF4363"/>
    <w:rsid w:val="00B067B6"/>
    <w:rsid w:val="00B07E5C"/>
    <w:rsid w:val="00B10584"/>
    <w:rsid w:val="00B14274"/>
    <w:rsid w:val="00B21841"/>
    <w:rsid w:val="00B220C6"/>
    <w:rsid w:val="00B22801"/>
    <w:rsid w:val="00B2478B"/>
    <w:rsid w:val="00B24B26"/>
    <w:rsid w:val="00B271F5"/>
    <w:rsid w:val="00B3018E"/>
    <w:rsid w:val="00B32616"/>
    <w:rsid w:val="00B33C9B"/>
    <w:rsid w:val="00B36ECE"/>
    <w:rsid w:val="00B40D6E"/>
    <w:rsid w:val="00B43A70"/>
    <w:rsid w:val="00B47C4A"/>
    <w:rsid w:val="00B520EB"/>
    <w:rsid w:val="00B529DB"/>
    <w:rsid w:val="00B55374"/>
    <w:rsid w:val="00B57DC5"/>
    <w:rsid w:val="00B61A54"/>
    <w:rsid w:val="00B62DE1"/>
    <w:rsid w:val="00B64766"/>
    <w:rsid w:val="00B67915"/>
    <w:rsid w:val="00B679F1"/>
    <w:rsid w:val="00B77AB2"/>
    <w:rsid w:val="00B8063D"/>
    <w:rsid w:val="00B811F7"/>
    <w:rsid w:val="00B82DD6"/>
    <w:rsid w:val="00B84E44"/>
    <w:rsid w:val="00B86ED4"/>
    <w:rsid w:val="00B8718C"/>
    <w:rsid w:val="00B90DD8"/>
    <w:rsid w:val="00B92BD3"/>
    <w:rsid w:val="00B92BEC"/>
    <w:rsid w:val="00B94C78"/>
    <w:rsid w:val="00B95ADA"/>
    <w:rsid w:val="00B9653C"/>
    <w:rsid w:val="00BA5151"/>
    <w:rsid w:val="00BA5DC6"/>
    <w:rsid w:val="00BA6196"/>
    <w:rsid w:val="00BB0241"/>
    <w:rsid w:val="00BB1F61"/>
    <w:rsid w:val="00BB211C"/>
    <w:rsid w:val="00BB563D"/>
    <w:rsid w:val="00BB5E1D"/>
    <w:rsid w:val="00BC583B"/>
    <w:rsid w:val="00BC6C8E"/>
    <w:rsid w:val="00BC6D8C"/>
    <w:rsid w:val="00BD0BA2"/>
    <w:rsid w:val="00BD15C7"/>
    <w:rsid w:val="00BD3CD6"/>
    <w:rsid w:val="00BD42AD"/>
    <w:rsid w:val="00BD484A"/>
    <w:rsid w:val="00BD4DB1"/>
    <w:rsid w:val="00BD5D9F"/>
    <w:rsid w:val="00BD7099"/>
    <w:rsid w:val="00BE3744"/>
    <w:rsid w:val="00BE4786"/>
    <w:rsid w:val="00BE5C10"/>
    <w:rsid w:val="00BE662A"/>
    <w:rsid w:val="00BF0C71"/>
    <w:rsid w:val="00BF2C45"/>
    <w:rsid w:val="00BF36BD"/>
    <w:rsid w:val="00BF47B6"/>
    <w:rsid w:val="00BF5C1D"/>
    <w:rsid w:val="00BF7CB5"/>
    <w:rsid w:val="00C00B6E"/>
    <w:rsid w:val="00C00D7D"/>
    <w:rsid w:val="00C029B2"/>
    <w:rsid w:val="00C029FB"/>
    <w:rsid w:val="00C02ABB"/>
    <w:rsid w:val="00C04110"/>
    <w:rsid w:val="00C0523B"/>
    <w:rsid w:val="00C123B9"/>
    <w:rsid w:val="00C13DEA"/>
    <w:rsid w:val="00C17269"/>
    <w:rsid w:val="00C17273"/>
    <w:rsid w:val="00C228CE"/>
    <w:rsid w:val="00C22A5C"/>
    <w:rsid w:val="00C259CB"/>
    <w:rsid w:val="00C27B19"/>
    <w:rsid w:val="00C34006"/>
    <w:rsid w:val="00C36B4C"/>
    <w:rsid w:val="00C37A7F"/>
    <w:rsid w:val="00C426B1"/>
    <w:rsid w:val="00C42763"/>
    <w:rsid w:val="00C50F51"/>
    <w:rsid w:val="00C52B42"/>
    <w:rsid w:val="00C53E1F"/>
    <w:rsid w:val="00C544CC"/>
    <w:rsid w:val="00C558BA"/>
    <w:rsid w:val="00C573FF"/>
    <w:rsid w:val="00C61058"/>
    <w:rsid w:val="00C61CB8"/>
    <w:rsid w:val="00C61D84"/>
    <w:rsid w:val="00C63102"/>
    <w:rsid w:val="00C63222"/>
    <w:rsid w:val="00C64401"/>
    <w:rsid w:val="00C64439"/>
    <w:rsid w:val="00C66160"/>
    <w:rsid w:val="00C721AC"/>
    <w:rsid w:val="00C73E1C"/>
    <w:rsid w:val="00C75785"/>
    <w:rsid w:val="00C76607"/>
    <w:rsid w:val="00C77865"/>
    <w:rsid w:val="00C81A3F"/>
    <w:rsid w:val="00C81DB0"/>
    <w:rsid w:val="00C820BE"/>
    <w:rsid w:val="00C82236"/>
    <w:rsid w:val="00C82698"/>
    <w:rsid w:val="00C83DAA"/>
    <w:rsid w:val="00C84588"/>
    <w:rsid w:val="00C847D2"/>
    <w:rsid w:val="00C86AB3"/>
    <w:rsid w:val="00C90D6A"/>
    <w:rsid w:val="00C94A28"/>
    <w:rsid w:val="00CA247E"/>
    <w:rsid w:val="00CA6412"/>
    <w:rsid w:val="00CA6D21"/>
    <w:rsid w:val="00CA6E3C"/>
    <w:rsid w:val="00CB1999"/>
    <w:rsid w:val="00CB1BA6"/>
    <w:rsid w:val="00CB2315"/>
    <w:rsid w:val="00CB514E"/>
    <w:rsid w:val="00CC2241"/>
    <w:rsid w:val="00CC2A5B"/>
    <w:rsid w:val="00CC6968"/>
    <w:rsid w:val="00CC72B6"/>
    <w:rsid w:val="00CD087E"/>
    <w:rsid w:val="00CD4E5F"/>
    <w:rsid w:val="00CD7225"/>
    <w:rsid w:val="00CE35FF"/>
    <w:rsid w:val="00CE4F72"/>
    <w:rsid w:val="00CF021F"/>
    <w:rsid w:val="00CF0A4A"/>
    <w:rsid w:val="00CF0B18"/>
    <w:rsid w:val="00CF1932"/>
    <w:rsid w:val="00CF2533"/>
    <w:rsid w:val="00CF2724"/>
    <w:rsid w:val="00CF2947"/>
    <w:rsid w:val="00CF5512"/>
    <w:rsid w:val="00CF56A8"/>
    <w:rsid w:val="00CF6C19"/>
    <w:rsid w:val="00D000EC"/>
    <w:rsid w:val="00D0174B"/>
    <w:rsid w:val="00D0218D"/>
    <w:rsid w:val="00D0421A"/>
    <w:rsid w:val="00D075F0"/>
    <w:rsid w:val="00D10311"/>
    <w:rsid w:val="00D11BBB"/>
    <w:rsid w:val="00D14201"/>
    <w:rsid w:val="00D248B6"/>
    <w:rsid w:val="00D25FB5"/>
    <w:rsid w:val="00D26123"/>
    <w:rsid w:val="00D2667A"/>
    <w:rsid w:val="00D31C28"/>
    <w:rsid w:val="00D32994"/>
    <w:rsid w:val="00D33939"/>
    <w:rsid w:val="00D36FF9"/>
    <w:rsid w:val="00D4187E"/>
    <w:rsid w:val="00D428F5"/>
    <w:rsid w:val="00D42AD9"/>
    <w:rsid w:val="00D42B3B"/>
    <w:rsid w:val="00D44223"/>
    <w:rsid w:val="00D4468E"/>
    <w:rsid w:val="00D50E50"/>
    <w:rsid w:val="00D517EC"/>
    <w:rsid w:val="00D5367E"/>
    <w:rsid w:val="00D53861"/>
    <w:rsid w:val="00D55DAF"/>
    <w:rsid w:val="00D57BEE"/>
    <w:rsid w:val="00D6034F"/>
    <w:rsid w:val="00D64CDA"/>
    <w:rsid w:val="00D666C8"/>
    <w:rsid w:val="00D66D4B"/>
    <w:rsid w:val="00D66DD6"/>
    <w:rsid w:val="00D67D92"/>
    <w:rsid w:val="00D72354"/>
    <w:rsid w:val="00D74CC9"/>
    <w:rsid w:val="00D7710D"/>
    <w:rsid w:val="00D8049E"/>
    <w:rsid w:val="00D846C6"/>
    <w:rsid w:val="00D85509"/>
    <w:rsid w:val="00D8611F"/>
    <w:rsid w:val="00D87EB3"/>
    <w:rsid w:val="00D91495"/>
    <w:rsid w:val="00D9349C"/>
    <w:rsid w:val="00D93E35"/>
    <w:rsid w:val="00D945EF"/>
    <w:rsid w:val="00D972A2"/>
    <w:rsid w:val="00D9747C"/>
    <w:rsid w:val="00D975DF"/>
    <w:rsid w:val="00D97E9A"/>
    <w:rsid w:val="00DA04C7"/>
    <w:rsid w:val="00DA2529"/>
    <w:rsid w:val="00DA37A7"/>
    <w:rsid w:val="00DA3973"/>
    <w:rsid w:val="00DA3AD3"/>
    <w:rsid w:val="00DA3F9D"/>
    <w:rsid w:val="00DA5F1C"/>
    <w:rsid w:val="00DA6849"/>
    <w:rsid w:val="00DB130A"/>
    <w:rsid w:val="00DB1E8F"/>
    <w:rsid w:val="00DB2286"/>
    <w:rsid w:val="00DB2CAF"/>
    <w:rsid w:val="00DB2EBB"/>
    <w:rsid w:val="00DB56D6"/>
    <w:rsid w:val="00DB5D48"/>
    <w:rsid w:val="00DB6F08"/>
    <w:rsid w:val="00DC10A1"/>
    <w:rsid w:val="00DC4D3E"/>
    <w:rsid w:val="00DC655F"/>
    <w:rsid w:val="00DC7C49"/>
    <w:rsid w:val="00DD0499"/>
    <w:rsid w:val="00DD0B59"/>
    <w:rsid w:val="00DD10C6"/>
    <w:rsid w:val="00DD3659"/>
    <w:rsid w:val="00DD4998"/>
    <w:rsid w:val="00DD728C"/>
    <w:rsid w:val="00DD7E8F"/>
    <w:rsid w:val="00DD7EBD"/>
    <w:rsid w:val="00DE016A"/>
    <w:rsid w:val="00DE4C6E"/>
    <w:rsid w:val="00DE5C14"/>
    <w:rsid w:val="00DF11D7"/>
    <w:rsid w:val="00DF3AE8"/>
    <w:rsid w:val="00DF62B6"/>
    <w:rsid w:val="00DF7DBE"/>
    <w:rsid w:val="00E01AAB"/>
    <w:rsid w:val="00E01DEB"/>
    <w:rsid w:val="00E020A5"/>
    <w:rsid w:val="00E04C17"/>
    <w:rsid w:val="00E04FAA"/>
    <w:rsid w:val="00E05F71"/>
    <w:rsid w:val="00E07225"/>
    <w:rsid w:val="00E0786C"/>
    <w:rsid w:val="00E07BBB"/>
    <w:rsid w:val="00E07FB5"/>
    <w:rsid w:val="00E10256"/>
    <w:rsid w:val="00E12786"/>
    <w:rsid w:val="00E214A1"/>
    <w:rsid w:val="00E21C16"/>
    <w:rsid w:val="00E23B79"/>
    <w:rsid w:val="00E23D51"/>
    <w:rsid w:val="00E24E97"/>
    <w:rsid w:val="00E257DD"/>
    <w:rsid w:val="00E27D2E"/>
    <w:rsid w:val="00E3140E"/>
    <w:rsid w:val="00E31F93"/>
    <w:rsid w:val="00E400E5"/>
    <w:rsid w:val="00E407B3"/>
    <w:rsid w:val="00E4129E"/>
    <w:rsid w:val="00E41EAF"/>
    <w:rsid w:val="00E4250E"/>
    <w:rsid w:val="00E4654F"/>
    <w:rsid w:val="00E4775B"/>
    <w:rsid w:val="00E506C2"/>
    <w:rsid w:val="00E51FA9"/>
    <w:rsid w:val="00E521FC"/>
    <w:rsid w:val="00E52F85"/>
    <w:rsid w:val="00E53B67"/>
    <w:rsid w:val="00E5409F"/>
    <w:rsid w:val="00E55CA4"/>
    <w:rsid w:val="00E66415"/>
    <w:rsid w:val="00E67D56"/>
    <w:rsid w:val="00E700E1"/>
    <w:rsid w:val="00E716DE"/>
    <w:rsid w:val="00E73584"/>
    <w:rsid w:val="00E74AE7"/>
    <w:rsid w:val="00E74B25"/>
    <w:rsid w:val="00E771A2"/>
    <w:rsid w:val="00E77E92"/>
    <w:rsid w:val="00E8436C"/>
    <w:rsid w:val="00E85474"/>
    <w:rsid w:val="00E863B4"/>
    <w:rsid w:val="00E9045F"/>
    <w:rsid w:val="00E949DF"/>
    <w:rsid w:val="00E965AB"/>
    <w:rsid w:val="00EA1929"/>
    <w:rsid w:val="00EA22E5"/>
    <w:rsid w:val="00EA6129"/>
    <w:rsid w:val="00EA62F6"/>
    <w:rsid w:val="00EB196D"/>
    <w:rsid w:val="00EB22B1"/>
    <w:rsid w:val="00EB7854"/>
    <w:rsid w:val="00EC24EB"/>
    <w:rsid w:val="00EC2B65"/>
    <w:rsid w:val="00EC55B8"/>
    <w:rsid w:val="00EC73EC"/>
    <w:rsid w:val="00ED20BA"/>
    <w:rsid w:val="00ED26E3"/>
    <w:rsid w:val="00EE0990"/>
    <w:rsid w:val="00EE5FCA"/>
    <w:rsid w:val="00EE6488"/>
    <w:rsid w:val="00EE66C9"/>
    <w:rsid w:val="00EE6BC8"/>
    <w:rsid w:val="00EE6F0B"/>
    <w:rsid w:val="00EE6F1C"/>
    <w:rsid w:val="00EF1808"/>
    <w:rsid w:val="00EF47D7"/>
    <w:rsid w:val="00F00C61"/>
    <w:rsid w:val="00F021FA"/>
    <w:rsid w:val="00F03335"/>
    <w:rsid w:val="00F03E36"/>
    <w:rsid w:val="00F04C39"/>
    <w:rsid w:val="00F128C7"/>
    <w:rsid w:val="00F135C7"/>
    <w:rsid w:val="00F1542D"/>
    <w:rsid w:val="00F16568"/>
    <w:rsid w:val="00F21EEE"/>
    <w:rsid w:val="00F23B4B"/>
    <w:rsid w:val="00F32791"/>
    <w:rsid w:val="00F32824"/>
    <w:rsid w:val="00F51C6A"/>
    <w:rsid w:val="00F52027"/>
    <w:rsid w:val="00F576AA"/>
    <w:rsid w:val="00F60863"/>
    <w:rsid w:val="00F61C08"/>
    <w:rsid w:val="00F62D2A"/>
    <w:rsid w:val="00F62E97"/>
    <w:rsid w:val="00F64209"/>
    <w:rsid w:val="00F670E9"/>
    <w:rsid w:val="00F70083"/>
    <w:rsid w:val="00F70F11"/>
    <w:rsid w:val="00F73278"/>
    <w:rsid w:val="00F738BD"/>
    <w:rsid w:val="00F763A9"/>
    <w:rsid w:val="00F76571"/>
    <w:rsid w:val="00F76DA1"/>
    <w:rsid w:val="00F8171D"/>
    <w:rsid w:val="00F82811"/>
    <w:rsid w:val="00F90943"/>
    <w:rsid w:val="00F93BF5"/>
    <w:rsid w:val="00FA31DB"/>
    <w:rsid w:val="00FA474A"/>
    <w:rsid w:val="00FA4EC1"/>
    <w:rsid w:val="00FA56D5"/>
    <w:rsid w:val="00FB0D87"/>
    <w:rsid w:val="00FB2523"/>
    <w:rsid w:val="00FB276C"/>
    <w:rsid w:val="00FB3031"/>
    <w:rsid w:val="00FB3D05"/>
    <w:rsid w:val="00FC0289"/>
    <w:rsid w:val="00FC4059"/>
    <w:rsid w:val="00FD5195"/>
    <w:rsid w:val="00FD6C53"/>
    <w:rsid w:val="00FE1F8A"/>
    <w:rsid w:val="00FE360C"/>
    <w:rsid w:val="00FE5A80"/>
    <w:rsid w:val="00FE707D"/>
    <w:rsid w:val="00FF00B9"/>
    <w:rsid w:val="00FF0813"/>
    <w:rsid w:val="00FF09FE"/>
    <w:rsid w:val="00FF0EE0"/>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C5"/>
    <w:pPr>
      <w:widowControl w:val="0"/>
    </w:pPr>
    <w:rPr>
      <w:snapToGrid w:val="0"/>
      <w:kern w:val="28"/>
      <w:sz w:val="22"/>
    </w:rPr>
  </w:style>
  <w:style w:type="paragraph" w:styleId="Heading1">
    <w:name w:val="heading 1"/>
    <w:basedOn w:val="Normal"/>
    <w:next w:val="ParaNum"/>
    <w:qFormat/>
    <w:rsid w:val="008064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64C5"/>
    <w:pPr>
      <w:keepNext/>
      <w:numPr>
        <w:ilvl w:val="1"/>
        <w:numId w:val="3"/>
      </w:numPr>
      <w:spacing w:after="120"/>
      <w:outlineLvl w:val="1"/>
    </w:pPr>
    <w:rPr>
      <w:b/>
    </w:rPr>
  </w:style>
  <w:style w:type="paragraph" w:styleId="Heading3">
    <w:name w:val="heading 3"/>
    <w:basedOn w:val="Normal"/>
    <w:next w:val="ParaNum"/>
    <w:qFormat/>
    <w:rsid w:val="008064C5"/>
    <w:pPr>
      <w:keepNext/>
      <w:numPr>
        <w:ilvl w:val="2"/>
        <w:numId w:val="3"/>
      </w:numPr>
      <w:tabs>
        <w:tab w:val="left" w:pos="2160"/>
      </w:tabs>
      <w:spacing w:after="120"/>
      <w:outlineLvl w:val="2"/>
    </w:pPr>
    <w:rPr>
      <w:b/>
    </w:rPr>
  </w:style>
  <w:style w:type="paragraph" w:styleId="Heading4">
    <w:name w:val="heading 4"/>
    <w:basedOn w:val="Normal"/>
    <w:next w:val="ParaNum"/>
    <w:qFormat/>
    <w:rsid w:val="008064C5"/>
    <w:pPr>
      <w:keepNext/>
      <w:numPr>
        <w:ilvl w:val="3"/>
        <w:numId w:val="3"/>
      </w:numPr>
      <w:tabs>
        <w:tab w:val="left" w:pos="2880"/>
      </w:tabs>
      <w:spacing w:after="120"/>
      <w:outlineLvl w:val="3"/>
    </w:pPr>
    <w:rPr>
      <w:b/>
    </w:rPr>
  </w:style>
  <w:style w:type="paragraph" w:styleId="Heading5">
    <w:name w:val="heading 5"/>
    <w:basedOn w:val="Normal"/>
    <w:next w:val="ParaNum"/>
    <w:qFormat/>
    <w:rsid w:val="008064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064C5"/>
    <w:pPr>
      <w:numPr>
        <w:ilvl w:val="5"/>
        <w:numId w:val="3"/>
      </w:numPr>
      <w:tabs>
        <w:tab w:val="left" w:pos="4320"/>
      </w:tabs>
      <w:spacing w:after="120"/>
      <w:outlineLvl w:val="5"/>
    </w:pPr>
    <w:rPr>
      <w:b/>
    </w:rPr>
  </w:style>
  <w:style w:type="paragraph" w:styleId="Heading7">
    <w:name w:val="heading 7"/>
    <w:basedOn w:val="Normal"/>
    <w:next w:val="ParaNum"/>
    <w:qFormat/>
    <w:rsid w:val="008064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064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064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64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4C5"/>
  </w:style>
  <w:style w:type="paragraph" w:customStyle="1" w:styleId="ParaNum">
    <w:name w:val="ParaNum"/>
    <w:basedOn w:val="Normal"/>
    <w:link w:val="ParaNumChar"/>
    <w:rsid w:val="008064C5"/>
    <w:pPr>
      <w:numPr>
        <w:numId w:val="2"/>
      </w:numPr>
      <w:tabs>
        <w:tab w:val="clear" w:pos="1080"/>
        <w:tab w:val="num" w:pos="1440"/>
      </w:tabs>
      <w:spacing w:after="120"/>
    </w:pPr>
  </w:style>
  <w:style w:type="paragraph" w:styleId="EndnoteText">
    <w:name w:val="endnote text"/>
    <w:basedOn w:val="Normal"/>
    <w:semiHidden/>
    <w:rsid w:val="008064C5"/>
    <w:rPr>
      <w:sz w:val="20"/>
    </w:rPr>
  </w:style>
  <w:style w:type="character" w:styleId="EndnoteReference">
    <w:name w:val="endnote reference"/>
    <w:semiHidden/>
    <w:rsid w:val="008064C5"/>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8064C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064C5"/>
    <w:rPr>
      <w:rFonts w:ascii="Times New Roman" w:hAnsi="Times New Roman"/>
      <w:dstrike w:val="0"/>
      <w:color w:val="auto"/>
      <w:sz w:val="20"/>
      <w:vertAlign w:val="superscript"/>
    </w:rPr>
  </w:style>
  <w:style w:type="paragraph" w:styleId="TOC1">
    <w:name w:val="toc 1"/>
    <w:basedOn w:val="Normal"/>
    <w:next w:val="Normal"/>
    <w:semiHidden/>
    <w:rsid w:val="008064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064C5"/>
    <w:pPr>
      <w:tabs>
        <w:tab w:val="left" w:pos="720"/>
        <w:tab w:val="right" w:leader="dot" w:pos="9360"/>
      </w:tabs>
      <w:suppressAutoHyphens/>
      <w:ind w:left="720" w:right="720" w:hanging="360"/>
    </w:pPr>
    <w:rPr>
      <w:noProof/>
    </w:rPr>
  </w:style>
  <w:style w:type="paragraph" w:styleId="TOC3">
    <w:name w:val="toc 3"/>
    <w:basedOn w:val="Normal"/>
    <w:next w:val="Normal"/>
    <w:semiHidden/>
    <w:rsid w:val="008064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64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64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64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64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64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64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64C5"/>
    <w:pPr>
      <w:tabs>
        <w:tab w:val="right" w:pos="9360"/>
      </w:tabs>
      <w:suppressAutoHyphens/>
    </w:pPr>
  </w:style>
  <w:style w:type="character" w:customStyle="1" w:styleId="EquationCaption">
    <w:name w:val="_Equation Caption"/>
    <w:rsid w:val="008064C5"/>
  </w:style>
  <w:style w:type="paragraph" w:styleId="Header">
    <w:name w:val="header"/>
    <w:basedOn w:val="Normal"/>
    <w:autoRedefine/>
    <w:rsid w:val="008064C5"/>
    <w:pPr>
      <w:tabs>
        <w:tab w:val="center" w:pos="4680"/>
        <w:tab w:val="right" w:pos="9360"/>
      </w:tabs>
    </w:pPr>
    <w:rPr>
      <w:b/>
    </w:rPr>
  </w:style>
  <w:style w:type="paragraph" w:styleId="Footer">
    <w:name w:val="footer"/>
    <w:basedOn w:val="Normal"/>
    <w:link w:val="FooterChar"/>
    <w:uiPriority w:val="99"/>
    <w:rsid w:val="008064C5"/>
    <w:pPr>
      <w:tabs>
        <w:tab w:val="center" w:pos="4320"/>
        <w:tab w:val="right" w:pos="8640"/>
      </w:tabs>
    </w:pPr>
  </w:style>
  <w:style w:type="character" w:styleId="PageNumber">
    <w:name w:val="page number"/>
    <w:basedOn w:val="DefaultParagraphFont"/>
    <w:rsid w:val="008064C5"/>
  </w:style>
  <w:style w:type="paragraph" w:styleId="BlockText">
    <w:name w:val="Block Text"/>
    <w:basedOn w:val="Normal"/>
    <w:rsid w:val="008064C5"/>
    <w:pPr>
      <w:spacing w:after="240"/>
      <w:ind w:left="1440" w:right="1440"/>
    </w:pPr>
  </w:style>
  <w:style w:type="paragraph" w:customStyle="1" w:styleId="Paratitle">
    <w:name w:val="Para title"/>
    <w:basedOn w:val="Normal"/>
    <w:rsid w:val="008064C5"/>
    <w:pPr>
      <w:tabs>
        <w:tab w:val="center" w:pos="9270"/>
      </w:tabs>
      <w:spacing w:after="240"/>
    </w:pPr>
    <w:rPr>
      <w:spacing w:val="-2"/>
    </w:rPr>
  </w:style>
  <w:style w:type="paragraph" w:customStyle="1" w:styleId="Bullet">
    <w:name w:val="Bullet"/>
    <w:basedOn w:val="Normal"/>
    <w:rsid w:val="008064C5"/>
    <w:pPr>
      <w:tabs>
        <w:tab w:val="left" w:pos="2160"/>
      </w:tabs>
      <w:spacing w:after="220"/>
      <w:ind w:left="2160" w:hanging="720"/>
    </w:pPr>
  </w:style>
  <w:style w:type="paragraph" w:customStyle="1" w:styleId="TableFormat">
    <w:name w:val="TableFormat"/>
    <w:basedOn w:val="Bullet"/>
    <w:rsid w:val="008064C5"/>
    <w:pPr>
      <w:tabs>
        <w:tab w:val="clear" w:pos="2160"/>
        <w:tab w:val="left" w:pos="5040"/>
      </w:tabs>
      <w:ind w:left="5040" w:hanging="3600"/>
    </w:pPr>
  </w:style>
  <w:style w:type="paragraph" w:customStyle="1" w:styleId="TOCTitle">
    <w:name w:val="TOC Title"/>
    <w:basedOn w:val="Normal"/>
    <w:rsid w:val="008064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64C5"/>
    <w:pPr>
      <w:jc w:val="center"/>
    </w:pPr>
    <w:rPr>
      <w:rFonts w:ascii="Times New Roman Bold" w:hAnsi="Times New Roman Bold"/>
      <w:b/>
      <w:bCs/>
      <w:caps/>
      <w:szCs w:val="22"/>
    </w:rPr>
  </w:style>
  <w:style w:type="character" w:styleId="Hyperlink">
    <w:name w:val="Hyperlink"/>
    <w:rsid w:val="008064C5"/>
    <w:rPr>
      <w:color w:val="0000FF"/>
      <w:u w:val="single"/>
    </w:rPr>
  </w:style>
  <w:style w:type="character" w:customStyle="1" w:styleId="FooterChar">
    <w:name w:val="Footer Char"/>
    <w:link w:val="Footer"/>
    <w:uiPriority w:val="99"/>
    <w:rsid w:val="008064C5"/>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2021611436&amp;pubNum=0004493&amp;originatingDoc=I9f89e498366611ecac96cb08292a14c2&amp;refType=CA&amp;originationContext=document&amp;transitionType=DocumentItem&amp;ppcid=12dfd3ef65be450fa2b1b788e6955a7e&amp;contextData=(sc.DocLink)" TargetMode="External" /><Relationship Id="rId6" Type="http://schemas.openxmlformats.org/officeDocument/2006/relationships/hyperlink" Target="https://enterpriseefiling.fcc.gov/dataentry/public/tv/draftCopy.html?displayType=html&amp;appKey=25076f916e61ec6b016e70cc244b04b2&amp;id=25076f916e61ec6b016e70cc244b04b2&amp;goBack=N" TargetMode="External" /><Relationship Id="rId7" Type="http://schemas.openxmlformats.org/officeDocument/2006/relationships/hyperlink" Target="mailto:ARINQUIRIES@fcc.gov" TargetMode="External" /><Relationship Id="rId8"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