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C77B9" w14:paraId="3D276031" w14:textId="77777777">
      <w:pPr>
        <w:pStyle w:val="Header"/>
        <w:tabs>
          <w:tab w:val="clear" w:pos="4320"/>
          <w:tab w:val="clear" w:pos="8640"/>
        </w:tabs>
        <w:rPr>
          <w:szCs w:val="22"/>
        </w:rPr>
      </w:pPr>
      <w:r>
        <w:rPr>
          <w:szCs w:val="22"/>
        </w:rPr>
        <w:t xml:space="preserve"> </w:t>
      </w:r>
    </w:p>
    <w:p w:rsidR="002710BB" w:rsidRPr="006B29E2" w14:paraId="2AA2061A" w14:textId="77777777">
      <w:pPr>
        <w:pStyle w:val="Header"/>
        <w:tabs>
          <w:tab w:val="clear" w:pos="4320"/>
          <w:tab w:val="clear" w:pos="8640"/>
        </w:tabs>
        <w:rPr>
          <w:szCs w:val="22"/>
        </w:rPr>
        <w:sectPr>
          <w:headerReference w:type="default" r:id="rId5"/>
          <w:footerReference w:type="even" r:id="rId6"/>
          <w:footerReference w:type="default" r:id="rId7"/>
          <w:headerReference w:type="first" r:id="rId8"/>
          <w:pgSz w:w="12240" w:h="15840" w:code="1"/>
          <w:pgMar w:top="720" w:right="720" w:bottom="1440" w:left="720" w:header="720" w:footer="1440" w:gutter="0"/>
          <w:cols w:space="720"/>
          <w:titlePg/>
        </w:sectPr>
      </w:pPr>
      <w:r>
        <w:rPr>
          <w:szCs w:val="22"/>
        </w:rPr>
        <w:t xml:space="preserve"> </w:t>
      </w:r>
      <w:r w:rsidR="001404EC">
        <w:rPr>
          <w:szCs w:val="22"/>
        </w:rPr>
        <w:t xml:space="preserve"> </w:t>
      </w:r>
      <w:r w:rsidR="006253CB">
        <w:rPr>
          <w:szCs w:val="22"/>
        </w:rPr>
        <w:t xml:space="preserve"> </w:t>
      </w:r>
    </w:p>
    <w:p w:rsidR="00DC28C8" w:rsidP="00DC28C8" w14:paraId="2212925F" w14:textId="3D860604">
      <w:pPr>
        <w:ind w:left="6480" w:firstLine="450"/>
        <w:jc w:val="center"/>
        <w:rPr>
          <w:b/>
          <w:szCs w:val="22"/>
        </w:rPr>
      </w:pPr>
      <w:r w:rsidRPr="002F78A4">
        <w:rPr>
          <w:b/>
          <w:szCs w:val="22"/>
        </w:rPr>
        <w:t>DA 21-</w:t>
      </w:r>
      <w:r>
        <w:rPr>
          <w:b/>
          <w:szCs w:val="22"/>
        </w:rPr>
        <w:t>1586</w:t>
      </w:r>
    </w:p>
    <w:p w:rsidR="00FA09E5" w:rsidRPr="006B29E2" w:rsidP="00DC28C8" w14:paraId="73BEDFF6" w14:textId="211447C8">
      <w:pPr>
        <w:ind w:left="6480" w:firstLine="450"/>
        <w:jc w:val="center"/>
        <w:rPr>
          <w:b/>
          <w:szCs w:val="22"/>
        </w:rPr>
      </w:pPr>
      <w:r w:rsidRPr="006976C2">
        <w:rPr>
          <w:b/>
          <w:szCs w:val="22"/>
        </w:rPr>
        <w:t>December 16</w:t>
      </w:r>
      <w:r w:rsidRPr="006976C2">
        <w:rPr>
          <w:b/>
          <w:szCs w:val="22"/>
        </w:rPr>
        <w:t>, 2021</w:t>
      </w:r>
    </w:p>
    <w:p w:rsidR="00FA09E5" w:rsidRPr="006B29E2" w:rsidP="00FA09E5" w14:paraId="7CA2E583" w14:textId="77777777">
      <w:pPr>
        <w:tabs>
          <w:tab w:val="left" w:pos="5900"/>
        </w:tabs>
        <w:rPr>
          <w:szCs w:val="22"/>
        </w:rPr>
      </w:pPr>
      <w:r w:rsidRPr="006B29E2">
        <w:rPr>
          <w:szCs w:val="22"/>
        </w:rPr>
        <w:tab/>
      </w:r>
    </w:p>
    <w:p w:rsidR="00FA09E5" w:rsidP="00FA09E5" w14:paraId="104BCA41" w14:textId="77777777">
      <w:pPr>
        <w:autoSpaceDE w:val="0"/>
        <w:autoSpaceDN w:val="0"/>
        <w:adjustRightInd w:val="0"/>
        <w:jc w:val="center"/>
        <w:rPr>
          <w:b/>
          <w:bCs/>
          <w:szCs w:val="22"/>
        </w:rPr>
      </w:pPr>
      <w:bookmarkStart w:id="1" w:name="_Hlk519509475"/>
      <w:bookmarkStart w:id="2" w:name="_Hlk502044717"/>
      <w:bookmarkStart w:id="3" w:name="_Hlk516578398"/>
      <w:r w:rsidRPr="009F1D82">
        <w:rPr>
          <w:b/>
          <w:bCs/>
          <w:szCs w:val="22"/>
        </w:rPr>
        <w:t>APPLICATION</w:t>
      </w:r>
      <w:r>
        <w:rPr>
          <w:b/>
          <w:bCs/>
          <w:szCs w:val="22"/>
        </w:rPr>
        <w:t>S</w:t>
      </w:r>
      <w:r w:rsidRPr="009F1D82">
        <w:rPr>
          <w:b/>
          <w:bCs/>
          <w:szCs w:val="22"/>
        </w:rPr>
        <w:t xml:space="preserve"> FILED FOR THE TRANSFER OF </w:t>
      </w:r>
      <w:r>
        <w:rPr>
          <w:b/>
          <w:bCs/>
          <w:szCs w:val="22"/>
        </w:rPr>
        <w:t xml:space="preserve">CONTROL </w:t>
      </w:r>
      <w:r w:rsidRPr="009F1D82">
        <w:rPr>
          <w:b/>
          <w:bCs/>
          <w:szCs w:val="22"/>
        </w:rPr>
        <w:t>OF</w:t>
      </w:r>
      <w:bookmarkEnd w:id="1"/>
      <w:bookmarkEnd w:id="2"/>
      <w:bookmarkEnd w:id="3"/>
    </w:p>
    <w:p w:rsidR="00A45A77" w:rsidP="00FA09E5" w14:paraId="6C206293" w14:textId="77777777">
      <w:pPr>
        <w:autoSpaceDE w:val="0"/>
        <w:autoSpaceDN w:val="0"/>
        <w:adjustRightInd w:val="0"/>
        <w:jc w:val="center"/>
        <w:rPr>
          <w:b/>
          <w:bCs/>
          <w:szCs w:val="22"/>
        </w:rPr>
      </w:pPr>
      <w:r>
        <w:rPr>
          <w:b/>
          <w:bCs/>
          <w:szCs w:val="22"/>
        </w:rPr>
        <w:t xml:space="preserve">CERTAIN SUBSIDIARIES OF LUMEN TECHNOLOGIES, INC. </w:t>
      </w:r>
    </w:p>
    <w:p w:rsidR="00FA09E5" w:rsidP="00FA09E5" w14:paraId="3D19A599" w14:textId="46F62619">
      <w:pPr>
        <w:autoSpaceDE w:val="0"/>
        <w:autoSpaceDN w:val="0"/>
        <w:adjustRightInd w:val="0"/>
        <w:jc w:val="center"/>
        <w:rPr>
          <w:b/>
          <w:bCs/>
          <w:szCs w:val="22"/>
        </w:rPr>
      </w:pPr>
      <w:r>
        <w:rPr>
          <w:b/>
          <w:bCs/>
          <w:szCs w:val="22"/>
        </w:rPr>
        <w:t xml:space="preserve">(FORMERLY KNOWN AS CENTURYLINK) TO APOLLO </w:t>
      </w:r>
    </w:p>
    <w:p w:rsidR="00FA09E5" w:rsidP="00FA09E5" w14:paraId="1BF2A458" w14:textId="77777777">
      <w:pPr>
        <w:autoSpaceDE w:val="0"/>
        <w:autoSpaceDN w:val="0"/>
        <w:adjustRightInd w:val="0"/>
        <w:rPr>
          <w:b/>
          <w:bCs/>
          <w:szCs w:val="22"/>
        </w:rPr>
      </w:pPr>
    </w:p>
    <w:p w:rsidR="00FA09E5" w:rsidRPr="006B29E2" w:rsidP="00FA09E5" w14:paraId="46977B91" w14:textId="77777777">
      <w:pPr>
        <w:autoSpaceDE w:val="0"/>
        <w:autoSpaceDN w:val="0"/>
        <w:adjustRightInd w:val="0"/>
        <w:jc w:val="center"/>
        <w:rPr>
          <w:b/>
          <w:szCs w:val="22"/>
        </w:rPr>
      </w:pPr>
      <w:r w:rsidRPr="006B29E2">
        <w:rPr>
          <w:b/>
          <w:szCs w:val="22"/>
        </w:rPr>
        <w:t>PLEADING CYCLE ESTABLISHED</w:t>
      </w:r>
    </w:p>
    <w:p w:rsidR="00FA09E5" w:rsidRPr="006B29E2" w:rsidP="00FA09E5" w14:paraId="3C6C3AF9" w14:textId="77777777">
      <w:pPr>
        <w:jc w:val="center"/>
        <w:rPr>
          <w:b/>
          <w:szCs w:val="22"/>
        </w:rPr>
      </w:pPr>
    </w:p>
    <w:p w:rsidR="00FA09E5" w:rsidP="00FA09E5" w14:paraId="1F1F3F5F" w14:textId="08A43394">
      <w:pPr>
        <w:jc w:val="center"/>
        <w:rPr>
          <w:b/>
          <w:szCs w:val="22"/>
        </w:rPr>
      </w:pPr>
      <w:r w:rsidRPr="00377CC1">
        <w:rPr>
          <w:b/>
          <w:szCs w:val="22"/>
        </w:rPr>
        <w:t xml:space="preserve">WC Docket No. </w:t>
      </w:r>
      <w:r>
        <w:rPr>
          <w:b/>
          <w:szCs w:val="22"/>
        </w:rPr>
        <w:t>21</w:t>
      </w:r>
      <w:r w:rsidRPr="00377CC1">
        <w:rPr>
          <w:b/>
          <w:szCs w:val="22"/>
        </w:rPr>
        <w:t>-</w:t>
      </w:r>
      <w:r>
        <w:rPr>
          <w:b/>
          <w:szCs w:val="22"/>
        </w:rPr>
        <w:t>350</w:t>
      </w:r>
    </w:p>
    <w:p w:rsidR="002F78A4" w:rsidP="00FA09E5" w14:paraId="3D456F07" w14:textId="2BC124A1">
      <w:pPr>
        <w:jc w:val="center"/>
        <w:rPr>
          <w:b/>
          <w:szCs w:val="22"/>
        </w:rPr>
      </w:pPr>
    </w:p>
    <w:p w:rsidR="00FA09E5" w:rsidRPr="006B29E2" w:rsidP="00DC28C8" w14:paraId="0CCEDBFB" w14:textId="77777777">
      <w:pPr>
        <w:rPr>
          <w:szCs w:val="22"/>
        </w:rPr>
      </w:pPr>
    </w:p>
    <w:p w:rsidR="002F78A4" w:rsidP="00FA09E5" w14:paraId="1918B866" w14:textId="6D2E2BCC">
      <w:pPr>
        <w:pStyle w:val="NoSpacing"/>
        <w:rPr>
          <w:b/>
          <w:szCs w:val="22"/>
        </w:rPr>
      </w:pPr>
      <w:r>
        <w:rPr>
          <w:b/>
          <w:szCs w:val="22"/>
        </w:rPr>
        <w:t xml:space="preserve">Comments/Petitions Due: </w:t>
      </w:r>
      <w:r w:rsidR="00DC28C8">
        <w:rPr>
          <w:b/>
          <w:szCs w:val="22"/>
        </w:rPr>
        <w:t>January</w:t>
      </w:r>
      <w:r>
        <w:rPr>
          <w:b/>
          <w:szCs w:val="22"/>
        </w:rPr>
        <w:t xml:space="preserve"> </w:t>
      </w:r>
      <w:r w:rsidR="00DC28C8">
        <w:rPr>
          <w:b/>
          <w:szCs w:val="22"/>
        </w:rPr>
        <w:t>18</w:t>
      </w:r>
      <w:r>
        <w:rPr>
          <w:b/>
          <w:szCs w:val="22"/>
        </w:rPr>
        <w:t>, 202</w:t>
      </w:r>
      <w:r w:rsidR="00DC28C8">
        <w:rPr>
          <w:b/>
          <w:szCs w:val="22"/>
        </w:rPr>
        <w:t>2</w:t>
      </w:r>
    </w:p>
    <w:p w:rsidR="002F78A4" w:rsidRPr="002F78A4" w:rsidP="00FA09E5" w14:paraId="1D01268E" w14:textId="03F4C3C1">
      <w:pPr>
        <w:pStyle w:val="NoSpacing"/>
        <w:rPr>
          <w:b/>
          <w:szCs w:val="22"/>
        </w:rPr>
      </w:pPr>
      <w:r>
        <w:rPr>
          <w:b/>
          <w:szCs w:val="22"/>
        </w:rPr>
        <w:t xml:space="preserve">Reply Comments/Oppositions to Petitions Due: </w:t>
      </w:r>
      <w:r w:rsidR="00DC28C8">
        <w:rPr>
          <w:b/>
          <w:szCs w:val="22"/>
        </w:rPr>
        <w:t>February 2, 2022</w:t>
      </w:r>
    </w:p>
    <w:p w:rsidR="00FA09E5" w:rsidRPr="006B29E2" w:rsidP="00FA09E5" w14:paraId="79599AF2" w14:textId="77777777">
      <w:pPr>
        <w:autoSpaceDE w:val="0"/>
        <w:autoSpaceDN w:val="0"/>
        <w:adjustRightInd w:val="0"/>
        <w:rPr>
          <w:rFonts w:ascii="TimesNewRomanPSMT" w:hAnsi="TimesNewRomanPSMT" w:cs="TimesNewRomanPSMT"/>
          <w:szCs w:val="22"/>
        </w:rPr>
      </w:pPr>
    </w:p>
    <w:p w:rsidR="00100CE9" w:rsidP="00FA09E5" w14:paraId="3B4A41F1" w14:textId="30200947">
      <w:pPr>
        <w:autoSpaceDE w:val="0"/>
        <w:autoSpaceDN w:val="0"/>
        <w:adjustRightInd w:val="0"/>
        <w:ind w:firstLine="720"/>
        <w:rPr>
          <w:szCs w:val="22"/>
        </w:rPr>
      </w:pPr>
      <w:r w:rsidRPr="00FB3EDD">
        <w:rPr>
          <w:szCs w:val="22"/>
        </w:rPr>
        <w:t>By this Public Notice, the Wireline Competition</w:t>
      </w:r>
      <w:r>
        <w:rPr>
          <w:szCs w:val="22"/>
        </w:rPr>
        <w:t xml:space="preserve"> </w:t>
      </w:r>
      <w:r w:rsidRPr="00FB3EDD">
        <w:rPr>
          <w:szCs w:val="22"/>
        </w:rPr>
        <w:t>Bureau</w:t>
      </w:r>
      <w:r>
        <w:rPr>
          <w:szCs w:val="22"/>
        </w:rPr>
        <w:t xml:space="preserve">, International Bureau, </w:t>
      </w:r>
      <w:r w:rsidRPr="001212A4">
        <w:rPr>
          <w:szCs w:val="22"/>
        </w:rPr>
        <w:t xml:space="preserve">and Wireless </w:t>
      </w:r>
      <w:r>
        <w:rPr>
          <w:szCs w:val="22"/>
        </w:rPr>
        <w:t xml:space="preserve">Telecommunications </w:t>
      </w:r>
      <w:r w:rsidRPr="001212A4">
        <w:rPr>
          <w:szCs w:val="22"/>
        </w:rPr>
        <w:t>Bureau</w:t>
      </w:r>
      <w:r w:rsidRPr="00FB3EDD">
        <w:rPr>
          <w:szCs w:val="22"/>
        </w:rPr>
        <w:t xml:space="preserve"> </w:t>
      </w:r>
      <w:r>
        <w:rPr>
          <w:szCs w:val="22"/>
        </w:rPr>
        <w:t xml:space="preserve">(Bureaus) </w:t>
      </w:r>
      <w:r w:rsidRPr="00FB3EDD">
        <w:rPr>
          <w:szCs w:val="22"/>
        </w:rPr>
        <w:t>seek comment from interested parties on</w:t>
      </w:r>
      <w:r>
        <w:rPr>
          <w:szCs w:val="22"/>
        </w:rPr>
        <w:t xml:space="preserve"> </w:t>
      </w:r>
      <w:r w:rsidRPr="00FB3EDD">
        <w:rPr>
          <w:szCs w:val="22"/>
        </w:rPr>
        <w:t>application</w:t>
      </w:r>
      <w:r>
        <w:rPr>
          <w:szCs w:val="22"/>
        </w:rPr>
        <w:t>s</w:t>
      </w:r>
      <w:r w:rsidRPr="00FB3EDD">
        <w:rPr>
          <w:szCs w:val="22"/>
        </w:rPr>
        <w:t xml:space="preserve"> filed </w:t>
      </w:r>
      <w:r w:rsidRPr="007656E1">
        <w:rPr>
          <w:snapToGrid w:val="0"/>
          <w:kern w:val="28"/>
          <w:szCs w:val="22"/>
        </w:rPr>
        <w:t>pursuant to sections 214 and 310(d) of the Communications Act of 1934, as amended (Act),</w:t>
      </w:r>
      <w:r>
        <w:rPr>
          <w:rStyle w:val="FootnoteReference"/>
          <w:snapToGrid w:val="0"/>
          <w:kern w:val="28"/>
          <w:szCs w:val="22"/>
        </w:rPr>
        <w:footnoteReference w:id="3"/>
      </w:r>
      <w:r w:rsidRPr="007656E1">
        <w:rPr>
          <w:snapToGrid w:val="0"/>
          <w:kern w:val="28"/>
          <w:szCs w:val="22"/>
        </w:rPr>
        <w:t xml:space="preserve"> and sections </w:t>
      </w:r>
      <w:r>
        <w:rPr>
          <w:snapToGrid w:val="0"/>
          <w:kern w:val="28"/>
          <w:szCs w:val="22"/>
        </w:rPr>
        <w:t xml:space="preserve">1.948, </w:t>
      </w:r>
      <w:r w:rsidRPr="007656E1">
        <w:rPr>
          <w:snapToGrid w:val="0"/>
          <w:kern w:val="28"/>
          <w:szCs w:val="22"/>
        </w:rPr>
        <w:t>63.03-04, 63.18, and 63.24 of the Commission’s rules</w:t>
      </w:r>
      <w:r>
        <w:rPr>
          <w:snapToGrid w:val="0"/>
          <w:kern w:val="28"/>
          <w:szCs w:val="22"/>
          <w:vertAlign w:val="superscript"/>
        </w:rPr>
        <w:footnoteReference w:id="4"/>
      </w:r>
      <w:r>
        <w:rPr>
          <w:snapToGrid w:val="0"/>
          <w:kern w:val="28"/>
          <w:szCs w:val="22"/>
        </w:rPr>
        <w:t xml:space="preserve"> </w:t>
      </w:r>
      <w:r>
        <w:rPr>
          <w:color w:val="231F20"/>
          <w:szCs w:val="22"/>
        </w:rPr>
        <w:t xml:space="preserve">to transfer </w:t>
      </w:r>
      <w:r w:rsidR="00D0052B">
        <w:rPr>
          <w:color w:val="231F20"/>
          <w:szCs w:val="22"/>
        </w:rPr>
        <w:t xml:space="preserve">control of </w:t>
      </w:r>
      <w:r>
        <w:rPr>
          <w:color w:val="231F20"/>
          <w:szCs w:val="22"/>
        </w:rPr>
        <w:t xml:space="preserve">domestic </w:t>
      </w:r>
      <w:r w:rsidR="00D0052B">
        <w:rPr>
          <w:color w:val="231F20"/>
          <w:szCs w:val="22"/>
        </w:rPr>
        <w:t xml:space="preserve">and international </w:t>
      </w:r>
      <w:r>
        <w:rPr>
          <w:color w:val="231F20"/>
          <w:szCs w:val="22"/>
        </w:rPr>
        <w:t xml:space="preserve">section 214 authorizations and wireless licenses from Lumen Technologies, Inc. </w:t>
      </w:r>
      <w:r w:rsidR="00713024">
        <w:rPr>
          <w:color w:val="231F20"/>
          <w:szCs w:val="22"/>
        </w:rPr>
        <w:t>(Lumen)</w:t>
      </w:r>
      <w:r>
        <w:rPr>
          <w:color w:val="231F20"/>
          <w:szCs w:val="22"/>
        </w:rPr>
        <w:t xml:space="preserve"> to </w:t>
      </w:r>
      <w:r w:rsidR="001B509C">
        <w:rPr>
          <w:color w:val="231F20"/>
          <w:szCs w:val="22"/>
        </w:rPr>
        <w:t>Connect Holding</w:t>
      </w:r>
      <w:r>
        <w:rPr>
          <w:color w:val="231F20"/>
          <w:szCs w:val="22"/>
        </w:rPr>
        <w:t xml:space="preserve"> </w:t>
      </w:r>
      <w:r w:rsidR="00F30667">
        <w:rPr>
          <w:color w:val="231F20"/>
          <w:szCs w:val="22"/>
        </w:rPr>
        <w:t>I</w:t>
      </w:r>
      <w:r w:rsidR="00C2052F">
        <w:rPr>
          <w:color w:val="231F20"/>
          <w:szCs w:val="22"/>
        </w:rPr>
        <w:t>I LLC</w:t>
      </w:r>
      <w:r w:rsidR="005F0E29">
        <w:rPr>
          <w:color w:val="231F20"/>
          <w:szCs w:val="22"/>
        </w:rPr>
        <w:t xml:space="preserve"> (</w:t>
      </w:r>
      <w:bookmarkStart w:id="4" w:name="_Hlk90463992"/>
      <w:r w:rsidR="005F0E29">
        <w:rPr>
          <w:color w:val="231F20"/>
          <w:szCs w:val="22"/>
        </w:rPr>
        <w:t>Connect Holding II</w:t>
      </w:r>
      <w:bookmarkEnd w:id="4"/>
      <w:r w:rsidR="005F0E29">
        <w:rPr>
          <w:color w:val="231F20"/>
          <w:szCs w:val="22"/>
        </w:rPr>
        <w:t>)</w:t>
      </w:r>
      <w:r w:rsidR="00274190">
        <w:rPr>
          <w:color w:val="231F20"/>
          <w:szCs w:val="22"/>
        </w:rPr>
        <w:t>.</w:t>
      </w:r>
      <w:r w:rsidRPr="00274190" w:rsidR="00274190">
        <w:rPr>
          <w:rStyle w:val="FootnoteReference"/>
          <w:color w:val="231F20"/>
          <w:szCs w:val="22"/>
        </w:rPr>
        <w:t xml:space="preserve"> </w:t>
      </w:r>
      <w:r>
        <w:rPr>
          <w:rStyle w:val="FootnoteReference"/>
          <w:color w:val="231F20"/>
          <w:szCs w:val="22"/>
        </w:rPr>
        <w:footnoteReference w:id="5"/>
      </w:r>
      <w:r w:rsidR="00274190">
        <w:rPr>
          <w:color w:val="231F20"/>
          <w:szCs w:val="22"/>
        </w:rPr>
        <w:t xml:space="preserve">  Connect Holding II</w:t>
      </w:r>
      <w:r w:rsidR="00C2052F">
        <w:rPr>
          <w:color w:val="231F20"/>
          <w:szCs w:val="22"/>
        </w:rPr>
        <w:t xml:space="preserve"> </w:t>
      </w:r>
      <w:r w:rsidR="008E1CA5">
        <w:rPr>
          <w:color w:val="231F20"/>
          <w:szCs w:val="22"/>
        </w:rPr>
        <w:t>will be controlled by</w:t>
      </w:r>
      <w:r w:rsidR="00C2052F">
        <w:rPr>
          <w:color w:val="231F20"/>
          <w:szCs w:val="22"/>
        </w:rPr>
        <w:t xml:space="preserve"> </w:t>
      </w:r>
      <w:r w:rsidR="0036117A">
        <w:rPr>
          <w:color w:val="231F20"/>
          <w:szCs w:val="22"/>
        </w:rPr>
        <w:t xml:space="preserve">AP </w:t>
      </w:r>
      <w:r w:rsidR="00227A34">
        <w:rPr>
          <w:color w:val="231F20"/>
          <w:szCs w:val="22"/>
        </w:rPr>
        <w:t>(Connect</w:t>
      </w:r>
      <w:r w:rsidR="004F2BF3">
        <w:rPr>
          <w:color w:val="231F20"/>
          <w:szCs w:val="22"/>
        </w:rPr>
        <w:t>)</w:t>
      </w:r>
      <w:r w:rsidR="00227A34">
        <w:rPr>
          <w:color w:val="231F20"/>
          <w:szCs w:val="22"/>
        </w:rPr>
        <w:t xml:space="preserve"> </w:t>
      </w:r>
      <w:r w:rsidR="00227A34">
        <w:rPr>
          <w:color w:val="231F20"/>
          <w:szCs w:val="22"/>
        </w:rPr>
        <w:t>Vot</w:t>
      </w:r>
      <w:r w:rsidR="00806EEA">
        <w:rPr>
          <w:color w:val="231F20"/>
          <w:szCs w:val="22"/>
        </w:rPr>
        <w:t>e</w:t>
      </w:r>
      <w:r w:rsidR="00227A34">
        <w:rPr>
          <w:color w:val="231F20"/>
          <w:szCs w:val="22"/>
        </w:rPr>
        <w:t>Co</w:t>
      </w:r>
      <w:r w:rsidR="00806EEA">
        <w:rPr>
          <w:color w:val="231F20"/>
          <w:szCs w:val="22"/>
        </w:rPr>
        <w:t xml:space="preserve">, </w:t>
      </w:r>
      <w:r w:rsidR="00081AAB">
        <w:rPr>
          <w:color w:val="231F20"/>
          <w:szCs w:val="22"/>
        </w:rPr>
        <w:t>LLC</w:t>
      </w:r>
      <w:r w:rsidR="0005058F">
        <w:rPr>
          <w:color w:val="231F20"/>
          <w:szCs w:val="22"/>
        </w:rPr>
        <w:t xml:space="preserve"> </w:t>
      </w:r>
      <w:r w:rsidRPr="009867BB" w:rsidR="0005058F">
        <w:rPr>
          <w:szCs w:val="22"/>
        </w:rPr>
        <w:t>(</w:t>
      </w:r>
      <w:r w:rsidRPr="009867BB" w:rsidR="0005058F">
        <w:rPr>
          <w:szCs w:val="22"/>
        </w:rPr>
        <w:t>VoteCo</w:t>
      </w:r>
      <w:r w:rsidRPr="009867BB" w:rsidR="0005058F">
        <w:rPr>
          <w:szCs w:val="22"/>
        </w:rPr>
        <w:t>)</w:t>
      </w:r>
      <w:r>
        <w:rPr>
          <w:color w:val="231F20"/>
          <w:szCs w:val="22"/>
        </w:rPr>
        <w:t>, an</w:t>
      </w:r>
      <w:r w:rsidR="00493DAC">
        <w:rPr>
          <w:color w:val="231F20"/>
          <w:szCs w:val="22"/>
        </w:rPr>
        <w:t>d</w:t>
      </w:r>
      <w:r>
        <w:rPr>
          <w:color w:val="231F20"/>
          <w:szCs w:val="22"/>
        </w:rPr>
        <w:t xml:space="preserve"> </w:t>
      </w:r>
      <w:r w:rsidR="003F34F3">
        <w:rPr>
          <w:color w:val="231F20"/>
          <w:szCs w:val="22"/>
        </w:rPr>
        <w:t>other</w:t>
      </w:r>
      <w:r w:rsidR="00954242">
        <w:rPr>
          <w:color w:val="231F20"/>
          <w:szCs w:val="22"/>
        </w:rPr>
        <w:t xml:space="preserve"> </w:t>
      </w:r>
      <w:r>
        <w:rPr>
          <w:color w:val="231F20"/>
          <w:szCs w:val="22"/>
        </w:rPr>
        <w:t>investment fund</w:t>
      </w:r>
      <w:r w:rsidR="00493DAC">
        <w:rPr>
          <w:color w:val="231F20"/>
          <w:szCs w:val="22"/>
        </w:rPr>
        <w:t>s</w:t>
      </w:r>
      <w:r w:rsidRPr="00513178">
        <w:rPr>
          <w:rFonts w:ascii="TimesNewRomanPSMT" w:hAnsi="TimesNewRomanPSMT"/>
        </w:rPr>
        <w:t xml:space="preserve"> affiliated with </w:t>
      </w:r>
      <w:r>
        <w:rPr>
          <w:szCs w:val="22"/>
        </w:rPr>
        <w:t>Apollo Global Management, Inc. (AGM</w:t>
      </w:r>
      <w:r w:rsidR="00B41382">
        <w:rPr>
          <w:szCs w:val="22"/>
        </w:rPr>
        <w:t>)</w:t>
      </w:r>
      <w:r>
        <w:rPr>
          <w:szCs w:val="22"/>
        </w:rPr>
        <w:t xml:space="preserve"> </w:t>
      </w:r>
      <w:r w:rsidR="00395A33">
        <w:rPr>
          <w:szCs w:val="22"/>
        </w:rPr>
        <w:t>(</w:t>
      </w:r>
      <w:r>
        <w:rPr>
          <w:szCs w:val="22"/>
        </w:rPr>
        <w:t>collectively, Apollo</w:t>
      </w:r>
      <w:r w:rsidR="001F785F">
        <w:rPr>
          <w:szCs w:val="22"/>
        </w:rPr>
        <w:t>)</w:t>
      </w:r>
      <w:r>
        <w:rPr>
          <w:szCs w:val="22"/>
        </w:rPr>
        <w:t xml:space="preserve">, and </w:t>
      </w:r>
      <w:r w:rsidR="001F785F">
        <w:rPr>
          <w:szCs w:val="22"/>
        </w:rPr>
        <w:t xml:space="preserve">is the </w:t>
      </w:r>
      <w:r w:rsidR="00D061E2">
        <w:rPr>
          <w:szCs w:val="22"/>
        </w:rPr>
        <w:t xml:space="preserve">direct subsidiary of </w:t>
      </w:r>
      <w:r w:rsidR="00BB01D5">
        <w:rPr>
          <w:szCs w:val="22"/>
        </w:rPr>
        <w:t>Connect Holding, LLC</w:t>
      </w:r>
      <w:r w:rsidR="002C3303">
        <w:rPr>
          <w:szCs w:val="22"/>
        </w:rPr>
        <w:t xml:space="preserve"> (Connect Holding) </w:t>
      </w:r>
      <w:r w:rsidR="00564CD7">
        <w:rPr>
          <w:szCs w:val="22"/>
        </w:rPr>
        <w:t>(Connect Holding</w:t>
      </w:r>
      <w:r w:rsidR="003D02D7">
        <w:rPr>
          <w:szCs w:val="22"/>
        </w:rPr>
        <w:t xml:space="preserve">, </w:t>
      </w:r>
      <w:r>
        <w:rPr>
          <w:szCs w:val="22"/>
        </w:rPr>
        <w:t xml:space="preserve">together with Lumen, the </w:t>
      </w:r>
      <w:r>
        <w:rPr>
          <w:szCs w:val="22"/>
        </w:rPr>
        <w:t>Applicants)</w:t>
      </w:r>
      <w:r w:rsidRPr="00513178">
        <w:rPr>
          <w:rFonts w:ascii="TimesNewRomanPSMT" w:hAnsi="TimesNewRomanPSMT"/>
        </w:rPr>
        <w:t>.</w:t>
      </w:r>
      <w:r>
        <w:rPr>
          <w:rStyle w:val="FootnoteReference"/>
          <w:rFonts w:ascii="TimesNewRomanPSMT" w:hAnsi="TimesNewRomanPSMT"/>
        </w:rPr>
        <w:footnoteReference w:id="6"/>
      </w:r>
      <w:r>
        <w:rPr>
          <w:snapToGrid w:val="0"/>
          <w:color w:val="000000"/>
          <w:kern w:val="28"/>
          <w:szCs w:val="22"/>
        </w:rPr>
        <w:t xml:space="preserve"> </w:t>
      </w:r>
      <w:r>
        <w:rPr>
          <w:szCs w:val="22"/>
        </w:rPr>
        <w:t xml:space="preserve"> </w:t>
      </w:r>
      <w:r w:rsidR="00642824">
        <w:rPr>
          <w:szCs w:val="22"/>
        </w:rPr>
        <w:t>Connect Holding</w:t>
      </w:r>
      <w:r w:rsidR="00C10E1B">
        <w:rPr>
          <w:szCs w:val="22"/>
        </w:rPr>
        <w:t xml:space="preserve">, </w:t>
      </w:r>
      <w:r w:rsidR="003D02D7">
        <w:rPr>
          <w:szCs w:val="22"/>
        </w:rPr>
        <w:t xml:space="preserve">as </w:t>
      </w:r>
      <w:r w:rsidR="00D47E29">
        <w:rPr>
          <w:szCs w:val="22"/>
        </w:rPr>
        <w:t xml:space="preserve">the direct </w:t>
      </w:r>
      <w:r w:rsidR="00FB6304">
        <w:rPr>
          <w:szCs w:val="22"/>
        </w:rPr>
        <w:t xml:space="preserve">parent of </w:t>
      </w:r>
      <w:r w:rsidR="00544DD0">
        <w:rPr>
          <w:color w:val="231F20"/>
          <w:szCs w:val="22"/>
        </w:rPr>
        <w:t>Connect Holding II</w:t>
      </w:r>
      <w:r w:rsidR="006E295E">
        <w:rPr>
          <w:color w:val="231F20"/>
          <w:szCs w:val="22"/>
        </w:rPr>
        <w:t>,</w:t>
      </w:r>
      <w:r w:rsidR="00544DD0">
        <w:rPr>
          <w:color w:val="231F20"/>
          <w:szCs w:val="22"/>
        </w:rPr>
        <w:t xml:space="preserve"> </w:t>
      </w:r>
      <w:r w:rsidRPr="0034200B" w:rsidR="0034200B">
        <w:rPr>
          <w:szCs w:val="22"/>
        </w:rPr>
        <w:t xml:space="preserve">also filed a petition </w:t>
      </w:r>
      <w:r w:rsidR="00787E34">
        <w:rPr>
          <w:szCs w:val="22"/>
        </w:rPr>
        <w:t>purs</w:t>
      </w:r>
      <w:r w:rsidR="00B64358">
        <w:rPr>
          <w:szCs w:val="22"/>
        </w:rPr>
        <w:t xml:space="preserve">uant to </w:t>
      </w:r>
      <w:r w:rsidRPr="0034200B" w:rsidR="00B64358">
        <w:rPr>
          <w:szCs w:val="22"/>
        </w:rPr>
        <w:t xml:space="preserve">section 1.5000(a)(1) of the Commission’s rules </w:t>
      </w:r>
      <w:r w:rsidR="008B67A9">
        <w:rPr>
          <w:szCs w:val="22"/>
        </w:rPr>
        <w:t xml:space="preserve">requesting a </w:t>
      </w:r>
      <w:r w:rsidRPr="0034200B" w:rsidR="0034200B">
        <w:rPr>
          <w:szCs w:val="22"/>
        </w:rPr>
        <w:t>declaratory ruling to permit foreign investment above the 25% benchmarks in section 310(b)(4) of the Act.</w:t>
      </w:r>
      <w:r>
        <w:rPr>
          <w:snapToGrid w:val="0"/>
          <w:kern w:val="28"/>
          <w:szCs w:val="22"/>
          <w:vertAlign w:val="superscript"/>
        </w:rPr>
        <w:footnoteReference w:id="7"/>
      </w:r>
    </w:p>
    <w:p w:rsidR="00F52F5F" w:rsidP="00FA09E5" w14:paraId="3AAC6153" w14:textId="77777777">
      <w:pPr>
        <w:autoSpaceDE w:val="0"/>
        <w:autoSpaceDN w:val="0"/>
        <w:adjustRightInd w:val="0"/>
        <w:ind w:firstLine="720"/>
        <w:rPr>
          <w:szCs w:val="22"/>
        </w:rPr>
      </w:pPr>
    </w:p>
    <w:p w:rsidR="00FA09E5" w:rsidP="00FA09E5" w14:paraId="7D9A2E65" w14:textId="745BB64E">
      <w:pPr>
        <w:autoSpaceDE w:val="0"/>
        <w:autoSpaceDN w:val="0"/>
        <w:adjustRightInd w:val="0"/>
        <w:ind w:firstLine="720"/>
        <w:rPr>
          <w:szCs w:val="22"/>
        </w:rPr>
      </w:pPr>
      <w:r>
        <w:rPr>
          <w:szCs w:val="22"/>
        </w:rPr>
        <w:t xml:space="preserve">Under the terms of the proposed transaction, </w:t>
      </w:r>
      <w:r w:rsidR="00C03147">
        <w:rPr>
          <w:szCs w:val="22"/>
        </w:rPr>
        <w:t>Connect H</w:t>
      </w:r>
      <w:r w:rsidR="00F21119">
        <w:rPr>
          <w:szCs w:val="22"/>
        </w:rPr>
        <w:t xml:space="preserve">olding, which is ultimately controlled by </w:t>
      </w:r>
      <w:r>
        <w:rPr>
          <w:szCs w:val="22"/>
        </w:rPr>
        <w:t>Apollo</w:t>
      </w:r>
      <w:r w:rsidR="003204B4">
        <w:rPr>
          <w:szCs w:val="22"/>
        </w:rPr>
        <w:t xml:space="preserve">, </w:t>
      </w:r>
      <w:r>
        <w:rPr>
          <w:szCs w:val="22"/>
        </w:rPr>
        <w:t>would acquire Lumen’s incumbent local exchange carrier (LEC) subsidiaries and their assets in 20 states (Acquired Incumbent LECs).</w:t>
      </w:r>
      <w:r>
        <w:rPr>
          <w:rStyle w:val="FootnoteReference"/>
          <w:szCs w:val="22"/>
        </w:rPr>
        <w:footnoteReference w:id="8"/>
      </w:r>
      <w:r>
        <w:rPr>
          <w:szCs w:val="22"/>
        </w:rPr>
        <w:t xml:space="preserve">  </w:t>
      </w:r>
      <w:r w:rsidR="00505324">
        <w:rPr>
          <w:szCs w:val="22"/>
        </w:rPr>
        <w:t>Connect Holding</w:t>
      </w:r>
      <w:r>
        <w:rPr>
          <w:szCs w:val="22"/>
        </w:rPr>
        <w:t xml:space="preserve"> would also acquire control of </w:t>
      </w:r>
      <w:r w:rsidR="00C3161A">
        <w:rPr>
          <w:szCs w:val="22"/>
        </w:rPr>
        <w:t>an interexchange carrier,</w:t>
      </w:r>
      <w:r>
        <w:rPr>
          <w:szCs w:val="22"/>
        </w:rPr>
        <w:t xml:space="preserve"> CenturyTel Broadband Services, LLC (CTBS and, together with the Acquired Incumbent LECs, the “Acquired Companies”).</w:t>
      </w:r>
      <w:r>
        <w:rPr>
          <w:rStyle w:val="FootnoteReference"/>
          <w:szCs w:val="22"/>
        </w:rPr>
        <w:footnoteReference w:id="9"/>
      </w:r>
    </w:p>
    <w:p w:rsidR="00FA09E5" w:rsidP="00FA09E5" w14:paraId="1EF2DBE5" w14:textId="77777777">
      <w:pPr>
        <w:autoSpaceDE w:val="0"/>
        <w:autoSpaceDN w:val="0"/>
        <w:adjustRightInd w:val="0"/>
        <w:rPr>
          <w:szCs w:val="22"/>
        </w:rPr>
      </w:pPr>
    </w:p>
    <w:p w:rsidR="00FA09E5" w:rsidRPr="00513178" w:rsidP="00FA09E5" w14:paraId="65EA95C3" w14:textId="75A27805">
      <w:pPr>
        <w:autoSpaceDE w:val="0"/>
        <w:autoSpaceDN w:val="0"/>
        <w:adjustRightInd w:val="0"/>
        <w:ind w:firstLine="720"/>
        <w:rPr>
          <w:rFonts w:ascii="TimesNewRomanPSMT" w:hAnsi="TimesNewRomanPSMT"/>
          <w:sz w:val="24"/>
          <w:szCs w:val="24"/>
        </w:rPr>
      </w:pPr>
      <w:r>
        <w:rPr>
          <w:szCs w:val="22"/>
        </w:rPr>
        <w:t xml:space="preserve">Lumen (formerly known as CenturyLink, Inc.), a publicly traded Louisiana corporation, </w:t>
      </w:r>
      <w:r w:rsidRPr="00EE07FF">
        <w:rPr>
          <w:rFonts w:ascii="TimesNewRomanPSMT" w:hAnsi="TimesNewRomanPSMT"/>
        </w:rPr>
        <w:t xml:space="preserve">provides broadband and communications </w:t>
      </w:r>
      <w:r w:rsidRPr="008B2FD6">
        <w:rPr>
          <w:color w:val="231F20"/>
          <w:szCs w:val="22"/>
        </w:rPr>
        <w:t>services</w:t>
      </w:r>
      <w:r w:rsidRPr="00EE07FF">
        <w:rPr>
          <w:rFonts w:ascii="TimesNewRomanPSMT" w:hAnsi="TimesNewRomanPSMT"/>
        </w:rPr>
        <w:t xml:space="preserve"> to residential and enterprise customers, </w:t>
      </w:r>
      <w:r>
        <w:rPr>
          <w:rFonts w:ascii="TimesNewRomanPSMT" w:hAnsi="TimesNewRomanPSMT"/>
        </w:rPr>
        <w:t>including</w:t>
      </w:r>
      <w:r w:rsidRPr="00EE07FF">
        <w:rPr>
          <w:rFonts w:ascii="TimesNewRomanPSMT" w:hAnsi="TimesNewRomanPSMT"/>
        </w:rPr>
        <w:t xml:space="preserve"> </w:t>
      </w:r>
      <w:r w:rsidRPr="004E6DD9">
        <w:rPr>
          <w:szCs w:val="22"/>
        </w:rPr>
        <w:t>incumbent</w:t>
      </w:r>
      <w:r>
        <w:rPr>
          <w:rFonts w:ascii="TimesNewRomanPSMT" w:hAnsi="TimesNewRomanPSMT"/>
        </w:rPr>
        <w:t xml:space="preserve"> </w:t>
      </w:r>
      <w:r w:rsidRPr="00EE07FF">
        <w:rPr>
          <w:rFonts w:ascii="TimesNewRomanPSMT" w:hAnsi="TimesNewRomanPSMT"/>
        </w:rPr>
        <w:t>LEC services through its operating subsidiaries in 37 states</w:t>
      </w:r>
      <w:r w:rsidR="00435233">
        <w:rPr>
          <w:rFonts w:ascii="TimesNewRomanPSMT" w:hAnsi="TimesNewRomanPSMT"/>
        </w:rPr>
        <w:t>,</w:t>
      </w:r>
      <w:r>
        <w:rPr>
          <w:rFonts w:ascii="TimesNewRomanPSMT" w:hAnsi="TimesNewRomanPSMT"/>
        </w:rPr>
        <w:t xml:space="preserve"> and as </w:t>
      </w:r>
      <w:r w:rsidRPr="00C24723">
        <w:rPr>
          <w:rFonts w:ascii="TimesNewRomanPSMT" w:hAnsi="TimesNewRomanPSMT"/>
        </w:rPr>
        <w:t xml:space="preserve">a </w:t>
      </w:r>
      <w:r>
        <w:rPr>
          <w:rFonts w:ascii="TimesNewRomanPSMT" w:hAnsi="TimesNewRomanPSMT"/>
        </w:rPr>
        <w:t xml:space="preserve">competitive </w:t>
      </w:r>
      <w:r w:rsidRPr="00C24723">
        <w:rPr>
          <w:rFonts w:ascii="TimesNewRomanPSMT" w:hAnsi="TimesNewRomanPSMT"/>
        </w:rPr>
        <w:t>LEC in all 50 states</w:t>
      </w:r>
      <w:r>
        <w:rPr>
          <w:rFonts w:ascii="TimesNewRomanPSMT" w:hAnsi="TimesNewRomanPSMT"/>
        </w:rPr>
        <w:t>.</w:t>
      </w:r>
      <w:r>
        <w:rPr>
          <w:rStyle w:val="FootnoteReference"/>
          <w:rFonts w:ascii="TimesNewRomanPSMT" w:hAnsi="TimesNewRomanPSMT"/>
        </w:rPr>
        <w:footnoteReference w:id="10"/>
      </w:r>
      <w:r>
        <w:rPr>
          <w:rFonts w:ascii="TimesNewRomanPSMT" w:hAnsi="TimesNewRomanPSMT"/>
        </w:rPr>
        <w:t xml:space="preserve"> </w:t>
      </w:r>
      <w:r w:rsidRPr="00EE07FF">
        <w:rPr>
          <w:rFonts w:ascii="TimesNewRomanPSMT" w:hAnsi="TimesNewRomanPSMT"/>
        </w:rPr>
        <w:t xml:space="preserve"> </w:t>
      </w:r>
      <w:r w:rsidRPr="00C24723">
        <w:rPr>
          <w:rFonts w:ascii="TimesNewRomanPSMT" w:hAnsi="TimesNewRomanPSMT"/>
        </w:rPr>
        <w:t xml:space="preserve">In the 20 states covered by this </w:t>
      </w:r>
      <w:r w:rsidR="00E462F3">
        <w:rPr>
          <w:rFonts w:ascii="TimesNewRomanPSMT" w:hAnsi="TimesNewRomanPSMT"/>
        </w:rPr>
        <w:t>proposed transaction</w:t>
      </w:r>
      <w:r w:rsidRPr="00C24723">
        <w:rPr>
          <w:rFonts w:ascii="TimesNewRomanPSMT" w:hAnsi="TimesNewRomanPSMT"/>
        </w:rPr>
        <w:t>,</w:t>
      </w:r>
      <w:r>
        <w:rPr>
          <w:rStyle w:val="FootnoteReference"/>
          <w:szCs w:val="22"/>
        </w:rPr>
        <w:footnoteReference w:id="11"/>
      </w:r>
      <w:r w:rsidRPr="00C24723">
        <w:rPr>
          <w:rFonts w:ascii="TimesNewRomanPSMT" w:hAnsi="TimesNewRomanPSMT"/>
        </w:rPr>
        <w:t xml:space="preserve"> the Acquired Companies offer broadband service to approximately 6.7 million homes and 600,000 enterprise buildings and provide</w:t>
      </w:r>
      <w:r w:rsidRPr="004E6DD9">
        <w:rPr>
          <w:rFonts w:ascii="TimesNewRomanPSMT" w:hAnsi="TimesNewRomanPSMT"/>
        </w:rPr>
        <w:t xml:space="preserve"> </w:t>
      </w:r>
      <w:r w:rsidRPr="00C24723">
        <w:rPr>
          <w:rFonts w:ascii="TimesNewRomanPSMT" w:hAnsi="TimesNewRomanPSMT"/>
        </w:rPr>
        <w:t>broadband</w:t>
      </w:r>
      <w:r w:rsidRPr="004E6DD9">
        <w:rPr>
          <w:rFonts w:ascii="TimesNewRomanPSMT" w:hAnsi="TimesNewRomanPSMT"/>
        </w:rPr>
        <w:t xml:space="preserve"> </w:t>
      </w:r>
      <w:r w:rsidRPr="00C24723">
        <w:rPr>
          <w:rFonts w:ascii="TimesNewRomanPSMT" w:hAnsi="TimesNewRomanPSMT"/>
        </w:rPr>
        <w:t>services</w:t>
      </w:r>
      <w:r w:rsidRPr="004E6DD9">
        <w:rPr>
          <w:rFonts w:ascii="TimesNewRomanPSMT" w:hAnsi="TimesNewRomanPSMT"/>
        </w:rPr>
        <w:t xml:space="preserve"> </w:t>
      </w:r>
      <w:r w:rsidRPr="00C24723">
        <w:rPr>
          <w:rFonts w:ascii="TimesNewRomanPSMT" w:hAnsi="TimesNewRomanPSMT"/>
        </w:rPr>
        <w:t>to</w:t>
      </w:r>
      <w:r w:rsidRPr="004E6DD9">
        <w:rPr>
          <w:rFonts w:ascii="TimesNewRomanPSMT" w:hAnsi="TimesNewRomanPSMT"/>
        </w:rPr>
        <w:t xml:space="preserve"> </w:t>
      </w:r>
      <w:r w:rsidRPr="00C24723">
        <w:rPr>
          <w:rFonts w:ascii="TimesNewRomanPSMT" w:hAnsi="TimesNewRomanPSMT"/>
        </w:rPr>
        <w:t>approximately</w:t>
      </w:r>
      <w:r w:rsidRPr="004E6DD9">
        <w:rPr>
          <w:rFonts w:ascii="TimesNewRomanPSMT" w:hAnsi="TimesNewRomanPSMT"/>
        </w:rPr>
        <w:t xml:space="preserve"> </w:t>
      </w:r>
      <w:r w:rsidRPr="00C24723">
        <w:rPr>
          <w:rFonts w:ascii="TimesNewRomanPSMT" w:hAnsi="TimesNewRomanPSMT"/>
        </w:rPr>
        <w:t>1.3</w:t>
      </w:r>
      <w:r w:rsidRPr="004E6DD9">
        <w:rPr>
          <w:rFonts w:ascii="TimesNewRomanPSMT" w:hAnsi="TimesNewRomanPSMT"/>
        </w:rPr>
        <w:t xml:space="preserve"> </w:t>
      </w:r>
      <w:r w:rsidRPr="00C24723">
        <w:rPr>
          <w:rFonts w:ascii="TimesNewRomanPSMT" w:hAnsi="TimesNewRomanPSMT"/>
        </w:rPr>
        <w:t>million</w:t>
      </w:r>
      <w:r w:rsidRPr="004E6DD9">
        <w:rPr>
          <w:rFonts w:ascii="TimesNewRomanPSMT" w:hAnsi="TimesNewRomanPSMT"/>
        </w:rPr>
        <w:t xml:space="preserve"> </w:t>
      </w:r>
      <w:r w:rsidRPr="00C24723">
        <w:rPr>
          <w:rFonts w:ascii="TimesNewRomanPSMT" w:hAnsi="TimesNewRomanPSMT"/>
        </w:rPr>
        <w:t>subscribers</w:t>
      </w:r>
      <w:r w:rsidRPr="004E6DD9">
        <w:rPr>
          <w:rFonts w:ascii="TimesNewRomanPSMT" w:hAnsi="TimesNewRomanPSMT"/>
        </w:rPr>
        <w:t>, primarily</w:t>
      </w:r>
      <w:r w:rsidRPr="00C24723">
        <w:rPr>
          <w:rFonts w:ascii="TimesNewRomanPSMT" w:hAnsi="TimesNewRomanPSMT"/>
        </w:rPr>
        <w:t xml:space="preserve"> via copper-based </w:t>
      </w:r>
      <w:r>
        <w:rPr>
          <w:rFonts w:ascii="TimesNewRomanPSMT" w:hAnsi="TimesNewRomanPSMT"/>
        </w:rPr>
        <w:t>Digital Subscriber Line (</w:t>
      </w:r>
      <w:r w:rsidRPr="00C24723">
        <w:rPr>
          <w:rFonts w:ascii="TimesNewRomanPSMT" w:hAnsi="TimesNewRomanPSMT"/>
        </w:rPr>
        <w:t>DSL</w:t>
      </w:r>
      <w:r>
        <w:rPr>
          <w:rFonts w:ascii="TimesNewRomanPSMT" w:hAnsi="TimesNewRomanPSMT"/>
        </w:rPr>
        <w:t>) service</w:t>
      </w:r>
      <w:r w:rsidRPr="00C24723">
        <w:rPr>
          <w:rFonts w:ascii="TimesNewRomanPSMT" w:hAnsi="TimesNewRomanPSMT"/>
        </w:rPr>
        <w:t>.</w:t>
      </w:r>
      <w:r>
        <w:rPr>
          <w:rStyle w:val="FootnoteReference"/>
          <w:rFonts w:ascii="TimesNewRomanPSMT" w:hAnsi="TimesNewRomanPSMT"/>
        </w:rPr>
        <w:footnoteReference w:id="12"/>
      </w:r>
      <w:r w:rsidRPr="004E6DD9">
        <w:rPr>
          <w:rFonts w:ascii="TimesNewRomanPSMT" w:hAnsi="TimesNewRomanPSMT"/>
        </w:rPr>
        <w:t xml:space="preserve"> </w:t>
      </w:r>
      <w:r w:rsidRPr="00C24723">
        <w:rPr>
          <w:rFonts w:ascii="TimesNewRomanPSMT" w:hAnsi="TimesNewRomanPSMT"/>
        </w:rPr>
        <w:t xml:space="preserve"> Lumen has also been designated as a winning bidder in the </w:t>
      </w:r>
      <w:r>
        <w:rPr>
          <w:szCs w:val="22"/>
        </w:rPr>
        <w:t xml:space="preserve">Rural </w:t>
      </w:r>
      <w:r>
        <w:rPr>
          <w:szCs w:val="22"/>
        </w:rPr>
        <w:t>Digital Opportunity Fund (RDOF)</w:t>
      </w:r>
      <w:r w:rsidRPr="00C24723">
        <w:rPr>
          <w:rFonts w:ascii="TimesNewRomanPSMT" w:hAnsi="TimesNewRomanPSMT"/>
        </w:rPr>
        <w:t xml:space="preserve"> Phase I Auction (Auction 904).</w:t>
      </w:r>
      <w:r>
        <w:rPr>
          <w:rStyle w:val="FootnoteReference"/>
          <w:rFonts w:ascii="TimesNewRomanPSMT" w:hAnsi="TimesNewRomanPSMT"/>
        </w:rPr>
        <w:footnoteReference w:id="13"/>
      </w:r>
      <w:r>
        <w:rPr>
          <w:rFonts w:ascii="TimesNewRomanPSMT" w:hAnsi="TimesNewRomanPSMT"/>
        </w:rPr>
        <w:t xml:space="preserve"> </w:t>
      </w:r>
      <w:r w:rsidRPr="00C24723">
        <w:rPr>
          <w:rFonts w:ascii="TimesNewRomanPSMT" w:hAnsi="TimesNewRomanPSMT"/>
        </w:rPr>
        <w:t xml:space="preserve"> Lumen has assigned winning </w:t>
      </w:r>
      <w:r w:rsidR="00924A79">
        <w:rPr>
          <w:rFonts w:ascii="TimesNewRomanPSMT" w:hAnsi="TimesNewRomanPSMT"/>
        </w:rPr>
        <w:t xml:space="preserve">RDOF </w:t>
      </w:r>
      <w:r w:rsidRPr="00C24723">
        <w:rPr>
          <w:rFonts w:ascii="TimesNewRomanPSMT" w:hAnsi="TimesNewRomanPSMT"/>
        </w:rPr>
        <w:t>bids to nine of the Acquired Companies for the deployment of broadband service to 32,580 unserved locations in Alabama, Arkansas, Louisiana, Michigan, Missouri, North Carolina, Pennsylvania, Virginia, and Wisconsin.</w:t>
      </w:r>
      <w:r>
        <w:rPr>
          <w:rStyle w:val="FootnoteReference"/>
          <w:rFonts w:ascii="TimesNewRomanPSMT" w:hAnsi="TimesNewRomanPSMT"/>
        </w:rPr>
        <w:footnoteReference w:id="14"/>
      </w:r>
    </w:p>
    <w:p w:rsidR="00FA09E5" w:rsidP="00FA09E5" w14:paraId="7380552B" w14:textId="4E02A89A">
      <w:pPr>
        <w:spacing w:before="100" w:beforeAutospacing="1" w:after="100" w:afterAutospacing="1"/>
        <w:rPr>
          <w:rFonts w:ascii="TimesNewRomanPSMT" w:hAnsi="TimesNewRomanPSMT"/>
        </w:rPr>
      </w:pPr>
      <w:r>
        <w:rPr>
          <w:szCs w:val="22"/>
        </w:rPr>
        <w:tab/>
      </w:r>
      <w:r w:rsidRPr="00C24723">
        <w:rPr>
          <w:rFonts w:ascii="TimesNewRomanPSMT" w:hAnsi="TimesNewRomanPSMT"/>
        </w:rPr>
        <w:t>AGM is a publicly traded U.S.</w:t>
      </w:r>
      <w:r w:rsidR="00352150">
        <w:rPr>
          <w:rFonts w:ascii="TimesNewRomanPSMT" w:hAnsi="TimesNewRomanPSMT"/>
        </w:rPr>
        <w:t>-organized</w:t>
      </w:r>
      <w:r w:rsidRPr="00C24723">
        <w:rPr>
          <w:rFonts w:ascii="TimesNewRomanPSMT" w:hAnsi="TimesNewRomanPSMT"/>
        </w:rPr>
        <w:t xml:space="preserve"> company and </w:t>
      </w:r>
      <w:r>
        <w:rPr>
          <w:rFonts w:ascii="TimesNewRomanPSMT" w:hAnsi="TimesNewRomanPSMT"/>
        </w:rPr>
        <w:t>investment entity</w:t>
      </w:r>
      <w:r w:rsidRPr="00652BDC">
        <w:rPr>
          <w:rFonts w:ascii="TimesNewRomanPSMT" w:hAnsi="TimesNewRomanPSMT"/>
        </w:rPr>
        <w:t>.</w:t>
      </w:r>
      <w:r>
        <w:rPr>
          <w:rStyle w:val="FootnoteReference"/>
          <w:rFonts w:ascii="TimesNewRomanPSMT" w:hAnsi="TimesNewRomanPSMT"/>
          <w:sz w:val="24"/>
          <w:szCs w:val="24"/>
          <w:shd w:val="clear" w:color="auto" w:fill="FFFFFF"/>
        </w:rPr>
        <w:footnoteReference w:id="15"/>
      </w:r>
      <w:r>
        <w:rPr>
          <w:rFonts w:ascii="TimesNewRomanPSMT" w:hAnsi="TimesNewRomanPSMT"/>
          <w:sz w:val="24"/>
          <w:szCs w:val="24"/>
          <w:shd w:val="clear" w:color="auto" w:fill="FFFFFF"/>
        </w:rPr>
        <w:t xml:space="preserve"> </w:t>
      </w:r>
      <w:r w:rsidR="00364270">
        <w:rPr>
          <w:rFonts w:ascii="TimesNewRomanPSMT" w:hAnsi="TimesNewRomanPSMT"/>
          <w:sz w:val="24"/>
          <w:szCs w:val="24"/>
          <w:shd w:val="clear" w:color="auto" w:fill="FFFFFF"/>
        </w:rPr>
        <w:t xml:space="preserve"> </w:t>
      </w:r>
      <w:r w:rsidRPr="0037153E" w:rsidR="00352150">
        <w:rPr>
          <w:rFonts w:ascii="TimesNewRomanPSMT" w:hAnsi="TimesNewRomanPSMT"/>
          <w:szCs w:val="22"/>
          <w:shd w:val="clear" w:color="auto" w:fill="FFFFFF"/>
        </w:rPr>
        <w:t>The f</w:t>
      </w:r>
      <w:r w:rsidRPr="0037153E" w:rsidR="0013252A">
        <w:rPr>
          <w:rFonts w:ascii="TimesNewRomanPSMT" w:hAnsi="TimesNewRomanPSMT"/>
          <w:szCs w:val="22"/>
          <w:shd w:val="clear" w:color="auto" w:fill="FFFFFF"/>
        </w:rPr>
        <w:t xml:space="preserve">oreign ownership </w:t>
      </w:r>
      <w:r w:rsidRPr="0037153E" w:rsidR="00BC2A3C">
        <w:rPr>
          <w:rFonts w:ascii="TimesNewRomanPSMT" w:hAnsi="TimesNewRomanPSMT"/>
          <w:szCs w:val="22"/>
          <w:shd w:val="clear" w:color="auto" w:fill="FFFFFF"/>
        </w:rPr>
        <w:t xml:space="preserve">issues related to </w:t>
      </w:r>
      <w:r w:rsidRPr="0037153E" w:rsidR="00352150">
        <w:rPr>
          <w:rFonts w:ascii="TimesNewRomanPSMT" w:hAnsi="TimesNewRomanPSMT"/>
          <w:szCs w:val="22"/>
          <w:shd w:val="clear" w:color="auto" w:fill="FFFFFF"/>
        </w:rPr>
        <w:t>AGM</w:t>
      </w:r>
      <w:r w:rsidRPr="0037153E" w:rsidR="00352150">
        <w:rPr>
          <w:rFonts w:ascii="TimesNewRomanPSMT" w:hAnsi="TimesNewRomanPSMT" w:hint="eastAsia"/>
          <w:szCs w:val="22"/>
          <w:shd w:val="clear" w:color="auto" w:fill="FFFFFF"/>
        </w:rPr>
        <w:t>’</w:t>
      </w:r>
      <w:r w:rsidRPr="0037153E" w:rsidR="00352150">
        <w:rPr>
          <w:rFonts w:ascii="TimesNewRomanPSMT" w:hAnsi="TimesNewRomanPSMT"/>
          <w:szCs w:val="22"/>
          <w:shd w:val="clear" w:color="auto" w:fill="FFFFFF"/>
        </w:rPr>
        <w:t xml:space="preserve">s control and structure </w:t>
      </w:r>
      <w:r w:rsidRPr="0037153E" w:rsidR="0013252A">
        <w:rPr>
          <w:rFonts w:ascii="TimesNewRomanPSMT" w:hAnsi="TimesNewRomanPSMT"/>
          <w:szCs w:val="22"/>
          <w:shd w:val="clear" w:color="auto" w:fill="FFFFFF"/>
        </w:rPr>
        <w:t>are discussed below.</w:t>
      </w:r>
      <w:r w:rsidRPr="0037153E">
        <w:rPr>
          <w:rFonts w:ascii="TimesNewRomanPSMT" w:hAnsi="TimesNewRomanPSMT"/>
          <w:szCs w:val="22"/>
          <w:shd w:val="clear" w:color="auto" w:fill="FFFFFF"/>
        </w:rPr>
        <w:t xml:space="preserve"> </w:t>
      </w:r>
      <w:r w:rsidRPr="0037153E" w:rsidR="00352150">
        <w:rPr>
          <w:rFonts w:ascii="TimesNewRomanPSMT" w:hAnsi="TimesNewRomanPSMT"/>
          <w:szCs w:val="22"/>
          <w:shd w:val="clear" w:color="auto" w:fill="FFFFFF"/>
        </w:rPr>
        <w:t xml:space="preserve"> </w:t>
      </w:r>
      <w:r w:rsidRPr="00951EF5">
        <w:rPr>
          <w:rFonts w:ascii="TimesNewRomanPSMT" w:hAnsi="TimesNewRomanPSMT"/>
          <w:szCs w:val="22"/>
        </w:rPr>
        <w:t>Apollo</w:t>
      </w:r>
      <w:r w:rsidRPr="002B661B">
        <w:rPr>
          <w:rFonts w:ascii="TimesNewRomanPSMT" w:hAnsi="TimesNewRomanPSMT" w:hint="eastAsia"/>
          <w:szCs w:val="22"/>
        </w:rPr>
        <w:t>’</w:t>
      </w:r>
      <w:r w:rsidRPr="002B661B">
        <w:rPr>
          <w:rFonts w:ascii="TimesNewRomanPSMT" w:hAnsi="TimesNewRomanPSMT"/>
          <w:szCs w:val="22"/>
        </w:rPr>
        <w:t>s current communications holdings under the Commission</w:t>
      </w:r>
      <w:r w:rsidRPr="00435233">
        <w:rPr>
          <w:rFonts w:ascii="TimesNewRomanPSMT" w:hAnsi="TimesNewRomanPSMT" w:hint="eastAsia"/>
          <w:szCs w:val="22"/>
        </w:rPr>
        <w:t>’</w:t>
      </w:r>
      <w:r w:rsidRPr="00924A79">
        <w:rPr>
          <w:rFonts w:ascii="TimesNewRomanPSMT" w:hAnsi="TimesNewRomanPSMT"/>
          <w:szCs w:val="22"/>
        </w:rPr>
        <w:t xml:space="preserve">s jurisdiction consist of </w:t>
      </w:r>
      <w:r w:rsidRPr="00924A79">
        <w:rPr>
          <w:rFonts w:ascii="TimesNewRomanPSMT" w:hAnsi="TimesNewRomanPSMT"/>
          <w:szCs w:val="22"/>
        </w:rPr>
        <w:t>Intrado</w:t>
      </w:r>
      <w:r w:rsidRPr="00C24723">
        <w:rPr>
          <w:rFonts w:ascii="TimesNewRomanPSMT" w:hAnsi="TimesNewRomanPSMT"/>
        </w:rPr>
        <w:t xml:space="preserve"> Corporation and its various operating subsidiaries (</w:t>
      </w:r>
      <w:r w:rsidRPr="00C24723">
        <w:rPr>
          <w:rFonts w:ascii="TimesNewRomanPSMT" w:hAnsi="TimesNewRomanPSMT"/>
        </w:rPr>
        <w:t>Intrado</w:t>
      </w:r>
      <w:r w:rsidRPr="00C24723">
        <w:rPr>
          <w:rFonts w:ascii="TimesNewRomanPSMT" w:hAnsi="TimesNewRomanPSMT"/>
        </w:rPr>
        <w:t>)</w:t>
      </w:r>
      <w:r w:rsidR="003271F1">
        <w:rPr>
          <w:rFonts w:ascii="TimesNewRomanPSMT" w:hAnsi="TimesNewRomanPSMT"/>
        </w:rPr>
        <w:t>, which are</w:t>
      </w:r>
      <w:r w:rsidRPr="00C24723">
        <w:rPr>
          <w:rFonts w:ascii="TimesNewRomanPSMT" w:hAnsi="TimesNewRomanPSMT"/>
        </w:rPr>
        <w:t xml:space="preserve"> provider</w:t>
      </w:r>
      <w:r>
        <w:rPr>
          <w:rFonts w:ascii="TimesNewRomanPSMT" w:hAnsi="TimesNewRomanPSMT"/>
        </w:rPr>
        <w:t>s</w:t>
      </w:r>
      <w:r w:rsidRPr="00C24723">
        <w:rPr>
          <w:rFonts w:ascii="TimesNewRomanPSMT" w:hAnsi="TimesNewRomanPSMT"/>
        </w:rPr>
        <w:t xml:space="preserve"> of </w:t>
      </w:r>
      <w:r w:rsidRPr="00652BDC">
        <w:rPr>
          <w:rFonts w:ascii="TimesNewRomanPSMT" w:hAnsi="TimesNewRomanPSMT"/>
        </w:rPr>
        <w:t xml:space="preserve">competitive </w:t>
      </w:r>
      <w:r w:rsidRPr="00C24723">
        <w:rPr>
          <w:rFonts w:ascii="TimesNewRomanPSMT" w:hAnsi="TimesNewRomanPSMT"/>
        </w:rPr>
        <w:t xml:space="preserve">LEC-based </w:t>
      </w:r>
      <w:r w:rsidRPr="00C24723">
        <w:rPr>
          <w:szCs w:val="22"/>
        </w:rPr>
        <w:t>telecommunications services; and Cox Media Group, which owns and operates television and radio stations in 20 markets across the United States.</w:t>
      </w:r>
      <w:r>
        <w:rPr>
          <w:rStyle w:val="FootnoteReference"/>
        </w:rPr>
        <w:footnoteReference w:id="16"/>
      </w:r>
      <w:r w:rsidRPr="00C24723">
        <w:rPr>
          <w:rStyle w:val="FootnoteReference"/>
          <w:szCs w:val="22"/>
        </w:rPr>
        <w:t xml:space="preserve"> </w:t>
      </w:r>
    </w:p>
    <w:p w:rsidR="00FA09E5" w:rsidRPr="00C53BB4" w:rsidP="00FA09E5" w14:paraId="1D505214" w14:textId="2FDF9C12">
      <w:pPr>
        <w:autoSpaceDE w:val="0"/>
        <w:autoSpaceDN w:val="0"/>
        <w:adjustRightInd w:val="0"/>
        <w:ind w:firstLine="720"/>
      </w:pPr>
      <w:bookmarkStart w:id="5" w:name="_Hlk90235500"/>
      <w:r w:rsidRPr="009867BB">
        <w:rPr>
          <w:szCs w:val="22"/>
        </w:rPr>
        <w:t>After consummation of the proposed transaction, each of the Acquired Companies will be 100% directly or indirectly owned by</w:t>
      </w:r>
      <w:r>
        <w:rPr>
          <w:szCs w:val="22"/>
        </w:rPr>
        <w:t xml:space="preserve"> </w:t>
      </w:r>
      <w:r w:rsidR="00A85A13">
        <w:rPr>
          <w:szCs w:val="22"/>
        </w:rPr>
        <w:t>Connect Holding II</w:t>
      </w:r>
      <w:r w:rsidRPr="009867BB">
        <w:rPr>
          <w:szCs w:val="22"/>
        </w:rPr>
        <w:t>,</w:t>
      </w:r>
      <w:r>
        <w:rPr>
          <w:szCs w:val="22"/>
        </w:rPr>
        <w:t xml:space="preserve"> a Delaware limited liability company, </w:t>
      </w:r>
      <w:r w:rsidRPr="009867BB">
        <w:rPr>
          <w:szCs w:val="22"/>
        </w:rPr>
        <w:t>with</w:t>
      </w:r>
      <w:r>
        <w:rPr>
          <w:szCs w:val="22"/>
        </w:rPr>
        <w:t xml:space="preserve"> </w:t>
      </w:r>
      <w:r w:rsidRPr="009867BB">
        <w:rPr>
          <w:szCs w:val="22"/>
        </w:rPr>
        <w:t>one</w:t>
      </w:r>
      <w:r>
        <w:rPr>
          <w:szCs w:val="22"/>
        </w:rPr>
        <w:t xml:space="preserve"> </w:t>
      </w:r>
      <w:r w:rsidRPr="009867BB">
        <w:rPr>
          <w:szCs w:val="22"/>
        </w:rPr>
        <w:t>exception.</w:t>
      </w:r>
      <w:r>
        <w:rPr>
          <w:rStyle w:val="FootnoteReference"/>
          <w:szCs w:val="22"/>
        </w:rPr>
        <w:footnoteReference w:id="17"/>
      </w:r>
      <w:bookmarkEnd w:id="5"/>
      <w:r w:rsidRPr="009867BB">
        <w:rPr>
          <w:szCs w:val="22"/>
        </w:rPr>
        <w:t xml:space="preserve"> </w:t>
      </w:r>
      <w:r>
        <w:rPr>
          <w:szCs w:val="22"/>
        </w:rPr>
        <w:t xml:space="preserve"> </w:t>
      </w:r>
      <w:r w:rsidRPr="009867BB">
        <w:rPr>
          <w:szCs w:val="22"/>
        </w:rPr>
        <w:t>Connect</w:t>
      </w:r>
      <w:r>
        <w:rPr>
          <w:szCs w:val="22"/>
        </w:rPr>
        <w:t xml:space="preserve"> </w:t>
      </w:r>
      <w:r w:rsidRPr="009867BB">
        <w:rPr>
          <w:szCs w:val="22"/>
        </w:rPr>
        <w:t>Holding</w:t>
      </w:r>
      <w:r>
        <w:rPr>
          <w:szCs w:val="22"/>
        </w:rPr>
        <w:t xml:space="preserve"> </w:t>
      </w:r>
      <w:r w:rsidRPr="009867BB">
        <w:rPr>
          <w:szCs w:val="22"/>
        </w:rPr>
        <w:t>II</w:t>
      </w:r>
      <w:r>
        <w:rPr>
          <w:szCs w:val="22"/>
        </w:rPr>
        <w:t xml:space="preserve"> </w:t>
      </w:r>
      <w:r w:rsidRPr="009867BB">
        <w:rPr>
          <w:szCs w:val="22"/>
        </w:rPr>
        <w:t>will</w:t>
      </w:r>
      <w:r>
        <w:rPr>
          <w:szCs w:val="22"/>
        </w:rPr>
        <w:t xml:space="preserve"> </w:t>
      </w:r>
      <w:r w:rsidRPr="009867BB">
        <w:rPr>
          <w:szCs w:val="22"/>
        </w:rPr>
        <w:t>be</w:t>
      </w:r>
      <w:r>
        <w:rPr>
          <w:szCs w:val="22"/>
        </w:rPr>
        <w:t xml:space="preserve"> </w:t>
      </w:r>
      <w:r w:rsidRPr="009867BB">
        <w:rPr>
          <w:szCs w:val="22"/>
        </w:rPr>
        <w:t>100%</w:t>
      </w:r>
      <w:r>
        <w:rPr>
          <w:szCs w:val="22"/>
        </w:rPr>
        <w:t xml:space="preserve"> </w:t>
      </w:r>
      <w:r w:rsidRPr="009867BB">
        <w:rPr>
          <w:szCs w:val="22"/>
        </w:rPr>
        <w:t>owned</w:t>
      </w:r>
      <w:r>
        <w:rPr>
          <w:szCs w:val="22"/>
        </w:rPr>
        <w:t xml:space="preserve"> </w:t>
      </w:r>
      <w:r w:rsidRPr="009867BB">
        <w:rPr>
          <w:szCs w:val="22"/>
        </w:rPr>
        <w:t xml:space="preserve">by </w:t>
      </w:r>
      <w:r>
        <w:rPr>
          <w:szCs w:val="22"/>
        </w:rPr>
        <w:t>Connect Holding, a Delaware limited liability company</w:t>
      </w:r>
      <w:r w:rsidRPr="009867BB">
        <w:rPr>
          <w:szCs w:val="22"/>
        </w:rPr>
        <w:t>.</w:t>
      </w:r>
      <w:r>
        <w:rPr>
          <w:rStyle w:val="FootnoteReference"/>
          <w:szCs w:val="22"/>
        </w:rPr>
        <w:footnoteReference w:id="18"/>
      </w:r>
      <w:r w:rsidRPr="009867BB">
        <w:rPr>
          <w:szCs w:val="22"/>
        </w:rPr>
        <w:t xml:space="preserve"> </w:t>
      </w:r>
      <w:r>
        <w:rPr>
          <w:szCs w:val="22"/>
        </w:rPr>
        <w:t xml:space="preserve"> </w:t>
      </w:r>
      <w:r w:rsidRPr="009867BB">
        <w:rPr>
          <w:szCs w:val="22"/>
        </w:rPr>
        <w:t>Connect</w:t>
      </w:r>
      <w:r>
        <w:rPr>
          <w:szCs w:val="22"/>
        </w:rPr>
        <w:t xml:space="preserve"> </w:t>
      </w:r>
      <w:r w:rsidRPr="009867BB">
        <w:rPr>
          <w:szCs w:val="22"/>
        </w:rPr>
        <w:t>Holding</w:t>
      </w:r>
      <w:r>
        <w:rPr>
          <w:szCs w:val="22"/>
        </w:rPr>
        <w:t xml:space="preserve"> </w:t>
      </w:r>
      <w:r w:rsidRPr="009867BB">
        <w:rPr>
          <w:szCs w:val="22"/>
        </w:rPr>
        <w:t>will</w:t>
      </w:r>
      <w:r>
        <w:rPr>
          <w:szCs w:val="22"/>
        </w:rPr>
        <w:t xml:space="preserve"> </w:t>
      </w:r>
      <w:r w:rsidRPr="009867BB">
        <w:rPr>
          <w:szCs w:val="22"/>
        </w:rPr>
        <w:t>be</w:t>
      </w:r>
      <w:r>
        <w:rPr>
          <w:szCs w:val="22"/>
        </w:rPr>
        <w:t xml:space="preserve"> </w:t>
      </w:r>
      <w:r w:rsidRPr="009867BB">
        <w:rPr>
          <w:szCs w:val="22"/>
        </w:rPr>
        <w:t>indirectly</w:t>
      </w:r>
      <w:r>
        <w:rPr>
          <w:szCs w:val="22"/>
        </w:rPr>
        <w:t xml:space="preserve"> </w:t>
      </w:r>
      <w:r w:rsidRPr="009867BB">
        <w:rPr>
          <w:szCs w:val="22"/>
        </w:rPr>
        <w:t>controlled</w:t>
      </w:r>
      <w:r>
        <w:rPr>
          <w:szCs w:val="22"/>
        </w:rPr>
        <w:t xml:space="preserve"> </w:t>
      </w:r>
      <w:r w:rsidRPr="009867BB">
        <w:rPr>
          <w:szCs w:val="22"/>
        </w:rPr>
        <w:t>by</w:t>
      </w:r>
      <w:r>
        <w:rPr>
          <w:szCs w:val="22"/>
        </w:rPr>
        <w:t xml:space="preserve"> </w:t>
      </w:r>
      <w:r w:rsidRPr="009867BB">
        <w:rPr>
          <w:szCs w:val="22"/>
        </w:rPr>
        <w:t>AP</w:t>
      </w:r>
      <w:r>
        <w:rPr>
          <w:szCs w:val="22"/>
        </w:rPr>
        <w:t xml:space="preserve"> </w:t>
      </w:r>
      <w:r w:rsidRPr="009867BB">
        <w:rPr>
          <w:szCs w:val="22"/>
        </w:rPr>
        <w:t>IX</w:t>
      </w:r>
      <w:r>
        <w:rPr>
          <w:szCs w:val="22"/>
        </w:rPr>
        <w:t xml:space="preserve"> </w:t>
      </w:r>
      <w:r w:rsidRPr="009867BB">
        <w:rPr>
          <w:szCs w:val="22"/>
        </w:rPr>
        <w:t>Connect</w:t>
      </w:r>
      <w:r>
        <w:rPr>
          <w:szCs w:val="22"/>
        </w:rPr>
        <w:t xml:space="preserve"> </w:t>
      </w:r>
      <w:r w:rsidRPr="009867BB">
        <w:rPr>
          <w:szCs w:val="22"/>
        </w:rPr>
        <w:t xml:space="preserve">Holdings, </w:t>
      </w:r>
      <w:r w:rsidR="00591400">
        <w:rPr>
          <w:szCs w:val="22"/>
        </w:rPr>
        <w:t xml:space="preserve">L.P. </w:t>
      </w:r>
      <w:r w:rsidR="00022668">
        <w:rPr>
          <w:szCs w:val="22"/>
        </w:rPr>
        <w:t xml:space="preserve">(AP </w:t>
      </w:r>
      <w:r w:rsidR="00ED61FD">
        <w:rPr>
          <w:szCs w:val="22"/>
        </w:rPr>
        <w:t>IX Connect Holdin</w:t>
      </w:r>
      <w:r w:rsidR="00E44ED7">
        <w:rPr>
          <w:szCs w:val="22"/>
        </w:rPr>
        <w:t>gs)</w:t>
      </w:r>
      <w:r w:rsidR="004B6B89">
        <w:rPr>
          <w:szCs w:val="22"/>
        </w:rPr>
        <w:t xml:space="preserve">, </w:t>
      </w:r>
      <w:r w:rsidRPr="009867BB">
        <w:rPr>
          <w:szCs w:val="22"/>
        </w:rPr>
        <w:t xml:space="preserve">which expects to hold approximately </w:t>
      </w:r>
      <w:r>
        <w:rPr>
          <w:szCs w:val="22"/>
        </w:rPr>
        <w:t>5</w:t>
      </w:r>
      <w:r w:rsidRPr="009867BB">
        <w:rPr>
          <w:szCs w:val="22"/>
        </w:rPr>
        <w:t xml:space="preserve">5% to </w:t>
      </w:r>
      <w:r>
        <w:rPr>
          <w:szCs w:val="22"/>
        </w:rPr>
        <w:t>60</w:t>
      </w:r>
      <w:r w:rsidRPr="009867BB">
        <w:rPr>
          <w:szCs w:val="22"/>
        </w:rPr>
        <w:t xml:space="preserve">% of the stock of Connect Parent Corporation </w:t>
      </w:r>
      <w:r w:rsidR="009A1767">
        <w:rPr>
          <w:szCs w:val="22"/>
        </w:rPr>
        <w:t>(</w:t>
      </w:r>
      <w:r w:rsidR="00103BF8">
        <w:rPr>
          <w:szCs w:val="22"/>
        </w:rPr>
        <w:t xml:space="preserve">Connect </w:t>
      </w:r>
      <w:r w:rsidR="009A1767">
        <w:rPr>
          <w:szCs w:val="22"/>
        </w:rPr>
        <w:t>Parent)</w:t>
      </w:r>
      <w:r w:rsidR="00103BF8">
        <w:rPr>
          <w:szCs w:val="22"/>
        </w:rPr>
        <w:t xml:space="preserve"> </w:t>
      </w:r>
      <w:r w:rsidRPr="009867BB">
        <w:rPr>
          <w:szCs w:val="22"/>
        </w:rPr>
        <w:t>and thus will control Connect Parent, which, in turn, will control Connect Intermediate LLC,</w:t>
      </w:r>
      <w:r>
        <w:rPr>
          <w:szCs w:val="22"/>
        </w:rPr>
        <w:t xml:space="preserve"> a Delaware limited liability company,</w:t>
      </w:r>
      <w:r w:rsidRPr="009867BB">
        <w:rPr>
          <w:szCs w:val="22"/>
        </w:rPr>
        <w:t xml:space="preserve"> which, in turn, will control Connect Midco LLC,</w:t>
      </w:r>
      <w:r>
        <w:rPr>
          <w:szCs w:val="22"/>
        </w:rPr>
        <w:t xml:space="preserve"> a Delaware limited liability company,</w:t>
      </w:r>
      <w:r w:rsidRPr="009867BB">
        <w:rPr>
          <w:szCs w:val="22"/>
        </w:rPr>
        <w:t xml:space="preserve"> which will control </w:t>
      </w:r>
      <w:r w:rsidRPr="009867BB">
        <w:rPr>
          <w:szCs w:val="22"/>
        </w:rPr>
        <w:t>Connect Holding and Connect Holding II.</w:t>
      </w:r>
      <w:r>
        <w:rPr>
          <w:rStyle w:val="FootnoteReference"/>
          <w:szCs w:val="22"/>
        </w:rPr>
        <w:footnoteReference w:id="19"/>
      </w:r>
      <w:r w:rsidRPr="009867BB">
        <w:rPr>
          <w:szCs w:val="22"/>
        </w:rPr>
        <w:t xml:space="preserve"> </w:t>
      </w:r>
      <w:r>
        <w:rPr>
          <w:szCs w:val="22"/>
        </w:rPr>
        <w:t xml:space="preserve"> </w:t>
      </w:r>
      <w:r w:rsidRPr="00B953DD">
        <w:rPr>
          <w:szCs w:val="22"/>
        </w:rPr>
        <w:t>The remainder of the equity in Connect Holding will be held by two</w:t>
      </w:r>
      <w:r>
        <w:rPr>
          <w:szCs w:val="22"/>
        </w:rPr>
        <w:t xml:space="preserve"> entities</w:t>
      </w:r>
      <w:r w:rsidRPr="00B953DD">
        <w:rPr>
          <w:szCs w:val="22"/>
        </w:rPr>
        <w:t xml:space="preserve">: </w:t>
      </w:r>
      <w:r>
        <w:rPr>
          <w:szCs w:val="22"/>
        </w:rPr>
        <w:t xml:space="preserve"> </w:t>
      </w:r>
      <w:r w:rsidRPr="00B953DD">
        <w:rPr>
          <w:szCs w:val="22"/>
        </w:rPr>
        <w:t>(1) AP IX Connect Co-Invest Holdings, L.P.</w:t>
      </w:r>
      <w:r w:rsidR="00F33761">
        <w:rPr>
          <w:szCs w:val="22"/>
        </w:rPr>
        <w:t xml:space="preserve"> </w:t>
      </w:r>
      <w:r w:rsidR="00AB17BE">
        <w:rPr>
          <w:szCs w:val="22"/>
        </w:rPr>
        <w:t xml:space="preserve">(Co-Invest </w:t>
      </w:r>
      <w:r w:rsidR="002E2024">
        <w:rPr>
          <w:szCs w:val="22"/>
        </w:rPr>
        <w:t>Holdi</w:t>
      </w:r>
      <w:r w:rsidR="00AE6915">
        <w:rPr>
          <w:szCs w:val="22"/>
        </w:rPr>
        <w:t>ngs)</w:t>
      </w:r>
      <w:r w:rsidRPr="00B953DD">
        <w:rPr>
          <w:szCs w:val="22"/>
        </w:rPr>
        <w:t>, which will indirectly hold approximately 35-40</w:t>
      </w:r>
      <w:r>
        <w:rPr>
          <w:szCs w:val="22"/>
        </w:rPr>
        <w:t>%</w:t>
      </w:r>
      <w:r w:rsidRPr="00B953DD">
        <w:rPr>
          <w:szCs w:val="22"/>
        </w:rPr>
        <w:t xml:space="preserve"> of the equity interests in Connect Holding; and (2) AIOF II Connect Holdings, L.P.</w:t>
      </w:r>
      <w:r w:rsidR="00AE6915">
        <w:rPr>
          <w:szCs w:val="22"/>
        </w:rPr>
        <w:t xml:space="preserve"> (AIOF II </w:t>
      </w:r>
      <w:r w:rsidR="00045B34">
        <w:rPr>
          <w:szCs w:val="22"/>
        </w:rPr>
        <w:t>Holdings)</w:t>
      </w:r>
      <w:r w:rsidRPr="00B953DD">
        <w:rPr>
          <w:szCs w:val="22"/>
        </w:rPr>
        <w:t>, which will indirectly hold less than 5</w:t>
      </w:r>
      <w:r>
        <w:rPr>
          <w:szCs w:val="22"/>
        </w:rPr>
        <w:t>%</w:t>
      </w:r>
      <w:r w:rsidRPr="00B953DD">
        <w:rPr>
          <w:szCs w:val="22"/>
        </w:rPr>
        <w:t xml:space="preserve"> of the equity interests in Connect Holding.</w:t>
      </w:r>
      <w:r>
        <w:rPr>
          <w:rStyle w:val="FootnoteReference"/>
          <w:szCs w:val="22"/>
        </w:rPr>
        <w:footnoteReference w:id="20"/>
      </w:r>
      <w:r w:rsidRPr="00B953DD">
        <w:rPr>
          <w:szCs w:val="22"/>
        </w:rPr>
        <w:t xml:space="preserve"> </w:t>
      </w:r>
      <w:r>
        <w:rPr>
          <w:szCs w:val="22"/>
        </w:rPr>
        <w:t xml:space="preserve"> </w:t>
      </w:r>
      <w:r w:rsidRPr="009867BB">
        <w:rPr>
          <w:szCs w:val="22"/>
        </w:rPr>
        <w:t>AP IX Connect Holdings and the other intermediate holding companies engage in investment activities.</w:t>
      </w:r>
      <w:r>
        <w:rPr>
          <w:rStyle w:val="FootnoteReference"/>
          <w:szCs w:val="22"/>
        </w:rPr>
        <w:footnoteReference w:id="21"/>
      </w:r>
      <w:r w:rsidRPr="009867BB">
        <w:rPr>
          <w:szCs w:val="22"/>
        </w:rPr>
        <w:t xml:space="preserve"> </w:t>
      </w:r>
      <w:r w:rsidR="00C033A0">
        <w:rPr>
          <w:szCs w:val="22"/>
        </w:rPr>
        <w:t xml:space="preserve"> </w:t>
      </w:r>
      <w:r w:rsidRPr="001B2CA7" w:rsidR="00C033A0">
        <w:rPr>
          <w:rFonts w:ascii="TimesNewRomanPSMT" w:hAnsi="TimesNewRomanPSMT"/>
        </w:rPr>
        <w:t>Connect Holding</w:t>
      </w:r>
      <w:r w:rsidRPr="00813E1C" w:rsidR="00C033A0">
        <w:rPr>
          <w:rFonts w:ascii="TimesNewRomanPSMT" w:hAnsi="TimesNewRomanPSMT"/>
        </w:rPr>
        <w:t>, Connect Parent</w:t>
      </w:r>
      <w:r w:rsidR="00351E20">
        <w:rPr>
          <w:rFonts w:ascii="TimesNewRomanPSMT" w:hAnsi="TimesNewRomanPSMT"/>
        </w:rPr>
        <w:t>,</w:t>
      </w:r>
      <w:r w:rsidRPr="00813E1C" w:rsidR="00C033A0">
        <w:rPr>
          <w:rFonts w:ascii="TimesNewRomanPSMT" w:hAnsi="TimesNewRomanPSMT"/>
        </w:rPr>
        <w:t xml:space="preserve"> </w:t>
      </w:r>
      <w:r w:rsidRPr="008B42BE" w:rsidR="00C033A0">
        <w:rPr>
          <w:rFonts w:ascii="TimesNewRomanPSMT" w:hAnsi="TimesNewRomanPSMT"/>
        </w:rPr>
        <w:t xml:space="preserve">and </w:t>
      </w:r>
      <w:r w:rsidRPr="00AB5EE3" w:rsidR="00C033A0">
        <w:rPr>
          <w:rFonts w:ascii="TimesNewRomanPSMT" w:hAnsi="TimesNewRomanPSMT"/>
        </w:rPr>
        <w:t>AP IX Connect Holdings</w:t>
      </w:r>
      <w:r w:rsidR="00A954CA">
        <w:rPr>
          <w:rFonts w:ascii="TimesNewRomanPSMT" w:hAnsi="TimesNewRomanPSMT"/>
        </w:rPr>
        <w:t xml:space="preserve"> are ultimately controlled by </w:t>
      </w:r>
      <w:r w:rsidRPr="000A1CC2" w:rsidR="00C033A0">
        <w:rPr>
          <w:rFonts w:ascii="TimesNewRomanPSMT" w:hAnsi="TimesNewRomanPSMT"/>
        </w:rPr>
        <w:t xml:space="preserve">Apollo Investment Fund IX, L.P., a Delaware limited partnership that </w:t>
      </w:r>
      <w:r w:rsidRPr="006A45C9" w:rsidR="006A45C9">
        <w:rPr>
          <w:szCs w:val="22"/>
        </w:rPr>
        <w:t>is affiliated with</w:t>
      </w:r>
      <w:r w:rsidRPr="006213D3" w:rsidR="006A45C9">
        <w:rPr>
          <w:szCs w:val="22"/>
        </w:rPr>
        <w:t xml:space="preserve"> AGM</w:t>
      </w:r>
      <w:r w:rsidRPr="001B2CA7" w:rsidR="00C033A0">
        <w:rPr>
          <w:rFonts w:ascii="TimesNewRomanPSMT" w:hAnsi="TimesNewRomanPSMT"/>
        </w:rPr>
        <w:t>.</w:t>
      </w:r>
      <w:r>
        <w:rPr>
          <w:rStyle w:val="FootnoteReference"/>
          <w:rFonts w:ascii="TimesNewRomanPSMT" w:hAnsi="TimesNewRomanPSMT"/>
        </w:rPr>
        <w:footnoteReference w:id="22"/>
      </w:r>
    </w:p>
    <w:p w:rsidR="00FA09E5" w:rsidP="00FA09E5" w14:paraId="2D697BB2" w14:textId="4D162C21">
      <w:pPr>
        <w:spacing w:before="100" w:beforeAutospacing="1" w:after="100" w:afterAutospacing="1"/>
        <w:ind w:firstLine="720"/>
        <w:rPr>
          <w:szCs w:val="22"/>
        </w:rPr>
      </w:pPr>
      <w:r w:rsidRPr="009867BB">
        <w:rPr>
          <w:szCs w:val="22"/>
        </w:rPr>
        <w:t xml:space="preserve">The general partner of AP IX Connect Holdings—AP IX Connect Holdings GP, LLC—is a Delaware limited liability company, the sole member of which is </w:t>
      </w:r>
      <w:r w:rsidRPr="009867BB">
        <w:rPr>
          <w:szCs w:val="22"/>
        </w:rPr>
        <w:t>VoteCo</w:t>
      </w:r>
      <w:r>
        <w:rPr>
          <w:szCs w:val="22"/>
        </w:rPr>
        <w:t>, a Delaware limited liability company</w:t>
      </w:r>
      <w:r w:rsidRPr="009867BB">
        <w:rPr>
          <w:szCs w:val="22"/>
        </w:rPr>
        <w:t>.</w:t>
      </w:r>
      <w:r>
        <w:rPr>
          <w:rStyle w:val="FootnoteReference"/>
          <w:szCs w:val="22"/>
        </w:rPr>
        <w:footnoteReference w:id="23"/>
      </w:r>
      <w:r w:rsidRPr="009867BB">
        <w:rPr>
          <w:szCs w:val="22"/>
        </w:rPr>
        <w:t xml:space="preserve"> </w:t>
      </w:r>
      <w:r>
        <w:rPr>
          <w:szCs w:val="22"/>
        </w:rPr>
        <w:t xml:space="preserve"> </w:t>
      </w:r>
      <w:r w:rsidRPr="009867BB">
        <w:rPr>
          <w:szCs w:val="22"/>
        </w:rPr>
        <w:t>VoteCo</w:t>
      </w:r>
      <w:r w:rsidRPr="009867BB">
        <w:rPr>
          <w:szCs w:val="22"/>
        </w:rPr>
        <w:t xml:space="preserve"> has three members: </w:t>
      </w:r>
      <w:r>
        <w:rPr>
          <w:szCs w:val="22"/>
        </w:rPr>
        <w:t xml:space="preserve"> </w:t>
      </w:r>
      <w:r w:rsidRPr="009867BB">
        <w:rPr>
          <w:szCs w:val="22"/>
        </w:rPr>
        <w:t xml:space="preserve">Scott Kleinman, John </w:t>
      </w:r>
      <w:r w:rsidRPr="009867BB">
        <w:rPr>
          <w:szCs w:val="22"/>
        </w:rPr>
        <w:t>Suydam</w:t>
      </w:r>
      <w:r w:rsidRPr="009867BB">
        <w:rPr>
          <w:szCs w:val="22"/>
        </w:rPr>
        <w:t xml:space="preserve">, and David </w:t>
      </w:r>
      <w:r w:rsidRPr="009867BB">
        <w:rPr>
          <w:szCs w:val="22"/>
        </w:rPr>
        <w:t>Sambur</w:t>
      </w:r>
      <w:r w:rsidRPr="009867BB">
        <w:rPr>
          <w:szCs w:val="22"/>
        </w:rPr>
        <w:t xml:space="preserve">, each of whom will vote a one-third interest in </w:t>
      </w:r>
      <w:r w:rsidRPr="009867BB">
        <w:rPr>
          <w:szCs w:val="22"/>
        </w:rPr>
        <w:t>VoteCo</w:t>
      </w:r>
      <w:r w:rsidRPr="009867BB">
        <w:rPr>
          <w:szCs w:val="22"/>
        </w:rPr>
        <w:t>, and each of whom is a citizen of the United States.</w:t>
      </w:r>
      <w:r>
        <w:rPr>
          <w:rStyle w:val="FootnoteReference"/>
          <w:szCs w:val="22"/>
        </w:rPr>
        <w:footnoteReference w:id="24"/>
      </w:r>
      <w:r w:rsidRPr="009867BB">
        <w:rPr>
          <w:szCs w:val="22"/>
        </w:rPr>
        <w:t xml:space="preserve"> </w:t>
      </w:r>
      <w:r>
        <w:rPr>
          <w:szCs w:val="22"/>
        </w:rPr>
        <w:t xml:space="preserve"> </w:t>
      </w:r>
      <w:r w:rsidRPr="009867BB">
        <w:rPr>
          <w:szCs w:val="22"/>
        </w:rPr>
        <w:t>VoteCo</w:t>
      </w:r>
      <w:r w:rsidRPr="009867BB">
        <w:rPr>
          <w:szCs w:val="22"/>
        </w:rPr>
        <w:t xml:space="preserve"> is wholly owned and controlled by its three members.</w:t>
      </w:r>
      <w:r>
        <w:rPr>
          <w:rStyle w:val="FootnoteReference"/>
          <w:szCs w:val="22"/>
        </w:rPr>
        <w:footnoteReference w:id="25"/>
      </w:r>
      <w:r w:rsidRPr="009867BB">
        <w:rPr>
          <w:szCs w:val="22"/>
        </w:rPr>
        <w:t xml:space="preserve"> </w:t>
      </w:r>
      <w:r>
        <w:rPr>
          <w:szCs w:val="22"/>
        </w:rPr>
        <w:t xml:space="preserve"> Applicants state that n</w:t>
      </w:r>
      <w:r w:rsidRPr="009867BB">
        <w:rPr>
          <w:szCs w:val="22"/>
        </w:rPr>
        <w:t>o other entity or individual will own a 10% or greater direct or indirect equity or voting interest in Connect Holding.</w:t>
      </w:r>
      <w:r>
        <w:rPr>
          <w:rStyle w:val="FootnoteReference"/>
          <w:szCs w:val="22"/>
        </w:rPr>
        <w:footnoteReference w:id="26"/>
      </w:r>
    </w:p>
    <w:p w:rsidR="00FA09E5" w:rsidP="00FA09E5" w14:paraId="42BB1882" w14:textId="5810ADE0">
      <w:pPr>
        <w:spacing w:before="100" w:beforeAutospacing="1" w:after="100" w:afterAutospacing="1"/>
        <w:ind w:firstLine="720"/>
      </w:pPr>
      <w:r>
        <w:rPr>
          <w:szCs w:val="22"/>
        </w:rPr>
        <w:t xml:space="preserve">Under the terms of the proposed transaction, </w:t>
      </w:r>
      <w:r w:rsidR="00937C06">
        <w:rPr>
          <w:szCs w:val="22"/>
        </w:rPr>
        <w:t xml:space="preserve">Connect Holding </w:t>
      </w:r>
      <w:r>
        <w:rPr>
          <w:szCs w:val="22"/>
        </w:rPr>
        <w:t>will acquire all of Lumen’s incumbent LEC subsidiaries and their assets, including local fiber and copper networks, consumer, enterprise, and wholesale broadband and voice customers, connectivity to tower sites, central offices, and operations and support functions in 20 states.</w:t>
      </w:r>
      <w:r>
        <w:rPr>
          <w:rStyle w:val="FootnoteReference"/>
          <w:szCs w:val="22"/>
        </w:rPr>
        <w:footnoteReference w:id="27"/>
      </w:r>
      <w:r>
        <w:rPr>
          <w:szCs w:val="22"/>
        </w:rPr>
        <w:t xml:space="preserve">  Consummation of this transaction would also result in the transfer of control of certain of Lumen’s subsidiaries that have been designated as winning bidders in the RDOF Phase I Auction and the associated rights and obligations.</w:t>
      </w:r>
      <w:r>
        <w:rPr>
          <w:rStyle w:val="FootnoteReference"/>
          <w:szCs w:val="22"/>
        </w:rPr>
        <w:footnoteReference w:id="28"/>
      </w:r>
      <w:r>
        <w:rPr>
          <w:szCs w:val="22"/>
        </w:rPr>
        <w:t xml:space="preserve">  Connect Holding will also acquire control of CTBS, which, at close, will principally </w:t>
      </w:r>
      <w:r>
        <w:rPr>
          <w:szCs w:val="22"/>
        </w:rPr>
        <w:t>resell international and domestic interexchange services to customers of the Acquired Incumbent LECs, and will serve as an Eligible Telecommunications Carrier in non-incumbent LEC territories where the Acquired Companies have deployment obligations pursuant to RDOF.</w:t>
      </w:r>
      <w:r>
        <w:rPr>
          <w:rStyle w:val="FootnoteReference"/>
          <w:szCs w:val="22"/>
        </w:rPr>
        <w:footnoteReference w:id="29"/>
      </w:r>
      <w:r>
        <w:rPr>
          <w:szCs w:val="22"/>
        </w:rPr>
        <w:t xml:space="preserve">  </w:t>
      </w:r>
    </w:p>
    <w:p w:rsidR="00FA09E5" w:rsidRPr="002306DF" w:rsidP="00FA09E5" w14:paraId="1EA7F996" w14:textId="77777777">
      <w:pPr>
        <w:autoSpaceDE w:val="0"/>
        <w:autoSpaceDN w:val="0"/>
        <w:adjustRightInd w:val="0"/>
        <w:ind w:firstLine="720"/>
      </w:pPr>
      <w:r w:rsidRPr="00F55292">
        <w:rPr>
          <w:szCs w:val="22"/>
        </w:rPr>
        <w:t xml:space="preserve">Applicants assert </w:t>
      </w:r>
      <w:r>
        <w:rPr>
          <w:szCs w:val="22"/>
        </w:rPr>
        <w:t>that a grant of the applications</w:t>
      </w:r>
      <w:r w:rsidRPr="00F55292">
        <w:rPr>
          <w:szCs w:val="22"/>
        </w:rPr>
        <w:t xml:space="preserve"> will serve the public interest, convenience, and necessity.</w:t>
      </w:r>
      <w:r>
        <w:rPr>
          <w:rStyle w:val="FootnoteReference"/>
          <w:szCs w:val="22"/>
        </w:rPr>
        <w:footnoteReference w:id="30"/>
      </w:r>
      <w:r w:rsidRPr="00F55292">
        <w:rPr>
          <w:szCs w:val="22"/>
        </w:rPr>
        <w:t xml:space="preserve"> </w:t>
      </w:r>
      <w:r>
        <w:rPr>
          <w:szCs w:val="22"/>
        </w:rPr>
        <w:t xml:space="preserve"> </w:t>
      </w:r>
      <w:r>
        <w:rPr>
          <w:rFonts w:ascii="TimesNewRomanPSMT" w:hAnsi="TimesNewRomanPSMT"/>
        </w:rPr>
        <w:t>Applicants explain that t</w:t>
      </w:r>
      <w:r w:rsidRPr="008B2FD6">
        <w:rPr>
          <w:rFonts w:ascii="TimesNewRomanPSMT" w:hAnsi="TimesNewRomanPSMT"/>
        </w:rPr>
        <w:t>he Acquired Companies currently offer broadband service using fiber-to-the-premises (FTTP) to only 3% of residential households and 6% of business locations in their 20-state footprint.</w:t>
      </w:r>
      <w:r>
        <w:rPr>
          <w:rStyle w:val="FootnoteReference"/>
          <w:rFonts w:ascii="TimesNewRomanPSMT" w:hAnsi="TimesNewRomanPSMT"/>
        </w:rPr>
        <w:footnoteReference w:id="31"/>
      </w:r>
      <w:r w:rsidRPr="008B2FD6">
        <w:rPr>
          <w:rFonts w:ascii="TimesNewRomanPSMT" w:hAnsi="TimesNewRomanPSMT"/>
        </w:rPr>
        <w:t xml:space="preserve"> </w:t>
      </w:r>
      <w:r>
        <w:rPr>
          <w:rFonts w:ascii="TimesNewRomanPSMT" w:hAnsi="TimesNewRomanPSMT"/>
        </w:rPr>
        <w:t xml:space="preserve"> Applicants argue that “c</w:t>
      </w:r>
      <w:r w:rsidRPr="008B2FD6">
        <w:rPr>
          <w:rFonts w:ascii="TimesNewRomanPSMT" w:hAnsi="TimesNewRomanPSMT"/>
        </w:rPr>
        <w:t>onsummation of the proposed transaction will provide substantial capital and managerial resources to expand availability of symmetrical gigabit FTTP broadband in that service area.</w:t>
      </w:r>
      <w:r>
        <w:rPr>
          <w:rFonts w:ascii="TimesNewRomanPSMT" w:hAnsi="TimesNewRomanPSMT"/>
        </w:rPr>
        <w:t>”</w:t>
      </w:r>
      <w:r>
        <w:rPr>
          <w:rStyle w:val="FootnoteReference"/>
          <w:rFonts w:ascii="TimesNewRomanPSMT" w:hAnsi="TimesNewRomanPSMT"/>
        </w:rPr>
        <w:footnoteReference w:id="32"/>
      </w:r>
      <w:r w:rsidRPr="008B2FD6">
        <w:rPr>
          <w:rFonts w:ascii="TimesNewRomanPSMT" w:hAnsi="TimesNewRomanPSMT"/>
        </w:rPr>
        <w:t xml:space="preserve"> </w:t>
      </w:r>
      <w:r>
        <w:rPr>
          <w:rFonts w:ascii="TimesNewRomanPSMT" w:hAnsi="TimesNewRomanPSMT"/>
        </w:rPr>
        <w:t xml:space="preserve"> Applicants state that t</w:t>
      </w:r>
      <w:r w:rsidRPr="008B2FD6">
        <w:rPr>
          <w:rFonts w:ascii="TimesNewRomanPSMT" w:hAnsi="TimesNewRomanPSMT"/>
        </w:rPr>
        <w:t xml:space="preserve">he </w:t>
      </w:r>
      <w:r>
        <w:rPr>
          <w:rFonts w:ascii="TimesNewRomanPSMT" w:hAnsi="TimesNewRomanPSMT"/>
        </w:rPr>
        <w:t>“</w:t>
      </w:r>
      <w:r w:rsidRPr="008B2FD6">
        <w:rPr>
          <w:rFonts w:ascii="TimesNewRomanPSMT" w:hAnsi="TimesNewRomanPSMT"/>
        </w:rPr>
        <w:t xml:space="preserve">percentage of households in the Acquired </w:t>
      </w:r>
      <w:r>
        <w:rPr>
          <w:rFonts w:ascii="TimesNewRomanPSMT" w:hAnsi="TimesNewRomanPSMT"/>
        </w:rPr>
        <w:t xml:space="preserve">[incumbent] </w:t>
      </w:r>
      <w:r w:rsidRPr="008B2FD6">
        <w:rPr>
          <w:rFonts w:ascii="TimesNewRomanPSMT" w:hAnsi="TimesNewRomanPSMT"/>
        </w:rPr>
        <w:t>LECs’ footprint that are rural is more than double the distribution in the U.S. as a whole, and the planned fiber upgrade will include a substantial number of these rural areas.</w:t>
      </w:r>
      <w:r>
        <w:rPr>
          <w:rFonts w:ascii="TimesNewRomanPSMT" w:hAnsi="TimesNewRomanPSMT"/>
        </w:rPr>
        <w:t>”</w:t>
      </w:r>
      <w:r>
        <w:rPr>
          <w:rStyle w:val="FootnoteReference"/>
          <w:rFonts w:ascii="TimesNewRomanPSMT" w:hAnsi="TimesNewRomanPSMT"/>
        </w:rPr>
        <w:footnoteReference w:id="33"/>
      </w:r>
      <w:r>
        <w:rPr>
          <w:rFonts w:ascii="TimesNewRomanPSMT" w:hAnsi="TimesNewRomanPSMT"/>
        </w:rPr>
        <w:t xml:space="preserve"> </w:t>
      </w:r>
      <w:r w:rsidRPr="008B2FD6">
        <w:rPr>
          <w:rFonts w:ascii="TimesNewRomanPSMT" w:hAnsi="TimesNewRomanPSMT"/>
        </w:rPr>
        <w:t xml:space="preserve"> </w:t>
      </w:r>
      <w:r>
        <w:rPr>
          <w:rFonts w:ascii="TimesNewRomanPSMT" w:hAnsi="TimesNewRomanPSMT"/>
        </w:rPr>
        <w:t>Applicants contend that “[b]</w:t>
      </w:r>
      <w:r w:rsidRPr="008B2FD6">
        <w:rPr>
          <w:rFonts w:ascii="TimesNewRomanPSMT" w:hAnsi="TimesNewRomanPSMT"/>
        </w:rPr>
        <w:t>etter</w:t>
      </w:r>
      <w:r w:rsidRPr="008B2FD6">
        <w:rPr>
          <w:rFonts w:ascii="TimesNewRomanPSMT" w:hAnsi="TimesNewRomanPSMT"/>
        </w:rPr>
        <w:t>, faster service will lead to a better customer experience and increased value for consumers.</w:t>
      </w:r>
      <w:r>
        <w:rPr>
          <w:rFonts w:ascii="TimesNewRomanPSMT" w:hAnsi="TimesNewRomanPSMT"/>
        </w:rPr>
        <w:t>”</w:t>
      </w:r>
      <w:r>
        <w:rPr>
          <w:rStyle w:val="FootnoteReference"/>
          <w:rFonts w:ascii="TimesNewRomanPSMT" w:hAnsi="TimesNewRomanPSMT"/>
        </w:rPr>
        <w:footnoteReference w:id="34"/>
      </w:r>
      <w:r>
        <w:rPr>
          <w:rFonts w:ascii="TimesNewRomanPSMT" w:hAnsi="TimesNewRomanPSMT"/>
        </w:rPr>
        <w:t xml:space="preserve">  Moreover, </w:t>
      </w:r>
      <w:r>
        <w:t xml:space="preserve">Applicants </w:t>
      </w:r>
      <w:r w:rsidRPr="002306DF">
        <w:rPr>
          <w:rFonts w:ascii="TimesNewRomanPSMT" w:hAnsi="TimesNewRomanPSMT"/>
        </w:rPr>
        <w:t>explain that the “</w:t>
      </w:r>
      <w:r w:rsidRPr="008B2FD6">
        <w:rPr>
          <w:rFonts w:ascii="TimesNewRomanPSMT" w:hAnsi="TimesNewRomanPSMT"/>
        </w:rPr>
        <w:t>FTTP upgrades will be managed by the highly experienced team of executives responsible for Verizon’s successful fiber buildouts, relying on the existing service and technical personnel of the Acquired Companies with no planned reductions in force to maintain continuity of operations.</w:t>
      </w:r>
      <w:r w:rsidRPr="002306DF">
        <w:rPr>
          <w:rFonts w:ascii="TimesNewRomanPSMT" w:hAnsi="TimesNewRomanPSMT"/>
        </w:rPr>
        <w:t>”</w:t>
      </w:r>
      <w:r>
        <w:rPr>
          <w:rStyle w:val="FootnoteReference"/>
          <w:rFonts w:ascii="TimesNewRomanPSMT" w:hAnsi="TimesNewRomanPSMT"/>
        </w:rPr>
        <w:footnoteReference w:id="35"/>
      </w:r>
      <w:r w:rsidRPr="008B2FD6">
        <w:rPr>
          <w:rFonts w:ascii="TimesNewRomanPSMT" w:hAnsi="TimesNewRomanPSMT"/>
        </w:rPr>
        <w:t xml:space="preserve"> </w:t>
      </w:r>
      <w:r>
        <w:rPr>
          <w:rFonts w:ascii="TimesNewRomanPSMT" w:hAnsi="TimesNewRomanPSMT"/>
        </w:rPr>
        <w:t xml:space="preserve"> Applicants explain that t</w:t>
      </w:r>
      <w:r w:rsidRPr="008B2FD6">
        <w:rPr>
          <w:rFonts w:ascii="TimesNewRomanPSMT" w:hAnsi="TimesNewRomanPSMT"/>
        </w:rPr>
        <w:t>he transaction will be seamless for existing customers of the Acquired Companies</w:t>
      </w:r>
      <w:r w:rsidRPr="008B2FD6">
        <w:rPr>
          <w:color w:val="000000"/>
          <w:szCs w:val="22"/>
        </w:rPr>
        <w:t>.</w:t>
      </w:r>
      <w:r>
        <w:rPr>
          <w:rStyle w:val="FootnoteReference"/>
          <w:color w:val="000000"/>
          <w:szCs w:val="22"/>
        </w:rPr>
        <w:footnoteReference w:id="36"/>
      </w:r>
      <w:r w:rsidRPr="008B2FD6">
        <w:rPr>
          <w:color w:val="000000"/>
          <w:szCs w:val="22"/>
        </w:rPr>
        <w:t xml:space="preserve"> </w:t>
      </w:r>
      <w:r>
        <w:rPr>
          <w:color w:val="000000"/>
          <w:szCs w:val="22"/>
        </w:rPr>
        <w:t xml:space="preserve"> Applicants further assert that “</w:t>
      </w:r>
      <w:r w:rsidRPr="008B2FD6">
        <w:rPr>
          <w:color w:val="000000"/>
          <w:szCs w:val="22"/>
        </w:rPr>
        <w:t>the transaction will provide Lumen with substantial new capital that will allow the company to accelerate investments in its remaining Quantum Fiber markets, as well as to focus on growing its core enterprise business and strengthen its fiber network.</w:t>
      </w:r>
      <w:r>
        <w:rPr>
          <w:color w:val="000000"/>
          <w:szCs w:val="22"/>
        </w:rPr>
        <w:t>”</w:t>
      </w:r>
      <w:r>
        <w:rPr>
          <w:rStyle w:val="FootnoteReference"/>
          <w:color w:val="000000"/>
          <w:szCs w:val="22"/>
        </w:rPr>
        <w:footnoteReference w:id="37"/>
      </w:r>
      <w:r w:rsidRPr="008B2FD6">
        <w:rPr>
          <w:color w:val="000000"/>
          <w:szCs w:val="22"/>
        </w:rPr>
        <w:t xml:space="preserve"> </w:t>
      </w:r>
      <w:r>
        <w:rPr>
          <w:color w:val="000000"/>
          <w:szCs w:val="22"/>
        </w:rPr>
        <w:t xml:space="preserve"> Finally, Applicants contend that t</w:t>
      </w:r>
      <w:r w:rsidRPr="008B2FD6">
        <w:rPr>
          <w:color w:val="000000"/>
          <w:szCs w:val="22"/>
        </w:rPr>
        <w:t>he proposed transaction would not diminish competition in any significant way or give Apollo the ability or incentive to unfairly advantage its</w:t>
      </w:r>
      <w:r w:rsidRPr="002306DF">
        <w:rPr>
          <w:color w:val="000000"/>
          <w:szCs w:val="22"/>
        </w:rPr>
        <w:t xml:space="preserve"> </w:t>
      </w:r>
      <w:r w:rsidRPr="008B2FD6">
        <w:rPr>
          <w:color w:val="000000"/>
          <w:szCs w:val="22"/>
        </w:rPr>
        <w:t>other communications assets.</w:t>
      </w:r>
      <w:r>
        <w:rPr>
          <w:rStyle w:val="FootnoteReference"/>
          <w:color w:val="000000"/>
          <w:szCs w:val="22"/>
        </w:rPr>
        <w:footnoteReference w:id="38"/>
      </w:r>
      <w:r w:rsidRPr="008B2FD6">
        <w:rPr>
          <w:rFonts w:ascii="TimesNewRomanPSMT" w:hAnsi="TimesNewRomanPSMT"/>
          <w:sz w:val="24"/>
          <w:szCs w:val="24"/>
        </w:rPr>
        <w:t xml:space="preserve"> </w:t>
      </w:r>
    </w:p>
    <w:p w:rsidR="00FA09E5" w:rsidP="00FA09E5" w14:paraId="0E97D0A7" w14:textId="77777777">
      <w:pPr>
        <w:autoSpaceDE w:val="0"/>
        <w:autoSpaceDN w:val="0"/>
        <w:adjustRightInd w:val="0"/>
        <w:ind w:firstLine="720"/>
        <w:rPr>
          <w:szCs w:val="22"/>
        </w:rPr>
      </w:pPr>
    </w:p>
    <w:p w:rsidR="00FA09E5" w:rsidRPr="002336DD" w:rsidP="00FA09E5" w14:paraId="712C5036" w14:textId="77777777">
      <w:pPr>
        <w:keepNext/>
        <w:autoSpaceDE w:val="0"/>
        <w:autoSpaceDN w:val="0"/>
        <w:adjustRightInd w:val="0"/>
        <w:rPr>
          <w:b/>
          <w:bCs/>
          <w:szCs w:val="22"/>
          <w:u w:val="single"/>
        </w:rPr>
      </w:pPr>
      <w:r w:rsidRPr="002336DD">
        <w:rPr>
          <w:b/>
          <w:bCs/>
          <w:szCs w:val="22"/>
          <w:u w:val="single"/>
        </w:rPr>
        <w:t>Petition for Declaratory Ruling Under Section 310(b)(4)</w:t>
      </w:r>
    </w:p>
    <w:p w:rsidR="007E7DCA" w:rsidP="00FA3175" w14:paraId="5C736518" w14:textId="3A3E5E8E">
      <w:pPr>
        <w:spacing w:before="100" w:beforeAutospacing="1" w:after="100" w:afterAutospacing="1"/>
        <w:ind w:firstLine="720"/>
        <w:rPr>
          <w:szCs w:val="22"/>
        </w:rPr>
      </w:pPr>
      <w:r>
        <w:rPr>
          <w:szCs w:val="22"/>
        </w:rPr>
        <w:t>Lumen</w:t>
      </w:r>
      <w:r w:rsidRPr="007E7DCA">
        <w:rPr>
          <w:szCs w:val="22"/>
        </w:rPr>
        <w:t xml:space="preserve"> holds common carrier wireless licenses and thus </w:t>
      </w:r>
      <w:r>
        <w:rPr>
          <w:szCs w:val="22"/>
        </w:rPr>
        <w:t xml:space="preserve">Connect Holding </w:t>
      </w:r>
      <w:r w:rsidRPr="007E7DCA">
        <w:rPr>
          <w:szCs w:val="22"/>
        </w:rPr>
        <w:t>(Petitioner) ha</w:t>
      </w:r>
      <w:r w:rsidR="004324A9">
        <w:rPr>
          <w:szCs w:val="22"/>
        </w:rPr>
        <w:t>s</w:t>
      </w:r>
      <w:r w:rsidRPr="007E7DCA">
        <w:rPr>
          <w:szCs w:val="22"/>
        </w:rPr>
        <w:t xml:space="preserve"> filed a petition for declaratory ruling (Petition), pursuant to section 1.5000(a)(1) of the Commission’s rules, to permit foreign ownership in the proposed controlling U.S. parent, </w:t>
      </w:r>
      <w:r w:rsidR="004324A9">
        <w:rPr>
          <w:szCs w:val="22"/>
        </w:rPr>
        <w:t>Connect Holding II</w:t>
      </w:r>
      <w:r w:rsidRPr="007E7DCA">
        <w:rPr>
          <w:szCs w:val="22"/>
        </w:rPr>
        <w:t>,</w:t>
      </w:r>
      <w:r>
        <w:rPr>
          <w:rStyle w:val="FootnoteReference"/>
          <w:color w:val="000000"/>
          <w:szCs w:val="22"/>
        </w:rPr>
        <w:footnoteReference w:id="39"/>
      </w:r>
      <w:r w:rsidRPr="007E7DCA">
        <w:rPr>
          <w:szCs w:val="22"/>
        </w:rPr>
        <w:t xml:space="preserve"> to exceed the 25% benchmarks in section 310(b)(4) of the Act.</w:t>
      </w:r>
      <w:r>
        <w:rPr>
          <w:rStyle w:val="FootnoteReference"/>
          <w:szCs w:val="22"/>
        </w:rPr>
        <w:footnoteReference w:id="40"/>
      </w:r>
      <w:r w:rsidRPr="007E7DCA">
        <w:rPr>
          <w:szCs w:val="22"/>
        </w:rPr>
        <w:t xml:space="preserve">  Petitioner assert</w:t>
      </w:r>
      <w:r w:rsidR="00A07571">
        <w:rPr>
          <w:szCs w:val="22"/>
        </w:rPr>
        <w:t>s</w:t>
      </w:r>
      <w:r w:rsidRPr="007E7DCA">
        <w:rPr>
          <w:szCs w:val="22"/>
        </w:rPr>
        <w:t xml:space="preserve"> that the proposed foreign ownership of </w:t>
      </w:r>
      <w:r w:rsidR="004365D1">
        <w:rPr>
          <w:szCs w:val="22"/>
        </w:rPr>
        <w:t xml:space="preserve">Lumen </w:t>
      </w:r>
      <w:r w:rsidRPr="007E7DCA">
        <w:rPr>
          <w:szCs w:val="22"/>
        </w:rPr>
        <w:t>would serve the public interest.</w:t>
      </w:r>
      <w:r>
        <w:rPr>
          <w:rStyle w:val="FootnoteReference"/>
          <w:color w:val="000000"/>
          <w:szCs w:val="22"/>
        </w:rPr>
        <w:footnoteReference w:id="41"/>
      </w:r>
    </w:p>
    <w:p w:rsidR="0093020F" w:rsidP="00DF4B72" w14:paraId="33FB6B16" w14:textId="77777777">
      <w:pPr>
        <w:spacing w:before="100" w:beforeAutospacing="1" w:after="100" w:afterAutospacing="1"/>
        <w:ind w:firstLine="720"/>
        <w:rPr>
          <w:szCs w:val="22"/>
        </w:rPr>
      </w:pPr>
      <w:r>
        <w:rPr>
          <w:szCs w:val="22"/>
        </w:rPr>
        <w:t>As described above and a</w:t>
      </w:r>
      <w:r w:rsidR="004365D1">
        <w:rPr>
          <w:szCs w:val="22"/>
        </w:rPr>
        <w:t xml:space="preserve">ccording to the Petition, </w:t>
      </w:r>
      <w:r>
        <w:rPr>
          <w:szCs w:val="22"/>
        </w:rPr>
        <w:t>a</w:t>
      </w:r>
      <w:r w:rsidRPr="003A6810">
        <w:rPr>
          <w:szCs w:val="22"/>
        </w:rPr>
        <w:t>fter consummation of the proposed transaction, each of the Acquired Companies will be 100% directly or indirectly owned by Connect Holding II, a Delaware limited liability company, with one exception.</w:t>
      </w:r>
      <w:r>
        <w:rPr>
          <w:rStyle w:val="FootnoteReference"/>
          <w:szCs w:val="22"/>
        </w:rPr>
        <w:footnoteReference w:id="42"/>
      </w:r>
      <w:r>
        <w:rPr>
          <w:szCs w:val="22"/>
        </w:rPr>
        <w:t xml:space="preserve">  </w:t>
      </w:r>
      <w:r w:rsidRPr="009867BB" w:rsidR="0057324F">
        <w:rPr>
          <w:szCs w:val="22"/>
        </w:rPr>
        <w:t>Connect</w:t>
      </w:r>
      <w:r w:rsidR="0057324F">
        <w:rPr>
          <w:szCs w:val="22"/>
        </w:rPr>
        <w:t xml:space="preserve"> </w:t>
      </w:r>
      <w:r w:rsidRPr="009867BB" w:rsidR="0057324F">
        <w:rPr>
          <w:szCs w:val="22"/>
        </w:rPr>
        <w:t>Holding</w:t>
      </w:r>
      <w:r w:rsidR="0057324F">
        <w:rPr>
          <w:szCs w:val="22"/>
        </w:rPr>
        <w:t xml:space="preserve"> </w:t>
      </w:r>
      <w:r w:rsidRPr="009867BB" w:rsidR="0057324F">
        <w:rPr>
          <w:szCs w:val="22"/>
        </w:rPr>
        <w:t>II</w:t>
      </w:r>
      <w:r w:rsidR="00E45A8B">
        <w:rPr>
          <w:szCs w:val="22"/>
        </w:rPr>
        <w:t xml:space="preserve"> </w:t>
      </w:r>
      <w:r w:rsidRPr="009867BB" w:rsidR="0057324F">
        <w:rPr>
          <w:szCs w:val="22"/>
        </w:rPr>
        <w:t>will</w:t>
      </w:r>
      <w:r w:rsidR="0057324F">
        <w:rPr>
          <w:szCs w:val="22"/>
        </w:rPr>
        <w:t xml:space="preserve"> </w:t>
      </w:r>
      <w:r w:rsidRPr="009867BB" w:rsidR="0057324F">
        <w:rPr>
          <w:szCs w:val="22"/>
        </w:rPr>
        <w:t>be</w:t>
      </w:r>
      <w:r w:rsidR="0057324F">
        <w:rPr>
          <w:szCs w:val="22"/>
        </w:rPr>
        <w:t xml:space="preserve"> </w:t>
      </w:r>
      <w:r w:rsidRPr="009867BB" w:rsidR="0057324F">
        <w:rPr>
          <w:szCs w:val="22"/>
        </w:rPr>
        <w:t>100%</w:t>
      </w:r>
      <w:r w:rsidR="0057324F">
        <w:rPr>
          <w:szCs w:val="22"/>
        </w:rPr>
        <w:t xml:space="preserve"> </w:t>
      </w:r>
      <w:r w:rsidRPr="009867BB" w:rsidR="0057324F">
        <w:rPr>
          <w:szCs w:val="22"/>
        </w:rPr>
        <w:t>owned</w:t>
      </w:r>
      <w:r w:rsidR="0057324F">
        <w:rPr>
          <w:szCs w:val="22"/>
        </w:rPr>
        <w:t xml:space="preserve"> </w:t>
      </w:r>
      <w:r w:rsidRPr="009867BB" w:rsidR="0057324F">
        <w:rPr>
          <w:szCs w:val="22"/>
        </w:rPr>
        <w:t>by Connect</w:t>
      </w:r>
      <w:r w:rsidR="0057324F">
        <w:rPr>
          <w:szCs w:val="22"/>
        </w:rPr>
        <w:t xml:space="preserve"> </w:t>
      </w:r>
      <w:r w:rsidRPr="009867BB" w:rsidR="0057324F">
        <w:rPr>
          <w:szCs w:val="22"/>
        </w:rPr>
        <w:t>Holding</w:t>
      </w:r>
      <w:r w:rsidR="0057324F">
        <w:rPr>
          <w:szCs w:val="22"/>
        </w:rPr>
        <w:t>, a Delaware limited liability company</w:t>
      </w:r>
      <w:r w:rsidRPr="009867BB" w:rsidR="0057324F">
        <w:rPr>
          <w:szCs w:val="22"/>
        </w:rPr>
        <w:t>.</w:t>
      </w:r>
      <w:r>
        <w:rPr>
          <w:rStyle w:val="FootnoteReference"/>
          <w:szCs w:val="22"/>
        </w:rPr>
        <w:footnoteReference w:id="43"/>
      </w:r>
      <w:r w:rsidRPr="009867BB" w:rsidR="0057324F">
        <w:rPr>
          <w:szCs w:val="22"/>
        </w:rPr>
        <w:t xml:space="preserve"> </w:t>
      </w:r>
      <w:r w:rsidR="0057324F">
        <w:rPr>
          <w:szCs w:val="22"/>
        </w:rPr>
        <w:t xml:space="preserve"> </w:t>
      </w:r>
      <w:r w:rsidRPr="009867BB" w:rsidR="0057324F">
        <w:rPr>
          <w:szCs w:val="22"/>
        </w:rPr>
        <w:t>Connect</w:t>
      </w:r>
      <w:r w:rsidR="0057324F">
        <w:rPr>
          <w:szCs w:val="22"/>
        </w:rPr>
        <w:t xml:space="preserve"> </w:t>
      </w:r>
      <w:r w:rsidRPr="009867BB" w:rsidR="0057324F">
        <w:rPr>
          <w:szCs w:val="22"/>
        </w:rPr>
        <w:t>Holding</w:t>
      </w:r>
      <w:r w:rsidR="0057324F">
        <w:rPr>
          <w:szCs w:val="22"/>
        </w:rPr>
        <w:t xml:space="preserve"> </w:t>
      </w:r>
      <w:r w:rsidRPr="009867BB" w:rsidR="0057324F">
        <w:rPr>
          <w:szCs w:val="22"/>
        </w:rPr>
        <w:t>will</w:t>
      </w:r>
      <w:r w:rsidR="0057324F">
        <w:rPr>
          <w:szCs w:val="22"/>
        </w:rPr>
        <w:t xml:space="preserve"> </w:t>
      </w:r>
      <w:r w:rsidRPr="009867BB" w:rsidR="0057324F">
        <w:rPr>
          <w:szCs w:val="22"/>
        </w:rPr>
        <w:t>be</w:t>
      </w:r>
      <w:r w:rsidR="0057324F">
        <w:rPr>
          <w:szCs w:val="22"/>
        </w:rPr>
        <w:t xml:space="preserve"> </w:t>
      </w:r>
      <w:r w:rsidRPr="009867BB" w:rsidR="0057324F">
        <w:rPr>
          <w:szCs w:val="22"/>
        </w:rPr>
        <w:t>indirectly</w:t>
      </w:r>
      <w:r w:rsidR="0057324F">
        <w:rPr>
          <w:szCs w:val="22"/>
        </w:rPr>
        <w:t xml:space="preserve"> </w:t>
      </w:r>
      <w:r w:rsidRPr="009867BB" w:rsidR="0057324F">
        <w:rPr>
          <w:szCs w:val="22"/>
        </w:rPr>
        <w:t>controlled</w:t>
      </w:r>
      <w:r w:rsidR="0057324F">
        <w:rPr>
          <w:szCs w:val="22"/>
        </w:rPr>
        <w:t xml:space="preserve"> </w:t>
      </w:r>
      <w:r w:rsidRPr="009867BB" w:rsidR="0057324F">
        <w:rPr>
          <w:szCs w:val="22"/>
        </w:rPr>
        <w:t>by</w:t>
      </w:r>
      <w:r w:rsidR="0057324F">
        <w:rPr>
          <w:szCs w:val="22"/>
        </w:rPr>
        <w:t xml:space="preserve"> </w:t>
      </w:r>
      <w:r w:rsidRPr="009867BB" w:rsidR="0057324F">
        <w:rPr>
          <w:szCs w:val="22"/>
        </w:rPr>
        <w:t>AP</w:t>
      </w:r>
      <w:r w:rsidR="0057324F">
        <w:rPr>
          <w:szCs w:val="22"/>
        </w:rPr>
        <w:t xml:space="preserve"> </w:t>
      </w:r>
      <w:r w:rsidRPr="009867BB" w:rsidR="0057324F">
        <w:rPr>
          <w:szCs w:val="22"/>
        </w:rPr>
        <w:t>IX</w:t>
      </w:r>
      <w:r w:rsidR="0057324F">
        <w:rPr>
          <w:szCs w:val="22"/>
        </w:rPr>
        <w:t xml:space="preserve"> </w:t>
      </w:r>
      <w:r w:rsidRPr="009867BB" w:rsidR="0057324F">
        <w:rPr>
          <w:szCs w:val="22"/>
        </w:rPr>
        <w:t>Connect</w:t>
      </w:r>
      <w:r w:rsidR="0057324F">
        <w:rPr>
          <w:szCs w:val="22"/>
        </w:rPr>
        <w:t xml:space="preserve"> </w:t>
      </w:r>
      <w:r w:rsidRPr="009867BB" w:rsidR="0057324F">
        <w:rPr>
          <w:szCs w:val="22"/>
        </w:rPr>
        <w:t>Holdings</w:t>
      </w:r>
      <w:r w:rsidR="00BC3E26">
        <w:rPr>
          <w:szCs w:val="22"/>
        </w:rPr>
        <w:t xml:space="preserve"> through ownership of </w:t>
      </w:r>
      <w:r w:rsidRPr="009867BB" w:rsidR="0057324F">
        <w:rPr>
          <w:szCs w:val="22"/>
        </w:rPr>
        <w:t xml:space="preserve">approximately </w:t>
      </w:r>
      <w:r w:rsidR="0057324F">
        <w:rPr>
          <w:szCs w:val="22"/>
        </w:rPr>
        <w:t>5</w:t>
      </w:r>
      <w:r w:rsidRPr="009867BB" w:rsidR="0057324F">
        <w:rPr>
          <w:szCs w:val="22"/>
        </w:rPr>
        <w:t xml:space="preserve">5% to </w:t>
      </w:r>
      <w:r w:rsidR="0057324F">
        <w:rPr>
          <w:szCs w:val="22"/>
        </w:rPr>
        <w:t>60</w:t>
      </w:r>
      <w:r w:rsidRPr="009867BB" w:rsidR="0057324F">
        <w:rPr>
          <w:szCs w:val="22"/>
        </w:rPr>
        <w:t xml:space="preserve">% of the stock of Connect Parent </w:t>
      </w:r>
      <w:r w:rsidR="00BC3E26">
        <w:rPr>
          <w:szCs w:val="22"/>
        </w:rPr>
        <w:t>(</w:t>
      </w:r>
      <w:r w:rsidRPr="009867BB" w:rsidR="0057324F">
        <w:rPr>
          <w:szCs w:val="22"/>
        </w:rPr>
        <w:t>and thus will control Connect Parent</w:t>
      </w:r>
      <w:r w:rsidR="00BC3E26">
        <w:rPr>
          <w:szCs w:val="22"/>
        </w:rPr>
        <w:t>)</w:t>
      </w:r>
      <w:r w:rsidRPr="009867BB" w:rsidR="0057324F">
        <w:rPr>
          <w:szCs w:val="22"/>
        </w:rPr>
        <w:t xml:space="preserve"> which, in turn, will control</w:t>
      </w:r>
      <w:r w:rsidR="00BC3E26">
        <w:rPr>
          <w:szCs w:val="22"/>
        </w:rPr>
        <w:t xml:space="preserve"> a series of Delaware limited liability companies, including </w:t>
      </w:r>
      <w:r w:rsidRPr="009867BB" w:rsidR="0057324F">
        <w:rPr>
          <w:szCs w:val="22"/>
        </w:rPr>
        <w:t>Connect Holding II.</w:t>
      </w:r>
      <w:r>
        <w:rPr>
          <w:rStyle w:val="FootnoteReference"/>
          <w:szCs w:val="22"/>
        </w:rPr>
        <w:footnoteReference w:id="44"/>
      </w:r>
      <w:r w:rsidRPr="009867BB" w:rsidR="0057324F">
        <w:rPr>
          <w:szCs w:val="22"/>
        </w:rPr>
        <w:t xml:space="preserve"> </w:t>
      </w:r>
      <w:r w:rsidR="0057324F">
        <w:rPr>
          <w:szCs w:val="22"/>
        </w:rPr>
        <w:t xml:space="preserve"> </w:t>
      </w:r>
      <w:r w:rsidRPr="00B953DD" w:rsidR="0057324F">
        <w:rPr>
          <w:szCs w:val="22"/>
        </w:rPr>
        <w:t>The remainder of the equity in Connect Holding</w:t>
      </w:r>
      <w:r w:rsidR="00F613A2">
        <w:rPr>
          <w:szCs w:val="22"/>
        </w:rPr>
        <w:t xml:space="preserve"> II </w:t>
      </w:r>
      <w:r w:rsidRPr="00B953DD" w:rsidR="0057324F">
        <w:rPr>
          <w:szCs w:val="22"/>
        </w:rPr>
        <w:t>will be held by</w:t>
      </w:r>
      <w:r w:rsidR="0084391B">
        <w:rPr>
          <w:szCs w:val="22"/>
        </w:rPr>
        <w:t>:</w:t>
      </w:r>
      <w:r w:rsidRPr="00B953DD" w:rsidR="0057324F">
        <w:rPr>
          <w:szCs w:val="22"/>
        </w:rPr>
        <w:t xml:space="preserve"> </w:t>
      </w:r>
      <w:r w:rsidR="0057324F">
        <w:rPr>
          <w:szCs w:val="22"/>
        </w:rPr>
        <w:t xml:space="preserve"> </w:t>
      </w:r>
      <w:r w:rsidRPr="00B953DD" w:rsidR="0057324F">
        <w:rPr>
          <w:szCs w:val="22"/>
        </w:rPr>
        <w:t xml:space="preserve">(1) </w:t>
      </w:r>
      <w:r w:rsidR="00A36FA2">
        <w:rPr>
          <w:szCs w:val="22"/>
        </w:rPr>
        <w:t xml:space="preserve">Co-Invest </w:t>
      </w:r>
      <w:r w:rsidR="00C36959">
        <w:rPr>
          <w:szCs w:val="22"/>
        </w:rPr>
        <w:t>Holdings</w:t>
      </w:r>
      <w:r w:rsidRPr="00B953DD" w:rsidR="0057324F">
        <w:rPr>
          <w:szCs w:val="22"/>
        </w:rPr>
        <w:t>, which will indirectly hold approximately 35-40</w:t>
      </w:r>
      <w:r w:rsidR="0057324F">
        <w:rPr>
          <w:szCs w:val="22"/>
        </w:rPr>
        <w:t>%</w:t>
      </w:r>
      <w:r w:rsidRPr="00B953DD" w:rsidR="0057324F">
        <w:rPr>
          <w:szCs w:val="22"/>
        </w:rPr>
        <w:t xml:space="preserve"> of the equity interests in Connect Holding; and (2) AIOF II Holdings,</w:t>
      </w:r>
      <w:r w:rsidRPr="00B953DD" w:rsidR="0057324F">
        <w:rPr>
          <w:szCs w:val="22"/>
        </w:rPr>
        <w:t xml:space="preserve"> </w:t>
      </w:r>
      <w:r w:rsidRPr="00B953DD" w:rsidR="0057324F">
        <w:rPr>
          <w:szCs w:val="22"/>
        </w:rPr>
        <w:t>which will indirectly hold less than 5</w:t>
      </w:r>
      <w:r w:rsidR="0057324F">
        <w:rPr>
          <w:szCs w:val="22"/>
        </w:rPr>
        <w:t>%</w:t>
      </w:r>
      <w:r w:rsidRPr="00B953DD" w:rsidR="0057324F">
        <w:rPr>
          <w:szCs w:val="22"/>
        </w:rPr>
        <w:t xml:space="preserve"> of the equity interests in Connect Holding.</w:t>
      </w:r>
      <w:r>
        <w:rPr>
          <w:rStyle w:val="FootnoteReference"/>
          <w:szCs w:val="22"/>
        </w:rPr>
        <w:footnoteReference w:id="45"/>
      </w:r>
      <w:r w:rsidR="000106B5">
        <w:rPr>
          <w:szCs w:val="22"/>
        </w:rPr>
        <w:t xml:space="preserve">  </w:t>
      </w:r>
    </w:p>
    <w:p w:rsidR="001641BD" w:rsidP="00DF4B72" w14:paraId="50793E38" w14:textId="52A235EB">
      <w:pPr>
        <w:spacing w:before="100" w:beforeAutospacing="1" w:after="100" w:afterAutospacing="1"/>
        <w:ind w:firstLine="720"/>
        <w:rPr>
          <w:szCs w:val="22"/>
        </w:rPr>
      </w:pPr>
      <w:r>
        <w:rPr>
          <w:szCs w:val="22"/>
        </w:rPr>
        <w:t>Petitioner asserts that AP</w:t>
      </w:r>
      <w:r w:rsidR="00146144">
        <w:rPr>
          <w:szCs w:val="22"/>
        </w:rPr>
        <w:t xml:space="preserve"> </w:t>
      </w:r>
      <w:r>
        <w:rPr>
          <w:szCs w:val="22"/>
        </w:rPr>
        <w:t xml:space="preserve">IX Connect Holdings, </w:t>
      </w:r>
      <w:r w:rsidR="007C4669">
        <w:rPr>
          <w:szCs w:val="22"/>
        </w:rPr>
        <w:t>Co-Invest</w:t>
      </w:r>
      <w:r>
        <w:rPr>
          <w:szCs w:val="22"/>
        </w:rPr>
        <w:t xml:space="preserve"> Holdings, </w:t>
      </w:r>
      <w:r w:rsidR="00DF4B72">
        <w:rPr>
          <w:szCs w:val="22"/>
        </w:rPr>
        <w:t xml:space="preserve">and AIOF </w:t>
      </w:r>
      <w:r w:rsidR="007C2193">
        <w:rPr>
          <w:szCs w:val="22"/>
        </w:rPr>
        <w:t>II</w:t>
      </w:r>
      <w:r w:rsidR="00DF4B72">
        <w:rPr>
          <w:szCs w:val="22"/>
        </w:rPr>
        <w:t xml:space="preserve"> Holdings, will include foreign ownership held solely through limited partnership interests insulated pursuant to </w:t>
      </w:r>
      <w:r w:rsidR="000626DF">
        <w:rPr>
          <w:szCs w:val="22"/>
        </w:rPr>
        <w:t xml:space="preserve">section </w:t>
      </w:r>
      <w:r w:rsidR="00DF4B72">
        <w:rPr>
          <w:szCs w:val="22"/>
        </w:rPr>
        <w:t>1.5003 of the Commission’s rules,</w:t>
      </w:r>
      <w:r>
        <w:rPr>
          <w:rStyle w:val="FootnoteReference"/>
          <w:szCs w:val="22"/>
        </w:rPr>
        <w:footnoteReference w:id="46"/>
      </w:r>
      <w:r w:rsidR="00DF4B72">
        <w:rPr>
          <w:szCs w:val="22"/>
        </w:rPr>
        <w:t xml:space="preserve"> and specifies that, “</w:t>
      </w:r>
      <w:r w:rsidRPr="00DF4B72" w:rsidR="00DF4B72">
        <w:rPr>
          <w:szCs w:val="22"/>
        </w:rPr>
        <w:t>insulated limited partners are prohibited by their respective limited</w:t>
      </w:r>
      <w:r w:rsidR="00DF4B72">
        <w:rPr>
          <w:szCs w:val="22"/>
        </w:rPr>
        <w:t xml:space="preserve"> </w:t>
      </w:r>
      <w:r w:rsidRPr="00DF4B72" w:rsidR="00DF4B72">
        <w:rPr>
          <w:szCs w:val="22"/>
        </w:rPr>
        <w:t>partnership agreements from, and in fact will not be engaged in, active involvement in the</w:t>
      </w:r>
      <w:r w:rsidR="00DF4B72">
        <w:rPr>
          <w:szCs w:val="22"/>
        </w:rPr>
        <w:t xml:space="preserve"> </w:t>
      </w:r>
      <w:r w:rsidRPr="00DF4B72" w:rsidR="00DF4B72">
        <w:rPr>
          <w:szCs w:val="22"/>
        </w:rPr>
        <w:t>management or operation of their respective partnerships, and no investor protections other than</w:t>
      </w:r>
      <w:r w:rsidR="00DF4B72">
        <w:rPr>
          <w:szCs w:val="22"/>
        </w:rPr>
        <w:t xml:space="preserve"> </w:t>
      </w:r>
      <w:r w:rsidRPr="00DF4B72" w:rsidR="00DF4B72">
        <w:rPr>
          <w:szCs w:val="22"/>
        </w:rPr>
        <w:t>the usual and customary investor protections identified in 47 C.F.R. 1.5003(c) are contained in</w:t>
      </w:r>
      <w:r w:rsidR="00DF4B72">
        <w:rPr>
          <w:szCs w:val="22"/>
        </w:rPr>
        <w:t xml:space="preserve"> </w:t>
      </w:r>
      <w:r w:rsidRPr="00DF4B72" w:rsidR="00DF4B72">
        <w:rPr>
          <w:szCs w:val="22"/>
        </w:rPr>
        <w:t>their respective limited partnership agreements.</w:t>
      </w:r>
      <w:r w:rsidR="00DF4B72">
        <w:rPr>
          <w:szCs w:val="22"/>
        </w:rPr>
        <w:t>”</w:t>
      </w:r>
      <w:r>
        <w:rPr>
          <w:rStyle w:val="FootnoteReference"/>
          <w:szCs w:val="22"/>
        </w:rPr>
        <w:footnoteReference w:id="47"/>
      </w:r>
    </w:p>
    <w:p w:rsidR="006D7315" w:rsidP="00FA3175" w14:paraId="0478C2B5" w14:textId="0AFEE850">
      <w:pPr>
        <w:spacing w:before="100" w:beforeAutospacing="1" w:after="100" w:afterAutospacing="1"/>
        <w:ind w:firstLine="720"/>
        <w:rPr>
          <w:szCs w:val="22"/>
        </w:rPr>
      </w:pPr>
      <w:r w:rsidRPr="00E73929">
        <w:rPr>
          <w:szCs w:val="22"/>
        </w:rPr>
        <w:t>Pursuant to section 1.5001(</w:t>
      </w:r>
      <w:r w:rsidRPr="00E73929">
        <w:rPr>
          <w:szCs w:val="22"/>
        </w:rPr>
        <w:t>i</w:t>
      </w:r>
      <w:r w:rsidRPr="00E73929">
        <w:rPr>
          <w:szCs w:val="22"/>
        </w:rPr>
        <w:t>) of the Commission’s rules,</w:t>
      </w:r>
      <w:r>
        <w:rPr>
          <w:rStyle w:val="FootnoteReference"/>
          <w:szCs w:val="22"/>
        </w:rPr>
        <w:footnoteReference w:id="48"/>
      </w:r>
      <w:r w:rsidRPr="00E73929">
        <w:rPr>
          <w:szCs w:val="22"/>
        </w:rPr>
        <w:t xml:space="preserve"> Petitioner request</w:t>
      </w:r>
      <w:r>
        <w:rPr>
          <w:szCs w:val="22"/>
        </w:rPr>
        <w:t>s</w:t>
      </w:r>
      <w:r w:rsidRPr="00E73929">
        <w:rPr>
          <w:szCs w:val="22"/>
        </w:rPr>
        <w:t xml:space="preserve"> that the Commission specifically approve the equity and/or voting interests that would be held in </w:t>
      </w:r>
      <w:r>
        <w:rPr>
          <w:szCs w:val="22"/>
        </w:rPr>
        <w:t xml:space="preserve">Connect </w:t>
      </w:r>
      <w:r>
        <w:rPr>
          <w:szCs w:val="22"/>
        </w:rPr>
        <w:t>Holding II LLC, the controlling U.S. parent,</w:t>
      </w:r>
      <w:r w:rsidRPr="00E73929">
        <w:rPr>
          <w:szCs w:val="22"/>
        </w:rPr>
        <w:t xml:space="preserve"> upon completion of the proposed transaction by </w:t>
      </w:r>
      <w:r w:rsidR="00384D9B">
        <w:rPr>
          <w:szCs w:val="22"/>
        </w:rPr>
        <w:t xml:space="preserve">certain </w:t>
      </w:r>
      <w:r w:rsidRPr="00E73929">
        <w:rPr>
          <w:szCs w:val="22"/>
        </w:rPr>
        <w:t>foreign entities and foreign individuals at the percentages specified below.</w:t>
      </w:r>
    </w:p>
    <w:p w:rsidR="004365D1" w:rsidP="00FA3175" w14:paraId="4641B558" w14:textId="19FE95AA">
      <w:pPr>
        <w:spacing w:before="100" w:beforeAutospacing="1"/>
        <w:ind w:left="720"/>
        <w:rPr>
          <w:szCs w:val="22"/>
        </w:rPr>
      </w:pPr>
      <w:r>
        <w:rPr>
          <w:szCs w:val="22"/>
        </w:rPr>
        <w:t>Platinum Falcon B 2018 RSC Limited (5-9.99% equity, 5-9.99% voting) (United Arab Emirates)</w:t>
      </w:r>
    </w:p>
    <w:p w:rsidR="0032619B" w:rsidP="0032619B" w14:paraId="56C05EA4" w14:textId="11DC0013">
      <w:pPr>
        <w:ind w:firstLine="720"/>
        <w:rPr>
          <w:szCs w:val="22"/>
        </w:rPr>
      </w:pPr>
      <w:r>
        <w:rPr>
          <w:szCs w:val="22"/>
        </w:rPr>
        <w:t>Aviva Investment Pte Ltd (5-9.99% equity, 5-9.99% voting) (</w:t>
      </w:r>
      <w:r w:rsidR="00872D86">
        <w:rPr>
          <w:szCs w:val="22"/>
        </w:rPr>
        <w:t>Singapore</w:t>
      </w:r>
      <w:r>
        <w:rPr>
          <w:szCs w:val="22"/>
        </w:rPr>
        <w:t>)</w:t>
      </w:r>
    </w:p>
    <w:p w:rsidR="0032619B" w:rsidP="00FA3175" w14:paraId="6086D8EA" w14:textId="53C55FA6">
      <w:pPr>
        <w:ind w:firstLine="720"/>
        <w:rPr>
          <w:szCs w:val="22"/>
        </w:rPr>
      </w:pPr>
      <w:r>
        <w:rPr>
          <w:szCs w:val="22"/>
        </w:rPr>
        <w:t>Stichting</w:t>
      </w:r>
      <w:r>
        <w:rPr>
          <w:szCs w:val="22"/>
        </w:rPr>
        <w:t xml:space="preserve"> </w:t>
      </w:r>
      <w:r>
        <w:rPr>
          <w:szCs w:val="22"/>
        </w:rPr>
        <w:t>Pensioenfonds</w:t>
      </w:r>
      <w:r>
        <w:rPr>
          <w:szCs w:val="22"/>
        </w:rPr>
        <w:t xml:space="preserve"> ABP (5-9.99% equity, 5-9.99% voting) (Netherlands)</w:t>
      </w:r>
    </w:p>
    <w:p w:rsidR="00DE1A15" w:rsidRPr="00DE1A15" w:rsidP="00DE1A15" w14:paraId="4E63DB82" w14:textId="123EEB62">
      <w:pPr>
        <w:spacing w:before="100" w:beforeAutospacing="1" w:after="100" w:afterAutospacing="1"/>
        <w:ind w:firstLine="720"/>
        <w:rPr>
          <w:szCs w:val="22"/>
        </w:rPr>
      </w:pPr>
      <w:r>
        <w:rPr>
          <w:szCs w:val="22"/>
        </w:rPr>
        <w:t>Petitioner does not request advance approval for any of the above-listed specific approval entities above their current levels.</w:t>
      </w:r>
      <w:r w:rsidR="007775ED">
        <w:rPr>
          <w:szCs w:val="22"/>
        </w:rPr>
        <w:t xml:space="preserve">  </w:t>
      </w:r>
      <w:r w:rsidR="000D08D6">
        <w:rPr>
          <w:szCs w:val="22"/>
        </w:rPr>
        <w:t>Petitioner requests approval for aggregate foreign equity and voting interests into Connect Holding II LLC up to 100%.</w:t>
      </w:r>
      <w:r>
        <w:rPr>
          <w:rStyle w:val="FootnoteReference"/>
          <w:color w:val="000000"/>
          <w:szCs w:val="22"/>
        </w:rPr>
        <w:footnoteReference w:id="49"/>
      </w:r>
    </w:p>
    <w:p w:rsidR="00B46945" w:rsidP="00A05451" w14:paraId="4464B687" w14:textId="12EB565A">
      <w:pPr>
        <w:spacing w:before="100" w:beforeAutospacing="1" w:after="100" w:afterAutospacing="1"/>
        <w:ind w:firstLine="720"/>
        <w:rPr>
          <w:szCs w:val="22"/>
        </w:rPr>
      </w:pPr>
      <w:r>
        <w:rPr>
          <w:szCs w:val="22"/>
        </w:rPr>
        <w:t xml:space="preserve">In addition, </w:t>
      </w:r>
      <w:r w:rsidR="001C4EBF">
        <w:rPr>
          <w:szCs w:val="22"/>
        </w:rPr>
        <w:t>P</w:t>
      </w:r>
      <w:r w:rsidR="00F30EBD">
        <w:rPr>
          <w:szCs w:val="22"/>
        </w:rPr>
        <w:t>etitioner requests approval for aggregate foreign equity and voting interests into AGM up to 100%</w:t>
      </w:r>
      <w:r w:rsidR="006C317E">
        <w:rPr>
          <w:szCs w:val="22"/>
        </w:rPr>
        <w:t>.</w:t>
      </w:r>
      <w:r>
        <w:rPr>
          <w:rStyle w:val="FootnoteReference"/>
          <w:color w:val="000000"/>
          <w:szCs w:val="22"/>
        </w:rPr>
        <w:footnoteReference w:id="50"/>
      </w:r>
      <w:r w:rsidR="006C317E">
        <w:rPr>
          <w:szCs w:val="22"/>
        </w:rPr>
        <w:t xml:space="preserve">  </w:t>
      </w:r>
      <w:r w:rsidR="00AE01DA">
        <w:rPr>
          <w:szCs w:val="22"/>
        </w:rPr>
        <w:t>In considering a</w:t>
      </w:r>
      <w:r w:rsidR="006C317E">
        <w:rPr>
          <w:szCs w:val="22"/>
        </w:rPr>
        <w:t xml:space="preserve"> </w:t>
      </w:r>
      <w:r w:rsidR="00815739">
        <w:rPr>
          <w:szCs w:val="22"/>
        </w:rPr>
        <w:t>petition for declarato</w:t>
      </w:r>
      <w:r w:rsidR="004427EC">
        <w:rPr>
          <w:szCs w:val="22"/>
        </w:rPr>
        <w:t xml:space="preserve">ry </w:t>
      </w:r>
      <w:r w:rsidR="002107C0">
        <w:rPr>
          <w:szCs w:val="22"/>
        </w:rPr>
        <w:t>for indirect foreign ownership of Terrier</w:t>
      </w:r>
      <w:r w:rsidR="004427EC">
        <w:rPr>
          <w:szCs w:val="22"/>
        </w:rPr>
        <w:t xml:space="preserve"> </w:t>
      </w:r>
      <w:r w:rsidR="001338C1">
        <w:rPr>
          <w:szCs w:val="22"/>
        </w:rPr>
        <w:t>Media</w:t>
      </w:r>
      <w:r w:rsidR="003D5EEB">
        <w:rPr>
          <w:szCs w:val="22"/>
        </w:rPr>
        <w:t>, t</w:t>
      </w:r>
      <w:r w:rsidR="00AE0598">
        <w:rPr>
          <w:szCs w:val="22"/>
        </w:rPr>
        <w:t xml:space="preserve">he Media Bureau found </w:t>
      </w:r>
      <w:r w:rsidR="00307D16">
        <w:rPr>
          <w:szCs w:val="22"/>
        </w:rPr>
        <w:t xml:space="preserve">that </w:t>
      </w:r>
      <w:r w:rsidR="009C4296">
        <w:rPr>
          <w:szCs w:val="22"/>
        </w:rPr>
        <w:t xml:space="preserve">AGM </w:t>
      </w:r>
      <w:r w:rsidR="00245BF8">
        <w:rPr>
          <w:szCs w:val="22"/>
        </w:rPr>
        <w:t xml:space="preserve">would have </w:t>
      </w:r>
      <w:r w:rsidR="004E02FB">
        <w:rPr>
          <w:i/>
          <w:iCs/>
          <w:szCs w:val="22"/>
        </w:rPr>
        <w:t xml:space="preserve">de facto </w:t>
      </w:r>
      <w:r w:rsidR="004E02FB">
        <w:t xml:space="preserve">control </w:t>
      </w:r>
      <w:r w:rsidR="00D70414">
        <w:t xml:space="preserve">of </w:t>
      </w:r>
      <w:r w:rsidR="00307D16">
        <w:rPr>
          <w:szCs w:val="22"/>
        </w:rPr>
        <w:t>Terrier Media</w:t>
      </w:r>
      <w:r w:rsidR="002D7B03">
        <w:rPr>
          <w:szCs w:val="22"/>
        </w:rPr>
        <w:t>.</w:t>
      </w:r>
      <w:r>
        <w:rPr>
          <w:rStyle w:val="FootnoteReference"/>
          <w:color w:val="000000"/>
          <w:szCs w:val="22"/>
        </w:rPr>
        <w:footnoteReference w:id="51"/>
      </w:r>
      <w:r w:rsidR="002D7B03">
        <w:rPr>
          <w:szCs w:val="22"/>
        </w:rPr>
        <w:t xml:space="preserve"> </w:t>
      </w:r>
      <w:r w:rsidR="00307D16">
        <w:rPr>
          <w:szCs w:val="22"/>
        </w:rPr>
        <w:t xml:space="preserve"> </w:t>
      </w:r>
      <w:r>
        <w:rPr>
          <w:szCs w:val="22"/>
        </w:rPr>
        <w:t>W</w:t>
      </w:r>
      <w:r w:rsidRPr="00DE1A15">
        <w:rPr>
          <w:szCs w:val="22"/>
        </w:rPr>
        <w:t xml:space="preserve">hile Petitioner does not concede that AGM exercises </w:t>
      </w:r>
      <w:r w:rsidRPr="00FA3175">
        <w:rPr>
          <w:i/>
          <w:iCs/>
          <w:szCs w:val="22"/>
        </w:rPr>
        <w:t>de facto</w:t>
      </w:r>
      <w:r w:rsidRPr="00DE1A15">
        <w:rPr>
          <w:szCs w:val="22"/>
        </w:rPr>
        <w:t xml:space="preserve"> control over</w:t>
      </w:r>
      <w:r>
        <w:rPr>
          <w:szCs w:val="22"/>
        </w:rPr>
        <w:t xml:space="preserve"> </w:t>
      </w:r>
      <w:r w:rsidRPr="00F2357A">
        <w:rPr>
          <w:szCs w:val="22"/>
        </w:rPr>
        <w:t>Petitioner</w:t>
      </w:r>
      <w:r w:rsidR="00307D16">
        <w:rPr>
          <w:szCs w:val="22"/>
        </w:rPr>
        <w:t xml:space="preserve"> in the instant Petition</w:t>
      </w:r>
      <w:r w:rsidRPr="00F2357A">
        <w:rPr>
          <w:szCs w:val="22"/>
        </w:rPr>
        <w:t xml:space="preserve">, </w:t>
      </w:r>
      <w:r w:rsidR="00307D16">
        <w:rPr>
          <w:szCs w:val="22"/>
        </w:rPr>
        <w:t>it</w:t>
      </w:r>
      <w:r>
        <w:rPr>
          <w:szCs w:val="22"/>
        </w:rPr>
        <w:t xml:space="preserve"> concedes that </w:t>
      </w:r>
      <w:r w:rsidRPr="00F2357A">
        <w:rPr>
          <w:szCs w:val="22"/>
        </w:rPr>
        <w:t>the facts that led the Media Bureau to determine AGM exercise</w:t>
      </w:r>
      <w:r w:rsidR="00857F80">
        <w:rPr>
          <w:szCs w:val="22"/>
        </w:rPr>
        <w:t>s</w:t>
      </w:r>
      <w:r w:rsidRPr="00F2357A">
        <w:rPr>
          <w:szCs w:val="22"/>
        </w:rPr>
        <w:t xml:space="preserve"> </w:t>
      </w:r>
      <w:r w:rsidRPr="00FA3175">
        <w:rPr>
          <w:i/>
          <w:iCs/>
          <w:szCs w:val="22"/>
        </w:rPr>
        <w:t>de facto</w:t>
      </w:r>
      <w:r w:rsidRPr="00F2357A">
        <w:rPr>
          <w:szCs w:val="22"/>
        </w:rPr>
        <w:t xml:space="preserve"> control over</w:t>
      </w:r>
      <w:r>
        <w:rPr>
          <w:szCs w:val="22"/>
        </w:rPr>
        <w:t xml:space="preserve"> </w:t>
      </w:r>
      <w:r w:rsidRPr="00F2357A">
        <w:rPr>
          <w:szCs w:val="22"/>
        </w:rPr>
        <w:t>Terrier Media are materially the same in this transaction.</w:t>
      </w:r>
      <w:r>
        <w:rPr>
          <w:rStyle w:val="FootnoteReference"/>
          <w:color w:val="000000"/>
          <w:szCs w:val="22"/>
        </w:rPr>
        <w:footnoteReference w:id="52"/>
      </w:r>
      <w:r>
        <w:rPr>
          <w:szCs w:val="22"/>
        </w:rPr>
        <w:t xml:space="preserve">  </w:t>
      </w:r>
      <w:r w:rsidR="00307D16">
        <w:rPr>
          <w:szCs w:val="22"/>
        </w:rPr>
        <w:t xml:space="preserve">The </w:t>
      </w:r>
      <w:r>
        <w:rPr>
          <w:szCs w:val="22"/>
        </w:rPr>
        <w:t xml:space="preserve">Petition states that the three members of </w:t>
      </w:r>
      <w:r w:rsidRPr="009867BB">
        <w:rPr>
          <w:szCs w:val="22"/>
        </w:rPr>
        <w:t>VoteCo</w:t>
      </w:r>
      <w:r>
        <w:rPr>
          <w:szCs w:val="22"/>
        </w:rPr>
        <w:t xml:space="preserve"> (</w:t>
      </w:r>
      <w:r w:rsidRPr="009867BB">
        <w:rPr>
          <w:szCs w:val="22"/>
        </w:rPr>
        <w:t xml:space="preserve">Scott Kleinman, John </w:t>
      </w:r>
      <w:r w:rsidRPr="009867BB">
        <w:rPr>
          <w:szCs w:val="22"/>
        </w:rPr>
        <w:t>Suydam</w:t>
      </w:r>
      <w:r w:rsidRPr="009867BB">
        <w:rPr>
          <w:szCs w:val="22"/>
        </w:rPr>
        <w:t xml:space="preserve">, and David </w:t>
      </w:r>
      <w:r w:rsidRPr="009867BB">
        <w:rPr>
          <w:szCs w:val="22"/>
        </w:rPr>
        <w:t>Sambur</w:t>
      </w:r>
      <w:r>
        <w:rPr>
          <w:szCs w:val="22"/>
        </w:rPr>
        <w:t>)</w:t>
      </w:r>
      <w:r>
        <w:rPr>
          <w:rStyle w:val="FootnoteReference"/>
          <w:color w:val="000000"/>
          <w:szCs w:val="22"/>
        </w:rPr>
        <w:footnoteReference w:id="53"/>
      </w:r>
      <w:r>
        <w:rPr>
          <w:szCs w:val="22"/>
        </w:rPr>
        <w:t xml:space="preserve"> are each “an AGM-affiliated professional, and in the event of any such individual’s resignation from a position through which such individual exercises</w:t>
      </w:r>
      <w:r w:rsidR="00B97DC5">
        <w:rPr>
          <w:szCs w:val="22"/>
        </w:rPr>
        <w:t xml:space="preserve"> such control, it is expected that such individual would be replaced by another Apollo-affiliated professional.</w:t>
      </w:r>
      <w:r w:rsidR="00D6768C">
        <w:rPr>
          <w:szCs w:val="22"/>
        </w:rPr>
        <w:t>”</w:t>
      </w:r>
      <w:r>
        <w:rPr>
          <w:rStyle w:val="FootnoteReference"/>
          <w:color w:val="000000"/>
          <w:szCs w:val="22"/>
        </w:rPr>
        <w:footnoteReference w:id="54"/>
      </w:r>
      <w:r>
        <w:rPr>
          <w:szCs w:val="22"/>
        </w:rPr>
        <w:t xml:space="preserve"> </w:t>
      </w:r>
      <w:r w:rsidRPr="009867BB">
        <w:rPr>
          <w:szCs w:val="22"/>
        </w:rPr>
        <w:t xml:space="preserve"> </w:t>
      </w:r>
      <w:r w:rsidR="00B27F19">
        <w:rPr>
          <w:szCs w:val="22"/>
        </w:rPr>
        <w:t>Petitioner</w:t>
      </w:r>
      <w:r>
        <w:rPr>
          <w:szCs w:val="22"/>
        </w:rPr>
        <w:t xml:space="preserve"> states that</w:t>
      </w:r>
      <w:r w:rsidR="00B27F19">
        <w:rPr>
          <w:szCs w:val="22"/>
        </w:rPr>
        <w:t xml:space="preserve"> the managing members and officers of “</w:t>
      </w:r>
      <w:r w:rsidRPr="00F2357A">
        <w:rPr>
          <w:szCs w:val="22"/>
        </w:rPr>
        <w:t>VoteCo</w:t>
      </w:r>
      <w:r w:rsidRPr="00F2357A">
        <w:rPr>
          <w:szCs w:val="22"/>
        </w:rPr>
        <w:t xml:space="preserve"> are officers or employees</w:t>
      </w:r>
      <w:r>
        <w:rPr>
          <w:szCs w:val="22"/>
        </w:rPr>
        <w:t xml:space="preserve"> </w:t>
      </w:r>
      <w:r w:rsidRPr="00F2357A">
        <w:rPr>
          <w:szCs w:val="22"/>
        </w:rPr>
        <w:t xml:space="preserve">of AGM and will be simultaneously employed by AGM and </w:t>
      </w:r>
      <w:r w:rsidRPr="00F2357A">
        <w:rPr>
          <w:szCs w:val="22"/>
        </w:rPr>
        <w:t>VoteCo</w:t>
      </w:r>
      <w:r w:rsidRPr="002A48D1">
        <w:rPr>
          <w:szCs w:val="22"/>
        </w:rPr>
        <w:t xml:space="preserve">. </w:t>
      </w:r>
      <w:r w:rsidRPr="002A48D1" w:rsidR="00B27F19">
        <w:rPr>
          <w:szCs w:val="22"/>
        </w:rPr>
        <w:t xml:space="preserve"> </w:t>
      </w:r>
      <w:r w:rsidRPr="00EE6C76">
        <w:rPr>
          <w:szCs w:val="22"/>
        </w:rPr>
        <w:t>VoteCo</w:t>
      </w:r>
      <w:r w:rsidRPr="00EE6C76">
        <w:rPr>
          <w:szCs w:val="22"/>
        </w:rPr>
        <w:t xml:space="preserve"> is the sole</w:t>
      </w:r>
      <w:r>
        <w:t xml:space="preserve"> </w:t>
      </w:r>
      <w:r w:rsidR="006D673A">
        <w:t xml:space="preserve">member of AP IX Connect Holdings GP, LLC and AIOF II Connect Holdings GP, LLC, </w:t>
      </w:r>
      <w:r w:rsidRPr="00F2357A">
        <w:rPr>
          <w:szCs w:val="22"/>
        </w:rPr>
        <w:t>which in turn directly and indirectly control Petitioner.</w:t>
      </w:r>
      <w:r>
        <w:rPr>
          <w:szCs w:val="22"/>
        </w:rPr>
        <w:t>”</w:t>
      </w:r>
      <w:r>
        <w:rPr>
          <w:rStyle w:val="FootnoteReference"/>
          <w:color w:val="000000"/>
          <w:szCs w:val="22"/>
        </w:rPr>
        <w:footnoteReference w:id="55"/>
      </w:r>
      <w:r>
        <w:rPr>
          <w:szCs w:val="22"/>
        </w:rPr>
        <w:t xml:space="preserve">  Petitioner </w:t>
      </w:r>
      <w:r w:rsidR="00B27F19">
        <w:rPr>
          <w:szCs w:val="22"/>
        </w:rPr>
        <w:t xml:space="preserve">also </w:t>
      </w:r>
      <w:r>
        <w:rPr>
          <w:szCs w:val="22"/>
        </w:rPr>
        <w:t xml:space="preserve">states that </w:t>
      </w:r>
      <w:r w:rsidRPr="00F2357A">
        <w:rPr>
          <w:szCs w:val="22"/>
        </w:rPr>
        <w:t>AGM played a significant role in the creation of Petitioner</w:t>
      </w:r>
      <w:r w:rsidR="00A05451">
        <w:rPr>
          <w:szCs w:val="22"/>
        </w:rPr>
        <w:t xml:space="preserve"> and that </w:t>
      </w:r>
      <w:r w:rsidRPr="00A05451" w:rsidR="00A05451">
        <w:rPr>
          <w:szCs w:val="22"/>
        </w:rPr>
        <w:t>Petitioner is expected to enter into two consulting agreements with affiliates of AGM</w:t>
      </w:r>
      <w:r w:rsidR="00A05451">
        <w:rPr>
          <w:szCs w:val="22"/>
        </w:rPr>
        <w:t>:</w:t>
      </w:r>
      <w:r w:rsidR="00C14187">
        <w:rPr>
          <w:szCs w:val="22"/>
        </w:rPr>
        <w:t xml:space="preserve"> </w:t>
      </w:r>
      <w:r w:rsidR="00A05451">
        <w:rPr>
          <w:szCs w:val="22"/>
        </w:rPr>
        <w:t xml:space="preserve"> </w:t>
      </w:r>
      <w:r w:rsidRPr="00A05451" w:rsidR="00A05451">
        <w:rPr>
          <w:szCs w:val="22"/>
        </w:rPr>
        <w:t xml:space="preserve">one to provide strategic </w:t>
      </w:r>
      <w:r w:rsidRPr="00A05451" w:rsidR="00A05451">
        <w:rPr>
          <w:szCs w:val="22"/>
        </w:rPr>
        <w:t>advice about financing and other material transactions to the</w:t>
      </w:r>
      <w:r w:rsidR="00A05451">
        <w:rPr>
          <w:szCs w:val="22"/>
        </w:rPr>
        <w:t xml:space="preserve"> </w:t>
      </w:r>
      <w:r w:rsidRPr="00A05451" w:rsidR="00A05451">
        <w:rPr>
          <w:szCs w:val="22"/>
        </w:rPr>
        <w:t>members of Connect Holding’s senior management</w:t>
      </w:r>
      <w:r w:rsidR="004A2C0F">
        <w:rPr>
          <w:szCs w:val="22"/>
        </w:rPr>
        <w:t>;</w:t>
      </w:r>
      <w:r w:rsidRPr="00A05451" w:rsidR="00A05451">
        <w:rPr>
          <w:szCs w:val="22"/>
        </w:rPr>
        <w:t xml:space="preserve"> and the other to provide advice</w:t>
      </w:r>
      <w:r w:rsidR="00A05451">
        <w:rPr>
          <w:szCs w:val="22"/>
        </w:rPr>
        <w:t xml:space="preserve"> regarding</w:t>
      </w:r>
      <w:r w:rsidRPr="00A05451" w:rsidR="00A05451">
        <w:rPr>
          <w:szCs w:val="22"/>
        </w:rPr>
        <w:t xml:space="preserve"> future acquisitions</w:t>
      </w:r>
      <w:r w:rsidRPr="00F2357A">
        <w:rPr>
          <w:szCs w:val="22"/>
        </w:rPr>
        <w:t>.</w:t>
      </w:r>
      <w:r>
        <w:rPr>
          <w:rStyle w:val="FootnoteReference"/>
          <w:color w:val="000000"/>
          <w:szCs w:val="22"/>
        </w:rPr>
        <w:footnoteReference w:id="56"/>
      </w:r>
      <w:r w:rsidR="00A05451">
        <w:rPr>
          <w:szCs w:val="22"/>
        </w:rPr>
        <w:t xml:space="preserve">  </w:t>
      </w:r>
    </w:p>
    <w:p w:rsidR="00BA7132" w:rsidRPr="00BA7132" w:rsidP="00B04B65" w14:paraId="4D7163CA" w14:textId="695C645A">
      <w:pPr>
        <w:spacing w:before="100" w:beforeAutospacing="1" w:after="100" w:afterAutospacing="1"/>
        <w:ind w:firstLine="720"/>
        <w:rPr>
          <w:szCs w:val="22"/>
        </w:rPr>
      </w:pPr>
      <w:r>
        <w:rPr>
          <w:szCs w:val="22"/>
        </w:rPr>
        <w:t>There are</w:t>
      </w:r>
      <w:r w:rsidR="006C317E">
        <w:rPr>
          <w:szCs w:val="22"/>
        </w:rPr>
        <w:t xml:space="preserve"> </w:t>
      </w:r>
      <w:r w:rsidR="00155E15">
        <w:rPr>
          <w:szCs w:val="22"/>
        </w:rPr>
        <w:t>t</w:t>
      </w:r>
      <w:r w:rsidR="0091178B">
        <w:rPr>
          <w:szCs w:val="22"/>
        </w:rPr>
        <w:t>w</w:t>
      </w:r>
      <w:r w:rsidR="00155E15">
        <w:rPr>
          <w:szCs w:val="22"/>
        </w:rPr>
        <w:t>o co</w:t>
      </w:r>
      <w:r w:rsidR="00B9754C">
        <w:rPr>
          <w:szCs w:val="22"/>
        </w:rPr>
        <w:t xml:space="preserve">ntemplated transactions that </w:t>
      </w:r>
      <w:r w:rsidR="00CC3882">
        <w:rPr>
          <w:szCs w:val="22"/>
        </w:rPr>
        <w:t>w</w:t>
      </w:r>
      <w:r w:rsidR="008A159A">
        <w:rPr>
          <w:szCs w:val="22"/>
        </w:rPr>
        <w:t>ould</w:t>
      </w:r>
      <w:r w:rsidR="00CC3882">
        <w:rPr>
          <w:szCs w:val="22"/>
        </w:rPr>
        <w:t xml:space="preserve"> change the ownership</w:t>
      </w:r>
      <w:r w:rsidR="00B9754C">
        <w:rPr>
          <w:szCs w:val="22"/>
        </w:rPr>
        <w:t xml:space="preserve"> </w:t>
      </w:r>
      <w:r w:rsidR="00F61B14">
        <w:rPr>
          <w:szCs w:val="22"/>
        </w:rPr>
        <w:t xml:space="preserve">of AGM.  </w:t>
      </w:r>
      <w:r w:rsidR="006C317E">
        <w:rPr>
          <w:szCs w:val="22"/>
        </w:rPr>
        <w:t>It is anticipated that</w:t>
      </w:r>
      <w:r w:rsidR="00F30EBD">
        <w:rPr>
          <w:szCs w:val="22"/>
        </w:rPr>
        <w:t xml:space="preserve"> </w:t>
      </w:r>
      <w:r w:rsidR="00FF3423">
        <w:rPr>
          <w:szCs w:val="22"/>
        </w:rPr>
        <w:t xml:space="preserve">a reorganization </w:t>
      </w:r>
      <w:r w:rsidR="005C67E8">
        <w:rPr>
          <w:szCs w:val="22"/>
        </w:rPr>
        <w:t xml:space="preserve">of AGM </w:t>
      </w:r>
      <w:r w:rsidR="00FF3423">
        <w:rPr>
          <w:szCs w:val="22"/>
        </w:rPr>
        <w:t xml:space="preserve">and </w:t>
      </w:r>
      <w:r w:rsidR="001A4308">
        <w:rPr>
          <w:szCs w:val="22"/>
        </w:rPr>
        <w:t xml:space="preserve">a </w:t>
      </w:r>
      <w:r w:rsidR="00FF3423">
        <w:rPr>
          <w:szCs w:val="22"/>
        </w:rPr>
        <w:t>transaction with Athene Holding Ltd.</w:t>
      </w:r>
      <w:r w:rsidR="00FF14E3">
        <w:rPr>
          <w:szCs w:val="22"/>
        </w:rPr>
        <w:t xml:space="preserve"> (Athene)</w:t>
      </w:r>
      <w:r w:rsidR="00FB3E3C">
        <w:rPr>
          <w:szCs w:val="22"/>
        </w:rPr>
        <w:t>,</w:t>
      </w:r>
      <w:r w:rsidR="00FF3423">
        <w:rPr>
          <w:szCs w:val="22"/>
        </w:rPr>
        <w:t xml:space="preserve"> will both close by January 2022.  Thus, Petitioner requests</w:t>
      </w:r>
      <w:r w:rsidR="00F30EBD">
        <w:rPr>
          <w:szCs w:val="22"/>
        </w:rPr>
        <w:t xml:space="preserve"> approval for aggregate foreign equity and voting interests in Tango Holdings, Inc. (</w:t>
      </w:r>
      <w:r w:rsidR="00CB6FB3">
        <w:rPr>
          <w:szCs w:val="22"/>
        </w:rPr>
        <w:t xml:space="preserve">Tango Holdings </w:t>
      </w:r>
      <w:r w:rsidR="00967E5D">
        <w:rPr>
          <w:szCs w:val="22"/>
        </w:rPr>
        <w:t>aka</w:t>
      </w:r>
      <w:r w:rsidR="00CB6FB3">
        <w:rPr>
          <w:szCs w:val="22"/>
        </w:rPr>
        <w:t xml:space="preserve"> </w:t>
      </w:r>
      <w:r w:rsidR="00F30EBD">
        <w:rPr>
          <w:szCs w:val="22"/>
        </w:rPr>
        <w:t>New AGM) up to 100%.</w:t>
      </w:r>
      <w:r>
        <w:rPr>
          <w:rStyle w:val="FootnoteReference"/>
          <w:color w:val="000000"/>
          <w:szCs w:val="22"/>
        </w:rPr>
        <w:footnoteReference w:id="57"/>
      </w:r>
      <w:r w:rsidR="006B3FCD">
        <w:rPr>
          <w:szCs w:val="22"/>
        </w:rPr>
        <w:t xml:space="preserve">  According to the Petition, AGM </w:t>
      </w:r>
      <w:r w:rsidR="008D6AF9">
        <w:rPr>
          <w:szCs w:val="22"/>
        </w:rPr>
        <w:t>will be</w:t>
      </w:r>
      <w:r w:rsidR="006B3FCD">
        <w:rPr>
          <w:szCs w:val="22"/>
        </w:rPr>
        <w:t xml:space="preserve"> </w:t>
      </w:r>
      <w:r w:rsidR="008C4FE3">
        <w:rPr>
          <w:szCs w:val="22"/>
        </w:rPr>
        <w:t xml:space="preserve">reorganized </w:t>
      </w:r>
      <w:r w:rsidR="006B3FCD">
        <w:rPr>
          <w:szCs w:val="22"/>
        </w:rPr>
        <w:t>to effectively remove BRH Holdings GP, Ltd. from AGM’s ownership structure.</w:t>
      </w:r>
      <w:r>
        <w:rPr>
          <w:rStyle w:val="FootnoteReference"/>
          <w:color w:val="000000"/>
          <w:szCs w:val="22"/>
        </w:rPr>
        <w:footnoteReference w:id="58"/>
      </w:r>
      <w:r w:rsidR="006B3FCD">
        <w:rPr>
          <w:szCs w:val="22"/>
        </w:rPr>
        <w:t xml:space="preserve">  </w:t>
      </w:r>
      <w:r w:rsidR="00A778B5">
        <w:rPr>
          <w:szCs w:val="22"/>
        </w:rPr>
        <w:t>Shortly after</w:t>
      </w:r>
      <w:r w:rsidR="004A2C0F">
        <w:rPr>
          <w:szCs w:val="22"/>
        </w:rPr>
        <w:t>,</w:t>
      </w:r>
      <w:r w:rsidR="00A778B5">
        <w:rPr>
          <w:szCs w:val="22"/>
        </w:rPr>
        <w:t xml:space="preserve"> or concurrently with</w:t>
      </w:r>
      <w:r w:rsidR="004A2C0F">
        <w:rPr>
          <w:szCs w:val="22"/>
        </w:rPr>
        <w:t>,</w:t>
      </w:r>
      <w:r w:rsidR="00A778B5">
        <w:rPr>
          <w:szCs w:val="22"/>
        </w:rPr>
        <w:t xml:space="preserve"> the planned reorganization, AGM and Athene, </w:t>
      </w:r>
      <w:r w:rsidR="00560589">
        <w:rPr>
          <w:szCs w:val="22"/>
        </w:rPr>
        <w:t>a publicly traded insurance holding company</w:t>
      </w:r>
      <w:r w:rsidR="00A778B5">
        <w:rPr>
          <w:szCs w:val="22"/>
        </w:rPr>
        <w:t>, are expected to complete a</w:t>
      </w:r>
      <w:r w:rsidR="003B356D">
        <w:rPr>
          <w:szCs w:val="22"/>
        </w:rPr>
        <w:t xml:space="preserve"> merger whereby AGM and Athene will merge with separate subsidiaries of </w:t>
      </w:r>
      <w:r w:rsidR="00D17A42">
        <w:rPr>
          <w:szCs w:val="22"/>
        </w:rPr>
        <w:t>Tango Holdings</w:t>
      </w:r>
      <w:r w:rsidR="00AE3FB5">
        <w:rPr>
          <w:szCs w:val="22"/>
        </w:rPr>
        <w:t xml:space="preserve"> (aka New AGM), </w:t>
      </w:r>
      <w:r w:rsidR="003B356D">
        <w:rPr>
          <w:szCs w:val="22"/>
        </w:rPr>
        <w:t>a newly created Delaware corporation.</w:t>
      </w:r>
      <w:r>
        <w:rPr>
          <w:rStyle w:val="FootnoteReference"/>
          <w:color w:val="000000"/>
          <w:szCs w:val="22"/>
        </w:rPr>
        <w:footnoteReference w:id="59"/>
      </w:r>
      <w:r w:rsidR="0074797E">
        <w:rPr>
          <w:szCs w:val="22"/>
        </w:rPr>
        <w:t xml:space="preserve">  AGM will merge with Green Merger Sub, Inc., a Delaware corporation and a wholly owned subsidiary of </w:t>
      </w:r>
      <w:r w:rsidR="003F40AB">
        <w:rPr>
          <w:szCs w:val="22"/>
        </w:rPr>
        <w:t>Tango Holdings</w:t>
      </w:r>
      <w:r w:rsidR="00DF10F7">
        <w:rPr>
          <w:szCs w:val="22"/>
        </w:rPr>
        <w:t>,</w:t>
      </w:r>
      <w:r w:rsidR="0074797E">
        <w:rPr>
          <w:szCs w:val="22"/>
        </w:rPr>
        <w:t xml:space="preserve"> with AGM </w:t>
      </w:r>
      <w:r w:rsidR="00142510">
        <w:rPr>
          <w:szCs w:val="22"/>
        </w:rPr>
        <w:t xml:space="preserve">being the </w:t>
      </w:r>
      <w:r w:rsidR="0074797E">
        <w:rPr>
          <w:szCs w:val="22"/>
        </w:rPr>
        <w:t>surviving</w:t>
      </w:r>
      <w:r w:rsidR="00142510">
        <w:rPr>
          <w:szCs w:val="22"/>
        </w:rPr>
        <w:t xml:space="preserve"> entity</w:t>
      </w:r>
      <w:r w:rsidR="0074797E">
        <w:rPr>
          <w:szCs w:val="22"/>
        </w:rPr>
        <w:t xml:space="preserve">.  Athene will merge with Blue Merger Sub. Ltd., a Bermuda exempt company and a wholly owned subsidiary of </w:t>
      </w:r>
      <w:r w:rsidR="003F40AB">
        <w:rPr>
          <w:szCs w:val="22"/>
        </w:rPr>
        <w:t>Tango Holdings</w:t>
      </w:r>
      <w:r w:rsidR="0074797E">
        <w:rPr>
          <w:szCs w:val="22"/>
        </w:rPr>
        <w:t xml:space="preserve">, with Athene </w:t>
      </w:r>
      <w:r w:rsidR="00142510">
        <w:rPr>
          <w:szCs w:val="22"/>
        </w:rPr>
        <w:t xml:space="preserve">being the </w:t>
      </w:r>
      <w:r w:rsidR="0074797E">
        <w:rPr>
          <w:szCs w:val="22"/>
        </w:rPr>
        <w:t>surviving</w:t>
      </w:r>
      <w:r w:rsidR="008D6586">
        <w:rPr>
          <w:szCs w:val="22"/>
        </w:rPr>
        <w:t xml:space="preserve"> </w:t>
      </w:r>
      <w:r w:rsidR="00142510">
        <w:rPr>
          <w:szCs w:val="22"/>
        </w:rPr>
        <w:t>entity</w:t>
      </w:r>
      <w:r w:rsidR="0074797E">
        <w:rPr>
          <w:szCs w:val="22"/>
        </w:rPr>
        <w:t xml:space="preserve">.  </w:t>
      </w:r>
      <w:r w:rsidR="00CB6FB3">
        <w:rPr>
          <w:szCs w:val="22"/>
        </w:rPr>
        <w:t>AGM will become a wholly owned subsidiary of Tango Holdings</w:t>
      </w:r>
      <w:r w:rsidR="00D3029E">
        <w:rPr>
          <w:szCs w:val="22"/>
        </w:rPr>
        <w:t>,</w:t>
      </w:r>
      <w:r w:rsidR="003F40AB">
        <w:rPr>
          <w:szCs w:val="22"/>
        </w:rPr>
        <w:t xml:space="preserve"> which</w:t>
      </w:r>
      <w:r w:rsidR="00CB6FB3">
        <w:rPr>
          <w:szCs w:val="22"/>
        </w:rPr>
        <w:t xml:space="preserve"> will become the successor Corporation to AGM and the publicly traded ultimate parent entity.</w:t>
      </w:r>
      <w:r>
        <w:rPr>
          <w:rStyle w:val="FootnoteReference"/>
          <w:color w:val="000000"/>
          <w:szCs w:val="22"/>
        </w:rPr>
        <w:footnoteReference w:id="60"/>
      </w:r>
      <w:r w:rsidR="00CB6FB3">
        <w:rPr>
          <w:szCs w:val="22"/>
        </w:rPr>
        <w:t xml:space="preserve">  </w:t>
      </w:r>
      <w:r w:rsidR="00D80CC9">
        <w:rPr>
          <w:szCs w:val="22"/>
        </w:rPr>
        <w:t xml:space="preserve">Upon completion of the transaction, </w:t>
      </w:r>
      <w:r w:rsidR="00FD20FC">
        <w:rPr>
          <w:szCs w:val="22"/>
        </w:rPr>
        <w:t>the</w:t>
      </w:r>
      <w:r w:rsidR="00330B63">
        <w:rPr>
          <w:szCs w:val="22"/>
        </w:rPr>
        <w:t xml:space="preserve"> founders and public stockholders of AGM will receive common stock in Tango Holdings</w:t>
      </w:r>
      <w:r>
        <w:rPr>
          <w:rStyle w:val="FootnoteReference"/>
          <w:color w:val="000000"/>
          <w:szCs w:val="22"/>
        </w:rPr>
        <w:footnoteReference w:id="61"/>
      </w:r>
      <w:r w:rsidR="00FD20FC">
        <w:rPr>
          <w:szCs w:val="22"/>
        </w:rPr>
        <w:t xml:space="preserve"> and</w:t>
      </w:r>
      <w:r w:rsidR="00D80CC9">
        <w:rPr>
          <w:szCs w:val="22"/>
        </w:rPr>
        <w:t xml:space="preserve"> </w:t>
      </w:r>
      <w:r w:rsidRPr="003F40AB" w:rsidR="00D80CC9">
        <w:rPr>
          <w:szCs w:val="22"/>
        </w:rPr>
        <w:t>Leon Black, Joshua Harris</w:t>
      </w:r>
      <w:r w:rsidR="00D80CC9">
        <w:rPr>
          <w:szCs w:val="22"/>
        </w:rPr>
        <w:t xml:space="preserve">, </w:t>
      </w:r>
      <w:r w:rsidRPr="003F40AB" w:rsidR="00D80CC9">
        <w:rPr>
          <w:szCs w:val="22"/>
        </w:rPr>
        <w:t>and Marc Rowan are expected to hold up to a</w:t>
      </w:r>
      <w:r w:rsidR="00D80CC9">
        <w:rPr>
          <w:szCs w:val="22"/>
        </w:rPr>
        <w:t xml:space="preserve"> </w:t>
      </w:r>
      <w:r w:rsidRPr="003F40AB" w:rsidR="00D80CC9">
        <w:rPr>
          <w:szCs w:val="22"/>
        </w:rPr>
        <w:t>maximum of 15.1%, 7.1%, and 6.2% of the common</w:t>
      </w:r>
      <w:r w:rsidR="003F40AB">
        <w:rPr>
          <w:szCs w:val="22"/>
        </w:rPr>
        <w:t xml:space="preserve"> stock into Tango Holdings, </w:t>
      </w:r>
      <w:r w:rsidRPr="003F40AB" w:rsidR="00D80CC9">
        <w:rPr>
          <w:szCs w:val="22"/>
        </w:rPr>
        <w:t>respectively</w:t>
      </w:r>
      <w:r w:rsidR="00D80CC9">
        <w:rPr>
          <w:szCs w:val="22"/>
        </w:rPr>
        <w:t>.</w:t>
      </w:r>
      <w:r>
        <w:rPr>
          <w:rStyle w:val="FootnoteReference"/>
          <w:color w:val="000000"/>
          <w:szCs w:val="22"/>
        </w:rPr>
        <w:footnoteReference w:id="62"/>
      </w:r>
      <w:r w:rsidR="0018420C">
        <w:rPr>
          <w:szCs w:val="22"/>
        </w:rPr>
        <w:t xml:space="preserve">  </w:t>
      </w:r>
      <w:r w:rsidR="00B04B65">
        <w:rPr>
          <w:szCs w:val="22"/>
        </w:rPr>
        <w:t>Additionally,</w:t>
      </w:r>
      <w:r w:rsidRPr="00B04B65" w:rsidR="00B04B65">
        <w:rPr>
          <w:szCs w:val="22"/>
        </w:rPr>
        <w:t xml:space="preserve"> each outstanding Class A common share of</w:t>
      </w:r>
      <w:r w:rsidR="00B04B65">
        <w:rPr>
          <w:szCs w:val="22"/>
        </w:rPr>
        <w:t xml:space="preserve"> </w:t>
      </w:r>
      <w:r w:rsidRPr="00B04B65" w:rsidR="00B04B65">
        <w:rPr>
          <w:szCs w:val="22"/>
        </w:rPr>
        <w:t>Athene will be exchanged for a fixed ratio of 1.149 shares of Apollo common stock.</w:t>
      </w:r>
      <w:r>
        <w:rPr>
          <w:rStyle w:val="FootnoteReference"/>
          <w:color w:val="000000"/>
          <w:szCs w:val="22"/>
        </w:rPr>
        <w:footnoteReference w:id="63"/>
      </w:r>
      <w:r w:rsidRPr="00B04B65" w:rsidR="00B04B65">
        <w:rPr>
          <w:szCs w:val="22"/>
        </w:rPr>
        <w:t xml:space="preserve"> </w:t>
      </w:r>
      <w:r w:rsidR="0028571A">
        <w:rPr>
          <w:szCs w:val="22"/>
        </w:rPr>
        <w:t xml:space="preserve"> </w:t>
      </w:r>
      <w:r w:rsidR="005754B3">
        <w:rPr>
          <w:szCs w:val="22"/>
        </w:rPr>
        <w:t xml:space="preserve">It is anticipated that </w:t>
      </w:r>
      <w:r w:rsidRPr="00B04B65" w:rsidR="00B04B65">
        <w:rPr>
          <w:szCs w:val="22"/>
        </w:rPr>
        <w:t>current A</w:t>
      </w:r>
      <w:r w:rsidR="00CB1567">
        <w:rPr>
          <w:szCs w:val="22"/>
        </w:rPr>
        <w:t>GM</w:t>
      </w:r>
      <w:r w:rsidRPr="00B04B65" w:rsidR="00B04B65">
        <w:rPr>
          <w:szCs w:val="22"/>
        </w:rPr>
        <w:t xml:space="preserve"> shareholders will own approximately 76% of the combined</w:t>
      </w:r>
      <w:r w:rsidR="00F312E5">
        <w:rPr>
          <w:szCs w:val="22"/>
        </w:rPr>
        <w:t xml:space="preserve"> </w:t>
      </w:r>
      <w:r w:rsidRPr="00B04B65" w:rsidR="00B04B65">
        <w:rPr>
          <w:szCs w:val="22"/>
        </w:rPr>
        <w:t>company on a fully diluted basis, and Athene shareholders will own approximately 24%.</w:t>
      </w:r>
      <w:r>
        <w:rPr>
          <w:rStyle w:val="FootnoteReference"/>
          <w:color w:val="000000"/>
          <w:szCs w:val="22"/>
        </w:rPr>
        <w:footnoteReference w:id="64"/>
      </w:r>
      <w:r w:rsidR="00021460">
        <w:rPr>
          <w:szCs w:val="22"/>
        </w:rPr>
        <w:t xml:space="preserve">  </w:t>
      </w:r>
      <w:r w:rsidR="00A95AD2">
        <w:rPr>
          <w:szCs w:val="22"/>
        </w:rPr>
        <w:t>N</w:t>
      </w:r>
      <w:r w:rsidRPr="00021460" w:rsidR="00021460">
        <w:rPr>
          <w:szCs w:val="22"/>
        </w:rPr>
        <w:t>o foreign individual or entity is expected to hold a 5% or greater voting or equity interest, and no</w:t>
      </w:r>
      <w:r w:rsidR="00021460">
        <w:rPr>
          <w:szCs w:val="22"/>
        </w:rPr>
        <w:t xml:space="preserve"> </w:t>
      </w:r>
      <w:r w:rsidRPr="00021460" w:rsidR="00021460">
        <w:rPr>
          <w:szCs w:val="22"/>
        </w:rPr>
        <w:t xml:space="preserve">other U.S. individual or entity is expected to hold a 10% or greater voting or equity interest in </w:t>
      </w:r>
      <w:r w:rsidR="003F40AB">
        <w:rPr>
          <w:szCs w:val="22"/>
        </w:rPr>
        <w:t>Tango Holdings</w:t>
      </w:r>
      <w:r w:rsidR="00021460">
        <w:rPr>
          <w:szCs w:val="22"/>
        </w:rPr>
        <w:t>.</w:t>
      </w:r>
      <w:r>
        <w:rPr>
          <w:rStyle w:val="FootnoteReference"/>
          <w:color w:val="000000"/>
          <w:szCs w:val="22"/>
        </w:rPr>
        <w:footnoteReference w:id="65"/>
      </w:r>
    </w:p>
    <w:p w:rsidR="003C2DE6" w:rsidRPr="00D80CC9" w:rsidP="00021460" w14:paraId="55601264" w14:textId="680906D9">
      <w:pPr>
        <w:spacing w:before="100" w:beforeAutospacing="1" w:after="100" w:afterAutospacing="1"/>
        <w:ind w:firstLine="720"/>
        <w:rPr>
          <w:szCs w:val="22"/>
        </w:rPr>
      </w:pPr>
      <w:r>
        <w:rPr>
          <w:szCs w:val="22"/>
        </w:rPr>
        <w:t xml:space="preserve">In the event that either of those two transactions </w:t>
      </w:r>
      <w:r w:rsidR="00931688">
        <w:rPr>
          <w:szCs w:val="22"/>
        </w:rPr>
        <w:t>is</w:t>
      </w:r>
      <w:r>
        <w:rPr>
          <w:szCs w:val="22"/>
        </w:rPr>
        <w:t xml:space="preserve"> not consummated </w:t>
      </w:r>
      <w:r w:rsidR="002036BC">
        <w:rPr>
          <w:szCs w:val="22"/>
        </w:rPr>
        <w:t>prior to action on the Petition,</w:t>
      </w:r>
      <w:r>
        <w:rPr>
          <w:szCs w:val="22"/>
        </w:rPr>
        <w:t xml:space="preserve"> Petitioner requests approval for aggregate foreign equity and voting interests into AGM up </w:t>
      </w:r>
      <w:r>
        <w:rPr>
          <w:szCs w:val="22"/>
        </w:rPr>
        <w:t>to 100% based on its current ownership structure.</w:t>
      </w:r>
      <w:r>
        <w:rPr>
          <w:rStyle w:val="FootnoteReference"/>
          <w:color w:val="000000"/>
          <w:szCs w:val="22"/>
        </w:rPr>
        <w:footnoteReference w:id="66"/>
      </w:r>
      <w:r>
        <w:rPr>
          <w:szCs w:val="22"/>
        </w:rPr>
        <w:t xml:space="preserve">  According to the Petition, at this time AGM is indirectly controlled by three U.S. citizens, Leon Black, Joshua Harris, and Marc Rowan.</w:t>
      </w:r>
      <w:r>
        <w:rPr>
          <w:rStyle w:val="FootnoteReference"/>
          <w:color w:val="000000"/>
          <w:szCs w:val="22"/>
        </w:rPr>
        <w:footnoteReference w:id="67"/>
      </w:r>
      <w:r>
        <w:rPr>
          <w:szCs w:val="22"/>
        </w:rPr>
        <w:t xml:space="preserve">  These three individuals currently hold their voting interests in AGM both directly through AGM Class A common stock and indirectly through BRH Holdings, a Cayman Islands exempt entity </w:t>
      </w:r>
      <w:r w:rsidR="00C01E0F">
        <w:rPr>
          <w:szCs w:val="22"/>
        </w:rPr>
        <w:t>that</w:t>
      </w:r>
      <w:r>
        <w:rPr>
          <w:szCs w:val="22"/>
        </w:rPr>
        <w:t xml:space="preserve"> is the sole member of AGM Management, LLC, a Delaware limited liability company.</w:t>
      </w:r>
      <w:r>
        <w:rPr>
          <w:rStyle w:val="FootnoteReference"/>
          <w:color w:val="000000"/>
          <w:szCs w:val="22"/>
        </w:rPr>
        <w:footnoteReference w:id="68"/>
      </w:r>
      <w:r>
        <w:rPr>
          <w:szCs w:val="22"/>
        </w:rPr>
        <w:t xml:space="preserve">  AGM Management, LLC holds 100% of the Class C Common Stock into AGM.</w:t>
      </w:r>
      <w:r>
        <w:rPr>
          <w:rStyle w:val="FootnoteReference"/>
          <w:color w:val="000000"/>
          <w:szCs w:val="22"/>
        </w:rPr>
        <w:footnoteReference w:id="69"/>
      </w:r>
      <w:r>
        <w:rPr>
          <w:szCs w:val="22"/>
        </w:rPr>
        <w:t xml:space="preserve">  Assuming there is no change in the AGM ownership structure, Petitioner requests specific approval for BRH Holdings GP, Ltd. to hold 0% equity and 100% voting interest in AGM.</w:t>
      </w:r>
      <w:r>
        <w:rPr>
          <w:rStyle w:val="FootnoteReference"/>
          <w:color w:val="000000"/>
          <w:szCs w:val="22"/>
        </w:rPr>
        <w:footnoteReference w:id="70"/>
      </w:r>
    </w:p>
    <w:p w:rsidR="004365D1" w:rsidRPr="00B35925" w:rsidP="004365D1" w14:paraId="6ECFA576" w14:textId="3D58B356">
      <w:pPr>
        <w:autoSpaceDE w:val="0"/>
        <w:autoSpaceDN w:val="0"/>
        <w:adjustRightInd w:val="0"/>
        <w:rPr>
          <w:bCs/>
          <w:color w:val="000000"/>
          <w:szCs w:val="22"/>
          <w:u w:val="single"/>
        </w:rPr>
      </w:pPr>
      <w:r w:rsidRPr="00752296">
        <w:rPr>
          <w:bCs/>
          <w:color w:val="000000"/>
          <w:szCs w:val="22"/>
          <w:u w:val="single"/>
        </w:rPr>
        <w:t>Referral to Executive Branch Agencies</w:t>
      </w:r>
      <w:r w:rsidRPr="00BD18CE">
        <w:rPr>
          <w:bCs/>
          <w:color w:val="000000"/>
          <w:szCs w:val="22"/>
        </w:rPr>
        <w:t>.</w:t>
      </w:r>
      <w:r w:rsidRPr="00752296">
        <w:rPr>
          <w:bCs/>
          <w:color w:val="000000"/>
          <w:szCs w:val="22"/>
        </w:rPr>
        <w:t xml:space="preserve">  Through this Public Notice, pursuant to Commission practice, </w:t>
      </w:r>
      <w:r>
        <w:rPr>
          <w:bCs/>
          <w:color w:val="000000"/>
          <w:szCs w:val="22"/>
        </w:rPr>
        <w:t xml:space="preserve">the </w:t>
      </w:r>
      <w:r w:rsidR="00BB0BB4">
        <w:rPr>
          <w:bCs/>
          <w:color w:val="000000"/>
          <w:szCs w:val="22"/>
        </w:rPr>
        <w:t>a</w:t>
      </w:r>
      <w:r>
        <w:rPr>
          <w:bCs/>
          <w:color w:val="000000"/>
          <w:szCs w:val="22"/>
        </w:rPr>
        <w:t xml:space="preserve">pplications and </w:t>
      </w:r>
      <w:r w:rsidRPr="00752296">
        <w:rPr>
          <w:bCs/>
          <w:color w:val="000000"/>
          <w:szCs w:val="22"/>
        </w:rPr>
        <w:t xml:space="preserve">Petition for Declaratory Ruling </w:t>
      </w:r>
      <w:r>
        <w:rPr>
          <w:bCs/>
          <w:color w:val="000000"/>
          <w:szCs w:val="22"/>
        </w:rPr>
        <w:t xml:space="preserve">set out in Attachment A </w:t>
      </w:r>
      <w:r w:rsidRPr="00752296">
        <w:rPr>
          <w:bCs/>
          <w:color w:val="000000"/>
          <w:szCs w:val="22"/>
        </w:rPr>
        <w:t>are being referred to the relevant Executive Branch agencies for their views on any national security, law enforcement, foreign policy, or trade policy concerns related to the foreign ownership of the Petitioners.</w:t>
      </w:r>
      <w:r>
        <w:rPr>
          <w:rStyle w:val="FootnoteReference"/>
          <w:bCs/>
          <w:color w:val="000000"/>
          <w:szCs w:val="22"/>
        </w:rPr>
        <w:footnoteReference w:id="71"/>
      </w:r>
      <w:r w:rsidR="00CB6FB3">
        <w:rPr>
          <w:bCs/>
          <w:color w:val="000000"/>
          <w:szCs w:val="22"/>
        </w:rPr>
        <w:t xml:space="preserve">  </w:t>
      </w:r>
    </w:p>
    <w:p w:rsidR="007E7DCA" w:rsidP="00FA09E5" w14:paraId="0F1772AA" w14:textId="77777777">
      <w:pPr>
        <w:autoSpaceDE w:val="0"/>
        <w:autoSpaceDN w:val="0"/>
        <w:adjustRightInd w:val="0"/>
        <w:ind w:firstLine="720"/>
        <w:rPr>
          <w:szCs w:val="22"/>
          <w:highlight w:val="yellow"/>
        </w:rPr>
      </w:pPr>
    </w:p>
    <w:p w:rsidR="00FA09E5" w:rsidRPr="006F2A61" w:rsidP="00FA09E5" w14:paraId="2D9C48B0" w14:textId="7638F307">
      <w:pPr>
        <w:autoSpaceDE w:val="0"/>
        <w:autoSpaceDN w:val="0"/>
        <w:adjustRightInd w:val="0"/>
        <w:rPr>
          <w:b/>
          <w:color w:val="000000"/>
          <w:szCs w:val="22"/>
          <w:u w:val="single"/>
        </w:rPr>
      </w:pPr>
      <w:r w:rsidRPr="0009631D">
        <w:rPr>
          <w:b/>
          <w:color w:val="000000"/>
          <w:szCs w:val="22"/>
          <w:u w:val="single"/>
        </w:rPr>
        <w:t>GENERAL INFORMATION</w:t>
      </w:r>
    </w:p>
    <w:p w:rsidR="00FA09E5" w:rsidRPr="0009631D" w:rsidP="00FA09E5" w14:paraId="5F9D40E2" w14:textId="77777777">
      <w:pPr>
        <w:rPr>
          <w:color w:val="000000"/>
          <w:szCs w:val="22"/>
        </w:rPr>
      </w:pPr>
    </w:p>
    <w:p w:rsidR="00FA09E5" w:rsidRPr="0009631D" w:rsidP="00FA09E5" w14:paraId="2ECEF9BE" w14:textId="77777777">
      <w:pPr>
        <w:ind w:firstLine="720"/>
        <w:rPr>
          <w:color w:val="000000"/>
          <w:szCs w:val="22"/>
        </w:rPr>
      </w:pPr>
      <w:r w:rsidRPr="0009631D">
        <w:rPr>
          <w:color w:val="000000"/>
          <w:szCs w:val="22"/>
        </w:rPr>
        <w:t>The application</w:t>
      </w:r>
      <w:r>
        <w:rPr>
          <w:color w:val="000000"/>
          <w:szCs w:val="22"/>
        </w:rPr>
        <w:t>s</w:t>
      </w:r>
      <w:r w:rsidRPr="0009631D">
        <w:rPr>
          <w:color w:val="000000"/>
          <w:szCs w:val="22"/>
        </w:rPr>
        <w:t xml:space="preserve"> identified herein ha</w:t>
      </w:r>
      <w:r>
        <w:rPr>
          <w:color w:val="000000"/>
          <w:szCs w:val="22"/>
        </w:rPr>
        <w:t>ve</w:t>
      </w:r>
      <w:r w:rsidRPr="0009631D">
        <w:rPr>
          <w:color w:val="000000"/>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FA09E5" w:rsidRPr="0009631D" w:rsidP="00FA09E5" w14:paraId="554FA71E" w14:textId="77777777">
      <w:pPr>
        <w:rPr>
          <w:color w:val="000000"/>
          <w:szCs w:val="22"/>
        </w:rPr>
      </w:pPr>
    </w:p>
    <w:p w:rsidR="00FA09E5" w:rsidRPr="0009631D" w:rsidP="00FA09E5" w14:paraId="6BCB1378" w14:textId="07B64568">
      <w:pPr>
        <w:ind w:firstLine="360"/>
        <w:rPr>
          <w:color w:val="000000"/>
          <w:szCs w:val="22"/>
        </w:rPr>
      </w:pPr>
      <w:r w:rsidRPr="0009631D">
        <w:rPr>
          <w:color w:val="000000"/>
          <w:szCs w:val="22"/>
        </w:rPr>
        <w:t xml:space="preserve">Interested parties may file comments and </w:t>
      </w:r>
      <w:r w:rsidRPr="00AF1348">
        <w:rPr>
          <w:color w:val="000000"/>
          <w:szCs w:val="22"/>
        </w:rPr>
        <w:t xml:space="preserve">petitions </w:t>
      </w:r>
      <w:r w:rsidRPr="00AF1348">
        <w:rPr>
          <w:b/>
          <w:color w:val="000000"/>
          <w:szCs w:val="22"/>
        </w:rPr>
        <w:t>on or</w:t>
      </w:r>
      <w:r w:rsidRPr="00AF1348">
        <w:rPr>
          <w:color w:val="000000"/>
          <w:szCs w:val="22"/>
        </w:rPr>
        <w:t xml:space="preserve"> </w:t>
      </w:r>
      <w:r w:rsidRPr="00AF1348">
        <w:rPr>
          <w:b/>
          <w:color w:val="000000"/>
          <w:szCs w:val="22"/>
        </w:rPr>
        <w:t>before</w:t>
      </w:r>
      <w:r w:rsidR="00DC28C8">
        <w:rPr>
          <w:b/>
          <w:color w:val="000000"/>
          <w:szCs w:val="22"/>
        </w:rPr>
        <w:t xml:space="preserve"> January 18, 2022</w:t>
      </w:r>
      <w:r w:rsidRPr="0009631D">
        <w:rPr>
          <w:color w:val="000000"/>
          <w:szCs w:val="22"/>
        </w:rPr>
        <w:t xml:space="preserve"> and reply comments or oppositions to </w:t>
      </w:r>
      <w:r w:rsidRPr="00AF1348">
        <w:rPr>
          <w:color w:val="000000"/>
          <w:szCs w:val="22"/>
        </w:rPr>
        <w:t xml:space="preserve">petitions </w:t>
      </w:r>
      <w:r w:rsidRPr="00AF1348">
        <w:rPr>
          <w:b/>
          <w:color w:val="000000"/>
          <w:szCs w:val="22"/>
        </w:rPr>
        <w:t xml:space="preserve">on or before </w:t>
      </w:r>
      <w:r w:rsidR="00DC28C8">
        <w:rPr>
          <w:b/>
          <w:color w:val="000000"/>
          <w:szCs w:val="22"/>
        </w:rPr>
        <w:t xml:space="preserve">February 2, 2022.  </w:t>
      </w:r>
      <w:r w:rsidRPr="0009631D">
        <w:rPr>
          <w:color w:val="000000"/>
          <w:szCs w:val="22"/>
        </w:rPr>
        <w:t>Comments may be filed using the Commission’s Electronic Comment Filing System (ECFS) or by paper. </w:t>
      </w:r>
      <w:r>
        <w:rPr>
          <w:color w:val="000000"/>
          <w:szCs w:val="22"/>
        </w:rPr>
        <w:t xml:space="preserve"> </w:t>
      </w:r>
      <w:r w:rsidRPr="0009631D">
        <w:rPr>
          <w:color w:val="000000"/>
          <w:szCs w:val="22"/>
        </w:rPr>
        <w:t>All filings must be addressed to the Commission’s Secretary, Office of the Secretary, Federal Communications Commission.</w:t>
      </w:r>
    </w:p>
    <w:p w:rsidR="00FA09E5" w:rsidRPr="0009631D" w:rsidP="00FA09E5" w14:paraId="68B6E02C" w14:textId="77777777">
      <w:pPr>
        <w:rPr>
          <w:color w:val="000000"/>
          <w:szCs w:val="22"/>
        </w:rPr>
      </w:pPr>
      <w:r w:rsidRPr="0009631D">
        <w:rPr>
          <w:color w:val="000000"/>
          <w:szCs w:val="22"/>
        </w:rPr>
        <w:t> </w:t>
      </w:r>
    </w:p>
    <w:p w:rsidR="00FA09E5" w:rsidP="00FA09E5" w14:paraId="4AC2E24F" w14:textId="77777777">
      <w:pPr>
        <w:numPr>
          <w:ilvl w:val="0"/>
          <w:numId w:val="20"/>
        </w:numPr>
        <w:rPr>
          <w:color w:val="000000"/>
          <w:szCs w:val="22"/>
        </w:rPr>
      </w:pPr>
      <w:r w:rsidRPr="0009631D">
        <w:rPr>
          <w:color w:val="000000"/>
          <w:szCs w:val="22"/>
        </w:rPr>
        <w:t>Electronic Filers:  Comments may be filed electronically by accessing ECFS at </w:t>
      </w:r>
      <w:hyperlink r:id="rId9" w:history="1">
        <w:r w:rsidRPr="0009631D">
          <w:rPr>
            <w:rStyle w:val="Hyperlink"/>
            <w:szCs w:val="22"/>
          </w:rPr>
          <w:t>http://apps.fcc.gov/ecfs/</w:t>
        </w:r>
      </w:hyperlink>
      <w:r w:rsidRPr="0009631D">
        <w:rPr>
          <w:color w:val="000000"/>
          <w:szCs w:val="22"/>
        </w:rPr>
        <w:t>.</w:t>
      </w:r>
    </w:p>
    <w:p w:rsidR="00FA09E5" w:rsidP="00FA09E5" w14:paraId="3170C0E0" w14:textId="77777777">
      <w:pPr>
        <w:ind w:left="720"/>
        <w:rPr>
          <w:color w:val="000000"/>
          <w:szCs w:val="22"/>
        </w:rPr>
      </w:pPr>
    </w:p>
    <w:p w:rsidR="00FA09E5" w:rsidRPr="00AF3AE2" w:rsidP="00FA09E5" w14:paraId="4DA4127D" w14:textId="77777777">
      <w:pPr>
        <w:numPr>
          <w:ilvl w:val="0"/>
          <w:numId w:val="20"/>
        </w:numPr>
        <w:rPr>
          <w:szCs w:val="22"/>
        </w:rPr>
      </w:pPr>
      <w:r w:rsidRPr="00AF3AE2">
        <w:rPr>
          <w:szCs w:val="22"/>
        </w:rPr>
        <w:t>Paper Filers:  Parties who choose to file by paper must file an original and one copy of each filing.</w:t>
      </w:r>
    </w:p>
    <w:p w:rsidR="00FA09E5" w:rsidRPr="00AF3AE2" w:rsidP="00FA09E5" w14:paraId="2A661955" w14:textId="77777777">
      <w:pPr>
        <w:ind w:left="720"/>
        <w:rPr>
          <w:szCs w:val="22"/>
        </w:rPr>
      </w:pPr>
    </w:p>
    <w:p w:rsidR="00FA09E5" w:rsidRPr="00AF3AE2" w:rsidP="00FA09E5" w14:paraId="29E69624" w14:textId="77777777">
      <w:pPr>
        <w:numPr>
          <w:ilvl w:val="1"/>
          <w:numId w:val="20"/>
        </w:numPr>
        <w:rPr>
          <w:szCs w:val="22"/>
        </w:rPr>
      </w:pPr>
      <w:r w:rsidRPr="00AF3AE2">
        <w:rPr>
          <w:szCs w:val="22"/>
        </w:rPr>
        <w:t xml:space="preserve">Filings can be sent by commercial overnight courier, or by first-class or overnight U.S. Postal Service mail. </w:t>
      </w:r>
      <w:r>
        <w:rPr>
          <w:szCs w:val="22"/>
        </w:rPr>
        <w:t xml:space="preserve"> </w:t>
      </w:r>
      <w:r w:rsidRPr="00AF3AE2">
        <w:rPr>
          <w:szCs w:val="22"/>
        </w:rPr>
        <w:t>All filings must be addressed to the Commission’s Secretary, Office of the Secretary, Federal Communications Commission.</w:t>
      </w:r>
    </w:p>
    <w:p w:rsidR="00FA09E5" w:rsidRPr="00AF3AE2" w:rsidP="00FA09E5" w14:paraId="0E1AA8C4" w14:textId="77777777">
      <w:pPr>
        <w:ind w:left="720"/>
        <w:rPr>
          <w:szCs w:val="22"/>
        </w:rPr>
      </w:pPr>
    </w:p>
    <w:p w:rsidR="00FA09E5" w:rsidRPr="006F2A61" w:rsidP="00FA09E5" w14:paraId="2FC917D5" w14:textId="77777777">
      <w:pPr>
        <w:numPr>
          <w:ilvl w:val="1"/>
          <w:numId w:val="20"/>
        </w:numPr>
        <w:rPr>
          <w:szCs w:val="22"/>
        </w:rPr>
      </w:pPr>
      <w:r w:rsidRPr="00AF3AE2">
        <w:rPr>
          <w:szCs w:val="22"/>
        </w:rPr>
        <w:t>Commercial overnight mail (other than U.S. Postal Service Express Mail and Priority Mail) must be sent to 9050 Junction Drive, Annapolis Junction, MD 20701.</w:t>
      </w:r>
      <w:r>
        <w:rPr>
          <w:szCs w:val="22"/>
        </w:rPr>
        <w:t xml:space="preserve">  </w:t>
      </w:r>
      <w:r w:rsidRPr="00AF3AE2">
        <w:rPr>
          <w:szCs w:val="22"/>
        </w:rPr>
        <w:t>U.S. Postal Service first-class, Express, and Priority mail must be addressed to 45 L Street NE</w:t>
      </w:r>
      <w:r>
        <w:rPr>
          <w:szCs w:val="22"/>
        </w:rPr>
        <w:t xml:space="preserve">, </w:t>
      </w:r>
      <w:r w:rsidRPr="006F2A61">
        <w:rPr>
          <w:szCs w:val="22"/>
        </w:rPr>
        <w:t>Washington, DC  20554.</w:t>
      </w:r>
    </w:p>
    <w:p w:rsidR="00FA09E5" w:rsidRPr="00AF3AE2" w:rsidP="00FA09E5" w14:paraId="50A41BCC" w14:textId="77777777">
      <w:pPr>
        <w:ind w:left="720"/>
        <w:rPr>
          <w:szCs w:val="22"/>
        </w:rPr>
      </w:pPr>
    </w:p>
    <w:p w:rsidR="00827D77" w:rsidRPr="00827D77" w:rsidP="00827D77" w14:paraId="14BCA038" w14:textId="53AF454A">
      <w:pPr>
        <w:numPr>
          <w:ilvl w:val="1"/>
          <w:numId w:val="20"/>
        </w:numPr>
        <w:rPr>
          <w:szCs w:val="22"/>
        </w:rPr>
      </w:pPr>
      <w:r w:rsidRPr="00AF3AE2">
        <w:rPr>
          <w:szCs w:val="22"/>
        </w:rPr>
        <w:t xml:space="preserve">Effective March 19, 2020, and until further notice, the Commission no longer accepts any hand or messenger delivered filings. </w:t>
      </w:r>
      <w:r>
        <w:rPr>
          <w:szCs w:val="22"/>
        </w:rPr>
        <w:t xml:space="preserve"> </w:t>
      </w:r>
      <w:r w:rsidRPr="00AF3AE2">
        <w:rPr>
          <w:szCs w:val="22"/>
        </w:rPr>
        <w:t xml:space="preserve">This is a temporary measure taken to help protect the health and safety of individuals, and to mitigate the transmission of COVID-19.  </w:t>
      </w:r>
      <w:r w:rsidRPr="006F2A61">
        <w:rPr>
          <w:i/>
          <w:iCs/>
          <w:szCs w:val="22"/>
        </w:rPr>
        <w:t>See</w:t>
      </w:r>
      <w:r w:rsidRPr="00AF3AE2">
        <w:rPr>
          <w:szCs w:val="22"/>
        </w:rPr>
        <w:t xml:space="preserve"> </w:t>
      </w:r>
      <w:r w:rsidRPr="00827D77">
        <w:rPr>
          <w:i/>
          <w:iCs/>
          <w:szCs w:val="22"/>
        </w:rPr>
        <w:t>FCC Announces Closure of FCC Headquarters Open Window and Change in Hand-Delivery Policy</w:t>
      </w:r>
      <w:r w:rsidRPr="00827D77">
        <w:rPr>
          <w:szCs w:val="22"/>
        </w:rPr>
        <w:t xml:space="preserve">, Public Notice, 35 FCC </w:t>
      </w:r>
      <w:r w:rsidRPr="00827D77">
        <w:rPr>
          <w:szCs w:val="22"/>
        </w:rPr>
        <w:t>Rcd</w:t>
      </w:r>
      <w:r w:rsidRPr="00827D77">
        <w:rPr>
          <w:szCs w:val="22"/>
        </w:rPr>
        <w:t xml:space="preserve"> 2788 (OS 2020)  </w:t>
      </w:r>
      <w:hyperlink r:id="rId10" w:history="1">
        <w:r w:rsidRPr="00827D77">
          <w:rPr>
            <w:rStyle w:val="Hyperlink"/>
            <w:szCs w:val="22"/>
          </w:rPr>
          <w:t>https://www.fcc.gov/document/fcc-closes-headquarters-open-window-and-changes-hand-delivery-policy</w:t>
        </w:r>
      </w:hyperlink>
      <w:r w:rsidRPr="00827D77">
        <w:rPr>
          <w:szCs w:val="22"/>
          <w:u w:val="single"/>
        </w:rPr>
        <w:t>.</w:t>
      </w:r>
    </w:p>
    <w:p w:rsidR="00FA09E5" w:rsidRPr="0009631D" w:rsidP="00FA09E5" w14:paraId="0A08C94C" w14:textId="77777777">
      <w:pPr>
        <w:rPr>
          <w:color w:val="000000"/>
          <w:szCs w:val="22"/>
        </w:rPr>
      </w:pPr>
      <w:r w:rsidRPr="0009631D">
        <w:rPr>
          <w:color w:val="000000"/>
          <w:szCs w:val="22"/>
        </w:rPr>
        <w:t> </w:t>
      </w:r>
    </w:p>
    <w:p w:rsidR="00FA09E5" w:rsidRPr="0009631D" w:rsidP="00FA09E5" w14:paraId="0E1F20BC" w14:textId="77777777">
      <w:pPr>
        <w:ind w:firstLine="720"/>
        <w:rPr>
          <w:color w:val="000000"/>
          <w:szCs w:val="22"/>
        </w:rPr>
      </w:pPr>
      <w:r w:rsidRPr="0009631D">
        <w:rPr>
          <w:color w:val="000000"/>
          <w:szCs w:val="22"/>
        </w:rPr>
        <w:t xml:space="preserve">People with Disabilities:  </w:t>
      </w:r>
      <w:r w:rsidRPr="00607817">
        <w:rPr>
          <w:color w:val="000000"/>
          <w:szCs w:val="22"/>
        </w:rPr>
        <w:t>We ask that requests for accommodations be made as soon as possible in order to allow the agency to satisfy such requests whenever possible.  Send an email to </w:t>
      </w:r>
      <w:hyperlink r:id="rId11" w:tgtFrame="_blank" w:history="1">
        <w:r w:rsidRPr="00607817">
          <w:rPr>
            <w:rStyle w:val="Hyperlink"/>
            <w:szCs w:val="22"/>
          </w:rPr>
          <w:t>fcc504@fcc.gov</w:t>
        </w:r>
      </w:hyperlink>
      <w:r w:rsidRPr="00607817">
        <w:rPr>
          <w:color w:val="000000"/>
          <w:szCs w:val="22"/>
        </w:rPr>
        <w:t> or call the Consumer and Governmental Affairs Bureau at (202) 418-0530.</w:t>
      </w:r>
    </w:p>
    <w:p w:rsidR="00FA09E5" w:rsidRPr="0009631D" w:rsidP="00FA09E5" w14:paraId="5B3781A5" w14:textId="77777777">
      <w:pPr>
        <w:rPr>
          <w:color w:val="000000"/>
          <w:szCs w:val="22"/>
        </w:rPr>
      </w:pPr>
    </w:p>
    <w:p w:rsidR="00FA09E5" w:rsidRPr="0009631D" w:rsidP="00FA09E5" w14:paraId="7B757D5D" w14:textId="77777777">
      <w:pPr>
        <w:rPr>
          <w:b/>
          <w:color w:val="000000"/>
          <w:szCs w:val="22"/>
        </w:rPr>
      </w:pPr>
      <w:r w:rsidRPr="0009631D">
        <w:rPr>
          <w:b/>
          <w:color w:val="000000"/>
          <w:szCs w:val="22"/>
        </w:rPr>
        <w:t>In addition, e-mail one copy of each pleading to each of the following:</w:t>
      </w:r>
    </w:p>
    <w:p w:rsidR="00FA09E5" w:rsidRPr="0009631D" w:rsidP="00FA09E5" w14:paraId="65576499" w14:textId="77777777">
      <w:pPr>
        <w:rPr>
          <w:b/>
          <w:color w:val="000000"/>
          <w:szCs w:val="22"/>
        </w:rPr>
      </w:pPr>
    </w:p>
    <w:p w:rsidR="00FA09E5" w:rsidRPr="00187C44" w:rsidP="00FA09E5" w14:paraId="64BB3FAF" w14:textId="77777777">
      <w:pPr>
        <w:numPr>
          <w:ilvl w:val="0"/>
          <w:numId w:val="18"/>
        </w:numPr>
        <w:rPr>
          <w:color w:val="000000"/>
          <w:szCs w:val="22"/>
        </w:rPr>
      </w:pPr>
      <w:r>
        <w:rPr>
          <w:color w:val="000000"/>
          <w:szCs w:val="22"/>
        </w:rPr>
        <w:t>Christi Shewman</w:t>
      </w:r>
      <w:r w:rsidRPr="0009631D">
        <w:rPr>
          <w:color w:val="000000"/>
          <w:szCs w:val="22"/>
        </w:rPr>
        <w:t>, Wireline Competition Bureau,</w:t>
      </w:r>
      <w:r>
        <w:t xml:space="preserve"> </w:t>
      </w:r>
      <w:hyperlink r:id="rId12" w:history="1">
        <w:r w:rsidRPr="00D52195">
          <w:rPr>
            <w:rStyle w:val="Hyperlink"/>
          </w:rPr>
          <w:t>christi.shewman@fcc.gov</w:t>
        </w:r>
      </w:hyperlink>
      <w:r>
        <w:t>;</w:t>
      </w:r>
    </w:p>
    <w:p w:rsidR="00FA09E5" w:rsidRPr="00187C44" w:rsidP="00FA09E5" w14:paraId="7E87114F" w14:textId="77777777">
      <w:pPr>
        <w:numPr>
          <w:ilvl w:val="0"/>
          <w:numId w:val="18"/>
        </w:numPr>
        <w:rPr>
          <w:color w:val="000000"/>
          <w:szCs w:val="22"/>
        </w:rPr>
      </w:pPr>
      <w:bookmarkStart w:id="8" w:name="_Hlk520384977"/>
      <w:r w:rsidRPr="00DA3539">
        <w:rPr>
          <w:color w:val="000000"/>
          <w:szCs w:val="22"/>
        </w:rPr>
        <w:t>Kimberly Cook, International Bureau,</w:t>
      </w:r>
      <w:r w:rsidRPr="00DA3539">
        <w:t xml:space="preserve"> </w:t>
      </w:r>
      <w:hyperlink r:id="rId13" w:history="1">
        <w:r w:rsidRPr="00D52195">
          <w:rPr>
            <w:rStyle w:val="Hyperlink"/>
          </w:rPr>
          <w:t>kimberly.cook@fcc.gov</w:t>
        </w:r>
      </w:hyperlink>
      <w:r>
        <w:t>;</w:t>
      </w:r>
    </w:p>
    <w:p w:rsidR="00FA09E5" w:rsidRPr="00646C42" w:rsidP="00FA09E5" w14:paraId="1EB003C1" w14:textId="77777777">
      <w:pPr>
        <w:numPr>
          <w:ilvl w:val="0"/>
          <w:numId w:val="18"/>
        </w:numPr>
        <w:rPr>
          <w:rStyle w:val="Hyperlink"/>
          <w:color w:val="000000"/>
          <w:szCs w:val="22"/>
          <w:u w:val="none"/>
        </w:rPr>
      </w:pPr>
      <w:r>
        <w:rPr>
          <w:color w:val="000000"/>
          <w:szCs w:val="22"/>
        </w:rPr>
        <w:t>David Krech</w:t>
      </w:r>
      <w:r w:rsidRPr="007040DC">
        <w:rPr>
          <w:color w:val="000000"/>
          <w:szCs w:val="22"/>
        </w:rPr>
        <w:t xml:space="preserve">, International Bureau, </w:t>
      </w:r>
      <w:hyperlink r:id="rId14" w:history="1">
        <w:r w:rsidRPr="009A524C">
          <w:rPr>
            <w:rStyle w:val="Hyperlink"/>
            <w:szCs w:val="22"/>
          </w:rPr>
          <w:t>david.krech@fcc.gov</w:t>
        </w:r>
      </w:hyperlink>
      <w:r>
        <w:rPr>
          <w:rStyle w:val="Hyperlink"/>
          <w:szCs w:val="22"/>
          <w:u w:val="none"/>
        </w:rPr>
        <w:t>;</w:t>
      </w:r>
    </w:p>
    <w:p w:rsidR="00FA09E5" w:rsidRPr="00DA3539" w:rsidP="00FA09E5" w14:paraId="618CC6EC" w14:textId="77777777">
      <w:pPr>
        <w:numPr>
          <w:ilvl w:val="0"/>
          <w:numId w:val="18"/>
        </w:numPr>
        <w:rPr>
          <w:color w:val="000000"/>
          <w:szCs w:val="22"/>
        </w:rPr>
      </w:pPr>
      <w:r w:rsidRPr="00DA3539">
        <w:rPr>
          <w:color w:val="000000"/>
          <w:szCs w:val="22"/>
        </w:rPr>
        <w:t xml:space="preserve">Linda Ray, Wireless Telecommunications Bureau; </w:t>
      </w:r>
      <w:hyperlink r:id="rId15" w:history="1">
        <w:r w:rsidRPr="00DA3539">
          <w:rPr>
            <w:rStyle w:val="Hyperlink"/>
            <w:szCs w:val="22"/>
          </w:rPr>
          <w:t>linda.ray@fcc.gov</w:t>
        </w:r>
      </w:hyperlink>
      <w:r w:rsidRPr="00DA3539">
        <w:rPr>
          <w:color w:val="000000"/>
          <w:szCs w:val="22"/>
        </w:rPr>
        <w:t>; and</w:t>
      </w:r>
    </w:p>
    <w:p w:rsidR="00FA09E5" w:rsidRPr="00DA3539" w:rsidP="00FA09E5" w14:paraId="70B83455" w14:textId="77777777">
      <w:pPr>
        <w:numPr>
          <w:ilvl w:val="0"/>
          <w:numId w:val="18"/>
        </w:numPr>
        <w:rPr>
          <w:color w:val="000000"/>
          <w:szCs w:val="22"/>
        </w:rPr>
      </w:pPr>
      <w:r w:rsidRPr="00DA3539">
        <w:rPr>
          <w:color w:val="000000"/>
          <w:szCs w:val="22"/>
        </w:rPr>
        <w:t xml:space="preserve">Jim Bird, Office of General Counsel, </w:t>
      </w:r>
      <w:hyperlink r:id="rId16" w:history="1">
        <w:r w:rsidRPr="00DA3539">
          <w:rPr>
            <w:rStyle w:val="Hyperlink"/>
            <w:szCs w:val="22"/>
          </w:rPr>
          <w:t>jim.bird@fcc.gov</w:t>
        </w:r>
      </w:hyperlink>
      <w:r w:rsidRPr="00DA3539">
        <w:rPr>
          <w:color w:val="000000"/>
          <w:szCs w:val="22"/>
        </w:rPr>
        <w:t xml:space="preserve">. </w:t>
      </w:r>
    </w:p>
    <w:bookmarkEnd w:id="8"/>
    <w:p w:rsidR="00FA09E5" w:rsidRPr="0009631D" w:rsidP="00FA09E5" w14:paraId="65BC9098" w14:textId="77777777">
      <w:pPr>
        <w:rPr>
          <w:color w:val="000000"/>
          <w:szCs w:val="22"/>
        </w:rPr>
      </w:pPr>
    </w:p>
    <w:p w:rsidR="00FA09E5" w:rsidRPr="0009631D" w:rsidP="00FA09E5" w14:paraId="0E0410D5" w14:textId="77777777">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 xml:space="preserve">ex </w:t>
      </w:r>
      <w:r w:rsidRPr="0009631D">
        <w:rPr>
          <w:i/>
          <w:color w:val="000000"/>
          <w:szCs w:val="22"/>
        </w:rPr>
        <w:t>parte</w:t>
      </w:r>
      <w:r w:rsidRPr="0009631D">
        <w:rPr>
          <w:color w:val="000000"/>
          <w:szCs w:val="22"/>
        </w:rPr>
        <w:t xml:space="preserve"> rules.  Persons making </w:t>
      </w:r>
      <w:r w:rsidRPr="0009631D">
        <w:rPr>
          <w:i/>
          <w:color w:val="000000"/>
          <w:szCs w:val="22"/>
        </w:rPr>
        <w:t xml:space="preserve">ex </w:t>
      </w:r>
      <w:r w:rsidRPr="0009631D">
        <w:rPr>
          <w:i/>
          <w:color w:val="000000"/>
          <w:szCs w:val="22"/>
        </w:rPr>
        <w:t>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 xml:space="preserve">ex </w:t>
      </w:r>
      <w:r w:rsidRPr="0009631D">
        <w:rPr>
          <w:i/>
          <w:color w:val="000000"/>
          <w:szCs w:val="22"/>
        </w:rPr>
        <w:t>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 xml:space="preserve">ex </w:t>
      </w:r>
      <w:r w:rsidRPr="0009631D">
        <w:rPr>
          <w:i/>
          <w:color w:val="000000"/>
          <w:szCs w:val="22"/>
        </w:rPr>
        <w:t>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 xml:space="preserve">ex </w:t>
      </w:r>
      <w:r w:rsidRPr="0009631D">
        <w:rPr>
          <w:i/>
          <w:color w:val="000000"/>
          <w:szCs w:val="22"/>
        </w:rPr>
        <w:t>parte</w:t>
      </w:r>
      <w:r w:rsidRPr="0009631D">
        <w:rPr>
          <w:color w:val="000000"/>
          <w:szCs w:val="22"/>
        </w:rPr>
        <w:t xml:space="preserve"> meetings are deemed to be written </w:t>
      </w:r>
      <w:r w:rsidRPr="0009631D">
        <w:rPr>
          <w:i/>
          <w:color w:val="000000"/>
          <w:szCs w:val="22"/>
        </w:rPr>
        <w:t xml:space="preserve">ex </w:t>
      </w:r>
      <w:r w:rsidRPr="0009631D">
        <w:rPr>
          <w:i/>
          <w:color w:val="000000"/>
          <w:szCs w:val="22"/>
        </w:rPr>
        <w:t>parte</w:t>
      </w:r>
      <w:r w:rsidRPr="0009631D">
        <w:rPr>
          <w:color w:val="000000"/>
          <w:szCs w:val="22"/>
        </w:rPr>
        <w:t xml:space="preserve"> presentations and must be filed consistent with rule 1.1206(b), 47 CFR § 1.1206(b).  Participants in this proceeding should familiarize themselves with the Commission’s </w:t>
      </w:r>
      <w:r w:rsidRPr="0009631D">
        <w:rPr>
          <w:i/>
          <w:color w:val="000000"/>
          <w:szCs w:val="22"/>
        </w:rPr>
        <w:t xml:space="preserve">ex </w:t>
      </w:r>
      <w:r w:rsidRPr="0009631D">
        <w:rPr>
          <w:i/>
          <w:color w:val="000000"/>
          <w:szCs w:val="22"/>
        </w:rPr>
        <w:t>parte</w:t>
      </w:r>
      <w:r w:rsidRPr="0009631D">
        <w:rPr>
          <w:color w:val="000000"/>
          <w:szCs w:val="22"/>
        </w:rPr>
        <w:t xml:space="preserve"> rules.</w:t>
      </w:r>
    </w:p>
    <w:p w:rsidR="00FA09E5" w:rsidRPr="0009631D" w:rsidP="00FA09E5" w14:paraId="4D066749" w14:textId="77777777">
      <w:pPr>
        <w:rPr>
          <w:color w:val="000000"/>
          <w:szCs w:val="22"/>
        </w:rPr>
      </w:pPr>
    </w:p>
    <w:p w:rsidR="00FA09E5" w:rsidRPr="0009631D" w:rsidP="00FA09E5" w14:paraId="09B5464C" w14:textId="77777777">
      <w:pPr>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72"/>
      </w:r>
      <w:r w:rsidRPr="0009631D">
        <w:rPr>
          <w:color w:val="000000"/>
          <w:szCs w:val="22"/>
        </w:rPr>
        <w:t xml:space="preserve">  A party or interested </w:t>
      </w:r>
      <w:r w:rsidRPr="0009631D">
        <w:rPr>
          <w:color w:val="000000"/>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A09E5" w:rsidRPr="0009631D" w:rsidP="00FA09E5" w14:paraId="0A567EDF" w14:textId="77777777">
      <w:pPr>
        <w:rPr>
          <w:color w:val="000000"/>
          <w:szCs w:val="22"/>
        </w:rPr>
      </w:pPr>
    </w:p>
    <w:p w:rsidR="00FA09E5" w:rsidRPr="0009631D" w:rsidP="00FA09E5" w14:paraId="334DD966" w14:textId="77777777">
      <w:pPr>
        <w:ind w:firstLine="720"/>
        <w:rPr>
          <w:color w:val="000000"/>
          <w:szCs w:val="22"/>
        </w:rPr>
      </w:pPr>
      <w:r w:rsidRPr="0009631D">
        <w:rPr>
          <w:color w:val="000000"/>
          <w:szCs w:val="22"/>
        </w:rPr>
        <w:t xml:space="preserve">For further information, please contact </w:t>
      </w:r>
      <w:r>
        <w:rPr>
          <w:color w:val="000000"/>
          <w:szCs w:val="22"/>
        </w:rPr>
        <w:t>Christi Shewman, Wireline Competition Bureau,</w:t>
      </w:r>
      <w:r w:rsidRPr="0009631D">
        <w:rPr>
          <w:color w:val="000000"/>
          <w:szCs w:val="22"/>
        </w:rPr>
        <w:t xml:space="preserve"> (202) 418-</w:t>
      </w:r>
      <w:r>
        <w:rPr>
          <w:color w:val="000000"/>
          <w:szCs w:val="22"/>
        </w:rPr>
        <w:t>0646</w:t>
      </w:r>
      <w:r w:rsidRPr="00187C44">
        <w:rPr>
          <w:color w:val="000000"/>
          <w:szCs w:val="22"/>
        </w:rPr>
        <w:t xml:space="preserve">; Kimberly Cook, </w:t>
      </w:r>
      <w:bookmarkStart w:id="9" w:name="_Hlk63082595"/>
      <w:r w:rsidRPr="00187C44">
        <w:rPr>
          <w:color w:val="000000"/>
          <w:szCs w:val="22"/>
        </w:rPr>
        <w:t>International Bureau, (202) 418-</w:t>
      </w:r>
      <w:bookmarkEnd w:id="9"/>
      <w:r w:rsidRPr="00187C44">
        <w:rPr>
          <w:color w:val="000000"/>
          <w:szCs w:val="22"/>
        </w:rPr>
        <w:t>7532; David Krech, International Bureau, (202) 418-7443; or Linda Ray, Wireless Telecommunications Bureau, (202) 418-0257.</w:t>
      </w:r>
    </w:p>
    <w:p w:rsidR="00FA09E5" w:rsidP="00FA09E5" w14:paraId="4C99F439" w14:textId="77777777">
      <w:pPr>
        <w:rPr>
          <w:rFonts w:ascii="TimesNewRoman,Bold" w:hAnsi="TimesNewRoman,Bold" w:cs="TimesNewRoman,Bold"/>
          <w:b/>
          <w:bCs/>
          <w:color w:val="010101"/>
          <w:szCs w:val="22"/>
        </w:rPr>
      </w:pPr>
    </w:p>
    <w:p w:rsidR="00FA09E5" w:rsidP="00FA09E5" w14:paraId="493B0433" w14:textId="77777777">
      <w:pPr>
        <w:autoSpaceDE w:val="0"/>
        <w:autoSpaceDN w:val="0"/>
        <w:adjustRightInd w:val="0"/>
        <w:rPr>
          <w:rFonts w:ascii="TimesNewRoman,Bold" w:hAnsi="TimesNewRoman,Bold" w:cs="TimesNewRoman,Bold"/>
          <w:b/>
          <w:bCs/>
          <w:color w:val="010101"/>
          <w:szCs w:val="22"/>
        </w:rPr>
      </w:pPr>
    </w:p>
    <w:p w:rsidR="00FA09E5" w:rsidP="00FA09E5" w14:paraId="781CFC07" w14:textId="77777777">
      <w:pPr>
        <w:rPr>
          <w:b/>
          <w:bCs/>
          <w:color w:val="000000"/>
          <w:szCs w:val="22"/>
        </w:rPr>
      </w:pPr>
      <w:r w:rsidRPr="00D006BE">
        <w:rPr>
          <w:b/>
          <w:bCs/>
          <w:color w:val="000000"/>
          <w:szCs w:val="22"/>
        </w:rPr>
        <w:tab/>
      </w:r>
      <w:r w:rsidRPr="00D006BE">
        <w:rPr>
          <w:b/>
          <w:bCs/>
          <w:color w:val="000000"/>
          <w:szCs w:val="22"/>
        </w:rPr>
        <w:tab/>
      </w:r>
      <w:r w:rsidRPr="00D006BE">
        <w:rPr>
          <w:b/>
          <w:bCs/>
          <w:color w:val="000000"/>
          <w:szCs w:val="22"/>
        </w:rPr>
        <w:tab/>
      </w:r>
      <w:r w:rsidRPr="00D006BE">
        <w:rPr>
          <w:b/>
          <w:bCs/>
          <w:color w:val="000000"/>
          <w:szCs w:val="22"/>
        </w:rPr>
        <w:tab/>
      </w:r>
      <w:r w:rsidRPr="00D006BE">
        <w:rPr>
          <w:b/>
          <w:bCs/>
          <w:color w:val="000000"/>
          <w:szCs w:val="22"/>
        </w:rPr>
        <w:tab/>
        <w:t>-FCC-</w:t>
      </w:r>
    </w:p>
    <w:p w:rsidR="00FA09E5" w:rsidP="00FA09E5" w14:paraId="0AFDA124" w14:textId="77777777">
      <w:pPr>
        <w:rPr>
          <w:b/>
          <w:bCs/>
          <w:color w:val="000000"/>
          <w:szCs w:val="22"/>
        </w:rPr>
      </w:pPr>
    </w:p>
    <w:p w:rsidR="00FA09E5" w:rsidRPr="005A28CB" w:rsidP="00FA09E5" w14:paraId="3F1B9AA6" w14:textId="77777777">
      <w:pPr>
        <w:jc w:val="center"/>
        <w:rPr>
          <w:b/>
          <w:color w:val="000000"/>
          <w:szCs w:val="22"/>
          <w:u w:val="single"/>
        </w:rPr>
      </w:pPr>
      <w:r>
        <w:rPr>
          <w:b/>
          <w:bCs/>
          <w:color w:val="000000"/>
          <w:szCs w:val="22"/>
        </w:rPr>
        <w:br w:type="page"/>
      </w:r>
      <w:r w:rsidRPr="005A28CB">
        <w:rPr>
          <w:b/>
          <w:color w:val="000000"/>
          <w:szCs w:val="22"/>
          <w:u w:val="single"/>
        </w:rPr>
        <w:t>ATTACHMENT A</w:t>
      </w:r>
    </w:p>
    <w:p w:rsidR="00FA09E5" w:rsidRPr="005A28CB" w:rsidP="00FA09E5" w14:paraId="2108B177" w14:textId="77777777">
      <w:pPr>
        <w:rPr>
          <w:b/>
          <w:color w:val="000000"/>
          <w:szCs w:val="22"/>
        </w:rPr>
      </w:pPr>
    </w:p>
    <w:p w:rsidR="00FA09E5" w:rsidRPr="005A28CB" w:rsidP="00FA09E5" w14:paraId="658CEFEE" w14:textId="77777777">
      <w:pPr>
        <w:rPr>
          <w:b/>
          <w:color w:val="000000"/>
          <w:szCs w:val="22"/>
        </w:rPr>
      </w:pPr>
    </w:p>
    <w:p w:rsidR="00FA09E5" w:rsidRPr="005A28CB" w:rsidP="00FA09E5" w14:paraId="6ADD6529" w14:textId="77777777">
      <w:pPr>
        <w:rPr>
          <w:color w:val="000000"/>
          <w:szCs w:val="22"/>
        </w:rPr>
      </w:pPr>
      <w:r w:rsidRPr="005A28CB">
        <w:rPr>
          <w:b/>
          <w:color w:val="000000"/>
          <w:szCs w:val="22"/>
        </w:rPr>
        <w:t>SECTION 214 AUTHORIZATIONS</w:t>
      </w:r>
    </w:p>
    <w:p w:rsidR="00FA09E5" w:rsidRPr="005A28CB" w:rsidP="00FA09E5" w14:paraId="4A7EBEB8" w14:textId="77777777">
      <w:pPr>
        <w:rPr>
          <w:color w:val="000000"/>
          <w:szCs w:val="22"/>
        </w:rPr>
      </w:pPr>
    </w:p>
    <w:p w:rsidR="00FA09E5" w:rsidRPr="005A28CB" w:rsidP="00FA09E5" w14:paraId="7B67772D" w14:textId="77777777">
      <w:pPr>
        <w:rPr>
          <w:b/>
          <w:color w:val="000000"/>
          <w:szCs w:val="22"/>
        </w:rPr>
      </w:pPr>
      <w:r w:rsidRPr="005A28CB">
        <w:rPr>
          <w:b/>
          <w:color w:val="000000"/>
          <w:szCs w:val="22"/>
        </w:rPr>
        <w:t>A.</w:t>
      </w:r>
      <w:r w:rsidRPr="005A28CB">
        <w:rPr>
          <w:b/>
          <w:color w:val="000000"/>
          <w:szCs w:val="22"/>
        </w:rPr>
        <w:tab/>
        <w:t>International</w:t>
      </w:r>
    </w:p>
    <w:p w:rsidR="00FA09E5" w:rsidRPr="005A28CB" w:rsidP="00FA09E5" w14:paraId="4B53ED7C" w14:textId="77777777">
      <w:pPr>
        <w:rPr>
          <w:color w:val="000000"/>
          <w:szCs w:val="22"/>
        </w:rPr>
      </w:pPr>
    </w:p>
    <w:p w:rsidR="00FA09E5" w:rsidRPr="005A28CB" w:rsidP="00FA09E5" w14:paraId="6DCA9CDD" w14:textId="77777777">
      <w:pPr>
        <w:rPr>
          <w:color w:val="000000"/>
          <w:szCs w:val="22"/>
        </w:rPr>
      </w:pPr>
      <w:bookmarkStart w:id="10" w:name="_Hlk1664737"/>
      <w:r w:rsidRPr="005A28CB">
        <w:rPr>
          <w:color w:val="000000"/>
          <w:szCs w:val="22"/>
        </w:rPr>
        <w:t>The applications for consent to the transfer of control of certain international section 214 authorizations have been assigned the file numbers listed below.</w:t>
      </w:r>
    </w:p>
    <w:bookmarkEnd w:id="10"/>
    <w:p w:rsidR="00FA09E5" w:rsidRPr="005A28CB" w:rsidP="00FA09E5" w14:paraId="10F0BCEE" w14:textId="77777777">
      <w:pPr>
        <w:rPr>
          <w:color w:val="000000"/>
          <w:szCs w:val="22"/>
        </w:rPr>
      </w:pPr>
    </w:p>
    <w:tbl>
      <w:tblPr>
        <w:tblW w:w="9738" w:type="dxa"/>
        <w:tblLook w:val="01E0"/>
      </w:tblPr>
      <w:tblGrid>
        <w:gridCol w:w="2880"/>
        <w:gridCol w:w="3888"/>
        <w:gridCol w:w="2970"/>
      </w:tblGrid>
      <w:tr w14:paraId="78754B0C" w14:textId="77777777" w:rsidTr="0074797E">
        <w:tblPrEx>
          <w:tblW w:w="9738" w:type="dxa"/>
          <w:tblLook w:val="01E0"/>
        </w:tblPrEx>
        <w:tc>
          <w:tcPr>
            <w:tcW w:w="2880" w:type="dxa"/>
          </w:tcPr>
          <w:p w:rsidR="00FA09E5" w:rsidRPr="005A28CB" w:rsidP="0074797E" w14:paraId="7E8CA6A3" w14:textId="77777777">
            <w:pPr>
              <w:rPr>
                <w:color w:val="000000"/>
                <w:szCs w:val="22"/>
              </w:rPr>
            </w:pPr>
            <w:bookmarkStart w:id="11" w:name="_Hlk1656452"/>
            <w:r w:rsidRPr="005A28CB">
              <w:rPr>
                <w:color w:val="000000"/>
                <w:szCs w:val="22"/>
                <w:u w:val="single"/>
              </w:rPr>
              <w:t>File Number</w:t>
            </w:r>
          </w:p>
        </w:tc>
        <w:tc>
          <w:tcPr>
            <w:tcW w:w="3888" w:type="dxa"/>
          </w:tcPr>
          <w:p w:rsidR="00FA09E5" w:rsidRPr="005A28CB" w:rsidP="0074797E" w14:paraId="74E1B38C" w14:textId="77777777">
            <w:pPr>
              <w:rPr>
                <w:color w:val="000000"/>
                <w:szCs w:val="22"/>
              </w:rPr>
            </w:pPr>
            <w:r w:rsidRPr="005A28CB">
              <w:rPr>
                <w:color w:val="000000"/>
                <w:szCs w:val="22"/>
                <w:u w:val="single"/>
              </w:rPr>
              <w:t>Authorization Holder</w:t>
            </w:r>
          </w:p>
        </w:tc>
        <w:tc>
          <w:tcPr>
            <w:tcW w:w="2970" w:type="dxa"/>
          </w:tcPr>
          <w:p w:rsidR="00FA09E5" w:rsidRPr="005A28CB" w:rsidP="0074797E" w14:paraId="11B1F746" w14:textId="77777777">
            <w:pPr>
              <w:rPr>
                <w:color w:val="000000"/>
                <w:szCs w:val="22"/>
                <w:u w:val="single"/>
              </w:rPr>
            </w:pPr>
            <w:r w:rsidRPr="005A28CB">
              <w:rPr>
                <w:color w:val="000000"/>
                <w:szCs w:val="22"/>
                <w:u w:val="single"/>
              </w:rPr>
              <w:t>Authorization Number</w:t>
            </w:r>
          </w:p>
          <w:p w:rsidR="00FA09E5" w:rsidRPr="005A28CB" w:rsidP="0074797E" w14:paraId="7368042E" w14:textId="77777777">
            <w:pPr>
              <w:rPr>
                <w:color w:val="000000"/>
                <w:szCs w:val="22"/>
                <w:u w:val="single"/>
              </w:rPr>
            </w:pPr>
          </w:p>
        </w:tc>
      </w:tr>
      <w:tr w14:paraId="5BCB72C4" w14:textId="77777777" w:rsidTr="0074797E">
        <w:tblPrEx>
          <w:tblW w:w="9738" w:type="dxa"/>
          <w:tblLook w:val="01E0"/>
        </w:tblPrEx>
        <w:tc>
          <w:tcPr>
            <w:tcW w:w="2880" w:type="dxa"/>
          </w:tcPr>
          <w:p w:rsidR="00FA09E5" w:rsidRPr="005A28CB" w:rsidP="004B3FD3" w14:paraId="46CD12C1" w14:textId="19D67A5A">
            <w:pPr>
              <w:rPr>
                <w:color w:val="000000"/>
                <w:szCs w:val="22"/>
                <w:highlight w:val="yellow"/>
              </w:rPr>
            </w:pPr>
            <w:bookmarkStart w:id="12" w:name="_Hlk1728800"/>
          </w:p>
        </w:tc>
        <w:tc>
          <w:tcPr>
            <w:tcW w:w="3888" w:type="dxa"/>
          </w:tcPr>
          <w:p w:rsidR="00FA09E5" w:rsidRPr="005A28CB" w:rsidP="0074797E" w14:paraId="445558A5" w14:textId="77777777">
            <w:pPr>
              <w:rPr>
                <w:color w:val="000000"/>
                <w:szCs w:val="22"/>
              </w:rPr>
            </w:pPr>
          </w:p>
        </w:tc>
        <w:tc>
          <w:tcPr>
            <w:tcW w:w="2970" w:type="dxa"/>
          </w:tcPr>
          <w:p w:rsidR="00FA09E5" w:rsidRPr="005A28CB" w:rsidP="0074797E" w14:paraId="19368650" w14:textId="77777777">
            <w:pPr>
              <w:rPr>
                <w:color w:val="000000"/>
                <w:szCs w:val="22"/>
                <w:highlight w:val="yellow"/>
              </w:rPr>
            </w:pPr>
          </w:p>
        </w:tc>
      </w:tr>
      <w:bookmarkEnd w:id="11"/>
      <w:bookmarkEnd w:id="12"/>
      <w:tr w14:paraId="684928FD" w14:textId="77777777" w:rsidTr="0074797E">
        <w:tblPrEx>
          <w:tblW w:w="9738" w:type="dxa"/>
          <w:tblLook w:val="01E0"/>
        </w:tblPrEx>
        <w:tc>
          <w:tcPr>
            <w:tcW w:w="2880" w:type="dxa"/>
          </w:tcPr>
          <w:p w:rsidR="00FA09E5" w:rsidRPr="005A28CB" w:rsidP="0074797E" w14:paraId="26FEC2E3" w14:textId="493BFA02">
            <w:pPr>
              <w:rPr>
                <w:color w:val="000000"/>
                <w:szCs w:val="22"/>
                <w:highlight w:val="yellow"/>
              </w:rPr>
            </w:pPr>
            <w:r w:rsidRPr="004B3FD3">
              <w:rPr>
                <w:color w:val="000000"/>
                <w:szCs w:val="22"/>
              </w:rPr>
              <w:t>ITC</w:t>
            </w:r>
            <w:r w:rsidR="00985D54">
              <w:rPr>
                <w:color w:val="000000"/>
                <w:szCs w:val="22"/>
              </w:rPr>
              <w:t>-</w:t>
            </w:r>
            <w:r w:rsidRPr="004B3FD3">
              <w:rPr>
                <w:color w:val="000000"/>
                <w:szCs w:val="22"/>
              </w:rPr>
              <w:t>T/C</w:t>
            </w:r>
            <w:r w:rsidR="00985D54">
              <w:rPr>
                <w:color w:val="000000"/>
                <w:szCs w:val="22"/>
              </w:rPr>
              <w:t>-</w:t>
            </w:r>
            <w:r w:rsidRPr="004B3FD3">
              <w:rPr>
                <w:color w:val="000000"/>
                <w:szCs w:val="22"/>
              </w:rPr>
              <w:t>20210903</w:t>
            </w:r>
            <w:r w:rsidR="008A462C">
              <w:rPr>
                <w:color w:val="000000"/>
                <w:szCs w:val="22"/>
              </w:rPr>
              <w:t>-</w:t>
            </w:r>
            <w:r w:rsidRPr="004B3FD3">
              <w:rPr>
                <w:color w:val="000000"/>
                <w:szCs w:val="22"/>
              </w:rPr>
              <w:t>00139</w:t>
            </w:r>
          </w:p>
        </w:tc>
        <w:tc>
          <w:tcPr>
            <w:tcW w:w="3888" w:type="dxa"/>
          </w:tcPr>
          <w:p w:rsidR="00FA09E5" w:rsidRPr="005A28CB" w:rsidP="0074797E" w14:paraId="168757B5" w14:textId="3F3D317F">
            <w:pPr>
              <w:rPr>
                <w:color w:val="000000"/>
                <w:szCs w:val="22"/>
              </w:rPr>
            </w:pPr>
            <w:r>
              <w:t>Madison River Communications Corp.</w:t>
            </w:r>
          </w:p>
        </w:tc>
        <w:tc>
          <w:tcPr>
            <w:tcW w:w="2970" w:type="dxa"/>
          </w:tcPr>
          <w:p w:rsidR="00FA09E5" w:rsidRPr="005A28CB" w:rsidP="0074797E" w14:paraId="613C7B0A" w14:textId="50343B89">
            <w:pPr>
              <w:rPr>
                <w:color w:val="000000"/>
                <w:szCs w:val="22"/>
                <w:highlight w:val="yellow"/>
              </w:rPr>
            </w:pPr>
            <w:r w:rsidRPr="004B649B">
              <w:rPr>
                <w:color w:val="000000"/>
                <w:szCs w:val="22"/>
              </w:rPr>
              <w:t>ITC-214-20000706-00385</w:t>
            </w:r>
          </w:p>
        </w:tc>
      </w:tr>
      <w:tr w14:paraId="06AA06A2" w14:textId="77777777" w:rsidTr="0074797E">
        <w:tblPrEx>
          <w:tblW w:w="9738" w:type="dxa"/>
          <w:tblLook w:val="01E0"/>
        </w:tblPrEx>
        <w:tc>
          <w:tcPr>
            <w:tcW w:w="2880" w:type="dxa"/>
          </w:tcPr>
          <w:p w:rsidR="00FA09E5" w:rsidRPr="005A28CB" w:rsidP="0074797E" w14:paraId="59B66380" w14:textId="77777777">
            <w:pPr>
              <w:rPr>
                <w:color w:val="000000"/>
                <w:szCs w:val="22"/>
                <w:highlight w:val="yellow"/>
              </w:rPr>
            </w:pPr>
            <w:bookmarkStart w:id="13" w:name="_Hlk12362083"/>
          </w:p>
        </w:tc>
        <w:tc>
          <w:tcPr>
            <w:tcW w:w="3888" w:type="dxa"/>
          </w:tcPr>
          <w:p w:rsidR="00FA09E5" w:rsidRPr="005A28CB" w:rsidP="0074797E" w14:paraId="45140D6D" w14:textId="77777777">
            <w:pPr>
              <w:rPr>
                <w:color w:val="000000"/>
                <w:szCs w:val="22"/>
              </w:rPr>
            </w:pPr>
          </w:p>
        </w:tc>
        <w:tc>
          <w:tcPr>
            <w:tcW w:w="2970" w:type="dxa"/>
          </w:tcPr>
          <w:p w:rsidR="00FA09E5" w:rsidRPr="005A28CB" w:rsidP="0074797E" w14:paraId="2D53E5F7" w14:textId="77777777">
            <w:pPr>
              <w:rPr>
                <w:color w:val="000000"/>
                <w:szCs w:val="22"/>
                <w:highlight w:val="yellow"/>
              </w:rPr>
            </w:pPr>
          </w:p>
        </w:tc>
      </w:tr>
      <w:bookmarkEnd w:id="13"/>
      <w:tr w14:paraId="01BE7C88" w14:textId="77777777" w:rsidTr="0074797E">
        <w:tblPrEx>
          <w:tblW w:w="9738" w:type="dxa"/>
          <w:tblLook w:val="01E0"/>
        </w:tblPrEx>
        <w:tc>
          <w:tcPr>
            <w:tcW w:w="2880" w:type="dxa"/>
          </w:tcPr>
          <w:p w:rsidR="00FA09E5" w:rsidRPr="005A28CB" w:rsidP="0074797E" w14:paraId="7E5B3BCF" w14:textId="77777777">
            <w:pPr>
              <w:rPr>
                <w:color w:val="000000"/>
                <w:szCs w:val="22"/>
                <w:highlight w:val="yellow"/>
              </w:rPr>
            </w:pPr>
          </w:p>
        </w:tc>
        <w:tc>
          <w:tcPr>
            <w:tcW w:w="3888" w:type="dxa"/>
          </w:tcPr>
          <w:p w:rsidR="00FA09E5" w:rsidRPr="005A28CB" w:rsidP="0074797E" w14:paraId="0D12680B" w14:textId="77777777">
            <w:pPr>
              <w:rPr>
                <w:color w:val="000000"/>
                <w:szCs w:val="22"/>
              </w:rPr>
            </w:pPr>
          </w:p>
        </w:tc>
        <w:tc>
          <w:tcPr>
            <w:tcW w:w="2970" w:type="dxa"/>
          </w:tcPr>
          <w:p w:rsidR="00FA09E5" w:rsidRPr="005A28CB" w:rsidP="0074797E" w14:paraId="162E1A95" w14:textId="77777777">
            <w:pPr>
              <w:rPr>
                <w:color w:val="000000"/>
                <w:szCs w:val="22"/>
                <w:highlight w:val="yellow"/>
              </w:rPr>
            </w:pPr>
          </w:p>
        </w:tc>
      </w:tr>
    </w:tbl>
    <w:p w:rsidR="00FA09E5" w:rsidRPr="005A28CB" w:rsidP="00FA09E5" w14:paraId="03BC1BF1" w14:textId="77777777">
      <w:pPr>
        <w:rPr>
          <w:b/>
          <w:color w:val="000000"/>
          <w:szCs w:val="22"/>
        </w:rPr>
      </w:pPr>
      <w:r w:rsidRPr="005A28CB">
        <w:rPr>
          <w:b/>
          <w:color w:val="000000"/>
          <w:szCs w:val="22"/>
        </w:rPr>
        <w:t>B.</w:t>
      </w:r>
      <w:r w:rsidRPr="005A28CB">
        <w:rPr>
          <w:b/>
          <w:color w:val="000000"/>
          <w:szCs w:val="22"/>
        </w:rPr>
        <w:tab/>
        <w:t>Domestic</w:t>
      </w:r>
    </w:p>
    <w:p w:rsidR="00FA09E5" w:rsidRPr="005A28CB" w:rsidP="00FA09E5" w14:paraId="6288984F" w14:textId="77777777">
      <w:pPr>
        <w:rPr>
          <w:color w:val="000000"/>
          <w:szCs w:val="22"/>
        </w:rPr>
      </w:pPr>
    </w:p>
    <w:p w:rsidR="00FA09E5" w:rsidRPr="005A28CB" w:rsidP="00FA09E5" w14:paraId="2D480288" w14:textId="77777777">
      <w:pPr>
        <w:rPr>
          <w:color w:val="000000"/>
          <w:szCs w:val="22"/>
        </w:rPr>
      </w:pPr>
      <w:r w:rsidRPr="005A28CB">
        <w:rPr>
          <w:color w:val="000000"/>
          <w:szCs w:val="22"/>
        </w:rPr>
        <w:t>Applicants filed an application to transfer control of domestic section 214 authority in connection with the proposed transaction.</w:t>
      </w:r>
      <w:bookmarkStart w:id="14" w:name="sp_999_4"/>
      <w:bookmarkStart w:id="15" w:name="SDU_4"/>
      <w:bookmarkStart w:id="16" w:name="citeas((Cite_as:_26_F.C.C.R._13372,_*133"/>
      <w:bookmarkEnd w:id="14"/>
      <w:bookmarkEnd w:id="15"/>
      <w:bookmarkEnd w:id="16"/>
      <w:r w:rsidRPr="005A28CB">
        <w:rPr>
          <w:color w:val="000000"/>
          <w:szCs w:val="22"/>
        </w:rPr>
        <w:t xml:space="preserve">  In light of the multiple applications pending before the Commission with respect to this transaction and the public interest review associated with them, the domestic transfer of control application is not subject to streamlined treatment.</w:t>
      </w:r>
      <w:r>
        <w:rPr>
          <w:color w:val="000000"/>
          <w:szCs w:val="22"/>
          <w:vertAlign w:val="superscript"/>
        </w:rPr>
        <w:footnoteReference w:id="73"/>
      </w:r>
      <w:r w:rsidRPr="005A28CB">
        <w:rPr>
          <w:color w:val="000000"/>
          <w:szCs w:val="22"/>
        </w:rPr>
        <w:t xml:space="preserve"> </w:t>
      </w:r>
    </w:p>
    <w:p w:rsidR="00FA09E5" w:rsidP="00FA09E5" w14:paraId="3E95DEEB" w14:textId="77777777">
      <w:pPr>
        <w:rPr>
          <w:b/>
          <w:bCs/>
          <w:color w:val="000000"/>
          <w:szCs w:val="22"/>
        </w:rPr>
      </w:pPr>
    </w:p>
    <w:p w:rsidR="00FA09E5" w:rsidP="00FA09E5" w14:paraId="1695AA1A" w14:textId="77777777">
      <w:pPr>
        <w:rPr>
          <w:b/>
          <w:bCs/>
          <w:color w:val="000000"/>
          <w:szCs w:val="22"/>
        </w:rPr>
      </w:pPr>
    </w:p>
    <w:p w:rsidR="00FA09E5" w:rsidRPr="008C77CA" w:rsidP="00FA09E5" w14:paraId="06AB5AED" w14:textId="77777777">
      <w:pPr>
        <w:keepNext/>
        <w:widowControl w:val="0"/>
        <w:rPr>
          <w:b/>
          <w:snapToGrid w:val="0"/>
          <w:color w:val="000000"/>
          <w:kern w:val="28"/>
          <w:szCs w:val="22"/>
        </w:rPr>
      </w:pPr>
      <w:r w:rsidRPr="008C77CA">
        <w:rPr>
          <w:b/>
          <w:snapToGrid w:val="0"/>
          <w:color w:val="000000"/>
          <w:kern w:val="28"/>
          <w:szCs w:val="22"/>
        </w:rPr>
        <w:t>SECTION 310(d) APPLICATION</w:t>
      </w:r>
      <w:r>
        <w:rPr>
          <w:b/>
          <w:snapToGrid w:val="0"/>
          <w:color w:val="000000"/>
          <w:kern w:val="28"/>
          <w:szCs w:val="22"/>
        </w:rPr>
        <w:t>S</w:t>
      </w:r>
    </w:p>
    <w:tbl>
      <w:tblPr>
        <w:tblW w:w="9846" w:type="dxa"/>
        <w:tblLook w:val="01E0"/>
      </w:tblPr>
      <w:tblGrid>
        <w:gridCol w:w="108"/>
        <w:gridCol w:w="2772"/>
        <w:gridCol w:w="108"/>
        <w:gridCol w:w="3780"/>
        <w:gridCol w:w="108"/>
        <w:gridCol w:w="2862"/>
        <w:gridCol w:w="108"/>
      </w:tblGrid>
      <w:tr w14:paraId="0772DB62" w14:textId="77777777" w:rsidTr="00C6294F">
        <w:tblPrEx>
          <w:tblW w:w="9846" w:type="dxa"/>
          <w:tblLook w:val="01E0"/>
        </w:tblPrEx>
        <w:trPr>
          <w:gridAfter w:val="1"/>
          <w:wAfter w:w="108" w:type="dxa"/>
          <w:trHeight w:val="885"/>
        </w:trPr>
        <w:tc>
          <w:tcPr>
            <w:tcW w:w="2880" w:type="dxa"/>
            <w:gridSpan w:val="2"/>
          </w:tcPr>
          <w:p w:rsidR="00FA09E5" w:rsidRPr="008C77CA" w:rsidP="0074797E" w14:paraId="76CBE167" w14:textId="77777777">
            <w:pPr>
              <w:widowControl w:val="0"/>
              <w:rPr>
                <w:b/>
                <w:snapToGrid w:val="0"/>
                <w:color w:val="000000"/>
                <w:kern w:val="28"/>
                <w:szCs w:val="22"/>
              </w:rPr>
            </w:pPr>
            <w:r w:rsidRPr="008C77CA">
              <w:rPr>
                <w:b/>
                <w:snapToGrid w:val="0"/>
                <w:color w:val="000000"/>
                <w:kern w:val="28"/>
                <w:szCs w:val="22"/>
                <w:u w:val="single"/>
              </w:rPr>
              <w:t>File Number</w:t>
            </w:r>
          </w:p>
        </w:tc>
        <w:tc>
          <w:tcPr>
            <w:tcW w:w="3888" w:type="dxa"/>
            <w:gridSpan w:val="2"/>
          </w:tcPr>
          <w:p w:rsidR="00FA09E5" w:rsidRPr="008C77CA" w:rsidP="0074797E" w14:paraId="06932C2D" w14:textId="77777777">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gridSpan w:val="2"/>
          </w:tcPr>
          <w:p w:rsidR="00FA09E5" w:rsidRPr="008C77CA" w:rsidP="0074797E" w14:paraId="77515D3D" w14:textId="71B4EE39">
            <w:pPr>
              <w:widowControl w:val="0"/>
              <w:rPr>
                <w:b/>
                <w:snapToGrid w:val="0"/>
                <w:color w:val="000000"/>
                <w:kern w:val="28"/>
                <w:szCs w:val="22"/>
                <w:u w:val="single"/>
              </w:rPr>
            </w:pPr>
            <w:r w:rsidRPr="008C77CA">
              <w:rPr>
                <w:b/>
                <w:snapToGrid w:val="0"/>
                <w:color w:val="000000"/>
                <w:kern w:val="28"/>
                <w:szCs w:val="22"/>
                <w:u w:val="single"/>
              </w:rPr>
              <w:t>Lead Call Sign</w:t>
            </w:r>
          </w:p>
        </w:tc>
      </w:tr>
      <w:tr w14:paraId="1EC8A183" w14:textId="77777777" w:rsidTr="00C6294F">
        <w:tblPrEx>
          <w:tblW w:w="9846" w:type="dxa"/>
          <w:tblLook w:val="01E0"/>
        </w:tblPrEx>
        <w:trPr>
          <w:gridBefore w:val="1"/>
          <w:wBefore w:w="108" w:type="dxa"/>
        </w:trPr>
        <w:tc>
          <w:tcPr>
            <w:tcW w:w="2880" w:type="dxa"/>
            <w:gridSpan w:val="2"/>
          </w:tcPr>
          <w:p w:rsidR="00C6294F" w:rsidRPr="008C77CA" w:rsidP="0074797E" w14:paraId="21C98A32" w14:textId="6965AD25">
            <w:pPr>
              <w:widowControl w:val="0"/>
            </w:pPr>
            <w:r>
              <w:t>0009669963</w:t>
            </w:r>
            <w:r>
              <w:rPr>
                <w:rStyle w:val="FootnoteReference"/>
                <w:snapToGrid w:val="0"/>
                <w:kern w:val="28"/>
                <w:szCs w:val="22"/>
              </w:rPr>
              <w:footnoteReference w:id="74"/>
            </w:r>
          </w:p>
        </w:tc>
        <w:tc>
          <w:tcPr>
            <w:tcW w:w="3888" w:type="dxa"/>
            <w:gridSpan w:val="2"/>
          </w:tcPr>
          <w:p w:rsidR="00C6294F" w:rsidRPr="008C77CA" w:rsidP="0074797E" w14:paraId="4BC76A58" w14:textId="77777777">
            <w:pPr>
              <w:widowControl w:val="0"/>
            </w:pPr>
            <w:r>
              <w:t>Carolina Telephone and Telegraph Company LLC</w:t>
            </w:r>
          </w:p>
        </w:tc>
        <w:tc>
          <w:tcPr>
            <w:tcW w:w="2970" w:type="dxa"/>
            <w:gridSpan w:val="2"/>
          </w:tcPr>
          <w:p w:rsidR="00C6294F" w:rsidRPr="008C77CA" w:rsidP="0074797E" w14:paraId="3C478511" w14:textId="77777777">
            <w:pPr>
              <w:widowControl w:val="0"/>
            </w:pPr>
            <w:r>
              <w:t>WQR37</w:t>
            </w:r>
          </w:p>
        </w:tc>
      </w:tr>
      <w:tr w14:paraId="5802E20F" w14:textId="77777777" w:rsidTr="00C6294F">
        <w:tblPrEx>
          <w:tblW w:w="9846" w:type="dxa"/>
          <w:tblLook w:val="01E0"/>
        </w:tblPrEx>
        <w:trPr>
          <w:gridBefore w:val="1"/>
          <w:wBefore w:w="108" w:type="dxa"/>
        </w:trPr>
        <w:tc>
          <w:tcPr>
            <w:tcW w:w="2880" w:type="dxa"/>
            <w:gridSpan w:val="2"/>
          </w:tcPr>
          <w:p w:rsidR="00C6294F" w:rsidP="0074797E" w14:paraId="11E8EB3F" w14:textId="77777777">
            <w:pPr>
              <w:rPr>
                <w:szCs w:val="22"/>
              </w:rPr>
            </w:pPr>
            <w:r w:rsidRPr="1AD2F9FF">
              <w:rPr>
                <w:szCs w:val="22"/>
              </w:rPr>
              <w:t>0009669967</w:t>
            </w:r>
          </w:p>
        </w:tc>
        <w:tc>
          <w:tcPr>
            <w:tcW w:w="3888" w:type="dxa"/>
            <w:gridSpan w:val="2"/>
          </w:tcPr>
          <w:p w:rsidR="00C6294F" w:rsidP="0074797E" w14:paraId="2F957C65" w14:textId="77777777">
            <w:pPr>
              <w:rPr>
                <w:szCs w:val="22"/>
              </w:rPr>
            </w:pPr>
            <w:r w:rsidRPr="1AD2F9FF">
              <w:rPr>
                <w:szCs w:val="22"/>
              </w:rPr>
              <w:t>Central Telephone Company of Texas</w:t>
            </w:r>
          </w:p>
        </w:tc>
        <w:tc>
          <w:tcPr>
            <w:tcW w:w="2970" w:type="dxa"/>
            <w:gridSpan w:val="2"/>
          </w:tcPr>
          <w:p w:rsidR="00C6294F" w:rsidP="0074797E" w14:paraId="14D2047D" w14:textId="77777777">
            <w:pPr>
              <w:rPr>
                <w:szCs w:val="22"/>
              </w:rPr>
            </w:pPr>
            <w:r w:rsidRPr="1AD2F9FF">
              <w:rPr>
                <w:szCs w:val="22"/>
              </w:rPr>
              <w:t>WLC623</w:t>
            </w:r>
          </w:p>
        </w:tc>
      </w:tr>
      <w:tr w14:paraId="70EFA976" w14:textId="77777777" w:rsidTr="00C6294F">
        <w:tblPrEx>
          <w:tblW w:w="9846" w:type="dxa"/>
          <w:tblLook w:val="01E0"/>
        </w:tblPrEx>
        <w:trPr>
          <w:gridBefore w:val="1"/>
          <w:wBefore w:w="108" w:type="dxa"/>
        </w:trPr>
        <w:tc>
          <w:tcPr>
            <w:tcW w:w="2880" w:type="dxa"/>
            <w:gridSpan w:val="2"/>
          </w:tcPr>
          <w:p w:rsidR="00C6294F" w:rsidRPr="008C77CA" w:rsidP="0074797E" w14:paraId="01A75190" w14:textId="77777777">
            <w:pPr>
              <w:widowControl w:val="0"/>
            </w:pPr>
            <w:r>
              <w:t>0009669970</w:t>
            </w:r>
          </w:p>
        </w:tc>
        <w:tc>
          <w:tcPr>
            <w:tcW w:w="3888" w:type="dxa"/>
            <w:gridSpan w:val="2"/>
          </w:tcPr>
          <w:p w:rsidR="00C6294F" w:rsidRPr="008C77CA" w:rsidP="0074797E" w14:paraId="0AF0BB50" w14:textId="77777777">
            <w:pPr>
              <w:widowControl w:val="0"/>
            </w:pPr>
            <w:r>
              <w:t>CenturyTel of Alabama, LLC</w:t>
            </w:r>
          </w:p>
        </w:tc>
        <w:tc>
          <w:tcPr>
            <w:tcW w:w="2970" w:type="dxa"/>
            <w:gridSpan w:val="2"/>
          </w:tcPr>
          <w:p w:rsidR="00C6294F" w:rsidRPr="008C77CA" w:rsidP="0074797E" w14:paraId="504E8FCE" w14:textId="77777777">
            <w:pPr>
              <w:widowControl w:val="0"/>
            </w:pPr>
            <w:r>
              <w:t>WFY653</w:t>
            </w:r>
          </w:p>
        </w:tc>
      </w:tr>
      <w:tr w14:paraId="1D8FEC3C" w14:textId="77777777" w:rsidTr="00C6294F">
        <w:tblPrEx>
          <w:tblW w:w="9846" w:type="dxa"/>
          <w:tblLook w:val="01E0"/>
        </w:tblPrEx>
        <w:trPr>
          <w:gridBefore w:val="1"/>
          <w:wBefore w:w="108" w:type="dxa"/>
        </w:trPr>
        <w:tc>
          <w:tcPr>
            <w:tcW w:w="2880" w:type="dxa"/>
            <w:gridSpan w:val="2"/>
          </w:tcPr>
          <w:p w:rsidR="00C6294F" w:rsidP="0074797E" w14:paraId="3545114C" w14:textId="77777777">
            <w:pPr>
              <w:rPr>
                <w:szCs w:val="22"/>
              </w:rPr>
            </w:pPr>
            <w:r w:rsidRPr="1AD2F9FF">
              <w:rPr>
                <w:szCs w:val="22"/>
              </w:rPr>
              <w:t>0009669971</w:t>
            </w:r>
          </w:p>
        </w:tc>
        <w:tc>
          <w:tcPr>
            <w:tcW w:w="3888" w:type="dxa"/>
            <w:gridSpan w:val="2"/>
          </w:tcPr>
          <w:p w:rsidR="00C6294F" w:rsidP="0074797E" w14:paraId="35B56D26" w14:textId="77777777">
            <w:pPr>
              <w:rPr>
                <w:szCs w:val="22"/>
              </w:rPr>
            </w:pPr>
            <w:r w:rsidRPr="1AD2F9FF">
              <w:rPr>
                <w:szCs w:val="22"/>
              </w:rPr>
              <w:t>CenturyTel of Arkansas, LLC</w:t>
            </w:r>
          </w:p>
        </w:tc>
        <w:tc>
          <w:tcPr>
            <w:tcW w:w="2970" w:type="dxa"/>
            <w:gridSpan w:val="2"/>
          </w:tcPr>
          <w:p w:rsidR="00C6294F" w:rsidP="0074797E" w14:paraId="0C290ACC" w14:textId="77777777">
            <w:pPr>
              <w:rPr>
                <w:szCs w:val="22"/>
              </w:rPr>
            </w:pPr>
            <w:r w:rsidRPr="1AD2F9FF">
              <w:rPr>
                <w:szCs w:val="22"/>
              </w:rPr>
              <w:t>KNKG844</w:t>
            </w:r>
          </w:p>
        </w:tc>
      </w:tr>
      <w:tr w14:paraId="11B1E30A" w14:textId="77777777" w:rsidTr="00C6294F">
        <w:tblPrEx>
          <w:tblW w:w="9846" w:type="dxa"/>
          <w:tblLook w:val="01E0"/>
        </w:tblPrEx>
        <w:trPr>
          <w:gridBefore w:val="1"/>
          <w:wBefore w:w="108" w:type="dxa"/>
        </w:trPr>
        <w:tc>
          <w:tcPr>
            <w:tcW w:w="2880" w:type="dxa"/>
            <w:gridSpan w:val="2"/>
          </w:tcPr>
          <w:p w:rsidR="00C6294F" w:rsidP="0074797E" w14:paraId="35666F26" w14:textId="77777777">
            <w:pPr>
              <w:rPr>
                <w:szCs w:val="22"/>
              </w:rPr>
            </w:pPr>
            <w:r w:rsidRPr="1AD2F9FF">
              <w:rPr>
                <w:szCs w:val="22"/>
              </w:rPr>
              <w:t>0009669972</w:t>
            </w:r>
          </w:p>
        </w:tc>
        <w:tc>
          <w:tcPr>
            <w:tcW w:w="3888" w:type="dxa"/>
            <w:gridSpan w:val="2"/>
          </w:tcPr>
          <w:p w:rsidR="00C6294F" w:rsidP="0074797E" w14:paraId="35C2C4DF" w14:textId="77777777">
            <w:pPr>
              <w:rPr>
                <w:szCs w:val="22"/>
              </w:rPr>
            </w:pPr>
            <w:r w:rsidRPr="1AD2F9FF">
              <w:rPr>
                <w:szCs w:val="22"/>
              </w:rPr>
              <w:t>CenturyTel of Missouri, LLC</w:t>
            </w:r>
          </w:p>
        </w:tc>
        <w:tc>
          <w:tcPr>
            <w:tcW w:w="2970" w:type="dxa"/>
            <w:gridSpan w:val="2"/>
          </w:tcPr>
          <w:p w:rsidR="00C6294F" w:rsidP="0074797E" w14:paraId="0C075E1B" w14:textId="77777777">
            <w:pPr>
              <w:rPr>
                <w:szCs w:val="22"/>
              </w:rPr>
            </w:pPr>
            <w:r w:rsidRPr="1AD2F9FF">
              <w:rPr>
                <w:szCs w:val="22"/>
              </w:rPr>
              <w:t>WQLJ485</w:t>
            </w:r>
          </w:p>
        </w:tc>
      </w:tr>
      <w:tr w14:paraId="049A811A" w14:textId="77777777" w:rsidTr="00C6294F">
        <w:tblPrEx>
          <w:tblW w:w="9846" w:type="dxa"/>
          <w:tblLook w:val="01E0"/>
        </w:tblPrEx>
        <w:trPr>
          <w:gridBefore w:val="1"/>
          <w:wBefore w:w="108" w:type="dxa"/>
        </w:trPr>
        <w:tc>
          <w:tcPr>
            <w:tcW w:w="2880" w:type="dxa"/>
            <w:gridSpan w:val="2"/>
          </w:tcPr>
          <w:p w:rsidR="00C6294F" w:rsidP="0074797E" w14:paraId="705FB712" w14:textId="77777777">
            <w:pPr>
              <w:rPr>
                <w:szCs w:val="22"/>
              </w:rPr>
            </w:pPr>
            <w:r w:rsidRPr="1AD2F9FF">
              <w:rPr>
                <w:szCs w:val="22"/>
              </w:rPr>
              <w:t>0009669973</w:t>
            </w:r>
          </w:p>
        </w:tc>
        <w:tc>
          <w:tcPr>
            <w:tcW w:w="3888" w:type="dxa"/>
            <w:gridSpan w:val="2"/>
          </w:tcPr>
          <w:p w:rsidR="00C6294F" w:rsidP="0074797E" w14:paraId="22FF0F79" w14:textId="77777777">
            <w:pPr>
              <w:rPr>
                <w:szCs w:val="22"/>
              </w:rPr>
            </w:pPr>
            <w:r w:rsidRPr="1AD2F9FF">
              <w:rPr>
                <w:szCs w:val="22"/>
              </w:rPr>
              <w:t>CenturyTel of San Marcos, Inc.</w:t>
            </w:r>
          </w:p>
        </w:tc>
        <w:tc>
          <w:tcPr>
            <w:tcW w:w="2970" w:type="dxa"/>
            <w:gridSpan w:val="2"/>
          </w:tcPr>
          <w:p w:rsidR="00C6294F" w:rsidP="0074797E" w14:paraId="2E015805" w14:textId="77777777">
            <w:pPr>
              <w:rPr>
                <w:szCs w:val="22"/>
              </w:rPr>
            </w:pPr>
            <w:r w:rsidRPr="1AD2F9FF">
              <w:rPr>
                <w:szCs w:val="22"/>
              </w:rPr>
              <w:t>KNKG811</w:t>
            </w:r>
          </w:p>
        </w:tc>
      </w:tr>
      <w:tr w14:paraId="2345E44F" w14:textId="77777777" w:rsidTr="00C6294F">
        <w:tblPrEx>
          <w:tblW w:w="9846" w:type="dxa"/>
          <w:tblLook w:val="01E0"/>
        </w:tblPrEx>
        <w:trPr>
          <w:gridBefore w:val="1"/>
          <w:wBefore w:w="108" w:type="dxa"/>
        </w:trPr>
        <w:tc>
          <w:tcPr>
            <w:tcW w:w="2880" w:type="dxa"/>
            <w:gridSpan w:val="2"/>
          </w:tcPr>
          <w:p w:rsidR="00C6294F" w:rsidP="0074797E" w14:paraId="36576849" w14:textId="77777777">
            <w:pPr>
              <w:rPr>
                <w:szCs w:val="22"/>
              </w:rPr>
            </w:pPr>
            <w:r w:rsidRPr="1AD2F9FF">
              <w:rPr>
                <w:szCs w:val="22"/>
              </w:rPr>
              <w:t>0009669974</w:t>
            </w:r>
          </w:p>
        </w:tc>
        <w:tc>
          <w:tcPr>
            <w:tcW w:w="3888" w:type="dxa"/>
            <w:gridSpan w:val="2"/>
          </w:tcPr>
          <w:p w:rsidR="00C6294F" w:rsidP="0074797E" w14:paraId="524887F1" w14:textId="77777777">
            <w:pPr>
              <w:rPr>
                <w:szCs w:val="22"/>
              </w:rPr>
            </w:pPr>
            <w:r w:rsidRPr="1AD2F9FF">
              <w:rPr>
                <w:szCs w:val="22"/>
              </w:rPr>
              <w:t>CenturyTel of Upper Michigan, Inc.</w:t>
            </w:r>
          </w:p>
        </w:tc>
        <w:tc>
          <w:tcPr>
            <w:tcW w:w="2970" w:type="dxa"/>
            <w:gridSpan w:val="2"/>
          </w:tcPr>
          <w:p w:rsidR="00C6294F" w:rsidP="0074797E" w14:paraId="43941712" w14:textId="77777777">
            <w:pPr>
              <w:rPr>
                <w:szCs w:val="22"/>
              </w:rPr>
            </w:pPr>
            <w:r w:rsidRPr="1AD2F9FF">
              <w:rPr>
                <w:szCs w:val="22"/>
              </w:rPr>
              <w:t>KNKP350</w:t>
            </w:r>
          </w:p>
        </w:tc>
      </w:tr>
      <w:tr w14:paraId="315BBDC3" w14:textId="77777777" w:rsidTr="00C6294F">
        <w:tblPrEx>
          <w:tblW w:w="9846" w:type="dxa"/>
          <w:tblLook w:val="01E0"/>
        </w:tblPrEx>
        <w:trPr>
          <w:gridBefore w:val="1"/>
          <w:wBefore w:w="108" w:type="dxa"/>
        </w:trPr>
        <w:tc>
          <w:tcPr>
            <w:tcW w:w="2880" w:type="dxa"/>
            <w:gridSpan w:val="2"/>
          </w:tcPr>
          <w:p w:rsidR="00C6294F" w:rsidP="0074797E" w14:paraId="4B546B36" w14:textId="77777777">
            <w:pPr>
              <w:rPr>
                <w:szCs w:val="22"/>
              </w:rPr>
            </w:pPr>
            <w:r w:rsidRPr="1AD2F9FF">
              <w:rPr>
                <w:szCs w:val="22"/>
              </w:rPr>
              <w:t>0009669977</w:t>
            </w:r>
          </w:p>
        </w:tc>
        <w:tc>
          <w:tcPr>
            <w:tcW w:w="3888" w:type="dxa"/>
            <w:gridSpan w:val="2"/>
          </w:tcPr>
          <w:p w:rsidR="00C6294F" w:rsidP="0074797E" w14:paraId="00A1DF85" w14:textId="77777777">
            <w:pPr>
              <w:rPr>
                <w:szCs w:val="22"/>
              </w:rPr>
            </w:pPr>
            <w:r w:rsidRPr="1AD2F9FF">
              <w:rPr>
                <w:szCs w:val="22"/>
              </w:rPr>
              <w:t>Coastal Utilities, Inc.</w:t>
            </w:r>
          </w:p>
        </w:tc>
        <w:tc>
          <w:tcPr>
            <w:tcW w:w="2970" w:type="dxa"/>
            <w:gridSpan w:val="2"/>
          </w:tcPr>
          <w:p w:rsidR="00C6294F" w:rsidP="0074797E" w14:paraId="5D08B02E" w14:textId="77777777">
            <w:pPr>
              <w:rPr>
                <w:szCs w:val="22"/>
              </w:rPr>
            </w:pPr>
            <w:r w:rsidRPr="1AD2F9FF">
              <w:rPr>
                <w:szCs w:val="22"/>
              </w:rPr>
              <w:t>WQMN435</w:t>
            </w:r>
          </w:p>
        </w:tc>
      </w:tr>
      <w:tr w14:paraId="59AF41BD" w14:textId="77777777" w:rsidTr="00C6294F">
        <w:tblPrEx>
          <w:tblW w:w="9846" w:type="dxa"/>
          <w:tblLook w:val="01E0"/>
        </w:tblPrEx>
        <w:trPr>
          <w:gridBefore w:val="1"/>
          <w:wBefore w:w="108" w:type="dxa"/>
        </w:trPr>
        <w:tc>
          <w:tcPr>
            <w:tcW w:w="2880" w:type="dxa"/>
            <w:gridSpan w:val="2"/>
          </w:tcPr>
          <w:p w:rsidR="00C6294F" w:rsidP="0074797E" w14:paraId="278BBA1B" w14:textId="77777777">
            <w:pPr>
              <w:rPr>
                <w:szCs w:val="22"/>
              </w:rPr>
            </w:pPr>
            <w:r w:rsidRPr="1AD2F9FF">
              <w:rPr>
                <w:szCs w:val="22"/>
              </w:rPr>
              <w:t>0009669980</w:t>
            </w:r>
          </w:p>
        </w:tc>
        <w:tc>
          <w:tcPr>
            <w:tcW w:w="3888" w:type="dxa"/>
            <w:gridSpan w:val="2"/>
          </w:tcPr>
          <w:p w:rsidR="00C6294F" w:rsidP="0074797E" w14:paraId="366F7699" w14:textId="77777777">
            <w:pPr>
              <w:rPr>
                <w:szCs w:val="22"/>
              </w:rPr>
            </w:pPr>
            <w:r w:rsidRPr="1AD2F9FF">
              <w:rPr>
                <w:szCs w:val="22"/>
              </w:rPr>
              <w:t>Embarq Missouri, Inc.</w:t>
            </w:r>
          </w:p>
        </w:tc>
        <w:tc>
          <w:tcPr>
            <w:tcW w:w="2970" w:type="dxa"/>
            <w:gridSpan w:val="2"/>
          </w:tcPr>
          <w:p w:rsidR="00C6294F" w:rsidP="0074797E" w14:paraId="6D25AEC9" w14:textId="77777777">
            <w:pPr>
              <w:rPr>
                <w:szCs w:val="22"/>
              </w:rPr>
            </w:pPr>
            <w:r w:rsidRPr="1AD2F9FF">
              <w:rPr>
                <w:szCs w:val="22"/>
              </w:rPr>
              <w:t>KYO87</w:t>
            </w:r>
          </w:p>
        </w:tc>
      </w:tr>
      <w:tr w14:paraId="0BC69A79" w14:textId="77777777" w:rsidTr="00C6294F">
        <w:tblPrEx>
          <w:tblW w:w="9846" w:type="dxa"/>
          <w:tblLook w:val="01E0"/>
        </w:tblPrEx>
        <w:trPr>
          <w:gridBefore w:val="1"/>
          <w:wBefore w:w="108" w:type="dxa"/>
        </w:trPr>
        <w:tc>
          <w:tcPr>
            <w:tcW w:w="2880" w:type="dxa"/>
            <w:gridSpan w:val="2"/>
          </w:tcPr>
          <w:p w:rsidR="00C6294F" w:rsidP="0074797E" w14:paraId="3379DF14" w14:textId="77777777">
            <w:pPr>
              <w:rPr>
                <w:szCs w:val="22"/>
              </w:rPr>
            </w:pPr>
            <w:r w:rsidRPr="1AD2F9FF">
              <w:rPr>
                <w:szCs w:val="22"/>
              </w:rPr>
              <w:t>0009669985</w:t>
            </w:r>
          </w:p>
        </w:tc>
        <w:tc>
          <w:tcPr>
            <w:tcW w:w="3888" w:type="dxa"/>
            <w:gridSpan w:val="2"/>
          </w:tcPr>
          <w:p w:rsidR="00C6294F" w:rsidP="0074797E" w14:paraId="656FDFED" w14:textId="77777777">
            <w:pPr>
              <w:rPr>
                <w:szCs w:val="22"/>
              </w:rPr>
            </w:pPr>
            <w:r w:rsidRPr="1AD2F9FF">
              <w:rPr>
                <w:szCs w:val="22"/>
              </w:rPr>
              <w:t>United Telephone Southeast LLC</w:t>
            </w:r>
          </w:p>
        </w:tc>
        <w:tc>
          <w:tcPr>
            <w:tcW w:w="2970" w:type="dxa"/>
            <w:gridSpan w:val="2"/>
          </w:tcPr>
          <w:p w:rsidR="00C6294F" w:rsidP="0074797E" w14:paraId="0FEE62E3" w14:textId="77777777">
            <w:pPr>
              <w:rPr>
                <w:szCs w:val="22"/>
              </w:rPr>
            </w:pPr>
            <w:r w:rsidRPr="1AD2F9FF">
              <w:rPr>
                <w:szCs w:val="22"/>
              </w:rPr>
              <w:t>KJH26</w:t>
            </w:r>
          </w:p>
          <w:p w:rsidR="00C6294F" w:rsidP="0074797E" w14:paraId="4754657F" w14:textId="77777777">
            <w:pPr>
              <w:rPr>
                <w:szCs w:val="22"/>
              </w:rPr>
            </w:pPr>
          </w:p>
        </w:tc>
      </w:tr>
    </w:tbl>
    <w:p w:rsidR="00C6294F" w:rsidP="00FA09E5" w14:paraId="05A903B4" w14:textId="77777777">
      <w:pPr>
        <w:autoSpaceDE w:val="0"/>
        <w:autoSpaceDN w:val="0"/>
        <w:adjustRightInd w:val="0"/>
        <w:rPr>
          <w:rFonts w:ascii="TimesNewRomanPS-BoldMT" w:hAnsi="TimesNewRomanPS-BoldMT" w:cs="TimesNewRomanPS-BoldMT"/>
          <w:b/>
          <w:bCs/>
          <w:szCs w:val="22"/>
        </w:rPr>
      </w:pPr>
    </w:p>
    <w:p w:rsidR="00C6294F" w:rsidP="00FA09E5" w14:paraId="519F921B" w14:textId="77777777">
      <w:pPr>
        <w:autoSpaceDE w:val="0"/>
        <w:autoSpaceDN w:val="0"/>
        <w:adjustRightInd w:val="0"/>
        <w:rPr>
          <w:rFonts w:ascii="TimesNewRomanPS-BoldMT" w:hAnsi="TimesNewRomanPS-BoldMT" w:cs="TimesNewRomanPS-BoldMT"/>
          <w:b/>
          <w:bCs/>
          <w:szCs w:val="22"/>
        </w:rPr>
      </w:pPr>
    </w:p>
    <w:p w:rsidR="00FA09E5" w:rsidP="00FA09E5" w14:paraId="63B2D3CF" w14:textId="3FFFC118">
      <w:pPr>
        <w:autoSpaceDE w:val="0"/>
        <w:autoSpaceDN w:val="0"/>
        <w:adjustRightInd w:val="0"/>
        <w:rPr>
          <w:rFonts w:ascii="TimesNewRomanPS-BoldMT" w:hAnsi="TimesNewRomanPS-BoldMT" w:cs="TimesNewRomanPS-BoldMT"/>
          <w:b/>
          <w:bCs/>
          <w:szCs w:val="22"/>
        </w:rPr>
      </w:pPr>
      <w:r>
        <w:rPr>
          <w:rFonts w:ascii="TimesNewRomanPS-BoldMT" w:hAnsi="TimesNewRomanPS-BoldMT" w:cs="TimesNewRomanPS-BoldMT"/>
          <w:b/>
          <w:bCs/>
          <w:szCs w:val="22"/>
        </w:rPr>
        <w:t>PETITION FOR DECLARATORY RULING UNDER SECTION 310(b)(4)</w:t>
      </w:r>
    </w:p>
    <w:p w:rsidR="00FA09E5" w:rsidP="00FA09E5" w14:paraId="5E749D1D" w14:textId="77777777">
      <w:pPr>
        <w:autoSpaceDE w:val="0"/>
        <w:autoSpaceDN w:val="0"/>
        <w:adjustRightInd w:val="0"/>
        <w:rPr>
          <w:rFonts w:ascii="TimesNewRomanPS-BoldMT" w:hAnsi="TimesNewRomanPS-BoldMT" w:cs="TimesNewRomanPS-BoldMT"/>
          <w:b/>
          <w:bCs/>
          <w:szCs w:val="22"/>
        </w:rPr>
      </w:pPr>
    </w:p>
    <w:p w:rsidR="005A28CB" w:rsidRPr="005B34E0" w:rsidP="005B34E0" w14:paraId="70D12C99" w14:textId="474B738F">
      <w:pPr>
        <w:autoSpaceDE w:val="0"/>
        <w:autoSpaceDN w:val="0"/>
        <w:adjustRightInd w:val="0"/>
        <w:rPr>
          <w:szCs w:val="22"/>
        </w:rPr>
      </w:pPr>
      <w:r w:rsidRPr="00E651E5">
        <w:rPr>
          <w:szCs w:val="22"/>
        </w:rPr>
        <w:t>The Petition has been assigned File No. ISP-PDR-</w:t>
      </w:r>
      <w:r w:rsidRPr="00642824" w:rsidR="005563AF">
        <w:t>20211028-00008</w:t>
      </w:r>
      <w:r w:rsidRPr="00E651E5">
        <w:rPr>
          <w:szCs w:val="22"/>
        </w:rPr>
        <w:t xml:space="preserve">. </w:t>
      </w: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97E" w14:paraId="54581F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4797E" w14:paraId="53CF32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97E" w14:paraId="292BC5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797E" w14:paraId="0F3FCEE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97E" w14:paraId="3CBB3DE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1</w:t>
    </w:r>
    <w:r>
      <w:rPr>
        <w:rStyle w:val="PageNumber"/>
      </w:rPr>
      <w:fldChar w:fldCharType="end"/>
    </w:r>
  </w:p>
  <w:p w:rsidR="0074797E" w14:paraId="764345B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2AC1" w14:paraId="5C826908" w14:textId="77777777">
      <w:r>
        <w:separator/>
      </w:r>
    </w:p>
  </w:footnote>
  <w:footnote w:type="continuationSeparator" w:id="1">
    <w:p w:rsidR="00F72AC1" w14:paraId="491739FA" w14:textId="77777777">
      <w:r>
        <w:continuationSeparator/>
      </w:r>
    </w:p>
  </w:footnote>
  <w:footnote w:type="continuationNotice" w:id="2">
    <w:p w:rsidR="00F72AC1" w14:paraId="03B7D4E8" w14:textId="77777777"/>
  </w:footnote>
  <w:footnote w:id="3">
    <w:p w:rsidR="0074797E" w:rsidRPr="00E23282" w:rsidP="00FA09E5" w14:paraId="213A2840" w14:textId="77777777">
      <w:pPr>
        <w:pStyle w:val="FootnoteText"/>
      </w:pPr>
      <w:r w:rsidRPr="00E23282">
        <w:rPr>
          <w:rStyle w:val="FootnoteReference"/>
        </w:rPr>
        <w:footnoteRef/>
      </w:r>
      <w:r w:rsidRPr="00E23282">
        <w:t xml:space="preserve"> 47 U.S.C. §§ 214, 310(d).</w:t>
      </w:r>
    </w:p>
  </w:footnote>
  <w:footnote w:id="4">
    <w:p w:rsidR="0074797E" w:rsidRPr="00E23282" w:rsidP="00FA09E5" w14:paraId="4F26E083" w14:textId="77777777">
      <w:pPr>
        <w:pStyle w:val="FootnoteText"/>
      </w:pPr>
      <w:r w:rsidRPr="00E23282">
        <w:rPr>
          <w:rStyle w:val="FootnoteReference"/>
        </w:rPr>
        <w:footnoteRef/>
      </w:r>
      <w:r w:rsidRPr="00E23282">
        <w:t xml:space="preserve"> </w:t>
      </w:r>
      <w:r w:rsidRPr="00E23282">
        <w:t xml:space="preserve">47 CFR §§ </w:t>
      </w:r>
      <w:r>
        <w:t xml:space="preserve">1.948, </w:t>
      </w:r>
      <w:r w:rsidRPr="00E23282">
        <w:t>63.03-04, 63.18, 63.24.</w:t>
      </w:r>
    </w:p>
  </w:footnote>
  <w:footnote w:id="5">
    <w:p w:rsidR="00274190" w:rsidRPr="00E23282" w:rsidP="00274190" w14:paraId="3881F66B" w14:textId="77777777">
      <w:pPr>
        <w:pStyle w:val="FootnoteText"/>
      </w:pPr>
      <w:r w:rsidRPr="00E23282">
        <w:rPr>
          <w:rStyle w:val="FootnoteReference"/>
        </w:rPr>
        <w:footnoteRef/>
      </w:r>
      <w:r w:rsidRPr="00E23282">
        <w:t xml:space="preserve"> </w:t>
      </w:r>
      <w:r w:rsidRPr="00E23282">
        <w:t>Lumen Technologies, Inc. and Connect Holding, LLC Application for Consent to Transfer Control of Domestic and International Section 214 Authorizations, WC Docket No. 21-350 (filed Sept. 1, 2021) (</w:t>
      </w:r>
      <w:r>
        <w:t xml:space="preserve">Lead </w:t>
      </w:r>
      <w:r w:rsidRPr="00E23282">
        <w:t xml:space="preserve">Application).  </w:t>
      </w:r>
      <w:r w:rsidRPr="00774699">
        <w:t xml:space="preserve">The </w:t>
      </w:r>
      <w:r>
        <w:t>application file numbers and the</w:t>
      </w:r>
      <w:r w:rsidRPr="00774699">
        <w:t xml:space="preserve"> Commission licenses and authorizations subject to the applications are listed in Attachment A</w:t>
      </w:r>
      <w:r>
        <w:t xml:space="preserve"> to this Public Notice.  </w:t>
      </w:r>
      <w:r w:rsidRPr="00E23282">
        <w:t xml:space="preserve">Applicants filed a supplement to the </w:t>
      </w:r>
      <w:r>
        <w:t xml:space="preserve">Lead </w:t>
      </w:r>
      <w:r w:rsidRPr="00E23282">
        <w:t>Application on October 1, 2021.  Letter from John L. Flynn, Counsel for Connect Holding, LLC, to Marlene H. Dortch, Secretary, FCC (filed Oct. 1, 2021) (First Supplement</w:t>
      </w:r>
      <w:r>
        <w:t xml:space="preserve"> to Lead Application</w:t>
      </w:r>
      <w:r w:rsidRPr="00E23282">
        <w:t xml:space="preserve">). </w:t>
      </w:r>
      <w:r>
        <w:t xml:space="preserve"> </w:t>
      </w:r>
      <w:r w:rsidRPr="00E23282">
        <w:t xml:space="preserve">Applicants filed a </w:t>
      </w:r>
      <w:r>
        <w:t xml:space="preserve">second </w:t>
      </w:r>
      <w:r w:rsidRPr="00E23282">
        <w:t xml:space="preserve">supplement to the </w:t>
      </w:r>
      <w:r>
        <w:t xml:space="preserve">Lead </w:t>
      </w:r>
      <w:r w:rsidRPr="00E23282">
        <w:t xml:space="preserve">Application on October </w:t>
      </w:r>
      <w:r>
        <w:t>28</w:t>
      </w:r>
      <w:r w:rsidRPr="00E23282">
        <w:t xml:space="preserve">, 2021.  Letter from John L. Flynn, Counsel for Connect Holding, LLC, to Marlene H. Dortch, Secretary, FCC (filed Oct. </w:t>
      </w:r>
      <w:r>
        <w:t>28</w:t>
      </w:r>
      <w:r w:rsidRPr="00E23282">
        <w:t>, 2021) (</w:t>
      </w:r>
      <w:r>
        <w:t>Second</w:t>
      </w:r>
      <w:r w:rsidRPr="00E23282">
        <w:t xml:space="preserve"> Supplement</w:t>
      </w:r>
      <w:r>
        <w:t xml:space="preserve"> to Lead Application</w:t>
      </w:r>
      <w:r w:rsidRPr="00E23282">
        <w:t xml:space="preserve">). </w:t>
      </w:r>
      <w:r>
        <w:t xml:space="preserve"> Applicants filed a third supplement to the Lead Application on December 7, 2021.  Letter from Brian W. Murray, Counsel for Lumen Technologies, Inc., and </w:t>
      </w:r>
      <w:r w:rsidRPr="00E23282">
        <w:t>John L. Flynn, Counsel for Connect Holding</w:t>
      </w:r>
      <w:r>
        <w:t>,</w:t>
      </w:r>
      <w:r w:rsidRPr="00E23282">
        <w:t xml:space="preserve"> LLC</w:t>
      </w:r>
      <w:r>
        <w:t xml:space="preserve">, to </w:t>
      </w:r>
      <w:r w:rsidRPr="00E23282">
        <w:t xml:space="preserve">Marlene H. Dortch, Secretary, FCC (filed </w:t>
      </w:r>
      <w:r>
        <w:t>Dec. 7</w:t>
      </w:r>
      <w:r w:rsidRPr="00E23282">
        <w:t>, 2021) (</w:t>
      </w:r>
      <w:r>
        <w:t>Third</w:t>
      </w:r>
      <w:r w:rsidRPr="00E23282">
        <w:t xml:space="preserve"> Supplement</w:t>
      </w:r>
      <w:r>
        <w:t xml:space="preserve"> to Lead Application</w:t>
      </w:r>
      <w:r w:rsidRPr="00E23282">
        <w:t>).</w:t>
      </w:r>
    </w:p>
  </w:footnote>
  <w:footnote w:id="6">
    <w:p w:rsidR="00274190" w14:paraId="3BF54A70" w14:textId="7D653DBB">
      <w:pPr>
        <w:pStyle w:val="FootnoteText"/>
      </w:pPr>
      <w:r>
        <w:rPr>
          <w:rStyle w:val="FootnoteReference"/>
        </w:rPr>
        <w:footnoteRef/>
      </w:r>
      <w:r>
        <w:t xml:space="preserve"> </w:t>
      </w:r>
      <w:r>
        <w:t xml:space="preserve">Lead Application at </w:t>
      </w:r>
    </w:p>
  </w:footnote>
  <w:footnote w:id="7">
    <w:p w:rsidR="0074797E" w:rsidRPr="00E23282" w:rsidP="00642824" w14:paraId="371C6A30" w14:textId="0EE4B16D">
      <w:pPr>
        <w:pStyle w:val="FootnoteText"/>
      </w:pPr>
      <w:r w:rsidRPr="00E23282">
        <w:rPr>
          <w:rStyle w:val="FootnoteReference"/>
        </w:rPr>
        <w:footnoteRef/>
      </w:r>
      <w:r>
        <w:t xml:space="preserve"> </w:t>
      </w:r>
      <w:r w:rsidRPr="00642824">
        <w:t xml:space="preserve">47 U.S.C. § 310(b)(4); 47 CFR § 1.5000(a)(1); </w:t>
      </w:r>
      <w:r>
        <w:t>Connect Holding LLC</w:t>
      </w:r>
      <w:r w:rsidRPr="00642824">
        <w:t xml:space="preserve"> Petition for Declaratory Ruling Under Section 310(b)(4) of the Communications Act of 1934, as amended, IBFS File No. ISP-PDR-20211028-00008 (filed </w:t>
      </w:r>
      <w:r>
        <w:t>Oct</w:t>
      </w:r>
      <w:r w:rsidRPr="00642824">
        <w:t xml:space="preserve">. </w:t>
      </w:r>
      <w:r>
        <w:t>27</w:t>
      </w:r>
      <w:r w:rsidRPr="00642824">
        <w:t xml:space="preserve">, 2021) (Petition).  On </w:t>
      </w:r>
      <w:r>
        <w:t>November 24</w:t>
      </w:r>
      <w:r w:rsidRPr="00642824">
        <w:t>, 2021, Petitioner filed a supplement</w:t>
      </w:r>
      <w:r w:rsidR="004B4A1E">
        <w:t xml:space="preserve"> to the Petition</w:t>
      </w:r>
      <w:r>
        <w:t xml:space="preserve">.  </w:t>
      </w:r>
      <w:r w:rsidRPr="00300061">
        <w:t xml:space="preserve">Letter from John </w:t>
      </w:r>
      <w:r>
        <w:t>L. Flynn</w:t>
      </w:r>
      <w:r w:rsidRPr="00300061">
        <w:t xml:space="preserve">, Counsel for </w:t>
      </w:r>
      <w:r>
        <w:t>Connect Holding</w:t>
      </w:r>
      <w:r w:rsidR="0021175B">
        <w:t>,</w:t>
      </w:r>
      <w:r>
        <w:t xml:space="preserve"> LLC</w:t>
      </w:r>
      <w:r w:rsidRPr="00300061">
        <w:t xml:space="preserve"> to Marlene H. Dortch, FCC, IBFS File No. ISP-PDR-</w:t>
      </w:r>
      <w:r w:rsidRPr="00642824">
        <w:t>20211028-00008</w:t>
      </w:r>
      <w:r w:rsidRPr="00300061">
        <w:t xml:space="preserve"> (filed </w:t>
      </w:r>
      <w:r>
        <w:t>Nov</w:t>
      </w:r>
      <w:r w:rsidRPr="00300061">
        <w:t xml:space="preserve">. </w:t>
      </w:r>
      <w:r>
        <w:t>24</w:t>
      </w:r>
      <w:r w:rsidRPr="00300061">
        <w:t>, 2021) (</w:t>
      </w:r>
      <w:r>
        <w:t>November</w:t>
      </w:r>
      <w:r w:rsidRPr="00300061">
        <w:t xml:space="preserve"> 2021 Supplement</w:t>
      </w:r>
      <w:r w:rsidR="00AF199F">
        <w:t xml:space="preserve"> to Petition</w:t>
      </w:r>
      <w:r w:rsidRPr="00300061">
        <w:t xml:space="preserve">).  On </w:t>
      </w:r>
      <w:r>
        <w:t>Dec.</w:t>
      </w:r>
      <w:r w:rsidRPr="00300061">
        <w:t xml:space="preserve"> </w:t>
      </w:r>
      <w:r>
        <w:t>8</w:t>
      </w:r>
      <w:r w:rsidRPr="00300061">
        <w:t>, 2021, Petitioner filed another supplement</w:t>
      </w:r>
      <w:r w:rsidR="00AF199F">
        <w:t xml:space="preserve"> to the Petition</w:t>
      </w:r>
      <w:r w:rsidRPr="00300061">
        <w:t>, updating foreign ownership charts</w:t>
      </w:r>
      <w:r w:rsidR="003D27EE">
        <w:t xml:space="preserve"> (</w:t>
      </w:r>
      <w:r w:rsidR="003D27EE">
        <w:t>Exh</w:t>
      </w:r>
      <w:r w:rsidR="003D27EE">
        <w:t>. A-C)</w:t>
      </w:r>
      <w:r w:rsidRPr="00300061">
        <w:t xml:space="preserve"> and </w:t>
      </w:r>
      <w:r>
        <w:t>other information related to</w:t>
      </w:r>
      <w:r w:rsidRPr="00300061">
        <w:t xml:space="preserve"> the Petition.  Letter from John </w:t>
      </w:r>
      <w:r>
        <w:t>L. Flynn</w:t>
      </w:r>
      <w:r w:rsidRPr="00300061">
        <w:t xml:space="preserve">, Counsel for </w:t>
      </w:r>
      <w:r>
        <w:t>Connect Holding</w:t>
      </w:r>
      <w:r w:rsidR="0063381E">
        <w:t>,</w:t>
      </w:r>
      <w:r>
        <w:t xml:space="preserve"> LLC</w:t>
      </w:r>
      <w:r w:rsidRPr="00300061">
        <w:t xml:space="preserve"> to Marlene H. Dortch, FCC, IBFS File No. ISP-PDR-</w:t>
      </w:r>
      <w:r w:rsidRPr="00642824">
        <w:t>20211028-00008</w:t>
      </w:r>
      <w:r w:rsidRPr="00300061">
        <w:t xml:space="preserve"> (filed </w:t>
      </w:r>
      <w:r>
        <w:t>Dec</w:t>
      </w:r>
      <w:r w:rsidRPr="00300061">
        <w:t xml:space="preserve">. </w:t>
      </w:r>
      <w:r>
        <w:t>8</w:t>
      </w:r>
      <w:r w:rsidRPr="00300061">
        <w:t>, 2021) (</w:t>
      </w:r>
      <w:r>
        <w:t xml:space="preserve">December </w:t>
      </w:r>
      <w:r w:rsidR="00972CCF">
        <w:t>8,</w:t>
      </w:r>
      <w:r>
        <w:t xml:space="preserve"> </w:t>
      </w:r>
      <w:r w:rsidRPr="00300061">
        <w:t>2021 Supplement</w:t>
      </w:r>
      <w:r w:rsidR="00AF199F">
        <w:t xml:space="preserve"> to Petition</w:t>
      </w:r>
      <w:r w:rsidRPr="00300061">
        <w:t>).</w:t>
      </w:r>
      <w:r w:rsidR="009D7A9D">
        <w:t xml:space="preserve">  </w:t>
      </w:r>
      <w:r w:rsidR="00BF1BE9">
        <w:t xml:space="preserve">On December 14, 2021, </w:t>
      </w:r>
      <w:r w:rsidR="004F65E9">
        <w:t>Petit</w:t>
      </w:r>
      <w:r w:rsidR="00732688">
        <w:t xml:space="preserve">ioner filed a supplement </w:t>
      </w:r>
      <w:r w:rsidR="00B51261">
        <w:t>to correct the foreign ownership chart attached to the Dec</w:t>
      </w:r>
      <w:r w:rsidR="009502AA">
        <w:t>ember</w:t>
      </w:r>
      <w:r w:rsidR="00B51261">
        <w:t xml:space="preserve"> 8, 2021 Supplement at </w:t>
      </w:r>
      <w:r w:rsidR="00B51261">
        <w:t>Exh</w:t>
      </w:r>
      <w:r w:rsidR="00B51261">
        <w:t xml:space="preserve">. C.  </w:t>
      </w:r>
      <w:r w:rsidRPr="00300061" w:rsidR="00F07E52">
        <w:t xml:space="preserve">Letter from John </w:t>
      </w:r>
      <w:r w:rsidR="00F07E52">
        <w:t>L. Flynn</w:t>
      </w:r>
      <w:r w:rsidRPr="00300061" w:rsidR="00F07E52">
        <w:t xml:space="preserve">, Counsel for </w:t>
      </w:r>
      <w:r w:rsidR="00F07E52">
        <w:t>Connect Holding LLC</w:t>
      </w:r>
      <w:r w:rsidR="00003697">
        <w:t>,</w:t>
      </w:r>
      <w:r w:rsidRPr="00300061" w:rsidR="00F07E52">
        <w:t xml:space="preserve"> to Marlene H. Dortch, FCC, IBFS File No. ISP-PDR-</w:t>
      </w:r>
      <w:r w:rsidRPr="00642824" w:rsidR="00F07E52">
        <w:t>20211028-00008</w:t>
      </w:r>
      <w:r w:rsidRPr="00300061" w:rsidR="00F07E52">
        <w:t xml:space="preserve"> (filed </w:t>
      </w:r>
      <w:r w:rsidR="00F07E52">
        <w:t>Dec</w:t>
      </w:r>
      <w:r w:rsidRPr="00300061" w:rsidR="00F07E52">
        <w:t xml:space="preserve">. </w:t>
      </w:r>
      <w:r w:rsidR="00F07E52">
        <w:t>14</w:t>
      </w:r>
      <w:r w:rsidRPr="00300061" w:rsidR="00F07E52">
        <w:t>, 2021) (</w:t>
      </w:r>
      <w:r w:rsidR="00F07E52">
        <w:t xml:space="preserve">December 14, </w:t>
      </w:r>
      <w:r w:rsidRPr="00300061" w:rsidR="00F07E52">
        <w:t>2021 Supplement</w:t>
      </w:r>
      <w:r w:rsidR="00F07E52">
        <w:t xml:space="preserve"> to Petition</w:t>
      </w:r>
      <w:r w:rsidRPr="00300061" w:rsidR="00F07E52">
        <w:t>).</w:t>
      </w:r>
    </w:p>
  </w:footnote>
  <w:footnote w:id="8">
    <w:p w:rsidR="0074797E" w:rsidRPr="00E23282" w:rsidP="00FA09E5" w14:paraId="42456ECC" w14:textId="76776B80">
      <w:pPr>
        <w:pStyle w:val="FootnoteText"/>
      </w:pPr>
      <w:r w:rsidRPr="00E23282">
        <w:rPr>
          <w:rStyle w:val="FootnoteReference"/>
        </w:rPr>
        <w:footnoteRef/>
      </w:r>
      <w:r w:rsidRPr="00E23282">
        <w:t xml:space="preserve"> </w:t>
      </w:r>
      <w:r w:rsidRPr="00E23282">
        <w:t xml:space="preserve">The 20 states are Alabama, Arkansas, Georgia, Illinois, Indiana, Kansas, Louisiana, Michigan, Mississippi, Missouri, New Jersey, North Carolina, Ohio, Oklahoma, Pennsylvania, South Carolina, Tennessee, Texas, Virginia, and Wisconsin.  </w:t>
      </w:r>
      <w:r>
        <w:t>Lead Application</w:t>
      </w:r>
      <w:r w:rsidRPr="00E23282">
        <w:t xml:space="preserve"> at 2</w:t>
      </w:r>
      <w:r>
        <w:t xml:space="preserve">; </w:t>
      </w:r>
      <w:r w:rsidRPr="00E23282">
        <w:rPr>
          <w:i/>
          <w:iCs/>
        </w:rPr>
        <w:t>see also</w:t>
      </w:r>
      <w:r>
        <w:t xml:space="preserve"> </w:t>
      </w:r>
      <w:r w:rsidRPr="0037153E" w:rsidR="00181C11">
        <w:rPr>
          <w:i/>
          <w:iCs/>
        </w:rPr>
        <w:t>id.</w:t>
      </w:r>
      <w:r>
        <w:t xml:space="preserve">, </w:t>
      </w:r>
      <w:r>
        <w:t>Exh</w:t>
      </w:r>
      <w:r>
        <w:t>. A (Jurisdiction of Incorporation of the Acquired Companies Holding Domestic Section 214 Authorization) at 1-2.</w:t>
      </w:r>
    </w:p>
  </w:footnote>
  <w:footnote w:id="9">
    <w:p w:rsidR="0074797E" w:rsidRPr="00E23282" w:rsidP="00FA09E5" w14:paraId="7CB84E8A" w14:textId="5E640396">
      <w:pPr>
        <w:pStyle w:val="FootnoteText"/>
      </w:pPr>
      <w:r w:rsidRPr="00E23282">
        <w:rPr>
          <w:rStyle w:val="FootnoteReference"/>
        </w:rPr>
        <w:footnoteRef/>
      </w:r>
      <w:r w:rsidRPr="00E23282">
        <w:t xml:space="preserve"> </w:t>
      </w:r>
      <w:r w:rsidRPr="0037153E" w:rsidR="00A72D74">
        <w:rPr>
          <w:i/>
          <w:iCs/>
        </w:rPr>
        <w:t>Id.</w:t>
      </w:r>
      <w:r w:rsidRPr="00E23282">
        <w:t xml:space="preserve"> at 2</w:t>
      </w:r>
      <w:r>
        <w:t xml:space="preserve">, Attach. 1 </w:t>
      </w:r>
      <w:r w:rsidRPr="00E23282">
        <w:t>(Description of Proposed Transaction and Public Interest Statement</w:t>
      </w:r>
      <w:r>
        <w:t>) at 2, 7.</w:t>
      </w:r>
    </w:p>
  </w:footnote>
  <w:footnote w:id="10">
    <w:p w:rsidR="0074797E" w:rsidRPr="00E23282" w:rsidP="00FA09E5" w14:paraId="45A9FA72" w14:textId="56F3D4BE">
      <w:pPr>
        <w:pStyle w:val="FootnoteText"/>
      </w:pPr>
      <w:r w:rsidRPr="00E23282">
        <w:rPr>
          <w:rStyle w:val="FootnoteReference"/>
        </w:rPr>
        <w:footnoteRef/>
      </w:r>
      <w:r w:rsidRPr="00E23282">
        <w:t xml:space="preserve"> </w:t>
      </w:r>
      <w:r w:rsidRPr="00DD4DC5" w:rsidR="00A72D74">
        <w:rPr>
          <w:i/>
          <w:iCs/>
        </w:rPr>
        <w:t>Id.</w:t>
      </w:r>
      <w:r w:rsidRPr="00E23282" w:rsidR="00A72D74">
        <w:t xml:space="preserve"> </w:t>
      </w:r>
      <w:r w:rsidRPr="00E23282">
        <w:t>at 3</w:t>
      </w:r>
      <w:r w:rsidR="00FC0C14">
        <w:t>,</w:t>
      </w:r>
      <w:r w:rsidRPr="00E23282">
        <w:t xml:space="preserve"> Attach. 1 at 2, 4.</w:t>
      </w:r>
    </w:p>
  </w:footnote>
  <w:footnote w:id="11">
    <w:p w:rsidR="0074797E" w:rsidRPr="00201AD3" w:rsidP="00FA09E5" w14:paraId="24F9BA10" w14:textId="166D2869">
      <w:pPr>
        <w:pStyle w:val="FootnoteText"/>
      </w:pPr>
      <w:r w:rsidRPr="00E23282">
        <w:rPr>
          <w:rStyle w:val="FootnoteReference"/>
        </w:rPr>
        <w:footnoteRef/>
      </w:r>
      <w:r w:rsidRPr="00E23282">
        <w:t xml:space="preserve"> </w:t>
      </w:r>
      <w:r w:rsidRPr="00DD4DC5" w:rsidR="00995817">
        <w:rPr>
          <w:i/>
          <w:iCs/>
        </w:rPr>
        <w:t>Id.</w:t>
      </w:r>
      <w:r>
        <w:t xml:space="preserve">, </w:t>
      </w:r>
      <w:r w:rsidRPr="00E23282">
        <w:t>Exh</w:t>
      </w:r>
      <w:r w:rsidRPr="00E23282">
        <w:t xml:space="preserve">. A (listing Lumen entities that hold domestic </w:t>
      </w:r>
      <w:r>
        <w:t>s</w:t>
      </w:r>
      <w:r w:rsidRPr="00E23282">
        <w:t>ection 214 authorizations to be transferred to Connect Holding under the proposed transaction)</w:t>
      </w:r>
      <w:r>
        <w:t xml:space="preserve">; </w:t>
      </w:r>
      <w:r w:rsidRPr="00705DC9">
        <w:rPr>
          <w:i/>
          <w:iCs/>
        </w:rPr>
        <w:t>see also</w:t>
      </w:r>
      <w:r w:rsidRPr="00705DC9">
        <w:t xml:space="preserve"> </w:t>
      </w:r>
      <w:r w:rsidR="00362321">
        <w:rPr>
          <w:i/>
          <w:iCs/>
        </w:rPr>
        <w:t>i</w:t>
      </w:r>
      <w:r w:rsidRPr="00DD4DC5" w:rsidR="00362321">
        <w:rPr>
          <w:i/>
          <w:iCs/>
        </w:rPr>
        <w:t>d.</w:t>
      </w:r>
      <w:r>
        <w:t xml:space="preserve">, </w:t>
      </w:r>
      <w:r>
        <w:t>Exh</w:t>
      </w:r>
      <w:r>
        <w:t>. B (Pre-Transaction Ownership Structure).</w:t>
      </w:r>
      <w:r w:rsidRPr="00E23282">
        <w:t xml:space="preserve">  Through its subsidiary</w:t>
      </w:r>
      <w:r w:rsidR="005F1D38">
        <w:t>,</w:t>
      </w:r>
      <w:r w:rsidRPr="00E23282">
        <w:t xml:space="preserve"> Madison River Communications Corp.</w:t>
      </w:r>
      <w:r>
        <w:t xml:space="preserve"> (Madison River)</w:t>
      </w:r>
      <w:r w:rsidRPr="00E23282">
        <w:t xml:space="preserve">, Lumen also </w:t>
      </w:r>
      <w:r w:rsidR="009110F9">
        <w:t>currently</w:t>
      </w:r>
      <w:r w:rsidRPr="00E23282" w:rsidR="009110F9">
        <w:t xml:space="preserve"> </w:t>
      </w:r>
      <w:r w:rsidRPr="00E23282">
        <w:t xml:space="preserve">holds an international </w:t>
      </w:r>
      <w:r>
        <w:t>s</w:t>
      </w:r>
      <w:r w:rsidRPr="00E23282">
        <w:t xml:space="preserve">ection 214 authorization (File No. ITC-214-20000706-00385) for global resale authority. </w:t>
      </w:r>
      <w:r>
        <w:t xml:space="preserve"> Lead Application at 4.  </w:t>
      </w:r>
      <w:r w:rsidRPr="00705DC9">
        <w:t xml:space="preserve">CTBS will provide international resale services pursuant to an international </w:t>
      </w:r>
      <w:r>
        <w:t>s</w:t>
      </w:r>
      <w:r w:rsidRPr="00705DC9">
        <w:t xml:space="preserve">ection 214 reseller authorization that is </w:t>
      </w:r>
      <w:r w:rsidR="00BA012F">
        <w:t>currently</w:t>
      </w:r>
      <w:r w:rsidRPr="00705DC9" w:rsidR="00BA012F">
        <w:t xml:space="preserve"> </w:t>
      </w:r>
      <w:r w:rsidRPr="00705DC9">
        <w:t xml:space="preserve">held by Lumen subsidiary Madison River but which will be assigned to CTBS prior to closing. </w:t>
      </w:r>
      <w:r>
        <w:t xml:space="preserve"> </w:t>
      </w:r>
      <w:r w:rsidRPr="00DD4DC5" w:rsidR="00BE55EE">
        <w:rPr>
          <w:i/>
          <w:iCs/>
        </w:rPr>
        <w:t>Id.</w:t>
      </w:r>
      <w:r w:rsidR="007F188B">
        <w:t>,</w:t>
      </w:r>
      <w:r>
        <w:t xml:space="preserve"> Attach. 1 at 7.</w:t>
      </w:r>
      <w:r w:rsidR="00FC505F">
        <w:t xml:space="preserve">  Applicants will file a separate </w:t>
      </w:r>
      <w:r w:rsidR="00AD64C3">
        <w:rPr>
          <w:i/>
          <w:iCs/>
        </w:rPr>
        <w:t>pro forma</w:t>
      </w:r>
      <w:r w:rsidR="00AD64C3">
        <w:t xml:space="preserve"> notification </w:t>
      </w:r>
      <w:r w:rsidR="00FC3349">
        <w:t>regarding the assignment of the international section 214 au</w:t>
      </w:r>
      <w:r w:rsidR="00DB33AC">
        <w:t>t</w:t>
      </w:r>
      <w:r w:rsidR="00FC3349">
        <w:t xml:space="preserve">horization. </w:t>
      </w:r>
      <w:r w:rsidR="00201AD3">
        <w:t xml:space="preserve"> </w:t>
      </w:r>
      <w:r w:rsidR="00377EB2">
        <w:rPr>
          <w:i/>
          <w:iCs/>
        </w:rPr>
        <w:t>Id.</w:t>
      </w:r>
      <w:r w:rsidR="00201AD3">
        <w:t xml:space="preserve"> at n.11.</w:t>
      </w:r>
    </w:p>
  </w:footnote>
  <w:footnote w:id="12">
    <w:p w:rsidR="0074797E" w:rsidRPr="00E23282" w:rsidP="00FA09E5" w14:paraId="1B63B8B4" w14:textId="74B3F2AC">
      <w:pPr>
        <w:pStyle w:val="FootnoteText"/>
      </w:pPr>
      <w:r w:rsidRPr="00E23282">
        <w:rPr>
          <w:rStyle w:val="FootnoteReference"/>
        </w:rPr>
        <w:footnoteRef/>
      </w:r>
      <w:r w:rsidRPr="00E23282">
        <w:t xml:space="preserve"> </w:t>
      </w:r>
      <w:r w:rsidRPr="00DD4DC5" w:rsidR="00B273D5">
        <w:rPr>
          <w:i/>
          <w:iCs/>
        </w:rPr>
        <w:t>Id.</w:t>
      </w:r>
      <w:r>
        <w:t>, Attach. 1 at 4.</w:t>
      </w:r>
    </w:p>
  </w:footnote>
  <w:footnote w:id="13">
    <w:p w:rsidR="0074797E" w:rsidRPr="00E23282" w:rsidP="00FA09E5" w14:paraId="5BB19067" w14:textId="25D9A8F1">
      <w:pPr>
        <w:pStyle w:val="FootnoteText"/>
      </w:pPr>
      <w:r w:rsidRPr="00E23282">
        <w:rPr>
          <w:rStyle w:val="FootnoteReference"/>
        </w:rPr>
        <w:footnoteRef/>
      </w:r>
      <w:r w:rsidRPr="00E23282">
        <w:t xml:space="preserve"> </w:t>
      </w:r>
      <w:r w:rsidRPr="00C24723">
        <w:rPr>
          <w:i/>
          <w:iCs/>
        </w:rPr>
        <w:t>See Rural Digital Opportunity Fund Phase I Auction (Auction 904) Closes; Winning Bidders Announced</w:t>
      </w:r>
      <w:r w:rsidRPr="00C24723">
        <w:t xml:space="preserve">, Public Notice, 35 FCC </w:t>
      </w:r>
      <w:r w:rsidRPr="00C24723">
        <w:t>Rcd</w:t>
      </w:r>
      <w:r w:rsidRPr="00C24723">
        <w:t xml:space="preserve"> 13888, Attac</w:t>
      </w:r>
      <w:r>
        <w:t>h.</w:t>
      </w:r>
      <w:r w:rsidRPr="00C24723">
        <w:t xml:space="preserve"> A at 5-6 (</w:t>
      </w:r>
      <w:r w:rsidR="00322C19">
        <w:t xml:space="preserve">WCB/OEA </w:t>
      </w:r>
      <w:r w:rsidRPr="00C24723">
        <w:t>2021)</w:t>
      </w:r>
      <w:r>
        <w:t xml:space="preserve">; </w:t>
      </w:r>
      <w:r w:rsidRPr="001C46EA">
        <w:rPr>
          <w:i/>
          <w:iCs/>
        </w:rPr>
        <w:t>see also</w:t>
      </w:r>
      <w:r>
        <w:t xml:space="preserve"> Lead Application at 1, Attach. 1 at 5.</w:t>
      </w:r>
    </w:p>
  </w:footnote>
  <w:footnote w:id="14">
    <w:p w:rsidR="0074797E" w:rsidRPr="00E23282" w:rsidP="00FA09E5" w14:paraId="45FDB667" w14:textId="77777777">
      <w:pPr>
        <w:pStyle w:val="FootnoteText"/>
      </w:pPr>
      <w:r w:rsidRPr="00E23282">
        <w:rPr>
          <w:rStyle w:val="FootnoteReference"/>
        </w:rPr>
        <w:footnoteRef/>
      </w:r>
      <w:r w:rsidRPr="00E23282">
        <w:t xml:space="preserve"> </w:t>
      </w:r>
      <w:r>
        <w:t>Lead Application, Attach. 1 at 5.</w:t>
      </w:r>
    </w:p>
  </w:footnote>
  <w:footnote w:id="15">
    <w:p w:rsidR="0074797E" w:rsidRPr="00E23282" w:rsidP="00FA09E5" w14:paraId="3754832A" w14:textId="416C0EEE">
      <w:pPr>
        <w:pStyle w:val="FootnoteText"/>
      </w:pPr>
      <w:r w:rsidRPr="00E23282">
        <w:rPr>
          <w:rStyle w:val="FootnoteReference"/>
        </w:rPr>
        <w:footnoteRef/>
      </w:r>
      <w:r w:rsidRPr="00E23282">
        <w:t xml:space="preserve"> </w:t>
      </w:r>
      <w:r w:rsidRPr="00DD4DC5" w:rsidR="007E27BC">
        <w:rPr>
          <w:i/>
          <w:iCs/>
        </w:rPr>
        <w:t>Id.</w:t>
      </w:r>
      <w:r>
        <w:t xml:space="preserve">, Attach. 1 at 5; </w:t>
      </w:r>
      <w:r w:rsidRPr="00A8110D">
        <w:rPr>
          <w:i/>
          <w:iCs/>
        </w:rPr>
        <w:t>see also</w:t>
      </w:r>
      <w:r>
        <w:t xml:space="preserve"> First Supplement </w:t>
      </w:r>
      <w:r w:rsidR="000770E9">
        <w:t xml:space="preserve">to Lead Application </w:t>
      </w:r>
      <w:r>
        <w:t>at 4-5 (explaining AGM’s investment rationale for this transaction).</w:t>
      </w:r>
    </w:p>
  </w:footnote>
  <w:footnote w:id="16">
    <w:p w:rsidR="0074797E" w:rsidRPr="00E23282" w:rsidP="00FA09E5" w14:paraId="4038A8C4" w14:textId="05D04DB3">
      <w:pPr>
        <w:pStyle w:val="FootnoteText"/>
      </w:pPr>
      <w:r w:rsidRPr="00E23282">
        <w:rPr>
          <w:rStyle w:val="FootnoteReference"/>
        </w:rPr>
        <w:footnoteRef/>
      </w:r>
      <w:r w:rsidRPr="00E23282">
        <w:t xml:space="preserve"> </w:t>
      </w:r>
      <w:r>
        <w:t xml:space="preserve">Lead Application, Attach. 1 at 6; First Supplement </w:t>
      </w:r>
      <w:r w:rsidR="000770E9">
        <w:t xml:space="preserve">to Lead Application </w:t>
      </w:r>
      <w:r>
        <w:t xml:space="preserve">at 4.  </w:t>
      </w:r>
      <w:r w:rsidRPr="00E23282">
        <w:t xml:space="preserve">Upon consummation of the proposed transaction, Connect Holding will be affiliated with </w:t>
      </w:r>
      <w:r w:rsidRPr="00E23282">
        <w:t>Intrado</w:t>
      </w:r>
      <w:r w:rsidRPr="00E23282">
        <w:t xml:space="preserve"> Corporation, several subsidiaries of which (</w:t>
      </w:r>
      <w:r w:rsidRPr="00E23282">
        <w:t>Intrado</w:t>
      </w:r>
      <w:r w:rsidRPr="00E23282">
        <w:t xml:space="preserve"> Communications, LLC, </w:t>
      </w:r>
      <w:r w:rsidRPr="00E23282">
        <w:t>Intrado</w:t>
      </w:r>
      <w:r w:rsidRPr="00E23282">
        <w:t xml:space="preserve"> Canada, Inc., and </w:t>
      </w:r>
      <w:r w:rsidRPr="00E23282">
        <w:t>Intrado</w:t>
      </w:r>
      <w:r w:rsidRPr="00E23282">
        <w:t xml:space="preserve"> Digital Media Canada Inc.) are foreign carriers that hold a Basic International Telecommunication Services license to operate in Canada.  </w:t>
      </w:r>
      <w:r w:rsidRPr="00E23282">
        <w:t>Intrado</w:t>
      </w:r>
      <w:r w:rsidRPr="00E23282">
        <w:t xml:space="preserve"> Corporation and its various operating subsidiaries also provide domestic </w:t>
      </w:r>
      <w:r>
        <w:t>competitive LEC</w:t>
      </w:r>
      <w:r w:rsidRPr="00E23282">
        <w:t xml:space="preserve">-based tandem, VoIP, E911 and related solutions.  </w:t>
      </w:r>
      <w:r>
        <w:t>Lead Application</w:t>
      </w:r>
      <w:r w:rsidRPr="00E23282">
        <w:t xml:space="preserve"> at 6.</w:t>
      </w:r>
    </w:p>
  </w:footnote>
  <w:footnote w:id="17">
    <w:p w:rsidR="0074797E" w:rsidRPr="00E23282" w:rsidP="006B543C" w14:paraId="58AF3E1E" w14:textId="1485B762">
      <w:pPr>
        <w:pStyle w:val="FootnoteText"/>
      </w:pPr>
      <w:r w:rsidRPr="00E23282">
        <w:rPr>
          <w:rStyle w:val="FootnoteReference"/>
        </w:rPr>
        <w:footnoteRef/>
      </w:r>
      <w:r w:rsidRPr="00E23282">
        <w:rPr>
          <w:rStyle w:val="FootnoteReference"/>
        </w:rPr>
        <w:t xml:space="preserve"> </w:t>
      </w:r>
      <w:r>
        <w:t>Lead</w:t>
      </w:r>
      <w:r w:rsidRPr="00C53BB4">
        <w:t xml:space="preserve"> </w:t>
      </w:r>
      <w:r>
        <w:t>Application</w:t>
      </w:r>
      <w:r w:rsidRPr="00402791">
        <w:t xml:space="preserve"> at 4-5, </w:t>
      </w:r>
      <w:r w:rsidRPr="00402791">
        <w:t>Exh</w:t>
      </w:r>
      <w:r w:rsidRPr="00402791">
        <w:t>.</w:t>
      </w:r>
      <w:r w:rsidRPr="00E23282">
        <w:t xml:space="preserve"> C</w:t>
      </w:r>
      <w:r>
        <w:t xml:space="preserve"> (Post-Transaction Ownership Structure)</w:t>
      </w:r>
      <w:r w:rsidRPr="00E23282">
        <w:t xml:space="preserve">.  </w:t>
      </w:r>
      <w:r w:rsidRPr="00E23282">
        <w:t>TelUSA</w:t>
      </w:r>
      <w:r w:rsidRPr="00E23282">
        <w:t xml:space="preserve"> Holdings, LLC, is the direct, 100% owner of Telephone USA of Wisconsin, LLC, and is in turn owned 90% by Lumen and 10% by Telephone USA Investments, Inc. </w:t>
      </w:r>
      <w:r w:rsidR="004A3E68">
        <w:t xml:space="preserve"> </w:t>
      </w:r>
      <w:r w:rsidRPr="00E23282">
        <w:t xml:space="preserve">Telephone USA Investments, Inc. is a Delaware corporation.  The proposed transaction involves only the Lumen interest. </w:t>
      </w:r>
      <w:r>
        <w:t xml:space="preserve"> </w:t>
      </w:r>
      <w:r w:rsidRPr="00DD4DC5" w:rsidR="005C4A9B">
        <w:rPr>
          <w:i/>
          <w:iCs/>
        </w:rPr>
        <w:t>Id.</w:t>
      </w:r>
      <w:r w:rsidRPr="00E23282" w:rsidR="005C4A9B">
        <w:t xml:space="preserve"> </w:t>
      </w:r>
      <w:r>
        <w:t>at 5 n.5.</w:t>
      </w:r>
      <w:r w:rsidR="00072359">
        <w:t xml:space="preserve">  </w:t>
      </w:r>
      <w:r w:rsidR="001F309D">
        <w:t xml:space="preserve">On December 7, 2021, Applicants filed a corrected </w:t>
      </w:r>
      <w:r w:rsidR="006B543C">
        <w:t xml:space="preserve">organizational chart.  </w:t>
      </w:r>
      <w:r w:rsidR="00250CFC">
        <w:t>Third</w:t>
      </w:r>
      <w:r w:rsidRPr="00E23282" w:rsidR="00250CFC">
        <w:t xml:space="preserve"> Supplement</w:t>
      </w:r>
      <w:r w:rsidR="00250CFC">
        <w:t xml:space="preserve"> to Lead Application</w:t>
      </w:r>
      <w:r w:rsidR="00040079">
        <w:t>,</w:t>
      </w:r>
      <w:r w:rsidR="00250CFC">
        <w:t xml:space="preserve"> Attach.  </w:t>
      </w:r>
      <w:r w:rsidR="009D2678">
        <w:t xml:space="preserve">In the Third Supplement to the Lead Application, </w:t>
      </w:r>
      <w:r w:rsidR="00916B3C">
        <w:t>Applicants explain th</w:t>
      </w:r>
      <w:r w:rsidR="00BC3E59">
        <w:t>at t</w:t>
      </w:r>
      <w:r w:rsidR="00774BE5">
        <w:t>he previously filed</w:t>
      </w:r>
      <w:r w:rsidRPr="006B543C" w:rsidR="006B543C">
        <w:t xml:space="preserve"> chart stated that </w:t>
      </w:r>
      <w:r w:rsidR="00892E86">
        <w:t>Lumen holds</w:t>
      </w:r>
      <w:r w:rsidRPr="006B543C" w:rsidR="006B543C">
        <w:t xml:space="preserve"> 90% voting and equity interests in </w:t>
      </w:r>
      <w:r w:rsidRPr="006B543C" w:rsidR="006B543C">
        <w:t>TelUSA</w:t>
      </w:r>
      <w:r w:rsidRPr="006B543C" w:rsidR="006B543C">
        <w:t xml:space="preserve"> Holdings, LLC and Telephone USA of Wisconsin, LLC. </w:t>
      </w:r>
      <w:r w:rsidR="004F6C85">
        <w:t xml:space="preserve"> </w:t>
      </w:r>
      <w:r w:rsidRPr="00DD4DC5" w:rsidR="00023D38">
        <w:rPr>
          <w:i/>
          <w:iCs/>
        </w:rPr>
        <w:t>Id.</w:t>
      </w:r>
      <w:r w:rsidR="00EE01DE">
        <w:t xml:space="preserve"> at 1.  </w:t>
      </w:r>
      <w:r w:rsidR="00D07CF5">
        <w:t xml:space="preserve">Applicants </w:t>
      </w:r>
      <w:r w:rsidR="008A242B">
        <w:t>corrected the record</w:t>
      </w:r>
      <w:r w:rsidR="00B06BFC">
        <w:t>,</w:t>
      </w:r>
      <w:r w:rsidR="008A242B">
        <w:t xml:space="preserve"> explaining </w:t>
      </w:r>
      <w:r w:rsidR="00D07CF5">
        <w:t xml:space="preserve">that </w:t>
      </w:r>
      <w:r w:rsidR="00266366">
        <w:t>“</w:t>
      </w:r>
      <w:r w:rsidR="009521C3">
        <w:t>w</w:t>
      </w:r>
      <w:r w:rsidRPr="006B543C" w:rsidR="006B543C">
        <w:t xml:space="preserve">hile Lumen holds 90% of the equity in </w:t>
      </w:r>
      <w:r w:rsidRPr="006B543C" w:rsidR="006B543C">
        <w:t>TelUSA</w:t>
      </w:r>
      <w:r w:rsidRPr="006B543C" w:rsidR="006B543C">
        <w:t xml:space="preserve"> Holdings and Telephone USA, it does not hold 90% of the voting interests.</w:t>
      </w:r>
      <w:r w:rsidR="00FC58B6">
        <w:t xml:space="preserve"> </w:t>
      </w:r>
      <w:r w:rsidRPr="006B543C" w:rsidR="006B543C">
        <w:t xml:space="preserve"> The voting interests are governed by an agreement between Lumen and Telephone USA Investments, Inc., which holds the remaining 10% of the equity in </w:t>
      </w:r>
      <w:r w:rsidRPr="006B543C" w:rsidR="006B543C">
        <w:t>TelUSA</w:t>
      </w:r>
      <w:r w:rsidRPr="006B543C" w:rsidR="006B543C">
        <w:t xml:space="preserve"> Holdings.</w:t>
      </w:r>
      <w:r w:rsidR="00B06BFC">
        <w:t>”</w:t>
      </w:r>
      <w:r w:rsidRPr="006B543C" w:rsidR="006B543C">
        <w:t xml:space="preserve"> </w:t>
      </w:r>
      <w:r w:rsidR="00B06BFC">
        <w:t xml:space="preserve"> </w:t>
      </w:r>
      <w:r w:rsidRPr="00DD4DC5" w:rsidR="00CF76B5">
        <w:rPr>
          <w:i/>
          <w:iCs/>
        </w:rPr>
        <w:t>Id.</w:t>
      </w:r>
      <w:r w:rsidRPr="00E23282" w:rsidR="00CF76B5">
        <w:t xml:space="preserve"> </w:t>
      </w:r>
      <w:r w:rsidR="009A1D44">
        <w:t>at 1</w:t>
      </w:r>
      <w:r w:rsidR="001F309D">
        <w:t>.</w:t>
      </w:r>
    </w:p>
  </w:footnote>
  <w:footnote w:id="18">
    <w:p w:rsidR="0074797E" w:rsidP="00FA09E5" w14:paraId="55EEF9B6" w14:textId="77777777">
      <w:pPr>
        <w:pStyle w:val="FootnoteText"/>
      </w:pPr>
      <w:r>
        <w:rPr>
          <w:rStyle w:val="FootnoteReference"/>
        </w:rPr>
        <w:footnoteRef/>
      </w:r>
      <w:r>
        <w:t xml:space="preserve"> </w:t>
      </w:r>
      <w:r>
        <w:t xml:space="preserve">Lead Application at 5, </w:t>
      </w:r>
      <w:r>
        <w:t>Exh</w:t>
      </w:r>
      <w:r>
        <w:t>. C.</w:t>
      </w:r>
    </w:p>
  </w:footnote>
  <w:footnote w:id="19">
    <w:p w:rsidR="0074797E" w:rsidP="00FA09E5" w14:paraId="4BEE9BC6" w14:textId="68D8DC94">
      <w:pPr>
        <w:pStyle w:val="FootnoteText"/>
      </w:pPr>
      <w:r>
        <w:rPr>
          <w:rStyle w:val="FootnoteReference"/>
        </w:rPr>
        <w:footnoteRef/>
      </w:r>
      <w:r>
        <w:t xml:space="preserve"> </w:t>
      </w:r>
      <w:r w:rsidRPr="00DD4DC5" w:rsidR="00810EEB">
        <w:rPr>
          <w:i/>
          <w:iCs/>
        </w:rPr>
        <w:t>Id.</w:t>
      </w:r>
      <w:r w:rsidRPr="00E23282" w:rsidR="00810EEB">
        <w:t xml:space="preserve"> </w:t>
      </w:r>
      <w:r>
        <w:t xml:space="preserve">at 5, </w:t>
      </w:r>
      <w:r>
        <w:t>Exh</w:t>
      </w:r>
      <w:r>
        <w:t xml:space="preserve">. C; Second Supplement </w:t>
      </w:r>
      <w:r w:rsidR="000770E9">
        <w:t>to Lead Application</w:t>
      </w:r>
      <w:r w:rsidR="009C0B20">
        <w:t xml:space="preserve"> </w:t>
      </w:r>
      <w:r>
        <w:t xml:space="preserve">at 1, </w:t>
      </w:r>
      <w:r>
        <w:t>Exh</w:t>
      </w:r>
      <w:r>
        <w:t>. A (amending the ownership structure filed in the Lead Application).</w:t>
      </w:r>
    </w:p>
  </w:footnote>
  <w:footnote w:id="20">
    <w:p w:rsidR="0074797E" w:rsidP="00FA09E5" w14:paraId="1BDAE0E9" w14:textId="3B7B68C4">
      <w:pPr>
        <w:pStyle w:val="FootnoteText"/>
      </w:pPr>
      <w:r>
        <w:rPr>
          <w:rStyle w:val="FootnoteReference"/>
        </w:rPr>
        <w:footnoteRef/>
      </w:r>
      <w:r>
        <w:t xml:space="preserve"> </w:t>
      </w:r>
      <w:r>
        <w:t xml:space="preserve">Second Supplement </w:t>
      </w:r>
      <w:r w:rsidR="000770E9">
        <w:t xml:space="preserve">to Lead Application </w:t>
      </w:r>
      <w:r>
        <w:t xml:space="preserve">at 1, </w:t>
      </w:r>
      <w:r>
        <w:t>Exh</w:t>
      </w:r>
      <w:r>
        <w:t>. A.</w:t>
      </w:r>
    </w:p>
  </w:footnote>
  <w:footnote w:id="21">
    <w:p w:rsidR="0074797E" w:rsidP="00FA09E5" w14:paraId="36F3064A" w14:textId="77777777">
      <w:pPr>
        <w:pStyle w:val="FootnoteText"/>
      </w:pPr>
      <w:r>
        <w:rPr>
          <w:rStyle w:val="FootnoteReference"/>
        </w:rPr>
        <w:footnoteRef/>
      </w:r>
      <w:r>
        <w:t xml:space="preserve"> </w:t>
      </w:r>
      <w:r>
        <w:t xml:space="preserve">Lead Application at 5, </w:t>
      </w:r>
      <w:r>
        <w:t>Exh</w:t>
      </w:r>
      <w:r>
        <w:t>. C.</w:t>
      </w:r>
    </w:p>
  </w:footnote>
  <w:footnote w:id="22">
    <w:p w:rsidR="00C033A0" w:rsidRPr="00E23282" w:rsidP="00C033A0" w14:paraId="63EFBDDC" w14:textId="22AAD5A6">
      <w:pPr>
        <w:pStyle w:val="FootnoteText"/>
      </w:pPr>
      <w:r w:rsidRPr="00E23282">
        <w:rPr>
          <w:rStyle w:val="FootnoteReference"/>
        </w:rPr>
        <w:footnoteRef/>
      </w:r>
      <w:r w:rsidRPr="00E23282">
        <w:t xml:space="preserve"> </w:t>
      </w:r>
      <w:r w:rsidRPr="00DD4DC5" w:rsidR="00E30C66">
        <w:rPr>
          <w:i/>
          <w:iCs/>
        </w:rPr>
        <w:t>Id.</w:t>
      </w:r>
      <w:r>
        <w:t>, Attach. 1 at 5.</w:t>
      </w:r>
    </w:p>
  </w:footnote>
  <w:footnote w:id="23">
    <w:p w:rsidR="0074797E" w:rsidP="00FA09E5" w14:paraId="24450ED7" w14:textId="0ED30365">
      <w:pPr>
        <w:pStyle w:val="FootnoteText"/>
      </w:pPr>
      <w:r>
        <w:rPr>
          <w:rStyle w:val="FootnoteReference"/>
        </w:rPr>
        <w:footnoteRef/>
      </w:r>
      <w:r>
        <w:t xml:space="preserve"> </w:t>
      </w:r>
      <w:r w:rsidRPr="00DD4DC5" w:rsidR="00E30C66">
        <w:rPr>
          <w:i/>
          <w:iCs/>
        </w:rPr>
        <w:t>Id.</w:t>
      </w:r>
      <w:r w:rsidRPr="00E23282" w:rsidR="00E30C66">
        <w:t xml:space="preserve"> </w:t>
      </w:r>
      <w:r w:rsidRPr="00C32ED0">
        <w:t xml:space="preserve">at 5, </w:t>
      </w:r>
      <w:r w:rsidRPr="00C32ED0">
        <w:t>Exh</w:t>
      </w:r>
      <w:r w:rsidRPr="00C32ED0">
        <w:t xml:space="preserve">. C.  The Applicants filed a supplement to the Lead Application to remove </w:t>
      </w:r>
      <w:r w:rsidRPr="002B0669">
        <w:t>AIF IX (Connect Equity AIV), L.P.</w:t>
      </w:r>
      <w:r w:rsidRPr="00C32ED0">
        <w:rPr>
          <w:rFonts w:ascii="TimesNewRomanPSMT" w:hAnsi="TimesNewRomanPSMT"/>
        </w:rPr>
        <w:t xml:space="preserve"> </w:t>
      </w:r>
      <w:r>
        <w:t xml:space="preserve">from the ownership structure.  Second Supplement </w:t>
      </w:r>
      <w:r w:rsidR="000770E9">
        <w:t xml:space="preserve">to Lead Application </w:t>
      </w:r>
      <w:r>
        <w:t>at 1.</w:t>
      </w:r>
    </w:p>
  </w:footnote>
  <w:footnote w:id="24">
    <w:p w:rsidR="0074797E" w:rsidP="00FA09E5" w14:paraId="08570C4D" w14:textId="77777777">
      <w:pPr>
        <w:pStyle w:val="FootnoteText"/>
      </w:pPr>
      <w:r>
        <w:rPr>
          <w:rStyle w:val="FootnoteReference"/>
        </w:rPr>
        <w:footnoteRef/>
      </w:r>
      <w:r>
        <w:t xml:space="preserve"> </w:t>
      </w:r>
      <w:r w:rsidRPr="00470601">
        <w:t xml:space="preserve">Lead Application at 5, </w:t>
      </w:r>
      <w:r w:rsidRPr="00470601">
        <w:t>Exh</w:t>
      </w:r>
      <w:r w:rsidRPr="00470601">
        <w:t xml:space="preserve">. C.  </w:t>
      </w:r>
    </w:p>
  </w:footnote>
  <w:footnote w:id="25">
    <w:p w:rsidR="0074797E" w:rsidP="00FA09E5" w14:paraId="0E7F904F" w14:textId="41090E96">
      <w:pPr>
        <w:pStyle w:val="FootnoteText"/>
      </w:pPr>
      <w:r>
        <w:rPr>
          <w:rStyle w:val="FootnoteReference"/>
        </w:rPr>
        <w:footnoteRef/>
      </w:r>
      <w:r>
        <w:t xml:space="preserve"> </w:t>
      </w:r>
      <w:r w:rsidRPr="00DD4DC5" w:rsidR="00774282">
        <w:rPr>
          <w:i/>
          <w:iCs/>
        </w:rPr>
        <w:t>Id</w:t>
      </w:r>
      <w:r w:rsidRPr="0037153E">
        <w:rPr>
          <w:i/>
          <w:iCs/>
        </w:rPr>
        <w:t>.</w:t>
      </w:r>
      <w:r>
        <w:t xml:space="preserve">  As of </w:t>
      </w:r>
      <w:r w:rsidRPr="006664B8">
        <w:t xml:space="preserve">September 8, 2021, the three founders of AGM hold directly and indirectly approximately 91.5% percent of the vote in AGM’s Class A, B, and C shares voting as a single class. </w:t>
      </w:r>
      <w:r>
        <w:t xml:space="preserve"> </w:t>
      </w:r>
      <w:r w:rsidRPr="006664B8">
        <w:t>Following a reorganization and merger with Athene Holding Ltd., both of which are expected to occur in early 2022, the three founders will, based on their holdings as of August 23, 2021, hold approximately 28.1</w:t>
      </w:r>
      <w:r>
        <w:t>%</w:t>
      </w:r>
      <w:r w:rsidRPr="006664B8">
        <w:t xml:space="preserve"> of the vote in AGM through a new public company, New AGM.</w:t>
      </w:r>
      <w:r>
        <w:t xml:space="preserve">  </w:t>
      </w:r>
      <w:r w:rsidR="00665E72">
        <w:rPr>
          <w:i/>
          <w:iCs/>
        </w:rPr>
        <w:t>See infra</w:t>
      </w:r>
      <w:r w:rsidR="00665E72">
        <w:t xml:space="preserve"> at 8</w:t>
      </w:r>
      <w:r w:rsidR="00127027">
        <w:t>-9</w:t>
      </w:r>
      <w:r w:rsidR="0002637E">
        <w:t xml:space="preserve"> and</w:t>
      </w:r>
      <w:r w:rsidR="00665E72">
        <w:rPr>
          <w:i/>
          <w:iCs/>
        </w:rPr>
        <w:t xml:space="preserve"> </w:t>
      </w:r>
      <w:r w:rsidRPr="00665E72">
        <w:t xml:space="preserve">Second </w:t>
      </w:r>
      <w:r>
        <w:t xml:space="preserve">Supplement </w:t>
      </w:r>
      <w:r w:rsidR="00BC14D3">
        <w:t xml:space="preserve">to Lead Application </w:t>
      </w:r>
      <w:r>
        <w:t>at 2.</w:t>
      </w:r>
    </w:p>
  </w:footnote>
  <w:footnote w:id="26">
    <w:p w:rsidR="0074797E" w:rsidRPr="00E23282" w:rsidP="00FA09E5" w14:paraId="4ECFF23A" w14:textId="77777777">
      <w:pPr>
        <w:pStyle w:val="FootnoteText"/>
      </w:pPr>
      <w:r w:rsidRPr="00E23282">
        <w:rPr>
          <w:rStyle w:val="FootnoteReference"/>
        </w:rPr>
        <w:footnoteRef/>
      </w:r>
      <w:r w:rsidRPr="00E23282">
        <w:t xml:space="preserve"> </w:t>
      </w:r>
      <w:r>
        <w:t xml:space="preserve">Lead Application at 5, </w:t>
      </w:r>
      <w:r>
        <w:t>Exh</w:t>
      </w:r>
      <w:r>
        <w:t xml:space="preserve">. C.  </w:t>
      </w:r>
    </w:p>
  </w:footnote>
  <w:footnote w:id="27">
    <w:p w:rsidR="0074797E" w:rsidRPr="00E23282" w:rsidP="00FA09E5" w14:paraId="1A8C7882" w14:textId="504068EB">
      <w:pPr>
        <w:pStyle w:val="FootnoteText"/>
      </w:pPr>
      <w:r w:rsidRPr="00E23282">
        <w:rPr>
          <w:rStyle w:val="FootnoteReference"/>
        </w:rPr>
        <w:footnoteRef/>
      </w:r>
      <w:r w:rsidRPr="00E23282">
        <w:t xml:space="preserve"> </w:t>
      </w:r>
      <w:r w:rsidRPr="00DD4DC5" w:rsidR="00E37A64">
        <w:rPr>
          <w:i/>
          <w:iCs/>
        </w:rPr>
        <w:t>Id.</w:t>
      </w:r>
      <w:r w:rsidRPr="00E23282" w:rsidR="00E37A64">
        <w:t xml:space="preserve"> </w:t>
      </w:r>
      <w:r w:rsidRPr="00FB46FA">
        <w:t>at</w:t>
      </w:r>
      <w:r w:rsidRPr="00E23282">
        <w:t xml:space="preserve"> </w:t>
      </w:r>
      <w:r>
        <w:t xml:space="preserve">2, Attach. 1 at 6-7.  </w:t>
      </w:r>
      <w:r w:rsidRPr="00FF719C">
        <w:t xml:space="preserve">Lumen will retain its </w:t>
      </w:r>
      <w:r>
        <w:t xml:space="preserve">incumbent </w:t>
      </w:r>
      <w:r w:rsidRPr="00FF719C">
        <w:t xml:space="preserve">LEC assets in the 17 other states in its footprint, as well as its national fiber routes and </w:t>
      </w:r>
      <w:r>
        <w:t>competitive LEC</w:t>
      </w:r>
      <w:r w:rsidRPr="00FF719C">
        <w:t xml:space="preserve"> networks. </w:t>
      </w:r>
      <w:r w:rsidRPr="00E23282">
        <w:t xml:space="preserve"> </w:t>
      </w:r>
      <w:r w:rsidRPr="00DD4DC5" w:rsidR="00D5362D">
        <w:rPr>
          <w:i/>
          <w:iCs/>
        </w:rPr>
        <w:t>Id.</w:t>
      </w:r>
      <w:r>
        <w:t xml:space="preserve">, Attach. 1 at 7.  </w:t>
      </w:r>
      <w:r w:rsidRPr="00FF719C">
        <w:t xml:space="preserve">Lumen will continue to provide interexchange and </w:t>
      </w:r>
      <w:r>
        <w:t>competitive LEC</w:t>
      </w:r>
      <w:r w:rsidRPr="00FF719C">
        <w:t xml:space="preserve"> service in the 20 states at issue.</w:t>
      </w:r>
      <w:r w:rsidRPr="00E23282">
        <w:t xml:space="preserve">  </w:t>
      </w:r>
      <w:r w:rsidRPr="00C233A8">
        <w:rPr>
          <w:i/>
          <w:iCs/>
        </w:rPr>
        <w:t>Id</w:t>
      </w:r>
      <w:r>
        <w:t>.</w:t>
      </w:r>
    </w:p>
  </w:footnote>
  <w:footnote w:id="28">
    <w:p w:rsidR="0074797E" w:rsidRPr="00E23282" w:rsidP="00FA09E5" w14:paraId="19F7DA1D" w14:textId="43B8B1D1">
      <w:pPr>
        <w:pStyle w:val="FootnoteText"/>
      </w:pPr>
      <w:r w:rsidRPr="00E23282">
        <w:rPr>
          <w:rStyle w:val="FootnoteReference"/>
        </w:rPr>
        <w:footnoteRef/>
      </w:r>
      <w:r w:rsidRPr="00E23282">
        <w:t xml:space="preserve"> </w:t>
      </w:r>
      <w:r w:rsidRPr="00DD4DC5" w:rsidR="006A70B7">
        <w:rPr>
          <w:i/>
          <w:iCs/>
        </w:rPr>
        <w:t>Id.</w:t>
      </w:r>
      <w:r w:rsidRPr="00E23282" w:rsidR="006A70B7">
        <w:t xml:space="preserve"> </w:t>
      </w:r>
      <w:r w:rsidRPr="00E23282">
        <w:t>at 1</w:t>
      </w:r>
      <w:r>
        <w:t xml:space="preserve">; </w:t>
      </w:r>
      <w:r w:rsidRPr="004E47D3">
        <w:rPr>
          <w:i/>
          <w:iCs/>
        </w:rPr>
        <w:t>see also</w:t>
      </w:r>
      <w:r>
        <w:t xml:space="preserve"> First Supplement </w:t>
      </w:r>
      <w:r w:rsidR="00BC14D3">
        <w:t xml:space="preserve">to Lead Application </w:t>
      </w:r>
      <w:r>
        <w:t xml:space="preserve">at 7-8.  </w:t>
      </w:r>
      <w:r w:rsidRPr="00B92D87">
        <w:t>Connect Holding certifie</w:t>
      </w:r>
      <w:r>
        <w:t>d</w:t>
      </w:r>
      <w:r w:rsidRPr="00B92D87">
        <w:t xml:space="preserve"> that it will meet all its legally applicable obligations under all Universal Service Fund programs. </w:t>
      </w:r>
      <w:r>
        <w:t xml:space="preserve"> </w:t>
      </w:r>
      <w:r w:rsidRPr="00B92D87">
        <w:rPr>
          <w:i/>
          <w:iCs/>
        </w:rPr>
        <w:t xml:space="preserve">Id. </w:t>
      </w:r>
      <w:r w:rsidRPr="00B92D87">
        <w:t>at 10</w:t>
      </w:r>
      <w:r w:rsidRPr="00B92D87">
        <w:rPr>
          <w:i/>
          <w:iCs/>
        </w:rPr>
        <w:t>.</w:t>
      </w:r>
    </w:p>
  </w:footnote>
  <w:footnote w:id="29">
    <w:p w:rsidR="0074797E" w:rsidRPr="003823D6" w:rsidP="00FA09E5" w14:paraId="54773791" w14:textId="1F7B5B0A">
      <w:pPr>
        <w:pStyle w:val="FootnoteText"/>
        <w:rPr>
          <w:sz w:val="24"/>
          <w:szCs w:val="24"/>
        </w:rPr>
      </w:pPr>
      <w:r w:rsidRPr="00E23282">
        <w:rPr>
          <w:rStyle w:val="FootnoteReference"/>
        </w:rPr>
        <w:footnoteRef/>
      </w:r>
      <w:r w:rsidRPr="00E23282">
        <w:t xml:space="preserve"> </w:t>
      </w:r>
      <w:r w:rsidRPr="00E23282">
        <w:t>Following closing, CTBS will obtain international and domestic interexchange services from Lumen for resale to those Acquired Incumbent LEC customers</w:t>
      </w:r>
      <w:r>
        <w:t xml:space="preserve"> pursuant to</w:t>
      </w:r>
      <w:r w:rsidRPr="00FF719C">
        <w:t xml:space="preserve"> an international </w:t>
      </w:r>
      <w:r>
        <w:t>s</w:t>
      </w:r>
      <w:r w:rsidRPr="00FF719C">
        <w:t xml:space="preserve">ection 214 reseller authorization that is </w:t>
      </w:r>
      <w:r w:rsidR="006A01D5">
        <w:t>curren</w:t>
      </w:r>
      <w:r w:rsidRPr="00FF719C" w:rsidR="006A01D5">
        <w:t xml:space="preserve">tly </w:t>
      </w:r>
      <w:r w:rsidRPr="00FF719C">
        <w:t>held by Lumen subsidiary Madison River but which will be assigned to CTBS prior to closing.</w:t>
      </w:r>
      <w:r w:rsidRPr="00E23282">
        <w:t xml:space="preserve">  Connect Holding will also acquire certain unregulated subsidiaries of Lumen.  </w:t>
      </w:r>
      <w:r>
        <w:t>Lead Application</w:t>
      </w:r>
      <w:r w:rsidRPr="008462F7">
        <w:t>,</w:t>
      </w:r>
      <w:r>
        <w:t xml:space="preserve"> Attach. 1 at 7</w:t>
      </w:r>
      <w:r w:rsidRPr="00670CF9">
        <w:t>.  Applicants also request that “</w:t>
      </w:r>
      <w:r w:rsidRPr="00786E61">
        <w:t xml:space="preserve">any Commission approval of the applications filed for this transaction include authority for Connect Holding to acquire control of: (1) any authorization issued to the Acquired Companies or their subsidiaries while this transaction is pending before the Commission and the period required for consummation of the transaction; (2) any construction permits held by the Acquired Companies or their subsidiaries that mature into licenses after closing; and (3) any applications that are pending at the time of consummation.”  </w:t>
      </w:r>
      <w:r w:rsidRPr="00786E61">
        <w:rPr>
          <w:i/>
          <w:iCs/>
        </w:rPr>
        <w:t>Id</w:t>
      </w:r>
      <w:r>
        <w:t>.</w:t>
      </w:r>
      <w:r w:rsidR="00145BD3">
        <w:t>,</w:t>
      </w:r>
      <w:r w:rsidRPr="00786E61">
        <w:t xml:space="preserve"> Attach</w:t>
      </w:r>
      <w:r w:rsidR="0004497F">
        <w:t>.</w:t>
      </w:r>
      <w:r w:rsidRPr="00786E61">
        <w:t xml:space="preserve"> 2 at 1.</w:t>
      </w:r>
    </w:p>
  </w:footnote>
  <w:footnote w:id="30">
    <w:p w:rsidR="0074797E" w:rsidRPr="00E23282" w:rsidP="00FA09E5" w14:paraId="7C9B95E1" w14:textId="00FE2410">
      <w:pPr>
        <w:pStyle w:val="FootnoteText"/>
      </w:pPr>
      <w:r w:rsidRPr="00E23282">
        <w:rPr>
          <w:rStyle w:val="FootnoteReference"/>
        </w:rPr>
        <w:footnoteRef/>
      </w:r>
      <w:r w:rsidRPr="00E23282">
        <w:t xml:space="preserve"> </w:t>
      </w:r>
      <w:bookmarkStart w:id="6" w:name="_Hlk41917104"/>
      <w:r w:rsidRPr="00DD4DC5" w:rsidR="009D7B0B">
        <w:rPr>
          <w:i/>
          <w:iCs/>
        </w:rPr>
        <w:t>Id.</w:t>
      </w:r>
      <w:r w:rsidRPr="00D50BAE">
        <w:rPr>
          <w:iCs/>
        </w:rPr>
        <w:t>,</w:t>
      </w:r>
      <w:r w:rsidRPr="00E23282">
        <w:t xml:space="preserve"> </w:t>
      </w:r>
      <w:r w:rsidRPr="00E23282">
        <w:t>Exh</w:t>
      </w:r>
      <w:r w:rsidRPr="00E23282">
        <w:t xml:space="preserve">. 1 at </w:t>
      </w:r>
      <w:bookmarkEnd w:id="6"/>
      <w:r>
        <w:t>3-4, 8-14.</w:t>
      </w:r>
    </w:p>
  </w:footnote>
  <w:footnote w:id="31">
    <w:p w:rsidR="0074797E" w:rsidRPr="00E23282" w:rsidP="00FA09E5" w14:paraId="77D1E1A1" w14:textId="6FE712E2">
      <w:pPr>
        <w:pStyle w:val="FootnoteText"/>
      </w:pPr>
      <w:r w:rsidRPr="00E23282">
        <w:rPr>
          <w:rStyle w:val="FootnoteReference"/>
        </w:rPr>
        <w:footnoteRef/>
      </w:r>
      <w:r w:rsidRPr="00E23282">
        <w:t xml:space="preserve"> </w:t>
      </w:r>
      <w:r w:rsidRPr="00DD4DC5" w:rsidR="009D7B0B">
        <w:rPr>
          <w:i/>
          <w:iCs/>
        </w:rPr>
        <w:t>Id.</w:t>
      </w:r>
      <w:r w:rsidRPr="00D50BAE">
        <w:rPr>
          <w:iCs/>
        </w:rPr>
        <w:t>,</w:t>
      </w:r>
      <w:r w:rsidRPr="00E23282">
        <w:t xml:space="preserve"> </w:t>
      </w:r>
      <w:r w:rsidRPr="00E23282">
        <w:t>Exh</w:t>
      </w:r>
      <w:r w:rsidRPr="00E23282">
        <w:t xml:space="preserve">. 1 at </w:t>
      </w:r>
      <w:r>
        <w:t>3, 9.</w:t>
      </w:r>
    </w:p>
  </w:footnote>
  <w:footnote w:id="32">
    <w:p w:rsidR="0074797E" w:rsidRPr="00E23282" w:rsidP="00FA09E5" w14:paraId="49C9D84C" w14:textId="50F72F23">
      <w:pPr>
        <w:pStyle w:val="FootnoteText"/>
      </w:pPr>
      <w:r w:rsidRPr="00E23282">
        <w:rPr>
          <w:rStyle w:val="FootnoteReference"/>
        </w:rPr>
        <w:footnoteRef/>
      </w:r>
      <w:r w:rsidRPr="00E23282">
        <w:t xml:space="preserve"> </w:t>
      </w:r>
      <w:r w:rsidRPr="00DD4DC5" w:rsidR="0058241D">
        <w:rPr>
          <w:i/>
          <w:iCs/>
        </w:rPr>
        <w:t>Id.</w:t>
      </w:r>
      <w:r w:rsidRPr="00D50BAE">
        <w:rPr>
          <w:iCs/>
        </w:rPr>
        <w:t>,</w:t>
      </w:r>
      <w:r w:rsidRPr="00E23282">
        <w:t xml:space="preserve"> </w:t>
      </w:r>
      <w:r w:rsidRPr="00E23282">
        <w:t>Exh</w:t>
      </w:r>
      <w:r w:rsidRPr="00E23282">
        <w:t xml:space="preserve">. 1 at </w:t>
      </w:r>
      <w:r>
        <w:t xml:space="preserve">3; </w:t>
      </w:r>
      <w:r w:rsidRPr="006A361B">
        <w:rPr>
          <w:i/>
          <w:iCs/>
        </w:rPr>
        <w:t>see id.</w:t>
      </w:r>
      <w:r>
        <w:t xml:space="preserve">, </w:t>
      </w:r>
      <w:r>
        <w:t>Exh</w:t>
      </w:r>
      <w:r>
        <w:t xml:space="preserve">. 1 at 10-11; First Supplement </w:t>
      </w:r>
      <w:r w:rsidR="00BC14D3">
        <w:t xml:space="preserve">to Lead Application </w:t>
      </w:r>
      <w:r>
        <w:t>at 6-7.</w:t>
      </w:r>
    </w:p>
  </w:footnote>
  <w:footnote w:id="33">
    <w:p w:rsidR="0074797E" w:rsidRPr="00E23282" w:rsidP="00FA09E5" w14:paraId="5F7BAA5B" w14:textId="77777777">
      <w:pPr>
        <w:pStyle w:val="FootnoteText"/>
      </w:pPr>
      <w:r w:rsidRPr="00E23282">
        <w:rPr>
          <w:rStyle w:val="FootnoteReference"/>
        </w:rPr>
        <w:footnoteRef/>
      </w:r>
      <w:r w:rsidRPr="00E23282">
        <w:t xml:space="preserve"> </w:t>
      </w:r>
      <w:r>
        <w:rPr>
          <w:iCs/>
        </w:rPr>
        <w:t xml:space="preserve">Lead </w:t>
      </w:r>
      <w:r w:rsidRPr="00F759D6">
        <w:t>Application</w:t>
      </w:r>
      <w:r w:rsidRPr="00D50BAE">
        <w:rPr>
          <w:iCs/>
        </w:rPr>
        <w:t>,</w:t>
      </w:r>
      <w:r w:rsidRPr="00E23282">
        <w:t xml:space="preserve"> </w:t>
      </w:r>
      <w:r w:rsidRPr="00E23282">
        <w:t>Exh</w:t>
      </w:r>
      <w:r w:rsidRPr="00E23282">
        <w:t xml:space="preserve">. 1 at </w:t>
      </w:r>
      <w:r>
        <w:t>3.</w:t>
      </w:r>
    </w:p>
  </w:footnote>
  <w:footnote w:id="34">
    <w:p w:rsidR="0074797E" w:rsidRPr="00E23282" w:rsidP="00FA09E5" w14:paraId="26436197" w14:textId="3F6AEB03">
      <w:pPr>
        <w:pStyle w:val="FootnoteText"/>
      </w:pPr>
      <w:r w:rsidRPr="00E23282">
        <w:rPr>
          <w:rStyle w:val="FootnoteReference"/>
        </w:rPr>
        <w:footnoteRef/>
      </w:r>
      <w:r w:rsidRPr="00E23282">
        <w:t xml:space="preserve"> </w:t>
      </w:r>
      <w:r w:rsidRPr="00DD4DC5" w:rsidR="00C2563C">
        <w:rPr>
          <w:i/>
          <w:iCs/>
        </w:rPr>
        <w:t>Id.</w:t>
      </w:r>
      <w:r w:rsidRPr="00D50BAE">
        <w:rPr>
          <w:iCs/>
        </w:rPr>
        <w:t>,</w:t>
      </w:r>
      <w:r w:rsidRPr="00E23282">
        <w:t xml:space="preserve"> </w:t>
      </w:r>
      <w:r w:rsidRPr="00E23282">
        <w:t>Exh</w:t>
      </w:r>
      <w:r w:rsidRPr="00E23282">
        <w:t xml:space="preserve">. 1 at </w:t>
      </w:r>
      <w:r>
        <w:t xml:space="preserve">3; </w:t>
      </w:r>
      <w:r w:rsidRPr="006A361B">
        <w:rPr>
          <w:i/>
          <w:iCs/>
        </w:rPr>
        <w:t>see id.</w:t>
      </w:r>
      <w:r>
        <w:t xml:space="preserve">, </w:t>
      </w:r>
      <w:r>
        <w:t>Exh</w:t>
      </w:r>
      <w:r>
        <w:t>. 1 at 9-12.</w:t>
      </w:r>
    </w:p>
  </w:footnote>
  <w:footnote w:id="35">
    <w:p w:rsidR="0074797E" w:rsidRPr="00E23282" w:rsidP="00FA09E5" w14:paraId="0203B35A" w14:textId="753D97F8">
      <w:pPr>
        <w:pStyle w:val="FootnoteText"/>
      </w:pPr>
      <w:r w:rsidRPr="00E23282">
        <w:rPr>
          <w:rStyle w:val="FootnoteReference"/>
        </w:rPr>
        <w:footnoteRef/>
      </w:r>
      <w:r w:rsidRPr="00E23282">
        <w:t xml:space="preserve"> </w:t>
      </w:r>
      <w:r w:rsidRPr="00DD4DC5" w:rsidR="00C2563C">
        <w:rPr>
          <w:i/>
          <w:iCs/>
        </w:rPr>
        <w:t>Id.</w:t>
      </w:r>
      <w:r w:rsidRPr="00D50BAE">
        <w:rPr>
          <w:iCs/>
        </w:rPr>
        <w:t>,</w:t>
      </w:r>
      <w:r w:rsidRPr="00E23282">
        <w:t xml:space="preserve"> </w:t>
      </w:r>
      <w:r w:rsidRPr="00E23282">
        <w:t>Exh</w:t>
      </w:r>
      <w:r w:rsidRPr="00E23282">
        <w:t xml:space="preserve">. 1 at </w:t>
      </w:r>
      <w:r>
        <w:t xml:space="preserve">3; </w:t>
      </w:r>
      <w:r w:rsidRPr="006A361B">
        <w:rPr>
          <w:i/>
          <w:iCs/>
        </w:rPr>
        <w:t>see id.</w:t>
      </w:r>
      <w:r>
        <w:t xml:space="preserve">, </w:t>
      </w:r>
      <w:r>
        <w:t>Exh</w:t>
      </w:r>
      <w:r>
        <w:t xml:space="preserve">. 1 at 14; First Supplement </w:t>
      </w:r>
      <w:r w:rsidR="00BC14D3">
        <w:t xml:space="preserve">to Lead Application </w:t>
      </w:r>
      <w:r>
        <w:t>at 8-9.</w:t>
      </w:r>
    </w:p>
  </w:footnote>
  <w:footnote w:id="36">
    <w:p w:rsidR="0074797E" w:rsidRPr="00E23282" w:rsidP="00FA09E5" w14:paraId="630440D6" w14:textId="77777777">
      <w:pPr>
        <w:pStyle w:val="FootnoteText"/>
      </w:pPr>
      <w:r w:rsidRPr="00E23282">
        <w:rPr>
          <w:rStyle w:val="FootnoteReference"/>
        </w:rPr>
        <w:footnoteRef/>
      </w:r>
      <w:r w:rsidRPr="00E23282">
        <w:t xml:space="preserve"> </w:t>
      </w:r>
      <w:r>
        <w:rPr>
          <w:iCs/>
        </w:rPr>
        <w:t xml:space="preserve">Lead </w:t>
      </w:r>
      <w:r w:rsidRPr="00F759D6">
        <w:t>Application</w:t>
      </w:r>
      <w:r w:rsidRPr="00D50BAE">
        <w:rPr>
          <w:iCs/>
        </w:rPr>
        <w:t>,</w:t>
      </w:r>
      <w:r w:rsidRPr="00E23282">
        <w:t xml:space="preserve"> </w:t>
      </w:r>
      <w:r w:rsidRPr="00E23282">
        <w:t>Exh</w:t>
      </w:r>
      <w:r w:rsidRPr="00E23282">
        <w:t xml:space="preserve">. 1 at </w:t>
      </w:r>
      <w:r>
        <w:t>3, 9.</w:t>
      </w:r>
    </w:p>
  </w:footnote>
  <w:footnote w:id="37">
    <w:p w:rsidR="0074797E" w:rsidRPr="00E23282" w:rsidP="00FA09E5" w14:paraId="353833FA" w14:textId="1D10AA2F">
      <w:pPr>
        <w:pStyle w:val="FootnoteText"/>
      </w:pPr>
      <w:r w:rsidRPr="00E23282">
        <w:rPr>
          <w:rStyle w:val="FootnoteReference"/>
        </w:rPr>
        <w:footnoteRef/>
      </w:r>
      <w:r w:rsidRPr="00E23282">
        <w:t xml:space="preserve"> </w:t>
      </w:r>
      <w:r w:rsidRPr="00DD4DC5" w:rsidR="0073318E">
        <w:rPr>
          <w:i/>
          <w:iCs/>
        </w:rPr>
        <w:t>Id.</w:t>
      </w:r>
      <w:r w:rsidRPr="00D50BAE">
        <w:rPr>
          <w:iCs/>
        </w:rPr>
        <w:t>,</w:t>
      </w:r>
      <w:r w:rsidRPr="00E23282">
        <w:t xml:space="preserve"> </w:t>
      </w:r>
      <w:r w:rsidRPr="00E23282">
        <w:t>Exh</w:t>
      </w:r>
      <w:r w:rsidRPr="00E23282">
        <w:t xml:space="preserve">. 1 at </w:t>
      </w:r>
      <w:r>
        <w:t>3.</w:t>
      </w:r>
    </w:p>
  </w:footnote>
  <w:footnote w:id="38">
    <w:p w:rsidR="0074797E" w:rsidRPr="00E23282" w:rsidP="00FA09E5" w14:paraId="482ECD52" w14:textId="57C873FC">
      <w:pPr>
        <w:pStyle w:val="FootnoteText"/>
      </w:pPr>
      <w:r w:rsidRPr="00E23282">
        <w:rPr>
          <w:rStyle w:val="FootnoteReference"/>
        </w:rPr>
        <w:footnoteRef/>
      </w:r>
      <w:r w:rsidRPr="00E23282">
        <w:t xml:space="preserve"> </w:t>
      </w:r>
      <w:r w:rsidRPr="00DD4DC5" w:rsidR="0073318E">
        <w:rPr>
          <w:i/>
          <w:iCs/>
        </w:rPr>
        <w:t>Id.</w:t>
      </w:r>
      <w:r w:rsidRPr="00D50BAE">
        <w:rPr>
          <w:iCs/>
        </w:rPr>
        <w:t>,</w:t>
      </w:r>
      <w:r w:rsidRPr="00E23282">
        <w:t xml:space="preserve"> </w:t>
      </w:r>
      <w:r w:rsidRPr="00E23282">
        <w:t>Exh</w:t>
      </w:r>
      <w:r w:rsidRPr="00E23282">
        <w:t xml:space="preserve">. 1 at </w:t>
      </w:r>
      <w:r>
        <w:t>3-4, 12-14.</w:t>
      </w:r>
    </w:p>
  </w:footnote>
  <w:footnote w:id="39">
    <w:p w:rsidR="0074797E" w:rsidRPr="00E23282" w:rsidP="00AA5842" w14:paraId="25672A33" w14:textId="6A7D4246">
      <w:pPr>
        <w:pStyle w:val="FootnoteText"/>
      </w:pPr>
      <w:r w:rsidRPr="00E23282">
        <w:rPr>
          <w:rStyle w:val="FootnoteReference"/>
        </w:rPr>
        <w:footnoteRef/>
      </w:r>
      <w:r>
        <w:rPr>
          <w:iCs/>
        </w:rPr>
        <w:t xml:space="preserve"> </w:t>
      </w:r>
      <w:r>
        <w:rPr>
          <w:iCs/>
        </w:rPr>
        <w:t xml:space="preserve">November 2021 Supplement </w:t>
      </w:r>
      <w:r w:rsidR="00BC14D3">
        <w:rPr>
          <w:iCs/>
        </w:rPr>
        <w:t xml:space="preserve">to Petition </w:t>
      </w:r>
      <w:r>
        <w:rPr>
          <w:iCs/>
        </w:rPr>
        <w:t>at 4</w:t>
      </w:r>
      <w:r w:rsidRPr="004324A9">
        <w:rPr>
          <w:iCs/>
        </w:rPr>
        <w:t>.</w:t>
      </w:r>
    </w:p>
  </w:footnote>
  <w:footnote w:id="40">
    <w:p w:rsidR="003C5194" w:rsidRPr="00E23282" w:rsidP="003C5194" w14:paraId="3490C977" w14:textId="079042D6">
      <w:pPr>
        <w:pStyle w:val="FootnoteText"/>
      </w:pPr>
      <w:r w:rsidRPr="00E23282">
        <w:rPr>
          <w:rStyle w:val="FootnoteReference"/>
        </w:rPr>
        <w:footnoteRef/>
      </w:r>
      <w:r w:rsidR="004D2611">
        <w:t xml:space="preserve"> </w:t>
      </w:r>
      <w:r w:rsidR="009A4E82">
        <w:t>47 U.S.C. § 310(b)(4).</w:t>
      </w:r>
    </w:p>
  </w:footnote>
  <w:footnote w:id="41">
    <w:p w:rsidR="0074797E" w:rsidRPr="00E23282" w:rsidP="004365D1" w14:paraId="0767AF63" w14:textId="527EF1B7">
      <w:pPr>
        <w:pStyle w:val="FootnoteText"/>
      </w:pPr>
      <w:r w:rsidRPr="00E23282">
        <w:rPr>
          <w:rStyle w:val="FootnoteReference"/>
        </w:rPr>
        <w:footnoteRef/>
      </w:r>
      <w:r>
        <w:rPr>
          <w:iCs/>
        </w:rPr>
        <w:t xml:space="preserve"> </w:t>
      </w:r>
      <w:r>
        <w:rPr>
          <w:iCs/>
        </w:rPr>
        <w:t>Petition at 9-12</w:t>
      </w:r>
      <w:r w:rsidRPr="004324A9">
        <w:rPr>
          <w:iCs/>
        </w:rPr>
        <w:t>.</w:t>
      </w:r>
    </w:p>
  </w:footnote>
  <w:footnote w:id="42">
    <w:p w:rsidR="0074797E" w:rsidRPr="00E23282" w:rsidP="003A6810" w14:paraId="470B13FB" w14:textId="37E4C6D1">
      <w:pPr>
        <w:pStyle w:val="FootnoteText"/>
      </w:pPr>
      <w:r w:rsidRPr="00E23282">
        <w:rPr>
          <w:rStyle w:val="FootnoteReference"/>
        </w:rPr>
        <w:footnoteRef/>
      </w:r>
      <w:r w:rsidR="005D0C85">
        <w:t xml:space="preserve"> </w:t>
      </w:r>
      <w:r w:rsidRPr="00DD4DC5" w:rsidR="0087241F">
        <w:rPr>
          <w:i/>
          <w:iCs/>
        </w:rPr>
        <w:t>Id.</w:t>
      </w:r>
      <w:r>
        <w:t xml:space="preserve"> at 4; November 2021 Supplement </w:t>
      </w:r>
      <w:r w:rsidR="00BC14D3">
        <w:t xml:space="preserve">to Petition </w:t>
      </w:r>
      <w:r>
        <w:t>at 4; Lead</w:t>
      </w:r>
      <w:r w:rsidRPr="00C53BB4">
        <w:t xml:space="preserve"> </w:t>
      </w:r>
      <w:r>
        <w:t>Application</w:t>
      </w:r>
      <w:r w:rsidRPr="00402791">
        <w:t xml:space="preserve"> at 4-5, </w:t>
      </w:r>
      <w:r w:rsidRPr="00402791">
        <w:t>Exh</w:t>
      </w:r>
      <w:r w:rsidRPr="00402791">
        <w:t>.</w:t>
      </w:r>
      <w:r w:rsidRPr="00E23282">
        <w:t xml:space="preserve"> C</w:t>
      </w:r>
      <w:r>
        <w:t xml:space="preserve"> (Post-Transaction Ownership Structure)</w:t>
      </w:r>
      <w:r w:rsidRPr="00E23282">
        <w:t xml:space="preserve">.  </w:t>
      </w:r>
      <w:r w:rsidRPr="00E23282">
        <w:t>TelUSA</w:t>
      </w:r>
      <w:r w:rsidRPr="00E23282">
        <w:t xml:space="preserve"> Holdings, LLC, is the direct, 100% owner of Telephone USA of Wisconsin, LLC, and is in turn owned 90% by Lumen Technologies, Inc. and 10% by Telephone USA Investments, Inc. Telephone USA Investments, Inc. is a Delaware corporation.  The proposed transaction involves only the Lumen interest. </w:t>
      </w:r>
      <w:r>
        <w:t xml:space="preserve"> Lead Application at 5 n.5; Petition at 4, n.12</w:t>
      </w:r>
      <w:r w:rsidR="00601F8B">
        <w:t xml:space="preserve">; </w:t>
      </w:r>
      <w:r w:rsidRPr="0037153E" w:rsidR="00601F8B">
        <w:rPr>
          <w:i/>
          <w:iCs/>
        </w:rPr>
        <w:t>see</w:t>
      </w:r>
      <w:r w:rsidR="00601F8B">
        <w:t xml:space="preserve"> </w:t>
      </w:r>
      <w:r w:rsidR="003439E9">
        <w:t xml:space="preserve">Third Supplement to Lead Application at 1. </w:t>
      </w:r>
    </w:p>
  </w:footnote>
  <w:footnote w:id="43">
    <w:p w:rsidR="0074797E" w:rsidP="0057324F" w14:paraId="255C628A" w14:textId="5EAC0E00">
      <w:pPr>
        <w:pStyle w:val="FootnoteText"/>
      </w:pPr>
      <w:r>
        <w:rPr>
          <w:rStyle w:val="FootnoteReference"/>
        </w:rPr>
        <w:footnoteRef/>
      </w:r>
      <w:r>
        <w:t xml:space="preserve"> </w:t>
      </w:r>
      <w:r>
        <w:t>Petition</w:t>
      </w:r>
      <w:r w:rsidR="00821228">
        <w:t xml:space="preserve"> </w:t>
      </w:r>
      <w:r w:rsidR="007F1FEA">
        <w:t xml:space="preserve">at </w:t>
      </w:r>
      <w:r>
        <w:t>4-5.</w:t>
      </w:r>
    </w:p>
  </w:footnote>
  <w:footnote w:id="44">
    <w:p w:rsidR="0074797E" w:rsidP="0057324F" w14:paraId="643D08DE" w14:textId="26078AEF">
      <w:pPr>
        <w:pStyle w:val="FootnoteText"/>
      </w:pPr>
      <w:r>
        <w:rPr>
          <w:rStyle w:val="FootnoteReference"/>
        </w:rPr>
        <w:footnoteRef/>
      </w:r>
      <w:r>
        <w:t xml:space="preserve"> </w:t>
      </w:r>
      <w:r w:rsidRPr="0037153E" w:rsidR="00BE0481">
        <w:rPr>
          <w:i/>
          <w:iCs/>
        </w:rPr>
        <w:t>Id.</w:t>
      </w:r>
      <w:r w:rsidR="00BE0481">
        <w:t xml:space="preserve"> </w:t>
      </w:r>
      <w:r>
        <w:t>at 5</w:t>
      </w:r>
      <w:r w:rsidR="00BE0481">
        <w:t>,</w:t>
      </w:r>
      <w:r>
        <w:t xml:space="preserve"> </w:t>
      </w:r>
      <w:r>
        <w:t>Exh</w:t>
      </w:r>
      <w:r>
        <w:t>. B.</w:t>
      </w:r>
    </w:p>
  </w:footnote>
  <w:footnote w:id="45">
    <w:p w:rsidR="0074797E" w:rsidP="0057324F" w14:paraId="148A2A75" w14:textId="2D13864D">
      <w:pPr>
        <w:pStyle w:val="FootnoteText"/>
      </w:pPr>
      <w:r>
        <w:rPr>
          <w:rStyle w:val="FootnoteReference"/>
        </w:rPr>
        <w:footnoteRef/>
      </w:r>
      <w:r>
        <w:t xml:space="preserve"> </w:t>
      </w:r>
      <w:r>
        <w:t xml:space="preserve">December </w:t>
      </w:r>
      <w:r w:rsidR="00FA13AD">
        <w:t xml:space="preserve">8, </w:t>
      </w:r>
      <w:r>
        <w:t xml:space="preserve">2021 Supplement </w:t>
      </w:r>
      <w:r w:rsidR="00BC14D3">
        <w:t xml:space="preserve">to Petition </w:t>
      </w:r>
      <w:r>
        <w:t xml:space="preserve">at 1, </w:t>
      </w:r>
      <w:r>
        <w:t>Exh</w:t>
      </w:r>
      <w:r>
        <w:t>. A.</w:t>
      </w:r>
    </w:p>
  </w:footnote>
  <w:footnote w:id="46">
    <w:p w:rsidR="0074797E" w:rsidP="00DF4B72" w14:paraId="21DA82A1" w14:textId="6AD4D47C">
      <w:pPr>
        <w:pStyle w:val="FootnoteText"/>
      </w:pPr>
      <w:r>
        <w:rPr>
          <w:rStyle w:val="FootnoteReference"/>
        </w:rPr>
        <w:footnoteRef/>
      </w:r>
      <w:r>
        <w:t xml:space="preserve"> </w:t>
      </w:r>
      <w:r w:rsidR="00533B28">
        <w:t xml:space="preserve">47 CFR </w:t>
      </w:r>
      <w:r w:rsidR="00BC6FB9">
        <w:t xml:space="preserve">§ </w:t>
      </w:r>
      <w:r w:rsidR="00D735AA">
        <w:rPr>
          <w:szCs w:val="22"/>
        </w:rPr>
        <w:t>1.5003</w:t>
      </w:r>
      <w:r>
        <w:t>.</w:t>
      </w:r>
    </w:p>
  </w:footnote>
  <w:footnote w:id="47">
    <w:p w:rsidR="0074797E" w:rsidRPr="000D3C90" w:rsidP="00DF4B72" w14:paraId="7A5A4CBC" w14:textId="461CB726">
      <w:pPr>
        <w:pStyle w:val="FootnoteText"/>
      </w:pPr>
      <w:r>
        <w:rPr>
          <w:rStyle w:val="FootnoteReference"/>
        </w:rPr>
        <w:footnoteRef/>
      </w:r>
      <w:r>
        <w:t xml:space="preserve"> </w:t>
      </w:r>
      <w:r>
        <w:t xml:space="preserve">November 2021 Supplement </w:t>
      </w:r>
      <w:r w:rsidR="00BC14D3">
        <w:t xml:space="preserve">to Petition </w:t>
      </w:r>
      <w:r>
        <w:t xml:space="preserve">at </w:t>
      </w:r>
      <w:r w:rsidRPr="0037153E" w:rsidR="00996C2E">
        <w:t>1;</w:t>
      </w:r>
      <w:r w:rsidR="00996C2E">
        <w:rPr>
          <w:i/>
          <w:iCs/>
        </w:rPr>
        <w:t xml:space="preserve"> s</w:t>
      </w:r>
      <w:r w:rsidR="00F22AC6">
        <w:rPr>
          <w:i/>
          <w:iCs/>
        </w:rPr>
        <w:t xml:space="preserve">ee </w:t>
      </w:r>
      <w:r w:rsidR="000D3C90">
        <w:rPr>
          <w:i/>
          <w:iCs/>
        </w:rPr>
        <w:t>also</w:t>
      </w:r>
      <w:r w:rsidR="000D3C90">
        <w:t xml:space="preserve"> Petition at 6.</w:t>
      </w:r>
    </w:p>
  </w:footnote>
  <w:footnote w:id="48">
    <w:p w:rsidR="00142F10" w14:paraId="14EE2912" w14:textId="16DDA1A4">
      <w:pPr>
        <w:pStyle w:val="FootnoteText"/>
      </w:pPr>
      <w:r>
        <w:rPr>
          <w:rStyle w:val="FootnoteReference"/>
        </w:rPr>
        <w:footnoteRef/>
      </w:r>
      <w:r>
        <w:t xml:space="preserve"> </w:t>
      </w:r>
      <w:r>
        <w:t xml:space="preserve">47 CFR § </w:t>
      </w:r>
      <w:r>
        <w:rPr>
          <w:szCs w:val="22"/>
        </w:rPr>
        <w:t>1.5001(</w:t>
      </w:r>
      <w:r>
        <w:rPr>
          <w:szCs w:val="22"/>
        </w:rPr>
        <w:t>i</w:t>
      </w:r>
      <w:r>
        <w:rPr>
          <w:szCs w:val="22"/>
        </w:rPr>
        <w:t>).</w:t>
      </w:r>
    </w:p>
  </w:footnote>
  <w:footnote w:id="49">
    <w:p w:rsidR="0074797E" w:rsidRPr="00E23282" w:rsidP="00FC3913" w14:paraId="1C3FDEB0" w14:textId="11F6FD4D">
      <w:pPr>
        <w:pStyle w:val="FootnoteText"/>
      </w:pPr>
      <w:r w:rsidRPr="00E23282">
        <w:rPr>
          <w:rStyle w:val="FootnoteReference"/>
        </w:rPr>
        <w:footnoteRef/>
      </w:r>
      <w:r>
        <w:rPr>
          <w:iCs/>
        </w:rPr>
        <w:t xml:space="preserve"> </w:t>
      </w:r>
      <w:r>
        <w:rPr>
          <w:iCs/>
        </w:rPr>
        <w:t>Petition at 3</w:t>
      </w:r>
      <w:r w:rsidR="00777128">
        <w:rPr>
          <w:iCs/>
        </w:rPr>
        <w:t>, 18</w:t>
      </w:r>
      <w:r w:rsidRPr="004324A9">
        <w:rPr>
          <w:iCs/>
        </w:rPr>
        <w:t>.</w:t>
      </w:r>
    </w:p>
  </w:footnote>
  <w:footnote w:id="50">
    <w:p w:rsidR="0074797E" w:rsidRPr="00E23282" w:rsidP="006C317E" w14:paraId="5C06D5FE" w14:textId="77777777">
      <w:pPr>
        <w:pStyle w:val="FootnoteText"/>
      </w:pPr>
      <w:r w:rsidRPr="00E23282">
        <w:rPr>
          <w:rStyle w:val="FootnoteReference"/>
        </w:rPr>
        <w:footnoteRef/>
      </w:r>
      <w:r>
        <w:rPr>
          <w:iCs/>
        </w:rPr>
        <w:t xml:space="preserve"> </w:t>
      </w:r>
      <w:r w:rsidRPr="00F375B1">
        <w:rPr>
          <w:i/>
        </w:rPr>
        <w:t>Id</w:t>
      </w:r>
      <w:r w:rsidRPr="004324A9">
        <w:rPr>
          <w:iCs/>
        </w:rPr>
        <w:t>.</w:t>
      </w:r>
      <w:r>
        <w:rPr>
          <w:iCs/>
        </w:rPr>
        <w:t xml:space="preserve">  </w:t>
      </w:r>
    </w:p>
  </w:footnote>
  <w:footnote w:id="51">
    <w:p w:rsidR="0074797E" w:rsidRPr="00E23282" w:rsidP="002D7B03" w14:paraId="29E8B0A3" w14:textId="50098685">
      <w:pPr>
        <w:pStyle w:val="FootnoteText"/>
      </w:pPr>
      <w:r w:rsidRPr="00E23282">
        <w:rPr>
          <w:rStyle w:val="FootnoteReference"/>
        </w:rPr>
        <w:footnoteRef/>
      </w:r>
      <w:r>
        <w:rPr>
          <w:iCs/>
        </w:rPr>
        <w:t xml:space="preserve"> </w:t>
      </w:r>
      <w:r w:rsidRPr="00FB3E3C">
        <w:rPr>
          <w:i/>
        </w:rPr>
        <w:t>Terrier Media Buyer, Inc. Petition for Declaratory Ruling</w:t>
      </w:r>
      <w:r>
        <w:rPr>
          <w:iCs/>
        </w:rPr>
        <w:t xml:space="preserve">, Declaratory Ruling, 34 FCC </w:t>
      </w:r>
      <w:r>
        <w:rPr>
          <w:iCs/>
        </w:rPr>
        <w:t>Rcd</w:t>
      </w:r>
      <w:r>
        <w:rPr>
          <w:iCs/>
        </w:rPr>
        <w:t xml:space="preserve"> 10544 (MB 2019 (</w:t>
      </w:r>
      <w:r w:rsidRPr="00FB3E3C">
        <w:rPr>
          <w:i/>
        </w:rPr>
        <w:t>Terrier Media Declaratory Ruling</w:t>
      </w:r>
      <w:r>
        <w:rPr>
          <w:iCs/>
        </w:rPr>
        <w:t>)</w:t>
      </w:r>
      <w:r w:rsidRPr="004324A9">
        <w:rPr>
          <w:iCs/>
        </w:rPr>
        <w:t>.</w:t>
      </w:r>
      <w:r>
        <w:rPr>
          <w:iCs/>
        </w:rPr>
        <w:t xml:space="preserve">  </w:t>
      </w:r>
    </w:p>
  </w:footnote>
  <w:footnote w:id="52">
    <w:p w:rsidR="0074797E" w:rsidRPr="00E23282" w:rsidP="00B46945" w14:paraId="36E3B68B" w14:textId="56AAF423">
      <w:pPr>
        <w:pStyle w:val="FootnoteText"/>
      </w:pPr>
      <w:r w:rsidRPr="00E23282">
        <w:rPr>
          <w:rStyle w:val="FootnoteReference"/>
        </w:rPr>
        <w:footnoteRef/>
      </w:r>
      <w:r>
        <w:rPr>
          <w:iCs/>
        </w:rPr>
        <w:t xml:space="preserve"> </w:t>
      </w:r>
      <w:r>
        <w:rPr>
          <w:iCs/>
        </w:rPr>
        <w:t xml:space="preserve">December </w:t>
      </w:r>
      <w:r w:rsidR="003D7B9E">
        <w:rPr>
          <w:iCs/>
        </w:rPr>
        <w:t xml:space="preserve">8, </w:t>
      </w:r>
      <w:r>
        <w:rPr>
          <w:iCs/>
        </w:rPr>
        <w:t xml:space="preserve">2021 Supplement </w:t>
      </w:r>
      <w:r w:rsidR="00BC14D3">
        <w:rPr>
          <w:iCs/>
        </w:rPr>
        <w:t>to Pet</w:t>
      </w:r>
      <w:r w:rsidR="00A67336">
        <w:rPr>
          <w:iCs/>
        </w:rPr>
        <w:t xml:space="preserve">ition </w:t>
      </w:r>
      <w:r>
        <w:rPr>
          <w:iCs/>
        </w:rPr>
        <w:t>at 2-3</w:t>
      </w:r>
      <w:r w:rsidR="003B6C99">
        <w:rPr>
          <w:iCs/>
        </w:rPr>
        <w:t xml:space="preserve">; </w:t>
      </w:r>
      <w:r w:rsidR="00737E4B">
        <w:rPr>
          <w:iCs/>
        </w:rPr>
        <w:t>Dec</w:t>
      </w:r>
      <w:r w:rsidR="009502AA">
        <w:rPr>
          <w:iCs/>
        </w:rPr>
        <w:t>ember 14 Supplement to Petition</w:t>
      </w:r>
      <w:r>
        <w:rPr>
          <w:iCs/>
        </w:rPr>
        <w:t>.</w:t>
      </w:r>
    </w:p>
  </w:footnote>
  <w:footnote w:id="53">
    <w:p w:rsidR="0074797E" w:rsidRPr="00623871" w:rsidP="00CF653A" w14:paraId="76E613E7" w14:textId="7764B98E">
      <w:pPr>
        <w:pStyle w:val="FootnoteText"/>
        <w:rPr>
          <w:iCs/>
        </w:rPr>
      </w:pPr>
      <w:r w:rsidRPr="00E23282">
        <w:rPr>
          <w:rStyle w:val="FootnoteReference"/>
        </w:rPr>
        <w:footnoteRef/>
      </w:r>
      <w:r>
        <w:rPr>
          <w:iCs/>
        </w:rPr>
        <w:t xml:space="preserve"> </w:t>
      </w:r>
      <w:r>
        <w:rPr>
          <w:iCs/>
        </w:rPr>
        <w:t xml:space="preserve">The same three individuals were also the members of </w:t>
      </w:r>
      <w:r>
        <w:rPr>
          <w:iCs/>
        </w:rPr>
        <w:t>VoteCo</w:t>
      </w:r>
      <w:r>
        <w:rPr>
          <w:iCs/>
        </w:rPr>
        <w:t xml:space="preserve"> at issue in the </w:t>
      </w:r>
      <w:r w:rsidRPr="00FB3E3C">
        <w:rPr>
          <w:i/>
        </w:rPr>
        <w:t>Terrier Media Declaratory Ruling</w:t>
      </w:r>
      <w:r>
        <w:rPr>
          <w:iCs/>
        </w:rPr>
        <w:t xml:space="preserve">.  </w:t>
      </w:r>
      <w:r w:rsidRPr="00F375B1">
        <w:rPr>
          <w:i/>
        </w:rPr>
        <w:t>Terrier Media Declaratory Ruling</w:t>
      </w:r>
      <w:r>
        <w:rPr>
          <w:iCs/>
        </w:rPr>
        <w:t xml:space="preserve">, 34 FCC </w:t>
      </w:r>
      <w:r>
        <w:rPr>
          <w:iCs/>
        </w:rPr>
        <w:t>Rcd</w:t>
      </w:r>
      <w:r>
        <w:rPr>
          <w:iCs/>
        </w:rPr>
        <w:t xml:space="preserve"> at 10546, para. 4</w:t>
      </w:r>
      <w:r w:rsidR="006A63F0">
        <w:rPr>
          <w:iCs/>
        </w:rPr>
        <w:t xml:space="preserve">; </w:t>
      </w:r>
      <w:r w:rsidRPr="0037153E" w:rsidR="006A63F0">
        <w:rPr>
          <w:i/>
        </w:rPr>
        <w:t>s</w:t>
      </w:r>
      <w:r w:rsidRPr="0037153E">
        <w:rPr>
          <w:i/>
        </w:rPr>
        <w:t>ee also</w:t>
      </w:r>
      <w:r>
        <w:rPr>
          <w:iCs/>
        </w:rPr>
        <w:t xml:space="preserve"> December </w:t>
      </w:r>
      <w:r w:rsidR="005075B1">
        <w:rPr>
          <w:iCs/>
        </w:rPr>
        <w:t>8,</w:t>
      </w:r>
      <w:r>
        <w:rPr>
          <w:iCs/>
        </w:rPr>
        <w:t xml:space="preserve"> 2021 Supplement </w:t>
      </w:r>
      <w:r w:rsidR="00DE6C57">
        <w:rPr>
          <w:iCs/>
        </w:rPr>
        <w:t xml:space="preserve">to </w:t>
      </w:r>
      <w:r w:rsidR="000A325A">
        <w:rPr>
          <w:iCs/>
        </w:rPr>
        <w:t>Petition</w:t>
      </w:r>
      <w:r>
        <w:rPr>
          <w:iCs/>
        </w:rPr>
        <w:t xml:space="preserve"> at 2-3 (“</w:t>
      </w:r>
      <w:r w:rsidRPr="00CF653A">
        <w:rPr>
          <w:iCs/>
        </w:rPr>
        <w:t>One or more additional member(s) may be</w:t>
      </w:r>
      <w:r>
        <w:rPr>
          <w:iCs/>
        </w:rPr>
        <w:t xml:space="preserve"> </w:t>
      </w:r>
      <w:r w:rsidRPr="00CF653A">
        <w:rPr>
          <w:iCs/>
        </w:rPr>
        <w:t xml:space="preserve">admitted to </w:t>
      </w:r>
      <w:r w:rsidRPr="00CF653A">
        <w:rPr>
          <w:iCs/>
        </w:rPr>
        <w:t>VoteCo</w:t>
      </w:r>
      <w:r w:rsidRPr="00CF653A">
        <w:rPr>
          <w:iCs/>
        </w:rPr>
        <w:t xml:space="preserve"> with the written consent of a majority of the Members. </w:t>
      </w:r>
      <w:r>
        <w:rPr>
          <w:iCs/>
        </w:rPr>
        <w:t xml:space="preserve"> </w:t>
      </w:r>
      <w:r w:rsidRPr="00CF653A">
        <w:rPr>
          <w:iCs/>
        </w:rPr>
        <w:t>Any Member</w:t>
      </w:r>
      <w:r>
        <w:rPr>
          <w:iCs/>
        </w:rPr>
        <w:t xml:space="preserve"> </w:t>
      </w:r>
      <w:r w:rsidRPr="00CF653A">
        <w:rPr>
          <w:iCs/>
        </w:rPr>
        <w:t xml:space="preserve">may resign from </w:t>
      </w:r>
      <w:r w:rsidRPr="00CF653A">
        <w:rPr>
          <w:iCs/>
        </w:rPr>
        <w:t>VoteCo</w:t>
      </w:r>
      <w:r w:rsidRPr="00CF653A">
        <w:rPr>
          <w:iCs/>
        </w:rPr>
        <w:t xml:space="preserve"> at any time. </w:t>
      </w:r>
      <w:r>
        <w:rPr>
          <w:iCs/>
        </w:rPr>
        <w:t xml:space="preserve"> </w:t>
      </w:r>
      <w:r w:rsidRPr="00CF653A">
        <w:rPr>
          <w:iCs/>
        </w:rPr>
        <w:t>Any Member may be removed upon the vote of the</w:t>
      </w:r>
      <w:r>
        <w:rPr>
          <w:iCs/>
        </w:rPr>
        <w:t xml:space="preserve"> </w:t>
      </w:r>
      <w:r w:rsidRPr="00CF653A">
        <w:rPr>
          <w:iCs/>
        </w:rPr>
        <w:t xml:space="preserve">other Members. </w:t>
      </w:r>
      <w:r>
        <w:rPr>
          <w:iCs/>
        </w:rPr>
        <w:t xml:space="preserve"> </w:t>
      </w:r>
      <w:r w:rsidRPr="00CF653A">
        <w:rPr>
          <w:iCs/>
        </w:rPr>
        <w:t xml:space="preserve">Officers of </w:t>
      </w:r>
      <w:r w:rsidRPr="00CF653A">
        <w:rPr>
          <w:iCs/>
        </w:rPr>
        <w:t>VoteCo</w:t>
      </w:r>
      <w:r w:rsidRPr="00CF653A">
        <w:rPr>
          <w:iCs/>
        </w:rPr>
        <w:t xml:space="preserve"> are appointed by the Members and hold office until</w:t>
      </w:r>
      <w:r>
        <w:rPr>
          <w:iCs/>
        </w:rPr>
        <w:t xml:space="preserve"> </w:t>
      </w:r>
      <w:r w:rsidRPr="00CF653A">
        <w:rPr>
          <w:iCs/>
        </w:rPr>
        <w:t>(</w:t>
      </w:r>
      <w:r w:rsidRPr="00CF653A">
        <w:rPr>
          <w:iCs/>
        </w:rPr>
        <w:t>i</w:t>
      </w:r>
      <w:r w:rsidRPr="00CF653A">
        <w:rPr>
          <w:iCs/>
        </w:rPr>
        <w:t>) their successors have been duly appointed and qualified or (ii) their earlier death,</w:t>
      </w:r>
      <w:r>
        <w:rPr>
          <w:iCs/>
        </w:rPr>
        <w:t xml:space="preserve"> </w:t>
      </w:r>
      <w:r w:rsidRPr="00CF653A">
        <w:rPr>
          <w:iCs/>
        </w:rPr>
        <w:t>resignation or removal from office by vote of a majority of the Members.</w:t>
      </w:r>
      <w:r>
        <w:rPr>
          <w:iCs/>
        </w:rPr>
        <w:t>”).</w:t>
      </w:r>
    </w:p>
  </w:footnote>
  <w:footnote w:id="54">
    <w:p w:rsidR="0074797E" w:rsidRPr="00E23282" w:rsidP="00D6768C" w14:paraId="3389A6FF" w14:textId="72256B1B">
      <w:pPr>
        <w:pStyle w:val="FootnoteText"/>
      </w:pPr>
      <w:r w:rsidRPr="00E23282">
        <w:rPr>
          <w:rStyle w:val="FootnoteReference"/>
        </w:rPr>
        <w:footnoteRef/>
      </w:r>
      <w:r>
        <w:rPr>
          <w:iCs/>
        </w:rPr>
        <w:t xml:space="preserve"> </w:t>
      </w:r>
      <w:r>
        <w:rPr>
          <w:iCs/>
        </w:rPr>
        <w:t xml:space="preserve">Petition at 14-15.  </w:t>
      </w:r>
    </w:p>
  </w:footnote>
  <w:footnote w:id="55">
    <w:p w:rsidR="0074797E" w:rsidRPr="00E23282" w:rsidP="00B27F19" w14:paraId="0417807A" w14:textId="1D9D6D86">
      <w:pPr>
        <w:pStyle w:val="FootnoteText"/>
      </w:pPr>
      <w:r w:rsidRPr="00E23282">
        <w:rPr>
          <w:rStyle w:val="FootnoteReference"/>
        </w:rPr>
        <w:footnoteRef/>
      </w:r>
      <w:r>
        <w:rPr>
          <w:iCs/>
        </w:rPr>
        <w:t xml:space="preserve"> </w:t>
      </w:r>
      <w:r>
        <w:rPr>
          <w:iCs/>
        </w:rPr>
        <w:t xml:space="preserve">December </w:t>
      </w:r>
      <w:r w:rsidR="003D7B9E">
        <w:rPr>
          <w:iCs/>
        </w:rPr>
        <w:t>8,</w:t>
      </w:r>
      <w:r>
        <w:rPr>
          <w:iCs/>
        </w:rPr>
        <w:t xml:space="preserve"> 2021 Supplement </w:t>
      </w:r>
      <w:r w:rsidR="00A67336">
        <w:rPr>
          <w:iCs/>
        </w:rPr>
        <w:t xml:space="preserve">to Petition </w:t>
      </w:r>
      <w:r>
        <w:rPr>
          <w:iCs/>
        </w:rPr>
        <w:t xml:space="preserve">at 2.  </w:t>
      </w:r>
      <w:r w:rsidR="00D215AE">
        <w:t xml:space="preserve">AP IX Connect Holdings GP, LLC in the general partner of </w:t>
      </w:r>
      <w:r w:rsidR="00C62654">
        <w:t xml:space="preserve">AP IX Connect </w:t>
      </w:r>
      <w:r w:rsidR="00FC79EE">
        <w:t xml:space="preserve">Holdings and </w:t>
      </w:r>
      <w:r w:rsidR="003D3B60">
        <w:t xml:space="preserve">Co-Invest Holdings, </w:t>
      </w:r>
      <w:r w:rsidR="00D215AE">
        <w:t>and AIOF II Connect Holdings GP, LLC</w:t>
      </w:r>
      <w:r w:rsidR="00AD05A5">
        <w:t xml:space="preserve"> is the general partner of AIOF II Holdings</w:t>
      </w:r>
      <w:r w:rsidR="00AE56C4">
        <w:t>.</w:t>
      </w:r>
      <w:r w:rsidR="00EE6C76">
        <w:t xml:space="preserve">  </w:t>
      </w:r>
      <w:r w:rsidR="002D1031">
        <w:rPr>
          <w:iCs/>
        </w:rPr>
        <w:t>December 14 Supplement to Petition at 1.</w:t>
      </w:r>
    </w:p>
  </w:footnote>
  <w:footnote w:id="56">
    <w:p w:rsidR="0074797E" w:rsidRPr="00E23282" w:rsidP="00B27F19" w14:paraId="1EBD7E1B" w14:textId="4A741620">
      <w:pPr>
        <w:pStyle w:val="FootnoteText"/>
      </w:pPr>
      <w:r w:rsidRPr="00E23282">
        <w:rPr>
          <w:rStyle w:val="FootnoteReference"/>
        </w:rPr>
        <w:footnoteRef/>
      </w:r>
      <w:r>
        <w:rPr>
          <w:iCs/>
        </w:rPr>
        <w:t xml:space="preserve"> </w:t>
      </w:r>
      <w:r w:rsidRPr="00FA3175">
        <w:rPr>
          <w:i/>
        </w:rPr>
        <w:t>Id</w:t>
      </w:r>
      <w:r>
        <w:rPr>
          <w:iCs/>
        </w:rPr>
        <w:t xml:space="preserve">.  </w:t>
      </w:r>
    </w:p>
  </w:footnote>
  <w:footnote w:id="57">
    <w:p w:rsidR="0074797E" w:rsidRPr="00E23282" w:rsidP="00FC3913" w14:paraId="5F211B36" w14:textId="3B7F62A8">
      <w:pPr>
        <w:pStyle w:val="FootnoteText"/>
      </w:pPr>
      <w:r w:rsidRPr="00E23282">
        <w:rPr>
          <w:rStyle w:val="FootnoteReference"/>
        </w:rPr>
        <w:footnoteRef/>
      </w:r>
      <w:r>
        <w:rPr>
          <w:iCs/>
        </w:rPr>
        <w:t xml:space="preserve"> </w:t>
      </w:r>
      <w:r>
        <w:rPr>
          <w:iCs/>
        </w:rPr>
        <w:t>Petition at 3</w:t>
      </w:r>
      <w:r w:rsidRPr="004324A9">
        <w:rPr>
          <w:iCs/>
        </w:rPr>
        <w:t>.</w:t>
      </w:r>
    </w:p>
  </w:footnote>
  <w:footnote w:id="58">
    <w:p w:rsidR="0074797E" w:rsidRPr="00E23282" w:rsidP="006B3FCD" w14:paraId="0720A241" w14:textId="20F88A9E">
      <w:pPr>
        <w:pStyle w:val="FootnoteText"/>
      </w:pPr>
      <w:r w:rsidRPr="00E23282">
        <w:rPr>
          <w:rStyle w:val="FootnoteReference"/>
        </w:rPr>
        <w:footnoteRef/>
      </w:r>
      <w:r>
        <w:rPr>
          <w:iCs/>
        </w:rPr>
        <w:t xml:space="preserve"> </w:t>
      </w:r>
      <w:r w:rsidRPr="00DD4DC5" w:rsidR="00900863">
        <w:rPr>
          <w:i/>
          <w:iCs/>
        </w:rPr>
        <w:t>Id.</w:t>
      </w:r>
      <w:r>
        <w:rPr>
          <w:iCs/>
        </w:rPr>
        <w:t xml:space="preserve"> at 7; November 2021 Supplement </w:t>
      </w:r>
      <w:r w:rsidR="00A829F8">
        <w:rPr>
          <w:iCs/>
        </w:rPr>
        <w:t xml:space="preserve">to Petition </w:t>
      </w:r>
      <w:r>
        <w:rPr>
          <w:iCs/>
        </w:rPr>
        <w:t>at 3-4</w:t>
      </w:r>
      <w:r w:rsidRPr="004324A9">
        <w:rPr>
          <w:iCs/>
        </w:rPr>
        <w:t>.</w:t>
      </w:r>
      <w:r>
        <w:rPr>
          <w:iCs/>
        </w:rPr>
        <w:t xml:space="preserve">  </w:t>
      </w:r>
    </w:p>
  </w:footnote>
  <w:footnote w:id="59">
    <w:p w:rsidR="0074797E" w:rsidRPr="00E23282" w:rsidP="003B356D" w14:paraId="7D49FC9F" w14:textId="719B0863">
      <w:pPr>
        <w:pStyle w:val="FootnoteText"/>
      </w:pPr>
      <w:r w:rsidRPr="00E23282">
        <w:rPr>
          <w:rStyle w:val="FootnoteReference"/>
        </w:rPr>
        <w:footnoteRef/>
      </w:r>
      <w:r>
        <w:rPr>
          <w:iCs/>
        </w:rPr>
        <w:t xml:space="preserve"> </w:t>
      </w:r>
      <w:r>
        <w:rPr>
          <w:iCs/>
        </w:rPr>
        <w:t xml:space="preserve">Petition at 8; December </w:t>
      </w:r>
      <w:bookmarkStart w:id="7" w:name="_Hlk90378075"/>
      <w:r w:rsidR="00BF3D21">
        <w:rPr>
          <w:iCs/>
        </w:rPr>
        <w:t xml:space="preserve">8, </w:t>
      </w:r>
      <w:bookmarkEnd w:id="7"/>
      <w:r>
        <w:rPr>
          <w:iCs/>
        </w:rPr>
        <w:t xml:space="preserve">2021 Supplement </w:t>
      </w:r>
      <w:r w:rsidR="00A829F8">
        <w:rPr>
          <w:iCs/>
        </w:rPr>
        <w:t xml:space="preserve">to Petition </w:t>
      </w:r>
      <w:r>
        <w:rPr>
          <w:iCs/>
        </w:rPr>
        <w:t>at 1</w:t>
      </w:r>
      <w:r w:rsidR="00900863">
        <w:rPr>
          <w:iCs/>
        </w:rPr>
        <w:t>,</w:t>
      </w:r>
      <w:r>
        <w:rPr>
          <w:iCs/>
        </w:rPr>
        <w:t xml:space="preserve"> </w:t>
      </w:r>
      <w:r>
        <w:rPr>
          <w:iCs/>
        </w:rPr>
        <w:t>Exh</w:t>
      </w:r>
      <w:r>
        <w:rPr>
          <w:iCs/>
        </w:rPr>
        <w:t>. A</w:t>
      </w:r>
      <w:r w:rsidRPr="004324A9">
        <w:rPr>
          <w:iCs/>
        </w:rPr>
        <w:t>.</w:t>
      </w:r>
      <w:r>
        <w:rPr>
          <w:iCs/>
        </w:rPr>
        <w:t xml:space="preserve">  </w:t>
      </w:r>
    </w:p>
  </w:footnote>
  <w:footnote w:id="60">
    <w:p w:rsidR="00CB6FB3" w:rsidRPr="00E23282" w:rsidP="00CB6FB3" w14:paraId="14D8BE66" w14:textId="408830F8">
      <w:pPr>
        <w:pStyle w:val="FootnoteText"/>
      </w:pPr>
      <w:r w:rsidRPr="00E23282">
        <w:rPr>
          <w:rStyle w:val="FootnoteReference"/>
        </w:rPr>
        <w:footnoteRef/>
      </w:r>
      <w:r>
        <w:rPr>
          <w:iCs/>
        </w:rPr>
        <w:t xml:space="preserve"> </w:t>
      </w:r>
      <w:r>
        <w:rPr>
          <w:iCs/>
        </w:rPr>
        <w:t>Petition at 8</w:t>
      </w:r>
      <w:r w:rsidRPr="004324A9">
        <w:rPr>
          <w:iCs/>
        </w:rPr>
        <w:t>.</w:t>
      </w:r>
      <w:r>
        <w:rPr>
          <w:iCs/>
        </w:rPr>
        <w:t xml:space="preserve">  </w:t>
      </w:r>
      <w:r w:rsidR="00261E6A">
        <w:rPr>
          <w:iCs/>
        </w:rPr>
        <w:t xml:space="preserve">Tango Holdings will hold </w:t>
      </w:r>
      <w:r w:rsidR="008D1E20">
        <w:rPr>
          <w:iCs/>
        </w:rPr>
        <w:t xml:space="preserve">100% voting into </w:t>
      </w:r>
      <w:r w:rsidR="00BB79BD">
        <w:rPr>
          <w:iCs/>
        </w:rPr>
        <w:t xml:space="preserve">AGM and will hold 100% common equity and approximately </w:t>
      </w:r>
      <w:r w:rsidR="00D2401D">
        <w:rPr>
          <w:iCs/>
        </w:rPr>
        <w:t xml:space="preserve">93% total equity into AGM.  AGM will have </w:t>
      </w:r>
      <w:r w:rsidR="00154048">
        <w:rPr>
          <w:iCs/>
        </w:rPr>
        <w:t>preferred equity holders</w:t>
      </w:r>
      <w:r w:rsidR="00C41D2B">
        <w:rPr>
          <w:iCs/>
        </w:rPr>
        <w:t xml:space="preserve"> for the remaining 7% total equity</w:t>
      </w:r>
      <w:r w:rsidR="00154048">
        <w:rPr>
          <w:iCs/>
        </w:rPr>
        <w:t xml:space="preserve">, none of which are </w:t>
      </w:r>
      <w:r w:rsidR="00C41D2B">
        <w:rPr>
          <w:iCs/>
        </w:rPr>
        <w:t xml:space="preserve">expected to hold a greater than 5% interest.  </w:t>
      </w:r>
      <w:r w:rsidR="00577A2D">
        <w:rPr>
          <w:iCs/>
        </w:rPr>
        <w:t xml:space="preserve">December </w:t>
      </w:r>
      <w:r w:rsidR="00DB36C8">
        <w:rPr>
          <w:iCs/>
        </w:rPr>
        <w:t>8,</w:t>
      </w:r>
      <w:r w:rsidR="00577A2D">
        <w:rPr>
          <w:iCs/>
        </w:rPr>
        <w:t xml:space="preserve"> 2021 Supplement at </w:t>
      </w:r>
      <w:r w:rsidR="00577A2D">
        <w:rPr>
          <w:iCs/>
        </w:rPr>
        <w:t>Exh</w:t>
      </w:r>
      <w:r w:rsidR="00577A2D">
        <w:rPr>
          <w:iCs/>
        </w:rPr>
        <w:t>. A.</w:t>
      </w:r>
    </w:p>
  </w:footnote>
  <w:footnote w:id="61">
    <w:p w:rsidR="00B64917" w:rsidRPr="00E23282" w:rsidP="00B64917" w14:paraId="763F1BDA" w14:textId="13B72DB1">
      <w:pPr>
        <w:pStyle w:val="FootnoteText"/>
      </w:pPr>
      <w:r w:rsidRPr="00E23282">
        <w:rPr>
          <w:rStyle w:val="FootnoteReference"/>
        </w:rPr>
        <w:footnoteRef/>
      </w:r>
      <w:r>
        <w:rPr>
          <w:iCs/>
        </w:rPr>
        <w:t xml:space="preserve"> </w:t>
      </w:r>
      <w:r>
        <w:rPr>
          <w:iCs/>
        </w:rPr>
        <w:t xml:space="preserve">Petition at 8; December </w:t>
      </w:r>
      <w:r w:rsidR="00BF3D21">
        <w:rPr>
          <w:iCs/>
        </w:rPr>
        <w:t xml:space="preserve">8, </w:t>
      </w:r>
      <w:r>
        <w:rPr>
          <w:iCs/>
        </w:rPr>
        <w:t>2021 Supplement to Petition at 1</w:t>
      </w:r>
      <w:r w:rsidRPr="004324A9">
        <w:rPr>
          <w:iCs/>
        </w:rPr>
        <w:t>.</w:t>
      </w:r>
      <w:r>
        <w:rPr>
          <w:iCs/>
        </w:rPr>
        <w:t xml:space="preserve">  </w:t>
      </w:r>
    </w:p>
  </w:footnote>
  <w:footnote w:id="62">
    <w:p w:rsidR="00D80CC9" w:rsidRPr="00E23282" w:rsidP="00D80CC9" w14:paraId="6185AE8D" w14:textId="71E6CB86">
      <w:pPr>
        <w:pStyle w:val="FootnoteText"/>
      </w:pPr>
      <w:r w:rsidRPr="00E23282">
        <w:rPr>
          <w:rStyle w:val="FootnoteReference"/>
        </w:rPr>
        <w:footnoteRef/>
      </w:r>
      <w:r>
        <w:rPr>
          <w:iCs/>
        </w:rPr>
        <w:t xml:space="preserve"> </w:t>
      </w:r>
      <w:r>
        <w:rPr>
          <w:iCs/>
        </w:rPr>
        <w:t xml:space="preserve">December </w:t>
      </w:r>
      <w:r w:rsidR="00BF3D21">
        <w:rPr>
          <w:iCs/>
        </w:rPr>
        <w:t xml:space="preserve">8, </w:t>
      </w:r>
      <w:r>
        <w:rPr>
          <w:iCs/>
        </w:rPr>
        <w:t xml:space="preserve">2021 Supplement </w:t>
      </w:r>
      <w:r w:rsidR="00A829F8">
        <w:rPr>
          <w:iCs/>
        </w:rPr>
        <w:t xml:space="preserve">to Petition </w:t>
      </w:r>
      <w:r>
        <w:rPr>
          <w:iCs/>
        </w:rPr>
        <w:t xml:space="preserve">at </w:t>
      </w:r>
      <w:r>
        <w:rPr>
          <w:iCs/>
        </w:rPr>
        <w:t>Exh</w:t>
      </w:r>
      <w:r>
        <w:rPr>
          <w:iCs/>
        </w:rPr>
        <w:t>. A</w:t>
      </w:r>
      <w:r w:rsidRPr="004324A9">
        <w:rPr>
          <w:iCs/>
        </w:rPr>
        <w:t>.</w:t>
      </w:r>
      <w:r>
        <w:rPr>
          <w:iCs/>
        </w:rPr>
        <w:t xml:space="preserve">  </w:t>
      </w:r>
    </w:p>
  </w:footnote>
  <w:footnote w:id="63">
    <w:p w:rsidR="0028571A" w:rsidRPr="00E23282" w:rsidP="0028571A" w14:paraId="6E53B01C" w14:textId="48B4809A">
      <w:pPr>
        <w:pStyle w:val="FootnoteText"/>
      </w:pPr>
      <w:r w:rsidRPr="00E23282">
        <w:rPr>
          <w:rStyle w:val="FootnoteReference"/>
        </w:rPr>
        <w:footnoteRef/>
      </w:r>
      <w:r>
        <w:rPr>
          <w:iCs/>
        </w:rPr>
        <w:t xml:space="preserve"> </w:t>
      </w:r>
      <w:r>
        <w:rPr>
          <w:iCs/>
        </w:rPr>
        <w:t xml:space="preserve">November 2021 Supplement </w:t>
      </w:r>
      <w:r w:rsidR="00D21BFA">
        <w:rPr>
          <w:iCs/>
        </w:rPr>
        <w:t xml:space="preserve">to Petition </w:t>
      </w:r>
      <w:r>
        <w:rPr>
          <w:iCs/>
        </w:rPr>
        <w:t xml:space="preserve">at </w:t>
      </w:r>
      <w:r w:rsidR="00304EF6">
        <w:rPr>
          <w:iCs/>
        </w:rPr>
        <w:t>2</w:t>
      </w:r>
      <w:r>
        <w:rPr>
          <w:iCs/>
        </w:rPr>
        <w:t>.</w:t>
      </w:r>
    </w:p>
  </w:footnote>
  <w:footnote w:id="64">
    <w:p w:rsidR="00CD6B1A" w:rsidRPr="00E23282" w:rsidP="00CD6B1A" w14:paraId="2CED96B3" w14:textId="5A1F08FD">
      <w:pPr>
        <w:pStyle w:val="FootnoteText"/>
      </w:pPr>
      <w:r w:rsidRPr="00E23282">
        <w:rPr>
          <w:rStyle w:val="FootnoteReference"/>
        </w:rPr>
        <w:footnoteRef/>
      </w:r>
      <w:r>
        <w:rPr>
          <w:iCs/>
        </w:rPr>
        <w:t xml:space="preserve"> </w:t>
      </w:r>
      <w:r>
        <w:rPr>
          <w:i/>
        </w:rPr>
        <w:t>Id</w:t>
      </w:r>
      <w:r>
        <w:rPr>
          <w:iCs/>
        </w:rPr>
        <w:t>.</w:t>
      </w:r>
    </w:p>
  </w:footnote>
  <w:footnote w:id="65">
    <w:p w:rsidR="00021460" w:rsidRPr="00E23282" w:rsidP="00021460" w14:paraId="78179C9B" w14:textId="3CC5CE05">
      <w:pPr>
        <w:pStyle w:val="FootnoteText"/>
      </w:pPr>
      <w:r w:rsidRPr="00E23282">
        <w:rPr>
          <w:rStyle w:val="FootnoteReference"/>
        </w:rPr>
        <w:footnoteRef/>
      </w:r>
      <w:r>
        <w:rPr>
          <w:iCs/>
        </w:rPr>
        <w:t xml:space="preserve"> </w:t>
      </w:r>
      <w:r w:rsidR="00CD6B1A">
        <w:rPr>
          <w:iCs/>
        </w:rPr>
        <w:t xml:space="preserve">December </w:t>
      </w:r>
      <w:r w:rsidR="00BF3D21">
        <w:rPr>
          <w:iCs/>
        </w:rPr>
        <w:t xml:space="preserve">8, </w:t>
      </w:r>
      <w:r w:rsidR="00CD6B1A">
        <w:rPr>
          <w:iCs/>
        </w:rPr>
        <w:t xml:space="preserve">2021 Supplement to Petition at </w:t>
      </w:r>
      <w:r w:rsidR="00CD6B1A">
        <w:rPr>
          <w:iCs/>
        </w:rPr>
        <w:t>Exh</w:t>
      </w:r>
      <w:r w:rsidR="00CD6B1A">
        <w:rPr>
          <w:iCs/>
        </w:rPr>
        <w:t>. A</w:t>
      </w:r>
      <w:r w:rsidRPr="004324A9" w:rsidR="00CD6B1A">
        <w:rPr>
          <w:iCs/>
        </w:rPr>
        <w:t>.</w:t>
      </w:r>
      <w:r>
        <w:rPr>
          <w:iCs/>
        </w:rPr>
        <w:t xml:space="preserve">  </w:t>
      </w:r>
    </w:p>
  </w:footnote>
  <w:footnote w:id="66">
    <w:p w:rsidR="003C2DE6" w:rsidRPr="00E23282" w:rsidP="003C2DE6" w14:paraId="7A0DDEE5" w14:textId="2382DEDD">
      <w:pPr>
        <w:pStyle w:val="FootnoteText"/>
      </w:pPr>
      <w:r w:rsidRPr="00E23282">
        <w:rPr>
          <w:rStyle w:val="FootnoteReference"/>
        </w:rPr>
        <w:footnoteRef/>
      </w:r>
      <w:r>
        <w:rPr>
          <w:iCs/>
        </w:rPr>
        <w:t xml:space="preserve"> </w:t>
      </w:r>
      <w:r w:rsidRPr="00DD4DC5" w:rsidR="0091131A">
        <w:rPr>
          <w:i/>
          <w:iCs/>
        </w:rPr>
        <w:t>Id.</w:t>
      </w:r>
      <w:r w:rsidRPr="00E23282" w:rsidR="0091131A">
        <w:t xml:space="preserve"> </w:t>
      </w:r>
      <w:r w:rsidR="00BA78E4">
        <w:rPr>
          <w:iCs/>
        </w:rPr>
        <w:t xml:space="preserve">at </w:t>
      </w:r>
      <w:r w:rsidR="00D224C0">
        <w:rPr>
          <w:iCs/>
        </w:rPr>
        <w:t xml:space="preserve">2. </w:t>
      </w:r>
      <w:r>
        <w:rPr>
          <w:iCs/>
        </w:rPr>
        <w:t xml:space="preserve"> </w:t>
      </w:r>
    </w:p>
  </w:footnote>
  <w:footnote w:id="67">
    <w:p w:rsidR="003C2DE6" w:rsidRPr="00E23282" w:rsidP="003C2DE6" w14:paraId="012CDDEC" w14:textId="6EAC92E2">
      <w:pPr>
        <w:pStyle w:val="FootnoteText"/>
      </w:pPr>
      <w:r w:rsidRPr="00E23282">
        <w:rPr>
          <w:rStyle w:val="FootnoteReference"/>
        </w:rPr>
        <w:footnoteRef/>
      </w:r>
      <w:r>
        <w:rPr>
          <w:iCs/>
        </w:rPr>
        <w:t xml:space="preserve"> </w:t>
      </w:r>
      <w:r>
        <w:rPr>
          <w:iCs/>
        </w:rPr>
        <w:t xml:space="preserve">Petition at 6; December </w:t>
      </w:r>
      <w:r w:rsidR="00BF3D21">
        <w:rPr>
          <w:iCs/>
        </w:rPr>
        <w:t xml:space="preserve">8, </w:t>
      </w:r>
      <w:r>
        <w:rPr>
          <w:iCs/>
        </w:rPr>
        <w:t>2021 Supplement to Petition at 2</w:t>
      </w:r>
      <w:r w:rsidR="0091131A">
        <w:rPr>
          <w:iCs/>
        </w:rPr>
        <w:t>,</w:t>
      </w:r>
      <w:r>
        <w:rPr>
          <w:iCs/>
        </w:rPr>
        <w:t xml:space="preserve"> </w:t>
      </w:r>
      <w:r>
        <w:rPr>
          <w:iCs/>
        </w:rPr>
        <w:t>Exh</w:t>
      </w:r>
      <w:r>
        <w:rPr>
          <w:iCs/>
        </w:rPr>
        <w:t xml:space="preserve">. B.  </w:t>
      </w:r>
    </w:p>
  </w:footnote>
  <w:footnote w:id="68">
    <w:p w:rsidR="003C2DE6" w:rsidRPr="00E23282" w:rsidP="003C2DE6" w14:paraId="314A5B69" w14:textId="6D8BD6B1">
      <w:pPr>
        <w:pStyle w:val="FootnoteText"/>
      </w:pPr>
      <w:r w:rsidRPr="00E23282">
        <w:rPr>
          <w:rStyle w:val="FootnoteReference"/>
        </w:rPr>
        <w:footnoteRef/>
      </w:r>
      <w:r>
        <w:rPr>
          <w:iCs/>
        </w:rPr>
        <w:t xml:space="preserve"> </w:t>
      </w:r>
      <w:r>
        <w:rPr>
          <w:iCs/>
        </w:rPr>
        <w:t xml:space="preserve">Petition at 6; December </w:t>
      </w:r>
      <w:r w:rsidR="00D21BFA">
        <w:rPr>
          <w:iCs/>
        </w:rPr>
        <w:t xml:space="preserve">8, </w:t>
      </w:r>
      <w:r>
        <w:rPr>
          <w:iCs/>
        </w:rPr>
        <w:t>2021 Supplement to Petition at 1</w:t>
      </w:r>
      <w:r w:rsidR="000E42A5">
        <w:rPr>
          <w:iCs/>
        </w:rPr>
        <w:t>,</w:t>
      </w:r>
      <w:r>
        <w:rPr>
          <w:iCs/>
        </w:rPr>
        <w:t xml:space="preserve"> </w:t>
      </w:r>
      <w:r>
        <w:rPr>
          <w:iCs/>
        </w:rPr>
        <w:t>Exh</w:t>
      </w:r>
      <w:r>
        <w:rPr>
          <w:iCs/>
        </w:rPr>
        <w:t xml:space="preserve">. B.  </w:t>
      </w:r>
    </w:p>
  </w:footnote>
  <w:footnote w:id="69">
    <w:p w:rsidR="003C2DE6" w:rsidRPr="00E23282" w:rsidP="003C2DE6" w14:paraId="0CA19939" w14:textId="1B9C18D1">
      <w:pPr>
        <w:pStyle w:val="FootnoteText"/>
      </w:pPr>
      <w:r w:rsidRPr="00E23282">
        <w:rPr>
          <w:rStyle w:val="FootnoteReference"/>
        </w:rPr>
        <w:footnoteRef/>
      </w:r>
      <w:r>
        <w:rPr>
          <w:iCs/>
        </w:rPr>
        <w:t xml:space="preserve"> </w:t>
      </w:r>
      <w:r>
        <w:rPr>
          <w:iCs/>
        </w:rPr>
        <w:t xml:space="preserve">December </w:t>
      </w:r>
      <w:r w:rsidR="00D21BFA">
        <w:rPr>
          <w:iCs/>
        </w:rPr>
        <w:t xml:space="preserve">8, </w:t>
      </w:r>
      <w:r>
        <w:rPr>
          <w:iCs/>
        </w:rPr>
        <w:t xml:space="preserve">2021 Supplement to Petition at </w:t>
      </w:r>
      <w:r>
        <w:rPr>
          <w:iCs/>
        </w:rPr>
        <w:t>Exh</w:t>
      </w:r>
      <w:r>
        <w:rPr>
          <w:iCs/>
        </w:rPr>
        <w:t xml:space="preserve">. B.  </w:t>
      </w:r>
    </w:p>
  </w:footnote>
  <w:footnote w:id="70">
    <w:p w:rsidR="003C2DE6" w:rsidRPr="00E23282" w:rsidP="003C2DE6" w14:paraId="2E7FE907" w14:textId="77777777">
      <w:pPr>
        <w:pStyle w:val="FootnoteText"/>
      </w:pPr>
      <w:r w:rsidRPr="00E23282">
        <w:rPr>
          <w:rStyle w:val="FootnoteReference"/>
        </w:rPr>
        <w:footnoteRef/>
      </w:r>
      <w:r>
        <w:rPr>
          <w:iCs/>
        </w:rPr>
        <w:t xml:space="preserve"> </w:t>
      </w:r>
      <w:r>
        <w:rPr>
          <w:iCs/>
        </w:rPr>
        <w:t xml:space="preserve">Petition at 9.  </w:t>
      </w:r>
    </w:p>
  </w:footnote>
  <w:footnote w:id="71">
    <w:p w:rsidR="0074797E" w:rsidP="004365D1" w14:paraId="2F0B9C1A" w14:textId="46EC3268">
      <w:pPr>
        <w:pStyle w:val="FootnoteText"/>
      </w:pPr>
      <w:r>
        <w:rPr>
          <w:rStyle w:val="FootnoteReference"/>
        </w:rPr>
        <w:footnoteRef/>
      </w:r>
      <w:r>
        <w:t xml:space="preserve"> </w:t>
      </w:r>
      <w:r w:rsidRPr="00E73929">
        <w:rPr>
          <w:i/>
          <w:iCs/>
        </w:rPr>
        <w:t>See Process Reform for Executive Branch Review of Certain FCC Applications and Petitions Involving Foreign Ownership,</w:t>
      </w:r>
      <w:r w:rsidRPr="00E73929">
        <w:t xml:space="preserve"> IB Docket 16-155, Report and Order, </w:t>
      </w:r>
      <w:r>
        <w:rPr>
          <w:rFonts w:ascii="TimesNewRomanPSMT" w:hAnsi="TimesNewRomanPSMT" w:cs="TimesNewRomanPSMT"/>
        </w:rPr>
        <w:t xml:space="preserve">35 FCC </w:t>
      </w:r>
      <w:r>
        <w:rPr>
          <w:rFonts w:ascii="TimesNewRomanPSMT" w:hAnsi="TimesNewRomanPSMT" w:cs="TimesNewRomanPSMT"/>
        </w:rPr>
        <w:t>Rcd</w:t>
      </w:r>
      <w:r>
        <w:rPr>
          <w:rFonts w:ascii="TimesNewRomanPSMT" w:hAnsi="TimesNewRomanPSMT" w:cs="TimesNewRomanPSMT"/>
        </w:rPr>
        <w:t xml:space="preserve"> 10927</w:t>
      </w:r>
      <w:r w:rsidRPr="00E73929">
        <w:t xml:space="preserve"> (2020)</w:t>
      </w:r>
      <w:r w:rsidRPr="0037153E" w:rsidR="003B6010">
        <w:t>;</w:t>
      </w:r>
      <w:r w:rsidR="003B6010">
        <w:rPr>
          <w:i/>
          <w:iCs/>
        </w:rPr>
        <w:t xml:space="preserve"> s</w:t>
      </w:r>
      <w:r>
        <w:rPr>
          <w:i/>
          <w:iCs/>
        </w:rPr>
        <w:t xml:space="preserve">ee also </w:t>
      </w:r>
      <w:r w:rsidRPr="00E73929">
        <w:rPr>
          <w:i/>
          <w:iCs/>
        </w:rPr>
        <w:t>Rules and Policies on Foreign Participation in the U.S. Telecommunications Market; Market Entry and Regulation of Foreign- Affiliated Entities</w:t>
      </w:r>
      <w:r w:rsidRPr="00E73929">
        <w:t xml:space="preserve">, IB Docket Nos. 97-142 and 95-22, Report and Order and Order on Reconsideration, 12 FCC </w:t>
      </w:r>
      <w:r w:rsidRPr="00E73929">
        <w:t>Rcd</w:t>
      </w:r>
      <w:r w:rsidRPr="00E73929">
        <w:t xml:space="preserve"> 23891, 23918-19, paras. 61-63 (1997), recon. denied, 15 FCC </w:t>
      </w:r>
      <w:r w:rsidRPr="00E73929">
        <w:t>Rcd</w:t>
      </w:r>
      <w:r w:rsidRPr="00E73929">
        <w:t xml:space="preserve"> 18158 (2000).</w:t>
      </w:r>
    </w:p>
  </w:footnote>
  <w:footnote w:id="72">
    <w:p w:rsidR="0074797E" w:rsidRPr="00E23282" w:rsidP="00FA09E5" w14:paraId="468791EA" w14:textId="77777777">
      <w:pPr>
        <w:pStyle w:val="FootnoteText"/>
        <w:tabs>
          <w:tab w:val="clear" w:pos="720"/>
        </w:tabs>
        <w:spacing w:after="120"/>
      </w:pPr>
      <w:r w:rsidRPr="00E23282">
        <w:rPr>
          <w:rStyle w:val="FootnoteReference"/>
        </w:rPr>
        <w:footnoteRef/>
      </w:r>
      <w:r w:rsidRPr="00E23282">
        <w:t xml:space="preserve"> </w:t>
      </w:r>
      <w:r w:rsidRPr="00E23282">
        <w:rPr>
          <w:i/>
        </w:rPr>
        <w:t>See</w:t>
      </w:r>
      <w:r w:rsidRPr="00E23282">
        <w:t xml:space="preserve"> 47 CFR § 1.45(c).</w:t>
      </w:r>
    </w:p>
  </w:footnote>
  <w:footnote w:id="73">
    <w:p w:rsidR="0074797E" w:rsidRPr="00021F2D" w:rsidP="00FA09E5" w14:paraId="59F590A7" w14:textId="77777777">
      <w:pPr>
        <w:pStyle w:val="FootnoteText"/>
        <w:rPr>
          <w:color w:val="000000"/>
        </w:rPr>
      </w:pPr>
      <w:r w:rsidRPr="00021F2D">
        <w:rPr>
          <w:rStyle w:val="FootnoteReference"/>
          <w:color w:val="000000"/>
        </w:rPr>
        <w:footnoteRef/>
      </w:r>
      <w:r w:rsidRPr="00021F2D">
        <w:rPr>
          <w:color w:val="000000"/>
        </w:rPr>
        <w:t xml:space="preserve"> </w:t>
      </w:r>
      <w:r w:rsidRPr="00021F2D">
        <w:rPr>
          <w:color w:val="000000"/>
        </w:rPr>
        <w:t>47 CFR § 63.03.</w:t>
      </w:r>
    </w:p>
  </w:footnote>
  <w:footnote w:id="74">
    <w:p w:rsidR="003D030E" w:rsidP="003D030E" w14:paraId="7CB05DAC" w14:textId="77777777">
      <w:pPr>
        <w:pStyle w:val="FootnoteText"/>
      </w:pPr>
      <w:r>
        <w:rPr>
          <w:rStyle w:val="FootnoteReference"/>
        </w:rPr>
        <w:footnoteRef/>
      </w:r>
      <w:r>
        <w:t xml:space="preserve"> </w:t>
      </w:r>
      <w:r>
        <w:t>This application is the lead application for the wireless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97E" w14:paraId="0E9BEC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97E" w14:paraId="5CBCCACE"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mso-wrap-edited:f;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mso-wrap-edited:f;position:absolute;visibility:visible;z-index:251658240" o:allowincell="f" stroked="f">
          <v:textbox>
            <w:txbxContent>
              <w:p w:rsidR="0074797E" w14:paraId="479CE030" w14:textId="77777777">
                <w:pPr>
                  <w:rPr>
                    <w:rFonts w:ascii="Arial" w:hAnsi="Arial"/>
                    <w:b/>
                  </w:rPr>
                </w:pPr>
                <w:r>
                  <w:rPr>
                    <w:rFonts w:ascii="Arial" w:hAnsi="Arial"/>
                    <w:b/>
                  </w:rPr>
                  <w:t>Federal Communications Commission</w:t>
                </w:r>
              </w:p>
              <w:p w:rsidR="0074797E" w14:paraId="685166B5" w14:textId="77777777">
                <w:pPr>
                  <w:rPr>
                    <w:rFonts w:ascii="Arial" w:hAnsi="Arial"/>
                    <w:b/>
                  </w:rPr>
                </w:pPr>
                <w:r>
                  <w:rPr>
                    <w:rFonts w:ascii="Arial" w:hAnsi="Arial"/>
                    <w:b/>
                  </w:rPr>
                  <w:t>45 L St., N.E.</w:t>
                </w:r>
              </w:p>
              <w:p w:rsidR="0074797E" w14:paraId="15DE135C"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74797E" w14:paraId="51BD3B6B"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mso-wrap-edited:f;position:absolute;visibility:visible;z-index:251659264" from="0,54.95pt" to="540pt,55.15pt" o:allowincell="f"/>
      </w:pict>
    </w:r>
    <w:r>
      <w:rPr>
        <w:noProof/>
      </w:rPr>
      <w:pict>
        <v:shape id="Text Box 3" o:spid="_x0000_s2052" type="#_x0000_t202" style="width:207.95pt;height:43.2pt;margin-top:10.25pt;margin-left:336.7pt;mso-wrap-edited:f;position:absolute;visibility:visible;z-index:251660288" o:allowincell="f" stroked="f">
          <v:textbox inset=",0,,0">
            <w:txbxContent>
              <w:p w:rsidR="0074797E" w14:paraId="305AAC0E" w14:textId="77777777">
                <w:pPr>
                  <w:spacing w:before="40"/>
                  <w:jc w:val="right"/>
                  <w:rPr>
                    <w:rFonts w:ascii="Arial" w:hAnsi="Arial"/>
                    <w:b/>
                    <w:sz w:val="16"/>
                  </w:rPr>
                </w:pPr>
                <w:r>
                  <w:rPr>
                    <w:rFonts w:ascii="Arial" w:hAnsi="Arial"/>
                    <w:b/>
                    <w:sz w:val="16"/>
                  </w:rPr>
                  <w:t>News Media Information 202 / 418-0500</w:t>
                </w:r>
              </w:p>
              <w:p w:rsidR="0074797E" w14:paraId="2187516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4797E" w14:paraId="5F4ABEB9" w14:textId="77777777">
                <w:pPr>
                  <w:jc w:val="right"/>
                  <w:rPr>
                    <w:rFonts w:ascii="Arial" w:hAnsi="Arial"/>
                    <w:b/>
                    <w:sz w:val="16"/>
                  </w:rPr>
                </w:pPr>
              </w:p>
              <w:p w:rsidR="0074797E" w14:paraId="5183A509" w14:textId="77777777">
                <w:pPr>
                  <w:jc w:val="right"/>
                </w:pPr>
              </w:p>
            </w:txbxContent>
          </v:textbox>
        </v:shape>
      </w:pict>
    </w:r>
  </w:p>
  <w:p w:rsidR="0074797E" w14:paraId="639D5801" w14:textId="77777777">
    <w:pPr>
      <w:pStyle w:val="Header"/>
      <w:tabs>
        <w:tab w:val="left" w:pos="1080"/>
        <w:tab w:val="clear" w:pos="4320"/>
        <w:tab w:val="clear" w:pos="8640"/>
      </w:tabs>
      <w:ind w:left="720"/>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97E" w14:paraId="253CD270"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9EC6B200"/>
    <w:lvl w:ilvl="0">
      <w:start w:val="1"/>
      <w:numFmt w:val="bullet"/>
      <w:lvlText w:val=""/>
      <w:lvlJc w:val="left"/>
      <w:pPr>
        <w:tabs>
          <w:tab w:val="num" w:pos="720"/>
        </w:tabs>
        <w:ind w:left="720" w:hanging="360"/>
      </w:pPr>
      <w:rPr>
        <w:rFonts w:ascii="Wingdings" w:hAnsi="Wingdings" w:hint="default"/>
        <w:sz w:val="20"/>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B2579"/>
    <w:multiLevelType w:val="multilevel"/>
    <w:tmpl w:val="7F36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6051F4D"/>
    <w:multiLevelType w:val="multilevel"/>
    <w:tmpl w:val="1A7E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03233"/>
    <w:multiLevelType w:val="multilevel"/>
    <w:tmpl w:val="FD4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1"/>
  </w:num>
  <w:num w:numId="21">
    <w:abstractNumId w:val="15"/>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2"/>
    <w:rsid w:val="00000805"/>
    <w:rsid w:val="00003204"/>
    <w:rsid w:val="00003697"/>
    <w:rsid w:val="00005816"/>
    <w:rsid w:val="000076DF"/>
    <w:rsid w:val="000106B5"/>
    <w:rsid w:val="00012497"/>
    <w:rsid w:val="00013A06"/>
    <w:rsid w:val="0001402F"/>
    <w:rsid w:val="0001669F"/>
    <w:rsid w:val="00017D3B"/>
    <w:rsid w:val="00020042"/>
    <w:rsid w:val="00020127"/>
    <w:rsid w:val="000209A3"/>
    <w:rsid w:val="00021394"/>
    <w:rsid w:val="00021460"/>
    <w:rsid w:val="00021A67"/>
    <w:rsid w:val="00021B30"/>
    <w:rsid w:val="00021F2D"/>
    <w:rsid w:val="000224EB"/>
    <w:rsid w:val="00022668"/>
    <w:rsid w:val="0002343B"/>
    <w:rsid w:val="00023D38"/>
    <w:rsid w:val="00024F0E"/>
    <w:rsid w:val="0002637E"/>
    <w:rsid w:val="000264C0"/>
    <w:rsid w:val="00026C02"/>
    <w:rsid w:val="00026C34"/>
    <w:rsid w:val="000275C0"/>
    <w:rsid w:val="00027DEF"/>
    <w:rsid w:val="000308A3"/>
    <w:rsid w:val="00033045"/>
    <w:rsid w:val="00033094"/>
    <w:rsid w:val="000332A7"/>
    <w:rsid w:val="000333F5"/>
    <w:rsid w:val="000342FA"/>
    <w:rsid w:val="0003604A"/>
    <w:rsid w:val="00036507"/>
    <w:rsid w:val="00036643"/>
    <w:rsid w:val="00037B27"/>
    <w:rsid w:val="00037BA9"/>
    <w:rsid w:val="00040079"/>
    <w:rsid w:val="00040A35"/>
    <w:rsid w:val="000422D5"/>
    <w:rsid w:val="0004497F"/>
    <w:rsid w:val="00045B34"/>
    <w:rsid w:val="0005058F"/>
    <w:rsid w:val="00051153"/>
    <w:rsid w:val="00051852"/>
    <w:rsid w:val="00052C70"/>
    <w:rsid w:val="00053AD6"/>
    <w:rsid w:val="00053C09"/>
    <w:rsid w:val="00056AB1"/>
    <w:rsid w:val="00056FBA"/>
    <w:rsid w:val="00057039"/>
    <w:rsid w:val="0006083A"/>
    <w:rsid w:val="000611A3"/>
    <w:rsid w:val="00061D0C"/>
    <w:rsid w:val="000622EA"/>
    <w:rsid w:val="000626DF"/>
    <w:rsid w:val="000627C8"/>
    <w:rsid w:val="0006432B"/>
    <w:rsid w:val="00064CF4"/>
    <w:rsid w:val="00066088"/>
    <w:rsid w:val="00066622"/>
    <w:rsid w:val="000677AC"/>
    <w:rsid w:val="0007031F"/>
    <w:rsid w:val="0007085C"/>
    <w:rsid w:val="000708B5"/>
    <w:rsid w:val="0007105B"/>
    <w:rsid w:val="000715CE"/>
    <w:rsid w:val="00072359"/>
    <w:rsid w:val="00073655"/>
    <w:rsid w:val="000755B7"/>
    <w:rsid w:val="000758DF"/>
    <w:rsid w:val="00076872"/>
    <w:rsid w:val="0007704F"/>
    <w:rsid w:val="000770E9"/>
    <w:rsid w:val="00081AAB"/>
    <w:rsid w:val="00081F10"/>
    <w:rsid w:val="00082D70"/>
    <w:rsid w:val="0008335F"/>
    <w:rsid w:val="000842DE"/>
    <w:rsid w:val="000843F4"/>
    <w:rsid w:val="0008444C"/>
    <w:rsid w:val="00084598"/>
    <w:rsid w:val="00084FD2"/>
    <w:rsid w:val="0008512A"/>
    <w:rsid w:val="000861FE"/>
    <w:rsid w:val="00086832"/>
    <w:rsid w:val="00086B54"/>
    <w:rsid w:val="00087AB7"/>
    <w:rsid w:val="00093A94"/>
    <w:rsid w:val="00094800"/>
    <w:rsid w:val="0009599E"/>
    <w:rsid w:val="00095BE7"/>
    <w:rsid w:val="00095FB8"/>
    <w:rsid w:val="0009631D"/>
    <w:rsid w:val="00097A4D"/>
    <w:rsid w:val="000A1255"/>
    <w:rsid w:val="000A1CC2"/>
    <w:rsid w:val="000A1DF2"/>
    <w:rsid w:val="000A325A"/>
    <w:rsid w:val="000A3B61"/>
    <w:rsid w:val="000A43A4"/>
    <w:rsid w:val="000A4F2D"/>
    <w:rsid w:val="000A6052"/>
    <w:rsid w:val="000B2409"/>
    <w:rsid w:val="000B3477"/>
    <w:rsid w:val="000B6195"/>
    <w:rsid w:val="000B69CA"/>
    <w:rsid w:val="000B7414"/>
    <w:rsid w:val="000C0855"/>
    <w:rsid w:val="000C165B"/>
    <w:rsid w:val="000C1734"/>
    <w:rsid w:val="000C29BF"/>
    <w:rsid w:val="000C3D4B"/>
    <w:rsid w:val="000C46BB"/>
    <w:rsid w:val="000C5FC6"/>
    <w:rsid w:val="000C6CB2"/>
    <w:rsid w:val="000C6FF3"/>
    <w:rsid w:val="000D01FC"/>
    <w:rsid w:val="000D08D6"/>
    <w:rsid w:val="000D2F53"/>
    <w:rsid w:val="000D3C90"/>
    <w:rsid w:val="000D3FE6"/>
    <w:rsid w:val="000D557C"/>
    <w:rsid w:val="000D5DA8"/>
    <w:rsid w:val="000D6DFA"/>
    <w:rsid w:val="000D6E61"/>
    <w:rsid w:val="000E1406"/>
    <w:rsid w:val="000E1B24"/>
    <w:rsid w:val="000E1FC6"/>
    <w:rsid w:val="000E239B"/>
    <w:rsid w:val="000E240A"/>
    <w:rsid w:val="000E2D3F"/>
    <w:rsid w:val="000E30CA"/>
    <w:rsid w:val="000E3709"/>
    <w:rsid w:val="000E42A5"/>
    <w:rsid w:val="000E4AE6"/>
    <w:rsid w:val="000E501F"/>
    <w:rsid w:val="000E759F"/>
    <w:rsid w:val="000F0702"/>
    <w:rsid w:val="000F115A"/>
    <w:rsid w:val="000F23B6"/>
    <w:rsid w:val="000F2AF0"/>
    <w:rsid w:val="000F3C60"/>
    <w:rsid w:val="000F5F9A"/>
    <w:rsid w:val="000F7081"/>
    <w:rsid w:val="000F7DDA"/>
    <w:rsid w:val="001006AD"/>
    <w:rsid w:val="00100CE9"/>
    <w:rsid w:val="0010170C"/>
    <w:rsid w:val="00101A22"/>
    <w:rsid w:val="00101E17"/>
    <w:rsid w:val="00102730"/>
    <w:rsid w:val="00102CB4"/>
    <w:rsid w:val="00103BF8"/>
    <w:rsid w:val="00104426"/>
    <w:rsid w:val="00105690"/>
    <w:rsid w:val="00106067"/>
    <w:rsid w:val="001065C4"/>
    <w:rsid w:val="001068BF"/>
    <w:rsid w:val="00106A17"/>
    <w:rsid w:val="00111189"/>
    <w:rsid w:val="00112BAB"/>
    <w:rsid w:val="0011491B"/>
    <w:rsid w:val="00115112"/>
    <w:rsid w:val="0011579B"/>
    <w:rsid w:val="00115EE2"/>
    <w:rsid w:val="00116230"/>
    <w:rsid w:val="0011660A"/>
    <w:rsid w:val="00117925"/>
    <w:rsid w:val="00120D8B"/>
    <w:rsid w:val="001212A4"/>
    <w:rsid w:val="00122C77"/>
    <w:rsid w:val="00122E23"/>
    <w:rsid w:val="00127027"/>
    <w:rsid w:val="00130651"/>
    <w:rsid w:val="0013252A"/>
    <w:rsid w:val="00132530"/>
    <w:rsid w:val="0013287A"/>
    <w:rsid w:val="00133246"/>
    <w:rsid w:val="001335D1"/>
    <w:rsid w:val="001338C1"/>
    <w:rsid w:val="001345FE"/>
    <w:rsid w:val="00134A22"/>
    <w:rsid w:val="00135256"/>
    <w:rsid w:val="00135DEB"/>
    <w:rsid w:val="001368FB"/>
    <w:rsid w:val="001369D6"/>
    <w:rsid w:val="00137210"/>
    <w:rsid w:val="001404EC"/>
    <w:rsid w:val="001419AD"/>
    <w:rsid w:val="001419D8"/>
    <w:rsid w:val="00142510"/>
    <w:rsid w:val="00142F10"/>
    <w:rsid w:val="001447C3"/>
    <w:rsid w:val="001449D9"/>
    <w:rsid w:val="00145A03"/>
    <w:rsid w:val="00145BD3"/>
    <w:rsid w:val="00146144"/>
    <w:rsid w:val="00146426"/>
    <w:rsid w:val="001472FD"/>
    <w:rsid w:val="00150DBD"/>
    <w:rsid w:val="00151C8B"/>
    <w:rsid w:val="00151E9D"/>
    <w:rsid w:val="00152F4C"/>
    <w:rsid w:val="00153511"/>
    <w:rsid w:val="00154048"/>
    <w:rsid w:val="00154422"/>
    <w:rsid w:val="0015480D"/>
    <w:rsid w:val="00154BAA"/>
    <w:rsid w:val="001559F6"/>
    <w:rsid w:val="00155C89"/>
    <w:rsid w:val="00155E15"/>
    <w:rsid w:val="0015641C"/>
    <w:rsid w:val="00157559"/>
    <w:rsid w:val="00160394"/>
    <w:rsid w:val="001607FA"/>
    <w:rsid w:val="00160A25"/>
    <w:rsid w:val="00161D32"/>
    <w:rsid w:val="00163DCE"/>
    <w:rsid w:val="00163DD7"/>
    <w:rsid w:val="001641BD"/>
    <w:rsid w:val="00164A7E"/>
    <w:rsid w:val="00164E4E"/>
    <w:rsid w:val="001653DB"/>
    <w:rsid w:val="001654DB"/>
    <w:rsid w:val="00165A52"/>
    <w:rsid w:val="00167162"/>
    <w:rsid w:val="001746B2"/>
    <w:rsid w:val="00174884"/>
    <w:rsid w:val="00175115"/>
    <w:rsid w:val="001758DB"/>
    <w:rsid w:val="00175AF0"/>
    <w:rsid w:val="0017697E"/>
    <w:rsid w:val="00176EAA"/>
    <w:rsid w:val="001777CC"/>
    <w:rsid w:val="00177E40"/>
    <w:rsid w:val="00181692"/>
    <w:rsid w:val="001818B0"/>
    <w:rsid w:val="00181C11"/>
    <w:rsid w:val="001826EC"/>
    <w:rsid w:val="00182A74"/>
    <w:rsid w:val="00183BC5"/>
    <w:rsid w:val="00183F96"/>
    <w:rsid w:val="0018420C"/>
    <w:rsid w:val="00185674"/>
    <w:rsid w:val="0018574B"/>
    <w:rsid w:val="0018640D"/>
    <w:rsid w:val="001865D6"/>
    <w:rsid w:val="00186C18"/>
    <w:rsid w:val="00187C44"/>
    <w:rsid w:val="00187DF1"/>
    <w:rsid w:val="00190591"/>
    <w:rsid w:val="00190AD1"/>
    <w:rsid w:val="001913A2"/>
    <w:rsid w:val="00192917"/>
    <w:rsid w:val="0019299C"/>
    <w:rsid w:val="0019308E"/>
    <w:rsid w:val="0019360E"/>
    <w:rsid w:val="00194E11"/>
    <w:rsid w:val="00194FDE"/>
    <w:rsid w:val="0019574C"/>
    <w:rsid w:val="001958E6"/>
    <w:rsid w:val="00195A6B"/>
    <w:rsid w:val="001960AD"/>
    <w:rsid w:val="00197863"/>
    <w:rsid w:val="00197FA0"/>
    <w:rsid w:val="001A1149"/>
    <w:rsid w:val="001A1EA3"/>
    <w:rsid w:val="001A32C4"/>
    <w:rsid w:val="001A4308"/>
    <w:rsid w:val="001A55D3"/>
    <w:rsid w:val="001A63C2"/>
    <w:rsid w:val="001A6E16"/>
    <w:rsid w:val="001B01AF"/>
    <w:rsid w:val="001B158F"/>
    <w:rsid w:val="001B25F5"/>
    <w:rsid w:val="001B2861"/>
    <w:rsid w:val="001B2C2C"/>
    <w:rsid w:val="001B2CA7"/>
    <w:rsid w:val="001B2FFE"/>
    <w:rsid w:val="001B49A1"/>
    <w:rsid w:val="001B4E69"/>
    <w:rsid w:val="001B509C"/>
    <w:rsid w:val="001B5A65"/>
    <w:rsid w:val="001B5AD6"/>
    <w:rsid w:val="001B5E2E"/>
    <w:rsid w:val="001B6108"/>
    <w:rsid w:val="001C0061"/>
    <w:rsid w:val="001C0358"/>
    <w:rsid w:val="001C0940"/>
    <w:rsid w:val="001C1487"/>
    <w:rsid w:val="001C249F"/>
    <w:rsid w:val="001C2BAE"/>
    <w:rsid w:val="001C46EA"/>
    <w:rsid w:val="001C4EBF"/>
    <w:rsid w:val="001C58CB"/>
    <w:rsid w:val="001C5F54"/>
    <w:rsid w:val="001C6152"/>
    <w:rsid w:val="001D1752"/>
    <w:rsid w:val="001D1F48"/>
    <w:rsid w:val="001D2736"/>
    <w:rsid w:val="001D2CC4"/>
    <w:rsid w:val="001D3ABA"/>
    <w:rsid w:val="001D3C4A"/>
    <w:rsid w:val="001D4536"/>
    <w:rsid w:val="001D5BAB"/>
    <w:rsid w:val="001D69DC"/>
    <w:rsid w:val="001D6BF6"/>
    <w:rsid w:val="001D7171"/>
    <w:rsid w:val="001D7D59"/>
    <w:rsid w:val="001E014C"/>
    <w:rsid w:val="001E0F42"/>
    <w:rsid w:val="001E16DF"/>
    <w:rsid w:val="001E1A49"/>
    <w:rsid w:val="001E1E7B"/>
    <w:rsid w:val="001E215D"/>
    <w:rsid w:val="001E2645"/>
    <w:rsid w:val="001E284D"/>
    <w:rsid w:val="001E28FC"/>
    <w:rsid w:val="001E3906"/>
    <w:rsid w:val="001E4A3D"/>
    <w:rsid w:val="001E4A8D"/>
    <w:rsid w:val="001E50F1"/>
    <w:rsid w:val="001E580B"/>
    <w:rsid w:val="001E681F"/>
    <w:rsid w:val="001E744A"/>
    <w:rsid w:val="001E7E48"/>
    <w:rsid w:val="001F09B5"/>
    <w:rsid w:val="001F15D2"/>
    <w:rsid w:val="001F1763"/>
    <w:rsid w:val="001F19CD"/>
    <w:rsid w:val="001F1F96"/>
    <w:rsid w:val="001F253B"/>
    <w:rsid w:val="001F2CFF"/>
    <w:rsid w:val="001F309D"/>
    <w:rsid w:val="001F51CD"/>
    <w:rsid w:val="001F537A"/>
    <w:rsid w:val="001F5484"/>
    <w:rsid w:val="001F5B20"/>
    <w:rsid w:val="001F5C8B"/>
    <w:rsid w:val="001F5E78"/>
    <w:rsid w:val="001F6CEE"/>
    <w:rsid w:val="001F785F"/>
    <w:rsid w:val="002009DB"/>
    <w:rsid w:val="00200A46"/>
    <w:rsid w:val="00200E0F"/>
    <w:rsid w:val="00201AD3"/>
    <w:rsid w:val="00201ECC"/>
    <w:rsid w:val="00202393"/>
    <w:rsid w:val="00202DA1"/>
    <w:rsid w:val="0020368A"/>
    <w:rsid w:val="002036BC"/>
    <w:rsid w:val="00203723"/>
    <w:rsid w:val="0020389B"/>
    <w:rsid w:val="00203A5A"/>
    <w:rsid w:val="00203ED1"/>
    <w:rsid w:val="0020497A"/>
    <w:rsid w:val="0020514B"/>
    <w:rsid w:val="0020607D"/>
    <w:rsid w:val="00206B3C"/>
    <w:rsid w:val="00206C1E"/>
    <w:rsid w:val="00207A54"/>
    <w:rsid w:val="002107C0"/>
    <w:rsid w:val="00210870"/>
    <w:rsid w:val="0021175B"/>
    <w:rsid w:val="00213F76"/>
    <w:rsid w:val="00214342"/>
    <w:rsid w:val="002169C0"/>
    <w:rsid w:val="00216AE5"/>
    <w:rsid w:val="00217097"/>
    <w:rsid w:val="002172C3"/>
    <w:rsid w:val="00217BC7"/>
    <w:rsid w:val="00221347"/>
    <w:rsid w:val="00221869"/>
    <w:rsid w:val="00222727"/>
    <w:rsid w:val="00222920"/>
    <w:rsid w:val="002238F9"/>
    <w:rsid w:val="00223F4B"/>
    <w:rsid w:val="0022419C"/>
    <w:rsid w:val="00224866"/>
    <w:rsid w:val="00224FC0"/>
    <w:rsid w:val="0022541B"/>
    <w:rsid w:val="002265D5"/>
    <w:rsid w:val="0022664E"/>
    <w:rsid w:val="00226F1C"/>
    <w:rsid w:val="00227167"/>
    <w:rsid w:val="002273F6"/>
    <w:rsid w:val="00227A34"/>
    <w:rsid w:val="002301AE"/>
    <w:rsid w:val="002304EE"/>
    <w:rsid w:val="002306DF"/>
    <w:rsid w:val="0023198E"/>
    <w:rsid w:val="00232DBA"/>
    <w:rsid w:val="002336DD"/>
    <w:rsid w:val="0023385F"/>
    <w:rsid w:val="002347C4"/>
    <w:rsid w:val="00234975"/>
    <w:rsid w:val="0023564A"/>
    <w:rsid w:val="002356B5"/>
    <w:rsid w:val="00235DBD"/>
    <w:rsid w:val="00235E4B"/>
    <w:rsid w:val="002360A2"/>
    <w:rsid w:val="00236297"/>
    <w:rsid w:val="00236D17"/>
    <w:rsid w:val="00237D89"/>
    <w:rsid w:val="00237D99"/>
    <w:rsid w:val="00241771"/>
    <w:rsid w:val="00241BE5"/>
    <w:rsid w:val="00242548"/>
    <w:rsid w:val="002430A2"/>
    <w:rsid w:val="002437AC"/>
    <w:rsid w:val="00245051"/>
    <w:rsid w:val="00245BF8"/>
    <w:rsid w:val="00246424"/>
    <w:rsid w:val="00247487"/>
    <w:rsid w:val="00247B96"/>
    <w:rsid w:val="00247EAA"/>
    <w:rsid w:val="00250CFC"/>
    <w:rsid w:val="00251418"/>
    <w:rsid w:val="00252622"/>
    <w:rsid w:val="00252919"/>
    <w:rsid w:val="002532C5"/>
    <w:rsid w:val="0025377B"/>
    <w:rsid w:val="00253E81"/>
    <w:rsid w:val="00254013"/>
    <w:rsid w:val="00254ECA"/>
    <w:rsid w:val="0025577D"/>
    <w:rsid w:val="00255C77"/>
    <w:rsid w:val="00256357"/>
    <w:rsid w:val="00256801"/>
    <w:rsid w:val="00256B4A"/>
    <w:rsid w:val="00256D3A"/>
    <w:rsid w:val="0025703D"/>
    <w:rsid w:val="002570DE"/>
    <w:rsid w:val="00260145"/>
    <w:rsid w:val="00260BC5"/>
    <w:rsid w:val="00261ABB"/>
    <w:rsid w:val="00261E6A"/>
    <w:rsid w:val="0026393B"/>
    <w:rsid w:val="00263DF9"/>
    <w:rsid w:val="00266366"/>
    <w:rsid w:val="00266E23"/>
    <w:rsid w:val="002676E5"/>
    <w:rsid w:val="002700E3"/>
    <w:rsid w:val="00270436"/>
    <w:rsid w:val="002710BB"/>
    <w:rsid w:val="00271386"/>
    <w:rsid w:val="002714F0"/>
    <w:rsid w:val="00272185"/>
    <w:rsid w:val="002722C2"/>
    <w:rsid w:val="00272914"/>
    <w:rsid w:val="0027347D"/>
    <w:rsid w:val="0027368D"/>
    <w:rsid w:val="00274190"/>
    <w:rsid w:val="00274968"/>
    <w:rsid w:val="002763B9"/>
    <w:rsid w:val="002766AE"/>
    <w:rsid w:val="00277EC1"/>
    <w:rsid w:val="00277F1D"/>
    <w:rsid w:val="00280A19"/>
    <w:rsid w:val="00280D2A"/>
    <w:rsid w:val="00281C4B"/>
    <w:rsid w:val="00283F81"/>
    <w:rsid w:val="002846CF"/>
    <w:rsid w:val="0028472A"/>
    <w:rsid w:val="002849E8"/>
    <w:rsid w:val="0028571A"/>
    <w:rsid w:val="0028593D"/>
    <w:rsid w:val="00285FBE"/>
    <w:rsid w:val="002912F8"/>
    <w:rsid w:val="0029186A"/>
    <w:rsid w:val="00291EE2"/>
    <w:rsid w:val="00293F50"/>
    <w:rsid w:val="002951D8"/>
    <w:rsid w:val="002A013D"/>
    <w:rsid w:val="002A0611"/>
    <w:rsid w:val="002A0F17"/>
    <w:rsid w:val="002A1A50"/>
    <w:rsid w:val="002A1F0F"/>
    <w:rsid w:val="002A3773"/>
    <w:rsid w:val="002A379A"/>
    <w:rsid w:val="002A3D28"/>
    <w:rsid w:val="002A48D1"/>
    <w:rsid w:val="002A4BB7"/>
    <w:rsid w:val="002A54A1"/>
    <w:rsid w:val="002A6027"/>
    <w:rsid w:val="002A6B42"/>
    <w:rsid w:val="002A72AF"/>
    <w:rsid w:val="002A7866"/>
    <w:rsid w:val="002B0669"/>
    <w:rsid w:val="002B1056"/>
    <w:rsid w:val="002B1162"/>
    <w:rsid w:val="002B211F"/>
    <w:rsid w:val="002B2167"/>
    <w:rsid w:val="002B416D"/>
    <w:rsid w:val="002B452F"/>
    <w:rsid w:val="002B6125"/>
    <w:rsid w:val="002B62C0"/>
    <w:rsid w:val="002B661B"/>
    <w:rsid w:val="002B7B74"/>
    <w:rsid w:val="002C0134"/>
    <w:rsid w:val="002C2632"/>
    <w:rsid w:val="002C303B"/>
    <w:rsid w:val="002C3303"/>
    <w:rsid w:val="002C3495"/>
    <w:rsid w:val="002C4C7B"/>
    <w:rsid w:val="002C54ED"/>
    <w:rsid w:val="002C7813"/>
    <w:rsid w:val="002C7CF1"/>
    <w:rsid w:val="002D0073"/>
    <w:rsid w:val="002D0B1E"/>
    <w:rsid w:val="002D1031"/>
    <w:rsid w:val="002D10D9"/>
    <w:rsid w:val="002D2F22"/>
    <w:rsid w:val="002D3208"/>
    <w:rsid w:val="002D3698"/>
    <w:rsid w:val="002D3C2C"/>
    <w:rsid w:val="002D3ED6"/>
    <w:rsid w:val="002D5526"/>
    <w:rsid w:val="002D58E3"/>
    <w:rsid w:val="002D5961"/>
    <w:rsid w:val="002D5FEB"/>
    <w:rsid w:val="002D64AB"/>
    <w:rsid w:val="002D70E5"/>
    <w:rsid w:val="002D7B03"/>
    <w:rsid w:val="002D7BC0"/>
    <w:rsid w:val="002D7D01"/>
    <w:rsid w:val="002E069D"/>
    <w:rsid w:val="002E0A3E"/>
    <w:rsid w:val="002E0AE6"/>
    <w:rsid w:val="002E1181"/>
    <w:rsid w:val="002E148F"/>
    <w:rsid w:val="002E2024"/>
    <w:rsid w:val="002E26BC"/>
    <w:rsid w:val="002E2BBB"/>
    <w:rsid w:val="002E2ECF"/>
    <w:rsid w:val="002E3EC8"/>
    <w:rsid w:val="002E3F4D"/>
    <w:rsid w:val="002E4F92"/>
    <w:rsid w:val="002E64F4"/>
    <w:rsid w:val="002E75D7"/>
    <w:rsid w:val="002F000F"/>
    <w:rsid w:val="002F1355"/>
    <w:rsid w:val="002F1F0C"/>
    <w:rsid w:val="002F21C4"/>
    <w:rsid w:val="002F3031"/>
    <w:rsid w:val="002F4507"/>
    <w:rsid w:val="002F5A0D"/>
    <w:rsid w:val="002F68BA"/>
    <w:rsid w:val="002F78A4"/>
    <w:rsid w:val="002F78B8"/>
    <w:rsid w:val="002F7BC6"/>
    <w:rsid w:val="00300061"/>
    <w:rsid w:val="00300258"/>
    <w:rsid w:val="003027EB"/>
    <w:rsid w:val="003033B0"/>
    <w:rsid w:val="00304EF6"/>
    <w:rsid w:val="00305527"/>
    <w:rsid w:val="00305ACD"/>
    <w:rsid w:val="00305B61"/>
    <w:rsid w:val="0030659D"/>
    <w:rsid w:val="003077CD"/>
    <w:rsid w:val="00307D16"/>
    <w:rsid w:val="00310832"/>
    <w:rsid w:val="00310E0C"/>
    <w:rsid w:val="00311D03"/>
    <w:rsid w:val="00312F6E"/>
    <w:rsid w:val="00313AB4"/>
    <w:rsid w:val="0031489D"/>
    <w:rsid w:val="0031507C"/>
    <w:rsid w:val="00315DF3"/>
    <w:rsid w:val="0031625B"/>
    <w:rsid w:val="00316C41"/>
    <w:rsid w:val="0031734D"/>
    <w:rsid w:val="0031751E"/>
    <w:rsid w:val="003177ED"/>
    <w:rsid w:val="003204B4"/>
    <w:rsid w:val="00321466"/>
    <w:rsid w:val="00321FD3"/>
    <w:rsid w:val="003220C0"/>
    <w:rsid w:val="00322C19"/>
    <w:rsid w:val="00323193"/>
    <w:rsid w:val="0032619B"/>
    <w:rsid w:val="00326C90"/>
    <w:rsid w:val="00326DAB"/>
    <w:rsid w:val="003271F1"/>
    <w:rsid w:val="00327FDA"/>
    <w:rsid w:val="00330590"/>
    <w:rsid w:val="00330B63"/>
    <w:rsid w:val="00330DD0"/>
    <w:rsid w:val="00332E1C"/>
    <w:rsid w:val="00333584"/>
    <w:rsid w:val="003342B6"/>
    <w:rsid w:val="003348A2"/>
    <w:rsid w:val="00334ADF"/>
    <w:rsid w:val="003379B5"/>
    <w:rsid w:val="00340078"/>
    <w:rsid w:val="00340A1E"/>
    <w:rsid w:val="00340CBB"/>
    <w:rsid w:val="003415A5"/>
    <w:rsid w:val="0034200B"/>
    <w:rsid w:val="0034225A"/>
    <w:rsid w:val="003436B6"/>
    <w:rsid w:val="003439E9"/>
    <w:rsid w:val="00343CA4"/>
    <w:rsid w:val="0034414A"/>
    <w:rsid w:val="00344E30"/>
    <w:rsid w:val="003452E3"/>
    <w:rsid w:val="00346A8B"/>
    <w:rsid w:val="00346F98"/>
    <w:rsid w:val="00350045"/>
    <w:rsid w:val="00350494"/>
    <w:rsid w:val="003517EE"/>
    <w:rsid w:val="003519F3"/>
    <w:rsid w:val="00351E20"/>
    <w:rsid w:val="00352150"/>
    <w:rsid w:val="00352202"/>
    <w:rsid w:val="00354BAE"/>
    <w:rsid w:val="00354DF0"/>
    <w:rsid w:val="00356A33"/>
    <w:rsid w:val="00356A8E"/>
    <w:rsid w:val="003602FC"/>
    <w:rsid w:val="0036117A"/>
    <w:rsid w:val="00361CAE"/>
    <w:rsid w:val="00362210"/>
    <w:rsid w:val="00362321"/>
    <w:rsid w:val="00362735"/>
    <w:rsid w:val="00363AB2"/>
    <w:rsid w:val="00364270"/>
    <w:rsid w:val="003713FE"/>
    <w:rsid w:val="0037153E"/>
    <w:rsid w:val="00372D7B"/>
    <w:rsid w:val="00375231"/>
    <w:rsid w:val="0037536F"/>
    <w:rsid w:val="00375720"/>
    <w:rsid w:val="00377A13"/>
    <w:rsid w:val="00377CC1"/>
    <w:rsid w:val="00377EB2"/>
    <w:rsid w:val="003801B7"/>
    <w:rsid w:val="003805A7"/>
    <w:rsid w:val="00381027"/>
    <w:rsid w:val="0038110C"/>
    <w:rsid w:val="003814E9"/>
    <w:rsid w:val="0038197E"/>
    <w:rsid w:val="003823D6"/>
    <w:rsid w:val="00382418"/>
    <w:rsid w:val="003826DE"/>
    <w:rsid w:val="00383E43"/>
    <w:rsid w:val="00384D9B"/>
    <w:rsid w:val="0038594C"/>
    <w:rsid w:val="00385A21"/>
    <w:rsid w:val="00385D0E"/>
    <w:rsid w:val="00385D22"/>
    <w:rsid w:val="00386091"/>
    <w:rsid w:val="0038750A"/>
    <w:rsid w:val="00387CB5"/>
    <w:rsid w:val="003915D4"/>
    <w:rsid w:val="00391A26"/>
    <w:rsid w:val="00392232"/>
    <w:rsid w:val="00392341"/>
    <w:rsid w:val="003929D4"/>
    <w:rsid w:val="00394713"/>
    <w:rsid w:val="003958CC"/>
    <w:rsid w:val="00395A33"/>
    <w:rsid w:val="00395FC7"/>
    <w:rsid w:val="003A0623"/>
    <w:rsid w:val="003A0BE5"/>
    <w:rsid w:val="003A15D6"/>
    <w:rsid w:val="003A353D"/>
    <w:rsid w:val="003A3C2F"/>
    <w:rsid w:val="003A3CB8"/>
    <w:rsid w:val="003A46D8"/>
    <w:rsid w:val="003A4BB6"/>
    <w:rsid w:val="003A6810"/>
    <w:rsid w:val="003B1C8B"/>
    <w:rsid w:val="003B210D"/>
    <w:rsid w:val="003B2B00"/>
    <w:rsid w:val="003B356D"/>
    <w:rsid w:val="003B3940"/>
    <w:rsid w:val="003B4380"/>
    <w:rsid w:val="003B6010"/>
    <w:rsid w:val="003B6314"/>
    <w:rsid w:val="003B6C99"/>
    <w:rsid w:val="003C163B"/>
    <w:rsid w:val="003C2297"/>
    <w:rsid w:val="003C2DE6"/>
    <w:rsid w:val="003C5194"/>
    <w:rsid w:val="003C5921"/>
    <w:rsid w:val="003C6549"/>
    <w:rsid w:val="003C6846"/>
    <w:rsid w:val="003C6B09"/>
    <w:rsid w:val="003C6D63"/>
    <w:rsid w:val="003C6F1A"/>
    <w:rsid w:val="003C7A78"/>
    <w:rsid w:val="003D02D7"/>
    <w:rsid w:val="003D030E"/>
    <w:rsid w:val="003D0F5F"/>
    <w:rsid w:val="003D27EE"/>
    <w:rsid w:val="003D284C"/>
    <w:rsid w:val="003D2CC0"/>
    <w:rsid w:val="003D3B60"/>
    <w:rsid w:val="003D3B9E"/>
    <w:rsid w:val="003D3C17"/>
    <w:rsid w:val="003D4E87"/>
    <w:rsid w:val="003D4F8F"/>
    <w:rsid w:val="003D53C3"/>
    <w:rsid w:val="003D5E59"/>
    <w:rsid w:val="003D5EEB"/>
    <w:rsid w:val="003D7B9E"/>
    <w:rsid w:val="003E01F5"/>
    <w:rsid w:val="003E227E"/>
    <w:rsid w:val="003E2808"/>
    <w:rsid w:val="003E2D28"/>
    <w:rsid w:val="003E3315"/>
    <w:rsid w:val="003E3C39"/>
    <w:rsid w:val="003E47C4"/>
    <w:rsid w:val="003E4FA0"/>
    <w:rsid w:val="003E563D"/>
    <w:rsid w:val="003E7556"/>
    <w:rsid w:val="003E79E3"/>
    <w:rsid w:val="003E7B36"/>
    <w:rsid w:val="003E7CC1"/>
    <w:rsid w:val="003E7FD0"/>
    <w:rsid w:val="003F23CB"/>
    <w:rsid w:val="003F2DA0"/>
    <w:rsid w:val="003F2F90"/>
    <w:rsid w:val="003F34F3"/>
    <w:rsid w:val="003F40AB"/>
    <w:rsid w:val="003F4124"/>
    <w:rsid w:val="003F5404"/>
    <w:rsid w:val="003F5DCE"/>
    <w:rsid w:val="003F61C4"/>
    <w:rsid w:val="003F6A60"/>
    <w:rsid w:val="004021E8"/>
    <w:rsid w:val="004025A0"/>
    <w:rsid w:val="00402791"/>
    <w:rsid w:val="004037B1"/>
    <w:rsid w:val="00404CBF"/>
    <w:rsid w:val="00405233"/>
    <w:rsid w:val="0040595A"/>
    <w:rsid w:val="00406AF2"/>
    <w:rsid w:val="0041076A"/>
    <w:rsid w:val="00411411"/>
    <w:rsid w:val="004119ED"/>
    <w:rsid w:val="00412FC9"/>
    <w:rsid w:val="00414987"/>
    <w:rsid w:val="0041539C"/>
    <w:rsid w:val="004159C4"/>
    <w:rsid w:val="004168DC"/>
    <w:rsid w:val="00420703"/>
    <w:rsid w:val="004220A8"/>
    <w:rsid w:val="004226C7"/>
    <w:rsid w:val="00422753"/>
    <w:rsid w:val="004241B2"/>
    <w:rsid w:val="00424253"/>
    <w:rsid w:val="0042427B"/>
    <w:rsid w:val="00424692"/>
    <w:rsid w:val="00424CB4"/>
    <w:rsid w:val="00425372"/>
    <w:rsid w:val="00427061"/>
    <w:rsid w:val="00427F2B"/>
    <w:rsid w:val="004304D6"/>
    <w:rsid w:val="00430743"/>
    <w:rsid w:val="00430CB4"/>
    <w:rsid w:val="00430D84"/>
    <w:rsid w:val="004324A9"/>
    <w:rsid w:val="004330F2"/>
    <w:rsid w:val="004340B7"/>
    <w:rsid w:val="00434E94"/>
    <w:rsid w:val="00435233"/>
    <w:rsid w:val="0043641F"/>
    <w:rsid w:val="004365D1"/>
    <w:rsid w:val="004368B8"/>
    <w:rsid w:val="00440A8E"/>
    <w:rsid w:val="0044173B"/>
    <w:rsid w:val="00441BD3"/>
    <w:rsid w:val="004423CD"/>
    <w:rsid w:val="004427EC"/>
    <w:rsid w:val="00443169"/>
    <w:rsid w:val="004435C0"/>
    <w:rsid w:val="00443B06"/>
    <w:rsid w:val="0044545B"/>
    <w:rsid w:val="0044565F"/>
    <w:rsid w:val="00445B8C"/>
    <w:rsid w:val="004473B9"/>
    <w:rsid w:val="00447D27"/>
    <w:rsid w:val="0045028A"/>
    <w:rsid w:val="0045056B"/>
    <w:rsid w:val="00450B2A"/>
    <w:rsid w:val="00450CD3"/>
    <w:rsid w:val="0045340B"/>
    <w:rsid w:val="00453669"/>
    <w:rsid w:val="00453AC3"/>
    <w:rsid w:val="00453F52"/>
    <w:rsid w:val="004558C2"/>
    <w:rsid w:val="00455C6E"/>
    <w:rsid w:val="0045650B"/>
    <w:rsid w:val="00456665"/>
    <w:rsid w:val="00457DA2"/>
    <w:rsid w:val="004603BC"/>
    <w:rsid w:val="00461586"/>
    <w:rsid w:val="00461B7F"/>
    <w:rsid w:val="004622B6"/>
    <w:rsid w:val="00462A65"/>
    <w:rsid w:val="00462A78"/>
    <w:rsid w:val="00464E15"/>
    <w:rsid w:val="0046789B"/>
    <w:rsid w:val="00470601"/>
    <w:rsid w:val="004712EA"/>
    <w:rsid w:val="00471B9E"/>
    <w:rsid w:val="00472B94"/>
    <w:rsid w:val="00473736"/>
    <w:rsid w:val="00473B72"/>
    <w:rsid w:val="0047420A"/>
    <w:rsid w:val="0047434F"/>
    <w:rsid w:val="004767C7"/>
    <w:rsid w:val="004775F2"/>
    <w:rsid w:val="004778DF"/>
    <w:rsid w:val="00481A46"/>
    <w:rsid w:val="00482EFB"/>
    <w:rsid w:val="00482FAA"/>
    <w:rsid w:val="00483A42"/>
    <w:rsid w:val="004846D4"/>
    <w:rsid w:val="00485B96"/>
    <w:rsid w:val="00485EDF"/>
    <w:rsid w:val="00486B9C"/>
    <w:rsid w:val="00486DC0"/>
    <w:rsid w:val="00487146"/>
    <w:rsid w:val="0049087A"/>
    <w:rsid w:val="00490CEA"/>
    <w:rsid w:val="00491810"/>
    <w:rsid w:val="00493B38"/>
    <w:rsid w:val="00493DAC"/>
    <w:rsid w:val="00494FD7"/>
    <w:rsid w:val="0049507C"/>
    <w:rsid w:val="0049525D"/>
    <w:rsid w:val="00495902"/>
    <w:rsid w:val="00495966"/>
    <w:rsid w:val="00495BF6"/>
    <w:rsid w:val="00496217"/>
    <w:rsid w:val="00496807"/>
    <w:rsid w:val="00497857"/>
    <w:rsid w:val="00497B29"/>
    <w:rsid w:val="00497C2F"/>
    <w:rsid w:val="004A230E"/>
    <w:rsid w:val="004A2C0F"/>
    <w:rsid w:val="004A348A"/>
    <w:rsid w:val="004A3587"/>
    <w:rsid w:val="004A3BBE"/>
    <w:rsid w:val="004A3E68"/>
    <w:rsid w:val="004A421B"/>
    <w:rsid w:val="004A46C9"/>
    <w:rsid w:val="004A47F3"/>
    <w:rsid w:val="004A5451"/>
    <w:rsid w:val="004A5B7D"/>
    <w:rsid w:val="004A60DC"/>
    <w:rsid w:val="004A6DF4"/>
    <w:rsid w:val="004A6FFC"/>
    <w:rsid w:val="004A71CD"/>
    <w:rsid w:val="004A7791"/>
    <w:rsid w:val="004A77E0"/>
    <w:rsid w:val="004B04CD"/>
    <w:rsid w:val="004B04FC"/>
    <w:rsid w:val="004B18DF"/>
    <w:rsid w:val="004B26B2"/>
    <w:rsid w:val="004B2A33"/>
    <w:rsid w:val="004B3411"/>
    <w:rsid w:val="004B3FD3"/>
    <w:rsid w:val="004B495B"/>
    <w:rsid w:val="004B4A1E"/>
    <w:rsid w:val="004B649B"/>
    <w:rsid w:val="004B6805"/>
    <w:rsid w:val="004B6973"/>
    <w:rsid w:val="004B6B89"/>
    <w:rsid w:val="004B7234"/>
    <w:rsid w:val="004C0405"/>
    <w:rsid w:val="004C0D21"/>
    <w:rsid w:val="004C1CB1"/>
    <w:rsid w:val="004C1FD4"/>
    <w:rsid w:val="004C2281"/>
    <w:rsid w:val="004C23C5"/>
    <w:rsid w:val="004C27EA"/>
    <w:rsid w:val="004C2EFB"/>
    <w:rsid w:val="004C31B8"/>
    <w:rsid w:val="004C324C"/>
    <w:rsid w:val="004C4740"/>
    <w:rsid w:val="004C49EF"/>
    <w:rsid w:val="004C58D8"/>
    <w:rsid w:val="004C5B2A"/>
    <w:rsid w:val="004C6285"/>
    <w:rsid w:val="004C7EC6"/>
    <w:rsid w:val="004D082B"/>
    <w:rsid w:val="004D15D9"/>
    <w:rsid w:val="004D24DB"/>
    <w:rsid w:val="004D2611"/>
    <w:rsid w:val="004D2AED"/>
    <w:rsid w:val="004D2F8C"/>
    <w:rsid w:val="004D30C1"/>
    <w:rsid w:val="004D31A3"/>
    <w:rsid w:val="004D36B9"/>
    <w:rsid w:val="004D54D0"/>
    <w:rsid w:val="004D5BE9"/>
    <w:rsid w:val="004D6FE2"/>
    <w:rsid w:val="004D72CB"/>
    <w:rsid w:val="004E02FB"/>
    <w:rsid w:val="004E077E"/>
    <w:rsid w:val="004E0968"/>
    <w:rsid w:val="004E18FD"/>
    <w:rsid w:val="004E1A72"/>
    <w:rsid w:val="004E1CCD"/>
    <w:rsid w:val="004E26B5"/>
    <w:rsid w:val="004E3082"/>
    <w:rsid w:val="004E31B7"/>
    <w:rsid w:val="004E408D"/>
    <w:rsid w:val="004E4528"/>
    <w:rsid w:val="004E47D3"/>
    <w:rsid w:val="004E482D"/>
    <w:rsid w:val="004E6121"/>
    <w:rsid w:val="004E6928"/>
    <w:rsid w:val="004E6B15"/>
    <w:rsid w:val="004E6DD9"/>
    <w:rsid w:val="004E75F5"/>
    <w:rsid w:val="004F0FDB"/>
    <w:rsid w:val="004F1086"/>
    <w:rsid w:val="004F2BF3"/>
    <w:rsid w:val="004F2D98"/>
    <w:rsid w:val="004F3282"/>
    <w:rsid w:val="004F3A08"/>
    <w:rsid w:val="004F52EC"/>
    <w:rsid w:val="004F58C2"/>
    <w:rsid w:val="004F5B57"/>
    <w:rsid w:val="004F6517"/>
    <w:rsid w:val="004F65E9"/>
    <w:rsid w:val="004F6C85"/>
    <w:rsid w:val="004F7AE5"/>
    <w:rsid w:val="00500437"/>
    <w:rsid w:val="00500C69"/>
    <w:rsid w:val="00502046"/>
    <w:rsid w:val="005031FA"/>
    <w:rsid w:val="0050437B"/>
    <w:rsid w:val="00504592"/>
    <w:rsid w:val="005048D7"/>
    <w:rsid w:val="00505324"/>
    <w:rsid w:val="005074E3"/>
    <w:rsid w:val="005075B1"/>
    <w:rsid w:val="005100C2"/>
    <w:rsid w:val="005113EA"/>
    <w:rsid w:val="005129CA"/>
    <w:rsid w:val="00513178"/>
    <w:rsid w:val="005133AF"/>
    <w:rsid w:val="005136DE"/>
    <w:rsid w:val="0051445B"/>
    <w:rsid w:val="00515D12"/>
    <w:rsid w:val="0051796A"/>
    <w:rsid w:val="00517BB2"/>
    <w:rsid w:val="00520052"/>
    <w:rsid w:val="005200CE"/>
    <w:rsid w:val="00520C5B"/>
    <w:rsid w:val="00520CFE"/>
    <w:rsid w:val="00522012"/>
    <w:rsid w:val="00522391"/>
    <w:rsid w:val="00522514"/>
    <w:rsid w:val="005225E9"/>
    <w:rsid w:val="00524684"/>
    <w:rsid w:val="00525137"/>
    <w:rsid w:val="00525318"/>
    <w:rsid w:val="005259AC"/>
    <w:rsid w:val="00525FCC"/>
    <w:rsid w:val="0052659D"/>
    <w:rsid w:val="00526992"/>
    <w:rsid w:val="0053003F"/>
    <w:rsid w:val="0053077B"/>
    <w:rsid w:val="00530C82"/>
    <w:rsid w:val="00530D44"/>
    <w:rsid w:val="00533B28"/>
    <w:rsid w:val="00534BFE"/>
    <w:rsid w:val="00535182"/>
    <w:rsid w:val="00537623"/>
    <w:rsid w:val="00540FCC"/>
    <w:rsid w:val="00541B00"/>
    <w:rsid w:val="005425B2"/>
    <w:rsid w:val="00542823"/>
    <w:rsid w:val="0054376A"/>
    <w:rsid w:val="00543C7E"/>
    <w:rsid w:val="00544B5D"/>
    <w:rsid w:val="00544DD0"/>
    <w:rsid w:val="005454BA"/>
    <w:rsid w:val="00545D29"/>
    <w:rsid w:val="00546673"/>
    <w:rsid w:val="00547226"/>
    <w:rsid w:val="005508E4"/>
    <w:rsid w:val="00551994"/>
    <w:rsid w:val="00552C0F"/>
    <w:rsid w:val="005532DB"/>
    <w:rsid w:val="0055368C"/>
    <w:rsid w:val="005563AF"/>
    <w:rsid w:val="00557A85"/>
    <w:rsid w:val="00560589"/>
    <w:rsid w:val="00560A35"/>
    <w:rsid w:val="00560DCA"/>
    <w:rsid w:val="00561463"/>
    <w:rsid w:val="00561BAA"/>
    <w:rsid w:val="00561CD1"/>
    <w:rsid w:val="00562113"/>
    <w:rsid w:val="005625D0"/>
    <w:rsid w:val="00564CD7"/>
    <w:rsid w:val="00565608"/>
    <w:rsid w:val="0056572F"/>
    <w:rsid w:val="0056613C"/>
    <w:rsid w:val="0056629C"/>
    <w:rsid w:val="00572EC5"/>
    <w:rsid w:val="0057324F"/>
    <w:rsid w:val="005746C3"/>
    <w:rsid w:val="00574E0F"/>
    <w:rsid w:val="005754B3"/>
    <w:rsid w:val="00575833"/>
    <w:rsid w:val="005758EC"/>
    <w:rsid w:val="00575E6B"/>
    <w:rsid w:val="005766C0"/>
    <w:rsid w:val="0057695B"/>
    <w:rsid w:val="00576E04"/>
    <w:rsid w:val="0057776B"/>
    <w:rsid w:val="00577930"/>
    <w:rsid w:val="00577A2D"/>
    <w:rsid w:val="00577D34"/>
    <w:rsid w:val="00577D75"/>
    <w:rsid w:val="00580295"/>
    <w:rsid w:val="00582384"/>
    <w:rsid w:val="0058241D"/>
    <w:rsid w:val="005829A6"/>
    <w:rsid w:val="005837BB"/>
    <w:rsid w:val="00583816"/>
    <w:rsid w:val="00583917"/>
    <w:rsid w:val="00584903"/>
    <w:rsid w:val="00585942"/>
    <w:rsid w:val="005863B3"/>
    <w:rsid w:val="00586578"/>
    <w:rsid w:val="00590D65"/>
    <w:rsid w:val="0059120F"/>
    <w:rsid w:val="005912AC"/>
    <w:rsid w:val="00591400"/>
    <w:rsid w:val="00591578"/>
    <w:rsid w:val="005917A5"/>
    <w:rsid w:val="005937B2"/>
    <w:rsid w:val="005939BE"/>
    <w:rsid w:val="00593AB4"/>
    <w:rsid w:val="00594C16"/>
    <w:rsid w:val="00595EBD"/>
    <w:rsid w:val="00596619"/>
    <w:rsid w:val="00597364"/>
    <w:rsid w:val="005A033D"/>
    <w:rsid w:val="005A24FE"/>
    <w:rsid w:val="005A2709"/>
    <w:rsid w:val="005A28CB"/>
    <w:rsid w:val="005A31E8"/>
    <w:rsid w:val="005A4408"/>
    <w:rsid w:val="005A4409"/>
    <w:rsid w:val="005A472F"/>
    <w:rsid w:val="005A4B31"/>
    <w:rsid w:val="005A5CBB"/>
    <w:rsid w:val="005A6D80"/>
    <w:rsid w:val="005B0C6D"/>
    <w:rsid w:val="005B1A37"/>
    <w:rsid w:val="005B25B5"/>
    <w:rsid w:val="005B34E0"/>
    <w:rsid w:val="005B4DEE"/>
    <w:rsid w:val="005B4EFF"/>
    <w:rsid w:val="005B54DE"/>
    <w:rsid w:val="005B5AC0"/>
    <w:rsid w:val="005B610C"/>
    <w:rsid w:val="005B643A"/>
    <w:rsid w:val="005B6D74"/>
    <w:rsid w:val="005B7D01"/>
    <w:rsid w:val="005C0460"/>
    <w:rsid w:val="005C063C"/>
    <w:rsid w:val="005C0F12"/>
    <w:rsid w:val="005C1C87"/>
    <w:rsid w:val="005C26A5"/>
    <w:rsid w:val="005C34C3"/>
    <w:rsid w:val="005C4A33"/>
    <w:rsid w:val="005C4A9B"/>
    <w:rsid w:val="005C4EFA"/>
    <w:rsid w:val="005C5998"/>
    <w:rsid w:val="005C5E0A"/>
    <w:rsid w:val="005C67E8"/>
    <w:rsid w:val="005C7017"/>
    <w:rsid w:val="005C788B"/>
    <w:rsid w:val="005C7EDA"/>
    <w:rsid w:val="005D0C85"/>
    <w:rsid w:val="005D2008"/>
    <w:rsid w:val="005D252C"/>
    <w:rsid w:val="005D2C95"/>
    <w:rsid w:val="005D30C1"/>
    <w:rsid w:val="005D468B"/>
    <w:rsid w:val="005D52BA"/>
    <w:rsid w:val="005D6747"/>
    <w:rsid w:val="005D7414"/>
    <w:rsid w:val="005D7703"/>
    <w:rsid w:val="005D7F45"/>
    <w:rsid w:val="005E002F"/>
    <w:rsid w:val="005E303E"/>
    <w:rsid w:val="005E7171"/>
    <w:rsid w:val="005E71EE"/>
    <w:rsid w:val="005F0E29"/>
    <w:rsid w:val="005F0E8E"/>
    <w:rsid w:val="005F1D38"/>
    <w:rsid w:val="005F24AE"/>
    <w:rsid w:val="005F4D6E"/>
    <w:rsid w:val="005F7B41"/>
    <w:rsid w:val="0060122A"/>
    <w:rsid w:val="006015B9"/>
    <w:rsid w:val="00601632"/>
    <w:rsid w:val="00601F8B"/>
    <w:rsid w:val="00601FA1"/>
    <w:rsid w:val="00605238"/>
    <w:rsid w:val="0060549D"/>
    <w:rsid w:val="00605589"/>
    <w:rsid w:val="0060732C"/>
    <w:rsid w:val="00607377"/>
    <w:rsid w:val="00607817"/>
    <w:rsid w:val="00607E07"/>
    <w:rsid w:val="00610717"/>
    <w:rsid w:val="00610CD9"/>
    <w:rsid w:val="00612FE9"/>
    <w:rsid w:val="006152CF"/>
    <w:rsid w:val="006162C5"/>
    <w:rsid w:val="0061693A"/>
    <w:rsid w:val="00616BD0"/>
    <w:rsid w:val="00617C86"/>
    <w:rsid w:val="00617F02"/>
    <w:rsid w:val="00620E39"/>
    <w:rsid w:val="006213D3"/>
    <w:rsid w:val="006234DC"/>
    <w:rsid w:val="00623871"/>
    <w:rsid w:val="00623A74"/>
    <w:rsid w:val="00623BD0"/>
    <w:rsid w:val="006253CB"/>
    <w:rsid w:val="006254D7"/>
    <w:rsid w:val="00630BE2"/>
    <w:rsid w:val="00630CA6"/>
    <w:rsid w:val="00630D7F"/>
    <w:rsid w:val="00631781"/>
    <w:rsid w:val="006318E6"/>
    <w:rsid w:val="006319ED"/>
    <w:rsid w:val="006324B2"/>
    <w:rsid w:val="006326A3"/>
    <w:rsid w:val="0063296E"/>
    <w:rsid w:val="0063381E"/>
    <w:rsid w:val="00633A19"/>
    <w:rsid w:val="00634060"/>
    <w:rsid w:val="00634B5B"/>
    <w:rsid w:val="00634E5D"/>
    <w:rsid w:val="00634F72"/>
    <w:rsid w:val="006350EA"/>
    <w:rsid w:val="00635535"/>
    <w:rsid w:val="0063615D"/>
    <w:rsid w:val="0063708B"/>
    <w:rsid w:val="0064131D"/>
    <w:rsid w:val="0064145C"/>
    <w:rsid w:val="00641810"/>
    <w:rsid w:val="00641EEB"/>
    <w:rsid w:val="00642824"/>
    <w:rsid w:val="00643038"/>
    <w:rsid w:val="00645068"/>
    <w:rsid w:val="00645266"/>
    <w:rsid w:val="00645953"/>
    <w:rsid w:val="006461DD"/>
    <w:rsid w:val="00646C42"/>
    <w:rsid w:val="00647077"/>
    <w:rsid w:val="00650851"/>
    <w:rsid w:val="00650B48"/>
    <w:rsid w:val="00650C27"/>
    <w:rsid w:val="006510BD"/>
    <w:rsid w:val="00651297"/>
    <w:rsid w:val="006519AD"/>
    <w:rsid w:val="00652BDC"/>
    <w:rsid w:val="00652D35"/>
    <w:rsid w:val="00652F94"/>
    <w:rsid w:val="006538F7"/>
    <w:rsid w:val="00654BEB"/>
    <w:rsid w:val="006553B1"/>
    <w:rsid w:val="00655738"/>
    <w:rsid w:val="00655921"/>
    <w:rsid w:val="0065645C"/>
    <w:rsid w:val="00661062"/>
    <w:rsid w:val="006611D8"/>
    <w:rsid w:val="00661D75"/>
    <w:rsid w:val="00663E39"/>
    <w:rsid w:val="00664968"/>
    <w:rsid w:val="00665665"/>
    <w:rsid w:val="00665E72"/>
    <w:rsid w:val="00666103"/>
    <w:rsid w:val="006664B8"/>
    <w:rsid w:val="00670401"/>
    <w:rsid w:val="00670CF9"/>
    <w:rsid w:val="0067337D"/>
    <w:rsid w:val="00673C29"/>
    <w:rsid w:val="00675C9D"/>
    <w:rsid w:val="00676538"/>
    <w:rsid w:val="0067691C"/>
    <w:rsid w:val="00680A52"/>
    <w:rsid w:val="006819A7"/>
    <w:rsid w:val="00681E42"/>
    <w:rsid w:val="00681F18"/>
    <w:rsid w:val="006825E9"/>
    <w:rsid w:val="00682875"/>
    <w:rsid w:val="0068351B"/>
    <w:rsid w:val="006840D5"/>
    <w:rsid w:val="006844A2"/>
    <w:rsid w:val="006846C1"/>
    <w:rsid w:val="00685022"/>
    <w:rsid w:val="00685356"/>
    <w:rsid w:val="00687D4F"/>
    <w:rsid w:val="00687ED6"/>
    <w:rsid w:val="006917C9"/>
    <w:rsid w:val="00691FC2"/>
    <w:rsid w:val="0069262A"/>
    <w:rsid w:val="006927D1"/>
    <w:rsid w:val="00692851"/>
    <w:rsid w:val="006933D5"/>
    <w:rsid w:val="006938BC"/>
    <w:rsid w:val="006950EB"/>
    <w:rsid w:val="006956A7"/>
    <w:rsid w:val="00695882"/>
    <w:rsid w:val="006960D8"/>
    <w:rsid w:val="006973F1"/>
    <w:rsid w:val="006976C2"/>
    <w:rsid w:val="006A01D5"/>
    <w:rsid w:val="006A09B4"/>
    <w:rsid w:val="006A0B3C"/>
    <w:rsid w:val="006A0BFF"/>
    <w:rsid w:val="006A0CE5"/>
    <w:rsid w:val="006A0E18"/>
    <w:rsid w:val="006A145A"/>
    <w:rsid w:val="006A1CCC"/>
    <w:rsid w:val="006A29F2"/>
    <w:rsid w:val="006A361B"/>
    <w:rsid w:val="006A3841"/>
    <w:rsid w:val="006A45C9"/>
    <w:rsid w:val="006A4A37"/>
    <w:rsid w:val="006A4F3F"/>
    <w:rsid w:val="006A53C9"/>
    <w:rsid w:val="006A63F0"/>
    <w:rsid w:val="006A70B7"/>
    <w:rsid w:val="006A733C"/>
    <w:rsid w:val="006B0162"/>
    <w:rsid w:val="006B188E"/>
    <w:rsid w:val="006B29E2"/>
    <w:rsid w:val="006B3AA7"/>
    <w:rsid w:val="006B3B24"/>
    <w:rsid w:val="006B3FCD"/>
    <w:rsid w:val="006B4201"/>
    <w:rsid w:val="006B543C"/>
    <w:rsid w:val="006B600D"/>
    <w:rsid w:val="006B6D13"/>
    <w:rsid w:val="006B7F06"/>
    <w:rsid w:val="006C0744"/>
    <w:rsid w:val="006C1429"/>
    <w:rsid w:val="006C1637"/>
    <w:rsid w:val="006C317E"/>
    <w:rsid w:val="006C5845"/>
    <w:rsid w:val="006C6048"/>
    <w:rsid w:val="006C6347"/>
    <w:rsid w:val="006C6938"/>
    <w:rsid w:val="006C6B0C"/>
    <w:rsid w:val="006C7810"/>
    <w:rsid w:val="006D054A"/>
    <w:rsid w:val="006D056F"/>
    <w:rsid w:val="006D0715"/>
    <w:rsid w:val="006D0F58"/>
    <w:rsid w:val="006D1338"/>
    <w:rsid w:val="006D187B"/>
    <w:rsid w:val="006D2D11"/>
    <w:rsid w:val="006D5004"/>
    <w:rsid w:val="006D673A"/>
    <w:rsid w:val="006D69C5"/>
    <w:rsid w:val="006D71A2"/>
    <w:rsid w:val="006D7315"/>
    <w:rsid w:val="006D76F7"/>
    <w:rsid w:val="006E00BC"/>
    <w:rsid w:val="006E295E"/>
    <w:rsid w:val="006E356E"/>
    <w:rsid w:val="006E5592"/>
    <w:rsid w:val="006E619A"/>
    <w:rsid w:val="006F0BE7"/>
    <w:rsid w:val="006F2A61"/>
    <w:rsid w:val="006F3BD7"/>
    <w:rsid w:val="006F46D1"/>
    <w:rsid w:val="006F47F0"/>
    <w:rsid w:val="006F768C"/>
    <w:rsid w:val="006F772E"/>
    <w:rsid w:val="007004CE"/>
    <w:rsid w:val="00702A0D"/>
    <w:rsid w:val="00703003"/>
    <w:rsid w:val="007040DC"/>
    <w:rsid w:val="0070469B"/>
    <w:rsid w:val="00704B2F"/>
    <w:rsid w:val="00704B72"/>
    <w:rsid w:val="0070521C"/>
    <w:rsid w:val="00705358"/>
    <w:rsid w:val="007057D1"/>
    <w:rsid w:val="00705DC9"/>
    <w:rsid w:val="00705FEC"/>
    <w:rsid w:val="00706509"/>
    <w:rsid w:val="00706FBA"/>
    <w:rsid w:val="0070704C"/>
    <w:rsid w:val="0070725C"/>
    <w:rsid w:val="00707813"/>
    <w:rsid w:val="007100B6"/>
    <w:rsid w:val="00710CF3"/>
    <w:rsid w:val="007117CE"/>
    <w:rsid w:val="00711BC5"/>
    <w:rsid w:val="00712708"/>
    <w:rsid w:val="00713024"/>
    <w:rsid w:val="00715142"/>
    <w:rsid w:val="0071571A"/>
    <w:rsid w:val="00715FA5"/>
    <w:rsid w:val="00716D4B"/>
    <w:rsid w:val="00720946"/>
    <w:rsid w:val="00720CBA"/>
    <w:rsid w:val="00721304"/>
    <w:rsid w:val="007214CD"/>
    <w:rsid w:val="007218EB"/>
    <w:rsid w:val="00723050"/>
    <w:rsid w:val="00724D02"/>
    <w:rsid w:val="00725599"/>
    <w:rsid w:val="00726940"/>
    <w:rsid w:val="00726A77"/>
    <w:rsid w:val="00726CCB"/>
    <w:rsid w:val="00726EFD"/>
    <w:rsid w:val="00730608"/>
    <w:rsid w:val="00731F2F"/>
    <w:rsid w:val="00731FA9"/>
    <w:rsid w:val="00732688"/>
    <w:rsid w:val="00732C04"/>
    <w:rsid w:val="0073318E"/>
    <w:rsid w:val="00733777"/>
    <w:rsid w:val="00734092"/>
    <w:rsid w:val="00735492"/>
    <w:rsid w:val="007363A8"/>
    <w:rsid w:val="00737632"/>
    <w:rsid w:val="007379F6"/>
    <w:rsid w:val="00737E4B"/>
    <w:rsid w:val="00737F35"/>
    <w:rsid w:val="00740EE1"/>
    <w:rsid w:val="007418EB"/>
    <w:rsid w:val="007427E8"/>
    <w:rsid w:val="00742B19"/>
    <w:rsid w:val="00742E26"/>
    <w:rsid w:val="00743073"/>
    <w:rsid w:val="00743456"/>
    <w:rsid w:val="00746535"/>
    <w:rsid w:val="00747341"/>
    <w:rsid w:val="00747495"/>
    <w:rsid w:val="0074797E"/>
    <w:rsid w:val="00747ACE"/>
    <w:rsid w:val="00750F08"/>
    <w:rsid w:val="00752296"/>
    <w:rsid w:val="007525A1"/>
    <w:rsid w:val="00752E7A"/>
    <w:rsid w:val="00754EBD"/>
    <w:rsid w:val="007558D7"/>
    <w:rsid w:val="00755EF1"/>
    <w:rsid w:val="007576EF"/>
    <w:rsid w:val="00760761"/>
    <w:rsid w:val="007644F1"/>
    <w:rsid w:val="00764D78"/>
    <w:rsid w:val="00765609"/>
    <w:rsid w:val="007656E1"/>
    <w:rsid w:val="00765A66"/>
    <w:rsid w:val="00765EA2"/>
    <w:rsid w:val="00766018"/>
    <w:rsid w:val="00766F39"/>
    <w:rsid w:val="0076711B"/>
    <w:rsid w:val="007678CC"/>
    <w:rsid w:val="00767EC4"/>
    <w:rsid w:val="007700DB"/>
    <w:rsid w:val="00771CF0"/>
    <w:rsid w:val="00774282"/>
    <w:rsid w:val="00774699"/>
    <w:rsid w:val="00774BE5"/>
    <w:rsid w:val="00775BF5"/>
    <w:rsid w:val="0077609C"/>
    <w:rsid w:val="00777128"/>
    <w:rsid w:val="00777358"/>
    <w:rsid w:val="007775ED"/>
    <w:rsid w:val="00777C5F"/>
    <w:rsid w:val="007800B2"/>
    <w:rsid w:val="0078087E"/>
    <w:rsid w:val="00781CFC"/>
    <w:rsid w:val="00782554"/>
    <w:rsid w:val="00782562"/>
    <w:rsid w:val="00782EB7"/>
    <w:rsid w:val="007834A3"/>
    <w:rsid w:val="00784137"/>
    <w:rsid w:val="00784D63"/>
    <w:rsid w:val="00786E61"/>
    <w:rsid w:val="0078725E"/>
    <w:rsid w:val="00787381"/>
    <w:rsid w:val="00787E34"/>
    <w:rsid w:val="00790945"/>
    <w:rsid w:val="00790991"/>
    <w:rsid w:val="00791C6D"/>
    <w:rsid w:val="0079250E"/>
    <w:rsid w:val="00792642"/>
    <w:rsid w:val="00794902"/>
    <w:rsid w:val="00794A8B"/>
    <w:rsid w:val="00797C32"/>
    <w:rsid w:val="00797EF4"/>
    <w:rsid w:val="007A0C1C"/>
    <w:rsid w:val="007A4C67"/>
    <w:rsid w:val="007A50BB"/>
    <w:rsid w:val="007A53C8"/>
    <w:rsid w:val="007A579B"/>
    <w:rsid w:val="007A6B8F"/>
    <w:rsid w:val="007A6DA2"/>
    <w:rsid w:val="007A70E4"/>
    <w:rsid w:val="007A7240"/>
    <w:rsid w:val="007A73AE"/>
    <w:rsid w:val="007A7806"/>
    <w:rsid w:val="007A7F7B"/>
    <w:rsid w:val="007B07E8"/>
    <w:rsid w:val="007B0A76"/>
    <w:rsid w:val="007B1B03"/>
    <w:rsid w:val="007B236E"/>
    <w:rsid w:val="007B32EB"/>
    <w:rsid w:val="007B4A37"/>
    <w:rsid w:val="007B6F44"/>
    <w:rsid w:val="007B72DB"/>
    <w:rsid w:val="007C0435"/>
    <w:rsid w:val="007C1BBF"/>
    <w:rsid w:val="007C2193"/>
    <w:rsid w:val="007C2838"/>
    <w:rsid w:val="007C3463"/>
    <w:rsid w:val="007C4669"/>
    <w:rsid w:val="007C4E39"/>
    <w:rsid w:val="007C50D7"/>
    <w:rsid w:val="007C5EDA"/>
    <w:rsid w:val="007C78A2"/>
    <w:rsid w:val="007C7CF5"/>
    <w:rsid w:val="007C7DB9"/>
    <w:rsid w:val="007D04C5"/>
    <w:rsid w:val="007D23B3"/>
    <w:rsid w:val="007D352B"/>
    <w:rsid w:val="007D3E3E"/>
    <w:rsid w:val="007D4B9B"/>
    <w:rsid w:val="007D5384"/>
    <w:rsid w:val="007D5905"/>
    <w:rsid w:val="007D6129"/>
    <w:rsid w:val="007D6CFA"/>
    <w:rsid w:val="007D7495"/>
    <w:rsid w:val="007D75A7"/>
    <w:rsid w:val="007D7DF5"/>
    <w:rsid w:val="007E0CF0"/>
    <w:rsid w:val="007E1866"/>
    <w:rsid w:val="007E27BC"/>
    <w:rsid w:val="007E329D"/>
    <w:rsid w:val="007E6405"/>
    <w:rsid w:val="007E67FE"/>
    <w:rsid w:val="007E79F3"/>
    <w:rsid w:val="007E7DCA"/>
    <w:rsid w:val="007F188B"/>
    <w:rsid w:val="007F1FEA"/>
    <w:rsid w:val="007F2628"/>
    <w:rsid w:val="007F2AAB"/>
    <w:rsid w:val="007F43F2"/>
    <w:rsid w:val="007F47DD"/>
    <w:rsid w:val="007F5383"/>
    <w:rsid w:val="007F53BF"/>
    <w:rsid w:val="007F69B5"/>
    <w:rsid w:val="007F74E3"/>
    <w:rsid w:val="00801485"/>
    <w:rsid w:val="008026EC"/>
    <w:rsid w:val="00802B98"/>
    <w:rsid w:val="00803F8F"/>
    <w:rsid w:val="008045DD"/>
    <w:rsid w:val="00806787"/>
    <w:rsid w:val="00806A59"/>
    <w:rsid w:val="00806D43"/>
    <w:rsid w:val="00806D64"/>
    <w:rsid w:val="00806EEA"/>
    <w:rsid w:val="00806FA3"/>
    <w:rsid w:val="008074D3"/>
    <w:rsid w:val="00810359"/>
    <w:rsid w:val="0081046F"/>
    <w:rsid w:val="00810EEB"/>
    <w:rsid w:val="008138F2"/>
    <w:rsid w:val="00813E1C"/>
    <w:rsid w:val="00813F07"/>
    <w:rsid w:val="0081425C"/>
    <w:rsid w:val="00815739"/>
    <w:rsid w:val="00815E37"/>
    <w:rsid w:val="0081668B"/>
    <w:rsid w:val="0081705A"/>
    <w:rsid w:val="00817881"/>
    <w:rsid w:val="00817CD7"/>
    <w:rsid w:val="00820BAE"/>
    <w:rsid w:val="00821228"/>
    <w:rsid w:val="008230CE"/>
    <w:rsid w:val="0082326F"/>
    <w:rsid w:val="00827549"/>
    <w:rsid w:val="00827D77"/>
    <w:rsid w:val="008300BF"/>
    <w:rsid w:val="00830116"/>
    <w:rsid w:val="00830D81"/>
    <w:rsid w:val="0083123E"/>
    <w:rsid w:val="00831A74"/>
    <w:rsid w:val="00831C83"/>
    <w:rsid w:val="00834577"/>
    <w:rsid w:val="008356D9"/>
    <w:rsid w:val="0083593B"/>
    <w:rsid w:val="00837255"/>
    <w:rsid w:val="00840107"/>
    <w:rsid w:val="00840583"/>
    <w:rsid w:val="0084081C"/>
    <w:rsid w:val="00840AD0"/>
    <w:rsid w:val="00840E97"/>
    <w:rsid w:val="00841587"/>
    <w:rsid w:val="00841CEB"/>
    <w:rsid w:val="0084391B"/>
    <w:rsid w:val="00844BF2"/>
    <w:rsid w:val="00844C0C"/>
    <w:rsid w:val="0084513E"/>
    <w:rsid w:val="00845964"/>
    <w:rsid w:val="008462F7"/>
    <w:rsid w:val="008465AB"/>
    <w:rsid w:val="008473F0"/>
    <w:rsid w:val="008500ED"/>
    <w:rsid w:val="0085065C"/>
    <w:rsid w:val="00851EAA"/>
    <w:rsid w:val="008534B7"/>
    <w:rsid w:val="008546EB"/>
    <w:rsid w:val="008546FB"/>
    <w:rsid w:val="008549EB"/>
    <w:rsid w:val="008557B2"/>
    <w:rsid w:val="00855945"/>
    <w:rsid w:val="00857F80"/>
    <w:rsid w:val="008602F7"/>
    <w:rsid w:val="0086071E"/>
    <w:rsid w:val="00861CA2"/>
    <w:rsid w:val="00863099"/>
    <w:rsid w:val="008630E5"/>
    <w:rsid w:val="00863B9D"/>
    <w:rsid w:val="0086589F"/>
    <w:rsid w:val="00865A61"/>
    <w:rsid w:val="00866DA2"/>
    <w:rsid w:val="00867E51"/>
    <w:rsid w:val="008700D8"/>
    <w:rsid w:val="00870D0F"/>
    <w:rsid w:val="0087241F"/>
    <w:rsid w:val="00872D86"/>
    <w:rsid w:val="008733E6"/>
    <w:rsid w:val="00875263"/>
    <w:rsid w:val="0087553C"/>
    <w:rsid w:val="00875EE7"/>
    <w:rsid w:val="008763BF"/>
    <w:rsid w:val="00880367"/>
    <w:rsid w:val="00880448"/>
    <w:rsid w:val="00881112"/>
    <w:rsid w:val="00882276"/>
    <w:rsid w:val="0088479A"/>
    <w:rsid w:val="00884C7C"/>
    <w:rsid w:val="00885EF8"/>
    <w:rsid w:val="00885F4A"/>
    <w:rsid w:val="00890122"/>
    <w:rsid w:val="00890681"/>
    <w:rsid w:val="0089226D"/>
    <w:rsid w:val="00892E86"/>
    <w:rsid w:val="008939D9"/>
    <w:rsid w:val="00894D37"/>
    <w:rsid w:val="0089522B"/>
    <w:rsid w:val="00895444"/>
    <w:rsid w:val="00895EEA"/>
    <w:rsid w:val="008960D1"/>
    <w:rsid w:val="00897029"/>
    <w:rsid w:val="00897587"/>
    <w:rsid w:val="008A00B3"/>
    <w:rsid w:val="008A159A"/>
    <w:rsid w:val="008A1AC6"/>
    <w:rsid w:val="008A1D00"/>
    <w:rsid w:val="008A1E75"/>
    <w:rsid w:val="008A242B"/>
    <w:rsid w:val="008A2F9F"/>
    <w:rsid w:val="008A43AF"/>
    <w:rsid w:val="008A462C"/>
    <w:rsid w:val="008A53FB"/>
    <w:rsid w:val="008A6CC2"/>
    <w:rsid w:val="008A70DD"/>
    <w:rsid w:val="008A753C"/>
    <w:rsid w:val="008B16AA"/>
    <w:rsid w:val="008B2401"/>
    <w:rsid w:val="008B2FD6"/>
    <w:rsid w:val="008B38DC"/>
    <w:rsid w:val="008B3949"/>
    <w:rsid w:val="008B42BE"/>
    <w:rsid w:val="008B4DB3"/>
    <w:rsid w:val="008B5609"/>
    <w:rsid w:val="008B56E7"/>
    <w:rsid w:val="008B67A9"/>
    <w:rsid w:val="008B7CA9"/>
    <w:rsid w:val="008C02A1"/>
    <w:rsid w:val="008C1EFF"/>
    <w:rsid w:val="008C3DEE"/>
    <w:rsid w:val="008C434C"/>
    <w:rsid w:val="008C49B6"/>
    <w:rsid w:val="008C4FE3"/>
    <w:rsid w:val="008C5F03"/>
    <w:rsid w:val="008C6A48"/>
    <w:rsid w:val="008C7136"/>
    <w:rsid w:val="008C77CA"/>
    <w:rsid w:val="008D0A8D"/>
    <w:rsid w:val="008D0ACA"/>
    <w:rsid w:val="008D11D9"/>
    <w:rsid w:val="008D1E20"/>
    <w:rsid w:val="008D3514"/>
    <w:rsid w:val="008D584B"/>
    <w:rsid w:val="008D5AD8"/>
    <w:rsid w:val="008D6586"/>
    <w:rsid w:val="008D6AF9"/>
    <w:rsid w:val="008D7191"/>
    <w:rsid w:val="008D7345"/>
    <w:rsid w:val="008D7E11"/>
    <w:rsid w:val="008E0128"/>
    <w:rsid w:val="008E012F"/>
    <w:rsid w:val="008E1CA5"/>
    <w:rsid w:val="008E209D"/>
    <w:rsid w:val="008E28E2"/>
    <w:rsid w:val="008E2E4C"/>
    <w:rsid w:val="008E35F7"/>
    <w:rsid w:val="008E4710"/>
    <w:rsid w:val="008E47AD"/>
    <w:rsid w:val="008E546D"/>
    <w:rsid w:val="008E581F"/>
    <w:rsid w:val="008E5F57"/>
    <w:rsid w:val="008E646C"/>
    <w:rsid w:val="008E6637"/>
    <w:rsid w:val="008E68E0"/>
    <w:rsid w:val="008F000C"/>
    <w:rsid w:val="008F056A"/>
    <w:rsid w:val="008F0A6A"/>
    <w:rsid w:val="008F1C84"/>
    <w:rsid w:val="008F1FE2"/>
    <w:rsid w:val="008F2E3D"/>
    <w:rsid w:val="008F53B2"/>
    <w:rsid w:val="008F7528"/>
    <w:rsid w:val="008F7A5F"/>
    <w:rsid w:val="0090082D"/>
    <w:rsid w:val="00900863"/>
    <w:rsid w:val="00900B53"/>
    <w:rsid w:val="00904094"/>
    <w:rsid w:val="00905E88"/>
    <w:rsid w:val="009102F4"/>
    <w:rsid w:val="009106FA"/>
    <w:rsid w:val="009110F9"/>
    <w:rsid w:val="0091131A"/>
    <w:rsid w:val="0091178B"/>
    <w:rsid w:val="00911EC0"/>
    <w:rsid w:val="00915AE3"/>
    <w:rsid w:val="009160E4"/>
    <w:rsid w:val="009161AD"/>
    <w:rsid w:val="00916B3C"/>
    <w:rsid w:val="00917066"/>
    <w:rsid w:val="00917437"/>
    <w:rsid w:val="00917CD9"/>
    <w:rsid w:val="009226D0"/>
    <w:rsid w:val="00922B4F"/>
    <w:rsid w:val="00922FDB"/>
    <w:rsid w:val="00924A79"/>
    <w:rsid w:val="009252EB"/>
    <w:rsid w:val="0092572F"/>
    <w:rsid w:val="0093020F"/>
    <w:rsid w:val="00931101"/>
    <w:rsid w:val="00931688"/>
    <w:rsid w:val="0093176B"/>
    <w:rsid w:val="00932507"/>
    <w:rsid w:val="00932FAF"/>
    <w:rsid w:val="009337F2"/>
    <w:rsid w:val="0093489D"/>
    <w:rsid w:val="00934F14"/>
    <w:rsid w:val="00936752"/>
    <w:rsid w:val="00936E8E"/>
    <w:rsid w:val="00937C06"/>
    <w:rsid w:val="009400E2"/>
    <w:rsid w:val="00940695"/>
    <w:rsid w:val="00940AAE"/>
    <w:rsid w:val="00943E51"/>
    <w:rsid w:val="00944B3A"/>
    <w:rsid w:val="009502AA"/>
    <w:rsid w:val="00950931"/>
    <w:rsid w:val="0095125D"/>
    <w:rsid w:val="009514EC"/>
    <w:rsid w:val="00951C57"/>
    <w:rsid w:val="00951E8A"/>
    <w:rsid w:val="00951EF5"/>
    <w:rsid w:val="009521C3"/>
    <w:rsid w:val="0095279D"/>
    <w:rsid w:val="00953744"/>
    <w:rsid w:val="00953B0E"/>
    <w:rsid w:val="00954242"/>
    <w:rsid w:val="00954A18"/>
    <w:rsid w:val="0095530B"/>
    <w:rsid w:val="0095557C"/>
    <w:rsid w:val="00955D2E"/>
    <w:rsid w:val="00956FCF"/>
    <w:rsid w:val="00957A08"/>
    <w:rsid w:val="00960AE0"/>
    <w:rsid w:val="00960CA4"/>
    <w:rsid w:val="009615A4"/>
    <w:rsid w:val="00962059"/>
    <w:rsid w:val="009628CB"/>
    <w:rsid w:val="00963F65"/>
    <w:rsid w:val="0096507D"/>
    <w:rsid w:val="009659B0"/>
    <w:rsid w:val="00966A46"/>
    <w:rsid w:val="00967790"/>
    <w:rsid w:val="00967E5D"/>
    <w:rsid w:val="00970500"/>
    <w:rsid w:val="009707B8"/>
    <w:rsid w:val="00970B36"/>
    <w:rsid w:val="009711EA"/>
    <w:rsid w:val="00971F43"/>
    <w:rsid w:val="00972CCF"/>
    <w:rsid w:val="0097365C"/>
    <w:rsid w:val="00976497"/>
    <w:rsid w:val="00977501"/>
    <w:rsid w:val="00977D06"/>
    <w:rsid w:val="009800DD"/>
    <w:rsid w:val="0098019A"/>
    <w:rsid w:val="00980A33"/>
    <w:rsid w:val="00981FCD"/>
    <w:rsid w:val="00982B20"/>
    <w:rsid w:val="00982E9B"/>
    <w:rsid w:val="009831F8"/>
    <w:rsid w:val="00983516"/>
    <w:rsid w:val="009838CF"/>
    <w:rsid w:val="00985A9A"/>
    <w:rsid w:val="00985D54"/>
    <w:rsid w:val="009867BB"/>
    <w:rsid w:val="0098725D"/>
    <w:rsid w:val="00987E38"/>
    <w:rsid w:val="00990257"/>
    <w:rsid w:val="00990AC5"/>
    <w:rsid w:val="00991DB0"/>
    <w:rsid w:val="00991FBC"/>
    <w:rsid w:val="00992007"/>
    <w:rsid w:val="00992F66"/>
    <w:rsid w:val="0099315B"/>
    <w:rsid w:val="00993C29"/>
    <w:rsid w:val="00994130"/>
    <w:rsid w:val="00994158"/>
    <w:rsid w:val="009941A5"/>
    <w:rsid w:val="00994B23"/>
    <w:rsid w:val="00994FA7"/>
    <w:rsid w:val="00995817"/>
    <w:rsid w:val="00995BC1"/>
    <w:rsid w:val="00996184"/>
    <w:rsid w:val="00996844"/>
    <w:rsid w:val="00996C2E"/>
    <w:rsid w:val="00997C2A"/>
    <w:rsid w:val="009A0F79"/>
    <w:rsid w:val="009A1144"/>
    <w:rsid w:val="009A1767"/>
    <w:rsid w:val="009A1D44"/>
    <w:rsid w:val="009A2C09"/>
    <w:rsid w:val="009A3A8F"/>
    <w:rsid w:val="009A4D61"/>
    <w:rsid w:val="009A4E82"/>
    <w:rsid w:val="009A524C"/>
    <w:rsid w:val="009A526E"/>
    <w:rsid w:val="009A5295"/>
    <w:rsid w:val="009A532C"/>
    <w:rsid w:val="009A63B1"/>
    <w:rsid w:val="009A654F"/>
    <w:rsid w:val="009A75BB"/>
    <w:rsid w:val="009B0256"/>
    <w:rsid w:val="009B162C"/>
    <w:rsid w:val="009B16A2"/>
    <w:rsid w:val="009B1BC5"/>
    <w:rsid w:val="009B310E"/>
    <w:rsid w:val="009B31DF"/>
    <w:rsid w:val="009B4765"/>
    <w:rsid w:val="009B4D01"/>
    <w:rsid w:val="009B5143"/>
    <w:rsid w:val="009B56B1"/>
    <w:rsid w:val="009B64FB"/>
    <w:rsid w:val="009B6A22"/>
    <w:rsid w:val="009B705D"/>
    <w:rsid w:val="009C0B20"/>
    <w:rsid w:val="009C0B41"/>
    <w:rsid w:val="009C0F9D"/>
    <w:rsid w:val="009C172E"/>
    <w:rsid w:val="009C243B"/>
    <w:rsid w:val="009C2A03"/>
    <w:rsid w:val="009C2EE7"/>
    <w:rsid w:val="009C3364"/>
    <w:rsid w:val="009C4296"/>
    <w:rsid w:val="009C46AE"/>
    <w:rsid w:val="009C4F43"/>
    <w:rsid w:val="009C6209"/>
    <w:rsid w:val="009C6AFA"/>
    <w:rsid w:val="009D0445"/>
    <w:rsid w:val="009D0DB9"/>
    <w:rsid w:val="009D229F"/>
    <w:rsid w:val="009D24EA"/>
    <w:rsid w:val="009D2678"/>
    <w:rsid w:val="009D4187"/>
    <w:rsid w:val="009D4AAA"/>
    <w:rsid w:val="009D4F70"/>
    <w:rsid w:val="009D772D"/>
    <w:rsid w:val="009D7A9D"/>
    <w:rsid w:val="009D7B0B"/>
    <w:rsid w:val="009E18FC"/>
    <w:rsid w:val="009E3322"/>
    <w:rsid w:val="009E360F"/>
    <w:rsid w:val="009E5B63"/>
    <w:rsid w:val="009E5FF2"/>
    <w:rsid w:val="009E70A5"/>
    <w:rsid w:val="009F0D74"/>
    <w:rsid w:val="009F1CF9"/>
    <w:rsid w:val="009F1D82"/>
    <w:rsid w:val="009F3107"/>
    <w:rsid w:val="009F3EBD"/>
    <w:rsid w:val="009F4BC3"/>
    <w:rsid w:val="009F6442"/>
    <w:rsid w:val="00A01987"/>
    <w:rsid w:val="00A01EF0"/>
    <w:rsid w:val="00A02F23"/>
    <w:rsid w:val="00A03F72"/>
    <w:rsid w:val="00A05155"/>
    <w:rsid w:val="00A0532D"/>
    <w:rsid w:val="00A05451"/>
    <w:rsid w:val="00A0572D"/>
    <w:rsid w:val="00A068C5"/>
    <w:rsid w:val="00A07085"/>
    <w:rsid w:val="00A07520"/>
    <w:rsid w:val="00A07571"/>
    <w:rsid w:val="00A102B9"/>
    <w:rsid w:val="00A121C3"/>
    <w:rsid w:val="00A136D0"/>
    <w:rsid w:val="00A13FA0"/>
    <w:rsid w:val="00A142DA"/>
    <w:rsid w:val="00A1492F"/>
    <w:rsid w:val="00A157D6"/>
    <w:rsid w:val="00A17219"/>
    <w:rsid w:val="00A17A78"/>
    <w:rsid w:val="00A2001F"/>
    <w:rsid w:val="00A22B8F"/>
    <w:rsid w:val="00A22F4E"/>
    <w:rsid w:val="00A233DD"/>
    <w:rsid w:val="00A23947"/>
    <w:rsid w:val="00A251F5"/>
    <w:rsid w:val="00A25827"/>
    <w:rsid w:val="00A26B04"/>
    <w:rsid w:val="00A27542"/>
    <w:rsid w:val="00A2757C"/>
    <w:rsid w:val="00A27BF4"/>
    <w:rsid w:val="00A27DE7"/>
    <w:rsid w:val="00A27E01"/>
    <w:rsid w:val="00A321C5"/>
    <w:rsid w:val="00A330E1"/>
    <w:rsid w:val="00A33A19"/>
    <w:rsid w:val="00A3606F"/>
    <w:rsid w:val="00A36EAE"/>
    <w:rsid w:val="00A36FA2"/>
    <w:rsid w:val="00A37DBC"/>
    <w:rsid w:val="00A416EE"/>
    <w:rsid w:val="00A41F59"/>
    <w:rsid w:val="00A42459"/>
    <w:rsid w:val="00A42EC7"/>
    <w:rsid w:val="00A43B16"/>
    <w:rsid w:val="00A447BC"/>
    <w:rsid w:val="00A44A76"/>
    <w:rsid w:val="00A44C87"/>
    <w:rsid w:val="00A45A77"/>
    <w:rsid w:val="00A45DC0"/>
    <w:rsid w:val="00A47334"/>
    <w:rsid w:val="00A47BE3"/>
    <w:rsid w:val="00A504D0"/>
    <w:rsid w:val="00A51204"/>
    <w:rsid w:val="00A519A7"/>
    <w:rsid w:val="00A54B95"/>
    <w:rsid w:val="00A55295"/>
    <w:rsid w:val="00A55737"/>
    <w:rsid w:val="00A565FB"/>
    <w:rsid w:val="00A56C55"/>
    <w:rsid w:val="00A574A4"/>
    <w:rsid w:val="00A57FB4"/>
    <w:rsid w:val="00A60588"/>
    <w:rsid w:val="00A6163F"/>
    <w:rsid w:val="00A64480"/>
    <w:rsid w:val="00A65835"/>
    <w:rsid w:val="00A66469"/>
    <w:rsid w:val="00A66F66"/>
    <w:rsid w:val="00A67047"/>
    <w:rsid w:val="00A67336"/>
    <w:rsid w:val="00A6784F"/>
    <w:rsid w:val="00A679C1"/>
    <w:rsid w:val="00A67A2C"/>
    <w:rsid w:val="00A71A74"/>
    <w:rsid w:val="00A71EE1"/>
    <w:rsid w:val="00A7296E"/>
    <w:rsid w:val="00A72D74"/>
    <w:rsid w:val="00A73527"/>
    <w:rsid w:val="00A73699"/>
    <w:rsid w:val="00A736C6"/>
    <w:rsid w:val="00A73835"/>
    <w:rsid w:val="00A76F53"/>
    <w:rsid w:val="00A77513"/>
    <w:rsid w:val="00A778B5"/>
    <w:rsid w:val="00A80CC8"/>
    <w:rsid w:val="00A8110D"/>
    <w:rsid w:val="00A81900"/>
    <w:rsid w:val="00A829F8"/>
    <w:rsid w:val="00A84571"/>
    <w:rsid w:val="00A85A13"/>
    <w:rsid w:val="00A864E8"/>
    <w:rsid w:val="00A86F9C"/>
    <w:rsid w:val="00A87DB7"/>
    <w:rsid w:val="00A90B22"/>
    <w:rsid w:val="00A90E99"/>
    <w:rsid w:val="00A91022"/>
    <w:rsid w:val="00A91D5A"/>
    <w:rsid w:val="00A9216F"/>
    <w:rsid w:val="00A939CA"/>
    <w:rsid w:val="00A943AD"/>
    <w:rsid w:val="00A954CA"/>
    <w:rsid w:val="00A95AC8"/>
    <w:rsid w:val="00A95AD2"/>
    <w:rsid w:val="00A95CC6"/>
    <w:rsid w:val="00A96247"/>
    <w:rsid w:val="00A96512"/>
    <w:rsid w:val="00A965AE"/>
    <w:rsid w:val="00A972B7"/>
    <w:rsid w:val="00AA0722"/>
    <w:rsid w:val="00AA1690"/>
    <w:rsid w:val="00AA1AAB"/>
    <w:rsid w:val="00AA2B1D"/>
    <w:rsid w:val="00AA4B27"/>
    <w:rsid w:val="00AA5716"/>
    <w:rsid w:val="00AA5842"/>
    <w:rsid w:val="00AA5C4E"/>
    <w:rsid w:val="00AA6479"/>
    <w:rsid w:val="00AA7B27"/>
    <w:rsid w:val="00AA7D57"/>
    <w:rsid w:val="00AB1083"/>
    <w:rsid w:val="00AB17BE"/>
    <w:rsid w:val="00AB23A4"/>
    <w:rsid w:val="00AB2421"/>
    <w:rsid w:val="00AB33F9"/>
    <w:rsid w:val="00AB3EF7"/>
    <w:rsid w:val="00AB413A"/>
    <w:rsid w:val="00AB530F"/>
    <w:rsid w:val="00AB5EE3"/>
    <w:rsid w:val="00AC141C"/>
    <w:rsid w:val="00AC1BF8"/>
    <w:rsid w:val="00AC28AC"/>
    <w:rsid w:val="00AC3097"/>
    <w:rsid w:val="00AC3106"/>
    <w:rsid w:val="00AC34AD"/>
    <w:rsid w:val="00AC6644"/>
    <w:rsid w:val="00AC6748"/>
    <w:rsid w:val="00AD05A5"/>
    <w:rsid w:val="00AD1D5E"/>
    <w:rsid w:val="00AD2D8A"/>
    <w:rsid w:val="00AD2E80"/>
    <w:rsid w:val="00AD3CAE"/>
    <w:rsid w:val="00AD451B"/>
    <w:rsid w:val="00AD4E37"/>
    <w:rsid w:val="00AD64C3"/>
    <w:rsid w:val="00AD6C26"/>
    <w:rsid w:val="00AD7F40"/>
    <w:rsid w:val="00AE01DA"/>
    <w:rsid w:val="00AE0598"/>
    <w:rsid w:val="00AE0645"/>
    <w:rsid w:val="00AE108B"/>
    <w:rsid w:val="00AE20E0"/>
    <w:rsid w:val="00AE2712"/>
    <w:rsid w:val="00AE3FB5"/>
    <w:rsid w:val="00AE4A26"/>
    <w:rsid w:val="00AE51E1"/>
    <w:rsid w:val="00AE56C4"/>
    <w:rsid w:val="00AE5CC6"/>
    <w:rsid w:val="00AE6915"/>
    <w:rsid w:val="00AE6E86"/>
    <w:rsid w:val="00AF0165"/>
    <w:rsid w:val="00AF09F8"/>
    <w:rsid w:val="00AF1348"/>
    <w:rsid w:val="00AF199F"/>
    <w:rsid w:val="00AF3014"/>
    <w:rsid w:val="00AF3AE2"/>
    <w:rsid w:val="00AF3CA0"/>
    <w:rsid w:val="00AF433D"/>
    <w:rsid w:val="00AF561D"/>
    <w:rsid w:val="00AF7384"/>
    <w:rsid w:val="00AF7A50"/>
    <w:rsid w:val="00AF7E1C"/>
    <w:rsid w:val="00AF7E3A"/>
    <w:rsid w:val="00B021B2"/>
    <w:rsid w:val="00B03E38"/>
    <w:rsid w:val="00B040DD"/>
    <w:rsid w:val="00B04B65"/>
    <w:rsid w:val="00B04DAD"/>
    <w:rsid w:val="00B053FF"/>
    <w:rsid w:val="00B05D82"/>
    <w:rsid w:val="00B06BFC"/>
    <w:rsid w:val="00B0704F"/>
    <w:rsid w:val="00B07C05"/>
    <w:rsid w:val="00B07D18"/>
    <w:rsid w:val="00B120F8"/>
    <w:rsid w:val="00B1249D"/>
    <w:rsid w:val="00B12756"/>
    <w:rsid w:val="00B13303"/>
    <w:rsid w:val="00B1379E"/>
    <w:rsid w:val="00B13C3F"/>
    <w:rsid w:val="00B149B5"/>
    <w:rsid w:val="00B15470"/>
    <w:rsid w:val="00B15B74"/>
    <w:rsid w:val="00B16134"/>
    <w:rsid w:val="00B20FAD"/>
    <w:rsid w:val="00B21EC8"/>
    <w:rsid w:val="00B2279C"/>
    <w:rsid w:val="00B25760"/>
    <w:rsid w:val="00B25BBF"/>
    <w:rsid w:val="00B273D5"/>
    <w:rsid w:val="00B27F19"/>
    <w:rsid w:val="00B30CBD"/>
    <w:rsid w:val="00B32535"/>
    <w:rsid w:val="00B329DB"/>
    <w:rsid w:val="00B32D4F"/>
    <w:rsid w:val="00B333D4"/>
    <w:rsid w:val="00B3386A"/>
    <w:rsid w:val="00B33B65"/>
    <w:rsid w:val="00B34C39"/>
    <w:rsid w:val="00B35925"/>
    <w:rsid w:val="00B3604E"/>
    <w:rsid w:val="00B36718"/>
    <w:rsid w:val="00B36F96"/>
    <w:rsid w:val="00B41382"/>
    <w:rsid w:val="00B41621"/>
    <w:rsid w:val="00B43B4F"/>
    <w:rsid w:val="00B4425B"/>
    <w:rsid w:val="00B444DB"/>
    <w:rsid w:val="00B44D3E"/>
    <w:rsid w:val="00B4521B"/>
    <w:rsid w:val="00B45C1E"/>
    <w:rsid w:val="00B466C3"/>
    <w:rsid w:val="00B46945"/>
    <w:rsid w:val="00B46BE1"/>
    <w:rsid w:val="00B47F9F"/>
    <w:rsid w:val="00B50071"/>
    <w:rsid w:val="00B509D6"/>
    <w:rsid w:val="00B50B40"/>
    <w:rsid w:val="00B51261"/>
    <w:rsid w:val="00B549E9"/>
    <w:rsid w:val="00B55566"/>
    <w:rsid w:val="00B575BF"/>
    <w:rsid w:val="00B60019"/>
    <w:rsid w:val="00B60358"/>
    <w:rsid w:val="00B60DB5"/>
    <w:rsid w:val="00B6110E"/>
    <w:rsid w:val="00B6210D"/>
    <w:rsid w:val="00B62152"/>
    <w:rsid w:val="00B624C7"/>
    <w:rsid w:val="00B62EDB"/>
    <w:rsid w:val="00B64358"/>
    <w:rsid w:val="00B64917"/>
    <w:rsid w:val="00B65A6B"/>
    <w:rsid w:val="00B66683"/>
    <w:rsid w:val="00B66F80"/>
    <w:rsid w:val="00B67B2D"/>
    <w:rsid w:val="00B70013"/>
    <w:rsid w:val="00B7011A"/>
    <w:rsid w:val="00B702A7"/>
    <w:rsid w:val="00B71D8A"/>
    <w:rsid w:val="00B73915"/>
    <w:rsid w:val="00B73F61"/>
    <w:rsid w:val="00B75B3E"/>
    <w:rsid w:val="00B75C35"/>
    <w:rsid w:val="00B75D16"/>
    <w:rsid w:val="00B75F31"/>
    <w:rsid w:val="00B77496"/>
    <w:rsid w:val="00B774F8"/>
    <w:rsid w:val="00B77B57"/>
    <w:rsid w:val="00B80292"/>
    <w:rsid w:val="00B82A21"/>
    <w:rsid w:val="00B84416"/>
    <w:rsid w:val="00B85838"/>
    <w:rsid w:val="00B8723A"/>
    <w:rsid w:val="00B873C2"/>
    <w:rsid w:val="00B874EC"/>
    <w:rsid w:val="00B8763F"/>
    <w:rsid w:val="00B87B12"/>
    <w:rsid w:val="00B87B24"/>
    <w:rsid w:val="00B87B96"/>
    <w:rsid w:val="00B90846"/>
    <w:rsid w:val="00B92614"/>
    <w:rsid w:val="00B92D87"/>
    <w:rsid w:val="00B93990"/>
    <w:rsid w:val="00B94385"/>
    <w:rsid w:val="00B94CDD"/>
    <w:rsid w:val="00B953DD"/>
    <w:rsid w:val="00B9754C"/>
    <w:rsid w:val="00B97DC5"/>
    <w:rsid w:val="00BA012F"/>
    <w:rsid w:val="00BA06A9"/>
    <w:rsid w:val="00BA0BB1"/>
    <w:rsid w:val="00BA232E"/>
    <w:rsid w:val="00BA2B1A"/>
    <w:rsid w:val="00BA3C4A"/>
    <w:rsid w:val="00BA4F2C"/>
    <w:rsid w:val="00BA7132"/>
    <w:rsid w:val="00BA78E4"/>
    <w:rsid w:val="00BB01D5"/>
    <w:rsid w:val="00BB0BB4"/>
    <w:rsid w:val="00BB0FE6"/>
    <w:rsid w:val="00BB10BE"/>
    <w:rsid w:val="00BB2151"/>
    <w:rsid w:val="00BB25F7"/>
    <w:rsid w:val="00BB52BC"/>
    <w:rsid w:val="00BB5C18"/>
    <w:rsid w:val="00BB71D6"/>
    <w:rsid w:val="00BB7224"/>
    <w:rsid w:val="00BB788A"/>
    <w:rsid w:val="00BB79BD"/>
    <w:rsid w:val="00BC032A"/>
    <w:rsid w:val="00BC14D3"/>
    <w:rsid w:val="00BC17D3"/>
    <w:rsid w:val="00BC1A8F"/>
    <w:rsid w:val="00BC2054"/>
    <w:rsid w:val="00BC2A3C"/>
    <w:rsid w:val="00BC34FB"/>
    <w:rsid w:val="00BC3E26"/>
    <w:rsid w:val="00BC3E59"/>
    <w:rsid w:val="00BC3F65"/>
    <w:rsid w:val="00BC4AE3"/>
    <w:rsid w:val="00BC56CF"/>
    <w:rsid w:val="00BC5A76"/>
    <w:rsid w:val="00BC5E54"/>
    <w:rsid w:val="00BC6789"/>
    <w:rsid w:val="00BC6FB9"/>
    <w:rsid w:val="00BC77B9"/>
    <w:rsid w:val="00BC7856"/>
    <w:rsid w:val="00BD01D3"/>
    <w:rsid w:val="00BD1557"/>
    <w:rsid w:val="00BD18CE"/>
    <w:rsid w:val="00BD19F7"/>
    <w:rsid w:val="00BD1C99"/>
    <w:rsid w:val="00BD1E3C"/>
    <w:rsid w:val="00BD2AE5"/>
    <w:rsid w:val="00BD366E"/>
    <w:rsid w:val="00BD61EA"/>
    <w:rsid w:val="00BD683F"/>
    <w:rsid w:val="00BD7033"/>
    <w:rsid w:val="00BD7F86"/>
    <w:rsid w:val="00BE020D"/>
    <w:rsid w:val="00BE0481"/>
    <w:rsid w:val="00BE0C87"/>
    <w:rsid w:val="00BE1003"/>
    <w:rsid w:val="00BE11F6"/>
    <w:rsid w:val="00BE1693"/>
    <w:rsid w:val="00BE3944"/>
    <w:rsid w:val="00BE5548"/>
    <w:rsid w:val="00BE55EE"/>
    <w:rsid w:val="00BE66B7"/>
    <w:rsid w:val="00BF01BA"/>
    <w:rsid w:val="00BF123E"/>
    <w:rsid w:val="00BF176B"/>
    <w:rsid w:val="00BF1BE9"/>
    <w:rsid w:val="00BF1FF9"/>
    <w:rsid w:val="00BF2CEB"/>
    <w:rsid w:val="00BF38EB"/>
    <w:rsid w:val="00BF3D21"/>
    <w:rsid w:val="00BF52CE"/>
    <w:rsid w:val="00BF533B"/>
    <w:rsid w:val="00BF5C4F"/>
    <w:rsid w:val="00BF5D06"/>
    <w:rsid w:val="00BF7CAE"/>
    <w:rsid w:val="00C002DA"/>
    <w:rsid w:val="00C00B47"/>
    <w:rsid w:val="00C00EF3"/>
    <w:rsid w:val="00C01164"/>
    <w:rsid w:val="00C0194A"/>
    <w:rsid w:val="00C01E0F"/>
    <w:rsid w:val="00C029AB"/>
    <w:rsid w:val="00C02F21"/>
    <w:rsid w:val="00C03147"/>
    <w:rsid w:val="00C033A0"/>
    <w:rsid w:val="00C03465"/>
    <w:rsid w:val="00C038B5"/>
    <w:rsid w:val="00C04314"/>
    <w:rsid w:val="00C047F3"/>
    <w:rsid w:val="00C04BC4"/>
    <w:rsid w:val="00C04DC2"/>
    <w:rsid w:val="00C05032"/>
    <w:rsid w:val="00C052FB"/>
    <w:rsid w:val="00C062BB"/>
    <w:rsid w:val="00C06CF8"/>
    <w:rsid w:val="00C07215"/>
    <w:rsid w:val="00C101C9"/>
    <w:rsid w:val="00C108ED"/>
    <w:rsid w:val="00C10C58"/>
    <w:rsid w:val="00C10E1B"/>
    <w:rsid w:val="00C10EA2"/>
    <w:rsid w:val="00C11A2B"/>
    <w:rsid w:val="00C12571"/>
    <w:rsid w:val="00C1298A"/>
    <w:rsid w:val="00C12DD7"/>
    <w:rsid w:val="00C1330B"/>
    <w:rsid w:val="00C13AEC"/>
    <w:rsid w:val="00C14187"/>
    <w:rsid w:val="00C14625"/>
    <w:rsid w:val="00C16E7B"/>
    <w:rsid w:val="00C17201"/>
    <w:rsid w:val="00C1745E"/>
    <w:rsid w:val="00C17514"/>
    <w:rsid w:val="00C2052F"/>
    <w:rsid w:val="00C2126D"/>
    <w:rsid w:val="00C22389"/>
    <w:rsid w:val="00C233A8"/>
    <w:rsid w:val="00C243BF"/>
    <w:rsid w:val="00C244AC"/>
    <w:rsid w:val="00C24723"/>
    <w:rsid w:val="00C2563C"/>
    <w:rsid w:val="00C25C13"/>
    <w:rsid w:val="00C263F8"/>
    <w:rsid w:val="00C27234"/>
    <w:rsid w:val="00C279E5"/>
    <w:rsid w:val="00C30886"/>
    <w:rsid w:val="00C3092D"/>
    <w:rsid w:val="00C30C53"/>
    <w:rsid w:val="00C3161A"/>
    <w:rsid w:val="00C31FCA"/>
    <w:rsid w:val="00C3253F"/>
    <w:rsid w:val="00C32A79"/>
    <w:rsid w:val="00C32ED0"/>
    <w:rsid w:val="00C32F12"/>
    <w:rsid w:val="00C33568"/>
    <w:rsid w:val="00C34A2D"/>
    <w:rsid w:val="00C34FB1"/>
    <w:rsid w:val="00C350D5"/>
    <w:rsid w:val="00C36959"/>
    <w:rsid w:val="00C370A7"/>
    <w:rsid w:val="00C404E9"/>
    <w:rsid w:val="00C41D2B"/>
    <w:rsid w:val="00C4309B"/>
    <w:rsid w:val="00C4426A"/>
    <w:rsid w:val="00C47761"/>
    <w:rsid w:val="00C47839"/>
    <w:rsid w:val="00C502B9"/>
    <w:rsid w:val="00C5081A"/>
    <w:rsid w:val="00C5186F"/>
    <w:rsid w:val="00C51A5F"/>
    <w:rsid w:val="00C5268E"/>
    <w:rsid w:val="00C52A1D"/>
    <w:rsid w:val="00C52B80"/>
    <w:rsid w:val="00C535F9"/>
    <w:rsid w:val="00C53BB4"/>
    <w:rsid w:val="00C54E73"/>
    <w:rsid w:val="00C54FC6"/>
    <w:rsid w:val="00C55130"/>
    <w:rsid w:val="00C5569D"/>
    <w:rsid w:val="00C55AC6"/>
    <w:rsid w:val="00C5659F"/>
    <w:rsid w:val="00C57718"/>
    <w:rsid w:val="00C60C16"/>
    <w:rsid w:val="00C61427"/>
    <w:rsid w:val="00C61DDE"/>
    <w:rsid w:val="00C62654"/>
    <w:rsid w:val="00C6294F"/>
    <w:rsid w:val="00C62F11"/>
    <w:rsid w:val="00C65277"/>
    <w:rsid w:val="00C66C9A"/>
    <w:rsid w:val="00C70090"/>
    <w:rsid w:val="00C70279"/>
    <w:rsid w:val="00C7118D"/>
    <w:rsid w:val="00C71F70"/>
    <w:rsid w:val="00C72D37"/>
    <w:rsid w:val="00C74A34"/>
    <w:rsid w:val="00C757C6"/>
    <w:rsid w:val="00C76106"/>
    <w:rsid w:val="00C76572"/>
    <w:rsid w:val="00C765BC"/>
    <w:rsid w:val="00C76BC2"/>
    <w:rsid w:val="00C77092"/>
    <w:rsid w:val="00C80123"/>
    <w:rsid w:val="00C80E76"/>
    <w:rsid w:val="00C86B1E"/>
    <w:rsid w:val="00C87027"/>
    <w:rsid w:val="00C87279"/>
    <w:rsid w:val="00C87A92"/>
    <w:rsid w:val="00C87C6C"/>
    <w:rsid w:val="00C90741"/>
    <w:rsid w:val="00C920D5"/>
    <w:rsid w:val="00C929F8"/>
    <w:rsid w:val="00C92CA8"/>
    <w:rsid w:val="00C940C6"/>
    <w:rsid w:val="00C95AC5"/>
    <w:rsid w:val="00C96626"/>
    <w:rsid w:val="00C96682"/>
    <w:rsid w:val="00C96B25"/>
    <w:rsid w:val="00C96D11"/>
    <w:rsid w:val="00C9781F"/>
    <w:rsid w:val="00CA09A3"/>
    <w:rsid w:val="00CA0D2C"/>
    <w:rsid w:val="00CA16A6"/>
    <w:rsid w:val="00CA29F2"/>
    <w:rsid w:val="00CA353D"/>
    <w:rsid w:val="00CA37B2"/>
    <w:rsid w:val="00CA3C71"/>
    <w:rsid w:val="00CA4566"/>
    <w:rsid w:val="00CA536F"/>
    <w:rsid w:val="00CA65B2"/>
    <w:rsid w:val="00CA6727"/>
    <w:rsid w:val="00CA675B"/>
    <w:rsid w:val="00CA78D0"/>
    <w:rsid w:val="00CB14FF"/>
    <w:rsid w:val="00CB1567"/>
    <w:rsid w:val="00CB2D67"/>
    <w:rsid w:val="00CB4813"/>
    <w:rsid w:val="00CB6FB3"/>
    <w:rsid w:val="00CB7798"/>
    <w:rsid w:val="00CB79EF"/>
    <w:rsid w:val="00CC1662"/>
    <w:rsid w:val="00CC17A6"/>
    <w:rsid w:val="00CC1966"/>
    <w:rsid w:val="00CC1EDE"/>
    <w:rsid w:val="00CC317A"/>
    <w:rsid w:val="00CC3304"/>
    <w:rsid w:val="00CC3882"/>
    <w:rsid w:val="00CC3F33"/>
    <w:rsid w:val="00CC45F8"/>
    <w:rsid w:val="00CC4A75"/>
    <w:rsid w:val="00CC5510"/>
    <w:rsid w:val="00CC56C8"/>
    <w:rsid w:val="00CC57AD"/>
    <w:rsid w:val="00CC5F32"/>
    <w:rsid w:val="00CC6891"/>
    <w:rsid w:val="00CC7532"/>
    <w:rsid w:val="00CD0CC1"/>
    <w:rsid w:val="00CD125D"/>
    <w:rsid w:val="00CD1B34"/>
    <w:rsid w:val="00CD23DD"/>
    <w:rsid w:val="00CD3898"/>
    <w:rsid w:val="00CD4850"/>
    <w:rsid w:val="00CD5AF3"/>
    <w:rsid w:val="00CD5D18"/>
    <w:rsid w:val="00CD5E30"/>
    <w:rsid w:val="00CD6B1A"/>
    <w:rsid w:val="00CD7D4C"/>
    <w:rsid w:val="00CE32DA"/>
    <w:rsid w:val="00CE3E5D"/>
    <w:rsid w:val="00CE3E63"/>
    <w:rsid w:val="00CE5525"/>
    <w:rsid w:val="00CE648B"/>
    <w:rsid w:val="00CE6605"/>
    <w:rsid w:val="00CF16D1"/>
    <w:rsid w:val="00CF2859"/>
    <w:rsid w:val="00CF3755"/>
    <w:rsid w:val="00CF4125"/>
    <w:rsid w:val="00CF5B5F"/>
    <w:rsid w:val="00CF653A"/>
    <w:rsid w:val="00CF6AC5"/>
    <w:rsid w:val="00CF72F6"/>
    <w:rsid w:val="00CF76B5"/>
    <w:rsid w:val="00CF77E2"/>
    <w:rsid w:val="00CF7B0C"/>
    <w:rsid w:val="00D0052B"/>
    <w:rsid w:val="00D006BE"/>
    <w:rsid w:val="00D0078B"/>
    <w:rsid w:val="00D0120C"/>
    <w:rsid w:val="00D018B5"/>
    <w:rsid w:val="00D01D2C"/>
    <w:rsid w:val="00D02977"/>
    <w:rsid w:val="00D02A39"/>
    <w:rsid w:val="00D03006"/>
    <w:rsid w:val="00D04654"/>
    <w:rsid w:val="00D05431"/>
    <w:rsid w:val="00D056C7"/>
    <w:rsid w:val="00D05764"/>
    <w:rsid w:val="00D058EE"/>
    <w:rsid w:val="00D05F64"/>
    <w:rsid w:val="00D061E2"/>
    <w:rsid w:val="00D06F9C"/>
    <w:rsid w:val="00D076BF"/>
    <w:rsid w:val="00D07CF5"/>
    <w:rsid w:val="00D07E66"/>
    <w:rsid w:val="00D1063D"/>
    <w:rsid w:val="00D10B77"/>
    <w:rsid w:val="00D10D32"/>
    <w:rsid w:val="00D11227"/>
    <w:rsid w:val="00D13053"/>
    <w:rsid w:val="00D1399A"/>
    <w:rsid w:val="00D13E19"/>
    <w:rsid w:val="00D1496E"/>
    <w:rsid w:val="00D151BC"/>
    <w:rsid w:val="00D15817"/>
    <w:rsid w:val="00D160FC"/>
    <w:rsid w:val="00D165AD"/>
    <w:rsid w:val="00D16CA0"/>
    <w:rsid w:val="00D16F53"/>
    <w:rsid w:val="00D17A42"/>
    <w:rsid w:val="00D17F76"/>
    <w:rsid w:val="00D208CD"/>
    <w:rsid w:val="00D20E28"/>
    <w:rsid w:val="00D20E80"/>
    <w:rsid w:val="00D215AE"/>
    <w:rsid w:val="00D21BFA"/>
    <w:rsid w:val="00D224C0"/>
    <w:rsid w:val="00D233E8"/>
    <w:rsid w:val="00D238CC"/>
    <w:rsid w:val="00D2401D"/>
    <w:rsid w:val="00D24A77"/>
    <w:rsid w:val="00D24BFB"/>
    <w:rsid w:val="00D24EA9"/>
    <w:rsid w:val="00D25AD5"/>
    <w:rsid w:val="00D3029E"/>
    <w:rsid w:val="00D304DF"/>
    <w:rsid w:val="00D30E1D"/>
    <w:rsid w:val="00D338CF"/>
    <w:rsid w:val="00D33E96"/>
    <w:rsid w:val="00D36758"/>
    <w:rsid w:val="00D436D9"/>
    <w:rsid w:val="00D43780"/>
    <w:rsid w:val="00D43D8B"/>
    <w:rsid w:val="00D44B3F"/>
    <w:rsid w:val="00D453DB"/>
    <w:rsid w:val="00D46051"/>
    <w:rsid w:val="00D463D2"/>
    <w:rsid w:val="00D46E24"/>
    <w:rsid w:val="00D47E29"/>
    <w:rsid w:val="00D50981"/>
    <w:rsid w:val="00D50BAE"/>
    <w:rsid w:val="00D52195"/>
    <w:rsid w:val="00D52F09"/>
    <w:rsid w:val="00D5362D"/>
    <w:rsid w:val="00D53D6A"/>
    <w:rsid w:val="00D54B38"/>
    <w:rsid w:val="00D54F44"/>
    <w:rsid w:val="00D55044"/>
    <w:rsid w:val="00D55894"/>
    <w:rsid w:val="00D5753F"/>
    <w:rsid w:val="00D57AE0"/>
    <w:rsid w:val="00D57C6D"/>
    <w:rsid w:val="00D603A9"/>
    <w:rsid w:val="00D639C1"/>
    <w:rsid w:val="00D639F9"/>
    <w:rsid w:val="00D64023"/>
    <w:rsid w:val="00D6482A"/>
    <w:rsid w:val="00D64860"/>
    <w:rsid w:val="00D6722B"/>
    <w:rsid w:val="00D6768C"/>
    <w:rsid w:val="00D70414"/>
    <w:rsid w:val="00D70FFB"/>
    <w:rsid w:val="00D720B1"/>
    <w:rsid w:val="00D7212F"/>
    <w:rsid w:val="00D735AA"/>
    <w:rsid w:val="00D74AFE"/>
    <w:rsid w:val="00D74D23"/>
    <w:rsid w:val="00D753B7"/>
    <w:rsid w:val="00D75643"/>
    <w:rsid w:val="00D7725C"/>
    <w:rsid w:val="00D80CC9"/>
    <w:rsid w:val="00D8101D"/>
    <w:rsid w:val="00D8180D"/>
    <w:rsid w:val="00D81DE9"/>
    <w:rsid w:val="00D824CC"/>
    <w:rsid w:val="00D84B8F"/>
    <w:rsid w:val="00D8635D"/>
    <w:rsid w:val="00D86BB8"/>
    <w:rsid w:val="00D86E33"/>
    <w:rsid w:val="00D900F4"/>
    <w:rsid w:val="00D90322"/>
    <w:rsid w:val="00D9175A"/>
    <w:rsid w:val="00D92395"/>
    <w:rsid w:val="00D92BE8"/>
    <w:rsid w:val="00D93363"/>
    <w:rsid w:val="00D93E8B"/>
    <w:rsid w:val="00D9432D"/>
    <w:rsid w:val="00D9473B"/>
    <w:rsid w:val="00D95E5B"/>
    <w:rsid w:val="00D96AFF"/>
    <w:rsid w:val="00DA0434"/>
    <w:rsid w:val="00DA09FB"/>
    <w:rsid w:val="00DA1975"/>
    <w:rsid w:val="00DA1B21"/>
    <w:rsid w:val="00DA276F"/>
    <w:rsid w:val="00DA2B23"/>
    <w:rsid w:val="00DA2C2E"/>
    <w:rsid w:val="00DA2CC2"/>
    <w:rsid w:val="00DA3539"/>
    <w:rsid w:val="00DA39CC"/>
    <w:rsid w:val="00DA64D7"/>
    <w:rsid w:val="00DA7865"/>
    <w:rsid w:val="00DA7CB7"/>
    <w:rsid w:val="00DB0D77"/>
    <w:rsid w:val="00DB18B4"/>
    <w:rsid w:val="00DB22EE"/>
    <w:rsid w:val="00DB2792"/>
    <w:rsid w:val="00DB33AC"/>
    <w:rsid w:val="00DB36C8"/>
    <w:rsid w:val="00DB4417"/>
    <w:rsid w:val="00DB4A56"/>
    <w:rsid w:val="00DB5FD7"/>
    <w:rsid w:val="00DC28C8"/>
    <w:rsid w:val="00DC44D0"/>
    <w:rsid w:val="00DC6976"/>
    <w:rsid w:val="00DC7474"/>
    <w:rsid w:val="00DC7CBA"/>
    <w:rsid w:val="00DC7CE9"/>
    <w:rsid w:val="00DD1807"/>
    <w:rsid w:val="00DD4441"/>
    <w:rsid w:val="00DD4C2C"/>
    <w:rsid w:val="00DD4DC5"/>
    <w:rsid w:val="00DD53A3"/>
    <w:rsid w:val="00DD56BF"/>
    <w:rsid w:val="00DD6FA8"/>
    <w:rsid w:val="00DD71CC"/>
    <w:rsid w:val="00DE0494"/>
    <w:rsid w:val="00DE163F"/>
    <w:rsid w:val="00DE1A15"/>
    <w:rsid w:val="00DE26F3"/>
    <w:rsid w:val="00DE2829"/>
    <w:rsid w:val="00DE3CDD"/>
    <w:rsid w:val="00DE3D45"/>
    <w:rsid w:val="00DE3DEA"/>
    <w:rsid w:val="00DE5CD2"/>
    <w:rsid w:val="00DE65B1"/>
    <w:rsid w:val="00DE6C57"/>
    <w:rsid w:val="00DE77F4"/>
    <w:rsid w:val="00DE7A13"/>
    <w:rsid w:val="00DF01C8"/>
    <w:rsid w:val="00DF10F7"/>
    <w:rsid w:val="00DF1C7A"/>
    <w:rsid w:val="00DF1E75"/>
    <w:rsid w:val="00DF240A"/>
    <w:rsid w:val="00DF3B52"/>
    <w:rsid w:val="00DF46E7"/>
    <w:rsid w:val="00DF4B72"/>
    <w:rsid w:val="00DF6624"/>
    <w:rsid w:val="00DF671B"/>
    <w:rsid w:val="00DF6B35"/>
    <w:rsid w:val="00DF6E5E"/>
    <w:rsid w:val="00E031EE"/>
    <w:rsid w:val="00E052D4"/>
    <w:rsid w:val="00E0552C"/>
    <w:rsid w:val="00E055EC"/>
    <w:rsid w:val="00E078A7"/>
    <w:rsid w:val="00E101B3"/>
    <w:rsid w:val="00E103DA"/>
    <w:rsid w:val="00E10C91"/>
    <w:rsid w:val="00E11DD7"/>
    <w:rsid w:val="00E1217B"/>
    <w:rsid w:val="00E12330"/>
    <w:rsid w:val="00E14145"/>
    <w:rsid w:val="00E14DA7"/>
    <w:rsid w:val="00E1712B"/>
    <w:rsid w:val="00E17818"/>
    <w:rsid w:val="00E2037B"/>
    <w:rsid w:val="00E20623"/>
    <w:rsid w:val="00E20A06"/>
    <w:rsid w:val="00E216F9"/>
    <w:rsid w:val="00E218A3"/>
    <w:rsid w:val="00E2221B"/>
    <w:rsid w:val="00E23282"/>
    <w:rsid w:val="00E23C72"/>
    <w:rsid w:val="00E261C6"/>
    <w:rsid w:val="00E26EF3"/>
    <w:rsid w:val="00E30201"/>
    <w:rsid w:val="00E308A4"/>
    <w:rsid w:val="00E30C66"/>
    <w:rsid w:val="00E317EE"/>
    <w:rsid w:val="00E32372"/>
    <w:rsid w:val="00E330DB"/>
    <w:rsid w:val="00E33281"/>
    <w:rsid w:val="00E33739"/>
    <w:rsid w:val="00E337DA"/>
    <w:rsid w:val="00E341E1"/>
    <w:rsid w:val="00E36283"/>
    <w:rsid w:val="00E362B9"/>
    <w:rsid w:val="00E37A64"/>
    <w:rsid w:val="00E40AFA"/>
    <w:rsid w:val="00E40B8D"/>
    <w:rsid w:val="00E41FCA"/>
    <w:rsid w:val="00E4213A"/>
    <w:rsid w:val="00E42CE8"/>
    <w:rsid w:val="00E42CF5"/>
    <w:rsid w:val="00E43DFF"/>
    <w:rsid w:val="00E44656"/>
    <w:rsid w:val="00E44776"/>
    <w:rsid w:val="00E44ED7"/>
    <w:rsid w:val="00E45A8B"/>
    <w:rsid w:val="00E45CB0"/>
    <w:rsid w:val="00E4619A"/>
    <w:rsid w:val="00E462F3"/>
    <w:rsid w:val="00E465EF"/>
    <w:rsid w:val="00E46CEA"/>
    <w:rsid w:val="00E46D5B"/>
    <w:rsid w:val="00E477C8"/>
    <w:rsid w:val="00E47D34"/>
    <w:rsid w:val="00E510D2"/>
    <w:rsid w:val="00E51245"/>
    <w:rsid w:val="00E52982"/>
    <w:rsid w:val="00E53381"/>
    <w:rsid w:val="00E53CB9"/>
    <w:rsid w:val="00E53F51"/>
    <w:rsid w:val="00E562B2"/>
    <w:rsid w:val="00E56DE7"/>
    <w:rsid w:val="00E60E28"/>
    <w:rsid w:val="00E62E8C"/>
    <w:rsid w:val="00E634E1"/>
    <w:rsid w:val="00E651B7"/>
    <w:rsid w:val="00E651E5"/>
    <w:rsid w:val="00E655F3"/>
    <w:rsid w:val="00E66559"/>
    <w:rsid w:val="00E704D3"/>
    <w:rsid w:val="00E70C97"/>
    <w:rsid w:val="00E725F0"/>
    <w:rsid w:val="00E7288D"/>
    <w:rsid w:val="00E736BA"/>
    <w:rsid w:val="00E73929"/>
    <w:rsid w:val="00E745AD"/>
    <w:rsid w:val="00E76D88"/>
    <w:rsid w:val="00E76DDD"/>
    <w:rsid w:val="00E775C8"/>
    <w:rsid w:val="00E777A6"/>
    <w:rsid w:val="00E83D4A"/>
    <w:rsid w:val="00E84397"/>
    <w:rsid w:val="00E847FE"/>
    <w:rsid w:val="00E8515F"/>
    <w:rsid w:val="00E85877"/>
    <w:rsid w:val="00E85D23"/>
    <w:rsid w:val="00E85E4C"/>
    <w:rsid w:val="00E90AA2"/>
    <w:rsid w:val="00E932DE"/>
    <w:rsid w:val="00E94E2A"/>
    <w:rsid w:val="00E950C8"/>
    <w:rsid w:val="00E9648F"/>
    <w:rsid w:val="00E97019"/>
    <w:rsid w:val="00EA092F"/>
    <w:rsid w:val="00EA1108"/>
    <w:rsid w:val="00EA1B7E"/>
    <w:rsid w:val="00EA3499"/>
    <w:rsid w:val="00EA497B"/>
    <w:rsid w:val="00EA4F19"/>
    <w:rsid w:val="00EA65D6"/>
    <w:rsid w:val="00EB0007"/>
    <w:rsid w:val="00EB005C"/>
    <w:rsid w:val="00EB0C6F"/>
    <w:rsid w:val="00EB15E8"/>
    <w:rsid w:val="00EB2133"/>
    <w:rsid w:val="00EB3F9D"/>
    <w:rsid w:val="00EB41DE"/>
    <w:rsid w:val="00EB6B96"/>
    <w:rsid w:val="00EB733B"/>
    <w:rsid w:val="00EC0E5B"/>
    <w:rsid w:val="00EC205D"/>
    <w:rsid w:val="00EC28F2"/>
    <w:rsid w:val="00EC2C2B"/>
    <w:rsid w:val="00EC3237"/>
    <w:rsid w:val="00EC3E9E"/>
    <w:rsid w:val="00EC4182"/>
    <w:rsid w:val="00EC452C"/>
    <w:rsid w:val="00EC4637"/>
    <w:rsid w:val="00EC4C33"/>
    <w:rsid w:val="00EC5E4D"/>
    <w:rsid w:val="00EC6A48"/>
    <w:rsid w:val="00EC6C82"/>
    <w:rsid w:val="00EC7266"/>
    <w:rsid w:val="00ED006F"/>
    <w:rsid w:val="00ED1577"/>
    <w:rsid w:val="00ED1657"/>
    <w:rsid w:val="00ED2249"/>
    <w:rsid w:val="00ED5460"/>
    <w:rsid w:val="00ED5A5B"/>
    <w:rsid w:val="00ED61FD"/>
    <w:rsid w:val="00ED7994"/>
    <w:rsid w:val="00EE01DE"/>
    <w:rsid w:val="00EE07FF"/>
    <w:rsid w:val="00EE11E0"/>
    <w:rsid w:val="00EE1BAF"/>
    <w:rsid w:val="00EE3176"/>
    <w:rsid w:val="00EE3187"/>
    <w:rsid w:val="00EE3222"/>
    <w:rsid w:val="00EE5B79"/>
    <w:rsid w:val="00EE6669"/>
    <w:rsid w:val="00EE6C76"/>
    <w:rsid w:val="00EE708C"/>
    <w:rsid w:val="00EE75DA"/>
    <w:rsid w:val="00EF024C"/>
    <w:rsid w:val="00EF0CA0"/>
    <w:rsid w:val="00EF113F"/>
    <w:rsid w:val="00EF18E6"/>
    <w:rsid w:val="00EF2B02"/>
    <w:rsid w:val="00EF41AB"/>
    <w:rsid w:val="00EF6BD4"/>
    <w:rsid w:val="00EF6D04"/>
    <w:rsid w:val="00EF7181"/>
    <w:rsid w:val="00EF7985"/>
    <w:rsid w:val="00F0059B"/>
    <w:rsid w:val="00F00820"/>
    <w:rsid w:val="00F01BBA"/>
    <w:rsid w:val="00F01D0B"/>
    <w:rsid w:val="00F026EC"/>
    <w:rsid w:val="00F04C2C"/>
    <w:rsid w:val="00F0528F"/>
    <w:rsid w:val="00F07E52"/>
    <w:rsid w:val="00F10081"/>
    <w:rsid w:val="00F11F5E"/>
    <w:rsid w:val="00F13875"/>
    <w:rsid w:val="00F1487B"/>
    <w:rsid w:val="00F162A3"/>
    <w:rsid w:val="00F1649D"/>
    <w:rsid w:val="00F165A6"/>
    <w:rsid w:val="00F2011C"/>
    <w:rsid w:val="00F20D8E"/>
    <w:rsid w:val="00F21119"/>
    <w:rsid w:val="00F2190A"/>
    <w:rsid w:val="00F22AC6"/>
    <w:rsid w:val="00F22BC1"/>
    <w:rsid w:val="00F22E2B"/>
    <w:rsid w:val="00F230F0"/>
    <w:rsid w:val="00F2357A"/>
    <w:rsid w:val="00F23FAC"/>
    <w:rsid w:val="00F24916"/>
    <w:rsid w:val="00F24C03"/>
    <w:rsid w:val="00F25481"/>
    <w:rsid w:val="00F274F3"/>
    <w:rsid w:val="00F27619"/>
    <w:rsid w:val="00F277DF"/>
    <w:rsid w:val="00F300FB"/>
    <w:rsid w:val="00F30667"/>
    <w:rsid w:val="00F30EBD"/>
    <w:rsid w:val="00F312E5"/>
    <w:rsid w:val="00F32E2C"/>
    <w:rsid w:val="00F33002"/>
    <w:rsid w:val="00F33761"/>
    <w:rsid w:val="00F352D6"/>
    <w:rsid w:val="00F35633"/>
    <w:rsid w:val="00F35E67"/>
    <w:rsid w:val="00F36BBE"/>
    <w:rsid w:val="00F375B1"/>
    <w:rsid w:val="00F37F65"/>
    <w:rsid w:val="00F40FFC"/>
    <w:rsid w:val="00F4126D"/>
    <w:rsid w:val="00F41833"/>
    <w:rsid w:val="00F43706"/>
    <w:rsid w:val="00F43B12"/>
    <w:rsid w:val="00F4539D"/>
    <w:rsid w:val="00F46063"/>
    <w:rsid w:val="00F46425"/>
    <w:rsid w:val="00F476D1"/>
    <w:rsid w:val="00F47D77"/>
    <w:rsid w:val="00F50085"/>
    <w:rsid w:val="00F51098"/>
    <w:rsid w:val="00F51458"/>
    <w:rsid w:val="00F51715"/>
    <w:rsid w:val="00F52F5F"/>
    <w:rsid w:val="00F52F66"/>
    <w:rsid w:val="00F5442F"/>
    <w:rsid w:val="00F54465"/>
    <w:rsid w:val="00F54506"/>
    <w:rsid w:val="00F54A56"/>
    <w:rsid w:val="00F54F5C"/>
    <w:rsid w:val="00F55292"/>
    <w:rsid w:val="00F55FA7"/>
    <w:rsid w:val="00F5698D"/>
    <w:rsid w:val="00F57C5C"/>
    <w:rsid w:val="00F57D5C"/>
    <w:rsid w:val="00F607F4"/>
    <w:rsid w:val="00F613A2"/>
    <w:rsid w:val="00F61A0A"/>
    <w:rsid w:val="00F61B14"/>
    <w:rsid w:val="00F6230C"/>
    <w:rsid w:val="00F625D8"/>
    <w:rsid w:val="00F63A08"/>
    <w:rsid w:val="00F63A28"/>
    <w:rsid w:val="00F63A43"/>
    <w:rsid w:val="00F63FEC"/>
    <w:rsid w:val="00F64938"/>
    <w:rsid w:val="00F67087"/>
    <w:rsid w:val="00F67A48"/>
    <w:rsid w:val="00F67C5C"/>
    <w:rsid w:val="00F7016A"/>
    <w:rsid w:val="00F71BCB"/>
    <w:rsid w:val="00F72AC1"/>
    <w:rsid w:val="00F759D6"/>
    <w:rsid w:val="00F7611F"/>
    <w:rsid w:val="00F7645B"/>
    <w:rsid w:val="00F76B67"/>
    <w:rsid w:val="00F76E33"/>
    <w:rsid w:val="00F7738F"/>
    <w:rsid w:val="00F80039"/>
    <w:rsid w:val="00F81920"/>
    <w:rsid w:val="00F825D7"/>
    <w:rsid w:val="00F82FB6"/>
    <w:rsid w:val="00F842AD"/>
    <w:rsid w:val="00F85573"/>
    <w:rsid w:val="00F8649A"/>
    <w:rsid w:val="00F87C09"/>
    <w:rsid w:val="00F90430"/>
    <w:rsid w:val="00F913FC"/>
    <w:rsid w:val="00F92E8E"/>
    <w:rsid w:val="00F9336F"/>
    <w:rsid w:val="00F93A7E"/>
    <w:rsid w:val="00F943DF"/>
    <w:rsid w:val="00F94C14"/>
    <w:rsid w:val="00F97AD3"/>
    <w:rsid w:val="00FA09E5"/>
    <w:rsid w:val="00FA13AD"/>
    <w:rsid w:val="00FA2129"/>
    <w:rsid w:val="00FA22DF"/>
    <w:rsid w:val="00FA27FB"/>
    <w:rsid w:val="00FA2B12"/>
    <w:rsid w:val="00FA2F0C"/>
    <w:rsid w:val="00FA3175"/>
    <w:rsid w:val="00FA3741"/>
    <w:rsid w:val="00FA4DD6"/>
    <w:rsid w:val="00FA522D"/>
    <w:rsid w:val="00FA56A0"/>
    <w:rsid w:val="00FA5C02"/>
    <w:rsid w:val="00FA5EA9"/>
    <w:rsid w:val="00FA6093"/>
    <w:rsid w:val="00FB1C04"/>
    <w:rsid w:val="00FB2556"/>
    <w:rsid w:val="00FB3702"/>
    <w:rsid w:val="00FB381A"/>
    <w:rsid w:val="00FB3946"/>
    <w:rsid w:val="00FB3D9E"/>
    <w:rsid w:val="00FB3E3C"/>
    <w:rsid w:val="00FB3EDD"/>
    <w:rsid w:val="00FB46FA"/>
    <w:rsid w:val="00FB51FC"/>
    <w:rsid w:val="00FB5C45"/>
    <w:rsid w:val="00FB61D8"/>
    <w:rsid w:val="00FB6304"/>
    <w:rsid w:val="00FB734E"/>
    <w:rsid w:val="00FC0C14"/>
    <w:rsid w:val="00FC0C5B"/>
    <w:rsid w:val="00FC1D9F"/>
    <w:rsid w:val="00FC272C"/>
    <w:rsid w:val="00FC3349"/>
    <w:rsid w:val="00FC3913"/>
    <w:rsid w:val="00FC3E64"/>
    <w:rsid w:val="00FC47E4"/>
    <w:rsid w:val="00FC505F"/>
    <w:rsid w:val="00FC58B6"/>
    <w:rsid w:val="00FC5E62"/>
    <w:rsid w:val="00FC6449"/>
    <w:rsid w:val="00FC6731"/>
    <w:rsid w:val="00FC79EE"/>
    <w:rsid w:val="00FD1AC5"/>
    <w:rsid w:val="00FD1D1F"/>
    <w:rsid w:val="00FD2017"/>
    <w:rsid w:val="00FD20FC"/>
    <w:rsid w:val="00FD32FC"/>
    <w:rsid w:val="00FD3CDA"/>
    <w:rsid w:val="00FD3EDA"/>
    <w:rsid w:val="00FD4B37"/>
    <w:rsid w:val="00FD5379"/>
    <w:rsid w:val="00FD7BB0"/>
    <w:rsid w:val="00FD7F34"/>
    <w:rsid w:val="00FE2A23"/>
    <w:rsid w:val="00FE2B49"/>
    <w:rsid w:val="00FE3EE3"/>
    <w:rsid w:val="00FE3F67"/>
    <w:rsid w:val="00FE5724"/>
    <w:rsid w:val="00FE61D5"/>
    <w:rsid w:val="00FE66C9"/>
    <w:rsid w:val="00FE76E1"/>
    <w:rsid w:val="00FE7714"/>
    <w:rsid w:val="00FF0286"/>
    <w:rsid w:val="00FF14E3"/>
    <w:rsid w:val="00FF192A"/>
    <w:rsid w:val="00FF1E77"/>
    <w:rsid w:val="00FF22D6"/>
    <w:rsid w:val="00FF3423"/>
    <w:rsid w:val="00FF46BE"/>
    <w:rsid w:val="00FF4927"/>
    <w:rsid w:val="00FF66F1"/>
    <w:rsid w:val="00FF69A6"/>
    <w:rsid w:val="00FF6D05"/>
    <w:rsid w:val="00FF719C"/>
    <w:rsid w:val="1AD2F9FF"/>
    <w:rsid w:val="5210E29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B5EB08A"/>
  <w15:chartTrackingRefBased/>
  <w15:docId w15:val="{F73A0ED6-1027-46C7-95D0-DEFDF33C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sid w:val="009867B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867BB"/>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C052FB"/>
    <w:rPr>
      <w:color w:val="605E5C"/>
      <w:shd w:val="clear" w:color="auto" w:fill="E1DFDD"/>
    </w:rPr>
  </w:style>
  <w:style w:type="paragraph" w:styleId="Revision">
    <w:name w:val="Revision"/>
    <w:hidden/>
    <w:uiPriority w:val="99"/>
    <w:semiHidden/>
    <w:rsid w:val="00524684"/>
    <w:rPr>
      <w:sz w:val="22"/>
    </w:rPr>
  </w:style>
  <w:style w:type="character" w:customStyle="1" w:styleId="UnresolvedMention3">
    <w:name w:val="Unresolved Mention3"/>
    <w:rsid w:val="00782EB7"/>
    <w:rPr>
      <w:color w:val="605E5C"/>
      <w:shd w:val="clear" w:color="auto" w:fill="E1DFDD"/>
    </w:rPr>
  </w:style>
  <w:style w:type="character" w:customStyle="1" w:styleId="UnresolvedMention">
    <w:name w:val="Unresolved Mention"/>
    <w:rsid w:val="0008335F"/>
    <w:rPr>
      <w:color w:val="605E5C"/>
      <w:shd w:val="clear" w:color="auto" w:fill="E1DFDD"/>
    </w:rPr>
  </w:style>
  <w:style w:type="paragraph" w:styleId="NormalWeb">
    <w:name w:val="Normal (Web)"/>
    <w:basedOn w:val="Normal"/>
    <w:uiPriority w:val="99"/>
    <w:unhideWhenUsed/>
    <w:rsid w:val="00E704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document/fcc-closes-headquarters-open-window-and-changes-hand-delivery-policy" TargetMode="External" /><Relationship Id="rId11" Type="http://schemas.openxmlformats.org/officeDocument/2006/relationships/hyperlink" Target="mailto:fcc504@fcc.gov" TargetMode="External" /><Relationship Id="rId12" Type="http://schemas.openxmlformats.org/officeDocument/2006/relationships/hyperlink" Target="mailto:christi.shewman@fcc.gov" TargetMode="External" /><Relationship Id="rId13" Type="http://schemas.openxmlformats.org/officeDocument/2006/relationships/hyperlink" Target="mailto:kimberly.cook@fcc.gov" TargetMode="External" /><Relationship Id="rId14" Type="http://schemas.openxmlformats.org/officeDocument/2006/relationships/hyperlink" Target="mailto:david.krech@fcc.gov" TargetMode="External" /><Relationship Id="rId15" Type="http://schemas.openxmlformats.org/officeDocument/2006/relationships/hyperlink" Target="mailto:linda.ray@fcc.gov" TargetMode="External" /><Relationship Id="rId16" Type="http://schemas.openxmlformats.org/officeDocument/2006/relationships/hyperlink" Target="mailto:jim.bird@fcc.gov" TargetMode="External" /><Relationship Id="rId17" Type="http://schemas.openxmlformats.org/officeDocument/2006/relationships/footer" Target="footer3.xml" /><Relationship Id="rId18" Type="http://schemas.openxmlformats.org/officeDocument/2006/relationships/header" Target="head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http://apps.fcc.gov/ecf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Jcam\Downloads\AlaskaComm214AFFPN.%202.2.21.1%20(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AlaskaComm214AFFPN. 2.2.21.1 (1)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