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5F773F21">
      <w:pPr>
        <w:jc w:val="right"/>
        <w:rPr>
          <w:sz w:val="24"/>
          <w:szCs w:val="24"/>
        </w:rPr>
      </w:pPr>
      <w:r>
        <w:rPr>
          <w:sz w:val="24"/>
          <w:szCs w:val="24"/>
        </w:rPr>
        <w:t xml:space="preserve"> </w:t>
      </w:r>
      <w:r w:rsidRPr="00B02A93" w:rsidR="00203A09">
        <w:rPr>
          <w:sz w:val="24"/>
          <w:szCs w:val="24"/>
        </w:rPr>
        <w:t xml:space="preserve"> </w:t>
      </w:r>
    </w:p>
    <w:p w:rsidR="005614FA" w:rsidRPr="00B02A93" w:rsidP="005614FA" w14:paraId="3E24FDAA" w14:textId="658E26E3">
      <w:pPr>
        <w:widowControl/>
        <w:suppressAutoHyphens/>
        <w:jc w:val="right"/>
        <w:rPr>
          <w:b/>
        </w:rPr>
      </w:pPr>
      <w:r w:rsidRPr="008B5AD4">
        <w:rPr>
          <w:b/>
        </w:rPr>
        <w:t>DA 2</w:t>
      </w:r>
      <w:r w:rsidRPr="008B5AD4" w:rsidR="001E397D">
        <w:rPr>
          <w:b/>
        </w:rPr>
        <w:t>1-</w:t>
      </w:r>
      <w:r w:rsidR="008B5AD4">
        <w:rPr>
          <w:b/>
        </w:rPr>
        <w:t>1591</w:t>
      </w:r>
    </w:p>
    <w:p w:rsidR="005614FA" w:rsidRPr="00B02A93" w:rsidP="005614FA" w14:paraId="2C244092" w14:textId="0F18836F">
      <w:pPr>
        <w:widowControl/>
        <w:suppressAutoHyphens/>
        <w:spacing w:after="240"/>
        <w:jc w:val="right"/>
        <w:rPr>
          <w:b/>
        </w:rPr>
      </w:pPr>
      <w:r w:rsidRPr="00B02A93">
        <w:rPr>
          <w:b/>
        </w:rPr>
        <w:t xml:space="preserve">Released: </w:t>
      </w:r>
      <w:r w:rsidR="002720C3">
        <w:rPr>
          <w:b/>
        </w:rPr>
        <w:t>December 16, 2021</w:t>
      </w:r>
      <w:r w:rsidR="00BF43CF">
        <w:rPr>
          <w:b/>
        </w:rPr>
        <w:t xml:space="preserve"> </w:t>
      </w:r>
    </w:p>
    <w:p w:rsidR="000015A4" w:rsidRPr="000015A4" w:rsidP="000015A4" w14:paraId="27A8FD2D" w14:textId="77777777">
      <w:pPr>
        <w:jc w:val="center"/>
        <w:rPr>
          <w:b/>
          <w:bCs/>
          <w:caps/>
          <w:snapToGrid/>
          <w:kern w:val="0"/>
          <w:szCs w:val="22"/>
        </w:rPr>
      </w:pPr>
      <w:r w:rsidRPr="00B02A93">
        <w:rPr>
          <w:b/>
          <w:szCs w:val="22"/>
        </w:rPr>
        <w:t xml:space="preserve">DOMESTIC 214 </w:t>
      </w:r>
      <w:r w:rsidRPr="00B02A93" w:rsidR="00C31891">
        <w:rPr>
          <w:b/>
          <w:szCs w:val="22"/>
        </w:rPr>
        <w:t>APPLICATION</w:t>
      </w:r>
      <w:r w:rsidRPr="00B02A93" w:rsidR="0054043D">
        <w:rPr>
          <w:b/>
          <w:szCs w:val="22"/>
        </w:rPr>
        <w:t xml:space="preserve"> G</w:t>
      </w:r>
      <w:r w:rsidRPr="00B02A93" w:rsidR="00C31891">
        <w:rPr>
          <w:b/>
          <w:szCs w:val="22"/>
        </w:rPr>
        <w:t>RANTED FOR</w:t>
      </w:r>
      <w:r w:rsidR="00DD7CEF">
        <w:rPr>
          <w:b/>
          <w:szCs w:val="22"/>
        </w:rPr>
        <w:t xml:space="preserve"> </w:t>
      </w:r>
      <w:r w:rsidR="00A212D1">
        <w:rPr>
          <w:b/>
          <w:bCs/>
          <w:szCs w:val="22"/>
        </w:rPr>
        <w:t xml:space="preserve">THE </w:t>
      </w:r>
      <w:r w:rsidRPr="000015A4">
        <w:rPr>
          <w:b/>
          <w:bCs/>
          <w:caps/>
          <w:snapToGrid/>
          <w:kern w:val="0"/>
          <w:szCs w:val="22"/>
        </w:rPr>
        <w:t xml:space="preserve">ACQUISITION OF ASSETS OF </w:t>
      </w:r>
    </w:p>
    <w:p w:rsidR="000015A4" w:rsidRPr="000015A4" w:rsidP="000015A4" w14:paraId="19055CD9" w14:textId="77777777">
      <w:pPr>
        <w:widowControl/>
        <w:jc w:val="center"/>
        <w:rPr>
          <w:b/>
          <w:bCs/>
          <w:caps/>
          <w:snapToGrid/>
          <w:kern w:val="0"/>
          <w:szCs w:val="22"/>
        </w:rPr>
      </w:pPr>
      <w:r w:rsidRPr="000015A4">
        <w:rPr>
          <w:b/>
          <w:bCs/>
          <w:caps/>
          <w:snapToGrid/>
          <w:kern w:val="0"/>
          <w:szCs w:val="22"/>
        </w:rPr>
        <w:t xml:space="preserve">Consolidated Communications of Ohio Company, LLC </w:t>
      </w:r>
    </w:p>
    <w:p w:rsidR="000015A4" w:rsidRPr="000015A4" w:rsidP="000015A4" w14:paraId="7DC7BED4" w14:textId="77777777">
      <w:pPr>
        <w:widowControl/>
        <w:jc w:val="center"/>
        <w:rPr>
          <w:b/>
          <w:bCs/>
          <w:snapToGrid/>
          <w:kern w:val="0"/>
          <w:szCs w:val="22"/>
        </w:rPr>
      </w:pPr>
      <w:r w:rsidRPr="000015A4">
        <w:rPr>
          <w:b/>
          <w:bCs/>
          <w:caps/>
          <w:snapToGrid/>
          <w:kern w:val="0"/>
          <w:szCs w:val="22"/>
        </w:rPr>
        <w:t xml:space="preserve">BY Hanson CommunicationS of Ohio, LLC </w:t>
      </w:r>
    </w:p>
    <w:p w:rsidR="00DD7CEF" w:rsidRPr="000015A4" w:rsidP="000015A4" w14:paraId="0A292D40" w14:textId="72F0CE96">
      <w:pPr>
        <w:autoSpaceDE w:val="0"/>
        <w:autoSpaceDN w:val="0"/>
        <w:adjustRightInd w:val="0"/>
        <w:jc w:val="center"/>
        <w:rPr>
          <w:b/>
          <w:bCs/>
          <w:szCs w:val="22"/>
        </w:rPr>
      </w:pPr>
    </w:p>
    <w:p w:rsidR="005614FA" w:rsidRPr="00B02A93" w:rsidP="005614FA" w14:paraId="5D9244B0" w14:textId="7C937935">
      <w:pPr>
        <w:autoSpaceDE w:val="0"/>
        <w:autoSpaceDN w:val="0"/>
        <w:adjustRightInd w:val="0"/>
        <w:jc w:val="center"/>
        <w:rPr>
          <w:b/>
          <w:szCs w:val="22"/>
        </w:rPr>
      </w:pPr>
      <w:bookmarkStart w:id="0" w:name="_Hlk80002431"/>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bookmarkEnd w:id="0"/>
      <w:r w:rsidR="00A212D1">
        <w:rPr>
          <w:b/>
          <w:szCs w:val="22"/>
        </w:rPr>
        <w:t>3</w:t>
      </w:r>
      <w:r w:rsidR="001D22AA">
        <w:rPr>
          <w:b/>
          <w:szCs w:val="22"/>
        </w:rPr>
        <w:t>99</w:t>
      </w:r>
    </w:p>
    <w:p w:rsidR="005614FA" w:rsidRPr="00B02A93" w:rsidP="005614FA" w14:paraId="4F620B5F" w14:textId="77777777">
      <w:pPr>
        <w:widowControl/>
        <w:suppressAutoHyphens/>
        <w:rPr>
          <w:b/>
        </w:rPr>
      </w:pPr>
    </w:p>
    <w:p w:rsidR="002E5941" w:rsidRPr="00B02A93" w:rsidP="00960B05" w14:paraId="7F5B29E1" w14:textId="74C03397">
      <w:pPr>
        <w:widowControl/>
        <w:autoSpaceDE w:val="0"/>
        <w:autoSpaceDN w:val="0"/>
        <w:adjustRightInd w:val="0"/>
        <w:spacing w:after="120"/>
        <w:ind w:firstLine="720"/>
        <w:rPr>
          <w:snapToGrid/>
          <w:kern w:val="0"/>
          <w:szCs w:val="22"/>
        </w:rPr>
      </w:pPr>
      <w:r w:rsidRPr="00B02A93">
        <w:rPr>
          <w:snapToGrid/>
          <w:kern w:val="0"/>
          <w:szCs w:val="22"/>
        </w:rPr>
        <w:t xml:space="preserve">By this Public Notice, the Wireline Competition Bureau (Bureau) grants </w:t>
      </w:r>
      <w:r w:rsidRPr="00B02A93" w:rsidR="008774D9">
        <w:rPr>
          <w:snapToGrid/>
          <w:kern w:val="0"/>
          <w:szCs w:val="22"/>
        </w:rPr>
        <w:t>an application filed</w:t>
      </w:r>
      <w:r w:rsidRPr="005F5D60" w:rsidR="005F5D60">
        <w:rPr>
          <w:snapToGrid/>
          <w:kern w:val="0"/>
          <w:szCs w:val="22"/>
        </w:rPr>
        <w:t xml:space="preserve"> by </w:t>
      </w:r>
      <w:bookmarkStart w:id="1" w:name="_Hlk67917977"/>
      <w:r w:rsidRPr="000015A4" w:rsidR="000015A4">
        <w:rPr>
          <w:snapToGrid/>
          <w:kern w:val="0"/>
          <w:szCs w:val="22"/>
        </w:rPr>
        <w:t>Consolidated Communications of Ohio Company, LLC (Consolidated Ohio) and Hanson Communications of Ohio, LLC (Hanson) (collectively, Applicants), pursuant to section 214 of the Communications Act of 1934, as amended</w:t>
      </w:r>
      <w:r w:rsidR="00B067B1">
        <w:rPr>
          <w:snapToGrid/>
          <w:kern w:val="0"/>
          <w:szCs w:val="22"/>
        </w:rPr>
        <w:t xml:space="preserve"> (Act)</w:t>
      </w:r>
      <w:r w:rsidRPr="000015A4" w:rsidR="000015A4">
        <w:rPr>
          <w:snapToGrid/>
          <w:kern w:val="0"/>
          <w:szCs w:val="22"/>
        </w:rPr>
        <w:t>, and sections 63.03-04 of the Commission’s rules, requesting consent to transfer substantially all the assets of Consolidated Ohio to Hanson.</w:t>
      </w:r>
      <w:r>
        <w:rPr>
          <w:snapToGrid/>
          <w:kern w:val="0"/>
          <w:szCs w:val="22"/>
          <w:vertAlign w:val="superscript"/>
        </w:rPr>
        <w:footnoteReference w:id="3"/>
      </w:r>
      <w:bookmarkEnd w:id="1"/>
      <w:r w:rsidRPr="00B02A93" w:rsidR="008774D9">
        <w:rPr>
          <w:snapToGrid/>
          <w:kern w:val="0"/>
          <w:szCs w:val="22"/>
        </w:rPr>
        <w:t xml:space="preserve">  </w:t>
      </w:r>
    </w:p>
    <w:p w:rsidR="005614FA" w:rsidRPr="00B02A93" w:rsidP="00960B05" w14:paraId="67628BEE" w14:textId="6328EF13">
      <w:pPr>
        <w:widowControl/>
        <w:autoSpaceDE w:val="0"/>
        <w:autoSpaceDN w:val="0"/>
        <w:adjustRightInd w:val="0"/>
        <w:spacing w:after="120"/>
        <w:ind w:firstLine="720"/>
        <w:rPr>
          <w:snapToGrid/>
          <w:kern w:val="0"/>
          <w:szCs w:val="22"/>
        </w:rPr>
      </w:pPr>
      <w:r w:rsidRPr="00B02A93">
        <w:rPr>
          <w:szCs w:val="22"/>
        </w:rPr>
        <w:t xml:space="preserve">On </w:t>
      </w:r>
      <w:r w:rsidR="00B801B8">
        <w:rPr>
          <w:szCs w:val="22"/>
        </w:rPr>
        <w:t>Novem</w:t>
      </w:r>
      <w:r w:rsidR="006E1C9A">
        <w:rPr>
          <w:szCs w:val="22"/>
        </w:rPr>
        <w:t xml:space="preserve">ber </w:t>
      </w:r>
      <w:r w:rsidR="00B801B8">
        <w:rPr>
          <w:szCs w:val="22"/>
        </w:rPr>
        <w:t>10</w:t>
      </w:r>
      <w:r w:rsidRPr="00B02A93">
        <w:rPr>
          <w:szCs w:val="22"/>
        </w:rPr>
        <w:t xml:space="preserve">, </w:t>
      </w:r>
      <w:r w:rsidRPr="00960B05">
        <w:rPr>
          <w:snapToGrid/>
          <w:kern w:val="0"/>
          <w:szCs w:val="22"/>
        </w:rPr>
        <w:t>2021</w:t>
      </w:r>
      <w:r w:rsidRPr="00B02A93">
        <w:rPr>
          <w:szCs w:val="22"/>
        </w:rPr>
        <w:t>, the Bureau released a public notice seeking comment on the Application.</w:t>
      </w:r>
      <w:r>
        <w:rPr>
          <w:rStyle w:val="FootnoteReference"/>
          <w:szCs w:val="22"/>
        </w:rPr>
        <w:footnoteReference w:id="4"/>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B801B8" w:rsidP="00B801B8" w14:paraId="2984A4AC" w14:textId="60B08F5A">
      <w:pPr>
        <w:spacing w:after="120"/>
        <w:ind w:firstLine="720"/>
        <w:rPr>
          <w:szCs w:val="22"/>
        </w:rPr>
      </w:pPr>
      <w:bookmarkStart w:id="6" w:name="_Hlk67918832"/>
      <w:r w:rsidRPr="00B801B8">
        <w:rPr>
          <w:szCs w:val="22"/>
        </w:rPr>
        <w:t>Consolidated Ohio, a Delaware limited liability company, operates as an incumbent local exchange carrier (LEC) in the Ohio study areas of the Columbus Grove Telephone Company, The Germantown Independent Telephone Company, and the Orwell Telephone Company.</w:t>
      </w:r>
      <w:r>
        <w:rPr>
          <w:szCs w:val="22"/>
          <w:vertAlign w:val="superscript"/>
        </w:rPr>
        <w:footnoteReference w:id="5"/>
      </w:r>
      <w:r w:rsidRPr="00B801B8">
        <w:rPr>
          <w:szCs w:val="22"/>
        </w:rPr>
        <w:t xml:space="preserve">  Consolidated Ohio serves approximately 3,864 customer access lines in parts of Allen, Ashtabula, Butler, Geauga, Hancock, Henry, Montgomery, Putnam, Trumbull, and Warren Counties in Ohio.</w:t>
      </w:r>
      <w:r>
        <w:rPr>
          <w:szCs w:val="22"/>
          <w:vertAlign w:val="superscript"/>
        </w:rPr>
        <w:footnoteReference w:id="6"/>
      </w:r>
      <w:r w:rsidRPr="00B801B8">
        <w:rPr>
          <w:szCs w:val="22"/>
        </w:rPr>
        <w:t xml:space="preserve">  </w:t>
      </w:r>
    </w:p>
    <w:p w:rsidR="00B801B8" w:rsidRPr="00B801B8" w:rsidP="00D542A9" w14:paraId="707847CF" w14:textId="0F29D8F4">
      <w:pPr>
        <w:spacing w:after="120"/>
        <w:ind w:firstLine="720"/>
        <w:rPr>
          <w:szCs w:val="22"/>
        </w:rPr>
      </w:pPr>
      <w:r w:rsidRPr="00B801B8">
        <w:rPr>
          <w:szCs w:val="22"/>
        </w:rPr>
        <w:t xml:space="preserve">Hanson, a privately held Ohio limited liability company, is wholly owned by Hanson </w:t>
      </w:r>
      <w:r w:rsidRPr="00B801B8">
        <w:rPr>
          <w:szCs w:val="22"/>
        </w:rPr>
        <w:t>Communications, Inc. (HCI), a Minnesota holding company.</w:t>
      </w:r>
      <w:r>
        <w:rPr>
          <w:szCs w:val="22"/>
          <w:vertAlign w:val="superscript"/>
        </w:rPr>
        <w:footnoteReference w:id="7"/>
      </w:r>
      <w:r w:rsidRPr="00B801B8">
        <w:rPr>
          <w:szCs w:val="22"/>
        </w:rPr>
        <w:t xml:space="preserve">  HCI’s eight incumbent LEC operating companies serve approximately 10,061 access lines and provide broadband connections to approximately 15,357 customers in Minnesota, Nebraska, South Dakota, and Ohio.</w:t>
      </w:r>
      <w:r>
        <w:rPr>
          <w:szCs w:val="22"/>
          <w:vertAlign w:val="superscript"/>
        </w:rPr>
        <w:footnoteReference w:id="8"/>
      </w:r>
      <w:r w:rsidRPr="00B801B8">
        <w:rPr>
          <w:szCs w:val="22"/>
        </w:rPr>
        <w:t xml:space="preserve">  </w:t>
      </w:r>
      <w:r w:rsidRPr="00123CE5" w:rsidR="00123CE5">
        <w:rPr>
          <w:szCs w:val="22"/>
        </w:rPr>
        <w:t>Hanson’s competitive LEC subsidiary, TSC Communications, Inc.</w:t>
      </w:r>
      <w:r w:rsidR="00D71534">
        <w:rPr>
          <w:szCs w:val="22"/>
        </w:rPr>
        <w:t xml:space="preserve"> (TSC)</w:t>
      </w:r>
      <w:r w:rsidRPr="00123CE5" w:rsidR="00123CE5">
        <w:rPr>
          <w:szCs w:val="22"/>
        </w:rPr>
        <w:t xml:space="preserve">, provides </w:t>
      </w:r>
      <w:r w:rsidR="0041004C">
        <w:rPr>
          <w:szCs w:val="22"/>
        </w:rPr>
        <w:t xml:space="preserve">limited </w:t>
      </w:r>
      <w:r w:rsidRPr="00123CE5" w:rsidR="00123CE5">
        <w:rPr>
          <w:szCs w:val="22"/>
        </w:rPr>
        <w:t>service to certain customers in Consolidated Ohio’s incumbent LEC service area.</w:t>
      </w:r>
      <w:r>
        <w:rPr>
          <w:szCs w:val="22"/>
          <w:vertAlign w:val="superscript"/>
        </w:rPr>
        <w:footnoteReference w:id="9"/>
      </w:r>
      <w:r w:rsidRPr="00123CE5" w:rsidR="00123CE5">
        <w:rPr>
          <w:szCs w:val="22"/>
        </w:rPr>
        <w:t xml:space="preserve"> </w:t>
      </w:r>
      <w:r w:rsidR="00123CE5">
        <w:rPr>
          <w:szCs w:val="22"/>
        </w:rPr>
        <w:t xml:space="preserve"> </w:t>
      </w:r>
      <w:r w:rsidRPr="00B801B8">
        <w:rPr>
          <w:szCs w:val="22"/>
        </w:rPr>
        <w:t>The following U.S. citizens hold a 10% or greater interest in HCI:  Bruce Hanson (22.04%); Mark Hanson (24.65%); and Susan Anderson (22.04%).</w:t>
      </w:r>
      <w:r>
        <w:rPr>
          <w:szCs w:val="22"/>
          <w:vertAlign w:val="superscript"/>
        </w:rPr>
        <w:footnoteReference w:id="10"/>
      </w:r>
      <w:r w:rsidRPr="00B801B8">
        <w:rPr>
          <w:szCs w:val="22"/>
        </w:rPr>
        <w:t xml:space="preserve"> </w:t>
      </w:r>
      <w:r w:rsidR="005065B8">
        <w:rPr>
          <w:szCs w:val="22"/>
        </w:rPr>
        <w:t xml:space="preserve">   </w:t>
      </w:r>
    </w:p>
    <w:bookmarkEnd w:id="6"/>
    <w:p w:rsidR="00AF5073" w:rsidRPr="00AF5073" w:rsidP="00AF5073" w14:paraId="4E0A5EED" w14:textId="17BAAE17">
      <w:pPr>
        <w:spacing w:after="120"/>
        <w:ind w:firstLine="720"/>
        <w:rPr>
          <w:szCs w:val="22"/>
        </w:rPr>
      </w:pPr>
      <w:r w:rsidRPr="00AF5073">
        <w:rPr>
          <w:szCs w:val="22"/>
        </w:rPr>
        <w:t>Pursuant to the terms of an Asset Purchase Agreement, Consolidated Ohio has agreed to sell to HCI, and HCI has agreed to purchase, substantially all of the assets, property, and rights of Consolidated Ohio.</w:t>
      </w:r>
      <w:r>
        <w:rPr>
          <w:szCs w:val="22"/>
          <w:vertAlign w:val="superscript"/>
        </w:rPr>
        <w:footnoteReference w:id="11"/>
      </w:r>
      <w:r w:rsidRPr="00AF5073">
        <w:rPr>
          <w:szCs w:val="22"/>
        </w:rPr>
        <w:t xml:space="preserve">  Following the closing of the proposed transaction, the assets, property, and rights currently held by Consolidated Ohio will be owned and operated by Hanson.</w:t>
      </w:r>
      <w:r>
        <w:rPr>
          <w:szCs w:val="22"/>
          <w:vertAlign w:val="superscript"/>
        </w:rPr>
        <w:footnoteReference w:id="12"/>
      </w:r>
      <w:r w:rsidRPr="00AF5073">
        <w:rPr>
          <w:szCs w:val="22"/>
        </w:rPr>
        <w:t xml:space="preserve">  </w:t>
      </w:r>
    </w:p>
    <w:p w:rsidR="008D5B54" w:rsidRPr="00B02A93" w:rsidP="006C1880" w14:paraId="460F2DA2" w14:textId="13DC9DC5">
      <w:pPr>
        <w:keepNext/>
        <w:widowControl/>
        <w:autoSpaceDE w:val="0"/>
        <w:autoSpaceDN w:val="0"/>
        <w:adjustRightInd w:val="0"/>
        <w:spacing w:after="120"/>
        <w:rPr>
          <w:b/>
          <w:bCs/>
          <w:szCs w:val="22"/>
          <w:u w:val="single"/>
        </w:rPr>
      </w:pPr>
      <w:r w:rsidRPr="00B02A93">
        <w:rPr>
          <w:b/>
          <w:bCs/>
          <w:szCs w:val="22"/>
          <w:u w:val="single"/>
        </w:rPr>
        <w:t>Discussion</w:t>
      </w:r>
    </w:p>
    <w:p w:rsidR="00A901ED" w:rsidP="00DB7A93" w14:paraId="59A6062E" w14:textId="1F101700">
      <w:pPr>
        <w:widowControl/>
        <w:autoSpaceDE w:val="0"/>
        <w:autoSpaceDN w:val="0"/>
        <w:adjustRightInd w:val="0"/>
        <w:spacing w:after="120"/>
        <w:ind w:firstLine="720"/>
        <w:rPr>
          <w:szCs w:val="22"/>
        </w:rPr>
      </w:pPr>
      <w:r w:rsidRPr="00B02A93">
        <w:rPr>
          <w:szCs w:val="22"/>
        </w:rPr>
        <w:t xml:space="preserve">We find, upon </w:t>
      </w:r>
      <w:r w:rsidRPr="001A7655">
        <w:rPr>
          <w:szCs w:val="22"/>
        </w:rPr>
        <w:t xml:space="preserve">consideration </w:t>
      </w:r>
      <w:r w:rsidRPr="00B02A93">
        <w:rPr>
          <w:szCs w:val="22"/>
        </w:rPr>
        <w:t xml:space="preserve">of the record, that grant of the Application will serve the public interest, convenience, and necessity.  </w:t>
      </w:r>
      <w:r w:rsidRPr="00A901ED">
        <w:rPr>
          <w:szCs w:val="22"/>
        </w:rPr>
        <w:t>To make this determination under Commission precedent, we consider whether the proposed transaction could result in public interest harms by substantially frustrating or impairing the objectives or implementation of the</w:t>
      </w:r>
      <w:r>
        <w:rPr>
          <w:szCs w:val="22"/>
        </w:rPr>
        <w:t xml:space="preserve"> </w:t>
      </w:r>
      <w:r w:rsidRPr="00A901ED">
        <w:rPr>
          <w:szCs w:val="22"/>
        </w:rPr>
        <w:t>Act or related statutes.</w:t>
      </w:r>
      <w:r>
        <w:rPr>
          <w:szCs w:val="22"/>
          <w:vertAlign w:val="superscript"/>
        </w:rPr>
        <w:footnoteReference w:id="13"/>
      </w:r>
      <w:r w:rsidRPr="00A901ED">
        <w:rPr>
          <w:szCs w:val="22"/>
        </w:rPr>
        <w:t xml:space="preserve">  We then employ a balancing test weighing any potential public interest harms of the proposed transaction against any potential public interest benefits.</w:t>
      </w:r>
      <w:r>
        <w:rPr>
          <w:szCs w:val="22"/>
          <w:vertAlign w:val="superscript"/>
        </w:rPr>
        <w:footnoteReference w:id="14"/>
      </w:r>
      <w:r w:rsidRPr="00A901ED">
        <w:rPr>
          <w:szCs w:val="22"/>
        </w:rPr>
        <w:t xml:space="preserve">  The Applicants bear the burden of proving, by a preponderance of the evidence, that the proposed transaction, on balance, serves the public interest.</w:t>
      </w:r>
      <w:r>
        <w:rPr>
          <w:szCs w:val="22"/>
          <w:vertAlign w:val="superscript"/>
        </w:rPr>
        <w:footnoteReference w:id="15"/>
      </w:r>
    </w:p>
    <w:p w:rsidR="0070363D" w:rsidRPr="00BE05E4" w:rsidP="00BE05E4" w14:paraId="02FBA6CB" w14:textId="3764C4F0">
      <w:pPr>
        <w:widowControl/>
        <w:autoSpaceDE w:val="0"/>
        <w:autoSpaceDN w:val="0"/>
        <w:adjustRightInd w:val="0"/>
        <w:spacing w:after="120"/>
        <w:ind w:firstLine="720"/>
        <w:rPr>
          <w:szCs w:val="22"/>
        </w:rPr>
      </w:pPr>
      <w:r w:rsidRPr="00682D96">
        <w:rPr>
          <w:color w:val="000000"/>
          <w:szCs w:val="22"/>
        </w:rPr>
        <w:t>We find that there are no potential public interest harms identified in the record.  First, the proposed transaction</w:t>
      </w:r>
      <w:r w:rsidR="00025905">
        <w:rPr>
          <w:color w:val="000000"/>
          <w:szCs w:val="22"/>
        </w:rPr>
        <w:t xml:space="preserve"> likely</w:t>
      </w:r>
      <w:r w:rsidRPr="00682D96">
        <w:rPr>
          <w:color w:val="000000"/>
          <w:szCs w:val="22"/>
        </w:rPr>
        <w:t xml:space="preserve"> </w:t>
      </w:r>
      <w:r w:rsidRPr="007F2E5D" w:rsidR="00025905">
        <w:rPr>
          <w:bCs/>
          <w:color w:val="000000"/>
          <w:szCs w:val="22"/>
        </w:rPr>
        <w:t>will not adversely affect competition</w:t>
      </w:r>
      <w:r w:rsidR="00D16556">
        <w:rPr>
          <w:bCs/>
          <w:color w:val="000000"/>
          <w:szCs w:val="22"/>
        </w:rPr>
        <w:t xml:space="preserve">.  </w:t>
      </w:r>
      <w:r w:rsidR="00845236">
        <w:rPr>
          <w:bCs/>
          <w:color w:val="000000"/>
          <w:szCs w:val="22"/>
        </w:rPr>
        <w:t xml:space="preserve">Applicants state that there is a </w:t>
      </w:r>
      <w:r w:rsidRPr="00845236" w:rsidR="00845236">
        <w:rPr>
          <w:bCs/>
          <w:i/>
          <w:iCs/>
          <w:color w:val="000000"/>
          <w:szCs w:val="22"/>
        </w:rPr>
        <w:t>de minimis</w:t>
      </w:r>
      <w:r w:rsidR="00845236">
        <w:rPr>
          <w:bCs/>
          <w:color w:val="000000"/>
          <w:szCs w:val="22"/>
        </w:rPr>
        <w:t xml:space="preserve"> overlap involving </w:t>
      </w:r>
      <w:r w:rsidR="00C5306B">
        <w:rPr>
          <w:bCs/>
          <w:color w:val="000000"/>
          <w:szCs w:val="22"/>
        </w:rPr>
        <w:t xml:space="preserve">certain </w:t>
      </w:r>
      <w:r w:rsidR="0041004C">
        <w:rPr>
          <w:bCs/>
          <w:color w:val="000000"/>
          <w:szCs w:val="22"/>
        </w:rPr>
        <w:t xml:space="preserve">limited </w:t>
      </w:r>
      <w:r w:rsidR="00845236">
        <w:rPr>
          <w:bCs/>
          <w:color w:val="000000"/>
          <w:szCs w:val="22"/>
        </w:rPr>
        <w:t>operations of Hanson’s competitive LEC subsidiary, TSC, which serves four schools in Consolidated Ohio’s Columbus Grove and Orwell incumbent LEC serv</w:t>
      </w:r>
      <w:r w:rsidR="0002335E">
        <w:rPr>
          <w:bCs/>
          <w:color w:val="000000"/>
          <w:szCs w:val="22"/>
        </w:rPr>
        <w:t>ice</w:t>
      </w:r>
      <w:r w:rsidR="00845236">
        <w:rPr>
          <w:bCs/>
          <w:color w:val="000000"/>
          <w:szCs w:val="22"/>
        </w:rPr>
        <w:t xml:space="preserve"> areas in Ohio.</w:t>
      </w:r>
      <w:r>
        <w:rPr>
          <w:szCs w:val="22"/>
          <w:vertAlign w:val="superscript"/>
        </w:rPr>
        <w:footnoteReference w:id="16"/>
      </w:r>
      <w:r w:rsidR="00845236">
        <w:rPr>
          <w:bCs/>
          <w:color w:val="000000"/>
          <w:szCs w:val="22"/>
        </w:rPr>
        <w:t xml:space="preserve">  </w:t>
      </w:r>
      <w:r w:rsidR="00562CA1">
        <w:rPr>
          <w:bCs/>
          <w:color w:val="000000"/>
          <w:szCs w:val="22"/>
        </w:rPr>
        <w:t>They further state that the schools are part of a consortium of schools in Ohio served by other providers, that the consortium asked TSC to serve those particular schools, and that TSC did not otherwise have plans t</w:t>
      </w:r>
      <w:r w:rsidR="00D71534">
        <w:rPr>
          <w:bCs/>
          <w:color w:val="000000"/>
          <w:szCs w:val="22"/>
        </w:rPr>
        <w:t>o</w:t>
      </w:r>
      <w:r w:rsidR="00562CA1">
        <w:rPr>
          <w:bCs/>
          <w:color w:val="000000"/>
          <w:szCs w:val="22"/>
        </w:rPr>
        <w:t xml:space="preserve"> expand service in those areas.</w:t>
      </w:r>
      <w:r>
        <w:rPr>
          <w:rStyle w:val="FootnoteReference"/>
          <w:bCs/>
          <w:szCs w:val="22"/>
        </w:rPr>
        <w:footnoteReference w:id="17"/>
      </w:r>
      <w:r w:rsidR="00D22F8D">
        <w:rPr>
          <w:bCs/>
          <w:color w:val="000000"/>
          <w:szCs w:val="22"/>
        </w:rPr>
        <w:t xml:space="preserve"> </w:t>
      </w:r>
      <w:r w:rsidR="00562CA1">
        <w:rPr>
          <w:bCs/>
          <w:color w:val="000000"/>
          <w:szCs w:val="22"/>
        </w:rPr>
        <w:t xml:space="preserve"> </w:t>
      </w:r>
      <w:r w:rsidR="00AF6BC6">
        <w:rPr>
          <w:bCs/>
          <w:color w:val="000000"/>
          <w:szCs w:val="22"/>
        </w:rPr>
        <w:t xml:space="preserve">There is unlikely to be </w:t>
      </w:r>
      <w:r w:rsidR="0023251D">
        <w:rPr>
          <w:bCs/>
          <w:color w:val="000000"/>
          <w:szCs w:val="22"/>
        </w:rPr>
        <w:t xml:space="preserve">any </w:t>
      </w:r>
      <w:r w:rsidR="00AF6BC6">
        <w:rPr>
          <w:bCs/>
          <w:color w:val="000000"/>
          <w:szCs w:val="22"/>
        </w:rPr>
        <w:t xml:space="preserve">material pubic interest harm in this case since </w:t>
      </w:r>
      <w:r w:rsidR="00123CE5">
        <w:rPr>
          <w:bCs/>
          <w:color w:val="000000"/>
          <w:szCs w:val="22"/>
        </w:rPr>
        <w:t>TSC serves a small number of business customers as part of a limited service arrangement, and there is no evidence that TSC intended to further compete in those areas</w:t>
      </w:r>
      <w:r w:rsidR="005D1FDC">
        <w:rPr>
          <w:bCs/>
          <w:color w:val="000000"/>
          <w:szCs w:val="22"/>
        </w:rPr>
        <w:t>.</w:t>
      </w:r>
      <w:r>
        <w:rPr>
          <w:rStyle w:val="FootnoteReference"/>
          <w:bCs/>
          <w:szCs w:val="22"/>
        </w:rPr>
        <w:footnoteReference w:id="18"/>
      </w:r>
      <w:r>
        <w:rPr>
          <w:bCs/>
          <w:color w:val="000000"/>
          <w:szCs w:val="22"/>
        </w:rPr>
        <w:t xml:space="preserve">  </w:t>
      </w:r>
      <w:r w:rsidRPr="0070363D">
        <w:rPr>
          <w:color w:val="000000"/>
          <w:szCs w:val="22"/>
        </w:rPr>
        <w:t>Second,</w:t>
      </w:r>
      <w:r w:rsidRPr="0099536C" w:rsidR="00DE147D">
        <w:rPr>
          <w:bCs/>
          <w:snapToGrid/>
          <w:kern w:val="0"/>
          <w:szCs w:val="22"/>
        </w:rPr>
        <w:t xml:space="preserve"> </w:t>
      </w:r>
      <w:r w:rsidRPr="00DE147D" w:rsidR="00DE147D">
        <w:rPr>
          <w:color w:val="000000"/>
          <w:szCs w:val="22"/>
        </w:rPr>
        <w:t>Hanson remains financially and technically obligated to meet all public interest and performance obligations associated with the receipt of Connect America Fund support</w:t>
      </w:r>
      <w:r w:rsidR="001820F2">
        <w:rPr>
          <w:color w:val="000000"/>
          <w:szCs w:val="22"/>
        </w:rPr>
        <w:t>, which is scheduled to end December 31, 2021,</w:t>
      </w:r>
      <w:r w:rsidRPr="00DE147D" w:rsidR="00DE147D">
        <w:rPr>
          <w:color w:val="000000"/>
          <w:szCs w:val="22"/>
        </w:rPr>
        <w:t xml:space="preserve"> in accordance with the Commission’s pre-transaction approval of its qualifications</w:t>
      </w:r>
      <w:r w:rsidR="00B067B1">
        <w:rPr>
          <w:color w:val="000000"/>
          <w:szCs w:val="22"/>
        </w:rPr>
        <w:t>.</w:t>
      </w:r>
      <w:r w:rsidRPr="00B067B1" w:rsidR="00B067B1">
        <w:rPr>
          <w:rStyle w:val="FootnoteReference"/>
          <w:szCs w:val="22"/>
        </w:rPr>
        <w:t xml:space="preserve"> </w:t>
      </w:r>
      <w:r>
        <w:rPr>
          <w:rStyle w:val="FootnoteReference"/>
          <w:szCs w:val="22"/>
        </w:rPr>
        <w:footnoteReference w:id="19"/>
      </w:r>
      <w:r w:rsidR="00B067B1">
        <w:rPr>
          <w:color w:val="000000"/>
          <w:szCs w:val="22"/>
        </w:rPr>
        <w:t xml:space="preserve">  We</w:t>
      </w:r>
      <w:r w:rsidRPr="00DE147D" w:rsidR="00DE147D">
        <w:rPr>
          <w:color w:val="000000"/>
          <w:szCs w:val="22"/>
        </w:rPr>
        <w:t xml:space="preserve"> expect that the proposed transaction will not negatively impact these obligations.</w:t>
      </w:r>
      <w:r w:rsidRPr="00682D96" w:rsidR="00DE147D">
        <w:rPr>
          <w:bCs/>
          <w:color w:val="000000"/>
          <w:szCs w:val="22"/>
        </w:rPr>
        <w:t xml:space="preserve">  </w:t>
      </w:r>
      <w:r w:rsidRPr="00682D96" w:rsidR="00DE147D">
        <w:rPr>
          <w:color w:val="000000"/>
          <w:szCs w:val="22"/>
        </w:rPr>
        <w:t xml:space="preserve">To that end, </w:t>
      </w:r>
      <w:r w:rsidRPr="0099536C" w:rsidR="00DE147D">
        <w:rPr>
          <w:szCs w:val="22"/>
        </w:rPr>
        <w:t>Hanson “acknowledges and affirmatively assumes the commitments, responsibilities, and liabilities agreed to by Consolidated Ohio as a recipient of Connect America Fund (CAF) Phase II support, effective as of the closing of the proposed transaction.”</w:t>
      </w:r>
      <w:r>
        <w:rPr>
          <w:szCs w:val="22"/>
          <w:vertAlign w:val="superscript"/>
        </w:rPr>
        <w:footnoteReference w:id="20"/>
      </w:r>
      <w:r w:rsidRPr="0099536C" w:rsidR="00DE147D">
        <w:rPr>
          <w:szCs w:val="22"/>
        </w:rPr>
        <w:t xml:space="preserve">  </w:t>
      </w:r>
    </w:p>
    <w:p w:rsidR="00A901ED" w:rsidP="00B33C83" w14:paraId="6A9051AB" w14:textId="2FE40ED8">
      <w:pPr>
        <w:widowControl/>
        <w:autoSpaceDE w:val="0"/>
        <w:autoSpaceDN w:val="0"/>
        <w:adjustRightInd w:val="0"/>
        <w:spacing w:after="120"/>
        <w:ind w:firstLine="720"/>
        <w:rPr>
          <w:szCs w:val="22"/>
        </w:rPr>
      </w:pPr>
      <w:r>
        <w:rPr>
          <w:szCs w:val="22"/>
        </w:rPr>
        <w:t xml:space="preserve">We </w:t>
      </w:r>
      <w:r w:rsidRPr="00A901ED">
        <w:rPr>
          <w:szCs w:val="22"/>
        </w:rPr>
        <w:t>next consider whether the proposed transaction is likely to generate verifiable, transaction-specific public interest benefits.</w:t>
      </w:r>
      <w:r>
        <w:rPr>
          <w:szCs w:val="22"/>
          <w:vertAlign w:val="superscript"/>
        </w:rPr>
        <w:footnoteReference w:id="21"/>
      </w:r>
      <w:r w:rsidR="00D22F8D">
        <w:rPr>
          <w:szCs w:val="22"/>
        </w:rPr>
        <w:t xml:space="preserve"> </w:t>
      </w:r>
      <w:r w:rsidRPr="00A901ED">
        <w:rPr>
          <w:szCs w:val="22"/>
        </w:rPr>
        <w:t xml:space="preserve"> Applicants must provide evidence of a claimed benefit to allow the Commission to verify its likelihood and magnitude.</w:t>
      </w:r>
      <w:r>
        <w:rPr>
          <w:szCs w:val="22"/>
          <w:vertAlign w:val="superscript"/>
        </w:rPr>
        <w:footnoteReference w:id="22"/>
      </w:r>
      <w:r w:rsidRPr="00A901ED">
        <w:rPr>
          <w:szCs w:val="22"/>
        </w:rPr>
        <w:t xml:space="preserve">  Where potential harms appear unlikely, as is the </w:t>
      </w:r>
      <w:r w:rsidRPr="00A901ED">
        <w:rPr>
          <w:szCs w:val="22"/>
        </w:rPr>
        <w:t>case with the Application before us here, the Commission accepts a lesser degree of magnitude and likelihood than when harms are present.</w:t>
      </w:r>
      <w:r>
        <w:rPr>
          <w:szCs w:val="22"/>
          <w:vertAlign w:val="superscript"/>
        </w:rPr>
        <w:footnoteReference w:id="23"/>
      </w:r>
      <w:r w:rsidRPr="00A901ED">
        <w:rPr>
          <w:szCs w:val="22"/>
        </w:rPr>
        <w:t xml:space="preserve">  </w:t>
      </w:r>
    </w:p>
    <w:p w:rsidR="00682D96" w:rsidRPr="0076309F" w:rsidP="0076309F" w14:paraId="301919C1" w14:textId="642DEE44">
      <w:pPr>
        <w:widowControl/>
        <w:autoSpaceDE w:val="0"/>
        <w:autoSpaceDN w:val="0"/>
        <w:adjustRightInd w:val="0"/>
        <w:spacing w:after="120"/>
        <w:ind w:firstLine="720"/>
        <w:rPr>
          <w:szCs w:val="22"/>
        </w:rPr>
      </w:pPr>
      <w:r>
        <w:rPr>
          <w:bCs/>
          <w:szCs w:val="22"/>
        </w:rPr>
        <w:t>Applicants claim that</w:t>
      </w:r>
      <w:r w:rsidRPr="007F2E5D" w:rsidR="00B33C83">
        <w:rPr>
          <w:bCs/>
          <w:szCs w:val="22"/>
        </w:rPr>
        <w:t xml:space="preserve"> the proposed transaction </w:t>
      </w:r>
      <w:r w:rsidR="00E81FE9">
        <w:rPr>
          <w:bCs/>
          <w:szCs w:val="22"/>
        </w:rPr>
        <w:t xml:space="preserve">will result in improved services and increased broadband deployment.  Hanson plans to </w:t>
      </w:r>
      <w:r w:rsidR="0089370D">
        <w:rPr>
          <w:bCs/>
          <w:szCs w:val="22"/>
        </w:rPr>
        <w:t>“spend approximately $11 million within in the first five years of acquisition to replace copper and coaxial plant with fiber, specifically Gigabit Passive Optical Network technology (G-PON).</w:t>
      </w:r>
      <w:r w:rsidR="00B90752">
        <w:rPr>
          <w:bCs/>
          <w:szCs w:val="22"/>
        </w:rPr>
        <w:t>”</w:t>
      </w:r>
      <w:r>
        <w:rPr>
          <w:rStyle w:val="FootnoteReference"/>
          <w:bCs/>
          <w:szCs w:val="22"/>
        </w:rPr>
        <w:footnoteReference w:id="24"/>
      </w:r>
      <w:r w:rsidR="0089370D">
        <w:rPr>
          <w:bCs/>
          <w:szCs w:val="22"/>
        </w:rPr>
        <w:t xml:space="preserve">  </w:t>
      </w:r>
      <w:r w:rsidR="00B90752">
        <w:rPr>
          <w:bCs/>
          <w:szCs w:val="22"/>
        </w:rPr>
        <w:t xml:space="preserve">Applicants state that </w:t>
      </w:r>
      <w:r w:rsidR="0089370D">
        <w:rPr>
          <w:bCs/>
          <w:szCs w:val="22"/>
        </w:rPr>
        <w:t>G-PON technology provides scalability to address customer’s needs to gigabit-per-second speeds</w:t>
      </w:r>
      <w:r w:rsidR="00963363">
        <w:rPr>
          <w:bCs/>
          <w:szCs w:val="22"/>
        </w:rPr>
        <w:t>.</w:t>
      </w:r>
      <w:r>
        <w:rPr>
          <w:rStyle w:val="FootnoteReference"/>
          <w:bCs/>
          <w:szCs w:val="22"/>
        </w:rPr>
        <w:footnoteReference w:id="25"/>
      </w:r>
      <w:r w:rsidRPr="007F2E5D" w:rsidR="00B33C83">
        <w:rPr>
          <w:bCs/>
          <w:szCs w:val="22"/>
        </w:rPr>
        <w:t xml:space="preserve"> </w:t>
      </w:r>
      <w:r w:rsidR="00CD7562">
        <w:rPr>
          <w:bCs/>
          <w:szCs w:val="22"/>
        </w:rPr>
        <w:t xml:space="preserve"> </w:t>
      </w:r>
      <w:r w:rsidR="00CE2EED">
        <w:rPr>
          <w:bCs/>
          <w:szCs w:val="22"/>
        </w:rPr>
        <w:t xml:space="preserve">Hanson states that, </w:t>
      </w:r>
      <w:r w:rsidR="008C3396">
        <w:rPr>
          <w:bCs/>
          <w:szCs w:val="22"/>
        </w:rPr>
        <w:t>in spite</w:t>
      </w:r>
      <w:r w:rsidR="00CE2EED">
        <w:rPr>
          <w:bCs/>
          <w:szCs w:val="22"/>
        </w:rPr>
        <w:t xml:space="preserve"> of anticipated supply chain and chip </w:t>
      </w:r>
      <w:r w:rsidR="008C3396">
        <w:rPr>
          <w:bCs/>
          <w:szCs w:val="22"/>
        </w:rPr>
        <w:t>shortages</w:t>
      </w:r>
      <w:r w:rsidR="00CE2EED">
        <w:rPr>
          <w:bCs/>
          <w:szCs w:val="22"/>
        </w:rPr>
        <w:t>, it “expects to be able to begin significant deployment in 2023 as these conditions ease</w:t>
      </w:r>
      <w:r w:rsidR="00B067B1">
        <w:rPr>
          <w:bCs/>
          <w:szCs w:val="22"/>
        </w:rPr>
        <w:t>,</w:t>
      </w:r>
      <w:r w:rsidR="00CE2EED">
        <w:rPr>
          <w:bCs/>
          <w:szCs w:val="22"/>
        </w:rPr>
        <w:t>”</w:t>
      </w:r>
      <w:r>
        <w:rPr>
          <w:rStyle w:val="FootnoteReference"/>
          <w:bCs/>
          <w:szCs w:val="22"/>
        </w:rPr>
        <w:footnoteReference w:id="26"/>
      </w:r>
      <w:r w:rsidR="00B067B1">
        <w:rPr>
          <w:bCs/>
          <w:szCs w:val="22"/>
        </w:rPr>
        <w:t xml:space="preserve"> </w:t>
      </w:r>
      <w:r w:rsidR="00963363">
        <w:rPr>
          <w:bCs/>
          <w:szCs w:val="22"/>
        </w:rPr>
        <w:t>a</w:t>
      </w:r>
      <w:r w:rsidR="00B067B1">
        <w:rPr>
          <w:bCs/>
          <w:szCs w:val="22"/>
        </w:rPr>
        <w:t>nd that it antic</w:t>
      </w:r>
      <w:r w:rsidR="00963363">
        <w:rPr>
          <w:bCs/>
          <w:szCs w:val="22"/>
        </w:rPr>
        <w:t>i</w:t>
      </w:r>
      <w:r w:rsidR="00B067B1">
        <w:rPr>
          <w:bCs/>
          <w:szCs w:val="22"/>
        </w:rPr>
        <w:t xml:space="preserve">pates making gigabit service available to approximately 75% of customers </w:t>
      </w:r>
      <w:r w:rsidR="00963363">
        <w:rPr>
          <w:bCs/>
          <w:szCs w:val="22"/>
        </w:rPr>
        <w:t>within the Consolidate</w:t>
      </w:r>
      <w:r w:rsidR="007D461D">
        <w:rPr>
          <w:bCs/>
          <w:szCs w:val="22"/>
        </w:rPr>
        <w:t>d</w:t>
      </w:r>
      <w:r w:rsidR="00963363">
        <w:rPr>
          <w:bCs/>
          <w:szCs w:val="22"/>
        </w:rPr>
        <w:t xml:space="preserve"> Ohio study areas </w:t>
      </w:r>
      <w:r w:rsidR="00B067B1">
        <w:rPr>
          <w:bCs/>
          <w:szCs w:val="22"/>
        </w:rPr>
        <w:t>within the first five years</w:t>
      </w:r>
      <w:r w:rsidR="00963363">
        <w:rPr>
          <w:bCs/>
          <w:szCs w:val="22"/>
        </w:rPr>
        <w:t xml:space="preserve"> post-transaction.</w:t>
      </w:r>
      <w:r>
        <w:rPr>
          <w:rStyle w:val="FootnoteReference"/>
          <w:bCs/>
          <w:szCs w:val="22"/>
        </w:rPr>
        <w:footnoteReference w:id="27"/>
      </w:r>
      <w:r w:rsidR="00CE2EED">
        <w:rPr>
          <w:bCs/>
          <w:szCs w:val="22"/>
        </w:rPr>
        <w:t xml:space="preserve">  </w:t>
      </w:r>
      <w:r w:rsidRPr="0076309F">
        <w:rPr>
          <w:bCs/>
          <w:szCs w:val="22"/>
        </w:rPr>
        <w:t>The Commission has specified that ensuring consumers receive new or additional services is an important public interest factor.</w:t>
      </w:r>
      <w:r>
        <w:rPr>
          <w:bCs/>
          <w:szCs w:val="22"/>
          <w:vertAlign w:val="superscript"/>
        </w:rPr>
        <w:footnoteReference w:id="28"/>
      </w:r>
      <w:r w:rsidR="0041004C">
        <w:rPr>
          <w:bCs/>
          <w:szCs w:val="22"/>
        </w:rPr>
        <w:t xml:space="preserve"> </w:t>
      </w:r>
      <w:r w:rsidR="0040673A">
        <w:rPr>
          <w:bCs/>
          <w:szCs w:val="22"/>
        </w:rPr>
        <w:t xml:space="preserve"> </w:t>
      </w:r>
      <w:r w:rsidR="00D9630F">
        <w:rPr>
          <w:bCs/>
          <w:szCs w:val="22"/>
        </w:rPr>
        <w:t xml:space="preserve">Moreover, </w:t>
      </w:r>
      <w:r w:rsidRPr="0076309F">
        <w:rPr>
          <w:bCs/>
          <w:szCs w:val="22"/>
        </w:rPr>
        <w:t>accelerating private sector deployment of advanced services</w:t>
      </w:r>
      <w:r w:rsidR="0041004C">
        <w:rPr>
          <w:bCs/>
          <w:szCs w:val="22"/>
        </w:rPr>
        <w:t xml:space="preserve"> is one of the aims of the Communications Act</w:t>
      </w:r>
      <w:r w:rsidRPr="0076309F">
        <w:rPr>
          <w:bCs/>
          <w:szCs w:val="22"/>
        </w:rPr>
        <w:t>.</w:t>
      </w:r>
      <w:r>
        <w:rPr>
          <w:bCs/>
          <w:szCs w:val="22"/>
          <w:vertAlign w:val="superscript"/>
        </w:rPr>
        <w:footnoteReference w:id="29"/>
      </w:r>
      <w:r w:rsidRPr="0076309F">
        <w:rPr>
          <w:bCs/>
          <w:szCs w:val="22"/>
        </w:rPr>
        <w:t xml:space="preserve"> </w:t>
      </w:r>
      <w:r w:rsidR="00F2564B">
        <w:rPr>
          <w:bCs/>
          <w:szCs w:val="22"/>
        </w:rPr>
        <w:t xml:space="preserve"> </w:t>
      </w:r>
      <w:r w:rsidR="00E42555">
        <w:rPr>
          <w:bCs/>
          <w:szCs w:val="22"/>
        </w:rPr>
        <w:t>Hanson</w:t>
      </w:r>
      <w:r w:rsidR="00246575">
        <w:rPr>
          <w:bCs/>
          <w:snapToGrid/>
          <w:kern w:val="0"/>
          <w:szCs w:val="22"/>
        </w:rPr>
        <w:t xml:space="preserve"> </w:t>
      </w:r>
      <w:r w:rsidR="00D9630F">
        <w:rPr>
          <w:bCs/>
          <w:snapToGrid/>
          <w:kern w:val="0"/>
          <w:szCs w:val="22"/>
        </w:rPr>
        <w:t xml:space="preserve">further states that it </w:t>
      </w:r>
      <w:r w:rsidR="00246575">
        <w:rPr>
          <w:bCs/>
          <w:snapToGrid/>
          <w:kern w:val="0"/>
          <w:szCs w:val="22"/>
        </w:rPr>
        <w:t xml:space="preserve">has experience </w:t>
      </w:r>
      <w:r w:rsidR="00E42555">
        <w:rPr>
          <w:bCs/>
          <w:snapToGrid/>
          <w:kern w:val="0"/>
          <w:szCs w:val="22"/>
        </w:rPr>
        <w:t>acquiring carriers and</w:t>
      </w:r>
      <w:r w:rsidR="008E4553">
        <w:rPr>
          <w:bCs/>
          <w:snapToGrid/>
          <w:kern w:val="0"/>
          <w:szCs w:val="22"/>
        </w:rPr>
        <w:t xml:space="preserve"> serving rural markets</w:t>
      </w:r>
      <w:r w:rsidR="00E42555">
        <w:rPr>
          <w:bCs/>
          <w:snapToGrid/>
          <w:kern w:val="0"/>
          <w:szCs w:val="22"/>
        </w:rPr>
        <w:t>.</w:t>
      </w:r>
      <w:r>
        <w:rPr>
          <w:rStyle w:val="FootnoteReference"/>
          <w:bCs/>
          <w:snapToGrid/>
          <w:kern w:val="0"/>
          <w:szCs w:val="22"/>
        </w:rPr>
        <w:footnoteReference w:id="30"/>
      </w:r>
      <w:r w:rsidR="00246575">
        <w:rPr>
          <w:bCs/>
          <w:snapToGrid/>
          <w:kern w:val="0"/>
          <w:szCs w:val="22"/>
        </w:rPr>
        <w:t xml:space="preserve">  </w:t>
      </w:r>
      <w:r>
        <w:rPr>
          <w:bCs/>
          <w:snapToGrid/>
          <w:kern w:val="0"/>
          <w:szCs w:val="22"/>
        </w:rPr>
        <w:t>Based on the record of this proceeding, we find it likely that the proposed transaction would result in some public interest benefits</w:t>
      </w:r>
      <w:r w:rsidR="00246575">
        <w:rPr>
          <w:bCs/>
          <w:snapToGrid/>
          <w:kern w:val="0"/>
          <w:szCs w:val="22"/>
        </w:rPr>
        <w:t xml:space="preserve">, including </w:t>
      </w:r>
      <w:r w:rsidR="00E42555">
        <w:rPr>
          <w:bCs/>
          <w:snapToGrid/>
          <w:kern w:val="0"/>
          <w:szCs w:val="22"/>
        </w:rPr>
        <w:t>improved services and increased broadband deployment</w:t>
      </w:r>
      <w:r>
        <w:rPr>
          <w:bCs/>
          <w:snapToGrid/>
          <w:kern w:val="0"/>
          <w:szCs w:val="22"/>
        </w:rPr>
        <w:t xml:space="preserve">.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D06F09" w:rsidP="00D0137A" w14:paraId="588EC071" w14:textId="7AE7DF6A">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CFR §§ 0.91, 0.291, 63.03, and 63.04, the Bureau hereby grants the </w:t>
      </w:r>
      <w:r w:rsidRPr="00D0137A">
        <w:t>Application</w:t>
      </w:r>
      <w:r w:rsidRPr="00B02A93">
        <w:rPr>
          <w:szCs w:val="22"/>
        </w:rPr>
        <w:t xml:space="preserve"> discussed in this Public Notice.  </w:t>
      </w:r>
    </w:p>
    <w:p w:rsidR="002D7CCE" w:rsidRPr="00B02A93" w:rsidP="00D0137A" w14:paraId="110330C6" w14:textId="00DCCB16">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 xml:space="preserve">s rules, 47 </w:t>
      </w:r>
      <w:r w:rsidRPr="00931D6F" w:rsidR="00931D6F">
        <w:rPr>
          <w:szCs w:val="22"/>
        </w:rPr>
        <w:t xml:space="preserve">CFR </w:t>
      </w:r>
      <w:r w:rsidRPr="00B02A93">
        <w:rPr>
          <w:szCs w:val="22"/>
        </w:rPr>
        <w:t>§ 1.103, the grant is effective upon release of this Public Notice.</w:t>
      </w:r>
      <w:r>
        <w:rPr>
          <w:szCs w:val="22"/>
          <w:vertAlign w:val="superscript"/>
        </w:rPr>
        <w:footnoteReference w:id="31"/>
      </w:r>
      <w:r w:rsidRPr="00B02A93">
        <w:rPr>
          <w:szCs w:val="22"/>
        </w:rPr>
        <w:t xml:space="preserve">  Petitions for reconsideration under section 1.106 or applications for review under section 1.115 of the Commission</w:t>
      </w:r>
      <w:r w:rsidR="00033AD2">
        <w:rPr>
          <w:szCs w:val="22"/>
        </w:rPr>
        <w:t>’</w:t>
      </w:r>
      <w:r w:rsidRPr="00B02A93">
        <w:rPr>
          <w:szCs w:val="22"/>
        </w:rPr>
        <w:t xml:space="preserve">s rules, 47 </w:t>
      </w:r>
      <w:r w:rsidRPr="00931D6F" w:rsidR="00931D6F">
        <w:rPr>
          <w:szCs w:val="22"/>
        </w:rPr>
        <w:t xml:space="preserve">CFR </w:t>
      </w:r>
      <w:r w:rsidRPr="00B02A93">
        <w:rPr>
          <w:szCs w:val="22"/>
        </w:rPr>
        <w:t>§§ 1.106, 1.115, may be filed within 30 days of the date of this Public Notice.</w:t>
      </w:r>
      <w:bookmarkStart w:id="7" w:name="FN[FN9]"/>
      <w:bookmarkStart w:id="8" w:name="sp_999_1"/>
      <w:bookmarkStart w:id="9" w:name="SDU_1"/>
      <w:bookmarkEnd w:id="7"/>
      <w:bookmarkEnd w:id="8"/>
      <w:bookmarkEnd w:id="9"/>
    </w:p>
    <w:p w:rsidR="002D7CCE" w:rsidRPr="00B02A93" w:rsidP="00986B91" w14:paraId="4272D04E" w14:textId="60965599">
      <w:pPr>
        <w:ind w:firstLine="720"/>
        <w:rPr>
          <w:szCs w:val="22"/>
        </w:rPr>
      </w:pPr>
      <w:bookmarkStart w:id="10" w:name="sp_999_2"/>
      <w:bookmarkStart w:id="11" w:name="SDU_2"/>
      <w:bookmarkEnd w:id="10"/>
      <w:bookmarkEnd w:id="11"/>
      <w:r w:rsidRPr="00B02A93">
        <w:rPr>
          <w:szCs w:val="22"/>
        </w:rPr>
        <w:t xml:space="preserve">For further information, please contact </w:t>
      </w:r>
      <w:r w:rsidR="0082522C">
        <w:rPr>
          <w:szCs w:val="22"/>
        </w:rPr>
        <w:t>Dennis Johnson</w:t>
      </w:r>
      <w:r w:rsidRPr="00B02A93">
        <w:rPr>
          <w:szCs w:val="22"/>
        </w:rPr>
        <w:t>, Wireline Competition Bureau, Competition Policy Division, (202) 418-</w:t>
      </w:r>
      <w:r w:rsidR="005A3ADF">
        <w:rPr>
          <w:szCs w:val="22"/>
        </w:rPr>
        <w:t>0</w:t>
      </w:r>
      <w:r w:rsidR="0082522C">
        <w:rPr>
          <w:szCs w:val="22"/>
        </w:rPr>
        <w:t>809</w:t>
      </w:r>
      <w:r w:rsidRPr="00B02A93">
        <w:rPr>
          <w:szCs w:val="22"/>
        </w:rPr>
        <w:t>.</w:t>
      </w:r>
    </w:p>
    <w:p w:rsidR="002D7CCE" w:rsidRPr="00B02A93" w:rsidP="002D7CCE" w14:paraId="49AE18E7" w14:textId="77777777">
      <w:pPr>
        <w:pStyle w:val="Default"/>
        <w:rPr>
          <w:color w:val="auto"/>
          <w:sz w:val="22"/>
          <w:szCs w:val="22"/>
        </w:rPr>
      </w:pPr>
    </w:p>
    <w:p w:rsidR="002D7CCE" w:rsidRPr="00B02A93" w:rsidP="002D7CCE" w14:paraId="36FE2438" w14:textId="77777777">
      <w:pPr>
        <w:pStyle w:val="Default"/>
        <w:jc w:val="center"/>
        <w:rPr>
          <w:b/>
          <w:bCs/>
          <w:color w:val="auto"/>
          <w:sz w:val="22"/>
          <w:szCs w:val="22"/>
        </w:rPr>
      </w:pPr>
      <w:r w:rsidRPr="00B02A93">
        <w:rPr>
          <w:b/>
          <w:bCs/>
          <w:color w:val="auto"/>
          <w:sz w:val="22"/>
          <w:szCs w:val="22"/>
        </w:rPr>
        <w:t>-FCC-</w:t>
      </w:r>
    </w:p>
    <w:p w:rsidR="00B17B13" w:rsidRPr="00B02A93" w:rsidP="00E61137" w14:paraId="1C18641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1B7" w14:paraId="03495BF4" w14:textId="77777777">
      <w:r>
        <w:separator/>
      </w:r>
    </w:p>
  </w:footnote>
  <w:footnote w:type="continuationSeparator" w:id="1">
    <w:p w:rsidR="004131B7" w14:paraId="6D15E03C" w14:textId="77777777">
      <w:pPr>
        <w:rPr>
          <w:sz w:val="20"/>
        </w:rPr>
      </w:pPr>
      <w:r>
        <w:rPr>
          <w:sz w:val="20"/>
        </w:rPr>
        <w:t xml:space="preserve">(Continued from previous page)  </w:t>
      </w:r>
      <w:r>
        <w:rPr>
          <w:sz w:val="20"/>
        </w:rPr>
        <w:separator/>
      </w:r>
    </w:p>
  </w:footnote>
  <w:footnote w:type="continuationNotice" w:id="2">
    <w:p w:rsidR="004131B7" w:rsidP="00910F12" w14:paraId="210EC5FA" w14:textId="77777777">
      <w:pPr>
        <w:jc w:val="right"/>
        <w:rPr>
          <w:sz w:val="20"/>
        </w:rPr>
      </w:pPr>
      <w:r>
        <w:rPr>
          <w:sz w:val="20"/>
        </w:rPr>
        <w:t>(continued….)</w:t>
      </w:r>
    </w:p>
  </w:footnote>
  <w:footnote w:id="3">
    <w:p w:rsidR="000015A4" w:rsidRPr="00010562" w:rsidP="000015A4" w14:paraId="373F1F37" w14:textId="67D72451">
      <w:pPr>
        <w:spacing w:after="120"/>
        <w:rPr>
          <w:sz w:val="20"/>
        </w:rPr>
      </w:pPr>
      <w:r w:rsidRPr="00172874">
        <w:rPr>
          <w:rStyle w:val="FootnoteReference"/>
          <w:sz w:val="20"/>
        </w:rPr>
        <w:footnoteRef/>
      </w:r>
      <w:r w:rsidRPr="00172874">
        <w:rPr>
          <w:sz w:val="20"/>
        </w:rPr>
        <w:t xml:space="preserve"> </w:t>
      </w:r>
      <w:r w:rsidRPr="00172874">
        <w:rPr>
          <w:i/>
          <w:sz w:val="20"/>
        </w:rPr>
        <w:t>See</w:t>
      </w:r>
      <w:r w:rsidRPr="00172874">
        <w:rPr>
          <w:sz w:val="20"/>
        </w:rPr>
        <w:t xml:space="preserve"> 47 U.S.C. § 214; </w:t>
      </w:r>
      <w:bookmarkStart w:id="2" w:name="_Hlk90456665"/>
      <w:r w:rsidRPr="00172874">
        <w:rPr>
          <w:sz w:val="20"/>
        </w:rPr>
        <w:t>47 CFR §§ 63.03-04</w:t>
      </w:r>
      <w:bookmarkEnd w:id="2"/>
      <w:r w:rsidRPr="00172874">
        <w:rPr>
          <w:sz w:val="20"/>
        </w:rPr>
        <w:t xml:space="preserve">. </w:t>
      </w:r>
      <w:r>
        <w:rPr>
          <w:sz w:val="20"/>
        </w:rPr>
        <w:t xml:space="preserve"> </w:t>
      </w:r>
      <w:r w:rsidRPr="00172874">
        <w:rPr>
          <w:sz w:val="20"/>
        </w:rPr>
        <w:t xml:space="preserve">Domestic Section 214 Application Filed for the Acquisition of Assets of Consolidated Communications Of Ohio Company, LLC </w:t>
      </w:r>
      <w:r>
        <w:rPr>
          <w:sz w:val="20"/>
        </w:rPr>
        <w:t>b</w:t>
      </w:r>
      <w:r w:rsidRPr="00172874">
        <w:rPr>
          <w:sz w:val="20"/>
        </w:rPr>
        <w:t>y Hanson Communication Of Ohio, LLC, WC Docket No. 21-399 (filed Oct. 14, 2021)</w:t>
      </w:r>
      <w:r>
        <w:rPr>
          <w:sz w:val="20"/>
        </w:rPr>
        <w:t xml:space="preserve"> </w:t>
      </w:r>
      <w:hyperlink r:id="rId1" w:history="1">
        <w:r w:rsidRPr="004F75C5">
          <w:rPr>
            <w:rStyle w:val="Hyperlink"/>
            <w:sz w:val="20"/>
          </w:rPr>
          <w:t>https://ecfsapi.fcc.gov/file/101416789077/HCI-Consolidated%20214%20Application.pdf</w:t>
        </w:r>
      </w:hyperlink>
      <w:r w:rsidRPr="004F75C5">
        <w:rPr>
          <w:sz w:val="20"/>
        </w:rPr>
        <w:t xml:space="preserve"> </w:t>
      </w:r>
      <w:r>
        <w:rPr>
          <w:sz w:val="20"/>
        </w:rPr>
        <w:t>(Application)</w:t>
      </w:r>
      <w:r w:rsidR="00B801B8">
        <w:rPr>
          <w:sz w:val="20"/>
        </w:rPr>
        <w:t xml:space="preserve">. </w:t>
      </w:r>
      <w:r w:rsidR="00FA16E0">
        <w:rPr>
          <w:sz w:val="20"/>
        </w:rPr>
        <w:t xml:space="preserve"> </w:t>
      </w:r>
      <w:r w:rsidRPr="00172874">
        <w:rPr>
          <w:sz w:val="20"/>
        </w:rPr>
        <w:t xml:space="preserve">Applicants filed a supplement to their application on </w:t>
      </w:r>
      <w:r>
        <w:rPr>
          <w:sz w:val="20"/>
        </w:rPr>
        <w:t>November 4, 2021</w:t>
      </w:r>
      <w:r w:rsidRPr="00172874">
        <w:rPr>
          <w:sz w:val="20"/>
        </w:rPr>
        <w:t xml:space="preserve">.  </w:t>
      </w:r>
      <w:r>
        <w:rPr>
          <w:sz w:val="20"/>
        </w:rPr>
        <w:t xml:space="preserve">Letter from Benjamin Dickens, Jr. and Salvatore Taillefer, Jr., Counsel for Hanson Communications of Ohio, LLC, and Richard Cameron, Counsel for Consolidated Communications, to Marlene H. Dortch, Secretary, FCC, WC Docket No. 21-399 (filed Nov. 4, 2021) (Supplement).  </w:t>
      </w:r>
      <w:r w:rsidRPr="00172874">
        <w:rPr>
          <w:sz w:val="20"/>
        </w:rPr>
        <w:t xml:space="preserve">Applicants also filed an </w:t>
      </w:r>
      <w:r w:rsidRPr="00010562">
        <w:rPr>
          <w:sz w:val="20"/>
        </w:rPr>
        <w:t xml:space="preserve">application for the assignment of international authorizations.  Any action on the domestic 214 application is without prejudice to </w:t>
      </w:r>
      <w:r>
        <w:rPr>
          <w:sz w:val="20"/>
        </w:rPr>
        <w:t xml:space="preserve">Commission action on </w:t>
      </w:r>
      <w:r w:rsidRPr="00010562">
        <w:rPr>
          <w:sz w:val="20"/>
        </w:rPr>
        <w:t xml:space="preserve">other pending applications.  </w:t>
      </w:r>
    </w:p>
  </w:footnote>
  <w:footnote w:id="4">
    <w:p w:rsidR="008774D9" w:rsidP="005F5D60" w14:paraId="45CA48F1" w14:textId="66AD5C08">
      <w:pPr>
        <w:spacing w:after="120"/>
      </w:pPr>
      <w:r>
        <w:rPr>
          <w:rStyle w:val="FootnoteReference"/>
        </w:rPr>
        <w:footnoteRef/>
      </w:r>
      <w:bookmarkStart w:id="3" w:name="_Hlk519509475"/>
      <w:bookmarkStart w:id="4" w:name="_Hlk502044717"/>
      <w:bookmarkStart w:id="5" w:name="_Hlk516578398"/>
      <w:r w:rsidR="00B0107B">
        <w:rPr>
          <w:sz w:val="20"/>
        </w:rPr>
        <w:t xml:space="preserve"> </w:t>
      </w:r>
      <w:r w:rsidR="00B801B8">
        <w:rPr>
          <w:sz w:val="20"/>
        </w:rPr>
        <w:t xml:space="preserve"> </w:t>
      </w:r>
      <w:bookmarkEnd w:id="3"/>
      <w:bookmarkEnd w:id="4"/>
      <w:bookmarkEnd w:id="5"/>
      <w:r w:rsidRPr="00FA16E0" w:rsidR="00B0107B">
        <w:rPr>
          <w:i/>
          <w:iCs/>
          <w:sz w:val="20"/>
        </w:rPr>
        <w:t>Domestic Section 214 Application Filed for the Acquisition of Assets of Consolidated Communications of Ohio Company, LLC By Hanson Communications of Ohio, LLC</w:t>
      </w:r>
      <w:r w:rsidR="00B0107B">
        <w:rPr>
          <w:sz w:val="20"/>
        </w:rPr>
        <w:t>, WC Docket No. 21-199, Public Notice, DA 21-1416 (WCB Nov. 10, 2021).</w:t>
      </w:r>
    </w:p>
  </w:footnote>
  <w:footnote w:id="5">
    <w:p w:rsidR="00B801B8" w:rsidRPr="00010562" w:rsidP="00B801B8" w14:paraId="60AE36A5" w14:textId="77777777">
      <w:pPr>
        <w:pStyle w:val="FootnoteText"/>
      </w:pPr>
      <w:r w:rsidRPr="00010562">
        <w:rPr>
          <w:rStyle w:val="FootnoteReference"/>
        </w:rPr>
        <w:footnoteRef/>
      </w:r>
      <w:r w:rsidRPr="00010562">
        <w:t xml:space="preserve"> Application at 1-2, 6.</w:t>
      </w:r>
    </w:p>
  </w:footnote>
  <w:footnote w:id="6">
    <w:p w:rsidR="00B801B8" w:rsidRPr="008A4526" w:rsidP="00B801B8" w14:paraId="167341D1" w14:textId="77777777">
      <w:pPr>
        <w:pStyle w:val="FootnoteText"/>
      </w:pPr>
      <w:r w:rsidRPr="00DF10F2">
        <w:rPr>
          <w:rStyle w:val="FootnoteReference"/>
        </w:rPr>
        <w:footnoteRef/>
      </w:r>
      <w:r w:rsidRPr="00DF10F2">
        <w:t xml:space="preserve"> </w:t>
      </w:r>
      <w:r w:rsidRPr="00EF4BA9">
        <w:rPr>
          <w:i/>
          <w:iCs/>
        </w:rPr>
        <w:t>Id</w:t>
      </w:r>
      <w:r>
        <w:t xml:space="preserve">. </w:t>
      </w:r>
      <w:r w:rsidRPr="00DF10F2">
        <w:t>at 6.</w:t>
      </w:r>
      <w:r>
        <w:t xml:space="preserve">  Applicants state that Consolidated Ohio’s predecessors in interest accepted Connect America Fund Phase II universal service support, and that Consolidated Ohio was required to offer voice and broadband service to 1,247 locations in Ohio for annual support of $420,997.</w:t>
      </w:r>
      <w:r w:rsidRPr="00DF10F2">
        <w:t xml:space="preserve"> </w:t>
      </w:r>
      <w:r>
        <w:t xml:space="preserve"> </w:t>
      </w:r>
      <w:r>
        <w:rPr>
          <w:i/>
          <w:iCs/>
        </w:rPr>
        <w:t>Id</w:t>
      </w:r>
      <w:r>
        <w:t xml:space="preserve">. at 6 (citing </w:t>
      </w:r>
      <w:r w:rsidRPr="008A4526">
        <w:rPr>
          <w:i/>
          <w:iCs/>
        </w:rPr>
        <w:t>Wireline Competition Bureau Authorizes Fairpoint to Receive Over $37 Million in Connect America Phase II Support in 14 States</w:t>
      </w:r>
      <w:r>
        <w:t>, WC Docket No. 10-90, Public Notice, 30 FCC Rcd 8435 (WCB 2015)).</w:t>
      </w:r>
    </w:p>
  </w:footnote>
  <w:footnote w:id="7">
    <w:p w:rsidR="00B801B8" w:rsidRPr="00573C1D" w:rsidP="00B801B8" w14:paraId="7B9186F2" w14:textId="77777777">
      <w:pPr>
        <w:pStyle w:val="FootnoteText"/>
      </w:pPr>
      <w:r w:rsidRPr="00573C1D">
        <w:rPr>
          <w:rStyle w:val="FootnoteReference"/>
        </w:rPr>
        <w:footnoteRef/>
      </w:r>
      <w:r w:rsidRPr="00573C1D">
        <w:t xml:space="preserve"> </w:t>
      </w:r>
      <w:r>
        <w:t>Application</w:t>
      </w:r>
      <w:r w:rsidRPr="00573C1D">
        <w:t xml:space="preserve"> at 4-5.</w:t>
      </w:r>
    </w:p>
  </w:footnote>
  <w:footnote w:id="8">
    <w:p w:rsidR="00B801B8" w:rsidRPr="00B74F9E" w:rsidP="00B801B8" w14:paraId="18F2F232" w14:textId="77777777">
      <w:pPr>
        <w:pStyle w:val="FootnoteText"/>
      </w:pPr>
      <w:r w:rsidRPr="00B74F9E">
        <w:rPr>
          <w:rStyle w:val="FootnoteReference"/>
        </w:rPr>
        <w:footnoteRef/>
      </w:r>
      <w:r w:rsidRPr="00B74F9E">
        <w:t xml:space="preserve"> </w:t>
      </w:r>
      <w:r w:rsidRPr="00CF2E41">
        <w:rPr>
          <w:i/>
          <w:iCs/>
        </w:rPr>
        <w:t>Id.</w:t>
      </w:r>
      <w:r>
        <w:t xml:space="preserve"> at 5.  </w:t>
      </w:r>
      <w:r w:rsidRPr="00B74F9E">
        <w:t xml:space="preserve">HCI’s incumbent LEC subsidiaries are Clara City Telephone Company, Sacred Heart Telephone Company, Fort Randall Telephone Company d/b/a Mt. Rushmore Telephone Company, Starbuck Telephone Company, Telephone Service Company, The Middle Point Home Telephone Company, </w:t>
      </w:r>
      <w:r>
        <w:t xml:space="preserve">and </w:t>
      </w:r>
      <w:r w:rsidRPr="00B74F9E">
        <w:t>Zumbrota Telephone Company.</w:t>
      </w:r>
      <w:r>
        <w:t xml:space="preserve">  Application at Exhibit B (Hanson Communications, Inc. ILEC Affiliate Chart). </w:t>
      </w:r>
    </w:p>
  </w:footnote>
  <w:footnote w:id="9">
    <w:p w:rsidR="00123CE5" w:rsidRPr="00C66B90" w:rsidP="00123CE5" w14:paraId="24D3C173" w14:textId="77777777">
      <w:pPr>
        <w:pStyle w:val="FootnoteText"/>
      </w:pPr>
      <w:r w:rsidRPr="00C66B90">
        <w:rPr>
          <w:rStyle w:val="FootnoteReference"/>
        </w:rPr>
        <w:footnoteRef/>
      </w:r>
      <w:r w:rsidRPr="00C66B90">
        <w:t xml:space="preserve"> Supplement at 4.</w:t>
      </w:r>
    </w:p>
  </w:footnote>
  <w:footnote w:id="10">
    <w:p w:rsidR="00B801B8" w:rsidRPr="00435C54" w:rsidP="00B801B8" w14:paraId="71FD3651" w14:textId="77777777">
      <w:pPr>
        <w:pStyle w:val="FootnoteText"/>
      </w:pPr>
      <w:r w:rsidRPr="00435C54">
        <w:rPr>
          <w:rStyle w:val="FootnoteReference"/>
        </w:rPr>
        <w:footnoteRef/>
      </w:r>
      <w:r w:rsidRPr="00435C54">
        <w:t xml:space="preserve"> </w:t>
      </w:r>
      <w:r w:rsidRPr="00CF2E41">
        <w:rPr>
          <w:i/>
          <w:iCs/>
        </w:rPr>
        <w:t>Id.</w:t>
      </w:r>
      <w:r w:rsidRPr="00435C54">
        <w:t xml:space="preserve"> at 2-3.</w:t>
      </w:r>
      <w:r>
        <w:t xml:space="preserve">  Applicants state that the remaining 31.23% (approximately) is held by </w:t>
      </w:r>
      <w:r w:rsidRPr="00435C54">
        <w:rPr>
          <w:snapToGrid w:val="0"/>
          <w:kern w:val="28"/>
        </w:rPr>
        <w:t>“ten individual qualified subchapter S</w:t>
      </w:r>
      <w:r>
        <w:rPr>
          <w:snapToGrid w:val="0"/>
          <w:kern w:val="28"/>
        </w:rPr>
        <w:t xml:space="preserve"> trusts with ten individual family-member beneficiaries, each in the amount of 3.12% equity.”  Supplement at 3.  Each beneficiary is a U.S. citizen, and Maria J. Hanson, a U.S. citizen, is the trustee for five of the trusts, and Douglas Anderson, a U.S. citizen, is the trustee for the other five trusts.  Supplement at 3.   </w:t>
      </w:r>
      <w:r w:rsidRPr="00435C54">
        <w:t xml:space="preserve">  </w:t>
      </w:r>
    </w:p>
  </w:footnote>
  <w:footnote w:id="11">
    <w:p w:rsidR="00AF5073" w:rsidRPr="00B45E7F" w:rsidP="00AF5073" w14:paraId="62360FC8" w14:textId="77777777">
      <w:pPr>
        <w:pStyle w:val="FootnoteText"/>
      </w:pPr>
      <w:r w:rsidRPr="00B45E7F">
        <w:rPr>
          <w:rStyle w:val="FootnoteReference"/>
        </w:rPr>
        <w:footnoteRef/>
      </w:r>
      <w:r w:rsidRPr="00B45E7F">
        <w:t xml:space="preserve"> Application at 7.</w:t>
      </w:r>
    </w:p>
  </w:footnote>
  <w:footnote w:id="12">
    <w:p w:rsidR="00AF5073" w:rsidRPr="00B45E7F" w:rsidP="00AF5073" w14:paraId="4F084891" w14:textId="77777777">
      <w:pPr>
        <w:pStyle w:val="FootnoteText"/>
      </w:pPr>
      <w:r w:rsidRPr="00B45E7F">
        <w:rPr>
          <w:rStyle w:val="FootnoteReference"/>
        </w:rPr>
        <w:footnoteRef/>
      </w:r>
      <w:r w:rsidRPr="00B45E7F">
        <w:t xml:space="preserve"> </w:t>
      </w:r>
      <w:r w:rsidRPr="00B45E7F">
        <w:rPr>
          <w:i/>
          <w:iCs/>
        </w:rPr>
        <w:t>Id.</w:t>
      </w:r>
      <w:r w:rsidRPr="00B45E7F">
        <w:t xml:space="preserve"> at 7.</w:t>
      </w:r>
    </w:p>
  </w:footnote>
  <w:footnote w:id="13">
    <w:p w:rsidR="00DB7A93" w:rsidRPr="00C37B71" w:rsidP="00DB7A93" w14:paraId="2B0BF16B" w14:textId="77777777">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Application of Verizon Communications Inc. and América Móvil S.A.B. de C.V for Consent to Transfer Control of International Section 214 Authorization</w:t>
      </w:r>
      <w:r w:rsidRPr="006E3ED7">
        <w:t>, GN Docket No. 21-112; IBFS File No. ITC-T/C-20200930-00173, Memorandum Opinion and Order, FCC 21-121, at para. 21 (rel. Nov. 22, 2021) (</w:t>
      </w:r>
      <w:r w:rsidRPr="00C37B71">
        <w:rPr>
          <w:i/>
          <w:iCs/>
        </w:rPr>
        <w:t>Verizon-TracFone Order</w:t>
      </w:r>
      <w:r w:rsidRPr="00C37B71">
        <w:t>)</w:t>
      </w:r>
      <w:r w:rsidRPr="00C37B71">
        <w:rPr>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Rcd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MB Docket No. 05-192, Memorandum Opinion and Order, 21 FCC Rcd 8203, 8219-21, paras. 27-28 (2006) (</w:t>
      </w:r>
      <w:r w:rsidRPr="00C37B71">
        <w:rPr>
          <w:i/>
          <w:iCs/>
        </w:rPr>
        <w:t>Adelphia-TWC Order</w:t>
      </w:r>
      <w:r w:rsidRPr="00C37B71">
        <w:t>))</w:t>
      </w:r>
      <w:r>
        <w:t>.</w:t>
      </w:r>
    </w:p>
  </w:footnote>
  <w:footnote w:id="14">
    <w:p w:rsidR="00DB7A93" w:rsidRPr="00B83976" w:rsidP="00DB7A93" w14:paraId="04394CDF"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15">
    <w:p w:rsidR="00DB7A93" w:rsidRPr="00B83976" w:rsidP="00DB7A93" w14:paraId="2546C6ED"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sidRPr="00B83976">
        <w:rPr>
          <w:i/>
        </w:rPr>
        <w:t>EchoStar-DIRECTV HDO</w:t>
      </w:r>
      <w:r>
        <w:rPr>
          <w:iCs/>
        </w:rPr>
        <w:t>) (further internal citations omitted)</w:t>
      </w:r>
      <w:r w:rsidRPr="00B83976">
        <w:t>.</w:t>
      </w:r>
    </w:p>
  </w:footnote>
  <w:footnote w:id="16">
    <w:p w:rsidR="00845236" w:rsidRPr="00C66B90" w:rsidP="00845236" w14:paraId="457920FE" w14:textId="04C6587C">
      <w:pPr>
        <w:pStyle w:val="FootnoteText"/>
      </w:pPr>
      <w:r w:rsidRPr="00C66B90">
        <w:rPr>
          <w:rStyle w:val="FootnoteReference"/>
        </w:rPr>
        <w:footnoteRef/>
      </w:r>
      <w:r w:rsidRPr="00C66B90">
        <w:t xml:space="preserve"> </w:t>
      </w:r>
      <w:r>
        <w:t xml:space="preserve">Application at 10-11; </w:t>
      </w:r>
      <w:r w:rsidRPr="00C66B90">
        <w:t>Supplement at 4.</w:t>
      </w:r>
      <w:r>
        <w:t xml:space="preserve">  </w:t>
      </w:r>
    </w:p>
  </w:footnote>
  <w:footnote w:id="17">
    <w:p w:rsidR="00562CA1" w14:paraId="79031CCF" w14:textId="5592EDED">
      <w:pPr>
        <w:pStyle w:val="FootnoteText"/>
      </w:pPr>
      <w:r>
        <w:rPr>
          <w:rStyle w:val="FootnoteReference"/>
        </w:rPr>
        <w:footnoteRef/>
      </w:r>
      <w:r>
        <w:t xml:space="preserve"> Supplement at 4.</w:t>
      </w:r>
    </w:p>
  </w:footnote>
  <w:footnote w:id="18">
    <w:p w:rsidR="00834780" w:rsidRPr="00562CA1" w14:paraId="3BFC479A" w14:textId="19C172E9">
      <w:pPr>
        <w:pStyle w:val="FootnoteText"/>
        <w:rPr>
          <w:color w:val="000000" w:themeColor="text1"/>
        </w:rPr>
      </w:pPr>
      <w:r>
        <w:rPr>
          <w:rStyle w:val="FootnoteReference"/>
        </w:rPr>
        <w:footnoteRef/>
      </w:r>
      <w:r w:rsidRPr="00DE58ED" w:rsidR="00DE58ED">
        <w:t xml:space="preserve"> </w:t>
      </w:r>
      <w:r w:rsidRPr="00562CA1" w:rsidR="00DE58ED">
        <w:rPr>
          <w:i/>
          <w:color w:val="000000" w:themeColor="text1"/>
        </w:rPr>
        <w:t>See</w:t>
      </w:r>
      <w:r w:rsidR="00562CA1">
        <w:rPr>
          <w:i/>
          <w:color w:val="000000" w:themeColor="text1"/>
        </w:rPr>
        <w:t xml:space="preserve"> </w:t>
      </w:r>
      <w:r w:rsidRPr="00562CA1" w:rsidR="00AF6BC6">
        <w:rPr>
          <w:i/>
          <w:iCs/>
          <w:color w:val="000000" w:themeColor="text1"/>
        </w:rPr>
        <w:t>Joint Applications of Telephone and Data Systems, Inc. and Chorus Communications, Ltd. For Authority to Transfer Control of Commission Licenses and Authorizations Pursuant to Sections 214 and 310(d) of the Communications Act and Parts 22, 63 and 90 of the Commission's Rules</w:t>
      </w:r>
      <w:r w:rsidRPr="00562CA1" w:rsidR="00AF6BC6">
        <w:rPr>
          <w:color w:val="000000" w:themeColor="text1"/>
        </w:rPr>
        <w:t>, Memorandum Opinion and Order, 16 FCC Rcd 15293, 15296-99</w:t>
      </w:r>
      <w:r w:rsidRPr="00562CA1" w:rsidR="00562CA1">
        <w:rPr>
          <w:color w:val="000000" w:themeColor="text1"/>
        </w:rPr>
        <w:t xml:space="preserve">, para. 9-10 </w:t>
      </w:r>
      <w:r w:rsidRPr="00562CA1" w:rsidR="00AF6BC6">
        <w:rPr>
          <w:color w:val="000000" w:themeColor="text1"/>
        </w:rPr>
        <w:t>(CCB/WTB 2001)</w:t>
      </w:r>
      <w:r w:rsidRPr="00562CA1" w:rsidR="00562CA1">
        <w:rPr>
          <w:color w:val="000000" w:themeColor="text1"/>
        </w:rPr>
        <w:t xml:space="preserve"> (</w:t>
      </w:r>
      <w:r w:rsidRPr="00562CA1" w:rsidR="00AF6BC6">
        <w:rPr>
          <w:color w:val="000000" w:themeColor="text1"/>
        </w:rPr>
        <w:t>authorizing</w:t>
      </w:r>
      <w:r w:rsidRPr="00562CA1" w:rsidR="00562CA1">
        <w:rPr>
          <w:color w:val="000000" w:themeColor="text1"/>
        </w:rPr>
        <w:t xml:space="preserve"> a</w:t>
      </w:r>
      <w:r w:rsidRPr="00562CA1" w:rsidR="00AF6BC6">
        <w:rPr>
          <w:color w:val="000000" w:themeColor="text1"/>
        </w:rPr>
        <w:t xml:space="preserve"> transfer of control involving an incumbent LEC and a competitive in-region provider of local exchange and exchange access services where overlap was limited and the transaction overall resulted in public interest benefits</w:t>
      </w:r>
      <w:r w:rsidRPr="00562CA1" w:rsidR="00562CA1">
        <w:rPr>
          <w:color w:val="000000" w:themeColor="text1"/>
        </w:rPr>
        <w:t xml:space="preserve">, and finding no concerns where the competitive LEC did not intend further entry into the market of the other party, also citing </w:t>
      </w:r>
      <w:r w:rsidRPr="00562CA1" w:rsidR="00562CA1">
        <w:rPr>
          <w:i/>
          <w:iCs/>
          <w:snapToGrid w:val="0"/>
          <w:color w:val="000000" w:themeColor="text1"/>
          <w:kern w:val="28"/>
          <w:bdr w:val="none" w:sz="0" w:space="0" w:color="auto" w:frame="1"/>
          <w:shd w:val="clear" w:color="auto" w:fill="FFFFFF"/>
        </w:rPr>
        <w:t>Application of GTE Corporation, Transferor, and Bell Atlantic Corporation, Transferee, for Consent to Transfer Control of Domestic and International </w:t>
      </w:r>
      <w:hyperlink r:id="rId2" w:history="1">
        <w:r w:rsidRPr="00562CA1" w:rsidR="00562CA1">
          <w:rPr>
            <w:i/>
            <w:iCs/>
            <w:snapToGrid w:val="0"/>
            <w:color w:val="000000" w:themeColor="text1"/>
            <w:kern w:val="28"/>
            <w:bdr w:val="none" w:sz="0" w:space="0" w:color="auto" w:frame="1"/>
          </w:rPr>
          <w:t>Sections 214</w:t>
        </w:r>
      </w:hyperlink>
      <w:r w:rsidRPr="00562CA1" w:rsidR="00562CA1">
        <w:rPr>
          <w:i/>
          <w:iCs/>
          <w:snapToGrid w:val="0"/>
          <w:color w:val="000000" w:themeColor="text1"/>
          <w:kern w:val="28"/>
          <w:bdr w:val="none" w:sz="0" w:space="0" w:color="auto" w:frame="1"/>
          <w:shd w:val="clear" w:color="auto" w:fill="FFFFFF"/>
        </w:rPr>
        <w:t> and </w:t>
      </w:r>
      <w:hyperlink r:id="rId3" w:history="1">
        <w:r w:rsidRPr="00562CA1" w:rsidR="00562CA1">
          <w:rPr>
            <w:i/>
            <w:iCs/>
            <w:snapToGrid w:val="0"/>
            <w:color w:val="000000" w:themeColor="text1"/>
            <w:kern w:val="28"/>
            <w:bdr w:val="none" w:sz="0" w:space="0" w:color="auto" w:frame="1"/>
          </w:rPr>
          <w:t>310</w:t>
        </w:r>
      </w:hyperlink>
      <w:r w:rsidRPr="00562CA1" w:rsidR="00562CA1">
        <w:rPr>
          <w:i/>
          <w:iCs/>
          <w:snapToGrid w:val="0"/>
          <w:color w:val="000000" w:themeColor="text1"/>
          <w:kern w:val="28"/>
          <w:bdr w:val="none" w:sz="0" w:space="0" w:color="auto" w:frame="1"/>
          <w:shd w:val="clear" w:color="auto" w:fill="FFFFFF"/>
        </w:rPr>
        <w:t> Authorizations and Application to Transfer Control of a Submarine Cable Landing License</w:t>
      </w:r>
      <w:r w:rsidRPr="00562CA1" w:rsidR="00562CA1">
        <w:rPr>
          <w:snapToGrid w:val="0"/>
          <w:color w:val="000000" w:themeColor="text1"/>
          <w:kern w:val="28"/>
          <w:shd w:val="clear" w:color="auto" w:fill="FFFFFF"/>
        </w:rPr>
        <w:t>, CC Docket No. 98-184, Memorandum Opinion and Order, </w:t>
      </w:r>
      <w:hyperlink r:id="rId4" w:history="1">
        <w:r w:rsidRPr="00562CA1" w:rsidR="00562CA1">
          <w:rPr>
            <w:snapToGrid w:val="0"/>
            <w:color w:val="000000" w:themeColor="text1"/>
            <w:kern w:val="28"/>
            <w:bdr w:val="none" w:sz="0" w:space="0" w:color="auto" w:frame="1"/>
            <w:shd w:val="clear" w:color="auto" w:fill="FFFFFF"/>
          </w:rPr>
          <w:t>15 FCC Rcd 14,032, 14,088, 14,090-92, paras. 100, 105, 108, 110 (2000)</w:t>
        </w:r>
      </w:hyperlink>
      <w:r w:rsidRPr="00562CA1" w:rsidR="00562CA1">
        <w:rPr>
          <w:snapToGrid w:val="0"/>
          <w:color w:val="000000" w:themeColor="text1"/>
          <w:kern w:val="28"/>
          <w:shd w:val="clear" w:color="auto" w:fill="FFFFFF"/>
        </w:rPr>
        <w:t xml:space="preserve">; </w:t>
      </w:r>
      <w:r w:rsidRPr="00562CA1" w:rsidR="00562CA1">
        <w:rPr>
          <w:i/>
          <w:iCs/>
          <w:snapToGrid w:val="0"/>
          <w:color w:val="000000" w:themeColor="text1"/>
          <w:kern w:val="28"/>
          <w:bdr w:val="none" w:sz="0" w:space="0" w:color="auto" w:frame="1"/>
          <w:shd w:val="clear" w:color="auto" w:fill="FFFFFF"/>
        </w:rPr>
        <w:t>Application of Ameritech Corp., Transferor, and SBC Communications Inc., Transferee, for Consent to Transfer Control of Corporations Holding Commission Licenses and Lines Pursuant to </w:t>
      </w:r>
      <w:hyperlink r:id="rId2" w:history="1">
        <w:r w:rsidRPr="00562CA1" w:rsidR="00562CA1">
          <w:rPr>
            <w:i/>
            <w:iCs/>
            <w:snapToGrid w:val="0"/>
            <w:color w:val="000000" w:themeColor="text1"/>
            <w:kern w:val="28"/>
            <w:bdr w:val="none" w:sz="0" w:space="0" w:color="auto" w:frame="1"/>
          </w:rPr>
          <w:t>Sections 214</w:t>
        </w:r>
      </w:hyperlink>
      <w:r w:rsidRPr="00562CA1" w:rsidR="00562CA1">
        <w:rPr>
          <w:i/>
          <w:iCs/>
          <w:snapToGrid w:val="0"/>
          <w:color w:val="000000" w:themeColor="text1"/>
          <w:kern w:val="28"/>
          <w:bdr w:val="none" w:sz="0" w:space="0" w:color="auto" w:frame="1"/>
          <w:shd w:val="clear" w:color="auto" w:fill="FFFFFF"/>
        </w:rPr>
        <w:t> and </w:t>
      </w:r>
      <w:hyperlink r:id="rId3" w:history="1">
        <w:r w:rsidRPr="00562CA1" w:rsidR="00562CA1">
          <w:rPr>
            <w:i/>
            <w:iCs/>
            <w:snapToGrid w:val="0"/>
            <w:color w:val="000000" w:themeColor="text1"/>
            <w:kern w:val="28"/>
            <w:bdr w:val="none" w:sz="0" w:space="0" w:color="auto" w:frame="1"/>
          </w:rPr>
          <w:t>310(d)</w:t>
        </w:r>
      </w:hyperlink>
      <w:r w:rsidRPr="00562CA1" w:rsidR="00562CA1">
        <w:rPr>
          <w:i/>
          <w:iCs/>
          <w:snapToGrid w:val="0"/>
          <w:color w:val="000000" w:themeColor="text1"/>
          <w:kern w:val="28"/>
          <w:bdr w:val="none" w:sz="0" w:space="0" w:color="auto" w:frame="1"/>
          <w:shd w:val="clear" w:color="auto" w:fill="FFFFFF"/>
        </w:rPr>
        <w:t> of the Communications Act and Parts 5, 22, 24, 25, 63, 90, 95 and 101 of the Commission's Rules</w:t>
      </w:r>
      <w:r w:rsidRPr="00562CA1" w:rsidR="00562CA1">
        <w:rPr>
          <w:snapToGrid w:val="0"/>
          <w:color w:val="000000" w:themeColor="text1"/>
          <w:kern w:val="28"/>
          <w:shd w:val="clear" w:color="auto" w:fill="FFFFFF"/>
        </w:rPr>
        <w:t>, CC Docket No. 98-141, Memorandum Opinion and Order, </w:t>
      </w:r>
      <w:hyperlink r:id="rId5" w:history="1">
        <w:r w:rsidRPr="00562CA1" w:rsidR="00562CA1">
          <w:rPr>
            <w:snapToGrid w:val="0"/>
            <w:color w:val="000000" w:themeColor="text1"/>
            <w:kern w:val="28"/>
            <w:bdr w:val="none" w:sz="0" w:space="0" w:color="auto" w:frame="1"/>
            <w:shd w:val="clear" w:color="auto" w:fill="FFFFFF"/>
          </w:rPr>
          <w:t>14 FCC Rcd 14,712, 14,745, para. 66 (1999)</w:t>
        </w:r>
      </w:hyperlink>
      <w:r w:rsidR="00562CA1">
        <w:rPr>
          <w:snapToGrid w:val="0"/>
          <w:color w:val="000000" w:themeColor="text1"/>
          <w:kern w:val="28"/>
        </w:rPr>
        <w:t>)</w:t>
      </w:r>
      <w:r w:rsidRPr="00562CA1" w:rsidR="00562CA1">
        <w:rPr>
          <w:snapToGrid w:val="0"/>
          <w:color w:val="000000" w:themeColor="text1"/>
          <w:kern w:val="28"/>
          <w:shd w:val="clear" w:color="auto" w:fill="FFFFFF"/>
        </w:rPr>
        <w:t>.</w:t>
      </w:r>
    </w:p>
  </w:footnote>
  <w:footnote w:id="19">
    <w:p w:rsidR="00B067B1" w:rsidP="00B067B1" w14:paraId="37E4F00C" w14:textId="77777777">
      <w:pPr>
        <w:pStyle w:val="FootnoteText"/>
      </w:pPr>
      <w:r>
        <w:rPr>
          <w:rStyle w:val="FootnoteReference"/>
        </w:rPr>
        <w:footnoteRef/>
      </w:r>
      <w:r>
        <w:t xml:space="preserve"> Application at 11-12; Supplement at 3-4.</w:t>
      </w:r>
    </w:p>
  </w:footnote>
  <w:footnote w:id="20">
    <w:p w:rsidR="00DE147D" w:rsidRPr="006E4B74" w:rsidP="00DE147D" w14:paraId="5736CF62" w14:textId="4C35255B">
      <w:pPr>
        <w:pStyle w:val="FootnoteText"/>
      </w:pPr>
      <w:r w:rsidRPr="00D22F8D">
        <w:rPr>
          <w:rStyle w:val="FootnoteReference"/>
          <w:sz w:val="20"/>
        </w:rPr>
        <w:footnoteRef/>
      </w:r>
      <w:r w:rsidRPr="00042621">
        <w:t xml:space="preserve"> </w:t>
      </w:r>
      <w:r w:rsidRPr="00042621" w:rsidR="00FA6912">
        <w:t>Supplement</w:t>
      </w:r>
      <w:r w:rsidRPr="00042621">
        <w:t xml:space="preserve"> at 3.</w:t>
      </w:r>
      <w:r w:rsidRPr="00042621" w:rsidR="00E8430F">
        <w:t xml:space="preserve"> </w:t>
      </w:r>
      <w:r w:rsidRPr="00042621">
        <w:t xml:space="preserve"> </w:t>
      </w:r>
      <w:r w:rsidRPr="00042621" w:rsidR="00E8430F">
        <w:rPr>
          <w:i/>
          <w:iCs/>
        </w:rPr>
        <w:t>See</w:t>
      </w:r>
      <w:r w:rsidRPr="00042621" w:rsidR="00E8430F">
        <w:t xml:space="preserve"> Application at 7 (“Both Consolidated Ohio and HCI are parties to an Asset Purchase Agreement (“APA”) whereby Consolidated Ohio has agreed to sell and assign to HCI, and HCI has agreed to purchase, substantially all of the assets, property, and rights of Consolidated Ohio. </w:t>
      </w:r>
      <w:r w:rsidR="00B067B1">
        <w:t xml:space="preserve"> </w:t>
      </w:r>
      <w:r w:rsidRPr="00042621" w:rsidR="00E8430F">
        <w:t>Following the closing of the Transaction, the assets, property, and rights currently held by Consolidated Ohio will be owned and operated by Hanson, a subsidiary of HCI created for that purpose.”).</w:t>
      </w:r>
      <w:r w:rsidRPr="00042621" w:rsidR="00CC2BE4">
        <w:t xml:space="preserve">  </w:t>
      </w:r>
      <w:r w:rsidRPr="00D22F8D" w:rsidR="00CC2BE4">
        <w:rPr>
          <w:color w:val="201F1E"/>
          <w:shd w:val="clear" w:color="auto" w:fill="FFFFFF"/>
        </w:rPr>
        <w:t xml:space="preserve">The Consolidated </w:t>
      </w:r>
      <w:r w:rsidRPr="00D22F8D" w:rsidR="00042621">
        <w:rPr>
          <w:color w:val="201F1E"/>
          <w:shd w:val="clear" w:color="auto" w:fill="FFFFFF"/>
        </w:rPr>
        <w:t xml:space="preserve">Ohio service </w:t>
      </w:r>
      <w:r w:rsidRPr="00D22F8D" w:rsidR="00CC2BE4">
        <w:rPr>
          <w:color w:val="201F1E"/>
          <w:shd w:val="clear" w:color="auto" w:fill="FFFFFF"/>
        </w:rPr>
        <w:t xml:space="preserve">areas receive CAF Phase II </w:t>
      </w:r>
      <w:r w:rsidRPr="00555095" w:rsidR="00555095">
        <w:rPr>
          <w:color w:val="201F1E"/>
          <w:shd w:val="clear" w:color="auto" w:fill="FFFFFF"/>
        </w:rPr>
        <w:t>support,</w:t>
      </w:r>
      <w:r w:rsidRPr="00D22F8D" w:rsidR="00CC2BE4">
        <w:rPr>
          <w:color w:val="201F1E"/>
          <w:shd w:val="clear" w:color="auto" w:fill="FFFFFF"/>
        </w:rPr>
        <w:t xml:space="preserve"> and Hanson is assuming all obligations, including for any possible non-compliance under </w:t>
      </w:r>
      <w:r w:rsidR="00B067B1">
        <w:rPr>
          <w:color w:val="201F1E"/>
          <w:shd w:val="clear" w:color="auto" w:fill="FFFFFF"/>
        </w:rPr>
        <w:t>s</w:t>
      </w:r>
      <w:r w:rsidRPr="00D22F8D" w:rsidR="00CC2BE4">
        <w:rPr>
          <w:color w:val="201F1E"/>
          <w:shd w:val="clear" w:color="auto" w:fill="FFFFFF"/>
        </w:rPr>
        <w:t>ection 54.320</w:t>
      </w:r>
      <w:r w:rsidRPr="00D22F8D" w:rsidR="009859EA">
        <w:rPr>
          <w:color w:val="201F1E"/>
          <w:shd w:val="clear" w:color="auto" w:fill="FFFFFF"/>
        </w:rPr>
        <w:t xml:space="preserve">.  </w:t>
      </w:r>
      <w:r w:rsidRPr="00042621" w:rsidR="009859EA">
        <w:t>47 CFR § 54.320.</w:t>
      </w:r>
    </w:p>
  </w:footnote>
  <w:footnote w:id="21">
    <w:p w:rsidR="00A901ED" w:rsidP="00A901ED" w14:paraId="54A939C7" w14:textId="77777777">
      <w:pPr>
        <w:pStyle w:val="FootnoteText"/>
      </w:pPr>
      <w:r>
        <w:rPr>
          <w:rStyle w:val="FootnoteReference"/>
        </w:rPr>
        <w:footnoteRef/>
      </w:r>
      <w:r>
        <w:t xml:space="preserve"> </w:t>
      </w:r>
      <w:r w:rsidRPr="001005A4">
        <w:rPr>
          <w:i/>
          <w:iCs/>
        </w:rPr>
        <w:t>See AT&amp;T/DIRECTV Order</w:t>
      </w:r>
      <w:r>
        <w:t>, 30 FCC Rcd at 9237, para. 273-274.</w:t>
      </w:r>
    </w:p>
  </w:footnote>
  <w:footnote w:id="22">
    <w:p w:rsidR="00A901ED" w:rsidP="00A901ED" w14:paraId="7B1A5EA8"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23">
    <w:p w:rsidR="00A901ED" w:rsidP="00A901ED" w14:paraId="3DAE4B4B" w14:textId="77777777">
      <w:pPr>
        <w:pStyle w:val="FootnoteText"/>
      </w:pPr>
      <w:r>
        <w:rPr>
          <w:rStyle w:val="FootnoteReference"/>
        </w:rPr>
        <w:footnoteRef/>
      </w:r>
      <w:r>
        <w:t xml:space="preserve"> </w:t>
      </w:r>
      <w:r w:rsidRPr="001005A4">
        <w:rPr>
          <w:i/>
          <w:iCs/>
        </w:rPr>
        <w:t xml:space="preserve">See </w:t>
      </w:r>
      <w:r>
        <w:rPr>
          <w:i/>
          <w:iCs/>
        </w:rPr>
        <w:t>id</w:t>
      </w:r>
      <w:r>
        <w:t>.</w:t>
      </w:r>
    </w:p>
  </w:footnote>
  <w:footnote w:id="24">
    <w:p w:rsidR="00C56CAA" w14:paraId="298C7012" w14:textId="0AE0D567">
      <w:pPr>
        <w:pStyle w:val="FootnoteText"/>
      </w:pPr>
      <w:r>
        <w:rPr>
          <w:rStyle w:val="FootnoteReference"/>
        </w:rPr>
        <w:footnoteRef/>
      </w:r>
      <w:r>
        <w:t xml:space="preserve"> Application at 10.</w:t>
      </w:r>
    </w:p>
  </w:footnote>
  <w:footnote w:id="25">
    <w:p w:rsidR="00973C2C" w:rsidRPr="00973C2C" w14:paraId="48E9796F" w14:textId="396373F8">
      <w:pPr>
        <w:pStyle w:val="FootnoteText"/>
      </w:pPr>
      <w:r w:rsidRPr="00973C2C">
        <w:rPr>
          <w:rStyle w:val="FootnoteReference"/>
          <w:sz w:val="20"/>
        </w:rPr>
        <w:footnoteRef/>
      </w:r>
      <w:r w:rsidRPr="00973C2C">
        <w:t xml:space="preserve"> </w:t>
      </w:r>
      <w:r w:rsidRPr="00D22F8D" w:rsidR="00C56CAA">
        <w:rPr>
          <w:i/>
          <w:iCs/>
        </w:rPr>
        <w:t>Id</w:t>
      </w:r>
      <w:r w:rsidR="00C56CAA">
        <w:t>.</w:t>
      </w:r>
    </w:p>
  </w:footnote>
  <w:footnote w:id="26">
    <w:p w:rsidR="00CE2EED" w14:paraId="23C9610B" w14:textId="734E007F">
      <w:pPr>
        <w:pStyle w:val="FootnoteText"/>
      </w:pPr>
      <w:r>
        <w:rPr>
          <w:rStyle w:val="FootnoteReference"/>
        </w:rPr>
        <w:footnoteRef/>
      </w:r>
      <w:r>
        <w:t xml:space="preserve"> Supplement at 3. </w:t>
      </w:r>
    </w:p>
  </w:footnote>
  <w:footnote w:id="27">
    <w:p w:rsidR="00963363" w:rsidRPr="00963363" w14:paraId="4BDC72E8" w14:textId="04B62574">
      <w:pPr>
        <w:pStyle w:val="FootnoteText"/>
      </w:pPr>
      <w:r>
        <w:rPr>
          <w:rStyle w:val="FootnoteReference"/>
        </w:rPr>
        <w:footnoteRef/>
      </w:r>
      <w:r>
        <w:t xml:space="preserve"> </w:t>
      </w:r>
      <w:r>
        <w:rPr>
          <w:i/>
          <w:iCs/>
        </w:rPr>
        <w:t>Id</w:t>
      </w:r>
      <w:r>
        <w:t>. at 2-3.</w:t>
      </w:r>
    </w:p>
  </w:footnote>
  <w:footnote w:id="28">
    <w:p w:rsidR="0076309F" w:rsidP="0076309F" w14:paraId="0BC73B8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29">
    <w:p w:rsidR="0076309F" w:rsidRPr="00B83976" w:rsidP="0076309F" w14:paraId="754390EB" w14:textId="37200CC9">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t>)</w:t>
      </w:r>
      <w:r w:rsidRPr="00B83976">
        <w:t>.</w:t>
      </w:r>
      <w:r w:rsidR="00F656F4">
        <w:t xml:space="preserve">  </w:t>
      </w:r>
      <w:r w:rsidR="00FE16FD">
        <w:t xml:space="preserve">   </w:t>
      </w:r>
    </w:p>
  </w:footnote>
  <w:footnote w:id="30">
    <w:p w:rsidR="00246575" w:rsidP="00246575" w14:paraId="5573664C" w14:textId="550CCFD2">
      <w:pPr>
        <w:pStyle w:val="FootnoteText"/>
      </w:pPr>
      <w:r>
        <w:rPr>
          <w:rStyle w:val="FootnoteReference"/>
        </w:rPr>
        <w:footnoteRef/>
      </w:r>
      <w:r>
        <w:t xml:space="preserve"> Application at 7</w:t>
      </w:r>
      <w:r w:rsidR="008E4553">
        <w:t>, 9</w:t>
      </w:r>
      <w:r>
        <w:t>.</w:t>
      </w:r>
    </w:p>
  </w:footnote>
  <w:footnote w:id="31">
    <w:p w:rsidR="00023EE2" w:rsidRPr="000B01F0" w:rsidP="000B01F0" w14:paraId="6236ADB7" w14:textId="5B2ACA2D">
      <w:pPr>
        <w:rPr>
          <w:snapToGrid/>
          <w:kern w:val="0"/>
        </w:rPr>
      </w:pPr>
      <w:r w:rsidRPr="0041004C">
        <w:rPr>
          <w:rStyle w:val="FootnoteReference"/>
          <w:sz w:val="20"/>
        </w:rPr>
        <w:footnoteRef/>
      </w:r>
      <w:r w:rsidRPr="0041004C" w:rsidR="006813E7">
        <w:rPr>
          <w:color w:val="000000" w:themeColor="text1"/>
        </w:rPr>
        <w:t xml:space="preserve"> </w:t>
      </w:r>
      <w:r w:rsidRPr="0041004C" w:rsidR="006813E7">
        <w:rPr>
          <w:snapToGrid/>
          <w:kern w:val="0"/>
          <w:sz w:val="20"/>
        </w:rPr>
        <w:t>W</w:t>
      </w:r>
      <w:r w:rsidRPr="0041004C">
        <w:rPr>
          <w:snapToGrid/>
          <w:kern w:val="0"/>
          <w:sz w:val="20"/>
        </w:rPr>
        <w:t>e direct Applicants to submit</w:t>
      </w:r>
      <w:r w:rsidRPr="0041004C" w:rsidR="006813E7">
        <w:rPr>
          <w:snapToGrid/>
          <w:kern w:val="0"/>
          <w:sz w:val="20"/>
        </w:rPr>
        <w:t>,</w:t>
      </w:r>
      <w:r w:rsidRPr="0041004C">
        <w:rPr>
          <w:snapToGrid/>
          <w:kern w:val="0"/>
          <w:sz w:val="20"/>
        </w:rPr>
        <w:t xml:space="preserve"> </w:t>
      </w:r>
      <w:r w:rsidRPr="0041004C" w:rsidR="006813E7">
        <w:rPr>
          <w:snapToGrid/>
          <w:kern w:val="0"/>
          <w:sz w:val="20"/>
        </w:rPr>
        <w:t xml:space="preserve">within 30 days of closing the proposed transaction, </w:t>
      </w:r>
      <w:r w:rsidRPr="0041004C">
        <w:rPr>
          <w:snapToGrid/>
          <w:kern w:val="0"/>
          <w:sz w:val="20"/>
        </w:rPr>
        <w:t xml:space="preserve">a notice </w:t>
      </w:r>
      <w:r w:rsidRPr="0041004C" w:rsidR="006813E7">
        <w:rPr>
          <w:snapToGrid/>
          <w:kern w:val="0"/>
          <w:sz w:val="20"/>
        </w:rPr>
        <w:t>in WC Docket No. 21-</w:t>
      </w:r>
      <w:r w:rsidRPr="0041004C" w:rsidR="00660750">
        <w:rPr>
          <w:snapToGrid/>
          <w:kern w:val="0"/>
          <w:sz w:val="20"/>
        </w:rPr>
        <w:t>3</w:t>
      </w:r>
      <w:r w:rsidRPr="0041004C" w:rsidR="00696142">
        <w:rPr>
          <w:snapToGrid/>
          <w:kern w:val="0"/>
          <w:sz w:val="20"/>
        </w:rPr>
        <w:t>99</w:t>
      </w:r>
      <w:r w:rsidRPr="0041004C" w:rsidR="006813E7">
        <w:rPr>
          <w:snapToGrid/>
          <w:kern w:val="0"/>
          <w:sz w:val="20"/>
        </w:rPr>
        <w:t xml:space="preserve"> </w:t>
      </w:r>
      <w:r w:rsidRPr="0041004C">
        <w:rPr>
          <w:snapToGrid/>
          <w:kern w:val="0"/>
          <w:sz w:val="20"/>
        </w:rPr>
        <w:t>that the proposed transaction has closed with the consummation date, and also provide a courtesy copy of the notice to </w:t>
      </w:r>
      <w:hyperlink r:id="rId6" w:history="1">
        <w:r w:rsidRPr="0041004C" w:rsidR="006813E7">
          <w:rPr>
            <w:snapToGrid/>
            <w:kern w:val="0"/>
            <w:sz w:val="20"/>
          </w:rPr>
          <w:t>hcinfo@usac.org</w:t>
        </w:r>
      </w:hyperlink>
      <w:r w:rsidRPr="0041004C">
        <w:rPr>
          <w:snapToGrid/>
          <w:kern w:val="0"/>
          <w:sz w:val="20"/>
        </w:rPr>
        <w:t>.</w:t>
      </w:r>
      <w:r w:rsidRPr="006813E7" w:rsid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2" w:name="_Hlt233824"/>
                    <w:hyperlink r:id="rId2" w:history="1">
                      <w:r w:rsidRPr="00D216CD">
                        <w:rPr>
                          <w:rStyle w:val="Hyperlink"/>
                          <w:rFonts w:ascii="Arial" w:hAnsi="Arial"/>
                          <w:b/>
                          <w:sz w:val="16"/>
                        </w:rPr>
                        <w:t>h</w:t>
                      </w:r>
                      <w:bookmarkEnd w:id="12"/>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15A4"/>
    <w:rsid w:val="000025FE"/>
    <w:rsid w:val="00003905"/>
    <w:rsid w:val="00005C82"/>
    <w:rsid w:val="000072CE"/>
    <w:rsid w:val="00010562"/>
    <w:rsid w:val="000109B1"/>
    <w:rsid w:val="00011ED7"/>
    <w:rsid w:val="00013A8B"/>
    <w:rsid w:val="000157A9"/>
    <w:rsid w:val="00016BF1"/>
    <w:rsid w:val="00021252"/>
    <w:rsid w:val="00021445"/>
    <w:rsid w:val="0002335E"/>
    <w:rsid w:val="00023E9D"/>
    <w:rsid w:val="00023EE2"/>
    <w:rsid w:val="0002579D"/>
    <w:rsid w:val="00025905"/>
    <w:rsid w:val="000326B7"/>
    <w:rsid w:val="00033AD2"/>
    <w:rsid w:val="00036039"/>
    <w:rsid w:val="00037F90"/>
    <w:rsid w:val="00040D06"/>
    <w:rsid w:val="000418EE"/>
    <w:rsid w:val="00042621"/>
    <w:rsid w:val="00043FF5"/>
    <w:rsid w:val="00044FC2"/>
    <w:rsid w:val="0004637E"/>
    <w:rsid w:val="000505D6"/>
    <w:rsid w:val="00052C36"/>
    <w:rsid w:val="00052D7C"/>
    <w:rsid w:val="000578D9"/>
    <w:rsid w:val="000630A2"/>
    <w:rsid w:val="0006453A"/>
    <w:rsid w:val="000654FE"/>
    <w:rsid w:val="00065885"/>
    <w:rsid w:val="00070000"/>
    <w:rsid w:val="0007304F"/>
    <w:rsid w:val="000778AF"/>
    <w:rsid w:val="000875BF"/>
    <w:rsid w:val="00090879"/>
    <w:rsid w:val="000929A6"/>
    <w:rsid w:val="00095E72"/>
    <w:rsid w:val="00096D8C"/>
    <w:rsid w:val="000A15E0"/>
    <w:rsid w:val="000A1A84"/>
    <w:rsid w:val="000A43AA"/>
    <w:rsid w:val="000A715F"/>
    <w:rsid w:val="000A719C"/>
    <w:rsid w:val="000B01F0"/>
    <w:rsid w:val="000B1EFD"/>
    <w:rsid w:val="000B206F"/>
    <w:rsid w:val="000B3A1F"/>
    <w:rsid w:val="000B5082"/>
    <w:rsid w:val="000B5D03"/>
    <w:rsid w:val="000B6581"/>
    <w:rsid w:val="000B7562"/>
    <w:rsid w:val="000C0B65"/>
    <w:rsid w:val="000C0E52"/>
    <w:rsid w:val="000C43BA"/>
    <w:rsid w:val="000C5DEF"/>
    <w:rsid w:val="000C67E7"/>
    <w:rsid w:val="000D50EB"/>
    <w:rsid w:val="000D5BC1"/>
    <w:rsid w:val="000D7CAA"/>
    <w:rsid w:val="000E1A64"/>
    <w:rsid w:val="000E340C"/>
    <w:rsid w:val="000E3D42"/>
    <w:rsid w:val="000E5884"/>
    <w:rsid w:val="000E6601"/>
    <w:rsid w:val="000F248A"/>
    <w:rsid w:val="000F3EAA"/>
    <w:rsid w:val="000F4C4E"/>
    <w:rsid w:val="000F652F"/>
    <w:rsid w:val="000F70F5"/>
    <w:rsid w:val="000F7336"/>
    <w:rsid w:val="000F7AFB"/>
    <w:rsid w:val="001005A4"/>
    <w:rsid w:val="00103CFD"/>
    <w:rsid w:val="001050B1"/>
    <w:rsid w:val="001073A5"/>
    <w:rsid w:val="00107713"/>
    <w:rsid w:val="001137A6"/>
    <w:rsid w:val="00114C73"/>
    <w:rsid w:val="00114E09"/>
    <w:rsid w:val="00116C3F"/>
    <w:rsid w:val="00122BD5"/>
    <w:rsid w:val="0012361D"/>
    <w:rsid w:val="00123CE5"/>
    <w:rsid w:val="00125C60"/>
    <w:rsid w:val="001265C3"/>
    <w:rsid w:val="00132378"/>
    <w:rsid w:val="0013301F"/>
    <w:rsid w:val="001330FF"/>
    <w:rsid w:val="00135F54"/>
    <w:rsid w:val="00136137"/>
    <w:rsid w:val="00137AEA"/>
    <w:rsid w:val="001415BA"/>
    <w:rsid w:val="00143076"/>
    <w:rsid w:val="00144A2D"/>
    <w:rsid w:val="001539F3"/>
    <w:rsid w:val="001541A8"/>
    <w:rsid w:val="00154EB8"/>
    <w:rsid w:val="00161259"/>
    <w:rsid w:val="00164F1D"/>
    <w:rsid w:val="00164FFA"/>
    <w:rsid w:val="00171F2B"/>
    <w:rsid w:val="00172874"/>
    <w:rsid w:val="001807A4"/>
    <w:rsid w:val="00181174"/>
    <w:rsid w:val="00181795"/>
    <w:rsid w:val="001820F2"/>
    <w:rsid w:val="00183949"/>
    <w:rsid w:val="001856A8"/>
    <w:rsid w:val="001975FA"/>
    <w:rsid w:val="001979D9"/>
    <w:rsid w:val="001A0E9C"/>
    <w:rsid w:val="001A312A"/>
    <w:rsid w:val="001A3A79"/>
    <w:rsid w:val="001A6361"/>
    <w:rsid w:val="001A7655"/>
    <w:rsid w:val="001B158F"/>
    <w:rsid w:val="001B7D51"/>
    <w:rsid w:val="001C4655"/>
    <w:rsid w:val="001C6F20"/>
    <w:rsid w:val="001D052E"/>
    <w:rsid w:val="001D0A43"/>
    <w:rsid w:val="001D22AA"/>
    <w:rsid w:val="001D6BCF"/>
    <w:rsid w:val="001E01CA"/>
    <w:rsid w:val="001E397D"/>
    <w:rsid w:val="001E410D"/>
    <w:rsid w:val="001F1CB2"/>
    <w:rsid w:val="001F1FC6"/>
    <w:rsid w:val="001F1FF1"/>
    <w:rsid w:val="001F3582"/>
    <w:rsid w:val="001F5903"/>
    <w:rsid w:val="001F731B"/>
    <w:rsid w:val="001F795B"/>
    <w:rsid w:val="002025E9"/>
    <w:rsid w:val="002027F0"/>
    <w:rsid w:val="00203604"/>
    <w:rsid w:val="00203A09"/>
    <w:rsid w:val="002049B9"/>
    <w:rsid w:val="00204D99"/>
    <w:rsid w:val="002060D9"/>
    <w:rsid w:val="00206137"/>
    <w:rsid w:val="002078DE"/>
    <w:rsid w:val="00207939"/>
    <w:rsid w:val="00215AF2"/>
    <w:rsid w:val="00216371"/>
    <w:rsid w:val="0021655B"/>
    <w:rsid w:val="00224DB8"/>
    <w:rsid w:val="0022664E"/>
    <w:rsid w:val="00226822"/>
    <w:rsid w:val="00227E61"/>
    <w:rsid w:val="00230331"/>
    <w:rsid w:val="0023251D"/>
    <w:rsid w:val="002334CD"/>
    <w:rsid w:val="00240A9F"/>
    <w:rsid w:val="00242F44"/>
    <w:rsid w:val="00243092"/>
    <w:rsid w:val="00245087"/>
    <w:rsid w:val="002456F6"/>
    <w:rsid w:val="00246575"/>
    <w:rsid w:val="0025072B"/>
    <w:rsid w:val="0025082C"/>
    <w:rsid w:val="00252AB1"/>
    <w:rsid w:val="00253923"/>
    <w:rsid w:val="00254E19"/>
    <w:rsid w:val="002557CC"/>
    <w:rsid w:val="00256D48"/>
    <w:rsid w:val="002572DC"/>
    <w:rsid w:val="00260594"/>
    <w:rsid w:val="002610EC"/>
    <w:rsid w:val="002634F3"/>
    <w:rsid w:val="00264313"/>
    <w:rsid w:val="00265992"/>
    <w:rsid w:val="002720C3"/>
    <w:rsid w:val="00273BAD"/>
    <w:rsid w:val="00276C04"/>
    <w:rsid w:val="00280975"/>
    <w:rsid w:val="00281B21"/>
    <w:rsid w:val="00285017"/>
    <w:rsid w:val="00286468"/>
    <w:rsid w:val="00290BBA"/>
    <w:rsid w:val="002979E3"/>
    <w:rsid w:val="002A03DD"/>
    <w:rsid w:val="002A11B4"/>
    <w:rsid w:val="002A2D2E"/>
    <w:rsid w:val="002A6D6A"/>
    <w:rsid w:val="002B0207"/>
    <w:rsid w:val="002B0351"/>
    <w:rsid w:val="002B4C9C"/>
    <w:rsid w:val="002B54FB"/>
    <w:rsid w:val="002B7763"/>
    <w:rsid w:val="002C1AF9"/>
    <w:rsid w:val="002C3ECE"/>
    <w:rsid w:val="002C5846"/>
    <w:rsid w:val="002D2146"/>
    <w:rsid w:val="002D447E"/>
    <w:rsid w:val="002D6286"/>
    <w:rsid w:val="002D62DD"/>
    <w:rsid w:val="002D7A48"/>
    <w:rsid w:val="002D7CCE"/>
    <w:rsid w:val="002E5941"/>
    <w:rsid w:val="002F2339"/>
    <w:rsid w:val="002F3D77"/>
    <w:rsid w:val="002F4819"/>
    <w:rsid w:val="002F7221"/>
    <w:rsid w:val="002F72EF"/>
    <w:rsid w:val="00306D00"/>
    <w:rsid w:val="00307030"/>
    <w:rsid w:val="0031328E"/>
    <w:rsid w:val="003231F8"/>
    <w:rsid w:val="0032799C"/>
    <w:rsid w:val="00327A84"/>
    <w:rsid w:val="00333030"/>
    <w:rsid w:val="0033308B"/>
    <w:rsid w:val="003345F4"/>
    <w:rsid w:val="00334D34"/>
    <w:rsid w:val="00337CCE"/>
    <w:rsid w:val="00337EDD"/>
    <w:rsid w:val="00343749"/>
    <w:rsid w:val="00344102"/>
    <w:rsid w:val="00351B89"/>
    <w:rsid w:val="00351E93"/>
    <w:rsid w:val="00353A57"/>
    <w:rsid w:val="00353EAF"/>
    <w:rsid w:val="00357D50"/>
    <w:rsid w:val="003602FC"/>
    <w:rsid w:val="003609F7"/>
    <w:rsid w:val="00366291"/>
    <w:rsid w:val="003720B5"/>
    <w:rsid w:val="00376E27"/>
    <w:rsid w:val="00377C00"/>
    <w:rsid w:val="00377F86"/>
    <w:rsid w:val="003816CE"/>
    <w:rsid w:val="00381FE8"/>
    <w:rsid w:val="00385229"/>
    <w:rsid w:val="0038758C"/>
    <w:rsid w:val="00387EAB"/>
    <w:rsid w:val="003925DC"/>
    <w:rsid w:val="003942C1"/>
    <w:rsid w:val="00395CFE"/>
    <w:rsid w:val="00395F38"/>
    <w:rsid w:val="0039609C"/>
    <w:rsid w:val="0039668F"/>
    <w:rsid w:val="00396E41"/>
    <w:rsid w:val="003A1093"/>
    <w:rsid w:val="003A2F1B"/>
    <w:rsid w:val="003A3B46"/>
    <w:rsid w:val="003A3FC6"/>
    <w:rsid w:val="003A49D1"/>
    <w:rsid w:val="003A67F6"/>
    <w:rsid w:val="003A6B1D"/>
    <w:rsid w:val="003B0550"/>
    <w:rsid w:val="003B06B7"/>
    <w:rsid w:val="003B18C4"/>
    <w:rsid w:val="003B28FF"/>
    <w:rsid w:val="003B366F"/>
    <w:rsid w:val="003B694F"/>
    <w:rsid w:val="003B7D0E"/>
    <w:rsid w:val="003C2436"/>
    <w:rsid w:val="003C47B1"/>
    <w:rsid w:val="003C48AB"/>
    <w:rsid w:val="003C589A"/>
    <w:rsid w:val="003C77F1"/>
    <w:rsid w:val="003D2256"/>
    <w:rsid w:val="003E5ACA"/>
    <w:rsid w:val="003E7B6C"/>
    <w:rsid w:val="003F0EF2"/>
    <w:rsid w:val="003F171C"/>
    <w:rsid w:val="003F1EE9"/>
    <w:rsid w:val="004004AF"/>
    <w:rsid w:val="00402A03"/>
    <w:rsid w:val="00403231"/>
    <w:rsid w:val="0040673A"/>
    <w:rsid w:val="0041004C"/>
    <w:rsid w:val="00412582"/>
    <w:rsid w:val="00412FC5"/>
    <w:rsid w:val="004131B7"/>
    <w:rsid w:val="00413423"/>
    <w:rsid w:val="00415EFC"/>
    <w:rsid w:val="00420182"/>
    <w:rsid w:val="00422276"/>
    <w:rsid w:val="0042290C"/>
    <w:rsid w:val="00422B9A"/>
    <w:rsid w:val="004242F1"/>
    <w:rsid w:val="004243FE"/>
    <w:rsid w:val="00432406"/>
    <w:rsid w:val="0043254C"/>
    <w:rsid w:val="00432569"/>
    <w:rsid w:val="00435C54"/>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76CA4"/>
    <w:rsid w:val="004806FB"/>
    <w:rsid w:val="004872D0"/>
    <w:rsid w:val="00487524"/>
    <w:rsid w:val="004876D1"/>
    <w:rsid w:val="004903BF"/>
    <w:rsid w:val="0049112B"/>
    <w:rsid w:val="004928F5"/>
    <w:rsid w:val="004943CA"/>
    <w:rsid w:val="0049488B"/>
    <w:rsid w:val="00495252"/>
    <w:rsid w:val="00496106"/>
    <w:rsid w:val="00496949"/>
    <w:rsid w:val="004A2B32"/>
    <w:rsid w:val="004A660E"/>
    <w:rsid w:val="004B088F"/>
    <w:rsid w:val="004B091D"/>
    <w:rsid w:val="004B3C50"/>
    <w:rsid w:val="004B6492"/>
    <w:rsid w:val="004C12D0"/>
    <w:rsid w:val="004C2EE3"/>
    <w:rsid w:val="004C3FFB"/>
    <w:rsid w:val="004C70FB"/>
    <w:rsid w:val="004D22C3"/>
    <w:rsid w:val="004D362E"/>
    <w:rsid w:val="004D5869"/>
    <w:rsid w:val="004D6C60"/>
    <w:rsid w:val="004E4A22"/>
    <w:rsid w:val="004E72B7"/>
    <w:rsid w:val="004F35CA"/>
    <w:rsid w:val="004F4239"/>
    <w:rsid w:val="004F60EC"/>
    <w:rsid w:val="004F737A"/>
    <w:rsid w:val="004F75C5"/>
    <w:rsid w:val="005053A7"/>
    <w:rsid w:val="005065B8"/>
    <w:rsid w:val="00506C61"/>
    <w:rsid w:val="005106C5"/>
    <w:rsid w:val="00511968"/>
    <w:rsid w:val="005123BE"/>
    <w:rsid w:val="00516819"/>
    <w:rsid w:val="00516C98"/>
    <w:rsid w:val="0052214B"/>
    <w:rsid w:val="00523F0D"/>
    <w:rsid w:val="00524B7D"/>
    <w:rsid w:val="00525F91"/>
    <w:rsid w:val="0052693E"/>
    <w:rsid w:val="00532BEA"/>
    <w:rsid w:val="005357B8"/>
    <w:rsid w:val="00536CF8"/>
    <w:rsid w:val="0054043D"/>
    <w:rsid w:val="00545A19"/>
    <w:rsid w:val="0054650E"/>
    <w:rsid w:val="00550354"/>
    <w:rsid w:val="00552A15"/>
    <w:rsid w:val="00555095"/>
    <w:rsid w:val="0055614C"/>
    <w:rsid w:val="005614FA"/>
    <w:rsid w:val="00562CA1"/>
    <w:rsid w:val="00563C1F"/>
    <w:rsid w:val="00564FFA"/>
    <w:rsid w:val="00573C1D"/>
    <w:rsid w:val="00577322"/>
    <w:rsid w:val="00577BFF"/>
    <w:rsid w:val="00581C61"/>
    <w:rsid w:val="00582BAF"/>
    <w:rsid w:val="00584B7F"/>
    <w:rsid w:val="00585A53"/>
    <w:rsid w:val="00585EC7"/>
    <w:rsid w:val="00595381"/>
    <w:rsid w:val="0059746C"/>
    <w:rsid w:val="005A0BF4"/>
    <w:rsid w:val="005A3062"/>
    <w:rsid w:val="005A31B2"/>
    <w:rsid w:val="005A3ADF"/>
    <w:rsid w:val="005A445D"/>
    <w:rsid w:val="005A4610"/>
    <w:rsid w:val="005A7365"/>
    <w:rsid w:val="005B3EC2"/>
    <w:rsid w:val="005B5B7B"/>
    <w:rsid w:val="005C1F69"/>
    <w:rsid w:val="005C24D8"/>
    <w:rsid w:val="005C680A"/>
    <w:rsid w:val="005C7EF4"/>
    <w:rsid w:val="005D0403"/>
    <w:rsid w:val="005D092D"/>
    <w:rsid w:val="005D0A49"/>
    <w:rsid w:val="005D1FDC"/>
    <w:rsid w:val="005D3464"/>
    <w:rsid w:val="005D7816"/>
    <w:rsid w:val="005E347C"/>
    <w:rsid w:val="005E5BA2"/>
    <w:rsid w:val="005E5F6A"/>
    <w:rsid w:val="005E74A9"/>
    <w:rsid w:val="005F0449"/>
    <w:rsid w:val="005F4263"/>
    <w:rsid w:val="005F5D60"/>
    <w:rsid w:val="00603CBE"/>
    <w:rsid w:val="00607BA5"/>
    <w:rsid w:val="006126AF"/>
    <w:rsid w:val="00615C48"/>
    <w:rsid w:val="00620DBB"/>
    <w:rsid w:val="00620F82"/>
    <w:rsid w:val="00621457"/>
    <w:rsid w:val="00625270"/>
    <w:rsid w:val="00626EB6"/>
    <w:rsid w:val="006275B0"/>
    <w:rsid w:val="00631B71"/>
    <w:rsid w:val="00633BA0"/>
    <w:rsid w:val="006353A3"/>
    <w:rsid w:val="00637E27"/>
    <w:rsid w:val="00642E7B"/>
    <w:rsid w:val="00643878"/>
    <w:rsid w:val="006439DA"/>
    <w:rsid w:val="00644B2C"/>
    <w:rsid w:val="006548AC"/>
    <w:rsid w:val="00655D03"/>
    <w:rsid w:val="00660386"/>
    <w:rsid w:val="00660750"/>
    <w:rsid w:val="00664AB4"/>
    <w:rsid w:val="006650A4"/>
    <w:rsid w:val="006665E6"/>
    <w:rsid w:val="00675E8A"/>
    <w:rsid w:val="0068023C"/>
    <w:rsid w:val="006813E7"/>
    <w:rsid w:val="00682D96"/>
    <w:rsid w:val="00683F84"/>
    <w:rsid w:val="00684738"/>
    <w:rsid w:val="0068763E"/>
    <w:rsid w:val="006901C6"/>
    <w:rsid w:val="00694196"/>
    <w:rsid w:val="00694C92"/>
    <w:rsid w:val="006953EE"/>
    <w:rsid w:val="0069577D"/>
    <w:rsid w:val="00696142"/>
    <w:rsid w:val="006972E8"/>
    <w:rsid w:val="006A467F"/>
    <w:rsid w:val="006A6A81"/>
    <w:rsid w:val="006B24A1"/>
    <w:rsid w:val="006B2F55"/>
    <w:rsid w:val="006B5D0A"/>
    <w:rsid w:val="006B68F8"/>
    <w:rsid w:val="006B6F46"/>
    <w:rsid w:val="006C1880"/>
    <w:rsid w:val="006C28BB"/>
    <w:rsid w:val="006C47FA"/>
    <w:rsid w:val="006C7A94"/>
    <w:rsid w:val="006D0FAA"/>
    <w:rsid w:val="006D40DD"/>
    <w:rsid w:val="006D660A"/>
    <w:rsid w:val="006D6AFD"/>
    <w:rsid w:val="006D760F"/>
    <w:rsid w:val="006D7B2B"/>
    <w:rsid w:val="006E1C9A"/>
    <w:rsid w:val="006E26AF"/>
    <w:rsid w:val="006E3ED7"/>
    <w:rsid w:val="006E4B74"/>
    <w:rsid w:val="006E57B3"/>
    <w:rsid w:val="006F1183"/>
    <w:rsid w:val="006F3559"/>
    <w:rsid w:val="006F4636"/>
    <w:rsid w:val="006F7393"/>
    <w:rsid w:val="00701094"/>
    <w:rsid w:val="007019B6"/>
    <w:rsid w:val="007019FF"/>
    <w:rsid w:val="0070224F"/>
    <w:rsid w:val="0070363D"/>
    <w:rsid w:val="00703BB5"/>
    <w:rsid w:val="0070486C"/>
    <w:rsid w:val="007056A4"/>
    <w:rsid w:val="00706F28"/>
    <w:rsid w:val="007115F7"/>
    <w:rsid w:val="007178B4"/>
    <w:rsid w:val="00717B07"/>
    <w:rsid w:val="00725674"/>
    <w:rsid w:val="0072578B"/>
    <w:rsid w:val="00726F80"/>
    <w:rsid w:val="00731C3E"/>
    <w:rsid w:val="00731D5F"/>
    <w:rsid w:val="00735B84"/>
    <w:rsid w:val="00740AD9"/>
    <w:rsid w:val="00742221"/>
    <w:rsid w:val="00744F93"/>
    <w:rsid w:val="00746759"/>
    <w:rsid w:val="00747C64"/>
    <w:rsid w:val="007525C3"/>
    <w:rsid w:val="00762FC4"/>
    <w:rsid w:val="0076309F"/>
    <w:rsid w:val="007668C8"/>
    <w:rsid w:val="00770F47"/>
    <w:rsid w:val="00780E7D"/>
    <w:rsid w:val="00785689"/>
    <w:rsid w:val="00792664"/>
    <w:rsid w:val="0079754B"/>
    <w:rsid w:val="007A0B06"/>
    <w:rsid w:val="007A1E6D"/>
    <w:rsid w:val="007A29A0"/>
    <w:rsid w:val="007A555E"/>
    <w:rsid w:val="007B1170"/>
    <w:rsid w:val="007B1F0E"/>
    <w:rsid w:val="007B2161"/>
    <w:rsid w:val="007B72F9"/>
    <w:rsid w:val="007B7C16"/>
    <w:rsid w:val="007C179B"/>
    <w:rsid w:val="007C2228"/>
    <w:rsid w:val="007C4371"/>
    <w:rsid w:val="007C5078"/>
    <w:rsid w:val="007C53B3"/>
    <w:rsid w:val="007C674D"/>
    <w:rsid w:val="007D3761"/>
    <w:rsid w:val="007D461D"/>
    <w:rsid w:val="007D4842"/>
    <w:rsid w:val="007D4DB7"/>
    <w:rsid w:val="007D6054"/>
    <w:rsid w:val="007E32AB"/>
    <w:rsid w:val="007E4A79"/>
    <w:rsid w:val="007F0701"/>
    <w:rsid w:val="007F0DBB"/>
    <w:rsid w:val="007F1D7C"/>
    <w:rsid w:val="007F29ED"/>
    <w:rsid w:val="007F2E5D"/>
    <w:rsid w:val="007F400A"/>
    <w:rsid w:val="007F40C5"/>
    <w:rsid w:val="007F5818"/>
    <w:rsid w:val="007F5C59"/>
    <w:rsid w:val="00800267"/>
    <w:rsid w:val="00801AAA"/>
    <w:rsid w:val="00801FDC"/>
    <w:rsid w:val="00805401"/>
    <w:rsid w:val="008068FD"/>
    <w:rsid w:val="00822CE0"/>
    <w:rsid w:val="0082522C"/>
    <w:rsid w:val="00825E7D"/>
    <w:rsid w:val="008271E2"/>
    <w:rsid w:val="008275B8"/>
    <w:rsid w:val="0083155B"/>
    <w:rsid w:val="008338CE"/>
    <w:rsid w:val="00834780"/>
    <w:rsid w:val="00837C62"/>
    <w:rsid w:val="00841404"/>
    <w:rsid w:val="00841AB1"/>
    <w:rsid w:val="00844109"/>
    <w:rsid w:val="0084412A"/>
    <w:rsid w:val="00845236"/>
    <w:rsid w:val="00845944"/>
    <w:rsid w:val="00851E64"/>
    <w:rsid w:val="008550B5"/>
    <w:rsid w:val="00855DB1"/>
    <w:rsid w:val="0085777F"/>
    <w:rsid w:val="0086068D"/>
    <w:rsid w:val="00861958"/>
    <w:rsid w:val="0086597B"/>
    <w:rsid w:val="008670A1"/>
    <w:rsid w:val="00872701"/>
    <w:rsid w:val="008759A0"/>
    <w:rsid w:val="008774D9"/>
    <w:rsid w:val="00880549"/>
    <w:rsid w:val="00880961"/>
    <w:rsid w:val="008823A6"/>
    <w:rsid w:val="00885346"/>
    <w:rsid w:val="008860DF"/>
    <w:rsid w:val="008865BD"/>
    <w:rsid w:val="00890537"/>
    <w:rsid w:val="008928B0"/>
    <w:rsid w:val="00892BEE"/>
    <w:rsid w:val="0089370D"/>
    <w:rsid w:val="00893955"/>
    <w:rsid w:val="008969B3"/>
    <w:rsid w:val="0089722C"/>
    <w:rsid w:val="008A4526"/>
    <w:rsid w:val="008A5F0D"/>
    <w:rsid w:val="008A6865"/>
    <w:rsid w:val="008A72A2"/>
    <w:rsid w:val="008B3790"/>
    <w:rsid w:val="008B3951"/>
    <w:rsid w:val="008B3DC7"/>
    <w:rsid w:val="008B51AD"/>
    <w:rsid w:val="008B5AD4"/>
    <w:rsid w:val="008C0043"/>
    <w:rsid w:val="008C09B2"/>
    <w:rsid w:val="008C1A0F"/>
    <w:rsid w:val="008C1DAA"/>
    <w:rsid w:val="008C22FD"/>
    <w:rsid w:val="008C2513"/>
    <w:rsid w:val="008C3396"/>
    <w:rsid w:val="008C3A14"/>
    <w:rsid w:val="008C5059"/>
    <w:rsid w:val="008C5AED"/>
    <w:rsid w:val="008D327D"/>
    <w:rsid w:val="008D5B54"/>
    <w:rsid w:val="008D5EA0"/>
    <w:rsid w:val="008D6240"/>
    <w:rsid w:val="008E4553"/>
    <w:rsid w:val="008E5D2B"/>
    <w:rsid w:val="008F58CF"/>
    <w:rsid w:val="00902F76"/>
    <w:rsid w:val="0090545D"/>
    <w:rsid w:val="00907911"/>
    <w:rsid w:val="00910F12"/>
    <w:rsid w:val="00913041"/>
    <w:rsid w:val="009145C5"/>
    <w:rsid w:val="0091539A"/>
    <w:rsid w:val="0091650F"/>
    <w:rsid w:val="00922696"/>
    <w:rsid w:val="00923F59"/>
    <w:rsid w:val="00925ACF"/>
    <w:rsid w:val="00926397"/>
    <w:rsid w:val="00926503"/>
    <w:rsid w:val="0092692D"/>
    <w:rsid w:val="00926C1D"/>
    <w:rsid w:val="00930ECF"/>
    <w:rsid w:val="0093162D"/>
    <w:rsid w:val="00931CEB"/>
    <w:rsid w:val="00931D6F"/>
    <w:rsid w:val="0093267F"/>
    <w:rsid w:val="009432A3"/>
    <w:rsid w:val="00943407"/>
    <w:rsid w:val="00943B23"/>
    <w:rsid w:val="00946DF9"/>
    <w:rsid w:val="0095053C"/>
    <w:rsid w:val="0095057C"/>
    <w:rsid w:val="009556CA"/>
    <w:rsid w:val="0096037E"/>
    <w:rsid w:val="00960B05"/>
    <w:rsid w:val="00963363"/>
    <w:rsid w:val="00967271"/>
    <w:rsid w:val="00970A34"/>
    <w:rsid w:val="009713DD"/>
    <w:rsid w:val="00973C2C"/>
    <w:rsid w:val="0097544A"/>
    <w:rsid w:val="00976129"/>
    <w:rsid w:val="00976938"/>
    <w:rsid w:val="009801F8"/>
    <w:rsid w:val="009838BC"/>
    <w:rsid w:val="00983A14"/>
    <w:rsid w:val="00983EE2"/>
    <w:rsid w:val="009859EA"/>
    <w:rsid w:val="00986B91"/>
    <w:rsid w:val="00987966"/>
    <w:rsid w:val="00987A27"/>
    <w:rsid w:val="009901F7"/>
    <w:rsid w:val="009929EC"/>
    <w:rsid w:val="0099536C"/>
    <w:rsid w:val="0099720B"/>
    <w:rsid w:val="009A65B8"/>
    <w:rsid w:val="009A685A"/>
    <w:rsid w:val="009B2979"/>
    <w:rsid w:val="009B3988"/>
    <w:rsid w:val="009B63B0"/>
    <w:rsid w:val="009C2EC9"/>
    <w:rsid w:val="009C448A"/>
    <w:rsid w:val="009C73EF"/>
    <w:rsid w:val="009D175D"/>
    <w:rsid w:val="009D36AB"/>
    <w:rsid w:val="009D708B"/>
    <w:rsid w:val="009E0A80"/>
    <w:rsid w:val="009F1761"/>
    <w:rsid w:val="009F71A2"/>
    <w:rsid w:val="00A011D2"/>
    <w:rsid w:val="00A029B6"/>
    <w:rsid w:val="00A03FAC"/>
    <w:rsid w:val="00A06E7E"/>
    <w:rsid w:val="00A13DDC"/>
    <w:rsid w:val="00A1615A"/>
    <w:rsid w:val="00A164EA"/>
    <w:rsid w:val="00A212D1"/>
    <w:rsid w:val="00A22D46"/>
    <w:rsid w:val="00A2334C"/>
    <w:rsid w:val="00A239D2"/>
    <w:rsid w:val="00A30968"/>
    <w:rsid w:val="00A32C6E"/>
    <w:rsid w:val="00A351CE"/>
    <w:rsid w:val="00A40309"/>
    <w:rsid w:val="00A42060"/>
    <w:rsid w:val="00A422EA"/>
    <w:rsid w:val="00A45F4F"/>
    <w:rsid w:val="00A5137A"/>
    <w:rsid w:val="00A51758"/>
    <w:rsid w:val="00A554EE"/>
    <w:rsid w:val="00A600A9"/>
    <w:rsid w:val="00A61E25"/>
    <w:rsid w:val="00A6263A"/>
    <w:rsid w:val="00A6329B"/>
    <w:rsid w:val="00A6538C"/>
    <w:rsid w:val="00A663DB"/>
    <w:rsid w:val="00A7404D"/>
    <w:rsid w:val="00A7407D"/>
    <w:rsid w:val="00A77268"/>
    <w:rsid w:val="00A84BCC"/>
    <w:rsid w:val="00A8620D"/>
    <w:rsid w:val="00A86681"/>
    <w:rsid w:val="00A866AC"/>
    <w:rsid w:val="00A901ED"/>
    <w:rsid w:val="00A90ABC"/>
    <w:rsid w:val="00A922E8"/>
    <w:rsid w:val="00A92712"/>
    <w:rsid w:val="00A92F17"/>
    <w:rsid w:val="00A950E2"/>
    <w:rsid w:val="00A95C94"/>
    <w:rsid w:val="00AA020D"/>
    <w:rsid w:val="00AA412A"/>
    <w:rsid w:val="00AA4C45"/>
    <w:rsid w:val="00AA52F2"/>
    <w:rsid w:val="00AA55B7"/>
    <w:rsid w:val="00AA5B9E"/>
    <w:rsid w:val="00AB1A81"/>
    <w:rsid w:val="00AB2109"/>
    <w:rsid w:val="00AB2407"/>
    <w:rsid w:val="00AB3596"/>
    <w:rsid w:val="00AB53DF"/>
    <w:rsid w:val="00AB61ED"/>
    <w:rsid w:val="00AB7889"/>
    <w:rsid w:val="00AC3D37"/>
    <w:rsid w:val="00AC4DB3"/>
    <w:rsid w:val="00AC669A"/>
    <w:rsid w:val="00AD1DA5"/>
    <w:rsid w:val="00AD3257"/>
    <w:rsid w:val="00AD50D4"/>
    <w:rsid w:val="00AD62E9"/>
    <w:rsid w:val="00AE1813"/>
    <w:rsid w:val="00AE3C92"/>
    <w:rsid w:val="00AE47E9"/>
    <w:rsid w:val="00AE522A"/>
    <w:rsid w:val="00AF2B5C"/>
    <w:rsid w:val="00AF5073"/>
    <w:rsid w:val="00AF63EE"/>
    <w:rsid w:val="00AF6BC6"/>
    <w:rsid w:val="00B0107B"/>
    <w:rsid w:val="00B021EE"/>
    <w:rsid w:val="00B02A93"/>
    <w:rsid w:val="00B067B1"/>
    <w:rsid w:val="00B07E5C"/>
    <w:rsid w:val="00B11D8C"/>
    <w:rsid w:val="00B17836"/>
    <w:rsid w:val="00B17B13"/>
    <w:rsid w:val="00B238E7"/>
    <w:rsid w:val="00B31B86"/>
    <w:rsid w:val="00B326E3"/>
    <w:rsid w:val="00B333B5"/>
    <w:rsid w:val="00B334D7"/>
    <w:rsid w:val="00B3351F"/>
    <w:rsid w:val="00B33C83"/>
    <w:rsid w:val="00B368CC"/>
    <w:rsid w:val="00B36901"/>
    <w:rsid w:val="00B402F4"/>
    <w:rsid w:val="00B4215C"/>
    <w:rsid w:val="00B43169"/>
    <w:rsid w:val="00B44339"/>
    <w:rsid w:val="00B45E7F"/>
    <w:rsid w:val="00B47261"/>
    <w:rsid w:val="00B5389B"/>
    <w:rsid w:val="00B61C60"/>
    <w:rsid w:val="00B7124D"/>
    <w:rsid w:val="00B721C8"/>
    <w:rsid w:val="00B73C0C"/>
    <w:rsid w:val="00B74EB4"/>
    <w:rsid w:val="00B74F9E"/>
    <w:rsid w:val="00B801B8"/>
    <w:rsid w:val="00B811F7"/>
    <w:rsid w:val="00B82285"/>
    <w:rsid w:val="00B83976"/>
    <w:rsid w:val="00B848FE"/>
    <w:rsid w:val="00B84BD2"/>
    <w:rsid w:val="00B84CD9"/>
    <w:rsid w:val="00B852E5"/>
    <w:rsid w:val="00B905AA"/>
    <w:rsid w:val="00B90752"/>
    <w:rsid w:val="00B90BD1"/>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05E4"/>
    <w:rsid w:val="00BE1AA3"/>
    <w:rsid w:val="00BE7AEE"/>
    <w:rsid w:val="00BF43CF"/>
    <w:rsid w:val="00BF4EC4"/>
    <w:rsid w:val="00BF7678"/>
    <w:rsid w:val="00C00B2A"/>
    <w:rsid w:val="00C01B19"/>
    <w:rsid w:val="00C0633C"/>
    <w:rsid w:val="00C07140"/>
    <w:rsid w:val="00C077E1"/>
    <w:rsid w:val="00C07BDE"/>
    <w:rsid w:val="00C10E83"/>
    <w:rsid w:val="00C1189E"/>
    <w:rsid w:val="00C14E8F"/>
    <w:rsid w:val="00C16AF2"/>
    <w:rsid w:val="00C21646"/>
    <w:rsid w:val="00C2261D"/>
    <w:rsid w:val="00C2475E"/>
    <w:rsid w:val="00C24DD2"/>
    <w:rsid w:val="00C27664"/>
    <w:rsid w:val="00C27859"/>
    <w:rsid w:val="00C27EA3"/>
    <w:rsid w:val="00C31891"/>
    <w:rsid w:val="00C33898"/>
    <w:rsid w:val="00C34006"/>
    <w:rsid w:val="00C35272"/>
    <w:rsid w:val="00C360F5"/>
    <w:rsid w:val="00C367FB"/>
    <w:rsid w:val="00C37B71"/>
    <w:rsid w:val="00C41A27"/>
    <w:rsid w:val="00C426B1"/>
    <w:rsid w:val="00C43525"/>
    <w:rsid w:val="00C43530"/>
    <w:rsid w:val="00C4665E"/>
    <w:rsid w:val="00C47FF8"/>
    <w:rsid w:val="00C509AC"/>
    <w:rsid w:val="00C50A2E"/>
    <w:rsid w:val="00C5129F"/>
    <w:rsid w:val="00C5306B"/>
    <w:rsid w:val="00C56CAA"/>
    <w:rsid w:val="00C61BB7"/>
    <w:rsid w:val="00C621EC"/>
    <w:rsid w:val="00C66B90"/>
    <w:rsid w:val="00C70F5B"/>
    <w:rsid w:val="00C71544"/>
    <w:rsid w:val="00C7200D"/>
    <w:rsid w:val="00C7218A"/>
    <w:rsid w:val="00C7222F"/>
    <w:rsid w:val="00C7392A"/>
    <w:rsid w:val="00C80924"/>
    <w:rsid w:val="00C82B6B"/>
    <w:rsid w:val="00C850D8"/>
    <w:rsid w:val="00C90D6A"/>
    <w:rsid w:val="00C93E6D"/>
    <w:rsid w:val="00C96C8E"/>
    <w:rsid w:val="00C96CB6"/>
    <w:rsid w:val="00CA23D7"/>
    <w:rsid w:val="00CA5E0B"/>
    <w:rsid w:val="00CA63AF"/>
    <w:rsid w:val="00CB14D4"/>
    <w:rsid w:val="00CB4801"/>
    <w:rsid w:val="00CB52EB"/>
    <w:rsid w:val="00CC2BE4"/>
    <w:rsid w:val="00CC3745"/>
    <w:rsid w:val="00CC4904"/>
    <w:rsid w:val="00CC60EB"/>
    <w:rsid w:val="00CC6A10"/>
    <w:rsid w:val="00CC72B6"/>
    <w:rsid w:val="00CD1437"/>
    <w:rsid w:val="00CD1447"/>
    <w:rsid w:val="00CD2FA0"/>
    <w:rsid w:val="00CD30B5"/>
    <w:rsid w:val="00CD5655"/>
    <w:rsid w:val="00CD7562"/>
    <w:rsid w:val="00CE2EED"/>
    <w:rsid w:val="00CE359D"/>
    <w:rsid w:val="00CE3C68"/>
    <w:rsid w:val="00CF1A56"/>
    <w:rsid w:val="00CF2E41"/>
    <w:rsid w:val="00CF6523"/>
    <w:rsid w:val="00D0137A"/>
    <w:rsid w:val="00D0218D"/>
    <w:rsid w:val="00D03809"/>
    <w:rsid w:val="00D04868"/>
    <w:rsid w:val="00D05C17"/>
    <w:rsid w:val="00D06F09"/>
    <w:rsid w:val="00D06FA2"/>
    <w:rsid w:val="00D12B3C"/>
    <w:rsid w:val="00D13707"/>
    <w:rsid w:val="00D16556"/>
    <w:rsid w:val="00D216CD"/>
    <w:rsid w:val="00D22B78"/>
    <w:rsid w:val="00D22F8D"/>
    <w:rsid w:val="00D238CC"/>
    <w:rsid w:val="00D26EF4"/>
    <w:rsid w:val="00D351CC"/>
    <w:rsid w:val="00D3650B"/>
    <w:rsid w:val="00D41B3B"/>
    <w:rsid w:val="00D45A14"/>
    <w:rsid w:val="00D5095E"/>
    <w:rsid w:val="00D51481"/>
    <w:rsid w:val="00D53ADF"/>
    <w:rsid w:val="00D542A9"/>
    <w:rsid w:val="00D64012"/>
    <w:rsid w:val="00D6557E"/>
    <w:rsid w:val="00D6581B"/>
    <w:rsid w:val="00D71534"/>
    <w:rsid w:val="00D74AEC"/>
    <w:rsid w:val="00D75FB6"/>
    <w:rsid w:val="00D76953"/>
    <w:rsid w:val="00D806AA"/>
    <w:rsid w:val="00D8081B"/>
    <w:rsid w:val="00D81F91"/>
    <w:rsid w:val="00D8472B"/>
    <w:rsid w:val="00D84C22"/>
    <w:rsid w:val="00D851AB"/>
    <w:rsid w:val="00D85EF5"/>
    <w:rsid w:val="00D87B6E"/>
    <w:rsid w:val="00D90DAC"/>
    <w:rsid w:val="00D9630F"/>
    <w:rsid w:val="00DA07AA"/>
    <w:rsid w:val="00DA2529"/>
    <w:rsid w:val="00DA455F"/>
    <w:rsid w:val="00DA63CD"/>
    <w:rsid w:val="00DA77F0"/>
    <w:rsid w:val="00DB130A"/>
    <w:rsid w:val="00DB36BF"/>
    <w:rsid w:val="00DB54CA"/>
    <w:rsid w:val="00DB5AC1"/>
    <w:rsid w:val="00DB6527"/>
    <w:rsid w:val="00DB7A93"/>
    <w:rsid w:val="00DC10A1"/>
    <w:rsid w:val="00DC1A63"/>
    <w:rsid w:val="00DC44DE"/>
    <w:rsid w:val="00DC4D66"/>
    <w:rsid w:val="00DC53B1"/>
    <w:rsid w:val="00DC56D1"/>
    <w:rsid w:val="00DC655F"/>
    <w:rsid w:val="00DC7BAE"/>
    <w:rsid w:val="00DC7C75"/>
    <w:rsid w:val="00DD0336"/>
    <w:rsid w:val="00DD0F22"/>
    <w:rsid w:val="00DD6C7F"/>
    <w:rsid w:val="00DD7CEF"/>
    <w:rsid w:val="00DD7EBD"/>
    <w:rsid w:val="00DE070F"/>
    <w:rsid w:val="00DE0D04"/>
    <w:rsid w:val="00DE147D"/>
    <w:rsid w:val="00DE4B07"/>
    <w:rsid w:val="00DE58ED"/>
    <w:rsid w:val="00DF02FA"/>
    <w:rsid w:val="00DF10F2"/>
    <w:rsid w:val="00DF1B24"/>
    <w:rsid w:val="00DF43F4"/>
    <w:rsid w:val="00DF4E87"/>
    <w:rsid w:val="00DF62B6"/>
    <w:rsid w:val="00E02416"/>
    <w:rsid w:val="00E04D5A"/>
    <w:rsid w:val="00E07225"/>
    <w:rsid w:val="00E155B7"/>
    <w:rsid w:val="00E15AD6"/>
    <w:rsid w:val="00E15F88"/>
    <w:rsid w:val="00E169CC"/>
    <w:rsid w:val="00E17865"/>
    <w:rsid w:val="00E21870"/>
    <w:rsid w:val="00E262F3"/>
    <w:rsid w:val="00E27214"/>
    <w:rsid w:val="00E313A3"/>
    <w:rsid w:val="00E3399D"/>
    <w:rsid w:val="00E4245C"/>
    <w:rsid w:val="00E42555"/>
    <w:rsid w:val="00E50130"/>
    <w:rsid w:val="00E504A8"/>
    <w:rsid w:val="00E50F11"/>
    <w:rsid w:val="00E5409F"/>
    <w:rsid w:val="00E61137"/>
    <w:rsid w:val="00E63E9C"/>
    <w:rsid w:val="00E65904"/>
    <w:rsid w:val="00E70C9B"/>
    <w:rsid w:val="00E72298"/>
    <w:rsid w:val="00E73463"/>
    <w:rsid w:val="00E743F2"/>
    <w:rsid w:val="00E74F67"/>
    <w:rsid w:val="00E77864"/>
    <w:rsid w:val="00E81FE9"/>
    <w:rsid w:val="00E8430F"/>
    <w:rsid w:val="00E85276"/>
    <w:rsid w:val="00E87847"/>
    <w:rsid w:val="00E96AC2"/>
    <w:rsid w:val="00E96B4B"/>
    <w:rsid w:val="00E9794F"/>
    <w:rsid w:val="00EA003B"/>
    <w:rsid w:val="00EA1D70"/>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1899"/>
    <w:rsid w:val="00EE2A38"/>
    <w:rsid w:val="00EE6ADD"/>
    <w:rsid w:val="00EF064F"/>
    <w:rsid w:val="00EF4429"/>
    <w:rsid w:val="00EF4BA9"/>
    <w:rsid w:val="00EF5C69"/>
    <w:rsid w:val="00EF5E4D"/>
    <w:rsid w:val="00F021FA"/>
    <w:rsid w:val="00F03EE6"/>
    <w:rsid w:val="00F051B1"/>
    <w:rsid w:val="00F10131"/>
    <w:rsid w:val="00F10428"/>
    <w:rsid w:val="00F11F96"/>
    <w:rsid w:val="00F13114"/>
    <w:rsid w:val="00F13E8E"/>
    <w:rsid w:val="00F14D69"/>
    <w:rsid w:val="00F159B2"/>
    <w:rsid w:val="00F1632C"/>
    <w:rsid w:val="00F23750"/>
    <w:rsid w:val="00F243B7"/>
    <w:rsid w:val="00F2564B"/>
    <w:rsid w:val="00F25B65"/>
    <w:rsid w:val="00F3004A"/>
    <w:rsid w:val="00F304C0"/>
    <w:rsid w:val="00F311FC"/>
    <w:rsid w:val="00F322CA"/>
    <w:rsid w:val="00F37BD3"/>
    <w:rsid w:val="00F40476"/>
    <w:rsid w:val="00F432AC"/>
    <w:rsid w:val="00F4366C"/>
    <w:rsid w:val="00F43E3B"/>
    <w:rsid w:val="00F446CC"/>
    <w:rsid w:val="00F46420"/>
    <w:rsid w:val="00F5088D"/>
    <w:rsid w:val="00F5223B"/>
    <w:rsid w:val="00F5736F"/>
    <w:rsid w:val="00F57ACA"/>
    <w:rsid w:val="00F61F48"/>
    <w:rsid w:val="00F62E97"/>
    <w:rsid w:val="00F64209"/>
    <w:rsid w:val="00F656F4"/>
    <w:rsid w:val="00F65711"/>
    <w:rsid w:val="00F66D37"/>
    <w:rsid w:val="00F67726"/>
    <w:rsid w:val="00F72B31"/>
    <w:rsid w:val="00F73399"/>
    <w:rsid w:val="00F7410E"/>
    <w:rsid w:val="00F76515"/>
    <w:rsid w:val="00F84F68"/>
    <w:rsid w:val="00F90BC3"/>
    <w:rsid w:val="00F93BF5"/>
    <w:rsid w:val="00F96438"/>
    <w:rsid w:val="00F96F63"/>
    <w:rsid w:val="00F9742C"/>
    <w:rsid w:val="00FA16E0"/>
    <w:rsid w:val="00FA3284"/>
    <w:rsid w:val="00FA6912"/>
    <w:rsid w:val="00FB0C37"/>
    <w:rsid w:val="00FB0DCC"/>
    <w:rsid w:val="00FB1102"/>
    <w:rsid w:val="00FB2F91"/>
    <w:rsid w:val="00FB3EDD"/>
    <w:rsid w:val="00FB6AC1"/>
    <w:rsid w:val="00FC392C"/>
    <w:rsid w:val="00FC565D"/>
    <w:rsid w:val="00FC734F"/>
    <w:rsid w:val="00FC7C2A"/>
    <w:rsid w:val="00FE1675"/>
    <w:rsid w:val="00FE16FD"/>
    <w:rsid w:val="00FE56A1"/>
    <w:rsid w:val="00FE56C4"/>
    <w:rsid w:val="00FE583B"/>
    <w:rsid w:val="00FE6E90"/>
    <w:rsid w:val="00FF17DC"/>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 w:type="character" w:customStyle="1" w:styleId="ALTSFOOTNOTEChar">
    <w:name w:val="ALTS FOOTNOTE Char"/>
    <w:aliases w:val="ALTS FOOTNOTE Char1 Char,Footnote Text Char Char Char,Footnote Text Char2 Char1 Char1 Char Char Char,Footnote Text Char3 Char1 Char Char Char,f Char"/>
    <w:rsid w:val="007E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416789077/HCI-Consolidated%20214%20Application.pdf%20" TargetMode="External" /><Relationship Id="rId2" Type="http://schemas.openxmlformats.org/officeDocument/2006/relationships/hyperlink" Target="https://1.next.westlaw.com/Link/Document/FullText?findType=L&amp;pubNum=1000546&amp;cite=47USCAS214&amp;originatingDoc=Ic24692702bed11db80c2e56cac103088&amp;refType=LQ&amp;originationContext=document&amp;transitionType=DocumentItem&amp;ppcid=9b0c019a10e84a4dad8fb88311026697&amp;contextData=(sc.UserEnteredCitation)" TargetMode="External" /><Relationship Id="rId3" Type="http://schemas.openxmlformats.org/officeDocument/2006/relationships/hyperlink" Target="https://1.next.westlaw.com/Link/Document/FullText?findType=L&amp;pubNum=1000546&amp;cite=47USCAS310&amp;originatingDoc=Ic24692702bed11db80c2e56cac103088&amp;refType=LQ&amp;originationContext=document&amp;transitionType=DocumentItem&amp;ppcid=9b0c019a10e84a4dad8fb88311026697&amp;contextData=(sc.UserEnteredCitation)" TargetMode="External" /><Relationship Id="rId4" Type="http://schemas.openxmlformats.org/officeDocument/2006/relationships/hyperlink" Target="https://1.next.westlaw.com/Link/Document/FullText?findType=Y&amp;serNum=2000612155&amp;pubNum=4493&amp;originatingDoc=Ic24692702bed11db80c2e56cac103088&amp;refType=CA&amp;originationContext=document&amp;transitionType=DocumentItem&amp;ppcid=9b0c019a10e84a4dad8fb88311026697&amp;contextData=(sc.UserEnteredCitation)" TargetMode="External" /><Relationship Id="rId5" Type="http://schemas.openxmlformats.org/officeDocument/2006/relationships/hyperlink" Target="https://1.next.westlaw.com/Link/Document/FullText?findType=Y&amp;serNum=2000040209&amp;pubNum=4493&amp;originatingDoc=Ic24692702bed11db80c2e56cac103088&amp;refType=CA&amp;originationContext=document&amp;transitionType=DocumentItem&amp;ppcid=9b0c019a10e84a4dad8fb88311026697&amp;contextData=(sc.UserEnteredCitation)" TargetMode="External" /><Relationship Id="rId6"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