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778E" w:rsidRPr="00CA4B71" w:rsidP="00B6778E" w14:paraId="60FF0E38" w14:textId="77777777">
      <w:pPr>
        <w:jc w:val="center"/>
        <w:rPr>
          <w:b/>
        </w:rPr>
      </w:pPr>
      <w:r w:rsidRPr="00BC0CA6">
        <w:rPr>
          <w:b/>
        </w:rPr>
        <w:t>Before the</w:t>
      </w:r>
    </w:p>
    <w:p w:rsidR="00B6778E" w:rsidRPr="00CA4B71" w:rsidP="00B6778E" w14:paraId="33D1742E" w14:textId="77777777">
      <w:pPr>
        <w:pStyle w:val="StyleBoldCentered"/>
        <w:rPr>
          <w:rFonts w:ascii="Times New Roman" w:hAnsi="Times New Roman"/>
        </w:rPr>
      </w:pPr>
      <w:r w:rsidRPr="00CA4B71">
        <w:rPr>
          <w:rFonts w:ascii="Times New Roman" w:hAnsi="Times New Roman"/>
        </w:rPr>
        <w:t>F</w:t>
      </w:r>
      <w:r w:rsidRPr="00CA4B71">
        <w:rPr>
          <w:rFonts w:ascii="Times New Roman" w:hAnsi="Times New Roman"/>
          <w:caps w:val="0"/>
        </w:rPr>
        <w:t>ederal Communications Commission</w:t>
      </w:r>
    </w:p>
    <w:p w:rsidR="00B6778E" w:rsidRPr="00CA4B71" w:rsidP="00B6778E" w14:paraId="0562C987" w14:textId="77777777">
      <w:pPr>
        <w:pStyle w:val="StyleBoldCentered"/>
        <w:rPr>
          <w:rFonts w:ascii="Times New Roman" w:hAnsi="Times New Roman"/>
        </w:rPr>
      </w:pPr>
      <w:r w:rsidRPr="00CA4B71">
        <w:rPr>
          <w:rFonts w:ascii="Times New Roman" w:hAnsi="Times New Roman"/>
          <w:caps w:val="0"/>
        </w:rPr>
        <w:t>Washington, D.C. 20554</w:t>
      </w:r>
    </w:p>
    <w:p w:rsidR="00B6778E" w:rsidRPr="00CA4B71" w:rsidP="00B6778E" w14:paraId="39D9F817" w14:textId="77777777">
      <w:pPr>
        <w:spacing w:after="120"/>
      </w:pPr>
    </w:p>
    <w:p w:rsidR="00B6778E" w:rsidRPr="00CA4B71" w:rsidP="00B6778E" w14:paraId="7A0F5F19" w14:textId="77777777">
      <w:pPr>
        <w:spacing w:after="120"/>
      </w:pPr>
    </w:p>
    <w:tbl>
      <w:tblPr>
        <w:tblW w:w="0" w:type="auto"/>
        <w:tblLayout w:type="fixed"/>
        <w:tblLook w:val="0000"/>
      </w:tblPr>
      <w:tblGrid>
        <w:gridCol w:w="4698"/>
        <w:gridCol w:w="630"/>
        <w:gridCol w:w="4248"/>
      </w:tblGrid>
      <w:tr w14:paraId="1986785D" w14:textId="77777777" w:rsidTr="00E703B8">
        <w:tblPrEx>
          <w:tblW w:w="0" w:type="auto"/>
          <w:tblLayout w:type="fixed"/>
          <w:tblLook w:val="0000"/>
        </w:tblPrEx>
        <w:tc>
          <w:tcPr>
            <w:tcW w:w="4698" w:type="dxa"/>
          </w:tcPr>
          <w:p w:rsidR="00B6778E" w:rsidRPr="00BC0CA6" w:rsidP="00E703B8" w14:paraId="3AC02CA1" w14:textId="77777777">
            <w:pPr>
              <w:tabs>
                <w:tab w:val="center" w:pos="4680"/>
              </w:tabs>
              <w:suppressAutoHyphens/>
              <w:rPr>
                <w:spacing w:val="-2"/>
              </w:rPr>
            </w:pPr>
            <w:r w:rsidRPr="00CA4B71">
              <w:rPr>
                <w:spacing w:val="-2"/>
              </w:rPr>
              <w:t>In the Matter of</w:t>
            </w:r>
          </w:p>
          <w:p w:rsidR="00B6778E" w:rsidRPr="00BC0CA6" w:rsidP="00E703B8" w14:paraId="797D01B7" w14:textId="77777777">
            <w:pPr>
              <w:tabs>
                <w:tab w:val="center" w:pos="4680"/>
              </w:tabs>
              <w:suppressAutoHyphens/>
              <w:rPr>
                <w:spacing w:val="-2"/>
              </w:rPr>
            </w:pPr>
          </w:p>
          <w:p w:rsidR="00B6778E" w:rsidRPr="00BC0CA6" w:rsidP="00E703B8" w14:paraId="4BB7B288" w14:textId="77777777">
            <w:pPr>
              <w:tabs>
                <w:tab w:val="center" w:pos="4680"/>
              </w:tabs>
              <w:suppressAutoHyphens/>
              <w:spacing w:after="120"/>
              <w:rPr>
                <w:spacing w:val="-2"/>
              </w:rPr>
            </w:pPr>
            <w:r w:rsidRPr="00BC0CA6">
              <w:rPr>
                <w:spacing w:val="-2"/>
              </w:rPr>
              <w:t xml:space="preserve">Section 63.71 Application of Embarq Florida, Inc. d/b/a CenturyLink, a Lumen Company, for Authority Pursuant to Section 214 of the Communications Act of 1934, as Amended, to Discontinue a Telecommunications Service </w:t>
            </w:r>
          </w:p>
        </w:tc>
        <w:tc>
          <w:tcPr>
            <w:tcW w:w="630" w:type="dxa"/>
          </w:tcPr>
          <w:p w:rsidR="00B6778E" w:rsidRPr="00BC0CA6" w:rsidP="00E703B8" w14:paraId="6148D85B" w14:textId="77777777">
            <w:pPr>
              <w:tabs>
                <w:tab w:val="center" w:pos="4680"/>
              </w:tabs>
              <w:suppressAutoHyphens/>
              <w:rPr>
                <w:b/>
                <w:spacing w:val="-2"/>
              </w:rPr>
            </w:pPr>
            <w:r w:rsidRPr="00BC0CA6">
              <w:rPr>
                <w:b/>
                <w:spacing w:val="-2"/>
              </w:rPr>
              <w:t>)</w:t>
            </w:r>
          </w:p>
          <w:p w:rsidR="00B6778E" w:rsidRPr="00BC0CA6" w:rsidP="00E703B8" w14:paraId="42A109CE" w14:textId="77777777">
            <w:pPr>
              <w:tabs>
                <w:tab w:val="center" w:pos="4680"/>
              </w:tabs>
              <w:suppressAutoHyphens/>
              <w:rPr>
                <w:b/>
                <w:spacing w:val="-2"/>
              </w:rPr>
            </w:pPr>
            <w:r w:rsidRPr="00BC0CA6">
              <w:rPr>
                <w:b/>
                <w:spacing w:val="-2"/>
              </w:rPr>
              <w:t>)</w:t>
            </w:r>
          </w:p>
          <w:p w:rsidR="00B6778E" w:rsidRPr="00BC0CA6" w:rsidP="00E703B8" w14:paraId="3701E925" w14:textId="77777777">
            <w:pPr>
              <w:tabs>
                <w:tab w:val="center" w:pos="4680"/>
              </w:tabs>
              <w:suppressAutoHyphens/>
              <w:rPr>
                <w:b/>
                <w:spacing w:val="-2"/>
              </w:rPr>
            </w:pPr>
            <w:r w:rsidRPr="00BC0CA6">
              <w:rPr>
                <w:b/>
                <w:spacing w:val="-2"/>
              </w:rPr>
              <w:t>)</w:t>
            </w:r>
          </w:p>
          <w:p w:rsidR="00B6778E" w:rsidRPr="00BC0CA6" w:rsidP="00E703B8" w14:paraId="5F5A0AF4" w14:textId="77777777">
            <w:pPr>
              <w:tabs>
                <w:tab w:val="center" w:pos="4680"/>
              </w:tabs>
              <w:suppressAutoHyphens/>
              <w:rPr>
                <w:b/>
                <w:spacing w:val="-2"/>
              </w:rPr>
            </w:pPr>
            <w:r w:rsidRPr="00BC0CA6">
              <w:rPr>
                <w:b/>
                <w:spacing w:val="-2"/>
              </w:rPr>
              <w:t>)</w:t>
            </w:r>
          </w:p>
          <w:p w:rsidR="00B6778E" w:rsidRPr="00BC0CA6" w:rsidP="00E703B8" w14:paraId="1C631CAB" w14:textId="77777777">
            <w:pPr>
              <w:tabs>
                <w:tab w:val="center" w:pos="4680"/>
              </w:tabs>
              <w:suppressAutoHyphens/>
              <w:rPr>
                <w:b/>
                <w:spacing w:val="-2"/>
              </w:rPr>
            </w:pPr>
            <w:r w:rsidRPr="00BC0CA6">
              <w:rPr>
                <w:b/>
                <w:spacing w:val="-2"/>
              </w:rPr>
              <w:t>)</w:t>
            </w:r>
          </w:p>
          <w:p w:rsidR="00B6778E" w:rsidRPr="00BC0CA6" w:rsidP="00E703B8" w14:paraId="214F806C" w14:textId="77777777">
            <w:pPr>
              <w:tabs>
                <w:tab w:val="center" w:pos="4680"/>
              </w:tabs>
              <w:suppressAutoHyphens/>
              <w:rPr>
                <w:b/>
                <w:spacing w:val="-2"/>
              </w:rPr>
            </w:pPr>
            <w:r w:rsidRPr="00BC0CA6">
              <w:rPr>
                <w:b/>
                <w:spacing w:val="-2"/>
              </w:rPr>
              <w:t>)</w:t>
            </w:r>
          </w:p>
          <w:p w:rsidR="00B6778E" w:rsidRPr="00BC0CA6" w:rsidP="00E703B8" w14:paraId="01FE80D6" w14:textId="77777777">
            <w:pPr>
              <w:tabs>
                <w:tab w:val="center" w:pos="4680"/>
              </w:tabs>
              <w:suppressAutoHyphens/>
              <w:rPr>
                <w:b/>
                <w:spacing w:val="-2"/>
              </w:rPr>
            </w:pPr>
            <w:r w:rsidRPr="00BC0CA6">
              <w:rPr>
                <w:b/>
                <w:spacing w:val="-2"/>
              </w:rPr>
              <w:t>)</w:t>
            </w:r>
          </w:p>
          <w:p w:rsidR="00B6778E" w:rsidP="00E703B8" w14:paraId="1BA13DCD" w14:textId="77777777">
            <w:pPr>
              <w:tabs>
                <w:tab w:val="center" w:pos="4680"/>
              </w:tabs>
              <w:suppressAutoHyphens/>
              <w:rPr>
                <w:b/>
                <w:spacing w:val="-2"/>
              </w:rPr>
            </w:pPr>
          </w:p>
          <w:p w:rsidR="00B6778E" w:rsidRPr="00BC0CA6" w:rsidP="00E703B8" w14:paraId="13CCB3D3" w14:textId="77777777">
            <w:pPr>
              <w:tabs>
                <w:tab w:val="center" w:pos="4680"/>
              </w:tabs>
              <w:suppressAutoHyphens/>
              <w:rPr>
                <w:b/>
                <w:spacing w:val="-2"/>
              </w:rPr>
            </w:pPr>
          </w:p>
        </w:tc>
        <w:tc>
          <w:tcPr>
            <w:tcW w:w="4248" w:type="dxa"/>
          </w:tcPr>
          <w:p w:rsidR="00B6778E" w:rsidRPr="00BC0CA6" w:rsidP="00E703B8" w14:paraId="2F1B61AC" w14:textId="77777777">
            <w:pPr>
              <w:tabs>
                <w:tab w:val="center" w:pos="4680"/>
              </w:tabs>
              <w:suppressAutoHyphens/>
              <w:spacing w:after="120"/>
              <w:rPr>
                <w:spacing w:val="-2"/>
              </w:rPr>
            </w:pPr>
          </w:p>
          <w:p w:rsidR="00B6778E" w:rsidRPr="00BC0CA6" w:rsidP="00E703B8" w14:paraId="487EC9EB" w14:textId="77777777">
            <w:pPr>
              <w:pStyle w:val="TOAHeading"/>
              <w:tabs>
                <w:tab w:val="center" w:pos="4680"/>
                <w:tab w:val="clear" w:pos="9360"/>
              </w:tabs>
              <w:spacing w:after="120"/>
              <w:rPr>
                <w:spacing w:val="-2"/>
              </w:rPr>
            </w:pPr>
          </w:p>
          <w:p w:rsidR="00B6778E" w:rsidRPr="00BC0CA6" w:rsidP="00E703B8" w14:paraId="43150C52" w14:textId="77777777">
            <w:pPr>
              <w:tabs>
                <w:tab w:val="center" w:pos="4680"/>
              </w:tabs>
              <w:suppressAutoHyphens/>
              <w:spacing w:after="120"/>
              <w:rPr>
                <w:spacing w:val="-2"/>
              </w:rPr>
            </w:pPr>
            <w:r w:rsidRPr="00BC0CA6">
              <w:rPr>
                <w:spacing w:val="-2"/>
              </w:rPr>
              <w:t>WC Docket No. 21-298</w:t>
            </w:r>
          </w:p>
        </w:tc>
      </w:tr>
    </w:tbl>
    <w:p w:rsidR="00B6778E" w:rsidRPr="00BC0CA6" w:rsidP="00B6778E" w14:paraId="56C441B4" w14:textId="77777777">
      <w:pPr>
        <w:pStyle w:val="StyleBoldCentered"/>
        <w:spacing w:after="120"/>
        <w:rPr>
          <w:rFonts w:ascii="Times New Roman" w:hAnsi="Times New Roman"/>
        </w:rPr>
      </w:pPr>
      <w:r w:rsidRPr="00BC0CA6">
        <w:rPr>
          <w:rFonts w:ascii="Times New Roman" w:hAnsi="Times New Roman"/>
        </w:rPr>
        <w:t>Order</w:t>
      </w:r>
    </w:p>
    <w:p w:rsidR="004C2EE3" w14:paraId="42197FE4" w14:textId="77777777">
      <w:pPr>
        <w:tabs>
          <w:tab w:val="left" w:pos="-720"/>
        </w:tabs>
        <w:suppressAutoHyphens/>
        <w:spacing w:line="227" w:lineRule="auto"/>
        <w:rPr>
          <w:spacing w:val="-2"/>
        </w:rPr>
      </w:pPr>
    </w:p>
    <w:p w:rsidR="004C2EE3" w:rsidP="00133F79" w14:paraId="674C1E13" w14:textId="0D8ACDE5">
      <w:pPr>
        <w:tabs>
          <w:tab w:val="left" w:pos="720"/>
          <w:tab w:val="right" w:pos="9360"/>
        </w:tabs>
        <w:suppressAutoHyphens/>
        <w:spacing w:line="227" w:lineRule="auto"/>
        <w:rPr>
          <w:spacing w:val="-2"/>
        </w:rPr>
      </w:pPr>
      <w:r>
        <w:rPr>
          <w:b/>
          <w:spacing w:val="-2"/>
        </w:rPr>
        <w:t xml:space="preserve">Adopted:  </w:t>
      </w:r>
      <w:r w:rsidR="00556A52">
        <w:rPr>
          <w:b/>
          <w:spacing w:val="-2"/>
        </w:rPr>
        <w:t xml:space="preserve">December </w:t>
      </w:r>
      <w:r w:rsidR="00CE7243">
        <w:rPr>
          <w:b/>
          <w:spacing w:val="-2"/>
        </w:rPr>
        <w:t>17</w:t>
      </w:r>
      <w:r w:rsidR="00B6778E">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6A52">
        <w:rPr>
          <w:b/>
          <w:spacing w:val="-2"/>
        </w:rPr>
        <w:t xml:space="preserve">December </w:t>
      </w:r>
      <w:r w:rsidR="00CE7243">
        <w:rPr>
          <w:b/>
          <w:spacing w:val="-2"/>
        </w:rPr>
        <w:t>17</w:t>
      </w:r>
      <w:r w:rsidR="00B6778E">
        <w:rPr>
          <w:b/>
          <w:spacing w:val="-2"/>
        </w:rPr>
        <w:t>, 2021</w:t>
      </w:r>
    </w:p>
    <w:p w:rsidR="00822CE0" w14:paraId="6E2AAD58" w14:textId="77777777"/>
    <w:p w:rsidR="00B6778E" w14:paraId="7648FF21" w14:textId="77777777"/>
    <w:p w:rsidR="004C2EE3" w14:paraId="6970800F" w14:textId="77777777">
      <w:pPr>
        <w:rPr>
          <w:spacing w:val="-2"/>
        </w:rPr>
      </w:pPr>
      <w:r>
        <w:t xml:space="preserve">By </w:t>
      </w:r>
      <w:r w:rsidR="004E4A22">
        <w:t>the</w:t>
      </w:r>
      <w:r w:rsidR="002A2D2E">
        <w:t xml:space="preserve"> </w:t>
      </w:r>
      <w:r w:rsidRPr="00BC0CA6" w:rsidR="00B6778E">
        <w:t>Chief, Wireline Competition Bureau</w:t>
      </w:r>
      <w:r>
        <w:rPr>
          <w:spacing w:val="-2"/>
        </w:rPr>
        <w:t>:</w:t>
      </w:r>
    </w:p>
    <w:p w:rsidR="00822CE0" w14:paraId="1BEDAF05" w14:textId="77777777">
      <w:pPr>
        <w:rPr>
          <w:spacing w:val="-2"/>
        </w:rPr>
      </w:pPr>
    </w:p>
    <w:p w:rsidR="00B6778E" w:rsidRPr="00A179FE" w:rsidP="00B6778E" w14:paraId="0860180E" w14:textId="77777777">
      <w:pPr>
        <w:pStyle w:val="Heading1"/>
        <w:rPr>
          <w:rFonts w:ascii="Times New Roman" w:hAnsi="Times New Roman"/>
        </w:rPr>
      </w:pPr>
      <w:r w:rsidRPr="00A179FE">
        <w:rPr>
          <w:rFonts w:ascii="Times New Roman" w:hAnsi="Times New Roman"/>
        </w:rPr>
        <w:t>Introduction</w:t>
      </w:r>
    </w:p>
    <w:p w:rsidR="00B6778E" w:rsidRPr="00A179FE" w:rsidP="00B6778E" w14:paraId="69877E44" w14:textId="77777777">
      <w:pPr>
        <w:pStyle w:val="ParaNum"/>
        <w:widowControl/>
        <w:tabs>
          <w:tab w:val="clear" w:pos="1440"/>
        </w:tabs>
      </w:pPr>
      <w:r w:rsidRPr="00BC0CA6">
        <w:t xml:space="preserve">By this Order, the Wireline Competition Bureau (Bureau) of the Federal Communications Commission </w:t>
      </w:r>
      <w:r w:rsidR="00DA5FA8">
        <w:t xml:space="preserve">(Commission) </w:t>
      </w:r>
      <w:r w:rsidR="001478F1">
        <w:t xml:space="preserve">terminates the above-captioned </w:t>
      </w:r>
      <w:r w:rsidR="00DD1098">
        <w:t xml:space="preserve">application </w:t>
      </w:r>
      <w:r w:rsidR="001478F1">
        <w:t>proceeding</w:t>
      </w:r>
      <w:r w:rsidR="00DD1098">
        <w:t xml:space="preserve"> whereby</w:t>
      </w:r>
      <w:r w:rsidR="00C135DC">
        <w:t xml:space="preserve"> </w:t>
      </w:r>
      <w:r w:rsidRPr="00BC0CA6">
        <w:rPr>
          <w:spacing w:val="-3"/>
        </w:rPr>
        <w:t xml:space="preserve">Embarq Florida, Inc. d/b/a CenturyLink, a Lumen company (CenturyLink) </w:t>
      </w:r>
      <w:r w:rsidR="00DD1098">
        <w:rPr>
          <w:spacing w:val="-3"/>
        </w:rPr>
        <w:t xml:space="preserve">sought </w:t>
      </w:r>
      <w:r w:rsidR="00664845">
        <w:rPr>
          <w:spacing w:val="-3"/>
        </w:rPr>
        <w:t xml:space="preserve">Commission </w:t>
      </w:r>
      <w:r w:rsidRPr="00BC0CA6">
        <w:rPr>
          <w:spacing w:val="-3"/>
        </w:rPr>
        <w:t>authority</w:t>
      </w:r>
      <w:r w:rsidRPr="00BC0CA6">
        <w:rPr>
          <w:rFonts w:eastAsia="MS Mincho"/>
        </w:rPr>
        <w:t xml:space="preserve"> to discontinue legacy voice service </w:t>
      </w:r>
      <w:bookmarkStart w:id="0" w:name="_Hlk90460238"/>
      <w:r w:rsidRPr="00BC0CA6">
        <w:rPr>
          <w:rFonts w:eastAsia="MS Mincho"/>
        </w:rPr>
        <w:t>on Little Gasparilla Island, Florida</w:t>
      </w:r>
      <w:bookmarkEnd w:id="0"/>
      <w:r w:rsidR="001E7F38">
        <w:rPr>
          <w:rFonts w:eastAsia="MS Mincho"/>
        </w:rPr>
        <w:t>.</w:t>
      </w:r>
      <w:r>
        <w:rPr>
          <w:rStyle w:val="FootnoteReference"/>
          <w:sz w:val="22"/>
        </w:rPr>
        <w:footnoteReference w:id="3"/>
      </w:r>
      <w:r w:rsidRPr="00BC0CA6">
        <w:rPr>
          <w:rFonts w:eastAsia="MS Mincho"/>
        </w:rPr>
        <w:t xml:space="preserve">  </w:t>
      </w:r>
      <w:r w:rsidR="0063426D">
        <w:rPr>
          <w:rFonts w:eastAsia="MS Mincho"/>
        </w:rPr>
        <w:t>CenturyLink withdrew th</w:t>
      </w:r>
      <w:r w:rsidR="00DD1098">
        <w:rPr>
          <w:rFonts w:eastAsia="MS Mincho"/>
        </w:rPr>
        <w:t>e</w:t>
      </w:r>
      <w:r w:rsidR="0063426D">
        <w:rPr>
          <w:rFonts w:eastAsia="MS Mincho"/>
        </w:rPr>
        <w:t xml:space="preserve"> </w:t>
      </w:r>
      <w:r w:rsidR="00DD1098">
        <w:rPr>
          <w:rFonts w:eastAsia="MS Mincho"/>
        </w:rPr>
        <w:t>A</w:t>
      </w:r>
      <w:r w:rsidR="0063426D">
        <w:rPr>
          <w:rFonts w:eastAsia="MS Mincho"/>
        </w:rPr>
        <w:t>pplication on November 22, 2021.</w:t>
      </w:r>
      <w:r>
        <w:rPr>
          <w:rStyle w:val="FootnoteReference"/>
          <w:rFonts w:eastAsia="MS Mincho"/>
        </w:rPr>
        <w:footnoteReference w:id="4"/>
      </w:r>
      <w:r w:rsidRPr="00BC0CA6">
        <w:t xml:space="preserve"> </w:t>
      </w:r>
    </w:p>
    <w:p w:rsidR="00B6778E" w:rsidRPr="00A179FE" w:rsidP="00B6778E" w14:paraId="0E03E4DA" w14:textId="77777777">
      <w:pPr>
        <w:pStyle w:val="Heading1"/>
        <w:rPr>
          <w:rFonts w:ascii="Times New Roman" w:hAnsi="Times New Roman"/>
        </w:rPr>
      </w:pPr>
      <w:r>
        <w:rPr>
          <w:rFonts w:ascii="Times New Roman" w:hAnsi="Times New Roman"/>
        </w:rPr>
        <w:t>Discussion</w:t>
      </w:r>
    </w:p>
    <w:p w:rsidR="00B6778E" w:rsidRPr="00BC0CA6" w:rsidP="00B6778E" w14:paraId="466F331F" w14:textId="77777777">
      <w:pPr>
        <w:pStyle w:val="ParaNum"/>
        <w:widowControl/>
        <w:tabs>
          <w:tab w:val="clear" w:pos="1440"/>
        </w:tabs>
        <w:rPr>
          <w:color w:val="000000"/>
        </w:rPr>
      </w:pPr>
      <w:r w:rsidRPr="00BC0CA6">
        <w:rPr>
          <w:color w:val="000000"/>
        </w:rPr>
        <w:t xml:space="preserve">On July 14, 2021, CenturyLink filed </w:t>
      </w:r>
      <w:r w:rsidR="001E7F38">
        <w:rPr>
          <w:color w:val="000000"/>
        </w:rPr>
        <w:t>the A</w:t>
      </w:r>
      <w:r w:rsidRPr="00BC0CA6">
        <w:rPr>
          <w:color w:val="000000"/>
        </w:rPr>
        <w:t xml:space="preserve">pplication with the Commission requesting authority, under section 214 of the </w:t>
      </w:r>
      <w:r w:rsidR="001E7F38">
        <w:rPr>
          <w:color w:val="000000"/>
        </w:rPr>
        <w:t>Communications Act of 1934, as amended</w:t>
      </w:r>
      <w:r w:rsidR="00C135DC">
        <w:rPr>
          <w:color w:val="000000"/>
        </w:rPr>
        <w:t>,</w:t>
      </w:r>
      <w:r>
        <w:rPr>
          <w:rStyle w:val="FootnoteReference"/>
          <w:rFonts w:eastAsia="MS Mincho"/>
          <w:sz w:val="22"/>
        </w:rPr>
        <w:footnoteReference w:id="5"/>
      </w:r>
      <w:r w:rsidRPr="00BC0CA6">
        <w:rPr>
          <w:color w:val="000000"/>
        </w:rPr>
        <w:t xml:space="preserve"> and section 63.71 of the Commission’s rules</w:t>
      </w:r>
      <w:r w:rsidR="00C135DC">
        <w:rPr>
          <w:color w:val="000000"/>
        </w:rPr>
        <w:t>,</w:t>
      </w:r>
      <w:r>
        <w:rPr>
          <w:rStyle w:val="FootnoteReference"/>
          <w:rFonts w:eastAsia="MS Mincho"/>
          <w:sz w:val="22"/>
        </w:rPr>
        <w:footnoteReference w:id="6"/>
      </w:r>
      <w:r w:rsidRPr="00BC0CA6">
        <w:rPr>
          <w:color w:val="000000"/>
        </w:rPr>
        <w:t xml:space="preserve"> to discontinue the legacy voice service that it </w:t>
      </w:r>
      <w:r w:rsidR="00EA46CF">
        <w:rPr>
          <w:color w:val="000000"/>
        </w:rPr>
        <w:t xml:space="preserve">provides to 26 customers </w:t>
      </w:r>
      <w:r w:rsidRPr="00BC0CA6" w:rsidR="00EA46CF">
        <w:rPr>
          <w:rFonts w:eastAsia="MS Mincho"/>
        </w:rPr>
        <w:t>on Little Gasparilla Island, Florida</w:t>
      </w:r>
      <w:r w:rsidR="00EA46CF">
        <w:rPr>
          <w:rFonts w:eastAsia="MS Mincho"/>
        </w:rPr>
        <w:t xml:space="preserve"> that would result in a technology transition.</w:t>
      </w:r>
      <w:r>
        <w:rPr>
          <w:rStyle w:val="FootnoteReference"/>
          <w:rFonts w:eastAsia="MS Mincho"/>
        </w:rPr>
        <w:footnoteReference w:id="7"/>
      </w:r>
      <w:r w:rsidRPr="00BC0CA6" w:rsidR="00EA46CF">
        <w:rPr>
          <w:color w:val="000000"/>
        </w:rPr>
        <w:t xml:space="preserve"> </w:t>
      </w:r>
      <w:r w:rsidR="00C135DC">
        <w:rPr>
          <w:color w:val="000000"/>
        </w:rPr>
        <w:t xml:space="preserve"> The Application relied </w:t>
      </w:r>
      <w:bookmarkStart w:id="1" w:name="co_tablefootnote_3_1"/>
      <w:bookmarkEnd w:id="1"/>
      <w:r w:rsidRPr="00BC0CA6">
        <w:rPr>
          <w:color w:val="000000"/>
        </w:rPr>
        <w:t>on the adequate replacement test established by the Commission in 2016 for evaluating technology transition discontinuance applications.</w:t>
      </w:r>
      <w:r>
        <w:rPr>
          <w:rStyle w:val="FootnoteReference"/>
          <w:sz w:val="22"/>
          <w:szCs w:val="22"/>
        </w:rPr>
        <w:footnoteReference w:id="8"/>
      </w:r>
      <w:r w:rsidRPr="00BC0CA6">
        <w:rPr>
          <w:color w:val="000000"/>
        </w:rPr>
        <w:t xml:space="preserve">  On </w:t>
      </w:r>
      <w:r w:rsidRPr="00BC0CA6">
        <w:rPr>
          <w:spacing w:val="-3"/>
        </w:rPr>
        <w:t>October</w:t>
      </w:r>
      <w:r w:rsidRPr="00BC0CA6">
        <w:rPr>
          <w:color w:val="000000"/>
        </w:rPr>
        <w:t xml:space="preserve"> 4, 2021, the Bureau released a </w:t>
      </w:r>
      <w:r w:rsidRPr="39B266D9">
        <w:rPr>
          <w:i/>
          <w:iCs/>
          <w:color w:val="000000"/>
        </w:rPr>
        <w:t>Public Notice</w:t>
      </w:r>
      <w:r w:rsidRPr="00BC0CA6">
        <w:rPr>
          <w:color w:val="000000"/>
        </w:rPr>
        <w:t xml:space="preserve"> indicating that the Application did not qualify for streamlined processing because “</w:t>
      </w:r>
      <w:r w:rsidRPr="00BC0CA6">
        <w:rPr>
          <w:spacing w:val="-3"/>
        </w:rPr>
        <w:t xml:space="preserve">CenturyLink’s application does not make </w:t>
      </w:r>
      <w:r w:rsidRPr="00BC0CA6">
        <w:rPr>
          <w:spacing w:val="-3"/>
        </w:rPr>
        <w:t xml:space="preserve">the </w:t>
      </w:r>
      <w:r w:rsidRPr="39B266D9">
        <w:rPr>
          <w:i/>
          <w:iCs/>
          <w:spacing w:val="-3"/>
        </w:rPr>
        <w:t>prima facie</w:t>
      </w:r>
      <w:r w:rsidRPr="00BC0CA6">
        <w:rPr>
          <w:spacing w:val="-3"/>
        </w:rPr>
        <w:t xml:space="preserve"> showing necessary for an applicant relying on the service of a third-party provider for the replacement service.”</w:t>
      </w:r>
      <w:r>
        <w:rPr>
          <w:rStyle w:val="FootnoteReference"/>
          <w:spacing w:val="-3"/>
          <w:sz w:val="22"/>
          <w:szCs w:val="22"/>
        </w:rPr>
        <w:footnoteReference w:id="9"/>
      </w:r>
      <w:r w:rsidRPr="00BC0CA6">
        <w:rPr>
          <w:spacing w:val="-3"/>
        </w:rPr>
        <w:t xml:space="preserve"> </w:t>
      </w:r>
      <w:r>
        <w:rPr>
          <w:spacing w:val="-3"/>
        </w:rPr>
        <w:t xml:space="preserve"> </w:t>
      </w:r>
    </w:p>
    <w:p w:rsidR="00B6778E" w:rsidRPr="00687674" w:rsidP="00B6778E" w14:paraId="33090162" w14:textId="77777777">
      <w:pPr>
        <w:pStyle w:val="ParaNum"/>
        <w:widowControl/>
        <w:tabs>
          <w:tab w:val="clear" w:pos="1440"/>
        </w:tabs>
      </w:pPr>
      <w:r w:rsidRPr="00BC0CA6">
        <w:t xml:space="preserve">The </w:t>
      </w:r>
      <w:r w:rsidRPr="2EBAE955">
        <w:rPr>
          <w:i/>
          <w:iCs/>
        </w:rPr>
        <w:t>Public Notice</w:t>
      </w:r>
      <w:r w:rsidRPr="00BC0CA6">
        <w:t xml:space="preserve"> established 30 and 45-day deadlines, respectively, for filing comments and reply comments in response to the Application.</w:t>
      </w:r>
      <w:r>
        <w:rPr>
          <w:rStyle w:val="FootnoteReference"/>
          <w:sz w:val="22"/>
        </w:rPr>
        <w:footnoteReference w:id="10"/>
      </w:r>
      <w:r w:rsidRPr="00BC0CA6">
        <w:t xml:space="preserve">  </w:t>
      </w:r>
      <w:r w:rsidR="00344099">
        <w:t>On October 22, 2021, t</w:t>
      </w:r>
      <w:r w:rsidR="004372F1">
        <w:t xml:space="preserve">he Bureau extended those deadlines </w:t>
      </w:r>
      <w:r w:rsidR="00373093">
        <w:t xml:space="preserve">to </w:t>
      </w:r>
      <w:r w:rsidR="003F026A">
        <w:t>November 24, 2021</w:t>
      </w:r>
      <w:r w:rsidR="1CDB20F7">
        <w:t>,</w:t>
      </w:r>
      <w:r w:rsidR="00373093">
        <w:t xml:space="preserve"> and </w:t>
      </w:r>
      <w:r w:rsidR="006919C5">
        <w:t>December 16, 2021</w:t>
      </w:r>
      <w:r w:rsidR="00373093">
        <w:t>, respectively,</w:t>
      </w:r>
      <w:r>
        <w:rPr>
          <w:rStyle w:val="FootnoteReference"/>
        </w:rPr>
        <w:footnoteReference w:id="11"/>
      </w:r>
      <w:r w:rsidR="00373093">
        <w:t xml:space="preserve"> in response to a request filed by </w:t>
      </w:r>
      <w:r w:rsidRPr="00BC0CA6">
        <w:t>the Consumer &amp; Competition Advocacy Organizations</w:t>
      </w:r>
      <w:r w:rsidRPr="00BC0CA6">
        <w:rPr>
          <w:color w:val="000000"/>
        </w:rPr>
        <w:t>.</w:t>
      </w:r>
      <w:r>
        <w:rPr>
          <w:rStyle w:val="FootnoteReference"/>
          <w:sz w:val="22"/>
        </w:rPr>
        <w:footnoteReference w:id="12"/>
      </w:r>
      <w:r w:rsidRPr="00BC0CA6">
        <w:rPr>
          <w:color w:val="000000"/>
        </w:rPr>
        <w:t xml:space="preserve">  </w:t>
      </w:r>
    </w:p>
    <w:p w:rsidR="00B6778E" w:rsidRPr="00BC0CA6" w:rsidP="00705374" w14:paraId="7B86CD43" w14:textId="0F43FE5A">
      <w:pPr>
        <w:pStyle w:val="ParaNum"/>
        <w:widowControl/>
        <w:tabs>
          <w:tab w:val="clear" w:pos="1440"/>
        </w:tabs>
      </w:pPr>
      <w:r w:rsidRPr="00EA5A02">
        <w:rPr>
          <w:color w:val="000000"/>
        </w:rPr>
        <w:t>CenturyLink subsequently filed its Withdrawal Letter</w:t>
      </w:r>
      <w:r w:rsidRPr="00EA5A02" w:rsidR="00EA5A02">
        <w:rPr>
          <w:color w:val="000000"/>
        </w:rPr>
        <w:t xml:space="preserve"> on November 22, 202</w:t>
      </w:r>
      <w:r w:rsidR="00C8566D">
        <w:rPr>
          <w:color w:val="000000"/>
        </w:rPr>
        <w:t>1</w:t>
      </w:r>
      <w:r w:rsidR="000F5F40">
        <w:rPr>
          <w:color w:val="000000"/>
        </w:rPr>
        <w:t>,</w:t>
      </w:r>
      <w:r>
        <w:rPr>
          <w:rStyle w:val="FootnoteReference"/>
        </w:rPr>
        <w:footnoteReference w:id="13"/>
      </w:r>
      <w:r w:rsidRPr="00EA5A02" w:rsidR="0075404C">
        <w:rPr>
          <w:color w:val="000000"/>
        </w:rPr>
        <w:t xml:space="preserve"> and no party </w:t>
      </w:r>
      <w:r w:rsidRPr="00EA5A02" w:rsidR="00EA5A02">
        <w:rPr>
          <w:color w:val="000000"/>
        </w:rPr>
        <w:t xml:space="preserve">has </w:t>
      </w:r>
      <w:r w:rsidRPr="00EA5A02" w:rsidR="0075404C">
        <w:rPr>
          <w:color w:val="000000"/>
        </w:rPr>
        <w:t>opposed that withdrawal.</w:t>
      </w:r>
      <w:r w:rsidR="00EA5A02">
        <w:rPr>
          <w:color w:val="000000"/>
        </w:rPr>
        <w:t xml:space="preserve">  </w:t>
      </w:r>
      <w:r w:rsidR="003F026A">
        <w:t>Accordingly</w:t>
      </w:r>
      <w:r w:rsidR="00BC68B4">
        <w:t xml:space="preserve">, </w:t>
      </w:r>
      <w:r w:rsidR="00722378">
        <w:t>the Bureau</w:t>
      </w:r>
      <w:r w:rsidR="00BC4296">
        <w:t xml:space="preserve"> accepts CenturyLink’s withdrawal and hereby terminates this proceeding without prejudice.</w:t>
      </w:r>
      <w:r>
        <w:rPr>
          <w:rStyle w:val="FootnoteReference"/>
        </w:rPr>
        <w:footnoteReference w:id="14"/>
      </w:r>
      <w:r w:rsidR="00BC4296">
        <w:t xml:space="preserve">  </w:t>
      </w:r>
    </w:p>
    <w:p w:rsidR="00B6778E" w:rsidRPr="00A179FE" w:rsidP="00B6778E" w14:paraId="7D7D7A2C" w14:textId="77777777">
      <w:pPr>
        <w:pStyle w:val="Heading1"/>
        <w:rPr>
          <w:rFonts w:ascii="Times New Roman" w:hAnsi="Times New Roman"/>
        </w:rPr>
      </w:pPr>
      <w:r w:rsidRPr="00A179FE">
        <w:rPr>
          <w:rFonts w:ascii="Times New Roman" w:hAnsi="Times New Roman"/>
        </w:rPr>
        <w:t>ORDERING CLAUSES</w:t>
      </w:r>
    </w:p>
    <w:p w:rsidR="00B6778E" w:rsidRPr="00BC0CA6" w:rsidP="00B6778E" w14:paraId="51C4ED7C" w14:textId="77777777">
      <w:pPr>
        <w:pStyle w:val="ParaNum"/>
        <w:widowControl/>
        <w:tabs>
          <w:tab w:val="clear" w:pos="1440"/>
        </w:tabs>
      </w:pPr>
      <w:r>
        <w:t xml:space="preserve">Accordingly, IT IS ORDERED, pursuant to </w:t>
      </w:r>
      <w:r w:rsidR="00365F76">
        <w:t>section 4(</w:t>
      </w:r>
      <w:r w:rsidR="00365F76">
        <w:t>i</w:t>
      </w:r>
      <w:r w:rsidR="00365F76">
        <w:t>) of the Communications Act of 1934, as amended</w:t>
      </w:r>
      <w:r w:rsidR="002F3EB2">
        <w:t xml:space="preserve">, 47 U.S.C. § </w:t>
      </w:r>
      <w:r w:rsidR="00496E3D">
        <w:t>154(</w:t>
      </w:r>
      <w:r w:rsidR="00496E3D">
        <w:t>i</w:t>
      </w:r>
      <w:r w:rsidR="00496E3D">
        <w:t xml:space="preserve">), </w:t>
      </w:r>
      <w:r w:rsidR="00EE7545">
        <w:t xml:space="preserve">and </w:t>
      </w:r>
      <w:r>
        <w:t xml:space="preserve">sections </w:t>
      </w:r>
      <w:r w:rsidR="00B06D9B">
        <w:t xml:space="preserve">0.91, </w:t>
      </w:r>
      <w:r>
        <w:t xml:space="preserve">0.204, </w:t>
      </w:r>
      <w:r w:rsidR="00EE7545">
        <w:t xml:space="preserve">and </w:t>
      </w:r>
      <w:r>
        <w:t>0.291 of the Commission’s rules, 47 CFR §§ </w:t>
      </w:r>
      <w:r w:rsidR="00B06D9B">
        <w:t xml:space="preserve">0.91, </w:t>
      </w:r>
      <w:r>
        <w:t xml:space="preserve">0.204, 0.291, that the </w:t>
      </w:r>
      <w:r w:rsidR="000D5873">
        <w:t>above-captioned proceeding</w:t>
      </w:r>
      <w:r>
        <w:t xml:space="preserve"> is </w:t>
      </w:r>
      <w:r w:rsidR="000D5873">
        <w:t>TERMINATED</w:t>
      </w:r>
      <w:r>
        <w:t xml:space="preserve">. </w:t>
      </w:r>
    </w:p>
    <w:p w:rsidR="00B6778E" w:rsidRPr="00BC0CA6" w:rsidP="00B6778E" w14:paraId="0AD77F7F" w14:textId="77777777">
      <w:pPr>
        <w:pStyle w:val="ParaNum"/>
        <w:widowControl/>
        <w:tabs>
          <w:tab w:val="clear" w:pos="1440"/>
        </w:tabs>
      </w:pPr>
      <w:r w:rsidRPr="00BC0CA6">
        <w:t xml:space="preserve">To request materials in accessible formats (such as Braille, large print, electronic files, or audio format), send an email to: </w:t>
      </w:r>
      <w:hyperlink r:id="rId5" w:history="1">
        <w:r w:rsidRPr="00BC0CA6">
          <w:rPr>
            <w:rStyle w:val="Hyperlink"/>
          </w:rPr>
          <w:t>fcc504@fcc.gov</w:t>
        </w:r>
      </w:hyperlink>
      <w:r w:rsidRPr="00BC0CA6">
        <w:t xml:space="preserve">, or call the Consumer and Governmental Affairs Bureau at (202) 418-0530 (voice) or (202) 418-0432 (TTY).  </w:t>
      </w:r>
    </w:p>
    <w:p w:rsidR="00B6778E" w:rsidRPr="00BC0CA6" w:rsidP="00B6778E" w14:paraId="0842EFA0" w14:textId="77777777">
      <w:pPr>
        <w:pStyle w:val="ParaNum"/>
        <w:widowControl/>
        <w:tabs>
          <w:tab w:val="clear" w:pos="1440"/>
        </w:tabs>
      </w:pPr>
      <w:r w:rsidRPr="00BC0CA6">
        <w:t xml:space="preserve">For further information concerning this Order, please contact Michele Levy Berlove of the Wireline Competition Bureau, Competition Policy Division, at (202) 418-1477 or </w:t>
      </w:r>
      <w:hyperlink r:id="rId6" w:history="1">
        <w:r w:rsidRPr="00BC0CA6">
          <w:rPr>
            <w:rStyle w:val="Hyperlink"/>
          </w:rPr>
          <w:t>michele.berlove@fcc.gov</w:t>
        </w:r>
      </w:hyperlink>
      <w:r w:rsidRPr="00BC0CA6">
        <w:t>.</w:t>
      </w:r>
    </w:p>
    <w:p w:rsidR="00B6778E" w:rsidRPr="00BA6A7C" w:rsidP="00B6778E" w14:paraId="0AEF815B" w14:textId="77777777">
      <w:pPr>
        <w:pStyle w:val="ParaNum"/>
        <w:numPr>
          <w:ilvl w:val="0"/>
          <w:numId w:val="0"/>
        </w:numPr>
        <w:spacing w:after="0"/>
        <w:ind w:firstLine="720"/>
      </w:pPr>
    </w:p>
    <w:p w:rsidR="00B6778E" w:rsidP="0017296B" w14:paraId="21422453" w14:textId="77777777">
      <w:r>
        <w:rPr>
          <w:spacing w:val="-3"/>
        </w:rPr>
        <w:tab/>
      </w:r>
      <w:r>
        <w:tab/>
      </w:r>
      <w:r>
        <w:tab/>
      </w:r>
      <w:r>
        <w:tab/>
      </w:r>
      <w:r>
        <w:tab/>
      </w:r>
      <w:r>
        <w:tab/>
        <w:t>FEDERAL COMMUNICATIONS COMMISSION</w:t>
      </w:r>
    </w:p>
    <w:p w:rsidR="00B6778E" w:rsidP="0017296B" w14:paraId="01785AB3" w14:textId="77777777"/>
    <w:p w:rsidR="00B6778E" w:rsidP="0017296B" w14:paraId="013C30A4" w14:textId="77777777"/>
    <w:p w:rsidR="00B6778E" w:rsidP="0017296B" w14:paraId="7D22AC1D" w14:textId="77777777"/>
    <w:p w:rsidR="00B6778E" w:rsidP="0017296B" w14:paraId="3631C424" w14:textId="77777777"/>
    <w:p w:rsidR="00B6778E" w:rsidRPr="00B6778E" w:rsidP="0017296B" w14:paraId="2E3E5E17" w14:textId="77777777">
      <w:pPr>
        <w:rPr>
          <w:spacing w:val="-3"/>
        </w:rPr>
      </w:pPr>
      <w:r>
        <w:tab/>
      </w:r>
      <w:r>
        <w:tab/>
      </w:r>
      <w:r>
        <w:tab/>
      </w:r>
      <w:r>
        <w:tab/>
      </w:r>
      <w:r>
        <w:tab/>
      </w:r>
      <w:r>
        <w:tab/>
      </w:r>
      <w:r>
        <w:rPr>
          <w:spacing w:val="-3"/>
        </w:rPr>
        <w:t>Kris Anne Monteith</w:t>
      </w:r>
    </w:p>
    <w:p w:rsidR="00B6778E" w:rsidP="0017296B" w14:paraId="29AC56FF" w14:textId="77777777">
      <w:pPr>
        <w:rPr>
          <w:spacing w:val="-3"/>
        </w:rPr>
      </w:pPr>
      <w:r>
        <w:tab/>
      </w:r>
      <w:r>
        <w:tab/>
      </w:r>
      <w:r>
        <w:tab/>
      </w:r>
      <w:r>
        <w:tab/>
      </w:r>
      <w:r>
        <w:tab/>
      </w:r>
      <w:r>
        <w:tab/>
      </w:r>
      <w:r>
        <w:rPr>
          <w:spacing w:val="-3"/>
        </w:rPr>
        <w:t>Chief</w:t>
      </w:r>
      <w:r w:rsidRPr="00B6778E">
        <w:rPr>
          <w:spacing w:val="-3"/>
        </w:rPr>
        <w:t xml:space="preserve"> </w:t>
      </w:r>
    </w:p>
    <w:p w:rsidR="00412FC5" w:rsidRPr="00B6778E" w:rsidP="00B6778E" w14:paraId="539248C8" w14:textId="77777777">
      <w:pPr>
        <w:ind w:left="3600" w:firstLine="720"/>
      </w:pPr>
      <w:r>
        <w:rPr>
          <w:spacing w:val="-3"/>
        </w:rPr>
        <w:t>Wireline Competition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C05E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FC7F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1481B" w14:paraId="368DC5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D5C7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2B2" w14:paraId="0755894D" w14:textId="77777777">
      <w:r>
        <w:separator/>
      </w:r>
    </w:p>
  </w:footnote>
  <w:footnote w:type="continuationSeparator" w:id="1">
    <w:p w:rsidR="002262B2" w:rsidP="00C721AC" w14:paraId="2A0B95AD" w14:textId="77777777">
      <w:pPr>
        <w:spacing w:before="120"/>
        <w:rPr>
          <w:sz w:val="20"/>
        </w:rPr>
      </w:pPr>
      <w:r>
        <w:rPr>
          <w:sz w:val="20"/>
        </w:rPr>
        <w:t xml:space="preserve">(Continued from previous page)  </w:t>
      </w:r>
      <w:r>
        <w:rPr>
          <w:sz w:val="20"/>
        </w:rPr>
        <w:separator/>
      </w:r>
    </w:p>
  </w:footnote>
  <w:footnote w:type="continuationNotice" w:id="2">
    <w:p w:rsidR="002262B2" w:rsidP="00C721AC" w14:paraId="739AA98A" w14:textId="77777777">
      <w:pPr>
        <w:jc w:val="right"/>
        <w:rPr>
          <w:sz w:val="20"/>
        </w:rPr>
      </w:pPr>
      <w:r>
        <w:rPr>
          <w:sz w:val="20"/>
        </w:rPr>
        <w:t>(continued….)</w:t>
      </w:r>
    </w:p>
  </w:footnote>
  <w:footnote w:id="3">
    <w:p w:rsidR="00B6778E" w:rsidRPr="002D7B42" w:rsidP="00B6778E" w14:paraId="18514053" w14:textId="77777777">
      <w:pPr>
        <w:pStyle w:val="FootnoteText"/>
      </w:pPr>
      <w:r>
        <w:rPr>
          <w:rStyle w:val="FootnoteReference"/>
        </w:rPr>
        <w:footnoteRef/>
      </w:r>
      <w:r>
        <w:t xml:space="preserve"> </w:t>
      </w:r>
      <w:r w:rsidRPr="00924321">
        <w:rPr>
          <w:rFonts w:eastAsia="MS Mincho"/>
        </w:rPr>
        <w:t>Section 63.71 Application of Embarq Florida, Inc. d/b/a CenturyLink, a Lumen company</w:t>
      </w:r>
      <w:r>
        <w:rPr>
          <w:rFonts w:eastAsia="MS Mincho"/>
        </w:rPr>
        <w:t>,</w:t>
      </w:r>
      <w:r w:rsidRPr="00924321">
        <w:rPr>
          <w:rFonts w:eastAsia="MS Mincho"/>
        </w:rPr>
        <w:t xml:space="preserve"> for Authority Pursuant to Section 214 of the Communications Act of 1</w:t>
      </w:r>
      <w:r>
        <w:rPr>
          <w:rFonts w:eastAsia="MS Mincho"/>
        </w:rPr>
        <w:t>9</w:t>
      </w:r>
      <w:r w:rsidRPr="00924321">
        <w:rPr>
          <w:rFonts w:eastAsia="MS Mincho"/>
        </w:rPr>
        <w:t xml:space="preserve">34, </w:t>
      </w:r>
      <w:r>
        <w:rPr>
          <w:rFonts w:eastAsia="MS Mincho"/>
        </w:rPr>
        <w:t>a</w:t>
      </w:r>
      <w:r w:rsidRPr="00924321">
        <w:rPr>
          <w:rFonts w:eastAsia="MS Mincho"/>
        </w:rPr>
        <w:t xml:space="preserve">s Amended, </w:t>
      </w:r>
      <w:r>
        <w:rPr>
          <w:rFonts w:eastAsia="MS Mincho"/>
        </w:rPr>
        <w:t>t</w:t>
      </w:r>
      <w:r w:rsidRPr="00924321">
        <w:rPr>
          <w:rFonts w:eastAsia="MS Mincho"/>
        </w:rPr>
        <w:t>o Discontinue a Telecommunications Service, WC Docket No. 21-298 (filed July 14, 2021) (Application)</w:t>
      </w:r>
      <w:r>
        <w:rPr>
          <w:rFonts w:eastAsia="MS Mincho"/>
        </w:rPr>
        <w:t xml:space="preserve">, </w:t>
      </w:r>
      <w:hyperlink r:id="rId1" w:history="1">
        <w:r w:rsidRPr="002D7B42">
          <w:rPr>
            <w:rStyle w:val="Hyperlink"/>
            <w:rFonts w:eastAsia="MS Mincho"/>
          </w:rPr>
          <w:t>https://www.fcc.gov/ecfs/search/filings?proceedings_name=21-298&amp;sort=date_disseminated,DESC</w:t>
        </w:r>
      </w:hyperlink>
      <w:r w:rsidRPr="002D7B42">
        <w:t>.</w:t>
      </w:r>
    </w:p>
  </w:footnote>
  <w:footnote w:id="4">
    <w:p w:rsidR="00581267" w14:paraId="001D6A00" w14:textId="77777777">
      <w:pPr>
        <w:pStyle w:val="FootnoteText"/>
      </w:pPr>
      <w:r>
        <w:rPr>
          <w:rStyle w:val="FootnoteReference"/>
        </w:rPr>
        <w:footnoteRef/>
      </w:r>
      <w:r>
        <w:t xml:space="preserve"> </w:t>
      </w:r>
      <w:r w:rsidR="009C316D">
        <w:t>Letter from Craig J. Brown, Asst. Gen. Counsel, Lumen, to Marlene H. Dortch, Secretary, FCC, WC Docket No. 21-298, Comp. Pol. File No. 1710</w:t>
      </w:r>
      <w:r w:rsidR="005476F0">
        <w:t xml:space="preserve"> (filed Nov. 22, 2021)</w:t>
      </w:r>
      <w:r w:rsidR="007779FB">
        <w:t xml:space="preserve"> (Withdrawal Letter)</w:t>
      </w:r>
      <w:r w:rsidR="005476F0">
        <w:t>.</w:t>
      </w:r>
    </w:p>
  </w:footnote>
  <w:footnote w:id="5">
    <w:p w:rsidR="00DD1098" w:rsidRPr="00924321" w:rsidP="00DD1098" w14:paraId="03783E2C" w14:textId="77777777">
      <w:pPr>
        <w:pStyle w:val="FootnoteText"/>
      </w:pPr>
      <w:r w:rsidRPr="00924321">
        <w:rPr>
          <w:rStyle w:val="FootnoteReference"/>
        </w:rPr>
        <w:footnoteRef/>
      </w:r>
      <w:r w:rsidRPr="00924321">
        <w:t xml:space="preserve"> </w:t>
      </w:r>
      <w:r w:rsidRPr="00924321">
        <w:t xml:space="preserve">47 U.S.C. </w:t>
      </w:r>
      <w:r w:rsidRPr="00924321">
        <w:rPr>
          <w:rFonts w:eastAsia="MS Mincho"/>
        </w:rPr>
        <w:t>§ 214.</w:t>
      </w:r>
    </w:p>
  </w:footnote>
  <w:footnote w:id="6">
    <w:p w:rsidR="001E7F38" w:rsidRPr="00924321" w:rsidP="001E7F38" w14:paraId="36F5CBFE" w14:textId="77777777">
      <w:pPr>
        <w:pStyle w:val="FootnoteText"/>
      </w:pPr>
      <w:r w:rsidRPr="00924321">
        <w:rPr>
          <w:rStyle w:val="FootnoteReference"/>
        </w:rPr>
        <w:footnoteRef/>
      </w:r>
      <w:r w:rsidRPr="00924321">
        <w:t xml:space="preserve"> </w:t>
      </w:r>
      <w:r w:rsidRPr="00924321">
        <w:rPr>
          <w:rFonts w:eastAsia="MS Mincho"/>
        </w:rPr>
        <w:t xml:space="preserve">47 CFR § 63.71.  </w:t>
      </w:r>
    </w:p>
  </w:footnote>
  <w:footnote w:id="7">
    <w:p w:rsidR="00EA46CF" w14:paraId="0E9FA55B" w14:textId="77777777">
      <w:pPr>
        <w:pStyle w:val="FootnoteText"/>
      </w:pPr>
      <w:r>
        <w:rPr>
          <w:rStyle w:val="FootnoteReference"/>
        </w:rPr>
        <w:footnoteRef/>
      </w:r>
      <w:r>
        <w:t xml:space="preserve"> </w:t>
      </w:r>
      <w:r>
        <w:t xml:space="preserve">47 CFR </w:t>
      </w:r>
      <w:r w:rsidRPr="00924321">
        <w:rPr>
          <w:rFonts w:eastAsia="MS Mincho"/>
        </w:rPr>
        <w:t>§</w:t>
      </w:r>
      <w:r>
        <w:rPr>
          <w:rFonts w:eastAsia="MS Mincho"/>
        </w:rPr>
        <w:t xml:space="preserve"> 63.60(</w:t>
      </w:r>
      <w:r>
        <w:rPr>
          <w:rFonts w:eastAsia="MS Mincho"/>
        </w:rPr>
        <w:t>i</w:t>
      </w:r>
      <w:r>
        <w:rPr>
          <w:rFonts w:eastAsia="MS Mincho"/>
        </w:rPr>
        <w:t xml:space="preserve">) (defining a Technology Transition as </w:t>
      </w:r>
      <w:r w:rsidR="000F5F40">
        <w:rPr>
          <w:rFonts w:eastAsia="MS Mincho"/>
        </w:rPr>
        <w:t>“any change in service that would result in the replacement of a wireline TDM-based voice service with a service using a different technology or medium for transmission to the end user, whether internet Protocol (IP), wireless, or another type”</w:t>
      </w:r>
      <w:r>
        <w:rPr>
          <w:rFonts w:eastAsia="MS Mincho"/>
        </w:rPr>
        <w:t>)</w:t>
      </w:r>
      <w:r w:rsidR="000F5F40">
        <w:rPr>
          <w:rFonts w:eastAsia="MS Mincho"/>
        </w:rPr>
        <w:t>.</w:t>
      </w:r>
    </w:p>
  </w:footnote>
  <w:footnote w:id="8">
    <w:p w:rsidR="00B6778E" w:rsidP="00B6778E" w14:paraId="1D974BBC" w14:textId="77777777">
      <w:pPr>
        <w:pStyle w:val="FootnoteText"/>
      </w:pPr>
      <w:r w:rsidRPr="002D7B42">
        <w:rPr>
          <w:rStyle w:val="FootnoteReference"/>
        </w:rPr>
        <w:footnoteRef/>
      </w:r>
      <w:r w:rsidRPr="002D7B42">
        <w:t xml:space="preserve"> </w:t>
      </w:r>
      <w:r w:rsidRPr="002D7B42">
        <w:rPr>
          <w:rFonts w:eastAsia="MS Mincho"/>
        </w:rPr>
        <w:t>Application at 2</w:t>
      </w:r>
      <w:r w:rsidRPr="002D7B42">
        <w:t xml:space="preserve">.  </w:t>
      </w:r>
    </w:p>
  </w:footnote>
  <w:footnote w:id="9">
    <w:p w:rsidR="00B6778E" w:rsidP="00B6778E" w14:paraId="50411D33" w14:textId="77777777">
      <w:pPr>
        <w:pStyle w:val="FootnoteText"/>
      </w:pPr>
      <w:r>
        <w:rPr>
          <w:rStyle w:val="FootnoteReference"/>
        </w:rPr>
        <w:footnoteRef/>
      </w:r>
      <w:r>
        <w:t xml:space="preserve"> </w:t>
      </w:r>
      <w:r w:rsidRPr="00794518">
        <w:rPr>
          <w:bCs/>
        </w:rPr>
        <w:t xml:space="preserve">Comments Invited </w:t>
      </w:r>
      <w:r>
        <w:rPr>
          <w:bCs/>
        </w:rPr>
        <w:t>o</w:t>
      </w:r>
      <w:r w:rsidRPr="00794518">
        <w:rPr>
          <w:bCs/>
        </w:rPr>
        <w:t xml:space="preserve">n Section 214 Application </w:t>
      </w:r>
      <w:r>
        <w:rPr>
          <w:bCs/>
        </w:rPr>
        <w:t>o</w:t>
      </w:r>
      <w:r w:rsidRPr="00794518">
        <w:rPr>
          <w:bCs/>
        </w:rPr>
        <w:t xml:space="preserve">f Embarq Florida, Inc. </w:t>
      </w:r>
      <w:r>
        <w:rPr>
          <w:bCs/>
        </w:rPr>
        <w:t>d</w:t>
      </w:r>
      <w:r w:rsidRPr="00794518">
        <w:rPr>
          <w:bCs/>
        </w:rPr>
        <w:t>/</w:t>
      </w:r>
      <w:r>
        <w:rPr>
          <w:bCs/>
        </w:rPr>
        <w:t>b</w:t>
      </w:r>
      <w:r w:rsidRPr="00794518">
        <w:rPr>
          <w:bCs/>
        </w:rPr>
        <w:t>/</w:t>
      </w:r>
      <w:r>
        <w:rPr>
          <w:bCs/>
        </w:rPr>
        <w:t>a</w:t>
      </w:r>
      <w:r w:rsidRPr="00794518">
        <w:rPr>
          <w:bCs/>
        </w:rPr>
        <w:t xml:space="preserve"> Century</w:t>
      </w:r>
      <w:r>
        <w:rPr>
          <w:bCs/>
        </w:rPr>
        <w:t>L</w:t>
      </w:r>
      <w:r w:rsidRPr="00794518">
        <w:rPr>
          <w:bCs/>
        </w:rPr>
        <w:t xml:space="preserve">ink </w:t>
      </w:r>
      <w:r>
        <w:rPr>
          <w:bCs/>
        </w:rPr>
        <w:t>t</w:t>
      </w:r>
      <w:r w:rsidRPr="00794518">
        <w:rPr>
          <w:bCs/>
        </w:rPr>
        <w:t xml:space="preserve">o Discontinue Legacy Voice Service </w:t>
      </w:r>
      <w:r>
        <w:rPr>
          <w:bCs/>
        </w:rPr>
        <w:t>a</w:t>
      </w:r>
      <w:r w:rsidRPr="00794518">
        <w:rPr>
          <w:bCs/>
        </w:rPr>
        <w:t xml:space="preserve">s Part </w:t>
      </w:r>
      <w:r>
        <w:rPr>
          <w:bCs/>
        </w:rPr>
        <w:t>o</w:t>
      </w:r>
      <w:r w:rsidRPr="00794518">
        <w:rPr>
          <w:bCs/>
        </w:rPr>
        <w:t xml:space="preserve">f </w:t>
      </w:r>
      <w:r>
        <w:rPr>
          <w:bCs/>
        </w:rPr>
        <w:t>a</w:t>
      </w:r>
      <w:r w:rsidRPr="00794518">
        <w:rPr>
          <w:bCs/>
        </w:rPr>
        <w:t xml:space="preserve"> Technology Transition</w:t>
      </w:r>
      <w:r>
        <w:rPr>
          <w:bCs/>
        </w:rPr>
        <w:t>, WC Docket No. 21-298, Public Notice, DA 21-1247, at 1-2 (Oct. 4, 2021) (</w:t>
      </w:r>
      <w:r w:rsidRPr="006203AE">
        <w:rPr>
          <w:bCs/>
          <w:i/>
          <w:iCs/>
        </w:rPr>
        <w:t>Public Notice</w:t>
      </w:r>
      <w:r>
        <w:rPr>
          <w:bCs/>
        </w:rPr>
        <w:t>).</w:t>
      </w:r>
    </w:p>
  </w:footnote>
  <w:footnote w:id="10">
    <w:p w:rsidR="00B6778E" w:rsidP="00B6778E" w14:paraId="6D0A0651" w14:textId="77777777">
      <w:pPr>
        <w:pStyle w:val="FootnoteText"/>
      </w:pPr>
      <w:r>
        <w:rPr>
          <w:rStyle w:val="FootnoteReference"/>
        </w:rPr>
        <w:footnoteRef/>
      </w:r>
      <w:r>
        <w:t xml:space="preserve"> </w:t>
      </w:r>
      <w:r>
        <w:rPr>
          <w:i/>
          <w:iCs/>
        </w:rPr>
        <w:t>Id</w:t>
      </w:r>
      <w:r>
        <w:t>.</w:t>
      </w:r>
    </w:p>
  </w:footnote>
  <w:footnote w:id="11">
    <w:p w:rsidR="00AE728C" w14:paraId="34A134A2" w14:textId="77777777">
      <w:pPr>
        <w:pStyle w:val="FootnoteText"/>
      </w:pPr>
      <w:r>
        <w:rPr>
          <w:rStyle w:val="FootnoteReference"/>
        </w:rPr>
        <w:footnoteRef/>
      </w:r>
      <w:r>
        <w:t xml:space="preserve"> </w:t>
      </w:r>
      <w:r w:rsidRPr="00F904C2" w:rsidR="00B904AB">
        <w:rPr>
          <w:rFonts w:eastAsia="MS Mincho"/>
          <w:i/>
          <w:iCs/>
        </w:rPr>
        <w:t>Section 63.71 Application of Embarq Florida, Inc. d/b/a CenturyLink, a Lumen company, for Authority Pursuant to Section 214 of the Communications Act of 1934, as Amended, to Discontinue a Telecommunications Service</w:t>
      </w:r>
      <w:r w:rsidRPr="00924321" w:rsidR="00B904AB">
        <w:rPr>
          <w:rFonts w:eastAsia="MS Mincho"/>
        </w:rPr>
        <w:t xml:space="preserve">, </w:t>
      </w:r>
      <w:r w:rsidR="00F904C2">
        <w:rPr>
          <w:rFonts w:eastAsia="MS Mincho"/>
        </w:rPr>
        <w:t xml:space="preserve">Order, </w:t>
      </w:r>
      <w:r w:rsidRPr="00924321" w:rsidR="00B904AB">
        <w:rPr>
          <w:rFonts w:eastAsia="MS Mincho"/>
        </w:rPr>
        <w:t>WC Docket No. 21-298</w:t>
      </w:r>
      <w:r w:rsidR="006972C1">
        <w:rPr>
          <w:rFonts w:eastAsia="MS Mincho"/>
        </w:rPr>
        <w:t xml:space="preserve"> (WCB Oct. 22, 2021).</w:t>
      </w:r>
    </w:p>
  </w:footnote>
  <w:footnote w:id="12">
    <w:p w:rsidR="00B6778E" w:rsidP="00B6778E" w14:paraId="276CF136" w14:textId="77777777">
      <w:pPr>
        <w:pStyle w:val="FootnoteText"/>
      </w:pPr>
      <w:r>
        <w:rPr>
          <w:rStyle w:val="FootnoteReference"/>
        </w:rPr>
        <w:footnoteRef/>
      </w:r>
      <w:r>
        <w:t xml:space="preserve"> </w:t>
      </w:r>
      <w:r>
        <w:t xml:space="preserve">Extension Request at 1; Correction to Extension Request at 1.  </w:t>
      </w:r>
    </w:p>
  </w:footnote>
  <w:footnote w:id="13">
    <w:p w:rsidR="0075404C" w14:paraId="196E6D9A" w14:textId="2DB800F6">
      <w:pPr>
        <w:pStyle w:val="FootnoteText"/>
      </w:pPr>
      <w:r>
        <w:rPr>
          <w:rStyle w:val="FootnoteReference"/>
        </w:rPr>
        <w:footnoteRef/>
      </w:r>
      <w:r>
        <w:t xml:space="preserve"> </w:t>
      </w:r>
      <w:r w:rsidRPr="00687674">
        <w:rPr>
          <w:i/>
          <w:iCs/>
        </w:rPr>
        <w:t>See supra</w:t>
      </w:r>
      <w:r>
        <w:t xml:space="preserve"> note </w:t>
      </w:r>
      <w:r w:rsidR="005F2FD9">
        <w:t>2</w:t>
      </w:r>
      <w:r>
        <w:t>.</w:t>
      </w:r>
    </w:p>
  </w:footnote>
  <w:footnote w:id="14">
    <w:p w:rsidR="00EA5A02" w14:paraId="3C6F5D46" w14:textId="77777777">
      <w:pPr>
        <w:pStyle w:val="FootnoteText"/>
      </w:pPr>
      <w:r>
        <w:rPr>
          <w:rStyle w:val="FootnoteReference"/>
        </w:rPr>
        <w:footnoteRef/>
      </w:r>
      <w:r>
        <w:t xml:space="preserve"> </w:t>
      </w:r>
      <w:r>
        <w:t xml:space="preserve">While four parties filed comments in response to the Application, CenturyLink’s withdrawal renders </w:t>
      </w:r>
      <w:r w:rsidR="00344099">
        <w:t xml:space="preserve">the </w:t>
      </w:r>
      <w:r>
        <w:t>concerns about the service discontinuance raised by those comment</w:t>
      </w:r>
      <w:r w:rsidR="000F5F40">
        <w:t>e</w:t>
      </w:r>
      <w:r>
        <w:t xml:space="preserve">rs moot.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27EE76" w14:textId="44E4D274">
    <w:pPr>
      <w:pStyle w:val="Header"/>
      <w:rPr>
        <w:b w:val="0"/>
      </w:rPr>
    </w:pPr>
    <w:r>
      <w:tab/>
    </w:r>
    <w:r>
      <w:t>Federal Communications Commission</w:t>
    </w:r>
    <w:r>
      <w:tab/>
    </w:r>
    <w:r w:rsidR="00695CC1">
      <w:t>DA 21</w:t>
    </w:r>
    <w:r w:rsidR="00B21D0D">
      <w:t>-</w:t>
    </w:r>
    <w:r w:rsidR="00CE7243">
      <w:t>1601</w:t>
    </w:r>
  </w:p>
  <w:p w:rsidR="00D25FB5" w14:paraId="36F3E1B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4526C9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D17012" w14:textId="09F7D8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2F1436">
      <w:tab/>
    </w:r>
    <w:r w:rsidR="002F1436">
      <w:t>Federal Communications Commission</w:t>
    </w:r>
    <w:r w:rsidR="002F1436">
      <w:tab/>
    </w:r>
    <w:r w:rsidR="00695CC1">
      <w:rPr>
        <w:spacing w:val="-2"/>
      </w:rPr>
      <w:t>DA 21-</w:t>
    </w:r>
    <w:r w:rsidR="00CE7243">
      <w:rPr>
        <w:spacing w:val="-2"/>
      </w:rPr>
      <w:t>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8E"/>
    <w:rsid w:val="00006ABB"/>
    <w:rsid w:val="000108F8"/>
    <w:rsid w:val="00036039"/>
    <w:rsid w:val="00037F90"/>
    <w:rsid w:val="0004561A"/>
    <w:rsid w:val="000875BF"/>
    <w:rsid w:val="00096D8C"/>
    <w:rsid w:val="000B0F12"/>
    <w:rsid w:val="000C0B65"/>
    <w:rsid w:val="000D5873"/>
    <w:rsid w:val="000E05FE"/>
    <w:rsid w:val="000E3D42"/>
    <w:rsid w:val="000F5F40"/>
    <w:rsid w:val="00102AAD"/>
    <w:rsid w:val="00122BD5"/>
    <w:rsid w:val="00133F79"/>
    <w:rsid w:val="001478F1"/>
    <w:rsid w:val="0016292A"/>
    <w:rsid w:val="0017296B"/>
    <w:rsid w:val="00194A66"/>
    <w:rsid w:val="001D6BCF"/>
    <w:rsid w:val="001E01CA"/>
    <w:rsid w:val="001E7F38"/>
    <w:rsid w:val="002262B2"/>
    <w:rsid w:val="00256D11"/>
    <w:rsid w:val="00275CF5"/>
    <w:rsid w:val="0028301F"/>
    <w:rsid w:val="00285017"/>
    <w:rsid w:val="002A08F1"/>
    <w:rsid w:val="002A2D2E"/>
    <w:rsid w:val="002C00E8"/>
    <w:rsid w:val="002D7B42"/>
    <w:rsid w:val="002F1436"/>
    <w:rsid w:val="002F3EB2"/>
    <w:rsid w:val="003304B7"/>
    <w:rsid w:val="00343749"/>
    <w:rsid w:val="00344099"/>
    <w:rsid w:val="00351773"/>
    <w:rsid w:val="00365F76"/>
    <w:rsid w:val="003660ED"/>
    <w:rsid w:val="00373093"/>
    <w:rsid w:val="00381BA7"/>
    <w:rsid w:val="003B0550"/>
    <w:rsid w:val="003B694F"/>
    <w:rsid w:val="003F026A"/>
    <w:rsid w:val="003F171C"/>
    <w:rsid w:val="003F1B4A"/>
    <w:rsid w:val="003F42B4"/>
    <w:rsid w:val="00412FC5"/>
    <w:rsid w:val="00422276"/>
    <w:rsid w:val="004242F1"/>
    <w:rsid w:val="004372F1"/>
    <w:rsid w:val="00445A00"/>
    <w:rsid w:val="00451B0F"/>
    <w:rsid w:val="00452C0E"/>
    <w:rsid w:val="00461237"/>
    <w:rsid w:val="00491EEB"/>
    <w:rsid w:val="00496E3D"/>
    <w:rsid w:val="004A1FA0"/>
    <w:rsid w:val="004A356F"/>
    <w:rsid w:val="004C2EE3"/>
    <w:rsid w:val="004E4A22"/>
    <w:rsid w:val="004F37C8"/>
    <w:rsid w:val="004F7AFE"/>
    <w:rsid w:val="00506AE4"/>
    <w:rsid w:val="00511968"/>
    <w:rsid w:val="00525E1E"/>
    <w:rsid w:val="005476F0"/>
    <w:rsid w:val="0055614C"/>
    <w:rsid w:val="00556A52"/>
    <w:rsid w:val="00566D06"/>
    <w:rsid w:val="00581267"/>
    <w:rsid w:val="005E14C2"/>
    <w:rsid w:val="005E33AB"/>
    <w:rsid w:val="005F2FD9"/>
    <w:rsid w:val="00607BA5"/>
    <w:rsid w:val="0061180A"/>
    <w:rsid w:val="0061481B"/>
    <w:rsid w:val="006203AE"/>
    <w:rsid w:val="00626EB6"/>
    <w:rsid w:val="0063426D"/>
    <w:rsid w:val="00655D03"/>
    <w:rsid w:val="00664845"/>
    <w:rsid w:val="00683388"/>
    <w:rsid w:val="00683F84"/>
    <w:rsid w:val="00687674"/>
    <w:rsid w:val="006919C5"/>
    <w:rsid w:val="00695CC1"/>
    <w:rsid w:val="006972C1"/>
    <w:rsid w:val="006A6A81"/>
    <w:rsid w:val="006C37B9"/>
    <w:rsid w:val="006F7393"/>
    <w:rsid w:val="0070224F"/>
    <w:rsid w:val="00705374"/>
    <w:rsid w:val="007115F7"/>
    <w:rsid w:val="00722378"/>
    <w:rsid w:val="0072730A"/>
    <w:rsid w:val="0075404C"/>
    <w:rsid w:val="007779FB"/>
    <w:rsid w:val="0078320D"/>
    <w:rsid w:val="00785689"/>
    <w:rsid w:val="00794518"/>
    <w:rsid w:val="0079754B"/>
    <w:rsid w:val="007A1E6D"/>
    <w:rsid w:val="007B0EB2"/>
    <w:rsid w:val="007F30D4"/>
    <w:rsid w:val="00810B6F"/>
    <w:rsid w:val="0082115F"/>
    <w:rsid w:val="00822CE0"/>
    <w:rsid w:val="00841AB1"/>
    <w:rsid w:val="008719B7"/>
    <w:rsid w:val="0088769C"/>
    <w:rsid w:val="008A1173"/>
    <w:rsid w:val="008C0C3F"/>
    <w:rsid w:val="008C2AD8"/>
    <w:rsid w:val="008C68F1"/>
    <w:rsid w:val="0090263E"/>
    <w:rsid w:val="009042B4"/>
    <w:rsid w:val="00921803"/>
    <w:rsid w:val="00924321"/>
    <w:rsid w:val="00926503"/>
    <w:rsid w:val="009515C3"/>
    <w:rsid w:val="009726D8"/>
    <w:rsid w:val="0097794B"/>
    <w:rsid w:val="009C0FAF"/>
    <w:rsid w:val="009C316D"/>
    <w:rsid w:val="009D7308"/>
    <w:rsid w:val="009F76DB"/>
    <w:rsid w:val="009F7F76"/>
    <w:rsid w:val="00A179FE"/>
    <w:rsid w:val="00A32C3B"/>
    <w:rsid w:val="00A4211B"/>
    <w:rsid w:val="00A45F4F"/>
    <w:rsid w:val="00A47A99"/>
    <w:rsid w:val="00A600A9"/>
    <w:rsid w:val="00A63112"/>
    <w:rsid w:val="00A71E1C"/>
    <w:rsid w:val="00A932C0"/>
    <w:rsid w:val="00AA55B7"/>
    <w:rsid w:val="00AA5B9E"/>
    <w:rsid w:val="00AB2407"/>
    <w:rsid w:val="00AB53DF"/>
    <w:rsid w:val="00AC119E"/>
    <w:rsid w:val="00AE728C"/>
    <w:rsid w:val="00B06D9B"/>
    <w:rsid w:val="00B07E5C"/>
    <w:rsid w:val="00B21D0D"/>
    <w:rsid w:val="00B3720D"/>
    <w:rsid w:val="00B6778E"/>
    <w:rsid w:val="00B811F7"/>
    <w:rsid w:val="00B904AB"/>
    <w:rsid w:val="00BA5DC6"/>
    <w:rsid w:val="00BA6196"/>
    <w:rsid w:val="00BA6A7C"/>
    <w:rsid w:val="00BC0CA6"/>
    <w:rsid w:val="00BC4296"/>
    <w:rsid w:val="00BC68B4"/>
    <w:rsid w:val="00BC6D8C"/>
    <w:rsid w:val="00BE39AC"/>
    <w:rsid w:val="00BF5F09"/>
    <w:rsid w:val="00C135DC"/>
    <w:rsid w:val="00C34006"/>
    <w:rsid w:val="00C36B4C"/>
    <w:rsid w:val="00C426B1"/>
    <w:rsid w:val="00C66160"/>
    <w:rsid w:val="00C721AC"/>
    <w:rsid w:val="00C80DFD"/>
    <w:rsid w:val="00C8566D"/>
    <w:rsid w:val="00C90D6A"/>
    <w:rsid w:val="00CA247E"/>
    <w:rsid w:val="00CA4731"/>
    <w:rsid w:val="00CA4B71"/>
    <w:rsid w:val="00CA6D21"/>
    <w:rsid w:val="00CC72B6"/>
    <w:rsid w:val="00CE7243"/>
    <w:rsid w:val="00CF3EBB"/>
    <w:rsid w:val="00D0218D"/>
    <w:rsid w:val="00D25FB5"/>
    <w:rsid w:val="00D44223"/>
    <w:rsid w:val="00D84055"/>
    <w:rsid w:val="00D951E6"/>
    <w:rsid w:val="00DA2529"/>
    <w:rsid w:val="00DA5FA8"/>
    <w:rsid w:val="00DB130A"/>
    <w:rsid w:val="00DB2EBB"/>
    <w:rsid w:val="00DC10A1"/>
    <w:rsid w:val="00DC655F"/>
    <w:rsid w:val="00DD0B59"/>
    <w:rsid w:val="00DD1098"/>
    <w:rsid w:val="00DD7EBD"/>
    <w:rsid w:val="00DF4FE9"/>
    <w:rsid w:val="00DF62B6"/>
    <w:rsid w:val="00E07225"/>
    <w:rsid w:val="00E11875"/>
    <w:rsid w:val="00E32FD7"/>
    <w:rsid w:val="00E5409F"/>
    <w:rsid w:val="00E703B8"/>
    <w:rsid w:val="00EA46CF"/>
    <w:rsid w:val="00EA5A02"/>
    <w:rsid w:val="00EC5F17"/>
    <w:rsid w:val="00EE21C7"/>
    <w:rsid w:val="00EE6488"/>
    <w:rsid w:val="00EE7545"/>
    <w:rsid w:val="00F021FA"/>
    <w:rsid w:val="00F0653A"/>
    <w:rsid w:val="00F27104"/>
    <w:rsid w:val="00F62E97"/>
    <w:rsid w:val="00F64209"/>
    <w:rsid w:val="00F904C2"/>
    <w:rsid w:val="00F92E01"/>
    <w:rsid w:val="00F93BF5"/>
    <w:rsid w:val="00FD3527"/>
    <w:rsid w:val="18ACEAB6"/>
    <w:rsid w:val="1CDB20F7"/>
    <w:rsid w:val="2EBAE955"/>
    <w:rsid w:val="379D7217"/>
    <w:rsid w:val="39B266D9"/>
    <w:rsid w:val="402B8CAB"/>
    <w:rsid w:val="59EAA2B0"/>
    <w:rsid w:val="6C9336CA"/>
    <w:rsid w:val="7FB7D3C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62D5532"/>
  <w15:chartTrackingRefBased/>
  <w15:docId w15:val="{ED65C4B1-2007-4EF4-8576-F135690E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1 Char Char Char,Footnote Text Char Char Char2 Char Char,Footnote Text Char1 Char1 Char Char Char,Footnote Text Char2 Char,Footnote Text Char2 Char Char Char,Footnote Text Char3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1 Char Char Char Char,Footnote Text Char Char Char2 Char Char Char,Footnote Text Char1 Char1 Char Char Char Char,Footnote Text Char2 Char Char,Footnote Text Char2 Char Char Char Char"/>
    <w:link w:val="FootnoteText"/>
    <w:rsid w:val="00B6778E"/>
  </w:style>
  <w:style w:type="character" w:styleId="CommentReference">
    <w:name w:val="annotation reference"/>
    <w:rsid w:val="000108F8"/>
    <w:rPr>
      <w:sz w:val="16"/>
      <w:szCs w:val="16"/>
    </w:rPr>
  </w:style>
  <w:style w:type="paragraph" w:styleId="CommentText">
    <w:name w:val="annotation text"/>
    <w:basedOn w:val="Normal"/>
    <w:link w:val="CommentTextChar"/>
    <w:rsid w:val="000108F8"/>
    <w:rPr>
      <w:sz w:val="20"/>
    </w:rPr>
  </w:style>
  <w:style w:type="character" w:customStyle="1" w:styleId="CommentTextChar">
    <w:name w:val="Comment Text Char"/>
    <w:link w:val="CommentText"/>
    <w:rsid w:val="000108F8"/>
    <w:rPr>
      <w:snapToGrid w:val="0"/>
      <w:kern w:val="28"/>
    </w:rPr>
  </w:style>
  <w:style w:type="paragraph" w:styleId="CommentSubject">
    <w:name w:val="annotation subject"/>
    <w:basedOn w:val="CommentText"/>
    <w:next w:val="CommentText"/>
    <w:link w:val="CommentSubjectChar"/>
    <w:rsid w:val="000108F8"/>
    <w:rPr>
      <w:b/>
      <w:bCs/>
    </w:rPr>
  </w:style>
  <w:style w:type="character" w:customStyle="1" w:styleId="CommentSubjectChar">
    <w:name w:val="Comment Subject Char"/>
    <w:link w:val="CommentSubject"/>
    <w:rsid w:val="000108F8"/>
    <w:rPr>
      <w:b/>
      <w:bCs/>
      <w:snapToGrid w:val="0"/>
      <w:kern w:val="28"/>
    </w:rPr>
  </w:style>
  <w:style w:type="paragraph" w:styleId="Revision">
    <w:name w:val="Revision"/>
    <w:hidden/>
    <w:uiPriority w:val="99"/>
    <w:semiHidden/>
    <w:rsid w:val="008C2AD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filings?proceedings_name=21-298&amp;sort=date_disseminated,DESC"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