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50ACC" w14:paraId="63DA5340" w14:textId="77777777">
      <w:pPr>
        <w:jc w:val="right"/>
        <w:rPr>
          <w:sz w:val="24"/>
        </w:rPr>
      </w:pPr>
    </w:p>
    <w:p w:rsidR="001447F7" w:rsidRPr="006A76E7" w14:paraId="411B88C4" w14:textId="652B8BED">
      <w:pPr>
        <w:spacing w:before="60"/>
        <w:jc w:val="right"/>
        <w:rPr>
          <w:b/>
          <w:szCs w:val="22"/>
        </w:rPr>
      </w:pPr>
      <w:r w:rsidRPr="007507AB">
        <w:rPr>
          <w:b/>
          <w:szCs w:val="22"/>
        </w:rPr>
        <w:t>DA 21-</w:t>
      </w:r>
      <w:r w:rsidRPr="007507AB" w:rsidR="007507AB">
        <w:rPr>
          <w:b/>
          <w:szCs w:val="22"/>
        </w:rPr>
        <w:t>1607</w:t>
      </w:r>
    </w:p>
    <w:p w:rsidR="00150ACC" w:rsidRPr="006A76E7" w14:paraId="779F4A50" w14:textId="34BC7BFF">
      <w:pPr>
        <w:spacing w:before="60"/>
        <w:jc w:val="right"/>
        <w:rPr>
          <w:b/>
          <w:szCs w:val="22"/>
        </w:rPr>
      </w:pPr>
      <w:r w:rsidRPr="006A76E7">
        <w:rPr>
          <w:b/>
          <w:szCs w:val="22"/>
        </w:rPr>
        <w:t xml:space="preserve">Released:  </w:t>
      </w:r>
      <w:r w:rsidR="003F6781">
        <w:rPr>
          <w:b/>
          <w:szCs w:val="22"/>
        </w:rPr>
        <w:t>December 20, 2021</w:t>
      </w:r>
    </w:p>
    <w:p w:rsidR="00150ACC" w14:paraId="34F2D7D9" w14:textId="77777777">
      <w:pPr>
        <w:jc w:val="right"/>
        <w:rPr>
          <w:sz w:val="24"/>
        </w:rPr>
      </w:pPr>
    </w:p>
    <w:p w:rsidR="001F1093" w:rsidP="001447F7" w14:paraId="32A00FC5" w14:textId="77777777">
      <w:pPr>
        <w:jc w:val="center"/>
        <w:rPr>
          <w:b/>
          <w:caps/>
          <w:szCs w:val="22"/>
        </w:rPr>
      </w:pPr>
      <w:r w:rsidRPr="00D15D43">
        <w:rPr>
          <w:b/>
          <w:caps/>
          <w:szCs w:val="22"/>
        </w:rPr>
        <w:t xml:space="preserve">Public Safety and HOMELAND SECURITY bureau </w:t>
      </w:r>
      <w:r w:rsidR="002B7369">
        <w:rPr>
          <w:b/>
          <w:caps/>
          <w:szCs w:val="22"/>
        </w:rPr>
        <w:t xml:space="preserve">Seeks Comment on Petition for Rulemaking Filed by the </w:t>
      </w:r>
      <w:r w:rsidRPr="002B7369" w:rsidR="002B7369">
        <w:rPr>
          <w:b/>
          <w:caps/>
          <w:szCs w:val="22"/>
        </w:rPr>
        <w:t>National Association</w:t>
      </w:r>
    </w:p>
    <w:p w:rsidR="001447F7" w:rsidRPr="00D15D43" w:rsidP="001447F7" w14:paraId="4BDF14A1" w14:textId="23453F74">
      <w:pPr>
        <w:jc w:val="center"/>
        <w:rPr>
          <w:b/>
          <w:iCs/>
          <w:caps/>
          <w:szCs w:val="22"/>
        </w:rPr>
      </w:pPr>
      <w:r w:rsidRPr="002B7369">
        <w:rPr>
          <w:b/>
          <w:caps/>
          <w:szCs w:val="22"/>
        </w:rPr>
        <w:t xml:space="preserve"> of State 911 Administrators</w:t>
      </w:r>
      <w:r>
        <w:rPr>
          <w:b/>
          <w:caps/>
          <w:szCs w:val="22"/>
        </w:rPr>
        <w:t xml:space="preserve"> </w:t>
      </w:r>
    </w:p>
    <w:p w:rsidR="001447F7" w14:paraId="76B0F19E" w14:textId="77777777">
      <w:pPr>
        <w:jc w:val="center"/>
        <w:rPr>
          <w:b/>
          <w:sz w:val="24"/>
        </w:rPr>
      </w:pPr>
    </w:p>
    <w:p w:rsidR="00150ACC" w:rsidRPr="00335D45" w14:paraId="0BE1B3DC" w14:textId="6AD8EAF9">
      <w:pPr>
        <w:jc w:val="center"/>
        <w:rPr>
          <w:b/>
          <w:szCs w:val="22"/>
        </w:rPr>
      </w:pPr>
      <w:bookmarkStart w:id="0" w:name="_Hlk85727724"/>
      <w:r w:rsidRPr="003F6781">
        <w:rPr>
          <w:b/>
          <w:szCs w:val="22"/>
        </w:rPr>
        <w:t xml:space="preserve">PS Docket No. </w:t>
      </w:r>
      <w:r w:rsidRPr="003F6781" w:rsidR="00022984">
        <w:rPr>
          <w:b/>
          <w:szCs w:val="22"/>
        </w:rPr>
        <w:t>21-</w:t>
      </w:r>
      <w:r w:rsidRPr="003F6781" w:rsidR="003F6781">
        <w:rPr>
          <w:b/>
          <w:szCs w:val="22"/>
        </w:rPr>
        <w:t>479</w:t>
      </w:r>
    </w:p>
    <w:bookmarkEnd w:id="0"/>
    <w:p w:rsidR="003B27F7" w14:paraId="7491AD82" w14:textId="13BA4C1D">
      <w:pPr>
        <w:jc w:val="center"/>
        <w:rPr>
          <w:b/>
          <w:sz w:val="24"/>
        </w:rPr>
      </w:pPr>
    </w:p>
    <w:p w:rsidR="003B27F7" w:rsidRPr="00D15D43" w:rsidP="003B27F7" w14:paraId="2B5DF640" w14:textId="1567FC81">
      <w:pPr>
        <w:rPr>
          <w:b/>
          <w:szCs w:val="22"/>
        </w:rPr>
      </w:pPr>
      <w:r>
        <w:rPr>
          <w:b/>
          <w:szCs w:val="22"/>
        </w:rPr>
        <w:t>Comments</w:t>
      </w:r>
      <w:r w:rsidRPr="00D15D43">
        <w:rPr>
          <w:b/>
          <w:szCs w:val="22"/>
        </w:rPr>
        <w:t xml:space="preserve"> Due: </w:t>
      </w:r>
      <w:r w:rsidR="003F6781">
        <w:rPr>
          <w:b/>
          <w:szCs w:val="22"/>
        </w:rPr>
        <w:t>January 19, 2022</w:t>
      </w:r>
    </w:p>
    <w:p w:rsidR="003B27F7" w:rsidRPr="00D15D43" w:rsidP="003B27F7" w14:paraId="4EBCC0B4" w14:textId="76C9783F">
      <w:pPr>
        <w:rPr>
          <w:b/>
          <w:szCs w:val="22"/>
        </w:rPr>
      </w:pPr>
      <w:r w:rsidRPr="00D15D43">
        <w:rPr>
          <w:b/>
          <w:szCs w:val="22"/>
        </w:rPr>
        <w:t xml:space="preserve">Replies to </w:t>
      </w:r>
      <w:r w:rsidR="009204F1">
        <w:rPr>
          <w:b/>
          <w:szCs w:val="22"/>
        </w:rPr>
        <w:t xml:space="preserve">Comments </w:t>
      </w:r>
      <w:r w:rsidRPr="00D15D43">
        <w:rPr>
          <w:b/>
          <w:szCs w:val="22"/>
        </w:rPr>
        <w:t xml:space="preserve">Due: </w:t>
      </w:r>
      <w:r w:rsidR="003F6781">
        <w:rPr>
          <w:b/>
          <w:szCs w:val="22"/>
        </w:rPr>
        <w:t>February 3, 2022</w:t>
      </w:r>
    </w:p>
    <w:p w:rsidR="003B27F7" w14:paraId="6D06BFFC" w14:textId="49CC2ED7">
      <w:pPr>
        <w:jc w:val="center"/>
        <w:rPr>
          <w:b/>
          <w:sz w:val="24"/>
        </w:rPr>
      </w:pPr>
    </w:p>
    <w:p w:rsidR="000662C6" w:rsidP="000662C6" w14:paraId="14FD1958" w14:textId="1799D154">
      <w:pPr>
        <w:ind w:firstLine="720"/>
        <w:rPr>
          <w:szCs w:val="22"/>
        </w:rPr>
      </w:pPr>
      <w:r>
        <w:rPr>
          <w:szCs w:val="22"/>
        </w:rPr>
        <w:t>The</w:t>
      </w:r>
      <w:r w:rsidRPr="00D15D43" w:rsidR="003B27F7">
        <w:rPr>
          <w:szCs w:val="22"/>
        </w:rPr>
        <w:t xml:space="preserve"> Public Safety and Homeland Security Bureau </w:t>
      </w:r>
      <w:r w:rsidR="002D2C2D">
        <w:rPr>
          <w:szCs w:val="22"/>
        </w:rPr>
        <w:t xml:space="preserve">(the Bureau) </w:t>
      </w:r>
      <w:r w:rsidR="002B7369">
        <w:rPr>
          <w:szCs w:val="22"/>
        </w:rPr>
        <w:t>seeks comment on a Petition for Rulemaking</w:t>
      </w:r>
      <w:r w:rsidR="000E3EB4">
        <w:rPr>
          <w:szCs w:val="22"/>
        </w:rPr>
        <w:t xml:space="preserve">; Alternatively, </w:t>
      </w:r>
      <w:r w:rsidR="00244FCA">
        <w:rPr>
          <w:szCs w:val="22"/>
        </w:rPr>
        <w:t>Petition for Notice of Inquiry</w:t>
      </w:r>
      <w:r w:rsidR="002B7369">
        <w:rPr>
          <w:szCs w:val="22"/>
        </w:rPr>
        <w:t xml:space="preserve"> filed by the National Association of State 911 Administrators</w:t>
      </w:r>
      <w:r w:rsidR="000E3EB4">
        <w:rPr>
          <w:szCs w:val="22"/>
        </w:rPr>
        <w:t xml:space="preserve"> </w:t>
      </w:r>
      <w:r w:rsidR="002B7369">
        <w:rPr>
          <w:szCs w:val="22"/>
        </w:rPr>
        <w:t xml:space="preserve">(NASNA) requesting that the Federal Communications Commission (Commission) initiate a rulemaking proceeding or notice of inquiry to </w:t>
      </w:r>
      <w:r w:rsidRPr="002B7369" w:rsidR="002B7369">
        <w:rPr>
          <w:szCs w:val="22"/>
        </w:rPr>
        <w:t>facilitate the implementation of and transition to Next Generation 911 services (NG911).</w:t>
      </w:r>
      <w:r>
        <w:rPr>
          <w:rStyle w:val="FootnoteReference"/>
          <w:szCs w:val="22"/>
        </w:rPr>
        <w:footnoteReference w:id="3"/>
      </w:r>
      <w:r w:rsidR="002D2C2D">
        <w:rPr>
          <w:szCs w:val="22"/>
        </w:rPr>
        <w:t xml:space="preserve">  </w:t>
      </w:r>
      <w:r w:rsidR="002B7369">
        <w:rPr>
          <w:szCs w:val="22"/>
        </w:rPr>
        <w:t xml:space="preserve"> </w:t>
      </w:r>
    </w:p>
    <w:p w:rsidR="000662C6" w:rsidP="000662C6" w14:paraId="4A2E0A86" w14:textId="77777777">
      <w:pPr>
        <w:ind w:firstLine="720"/>
        <w:rPr>
          <w:szCs w:val="22"/>
        </w:rPr>
      </w:pPr>
    </w:p>
    <w:p w:rsidR="000662C6" w:rsidP="000662C6" w14:paraId="0D06E7F2" w14:textId="03004F6C">
      <w:pPr>
        <w:ind w:firstLine="720"/>
      </w:pPr>
      <w:r>
        <w:rPr>
          <w:szCs w:val="22"/>
        </w:rPr>
        <w:t xml:space="preserve"> </w:t>
      </w:r>
      <w:r>
        <w:t xml:space="preserve">Specifically, </w:t>
      </w:r>
      <w:r w:rsidRPr="00782A05">
        <w:t xml:space="preserve">NASNA </w:t>
      </w:r>
      <w:r w:rsidR="002020CE">
        <w:t>requests</w:t>
      </w:r>
      <w:r w:rsidRPr="00782A05">
        <w:t xml:space="preserve"> that the Commission initiate a rulemaking or notice of inquiry to: </w:t>
      </w:r>
      <w:r w:rsidR="007F73B6">
        <w:t xml:space="preserve"> </w:t>
      </w:r>
      <w:r w:rsidRPr="00782A05">
        <w:t xml:space="preserve">“[e]stablish Commission authority over originating service providers’ </w:t>
      </w:r>
      <w:r>
        <w:t xml:space="preserve">(OSPs) (i.e., wireless, </w:t>
      </w:r>
    </w:p>
    <w:p w:rsidR="00244FCA" w:rsidP="0076434E" w14:paraId="2A0BA477" w14:textId="0F4C6A89">
      <w:r>
        <w:t xml:space="preserve">landline, and interconnected VoIP) </w:t>
      </w:r>
      <w:r w:rsidRPr="00782A05">
        <w:t>delivery of 911 services through IP-based emergency services networks (</w:t>
      </w:r>
      <w:r w:rsidRPr="00782A05">
        <w:t>ESInets</w:t>
      </w:r>
      <w:r w:rsidRPr="00782A05">
        <w:t>)”; “</w:t>
      </w:r>
      <w:r>
        <w:t>[a]</w:t>
      </w:r>
      <w:r w:rsidRPr="00782A05">
        <w:t xml:space="preserve">mend 47 C.F.R §§ 9.4 and 9.5 as needed to advance the transition to and implementation of NG911 services”; </w:t>
      </w:r>
      <w:r>
        <w:t xml:space="preserve">and </w:t>
      </w:r>
      <w:r w:rsidRPr="00782A05">
        <w:t>“</w:t>
      </w:r>
      <w:r>
        <w:t>[r]</w:t>
      </w:r>
      <w:r w:rsidRPr="00782A05">
        <w:t>equire</w:t>
      </w:r>
      <w:r w:rsidRPr="00782A05">
        <w:t xml:space="preserve"> the cost of compliance</w:t>
      </w:r>
      <w:r w:rsidR="000E2DF7">
        <w:t xml:space="preserve"> . . . </w:t>
      </w:r>
      <w:r w:rsidRPr="00782A05">
        <w:t>is the responsibility of the OSPs, except where cost-recovery is provided by state law or regulation.”</w:t>
      </w:r>
      <w:r>
        <w:rPr>
          <w:rStyle w:val="FootnoteReference"/>
        </w:rPr>
        <w:footnoteReference w:id="4"/>
      </w:r>
      <w:r w:rsidRPr="00782A05">
        <w:t xml:space="preserve">  </w:t>
      </w:r>
      <w:r w:rsidR="00405204">
        <w:t xml:space="preserve">As part of these requests, </w:t>
      </w:r>
      <w:r w:rsidRPr="00782A05" w:rsidR="002020CE">
        <w:t xml:space="preserve">NASNA asks the </w:t>
      </w:r>
      <w:r w:rsidR="002020CE">
        <w:t>Commission</w:t>
      </w:r>
      <w:r w:rsidRPr="00782A05" w:rsidR="002020CE">
        <w:t xml:space="preserve"> to establish </w:t>
      </w:r>
      <w:r w:rsidR="007F73B6">
        <w:t>a</w:t>
      </w:r>
      <w:r w:rsidR="00F909B2">
        <w:t>n</w:t>
      </w:r>
      <w:r w:rsidR="007F73B6">
        <w:t xml:space="preserve"> </w:t>
      </w:r>
      <w:r w:rsidRPr="00782A05" w:rsidR="002020CE">
        <w:t xml:space="preserve">“NG911 cost demarcation point or points, for allocating costs when </w:t>
      </w:r>
      <w:r w:rsidR="00172A01">
        <w:t xml:space="preserve">the </w:t>
      </w:r>
      <w:r w:rsidRPr="00782A05" w:rsidR="002020CE">
        <w:t>parties cannot agree on the appropriate demarcation points(s)</w:t>
      </w:r>
      <w:r w:rsidR="007F73B6">
        <w:t>.</w:t>
      </w:r>
      <w:r w:rsidRPr="00782A05" w:rsidR="002020CE">
        <w:t>”</w:t>
      </w:r>
      <w:r>
        <w:rPr>
          <w:rStyle w:val="FootnoteReference"/>
        </w:rPr>
        <w:footnoteReference w:id="5"/>
      </w:r>
      <w:r w:rsidR="002020CE">
        <w:t xml:space="preserve">  </w:t>
      </w:r>
      <w:r w:rsidRPr="00782A05" w:rsidR="002020CE">
        <w:t xml:space="preserve">NASNA also notes that </w:t>
      </w:r>
      <w:r w:rsidR="007F73B6">
        <w:t>it is “critically important” to</w:t>
      </w:r>
      <w:r w:rsidRPr="00782A05" w:rsidR="002020CE">
        <w:t xml:space="preserve"> preserve state/local authority over 911, specifically for existing cost recovery mechanisms.</w:t>
      </w:r>
      <w:r>
        <w:rPr>
          <w:rStyle w:val="FootnoteReference"/>
        </w:rPr>
        <w:footnoteReference w:id="6"/>
      </w:r>
      <w:r w:rsidR="0076434E">
        <w:t xml:space="preserve">  </w:t>
      </w:r>
    </w:p>
    <w:p w:rsidR="00244FCA" w:rsidP="0076434E" w14:paraId="7AC2D712" w14:textId="77777777"/>
    <w:p w:rsidR="002B7369" w:rsidP="00244FCA" w14:paraId="6ECB3E35" w14:textId="5C6CCAA9">
      <w:pPr>
        <w:ind w:firstLine="720"/>
      </w:pPr>
      <w:r>
        <w:t xml:space="preserve">In addition, </w:t>
      </w:r>
      <w:r w:rsidRPr="00782A05" w:rsidR="00967DD7">
        <w:t xml:space="preserve">NASNA </w:t>
      </w:r>
      <w:r w:rsidR="0076434E">
        <w:t>asks</w:t>
      </w:r>
      <w:r w:rsidR="00405204">
        <w:t xml:space="preserve"> the</w:t>
      </w:r>
      <w:r w:rsidRPr="00782A05" w:rsidR="00967DD7">
        <w:t xml:space="preserve"> Commission </w:t>
      </w:r>
      <w:r w:rsidR="00405204">
        <w:t xml:space="preserve">to </w:t>
      </w:r>
      <w:r w:rsidR="0076434E">
        <w:t>implement</w:t>
      </w:r>
      <w:r w:rsidRPr="00782A05" w:rsidR="00967DD7">
        <w:t xml:space="preserve"> an NG911 Readiness Registry or establish NG911 </w:t>
      </w:r>
      <w:r>
        <w:t>r</w:t>
      </w:r>
      <w:r w:rsidRPr="00782A05" w:rsidR="00967DD7">
        <w:t xml:space="preserve">eadiness “stages or phases” </w:t>
      </w:r>
      <w:r w:rsidR="00405204">
        <w:t>as a</w:t>
      </w:r>
      <w:r w:rsidRPr="00782A05" w:rsidR="00967DD7">
        <w:t xml:space="preserve"> mechanism </w:t>
      </w:r>
      <w:r w:rsidR="00794A03">
        <w:t>to be used by state/local 911 authorities and OSPs in transitioning to NG911 services</w:t>
      </w:r>
      <w:r w:rsidRPr="00782A05" w:rsidR="00967DD7">
        <w:t>.</w:t>
      </w:r>
      <w:r>
        <w:rPr>
          <w:rStyle w:val="FootnoteReference"/>
        </w:rPr>
        <w:footnoteReference w:id="7"/>
      </w:r>
      <w:r w:rsidRPr="00782A05" w:rsidR="00967DD7">
        <w:t xml:space="preserve">  NASNA </w:t>
      </w:r>
      <w:r w:rsidR="006B61B5">
        <w:t xml:space="preserve">proposes </w:t>
      </w:r>
      <w:r w:rsidRPr="00782A05" w:rsidR="00967DD7">
        <w:t xml:space="preserve">that the Commission </w:t>
      </w:r>
      <w:r w:rsidR="000E2DF7">
        <w:t xml:space="preserve">define </w:t>
      </w:r>
      <w:r w:rsidRPr="00782A05" w:rsidR="00967DD7">
        <w:t xml:space="preserve">three NG911 </w:t>
      </w:r>
      <w:r w:rsidR="005443C5">
        <w:t>r</w:t>
      </w:r>
      <w:r w:rsidRPr="00782A05" w:rsidR="00967DD7">
        <w:t xml:space="preserve">eadiness </w:t>
      </w:r>
      <w:r w:rsidR="005443C5">
        <w:t>p</w:t>
      </w:r>
      <w:r w:rsidRPr="00782A05" w:rsidR="00967DD7">
        <w:t>hases</w:t>
      </w:r>
      <w:r w:rsidR="00967DD7">
        <w:t>, in which an ESI</w:t>
      </w:r>
      <w:r w:rsidR="00405204">
        <w:t>net</w:t>
      </w:r>
      <w:r w:rsidR="00967DD7">
        <w:t xml:space="preserve"> is either </w:t>
      </w:r>
      <w:r w:rsidR="000E2DF7">
        <w:t xml:space="preserve">(1) </w:t>
      </w:r>
      <w:r w:rsidR="00967DD7">
        <w:t xml:space="preserve">“ready to receive 911 calls from the OSPs via a </w:t>
      </w:r>
      <w:r w:rsidR="00967DD7">
        <w:t xml:space="preserve">Legacy Network Gateway,” </w:t>
      </w:r>
      <w:r w:rsidR="000E2DF7">
        <w:t xml:space="preserve">(2) </w:t>
      </w:r>
      <w:r w:rsidR="00967DD7">
        <w:t>“ready t</w:t>
      </w:r>
      <w:r w:rsidRPr="00967DD7" w:rsidR="00967DD7">
        <w:t xml:space="preserve">o receive 911 calls in SIP </w:t>
      </w:r>
      <w:r w:rsidR="0039592C">
        <w:t xml:space="preserve">[Session Initiation Protocol] </w:t>
      </w:r>
      <w:r w:rsidRPr="00967DD7" w:rsidR="00967DD7">
        <w:t>format</w:t>
      </w:r>
      <w:r w:rsidR="00967DD7">
        <w:t xml:space="preserve">,” or </w:t>
      </w:r>
      <w:r w:rsidR="000E2DF7">
        <w:t xml:space="preserve">(3) </w:t>
      </w:r>
      <w:r w:rsidR="00967DD7">
        <w:t>“</w:t>
      </w:r>
      <w:r w:rsidRPr="00276CAE" w:rsidR="00276CAE">
        <w:t>ready to receive 911 calls in NG911 format</w:t>
      </w:r>
      <w:r w:rsidRPr="00782A05" w:rsidR="00967DD7">
        <w:t>.</w:t>
      </w:r>
      <w:r w:rsidR="00276CAE">
        <w:t>”</w:t>
      </w:r>
      <w:r>
        <w:rPr>
          <w:rStyle w:val="FootnoteReference"/>
        </w:rPr>
        <w:footnoteReference w:id="8"/>
      </w:r>
    </w:p>
    <w:p w:rsidR="008C5588" w:rsidP="00244FCA" w14:paraId="33BF46DE" w14:textId="55C02F83">
      <w:pPr>
        <w:ind w:firstLine="720"/>
      </w:pPr>
    </w:p>
    <w:p w:rsidR="008C5588" w:rsidP="00244FCA" w14:paraId="48EBA86E" w14:textId="78466B77">
      <w:pPr>
        <w:ind w:firstLine="720"/>
      </w:pPr>
      <w:r>
        <w:t xml:space="preserve">To address the Petition and related issues, the Bureau has opened </w:t>
      </w:r>
      <w:r w:rsidRPr="003F6781">
        <w:t>PS Docket No. 21-</w:t>
      </w:r>
      <w:r w:rsidRPr="003F6781" w:rsidR="003F6781">
        <w:t>479</w:t>
      </w:r>
      <w:r>
        <w:t>.</w:t>
      </w:r>
      <w:r>
        <w:rPr>
          <w:rStyle w:val="FootnoteReference"/>
        </w:rPr>
        <w:footnoteReference w:id="9"/>
      </w:r>
      <w:r>
        <w:t xml:space="preserve">  </w:t>
      </w:r>
      <w:r w:rsidRPr="00B8630E">
        <w:t xml:space="preserve">The Bureau will place this </w:t>
      </w:r>
      <w:r>
        <w:t>P</w:t>
      </w:r>
      <w:r w:rsidRPr="00B8630E">
        <w:t xml:space="preserve">ublic </w:t>
      </w:r>
      <w:r>
        <w:t>N</w:t>
      </w:r>
      <w:r w:rsidRPr="00B8630E">
        <w:t xml:space="preserve">otice in the dockets referenced by NASNA in </w:t>
      </w:r>
      <w:r>
        <w:t xml:space="preserve">the Petition, </w:t>
      </w:r>
      <w:r w:rsidRPr="00B8630E">
        <w:t xml:space="preserve">but directs interested parties to file statements in support </w:t>
      </w:r>
      <w:r w:rsidR="00AC3F85">
        <w:t>or</w:t>
      </w:r>
      <w:r w:rsidRPr="00B8630E">
        <w:t xml:space="preserve"> opposition and replies </w:t>
      </w:r>
      <w:r>
        <w:t>thereto only</w:t>
      </w:r>
      <w:r w:rsidRPr="00B8630E">
        <w:t xml:space="preserve"> </w:t>
      </w:r>
      <w:r>
        <w:t xml:space="preserve">in </w:t>
      </w:r>
      <w:r w:rsidRPr="00EE0EA5">
        <w:rPr>
          <w:b/>
          <w:bCs/>
        </w:rPr>
        <w:t xml:space="preserve">PS </w:t>
      </w:r>
      <w:r w:rsidRPr="003F6781">
        <w:rPr>
          <w:b/>
          <w:bCs/>
        </w:rPr>
        <w:t xml:space="preserve">Docket No. </w:t>
      </w:r>
      <w:r w:rsidR="003F6781">
        <w:rPr>
          <w:b/>
          <w:bCs/>
        </w:rPr>
        <w:t>21-479.</w:t>
      </w:r>
    </w:p>
    <w:p w:rsidR="00405204" w:rsidRPr="00405204" w:rsidP="00405204" w14:paraId="7D837DDA" w14:textId="77777777">
      <w:pPr>
        <w:ind w:firstLine="720"/>
      </w:pPr>
    </w:p>
    <w:p w:rsidR="00C71C33" w:rsidP="0076434E" w14:paraId="28FF33B4" w14:textId="7C314C49">
      <w:pPr>
        <w:ind w:firstLine="720"/>
      </w:pPr>
      <w:bookmarkStart w:id="1" w:name="TOChere"/>
      <w:r w:rsidRPr="00C71C33">
        <w:rPr>
          <w:i/>
          <w:iCs/>
        </w:rPr>
        <w:t>Filing Procedures</w:t>
      </w:r>
      <w:r w:rsidRPr="00C71C33">
        <w:t xml:space="preserve">.  </w:t>
      </w:r>
      <w:r w:rsidR="008C5588">
        <w:t>Pursuant to Section 1.405 of the Commission’s rules,</w:t>
      </w:r>
      <w:r>
        <w:rPr>
          <w:rStyle w:val="FootnoteReference"/>
        </w:rPr>
        <w:footnoteReference w:id="10"/>
      </w:r>
      <w:r w:rsidR="008C5588">
        <w:t xml:space="preserve"> i</w:t>
      </w:r>
      <w:r w:rsidR="009752BE">
        <w:t xml:space="preserve">nterested parties may file </w:t>
      </w:r>
      <w:r w:rsidR="008C5588">
        <w:t xml:space="preserve">statements in support of or in opposition to the Petition and replies thereto </w:t>
      </w:r>
      <w:r w:rsidR="009752BE">
        <w:t>on or before the dates</w:t>
      </w:r>
      <w:r w:rsidR="00415CDA">
        <w:t xml:space="preserve"> </w:t>
      </w:r>
      <w:r w:rsidRPr="00415CDA" w:rsidR="00415CDA">
        <w:t>indicated on the first page of this document.</w:t>
      </w:r>
      <w:r w:rsidR="009752BE">
        <w:t xml:space="preserve"> </w:t>
      </w:r>
      <w:r w:rsidR="00B2255E">
        <w:t xml:space="preserve"> </w:t>
      </w:r>
      <w:r w:rsidR="008C5588">
        <w:t xml:space="preserve">Statements and </w:t>
      </w:r>
      <w:r w:rsidRPr="00E268F8" w:rsidR="00E268F8">
        <w:t>rep</w:t>
      </w:r>
      <w:r w:rsidR="009A3AA7">
        <w:t>l</w:t>
      </w:r>
      <w:r w:rsidR="008C5588">
        <w:t xml:space="preserve">ies </w:t>
      </w:r>
      <w:r w:rsidRPr="00E268F8" w:rsidR="00E268F8">
        <w:t>may be filed using the Commission’s Electronic Comment Filing System (ECFS), or by filing paper copies.</w:t>
      </w:r>
      <w:r>
        <w:rPr>
          <w:rStyle w:val="FootnoteReference"/>
        </w:rPr>
        <w:footnoteReference w:id="11"/>
      </w:r>
      <w:r w:rsidRPr="00C71C33">
        <w:t xml:space="preserve">  </w:t>
      </w:r>
      <w:r w:rsidR="008C5588">
        <w:t xml:space="preserve">Statements and replies </w:t>
      </w:r>
      <w:r w:rsidRPr="00C71C33">
        <w:t xml:space="preserve">should refer to </w:t>
      </w:r>
      <w:r w:rsidR="003F6781">
        <w:t>PS Docket No. 21-479.</w:t>
      </w:r>
    </w:p>
    <w:p w:rsidR="00807F3E" w:rsidRPr="00C71C33" w:rsidP="00C71C33" w14:paraId="3D5A7527" w14:textId="77777777">
      <w:pPr>
        <w:ind w:firstLine="720"/>
      </w:pPr>
    </w:p>
    <w:p w:rsidR="00C71C33" w:rsidP="00C71C33" w14:paraId="616F50F0" w14:textId="6B2BFD59">
      <w:pPr>
        <w:numPr>
          <w:ilvl w:val="0"/>
          <w:numId w:val="7"/>
        </w:numPr>
      </w:pPr>
      <w:r w:rsidRPr="00C71C33">
        <w:t xml:space="preserve">Electronic filers:  </w:t>
      </w:r>
      <w:r w:rsidRPr="00AB07F8" w:rsidR="00A44343">
        <w:t xml:space="preserve">Statements in support of or in opposition to the </w:t>
      </w:r>
      <w:r w:rsidR="00055EAB">
        <w:t>P</w:t>
      </w:r>
      <w:r w:rsidRPr="00AB07F8" w:rsidR="00A44343">
        <w:t>etition and replies to such statements</w:t>
      </w:r>
      <w:r w:rsidRPr="00C71C33" w:rsidR="003B6E35">
        <w:t xml:space="preserve"> </w:t>
      </w:r>
      <w:r w:rsidRPr="00C71C33">
        <w:t xml:space="preserve">may be filed electronically using the Internet by accessing the ECFS:  </w:t>
      </w:r>
      <w:hyperlink r:id="rId5" w:history="1">
        <w:r w:rsidRPr="00C71C33">
          <w:rPr>
            <w:rStyle w:val="Hyperlink"/>
          </w:rPr>
          <w:t>http://apps.fcc.gov/ecfs/</w:t>
        </w:r>
      </w:hyperlink>
      <w:r w:rsidRPr="00C71C33">
        <w:t>.</w:t>
      </w:r>
    </w:p>
    <w:p w:rsidR="00807F3E" w:rsidRPr="00C71C33" w:rsidP="00807F3E" w14:paraId="74BF1B83" w14:textId="77777777">
      <w:pPr>
        <w:ind w:left="1440"/>
      </w:pPr>
    </w:p>
    <w:p w:rsidR="00C71C33" w:rsidP="00C71C33" w14:paraId="0680EB25" w14:textId="628F5824">
      <w:pPr>
        <w:numPr>
          <w:ilvl w:val="0"/>
          <w:numId w:val="7"/>
        </w:numPr>
      </w:pPr>
      <w:r w:rsidRPr="00C71C33">
        <w:t xml:space="preserve">Paper filers:  Parties who choose to file by paper must file an original and one copy of each filing.  </w:t>
      </w:r>
    </w:p>
    <w:p w:rsidR="00807F3E" w:rsidRPr="00C71C33" w:rsidP="00807F3E" w14:paraId="3035381E" w14:textId="77777777"/>
    <w:p w:rsidR="00C71C33" w:rsidP="00C71C33" w14:paraId="1AC9A9C2" w14:textId="5198EB2E">
      <w:pPr>
        <w:numPr>
          <w:ilvl w:val="0"/>
          <w:numId w:val="7"/>
        </w:numPr>
      </w:pPr>
      <w:bookmarkStart w:id="3" w:name="_Hlk85102915"/>
      <w:r w:rsidRPr="00D15D43">
        <w:rPr>
          <w:szCs w:val="22"/>
        </w:rPr>
        <w:t xml:space="preserve">Filings can be sent by commercial overnight courier, or by first-class or overnight U.S. Postal Service mail. </w:t>
      </w:r>
      <w:r>
        <w:rPr>
          <w:szCs w:val="22"/>
        </w:rPr>
        <w:t xml:space="preserve"> </w:t>
      </w:r>
      <w:bookmarkEnd w:id="3"/>
      <w:r w:rsidRPr="00C71C33">
        <w:t>All filings must be addressed to the Commission’s Secretary, Office of the Secretary, Federal Communications Commission.</w:t>
      </w:r>
    </w:p>
    <w:p w:rsidR="00807F3E" w:rsidRPr="00C71C33" w:rsidP="00807F3E" w14:paraId="18128F12" w14:textId="77777777"/>
    <w:p w:rsidR="00C71C33" w:rsidP="00807F3E" w14:paraId="3082641D" w14:textId="63396A59">
      <w:pPr>
        <w:numPr>
          <w:ilvl w:val="0"/>
          <w:numId w:val="7"/>
        </w:numPr>
      </w:pPr>
      <w:r w:rsidRPr="00C71C33">
        <w:t>Commercial overnight mail (other than U.S. Postal Service Express Mail and Priority Mail) must be sent to 9050 Junction Drive, Annapolis Junction, MD 20701.</w:t>
      </w:r>
      <w:r w:rsidR="00807F3E">
        <w:t xml:space="preserve">  </w:t>
      </w:r>
      <w:r w:rsidRPr="00C71C33">
        <w:t>U.S. Postal Service first-class, Express, and Priority mail must be addressed to 45 L St</w:t>
      </w:r>
      <w:r w:rsidR="009552E6">
        <w:t>reet,</w:t>
      </w:r>
      <w:r w:rsidRPr="00C71C33">
        <w:t xml:space="preserve"> NE, Washington, DC 20554.</w:t>
      </w:r>
    </w:p>
    <w:p w:rsidR="00807F3E" w:rsidRPr="00C71C33" w:rsidP="00807F3E" w14:paraId="5694E96F" w14:textId="77777777">
      <w:pPr>
        <w:ind w:left="2160"/>
      </w:pPr>
    </w:p>
    <w:p w:rsidR="00C71C33" w:rsidRPr="00C71C33" w:rsidP="00C71C33" w14:paraId="1547693B" w14:textId="77777777">
      <w:pPr>
        <w:numPr>
          <w:ilvl w:val="0"/>
          <w:numId w:val="7"/>
        </w:numPr>
      </w:pPr>
      <w:r w:rsidRPr="00C71C33">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C71C33">
        <w:rPr>
          <w:i/>
        </w:rPr>
        <w:t>See FCC Announces Closure of FCC Headquarters Open Window and Change in Hand-Delivery Policy</w:t>
      </w:r>
      <w:r w:rsidRPr="00C71C33">
        <w:t xml:space="preserve">, Public Notice, DA 20-304 (March 19, 2020), </w:t>
      </w:r>
      <w:hyperlink r:id="rId6" w:history="1">
        <w:r w:rsidRPr="00C71C33">
          <w:rPr>
            <w:rStyle w:val="Hyperlink"/>
          </w:rPr>
          <w:t>https://www.fcc.gov/document/fcc-closes-headquarters-open-window-and-changes-hand-delivery-policy</w:t>
        </w:r>
      </w:hyperlink>
      <w:r w:rsidRPr="00C71C33">
        <w:t>.</w:t>
      </w:r>
    </w:p>
    <w:p w:rsidR="00C71C33" w:rsidRPr="00C71C33" w:rsidP="00C71C33" w14:paraId="6F9CB4DA" w14:textId="77777777">
      <w:pPr>
        <w:numPr>
          <w:ilvl w:val="1"/>
          <w:numId w:val="7"/>
        </w:numPr>
      </w:pPr>
      <w:r w:rsidRPr="00C71C33">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71C33" w:rsidP="00C71C33" w14:paraId="69D306C7" w14:textId="513FEECC">
      <w:pPr>
        <w:numPr>
          <w:ilvl w:val="1"/>
          <w:numId w:val="7"/>
        </w:numPr>
      </w:pPr>
      <w:r w:rsidRPr="00C71C33">
        <w:t>After COVID-19 restrictions are lifted, the Commission has established that hand-carried documents are to be filed at the Commission’s office located at 9050 Junction Drive, Annapolis Junction, MD 20701.  This will be the only location where hand-carried paper filings for the Commission will be accepted.</w:t>
      </w:r>
      <w:r>
        <w:rPr>
          <w:vertAlign w:val="superscript"/>
        </w:rPr>
        <w:footnoteReference w:id="12"/>
      </w:r>
    </w:p>
    <w:p w:rsidR="00807F3E" w:rsidRPr="00C71C33" w:rsidP="00807F3E" w14:paraId="1CB8E70C" w14:textId="77777777">
      <w:pPr>
        <w:ind w:left="2160"/>
      </w:pPr>
    </w:p>
    <w:p w:rsidR="00D60593" w:rsidP="00807F3E" w14:paraId="73C2C683" w14:textId="4415849A">
      <w:pPr>
        <w:ind w:firstLine="720"/>
      </w:pPr>
      <w:r w:rsidRPr="00C71C33">
        <w:rPr>
          <w:i/>
          <w:iCs/>
        </w:rPr>
        <w:t>People with Disabilities</w:t>
      </w:r>
      <w:r>
        <w:t>.</w:t>
      </w:r>
      <w:r w:rsidRPr="00C71C33">
        <w:rPr>
          <w:i/>
          <w:iCs/>
        </w:rPr>
        <w:t xml:space="preserve">  </w:t>
      </w:r>
      <w:r w:rsidRPr="00C71C33">
        <w:t xml:space="preserve">To request materials in accessible formats for people with disabilities (Braille, large print, electronic files, audio format), send an e-mail to </w:t>
      </w:r>
      <w:hyperlink r:id="rId7" w:history="1">
        <w:r w:rsidRPr="00C71C33">
          <w:rPr>
            <w:rStyle w:val="Hyperlink"/>
          </w:rPr>
          <w:t>fcc504@fcc.gov</w:t>
        </w:r>
      </w:hyperlink>
      <w:r w:rsidRPr="00C71C33">
        <w:t xml:space="preserve"> or call the Consumer and Governmental Affairs Bureau at (202) 418-0530 (voice)</w:t>
      </w:r>
      <w:r w:rsidR="00995361">
        <w:t>, (202) 418-0432 (TTY)</w:t>
      </w:r>
      <w:r w:rsidRPr="00C71C33">
        <w:t>.</w:t>
      </w:r>
    </w:p>
    <w:p w:rsidR="00D60593" w:rsidP="00807F3E" w14:paraId="376BF77A" w14:textId="77777777">
      <w:pPr>
        <w:ind w:firstLine="720"/>
      </w:pPr>
    </w:p>
    <w:p w:rsidR="00C71C33" w:rsidRPr="00705141" w:rsidP="00807F3E" w14:paraId="5FB7FC99" w14:textId="5D1C01E1">
      <w:pPr>
        <w:ind w:firstLine="720"/>
        <w:rPr>
          <w:szCs w:val="22"/>
        </w:rPr>
      </w:pPr>
      <w:bookmarkStart w:id="4" w:name="_Hlk85103145"/>
      <w:r w:rsidRPr="00EC5968">
        <w:rPr>
          <w:i/>
          <w:iCs/>
          <w:szCs w:val="22"/>
        </w:rPr>
        <w:t>Ex Parte Rules</w:t>
      </w:r>
      <w:r>
        <w:rPr>
          <w:szCs w:val="22"/>
        </w:rPr>
        <w:t>.</w:t>
      </w:r>
      <w:r w:rsidRPr="00EC5968">
        <w:rPr>
          <w:szCs w:val="22"/>
        </w:rPr>
        <w:t xml:space="preserve">  This </w:t>
      </w:r>
      <w:r w:rsidR="008E08C9">
        <w:rPr>
          <w:szCs w:val="22"/>
        </w:rPr>
        <w:t>proceeding</w:t>
      </w:r>
      <w:r w:rsidR="009A3AA7">
        <w:rPr>
          <w:szCs w:val="22"/>
        </w:rPr>
        <w:t xml:space="preserve"> </w:t>
      </w:r>
      <w:r w:rsidRPr="00EC5968">
        <w:rPr>
          <w:szCs w:val="22"/>
        </w:rPr>
        <w:t xml:space="preserve">shall be treated as a “permit-but-disclose” proceeding in accordance with the Commission’s </w:t>
      </w:r>
      <w:r w:rsidRPr="00EC5968">
        <w:rPr>
          <w:i/>
          <w:iCs/>
          <w:szCs w:val="22"/>
        </w:rPr>
        <w:t xml:space="preserve">ex parte </w:t>
      </w:r>
      <w:r w:rsidRPr="00EC5968">
        <w:rPr>
          <w:szCs w:val="22"/>
        </w:rPr>
        <w:t>rules.</w:t>
      </w:r>
      <w:r>
        <w:rPr>
          <w:szCs w:val="22"/>
          <w:vertAlign w:val="superscript"/>
        </w:rPr>
        <w:footnoteReference w:id="13"/>
      </w:r>
      <w:r w:rsidRPr="00EC5968">
        <w:rPr>
          <w:szCs w:val="22"/>
        </w:rPr>
        <w:t xml:space="preserve">  Persons making </w:t>
      </w:r>
      <w:r w:rsidRPr="00EC5968">
        <w:rPr>
          <w:i/>
          <w:szCs w:val="22"/>
        </w:rPr>
        <w:t xml:space="preserve">ex parte </w:t>
      </w:r>
      <w:r w:rsidRPr="00EC5968">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5968">
        <w:rPr>
          <w:i/>
          <w:iCs/>
          <w:szCs w:val="22"/>
        </w:rPr>
        <w:t xml:space="preserve">ex parte </w:t>
      </w:r>
      <w:r w:rsidRPr="00EC5968">
        <w:rPr>
          <w:szCs w:val="22"/>
        </w:rPr>
        <w:t xml:space="preserve">presentations are reminded that memoranda summarizing the presentation must (1) list all persons attending or otherwise participating in the meeting at which the </w:t>
      </w:r>
      <w:r w:rsidRPr="00EC5968">
        <w:rPr>
          <w:i/>
          <w:iCs/>
          <w:szCs w:val="22"/>
        </w:rPr>
        <w:t xml:space="preserve">ex parte </w:t>
      </w:r>
      <w:r w:rsidRPr="00EC5968">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5968">
        <w:rPr>
          <w:i/>
          <w:iCs/>
          <w:szCs w:val="22"/>
        </w:rPr>
        <w:t xml:space="preserve">ex parte </w:t>
      </w:r>
      <w:r w:rsidRPr="00EC5968">
        <w:rPr>
          <w:szCs w:val="22"/>
        </w:rPr>
        <w:t xml:space="preserve">meetings are deemed to be written </w:t>
      </w:r>
      <w:r w:rsidRPr="00EC5968">
        <w:rPr>
          <w:i/>
          <w:iCs/>
          <w:szCs w:val="22"/>
        </w:rPr>
        <w:t>ex parte</w:t>
      </w:r>
      <w:r w:rsidRPr="00EC5968">
        <w:rPr>
          <w:szCs w:val="22"/>
        </w:rPr>
        <w:t xml:space="preserve"> presentations and must be filed consistent with rule 1.1206(b).  In proceedings governed by rule 1.49(f) or for which the Commission has made available a method of electronic filing, written </w:t>
      </w:r>
      <w:r w:rsidRPr="00EC5968">
        <w:rPr>
          <w:i/>
          <w:iCs/>
          <w:szCs w:val="22"/>
        </w:rPr>
        <w:t xml:space="preserve">ex parte </w:t>
      </w:r>
      <w:r w:rsidRPr="00EC5968">
        <w:rPr>
          <w:szCs w:val="22"/>
        </w:rPr>
        <w:t xml:space="preserve">presentations and memoranda summarizing oral </w:t>
      </w:r>
      <w:r w:rsidRPr="00EC5968">
        <w:rPr>
          <w:i/>
          <w:iCs/>
          <w:szCs w:val="22"/>
        </w:rPr>
        <w:t xml:space="preserve">ex parte </w:t>
      </w:r>
      <w:r w:rsidRPr="00EC5968">
        <w:rPr>
          <w:szCs w:val="22"/>
        </w:rP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EC5968">
        <w:rPr>
          <w:i/>
          <w:iCs/>
          <w:szCs w:val="22"/>
        </w:rPr>
        <w:t xml:space="preserve">ex parte </w:t>
      </w:r>
      <w:r w:rsidRPr="00EC5968">
        <w:rPr>
          <w:szCs w:val="22"/>
        </w:rPr>
        <w:t>rules.</w:t>
      </w:r>
      <w:r w:rsidRPr="00212278">
        <w:rPr>
          <w:szCs w:val="22"/>
        </w:rPr>
        <w:t xml:space="preserve"> </w:t>
      </w:r>
    </w:p>
    <w:bookmarkEnd w:id="4"/>
    <w:p w:rsidR="00807F3E" w:rsidRPr="00C71C33" w:rsidP="00807F3E" w14:paraId="71C72FE1" w14:textId="77777777">
      <w:pPr>
        <w:ind w:firstLine="720"/>
      </w:pPr>
    </w:p>
    <w:p w:rsidR="00C71C33" w:rsidRPr="00C71C33" w:rsidP="00EC5968" w14:paraId="30626089" w14:textId="01DD3386">
      <w:pPr>
        <w:ind w:firstLine="720"/>
      </w:pPr>
      <w:r w:rsidRPr="00C71C33">
        <w:rPr>
          <w:i/>
          <w:iCs/>
        </w:rPr>
        <w:t>Additional Information</w:t>
      </w:r>
      <w:r w:rsidRPr="00C71C33">
        <w:t xml:space="preserve">.  For additional information on this </w:t>
      </w:r>
      <w:r w:rsidR="009A3AA7">
        <w:t>matter</w:t>
      </w:r>
      <w:r w:rsidRPr="00C71C33">
        <w:t xml:space="preserve">, contact </w:t>
      </w:r>
      <w:r w:rsidR="00807F3E">
        <w:t>Brenda Boykin</w:t>
      </w:r>
      <w:r w:rsidR="0058167C">
        <w:t>,</w:t>
      </w:r>
      <w:r w:rsidR="00807F3E">
        <w:t xml:space="preserve"> </w:t>
      </w:r>
      <w:r w:rsidR="006737C6">
        <w:t>Deputy Chief</w:t>
      </w:r>
      <w:r w:rsidR="00807F3E">
        <w:t>, Policy and Licensing Division,</w:t>
      </w:r>
      <w:r w:rsidRPr="00C71C33">
        <w:t xml:space="preserve"> Public Safety and Homeland Security Bureau</w:t>
      </w:r>
      <w:r w:rsidR="000932B9">
        <w:t>,</w:t>
      </w:r>
      <w:r w:rsidRPr="00C71C33">
        <w:t xml:space="preserve"> (202) 418-</w:t>
      </w:r>
      <w:r w:rsidR="00807F3E">
        <w:t>2062</w:t>
      </w:r>
      <w:r w:rsidRPr="00C71C33">
        <w:t xml:space="preserve"> or </w:t>
      </w:r>
      <w:hyperlink r:id="rId8" w:history="1">
        <w:r w:rsidRPr="00900D9B" w:rsidR="00807F3E">
          <w:rPr>
            <w:rStyle w:val="Hyperlink"/>
          </w:rPr>
          <w:t>Brenda.Boykin@fcc.gov</w:t>
        </w:r>
      </w:hyperlink>
      <w:r w:rsidR="008E08C9">
        <w:t xml:space="preserve">, </w:t>
      </w:r>
      <w:r w:rsidR="00405204">
        <w:t xml:space="preserve">or Rachel Wehr, Attorney Advisor, Policy and Licensing Division, Public Safety and Homeland Security Bureau, (202) 418-1138 or </w:t>
      </w:r>
      <w:hyperlink r:id="rId9" w:history="1">
        <w:r w:rsidRPr="003B4409" w:rsidR="00405204">
          <w:rPr>
            <w:rStyle w:val="Hyperlink"/>
          </w:rPr>
          <w:t>Rachel.Wehr@fcc.gov</w:t>
        </w:r>
      </w:hyperlink>
      <w:r w:rsidR="00405204">
        <w:t xml:space="preserve">. </w:t>
      </w:r>
    </w:p>
    <w:p w:rsidR="00150ACC" w14:paraId="6CBDA7C1" w14:textId="77777777"/>
    <w:p w:rsidR="00150ACC" w14:paraId="42D99717" w14:textId="77777777"/>
    <w:p w:rsidR="00150ACC" w14:paraId="3086307D" w14:textId="77777777"/>
    <w:bookmarkEnd w:id="1"/>
    <w:p w:rsidR="001447F7" w14:paraId="26FEEACD" w14:textId="77777777"/>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ACC" w14:paraId="0323A9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50ACC" w14:paraId="0A3374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ACC" w14:paraId="5684E3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ACC" w14:paraId="448B2F8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68E7" w14:paraId="38B38617" w14:textId="77777777">
      <w:r>
        <w:separator/>
      </w:r>
    </w:p>
  </w:footnote>
  <w:footnote w:type="continuationSeparator" w:id="1">
    <w:p w:rsidR="000C68E7" w14:paraId="627DD51B" w14:textId="77777777">
      <w:pPr>
        <w:rPr>
          <w:sz w:val="20"/>
        </w:rPr>
      </w:pPr>
      <w:r>
        <w:rPr>
          <w:sz w:val="20"/>
        </w:rPr>
        <w:t xml:space="preserve">(Continued from previous page)  </w:t>
      </w:r>
      <w:r>
        <w:rPr>
          <w:sz w:val="20"/>
        </w:rPr>
        <w:separator/>
      </w:r>
    </w:p>
  </w:footnote>
  <w:footnote w:type="continuationNotice" w:id="2">
    <w:p w:rsidR="000C68E7" w14:paraId="184B805E" w14:textId="77777777">
      <w:pPr>
        <w:jc w:val="right"/>
        <w:rPr>
          <w:sz w:val="20"/>
        </w:rPr>
      </w:pPr>
      <w:r>
        <w:rPr>
          <w:sz w:val="20"/>
        </w:rPr>
        <w:t>(continued….)</w:t>
      </w:r>
    </w:p>
  </w:footnote>
  <w:footnote w:id="3">
    <w:p w:rsidR="002B7369" w14:paraId="34A21A9F" w14:textId="55C2D59C">
      <w:pPr>
        <w:pStyle w:val="FootnoteText"/>
      </w:pPr>
      <w:r>
        <w:rPr>
          <w:rStyle w:val="FootnoteReference"/>
        </w:rPr>
        <w:footnoteRef/>
      </w:r>
      <w:r>
        <w:t xml:space="preserve"> </w:t>
      </w:r>
      <w:r w:rsidRPr="00ED6EBF">
        <w:t>Petition for Rulemaking; Alternatively, Petition for Notice of Inquiry, CC Docket No. 94-102 and PS Docket Nos. 18-64, 18-261, 11-15</w:t>
      </w:r>
      <w:r w:rsidR="00BE2B60">
        <w:t>3</w:t>
      </w:r>
      <w:r w:rsidRPr="00ED6EBF">
        <w:t>, and 10-255 (filed Oct. 19, 2021)</w:t>
      </w:r>
      <w:r w:rsidR="00151AE2">
        <w:t>,</w:t>
      </w:r>
      <w:r w:rsidRPr="00ED6EBF">
        <w:t xml:space="preserve"> </w:t>
      </w:r>
      <w:hyperlink r:id="rId1" w:history="1">
        <w:r>
          <w:rPr>
            <w:rStyle w:val="Hyperlink"/>
          </w:rPr>
          <w:t>https://ecfsapi.fcc.gov/file/1019188969473/Final%20NG911%20Cost%20Clarification%20Filing.pdf</w:t>
        </w:r>
      </w:hyperlink>
      <w:r w:rsidRPr="00151AE2" w:rsidR="00151AE2">
        <w:rPr>
          <w:rStyle w:val="Hyperlink"/>
          <w:u w:val="none"/>
        </w:rPr>
        <w:t xml:space="preserve"> </w:t>
      </w:r>
      <w:r w:rsidR="00151AE2">
        <w:t>(NASNA</w:t>
      </w:r>
      <w:r w:rsidR="008C5588">
        <w:t xml:space="preserve"> </w:t>
      </w:r>
      <w:r w:rsidR="00151AE2">
        <w:t>Petition)</w:t>
      </w:r>
      <w:r w:rsidRPr="00ED6EBF">
        <w:t>.</w:t>
      </w:r>
      <w:r w:rsidR="00244FCA">
        <w:t xml:space="preserve">  NASNA petitions for rulemaking pursuant to section 1.401 of the rules, 47 CFR § 1.401</w:t>
      </w:r>
      <w:r w:rsidR="000E3EB4">
        <w:t>,</w:t>
      </w:r>
      <w:r w:rsidR="00244FCA">
        <w:t xml:space="preserve"> or, alternatively, for a notice of inquiry pursuant to section 1.430 of the rules, 47 CFR § 1.430.</w:t>
      </w:r>
    </w:p>
  </w:footnote>
  <w:footnote w:id="4">
    <w:p w:rsidR="000662C6" w14:paraId="2C7B1C29" w14:textId="65A5CA5C">
      <w:pPr>
        <w:pStyle w:val="FootnoteText"/>
      </w:pPr>
      <w:r>
        <w:rPr>
          <w:rStyle w:val="FootnoteReference"/>
        </w:rPr>
        <w:footnoteRef/>
      </w:r>
      <w:r>
        <w:t xml:space="preserve"> NASNA Petition at 2-3.</w:t>
      </w:r>
    </w:p>
  </w:footnote>
  <w:footnote w:id="5">
    <w:p w:rsidR="002020CE" w14:paraId="6F88BFA2" w14:textId="252BC6BA">
      <w:pPr>
        <w:pStyle w:val="FootnoteText"/>
      </w:pPr>
      <w:r>
        <w:rPr>
          <w:rStyle w:val="FootnoteReference"/>
        </w:rPr>
        <w:footnoteRef/>
      </w:r>
      <w:r>
        <w:t xml:space="preserve"> NASNA Petition at 3. </w:t>
      </w:r>
    </w:p>
  </w:footnote>
  <w:footnote w:id="6">
    <w:p w:rsidR="002020CE" w14:paraId="621B3418" w14:textId="3EB67B25">
      <w:pPr>
        <w:pStyle w:val="FootnoteText"/>
      </w:pPr>
      <w:r>
        <w:rPr>
          <w:rStyle w:val="FootnoteReference"/>
        </w:rPr>
        <w:footnoteRef/>
      </w:r>
      <w:r>
        <w:t xml:space="preserve"> NASNA Petition at 6</w:t>
      </w:r>
      <w:r w:rsidR="007F73B6">
        <w:t>-7</w:t>
      </w:r>
      <w:r>
        <w:t xml:space="preserve">. </w:t>
      </w:r>
    </w:p>
  </w:footnote>
  <w:footnote w:id="7">
    <w:p w:rsidR="00967DD7" w14:paraId="032A59E4" w14:textId="5AFAE016">
      <w:pPr>
        <w:pStyle w:val="FootnoteText"/>
      </w:pPr>
      <w:r>
        <w:rPr>
          <w:rStyle w:val="FootnoteReference"/>
        </w:rPr>
        <w:footnoteRef/>
      </w:r>
      <w:r>
        <w:t xml:space="preserve"> NASNA Petition at 3.</w:t>
      </w:r>
    </w:p>
  </w:footnote>
  <w:footnote w:id="8">
    <w:p w:rsidR="00967DD7" w:rsidRPr="00967DD7" w14:paraId="3422E473" w14:textId="3C6D40CD">
      <w:pPr>
        <w:pStyle w:val="FootnoteText"/>
      </w:pPr>
      <w:r>
        <w:rPr>
          <w:rStyle w:val="FootnoteReference"/>
        </w:rPr>
        <w:footnoteRef/>
      </w:r>
      <w:r>
        <w:t xml:space="preserve"> NASNA </w:t>
      </w:r>
      <w:r w:rsidR="006C643F">
        <w:t>Petition</w:t>
      </w:r>
      <w:r>
        <w:t xml:space="preserve"> at 7</w:t>
      </w:r>
      <w:r w:rsidR="00276CAE">
        <w:t>-8</w:t>
      </w:r>
      <w:r w:rsidR="000E2DF7">
        <w:t xml:space="preserve">.  The three </w:t>
      </w:r>
      <w:r w:rsidR="006B61B5">
        <w:t xml:space="preserve">NG911 </w:t>
      </w:r>
      <w:r w:rsidR="000E2DF7">
        <w:t xml:space="preserve">readiness phases proposed by NASNA are </w:t>
      </w:r>
      <w:r w:rsidR="006B61B5">
        <w:t xml:space="preserve">based on readiness criteria identified in the December 2016 supplemental report issued by the </w:t>
      </w:r>
      <w:r w:rsidRPr="00782A05" w:rsidR="000E2DF7">
        <w:t>Task Force on Optimal PSAP Architecture (TFOPA)</w:t>
      </w:r>
      <w:r w:rsidR="006B61B5">
        <w:t xml:space="preserve">.  </w:t>
      </w:r>
      <w:r w:rsidR="006B61B5">
        <w:rPr>
          <w:i/>
          <w:iCs/>
        </w:rPr>
        <w:t>S</w:t>
      </w:r>
      <w:r w:rsidRPr="006B61B5">
        <w:rPr>
          <w:i/>
          <w:iCs/>
        </w:rPr>
        <w:t>ee</w:t>
      </w:r>
      <w:r>
        <w:rPr>
          <w:i/>
          <w:iCs/>
        </w:rPr>
        <w:t xml:space="preserve"> </w:t>
      </w:r>
      <w:r>
        <w:t>TFOPA Working Group 2 Phase II Supplemental Report</w:t>
      </w:r>
      <w:r w:rsidR="00172A01">
        <w:t xml:space="preserve">: </w:t>
      </w:r>
      <w:r>
        <w:t xml:space="preserve"> NG9-1-1 Readiness Scorecard (2016), </w:t>
      </w:r>
      <w:hyperlink r:id="rId2" w:history="1">
        <w:r w:rsidRPr="00EF4B22" w:rsidR="00172A01">
          <w:rPr>
            <w:rStyle w:val="Hyperlink"/>
          </w:rPr>
          <w:t>https://transition.fcc.gov/pshs/911/TFOPA/TFOPA_WG2_Supplemental_Report-120216.pdf</w:t>
        </w:r>
      </w:hyperlink>
      <w:r w:rsidR="00172A01">
        <w:t xml:space="preserve">.  </w:t>
      </w:r>
    </w:p>
  </w:footnote>
  <w:footnote w:id="9">
    <w:p w:rsidR="00055EAB" w:rsidRPr="00202630" w14:paraId="3969D663" w14:textId="234E9E0C">
      <w:pPr>
        <w:pStyle w:val="FootnoteText"/>
      </w:pPr>
      <w:r>
        <w:rPr>
          <w:rStyle w:val="FootnoteReference"/>
        </w:rPr>
        <w:footnoteRef/>
      </w:r>
      <w:r>
        <w:t xml:space="preserve"> </w:t>
      </w:r>
      <w:r w:rsidR="00202630">
        <w:rPr>
          <w:i/>
          <w:iCs/>
        </w:rPr>
        <w:t>Public Safety and Homeland Security Bureau Opens PS Docket No. 21-479</w:t>
      </w:r>
      <w:r w:rsidR="00202630">
        <w:t>, Public Notice,</w:t>
      </w:r>
      <w:r w:rsidR="007507AB">
        <w:t xml:space="preserve"> DA</w:t>
      </w:r>
      <w:r w:rsidR="00202630">
        <w:t xml:space="preserve"> </w:t>
      </w:r>
      <w:r w:rsidR="007507AB">
        <w:t>21-1606</w:t>
      </w:r>
      <w:r w:rsidR="00202630">
        <w:t xml:space="preserve"> (PSHSB Dec. 20, 2021). </w:t>
      </w:r>
    </w:p>
  </w:footnote>
  <w:footnote w:id="10">
    <w:p w:rsidR="008C5588" w14:paraId="3ACD96CE" w14:textId="6EEEE59E">
      <w:pPr>
        <w:pStyle w:val="FootnoteText"/>
      </w:pPr>
      <w:r>
        <w:rPr>
          <w:rStyle w:val="FootnoteReference"/>
        </w:rPr>
        <w:footnoteRef/>
      </w:r>
      <w:r>
        <w:t xml:space="preserve"> 47 CFR § 1.405.</w:t>
      </w:r>
    </w:p>
  </w:footnote>
  <w:footnote w:id="11">
    <w:p w:rsidR="00B15337" w14:paraId="6B6B9D6F" w14:textId="7EFD2A4D">
      <w:pPr>
        <w:pStyle w:val="FootnoteText"/>
      </w:pPr>
      <w:r>
        <w:rPr>
          <w:rStyle w:val="FootnoteReference"/>
        </w:rPr>
        <w:footnoteRef/>
      </w:r>
      <w:r>
        <w:t xml:space="preserve"> </w:t>
      </w:r>
      <w:r w:rsidRPr="00C71C33">
        <w:rPr>
          <w:i/>
          <w:iCs/>
        </w:rPr>
        <w:t xml:space="preserve">See </w:t>
      </w:r>
      <w:bookmarkStart w:id="2" w:name="_Hlk85103200"/>
      <w:r w:rsidR="00E268F8">
        <w:rPr>
          <w:szCs w:val="22"/>
        </w:rPr>
        <w:t xml:space="preserve">FCC, </w:t>
      </w:r>
      <w:r w:rsidRPr="00923BE8" w:rsidR="00E268F8">
        <w:rPr>
          <w:szCs w:val="22"/>
        </w:rPr>
        <w:t>Electronic Filing of Documents in Rulemaking Proceedings, 63 F</w:t>
      </w:r>
      <w:r w:rsidR="00E268F8">
        <w:rPr>
          <w:szCs w:val="22"/>
        </w:rPr>
        <w:t xml:space="preserve">ed. </w:t>
      </w:r>
      <w:r w:rsidRPr="00923BE8" w:rsidR="00E268F8">
        <w:rPr>
          <w:szCs w:val="22"/>
        </w:rPr>
        <w:t>R</w:t>
      </w:r>
      <w:r w:rsidR="00E268F8">
        <w:rPr>
          <w:szCs w:val="22"/>
        </w:rPr>
        <w:t>eg.</w:t>
      </w:r>
      <w:r w:rsidRPr="00923BE8" w:rsidR="00E268F8">
        <w:rPr>
          <w:szCs w:val="22"/>
        </w:rPr>
        <w:t xml:space="preserve"> 24121 (</w:t>
      </w:r>
      <w:r w:rsidR="00E268F8">
        <w:rPr>
          <w:szCs w:val="22"/>
        </w:rPr>
        <w:t xml:space="preserve">May 1, </w:t>
      </w:r>
      <w:r w:rsidRPr="00923BE8" w:rsidR="00E268F8">
        <w:rPr>
          <w:szCs w:val="22"/>
        </w:rPr>
        <w:t>1998).</w:t>
      </w:r>
      <w:bookmarkEnd w:id="2"/>
    </w:p>
  </w:footnote>
  <w:footnote w:id="12">
    <w:p w:rsidR="00C71C33" w:rsidP="00C71C33" w14:paraId="491E3146" w14:textId="77777777">
      <w:pPr>
        <w:pStyle w:val="FootnoteText"/>
      </w:pPr>
      <w:r>
        <w:rPr>
          <w:rStyle w:val="FootnoteReference"/>
        </w:rPr>
        <w:footnoteRef/>
      </w:r>
      <w:r>
        <w:t xml:space="preserve"> </w:t>
      </w:r>
      <w:r>
        <w:rPr>
          <w:i/>
          <w:iCs/>
        </w:rPr>
        <w:t>See Amendment of the Commission’s Rules of Practice and Procedure</w:t>
      </w:r>
      <w:r>
        <w:t>, Order, 35 FCC Rcd 5450 (OMD 2020).</w:t>
      </w:r>
    </w:p>
  </w:footnote>
  <w:footnote w:id="13">
    <w:p w:rsidR="00D60593" w:rsidP="00D60593" w14:paraId="16632182" w14:textId="77777777">
      <w:pPr>
        <w:pStyle w:val="FootnoteText"/>
        <w:rPr>
          <w:i/>
          <w:iCs/>
        </w:rPr>
      </w:pPr>
      <w:r>
        <w:rPr>
          <w:rStyle w:val="FootnoteReference"/>
        </w:rPr>
        <w:footnoteRef/>
      </w:r>
      <w:r>
        <w:t xml:space="preserve"> 47 CFR §§ 1.1200 </w:t>
      </w:r>
      <w:r>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ACC" w14:paraId="16B5C63A" w14:textId="43FBBFC3">
    <w:pPr>
      <w:tabs>
        <w:tab w:val="center" w:pos="4680"/>
        <w:tab w:val="right" w:pos="9360"/>
      </w:tabs>
    </w:pPr>
    <w:r>
      <w:rPr>
        <w:b/>
      </w:rPr>
      <w:tab/>
      <w:t>Federal Communications Commission</w:t>
    </w:r>
    <w:r>
      <w:rPr>
        <w:b/>
      </w:rPr>
      <w:tab/>
    </w:r>
    <w:r w:rsidR="007507AB">
      <w:rPr>
        <w:b/>
      </w:rPr>
      <w:t>DA 21-1607</w:t>
    </w:r>
  </w:p>
  <w:p w:rsidR="00150ACC" w14:paraId="56824D26" w14:textId="41878C1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50ACC" w14:paraId="5FD69FD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0ACC" w14:paraId="48DF0804" w14:textId="2D3A2FD3">
    <w:pPr>
      <w:pStyle w:val="Header"/>
    </w:pPr>
    <w:r>
      <w:rPr>
        <w:noProof/>
        <w:snapToGrid/>
      </w:rPr>
      <w:drawing>
        <wp:inline distT="0" distB="0" distL="0" distR="0">
          <wp:extent cx="5950585" cy="142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0585" cy="1426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4B2875"/>
    <w:multiLevelType w:val="hybridMultilevel"/>
    <w:tmpl w:val="BBC4D72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634F8"/>
    <w:multiLevelType w:val="hybridMultilevel"/>
    <w:tmpl w:val="9B8E41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DA03A48"/>
    <w:multiLevelType w:val="hybridMultilevel"/>
    <w:tmpl w:val="827AE9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7F7"/>
    <w:rsid w:val="00022984"/>
    <w:rsid w:val="00030C20"/>
    <w:rsid w:val="000333A0"/>
    <w:rsid w:val="00040A08"/>
    <w:rsid w:val="00055EAB"/>
    <w:rsid w:val="000662C6"/>
    <w:rsid w:val="000932B9"/>
    <w:rsid w:val="000C68E7"/>
    <w:rsid w:val="000E2DF7"/>
    <w:rsid w:val="000E3EB4"/>
    <w:rsid w:val="000F101A"/>
    <w:rsid w:val="001447F7"/>
    <w:rsid w:val="00150ACC"/>
    <w:rsid w:val="00151AE2"/>
    <w:rsid w:val="00172A01"/>
    <w:rsid w:val="00186A6F"/>
    <w:rsid w:val="001905DC"/>
    <w:rsid w:val="001E34A4"/>
    <w:rsid w:val="001F1093"/>
    <w:rsid w:val="002020CE"/>
    <w:rsid w:val="00202630"/>
    <w:rsid w:val="00203A44"/>
    <w:rsid w:val="00212278"/>
    <w:rsid w:val="00244FCA"/>
    <w:rsid w:val="00274007"/>
    <w:rsid w:val="00276CAE"/>
    <w:rsid w:val="002A344A"/>
    <w:rsid w:val="002B7369"/>
    <w:rsid w:val="002C42F7"/>
    <w:rsid w:val="002C7B02"/>
    <w:rsid w:val="002D2C2D"/>
    <w:rsid w:val="00335D45"/>
    <w:rsid w:val="003556C4"/>
    <w:rsid w:val="0036482A"/>
    <w:rsid w:val="003653E7"/>
    <w:rsid w:val="0039592C"/>
    <w:rsid w:val="003A5517"/>
    <w:rsid w:val="003B114D"/>
    <w:rsid w:val="003B27F7"/>
    <w:rsid w:val="003B4409"/>
    <w:rsid w:val="003B6E35"/>
    <w:rsid w:val="003F3208"/>
    <w:rsid w:val="003F6781"/>
    <w:rsid w:val="003F6B34"/>
    <w:rsid w:val="00405204"/>
    <w:rsid w:val="00415CDA"/>
    <w:rsid w:val="004511C7"/>
    <w:rsid w:val="00456ADC"/>
    <w:rsid w:val="00463C0E"/>
    <w:rsid w:val="0048200E"/>
    <w:rsid w:val="004A30B1"/>
    <w:rsid w:val="004E0966"/>
    <w:rsid w:val="004E7A5D"/>
    <w:rsid w:val="00542BD7"/>
    <w:rsid w:val="005443C5"/>
    <w:rsid w:val="00556F5F"/>
    <w:rsid w:val="00567ABE"/>
    <w:rsid w:val="0058167C"/>
    <w:rsid w:val="005A2B3E"/>
    <w:rsid w:val="005C1CC9"/>
    <w:rsid w:val="005E36C7"/>
    <w:rsid w:val="0064312E"/>
    <w:rsid w:val="006737C6"/>
    <w:rsid w:val="00673ACD"/>
    <w:rsid w:val="00676446"/>
    <w:rsid w:val="00697FAA"/>
    <w:rsid w:val="006A76E7"/>
    <w:rsid w:val="006B61B5"/>
    <w:rsid w:val="006C643F"/>
    <w:rsid w:val="006D3BBA"/>
    <w:rsid w:val="006F2340"/>
    <w:rsid w:val="00705141"/>
    <w:rsid w:val="00712FCA"/>
    <w:rsid w:val="007507AB"/>
    <w:rsid w:val="007601D1"/>
    <w:rsid w:val="0076434E"/>
    <w:rsid w:val="0077100E"/>
    <w:rsid w:val="00782A05"/>
    <w:rsid w:val="00794A03"/>
    <w:rsid w:val="007B7322"/>
    <w:rsid w:val="007F73B6"/>
    <w:rsid w:val="00803815"/>
    <w:rsid w:val="00807F3E"/>
    <w:rsid w:val="00815745"/>
    <w:rsid w:val="00832279"/>
    <w:rsid w:val="00834B2A"/>
    <w:rsid w:val="00850B77"/>
    <w:rsid w:val="00884891"/>
    <w:rsid w:val="008A493C"/>
    <w:rsid w:val="008B5639"/>
    <w:rsid w:val="008C5588"/>
    <w:rsid w:val="008C7D60"/>
    <w:rsid w:val="008E08C9"/>
    <w:rsid w:val="008E3A51"/>
    <w:rsid w:val="00900D9B"/>
    <w:rsid w:val="00904860"/>
    <w:rsid w:val="009204F1"/>
    <w:rsid w:val="00923BE8"/>
    <w:rsid w:val="0093524C"/>
    <w:rsid w:val="00937E32"/>
    <w:rsid w:val="00951CD9"/>
    <w:rsid w:val="009552E6"/>
    <w:rsid w:val="009613B1"/>
    <w:rsid w:val="00965DFB"/>
    <w:rsid w:val="00967DD7"/>
    <w:rsid w:val="009752BE"/>
    <w:rsid w:val="00995361"/>
    <w:rsid w:val="009A1D14"/>
    <w:rsid w:val="009A3AA7"/>
    <w:rsid w:val="00A124FC"/>
    <w:rsid w:val="00A44343"/>
    <w:rsid w:val="00AA6F62"/>
    <w:rsid w:val="00AB07F8"/>
    <w:rsid w:val="00AC3F85"/>
    <w:rsid w:val="00AC680F"/>
    <w:rsid w:val="00AE3FD2"/>
    <w:rsid w:val="00AF2C54"/>
    <w:rsid w:val="00AF3C31"/>
    <w:rsid w:val="00B13EC9"/>
    <w:rsid w:val="00B15337"/>
    <w:rsid w:val="00B166DC"/>
    <w:rsid w:val="00B2255E"/>
    <w:rsid w:val="00B57CF5"/>
    <w:rsid w:val="00B611E4"/>
    <w:rsid w:val="00B8630E"/>
    <w:rsid w:val="00BD5F3A"/>
    <w:rsid w:val="00BE2B60"/>
    <w:rsid w:val="00BF7520"/>
    <w:rsid w:val="00C31770"/>
    <w:rsid w:val="00C4573E"/>
    <w:rsid w:val="00C461AB"/>
    <w:rsid w:val="00C71C33"/>
    <w:rsid w:val="00C90B42"/>
    <w:rsid w:val="00CD7E0F"/>
    <w:rsid w:val="00CE4EDA"/>
    <w:rsid w:val="00D05284"/>
    <w:rsid w:val="00D11A46"/>
    <w:rsid w:val="00D15D43"/>
    <w:rsid w:val="00D60593"/>
    <w:rsid w:val="00D85491"/>
    <w:rsid w:val="00D91FE7"/>
    <w:rsid w:val="00DF08DD"/>
    <w:rsid w:val="00E121E3"/>
    <w:rsid w:val="00E268F8"/>
    <w:rsid w:val="00E32F92"/>
    <w:rsid w:val="00E72345"/>
    <w:rsid w:val="00EA0A0F"/>
    <w:rsid w:val="00EA328A"/>
    <w:rsid w:val="00EC5968"/>
    <w:rsid w:val="00ED1738"/>
    <w:rsid w:val="00ED6EBF"/>
    <w:rsid w:val="00EE0EA5"/>
    <w:rsid w:val="00EE4DAA"/>
    <w:rsid w:val="00EF4B22"/>
    <w:rsid w:val="00F021B6"/>
    <w:rsid w:val="00F32DA2"/>
    <w:rsid w:val="00F769BD"/>
    <w:rsid w:val="00F909B2"/>
    <w:rsid w:val="00FB7FC8"/>
    <w:rsid w:val="00FC0BD9"/>
    <w:rsid w:val="00FC73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BCEF204"/>
  <w15:chartTrackingRefBased/>
  <w15:docId w15:val="{1683845F-AB75-4D8B-AE78-7D77E062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Char Char Char,Footnote Text Char Char Char,Footnote Text Char Char Char Char Char Char,Footnote Text Char1 Char,Footnote Text Char1 Char Char Char Char,Footnote Text Char2 Char Char Char,f,fn,fn Char"/>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 Char Char Char Char,f Char,fn Char Char,fn Char1"/>
    <w:link w:val="FootnoteText"/>
    <w:locked/>
    <w:rsid w:val="003B27F7"/>
  </w:style>
  <w:style w:type="character" w:styleId="FollowedHyperlink">
    <w:name w:val="FollowedHyperlink"/>
    <w:basedOn w:val="DefaultParagraphFont"/>
    <w:uiPriority w:val="99"/>
    <w:semiHidden/>
    <w:unhideWhenUsed/>
    <w:rsid w:val="00CD7E0F"/>
    <w:rPr>
      <w:color w:val="954F72" w:themeColor="followedHyperlink"/>
      <w:u w:val="single"/>
    </w:rPr>
  </w:style>
  <w:style w:type="paragraph" w:styleId="ListParagraph">
    <w:name w:val="List Paragraph"/>
    <w:basedOn w:val="Normal"/>
    <w:uiPriority w:val="34"/>
    <w:qFormat/>
    <w:rsid w:val="00807F3E"/>
    <w:pPr>
      <w:ind w:left="720"/>
    </w:pPr>
  </w:style>
  <w:style w:type="character" w:styleId="CommentReference">
    <w:name w:val="annotation reference"/>
    <w:basedOn w:val="DefaultParagraphFont"/>
    <w:uiPriority w:val="99"/>
    <w:semiHidden/>
    <w:unhideWhenUsed/>
    <w:rsid w:val="00415CDA"/>
    <w:rPr>
      <w:sz w:val="16"/>
      <w:szCs w:val="16"/>
    </w:rPr>
  </w:style>
  <w:style w:type="paragraph" w:styleId="CommentText">
    <w:name w:val="annotation text"/>
    <w:basedOn w:val="Normal"/>
    <w:link w:val="CommentTextChar"/>
    <w:uiPriority w:val="99"/>
    <w:semiHidden/>
    <w:unhideWhenUsed/>
    <w:rsid w:val="00415CDA"/>
    <w:rPr>
      <w:sz w:val="20"/>
    </w:rPr>
  </w:style>
  <w:style w:type="character" w:customStyle="1" w:styleId="CommentTextChar">
    <w:name w:val="Comment Text Char"/>
    <w:basedOn w:val="DefaultParagraphFont"/>
    <w:link w:val="CommentText"/>
    <w:uiPriority w:val="99"/>
    <w:semiHidden/>
    <w:rsid w:val="00415CDA"/>
    <w:rPr>
      <w:snapToGrid w:val="0"/>
      <w:kern w:val="28"/>
    </w:rPr>
  </w:style>
  <w:style w:type="paragraph" w:styleId="CommentSubject">
    <w:name w:val="annotation subject"/>
    <w:basedOn w:val="CommentText"/>
    <w:next w:val="CommentText"/>
    <w:link w:val="CommentSubjectChar"/>
    <w:uiPriority w:val="99"/>
    <w:semiHidden/>
    <w:unhideWhenUsed/>
    <w:rsid w:val="00415CDA"/>
    <w:rPr>
      <w:b/>
      <w:bCs/>
    </w:rPr>
  </w:style>
  <w:style w:type="character" w:customStyle="1" w:styleId="CommentSubjectChar">
    <w:name w:val="Comment Subject Char"/>
    <w:basedOn w:val="CommentTextChar"/>
    <w:link w:val="CommentSubject"/>
    <w:uiPriority w:val="99"/>
    <w:semiHidden/>
    <w:rsid w:val="00415CDA"/>
    <w:rPr>
      <w:b/>
      <w:bCs/>
      <w:snapToGrid w:val="0"/>
      <w:kern w:val="28"/>
    </w:rPr>
  </w:style>
  <w:style w:type="paragraph" w:styleId="Revision">
    <w:name w:val="Revision"/>
    <w:hidden/>
    <w:uiPriority w:val="99"/>
    <w:semiHidden/>
    <w:rsid w:val="006737C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Brenda.Boykin@fcc.gov" TargetMode="External" /><Relationship Id="rId9" Type="http://schemas.openxmlformats.org/officeDocument/2006/relationships/hyperlink" Target="mailto:Rachel.Weh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19188969473/Final%20NG911%20Cost%20Clarification%20Filing.pdf" TargetMode="External" /><Relationship Id="rId2" Type="http://schemas.openxmlformats.org/officeDocument/2006/relationships/hyperlink" Target="https://transition.fcc.gov/pshs/911/TFOPA/TFOPA_WG2_Supplemental_Report-120216.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