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33C1CEE6">
      <w:pPr>
        <w:ind w:left="7200"/>
        <w:rPr>
          <w:b/>
          <w:color w:val="000000"/>
          <w:szCs w:val="22"/>
        </w:rPr>
      </w:pPr>
      <w:bookmarkStart w:id="1" w:name="_Hlk64355849"/>
      <w:r>
        <w:rPr>
          <w:b/>
          <w:color w:val="000000"/>
          <w:szCs w:val="22"/>
        </w:rPr>
        <w:t xml:space="preserve">      </w:t>
      </w:r>
      <w:bookmarkStart w:id="2" w:name="_Hlk84227504"/>
      <w:r w:rsidRPr="00376464">
        <w:rPr>
          <w:b/>
          <w:color w:val="000000"/>
          <w:szCs w:val="22"/>
        </w:rPr>
        <w:t>DA 2</w:t>
      </w:r>
      <w:r>
        <w:rPr>
          <w:b/>
          <w:color w:val="000000"/>
          <w:szCs w:val="22"/>
        </w:rPr>
        <w:t>1</w:t>
      </w:r>
      <w:r w:rsidRPr="00376464">
        <w:rPr>
          <w:b/>
          <w:color w:val="000000"/>
          <w:szCs w:val="22"/>
        </w:rPr>
        <w:t>-</w:t>
      </w:r>
      <w:r w:rsidR="00C0765C">
        <w:rPr>
          <w:b/>
          <w:color w:val="000000"/>
          <w:szCs w:val="22"/>
        </w:rPr>
        <w:t>1608</w:t>
      </w:r>
    </w:p>
    <w:p w:rsidR="008042EC" w:rsidRPr="00376464" w:rsidP="008042EC" w14:paraId="356E02EC" w14:textId="71B60120">
      <w:pPr>
        <w:jc w:val="right"/>
        <w:rPr>
          <w:b/>
          <w:color w:val="000000"/>
          <w:szCs w:val="22"/>
        </w:rPr>
      </w:pPr>
      <w:r>
        <w:rPr>
          <w:b/>
          <w:color w:val="000000"/>
          <w:szCs w:val="22"/>
        </w:rPr>
        <w:t>December</w:t>
      </w:r>
      <w:r w:rsidR="0005236E">
        <w:rPr>
          <w:b/>
          <w:color w:val="000000"/>
          <w:szCs w:val="22"/>
        </w:rPr>
        <w:t xml:space="preserve"> 20</w:t>
      </w:r>
      <w:r w:rsidRPr="00376464" w:rsidR="00811ECF">
        <w:rPr>
          <w:b/>
          <w:color w:val="000000"/>
          <w:szCs w:val="22"/>
        </w:rPr>
        <w:t>, 202</w:t>
      </w:r>
      <w:r w:rsidR="00811ECF">
        <w:rPr>
          <w:b/>
          <w:color w:val="000000"/>
          <w:szCs w:val="22"/>
        </w:rPr>
        <w:t>1</w:t>
      </w:r>
    </w:p>
    <w:p w:rsidR="008042EC" w:rsidRPr="00376464" w:rsidP="008042EC" w14:paraId="5872E06A" w14:textId="77777777">
      <w:pPr>
        <w:spacing w:before="60"/>
        <w:jc w:val="right"/>
        <w:rPr>
          <w:b/>
          <w:color w:val="000000"/>
          <w:szCs w:val="22"/>
        </w:rPr>
      </w:pPr>
    </w:p>
    <w:p w:rsidR="008042EC" w:rsidRPr="00376464" w:rsidP="008042EC" w14:paraId="4A1823B1" w14:textId="56A6451A">
      <w:pPr>
        <w:jc w:val="center"/>
        <w:rPr>
          <w:b/>
          <w:color w:val="000000"/>
          <w:szCs w:val="22"/>
        </w:rPr>
      </w:pPr>
      <w:r w:rsidRPr="00376464">
        <w:rPr>
          <w:b/>
          <w:color w:val="000000"/>
          <w:szCs w:val="22"/>
        </w:rPr>
        <w:t xml:space="preserve">NOTICE OF DOMESTIC SECTION 214 AUTHORIZATION GRANTED </w:t>
      </w:r>
    </w:p>
    <w:p w:rsidR="008042EC" w:rsidRPr="00376464" w:rsidP="008042EC" w14:paraId="1B1E0755" w14:textId="77777777">
      <w:pPr>
        <w:jc w:val="right"/>
        <w:rPr>
          <w:b/>
          <w:color w:val="000000"/>
          <w:szCs w:val="22"/>
        </w:rPr>
      </w:pPr>
    </w:p>
    <w:p w:rsidR="008042EC" w:rsidP="006E5144" w14:paraId="6A0C0D09" w14:textId="34E768C2">
      <w:pPr>
        <w:widowControl w:val="0"/>
        <w:jc w:val="center"/>
        <w:rPr>
          <w:b/>
          <w:szCs w:val="22"/>
        </w:rPr>
      </w:pPr>
      <w:r w:rsidRPr="00376464">
        <w:rPr>
          <w:b/>
          <w:color w:val="000000"/>
          <w:szCs w:val="22"/>
        </w:rPr>
        <w:t>WC Docket No.</w:t>
      </w:r>
      <w:r w:rsidR="006E5144">
        <w:rPr>
          <w:b/>
          <w:szCs w:val="22"/>
        </w:rPr>
        <w:t xml:space="preserve"> </w:t>
      </w:r>
      <w:r w:rsidR="003B786E">
        <w:rPr>
          <w:b/>
          <w:szCs w:val="22"/>
        </w:rPr>
        <w:t>21-</w:t>
      </w:r>
      <w:bookmarkEnd w:id="1"/>
      <w:r w:rsidR="00C46828">
        <w:rPr>
          <w:b/>
          <w:szCs w:val="22"/>
        </w:rPr>
        <w:t>431</w:t>
      </w:r>
    </w:p>
    <w:bookmarkEnd w:id="2"/>
    <w:p w:rsidR="006E5144" w:rsidRPr="00376464" w:rsidP="006E5144" w14:paraId="6B5D0535" w14:textId="77777777">
      <w:pPr>
        <w:widowControl w:val="0"/>
        <w:jc w:val="center"/>
        <w:rPr>
          <w:b/>
          <w:szCs w:val="22"/>
        </w:rPr>
      </w:pPr>
    </w:p>
    <w:p w:rsidR="008042EC" w:rsidP="008042EC" w14:paraId="6A9DB484" w14:textId="1BB1E52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140081">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 xml:space="preserve">proceeding listed in this Public Notice shall be terminated, and </w:t>
      </w:r>
      <w:r w:rsidR="00140081">
        <w:rPr>
          <w:rFonts w:eastAsia="MS Mincho"/>
        </w:rPr>
        <w:t>the</w:t>
      </w:r>
      <w:r w:rsidRPr="00071BB6">
        <w:rPr>
          <w:rFonts w:eastAsia="MS Mincho"/>
        </w:rPr>
        <w:t xml:space="preserve"> docket will be closed.</w:t>
      </w:r>
    </w:p>
    <w:p w:rsidR="00C46828" w:rsidP="00C46828" w14:paraId="53089BCC" w14:textId="77777777">
      <w:pPr>
        <w:rPr>
          <w:szCs w:val="22"/>
        </w:rPr>
      </w:pPr>
    </w:p>
    <w:p w:rsidR="00C46828" w:rsidP="00C46828" w14:paraId="0C4DCB96" w14:textId="77777777">
      <w:pPr>
        <w:ind w:left="720"/>
        <w:rPr>
          <w:szCs w:val="22"/>
        </w:rPr>
      </w:pPr>
      <w:r w:rsidRPr="00BA0202">
        <w:rPr>
          <w:szCs w:val="22"/>
        </w:rPr>
        <w:t xml:space="preserve">Domestic Section 214 Application Filed for the Transfer of Control of </w:t>
      </w:r>
    </w:p>
    <w:p w:rsidR="00C46828" w:rsidP="00AD3DC9" w14:paraId="3D3E9065" w14:textId="2437F0E6">
      <w:pPr>
        <w:ind w:left="720"/>
        <w:rPr>
          <w:szCs w:val="22"/>
        </w:rPr>
      </w:pPr>
      <w:r>
        <w:rPr>
          <w:szCs w:val="22"/>
        </w:rPr>
        <w:t xml:space="preserve">Hargray of Florida, Inc., Hargray of Georgia, Inc., and Delta Communications, L.L.C. to NewCo, </w:t>
      </w:r>
      <w:r w:rsidRPr="00BA0202">
        <w:rPr>
          <w:szCs w:val="22"/>
        </w:rPr>
        <w:t>WC Docket No. 21-</w:t>
      </w:r>
      <w:r>
        <w:rPr>
          <w:szCs w:val="22"/>
        </w:rPr>
        <w:t>431, Public Notice, DA 21-1445 (WCB 2021</w:t>
      </w:r>
      <w:r w:rsidRPr="00BA0202">
        <w:rPr>
          <w:szCs w:val="22"/>
        </w:rPr>
        <w:t>).</w:t>
      </w:r>
    </w:p>
    <w:p w:rsidR="006E5144" w:rsidRPr="007E5FC3" w:rsidP="006E5144" w14:paraId="3911223E" w14:textId="77777777">
      <w:pPr>
        <w:rPr>
          <w:szCs w:val="22"/>
        </w:rPr>
      </w:pPr>
    </w:p>
    <w:p w:rsidR="000D62AD" w:rsidP="003B786E" w14:paraId="2E7339FC" w14:textId="09D23030">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C46828">
        <w:rPr>
          <w:b/>
          <w:bCs/>
          <w:color w:val="000000"/>
          <w:szCs w:val="22"/>
          <w:lang w:eastAsia="ja-JP"/>
        </w:rPr>
        <w:t>December</w:t>
      </w:r>
      <w:r w:rsidR="003B786E">
        <w:rPr>
          <w:b/>
          <w:bCs/>
          <w:color w:val="000000"/>
          <w:szCs w:val="22"/>
          <w:lang w:eastAsia="ja-JP"/>
        </w:rPr>
        <w:t xml:space="preserve"> </w:t>
      </w:r>
      <w:r>
        <w:rPr>
          <w:b/>
          <w:bCs/>
          <w:color w:val="000000"/>
          <w:szCs w:val="22"/>
          <w:lang w:eastAsia="ja-JP"/>
        </w:rPr>
        <w:t>18</w:t>
      </w:r>
      <w:r w:rsidRPr="00376464">
        <w:rPr>
          <w:b/>
          <w:bCs/>
          <w:color w:val="000000"/>
          <w:szCs w:val="22"/>
          <w:lang w:eastAsia="ja-JP"/>
        </w:rPr>
        <w:t>, 202</w:t>
      </w:r>
      <w:r>
        <w:rPr>
          <w:b/>
          <w:bCs/>
          <w:color w:val="000000"/>
          <w:szCs w:val="22"/>
          <w:lang w:eastAsia="ja-JP"/>
        </w:rPr>
        <w:t>1</w:t>
      </w:r>
    </w:p>
    <w:p w:rsidR="004B7FB2" w:rsidP="00140081" w14:paraId="0DBC55C4" w14:textId="77777777"/>
    <w:p w:rsidR="008042EC" w:rsidRPr="00376464" w:rsidP="008042EC" w14:paraId="0D32F568" w14:textId="0F5E7AE1">
      <w:pPr>
        <w:ind w:firstLine="720"/>
      </w:pPr>
      <w:r w:rsidRPr="00376464">
        <w:t xml:space="preserve">For further information, please contact </w:t>
      </w:r>
      <w:r w:rsidR="00C46828">
        <w:t>Tracey Wilson</w:t>
      </w:r>
      <w:r w:rsidR="00731C05">
        <w:t xml:space="preserve"> </w:t>
      </w:r>
      <w:r w:rsidRPr="00376464">
        <w:t>at (202) 418-</w:t>
      </w:r>
      <w:r w:rsidR="00731C05">
        <w:t>1</w:t>
      </w:r>
      <w:r w:rsidR="00C46828">
        <w:t>394</w:t>
      </w:r>
      <w:r w:rsidR="00E67D91">
        <w:t>,</w:t>
      </w:r>
      <w:r w:rsidRPr="00376464">
        <w:t xml:space="preserve"> or </w:t>
      </w:r>
      <w:r w:rsidR="00E67D91">
        <w:t>Dennis Johnson</w:t>
      </w:r>
      <w:r w:rsidR="00C46828">
        <w:t xml:space="preserve"> </w:t>
      </w:r>
      <w:r w:rsidRPr="00376464">
        <w:t>at (202) 418-</w:t>
      </w:r>
      <w:r w:rsidR="00E67D91">
        <w:t>0809</w:t>
      </w:r>
      <w:r w:rsidRPr="00376464">
        <w:t>, Competition Policy Division, Wireline Competition Bureau.</w:t>
      </w:r>
    </w:p>
    <w:p w:rsidR="008042EC" w:rsidRPr="00376464" w:rsidP="008042EC" w14:paraId="76FD48E8" w14:textId="77777777">
      <w:pPr>
        <w:ind w:firstLine="720"/>
      </w:pPr>
    </w:p>
    <w:p w:rsidR="00E7033D" w:rsidP="00E67D91" w14:paraId="1C2B9B51" w14:textId="273339FF">
      <w:pPr>
        <w:jc w:val="center"/>
        <w:rPr>
          <w:color w:val="000000"/>
          <w:szCs w:val="22"/>
        </w:rPr>
      </w:pPr>
      <w:r w:rsidRPr="00376464">
        <w:rPr>
          <w:color w:val="000000"/>
          <w:szCs w:val="22"/>
        </w:rPr>
        <w:t>-FCC-</w:t>
      </w: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7A0D" w14:paraId="115E5300" w14:textId="77777777">
      <w:r>
        <w:separator/>
      </w:r>
    </w:p>
  </w:footnote>
  <w:footnote w:type="continuationSeparator" w:id="1">
    <w:p w:rsidR="00547A0D" w14:paraId="080E24AE" w14:textId="77777777">
      <w:r>
        <w:continuationSeparator/>
      </w:r>
    </w:p>
  </w:footnote>
  <w:footnote w:type="continuationNotice" w:id="2">
    <w:p w:rsidR="00547A0D" w14:paraId="5B380D9F" w14:textId="77777777"/>
  </w:footnote>
  <w:footnote w:id="3">
    <w:p w:rsidR="008042EC" w:rsidRPr="00A356A9" w:rsidP="00E67D91" w14:paraId="57E169E8" w14:textId="369CBC9E">
      <w:pPr>
        <w:spacing w:after="120"/>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r w:rsidR="00A356A9">
        <w:rPr>
          <w:color w:val="000000"/>
          <w:sz w:val="20"/>
        </w:rPr>
        <w:t xml:space="preserve"> </w:t>
      </w:r>
      <w:r w:rsidR="00304D99">
        <w:rPr>
          <w:color w:val="000000"/>
          <w:sz w:val="20"/>
        </w:rPr>
        <w:t xml:space="preserve"> </w:t>
      </w:r>
      <w:r w:rsidR="00304D99">
        <w:rPr>
          <w:iCs/>
          <w:color w:val="000000"/>
          <w:sz w:val="20"/>
        </w:rPr>
        <w:t xml:space="preserve">Delta Communications, L.L.C. d/b/a Clearwave Communications had participated in and won the rights to provide service through Phase I of the Rural Digital Opportunity Fund Auction but notified the Bureau that it does not intend to pursue its winning bid. </w:t>
      </w:r>
      <w:r w:rsidR="00A356A9">
        <w:rPr>
          <w:color w:val="000000"/>
          <w:sz w:val="20"/>
        </w:rPr>
        <w:t xml:space="preserve"> </w:t>
      </w:r>
      <w:r w:rsidRPr="00304D99" w:rsidR="00304D99">
        <w:rPr>
          <w:i/>
          <w:iCs/>
          <w:color w:val="000000"/>
          <w:sz w:val="20"/>
        </w:rPr>
        <w:t xml:space="preserve">Domestic Section 214 Application Filed for the Transfer of Control of Hargray of Florida, Inc., Hargray of Georgia, Inc., and </w:t>
      </w:r>
      <w:r w:rsidR="00304D99">
        <w:rPr>
          <w:i/>
          <w:iCs/>
          <w:color w:val="000000"/>
          <w:sz w:val="20"/>
        </w:rPr>
        <w:t>D</w:t>
      </w:r>
      <w:r w:rsidRPr="00304D99" w:rsidR="00304D99">
        <w:rPr>
          <w:i/>
          <w:iCs/>
          <w:color w:val="000000"/>
          <w:sz w:val="20"/>
        </w:rPr>
        <w:t>elta Communications, L.L.C. to NewCo</w:t>
      </w:r>
      <w:r w:rsidR="00304D99">
        <w:rPr>
          <w:color w:val="000000"/>
          <w:sz w:val="20"/>
        </w:rPr>
        <w:t>, WC Docket No. 21-431, Public Notice, DA 21-1445</w:t>
      </w:r>
      <w:r w:rsidR="004D0F3C">
        <w:rPr>
          <w:color w:val="000000"/>
          <w:sz w:val="20"/>
        </w:rPr>
        <w:t>, at 2, n.4</w:t>
      </w:r>
      <w:r w:rsidR="00304D99">
        <w:rPr>
          <w:color w:val="000000"/>
          <w:sz w:val="20"/>
        </w:rPr>
        <w:t xml:space="preserve"> (WCB 2021); </w:t>
      </w:r>
      <w:r w:rsidR="00A356A9">
        <w:rPr>
          <w:i/>
          <w:iCs/>
          <w:color w:val="000000"/>
          <w:sz w:val="20"/>
        </w:rPr>
        <w:t xml:space="preserve">Rural Digital Opportunity Fund Support For 7,608 Winning Bids Ready To Be Authorized; Bid Defaults Announced, </w:t>
      </w:r>
      <w:r w:rsidR="00A356A9">
        <w:rPr>
          <w:color w:val="000000"/>
          <w:sz w:val="20"/>
        </w:rPr>
        <w:t>AU Docket No. 20-34, WC Docket No. 19-126</w:t>
      </w:r>
      <w:r w:rsidR="003B45B5">
        <w:rPr>
          <w:color w:val="000000"/>
          <w:sz w:val="20"/>
        </w:rPr>
        <w:t xml:space="preserve">, WC Docket No. 10-90, </w:t>
      </w:r>
      <w:r w:rsidR="00A356A9">
        <w:rPr>
          <w:iCs/>
          <w:color w:val="000000"/>
          <w:sz w:val="20"/>
        </w:rPr>
        <w:t>Public Notice, DA 21-1582</w:t>
      </w:r>
      <w:r w:rsidR="004D0F3C">
        <w:rPr>
          <w:iCs/>
          <w:color w:val="000000"/>
          <w:sz w:val="20"/>
        </w:rPr>
        <w:t>,</w:t>
      </w:r>
      <w:r w:rsidR="003B45B5">
        <w:rPr>
          <w:iCs/>
          <w:color w:val="000000"/>
          <w:sz w:val="20"/>
        </w:rPr>
        <w:t xml:space="preserve"> </w:t>
      </w:r>
      <w:r w:rsidR="005E008D">
        <w:rPr>
          <w:iCs/>
          <w:color w:val="000000"/>
          <w:sz w:val="20"/>
        </w:rPr>
        <w:t xml:space="preserve">at 5-6 </w:t>
      </w:r>
      <w:r w:rsidR="00304D99">
        <w:rPr>
          <w:iCs/>
          <w:color w:val="000000"/>
          <w:sz w:val="20"/>
        </w:rPr>
        <w:t xml:space="preserve">and Attach B (Bids in Default) </w:t>
      </w:r>
      <w:r w:rsidR="003B45B5">
        <w:rPr>
          <w:iCs/>
          <w:color w:val="000000"/>
          <w:sz w:val="20"/>
        </w:rPr>
        <w:t>(</w:t>
      </w:r>
      <w:r w:rsidR="00A94572">
        <w:t xml:space="preserve">WCB/OEA </w:t>
      </w:r>
      <w:r w:rsidR="003B45B5">
        <w:rPr>
          <w:iCs/>
          <w:color w:val="000000"/>
          <w:sz w:val="20"/>
        </w:rPr>
        <w:t>rel. Dec. 16, 2021).</w:t>
      </w:r>
      <w:r w:rsidR="00E67D91">
        <w:rPr>
          <w:iCs/>
          <w:color w:val="000000"/>
          <w:sz w:val="20"/>
        </w:rPr>
        <w:t xml:space="preserve">  </w:t>
      </w:r>
      <w:r w:rsidRPr="00B20CB0" w:rsidR="00E67D91">
        <w:rPr>
          <w:sz w:val="20"/>
        </w:rPr>
        <w:t>Any action on this domestic section 214 application is without prejudice to Commission action on other pending applications</w:t>
      </w:r>
      <w:r w:rsidR="00E67D91">
        <w:rPr>
          <w:sz w:val="20"/>
        </w:rPr>
        <w:t xml:space="preserve"> or petitions</w:t>
      </w:r>
      <w:r w:rsidRPr="00B20CB0" w:rsidR="00E67D91">
        <w:rPr>
          <w:bCs/>
          <w:sz w:val="20"/>
        </w:rPr>
        <w:t>.</w:t>
      </w:r>
    </w:p>
  </w:footnote>
  <w:footnote w:id="4">
    <w:p w:rsidR="008042EC" w:rsidP="008042EC" w14:paraId="7DA8CA03" w14:textId="17C22770">
      <w:pPr>
        <w:pStyle w:val="FootnoteText"/>
      </w:pPr>
      <w:r w:rsidRPr="00CC1FB2">
        <w:rPr>
          <w:rStyle w:val="FootnoteReference"/>
          <w:color w:val="000000"/>
          <w:sz w:val="20"/>
        </w:rPr>
        <w:footnoteRef/>
      </w:r>
      <w:r w:rsidRPr="00CC1FB2">
        <w:rPr>
          <w:color w:val="000000"/>
          <w:sz w:val="20"/>
        </w:rPr>
        <w:t xml:space="preserve"> </w:t>
      </w:r>
      <w:r w:rsidR="004D0F3C">
        <w:rPr>
          <w:i/>
          <w:color w:val="000000"/>
          <w:sz w:val="20"/>
        </w:rPr>
        <w:t>S</w:t>
      </w:r>
      <w:r w:rsidRPr="00CC1FB2">
        <w:rPr>
          <w:i/>
          <w:color w:val="000000"/>
          <w:sz w:val="20"/>
        </w:rPr>
        <w:t>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C86"/>
    <w:rsid w:val="0001135F"/>
    <w:rsid w:val="000113A2"/>
    <w:rsid w:val="0001280D"/>
    <w:rsid w:val="00017A3A"/>
    <w:rsid w:val="00040610"/>
    <w:rsid w:val="00041C01"/>
    <w:rsid w:val="000452C4"/>
    <w:rsid w:val="0005236E"/>
    <w:rsid w:val="000534AC"/>
    <w:rsid w:val="00066D12"/>
    <w:rsid w:val="00070D65"/>
    <w:rsid w:val="00071BB6"/>
    <w:rsid w:val="000735C8"/>
    <w:rsid w:val="0008381D"/>
    <w:rsid w:val="00087205"/>
    <w:rsid w:val="000B4EDD"/>
    <w:rsid w:val="000B66D9"/>
    <w:rsid w:val="000D1A69"/>
    <w:rsid w:val="000D62AD"/>
    <w:rsid w:val="000F02F7"/>
    <w:rsid w:val="00101D0B"/>
    <w:rsid w:val="0013405D"/>
    <w:rsid w:val="001356E5"/>
    <w:rsid w:val="00140081"/>
    <w:rsid w:val="0014099A"/>
    <w:rsid w:val="00141388"/>
    <w:rsid w:val="00145575"/>
    <w:rsid w:val="00150FBE"/>
    <w:rsid w:val="0015217F"/>
    <w:rsid w:val="0016394A"/>
    <w:rsid w:val="00177F12"/>
    <w:rsid w:val="001940F4"/>
    <w:rsid w:val="001A3813"/>
    <w:rsid w:val="001B69F9"/>
    <w:rsid w:val="001C2A13"/>
    <w:rsid w:val="001C4E34"/>
    <w:rsid w:val="001C5BDA"/>
    <w:rsid w:val="001F1E04"/>
    <w:rsid w:val="001F6762"/>
    <w:rsid w:val="0022449B"/>
    <w:rsid w:val="00242594"/>
    <w:rsid w:val="002519DF"/>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4D99"/>
    <w:rsid w:val="003064D6"/>
    <w:rsid w:val="0030742E"/>
    <w:rsid w:val="00322546"/>
    <w:rsid w:val="00346293"/>
    <w:rsid w:val="00353CB5"/>
    <w:rsid w:val="00365194"/>
    <w:rsid w:val="00367255"/>
    <w:rsid w:val="00376464"/>
    <w:rsid w:val="003855A0"/>
    <w:rsid w:val="00386FFF"/>
    <w:rsid w:val="003921C1"/>
    <w:rsid w:val="003945C4"/>
    <w:rsid w:val="00395A7A"/>
    <w:rsid w:val="003A18A0"/>
    <w:rsid w:val="003A443A"/>
    <w:rsid w:val="003B45B5"/>
    <w:rsid w:val="003B5CEE"/>
    <w:rsid w:val="003B786E"/>
    <w:rsid w:val="003C31D9"/>
    <w:rsid w:val="003F0ECD"/>
    <w:rsid w:val="003F311D"/>
    <w:rsid w:val="00402529"/>
    <w:rsid w:val="004077D0"/>
    <w:rsid w:val="00412DA6"/>
    <w:rsid w:val="004156F7"/>
    <w:rsid w:val="004175D7"/>
    <w:rsid w:val="00421301"/>
    <w:rsid w:val="004331D7"/>
    <w:rsid w:val="00433D8C"/>
    <w:rsid w:val="00434C96"/>
    <w:rsid w:val="004470A5"/>
    <w:rsid w:val="00450EEF"/>
    <w:rsid w:val="00460914"/>
    <w:rsid w:val="004609A4"/>
    <w:rsid w:val="00464E8A"/>
    <w:rsid w:val="00475BB6"/>
    <w:rsid w:val="004808FC"/>
    <w:rsid w:val="00482EB0"/>
    <w:rsid w:val="004913FF"/>
    <w:rsid w:val="004951AE"/>
    <w:rsid w:val="004A554E"/>
    <w:rsid w:val="004B7FB2"/>
    <w:rsid w:val="004C3AB0"/>
    <w:rsid w:val="004C5C4F"/>
    <w:rsid w:val="004C712F"/>
    <w:rsid w:val="004D0F3C"/>
    <w:rsid w:val="004D6066"/>
    <w:rsid w:val="004E18D4"/>
    <w:rsid w:val="004F3603"/>
    <w:rsid w:val="004F6F64"/>
    <w:rsid w:val="00502D96"/>
    <w:rsid w:val="00511202"/>
    <w:rsid w:val="005128D4"/>
    <w:rsid w:val="00522749"/>
    <w:rsid w:val="0052334B"/>
    <w:rsid w:val="005243E7"/>
    <w:rsid w:val="005320B5"/>
    <w:rsid w:val="00547A0D"/>
    <w:rsid w:val="0056058F"/>
    <w:rsid w:val="005932BA"/>
    <w:rsid w:val="005A13D0"/>
    <w:rsid w:val="005A64A7"/>
    <w:rsid w:val="005C403A"/>
    <w:rsid w:val="005C51CE"/>
    <w:rsid w:val="005D7355"/>
    <w:rsid w:val="005E008D"/>
    <w:rsid w:val="0060024C"/>
    <w:rsid w:val="0060105E"/>
    <w:rsid w:val="0060106A"/>
    <w:rsid w:val="00604A3C"/>
    <w:rsid w:val="00604CFF"/>
    <w:rsid w:val="0061137C"/>
    <w:rsid w:val="00616221"/>
    <w:rsid w:val="006768CC"/>
    <w:rsid w:val="00691832"/>
    <w:rsid w:val="006B39BA"/>
    <w:rsid w:val="006B5C06"/>
    <w:rsid w:val="006B662C"/>
    <w:rsid w:val="006C32C8"/>
    <w:rsid w:val="006C32D6"/>
    <w:rsid w:val="006C591C"/>
    <w:rsid w:val="006E155C"/>
    <w:rsid w:val="006E3E11"/>
    <w:rsid w:val="006E5144"/>
    <w:rsid w:val="006E61ED"/>
    <w:rsid w:val="006E7452"/>
    <w:rsid w:val="006F4D60"/>
    <w:rsid w:val="00706D49"/>
    <w:rsid w:val="0071041E"/>
    <w:rsid w:val="00724722"/>
    <w:rsid w:val="00727E3E"/>
    <w:rsid w:val="00731C05"/>
    <w:rsid w:val="00733B9B"/>
    <w:rsid w:val="007569C5"/>
    <w:rsid w:val="00760269"/>
    <w:rsid w:val="00780F55"/>
    <w:rsid w:val="007942ED"/>
    <w:rsid w:val="007A43BD"/>
    <w:rsid w:val="007A56E2"/>
    <w:rsid w:val="007B2C2E"/>
    <w:rsid w:val="007B47A9"/>
    <w:rsid w:val="007C263F"/>
    <w:rsid w:val="007C30DA"/>
    <w:rsid w:val="007E5753"/>
    <w:rsid w:val="007E5FC3"/>
    <w:rsid w:val="007F7CA2"/>
    <w:rsid w:val="008042EC"/>
    <w:rsid w:val="00810DFF"/>
    <w:rsid w:val="00811ECF"/>
    <w:rsid w:val="00813C6D"/>
    <w:rsid w:val="0081509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A6CCF"/>
    <w:rsid w:val="009B0128"/>
    <w:rsid w:val="009B6797"/>
    <w:rsid w:val="009C3EC2"/>
    <w:rsid w:val="009E6916"/>
    <w:rsid w:val="00A11865"/>
    <w:rsid w:val="00A11F81"/>
    <w:rsid w:val="00A15248"/>
    <w:rsid w:val="00A172F6"/>
    <w:rsid w:val="00A2021A"/>
    <w:rsid w:val="00A233A3"/>
    <w:rsid w:val="00A23E00"/>
    <w:rsid w:val="00A25C41"/>
    <w:rsid w:val="00A26488"/>
    <w:rsid w:val="00A26ADD"/>
    <w:rsid w:val="00A34A3D"/>
    <w:rsid w:val="00A356A9"/>
    <w:rsid w:val="00A43AED"/>
    <w:rsid w:val="00A47815"/>
    <w:rsid w:val="00A55F2F"/>
    <w:rsid w:val="00A569E4"/>
    <w:rsid w:val="00A61D2B"/>
    <w:rsid w:val="00A64040"/>
    <w:rsid w:val="00A9279F"/>
    <w:rsid w:val="00A92C9E"/>
    <w:rsid w:val="00A94572"/>
    <w:rsid w:val="00AB7DD7"/>
    <w:rsid w:val="00AC412B"/>
    <w:rsid w:val="00AC4928"/>
    <w:rsid w:val="00AC6A56"/>
    <w:rsid w:val="00AD0360"/>
    <w:rsid w:val="00AD3DC9"/>
    <w:rsid w:val="00AD440B"/>
    <w:rsid w:val="00AE4EB4"/>
    <w:rsid w:val="00B00CBF"/>
    <w:rsid w:val="00B02CE4"/>
    <w:rsid w:val="00B20CB0"/>
    <w:rsid w:val="00B25A68"/>
    <w:rsid w:val="00B27435"/>
    <w:rsid w:val="00B335D6"/>
    <w:rsid w:val="00B55A93"/>
    <w:rsid w:val="00B605DD"/>
    <w:rsid w:val="00B66193"/>
    <w:rsid w:val="00B66987"/>
    <w:rsid w:val="00B73AED"/>
    <w:rsid w:val="00B908C9"/>
    <w:rsid w:val="00B958E7"/>
    <w:rsid w:val="00BA0202"/>
    <w:rsid w:val="00BB1D1A"/>
    <w:rsid w:val="00BB417E"/>
    <w:rsid w:val="00BC7555"/>
    <w:rsid w:val="00BF0B00"/>
    <w:rsid w:val="00BF19D0"/>
    <w:rsid w:val="00C0765C"/>
    <w:rsid w:val="00C07680"/>
    <w:rsid w:val="00C117C2"/>
    <w:rsid w:val="00C32EC5"/>
    <w:rsid w:val="00C42F8A"/>
    <w:rsid w:val="00C46828"/>
    <w:rsid w:val="00C53B04"/>
    <w:rsid w:val="00C53E5E"/>
    <w:rsid w:val="00C612FD"/>
    <w:rsid w:val="00C71A2E"/>
    <w:rsid w:val="00C749BC"/>
    <w:rsid w:val="00C75124"/>
    <w:rsid w:val="00C75DF3"/>
    <w:rsid w:val="00C82D34"/>
    <w:rsid w:val="00C8663D"/>
    <w:rsid w:val="00CA3252"/>
    <w:rsid w:val="00CB08EA"/>
    <w:rsid w:val="00CB6E72"/>
    <w:rsid w:val="00CC1FB2"/>
    <w:rsid w:val="00CC2C01"/>
    <w:rsid w:val="00CD0AA5"/>
    <w:rsid w:val="00CE03DE"/>
    <w:rsid w:val="00CE235B"/>
    <w:rsid w:val="00CE26CC"/>
    <w:rsid w:val="00CE49B4"/>
    <w:rsid w:val="00CE7F62"/>
    <w:rsid w:val="00D024AA"/>
    <w:rsid w:val="00D04DB0"/>
    <w:rsid w:val="00D111DF"/>
    <w:rsid w:val="00D11786"/>
    <w:rsid w:val="00D252B2"/>
    <w:rsid w:val="00D30DAA"/>
    <w:rsid w:val="00D3174C"/>
    <w:rsid w:val="00D702F3"/>
    <w:rsid w:val="00D83C8D"/>
    <w:rsid w:val="00D95821"/>
    <w:rsid w:val="00DA493F"/>
    <w:rsid w:val="00DB48D5"/>
    <w:rsid w:val="00DB59FD"/>
    <w:rsid w:val="00DC2D34"/>
    <w:rsid w:val="00DD0968"/>
    <w:rsid w:val="00DE3E77"/>
    <w:rsid w:val="00DF1AD9"/>
    <w:rsid w:val="00DF79F3"/>
    <w:rsid w:val="00E45D2D"/>
    <w:rsid w:val="00E54722"/>
    <w:rsid w:val="00E55A96"/>
    <w:rsid w:val="00E67D91"/>
    <w:rsid w:val="00E7033D"/>
    <w:rsid w:val="00E714D1"/>
    <w:rsid w:val="00E90A56"/>
    <w:rsid w:val="00EA268B"/>
    <w:rsid w:val="00EB2E3F"/>
    <w:rsid w:val="00EB4580"/>
    <w:rsid w:val="00EC0FDA"/>
    <w:rsid w:val="00EC3BF9"/>
    <w:rsid w:val="00EC3CCE"/>
    <w:rsid w:val="00ED40B2"/>
    <w:rsid w:val="00EE37C8"/>
    <w:rsid w:val="00EE3821"/>
    <w:rsid w:val="00EF0395"/>
    <w:rsid w:val="00F026BA"/>
    <w:rsid w:val="00F04273"/>
    <w:rsid w:val="00F05755"/>
    <w:rsid w:val="00F07E24"/>
    <w:rsid w:val="00F107E6"/>
    <w:rsid w:val="00F21B45"/>
    <w:rsid w:val="00F25C6B"/>
    <w:rsid w:val="00F3092F"/>
    <w:rsid w:val="00F5717B"/>
    <w:rsid w:val="00F65523"/>
    <w:rsid w:val="00F700CA"/>
    <w:rsid w:val="00F850B7"/>
    <w:rsid w:val="00F9021F"/>
    <w:rsid w:val="00FA546C"/>
    <w:rsid w:val="00FB729A"/>
    <w:rsid w:val="00FB7B8E"/>
    <w:rsid w:val="00FC3E30"/>
    <w:rsid w:val="00FC6CBD"/>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