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65F01" w14:paraId="5B60796A" w14:textId="77777777">
      <w:pPr>
        <w:jc w:val="right"/>
        <w:rPr>
          <w:b/>
          <w:sz w:val="24"/>
        </w:rPr>
      </w:pPr>
    </w:p>
    <w:p w:rsidR="00565F01" w14:paraId="1F1EB339" w14:textId="45D4DB6E">
      <w:pPr>
        <w:jc w:val="right"/>
        <w:rPr>
          <w:b/>
          <w:szCs w:val="22"/>
        </w:rPr>
      </w:pPr>
      <w:r>
        <w:rPr>
          <w:b/>
          <w:szCs w:val="22"/>
        </w:rPr>
        <w:t>DA 21-</w:t>
      </w:r>
      <w:r w:rsidR="00724C6D">
        <w:rPr>
          <w:b/>
          <w:szCs w:val="22"/>
        </w:rPr>
        <w:t>1610</w:t>
      </w:r>
    </w:p>
    <w:p w:rsidR="00565F01" w14:paraId="77CE51C5" w14:textId="4E04D582">
      <w:pPr>
        <w:spacing w:before="60"/>
        <w:jc w:val="right"/>
        <w:rPr>
          <w:b/>
          <w:szCs w:val="22"/>
        </w:rPr>
      </w:pPr>
      <w:r>
        <w:rPr>
          <w:b/>
          <w:szCs w:val="22"/>
        </w:rPr>
        <w:t xml:space="preserve">Released:  </w:t>
      </w:r>
      <w:r w:rsidR="000F1BA3">
        <w:rPr>
          <w:b/>
          <w:szCs w:val="22"/>
        </w:rPr>
        <w:t>December 20, 2021</w:t>
      </w:r>
    </w:p>
    <w:p w:rsidR="00565F01" w14:paraId="4123D805" w14:textId="77777777">
      <w:pPr>
        <w:jc w:val="right"/>
        <w:rPr>
          <w:szCs w:val="22"/>
        </w:rPr>
      </w:pPr>
    </w:p>
    <w:p w:rsidR="003E2DF9" w:rsidP="000F1BA3" w14:paraId="6F4ED4EA" w14:textId="77777777">
      <w:pPr>
        <w:jc w:val="center"/>
        <w:rPr>
          <w:b/>
          <w:szCs w:val="22"/>
        </w:rPr>
      </w:pPr>
      <w:r>
        <w:rPr>
          <w:b/>
          <w:szCs w:val="22"/>
        </w:rPr>
        <w:t xml:space="preserve">MEDIA BUREAU SEEKS COMMENT ON </w:t>
      </w:r>
      <w:r w:rsidR="003F17CC">
        <w:rPr>
          <w:b/>
          <w:szCs w:val="22"/>
        </w:rPr>
        <w:t>IMPLEMENTATION</w:t>
      </w:r>
      <w:r>
        <w:rPr>
          <w:b/>
          <w:szCs w:val="22"/>
        </w:rPr>
        <w:t xml:space="preserve"> OF </w:t>
      </w:r>
    </w:p>
    <w:p w:rsidR="00DB1F75" w:rsidP="003E2DF9" w14:paraId="17230F8F" w14:textId="3E4B06F9">
      <w:pPr>
        <w:jc w:val="center"/>
        <w:rPr>
          <w:b/>
          <w:szCs w:val="22"/>
        </w:rPr>
      </w:pPr>
      <w:r>
        <w:rPr>
          <w:b/>
          <w:szCs w:val="22"/>
        </w:rPr>
        <w:t>THE TELEVISION VIEWER PROTECTION ACT OF 2019</w:t>
      </w:r>
    </w:p>
    <w:p w:rsidR="003E2DF9" w:rsidRPr="000F1BA3" w:rsidP="000F1BA3" w14:paraId="5F5762EF" w14:textId="77777777">
      <w:pPr>
        <w:jc w:val="center"/>
        <w:rPr>
          <w:b/>
          <w:szCs w:val="22"/>
        </w:rPr>
      </w:pPr>
    </w:p>
    <w:p w:rsidR="00565F01" w14:paraId="3718AF53" w14:textId="614C8BE6">
      <w:pPr>
        <w:jc w:val="center"/>
        <w:rPr>
          <w:b/>
          <w:szCs w:val="22"/>
        </w:rPr>
      </w:pPr>
      <w:r>
        <w:rPr>
          <w:b/>
          <w:szCs w:val="22"/>
        </w:rPr>
        <w:t xml:space="preserve">MB Docket No. </w:t>
      </w:r>
      <w:r w:rsidR="00412713">
        <w:rPr>
          <w:b/>
          <w:szCs w:val="22"/>
        </w:rPr>
        <w:t>21-</w:t>
      </w:r>
      <w:r w:rsidR="00436256">
        <w:rPr>
          <w:b/>
          <w:szCs w:val="22"/>
        </w:rPr>
        <w:t>501</w:t>
      </w:r>
      <w:r>
        <w:rPr>
          <w:b/>
          <w:szCs w:val="22"/>
        </w:rPr>
        <w:t xml:space="preserve"> </w:t>
      </w:r>
    </w:p>
    <w:p w:rsidR="00565F01" w14:paraId="490ADCD7" w14:textId="77777777">
      <w:pPr>
        <w:jc w:val="center"/>
        <w:rPr>
          <w:b/>
          <w:szCs w:val="22"/>
        </w:rPr>
      </w:pPr>
    </w:p>
    <w:p w:rsidR="00565F01" w14:paraId="40C70E34" w14:textId="4D393E03">
      <w:pPr>
        <w:rPr>
          <w:b/>
          <w:szCs w:val="22"/>
        </w:rPr>
      </w:pPr>
      <w:r>
        <w:rPr>
          <w:b/>
          <w:szCs w:val="22"/>
        </w:rPr>
        <w:t xml:space="preserve">Comments Due:  </w:t>
      </w:r>
      <w:r w:rsidR="002C0380">
        <w:rPr>
          <w:b/>
          <w:szCs w:val="22"/>
        </w:rPr>
        <w:t>February 3, 2022</w:t>
      </w:r>
    </w:p>
    <w:p w:rsidR="00565F01" w14:paraId="2F78C286" w14:textId="086E0395">
      <w:pPr>
        <w:rPr>
          <w:b/>
          <w:szCs w:val="22"/>
        </w:rPr>
      </w:pPr>
      <w:r>
        <w:rPr>
          <w:b/>
          <w:szCs w:val="22"/>
        </w:rPr>
        <w:t xml:space="preserve">Reply Comments Due:  </w:t>
      </w:r>
      <w:r w:rsidR="002C0380">
        <w:rPr>
          <w:b/>
          <w:szCs w:val="22"/>
        </w:rPr>
        <w:t>March 7, 2022</w:t>
      </w:r>
    </w:p>
    <w:p w:rsidR="00565F01" w:rsidRPr="008E7940" w14:paraId="46CB5C28" w14:textId="77777777">
      <w:pPr>
        <w:rPr>
          <w:b/>
          <w:szCs w:val="22"/>
        </w:rPr>
      </w:pPr>
    </w:p>
    <w:p w:rsidR="00416A46" w:rsidP="008E7940" w14:paraId="029B3D55" w14:textId="28F0B2E0">
      <w:pPr>
        <w:pStyle w:val="HTMLPreformatted"/>
        <w:shd w:val="clear" w:color="auto" w:fill="FFFFFF"/>
        <w:ind w:firstLine="720"/>
        <w:rPr>
          <w:rFonts w:ascii="Times New Roman" w:hAnsi="Times New Roman"/>
          <w:sz w:val="22"/>
          <w:szCs w:val="22"/>
        </w:rPr>
      </w:pPr>
      <w:r w:rsidRPr="008E7940">
        <w:rPr>
          <w:rFonts w:ascii="Times New Roman" w:hAnsi="Times New Roman"/>
          <w:sz w:val="22"/>
          <w:szCs w:val="22"/>
        </w:rPr>
        <w:t xml:space="preserve">Through this Public Notice, we invite comment from </w:t>
      </w:r>
      <w:r w:rsidR="00BE20C1">
        <w:rPr>
          <w:rFonts w:ascii="Times New Roman" w:hAnsi="Times New Roman"/>
          <w:sz w:val="22"/>
          <w:szCs w:val="22"/>
        </w:rPr>
        <w:t>interested parties</w:t>
      </w:r>
      <w:r w:rsidRPr="008E7940">
        <w:rPr>
          <w:rFonts w:ascii="Times New Roman" w:hAnsi="Times New Roman"/>
          <w:sz w:val="22"/>
          <w:szCs w:val="22"/>
        </w:rPr>
        <w:t xml:space="preserve"> on </w:t>
      </w:r>
      <w:r w:rsidR="00911856">
        <w:rPr>
          <w:rFonts w:ascii="Times New Roman" w:hAnsi="Times New Roman"/>
          <w:sz w:val="22"/>
          <w:szCs w:val="22"/>
        </w:rPr>
        <w:t xml:space="preserve">the status of </w:t>
      </w:r>
      <w:r w:rsidRPr="008E7940" w:rsidR="00FE7238">
        <w:rPr>
          <w:rFonts w:ascii="Times New Roman" w:hAnsi="Times New Roman"/>
          <w:sz w:val="22"/>
          <w:szCs w:val="22"/>
        </w:rPr>
        <w:t xml:space="preserve">implementation </w:t>
      </w:r>
      <w:r w:rsidRPr="008E7940" w:rsidR="00D05681">
        <w:rPr>
          <w:rFonts w:ascii="Times New Roman" w:hAnsi="Times New Roman"/>
          <w:sz w:val="22"/>
          <w:szCs w:val="22"/>
        </w:rPr>
        <w:t>of</w:t>
      </w:r>
      <w:r w:rsidR="004D5EDE">
        <w:rPr>
          <w:rFonts w:ascii="Times New Roman" w:hAnsi="Times New Roman"/>
          <w:sz w:val="22"/>
          <w:szCs w:val="22"/>
        </w:rPr>
        <w:t xml:space="preserve"> </w:t>
      </w:r>
      <w:bookmarkStart w:id="0" w:name="_Hlk90290597"/>
      <w:r w:rsidRPr="008E7940" w:rsidR="00FE7238">
        <w:rPr>
          <w:rFonts w:ascii="Times New Roman" w:hAnsi="Times New Roman" w:eastAsiaTheme="minorHAnsi"/>
          <w:snapToGrid/>
          <w:kern w:val="0"/>
          <w:sz w:val="22"/>
          <w:szCs w:val="22"/>
        </w:rPr>
        <w:t xml:space="preserve">the </w:t>
      </w:r>
      <w:bookmarkStart w:id="1" w:name="_Hlk90220069"/>
      <w:r w:rsidRPr="008E7940" w:rsidR="00FE7238">
        <w:rPr>
          <w:rFonts w:ascii="Times New Roman" w:hAnsi="Times New Roman" w:eastAsiaTheme="minorHAnsi"/>
          <w:snapToGrid/>
          <w:kern w:val="0"/>
          <w:sz w:val="22"/>
          <w:szCs w:val="22"/>
        </w:rPr>
        <w:t>Television Viewer Protection Act of 2019 (TVPA)</w:t>
      </w:r>
      <w:bookmarkEnd w:id="1"/>
      <w:r w:rsidR="00B54F58">
        <w:rPr>
          <w:rFonts w:ascii="Times New Roman" w:hAnsi="Times New Roman" w:eastAsiaTheme="minorHAnsi"/>
          <w:snapToGrid/>
          <w:kern w:val="0"/>
          <w:sz w:val="22"/>
          <w:szCs w:val="22"/>
        </w:rPr>
        <w:t xml:space="preserve">.  The TVPA is </w:t>
      </w:r>
      <w:r w:rsidR="00EE17C9">
        <w:rPr>
          <w:rFonts w:ascii="Times New Roman" w:hAnsi="Times New Roman"/>
          <w:sz w:val="22"/>
          <w:szCs w:val="22"/>
        </w:rPr>
        <w:t xml:space="preserve">the latest in a series of </w:t>
      </w:r>
      <w:r w:rsidR="00475016">
        <w:rPr>
          <w:rFonts w:ascii="Times New Roman" w:hAnsi="Times New Roman"/>
          <w:sz w:val="22"/>
          <w:szCs w:val="22"/>
        </w:rPr>
        <w:t xml:space="preserve">Congressional actions </w:t>
      </w:r>
      <w:r w:rsidR="00EE17C9">
        <w:rPr>
          <w:rFonts w:ascii="Times New Roman" w:hAnsi="Times New Roman"/>
          <w:sz w:val="22"/>
          <w:szCs w:val="22"/>
        </w:rPr>
        <w:t>that have revised the</w:t>
      </w:r>
      <w:r w:rsidR="005E3BD4">
        <w:rPr>
          <w:rFonts w:ascii="Times New Roman" w:hAnsi="Times New Roman"/>
          <w:sz w:val="22"/>
          <w:szCs w:val="22"/>
        </w:rPr>
        <w:t xml:space="preserve"> Communications Act of 1934, as amended (the Act)</w:t>
      </w:r>
      <w:r w:rsidR="00FA44C3">
        <w:rPr>
          <w:rFonts w:ascii="Times New Roman" w:hAnsi="Times New Roman"/>
          <w:sz w:val="22"/>
          <w:szCs w:val="22"/>
        </w:rPr>
        <w:t>,</w:t>
      </w:r>
      <w:r w:rsidR="00EE17C9">
        <w:rPr>
          <w:rFonts w:ascii="Times New Roman" w:hAnsi="Times New Roman"/>
          <w:sz w:val="22"/>
          <w:szCs w:val="22"/>
        </w:rPr>
        <w:t xml:space="preserve"> to </w:t>
      </w:r>
      <w:r w:rsidR="008A1EDE">
        <w:rPr>
          <w:rFonts w:ascii="Times New Roman" w:hAnsi="Times New Roman"/>
          <w:sz w:val="22"/>
          <w:szCs w:val="22"/>
        </w:rPr>
        <w:t xml:space="preserve">encourage competition and </w:t>
      </w:r>
      <w:r w:rsidR="00EE17C9">
        <w:rPr>
          <w:rFonts w:ascii="Times New Roman" w:hAnsi="Times New Roman"/>
          <w:sz w:val="22"/>
          <w:szCs w:val="22"/>
        </w:rPr>
        <w:t xml:space="preserve">establish parameters for the carriage of television broadcast stations by </w:t>
      </w:r>
      <w:r w:rsidR="005660CE">
        <w:rPr>
          <w:rFonts w:ascii="Times New Roman" w:hAnsi="Times New Roman"/>
          <w:sz w:val="22"/>
          <w:szCs w:val="22"/>
        </w:rPr>
        <w:t>multichannel video programming distributors (MVPDs)</w:t>
      </w:r>
      <w:r w:rsidR="00D80B65">
        <w:rPr>
          <w:rFonts w:ascii="Times New Roman" w:hAnsi="Times New Roman"/>
          <w:sz w:val="22"/>
          <w:szCs w:val="22"/>
        </w:rPr>
        <w:t>.</w:t>
      </w:r>
      <w:r>
        <w:rPr>
          <w:rFonts w:ascii="Times New Roman" w:hAnsi="Times New Roman" w:eastAsiaTheme="minorHAnsi"/>
          <w:snapToGrid/>
          <w:kern w:val="0"/>
          <w:sz w:val="22"/>
          <w:szCs w:val="22"/>
          <w:vertAlign w:val="superscript"/>
        </w:rPr>
        <w:footnoteReference w:id="3"/>
      </w:r>
      <w:r w:rsidRPr="008E7940" w:rsidR="00FE7238">
        <w:rPr>
          <w:rFonts w:ascii="Times New Roman" w:hAnsi="Times New Roman"/>
          <w:sz w:val="22"/>
          <w:szCs w:val="22"/>
        </w:rPr>
        <w:t xml:space="preserve"> </w:t>
      </w:r>
      <w:r w:rsidR="00D80B65">
        <w:rPr>
          <w:rFonts w:ascii="Times New Roman" w:hAnsi="Times New Roman"/>
          <w:sz w:val="22"/>
          <w:szCs w:val="22"/>
        </w:rPr>
        <w:t xml:space="preserve"> </w:t>
      </w:r>
      <w:bookmarkEnd w:id="0"/>
    </w:p>
    <w:p w:rsidR="00416A46" w:rsidP="008E7940" w14:paraId="188C8E58" w14:textId="77777777">
      <w:pPr>
        <w:pStyle w:val="HTMLPreformatted"/>
        <w:shd w:val="clear" w:color="auto" w:fill="FFFFFF"/>
        <w:ind w:firstLine="720"/>
        <w:rPr>
          <w:rFonts w:ascii="Times New Roman" w:hAnsi="Times New Roman"/>
          <w:sz w:val="22"/>
          <w:szCs w:val="22"/>
        </w:rPr>
      </w:pPr>
    </w:p>
    <w:p w:rsidR="007D26F0" w:rsidP="007D26F0" w14:paraId="633D7CBE" w14:textId="14E40FED">
      <w:pPr>
        <w:pStyle w:val="HTMLPreformatted"/>
        <w:shd w:val="clear" w:color="auto" w:fill="FFFFFF"/>
        <w:ind w:firstLine="720"/>
        <w:rPr>
          <w:rFonts w:ascii="Times New Roman" w:hAnsi="Times New Roman" w:eastAsiaTheme="minorHAnsi"/>
          <w:snapToGrid/>
          <w:kern w:val="0"/>
          <w:sz w:val="22"/>
          <w:szCs w:val="22"/>
        </w:rPr>
      </w:pPr>
      <w:r w:rsidRPr="005A53FA">
        <w:rPr>
          <w:rFonts w:ascii="Times New Roman" w:hAnsi="Times New Roman" w:eastAsiaTheme="minorHAnsi"/>
          <w:snapToGrid/>
          <w:kern w:val="0"/>
          <w:sz w:val="22"/>
          <w:szCs w:val="22"/>
        </w:rPr>
        <w:t xml:space="preserve">Section 642 </w:t>
      </w:r>
      <w:r w:rsidRPr="00F74F42">
        <w:rPr>
          <w:rFonts w:ascii="Times New Roman" w:hAnsi="Times New Roman" w:eastAsiaTheme="minorHAnsi"/>
          <w:snapToGrid/>
          <w:kern w:val="0"/>
          <w:sz w:val="22"/>
          <w:szCs w:val="22"/>
        </w:rPr>
        <w:t>of the Act</w:t>
      </w:r>
      <w:r w:rsidR="00535D77">
        <w:rPr>
          <w:rFonts w:ascii="Times New Roman" w:hAnsi="Times New Roman" w:eastAsiaTheme="minorHAnsi"/>
          <w:snapToGrid/>
          <w:kern w:val="0"/>
          <w:sz w:val="22"/>
          <w:szCs w:val="22"/>
        </w:rPr>
        <w:t xml:space="preserve">, </w:t>
      </w:r>
      <w:r w:rsidR="005E3BD4">
        <w:rPr>
          <w:rFonts w:ascii="Times New Roman" w:hAnsi="Times New Roman" w:eastAsiaTheme="minorHAnsi"/>
          <w:snapToGrid/>
          <w:kern w:val="0"/>
          <w:sz w:val="22"/>
          <w:szCs w:val="22"/>
        </w:rPr>
        <w:t>as added by the TVPA</w:t>
      </w:r>
      <w:r w:rsidR="00535D77">
        <w:rPr>
          <w:rFonts w:ascii="Times New Roman" w:hAnsi="Times New Roman" w:eastAsiaTheme="minorHAnsi"/>
          <w:snapToGrid/>
          <w:kern w:val="0"/>
          <w:sz w:val="22"/>
          <w:szCs w:val="22"/>
        </w:rPr>
        <w:t>,</w:t>
      </w:r>
      <w:r>
        <w:rPr>
          <w:rStyle w:val="FootnoteReference"/>
          <w:rFonts w:eastAsiaTheme="minorHAnsi"/>
          <w:snapToGrid/>
          <w:kern w:val="0"/>
          <w:szCs w:val="22"/>
        </w:rPr>
        <w:footnoteReference w:id="4"/>
      </w:r>
      <w:r w:rsidRPr="00F74F42">
        <w:rPr>
          <w:rFonts w:ascii="Times New Roman" w:hAnsi="Times New Roman" w:eastAsiaTheme="minorHAnsi"/>
          <w:snapToGrid/>
          <w:kern w:val="0"/>
          <w:sz w:val="22"/>
          <w:szCs w:val="22"/>
        </w:rPr>
        <w:t xml:space="preserve"> requires MVPDs to “give consumers a breakdown of all charges related to the MVPD’s video service” before entering into a contract with a consumer for service,</w:t>
      </w:r>
      <w:r>
        <w:rPr>
          <w:rFonts w:ascii="Times New Roman" w:hAnsi="Times New Roman" w:eastAsiaTheme="minorHAnsi"/>
          <w:snapToGrid/>
          <w:kern w:val="0"/>
          <w:sz w:val="22"/>
          <w:szCs w:val="22"/>
          <w:vertAlign w:val="superscript"/>
        </w:rPr>
        <w:footnoteReference w:id="5"/>
      </w:r>
      <w:r w:rsidRPr="005A53FA">
        <w:rPr>
          <w:rFonts w:ascii="Times New Roman" w:hAnsi="Times New Roman" w:eastAsiaTheme="minorHAnsi"/>
          <w:snapToGrid/>
          <w:kern w:val="0"/>
          <w:sz w:val="22"/>
          <w:szCs w:val="22"/>
        </w:rPr>
        <w:t xml:space="preserve"> and also gives consumers 24 hours in which to cancel such service without penalty.</w:t>
      </w:r>
      <w:r>
        <w:rPr>
          <w:rFonts w:ascii="Times New Roman" w:hAnsi="Times New Roman" w:eastAsiaTheme="minorHAnsi"/>
          <w:snapToGrid/>
          <w:kern w:val="0"/>
          <w:sz w:val="22"/>
          <w:szCs w:val="22"/>
          <w:vertAlign w:val="superscript"/>
        </w:rPr>
        <w:footnoteReference w:id="6"/>
      </w:r>
      <w:r w:rsidRPr="005A53FA">
        <w:rPr>
          <w:rFonts w:ascii="Times New Roman" w:hAnsi="Times New Roman" w:eastAsiaTheme="minorHAnsi"/>
          <w:snapToGrid/>
          <w:kern w:val="0"/>
          <w:sz w:val="22"/>
          <w:szCs w:val="22"/>
        </w:rPr>
        <w:t xml:space="preserve">  In addition, section 642 requires greater transparency in electronic bills and prohibits MVPDs and providers of fixed broadband Internet access service from charging consumers for equipment they do not provide.</w:t>
      </w:r>
      <w:r>
        <w:rPr>
          <w:rFonts w:ascii="Times New Roman" w:hAnsi="Times New Roman" w:eastAsiaTheme="minorHAnsi"/>
          <w:snapToGrid/>
          <w:kern w:val="0"/>
          <w:sz w:val="22"/>
          <w:szCs w:val="22"/>
          <w:vertAlign w:val="superscript"/>
        </w:rPr>
        <w:footnoteReference w:id="7"/>
      </w:r>
      <w:r w:rsidRPr="005A53FA">
        <w:rPr>
          <w:rFonts w:ascii="Times New Roman" w:hAnsi="Times New Roman" w:eastAsiaTheme="minorHAnsi"/>
          <w:snapToGrid/>
          <w:kern w:val="0"/>
          <w:sz w:val="22"/>
          <w:szCs w:val="22"/>
        </w:rPr>
        <w:t xml:space="preserve">  </w:t>
      </w:r>
      <w:r w:rsidRPr="005A53FA">
        <w:rPr>
          <w:rFonts w:ascii="Times New Roman" w:hAnsi="Times New Roman" w:eastAsiaTheme="minorHAnsi"/>
          <w:snapToGrid/>
          <w:kern w:val="0"/>
          <w:sz w:val="22"/>
          <w:szCs w:val="22"/>
        </w:rPr>
        <w:t>Congress enacted this provision to “</w:t>
      </w:r>
      <w:r w:rsidRPr="008A1EDE">
        <w:rPr>
          <w:rFonts w:ascii="Times New Roman" w:hAnsi="Times New Roman"/>
          <w:snapToGrid/>
          <w:kern w:val="0"/>
          <w:sz w:val="22"/>
          <w:szCs w:val="22"/>
        </w:rPr>
        <w:t>protect consumers throughout the media market and when purchasing MVPD or broadband service.”</w:t>
      </w:r>
      <w:r>
        <w:rPr>
          <w:rStyle w:val="FootnoteReference"/>
          <w:snapToGrid/>
          <w:kern w:val="0"/>
          <w:szCs w:val="22"/>
        </w:rPr>
        <w:footnoteReference w:id="8"/>
      </w:r>
      <w:r w:rsidRPr="005A53FA">
        <w:rPr>
          <w:rFonts w:ascii="Times New Roman" w:hAnsi="Times New Roman"/>
          <w:sz w:val="22"/>
          <w:szCs w:val="22"/>
        </w:rPr>
        <w:t xml:space="preserve">  </w:t>
      </w:r>
      <w:r w:rsidRPr="005A53FA">
        <w:rPr>
          <w:rFonts w:ascii="Times New Roman" w:hAnsi="Times New Roman" w:eastAsiaTheme="minorHAnsi"/>
          <w:snapToGrid/>
          <w:kern w:val="0"/>
          <w:sz w:val="22"/>
          <w:szCs w:val="22"/>
        </w:rPr>
        <w:t xml:space="preserve">Pursuant to section </w:t>
      </w:r>
      <w:r w:rsidR="00A670AD">
        <w:rPr>
          <w:rFonts w:ascii="Times New Roman" w:hAnsi="Times New Roman" w:eastAsiaTheme="minorHAnsi"/>
          <w:snapToGrid/>
          <w:kern w:val="0"/>
          <w:sz w:val="22"/>
          <w:szCs w:val="22"/>
        </w:rPr>
        <w:t>1004</w:t>
      </w:r>
      <w:r w:rsidRPr="005A53FA">
        <w:rPr>
          <w:rFonts w:ascii="Times New Roman" w:hAnsi="Times New Roman" w:eastAsiaTheme="minorHAnsi"/>
          <w:snapToGrid/>
          <w:kern w:val="0"/>
          <w:sz w:val="22"/>
          <w:szCs w:val="22"/>
        </w:rPr>
        <w:t>(b</w:t>
      </w:r>
      <w:r w:rsidRPr="008E7940">
        <w:rPr>
          <w:rFonts w:ascii="Times New Roman" w:hAnsi="Times New Roman" w:eastAsiaTheme="minorHAnsi"/>
          <w:snapToGrid/>
          <w:kern w:val="0"/>
          <w:sz w:val="22"/>
          <w:szCs w:val="22"/>
        </w:rPr>
        <w:t xml:space="preserve">) of the </w:t>
      </w:r>
      <w:r w:rsidR="00A670AD">
        <w:rPr>
          <w:rFonts w:ascii="Times New Roman" w:hAnsi="Times New Roman" w:eastAsiaTheme="minorHAnsi"/>
          <w:snapToGrid/>
          <w:kern w:val="0"/>
          <w:sz w:val="22"/>
          <w:szCs w:val="22"/>
        </w:rPr>
        <w:t>TVPA</w:t>
      </w:r>
      <w:r w:rsidRPr="008E7940">
        <w:rPr>
          <w:rFonts w:ascii="Times New Roman" w:hAnsi="Times New Roman" w:eastAsiaTheme="minorHAnsi"/>
          <w:snapToGrid/>
          <w:kern w:val="0"/>
          <w:sz w:val="22"/>
          <w:szCs w:val="22"/>
        </w:rPr>
        <w:t>,</w:t>
      </w:r>
      <w:r>
        <w:rPr>
          <w:rStyle w:val="FootnoteReference"/>
          <w:rFonts w:eastAsiaTheme="minorHAnsi"/>
          <w:snapToGrid/>
          <w:kern w:val="0"/>
          <w:szCs w:val="22"/>
        </w:rPr>
        <w:footnoteReference w:id="9"/>
      </w:r>
      <w:r w:rsidRPr="008E7940">
        <w:rPr>
          <w:rFonts w:ascii="Times New Roman" w:hAnsi="Times New Roman" w:eastAsiaTheme="minorHAnsi"/>
          <w:snapToGrid/>
          <w:kern w:val="0"/>
          <w:sz w:val="22"/>
          <w:szCs w:val="22"/>
        </w:rPr>
        <w:t xml:space="preserve"> the Media </w:t>
      </w:r>
      <w:r w:rsidRPr="008E7940">
        <w:rPr>
          <w:rFonts w:ascii="Times New Roman" w:hAnsi="Times New Roman" w:eastAsiaTheme="minorHAnsi"/>
          <w:snapToGrid/>
          <w:kern w:val="0"/>
          <w:sz w:val="22"/>
          <w:szCs w:val="22"/>
        </w:rPr>
        <w:t>Bureau in April 2020 granted a blanket six-month extension until December 20, 2020 of the effective date of section 642.</w:t>
      </w:r>
      <w:r>
        <w:rPr>
          <w:rStyle w:val="FootnoteReference"/>
          <w:rFonts w:eastAsiaTheme="minorHAnsi"/>
          <w:snapToGrid/>
          <w:kern w:val="0"/>
          <w:szCs w:val="22"/>
        </w:rPr>
        <w:footnoteReference w:id="10"/>
      </w:r>
      <w:r w:rsidRPr="008E7940">
        <w:rPr>
          <w:rFonts w:ascii="Times New Roman" w:hAnsi="Times New Roman" w:eastAsiaTheme="minorHAnsi"/>
          <w:snapToGrid/>
          <w:kern w:val="0"/>
          <w:sz w:val="22"/>
          <w:szCs w:val="22"/>
        </w:rPr>
        <w:t xml:space="preserve">  </w:t>
      </w:r>
    </w:p>
    <w:p w:rsidR="00D80B65" w:rsidP="008E7940" w14:paraId="48E76D66" w14:textId="77777777">
      <w:pPr>
        <w:pStyle w:val="HTMLPreformatted"/>
        <w:shd w:val="clear" w:color="auto" w:fill="FFFFFF"/>
        <w:ind w:firstLine="720"/>
        <w:rPr>
          <w:rFonts w:ascii="Times New Roman" w:hAnsi="Times New Roman"/>
          <w:sz w:val="22"/>
          <w:szCs w:val="22"/>
        </w:rPr>
      </w:pPr>
    </w:p>
    <w:p w:rsidR="00D80B65" w:rsidP="0054404A" w14:paraId="715CBCDD" w14:textId="57C5FC5B">
      <w:pPr>
        <w:pStyle w:val="HTMLPreformatted"/>
        <w:shd w:val="clear" w:color="auto" w:fill="FFFFFF"/>
        <w:ind w:firstLine="720"/>
        <w:rPr>
          <w:rFonts w:ascii="Times New Roman" w:hAnsi="Times New Roman" w:eastAsiaTheme="minorHAnsi"/>
          <w:snapToGrid/>
          <w:kern w:val="0"/>
          <w:sz w:val="22"/>
          <w:szCs w:val="22"/>
        </w:rPr>
      </w:pPr>
      <w:bookmarkStart w:id="3" w:name="_Hlk90232558"/>
      <w:r>
        <w:rPr>
          <w:rFonts w:ascii="Times New Roman" w:hAnsi="Times New Roman" w:eastAsiaTheme="minorHAnsi"/>
          <w:snapToGrid/>
          <w:kern w:val="0"/>
          <w:sz w:val="22"/>
          <w:szCs w:val="22"/>
        </w:rPr>
        <w:t>S</w:t>
      </w:r>
      <w:r w:rsidR="007D26F0">
        <w:rPr>
          <w:rFonts w:ascii="Times New Roman" w:hAnsi="Times New Roman"/>
          <w:sz w:val="22"/>
          <w:szCs w:val="22"/>
        </w:rPr>
        <w:t>ection 325(b)</w:t>
      </w:r>
      <w:r w:rsidRPr="00BE20C1">
        <w:rPr>
          <w:rFonts w:ascii="Times New Roman" w:hAnsi="Times New Roman"/>
          <w:sz w:val="22"/>
          <w:szCs w:val="22"/>
        </w:rPr>
        <w:t>(3)(C)(vi)</w:t>
      </w:r>
      <w:r w:rsidR="007D26F0">
        <w:rPr>
          <w:rFonts w:ascii="Times New Roman" w:hAnsi="Times New Roman"/>
          <w:sz w:val="22"/>
          <w:szCs w:val="22"/>
        </w:rPr>
        <w:t xml:space="preserve"> </w:t>
      </w:r>
      <w:bookmarkEnd w:id="3"/>
      <w:r w:rsidR="007D26F0">
        <w:rPr>
          <w:rFonts w:ascii="Times New Roman" w:hAnsi="Times New Roman"/>
          <w:sz w:val="22"/>
          <w:szCs w:val="22"/>
        </w:rPr>
        <w:t xml:space="preserve">of the </w:t>
      </w:r>
      <w:r w:rsidRPr="008E7940" w:rsidR="007D26F0">
        <w:rPr>
          <w:rFonts w:ascii="Times New Roman" w:hAnsi="Times New Roman"/>
          <w:sz w:val="22"/>
          <w:szCs w:val="22"/>
        </w:rPr>
        <w:t>Act</w:t>
      </w:r>
      <w:r w:rsidR="00A670AD">
        <w:rPr>
          <w:rFonts w:ascii="Times New Roman" w:hAnsi="Times New Roman"/>
          <w:sz w:val="22"/>
          <w:szCs w:val="22"/>
        </w:rPr>
        <w:t>, as added by the TVPA,</w:t>
      </w:r>
      <w:r w:rsidR="007D26F0">
        <w:rPr>
          <w:rFonts w:ascii="Times New Roman" w:hAnsi="Times New Roman"/>
          <w:sz w:val="22"/>
          <w:szCs w:val="22"/>
        </w:rPr>
        <w:t xml:space="preserve"> allow</w:t>
      </w:r>
      <w:r>
        <w:rPr>
          <w:rFonts w:ascii="Times New Roman" w:hAnsi="Times New Roman"/>
          <w:sz w:val="22"/>
          <w:szCs w:val="22"/>
        </w:rPr>
        <w:t>s</w:t>
      </w:r>
      <w:r w:rsidR="007D26F0">
        <w:rPr>
          <w:rFonts w:ascii="Times New Roman" w:hAnsi="Times New Roman"/>
          <w:sz w:val="22"/>
          <w:szCs w:val="22"/>
        </w:rPr>
        <w:t xml:space="preserve"> smaller MVPDs to negotiate collectively as a buying group for retransmission consent with large broadcast station groups</w:t>
      </w:r>
      <w:r w:rsidR="0054404A">
        <w:rPr>
          <w:rFonts w:ascii="Times New Roman" w:hAnsi="Times New Roman"/>
          <w:sz w:val="22"/>
          <w:szCs w:val="22"/>
        </w:rPr>
        <w:t>, and requires l</w:t>
      </w:r>
      <w:r w:rsidRPr="0054404A" w:rsidR="0054404A">
        <w:rPr>
          <w:rFonts w:ascii="Times New Roman" w:hAnsi="Times New Roman"/>
          <w:sz w:val="22"/>
          <w:szCs w:val="22"/>
        </w:rPr>
        <w:t xml:space="preserve">arge </w:t>
      </w:r>
      <w:r w:rsidR="0054404A">
        <w:rPr>
          <w:rFonts w:ascii="Times New Roman" w:hAnsi="Times New Roman"/>
          <w:sz w:val="22"/>
          <w:szCs w:val="22"/>
        </w:rPr>
        <w:t xml:space="preserve">broadcast </w:t>
      </w:r>
      <w:r w:rsidRPr="0054404A" w:rsidR="0054404A">
        <w:rPr>
          <w:rFonts w:ascii="Times New Roman" w:hAnsi="Times New Roman"/>
          <w:sz w:val="22"/>
          <w:szCs w:val="22"/>
        </w:rPr>
        <w:t>station group</w:t>
      </w:r>
      <w:r w:rsidR="0054404A">
        <w:rPr>
          <w:rFonts w:ascii="Times New Roman" w:hAnsi="Times New Roman"/>
          <w:sz w:val="22"/>
          <w:szCs w:val="22"/>
        </w:rPr>
        <w:t>s</w:t>
      </w:r>
      <w:r w:rsidRPr="0054404A" w:rsidR="0054404A">
        <w:rPr>
          <w:rFonts w:ascii="Times New Roman" w:hAnsi="Times New Roman"/>
          <w:sz w:val="22"/>
          <w:szCs w:val="22"/>
        </w:rPr>
        <w:t xml:space="preserve"> to negotiate in good faith for retransmission consent with a qualified MVPD buying group</w:t>
      </w:r>
      <w:r>
        <w:rPr>
          <w:rFonts w:ascii="Times New Roman" w:hAnsi="Times New Roman"/>
          <w:sz w:val="22"/>
          <w:szCs w:val="22"/>
        </w:rPr>
        <w:t>.</w:t>
      </w:r>
      <w:r>
        <w:rPr>
          <w:rStyle w:val="FootnoteReference"/>
          <w:szCs w:val="22"/>
        </w:rPr>
        <w:footnoteReference w:id="11"/>
      </w:r>
      <w:r>
        <w:rPr>
          <w:rFonts w:ascii="Times New Roman" w:hAnsi="Times New Roman"/>
          <w:sz w:val="22"/>
          <w:szCs w:val="22"/>
        </w:rPr>
        <w:t xml:space="preserve">  </w:t>
      </w:r>
      <w:r w:rsidR="009D1B05">
        <w:rPr>
          <w:rFonts w:ascii="Times New Roman" w:hAnsi="Times New Roman"/>
          <w:sz w:val="22"/>
          <w:szCs w:val="22"/>
        </w:rPr>
        <w:t>As</w:t>
      </w:r>
      <w:r w:rsidR="00FE41A1">
        <w:rPr>
          <w:rFonts w:ascii="Times New Roman" w:hAnsi="Times New Roman"/>
          <w:sz w:val="22"/>
          <w:szCs w:val="22"/>
        </w:rPr>
        <w:t xml:space="preserve"> required</w:t>
      </w:r>
      <w:r w:rsidR="009D1B05">
        <w:rPr>
          <w:rFonts w:ascii="Times New Roman" w:hAnsi="Times New Roman"/>
          <w:sz w:val="22"/>
          <w:szCs w:val="22"/>
        </w:rPr>
        <w:t xml:space="preserve"> by t</w:t>
      </w:r>
      <w:r>
        <w:rPr>
          <w:rFonts w:ascii="Times New Roman" w:hAnsi="Times New Roman"/>
          <w:sz w:val="22"/>
          <w:szCs w:val="22"/>
        </w:rPr>
        <w:t>he TVPA</w:t>
      </w:r>
      <w:r w:rsidRPr="00EE17C9" w:rsidR="00EE17C9">
        <w:rPr>
          <w:rFonts w:ascii="Times New Roman" w:hAnsi="Times New Roman" w:eastAsiaTheme="minorHAnsi"/>
          <w:snapToGrid/>
          <w:kern w:val="0"/>
          <w:sz w:val="22"/>
          <w:szCs w:val="22"/>
        </w:rPr>
        <w:t xml:space="preserve">, the Commission </w:t>
      </w:r>
      <w:r w:rsidR="009727C3">
        <w:rPr>
          <w:rFonts w:ascii="Times New Roman" w:hAnsi="Times New Roman" w:eastAsiaTheme="minorHAnsi"/>
          <w:snapToGrid/>
          <w:kern w:val="0"/>
          <w:sz w:val="22"/>
          <w:szCs w:val="22"/>
        </w:rPr>
        <w:t xml:space="preserve">in May 2020 </w:t>
      </w:r>
      <w:r w:rsidRPr="00EE17C9" w:rsidR="00EE17C9">
        <w:rPr>
          <w:rFonts w:ascii="Times New Roman" w:hAnsi="Times New Roman" w:eastAsiaTheme="minorHAnsi"/>
          <w:snapToGrid/>
          <w:kern w:val="0"/>
          <w:sz w:val="22"/>
          <w:szCs w:val="22"/>
        </w:rPr>
        <w:t>adopt</w:t>
      </w:r>
      <w:r w:rsidR="009D1B05">
        <w:rPr>
          <w:rFonts w:ascii="Times New Roman" w:hAnsi="Times New Roman" w:eastAsiaTheme="minorHAnsi"/>
          <w:snapToGrid/>
          <w:kern w:val="0"/>
          <w:sz w:val="22"/>
          <w:szCs w:val="22"/>
        </w:rPr>
        <w:t>ed</w:t>
      </w:r>
      <w:r w:rsidRPr="00EE17C9" w:rsidR="00EE17C9">
        <w:rPr>
          <w:rFonts w:ascii="Times New Roman" w:hAnsi="Times New Roman" w:eastAsiaTheme="minorHAnsi"/>
          <w:snapToGrid/>
          <w:kern w:val="0"/>
          <w:sz w:val="22"/>
          <w:szCs w:val="22"/>
        </w:rPr>
        <w:t xml:space="preserve"> rules provid</w:t>
      </w:r>
      <w:r w:rsidR="009D1B05">
        <w:rPr>
          <w:rFonts w:ascii="Times New Roman" w:hAnsi="Times New Roman" w:eastAsiaTheme="minorHAnsi"/>
          <w:snapToGrid/>
          <w:kern w:val="0"/>
          <w:sz w:val="22"/>
          <w:szCs w:val="22"/>
        </w:rPr>
        <w:t>ing</w:t>
      </w:r>
      <w:r w:rsidRPr="00EE17C9" w:rsidR="00EE17C9">
        <w:rPr>
          <w:rFonts w:ascii="Times New Roman" w:hAnsi="Times New Roman" w:eastAsiaTheme="minorHAnsi"/>
          <w:snapToGrid/>
          <w:kern w:val="0"/>
          <w:sz w:val="22"/>
          <w:szCs w:val="22"/>
        </w:rPr>
        <w:t xml:space="preserve"> for negotiation of retransmission consent between “qualified [MVPD] buying group[s]” and “large [broadcast] station group[s]” as those terms are defined in the </w:t>
      </w:r>
      <w:r w:rsidR="00CA1395">
        <w:rPr>
          <w:rFonts w:ascii="Times New Roman" w:hAnsi="Times New Roman" w:eastAsiaTheme="minorHAnsi"/>
          <w:snapToGrid/>
          <w:kern w:val="0"/>
          <w:sz w:val="22"/>
          <w:szCs w:val="22"/>
        </w:rPr>
        <w:t>TVPA</w:t>
      </w:r>
      <w:r w:rsidRPr="00EE17C9" w:rsidR="00EE17C9">
        <w:rPr>
          <w:rFonts w:ascii="Times New Roman" w:hAnsi="Times New Roman" w:eastAsiaTheme="minorHAnsi"/>
          <w:snapToGrid/>
          <w:kern w:val="0"/>
          <w:sz w:val="22"/>
          <w:szCs w:val="22"/>
        </w:rPr>
        <w:t>.</w:t>
      </w:r>
      <w:r>
        <w:rPr>
          <w:rStyle w:val="FootnoteReference"/>
          <w:rFonts w:eastAsiaTheme="minorHAnsi"/>
          <w:snapToGrid/>
          <w:kern w:val="0"/>
          <w:szCs w:val="22"/>
        </w:rPr>
        <w:footnoteReference w:id="12"/>
      </w:r>
      <w:r w:rsidRPr="00EE17C9" w:rsidR="00EE17C9">
        <w:rPr>
          <w:rFonts w:ascii="Times New Roman" w:hAnsi="Times New Roman" w:eastAsiaTheme="minorHAnsi"/>
          <w:snapToGrid/>
          <w:kern w:val="0"/>
          <w:sz w:val="22"/>
          <w:szCs w:val="22"/>
        </w:rPr>
        <w:t xml:space="preserve">  </w:t>
      </w:r>
      <w:r w:rsidR="009727C3">
        <w:rPr>
          <w:rFonts w:ascii="Times New Roman" w:hAnsi="Times New Roman" w:eastAsiaTheme="minorHAnsi"/>
          <w:snapToGrid/>
          <w:kern w:val="0"/>
          <w:sz w:val="22"/>
          <w:szCs w:val="22"/>
        </w:rPr>
        <w:t xml:space="preserve">In particular, the Commission adopted rules that, among other things:  </w:t>
      </w:r>
      <w:r w:rsidRPr="00EE17C9" w:rsidR="00EE17C9">
        <w:rPr>
          <w:rFonts w:ascii="Times New Roman" w:hAnsi="Times New Roman" w:eastAsiaTheme="minorHAnsi"/>
          <w:snapToGrid/>
          <w:kern w:val="0"/>
          <w:sz w:val="22"/>
          <w:szCs w:val="22"/>
        </w:rPr>
        <w:t xml:space="preserve">(i) define the term “large station group” as used in </w:t>
      </w:r>
      <w:r w:rsidR="009727C3">
        <w:rPr>
          <w:rFonts w:ascii="Times New Roman" w:hAnsi="Times New Roman" w:eastAsiaTheme="minorHAnsi"/>
          <w:snapToGrid/>
          <w:kern w:val="0"/>
          <w:sz w:val="22"/>
          <w:szCs w:val="22"/>
        </w:rPr>
        <w:t>the TVPA</w:t>
      </w:r>
      <w:r w:rsidRPr="00EE17C9" w:rsidR="00EE17C9">
        <w:rPr>
          <w:rFonts w:ascii="Times New Roman" w:hAnsi="Times New Roman" w:eastAsiaTheme="minorHAnsi"/>
          <w:snapToGrid/>
          <w:kern w:val="0"/>
          <w:sz w:val="22"/>
          <w:szCs w:val="22"/>
        </w:rPr>
        <w:t xml:space="preserve"> to mean, in relevant part, an entity whose individual television broadcast station members </w:t>
      </w:r>
      <w:r w:rsidRPr="00B91835" w:rsidR="00EE17C9">
        <w:rPr>
          <w:rFonts w:ascii="Times New Roman" w:hAnsi="Times New Roman" w:eastAsiaTheme="minorHAnsi"/>
          <w:i/>
          <w:iCs/>
          <w:snapToGrid/>
          <w:kern w:val="0"/>
          <w:sz w:val="22"/>
          <w:szCs w:val="22"/>
        </w:rPr>
        <w:t>collectively</w:t>
      </w:r>
      <w:r w:rsidRPr="00EE17C9" w:rsidR="00EE17C9">
        <w:rPr>
          <w:rFonts w:ascii="Times New Roman" w:hAnsi="Times New Roman" w:eastAsiaTheme="minorHAnsi"/>
          <w:snapToGrid/>
          <w:kern w:val="0"/>
          <w:sz w:val="22"/>
          <w:szCs w:val="22"/>
        </w:rPr>
        <w:t xml:space="preserve"> have a national audience reach of more than 20 percent;</w:t>
      </w:r>
      <w:r>
        <w:rPr>
          <w:rStyle w:val="FootnoteReference"/>
          <w:rFonts w:eastAsiaTheme="minorHAnsi"/>
          <w:snapToGrid/>
          <w:kern w:val="0"/>
          <w:szCs w:val="22"/>
        </w:rPr>
        <w:footnoteReference w:id="13"/>
      </w:r>
      <w:r w:rsidRPr="00EE17C9" w:rsidR="00EE17C9">
        <w:rPr>
          <w:rFonts w:ascii="Times New Roman" w:hAnsi="Times New Roman" w:eastAsiaTheme="minorHAnsi"/>
          <w:snapToGrid/>
          <w:kern w:val="0"/>
          <w:sz w:val="22"/>
          <w:szCs w:val="22"/>
        </w:rPr>
        <w:t xml:space="preserve"> </w:t>
      </w:r>
      <w:r w:rsidR="006115B1">
        <w:rPr>
          <w:rFonts w:ascii="Times New Roman" w:hAnsi="Times New Roman" w:eastAsiaTheme="minorHAnsi"/>
          <w:snapToGrid/>
          <w:kern w:val="0"/>
          <w:sz w:val="22"/>
          <w:szCs w:val="22"/>
        </w:rPr>
        <w:t>and</w:t>
      </w:r>
      <w:r w:rsidRPr="00EE17C9" w:rsidR="00EE17C9">
        <w:rPr>
          <w:rFonts w:ascii="Times New Roman" w:hAnsi="Times New Roman" w:eastAsiaTheme="minorHAnsi"/>
          <w:snapToGrid/>
          <w:kern w:val="0"/>
          <w:sz w:val="22"/>
          <w:szCs w:val="22"/>
        </w:rPr>
        <w:t xml:space="preserve"> (ii) define the term “qualified MVPD buying group” as used in </w:t>
      </w:r>
      <w:r w:rsidR="009727C3">
        <w:rPr>
          <w:rFonts w:ascii="Times New Roman" w:hAnsi="Times New Roman" w:eastAsiaTheme="minorHAnsi"/>
          <w:snapToGrid/>
          <w:kern w:val="0"/>
          <w:sz w:val="22"/>
          <w:szCs w:val="22"/>
        </w:rPr>
        <w:t>the TVPA</w:t>
      </w:r>
      <w:r w:rsidRPr="00EE17C9" w:rsidR="00EE17C9">
        <w:rPr>
          <w:rFonts w:ascii="Times New Roman" w:hAnsi="Times New Roman" w:eastAsiaTheme="minorHAnsi"/>
          <w:snapToGrid/>
          <w:kern w:val="0"/>
          <w:sz w:val="22"/>
          <w:szCs w:val="22"/>
        </w:rPr>
        <w:t xml:space="preserve"> to mean, in relevant part, an entity that negotiates on behalf of MVPDs that collectively serve no more than 25 percent of all households receiving service from </w:t>
      </w:r>
      <w:r w:rsidRPr="00B91835" w:rsidR="00EE17C9">
        <w:rPr>
          <w:rFonts w:ascii="Times New Roman" w:hAnsi="Times New Roman" w:eastAsiaTheme="minorHAnsi"/>
          <w:i/>
          <w:iCs/>
          <w:snapToGrid/>
          <w:kern w:val="0"/>
          <w:sz w:val="22"/>
          <w:szCs w:val="22"/>
        </w:rPr>
        <w:t>any</w:t>
      </w:r>
      <w:r w:rsidRPr="00EE17C9" w:rsidR="00EE17C9">
        <w:rPr>
          <w:rFonts w:ascii="Times New Roman" w:hAnsi="Times New Roman" w:eastAsiaTheme="minorHAnsi"/>
          <w:snapToGrid/>
          <w:kern w:val="0"/>
          <w:sz w:val="22"/>
          <w:szCs w:val="22"/>
        </w:rPr>
        <w:t xml:space="preserve"> MVPD in a given local market</w:t>
      </w:r>
      <w:r w:rsidR="009727C3">
        <w:rPr>
          <w:rFonts w:ascii="Times New Roman" w:hAnsi="Times New Roman" w:eastAsiaTheme="minorHAnsi"/>
          <w:snapToGrid/>
          <w:kern w:val="0"/>
          <w:sz w:val="22"/>
          <w:szCs w:val="22"/>
        </w:rPr>
        <w:t>.</w:t>
      </w:r>
      <w:r>
        <w:rPr>
          <w:rStyle w:val="FootnoteReference"/>
          <w:rFonts w:eastAsiaTheme="minorHAnsi"/>
          <w:snapToGrid/>
          <w:kern w:val="0"/>
          <w:szCs w:val="22"/>
        </w:rPr>
        <w:footnoteReference w:id="14"/>
      </w:r>
      <w:r w:rsidR="00F946C7">
        <w:rPr>
          <w:rFonts w:ascii="Times New Roman" w:hAnsi="Times New Roman" w:eastAsiaTheme="minorHAnsi"/>
          <w:snapToGrid/>
          <w:kern w:val="0"/>
          <w:sz w:val="22"/>
          <w:szCs w:val="22"/>
        </w:rPr>
        <w:t xml:space="preserve">  Those rules became effective on July 20, 2020.</w:t>
      </w:r>
      <w:r>
        <w:rPr>
          <w:rStyle w:val="FootnoteReference"/>
          <w:rFonts w:eastAsiaTheme="minorHAnsi"/>
          <w:snapToGrid/>
          <w:kern w:val="0"/>
          <w:szCs w:val="22"/>
        </w:rPr>
        <w:footnoteReference w:id="15"/>
      </w:r>
    </w:p>
    <w:p w:rsidR="008A1EDE" w:rsidP="008E7940" w14:paraId="0DC6702F" w14:textId="77777777">
      <w:pPr>
        <w:pStyle w:val="HTMLPreformatted"/>
        <w:shd w:val="clear" w:color="auto" w:fill="FFFFFF"/>
        <w:ind w:firstLine="720"/>
        <w:rPr>
          <w:rFonts w:ascii="Times New Roman" w:hAnsi="Times New Roman" w:eastAsiaTheme="minorHAnsi"/>
          <w:snapToGrid/>
          <w:kern w:val="0"/>
          <w:sz w:val="22"/>
          <w:szCs w:val="22"/>
        </w:rPr>
      </w:pPr>
    </w:p>
    <w:p w:rsidR="00C021C1" w:rsidP="00B10C5E" w14:paraId="10CA8555" w14:textId="77777777">
      <w:pPr>
        <w:spacing w:after="120"/>
        <w:ind w:firstLine="720"/>
        <w:rPr>
          <w:rFonts w:eastAsiaTheme="minorHAnsi"/>
          <w:snapToGrid/>
          <w:kern w:val="0"/>
          <w:szCs w:val="22"/>
        </w:rPr>
      </w:pPr>
      <w:r>
        <w:rPr>
          <w:rFonts w:eastAsiaTheme="minorHAnsi"/>
          <w:snapToGrid/>
          <w:kern w:val="0"/>
          <w:szCs w:val="22"/>
        </w:rPr>
        <w:t xml:space="preserve">Given </w:t>
      </w:r>
      <w:r w:rsidR="009206AA">
        <w:rPr>
          <w:rFonts w:eastAsiaTheme="minorHAnsi"/>
          <w:snapToGrid/>
          <w:kern w:val="0"/>
          <w:szCs w:val="22"/>
        </w:rPr>
        <w:t xml:space="preserve">that the statutory provisions and rules discussed above </w:t>
      </w:r>
      <w:r>
        <w:rPr>
          <w:rFonts w:eastAsiaTheme="minorHAnsi"/>
          <w:snapToGrid/>
          <w:kern w:val="0"/>
          <w:szCs w:val="22"/>
        </w:rPr>
        <w:t>ha</w:t>
      </w:r>
      <w:r w:rsidR="00466DD0">
        <w:rPr>
          <w:rFonts w:eastAsiaTheme="minorHAnsi"/>
          <w:snapToGrid/>
          <w:kern w:val="0"/>
          <w:szCs w:val="22"/>
        </w:rPr>
        <w:t>ve</w:t>
      </w:r>
      <w:r>
        <w:rPr>
          <w:rFonts w:eastAsiaTheme="minorHAnsi"/>
          <w:snapToGrid/>
          <w:kern w:val="0"/>
          <w:szCs w:val="22"/>
        </w:rPr>
        <w:t xml:space="preserve"> been effective for </w:t>
      </w:r>
      <w:r w:rsidR="009206AA">
        <w:rPr>
          <w:rFonts w:eastAsiaTheme="minorHAnsi"/>
          <w:snapToGrid/>
          <w:kern w:val="0"/>
          <w:szCs w:val="22"/>
        </w:rPr>
        <w:t xml:space="preserve">at least </w:t>
      </w:r>
      <w:r w:rsidRPr="007D1FE4">
        <w:rPr>
          <w:rFonts w:eastAsiaTheme="minorHAnsi"/>
          <w:snapToGrid/>
          <w:kern w:val="0"/>
          <w:szCs w:val="22"/>
        </w:rPr>
        <w:t>one year</w:t>
      </w:r>
      <w:r w:rsidRPr="009206AA">
        <w:rPr>
          <w:rFonts w:eastAsiaTheme="minorHAnsi"/>
          <w:snapToGrid/>
          <w:kern w:val="0"/>
          <w:szCs w:val="22"/>
        </w:rPr>
        <w:t>,</w:t>
      </w:r>
      <w:r>
        <w:rPr>
          <w:rFonts w:eastAsiaTheme="minorHAnsi"/>
          <w:snapToGrid/>
          <w:kern w:val="0"/>
          <w:szCs w:val="22"/>
        </w:rPr>
        <w:t xml:space="preserve"> </w:t>
      </w:r>
      <w:r>
        <w:rPr>
          <w:rFonts w:eastAsiaTheme="minorHAnsi"/>
          <w:snapToGrid/>
          <w:kern w:val="0"/>
          <w:szCs w:val="22"/>
        </w:rPr>
        <w:t xml:space="preserve">we seek comment on the implementation of these provisions.  In particular, </w:t>
      </w:r>
      <w:r w:rsidRPr="00114DF5" w:rsidR="00FE7238">
        <w:rPr>
          <w:rFonts w:eastAsiaTheme="minorHAnsi"/>
          <w:snapToGrid/>
          <w:kern w:val="0"/>
          <w:szCs w:val="22"/>
        </w:rPr>
        <w:t xml:space="preserve">we seek comment </w:t>
      </w:r>
      <w:r w:rsidR="00B268EF">
        <w:rPr>
          <w:rFonts w:eastAsiaTheme="minorHAnsi"/>
          <w:snapToGrid/>
          <w:kern w:val="0"/>
          <w:szCs w:val="22"/>
        </w:rPr>
        <w:t xml:space="preserve">from </w:t>
      </w:r>
      <w:r w:rsidR="00183E94">
        <w:rPr>
          <w:rFonts w:eastAsiaTheme="minorHAnsi"/>
          <w:snapToGrid/>
          <w:kern w:val="0"/>
          <w:szCs w:val="22"/>
        </w:rPr>
        <w:t xml:space="preserve">entities subject to section 642 </w:t>
      </w:r>
      <w:r w:rsidR="00B268EF">
        <w:rPr>
          <w:rFonts w:eastAsiaTheme="minorHAnsi"/>
          <w:snapToGrid/>
          <w:kern w:val="0"/>
          <w:szCs w:val="22"/>
        </w:rPr>
        <w:t xml:space="preserve">on the steps they </w:t>
      </w:r>
      <w:r w:rsidR="00183E94">
        <w:rPr>
          <w:rFonts w:eastAsiaTheme="minorHAnsi"/>
          <w:snapToGrid/>
          <w:kern w:val="0"/>
          <w:szCs w:val="22"/>
        </w:rPr>
        <w:t xml:space="preserve">have </w:t>
      </w:r>
      <w:r w:rsidR="00466DD0">
        <w:rPr>
          <w:rFonts w:eastAsiaTheme="minorHAnsi"/>
          <w:snapToGrid/>
          <w:kern w:val="0"/>
          <w:szCs w:val="22"/>
        </w:rPr>
        <w:t>taken to implement the requirements</w:t>
      </w:r>
      <w:r>
        <w:rPr>
          <w:rFonts w:eastAsiaTheme="minorHAnsi"/>
          <w:snapToGrid/>
          <w:kern w:val="0"/>
          <w:szCs w:val="22"/>
        </w:rPr>
        <w:t xml:space="preserve"> set forth in that provision</w:t>
      </w:r>
      <w:r w:rsidR="00183E94">
        <w:rPr>
          <w:rFonts w:eastAsiaTheme="minorHAnsi"/>
          <w:snapToGrid/>
          <w:kern w:val="0"/>
          <w:szCs w:val="22"/>
        </w:rPr>
        <w:t>.</w:t>
      </w:r>
      <w:r>
        <w:rPr>
          <w:rStyle w:val="FootnoteReference"/>
          <w:rFonts w:eastAsiaTheme="minorHAnsi"/>
          <w:snapToGrid/>
          <w:kern w:val="0"/>
          <w:szCs w:val="22"/>
        </w:rPr>
        <w:footnoteReference w:id="16"/>
      </w:r>
      <w:r w:rsidR="00183E94">
        <w:rPr>
          <w:rFonts w:eastAsiaTheme="minorHAnsi"/>
          <w:snapToGrid/>
          <w:kern w:val="0"/>
          <w:szCs w:val="22"/>
        </w:rPr>
        <w:t xml:space="preserve">  </w:t>
      </w:r>
      <w:r w:rsidR="000E798F">
        <w:rPr>
          <w:rFonts w:eastAsiaTheme="minorHAnsi"/>
          <w:snapToGrid/>
          <w:kern w:val="0"/>
          <w:szCs w:val="22"/>
        </w:rPr>
        <w:t>In addition, w</w:t>
      </w:r>
      <w:r w:rsidR="00183E94">
        <w:rPr>
          <w:rFonts w:eastAsiaTheme="minorHAnsi"/>
          <w:snapToGrid/>
          <w:kern w:val="0"/>
          <w:szCs w:val="22"/>
        </w:rPr>
        <w:t xml:space="preserve">e seek </w:t>
      </w:r>
      <w:r w:rsidR="00B268EF">
        <w:rPr>
          <w:rFonts w:eastAsiaTheme="minorHAnsi"/>
          <w:snapToGrid/>
          <w:kern w:val="0"/>
          <w:szCs w:val="22"/>
        </w:rPr>
        <w:t>comment</w:t>
      </w:r>
      <w:r w:rsidR="00183E94">
        <w:rPr>
          <w:rFonts w:eastAsiaTheme="minorHAnsi"/>
          <w:snapToGrid/>
          <w:kern w:val="0"/>
          <w:szCs w:val="22"/>
        </w:rPr>
        <w:t xml:space="preserve"> </w:t>
      </w:r>
      <w:r w:rsidR="00B268EF">
        <w:rPr>
          <w:rFonts w:eastAsiaTheme="minorHAnsi"/>
          <w:snapToGrid/>
          <w:kern w:val="0"/>
          <w:szCs w:val="22"/>
        </w:rPr>
        <w:t xml:space="preserve">from consumers </w:t>
      </w:r>
      <w:r w:rsidR="00183E94">
        <w:rPr>
          <w:rFonts w:eastAsiaTheme="minorHAnsi"/>
          <w:snapToGrid/>
          <w:kern w:val="0"/>
          <w:szCs w:val="22"/>
        </w:rPr>
        <w:t>on whether</w:t>
      </w:r>
      <w:r w:rsidR="00333753">
        <w:rPr>
          <w:rFonts w:eastAsiaTheme="minorHAnsi"/>
          <w:snapToGrid/>
          <w:kern w:val="0"/>
          <w:szCs w:val="22"/>
        </w:rPr>
        <w:t>,</w:t>
      </w:r>
      <w:r w:rsidR="00183E94">
        <w:rPr>
          <w:rFonts w:eastAsiaTheme="minorHAnsi"/>
          <w:snapToGrid/>
          <w:kern w:val="0"/>
          <w:szCs w:val="22"/>
        </w:rPr>
        <w:t xml:space="preserve"> </w:t>
      </w:r>
      <w:r w:rsidR="00466DD0">
        <w:rPr>
          <w:rFonts w:eastAsiaTheme="minorHAnsi"/>
          <w:snapToGrid/>
          <w:kern w:val="0"/>
          <w:szCs w:val="22"/>
        </w:rPr>
        <w:t>and to wh</w:t>
      </w:r>
      <w:r w:rsidR="00183E94">
        <w:rPr>
          <w:rFonts w:eastAsiaTheme="minorHAnsi"/>
          <w:snapToGrid/>
          <w:kern w:val="0"/>
          <w:szCs w:val="22"/>
        </w:rPr>
        <w:t>at extent</w:t>
      </w:r>
      <w:r w:rsidR="00333753">
        <w:rPr>
          <w:rFonts w:eastAsiaTheme="minorHAnsi"/>
          <w:snapToGrid/>
          <w:kern w:val="0"/>
          <w:szCs w:val="22"/>
        </w:rPr>
        <w:t>,</w:t>
      </w:r>
      <w:r w:rsidR="00183E94">
        <w:rPr>
          <w:rFonts w:eastAsiaTheme="minorHAnsi"/>
          <w:snapToGrid/>
          <w:kern w:val="0"/>
          <w:szCs w:val="22"/>
        </w:rPr>
        <w:t xml:space="preserve"> </w:t>
      </w:r>
      <w:r w:rsidR="00466DD0">
        <w:rPr>
          <w:rFonts w:eastAsiaTheme="minorHAnsi"/>
          <w:snapToGrid/>
          <w:kern w:val="0"/>
          <w:szCs w:val="22"/>
        </w:rPr>
        <w:t>those</w:t>
      </w:r>
      <w:r w:rsidR="00183E94">
        <w:rPr>
          <w:rFonts w:eastAsiaTheme="minorHAnsi"/>
          <w:snapToGrid/>
          <w:kern w:val="0"/>
          <w:szCs w:val="22"/>
        </w:rPr>
        <w:t xml:space="preserve"> steps </w:t>
      </w:r>
      <w:r w:rsidR="00466DD0">
        <w:rPr>
          <w:rFonts w:eastAsiaTheme="minorHAnsi"/>
          <w:snapToGrid/>
          <w:kern w:val="0"/>
          <w:szCs w:val="22"/>
        </w:rPr>
        <w:t xml:space="preserve">have been </w:t>
      </w:r>
      <w:r w:rsidR="00183E94">
        <w:rPr>
          <w:rFonts w:eastAsiaTheme="minorHAnsi"/>
          <w:snapToGrid/>
          <w:kern w:val="0"/>
          <w:szCs w:val="22"/>
        </w:rPr>
        <w:t xml:space="preserve">effective in </w:t>
      </w:r>
      <w:r w:rsidR="006B533D">
        <w:rPr>
          <w:rFonts w:eastAsiaTheme="minorHAnsi"/>
          <w:snapToGrid/>
          <w:kern w:val="0"/>
          <w:szCs w:val="22"/>
        </w:rPr>
        <w:t xml:space="preserve">satisfying the statutory requirements and </w:t>
      </w:r>
      <w:r w:rsidR="00B10C5E">
        <w:rPr>
          <w:rFonts w:eastAsiaTheme="minorHAnsi"/>
          <w:snapToGrid/>
          <w:kern w:val="0"/>
          <w:szCs w:val="22"/>
        </w:rPr>
        <w:t>fu</w:t>
      </w:r>
      <w:r w:rsidR="00A700D2">
        <w:rPr>
          <w:rFonts w:eastAsiaTheme="minorHAnsi"/>
          <w:snapToGrid/>
          <w:kern w:val="0"/>
          <w:szCs w:val="22"/>
        </w:rPr>
        <w:t xml:space="preserve">rthering </w:t>
      </w:r>
      <w:r w:rsidR="006B533D">
        <w:rPr>
          <w:rFonts w:eastAsiaTheme="minorHAnsi"/>
          <w:snapToGrid/>
          <w:kern w:val="0"/>
          <w:szCs w:val="22"/>
        </w:rPr>
        <w:t xml:space="preserve">Congress’s </w:t>
      </w:r>
      <w:r w:rsidR="00183E94">
        <w:rPr>
          <w:rFonts w:eastAsiaTheme="minorHAnsi"/>
          <w:snapToGrid/>
          <w:kern w:val="0"/>
          <w:szCs w:val="22"/>
        </w:rPr>
        <w:t>goal of “protect[ing] consumers throughout the media market and when purchasing MVPD or broadband service.”</w:t>
      </w:r>
      <w:r>
        <w:rPr>
          <w:rStyle w:val="FootnoteReference"/>
          <w:rFonts w:eastAsiaTheme="minorHAnsi"/>
          <w:snapToGrid/>
          <w:kern w:val="0"/>
          <w:szCs w:val="22"/>
        </w:rPr>
        <w:footnoteReference w:id="17"/>
      </w:r>
      <w:r w:rsidR="00466DD0">
        <w:rPr>
          <w:rFonts w:eastAsiaTheme="minorHAnsi"/>
          <w:snapToGrid/>
          <w:kern w:val="0"/>
          <w:szCs w:val="22"/>
        </w:rPr>
        <w:t xml:space="preserve">  </w:t>
      </w:r>
      <w:r w:rsidR="0028191D">
        <w:rPr>
          <w:rFonts w:eastAsiaTheme="minorHAnsi"/>
          <w:snapToGrid/>
          <w:kern w:val="0"/>
          <w:szCs w:val="22"/>
        </w:rPr>
        <w:t>With regard to section 642(c)</w:t>
      </w:r>
      <w:r w:rsidR="00D05681">
        <w:rPr>
          <w:rFonts w:eastAsiaTheme="minorHAnsi"/>
          <w:snapToGrid/>
          <w:kern w:val="0"/>
          <w:szCs w:val="22"/>
        </w:rPr>
        <w:t>, which</w:t>
      </w:r>
      <w:r w:rsidR="0028191D">
        <w:rPr>
          <w:rFonts w:eastAsiaTheme="minorHAnsi"/>
          <w:snapToGrid/>
          <w:kern w:val="0"/>
          <w:szCs w:val="22"/>
        </w:rPr>
        <w:t xml:space="preserve"> </w:t>
      </w:r>
      <w:r w:rsidR="00D05681">
        <w:rPr>
          <w:rFonts w:eastAsiaTheme="minorHAnsi"/>
          <w:snapToGrid/>
          <w:kern w:val="0"/>
          <w:szCs w:val="22"/>
        </w:rPr>
        <w:t>addresse</w:t>
      </w:r>
      <w:r w:rsidR="004830D3">
        <w:rPr>
          <w:rFonts w:eastAsiaTheme="minorHAnsi"/>
          <w:snapToGrid/>
          <w:kern w:val="0"/>
          <w:szCs w:val="22"/>
        </w:rPr>
        <w:t>s</w:t>
      </w:r>
      <w:r w:rsidR="0028191D">
        <w:rPr>
          <w:rFonts w:eastAsiaTheme="minorHAnsi"/>
          <w:snapToGrid/>
          <w:kern w:val="0"/>
          <w:szCs w:val="22"/>
        </w:rPr>
        <w:t xml:space="preserve"> </w:t>
      </w:r>
      <w:r w:rsidR="0009207A">
        <w:rPr>
          <w:rFonts w:eastAsiaTheme="minorHAnsi"/>
          <w:snapToGrid/>
          <w:kern w:val="0"/>
          <w:szCs w:val="22"/>
        </w:rPr>
        <w:t>charges for covered equipment,</w:t>
      </w:r>
      <w:r>
        <w:rPr>
          <w:rStyle w:val="FootnoteReference"/>
          <w:rFonts w:eastAsiaTheme="minorHAnsi"/>
          <w:snapToGrid/>
          <w:kern w:val="0"/>
          <w:szCs w:val="22"/>
        </w:rPr>
        <w:footnoteReference w:id="18"/>
      </w:r>
      <w:r w:rsidR="0009207A">
        <w:rPr>
          <w:rFonts w:eastAsiaTheme="minorHAnsi"/>
          <w:snapToGrid/>
          <w:kern w:val="0"/>
          <w:szCs w:val="22"/>
        </w:rPr>
        <w:t xml:space="preserve"> we seek </w:t>
      </w:r>
      <w:r w:rsidR="00333753">
        <w:rPr>
          <w:rFonts w:eastAsiaTheme="minorHAnsi"/>
          <w:snapToGrid/>
          <w:kern w:val="0"/>
          <w:szCs w:val="22"/>
        </w:rPr>
        <w:t xml:space="preserve">public </w:t>
      </w:r>
      <w:r w:rsidR="0009207A">
        <w:rPr>
          <w:rFonts w:eastAsiaTheme="minorHAnsi"/>
          <w:snapToGrid/>
          <w:kern w:val="0"/>
          <w:szCs w:val="22"/>
        </w:rPr>
        <w:t>input on the extent to which (if at all) subject entities continu</w:t>
      </w:r>
      <w:r w:rsidR="00ED691A">
        <w:rPr>
          <w:rFonts w:eastAsiaTheme="minorHAnsi"/>
          <w:snapToGrid/>
          <w:kern w:val="0"/>
          <w:szCs w:val="22"/>
        </w:rPr>
        <w:t>e</w:t>
      </w:r>
      <w:r w:rsidR="0009207A">
        <w:rPr>
          <w:rFonts w:eastAsiaTheme="minorHAnsi"/>
          <w:snapToGrid/>
          <w:kern w:val="0"/>
          <w:szCs w:val="22"/>
        </w:rPr>
        <w:t xml:space="preserve"> to assess charges for equipment that </w:t>
      </w:r>
      <w:r w:rsidR="00ED691A">
        <w:rPr>
          <w:rFonts w:eastAsiaTheme="minorHAnsi"/>
          <w:snapToGrid/>
          <w:kern w:val="0"/>
          <w:szCs w:val="22"/>
        </w:rPr>
        <w:t>are</w:t>
      </w:r>
      <w:r w:rsidR="0009207A">
        <w:rPr>
          <w:rFonts w:eastAsiaTheme="minorHAnsi"/>
          <w:snapToGrid/>
          <w:kern w:val="0"/>
          <w:szCs w:val="22"/>
        </w:rPr>
        <w:t xml:space="preserve"> </w:t>
      </w:r>
      <w:r w:rsidR="00ED691A">
        <w:rPr>
          <w:rFonts w:eastAsiaTheme="minorHAnsi"/>
          <w:snapToGrid/>
          <w:kern w:val="0"/>
          <w:szCs w:val="22"/>
        </w:rPr>
        <w:t xml:space="preserve">expressly </w:t>
      </w:r>
      <w:r w:rsidR="0009207A">
        <w:rPr>
          <w:rFonts w:eastAsiaTheme="minorHAnsi"/>
          <w:snapToGrid/>
          <w:kern w:val="0"/>
          <w:szCs w:val="22"/>
        </w:rPr>
        <w:t xml:space="preserve">prohibited </w:t>
      </w:r>
      <w:r w:rsidR="00ED691A">
        <w:rPr>
          <w:rFonts w:eastAsiaTheme="minorHAnsi"/>
          <w:snapToGrid/>
          <w:kern w:val="0"/>
          <w:szCs w:val="22"/>
        </w:rPr>
        <w:t xml:space="preserve">by the </w:t>
      </w:r>
      <w:r w:rsidR="0009207A">
        <w:rPr>
          <w:rFonts w:eastAsiaTheme="minorHAnsi"/>
          <w:snapToGrid/>
          <w:kern w:val="0"/>
          <w:szCs w:val="22"/>
        </w:rPr>
        <w:t xml:space="preserve">statute.  </w:t>
      </w:r>
      <w:r w:rsidR="00A92A37">
        <w:rPr>
          <w:rFonts w:eastAsiaTheme="minorHAnsi"/>
          <w:snapToGrid/>
          <w:kern w:val="0"/>
          <w:szCs w:val="22"/>
        </w:rPr>
        <w:t>For example, a</w:t>
      </w:r>
      <w:r w:rsidR="00ED691A">
        <w:rPr>
          <w:rFonts w:eastAsiaTheme="minorHAnsi"/>
          <w:snapToGrid/>
          <w:kern w:val="0"/>
          <w:szCs w:val="22"/>
        </w:rPr>
        <w:t xml:space="preserve">re </w:t>
      </w:r>
      <w:r w:rsidR="008410AC">
        <w:rPr>
          <w:rFonts w:eastAsiaTheme="minorHAnsi"/>
          <w:snapToGrid/>
          <w:kern w:val="0"/>
          <w:szCs w:val="22"/>
        </w:rPr>
        <w:t xml:space="preserve">any </w:t>
      </w:r>
      <w:r w:rsidR="00ED691A">
        <w:rPr>
          <w:rFonts w:eastAsiaTheme="minorHAnsi"/>
          <w:snapToGrid/>
          <w:kern w:val="0"/>
          <w:szCs w:val="22"/>
        </w:rPr>
        <w:t xml:space="preserve">providers of covered services or fixed </w:t>
      </w:r>
      <w:r w:rsidR="00ED691A">
        <w:rPr>
          <w:rFonts w:eastAsiaTheme="minorHAnsi"/>
          <w:snapToGrid/>
          <w:kern w:val="0"/>
          <w:szCs w:val="22"/>
        </w:rPr>
        <w:t xml:space="preserve">broadband </w:t>
      </w:r>
      <w:r w:rsidR="00333753">
        <w:rPr>
          <w:rFonts w:eastAsiaTheme="minorHAnsi"/>
          <w:snapToGrid/>
          <w:kern w:val="0"/>
          <w:szCs w:val="22"/>
        </w:rPr>
        <w:t>I</w:t>
      </w:r>
      <w:r w:rsidR="00ED691A">
        <w:rPr>
          <w:rFonts w:eastAsiaTheme="minorHAnsi"/>
          <w:snapToGrid/>
          <w:kern w:val="0"/>
          <w:szCs w:val="22"/>
        </w:rPr>
        <w:t>nternet access services</w:t>
      </w:r>
      <w:r>
        <w:rPr>
          <w:rStyle w:val="FootnoteReference"/>
          <w:rFonts w:eastAsiaTheme="minorHAnsi"/>
          <w:snapToGrid/>
          <w:kern w:val="0"/>
          <w:szCs w:val="22"/>
        </w:rPr>
        <w:footnoteReference w:id="19"/>
      </w:r>
      <w:r w:rsidR="00ED691A">
        <w:rPr>
          <w:rFonts w:eastAsiaTheme="minorHAnsi"/>
          <w:snapToGrid/>
          <w:kern w:val="0"/>
          <w:szCs w:val="22"/>
        </w:rPr>
        <w:t xml:space="preserve"> continuing to impose fees </w:t>
      </w:r>
      <w:r w:rsidR="00F94F14">
        <w:rPr>
          <w:rFonts w:eastAsiaTheme="minorHAnsi"/>
          <w:snapToGrid/>
          <w:kern w:val="0"/>
          <w:szCs w:val="22"/>
        </w:rPr>
        <w:t xml:space="preserve">on consumers </w:t>
      </w:r>
      <w:r w:rsidR="00ED691A">
        <w:rPr>
          <w:rFonts w:eastAsiaTheme="minorHAnsi"/>
          <w:snapToGrid/>
          <w:kern w:val="0"/>
          <w:szCs w:val="22"/>
        </w:rPr>
        <w:t xml:space="preserve">for </w:t>
      </w:r>
      <w:r w:rsidR="00150472">
        <w:rPr>
          <w:rFonts w:eastAsiaTheme="minorHAnsi"/>
          <w:snapToGrid/>
          <w:kern w:val="0"/>
          <w:szCs w:val="22"/>
        </w:rPr>
        <w:t xml:space="preserve">the use of </w:t>
      </w:r>
      <w:r w:rsidR="00ED691A">
        <w:rPr>
          <w:rFonts w:eastAsiaTheme="minorHAnsi"/>
          <w:snapToGrid/>
          <w:kern w:val="0"/>
          <w:szCs w:val="22"/>
        </w:rPr>
        <w:t xml:space="preserve">covered equipment </w:t>
      </w:r>
      <w:r w:rsidR="00974B1D">
        <w:rPr>
          <w:rFonts w:eastAsiaTheme="minorHAnsi"/>
          <w:snapToGrid/>
          <w:kern w:val="0"/>
          <w:szCs w:val="22"/>
        </w:rPr>
        <w:t xml:space="preserve">that </w:t>
      </w:r>
      <w:r w:rsidR="00150472">
        <w:rPr>
          <w:rFonts w:eastAsiaTheme="minorHAnsi"/>
          <w:snapToGrid/>
          <w:kern w:val="0"/>
          <w:szCs w:val="22"/>
        </w:rPr>
        <w:t>has been</w:t>
      </w:r>
      <w:r w:rsidR="00974B1D">
        <w:rPr>
          <w:rFonts w:eastAsiaTheme="minorHAnsi"/>
          <w:snapToGrid/>
          <w:kern w:val="0"/>
          <w:szCs w:val="22"/>
        </w:rPr>
        <w:t xml:space="preserve"> </w:t>
      </w:r>
      <w:r w:rsidR="00ED691A">
        <w:rPr>
          <w:rFonts w:eastAsiaTheme="minorHAnsi"/>
          <w:snapToGrid/>
          <w:kern w:val="0"/>
          <w:szCs w:val="22"/>
        </w:rPr>
        <w:t>provided by the consumer?</w:t>
      </w:r>
      <w:r>
        <w:rPr>
          <w:rStyle w:val="FootnoteReference"/>
          <w:rFonts w:eastAsiaTheme="minorHAnsi"/>
          <w:snapToGrid/>
          <w:kern w:val="0"/>
          <w:szCs w:val="22"/>
        </w:rPr>
        <w:footnoteReference w:id="20"/>
      </w:r>
      <w:r w:rsidR="00ED691A">
        <w:rPr>
          <w:rFonts w:eastAsiaTheme="minorHAnsi"/>
          <w:snapToGrid/>
          <w:kern w:val="0"/>
          <w:szCs w:val="22"/>
        </w:rPr>
        <w:t xml:space="preserve">  </w:t>
      </w:r>
      <w:r w:rsidR="00A92A37">
        <w:rPr>
          <w:rFonts w:eastAsiaTheme="minorHAnsi"/>
          <w:snapToGrid/>
          <w:kern w:val="0"/>
          <w:szCs w:val="22"/>
        </w:rPr>
        <w:t>A</w:t>
      </w:r>
      <w:r w:rsidR="00974B1D">
        <w:rPr>
          <w:rFonts w:eastAsiaTheme="minorHAnsi"/>
          <w:snapToGrid/>
          <w:kern w:val="0"/>
          <w:szCs w:val="22"/>
        </w:rPr>
        <w:t>re such providers assessing charges for the rental, lease, or provision of covered equipment that</w:t>
      </w:r>
      <w:r w:rsidR="00F94F14">
        <w:rPr>
          <w:rFonts w:eastAsiaTheme="minorHAnsi"/>
          <w:snapToGrid/>
          <w:kern w:val="0"/>
          <w:szCs w:val="22"/>
        </w:rPr>
        <w:t xml:space="preserve"> they have not provided to the consumer?</w:t>
      </w:r>
      <w:r>
        <w:rPr>
          <w:rStyle w:val="FootnoteReference"/>
          <w:rFonts w:eastAsiaTheme="minorHAnsi"/>
          <w:snapToGrid/>
          <w:kern w:val="0"/>
          <w:szCs w:val="22"/>
        </w:rPr>
        <w:footnoteReference w:id="21"/>
      </w:r>
      <w:r w:rsidR="00F94F14">
        <w:rPr>
          <w:rFonts w:eastAsiaTheme="minorHAnsi"/>
          <w:snapToGrid/>
          <w:kern w:val="0"/>
          <w:szCs w:val="22"/>
        </w:rPr>
        <w:t xml:space="preserve">  Are </w:t>
      </w:r>
      <w:r w:rsidR="008410AC">
        <w:rPr>
          <w:rFonts w:eastAsiaTheme="minorHAnsi"/>
          <w:snapToGrid/>
          <w:kern w:val="0"/>
          <w:szCs w:val="22"/>
        </w:rPr>
        <w:t xml:space="preserve">any </w:t>
      </w:r>
      <w:r w:rsidR="00F94F14">
        <w:rPr>
          <w:rFonts w:eastAsiaTheme="minorHAnsi"/>
          <w:snapToGrid/>
          <w:kern w:val="0"/>
          <w:szCs w:val="22"/>
        </w:rPr>
        <w:t xml:space="preserve">such providers </w:t>
      </w:r>
      <w:r w:rsidR="00333753">
        <w:rPr>
          <w:rFonts w:eastAsiaTheme="minorHAnsi"/>
          <w:snapToGrid/>
          <w:kern w:val="0"/>
          <w:szCs w:val="22"/>
        </w:rPr>
        <w:t>imposing fees</w:t>
      </w:r>
      <w:r w:rsidR="00F94F14">
        <w:rPr>
          <w:rFonts w:eastAsiaTheme="minorHAnsi"/>
          <w:snapToGrid/>
          <w:kern w:val="0"/>
          <w:szCs w:val="22"/>
        </w:rPr>
        <w:t xml:space="preserve"> for the rental, lease, or provision of covered equipment that </w:t>
      </w:r>
      <w:r w:rsidR="00333753">
        <w:rPr>
          <w:rFonts w:eastAsiaTheme="minorHAnsi"/>
          <w:snapToGrid/>
          <w:kern w:val="0"/>
          <w:szCs w:val="22"/>
        </w:rPr>
        <w:t xml:space="preserve">the consumer </w:t>
      </w:r>
      <w:r w:rsidR="008410AC">
        <w:rPr>
          <w:rFonts w:eastAsiaTheme="minorHAnsi"/>
          <w:snapToGrid/>
          <w:kern w:val="0"/>
          <w:szCs w:val="22"/>
        </w:rPr>
        <w:t xml:space="preserve">has returned </w:t>
      </w:r>
      <w:r w:rsidRPr="008410AC" w:rsidR="008410AC">
        <w:rPr>
          <w:rFonts w:eastAsiaTheme="minorHAnsi"/>
          <w:snapToGrid/>
          <w:kern w:val="0"/>
          <w:szCs w:val="22"/>
        </w:rPr>
        <w:t>to the provider</w:t>
      </w:r>
      <w:r w:rsidR="008410AC">
        <w:rPr>
          <w:rFonts w:eastAsiaTheme="minorHAnsi"/>
          <w:snapToGrid/>
          <w:kern w:val="0"/>
          <w:szCs w:val="22"/>
        </w:rPr>
        <w:t xml:space="preserve">, and which </w:t>
      </w:r>
      <w:r w:rsidR="00716B8E">
        <w:rPr>
          <w:rFonts w:eastAsiaTheme="minorHAnsi"/>
          <w:snapToGrid/>
          <w:kern w:val="0"/>
          <w:szCs w:val="22"/>
        </w:rPr>
        <w:t>fees</w:t>
      </w:r>
      <w:r w:rsidR="008410AC">
        <w:rPr>
          <w:rFonts w:eastAsiaTheme="minorHAnsi"/>
          <w:snapToGrid/>
          <w:kern w:val="0"/>
          <w:szCs w:val="22"/>
        </w:rPr>
        <w:t xml:space="preserve"> otherwise are not permissible under the statute?</w:t>
      </w:r>
      <w:r>
        <w:rPr>
          <w:rStyle w:val="FootnoteReference"/>
          <w:rFonts w:eastAsiaTheme="minorHAnsi"/>
          <w:snapToGrid/>
          <w:kern w:val="0"/>
          <w:szCs w:val="22"/>
        </w:rPr>
        <w:footnoteReference w:id="22"/>
      </w:r>
      <w:r w:rsidR="008410AC">
        <w:rPr>
          <w:rFonts w:eastAsiaTheme="minorHAnsi"/>
          <w:snapToGrid/>
          <w:kern w:val="0"/>
          <w:szCs w:val="22"/>
        </w:rPr>
        <w:t xml:space="preserve"> </w:t>
      </w:r>
      <w:r w:rsidR="00A700D2">
        <w:rPr>
          <w:rFonts w:eastAsiaTheme="minorHAnsi"/>
          <w:snapToGrid/>
          <w:kern w:val="0"/>
          <w:szCs w:val="22"/>
        </w:rPr>
        <w:t xml:space="preserve"> </w:t>
      </w:r>
    </w:p>
    <w:p w:rsidR="00FE41A1" w:rsidP="00B10C5E" w14:paraId="4469C194" w14:textId="77777777">
      <w:pPr>
        <w:spacing w:after="120"/>
        <w:ind w:firstLine="720"/>
        <w:rPr>
          <w:rFonts w:eastAsiaTheme="minorHAnsi"/>
          <w:snapToGrid/>
          <w:kern w:val="0"/>
          <w:szCs w:val="22"/>
        </w:rPr>
      </w:pPr>
      <w:r>
        <w:rPr>
          <w:rFonts w:eastAsiaTheme="minorHAnsi"/>
          <w:snapToGrid/>
          <w:kern w:val="0"/>
          <w:szCs w:val="22"/>
        </w:rPr>
        <w:t xml:space="preserve">With regard to </w:t>
      </w:r>
      <w:r w:rsidR="00334728">
        <w:rPr>
          <w:rFonts w:eastAsiaTheme="minorHAnsi"/>
          <w:snapToGrid/>
          <w:kern w:val="0"/>
          <w:szCs w:val="22"/>
        </w:rPr>
        <w:t xml:space="preserve">section </w:t>
      </w:r>
      <w:r w:rsidR="00334728">
        <w:rPr>
          <w:szCs w:val="22"/>
        </w:rPr>
        <w:t>325(b)</w:t>
      </w:r>
      <w:r w:rsidRPr="00BE20C1" w:rsidR="00334728">
        <w:rPr>
          <w:szCs w:val="22"/>
        </w:rPr>
        <w:t>(3)(C)(vi)</w:t>
      </w:r>
      <w:r w:rsidR="00334728">
        <w:rPr>
          <w:szCs w:val="22"/>
        </w:rPr>
        <w:t xml:space="preserve"> of the Act, we seek </w:t>
      </w:r>
      <w:r w:rsidR="0047757F">
        <w:rPr>
          <w:szCs w:val="22"/>
        </w:rPr>
        <w:t>comment</w:t>
      </w:r>
      <w:r w:rsidR="00334728">
        <w:rPr>
          <w:szCs w:val="22"/>
        </w:rPr>
        <w:t xml:space="preserve"> on</w:t>
      </w:r>
      <w:r w:rsidR="006F7CB3">
        <w:rPr>
          <w:szCs w:val="22"/>
        </w:rPr>
        <w:t xml:space="preserve"> whether the Commission’s rules </w:t>
      </w:r>
      <w:r w:rsidR="0047757F">
        <w:rPr>
          <w:szCs w:val="22"/>
        </w:rPr>
        <w:t>implementing that provision</w:t>
      </w:r>
      <w:r w:rsidR="006F7CB3">
        <w:rPr>
          <w:szCs w:val="22"/>
        </w:rPr>
        <w:t xml:space="preserve"> have been effective in advancing the “key purpose of the new good faith negotiation provisions . . . to level the playing field by ‘allow[ing] </w:t>
      </w:r>
      <w:r w:rsidR="0047757F">
        <w:rPr>
          <w:szCs w:val="22"/>
        </w:rPr>
        <w:t>smaller MVPDs to collectively negotiate as a buying group [with large station groups] for retransmission consent.’”</w:t>
      </w:r>
      <w:r>
        <w:rPr>
          <w:rStyle w:val="FootnoteReference"/>
          <w:szCs w:val="22"/>
        </w:rPr>
        <w:footnoteReference w:id="23"/>
      </w:r>
      <w:r w:rsidR="006F7CB3">
        <w:rPr>
          <w:szCs w:val="22"/>
        </w:rPr>
        <w:t xml:space="preserve"> </w:t>
      </w:r>
      <w:r w:rsidR="00334728">
        <w:rPr>
          <w:szCs w:val="22"/>
        </w:rPr>
        <w:t xml:space="preserve"> </w:t>
      </w:r>
      <w:r w:rsidR="00FC421A">
        <w:rPr>
          <w:szCs w:val="22"/>
        </w:rPr>
        <w:t xml:space="preserve">To what extent (if at all) are smaller MVPDs utilizing these new provisions in retransmission consent negotiations with large station groups? </w:t>
      </w:r>
      <w:r w:rsidR="00334728">
        <w:rPr>
          <w:rFonts w:eastAsiaTheme="minorHAnsi"/>
          <w:snapToGrid/>
          <w:kern w:val="0"/>
          <w:szCs w:val="22"/>
        </w:rPr>
        <w:t xml:space="preserve"> </w:t>
      </w:r>
      <w:r w:rsidR="00965FDD">
        <w:t xml:space="preserve">We note that the Commission thus far has received no complaints concerning implementation of the amendments to section 325.  </w:t>
      </w:r>
      <w:r>
        <w:rPr>
          <w:rFonts w:eastAsiaTheme="minorHAnsi"/>
          <w:snapToGrid/>
          <w:kern w:val="0"/>
          <w:szCs w:val="22"/>
        </w:rPr>
        <w:t xml:space="preserve"> </w:t>
      </w:r>
    </w:p>
    <w:p w:rsidR="00B10C5E" w:rsidRPr="00114DF5" w:rsidP="00B10C5E" w14:paraId="28343158" w14:textId="475A2407">
      <w:pPr>
        <w:spacing w:after="120"/>
        <w:ind w:firstLine="720"/>
        <w:rPr>
          <w:rFonts w:eastAsiaTheme="minorHAnsi"/>
          <w:snapToGrid/>
          <w:kern w:val="0"/>
          <w:szCs w:val="22"/>
        </w:rPr>
      </w:pPr>
      <w:r>
        <w:rPr>
          <w:rFonts w:eastAsiaTheme="minorHAnsi"/>
          <w:snapToGrid/>
          <w:kern w:val="0"/>
          <w:szCs w:val="22"/>
        </w:rPr>
        <w:t>Finally, w</w:t>
      </w:r>
      <w:r w:rsidR="00A700D2">
        <w:rPr>
          <w:rFonts w:eastAsiaTheme="minorHAnsi"/>
          <w:snapToGrid/>
          <w:kern w:val="0"/>
          <w:szCs w:val="22"/>
        </w:rPr>
        <w:t xml:space="preserve">e </w:t>
      </w:r>
      <w:r w:rsidR="00716B8E">
        <w:rPr>
          <w:rFonts w:eastAsiaTheme="minorHAnsi"/>
          <w:snapToGrid/>
          <w:kern w:val="0"/>
          <w:szCs w:val="22"/>
        </w:rPr>
        <w:t xml:space="preserve">also </w:t>
      </w:r>
      <w:r w:rsidR="00A700D2">
        <w:rPr>
          <w:rFonts w:eastAsiaTheme="minorHAnsi"/>
          <w:snapToGrid/>
          <w:kern w:val="0"/>
          <w:szCs w:val="22"/>
        </w:rPr>
        <w:t xml:space="preserve">seek comment on any other issues that stakeholders believe are relevant to an assessment of the implementation and/or efficacy of the provisions of </w:t>
      </w:r>
      <w:r w:rsidR="007D1FE4">
        <w:rPr>
          <w:rFonts w:eastAsiaTheme="minorHAnsi"/>
          <w:snapToGrid/>
          <w:kern w:val="0"/>
          <w:szCs w:val="22"/>
        </w:rPr>
        <w:t>the TVPA and its implementing rules</w:t>
      </w:r>
      <w:r w:rsidR="00A700D2">
        <w:rPr>
          <w:rFonts w:eastAsiaTheme="minorHAnsi"/>
          <w:snapToGrid/>
          <w:kern w:val="0"/>
          <w:szCs w:val="22"/>
        </w:rPr>
        <w:t xml:space="preserve">.   </w:t>
      </w:r>
    </w:p>
    <w:p w:rsidR="00565F01" w14:paraId="7555C9FE" w14:textId="77777777">
      <w:pPr>
        <w:spacing w:after="120"/>
        <w:ind w:firstLine="720"/>
        <w:rPr>
          <w:szCs w:val="18"/>
        </w:rPr>
      </w:pPr>
      <w:r>
        <w:rPr>
          <w:rFonts w:eastAsia="Calibri"/>
          <w:i/>
          <w:iCs/>
          <w:snapToGrid/>
        </w:rPr>
        <w:t>Ex Parte Rules</w:t>
      </w:r>
      <w:r>
        <w:rPr>
          <w:rFonts w:eastAsia="Calibri"/>
          <w:snapToGrid/>
        </w:rPr>
        <w:t xml:space="preserve">.  The proceeding this Public Notice initiates shall be treated as a “permit-but-disclose” proceeding in accordance with the Commission’s </w:t>
      </w:r>
      <w:r>
        <w:rPr>
          <w:rFonts w:eastAsia="Calibri"/>
          <w:i/>
          <w:iCs/>
          <w:snapToGrid/>
        </w:rPr>
        <w:t xml:space="preserve">ex parte </w:t>
      </w:r>
      <w:r>
        <w:rPr>
          <w:rFonts w:eastAsia="Calibri"/>
          <w:snapToGrid/>
        </w:rPr>
        <w:t>rules.</w:t>
      </w:r>
      <w:r>
        <w:rPr>
          <w:rFonts w:eastAsia="Calibri"/>
          <w:snapToGrid/>
          <w:vertAlign w:val="superscript"/>
        </w:rPr>
        <w:footnoteReference w:id="24"/>
      </w:r>
      <w:r>
        <w:rPr>
          <w:rFonts w:eastAsia="Calibri"/>
          <w:snapToGrid/>
        </w:rPr>
        <w:t xml:space="preserve">  Persons making </w:t>
      </w:r>
      <w:r>
        <w:rPr>
          <w:rFonts w:eastAsia="Calibri"/>
          <w:i/>
          <w:snapToGrid/>
        </w:rPr>
        <w:t xml:space="preserve">ex parte </w:t>
      </w:r>
      <w:r>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Fonts w:eastAsia="Calibri"/>
          <w:i/>
          <w:iCs/>
          <w:snapToGrid/>
        </w:rPr>
        <w:t xml:space="preserve">ex parte </w:t>
      </w:r>
      <w:r>
        <w:rPr>
          <w:rFonts w:eastAsia="Calibri"/>
          <w:snapToGrid/>
        </w:rPr>
        <w:t xml:space="preserve">presentations are reminded that memoranda summarizing the presentation must (1) list all persons attending or otherwise participating in the meeting at which the </w:t>
      </w:r>
      <w:r>
        <w:rPr>
          <w:rFonts w:eastAsia="Calibri"/>
          <w:i/>
          <w:iCs/>
          <w:snapToGrid/>
        </w:rPr>
        <w:t xml:space="preserve">ex parte </w:t>
      </w:r>
      <w:r>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Fonts w:eastAsia="Calibri"/>
          <w:i/>
          <w:iCs/>
          <w:snapToGrid/>
        </w:rPr>
        <w:t xml:space="preserve">ex parte </w:t>
      </w:r>
      <w:r>
        <w:rPr>
          <w:rFonts w:eastAsia="Calibri"/>
          <w:snapToGrid/>
        </w:rPr>
        <w:t xml:space="preserve">meetings are deemed to be written </w:t>
      </w:r>
      <w:r>
        <w:rPr>
          <w:rFonts w:eastAsia="Calibri"/>
          <w:i/>
          <w:iCs/>
          <w:snapToGrid/>
        </w:rPr>
        <w:t>ex parte</w:t>
      </w:r>
      <w:r>
        <w:rPr>
          <w:rFonts w:eastAsia="Calibri"/>
          <w:snapToGrid/>
        </w:rPr>
        <w:t xml:space="preserve"> presentations and must be filed consistent with rule 1.1206(b).  In proceedings governed by rule 1.49(f) or for which the Commission has made available a method of electronic filing, written </w:t>
      </w:r>
      <w:r>
        <w:rPr>
          <w:rFonts w:eastAsia="Calibri"/>
          <w:i/>
          <w:iCs/>
          <w:snapToGrid/>
        </w:rPr>
        <w:t xml:space="preserve">ex parte </w:t>
      </w:r>
      <w:r>
        <w:rPr>
          <w:rFonts w:eastAsia="Calibri"/>
          <w:snapToGrid/>
        </w:rPr>
        <w:t xml:space="preserve">presentations and memoranda summarizing oral </w:t>
      </w:r>
      <w:r>
        <w:rPr>
          <w:rFonts w:eastAsia="Calibri"/>
          <w:i/>
          <w:iCs/>
          <w:snapToGrid/>
        </w:rPr>
        <w:t xml:space="preserve">ex parte </w:t>
      </w:r>
      <w:r>
        <w:rPr>
          <w:rFonts w:eastAsia="Calibri"/>
          <w:snapToGrid/>
        </w:rPr>
        <w:t>presentations, and all attachments thereto, must be filed through the electronic comment filing system available for that proceeding, and must be filed in their native format (</w:t>
      </w:r>
      <w:r>
        <w:rPr>
          <w:rFonts w:eastAsia="Calibri"/>
          <w:i/>
          <w:iCs/>
          <w:snapToGrid/>
        </w:rPr>
        <w:t>e.g.</w:t>
      </w:r>
      <w:r>
        <w:rPr>
          <w:rFonts w:eastAsia="Calibri"/>
          <w:snapToGrid/>
        </w:rPr>
        <w:t xml:space="preserve">, .doc, .xml, .ppt, searchable .pdf).  Participants in this proceeding should familiarize themselves with the Commission’s </w:t>
      </w:r>
      <w:r>
        <w:rPr>
          <w:rFonts w:eastAsia="Calibri"/>
          <w:i/>
          <w:iCs/>
          <w:snapToGrid/>
        </w:rPr>
        <w:t xml:space="preserve">ex parte </w:t>
      </w:r>
      <w:r>
        <w:rPr>
          <w:rFonts w:eastAsia="Calibri"/>
          <w:snapToGrid/>
        </w:rPr>
        <w:t>rules.</w:t>
      </w:r>
    </w:p>
    <w:p w:rsidR="00565F01" w14:paraId="77330AFC" w14:textId="32F7EA77">
      <w:pPr>
        <w:spacing w:after="120"/>
        <w:ind w:firstLine="720"/>
        <w:rPr>
          <w:szCs w:val="18"/>
        </w:rPr>
      </w:pPr>
      <w:r>
        <w:rPr>
          <w:i/>
          <w:iCs/>
          <w:szCs w:val="18"/>
        </w:rPr>
        <w:t>Filing Requirements</w:t>
      </w:r>
      <w:r>
        <w:rPr>
          <w:szCs w:val="18"/>
        </w:rPr>
        <w:t xml:space="preserve">.  All filings responsive to this Public Notice must reference MB Docket No. </w:t>
      </w:r>
      <w:r w:rsidR="00412713">
        <w:rPr>
          <w:szCs w:val="18"/>
        </w:rPr>
        <w:t>21-</w:t>
      </w:r>
      <w:r w:rsidR="00436256">
        <w:rPr>
          <w:szCs w:val="18"/>
        </w:rPr>
        <w:t>501</w:t>
      </w:r>
      <w:r>
        <w:rPr>
          <w:szCs w:val="18"/>
        </w:rPr>
        <w:t xml:space="preserve">.  </w:t>
      </w:r>
      <w:r>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565F01" w14:paraId="7C394D2B" w14:textId="77777777">
      <w:pPr>
        <w:numPr>
          <w:ilvl w:val="0"/>
          <w:numId w:val="7"/>
        </w:numPr>
        <w:spacing w:after="120"/>
        <w:rPr>
          <w:szCs w:val="18"/>
        </w:rPr>
      </w:pPr>
      <w:r>
        <w:rPr>
          <w:szCs w:val="18"/>
        </w:rPr>
        <w:t xml:space="preserve">Electronic Filers:  Comments may be filed electronically using the Internet by accessing the ECFS:  http://apps.fcc.gov/ecfs/.  </w:t>
      </w:r>
    </w:p>
    <w:p w:rsidR="00565F01" w14:paraId="3D5272EB" w14:textId="77777777">
      <w:pPr>
        <w:numPr>
          <w:ilvl w:val="0"/>
          <w:numId w:val="7"/>
        </w:numPr>
        <w:spacing w:after="120"/>
        <w:rPr>
          <w:szCs w:val="18"/>
        </w:rPr>
      </w:pPr>
      <w:r>
        <w:rPr>
          <w:szCs w:val="18"/>
        </w:rPr>
        <w:t xml:space="preserve">Paper Filers:  Parties who choose to file by paper must file an original and one copy of each filing. </w:t>
      </w:r>
    </w:p>
    <w:p w:rsidR="00565F01" w14:paraId="1F0F646F" w14:textId="77777777">
      <w:pPr>
        <w:numPr>
          <w:ilvl w:val="0"/>
          <w:numId w:val="7"/>
        </w:numPr>
        <w:spacing w:after="120"/>
        <w:rPr>
          <w:szCs w:val="18"/>
        </w:rPr>
      </w:pPr>
      <w:r>
        <w:rPr>
          <w:szCs w:val="18"/>
        </w:rPr>
        <w:t>Filings can be sent by commercial overnight courier, or by first-class or overnight U.S. Postal Service mail.  All filings must be addressed to the Commission’s Secretary, Office of the Secretary, Federal Communications Commission.</w:t>
      </w:r>
    </w:p>
    <w:p w:rsidR="00565F01" w14:paraId="2C8CBF9B" w14:textId="77777777">
      <w:pPr>
        <w:numPr>
          <w:ilvl w:val="1"/>
          <w:numId w:val="7"/>
        </w:numPr>
        <w:spacing w:after="120"/>
        <w:rPr>
          <w:szCs w:val="18"/>
        </w:rPr>
      </w:pPr>
      <w:r>
        <w:rPr>
          <w:szCs w:val="18"/>
        </w:rPr>
        <w:t>Commercial overnight mail (other than U.S. Postal Service Express Mail and Priority Mail) must be sent to 9050 Junction Drive, Annapolis Junction, MD  20701.</w:t>
      </w:r>
    </w:p>
    <w:p w:rsidR="00565F01" w14:paraId="2E9F6983" w14:textId="77777777">
      <w:pPr>
        <w:numPr>
          <w:ilvl w:val="1"/>
          <w:numId w:val="7"/>
        </w:numPr>
        <w:spacing w:after="120"/>
        <w:rPr>
          <w:szCs w:val="18"/>
        </w:rPr>
      </w:pPr>
      <w:r>
        <w:rPr>
          <w:szCs w:val="18"/>
        </w:rPr>
        <w:t>U.S. Postal Service first-class, Express, and Priority mail must be addressed to 45 L Street, NE, Washington, DC 20554.</w:t>
      </w:r>
    </w:p>
    <w:p w:rsidR="00565F01" w14:paraId="349F9604" w14:textId="77777777">
      <w:pPr>
        <w:numPr>
          <w:ilvl w:val="0"/>
          <w:numId w:val="7"/>
        </w:numPr>
        <w:spacing w:after="120"/>
        <w:rPr>
          <w:szCs w:val="18"/>
        </w:rPr>
      </w:pPr>
      <w:r>
        <w:rPr>
          <w:szCs w:val="18"/>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p>
    <w:p w:rsidR="00565F01" w14:paraId="694ADF9B" w14:textId="77777777">
      <w:pPr>
        <w:numPr>
          <w:ilvl w:val="0"/>
          <w:numId w:val="7"/>
        </w:numPr>
        <w:spacing w:after="120"/>
        <w:rPr>
          <w:szCs w:val="18"/>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65F01" w14:paraId="78713A70" w14:textId="77777777">
      <w:pPr>
        <w:spacing w:after="120"/>
        <w:ind w:firstLine="720"/>
        <w:rPr>
          <w:szCs w:val="18"/>
        </w:rPr>
      </w:pPr>
      <w:r>
        <w:rPr>
          <w:i/>
          <w:iCs/>
          <w:szCs w:val="18"/>
        </w:rPr>
        <w:t>People with Disabilities</w:t>
      </w:r>
      <w:r>
        <w:rPr>
          <w:szCs w:val="18"/>
        </w:rPr>
        <w:t xml:space="preserve">.  To request materials in accessible formats for people with disabilities (braille, large print, electronic files, audio format), send an e-mail to </w:t>
      </w:r>
      <w:hyperlink r:id="rId5" w:history="1">
        <w:r>
          <w:rPr>
            <w:rStyle w:val="Hyperlink"/>
            <w:szCs w:val="18"/>
          </w:rPr>
          <w:t>fcc504@fcc.gov</w:t>
        </w:r>
      </w:hyperlink>
      <w:r>
        <w:rPr>
          <w:szCs w:val="18"/>
        </w:rPr>
        <w:t xml:space="preserve"> or call the FCC’s Consumer and Governmental Affairs Bureau at (202) 418-0530 (voice).</w:t>
      </w:r>
    </w:p>
    <w:p w:rsidR="00565F01" w14:paraId="2ADBC191" w14:textId="77777777">
      <w:pPr>
        <w:spacing w:after="120"/>
        <w:ind w:firstLine="720"/>
        <w:rPr>
          <w:szCs w:val="18"/>
          <w:highlight w:val="yellow"/>
        </w:rPr>
      </w:pPr>
      <w:r>
        <w:rPr>
          <w:i/>
          <w:iCs/>
          <w:szCs w:val="18"/>
        </w:rPr>
        <w:t>Availability of Documents</w:t>
      </w:r>
      <w:r>
        <w:rPr>
          <w:szCs w:val="18"/>
        </w:rPr>
        <w:t xml:space="preserve">.  Comments, reply comments, and </w:t>
      </w:r>
      <w:r>
        <w:rPr>
          <w:i/>
          <w:iCs/>
          <w:szCs w:val="18"/>
        </w:rPr>
        <w:t>ex parte</w:t>
      </w:r>
      <w:r>
        <w:rPr>
          <w:szCs w:val="18"/>
        </w:rPr>
        <w:t xml:space="preserve"> submissions will be available via ECFS.  Documents will be available electronically in ASCII, Microsoft Word, and/or Adobe Acrobat.</w:t>
      </w:r>
    </w:p>
    <w:p w:rsidR="00565F01" w14:paraId="4B9D9A49" w14:textId="77777777">
      <w:pPr>
        <w:spacing w:after="120"/>
        <w:ind w:firstLine="720"/>
        <w:rPr>
          <w:szCs w:val="18"/>
        </w:rPr>
      </w:pPr>
      <w:r>
        <w:rPr>
          <w:i/>
          <w:iCs/>
          <w:szCs w:val="18"/>
        </w:rPr>
        <w:t>Additional Information</w:t>
      </w:r>
      <w:r>
        <w:rPr>
          <w:szCs w:val="18"/>
        </w:rPr>
        <w:t xml:space="preserve">.  For additional information, contact </w:t>
      </w:r>
      <w:r w:rsidR="00333753">
        <w:rPr>
          <w:szCs w:val="18"/>
        </w:rPr>
        <w:t>Raelynn Remy</w:t>
      </w:r>
      <w:r>
        <w:rPr>
          <w:szCs w:val="18"/>
        </w:rPr>
        <w:t xml:space="preserve">, </w:t>
      </w:r>
      <w:hyperlink r:id="rId6" w:history="1">
        <w:r w:rsidRPr="00225038" w:rsidR="00333753">
          <w:rPr>
            <w:rStyle w:val="Hyperlink"/>
            <w:szCs w:val="18"/>
          </w:rPr>
          <w:t>Raelynn.Remy@fcc.gov</w:t>
        </w:r>
      </w:hyperlink>
      <w:r w:rsidR="00333753">
        <w:rPr>
          <w:szCs w:val="18"/>
        </w:rPr>
        <w:t>,</w:t>
      </w:r>
      <w:r>
        <w:rPr>
          <w:szCs w:val="18"/>
        </w:rPr>
        <w:t xml:space="preserve"> of the Media Bureau, Policy Division, (202) 418-2120.</w:t>
      </w:r>
    </w:p>
    <w:p w:rsidR="00565F01" w14:paraId="7834CEB6" w14:textId="77777777">
      <w:pPr>
        <w:spacing w:after="120"/>
        <w:jc w:val="center"/>
        <w:rPr>
          <w:szCs w:val="18"/>
        </w:rPr>
      </w:pPr>
      <w:r>
        <w:rPr>
          <w:szCs w:val="18"/>
        </w:rPr>
        <w:t>-FCC-</w:t>
      </w:r>
    </w:p>
    <w:p w:rsidR="00565F01" w14:paraId="1CEB2769" w14:textId="77777777">
      <w:pPr>
        <w:rPr>
          <w:bCs/>
          <w:sz w:val="24"/>
        </w:rPr>
      </w:pPr>
    </w:p>
    <w:sectPr w:rsidSect="00587E23">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14:paraId="1C7578AC" w14:textId="77777777">
    <w:pPr>
      <w:pStyle w:val="Footer"/>
      <w:framePr w:wrap="around" w:vAnchor="text" w:hAnchor="margin" w:xAlign="center" w:y="1"/>
    </w:pPr>
    <w:r>
      <w:fldChar w:fldCharType="begin"/>
    </w:r>
    <w:r w:rsidR="00716B8E">
      <w:instrText xml:space="preserve">PAGE  </w:instrText>
    </w:r>
    <w:r>
      <w:fldChar w:fldCharType="separate"/>
    </w:r>
    <w:r>
      <w:fldChar w:fldCharType="end"/>
    </w:r>
  </w:p>
  <w:p w:rsidR="00565F01" w14:paraId="61A31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14:paraId="52C9EDC1" w14:textId="77777777">
    <w:pPr>
      <w:pStyle w:val="Footer"/>
      <w:jc w:val="center"/>
    </w:pPr>
    <w:r>
      <w:fldChar w:fldCharType="begin"/>
    </w:r>
    <w:r w:rsidR="00716B8E">
      <w:instrText xml:space="preserve"> PAGE   \* MERGEFORMAT </w:instrText>
    </w:r>
    <w:r>
      <w:fldChar w:fldCharType="separate"/>
    </w:r>
    <w:r w:rsidR="009075F9">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14:paraId="3B53AD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E71" w14:paraId="3F4CEA71" w14:textId="77777777">
      <w:r>
        <w:separator/>
      </w:r>
    </w:p>
  </w:footnote>
  <w:footnote w:type="continuationSeparator" w:id="1">
    <w:p w:rsidR="00602E71" w14:paraId="721B86E7" w14:textId="77777777">
      <w:pPr>
        <w:rPr>
          <w:sz w:val="20"/>
        </w:rPr>
      </w:pPr>
      <w:r>
        <w:rPr>
          <w:sz w:val="20"/>
        </w:rPr>
        <w:t xml:space="preserve">(Continued from previous page)  </w:t>
      </w:r>
      <w:r>
        <w:rPr>
          <w:sz w:val="20"/>
        </w:rPr>
        <w:separator/>
      </w:r>
    </w:p>
  </w:footnote>
  <w:footnote w:type="continuationNotice" w:id="2">
    <w:p w:rsidR="00602E71" w14:paraId="7030F4DF" w14:textId="77777777">
      <w:pPr>
        <w:jc w:val="right"/>
        <w:rPr>
          <w:sz w:val="20"/>
        </w:rPr>
      </w:pPr>
      <w:r>
        <w:rPr>
          <w:sz w:val="20"/>
        </w:rPr>
        <w:t>(continued….)</w:t>
      </w:r>
    </w:p>
  </w:footnote>
  <w:footnote w:id="3">
    <w:p w:rsidR="00C92F0E" w:rsidP="00FA44C3" w14:paraId="0BAB0FB8" w14:textId="70716387">
      <w:pPr>
        <w:pStyle w:val="FootnoteText"/>
      </w:pPr>
      <w:r>
        <w:rPr>
          <w:rStyle w:val="FootnoteReference"/>
          <w:sz w:val="20"/>
        </w:rPr>
        <w:footnoteRef/>
      </w:r>
      <w:r>
        <w:t xml:space="preserve"> </w:t>
      </w:r>
      <w:bookmarkStart w:id="2" w:name="_Hlk90290667"/>
      <w:r>
        <w:t xml:space="preserve">The Television Viewer Protection Act of 2019, Pub. L. No. 116-94, 133 Stat. 2534 (2019).  The TVPA was enacted as Title X of the “Further Consolidated Appropriations Act, 2020” (H.R. 1865, 116th Cong.). </w:t>
      </w:r>
      <w:r w:rsidR="00FA44C3">
        <w:t xml:space="preserve"> </w:t>
      </w:r>
      <w:r w:rsidR="005660CE">
        <w:t xml:space="preserve">The TVPA was enacted together with the Satellite Television Community Protection and Promotion Act of 2019 (STCPPA), Pub. L. No. 116-94, 133 Stat. 2534, 3201 (2019), which was enacted as Title XI of the “Further Consolidated Appropriations Act, 2020” (H.R. 1865, 116th Cong.). </w:t>
      </w:r>
      <w:r w:rsidR="005E3BD4">
        <w:t xml:space="preserve"> </w:t>
      </w:r>
      <w:r w:rsidR="005660CE">
        <w:t xml:space="preserve">The STCPPA amended the Copyright Act of 1976 to narrow the scope of the satellite distant signal statutory copyright license in 17 U.S.C. § 119, including by requiring satellite carriers to provide local-into-local service to all 210 DMAs as a pre-condition to use that license, but made the satellite distant signal statutory copyright license permanent. </w:t>
      </w:r>
      <w:r w:rsidR="000C51DF">
        <w:t xml:space="preserve"> </w:t>
      </w:r>
      <w:bookmarkEnd w:id="2"/>
    </w:p>
  </w:footnote>
  <w:footnote w:id="4">
    <w:p w:rsidR="00A670AD" w14:paraId="4F067DC5" w14:textId="3C947F3B">
      <w:pPr>
        <w:pStyle w:val="FootnoteText"/>
      </w:pPr>
      <w:r>
        <w:rPr>
          <w:rStyle w:val="FootnoteReference"/>
        </w:rPr>
        <w:footnoteRef/>
      </w:r>
      <w:r>
        <w:t xml:space="preserve"> </w:t>
      </w:r>
      <w:r w:rsidRPr="00DB5704">
        <w:t>47 U.S.C. § 562</w:t>
      </w:r>
      <w:r>
        <w:t>(a)</w:t>
      </w:r>
      <w:r w:rsidR="000E2311">
        <w:t xml:space="preserve"> (as added by section 1004(a) of the TVPA)</w:t>
      </w:r>
      <w:r w:rsidRPr="00DB5704">
        <w:t>.</w:t>
      </w:r>
    </w:p>
  </w:footnote>
  <w:footnote w:id="5">
    <w:p w:rsidR="00DC47EA" w:rsidP="00DC47EA" w14:paraId="3C86B307" w14:textId="6C450CCC">
      <w:pPr>
        <w:pStyle w:val="FootnoteText"/>
      </w:pPr>
      <w:r>
        <w:rPr>
          <w:rStyle w:val="FootnoteReference"/>
          <w:sz w:val="20"/>
        </w:rPr>
        <w:footnoteRef/>
      </w:r>
      <w:r>
        <w:t xml:space="preserve"> </w:t>
      </w:r>
      <w:r w:rsidR="007D1FE4">
        <w:t>H.R. Rep. No. 116-329, 116</w:t>
      </w:r>
      <w:r w:rsidR="007D1FE4">
        <w:rPr>
          <w:vertAlign w:val="superscript"/>
        </w:rPr>
        <w:t>th</w:t>
      </w:r>
      <w:r w:rsidR="007D1FE4">
        <w:t xml:space="preserve"> Cong., 1</w:t>
      </w:r>
      <w:r w:rsidR="007D1FE4">
        <w:rPr>
          <w:vertAlign w:val="superscript"/>
        </w:rPr>
        <w:t>st</w:t>
      </w:r>
      <w:r w:rsidR="007D1FE4">
        <w:t xml:space="preserve"> Sess. 2019 </w:t>
      </w:r>
      <w:r>
        <w:t>at 4</w:t>
      </w:r>
      <w:r w:rsidR="007D1FE4">
        <w:t xml:space="preserve"> (House Report)</w:t>
      </w:r>
      <w:r>
        <w:t xml:space="preserve">.  Section 642(a) of the Act indicates that information about fees and other charges can be provided by phone, in person, online, or by other reasonable means, and that a copy of this information must be sent to consumers by email, online link, or other reasonably comparable means not later than 24 hours after entering into a </w:t>
      </w:r>
      <w:r w:rsidRPr="00DB5704">
        <w:t>contract.  47 U.S.C. § 562</w:t>
      </w:r>
      <w:r>
        <w:t>(a)</w:t>
      </w:r>
      <w:r w:rsidRPr="00DB5704">
        <w:t>.</w:t>
      </w:r>
    </w:p>
  </w:footnote>
  <w:footnote w:id="6">
    <w:p w:rsidR="00DC47EA" w:rsidP="00DC47EA" w14:paraId="168EDB54" w14:textId="77777777">
      <w:pPr>
        <w:pStyle w:val="FootnoteText"/>
      </w:pPr>
      <w:r>
        <w:rPr>
          <w:rStyle w:val="FootnoteReference"/>
          <w:sz w:val="20"/>
        </w:rPr>
        <w:footnoteRef/>
      </w:r>
      <w:r>
        <w:t xml:space="preserve"> </w:t>
      </w:r>
      <w:r>
        <w:rPr>
          <w:i/>
          <w:iCs/>
        </w:rPr>
        <w:t xml:space="preserve">See </w:t>
      </w:r>
      <w:r>
        <w:t>House Report at 4.</w:t>
      </w:r>
    </w:p>
  </w:footnote>
  <w:footnote w:id="7">
    <w:p w:rsidR="00DC47EA" w:rsidP="00DC47EA" w14:paraId="0180D972" w14:textId="77777777">
      <w:pPr>
        <w:pStyle w:val="FootnoteText"/>
        <w:rPr>
          <w:i/>
          <w:iCs/>
        </w:rPr>
      </w:pPr>
      <w:r>
        <w:rPr>
          <w:rStyle w:val="FootnoteReference"/>
          <w:sz w:val="20"/>
        </w:rPr>
        <w:footnoteRef/>
      </w:r>
      <w:r>
        <w:t xml:space="preserve"> </w:t>
      </w:r>
      <w:r>
        <w:rPr>
          <w:i/>
          <w:iCs/>
        </w:rPr>
        <w:t>Id</w:t>
      </w:r>
      <w:r>
        <w:t>.</w:t>
      </w:r>
    </w:p>
  </w:footnote>
  <w:footnote w:id="8">
    <w:p w:rsidR="007D26F0" w:rsidRPr="005A53FA" w:rsidP="007D26F0" w14:paraId="4722992B" w14:textId="19AEC9B1">
      <w:pPr>
        <w:pStyle w:val="FootnoteText"/>
      </w:pPr>
      <w:r>
        <w:rPr>
          <w:rStyle w:val="FootnoteReference"/>
        </w:rPr>
        <w:footnoteRef/>
      </w:r>
      <w:r>
        <w:t xml:space="preserve"> </w:t>
      </w:r>
      <w:r w:rsidR="002B199F">
        <w:rPr>
          <w:i/>
          <w:iCs/>
        </w:rPr>
        <w:t>See i</w:t>
      </w:r>
      <w:r>
        <w:rPr>
          <w:i/>
          <w:iCs/>
        </w:rPr>
        <w:t>d</w:t>
      </w:r>
      <w:r w:rsidRPr="005A53FA">
        <w:t>.</w:t>
      </w:r>
      <w:r w:rsidR="002B199F">
        <w:t xml:space="preserve"> at 7.</w:t>
      </w:r>
    </w:p>
  </w:footnote>
  <w:footnote w:id="9">
    <w:p w:rsidR="007D26F0" w:rsidP="007D26F0" w14:paraId="155AEDA7" w14:textId="773C018E">
      <w:pPr>
        <w:pStyle w:val="FootnoteText"/>
      </w:pPr>
      <w:r w:rsidRPr="00901D0E">
        <w:rPr>
          <w:rStyle w:val="FootnoteReference"/>
        </w:rPr>
        <w:footnoteRef/>
      </w:r>
      <w:r w:rsidRPr="00901D0E">
        <w:t xml:space="preserve"> </w:t>
      </w:r>
      <w:r w:rsidR="002B199F">
        <w:rPr>
          <w:i/>
          <w:iCs/>
        </w:rPr>
        <w:t xml:space="preserve">See </w:t>
      </w:r>
      <w:r w:rsidR="002B199F">
        <w:t xml:space="preserve">TVPA, </w:t>
      </w:r>
      <w:r w:rsidRPr="00901D0E">
        <w:t xml:space="preserve">§ </w:t>
      </w:r>
      <w:r w:rsidR="002B199F">
        <w:t>1004</w:t>
      </w:r>
      <w:r w:rsidRPr="00901D0E">
        <w:t>(b) (“</w:t>
      </w:r>
      <w:r>
        <w:t xml:space="preserve">Section 642 of the [Act] . . . shall apply beginning on the date that is 6 months after the date of the enactment of this Act.  The [Commission] may grant an additional 6-month extension if [it] finds that good cause exists for such . . . extension.”).   </w:t>
      </w:r>
    </w:p>
  </w:footnote>
  <w:footnote w:id="10">
    <w:p w:rsidR="007D26F0" w:rsidRPr="003F17CC" w:rsidP="007D26F0" w14:paraId="5C5BD53E" w14:textId="77777777">
      <w:pPr>
        <w:pStyle w:val="FootnoteText"/>
      </w:pPr>
      <w:r>
        <w:rPr>
          <w:rStyle w:val="FootnoteReference"/>
        </w:rPr>
        <w:footnoteRef/>
      </w:r>
      <w:r>
        <w:t xml:space="preserve"> </w:t>
      </w:r>
      <w:r>
        <w:rPr>
          <w:i/>
          <w:iCs/>
        </w:rPr>
        <w:t>Implementation of Section 1004 of the Television Viewer Protection Act of 2019</w:t>
      </w:r>
      <w:r w:rsidRPr="005A53FA">
        <w:t>,</w:t>
      </w:r>
      <w:r>
        <w:rPr>
          <w:i/>
          <w:iCs/>
        </w:rPr>
        <w:t xml:space="preserve"> </w:t>
      </w:r>
      <w:r>
        <w:t>MB Docket No. 20-61</w:t>
      </w:r>
      <w:r w:rsidRPr="005A53FA">
        <w:t>, Order,</w:t>
      </w:r>
      <w:r>
        <w:t xml:space="preserve"> 35 FCC Rcd 3008 (MB 2020).</w:t>
      </w:r>
    </w:p>
  </w:footnote>
  <w:footnote w:id="11">
    <w:p w:rsidR="007D26F0" w:rsidP="007D26F0" w14:paraId="4A10807E" w14:textId="77777777">
      <w:pPr>
        <w:pStyle w:val="FootnoteText"/>
      </w:pPr>
      <w:r>
        <w:rPr>
          <w:rStyle w:val="FootnoteReference"/>
        </w:rPr>
        <w:footnoteRef/>
      </w:r>
      <w:r>
        <w:t xml:space="preserve"> </w:t>
      </w:r>
      <w:r w:rsidRPr="00D61888">
        <w:t>47 U.S.C. § 325(b)(3)(C)(vi) (as added by section 1003(a)(3) of the TVPA).</w:t>
      </w:r>
    </w:p>
  </w:footnote>
  <w:footnote w:id="12">
    <w:p w:rsidR="009727C3" w:rsidRPr="009727C3" w14:paraId="761E3ADC" w14:textId="3640EC3D">
      <w:pPr>
        <w:pStyle w:val="FootnoteText"/>
      </w:pPr>
      <w:r w:rsidRPr="00B91835">
        <w:rPr>
          <w:rStyle w:val="FootnoteReference"/>
          <w:sz w:val="20"/>
        </w:rPr>
        <w:footnoteRef/>
      </w:r>
      <w:r w:rsidRPr="009727C3">
        <w:t xml:space="preserve"> </w:t>
      </w:r>
      <w:r w:rsidRPr="00B91835" w:rsidR="006115B1">
        <w:rPr>
          <w:i/>
          <w:iCs/>
        </w:rPr>
        <w:t>Implementation of Section 1003 of the Television Viewer Protection Act of 2019</w:t>
      </w:r>
      <w:r w:rsidRPr="006115B1" w:rsidR="006115B1">
        <w:t>, MB Docket No. 20-</w:t>
      </w:r>
      <w:r w:rsidRPr="005A53FA" w:rsidR="006115B1">
        <w:t xml:space="preserve">31, Report and Order, </w:t>
      </w:r>
      <w:r w:rsidRPr="005A53FA" w:rsidR="00720F17">
        <w:t>35</w:t>
      </w:r>
      <w:r w:rsidRPr="00B91835" w:rsidR="006115B1">
        <w:t xml:space="preserve"> FCC Rcd </w:t>
      </w:r>
      <w:r w:rsidR="00720F17">
        <w:t>4961</w:t>
      </w:r>
      <w:r w:rsidR="006115B1">
        <w:t xml:space="preserve"> </w:t>
      </w:r>
      <w:r w:rsidRPr="006115B1" w:rsidR="006115B1">
        <w:t>(2020)</w:t>
      </w:r>
      <w:r w:rsidR="005E3BD4">
        <w:t xml:space="preserve"> (</w:t>
      </w:r>
      <w:r w:rsidR="005E3BD4">
        <w:rPr>
          <w:i/>
          <w:iCs/>
        </w:rPr>
        <w:t>Report and Order</w:t>
      </w:r>
      <w:r w:rsidR="005E3BD4">
        <w:t>)</w:t>
      </w:r>
      <w:r w:rsidRPr="006115B1" w:rsidR="006115B1">
        <w:t>.</w:t>
      </w:r>
    </w:p>
  </w:footnote>
  <w:footnote w:id="13">
    <w:p w:rsidR="006304A7" w14:paraId="00C50901" w14:textId="77777777">
      <w:pPr>
        <w:pStyle w:val="FootnoteText"/>
      </w:pPr>
      <w:r>
        <w:rPr>
          <w:rStyle w:val="FootnoteReference"/>
        </w:rPr>
        <w:footnoteRef/>
      </w:r>
      <w:r>
        <w:t xml:space="preserve"> </w:t>
      </w:r>
      <w:r>
        <w:rPr>
          <w:i/>
          <w:iCs/>
        </w:rPr>
        <w:t>Id</w:t>
      </w:r>
      <w:r w:rsidRPr="005A53FA">
        <w:t>.</w:t>
      </w:r>
      <w:r>
        <w:rPr>
          <w:i/>
          <w:iCs/>
        </w:rPr>
        <w:t xml:space="preserve"> </w:t>
      </w:r>
      <w:r w:rsidRPr="006304A7">
        <w:t xml:space="preserve">at </w:t>
      </w:r>
      <w:r w:rsidR="00CA1395">
        <w:t>4963</w:t>
      </w:r>
      <w:r>
        <w:t xml:space="preserve">, </w:t>
      </w:r>
      <w:r w:rsidRPr="006304A7">
        <w:t>para. 6.</w:t>
      </w:r>
    </w:p>
  </w:footnote>
  <w:footnote w:id="14">
    <w:p w:rsidR="006304A7" w14:paraId="21F7213D" w14:textId="77777777">
      <w:pPr>
        <w:pStyle w:val="FootnoteText"/>
      </w:pPr>
      <w:r>
        <w:rPr>
          <w:rStyle w:val="FootnoteReference"/>
        </w:rPr>
        <w:footnoteRef/>
      </w:r>
      <w:r>
        <w:t xml:space="preserve"> </w:t>
      </w:r>
      <w:r w:rsidRPr="00B91835">
        <w:rPr>
          <w:i/>
          <w:iCs/>
        </w:rPr>
        <w:t>Id</w:t>
      </w:r>
      <w:r w:rsidRPr="005A53FA">
        <w:t xml:space="preserve">. </w:t>
      </w:r>
      <w:r w:rsidRPr="006304A7">
        <w:t xml:space="preserve">at </w:t>
      </w:r>
      <w:r w:rsidR="00CA1395">
        <w:t>4964</w:t>
      </w:r>
      <w:r>
        <w:t xml:space="preserve">, </w:t>
      </w:r>
      <w:r w:rsidRPr="006304A7">
        <w:t>para. 7.</w:t>
      </w:r>
      <w:r w:rsidR="0031595C">
        <w:t xml:space="preserve">  In the rulemaking proceeding implementing the TVPA amendments to section 325, smaller MVPDs supported the Commission’s interpretation of these statutory terms</w:t>
      </w:r>
      <w:r w:rsidR="00376C2C">
        <w:t xml:space="preserve">.  </w:t>
      </w:r>
      <w:r w:rsidR="00376C2C">
        <w:rPr>
          <w:i/>
          <w:iCs/>
        </w:rPr>
        <w:t xml:space="preserve">See </w:t>
      </w:r>
      <w:r w:rsidR="00376C2C">
        <w:t>ACA Connects Comments in MB Docket No. 20-31, at 3 (“ACA Connects . . . agrees with the Commission’s proposal to clarify the definitions of ‘large station group’ and ‘qualified MVPD buying group.’”)</w:t>
      </w:r>
      <w:r w:rsidR="0031595C">
        <w:t>.</w:t>
      </w:r>
      <w:r w:rsidR="00376C2C">
        <w:t xml:space="preserve">  </w:t>
      </w:r>
      <w:r w:rsidR="00F6174F">
        <w:t xml:space="preserve">With the exception of defining these terms as described, the implementing rules </w:t>
      </w:r>
      <w:r w:rsidR="00B9762A">
        <w:t xml:space="preserve">adopted by the Commission </w:t>
      </w:r>
      <w:r w:rsidR="00F6174F">
        <w:t xml:space="preserve">reflect the language in the TVPA.  </w:t>
      </w:r>
      <w:r w:rsidR="001417C6">
        <w:rPr>
          <w:i/>
          <w:iCs/>
        </w:rPr>
        <w:t xml:space="preserve">See </w:t>
      </w:r>
      <w:r w:rsidRPr="007D1FE4" w:rsidR="001417C6">
        <w:rPr>
          <w:i/>
          <w:iCs/>
        </w:rPr>
        <w:t>Report and Order</w:t>
      </w:r>
      <w:r w:rsidR="001417C6">
        <w:t xml:space="preserve">, 35 FCC Rcd at 4964, para. 8.  </w:t>
      </w:r>
    </w:p>
  </w:footnote>
  <w:footnote w:id="15">
    <w:p w:rsidR="00F946C7" w14:paraId="20C2EBA4" w14:textId="77777777">
      <w:pPr>
        <w:pStyle w:val="FootnoteText"/>
      </w:pPr>
      <w:r>
        <w:rPr>
          <w:rStyle w:val="FootnoteReference"/>
        </w:rPr>
        <w:footnoteRef/>
      </w:r>
      <w:r>
        <w:t xml:space="preserve"> </w:t>
      </w:r>
      <w:r>
        <w:rPr>
          <w:i/>
          <w:iCs/>
        </w:rPr>
        <w:t>Order Implementing New Retransmission Consent Provisions</w:t>
      </w:r>
      <w:r w:rsidR="004615FA">
        <w:rPr>
          <w:i/>
          <w:iCs/>
        </w:rPr>
        <w:t xml:space="preserve"> in Television Viewer Protection Act Becomes Effective on July 20, 2020</w:t>
      </w:r>
      <w:r w:rsidRPr="005A53FA" w:rsidR="004615FA">
        <w:t>,</w:t>
      </w:r>
      <w:r w:rsidR="004615FA">
        <w:rPr>
          <w:i/>
          <w:iCs/>
        </w:rPr>
        <w:t xml:space="preserve"> </w:t>
      </w:r>
      <w:r w:rsidR="004615FA">
        <w:t>MB Docket No. 20-31</w:t>
      </w:r>
      <w:r w:rsidRPr="005A53FA" w:rsidR="004615FA">
        <w:t xml:space="preserve">, Public Notice, </w:t>
      </w:r>
      <w:r w:rsidRPr="005A53FA" w:rsidR="00B91835">
        <w:t>35</w:t>
      </w:r>
      <w:r w:rsidRPr="00B91835" w:rsidR="004615FA">
        <w:t xml:space="preserve"> FCC Rcd </w:t>
      </w:r>
      <w:r w:rsidRPr="00B91835" w:rsidR="00B91835">
        <w:t>6385</w:t>
      </w:r>
      <w:r w:rsidR="004615FA">
        <w:t xml:space="preserve"> (MB 2020).</w:t>
      </w:r>
    </w:p>
  </w:footnote>
  <w:footnote w:id="16">
    <w:p w:rsidR="006B533D" w14:paraId="70D6C6AF" w14:textId="77777777">
      <w:pPr>
        <w:pStyle w:val="FootnoteText"/>
      </w:pPr>
      <w:r>
        <w:rPr>
          <w:rStyle w:val="FootnoteReference"/>
        </w:rPr>
        <w:footnoteRef/>
      </w:r>
      <w:r>
        <w:t xml:space="preserve"> </w:t>
      </w:r>
      <w:r>
        <w:rPr>
          <w:i/>
          <w:iCs/>
        </w:rPr>
        <w:t xml:space="preserve">See </w:t>
      </w:r>
      <w:r>
        <w:t>47 U.S.C. § 562(a) (establishing requirements to ensure certain consumer rights in sales</w:t>
      </w:r>
      <w:r w:rsidR="003507AD">
        <w:t xml:space="preserve"> of covered services</w:t>
      </w:r>
      <w:r>
        <w:t xml:space="preserve">); </w:t>
      </w:r>
      <w:r>
        <w:rPr>
          <w:i/>
          <w:iCs/>
        </w:rPr>
        <w:t>id</w:t>
      </w:r>
      <w:r w:rsidRPr="00D05681">
        <w:t xml:space="preserve">. </w:t>
      </w:r>
      <w:r>
        <w:t xml:space="preserve">§ 562(b) (establishing requirements to ensure certain consumer rights </w:t>
      </w:r>
      <w:r w:rsidR="003507AD">
        <w:t>i</w:t>
      </w:r>
      <w:r>
        <w:t>n e-billing</w:t>
      </w:r>
      <w:r w:rsidR="003507AD">
        <w:t xml:space="preserve"> of covered services</w:t>
      </w:r>
      <w:r>
        <w:t>)</w:t>
      </w:r>
      <w:r w:rsidR="003507AD">
        <w:t xml:space="preserve">; </w:t>
      </w:r>
      <w:r w:rsidR="003507AD">
        <w:rPr>
          <w:i/>
          <w:iCs/>
        </w:rPr>
        <w:t>id</w:t>
      </w:r>
      <w:r w:rsidRPr="00D05681" w:rsidR="003507AD">
        <w:t>.</w:t>
      </w:r>
      <w:r w:rsidR="003507AD">
        <w:t xml:space="preserve"> § 562(c) (establishing requirements to ensure certain consumer rights to accurate equipment charges by providers of </w:t>
      </w:r>
      <w:r w:rsidR="00A92A37">
        <w:t>a “</w:t>
      </w:r>
      <w:r w:rsidR="003507AD">
        <w:t>covered service</w:t>
      </w:r>
      <w:r w:rsidR="00A92A37">
        <w:t>”</w:t>
      </w:r>
      <w:r w:rsidR="003507AD">
        <w:t xml:space="preserve"> or </w:t>
      </w:r>
      <w:r w:rsidR="00A92A37">
        <w:t>“</w:t>
      </w:r>
      <w:r w:rsidR="003507AD">
        <w:t xml:space="preserve">fixed broadband </w:t>
      </w:r>
      <w:r w:rsidR="00333753">
        <w:t>i</w:t>
      </w:r>
      <w:r w:rsidR="003507AD">
        <w:t>nternet access service</w:t>
      </w:r>
      <w:r w:rsidR="00A92A37">
        <w:t>”</w:t>
      </w:r>
      <w:r w:rsidR="003507AD">
        <w:t>).</w:t>
      </w:r>
      <w:r w:rsidR="00ED691A">
        <w:t xml:space="preserve">  </w:t>
      </w:r>
      <w:r w:rsidR="00A92A37">
        <w:t xml:space="preserve">The statute defines the term </w:t>
      </w:r>
      <w:r w:rsidR="00ED691A">
        <w:t>“</w:t>
      </w:r>
      <w:r w:rsidR="00A92A37">
        <w:t>c</w:t>
      </w:r>
      <w:r w:rsidR="00ED691A">
        <w:t>overed service”</w:t>
      </w:r>
      <w:r w:rsidR="003507AD">
        <w:t xml:space="preserve"> </w:t>
      </w:r>
      <w:r w:rsidR="00ED691A">
        <w:t xml:space="preserve">as “service provided by [an MVPD], to the extent such distributor </w:t>
      </w:r>
      <w:r w:rsidR="00974B1D">
        <w:t xml:space="preserve">is acting as [an MVPD].”  </w:t>
      </w:r>
      <w:r w:rsidR="00974B1D">
        <w:rPr>
          <w:i/>
          <w:iCs/>
        </w:rPr>
        <w:t>Id</w:t>
      </w:r>
      <w:r w:rsidRPr="00D05681" w:rsidR="00974B1D">
        <w:t xml:space="preserve">. </w:t>
      </w:r>
      <w:r w:rsidR="00974B1D">
        <w:t>§ 562(d)(3).</w:t>
      </w:r>
      <w:r>
        <w:t xml:space="preserve">  </w:t>
      </w:r>
    </w:p>
  </w:footnote>
  <w:footnote w:id="17">
    <w:p w:rsidR="00183E94" w14:paraId="7A91106F" w14:textId="77777777">
      <w:pPr>
        <w:pStyle w:val="FootnoteText"/>
      </w:pPr>
      <w:r>
        <w:rPr>
          <w:rStyle w:val="FootnoteReference"/>
        </w:rPr>
        <w:footnoteRef/>
      </w:r>
      <w:r>
        <w:t xml:space="preserve"> House Report at 7.</w:t>
      </w:r>
    </w:p>
  </w:footnote>
  <w:footnote w:id="18">
    <w:p w:rsidR="00974B1D" w14:paraId="2A30674A" w14:textId="77777777">
      <w:pPr>
        <w:pStyle w:val="FootnoteText"/>
      </w:pPr>
      <w:r>
        <w:rPr>
          <w:rStyle w:val="FootnoteReference"/>
        </w:rPr>
        <w:footnoteRef/>
      </w:r>
      <w:r>
        <w:t xml:space="preserve"> Section 642(d)(2) of the Act defines “covered equipment” as “equipment (such as a router) </w:t>
      </w:r>
      <w:r w:rsidR="00F94F14">
        <w:t xml:space="preserve">employed on the premises of a person (other than a provider of a covered service or fixed broadband </w:t>
      </w:r>
      <w:r w:rsidR="00333753">
        <w:t>i</w:t>
      </w:r>
      <w:r w:rsidR="00F94F14">
        <w:t xml:space="preserve">nternet access service) to provide a covered service or to provide fixed broadband internet access service.”  </w:t>
      </w:r>
      <w:r>
        <w:t xml:space="preserve">47 U.S.C. § 562(d)(2).   </w:t>
      </w:r>
    </w:p>
  </w:footnote>
  <w:footnote w:id="19">
    <w:p w:rsidR="00974B1D" w14:paraId="1DF74A31" w14:textId="77777777">
      <w:pPr>
        <w:pStyle w:val="FootnoteText"/>
      </w:pPr>
      <w:r>
        <w:rPr>
          <w:rStyle w:val="FootnoteReference"/>
        </w:rPr>
        <w:footnoteRef/>
      </w:r>
      <w:r>
        <w:t xml:space="preserve"> Section 642(d)(1) provides that “the term ‘broadband internet access service’ has the meaning given such term in section 8.1(b) of title 47, Code of Federal Regulations, or any successor regulation.”  </w:t>
      </w:r>
      <w:r w:rsidR="00F94F14">
        <w:rPr>
          <w:i/>
          <w:iCs/>
        </w:rPr>
        <w:t>Id</w:t>
      </w:r>
      <w:r w:rsidRPr="00D05681" w:rsidR="00F94F14">
        <w:t>.</w:t>
      </w:r>
      <w:r>
        <w:t xml:space="preserve"> § 562(d)(1).   </w:t>
      </w:r>
    </w:p>
  </w:footnote>
  <w:footnote w:id="20">
    <w:p w:rsidR="008410AC" w14:paraId="32E5F824" w14:textId="77777777">
      <w:pPr>
        <w:pStyle w:val="FootnoteText"/>
      </w:pPr>
      <w:r>
        <w:rPr>
          <w:rStyle w:val="FootnoteReference"/>
        </w:rPr>
        <w:footnoteRef/>
      </w:r>
      <w:r>
        <w:t xml:space="preserve"> </w:t>
      </w:r>
      <w:r>
        <w:rPr>
          <w:i/>
          <w:iCs/>
        </w:rPr>
        <w:t>See id</w:t>
      </w:r>
      <w:r w:rsidRPr="00D05681">
        <w:t>.</w:t>
      </w:r>
      <w:r>
        <w:t xml:space="preserve"> § 562(c)(1).   </w:t>
      </w:r>
    </w:p>
  </w:footnote>
  <w:footnote w:id="21">
    <w:p w:rsidR="008410AC" w:rsidRPr="008410AC" w14:paraId="3B6D5BB7" w14:textId="77777777">
      <w:pPr>
        <w:pStyle w:val="FootnoteText"/>
        <w:rPr>
          <w:i/>
          <w:iCs/>
        </w:rPr>
      </w:pPr>
      <w:r>
        <w:rPr>
          <w:rStyle w:val="FootnoteReference"/>
        </w:rPr>
        <w:footnoteRef/>
      </w:r>
      <w:r>
        <w:t xml:space="preserve"> </w:t>
      </w:r>
      <w:r>
        <w:rPr>
          <w:i/>
          <w:iCs/>
        </w:rPr>
        <w:t>Id</w:t>
      </w:r>
      <w:r w:rsidRPr="00D05681">
        <w:t>.</w:t>
      </w:r>
      <w:r>
        <w:rPr>
          <w:i/>
          <w:iCs/>
        </w:rPr>
        <w:t xml:space="preserve"> </w:t>
      </w:r>
      <w:r>
        <w:t xml:space="preserve">§ 562(c)(2)(A).   </w:t>
      </w:r>
    </w:p>
  </w:footnote>
  <w:footnote w:id="22">
    <w:p w:rsidR="008410AC" w14:paraId="6D643EC3" w14:textId="77777777">
      <w:pPr>
        <w:pStyle w:val="FootnoteText"/>
      </w:pPr>
      <w:r>
        <w:rPr>
          <w:rStyle w:val="FootnoteReference"/>
        </w:rPr>
        <w:footnoteRef/>
      </w:r>
      <w:r>
        <w:t xml:space="preserve"> </w:t>
      </w:r>
      <w:r>
        <w:rPr>
          <w:i/>
          <w:iCs/>
        </w:rPr>
        <w:t>Id</w:t>
      </w:r>
      <w:r w:rsidRPr="00D05681">
        <w:t>.</w:t>
      </w:r>
      <w:r>
        <w:rPr>
          <w:i/>
          <w:iCs/>
        </w:rPr>
        <w:t xml:space="preserve"> </w:t>
      </w:r>
      <w:r>
        <w:t xml:space="preserve">§ 562(c)(2)(B) (prohibiting </w:t>
      </w:r>
      <w:r w:rsidRPr="008410AC">
        <w:t>provider</w:t>
      </w:r>
      <w:r w:rsidR="0017445A">
        <w:t>s</w:t>
      </w:r>
      <w:r w:rsidRPr="008410AC">
        <w:t xml:space="preserve"> of covered service</w:t>
      </w:r>
      <w:r w:rsidR="0017445A">
        <w:t>s</w:t>
      </w:r>
      <w:r w:rsidRPr="008410AC">
        <w:t xml:space="preserve"> or fixed broadband </w:t>
      </w:r>
      <w:r w:rsidR="00333753">
        <w:t>I</w:t>
      </w:r>
      <w:r w:rsidRPr="008410AC">
        <w:t>nternet access service</w:t>
      </w:r>
      <w:r w:rsidR="0017445A">
        <w:t>s</w:t>
      </w:r>
      <w:r w:rsidRPr="008410AC">
        <w:t xml:space="preserve"> </w:t>
      </w:r>
      <w:r w:rsidR="0017445A">
        <w:t xml:space="preserve">from </w:t>
      </w:r>
      <w:r w:rsidRPr="0017445A" w:rsidR="0017445A">
        <w:t>charg</w:t>
      </w:r>
      <w:r w:rsidR="0017445A">
        <w:t>ing</w:t>
      </w:r>
      <w:r w:rsidRPr="0017445A" w:rsidR="0017445A">
        <w:t xml:space="preserve"> consumer</w:t>
      </w:r>
      <w:r w:rsidR="0017445A">
        <w:t>s</w:t>
      </w:r>
      <w:r w:rsidRPr="0017445A" w:rsidR="0017445A">
        <w:t xml:space="preserve"> for </w:t>
      </w:r>
      <w:r w:rsidR="0017445A">
        <w:t>“</w:t>
      </w:r>
      <w:r w:rsidRPr="0017445A" w:rsidR="0017445A">
        <w:t>renting, leasing, or otherwise providing to the consumer covered equipment</w:t>
      </w:r>
      <w:r w:rsidR="0017445A">
        <w:t xml:space="preserve"> . . . </w:t>
      </w:r>
      <w:r w:rsidRPr="0017445A" w:rsidR="0017445A">
        <w:rPr>
          <w:i/>
          <w:iCs/>
        </w:rPr>
        <w:t>except to the extent that the charge relates to the period beginning on the date when the provider provided the equipment to the consumer and ending on the date when the consumer returned the equipment to the provider</w:t>
      </w:r>
      <w:r w:rsidR="0017445A">
        <w:t>”) (emphasis added).</w:t>
      </w:r>
      <w:r>
        <w:t xml:space="preserve">   </w:t>
      </w:r>
    </w:p>
  </w:footnote>
  <w:footnote w:id="23">
    <w:p w:rsidR="0047757F" w14:paraId="39C8C364" w14:textId="77777777">
      <w:pPr>
        <w:pStyle w:val="FootnoteText"/>
      </w:pPr>
      <w:r>
        <w:rPr>
          <w:rStyle w:val="FootnoteReference"/>
        </w:rPr>
        <w:footnoteRef/>
      </w:r>
      <w:r>
        <w:t xml:space="preserve"> </w:t>
      </w:r>
      <w:r w:rsidRPr="00B91835">
        <w:rPr>
          <w:i/>
          <w:iCs/>
        </w:rPr>
        <w:t>Implementation of Section 1003 of the Television Viewer Protection Act of 2019</w:t>
      </w:r>
      <w:r w:rsidRPr="006115B1">
        <w:t xml:space="preserve">, MB </w:t>
      </w:r>
      <w:r w:rsidRPr="005A53FA">
        <w:t xml:space="preserve">Docket No. 20-31, </w:t>
      </w:r>
      <w:r w:rsidRPr="007D1FE4">
        <w:t>Notice of Proposed Rulemaking</w:t>
      </w:r>
      <w:r w:rsidRPr="005A53FA">
        <w:t xml:space="preserve">, 35 FCC </w:t>
      </w:r>
      <w:r w:rsidRPr="00B91835">
        <w:t xml:space="preserve">Rcd </w:t>
      </w:r>
      <w:r>
        <w:t xml:space="preserve">644, 647, para. 7 </w:t>
      </w:r>
      <w:r w:rsidRPr="006115B1">
        <w:t>(2020)</w:t>
      </w:r>
      <w:r w:rsidR="00B14D31">
        <w:t xml:space="preserve">, </w:t>
      </w:r>
      <w:r w:rsidR="00B14D31">
        <w:rPr>
          <w:i/>
          <w:iCs/>
        </w:rPr>
        <w:t xml:space="preserve">citing </w:t>
      </w:r>
      <w:r w:rsidR="00B14D31">
        <w:t>House Report at 4</w:t>
      </w:r>
      <w:r w:rsidRPr="006115B1">
        <w:t>.</w:t>
      </w:r>
    </w:p>
  </w:footnote>
  <w:footnote w:id="24">
    <w:p w:rsidR="00565F01" w14:paraId="65FC933D" w14:textId="77777777">
      <w:pPr>
        <w:pStyle w:val="FootnoteText"/>
      </w:pPr>
      <w:r>
        <w:rPr>
          <w:rStyle w:val="FootnoteReference"/>
          <w:szCs w:val="22"/>
        </w:rPr>
        <w:footnoteRef/>
      </w:r>
      <w:r>
        <w:rPr>
          <w:lang w:val="da-DK"/>
        </w:rPr>
        <w:t xml:space="preserve"> 47 CFR § 1.1200 </w:t>
      </w:r>
      <w:r>
        <w:rPr>
          <w:i/>
          <w:iCs/>
          <w:lang w:val="da-DK"/>
        </w:rPr>
        <w:t>et seq</w:t>
      </w:r>
      <w:r>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14:paraId="06D989D8" w14:textId="1B54BA3E">
    <w:pPr>
      <w:tabs>
        <w:tab w:val="center" w:pos="4680"/>
        <w:tab w:val="right" w:pos="9360"/>
      </w:tabs>
    </w:pPr>
    <w:r>
      <w:rPr>
        <w:b/>
      </w:rPr>
      <w:tab/>
      <w:t>Federal Communications Commission</w:t>
    </w:r>
    <w:r>
      <w:rPr>
        <w:b/>
      </w:rPr>
      <w:tab/>
      <w:t>DA 21-</w:t>
    </w:r>
    <w:r w:rsidR="00724C6D">
      <w:rPr>
        <w:b/>
      </w:rPr>
      <w:t>1610</w:t>
    </w:r>
  </w:p>
  <w:p w:rsidR="00565F01" w14:paraId="6289DAC4" w14:textId="54C97324">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565F01" w14:paraId="5D9A6CF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14:paraId="16BAEA50" w14:textId="3A61B0B2">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565F01" w14:textId="77777777">
                          <w:pPr>
                            <w:rPr>
                              <w:rFonts w:ascii="Arial" w:hAnsi="Arial"/>
                              <w:b/>
                            </w:rPr>
                          </w:pPr>
                          <w:r>
                            <w:rPr>
                              <w:rFonts w:ascii="Arial" w:hAnsi="Arial"/>
                              <w:b/>
                            </w:rPr>
                            <w:t>Federal Communications Commission</w:t>
                          </w:r>
                        </w:p>
                        <w:p w:rsidR="00565F01" w14:textId="77777777">
                          <w:pPr>
                            <w:rPr>
                              <w:rFonts w:ascii="Arial" w:hAnsi="Arial"/>
                              <w:b/>
                            </w:rPr>
                          </w:pPr>
                          <w:r>
                            <w:rPr>
                              <w:rFonts w:ascii="Arial" w:hAnsi="Arial"/>
                              <w:b/>
                            </w:rPr>
                            <w:t>45 L Street NE</w:t>
                          </w:r>
                        </w:p>
                        <w:p w:rsidR="00565F01"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65F01" w14:paraId="73FB2477" w14:textId="77777777">
                    <w:pPr>
                      <w:rPr>
                        <w:rFonts w:ascii="Arial" w:hAnsi="Arial"/>
                        <w:b/>
                      </w:rPr>
                    </w:pPr>
                    <w:r>
                      <w:rPr>
                        <w:rFonts w:ascii="Arial" w:hAnsi="Arial"/>
                        <w:b/>
                      </w:rPr>
                      <w:t>Federal Communications Commission</w:t>
                    </w:r>
                  </w:p>
                  <w:p w:rsidR="00565F01" w14:paraId="04B2CF49" w14:textId="77777777">
                    <w:pPr>
                      <w:rPr>
                        <w:rFonts w:ascii="Arial" w:hAnsi="Arial"/>
                        <w:b/>
                      </w:rPr>
                    </w:pPr>
                    <w:r>
                      <w:rPr>
                        <w:rFonts w:ascii="Arial" w:hAnsi="Arial"/>
                        <w:b/>
                      </w:rPr>
                      <w:t>45 L Street NE</w:t>
                    </w:r>
                  </w:p>
                  <w:p w:rsidR="00565F01" w14:paraId="5AC6E648" w14:textId="77777777">
                    <w:pPr>
                      <w:rPr>
                        <w:rFonts w:ascii="Arial" w:hAnsi="Arial"/>
                        <w:sz w:val="24"/>
                      </w:rPr>
                    </w:pPr>
                    <w:r>
                      <w:rPr>
                        <w:rFonts w:ascii="Arial" w:hAnsi="Arial"/>
                        <w:b/>
                      </w:rPr>
                      <w:t>Washington, DC 20554</w:t>
                    </w:r>
                  </w:p>
                </w:txbxContent>
              </v:textbox>
              <w10:wrap anchorx="margin"/>
            </v:shape>
          </w:pict>
        </mc:Fallback>
      </mc:AlternateContent>
    </w:r>
    <w:r w:rsidR="00716B8E">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anchor>
      </w:drawing>
    </w:r>
    <w:r w:rsidR="00716B8E">
      <w:rPr>
        <w:rFonts w:ascii="Arial" w:hAnsi="Arial" w:cs="Arial"/>
        <w:b/>
        <w:bCs/>
        <w:sz w:val="96"/>
        <w:szCs w:val="96"/>
      </w:rPr>
      <w:t>PUBLIC NOTICE</w:t>
    </w:r>
  </w:p>
  <w:p w:rsidR="00565F01" w14:paraId="1BBBB517" w14:textId="474B18B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565F01" w14:textId="77777777">
                          <w:pPr>
                            <w:spacing w:before="40"/>
                            <w:jc w:val="right"/>
                            <w:rPr>
                              <w:rFonts w:ascii="Arial" w:hAnsi="Arial"/>
                              <w:b/>
                              <w:sz w:val="16"/>
                            </w:rPr>
                          </w:pPr>
                          <w:r>
                            <w:rPr>
                              <w:rFonts w:ascii="Arial" w:hAnsi="Arial"/>
                              <w:b/>
                              <w:sz w:val="16"/>
                            </w:rPr>
                            <w:t>News Media Information 202 / 418-0500</w:t>
                          </w:r>
                        </w:p>
                        <w:p w:rsidR="00565F01"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565F01"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565F01" w14:paraId="2C0AFFC9" w14:textId="77777777">
                    <w:pPr>
                      <w:spacing w:before="40"/>
                      <w:jc w:val="right"/>
                      <w:rPr>
                        <w:rFonts w:ascii="Arial" w:hAnsi="Arial"/>
                        <w:b/>
                        <w:sz w:val="16"/>
                      </w:rPr>
                    </w:pPr>
                    <w:r>
                      <w:rPr>
                        <w:rFonts w:ascii="Arial" w:hAnsi="Arial"/>
                        <w:b/>
                        <w:sz w:val="16"/>
                      </w:rPr>
                      <w:t>News Media Information 202 / 418-0500</w:t>
                    </w:r>
                  </w:p>
                  <w:p w:rsidR="00565F01" w14:paraId="3D038FF2"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565F01" w14:paraId="4CB60D28"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1"/>
    <w:rsid w:val="00011439"/>
    <w:rsid w:val="00073FE3"/>
    <w:rsid w:val="0008294F"/>
    <w:rsid w:val="0009207A"/>
    <w:rsid w:val="000A6C6E"/>
    <w:rsid w:val="000B5BEA"/>
    <w:rsid w:val="000C51DF"/>
    <w:rsid w:val="000D5373"/>
    <w:rsid w:val="000E2311"/>
    <w:rsid w:val="000E798F"/>
    <w:rsid w:val="000F1BA3"/>
    <w:rsid w:val="0010728F"/>
    <w:rsid w:val="00114DF5"/>
    <w:rsid w:val="001417C6"/>
    <w:rsid w:val="00150472"/>
    <w:rsid w:val="0017445A"/>
    <w:rsid w:val="00183E94"/>
    <w:rsid w:val="00187A19"/>
    <w:rsid w:val="001B35D0"/>
    <w:rsid w:val="001F6922"/>
    <w:rsid w:val="00225038"/>
    <w:rsid w:val="0028191D"/>
    <w:rsid w:val="002861C1"/>
    <w:rsid w:val="002B199F"/>
    <w:rsid w:val="002C0380"/>
    <w:rsid w:val="0031595C"/>
    <w:rsid w:val="00333753"/>
    <w:rsid w:val="00334728"/>
    <w:rsid w:val="003507AD"/>
    <w:rsid w:val="00376C2C"/>
    <w:rsid w:val="00395F75"/>
    <w:rsid w:val="003A0E59"/>
    <w:rsid w:val="003E2DF9"/>
    <w:rsid w:val="003F17CC"/>
    <w:rsid w:val="00412713"/>
    <w:rsid w:val="00416A46"/>
    <w:rsid w:val="00436256"/>
    <w:rsid w:val="004615FA"/>
    <w:rsid w:val="00466DD0"/>
    <w:rsid w:val="00475016"/>
    <w:rsid w:val="0047757F"/>
    <w:rsid w:val="004830D3"/>
    <w:rsid w:val="004D5EDE"/>
    <w:rsid w:val="005211EA"/>
    <w:rsid w:val="00535D77"/>
    <w:rsid w:val="005360EE"/>
    <w:rsid w:val="0054404A"/>
    <w:rsid w:val="00565F01"/>
    <w:rsid w:val="005660CE"/>
    <w:rsid w:val="00587129"/>
    <w:rsid w:val="00587E23"/>
    <w:rsid w:val="005A53FA"/>
    <w:rsid w:val="005E3BD4"/>
    <w:rsid w:val="00602E71"/>
    <w:rsid w:val="006115B1"/>
    <w:rsid w:val="006304A7"/>
    <w:rsid w:val="00637903"/>
    <w:rsid w:val="0065165D"/>
    <w:rsid w:val="00654EF1"/>
    <w:rsid w:val="006621A5"/>
    <w:rsid w:val="00670B0C"/>
    <w:rsid w:val="0067574B"/>
    <w:rsid w:val="006B4B2F"/>
    <w:rsid w:val="006B533D"/>
    <w:rsid w:val="006C7601"/>
    <w:rsid w:val="006D7206"/>
    <w:rsid w:val="006F7CB3"/>
    <w:rsid w:val="00716B8E"/>
    <w:rsid w:val="00720F17"/>
    <w:rsid w:val="00724C6D"/>
    <w:rsid w:val="00743299"/>
    <w:rsid w:val="00790700"/>
    <w:rsid w:val="007D1FE4"/>
    <w:rsid w:val="007D2418"/>
    <w:rsid w:val="007D26F0"/>
    <w:rsid w:val="007D4377"/>
    <w:rsid w:val="0082070A"/>
    <w:rsid w:val="008410AC"/>
    <w:rsid w:val="0085000D"/>
    <w:rsid w:val="00853AFB"/>
    <w:rsid w:val="00862C46"/>
    <w:rsid w:val="0088085A"/>
    <w:rsid w:val="008A1EDE"/>
    <w:rsid w:val="008A7C51"/>
    <w:rsid w:val="008C2625"/>
    <w:rsid w:val="008E7940"/>
    <w:rsid w:val="00901D0E"/>
    <w:rsid w:val="009075F9"/>
    <w:rsid w:val="00911856"/>
    <w:rsid w:val="009206AA"/>
    <w:rsid w:val="00965FDD"/>
    <w:rsid w:val="009727C3"/>
    <w:rsid w:val="00974B1D"/>
    <w:rsid w:val="009B0EDC"/>
    <w:rsid w:val="009B48B8"/>
    <w:rsid w:val="009B4D39"/>
    <w:rsid w:val="009D1B05"/>
    <w:rsid w:val="009E60A7"/>
    <w:rsid w:val="00A02F46"/>
    <w:rsid w:val="00A670AD"/>
    <w:rsid w:val="00A700D2"/>
    <w:rsid w:val="00A92A37"/>
    <w:rsid w:val="00AD3EF1"/>
    <w:rsid w:val="00B10C5E"/>
    <w:rsid w:val="00B14D31"/>
    <w:rsid w:val="00B268EF"/>
    <w:rsid w:val="00B54F58"/>
    <w:rsid w:val="00B75F44"/>
    <w:rsid w:val="00B91835"/>
    <w:rsid w:val="00B95AF8"/>
    <w:rsid w:val="00B9762A"/>
    <w:rsid w:val="00BD01EF"/>
    <w:rsid w:val="00BE20C1"/>
    <w:rsid w:val="00BF7007"/>
    <w:rsid w:val="00C021C1"/>
    <w:rsid w:val="00C66C4A"/>
    <w:rsid w:val="00C91F5B"/>
    <w:rsid w:val="00C92F0E"/>
    <w:rsid w:val="00CA1395"/>
    <w:rsid w:val="00CF7A35"/>
    <w:rsid w:val="00D05681"/>
    <w:rsid w:val="00D15709"/>
    <w:rsid w:val="00D31213"/>
    <w:rsid w:val="00D317D0"/>
    <w:rsid w:val="00D401B9"/>
    <w:rsid w:val="00D5241B"/>
    <w:rsid w:val="00D61888"/>
    <w:rsid w:val="00D80B65"/>
    <w:rsid w:val="00DB1F75"/>
    <w:rsid w:val="00DB5704"/>
    <w:rsid w:val="00DB7162"/>
    <w:rsid w:val="00DC124B"/>
    <w:rsid w:val="00DC47EA"/>
    <w:rsid w:val="00ED1D7F"/>
    <w:rsid w:val="00ED691A"/>
    <w:rsid w:val="00EE17C9"/>
    <w:rsid w:val="00F605D1"/>
    <w:rsid w:val="00F6174F"/>
    <w:rsid w:val="00F74F42"/>
    <w:rsid w:val="00F946C7"/>
    <w:rsid w:val="00F94F14"/>
    <w:rsid w:val="00FA44C3"/>
    <w:rsid w:val="00FB48E9"/>
    <w:rsid w:val="00FC421A"/>
    <w:rsid w:val="00FD2855"/>
    <w:rsid w:val="00FE0DA6"/>
    <w:rsid w:val="00FE41A1"/>
    <w:rsid w:val="00FE7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30216C"/>
  <w15:docId w15:val="{274E24C1-370E-4281-B195-A38E9B25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87E23"/>
    <w:pPr>
      <w:widowControl w:val="0"/>
    </w:pPr>
    <w:rPr>
      <w:snapToGrid w:val="0"/>
      <w:kern w:val="28"/>
      <w:sz w:val="22"/>
    </w:rPr>
  </w:style>
  <w:style w:type="paragraph" w:styleId="Heading1">
    <w:name w:val="heading 1"/>
    <w:basedOn w:val="Normal"/>
    <w:next w:val="ParaNum"/>
    <w:qFormat/>
    <w:rsid w:val="00587E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7E23"/>
    <w:pPr>
      <w:keepNext/>
      <w:numPr>
        <w:ilvl w:val="1"/>
        <w:numId w:val="3"/>
      </w:numPr>
      <w:spacing w:after="120"/>
      <w:outlineLvl w:val="1"/>
    </w:pPr>
    <w:rPr>
      <w:b/>
    </w:rPr>
  </w:style>
  <w:style w:type="paragraph" w:styleId="Heading3">
    <w:name w:val="heading 3"/>
    <w:basedOn w:val="Normal"/>
    <w:next w:val="ParaNum"/>
    <w:qFormat/>
    <w:rsid w:val="00587E23"/>
    <w:pPr>
      <w:keepNext/>
      <w:numPr>
        <w:ilvl w:val="2"/>
        <w:numId w:val="3"/>
      </w:numPr>
      <w:tabs>
        <w:tab w:val="left" w:pos="2160"/>
      </w:tabs>
      <w:spacing w:after="120"/>
      <w:outlineLvl w:val="2"/>
    </w:pPr>
    <w:rPr>
      <w:b/>
    </w:rPr>
  </w:style>
  <w:style w:type="paragraph" w:styleId="Heading4">
    <w:name w:val="heading 4"/>
    <w:basedOn w:val="Normal"/>
    <w:next w:val="ParaNum"/>
    <w:qFormat/>
    <w:rsid w:val="00587E23"/>
    <w:pPr>
      <w:keepNext/>
      <w:numPr>
        <w:ilvl w:val="3"/>
        <w:numId w:val="3"/>
      </w:numPr>
      <w:tabs>
        <w:tab w:val="left" w:pos="2880"/>
      </w:tabs>
      <w:spacing w:after="120"/>
      <w:outlineLvl w:val="3"/>
    </w:pPr>
    <w:rPr>
      <w:b/>
    </w:rPr>
  </w:style>
  <w:style w:type="paragraph" w:styleId="Heading5">
    <w:name w:val="heading 5"/>
    <w:basedOn w:val="Normal"/>
    <w:next w:val="ParaNum"/>
    <w:qFormat/>
    <w:rsid w:val="00587E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7E23"/>
    <w:pPr>
      <w:numPr>
        <w:ilvl w:val="5"/>
        <w:numId w:val="3"/>
      </w:numPr>
      <w:tabs>
        <w:tab w:val="left" w:pos="4320"/>
      </w:tabs>
      <w:spacing w:after="120"/>
      <w:outlineLvl w:val="5"/>
    </w:pPr>
    <w:rPr>
      <w:b/>
    </w:rPr>
  </w:style>
  <w:style w:type="paragraph" w:styleId="Heading7">
    <w:name w:val="heading 7"/>
    <w:basedOn w:val="Normal"/>
    <w:next w:val="ParaNum"/>
    <w:qFormat/>
    <w:rsid w:val="00587E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7E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7E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587E23"/>
    <w:pPr>
      <w:numPr>
        <w:numId w:val="2"/>
      </w:numPr>
      <w:tabs>
        <w:tab w:val="clear" w:pos="1080"/>
        <w:tab w:val="num" w:pos="1440"/>
      </w:tabs>
      <w:spacing w:after="120"/>
    </w:pPr>
  </w:style>
  <w:style w:type="paragraph" w:styleId="EndnoteText">
    <w:name w:val="endnote text"/>
    <w:basedOn w:val="Normal"/>
    <w:semiHidden/>
    <w:rsid w:val="00587E23"/>
    <w:rPr>
      <w:sz w:val="20"/>
    </w:rPr>
  </w:style>
  <w:style w:type="character" w:styleId="EndnoteReference">
    <w:name w:val="endnote reference"/>
    <w:semiHidden/>
    <w:rsid w:val="00587E23"/>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rsid w:val="00587E2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87E23"/>
    <w:rPr>
      <w:rFonts w:ascii="Times New Roman" w:hAnsi="Times New Roman"/>
      <w:dstrike w:val="0"/>
      <w:color w:val="auto"/>
      <w:sz w:val="22"/>
      <w:vertAlign w:val="superscript"/>
    </w:rPr>
  </w:style>
  <w:style w:type="paragraph" w:styleId="TOC1">
    <w:name w:val="toc 1"/>
    <w:basedOn w:val="Normal"/>
    <w:next w:val="Normal"/>
    <w:uiPriority w:val="39"/>
    <w:rsid w:val="00587E2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7E23"/>
    <w:pPr>
      <w:tabs>
        <w:tab w:val="left" w:pos="720"/>
        <w:tab w:val="right" w:leader="dot" w:pos="9360"/>
      </w:tabs>
      <w:suppressAutoHyphens/>
      <w:ind w:left="720" w:right="720" w:hanging="360"/>
    </w:pPr>
    <w:rPr>
      <w:noProof/>
    </w:rPr>
  </w:style>
  <w:style w:type="paragraph" w:styleId="TOC3">
    <w:name w:val="toc 3"/>
    <w:basedOn w:val="Normal"/>
    <w:next w:val="Normal"/>
    <w:semiHidden/>
    <w:rsid w:val="00587E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7E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7E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7E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7E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7E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7E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7E23"/>
    <w:pPr>
      <w:tabs>
        <w:tab w:val="right" w:pos="9360"/>
      </w:tabs>
      <w:suppressAutoHyphens/>
    </w:pPr>
  </w:style>
  <w:style w:type="character" w:customStyle="1" w:styleId="EquationCaption">
    <w:name w:val="_Equation Caption"/>
    <w:rsid w:val="00587E23"/>
  </w:style>
  <w:style w:type="paragraph" w:styleId="Header">
    <w:name w:val="header"/>
    <w:basedOn w:val="Normal"/>
    <w:autoRedefine/>
    <w:rsid w:val="00587E23"/>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587E23"/>
    <w:pPr>
      <w:tabs>
        <w:tab w:val="center" w:pos="4320"/>
        <w:tab w:val="right" w:pos="8640"/>
      </w:tabs>
    </w:pPr>
  </w:style>
  <w:style w:type="character" w:styleId="PageNumber">
    <w:name w:val="page number"/>
    <w:basedOn w:val="DefaultParagraphFont"/>
    <w:rsid w:val="00587E23"/>
  </w:style>
  <w:style w:type="paragraph" w:styleId="BlockText">
    <w:name w:val="Block Text"/>
    <w:basedOn w:val="Normal"/>
    <w:rsid w:val="00587E23"/>
    <w:pPr>
      <w:spacing w:after="240"/>
      <w:ind w:left="1440" w:right="1440"/>
    </w:pPr>
  </w:style>
  <w:style w:type="paragraph" w:customStyle="1" w:styleId="Paratitle">
    <w:name w:val="Para title"/>
    <w:basedOn w:val="Normal"/>
    <w:rsid w:val="00587E23"/>
    <w:pPr>
      <w:tabs>
        <w:tab w:val="center" w:pos="9270"/>
      </w:tabs>
      <w:spacing w:after="240"/>
    </w:pPr>
    <w:rPr>
      <w:spacing w:val="-2"/>
    </w:rPr>
  </w:style>
  <w:style w:type="paragraph" w:customStyle="1" w:styleId="Bullet">
    <w:name w:val="Bullet"/>
    <w:basedOn w:val="Normal"/>
    <w:rsid w:val="00587E23"/>
    <w:pPr>
      <w:numPr>
        <w:numId w:val="1"/>
      </w:numPr>
      <w:tabs>
        <w:tab w:val="clear" w:pos="360"/>
        <w:tab w:val="left" w:pos="2160"/>
      </w:tabs>
      <w:spacing w:after="220"/>
      <w:ind w:left="2160" w:hanging="720"/>
    </w:pPr>
  </w:style>
  <w:style w:type="paragraph" w:customStyle="1" w:styleId="TableFormat">
    <w:name w:val="TableFormat"/>
    <w:basedOn w:val="Bullet"/>
    <w:rsid w:val="00587E23"/>
    <w:pPr>
      <w:numPr>
        <w:numId w:val="0"/>
      </w:numPr>
      <w:tabs>
        <w:tab w:val="clear" w:pos="2160"/>
        <w:tab w:val="left" w:pos="5040"/>
      </w:tabs>
      <w:ind w:left="5040" w:hanging="3600"/>
    </w:pPr>
  </w:style>
  <w:style w:type="paragraph" w:customStyle="1" w:styleId="TOCTitle">
    <w:name w:val="TOC Title"/>
    <w:basedOn w:val="Normal"/>
    <w:rsid w:val="00587E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7E23"/>
    <w:pPr>
      <w:jc w:val="center"/>
    </w:pPr>
    <w:rPr>
      <w:rFonts w:ascii="Times New Roman Bold" w:hAnsi="Times New Roman Bold"/>
      <w:b/>
      <w:bCs/>
      <w:caps/>
      <w:szCs w:val="22"/>
    </w:rPr>
  </w:style>
  <w:style w:type="character" w:styleId="Hyperlink">
    <w:name w:val="Hyperlink"/>
    <w:rsid w:val="00587E23"/>
    <w:rPr>
      <w:color w:val="0000FF"/>
      <w:u w:val="single"/>
    </w:rPr>
  </w:style>
  <w:style w:type="character" w:customStyle="1" w:styleId="FooterChar">
    <w:name w:val="Footer Char"/>
    <w:link w:val="Footer"/>
    <w:uiPriority w:val="99"/>
    <w:rsid w:val="00587E23"/>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uiPriority w:val="99"/>
    <w:rsid w:val="00587E23"/>
  </w:style>
  <w:style w:type="paragraph" w:styleId="ListParagraph">
    <w:name w:val="List Paragraph"/>
    <w:basedOn w:val="Normal"/>
    <w:uiPriority w:val="34"/>
    <w:qFormat/>
    <w:rsid w:val="00587E23"/>
    <w:pPr>
      <w:ind w:left="720"/>
      <w:contextualSpacing/>
    </w:pPr>
  </w:style>
  <w:style w:type="character" w:customStyle="1" w:styleId="UnresolvedMention1">
    <w:name w:val="Unresolved Mention1"/>
    <w:basedOn w:val="DefaultParagraphFont"/>
    <w:uiPriority w:val="99"/>
    <w:rsid w:val="00587E23"/>
    <w:rPr>
      <w:color w:val="605E5C"/>
      <w:shd w:val="clear" w:color="auto" w:fill="E1DFDD"/>
    </w:rPr>
  </w:style>
  <w:style w:type="paragraph" w:styleId="BalloonText">
    <w:name w:val="Balloon Text"/>
    <w:basedOn w:val="Normal"/>
    <w:link w:val="BalloonTextChar"/>
    <w:uiPriority w:val="99"/>
    <w:semiHidden/>
    <w:unhideWhenUsed/>
    <w:rsid w:val="00587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E23"/>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587E23"/>
    <w:rPr>
      <w:sz w:val="16"/>
      <w:szCs w:val="16"/>
    </w:rPr>
  </w:style>
  <w:style w:type="paragraph" w:styleId="CommentText">
    <w:name w:val="annotation text"/>
    <w:basedOn w:val="Normal"/>
    <w:link w:val="CommentTextChar"/>
    <w:uiPriority w:val="99"/>
    <w:semiHidden/>
    <w:unhideWhenUsed/>
    <w:rsid w:val="00587E23"/>
    <w:rPr>
      <w:sz w:val="20"/>
    </w:rPr>
  </w:style>
  <w:style w:type="character" w:customStyle="1" w:styleId="CommentTextChar">
    <w:name w:val="Comment Text Char"/>
    <w:basedOn w:val="DefaultParagraphFont"/>
    <w:link w:val="CommentText"/>
    <w:uiPriority w:val="99"/>
    <w:semiHidden/>
    <w:rsid w:val="00587E23"/>
    <w:rPr>
      <w:snapToGrid w:val="0"/>
      <w:kern w:val="28"/>
    </w:rPr>
  </w:style>
  <w:style w:type="paragraph" w:styleId="CommentSubject">
    <w:name w:val="annotation subject"/>
    <w:basedOn w:val="CommentText"/>
    <w:next w:val="CommentText"/>
    <w:link w:val="CommentSubjectChar"/>
    <w:uiPriority w:val="99"/>
    <w:semiHidden/>
    <w:unhideWhenUsed/>
    <w:rsid w:val="00587E23"/>
    <w:rPr>
      <w:b/>
      <w:bCs/>
    </w:rPr>
  </w:style>
  <w:style w:type="character" w:customStyle="1" w:styleId="CommentSubjectChar">
    <w:name w:val="Comment Subject Char"/>
    <w:basedOn w:val="CommentTextChar"/>
    <w:link w:val="CommentSubject"/>
    <w:uiPriority w:val="99"/>
    <w:semiHidden/>
    <w:rsid w:val="00587E23"/>
    <w:rPr>
      <w:b/>
      <w:bCs/>
      <w:snapToGrid w:val="0"/>
      <w:kern w:val="28"/>
    </w:rPr>
  </w:style>
  <w:style w:type="character" w:customStyle="1" w:styleId="FootnoteTextCharCharCharChar1">
    <w:name w:val="Footnote Text Char Char Char Char1"/>
    <w:aliases w:val="Footnote Text Char Char Char Char Char1 Char1,Footnote Text Char1 Char Char Char1 Char1,Footnote Text Char1 Char Char1,Footnote Text Char2 Char Char1,Footnote Text Char3 Char1"/>
    <w:uiPriority w:val="99"/>
    <w:rsid w:val="00114DF5"/>
  </w:style>
  <w:style w:type="character" w:customStyle="1" w:styleId="UnresolvedMention2">
    <w:name w:val="Unresolved Mention2"/>
    <w:basedOn w:val="DefaultParagraphFont"/>
    <w:uiPriority w:val="99"/>
    <w:semiHidden/>
    <w:unhideWhenUsed/>
    <w:rsid w:val="00333753"/>
    <w:rPr>
      <w:color w:val="605E5C"/>
      <w:shd w:val="clear" w:color="auto" w:fill="E1DFDD"/>
    </w:rPr>
  </w:style>
  <w:style w:type="paragraph" w:styleId="HTMLPreformatted">
    <w:name w:val="HTML Preformatted"/>
    <w:basedOn w:val="Normal"/>
    <w:link w:val="HTMLPreformattedChar"/>
    <w:uiPriority w:val="99"/>
    <w:unhideWhenUsed/>
    <w:rsid w:val="008E7940"/>
    <w:rPr>
      <w:rFonts w:ascii="Consolas" w:hAnsi="Consolas"/>
      <w:sz w:val="20"/>
    </w:rPr>
  </w:style>
  <w:style w:type="character" w:customStyle="1" w:styleId="HTMLPreformattedChar">
    <w:name w:val="HTML Preformatted Char"/>
    <w:basedOn w:val="DefaultParagraphFont"/>
    <w:link w:val="HTMLPreformatted"/>
    <w:uiPriority w:val="99"/>
    <w:rsid w:val="008E7940"/>
    <w:rPr>
      <w:rFonts w:ascii="Consolas" w:hAnsi="Consola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aelynn.Rem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