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RPr="00683723" w:rsidP="00AE2D78" w14:paraId="6966B52C" w14:textId="0E37363C">
      <w:pPr>
        <w:jc w:val="center"/>
        <w:rPr>
          <w:b/>
          <w:szCs w:val="22"/>
        </w:rPr>
      </w:pPr>
      <w:r w:rsidRPr="00683723">
        <w:rPr>
          <w:b/>
          <w:szCs w:val="22"/>
        </w:rPr>
        <w:t>Before the</w:t>
      </w:r>
    </w:p>
    <w:p w:rsidR="00AE2D78" w:rsidRPr="00683723" w:rsidP="00AE2D78" w14:paraId="24414508" w14:textId="77777777">
      <w:pPr>
        <w:jc w:val="center"/>
        <w:rPr>
          <w:b/>
          <w:szCs w:val="22"/>
        </w:rPr>
      </w:pPr>
      <w:r w:rsidRPr="00683723">
        <w:rPr>
          <w:b/>
          <w:szCs w:val="22"/>
        </w:rPr>
        <w:t>Federal Communications Commission</w:t>
      </w:r>
    </w:p>
    <w:p w:rsidR="00AE2D78" w:rsidRPr="00683723" w:rsidP="00AE2D78" w14:paraId="77021AE5" w14:textId="77777777">
      <w:pPr>
        <w:jc w:val="center"/>
        <w:rPr>
          <w:b/>
          <w:szCs w:val="22"/>
        </w:rPr>
      </w:pPr>
      <w:r w:rsidRPr="00683723">
        <w:rPr>
          <w:b/>
          <w:szCs w:val="22"/>
        </w:rPr>
        <w:t>Washington, D.C. 20554</w:t>
      </w:r>
    </w:p>
    <w:p w:rsidR="00AE2D78" w:rsidRPr="00683723" w:rsidP="00AE2D78" w14:paraId="26CEBEFA" w14:textId="77777777">
      <w:pPr>
        <w:rPr>
          <w:szCs w:val="22"/>
        </w:rPr>
      </w:pPr>
    </w:p>
    <w:tbl>
      <w:tblPr>
        <w:tblW w:w="9648" w:type="dxa"/>
        <w:tblLayout w:type="fixed"/>
        <w:tblLook w:val="0000"/>
      </w:tblPr>
      <w:tblGrid>
        <w:gridCol w:w="4698"/>
        <w:gridCol w:w="720"/>
        <w:gridCol w:w="4230"/>
      </w:tblGrid>
      <w:tr w14:paraId="6A444266" w14:textId="77777777" w:rsidTr="00197841">
        <w:tblPrEx>
          <w:tblW w:w="9648" w:type="dxa"/>
          <w:tblLayout w:type="fixed"/>
          <w:tblLook w:val="0000"/>
        </w:tblPrEx>
        <w:tc>
          <w:tcPr>
            <w:tcW w:w="4698" w:type="dxa"/>
          </w:tcPr>
          <w:p w:rsidR="00AE2D78" w:rsidRPr="00683723" w:rsidP="00197841" w14:paraId="648132FE" w14:textId="157A7616">
            <w:pPr>
              <w:ind w:right="-18"/>
              <w:rPr>
                <w:szCs w:val="22"/>
              </w:rPr>
            </w:pPr>
            <w:r w:rsidRPr="00683723">
              <w:rPr>
                <w:szCs w:val="22"/>
              </w:rPr>
              <w:t>In re Application</w:t>
            </w:r>
            <w:r w:rsidR="00E37F19">
              <w:rPr>
                <w:szCs w:val="22"/>
              </w:rPr>
              <w:t xml:space="preserve"> </w:t>
            </w:r>
            <w:r w:rsidRPr="00683723">
              <w:rPr>
                <w:szCs w:val="22"/>
              </w:rPr>
              <w:t xml:space="preserve">of  </w:t>
            </w:r>
          </w:p>
          <w:p w:rsidR="00AE2D78" w:rsidRPr="00683723" w:rsidP="00197841" w14:paraId="4B8E20A0" w14:textId="77777777">
            <w:pPr>
              <w:ind w:right="-18"/>
              <w:rPr>
                <w:szCs w:val="22"/>
              </w:rPr>
            </w:pPr>
          </w:p>
          <w:p w:rsidR="00AE2D78" w:rsidRPr="00683723" w:rsidP="00197841" w14:paraId="2686789D" w14:textId="433C4D6D">
            <w:pPr>
              <w:tabs>
                <w:tab w:val="left" w:pos="0"/>
              </w:tabs>
              <w:suppressAutoHyphens/>
              <w:ind w:left="5040" w:hanging="5040"/>
              <w:rPr>
                <w:bCs/>
                <w:szCs w:val="22"/>
              </w:rPr>
            </w:pPr>
            <w:r>
              <w:rPr>
                <w:bCs/>
                <w:szCs w:val="22"/>
              </w:rPr>
              <w:t>Birach Broadcasting Corporation</w:t>
            </w:r>
          </w:p>
          <w:p w:rsidR="00762D8E" w:rsidRPr="00683723" w:rsidP="00197841" w14:paraId="0FCDD463" w14:textId="77777777">
            <w:pPr>
              <w:tabs>
                <w:tab w:val="left" w:pos="0"/>
              </w:tabs>
              <w:suppressAutoHyphens/>
              <w:ind w:left="5040" w:hanging="5040"/>
              <w:rPr>
                <w:szCs w:val="22"/>
              </w:rPr>
            </w:pPr>
          </w:p>
          <w:p w:rsidR="002E35A6" w:rsidP="00471790" w14:paraId="56733260" w14:textId="1B725A0C">
            <w:pPr>
              <w:ind w:right="-18"/>
              <w:rPr>
                <w:szCs w:val="22"/>
              </w:rPr>
            </w:pPr>
            <w:r>
              <w:rPr>
                <w:szCs w:val="22"/>
              </w:rPr>
              <w:t>To Renew the Licenses</w:t>
            </w:r>
            <w:r>
              <w:rPr>
                <w:szCs w:val="22"/>
              </w:rPr>
              <w:t xml:space="preserve"> </w:t>
            </w:r>
            <w:r w:rsidR="00EE10B8">
              <w:rPr>
                <w:szCs w:val="22"/>
              </w:rPr>
              <w:t>of</w:t>
            </w:r>
            <w:r>
              <w:rPr>
                <w:szCs w:val="22"/>
              </w:rPr>
              <w:t xml:space="preserve"> </w:t>
            </w:r>
          </w:p>
          <w:p w:rsidR="00AE2D78" w:rsidP="00197841" w14:paraId="4F083DCD" w14:textId="66BB3865">
            <w:pPr>
              <w:ind w:right="-18"/>
              <w:rPr>
                <w:szCs w:val="22"/>
              </w:rPr>
            </w:pPr>
            <w:r>
              <w:rPr>
                <w:szCs w:val="22"/>
              </w:rPr>
              <w:t>KTUV</w:t>
            </w:r>
            <w:r w:rsidR="00071F97">
              <w:rPr>
                <w:szCs w:val="22"/>
              </w:rPr>
              <w:t>(AM)</w:t>
            </w:r>
            <w:r w:rsidR="00B14151">
              <w:rPr>
                <w:szCs w:val="22"/>
              </w:rPr>
              <w:t xml:space="preserve">, </w:t>
            </w:r>
            <w:r>
              <w:rPr>
                <w:szCs w:val="22"/>
              </w:rPr>
              <w:t>Little Rock</w:t>
            </w:r>
            <w:r w:rsidR="00B14151">
              <w:rPr>
                <w:szCs w:val="22"/>
              </w:rPr>
              <w:t xml:space="preserve">, </w:t>
            </w:r>
            <w:r>
              <w:rPr>
                <w:szCs w:val="22"/>
              </w:rPr>
              <w:t>Arkansas</w:t>
            </w:r>
            <w:r w:rsidR="000C5A63">
              <w:rPr>
                <w:szCs w:val="22"/>
              </w:rPr>
              <w:t xml:space="preserve">, </w:t>
            </w:r>
            <w:r w:rsidR="00EE10B8">
              <w:rPr>
                <w:szCs w:val="22"/>
              </w:rPr>
              <w:t>and</w:t>
            </w:r>
          </w:p>
          <w:p w:rsidR="00071F97" w:rsidRPr="00B679F1" w:rsidP="00197841" w14:paraId="6A15853A" w14:textId="376F616B">
            <w:pPr>
              <w:ind w:right="-18"/>
              <w:rPr>
                <w:b/>
                <w:szCs w:val="22"/>
              </w:rPr>
            </w:pPr>
            <w:r>
              <w:rPr>
                <w:szCs w:val="22"/>
              </w:rPr>
              <w:t>K260DT, Little Rock, Arkansas</w:t>
            </w:r>
          </w:p>
        </w:tc>
        <w:tc>
          <w:tcPr>
            <w:tcW w:w="720" w:type="dxa"/>
          </w:tcPr>
          <w:p w:rsidR="00AE2D78" w:rsidRPr="00683723" w:rsidP="00197841" w14:paraId="56A4E8DF" w14:textId="77777777">
            <w:pPr>
              <w:rPr>
                <w:b/>
                <w:szCs w:val="22"/>
              </w:rPr>
            </w:pPr>
            <w:r w:rsidRPr="00683723">
              <w:rPr>
                <w:b/>
                <w:szCs w:val="22"/>
              </w:rPr>
              <w:t>)</w:t>
            </w:r>
          </w:p>
          <w:p w:rsidR="00AE2D78" w:rsidRPr="00683723" w:rsidP="00197841" w14:paraId="0F8694F2" w14:textId="77777777">
            <w:pPr>
              <w:rPr>
                <w:b/>
                <w:szCs w:val="22"/>
              </w:rPr>
            </w:pPr>
            <w:r w:rsidRPr="00683723">
              <w:rPr>
                <w:b/>
                <w:szCs w:val="22"/>
              </w:rPr>
              <w:t>)</w:t>
            </w:r>
          </w:p>
          <w:p w:rsidR="00AE2D78" w:rsidRPr="00683723" w:rsidP="00197841" w14:paraId="390CCAE7" w14:textId="77777777">
            <w:pPr>
              <w:rPr>
                <w:b/>
                <w:szCs w:val="22"/>
              </w:rPr>
            </w:pPr>
            <w:r w:rsidRPr="00683723">
              <w:rPr>
                <w:b/>
                <w:szCs w:val="22"/>
              </w:rPr>
              <w:t>)</w:t>
            </w:r>
          </w:p>
          <w:p w:rsidR="00AE2D78" w:rsidRPr="00683723" w:rsidP="00197841" w14:paraId="3AD0C23B" w14:textId="77777777">
            <w:pPr>
              <w:rPr>
                <w:b/>
                <w:szCs w:val="22"/>
              </w:rPr>
            </w:pPr>
            <w:r w:rsidRPr="00683723">
              <w:rPr>
                <w:b/>
                <w:szCs w:val="22"/>
              </w:rPr>
              <w:t>)</w:t>
            </w:r>
          </w:p>
          <w:p w:rsidR="00AE2D78" w:rsidRPr="00683723" w:rsidP="00197841" w14:paraId="75B821C1" w14:textId="77777777">
            <w:pPr>
              <w:rPr>
                <w:b/>
                <w:szCs w:val="22"/>
              </w:rPr>
            </w:pPr>
            <w:r w:rsidRPr="00683723">
              <w:rPr>
                <w:b/>
                <w:szCs w:val="22"/>
              </w:rPr>
              <w:t>)</w:t>
            </w:r>
          </w:p>
          <w:p w:rsidR="00AE2D78" w:rsidP="00197841" w14:paraId="52351B3A" w14:textId="77777777">
            <w:pPr>
              <w:rPr>
                <w:b/>
                <w:szCs w:val="22"/>
              </w:rPr>
            </w:pPr>
            <w:r w:rsidRPr="00683723">
              <w:rPr>
                <w:b/>
                <w:szCs w:val="22"/>
              </w:rPr>
              <w:t>)</w:t>
            </w:r>
          </w:p>
          <w:p w:rsidR="00EB706C" w:rsidRPr="00683723" w:rsidP="00197841" w14:paraId="2DACACCC" w14:textId="65C1C3B2">
            <w:pPr>
              <w:rPr>
                <w:b/>
                <w:szCs w:val="22"/>
              </w:rPr>
            </w:pPr>
            <w:r>
              <w:rPr>
                <w:b/>
                <w:szCs w:val="22"/>
              </w:rPr>
              <w:t>)</w:t>
            </w:r>
          </w:p>
        </w:tc>
        <w:tc>
          <w:tcPr>
            <w:tcW w:w="4230" w:type="dxa"/>
          </w:tcPr>
          <w:p w:rsidR="00AE2D78" w:rsidRPr="00683723" w:rsidP="00197841" w14:paraId="546DDA16" w14:textId="77777777">
            <w:pPr>
              <w:rPr>
                <w:szCs w:val="22"/>
              </w:rPr>
            </w:pPr>
          </w:p>
          <w:p w:rsidR="00252A08" w:rsidRPr="00683723" w:rsidP="00252A08" w14:paraId="025078F6" w14:textId="1F89BBEB">
            <w:pPr>
              <w:rPr>
                <w:szCs w:val="22"/>
              </w:rPr>
            </w:pPr>
            <w:r w:rsidRPr="00683723">
              <w:rPr>
                <w:szCs w:val="22"/>
              </w:rPr>
              <w:t>NAL/Acct. No. MB-</w:t>
            </w:r>
            <w:r w:rsidRPr="00616B2A" w:rsidR="00616B2A">
              <w:rPr>
                <w:szCs w:val="22"/>
              </w:rPr>
              <w:t>202141410063</w:t>
            </w:r>
          </w:p>
          <w:p w:rsidR="00AE2D78" w:rsidRPr="00683723" w:rsidP="00252A08" w14:paraId="15545EE1" w14:textId="22412024">
            <w:pPr>
              <w:rPr>
                <w:szCs w:val="22"/>
              </w:rPr>
            </w:pPr>
            <w:r w:rsidRPr="00683723">
              <w:rPr>
                <w:szCs w:val="22"/>
              </w:rPr>
              <w:t xml:space="preserve">FRN:  </w:t>
            </w:r>
            <w:r w:rsidRPr="00864957" w:rsidR="00864957">
              <w:rPr>
                <w:szCs w:val="22"/>
              </w:rPr>
              <w:t>0003766847</w:t>
            </w:r>
          </w:p>
          <w:p w:rsidR="00252A08" w:rsidP="00197841" w14:paraId="6D521DDC" w14:textId="77777777">
            <w:pPr>
              <w:rPr>
                <w:szCs w:val="22"/>
              </w:rPr>
            </w:pPr>
          </w:p>
          <w:p w:rsidR="00AE2D78" w:rsidRPr="00683723" w:rsidP="00197841" w14:paraId="60C88BE4" w14:textId="4983EC5C">
            <w:pPr>
              <w:rPr>
                <w:szCs w:val="22"/>
              </w:rPr>
            </w:pPr>
            <w:r w:rsidRPr="00683723">
              <w:rPr>
                <w:szCs w:val="22"/>
              </w:rPr>
              <w:t>Facility ID No</w:t>
            </w:r>
            <w:r w:rsidR="000C5A63">
              <w:rPr>
                <w:szCs w:val="22"/>
              </w:rPr>
              <w:t>s</w:t>
            </w:r>
            <w:r w:rsidRPr="00683723">
              <w:rPr>
                <w:szCs w:val="22"/>
              </w:rPr>
              <w:t xml:space="preserve">. </w:t>
            </w:r>
            <w:r w:rsidR="00EE10B8">
              <w:rPr>
                <w:szCs w:val="22"/>
              </w:rPr>
              <w:t>34988, 202938</w:t>
            </w:r>
          </w:p>
          <w:p w:rsidR="00AE2D78" w:rsidP="00197841" w14:paraId="7C86A3AD" w14:textId="61DF9F7F">
            <w:pPr>
              <w:rPr>
                <w:szCs w:val="22"/>
              </w:rPr>
            </w:pPr>
            <w:r>
              <w:rPr>
                <w:szCs w:val="22"/>
              </w:rPr>
              <w:t xml:space="preserve">Application </w:t>
            </w:r>
            <w:r w:rsidRPr="00683723" w:rsidR="003C67E5">
              <w:rPr>
                <w:szCs w:val="22"/>
              </w:rPr>
              <w:t>File No</w:t>
            </w:r>
            <w:r w:rsidRPr="00683723" w:rsidR="00762D8E">
              <w:rPr>
                <w:szCs w:val="22"/>
              </w:rPr>
              <w:t xml:space="preserve">. </w:t>
            </w:r>
            <w:r w:rsidR="00EE10B8">
              <w:rPr>
                <w:szCs w:val="22"/>
              </w:rPr>
              <w:t>0000</w:t>
            </w:r>
            <w:r w:rsidR="000C62D7">
              <w:rPr>
                <w:szCs w:val="22"/>
              </w:rPr>
              <w:t>101513</w:t>
            </w:r>
          </w:p>
          <w:p w:rsidR="00EB706C" w:rsidRPr="00683723" w:rsidP="00197841" w14:paraId="45B5CB47" w14:textId="2692543C">
            <w:pPr>
              <w:rPr>
                <w:szCs w:val="22"/>
              </w:rPr>
            </w:pPr>
          </w:p>
        </w:tc>
      </w:tr>
    </w:tbl>
    <w:p w:rsidR="00AE2D78" w:rsidRPr="00683723" w:rsidP="00AE2D78" w14:paraId="57B43A90" w14:textId="77777777">
      <w:pPr>
        <w:rPr>
          <w:szCs w:val="22"/>
        </w:rPr>
      </w:pPr>
    </w:p>
    <w:p w:rsidR="00AE2D78" w:rsidRPr="00683723" w:rsidP="00AE2D78" w14:paraId="38379BA7" w14:textId="77777777">
      <w:pPr>
        <w:jc w:val="center"/>
        <w:rPr>
          <w:b/>
          <w:spacing w:val="-2"/>
          <w:szCs w:val="22"/>
        </w:rPr>
      </w:pPr>
      <w:r w:rsidRPr="00683723">
        <w:rPr>
          <w:b/>
          <w:spacing w:val="-2"/>
          <w:szCs w:val="22"/>
        </w:rPr>
        <w:t xml:space="preserve">MEMORANDUM OPINION AND ORDER </w:t>
      </w:r>
    </w:p>
    <w:p w:rsidR="00AE2D78" w:rsidRPr="00683723" w:rsidP="00AE2D78" w14:paraId="485B1A61" w14:textId="77777777">
      <w:pPr>
        <w:jc w:val="center"/>
        <w:rPr>
          <w:b/>
          <w:spacing w:val="-2"/>
          <w:szCs w:val="22"/>
        </w:rPr>
      </w:pPr>
      <w:r w:rsidRPr="00683723">
        <w:rPr>
          <w:b/>
          <w:spacing w:val="-2"/>
          <w:szCs w:val="22"/>
        </w:rPr>
        <w:t>AND</w:t>
      </w:r>
    </w:p>
    <w:p w:rsidR="00AE2D78" w:rsidRPr="00683723" w:rsidP="00AE2D78" w14:paraId="6A0FC45E" w14:textId="77777777">
      <w:pPr>
        <w:jc w:val="center"/>
        <w:rPr>
          <w:b/>
          <w:szCs w:val="22"/>
        </w:rPr>
      </w:pPr>
      <w:r w:rsidRPr="00683723">
        <w:rPr>
          <w:b/>
          <w:spacing w:val="-2"/>
          <w:szCs w:val="22"/>
        </w:rPr>
        <w:t>NOTICE OF APPARENT LIABILITY FOR FORFEITURE</w:t>
      </w:r>
    </w:p>
    <w:p w:rsidR="00AE2D78" w:rsidRPr="00683723" w:rsidP="00AE2D78" w14:paraId="79ED2EC6" w14:textId="77777777">
      <w:pPr>
        <w:rPr>
          <w:szCs w:val="22"/>
        </w:rPr>
      </w:pPr>
    </w:p>
    <w:p w:rsidR="00AE2D78" w:rsidRPr="00683723" w:rsidP="00AE2D78" w14:paraId="1B285FF6" w14:textId="04389E30">
      <w:pPr>
        <w:tabs>
          <w:tab w:val="left" w:pos="5760"/>
        </w:tabs>
        <w:rPr>
          <w:b/>
          <w:szCs w:val="22"/>
        </w:rPr>
      </w:pPr>
      <w:r w:rsidRPr="00683723">
        <w:rPr>
          <w:b/>
          <w:szCs w:val="22"/>
        </w:rPr>
        <w:t xml:space="preserve">Adopted: </w:t>
      </w:r>
      <w:r w:rsidRPr="00683723" w:rsidR="00787F68">
        <w:rPr>
          <w:b/>
          <w:szCs w:val="22"/>
        </w:rPr>
        <w:t xml:space="preserve"> </w:t>
      </w:r>
      <w:r w:rsidR="00C709F5">
        <w:rPr>
          <w:b/>
          <w:szCs w:val="22"/>
        </w:rPr>
        <w:t>December</w:t>
      </w:r>
      <w:r w:rsidRPr="00683723" w:rsidR="00C709F5">
        <w:rPr>
          <w:b/>
          <w:szCs w:val="22"/>
        </w:rPr>
        <w:t xml:space="preserve"> </w:t>
      </w:r>
      <w:r w:rsidR="00616B2A">
        <w:rPr>
          <w:b/>
          <w:szCs w:val="22"/>
        </w:rPr>
        <w:t>27,</w:t>
      </w:r>
      <w:r w:rsidRPr="00683723" w:rsidR="00787F68">
        <w:rPr>
          <w:b/>
          <w:szCs w:val="22"/>
        </w:rPr>
        <w:t xml:space="preserve"> 202</w:t>
      </w:r>
      <w:r w:rsidR="0044571B">
        <w:rPr>
          <w:b/>
          <w:szCs w:val="22"/>
        </w:rPr>
        <w:t>1</w:t>
      </w:r>
      <w:r w:rsidRPr="00683723">
        <w:rPr>
          <w:b/>
          <w:szCs w:val="22"/>
        </w:rPr>
        <w:tab/>
      </w:r>
      <w:r w:rsidRPr="00683723" w:rsidR="003344E3">
        <w:rPr>
          <w:b/>
          <w:szCs w:val="22"/>
        </w:rPr>
        <w:tab/>
      </w:r>
      <w:r w:rsidRPr="00683723">
        <w:rPr>
          <w:b/>
          <w:szCs w:val="22"/>
        </w:rPr>
        <w:t xml:space="preserve">Released: </w:t>
      </w:r>
      <w:r w:rsidRPr="00683723" w:rsidR="009C4B9E">
        <w:rPr>
          <w:b/>
          <w:szCs w:val="22"/>
        </w:rPr>
        <w:t xml:space="preserve"> </w:t>
      </w:r>
      <w:r w:rsidR="00C709F5">
        <w:rPr>
          <w:b/>
          <w:szCs w:val="22"/>
        </w:rPr>
        <w:t>December</w:t>
      </w:r>
      <w:r w:rsidRPr="00683723" w:rsidR="00C709F5">
        <w:rPr>
          <w:b/>
          <w:szCs w:val="22"/>
        </w:rPr>
        <w:t xml:space="preserve"> </w:t>
      </w:r>
      <w:r w:rsidR="00616B2A">
        <w:rPr>
          <w:b/>
          <w:szCs w:val="22"/>
        </w:rPr>
        <w:t>27,</w:t>
      </w:r>
      <w:r w:rsidRPr="00683723" w:rsidR="003344E3">
        <w:rPr>
          <w:b/>
          <w:szCs w:val="22"/>
        </w:rPr>
        <w:t xml:space="preserve"> 202</w:t>
      </w:r>
      <w:r w:rsidR="0044571B">
        <w:rPr>
          <w:b/>
          <w:szCs w:val="22"/>
        </w:rPr>
        <w:t>1</w:t>
      </w:r>
    </w:p>
    <w:p w:rsidR="00AE2D78" w:rsidRPr="00683723" w:rsidP="00AE2D78" w14:paraId="76F627EC" w14:textId="77777777">
      <w:pPr>
        <w:tabs>
          <w:tab w:val="left" w:pos="5760"/>
        </w:tabs>
        <w:rPr>
          <w:b/>
          <w:szCs w:val="22"/>
        </w:rPr>
      </w:pPr>
    </w:p>
    <w:p w:rsidR="00AE2D78" w:rsidRPr="00683723" w:rsidP="00AE2D78" w14:paraId="5C66747B" w14:textId="77777777">
      <w:pPr>
        <w:tabs>
          <w:tab w:val="left" w:pos="5760"/>
        </w:tabs>
        <w:rPr>
          <w:spacing w:val="-2"/>
          <w:szCs w:val="22"/>
        </w:rPr>
      </w:pPr>
      <w:r w:rsidRPr="00683723">
        <w:rPr>
          <w:szCs w:val="22"/>
        </w:rPr>
        <w:t>By the Chief, Audio Division, Media Bureau</w:t>
      </w:r>
      <w:r w:rsidRPr="00683723">
        <w:rPr>
          <w:spacing w:val="-2"/>
          <w:szCs w:val="22"/>
        </w:rPr>
        <w:t>:</w:t>
      </w:r>
    </w:p>
    <w:p w:rsidR="00AE2D78" w:rsidRPr="00683723" w:rsidP="00AE2D78" w14:paraId="618F7450" w14:textId="77777777">
      <w:pPr>
        <w:tabs>
          <w:tab w:val="left" w:pos="5760"/>
        </w:tabs>
        <w:rPr>
          <w:szCs w:val="22"/>
        </w:rPr>
      </w:pPr>
    </w:p>
    <w:p w:rsidR="00AE2D78" w:rsidRPr="00683723" w:rsidP="00C60B36" w14:paraId="576E14E7" w14:textId="77777777">
      <w:pPr>
        <w:pStyle w:val="Heading1"/>
      </w:pPr>
      <w:r w:rsidRPr="00683723">
        <w:t>INTRODUCTION</w:t>
      </w:r>
    </w:p>
    <w:p w:rsidR="0004451F" w:rsidRPr="00437DA8" w:rsidP="00F162E6" w14:paraId="382967CB" w14:textId="27460439">
      <w:pPr>
        <w:pStyle w:val="ParaNum"/>
        <w:widowControl/>
        <w:rPr>
          <w:szCs w:val="22"/>
        </w:rPr>
      </w:pPr>
      <w:r w:rsidRPr="00683723">
        <w:rPr>
          <w:szCs w:val="22"/>
        </w:rPr>
        <w:t xml:space="preserve">The </w:t>
      </w:r>
      <w:r w:rsidRPr="00F03E36">
        <w:rPr>
          <w:szCs w:val="22"/>
        </w:rPr>
        <w:t>Media Bureau (Bureau) has before it the application (Application)</w:t>
      </w:r>
      <w:r>
        <w:rPr>
          <w:rStyle w:val="FootnoteReference"/>
          <w:sz w:val="22"/>
          <w:szCs w:val="22"/>
        </w:rPr>
        <w:footnoteReference w:id="3"/>
      </w:r>
      <w:r w:rsidRPr="00F03E36">
        <w:rPr>
          <w:szCs w:val="22"/>
        </w:rPr>
        <w:t xml:space="preserve"> of </w:t>
      </w:r>
      <w:r w:rsidR="000C62D7">
        <w:rPr>
          <w:szCs w:val="22"/>
        </w:rPr>
        <w:t>Birach Broadcasting Corporation (Birach)</w:t>
      </w:r>
      <w:r w:rsidR="00A941E1">
        <w:rPr>
          <w:szCs w:val="22"/>
        </w:rPr>
        <w:t xml:space="preserve"> </w:t>
      </w:r>
      <w:r w:rsidR="000C62D7">
        <w:rPr>
          <w:szCs w:val="22"/>
        </w:rPr>
        <w:t>to</w:t>
      </w:r>
      <w:r w:rsidRPr="00F03E36">
        <w:rPr>
          <w:szCs w:val="22"/>
        </w:rPr>
        <w:t xml:space="preserve"> </w:t>
      </w:r>
      <w:r w:rsidR="000C62D7">
        <w:rPr>
          <w:szCs w:val="22"/>
        </w:rPr>
        <w:t>renew</w:t>
      </w:r>
      <w:r w:rsidRPr="00F03E36">
        <w:rPr>
          <w:szCs w:val="22"/>
        </w:rPr>
        <w:t xml:space="preserve"> </w:t>
      </w:r>
      <w:r w:rsidR="009304DD">
        <w:rPr>
          <w:szCs w:val="22"/>
        </w:rPr>
        <w:t>the licenses</w:t>
      </w:r>
      <w:r w:rsidRPr="00F03E36">
        <w:rPr>
          <w:szCs w:val="22"/>
        </w:rPr>
        <w:t xml:space="preserve"> </w:t>
      </w:r>
      <w:r w:rsidR="009304DD">
        <w:rPr>
          <w:szCs w:val="22"/>
        </w:rPr>
        <w:t>of AM station</w:t>
      </w:r>
      <w:r w:rsidR="00390B9C">
        <w:rPr>
          <w:szCs w:val="22"/>
        </w:rPr>
        <w:t xml:space="preserve"> </w:t>
      </w:r>
      <w:r w:rsidR="009304DD">
        <w:rPr>
          <w:szCs w:val="22"/>
        </w:rPr>
        <w:t>KTUV</w:t>
      </w:r>
      <w:r w:rsidR="00274409">
        <w:rPr>
          <w:szCs w:val="22"/>
        </w:rPr>
        <w:t>(AM)</w:t>
      </w:r>
      <w:r w:rsidR="00C109FC">
        <w:rPr>
          <w:szCs w:val="22"/>
        </w:rPr>
        <w:t>,</w:t>
      </w:r>
      <w:r w:rsidRPr="00F03E36" w:rsidR="00BB563D">
        <w:rPr>
          <w:szCs w:val="22"/>
        </w:rPr>
        <w:t xml:space="preserve"> </w:t>
      </w:r>
      <w:r w:rsidR="009304DD">
        <w:rPr>
          <w:szCs w:val="22"/>
        </w:rPr>
        <w:t>Little Rock</w:t>
      </w:r>
      <w:r w:rsidR="00C109FC">
        <w:rPr>
          <w:szCs w:val="22"/>
        </w:rPr>
        <w:t xml:space="preserve">, </w:t>
      </w:r>
      <w:r w:rsidR="009304DD">
        <w:rPr>
          <w:szCs w:val="22"/>
        </w:rPr>
        <w:t>Arkansas</w:t>
      </w:r>
      <w:r w:rsidR="00274409">
        <w:rPr>
          <w:szCs w:val="22"/>
        </w:rPr>
        <w:t xml:space="preserve">, and </w:t>
      </w:r>
      <w:r w:rsidR="009304DD">
        <w:rPr>
          <w:szCs w:val="22"/>
        </w:rPr>
        <w:t>associated FM translator station K260DT</w:t>
      </w:r>
      <w:r w:rsidR="00274409">
        <w:rPr>
          <w:szCs w:val="22"/>
        </w:rPr>
        <w:t xml:space="preserve">, </w:t>
      </w:r>
      <w:r w:rsidR="009304DD">
        <w:rPr>
          <w:szCs w:val="22"/>
        </w:rPr>
        <w:t>Little Rock</w:t>
      </w:r>
      <w:r w:rsidR="00274409">
        <w:rPr>
          <w:szCs w:val="22"/>
        </w:rPr>
        <w:t xml:space="preserve">, </w:t>
      </w:r>
      <w:r w:rsidR="009304DD">
        <w:rPr>
          <w:szCs w:val="22"/>
        </w:rPr>
        <w:t>Arkansas</w:t>
      </w:r>
      <w:r w:rsidRPr="00F03E36">
        <w:rPr>
          <w:szCs w:val="22"/>
        </w:rPr>
        <w:t xml:space="preserve"> (</w:t>
      </w:r>
      <w:r w:rsidRPr="00C65C51">
        <w:rPr>
          <w:szCs w:val="22"/>
        </w:rPr>
        <w:t>Station</w:t>
      </w:r>
      <w:r w:rsidRPr="00C65C51" w:rsidR="00274409">
        <w:rPr>
          <w:szCs w:val="22"/>
        </w:rPr>
        <w:t>s</w:t>
      </w:r>
      <w:r w:rsidRPr="00F03E36">
        <w:rPr>
          <w:szCs w:val="22"/>
        </w:rPr>
        <w:t xml:space="preserve">).  </w:t>
      </w:r>
      <w:r w:rsidRPr="00970F07">
        <w:t xml:space="preserve">Also before us </w:t>
      </w:r>
      <w:r w:rsidR="001144E5">
        <w:t>are Informal Objections</w:t>
      </w:r>
      <w:r w:rsidR="00504EB9">
        <w:t xml:space="preserve"> (Objections)</w:t>
      </w:r>
      <w:r w:rsidR="001144E5">
        <w:t xml:space="preserve"> to</w:t>
      </w:r>
      <w:r>
        <w:t xml:space="preserve"> </w:t>
      </w:r>
      <w:r w:rsidR="008670EC">
        <w:t xml:space="preserve">the </w:t>
      </w:r>
      <w:r>
        <w:t>Application filed by Oscar Reyes (</w:t>
      </w:r>
      <w:r w:rsidRPr="00AD7531">
        <w:t>Reyes</w:t>
      </w:r>
      <w:r>
        <w:t>), and Edward Vega (</w:t>
      </w:r>
      <w:r w:rsidRPr="00AD7531">
        <w:t>Vega</w:t>
      </w:r>
      <w:r>
        <w:t>)</w:t>
      </w:r>
      <w:r w:rsidRPr="00970F07">
        <w:t>.</w:t>
      </w:r>
      <w:r>
        <w:rPr>
          <w:rStyle w:val="FootnoteReference"/>
        </w:rPr>
        <w:footnoteReference w:id="4"/>
      </w:r>
      <w:r w:rsidRPr="00970F07">
        <w:t xml:space="preserve"> </w:t>
      </w:r>
      <w:r w:rsidRPr="00E25A8E" w:rsidR="00856B27">
        <w:rPr>
          <w:szCs w:val="22"/>
        </w:rPr>
        <w:t xml:space="preserve"> </w:t>
      </w:r>
      <w:r w:rsidRPr="00E25A8E">
        <w:rPr>
          <w:szCs w:val="22"/>
        </w:rPr>
        <w:t xml:space="preserve">In this </w:t>
      </w:r>
      <w:r w:rsidRPr="00E25A8E">
        <w:rPr>
          <w:i/>
          <w:iCs/>
          <w:szCs w:val="22"/>
        </w:rPr>
        <w:t>Memorandum Opinion and Order and Notice of Apparent Liability for Forfeiture</w:t>
      </w:r>
      <w:r w:rsidRPr="00E25A8E">
        <w:rPr>
          <w:szCs w:val="22"/>
        </w:rPr>
        <w:t xml:space="preserve"> (</w:t>
      </w:r>
      <w:r w:rsidRPr="00E909FD">
        <w:rPr>
          <w:i/>
          <w:iCs/>
          <w:szCs w:val="22"/>
        </w:rPr>
        <w:t>NAL</w:t>
      </w:r>
      <w:r w:rsidRPr="00E25A8E">
        <w:rPr>
          <w:szCs w:val="22"/>
        </w:rPr>
        <w:t>)</w:t>
      </w:r>
      <w:r w:rsidRPr="00E25A8E" w:rsidR="003364B8">
        <w:rPr>
          <w:szCs w:val="22"/>
        </w:rPr>
        <w:t>,</w:t>
      </w:r>
      <w:r>
        <w:rPr>
          <w:rStyle w:val="FootnoteReference"/>
          <w:sz w:val="22"/>
          <w:szCs w:val="22"/>
        </w:rPr>
        <w:footnoteReference w:id="5"/>
      </w:r>
      <w:r w:rsidRPr="00E25A8E">
        <w:rPr>
          <w:szCs w:val="22"/>
        </w:rPr>
        <w:t xml:space="preserve"> we find </w:t>
      </w:r>
      <w:r w:rsidRPr="00E25A8E" w:rsidR="00856B27">
        <w:rPr>
          <w:szCs w:val="22"/>
        </w:rPr>
        <w:t>Birach</w:t>
      </w:r>
      <w:r w:rsidRPr="00E25A8E">
        <w:rPr>
          <w:szCs w:val="22"/>
        </w:rPr>
        <w:t xml:space="preserve"> </w:t>
      </w:r>
      <w:r w:rsidR="00992992">
        <w:rPr>
          <w:szCs w:val="22"/>
        </w:rPr>
        <w:t xml:space="preserve">(1) </w:t>
      </w:r>
      <w:r w:rsidRPr="00E25A8E" w:rsidR="00992992">
        <w:rPr>
          <w:szCs w:val="22"/>
        </w:rPr>
        <w:t>apparently willfully violated section 7</w:t>
      </w:r>
      <w:r w:rsidR="00A625AA">
        <w:rPr>
          <w:szCs w:val="22"/>
        </w:rPr>
        <w:t>3.1740(a)(4)</w:t>
      </w:r>
      <w:r w:rsidRPr="00E25A8E" w:rsidR="00992992">
        <w:rPr>
          <w:szCs w:val="22"/>
        </w:rPr>
        <w:t xml:space="preserve"> of the Commission’s Rules (</w:t>
      </w:r>
      <w:r w:rsidRPr="0068246B" w:rsidR="00992992">
        <w:rPr>
          <w:szCs w:val="22"/>
        </w:rPr>
        <w:t>Rules</w:t>
      </w:r>
      <w:r w:rsidRPr="00E25A8E" w:rsidR="00992992">
        <w:rPr>
          <w:szCs w:val="22"/>
        </w:rPr>
        <w:t>)</w:t>
      </w:r>
      <w:r>
        <w:rPr>
          <w:rStyle w:val="FootnoteReference"/>
          <w:sz w:val="22"/>
          <w:szCs w:val="22"/>
        </w:rPr>
        <w:footnoteReference w:id="6"/>
      </w:r>
      <w:r w:rsidRPr="00E25A8E" w:rsidR="00992992">
        <w:rPr>
          <w:szCs w:val="22"/>
        </w:rPr>
        <w:t xml:space="preserve"> </w:t>
      </w:r>
      <w:r w:rsidR="0068246B">
        <w:rPr>
          <w:szCs w:val="22"/>
        </w:rPr>
        <w:t xml:space="preserve">by </w:t>
      </w:r>
      <w:r w:rsidRPr="0068246B" w:rsidR="0068246B">
        <w:rPr>
          <w:szCs w:val="22"/>
        </w:rPr>
        <w:t xml:space="preserve">discontinuing operation of </w:t>
      </w:r>
      <w:r w:rsidR="0068246B">
        <w:rPr>
          <w:szCs w:val="22"/>
        </w:rPr>
        <w:t xml:space="preserve">KTUV(AM) </w:t>
      </w:r>
      <w:r w:rsidRPr="0068246B" w:rsidR="0068246B">
        <w:rPr>
          <w:szCs w:val="22"/>
        </w:rPr>
        <w:t>without timely requesting special temporary authority (</w:t>
      </w:r>
      <w:r w:rsidRPr="00BF039D" w:rsidR="0068246B">
        <w:rPr>
          <w:szCs w:val="22"/>
        </w:rPr>
        <w:t>STA</w:t>
      </w:r>
      <w:r w:rsidRPr="0068246B" w:rsidR="0068246B">
        <w:rPr>
          <w:szCs w:val="22"/>
        </w:rPr>
        <w:t>)</w:t>
      </w:r>
      <w:r w:rsidR="00992992">
        <w:rPr>
          <w:szCs w:val="22"/>
        </w:rPr>
        <w:t xml:space="preserve">; and (2) </w:t>
      </w:r>
      <w:r w:rsidRPr="00E25A8E">
        <w:rPr>
          <w:szCs w:val="22"/>
        </w:rPr>
        <w:t xml:space="preserve">apparently </w:t>
      </w:r>
      <w:r w:rsidRPr="00E25A8E" w:rsidR="0000095C">
        <w:rPr>
          <w:szCs w:val="22"/>
        </w:rPr>
        <w:t xml:space="preserve">willfully violated section </w:t>
      </w:r>
      <w:r w:rsidRPr="00E25A8E" w:rsidR="00A815DA">
        <w:rPr>
          <w:szCs w:val="22"/>
        </w:rPr>
        <w:t>74</w:t>
      </w:r>
      <w:r w:rsidRPr="00E25A8E" w:rsidR="0000095C">
        <w:rPr>
          <w:szCs w:val="22"/>
        </w:rPr>
        <w:t>.</w:t>
      </w:r>
      <w:r w:rsidRPr="00E25A8E" w:rsidR="00A815DA">
        <w:rPr>
          <w:szCs w:val="22"/>
        </w:rPr>
        <w:t>1263</w:t>
      </w:r>
      <w:r w:rsidRPr="00437DA8" w:rsidR="00A815DA">
        <w:rPr>
          <w:szCs w:val="22"/>
        </w:rPr>
        <w:t>(c)</w:t>
      </w:r>
      <w:r w:rsidRPr="00E25A8E" w:rsidR="0000095C">
        <w:rPr>
          <w:szCs w:val="22"/>
        </w:rPr>
        <w:t xml:space="preserve"> of the </w:t>
      </w:r>
      <w:r w:rsidRPr="0068246B" w:rsidR="0000095C">
        <w:rPr>
          <w:szCs w:val="22"/>
        </w:rPr>
        <w:t>Rules</w:t>
      </w:r>
      <w:r>
        <w:rPr>
          <w:rStyle w:val="FootnoteReference"/>
          <w:sz w:val="22"/>
          <w:szCs w:val="22"/>
        </w:rPr>
        <w:footnoteReference w:id="7"/>
      </w:r>
      <w:r w:rsidRPr="00E25A8E" w:rsidR="0000095C">
        <w:rPr>
          <w:szCs w:val="22"/>
        </w:rPr>
        <w:t xml:space="preserve"> by </w:t>
      </w:r>
      <w:r w:rsidRPr="0068246B" w:rsidR="0068246B">
        <w:rPr>
          <w:szCs w:val="22"/>
        </w:rPr>
        <w:t xml:space="preserve">discontinuing operation of </w:t>
      </w:r>
      <w:r w:rsidR="0068246B">
        <w:rPr>
          <w:szCs w:val="22"/>
        </w:rPr>
        <w:t>K</w:t>
      </w:r>
      <w:r w:rsidR="00195D57">
        <w:rPr>
          <w:szCs w:val="22"/>
        </w:rPr>
        <w:t>260DT</w:t>
      </w:r>
      <w:r w:rsidRPr="0068246B" w:rsidR="0068246B">
        <w:rPr>
          <w:szCs w:val="22"/>
        </w:rPr>
        <w:t xml:space="preserve"> without timely requesting </w:t>
      </w:r>
      <w:r w:rsidR="00195D57">
        <w:rPr>
          <w:szCs w:val="22"/>
        </w:rPr>
        <w:t>STA</w:t>
      </w:r>
      <w:r w:rsidR="00B55785">
        <w:rPr>
          <w:szCs w:val="22"/>
        </w:rPr>
        <w:t xml:space="preserve">, and </w:t>
      </w:r>
      <w:r w:rsidR="00BD47AF">
        <w:rPr>
          <w:szCs w:val="22"/>
        </w:rPr>
        <w:t xml:space="preserve">(3) </w:t>
      </w:r>
      <w:r w:rsidR="00B55785">
        <w:rPr>
          <w:szCs w:val="22"/>
        </w:rPr>
        <w:t xml:space="preserve">apparently willfully </w:t>
      </w:r>
      <w:r w:rsidR="00294482">
        <w:rPr>
          <w:szCs w:val="22"/>
        </w:rPr>
        <w:t>and repeatedly violated section 73.3526 of the Rules by failing to upload or failing to timely upload materials to the KTUV(AM) online public inspection file (OPIF)</w:t>
      </w:r>
      <w:r w:rsidR="00195D57">
        <w:rPr>
          <w:szCs w:val="22"/>
        </w:rPr>
        <w:t xml:space="preserve">.  </w:t>
      </w:r>
      <w:r w:rsidR="00BE3F90">
        <w:rPr>
          <w:szCs w:val="22"/>
        </w:rPr>
        <w:t xml:space="preserve">We also find that Birach apparently violated section 1.65 of the Rules by </w:t>
      </w:r>
      <w:r w:rsidR="00BE3F90">
        <w:rPr>
          <w:szCs w:val="22"/>
        </w:rPr>
        <w:t xml:space="preserve">failing to update </w:t>
      </w:r>
      <w:r w:rsidR="005050E3">
        <w:rPr>
          <w:szCs w:val="22"/>
        </w:rPr>
        <w:t>certifications made in the Application.</w:t>
      </w:r>
      <w:r>
        <w:rPr>
          <w:rStyle w:val="FootnoteReference"/>
          <w:szCs w:val="22"/>
        </w:rPr>
        <w:footnoteReference w:id="8"/>
      </w:r>
      <w:r w:rsidR="005050E3">
        <w:rPr>
          <w:szCs w:val="22"/>
        </w:rPr>
        <w:t xml:space="preserve">  </w:t>
      </w:r>
      <w:r w:rsidRPr="00E25A8E" w:rsidR="0000095C">
        <w:rPr>
          <w:szCs w:val="22"/>
        </w:rPr>
        <w:t>Based upon our review of the facts and circumstances before us, we</w:t>
      </w:r>
      <w:r w:rsidR="00267F56">
        <w:rPr>
          <w:szCs w:val="22"/>
        </w:rPr>
        <w:t xml:space="preserve"> grant in part and otherwise deny the Objections, and </w:t>
      </w:r>
      <w:r w:rsidRPr="00E25A8E" w:rsidR="0000095C">
        <w:rPr>
          <w:szCs w:val="22"/>
        </w:rPr>
        <w:t xml:space="preserve">conclude that </w:t>
      </w:r>
      <w:r w:rsidRPr="00437DA8" w:rsidR="00750F3B">
        <w:rPr>
          <w:szCs w:val="22"/>
        </w:rPr>
        <w:t>Birach</w:t>
      </w:r>
      <w:r w:rsidRPr="00437DA8" w:rsidR="0000095C">
        <w:rPr>
          <w:szCs w:val="22"/>
        </w:rPr>
        <w:t xml:space="preserve"> is apparently liable for a monetary forfeiture in the amount of </w:t>
      </w:r>
      <w:r w:rsidRPr="0076311C" w:rsidR="002B0A69">
        <w:rPr>
          <w:szCs w:val="22"/>
        </w:rPr>
        <w:t>seven</w:t>
      </w:r>
      <w:r w:rsidRPr="0076311C" w:rsidR="0076311C">
        <w:rPr>
          <w:szCs w:val="22"/>
        </w:rPr>
        <w:t>teen</w:t>
      </w:r>
      <w:r w:rsidRPr="0076311C" w:rsidR="002B0A69">
        <w:rPr>
          <w:szCs w:val="22"/>
        </w:rPr>
        <w:t xml:space="preserve"> thousand five hundred</w:t>
      </w:r>
      <w:r w:rsidRPr="0076311C" w:rsidR="0000095C">
        <w:rPr>
          <w:szCs w:val="22"/>
        </w:rPr>
        <w:t xml:space="preserve"> dollars </w:t>
      </w:r>
      <w:r w:rsidRPr="0076311C" w:rsidR="002B0A69">
        <w:rPr>
          <w:szCs w:val="22"/>
        </w:rPr>
        <w:t>($</w:t>
      </w:r>
      <w:r w:rsidR="00EB12CA">
        <w:rPr>
          <w:szCs w:val="22"/>
        </w:rPr>
        <w:t>1</w:t>
      </w:r>
      <w:r w:rsidRPr="0076311C" w:rsidR="002B0A69">
        <w:rPr>
          <w:szCs w:val="22"/>
        </w:rPr>
        <w:t>7,500).</w:t>
      </w:r>
      <w:r w:rsidRPr="00437DA8">
        <w:rPr>
          <w:szCs w:val="22"/>
        </w:rPr>
        <w:t xml:space="preserve">  </w:t>
      </w:r>
    </w:p>
    <w:p w:rsidR="00AE2D78" w:rsidRPr="00437DA8" w:rsidP="00C60B36" w14:paraId="5C359F4E" w14:textId="0E11BD54">
      <w:pPr>
        <w:pStyle w:val="Heading1"/>
      </w:pPr>
      <w:r w:rsidRPr="00437DA8">
        <w:t>BACKGROUND</w:t>
      </w:r>
    </w:p>
    <w:p w:rsidR="0086419A" w:rsidP="00437DA8" w14:paraId="6C31D2F4" w14:textId="08D93010">
      <w:pPr>
        <w:pStyle w:val="ParaNum"/>
        <w:widowControl/>
      </w:pPr>
      <w:r>
        <w:t xml:space="preserve">On January 29, 2020, Birach filed </w:t>
      </w:r>
      <w:r>
        <w:t>the Application</w:t>
      </w:r>
      <w:r>
        <w:t xml:space="preserve">.  </w:t>
      </w:r>
      <w:r w:rsidR="00F162E6">
        <w:t>Therein</w:t>
      </w:r>
      <w:r>
        <w:t xml:space="preserve">, Birach </w:t>
      </w:r>
      <w:r w:rsidR="0012058C">
        <w:t xml:space="preserve">certified that </w:t>
      </w:r>
      <w:r w:rsidR="00CB1A44">
        <w:t xml:space="preserve">(1) </w:t>
      </w:r>
      <w:r w:rsidRPr="00CB1A44" w:rsidR="00CB1A44">
        <w:t xml:space="preserve">with respect to the </w:t>
      </w:r>
      <w:r w:rsidR="00CB1A44">
        <w:t>Stations</w:t>
      </w:r>
      <w:r w:rsidRPr="00CB1A44" w:rsidR="00CB1A44">
        <w:t>,</w:t>
      </w:r>
      <w:r w:rsidR="002750C6">
        <w:t xml:space="preserve"> during the preceding license term,</w:t>
      </w:r>
      <w:r w:rsidRPr="00CB1A44" w:rsidR="00CB1A44">
        <w:t xml:space="preserve"> </w:t>
      </w:r>
      <w:r w:rsidR="00DD67C6">
        <w:t>there had been</w:t>
      </w:r>
      <w:r w:rsidRPr="00CB1A44" w:rsidR="00CB1A44">
        <w:t xml:space="preserve"> </w:t>
      </w:r>
      <w:r w:rsidR="00DD67C6">
        <w:t>“</w:t>
      </w:r>
      <w:r w:rsidRPr="00CB1A44" w:rsidR="00CB1A44">
        <w:t>no violations by the licensee of the Communications Act of 1934, as amended, or the rules or regulations of the Commission</w:t>
      </w:r>
      <w:r w:rsidR="00E63D33">
        <w:t>;” (2</w:t>
      </w:r>
      <w:r w:rsidR="002750C6">
        <w:t xml:space="preserve">) </w:t>
      </w:r>
      <w:r w:rsidRPr="00E92BF3" w:rsidR="00E92BF3">
        <w:t xml:space="preserve">the </w:t>
      </w:r>
      <w:r w:rsidR="00DD67C6">
        <w:t>Stations had</w:t>
      </w:r>
      <w:r w:rsidRPr="00E92BF3" w:rsidR="00E92BF3">
        <w:t xml:space="preserve"> </w:t>
      </w:r>
      <w:r w:rsidR="00DD67C6">
        <w:t>“</w:t>
      </w:r>
      <w:r w:rsidRPr="00E92BF3" w:rsidR="00E92BF3">
        <w:t>not been silent (or operating for less than its prescribed minimum operating hours) for any period of more than 30 days</w:t>
      </w:r>
      <w:r w:rsidR="00DD67C6">
        <w:t>”</w:t>
      </w:r>
      <w:r w:rsidR="002750C6">
        <w:t xml:space="preserve"> during the preceding license term;</w:t>
      </w:r>
      <w:r w:rsidR="00DD67C6">
        <w:t xml:space="preserve"> and (3) </w:t>
      </w:r>
      <w:r w:rsidR="002750C6">
        <w:t>the Stations were</w:t>
      </w:r>
      <w:r w:rsidRPr="00370892" w:rsidR="00370892">
        <w:t xml:space="preserve"> </w:t>
      </w:r>
      <w:r w:rsidR="002750C6">
        <w:t>“</w:t>
      </w:r>
      <w:r w:rsidRPr="00370892" w:rsidR="00370892">
        <w:t>currently on the air broadcasting programming intended to be received by the publi</w:t>
      </w:r>
      <w:r w:rsidR="00370892">
        <w:t>c.”</w:t>
      </w:r>
      <w:r>
        <w:rPr>
          <w:rStyle w:val="FootnoteReference"/>
        </w:rPr>
        <w:footnoteReference w:id="9"/>
      </w:r>
    </w:p>
    <w:p w:rsidR="00B05988" w:rsidP="00B05988" w14:paraId="10415341" w14:textId="2E70F1AF">
      <w:pPr>
        <w:pStyle w:val="ParaNum"/>
      </w:pPr>
      <w:r>
        <w:t xml:space="preserve">On March 6, 2020, KTUV(AM) went silent due to the “catastrophic failure of its transmitter.”  Because KTUV(AM) had gone silent, K260DT also went off the air on March 6, 2020.  </w:t>
      </w:r>
      <w:r w:rsidR="00406039">
        <w:t>The Stations’ discontinued operations were</w:t>
      </w:r>
      <w:r w:rsidR="00B52574">
        <w:t xml:space="preserve"> brought to our attention on May 20, 2020, when </w:t>
      </w:r>
      <w:r w:rsidR="001728BD">
        <w:t xml:space="preserve">Reyes </w:t>
      </w:r>
      <w:r w:rsidR="005248B0">
        <w:t xml:space="preserve">filed the Reyes Objection and alleged </w:t>
      </w:r>
      <w:r w:rsidR="00935042">
        <w:t>that the Stations were both silent</w:t>
      </w:r>
      <w:r w:rsidR="00B52574">
        <w:t>.</w:t>
      </w:r>
      <w:r>
        <w:rPr>
          <w:rStyle w:val="FootnoteReference"/>
          <w:rFonts w:eastAsia="Calibri"/>
          <w:noProof/>
        </w:rPr>
        <w:footnoteReference w:id="10"/>
      </w:r>
      <w:r w:rsidR="00B52574">
        <w:t xml:space="preserve">  In response, on May 22, 2020, </w:t>
      </w:r>
      <w:r w:rsidR="009B3108">
        <w:t xml:space="preserve">Birach </w:t>
      </w:r>
      <w:r w:rsidR="00050372">
        <w:t>filed requests for STA</w:t>
      </w:r>
      <w:r>
        <w:t xml:space="preserve"> for </w:t>
      </w:r>
      <w:r w:rsidR="00B52574">
        <w:t>both of the Stations</w:t>
      </w:r>
      <w:r>
        <w:t xml:space="preserve"> to remain silent</w:t>
      </w:r>
      <w:r w:rsidR="00050372">
        <w:t xml:space="preserve"> (STA Requests).</w:t>
      </w:r>
      <w:r>
        <w:rPr>
          <w:rStyle w:val="FootnoteReference"/>
        </w:rPr>
        <w:footnoteReference w:id="11"/>
      </w:r>
      <w:r>
        <w:t xml:space="preserve"> </w:t>
      </w:r>
    </w:p>
    <w:p w:rsidR="00114FE4" w:rsidP="002D4F0C" w14:paraId="2EBCB090" w14:textId="6361FD20">
      <w:pPr>
        <w:pStyle w:val="ParaNum"/>
      </w:pPr>
      <w:r>
        <w:t>Then, on</w:t>
      </w:r>
      <w:r>
        <w:t xml:space="preserve"> June 10, 2020, Birach </w:t>
      </w:r>
      <w:r w:rsidR="00B26440">
        <w:t>opposed</w:t>
      </w:r>
      <w:r>
        <w:t xml:space="preserve"> </w:t>
      </w:r>
      <w:r w:rsidR="00D033D1">
        <w:t xml:space="preserve">the </w:t>
      </w:r>
      <w:r>
        <w:t xml:space="preserve">Reyes Objection.  Birach </w:t>
      </w:r>
      <w:r w:rsidR="00D033D1">
        <w:t>questioned</w:t>
      </w:r>
      <w:r>
        <w:t xml:space="preserve"> </w:t>
      </w:r>
      <w:r w:rsidR="005A0A58">
        <w:t>“the validity of the Reyes Objection</w:t>
      </w:r>
      <w:r>
        <w:t>.</w:t>
      </w:r>
      <w:r w:rsidR="005A0A58">
        <w:t>”</w:t>
      </w:r>
      <w:r>
        <w:rPr>
          <w:rStyle w:val="FootnoteReference"/>
        </w:rPr>
        <w:footnoteReference w:id="12"/>
      </w:r>
      <w:r>
        <w:t xml:space="preserve">  </w:t>
      </w:r>
      <w:r w:rsidR="0070583C">
        <w:t xml:space="preserve">Birach </w:t>
      </w:r>
      <w:r w:rsidR="007F5649">
        <w:t>acknowledged that K260DT was silent</w:t>
      </w:r>
      <w:r w:rsidR="00AA0D89">
        <w:t>, and</w:t>
      </w:r>
      <w:r w:rsidR="00FB652B">
        <w:t xml:space="preserve"> indicated that “requests for silent authority are on file</w:t>
      </w:r>
      <w:r w:rsidR="00AA0D89">
        <w:t>.</w:t>
      </w:r>
      <w:r w:rsidR="00FB652B">
        <w:t>”</w:t>
      </w:r>
      <w:r>
        <w:rPr>
          <w:rStyle w:val="FootnoteReference"/>
        </w:rPr>
        <w:footnoteReference w:id="13"/>
      </w:r>
      <w:r w:rsidR="00FB652B">
        <w:t xml:space="preserve"> </w:t>
      </w:r>
      <w:r w:rsidR="00AA0D89">
        <w:t xml:space="preserve"> </w:t>
      </w:r>
      <w:r w:rsidR="00FB652B">
        <w:t xml:space="preserve"> </w:t>
      </w:r>
      <w:r w:rsidR="00050372">
        <w:t>Shortly, thereafter, we granted the STA requests.</w:t>
      </w:r>
      <w:r>
        <w:rPr>
          <w:rStyle w:val="FootnoteReference"/>
        </w:rPr>
        <w:footnoteReference w:id="14"/>
      </w:r>
      <w:r w:rsidR="00050372">
        <w:t xml:space="preserve">  </w:t>
      </w:r>
      <w:r w:rsidR="009110AF">
        <w:t xml:space="preserve">However, we specifically </w:t>
      </w:r>
      <w:r w:rsidR="00AD7EE2">
        <w:t>noted</w:t>
      </w:r>
      <w:r w:rsidR="009110AF">
        <w:t xml:space="preserve"> that Birach had “failed to submit a timely request for an STA to permit [the station] to remain silent beyond April 6, 2020,” and that “the action taken herein shall not be construed as authorizing the station to remain silent between April 6, 2020, and May 22, 2020.”</w:t>
      </w:r>
      <w:r>
        <w:rPr>
          <w:rStyle w:val="FootnoteReference"/>
        </w:rPr>
        <w:footnoteReference w:id="15"/>
      </w:r>
      <w:r w:rsidR="009110AF">
        <w:t xml:space="preserve">  </w:t>
      </w:r>
    </w:p>
    <w:p w:rsidR="00AB6C75" w:rsidP="00DF546E" w14:paraId="146C1F5F" w14:textId="5B03FB68">
      <w:pPr>
        <w:pStyle w:val="ParaNum"/>
      </w:pPr>
      <w:r w:rsidRPr="004C5FF4">
        <w:t xml:space="preserve">On June 26, 2020, </w:t>
      </w:r>
      <w:r w:rsidR="00D21D21">
        <w:t xml:space="preserve">Reyes and Vega </w:t>
      </w:r>
      <w:r w:rsidRPr="004C5FF4">
        <w:t>filed</w:t>
      </w:r>
      <w:r>
        <w:t xml:space="preserve"> a pleading that serves as Reyes’ reply to the Opposition, and as Vega’s informal objection to </w:t>
      </w:r>
      <w:r w:rsidR="008352BF">
        <w:t>the Application</w:t>
      </w:r>
      <w:r>
        <w:t xml:space="preserve">.  Therein, </w:t>
      </w:r>
      <w:r w:rsidR="00D21D21">
        <w:t>Reyes and Vega</w:t>
      </w:r>
      <w:r w:rsidR="00591F1B">
        <w:t xml:space="preserve"> </w:t>
      </w:r>
      <w:r w:rsidR="00D21D21">
        <w:t>assert</w:t>
      </w:r>
      <w:r w:rsidRPr="00307E89" w:rsidR="00591F1B">
        <w:t xml:space="preserve"> the Reyes Objection was submitted with Reyes’ consent and </w:t>
      </w:r>
      <w:r w:rsidR="00D21D21">
        <w:t>is</w:t>
      </w:r>
      <w:r w:rsidRPr="00307E89" w:rsidR="00591F1B">
        <w:t xml:space="preserve"> legitimate.</w:t>
      </w:r>
      <w:r>
        <w:rPr>
          <w:rStyle w:val="FootnoteReference"/>
          <w:szCs w:val="22"/>
        </w:rPr>
        <w:footnoteReference w:id="16"/>
      </w:r>
      <w:r w:rsidRPr="00307E89" w:rsidR="00591F1B">
        <w:t xml:space="preserve">  </w:t>
      </w:r>
      <w:r w:rsidR="00591F1B">
        <w:t xml:space="preserve">They </w:t>
      </w:r>
      <w:r w:rsidR="002C4809">
        <w:t xml:space="preserve">also </w:t>
      </w:r>
      <w:r w:rsidR="00C710A8">
        <w:t>state</w:t>
      </w:r>
      <w:r w:rsidR="002C4809">
        <w:t xml:space="preserve"> that </w:t>
      </w:r>
      <w:r>
        <w:t>K260DT had been off the air since March 2020</w:t>
      </w:r>
      <w:r w:rsidR="00F43213">
        <w:t>.</w:t>
      </w:r>
      <w:r>
        <w:rPr>
          <w:rStyle w:val="FootnoteReference"/>
        </w:rPr>
        <w:footnoteReference w:id="17"/>
      </w:r>
    </w:p>
    <w:p w:rsidR="003A102A" w:rsidRPr="003A102A" w:rsidP="00C60B36" w14:paraId="6498595E" w14:textId="77777777">
      <w:pPr>
        <w:pStyle w:val="Heading1"/>
      </w:pPr>
      <w:r w:rsidRPr="00683723">
        <w:t>DISCUSSION</w:t>
      </w:r>
      <w:r w:rsidRPr="003A102A">
        <w:t xml:space="preserve"> </w:t>
      </w:r>
    </w:p>
    <w:p w:rsidR="00861ED1" w:rsidP="00C710A8" w14:paraId="651F8BFA" w14:textId="17208438">
      <w:pPr>
        <w:pStyle w:val="ParaNum"/>
        <w:widowControl/>
      </w:pPr>
      <w:r>
        <w:rPr>
          <w:i/>
          <w:iCs/>
        </w:rPr>
        <w:t>Legitimacy of Reyes Objection</w:t>
      </w:r>
      <w:r>
        <w:t xml:space="preserve">.  </w:t>
      </w:r>
      <w:r>
        <w:t xml:space="preserve">At the outset, we consider and reject Birach’s assertion that the Reyes Objection </w:t>
      </w:r>
      <w:r w:rsidR="0093075B">
        <w:t>is</w:t>
      </w:r>
      <w:r>
        <w:t xml:space="preserve"> illegitimate</w:t>
      </w:r>
      <w:r w:rsidRPr="00BA58BD">
        <w:t>.</w:t>
      </w:r>
      <w:r>
        <w:rPr>
          <w:rStyle w:val="FootnoteReference"/>
        </w:rPr>
        <w:footnoteReference w:id="18"/>
      </w:r>
      <w:r>
        <w:t xml:space="preserve">  </w:t>
      </w:r>
      <w:r w:rsidR="00F22EE6">
        <w:t>Birach</w:t>
      </w:r>
      <w:r>
        <w:t xml:space="preserve"> submitted an email that purports to summarize statements made by Reyes indicating he did not file the Reyes Objection,</w:t>
      </w:r>
      <w:r>
        <w:rPr>
          <w:rStyle w:val="FootnoteReference"/>
        </w:rPr>
        <w:footnoteReference w:id="19"/>
      </w:r>
      <w:r>
        <w:t xml:space="preserve"> but Reyes and Vega both state that Reyes did file the Reyes Objection.</w:t>
      </w:r>
      <w:r>
        <w:rPr>
          <w:rStyle w:val="FootnoteReference"/>
        </w:rPr>
        <w:footnoteReference w:id="20"/>
      </w:r>
      <w:r>
        <w:t xml:space="preserve">  Because there</w:t>
      </w:r>
      <w:r w:rsidRPr="00155798">
        <w:t xml:space="preserve"> </w:t>
      </w:r>
      <w:r>
        <w:t>is</w:t>
      </w:r>
      <w:r w:rsidRPr="00155798">
        <w:t xml:space="preserve"> conflicting </w:t>
      </w:r>
      <w:r>
        <w:t>evidence</w:t>
      </w:r>
      <w:r w:rsidRPr="00155798">
        <w:t xml:space="preserve"> in the record</w:t>
      </w:r>
      <w:r>
        <w:t>, we must exercise our discretion to determine “how much weight to accord disputed facts</w:t>
      </w:r>
      <w:r w:rsidRPr="00861ED1">
        <w:rPr>
          <w:color w:val="212121"/>
          <w:szCs w:val="22"/>
          <w:shd w:val="clear" w:color="auto" w:fill="FFFFFF"/>
        </w:rPr>
        <w:t>."</w:t>
      </w:r>
      <w:r>
        <w:rPr>
          <w:rStyle w:val="FootnoteReference"/>
          <w:szCs w:val="22"/>
          <w:shd w:val="clear" w:color="auto" w:fill="FFFFFF"/>
        </w:rPr>
        <w:footnoteReference w:id="21"/>
      </w:r>
      <w:r w:rsidRPr="00861ED1">
        <w:rPr>
          <w:color w:val="212121"/>
          <w:szCs w:val="22"/>
          <w:shd w:val="clear" w:color="auto" w:fill="FFFFFF"/>
        </w:rPr>
        <w:t xml:space="preserve"> </w:t>
      </w:r>
      <w:r w:rsidRPr="00861ED1">
        <w:rPr>
          <w:szCs w:val="22"/>
        </w:rPr>
        <w:t xml:space="preserve"> Having reviewed the existing record, we conclude that</w:t>
      </w:r>
      <w:r>
        <w:t xml:space="preserve"> no weight should be accorded to the email submitted by </w:t>
      </w:r>
      <w:r w:rsidR="00301600">
        <w:t>Birach</w:t>
      </w:r>
      <w:r>
        <w:t xml:space="preserve">.  In reaching this determination, we </w:t>
      </w:r>
      <w:r w:rsidR="00767977">
        <w:t>considered</w:t>
      </w:r>
      <w:r>
        <w:t xml:space="preserve"> that (1) the </w:t>
      </w:r>
      <w:r w:rsidRPr="00BA58BD">
        <w:t xml:space="preserve">email relied upon by </w:t>
      </w:r>
      <w:r w:rsidR="00301600">
        <w:t>Birach</w:t>
      </w:r>
      <w:r w:rsidRPr="00BA58BD">
        <w:t xml:space="preserve"> was </w:t>
      </w:r>
      <w:r>
        <w:t>written by</w:t>
      </w:r>
      <w:r w:rsidRPr="00BA58BD">
        <w:t xml:space="preserve"> an interested party</w:t>
      </w:r>
      <w:r>
        <w:t>,</w:t>
      </w:r>
      <w:r>
        <w:rPr>
          <w:rStyle w:val="FootnoteReference"/>
        </w:rPr>
        <w:footnoteReference w:id="22"/>
      </w:r>
      <w:r>
        <w:t xml:space="preserve"> (2) the factual allegations made in the email were</w:t>
      </w:r>
      <w:r w:rsidRPr="00BA58BD">
        <w:t xml:space="preserve"> not supported by an affidavit (or declaration made under penalty)</w:t>
      </w:r>
      <w:r>
        <w:t>, and (3) the credibility of the email is undermined</w:t>
      </w:r>
      <w:r w:rsidRPr="00BA58BD">
        <w:t xml:space="preserve"> </w:t>
      </w:r>
      <w:r>
        <w:t>by</w:t>
      </w:r>
      <w:r w:rsidRPr="00BA58BD">
        <w:t xml:space="preserve"> statements made under penalty of perjury </w:t>
      </w:r>
      <w:r>
        <w:t>by Reyes and Vega, which deny</w:t>
      </w:r>
      <w:r w:rsidRPr="00BA58BD">
        <w:t xml:space="preserve"> </w:t>
      </w:r>
      <w:r w:rsidR="00301600">
        <w:t>Birach’s</w:t>
      </w:r>
      <w:r w:rsidRPr="00BA58BD">
        <w:t xml:space="preserve"> allegations</w:t>
      </w:r>
      <w:r>
        <w:t>, and indicate the Reyes Objection was filed with Reyes’ knowledge and consent.</w:t>
      </w:r>
      <w:r>
        <w:rPr>
          <w:rStyle w:val="FootnoteReference"/>
        </w:rPr>
        <w:footnoteReference w:id="23"/>
      </w:r>
      <w:r>
        <w:t xml:space="preserve">  Accordingly, we </w:t>
      </w:r>
      <w:r w:rsidRPr="00BA58BD">
        <w:t xml:space="preserve">find </w:t>
      </w:r>
      <w:r w:rsidR="00301600">
        <w:t>Birach</w:t>
      </w:r>
      <w:r>
        <w:t xml:space="preserve"> has not raised a substantial and material question of fact regarding the legitimacy of the Reyes Objection.</w:t>
      </w:r>
      <w:r>
        <w:rPr>
          <w:rStyle w:val="FootnoteReference"/>
        </w:rPr>
        <w:footnoteReference w:id="24"/>
      </w:r>
    </w:p>
    <w:p w:rsidR="00581D3E" w:rsidRPr="007A7891" w:rsidP="00490C03" w14:paraId="548FAE66" w14:textId="3C677C95">
      <w:pPr>
        <w:pStyle w:val="ParaNum"/>
        <w:widowControl/>
      </w:pPr>
      <w:r>
        <w:rPr>
          <w:i/>
          <w:iCs/>
        </w:rPr>
        <w:t xml:space="preserve">Unauthorized </w:t>
      </w:r>
      <w:r w:rsidR="005239A1">
        <w:rPr>
          <w:i/>
          <w:iCs/>
        </w:rPr>
        <w:t xml:space="preserve">Silence.  </w:t>
      </w:r>
      <w:r w:rsidRPr="004204A2" w:rsidR="00EC5720">
        <w:t>The Rules require radio stations to notify the Commission within 10 days of temporarily discontinuing operations</w:t>
      </w:r>
      <w:r w:rsidRPr="004204A2" w:rsidR="003778F2">
        <w:t>,</w:t>
      </w:r>
      <w:r w:rsidRPr="004204A2" w:rsidR="00EC5720">
        <w:t xml:space="preserve"> and to obtain Commission authorization if the discontinued operations last beyond 30 days.</w:t>
      </w:r>
      <w:r>
        <w:rPr>
          <w:rStyle w:val="FootnoteReference"/>
        </w:rPr>
        <w:footnoteReference w:id="25"/>
      </w:r>
      <w:r w:rsidRPr="004204A2" w:rsidR="00EC5720">
        <w:t xml:space="preserve"> </w:t>
      </w:r>
      <w:r w:rsidRPr="004204A2" w:rsidR="003778F2">
        <w:t xml:space="preserve"> </w:t>
      </w:r>
      <w:r w:rsidRPr="007A7891" w:rsidR="003A102A">
        <w:t xml:space="preserve">Here, the record evidence indicates that </w:t>
      </w:r>
      <w:r w:rsidRPr="007A7891" w:rsidR="003D4D6B">
        <w:t xml:space="preserve">both </w:t>
      </w:r>
      <w:r w:rsidRPr="007A7891" w:rsidR="00C226C8">
        <w:t>KTUV(AM)</w:t>
      </w:r>
      <w:r w:rsidRPr="007A7891" w:rsidR="003D4D6B">
        <w:t xml:space="preserve"> and K260DT</w:t>
      </w:r>
      <w:r w:rsidRPr="007A7891" w:rsidR="003A102A">
        <w:t xml:space="preserve"> </w:t>
      </w:r>
      <w:r w:rsidRPr="007A7891" w:rsidR="002C1E06">
        <w:t>went silent on March 6, 2020</w:t>
      </w:r>
      <w:r w:rsidRPr="007A7891" w:rsidR="003D4D6B">
        <w:t>.  KTUV(AM) resumed operations on July 29, 2020,</w:t>
      </w:r>
      <w:r>
        <w:rPr>
          <w:rStyle w:val="FootnoteReference"/>
        </w:rPr>
        <w:footnoteReference w:id="26"/>
      </w:r>
      <w:r w:rsidRPr="007A7891" w:rsidR="003D4D6B">
        <w:t xml:space="preserve"> and K260DT went back on the air on September 25, 2020.</w:t>
      </w:r>
      <w:r>
        <w:rPr>
          <w:rStyle w:val="FootnoteReference"/>
        </w:rPr>
        <w:footnoteReference w:id="27"/>
      </w:r>
      <w:r w:rsidRPr="007A7891" w:rsidR="003D4D6B">
        <w:rPr>
          <w:i/>
          <w:iCs/>
        </w:rPr>
        <w:t xml:space="preserve">  </w:t>
      </w:r>
      <w:r w:rsidRPr="00470604" w:rsidR="003D4D6B">
        <w:t>Birach should have notified the FCC of the Station</w:t>
      </w:r>
      <w:r w:rsidRPr="00470604" w:rsidR="00C76A09">
        <w:t xml:space="preserve">s’ discontinued operations </w:t>
      </w:r>
      <w:r w:rsidR="006B5B56">
        <w:t>no later than</w:t>
      </w:r>
      <w:r w:rsidRPr="00470604" w:rsidR="00C76A09">
        <w:t xml:space="preserve"> March 17, 2020, but did not.  Additionally, Birach</w:t>
      </w:r>
      <w:r w:rsidRPr="00470604" w:rsidR="003A102A">
        <w:t xml:space="preserve"> should have filed </w:t>
      </w:r>
      <w:r w:rsidRPr="00470604" w:rsidR="00193A0B">
        <w:t xml:space="preserve">requests for special temporary authority for each of the Stations to remain silent on </w:t>
      </w:r>
      <w:r w:rsidRPr="00470604" w:rsidR="00932B62">
        <w:t xml:space="preserve">April 5, 2020.  </w:t>
      </w:r>
      <w:r w:rsidRPr="00470604" w:rsidR="00DD387F">
        <w:t xml:space="preserve">Birach did not seek such authority until May 22, 2020, after the Stations’ discontinued operations were brought to our attention by </w:t>
      </w:r>
      <w:r w:rsidRPr="00470604" w:rsidR="006E26D0">
        <w:t xml:space="preserve">Reyes.  </w:t>
      </w:r>
      <w:r w:rsidRPr="00470604" w:rsidR="003A102A">
        <w:t xml:space="preserve">We find that </w:t>
      </w:r>
      <w:r w:rsidRPr="00470604" w:rsidR="006E26D0">
        <w:t>Birach</w:t>
      </w:r>
      <w:r w:rsidRPr="00470604" w:rsidR="003A102A">
        <w:t xml:space="preserve"> apparently willfully and repeatedly violated Section</w:t>
      </w:r>
      <w:r w:rsidRPr="00470604" w:rsidR="006E26D0">
        <w:t>s 73.1740(a)(4), and</w:t>
      </w:r>
      <w:r w:rsidRPr="00470604" w:rsidR="003A102A">
        <w:t xml:space="preserve"> 74.1263(e) of the Rules by </w:t>
      </w:r>
      <w:r w:rsidRPr="00470604" w:rsidR="006E26D0">
        <w:t xml:space="preserve">failing to notify the Commission that the Stations had gone silent, and by failing to seek </w:t>
      </w:r>
      <w:r w:rsidR="0029355B">
        <w:t>STA</w:t>
      </w:r>
      <w:r w:rsidRPr="00470604" w:rsidR="006E26D0">
        <w:t xml:space="preserve"> for the Stations to </w:t>
      </w:r>
      <w:r w:rsidR="0029355B">
        <w:t>remain</w:t>
      </w:r>
      <w:r w:rsidRPr="00470604" w:rsidR="006E26D0">
        <w:t xml:space="preserve"> silent for more than 30 consecutive </w:t>
      </w:r>
      <w:r w:rsidRPr="00470604" w:rsidR="006E26D0">
        <w:t>days.</w:t>
      </w:r>
      <w:r w:rsidRPr="00470604" w:rsidR="003A102A">
        <w:t xml:space="preserve">. </w:t>
      </w:r>
      <w:r w:rsidR="00801516">
        <w:t>Below, we propose</w:t>
      </w:r>
      <w:r w:rsidRPr="00470604" w:rsidR="003A102A">
        <w:t xml:space="preserve"> </w:t>
      </w:r>
      <w:r w:rsidRPr="00470604" w:rsidR="003A102A">
        <w:rPr>
          <w:szCs w:val="22"/>
        </w:rPr>
        <w:t xml:space="preserve">a forfeiture </w:t>
      </w:r>
      <w:r w:rsidR="00801516">
        <w:rPr>
          <w:szCs w:val="22"/>
        </w:rPr>
        <w:t>in relation to Birach’s</w:t>
      </w:r>
      <w:r w:rsidRPr="00470604" w:rsidR="003A102A">
        <w:rPr>
          <w:szCs w:val="22"/>
        </w:rPr>
        <w:t xml:space="preserve"> apparent violation</w:t>
      </w:r>
      <w:r w:rsidRPr="00470604" w:rsidR="006E26D0">
        <w:rPr>
          <w:szCs w:val="22"/>
        </w:rPr>
        <w:t>s</w:t>
      </w:r>
      <w:r w:rsidRPr="00470604" w:rsidR="003A102A">
        <w:rPr>
          <w:szCs w:val="22"/>
        </w:rPr>
        <w:t xml:space="preserve"> of </w:t>
      </w:r>
      <w:r w:rsidR="002A1E7C">
        <w:rPr>
          <w:szCs w:val="22"/>
        </w:rPr>
        <w:t>s</w:t>
      </w:r>
      <w:r w:rsidRPr="00470604" w:rsidR="003A102A">
        <w:rPr>
          <w:szCs w:val="22"/>
        </w:rPr>
        <w:t>ections</w:t>
      </w:r>
      <w:r w:rsidRPr="007A7891" w:rsidR="003A102A">
        <w:rPr>
          <w:i/>
          <w:iCs/>
          <w:szCs w:val="22"/>
        </w:rPr>
        <w:t xml:space="preserve"> </w:t>
      </w:r>
      <w:r w:rsidRPr="006D1985" w:rsidR="00B81D29">
        <w:rPr>
          <w:szCs w:val="22"/>
        </w:rPr>
        <w:t>73.1740(a)(4) and 74.1263(e)</w:t>
      </w:r>
      <w:r w:rsidRPr="006D1985" w:rsidR="00E73A3D">
        <w:rPr>
          <w:szCs w:val="22"/>
        </w:rPr>
        <w:t xml:space="preserve"> of the Rules</w:t>
      </w:r>
      <w:r w:rsidRPr="006D1985" w:rsidR="00B81D29">
        <w:rPr>
          <w:szCs w:val="22"/>
        </w:rPr>
        <w:t>.</w:t>
      </w:r>
    </w:p>
    <w:p w:rsidR="006E1005" w:rsidRPr="006E1005" w:rsidP="00D77897" w14:paraId="03EF500E" w14:textId="4849E2AD">
      <w:pPr>
        <w:pStyle w:val="ParaNum"/>
        <w:rPr>
          <w:snapToGrid/>
          <w:kern w:val="0"/>
        </w:rPr>
      </w:pPr>
      <w:r w:rsidRPr="00E86B59">
        <w:rPr>
          <w:rStyle w:val="ssit"/>
          <w:i/>
          <w:iCs/>
          <w:szCs w:val="22"/>
        </w:rPr>
        <w:t>Online Public Inspection File</w:t>
      </w:r>
      <w:r>
        <w:rPr>
          <w:rStyle w:val="ssit"/>
          <w:szCs w:val="22"/>
        </w:rPr>
        <w:t xml:space="preserve">.  </w:t>
      </w:r>
      <w:r w:rsidRPr="002A35B5" w:rsidR="002D1EA8">
        <w:t>Section 73.352</w:t>
      </w:r>
      <w:r w:rsidR="002D1EA8">
        <w:t>6 of the Rules</w:t>
      </w:r>
      <w:r w:rsidRPr="002A35B5" w:rsidR="002D1EA8">
        <w:t xml:space="preserve"> requires</w:t>
      </w:r>
      <w:r w:rsidR="002D1EA8">
        <w:t xml:space="preserve"> </w:t>
      </w:r>
      <w:r w:rsidR="0099078B">
        <w:t xml:space="preserve">commercial </w:t>
      </w:r>
      <w:r w:rsidR="002D1EA8">
        <w:t xml:space="preserve">radio station licensees to maintain an </w:t>
      </w:r>
      <w:r w:rsidR="006876AF">
        <w:t>OPIF</w:t>
      </w:r>
      <w:r w:rsidR="002D1EA8">
        <w:t xml:space="preserve"> and to upload certain documents to the Commission’s public inspection file database throughout the year.</w:t>
      </w:r>
      <w:r>
        <w:rPr>
          <w:rStyle w:val="FootnoteReference"/>
        </w:rPr>
        <w:footnoteReference w:id="28"/>
      </w:r>
      <w:r w:rsidR="002D1EA8">
        <w:t xml:space="preserve">  It is crucial that stations maintain </w:t>
      </w:r>
      <w:r w:rsidR="006876AF">
        <w:t>OPIFs</w:t>
      </w:r>
      <w:r w:rsidR="002D1EA8">
        <w:t xml:space="preserve"> that are complete and up to date because the information in them directly affects, among other things, the public’s ability to be informed about a station’s compliance with its obligations.  </w:t>
      </w:r>
    </w:p>
    <w:p w:rsidR="00E86B59" w:rsidRPr="00D77897" w:rsidP="00D77897" w14:paraId="6DD9DB64" w14:textId="5ABB05EC">
      <w:pPr>
        <w:pStyle w:val="ParaNum"/>
        <w:rPr>
          <w:rStyle w:val="ssit"/>
          <w:snapToGrid/>
          <w:kern w:val="0"/>
        </w:rPr>
      </w:pPr>
      <w:r>
        <w:t xml:space="preserve">In reviewing the KTUV(AM) </w:t>
      </w:r>
      <w:r w:rsidR="00E22A1A">
        <w:t xml:space="preserve">OPIF, </w:t>
      </w:r>
      <w:r>
        <w:t xml:space="preserve">we have determined that </w:t>
      </w:r>
      <w:r w:rsidR="00E22A1A">
        <w:t>Birach</w:t>
      </w:r>
      <w:r w:rsidRPr="00D93068">
        <w:t xml:space="preserve"> </w:t>
      </w:r>
      <w:r w:rsidR="00C93451">
        <w:t>has failed to properly maintain the KTUV(AM) OPIF</w:t>
      </w:r>
      <w:r w:rsidR="002748A4">
        <w:t xml:space="preserve">.  Specifically, </w:t>
      </w:r>
      <w:r w:rsidR="00C93451">
        <w:t>Birach</w:t>
      </w:r>
      <w:r w:rsidR="002748A4">
        <w:t xml:space="preserve"> </w:t>
      </w:r>
      <w:r>
        <w:t xml:space="preserve">did not </w:t>
      </w:r>
      <w:r w:rsidR="00E22A1A">
        <w:t xml:space="preserve">timely upload </w:t>
      </w:r>
      <w:r w:rsidR="00FA3FDA">
        <w:t xml:space="preserve">its issues/programs lists </w:t>
      </w:r>
      <w:r w:rsidR="00F56D73">
        <w:t>for 2018</w:t>
      </w:r>
      <w:r w:rsidR="00D77E66">
        <w:t>,</w:t>
      </w:r>
      <w:r>
        <w:rPr>
          <w:rStyle w:val="FootnoteReference"/>
        </w:rPr>
        <w:footnoteReference w:id="29"/>
      </w:r>
      <w:r w:rsidR="00D77E66">
        <w:t xml:space="preserve"> and the first and fourth quarters of 2019</w:t>
      </w:r>
      <w:r>
        <w:t>.</w:t>
      </w:r>
      <w:r>
        <w:rPr>
          <w:rStyle w:val="FootnoteReference"/>
        </w:rPr>
        <w:footnoteReference w:id="30"/>
      </w:r>
      <w:r>
        <w:t xml:space="preserve">  </w:t>
      </w:r>
      <w:r w:rsidR="00D77E66">
        <w:t xml:space="preserve">In addition, </w:t>
      </w:r>
      <w:r w:rsidR="005F31CD">
        <w:t>the KTUV(AM) OPIF is missing</w:t>
      </w:r>
      <w:r w:rsidR="00D77E66">
        <w:t xml:space="preserve"> an issues/programs list for the third quarter of 2019</w:t>
      </w:r>
      <w:r w:rsidR="005F31CD">
        <w:t xml:space="preserve">, and issues/programs lists for </w:t>
      </w:r>
      <w:r w:rsidR="00EA4EF7">
        <w:t xml:space="preserve">2020 and the first, second and third quarters of 2021.  </w:t>
      </w:r>
      <w:r w:rsidR="006E1005">
        <w:t xml:space="preserve">We propose a forfeiture in relation to Birach’s apparent </w:t>
      </w:r>
      <w:r w:rsidR="00054D48">
        <w:t xml:space="preserve">repeated </w:t>
      </w:r>
      <w:r w:rsidR="002A1E7C">
        <w:t>violations of section 73.3526 of the Rules.</w:t>
      </w:r>
    </w:p>
    <w:p w:rsidR="00E75CF1" w:rsidRPr="00DD1F31" w:rsidP="00796C43" w14:paraId="137A272C" w14:textId="06A1DA36">
      <w:pPr>
        <w:pStyle w:val="ParaNum"/>
        <w:rPr>
          <w:szCs w:val="22"/>
        </w:rPr>
      </w:pPr>
      <w:r w:rsidRPr="00796C43">
        <w:rPr>
          <w:rStyle w:val="ssit"/>
          <w:i/>
          <w:iCs/>
          <w:szCs w:val="22"/>
          <w:bdr w:val="none" w:sz="0" w:space="0" w:color="auto" w:frame="1"/>
          <w:shd w:val="clear" w:color="auto" w:fill="FFFFFF"/>
        </w:rPr>
        <w:t xml:space="preserve">Failure to Maintain Completeness and Accuracy of Pending </w:t>
      </w:r>
      <w:r w:rsidR="00796C43">
        <w:rPr>
          <w:rStyle w:val="ssit"/>
          <w:i/>
          <w:iCs/>
          <w:szCs w:val="22"/>
          <w:bdr w:val="none" w:sz="0" w:space="0" w:color="auto" w:frame="1"/>
          <w:shd w:val="clear" w:color="auto" w:fill="FFFFFF"/>
        </w:rPr>
        <w:t>Application</w:t>
      </w:r>
      <w:r w:rsidRPr="00796C43">
        <w:rPr>
          <w:szCs w:val="22"/>
          <w:shd w:val="clear" w:color="auto" w:fill="FFFFFF"/>
        </w:rPr>
        <w:t xml:space="preserve">.  </w:t>
      </w:r>
      <w:r w:rsidRPr="00796C43" w:rsidR="00A36091">
        <w:rPr>
          <w:szCs w:val="22"/>
          <w:shd w:val="clear" w:color="auto" w:fill="FFFFFF"/>
        </w:rPr>
        <w:t xml:space="preserve">Under </w:t>
      </w:r>
      <w:r w:rsidR="00E86B59">
        <w:rPr>
          <w:szCs w:val="22"/>
          <w:shd w:val="clear" w:color="auto" w:fill="FFFFFF"/>
        </w:rPr>
        <w:t>s</w:t>
      </w:r>
      <w:r w:rsidRPr="00796C43" w:rsidR="00A36091">
        <w:rPr>
          <w:szCs w:val="22"/>
          <w:shd w:val="clear" w:color="auto" w:fill="FFFFFF"/>
        </w:rPr>
        <w:t>ection 1.65 of the Rules, an applicant is responsible for the continuing accuracy and completeness of the information furnished in a pending application or in Commission proceedings involving a pending application.</w:t>
      </w:r>
      <w:r>
        <w:rPr>
          <w:rStyle w:val="FootnoteReference"/>
          <w:sz w:val="22"/>
          <w:szCs w:val="22"/>
          <w:shd w:val="clear" w:color="auto" w:fill="FFFFFF"/>
        </w:rPr>
        <w:footnoteReference w:id="31"/>
      </w:r>
      <w:r w:rsidRPr="00796C43" w:rsidR="00A36091">
        <w:rPr>
          <w:szCs w:val="22"/>
          <w:shd w:val="clear" w:color="auto" w:fill="FFFFFF"/>
        </w:rPr>
        <w:t xml:space="preserve">  Whenever the information furnished in </w:t>
      </w:r>
      <w:r w:rsidR="00BB5CF2">
        <w:rPr>
          <w:szCs w:val="22"/>
          <w:shd w:val="clear" w:color="auto" w:fill="FFFFFF"/>
        </w:rPr>
        <w:t>a</w:t>
      </w:r>
      <w:r w:rsidRPr="00796C43" w:rsidR="00A36091">
        <w:rPr>
          <w:szCs w:val="22"/>
          <w:shd w:val="clear" w:color="auto" w:fill="FFFFFF"/>
        </w:rPr>
        <w:t xml:space="preserve"> pending application is no longer substantially accurate and complete in all significant respects, the applicant must, as promptly as possible and in any event within 30 days, amend </w:t>
      </w:r>
      <w:r w:rsidR="00BB5CF2">
        <w:rPr>
          <w:szCs w:val="22"/>
          <w:shd w:val="clear" w:color="auto" w:fill="FFFFFF"/>
        </w:rPr>
        <w:t>the</w:t>
      </w:r>
      <w:r w:rsidRPr="00796C43" w:rsidR="00A36091">
        <w:rPr>
          <w:szCs w:val="22"/>
          <w:shd w:val="clear" w:color="auto" w:fill="FFFFFF"/>
        </w:rPr>
        <w:t xml:space="preserve"> application so as to furnish the additional or correct information.</w:t>
      </w:r>
      <w:r>
        <w:rPr>
          <w:rStyle w:val="FootnoteReference"/>
          <w:sz w:val="22"/>
          <w:szCs w:val="22"/>
          <w:shd w:val="clear" w:color="auto" w:fill="FFFFFF"/>
        </w:rPr>
        <w:footnoteReference w:id="32"/>
      </w:r>
      <w:r w:rsidRPr="00796C43" w:rsidR="00796C43">
        <w:rPr>
          <w:szCs w:val="22"/>
          <w:shd w:val="clear" w:color="auto" w:fill="FFFFFF"/>
        </w:rPr>
        <w:t xml:space="preserve"> </w:t>
      </w:r>
      <w:r w:rsidRPr="00796C43" w:rsidR="00A36091">
        <w:rPr>
          <w:szCs w:val="22"/>
          <w:shd w:val="clear" w:color="auto" w:fill="FFFFFF"/>
        </w:rPr>
        <w:t xml:space="preserve"> For the purposes of </w:t>
      </w:r>
      <w:r w:rsidR="00E86B59">
        <w:rPr>
          <w:szCs w:val="22"/>
          <w:shd w:val="clear" w:color="auto" w:fill="FFFFFF"/>
        </w:rPr>
        <w:t>s</w:t>
      </w:r>
      <w:r w:rsidRPr="00796C43" w:rsidR="00A36091">
        <w:rPr>
          <w:szCs w:val="22"/>
          <w:shd w:val="clear" w:color="auto" w:fill="FFFFFF"/>
        </w:rPr>
        <w:t xml:space="preserve">ection 1.65, an application is </w:t>
      </w:r>
      <w:r w:rsidR="00BB5CF2">
        <w:rPr>
          <w:szCs w:val="22"/>
          <w:shd w:val="clear" w:color="auto" w:fill="FFFFFF"/>
        </w:rPr>
        <w:t>“</w:t>
      </w:r>
      <w:r w:rsidRPr="00796C43" w:rsidR="00A36091">
        <w:rPr>
          <w:szCs w:val="22"/>
          <w:shd w:val="clear" w:color="auto" w:fill="FFFFFF"/>
        </w:rPr>
        <w:t>pending</w:t>
      </w:r>
      <w:r w:rsidR="00BB5CF2">
        <w:rPr>
          <w:szCs w:val="22"/>
          <w:shd w:val="clear" w:color="auto" w:fill="FFFFFF"/>
        </w:rPr>
        <w:t>”</w:t>
      </w:r>
      <w:r w:rsidRPr="00796C43" w:rsidR="00A36091">
        <w:rPr>
          <w:szCs w:val="22"/>
          <w:shd w:val="clear" w:color="auto" w:fill="FFFFFF"/>
        </w:rPr>
        <w:t xml:space="preserve"> before the Commission from the time it is </w:t>
      </w:r>
      <w:r w:rsidRPr="00DD1F31" w:rsidR="00A36091">
        <w:rPr>
          <w:szCs w:val="22"/>
          <w:shd w:val="clear" w:color="auto" w:fill="FFFFFF"/>
        </w:rPr>
        <w:t>accepted for filing until a Commission grant (or denial) is no longer subject to reconsideration by the Commission or review by any court</w:t>
      </w:r>
      <w:r w:rsidRPr="00DD1F31" w:rsidR="0068011C">
        <w:rPr>
          <w:szCs w:val="22"/>
        </w:rPr>
        <w:t>.</w:t>
      </w:r>
      <w:r>
        <w:rPr>
          <w:rStyle w:val="FootnoteReference"/>
          <w:sz w:val="22"/>
          <w:szCs w:val="22"/>
        </w:rPr>
        <w:footnoteReference w:id="33"/>
      </w:r>
      <w:r w:rsidRPr="00DD1F31" w:rsidR="003B56AA">
        <w:rPr>
          <w:szCs w:val="22"/>
        </w:rPr>
        <w:t xml:space="preserve">  </w:t>
      </w:r>
    </w:p>
    <w:p w:rsidR="00B13904" w:rsidRPr="00DD1F31" w:rsidP="00490C03" w14:paraId="6F00BB34" w14:textId="6D504DD8">
      <w:pPr>
        <w:pStyle w:val="ParaNum"/>
        <w:rPr>
          <w:szCs w:val="22"/>
        </w:rPr>
      </w:pPr>
      <w:r w:rsidRPr="00DD1F31">
        <w:rPr>
          <w:color w:val="212121"/>
          <w:szCs w:val="22"/>
          <w:shd w:val="clear" w:color="auto" w:fill="FFFFFF"/>
        </w:rPr>
        <w:t xml:space="preserve">In the instant case, the Application </w:t>
      </w:r>
      <w:r w:rsidR="00054C70">
        <w:rPr>
          <w:color w:val="212121"/>
          <w:szCs w:val="22"/>
          <w:shd w:val="clear" w:color="auto" w:fill="FFFFFF"/>
        </w:rPr>
        <w:t>was filed on</w:t>
      </w:r>
      <w:r w:rsidRPr="00DD1F31">
        <w:rPr>
          <w:color w:val="212121"/>
          <w:szCs w:val="22"/>
          <w:shd w:val="clear" w:color="auto" w:fill="FFFFFF"/>
        </w:rPr>
        <w:t xml:space="preserve"> January </w:t>
      </w:r>
      <w:r w:rsidRPr="00DD1F31" w:rsidR="00C6720F">
        <w:rPr>
          <w:color w:val="212121"/>
          <w:szCs w:val="22"/>
          <w:shd w:val="clear" w:color="auto" w:fill="FFFFFF"/>
        </w:rPr>
        <w:t xml:space="preserve">29, 2020, and </w:t>
      </w:r>
      <w:r w:rsidRPr="00DD1F31">
        <w:rPr>
          <w:color w:val="212121"/>
          <w:szCs w:val="22"/>
          <w:shd w:val="clear" w:color="auto" w:fill="FFFFFF"/>
        </w:rPr>
        <w:t xml:space="preserve">remains pending.  </w:t>
      </w:r>
      <w:r w:rsidR="004A23B6">
        <w:rPr>
          <w:color w:val="212121"/>
          <w:szCs w:val="22"/>
          <w:shd w:val="clear" w:color="auto" w:fill="FFFFFF"/>
        </w:rPr>
        <w:t>Birach</w:t>
      </w:r>
      <w:r w:rsidRPr="00DD1F31" w:rsidR="00C6720F">
        <w:rPr>
          <w:color w:val="212121"/>
          <w:szCs w:val="22"/>
          <w:shd w:val="clear" w:color="auto" w:fill="FFFFFF"/>
        </w:rPr>
        <w:t xml:space="preserve"> </w:t>
      </w:r>
      <w:r w:rsidR="00CF3108">
        <w:rPr>
          <w:color w:val="212121"/>
          <w:szCs w:val="22"/>
          <w:shd w:val="clear" w:color="auto" w:fill="FFFFFF"/>
        </w:rPr>
        <w:t xml:space="preserve">has been </w:t>
      </w:r>
      <w:r w:rsidR="004A23B6">
        <w:rPr>
          <w:color w:val="212121"/>
          <w:szCs w:val="22"/>
          <w:shd w:val="clear" w:color="auto" w:fill="FFFFFF"/>
        </w:rPr>
        <w:t xml:space="preserve">(and continues to be) </w:t>
      </w:r>
      <w:r w:rsidR="00CF3108">
        <w:rPr>
          <w:color w:val="212121"/>
          <w:szCs w:val="22"/>
          <w:shd w:val="clear" w:color="auto" w:fill="FFFFFF"/>
        </w:rPr>
        <w:t>subject to a continuing obligation</w:t>
      </w:r>
      <w:r w:rsidRPr="00DD1F31" w:rsidR="006427C2">
        <w:rPr>
          <w:color w:val="212121"/>
          <w:szCs w:val="22"/>
          <w:shd w:val="clear" w:color="auto" w:fill="FFFFFF"/>
        </w:rPr>
        <w:t xml:space="preserve"> </w:t>
      </w:r>
      <w:r w:rsidRPr="00DD1F31">
        <w:rPr>
          <w:color w:val="212121"/>
          <w:szCs w:val="22"/>
          <w:shd w:val="clear" w:color="auto" w:fill="FFFFFF"/>
        </w:rPr>
        <w:t>to ensure the accuracy of the Application</w:t>
      </w:r>
      <w:r w:rsidR="00EA4D75">
        <w:rPr>
          <w:color w:val="212121"/>
          <w:szCs w:val="22"/>
          <w:shd w:val="clear" w:color="auto" w:fill="FFFFFF"/>
        </w:rPr>
        <w:t>, and s</w:t>
      </w:r>
      <w:r w:rsidR="003F5082">
        <w:rPr>
          <w:color w:val="212121"/>
          <w:szCs w:val="22"/>
          <w:shd w:val="clear" w:color="auto" w:fill="FFFFFF"/>
        </w:rPr>
        <w:t>hould have amended the Application</w:t>
      </w:r>
      <w:r w:rsidRPr="00DD1F31">
        <w:rPr>
          <w:color w:val="212121"/>
          <w:szCs w:val="22"/>
          <w:shd w:val="clear" w:color="auto" w:fill="FFFFFF"/>
        </w:rPr>
        <w:t xml:space="preserve"> </w:t>
      </w:r>
      <w:r w:rsidRPr="00DD1F31" w:rsidR="002337B2">
        <w:rPr>
          <w:color w:val="212121"/>
          <w:szCs w:val="22"/>
          <w:shd w:val="clear" w:color="auto" w:fill="FFFFFF"/>
        </w:rPr>
        <w:t xml:space="preserve">when certifications made therein </w:t>
      </w:r>
      <w:r w:rsidR="003F5082">
        <w:rPr>
          <w:color w:val="212121"/>
          <w:szCs w:val="22"/>
          <w:shd w:val="clear" w:color="auto" w:fill="FFFFFF"/>
        </w:rPr>
        <w:t xml:space="preserve">became </w:t>
      </w:r>
      <w:r w:rsidR="003F5082">
        <w:rPr>
          <w:color w:val="212121"/>
          <w:szCs w:val="22"/>
          <w:shd w:val="clear" w:color="auto" w:fill="FFFFFF"/>
        </w:rPr>
        <w:t>in</w:t>
      </w:r>
      <w:r w:rsidRPr="00DD1F31" w:rsidR="002337B2">
        <w:rPr>
          <w:color w:val="212121"/>
          <w:szCs w:val="22"/>
          <w:shd w:val="clear" w:color="auto" w:fill="FFFFFF"/>
        </w:rPr>
        <w:t>accurate</w:t>
      </w:r>
      <w:r w:rsidRPr="00DD1F31">
        <w:rPr>
          <w:color w:val="212121"/>
          <w:szCs w:val="22"/>
          <w:shd w:val="clear" w:color="auto" w:fill="FFFFFF"/>
        </w:rPr>
        <w:t>.</w:t>
      </w:r>
      <w:r>
        <w:rPr>
          <w:rStyle w:val="FootnoteReference"/>
          <w:sz w:val="22"/>
          <w:szCs w:val="22"/>
          <w:shd w:val="clear" w:color="auto" w:fill="FFFFFF"/>
        </w:rPr>
        <w:footnoteReference w:id="34"/>
      </w:r>
      <w:r w:rsidRPr="00DD1F31">
        <w:rPr>
          <w:color w:val="212121"/>
          <w:szCs w:val="22"/>
          <w:shd w:val="clear" w:color="auto" w:fill="FFFFFF"/>
        </w:rPr>
        <w:t xml:space="preserve"> </w:t>
      </w:r>
      <w:r w:rsidRPr="00DD1F31" w:rsidR="002337B2">
        <w:rPr>
          <w:color w:val="212121"/>
          <w:szCs w:val="22"/>
          <w:shd w:val="clear" w:color="auto" w:fill="FFFFFF"/>
        </w:rPr>
        <w:t xml:space="preserve"> </w:t>
      </w:r>
      <w:r w:rsidRPr="00DD1F31">
        <w:rPr>
          <w:color w:val="212121"/>
          <w:szCs w:val="22"/>
          <w:shd w:val="clear" w:color="auto" w:fill="FFFFFF"/>
        </w:rPr>
        <w:t xml:space="preserve">Birach </w:t>
      </w:r>
      <w:r w:rsidRPr="00DD1F31" w:rsidR="002337B2">
        <w:rPr>
          <w:color w:val="212121"/>
          <w:szCs w:val="22"/>
          <w:shd w:val="clear" w:color="auto" w:fill="FFFFFF"/>
        </w:rPr>
        <w:t>did not do so</w:t>
      </w:r>
      <w:r w:rsidRPr="00DD1F31">
        <w:rPr>
          <w:color w:val="212121"/>
          <w:szCs w:val="22"/>
          <w:shd w:val="clear" w:color="auto" w:fill="FFFFFF"/>
        </w:rPr>
        <w:t>.</w:t>
      </w:r>
      <w:r>
        <w:rPr>
          <w:rStyle w:val="FootnoteReference"/>
          <w:sz w:val="22"/>
          <w:szCs w:val="22"/>
          <w:shd w:val="clear" w:color="auto" w:fill="FFFFFF"/>
        </w:rPr>
        <w:footnoteReference w:id="35"/>
      </w:r>
      <w:r w:rsidRPr="00DD1F31" w:rsidR="00863B3B">
        <w:rPr>
          <w:szCs w:val="22"/>
        </w:rPr>
        <w:t xml:space="preserve">  </w:t>
      </w:r>
      <w:r w:rsidR="00EA4D75">
        <w:rPr>
          <w:szCs w:val="22"/>
        </w:rPr>
        <w:t>Accordingly, we</w:t>
      </w:r>
      <w:r w:rsidRPr="00DD1F31" w:rsidR="00E73A3D">
        <w:rPr>
          <w:szCs w:val="22"/>
        </w:rPr>
        <w:t xml:space="preserve"> </w:t>
      </w:r>
      <w:r w:rsidR="00AD5DE1">
        <w:rPr>
          <w:szCs w:val="22"/>
        </w:rPr>
        <w:t>propose</w:t>
      </w:r>
      <w:r w:rsidRPr="00DD1F31" w:rsidR="00E73A3D">
        <w:rPr>
          <w:szCs w:val="22"/>
        </w:rPr>
        <w:t xml:space="preserve"> a forfeiture </w:t>
      </w:r>
      <w:r w:rsidR="00AD5DE1">
        <w:rPr>
          <w:szCs w:val="22"/>
        </w:rPr>
        <w:t xml:space="preserve">in relation </w:t>
      </w:r>
      <w:r w:rsidRPr="00DD1F31" w:rsidR="00E73A3D">
        <w:rPr>
          <w:szCs w:val="22"/>
        </w:rPr>
        <w:t>to Birach</w:t>
      </w:r>
      <w:r w:rsidR="00AD5DE1">
        <w:rPr>
          <w:szCs w:val="22"/>
        </w:rPr>
        <w:t xml:space="preserve">’s </w:t>
      </w:r>
      <w:r w:rsidRPr="00DD1F31" w:rsidR="00E73A3D">
        <w:rPr>
          <w:szCs w:val="22"/>
        </w:rPr>
        <w:t xml:space="preserve">apparent </w:t>
      </w:r>
      <w:r w:rsidRPr="00DD1F31" w:rsidR="00DD1F31">
        <w:rPr>
          <w:szCs w:val="22"/>
        </w:rPr>
        <w:t xml:space="preserve">willful and repeated </w:t>
      </w:r>
      <w:r w:rsidRPr="00DD1F31" w:rsidR="00E73A3D">
        <w:rPr>
          <w:szCs w:val="22"/>
        </w:rPr>
        <w:t>violations of section 1.65 of the Rules.</w:t>
      </w:r>
    </w:p>
    <w:p w:rsidR="00406A52" w:rsidRPr="00683723" w:rsidP="00490C03" w14:paraId="27226FAC" w14:textId="27A9EDCC">
      <w:pPr>
        <w:pStyle w:val="ParaNum"/>
        <w:rPr>
          <w:szCs w:val="22"/>
        </w:rPr>
      </w:pPr>
      <w:r w:rsidRPr="00683723">
        <w:rPr>
          <w:i/>
          <w:szCs w:val="22"/>
        </w:rPr>
        <w:t xml:space="preserve">Proposed Forfeiture.  </w:t>
      </w:r>
      <w:r w:rsidRPr="00683723">
        <w:rPr>
          <w:rFonts w:eastAsia="SimSun"/>
          <w:szCs w:val="22"/>
        </w:rPr>
        <w:t xml:space="preserve">This </w:t>
      </w:r>
      <w:r w:rsidRPr="00683723">
        <w:rPr>
          <w:rFonts w:eastAsia="SimSun"/>
          <w:i/>
          <w:szCs w:val="22"/>
        </w:rPr>
        <w:t>NAL</w:t>
      </w:r>
      <w:r w:rsidRPr="00683723">
        <w:rPr>
          <w:rFonts w:eastAsia="SimSun"/>
          <w:szCs w:val="22"/>
        </w:rPr>
        <w:t xml:space="preserve"> is issued pursuant to section 503(b)(1)(B) of the </w:t>
      </w:r>
      <w:r w:rsidR="006E7EB5">
        <w:rPr>
          <w:rFonts w:eastAsia="SimSun"/>
          <w:szCs w:val="22"/>
        </w:rPr>
        <w:t xml:space="preserve">Communications </w:t>
      </w:r>
      <w:r w:rsidRPr="00683723">
        <w:rPr>
          <w:rFonts w:eastAsia="SimSun"/>
          <w:szCs w:val="22"/>
        </w:rPr>
        <w:t>Act</w:t>
      </w:r>
      <w:r w:rsidR="006E7EB5">
        <w:rPr>
          <w:rFonts w:eastAsia="SimSun"/>
          <w:szCs w:val="22"/>
        </w:rPr>
        <w:t xml:space="preserve"> of 1934, as amended</w:t>
      </w:r>
      <w:r w:rsidR="00C53E1F">
        <w:rPr>
          <w:rFonts w:eastAsia="SimSun"/>
          <w:szCs w:val="22"/>
        </w:rPr>
        <w:t xml:space="preserve"> (Act)</w:t>
      </w:r>
      <w:r w:rsidRPr="00683723">
        <w:rPr>
          <w:rFonts w:eastAsia="SimSun"/>
          <w:szCs w:val="22"/>
        </w:rPr>
        <w: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36"/>
      </w:r>
      <w:r w:rsidRPr="00683723">
        <w:rPr>
          <w:rFonts w:eastAsia="SimSun"/>
          <w:szCs w:val="22"/>
        </w:rPr>
        <w:t xml:space="preserve">  Section 312(f)(1) of the Act defines willful as “the conscious and deliberate commission or omission of [any] act, irrespective of any intent to violate” the law.</w:t>
      </w:r>
      <w:r>
        <w:rPr>
          <w:rFonts w:eastAsia="SimSun"/>
          <w:szCs w:val="22"/>
          <w:vertAlign w:val="superscript"/>
        </w:rPr>
        <w:footnoteReference w:id="37"/>
      </w:r>
      <w:r w:rsidRPr="00683723">
        <w:rPr>
          <w:rFonts w:eastAsia="SimSun"/>
          <w:szCs w:val="22"/>
        </w:rPr>
        <w:t xml:space="preserve">  The legislative history to section 312(f)(1) of the Act clarifies that this definition of willful applies to both sections 312 and 503(b) of the Act,</w:t>
      </w:r>
      <w:r>
        <w:rPr>
          <w:rFonts w:eastAsia="SimSun"/>
          <w:szCs w:val="22"/>
          <w:vertAlign w:val="superscript"/>
        </w:rPr>
        <w:footnoteReference w:id="38"/>
      </w:r>
      <w:r w:rsidRPr="00683723">
        <w:rPr>
          <w:rFonts w:eastAsia="SimSun"/>
          <w:szCs w:val="22"/>
        </w:rPr>
        <w:t xml:space="preserve"> and the Commission has so interpreted the term in the section 503(b) context.</w:t>
      </w:r>
      <w:r>
        <w:rPr>
          <w:rFonts w:eastAsia="SimSun"/>
          <w:szCs w:val="22"/>
          <w:vertAlign w:val="superscript"/>
        </w:rPr>
        <w:footnoteReference w:id="39"/>
      </w:r>
      <w:r w:rsidRPr="00683723" w:rsidR="001E307A">
        <w:rPr>
          <w:rFonts w:eastAsia="SimSun"/>
          <w:szCs w:val="22"/>
        </w:rPr>
        <w:t xml:space="preserve">  </w:t>
      </w:r>
      <w:r w:rsidRPr="00683723" w:rsidR="001E307A">
        <w:rPr>
          <w:szCs w:val="22"/>
        </w:rPr>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40"/>
      </w:r>
      <w:r w:rsidRPr="00683723" w:rsidR="001E307A">
        <w:rPr>
          <w:szCs w:val="22"/>
        </w:rPr>
        <w:t xml:space="preserve">  </w:t>
      </w:r>
    </w:p>
    <w:p w:rsidR="001E307A" w:rsidRPr="00DF6C1B" w:rsidP="00C81DB0" w14:paraId="6F22F38C" w14:textId="1D43C3A0">
      <w:pPr>
        <w:pStyle w:val="ParaNum"/>
        <w:widowControl/>
        <w:rPr>
          <w:szCs w:val="22"/>
        </w:rPr>
      </w:pPr>
      <w:r w:rsidRPr="00683723">
        <w:rPr>
          <w:szCs w:val="22"/>
        </w:rPr>
        <w:t>The Commission’s Forfeiture Policy Statement and section 1.80(b)(</w:t>
      </w:r>
      <w:r w:rsidR="00A811FA">
        <w:rPr>
          <w:szCs w:val="22"/>
        </w:rPr>
        <w:t>10</w:t>
      </w:r>
      <w:r w:rsidRPr="00683723">
        <w:rPr>
          <w:szCs w:val="22"/>
        </w:rPr>
        <w:t xml:space="preserve">) of the Rules establish </w:t>
      </w:r>
      <w:r w:rsidRPr="000A5C37" w:rsidR="009235D9">
        <w:rPr>
          <w:szCs w:val="22"/>
        </w:rPr>
        <w:t xml:space="preserve">a base forfeiture of $ 5,000 for unauthorized discontinuance of service, </w:t>
      </w:r>
      <w:r w:rsidRPr="000A5C37">
        <w:rPr>
          <w:szCs w:val="22"/>
        </w:rPr>
        <w:t>a base</w:t>
      </w:r>
      <w:r w:rsidRPr="00683723">
        <w:rPr>
          <w:szCs w:val="22"/>
        </w:rPr>
        <w:t xml:space="preserve"> forfeiture amount of $3,000 for failure to file </w:t>
      </w:r>
      <w:r w:rsidR="008B5F6F">
        <w:rPr>
          <w:szCs w:val="22"/>
        </w:rPr>
        <w:t>required forms or information</w:t>
      </w:r>
      <w:r w:rsidR="00221BCE">
        <w:rPr>
          <w:szCs w:val="22"/>
        </w:rPr>
        <w:t>, and a base forfeiture of $10,000 for violation of the public file rules</w:t>
      </w:r>
      <w:r w:rsidRPr="00683723">
        <w:rPr>
          <w:szCs w:val="22"/>
        </w:rPr>
        <w:t>.</w:t>
      </w:r>
      <w:r>
        <w:rPr>
          <w:rStyle w:val="FootnoteReference"/>
          <w:sz w:val="22"/>
          <w:szCs w:val="22"/>
        </w:rPr>
        <w:footnoteReference w:id="41"/>
      </w:r>
      <w:r w:rsidRPr="00683723">
        <w:rPr>
          <w:szCs w:val="22"/>
        </w:rPr>
        <w:t xml:space="preserve">  In determining the appropriate forfeiture amount, we may adjust the base amount upward or downward by considering the factors enumerated in section </w:t>
      </w:r>
      <w:r w:rsidRPr="0087629E">
        <w:rPr>
          <w:szCs w:val="22"/>
        </w:rPr>
        <w:t>503(b)(2)(E)</w:t>
      </w:r>
      <w:r w:rsidRPr="00683723">
        <w:rPr>
          <w:szCs w:val="22"/>
        </w:rPr>
        <w:t xml:space="preserve"> of the Act, including “the nature, circumstances, extent and gravity of the violation, and, with respect to the violator, the degree of culpability, any history of prior offenses, ability to pay</w:t>
      </w:r>
      <w:r w:rsidRPr="00DF6C1B">
        <w:rPr>
          <w:szCs w:val="22"/>
        </w:rPr>
        <w:t>, and such other matters as justice may require.”</w:t>
      </w:r>
      <w:r>
        <w:rPr>
          <w:rStyle w:val="FootnoteReference"/>
          <w:sz w:val="22"/>
          <w:szCs w:val="22"/>
        </w:rPr>
        <w:footnoteReference w:id="42"/>
      </w:r>
    </w:p>
    <w:p w:rsidR="0096341A" w:rsidRPr="00DF6C1B" w:rsidP="00CB1BA6" w14:paraId="2F2F3EC3" w14:textId="6ED52441">
      <w:pPr>
        <w:pStyle w:val="ParaNum"/>
        <w:rPr>
          <w:szCs w:val="22"/>
        </w:rPr>
      </w:pPr>
      <w:r w:rsidRPr="00DF6C1B">
        <w:rPr>
          <w:szCs w:val="22"/>
        </w:rPr>
        <w:t xml:space="preserve">It is uncontested that the </w:t>
      </w:r>
      <w:r w:rsidRPr="00DF6C1B" w:rsidR="002A1328">
        <w:rPr>
          <w:szCs w:val="22"/>
        </w:rPr>
        <w:t>Stations</w:t>
      </w:r>
      <w:r w:rsidRPr="00DF6C1B">
        <w:rPr>
          <w:szCs w:val="22"/>
        </w:rPr>
        <w:t xml:space="preserve"> </w:t>
      </w:r>
      <w:r w:rsidRPr="00DF6C1B" w:rsidR="002A1328">
        <w:rPr>
          <w:szCs w:val="22"/>
        </w:rPr>
        <w:t>were</w:t>
      </w:r>
      <w:r w:rsidRPr="00DF6C1B">
        <w:rPr>
          <w:szCs w:val="22"/>
        </w:rPr>
        <w:t xml:space="preserve"> silent for </w:t>
      </w:r>
      <w:r w:rsidRPr="00DF6C1B" w:rsidR="002A1328">
        <w:rPr>
          <w:szCs w:val="22"/>
        </w:rPr>
        <w:t>two and a half</w:t>
      </w:r>
      <w:r w:rsidRPr="00DF6C1B">
        <w:rPr>
          <w:szCs w:val="22"/>
        </w:rPr>
        <w:t xml:space="preserve"> months without Commission authorization</w:t>
      </w:r>
      <w:r w:rsidRPr="00DF6C1B" w:rsidR="00A24B53">
        <w:rPr>
          <w:szCs w:val="22"/>
        </w:rPr>
        <w:t xml:space="preserve">.  It is also uncontested </w:t>
      </w:r>
      <w:r w:rsidRPr="00DF6C1B" w:rsidR="00A03362">
        <w:rPr>
          <w:szCs w:val="22"/>
        </w:rPr>
        <w:t xml:space="preserve">that the </w:t>
      </w:r>
      <w:r w:rsidRPr="00DF6C1B" w:rsidR="00A24B53">
        <w:rPr>
          <w:szCs w:val="22"/>
        </w:rPr>
        <w:t>Stations’ discontinued operations</w:t>
      </w:r>
      <w:r w:rsidRPr="00DF6C1B" w:rsidR="00A03362">
        <w:rPr>
          <w:szCs w:val="22"/>
        </w:rPr>
        <w:t xml:space="preserve"> </w:t>
      </w:r>
      <w:r w:rsidRPr="00DF6C1B" w:rsidR="000073BA">
        <w:rPr>
          <w:szCs w:val="22"/>
        </w:rPr>
        <w:t>caused</w:t>
      </w:r>
      <w:r w:rsidRPr="00DF6C1B" w:rsidR="00A03362">
        <w:rPr>
          <w:szCs w:val="22"/>
        </w:rPr>
        <w:t xml:space="preserve"> certifications made in the Application </w:t>
      </w:r>
      <w:r w:rsidRPr="00DF6C1B" w:rsidR="000073BA">
        <w:rPr>
          <w:szCs w:val="22"/>
        </w:rPr>
        <w:t>to be inaccurate</w:t>
      </w:r>
      <w:r w:rsidRPr="00DF6C1B" w:rsidR="009F778A">
        <w:rPr>
          <w:szCs w:val="22"/>
        </w:rPr>
        <w:t xml:space="preserve">, and that Birach failed to </w:t>
      </w:r>
      <w:r w:rsidRPr="00DF6C1B" w:rsidR="00B6075B">
        <w:rPr>
          <w:szCs w:val="22"/>
        </w:rPr>
        <w:t xml:space="preserve">update </w:t>
      </w:r>
      <w:r w:rsidRPr="00DF6C1B" w:rsidR="0094772C">
        <w:rPr>
          <w:szCs w:val="22"/>
        </w:rPr>
        <w:t>the</w:t>
      </w:r>
      <w:r w:rsidRPr="00DF6C1B" w:rsidR="00B6075B">
        <w:rPr>
          <w:szCs w:val="22"/>
        </w:rPr>
        <w:t xml:space="preserve"> certifications or otherwise </w:t>
      </w:r>
      <w:r w:rsidR="009B6BAE">
        <w:rPr>
          <w:szCs w:val="22"/>
        </w:rPr>
        <w:t xml:space="preserve">timely </w:t>
      </w:r>
      <w:r w:rsidRPr="00DF6C1B" w:rsidR="00B6075B">
        <w:rPr>
          <w:szCs w:val="22"/>
        </w:rPr>
        <w:t>notify the Commissio</w:t>
      </w:r>
      <w:r w:rsidRPr="00DF6C1B" w:rsidR="00550088">
        <w:rPr>
          <w:szCs w:val="22"/>
        </w:rPr>
        <w:t>n</w:t>
      </w:r>
      <w:r w:rsidRPr="00DF6C1B" w:rsidR="0094772C">
        <w:rPr>
          <w:szCs w:val="22"/>
        </w:rPr>
        <w:t xml:space="preserve"> that the certifications were no longer accurate</w:t>
      </w:r>
      <w:r w:rsidRPr="00DF6C1B">
        <w:rPr>
          <w:szCs w:val="22"/>
        </w:rPr>
        <w:t>.</w:t>
      </w:r>
      <w:r w:rsidRPr="00DF6C1B" w:rsidR="002A1328">
        <w:rPr>
          <w:szCs w:val="22"/>
        </w:rPr>
        <w:t xml:space="preserve"> </w:t>
      </w:r>
      <w:r w:rsidRPr="00DF6C1B">
        <w:rPr>
          <w:szCs w:val="22"/>
        </w:rPr>
        <w:t xml:space="preserve"> </w:t>
      </w:r>
      <w:r w:rsidR="000837FA">
        <w:rPr>
          <w:szCs w:val="22"/>
        </w:rPr>
        <w:t xml:space="preserve">Finally, it is </w:t>
      </w:r>
      <w:r w:rsidR="00E824A0">
        <w:rPr>
          <w:szCs w:val="22"/>
        </w:rPr>
        <w:t xml:space="preserve">evident that Birach failed to upload </w:t>
      </w:r>
      <w:r w:rsidR="00F37307">
        <w:rPr>
          <w:szCs w:val="22"/>
        </w:rPr>
        <w:t xml:space="preserve">(or to timely upload) </w:t>
      </w:r>
      <w:r w:rsidR="00E824A0">
        <w:rPr>
          <w:szCs w:val="22"/>
        </w:rPr>
        <w:t xml:space="preserve">certain issues/programs lists to the KTUV(AM) OPIF. </w:t>
      </w:r>
      <w:r w:rsidR="000837FA">
        <w:rPr>
          <w:szCs w:val="22"/>
        </w:rPr>
        <w:t xml:space="preserve"> </w:t>
      </w:r>
      <w:r w:rsidR="00941CB7">
        <w:rPr>
          <w:szCs w:val="22"/>
        </w:rPr>
        <w:t xml:space="preserve">Taking into consideration all of the factors required by section 503(b)(2)(E) of the Act and the </w:t>
      </w:r>
      <w:r w:rsidR="00941CB7">
        <w:rPr>
          <w:i/>
          <w:szCs w:val="22"/>
        </w:rPr>
        <w:t>Forfeiture Policy Statement</w:t>
      </w:r>
      <w:r w:rsidR="0012024A">
        <w:rPr>
          <w:i/>
          <w:szCs w:val="22"/>
        </w:rPr>
        <w:t>,</w:t>
      </w:r>
      <w:r w:rsidRPr="00DF6C1B" w:rsidR="00941CB7">
        <w:rPr>
          <w:szCs w:val="22"/>
        </w:rPr>
        <w:t xml:space="preserve"> </w:t>
      </w:r>
      <w:r w:rsidRPr="00DF6C1B" w:rsidR="001E0E15">
        <w:rPr>
          <w:szCs w:val="22"/>
        </w:rPr>
        <w:t>we propo</w:t>
      </w:r>
      <w:r w:rsidRPr="00DF6C1B" w:rsidR="00A17AD7">
        <w:rPr>
          <w:szCs w:val="22"/>
        </w:rPr>
        <w:t xml:space="preserve">se a total forfeiture in the </w:t>
      </w:r>
      <w:r w:rsidRPr="00DF6C1B" w:rsidR="00501F8A">
        <w:rPr>
          <w:szCs w:val="22"/>
        </w:rPr>
        <w:t>a</w:t>
      </w:r>
      <w:r w:rsidRPr="00DF6C1B" w:rsidR="00A17AD7">
        <w:rPr>
          <w:szCs w:val="22"/>
        </w:rPr>
        <w:t xml:space="preserve">mount of </w:t>
      </w:r>
      <w:r w:rsidRPr="00F37307" w:rsidR="00C83746">
        <w:rPr>
          <w:szCs w:val="22"/>
        </w:rPr>
        <w:t>seven</w:t>
      </w:r>
      <w:r w:rsidRPr="00F37307" w:rsidR="00F37307">
        <w:rPr>
          <w:szCs w:val="22"/>
        </w:rPr>
        <w:t>teen</w:t>
      </w:r>
      <w:r w:rsidRPr="00F37307" w:rsidR="00C83746">
        <w:rPr>
          <w:szCs w:val="22"/>
        </w:rPr>
        <w:t xml:space="preserve"> thousand five hundred dollars </w:t>
      </w:r>
      <w:r w:rsidRPr="00F37307" w:rsidR="00501F8A">
        <w:rPr>
          <w:szCs w:val="22"/>
        </w:rPr>
        <w:t>($</w:t>
      </w:r>
      <w:r w:rsidRPr="00F37307" w:rsidR="00C83746">
        <w:rPr>
          <w:szCs w:val="22"/>
        </w:rPr>
        <w:t xml:space="preserve"> </w:t>
      </w:r>
      <w:r w:rsidRPr="00F37307" w:rsidR="00F37307">
        <w:rPr>
          <w:szCs w:val="22"/>
        </w:rPr>
        <w:t>1</w:t>
      </w:r>
      <w:r w:rsidRPr="00F37307" w:rsidR="00C83746">
        <w:rPr>
          <w:szCs w:val="22"/>
        </w:rPr>
        <w:t>7,500</w:t>
      </w:r>
      <w:r w:rsidRPr="00F37307" w:rsidR="00501F8A">
        <w:rPr>
          <w:szCs w:val="22"/>
        </w:rPr>
        <w:t>)</w:t>
      </w:r>
      <w:r w:rsidRPr="00DF6C1B" w:rsidR="00501F8A">
        <w:rPr>
          <w:szCs w:val="22"/>
        </w:rPr>
        <w:t xml:space="preserve"> for Birach’s apparent violations of sections 1.65, 73.1740(a)(4), </w:t>
      </w:r>
      <w:r w:rsidR="009D343D">
        <w:rPr>
          <w:szCs w:val="22"/>
        </w:rPr>
        <w:t xml:space="preserve">73.3526, </w:t>
      </w:r>
      <w:r w:rsidRPr="00DF6C1B" w:rsidR="00501F8A">
        <w:rPr>
          <w:szCs w:val="22"/>
        </w:rPr>
        <w:t>and 74.1263(e) of the Rules.</w:t>
      </w:r>
    </w:p>
    <w:p w:rsidR="00AE2D78" w:rsidRPr="00683723" w:rsidP="00CB1BA6" w14:paraId="4B45A4B3" w14:textId="6E90942D">
      <w:pPr>
        <w:pStyle w:val="ParaNum"/>
        <w:rPr>
          <w:szCs w:val="22"/>
        </w:rPr>
      </w:pPr>
      <w:r w:rsidRPr="00683723">
        <w:rPr>
          <w:i/>
          <w:szCs w:val="22"/>
        </w:rPr>
        <w:t>License Renewal Application.</w:t>
      </w:r>
      <w:r w:rsidRPr="00683723">
        <w:rPr>
          <w:szCs w:val="22"/>
        </w:rPr>
        <w:t xml:space="preserve">  </w:t>
      </w:r>
      <w:r w:rsidRPr="00683723" w:rsidR="00A7120F">
        <w:rPr>
          <w:szCs w:val="22"/>
        </w:rPr>
        <w:t>In evaluating an application for license renewal, the Commission’s decision is governed by section 309(k) of the Act.</w:t>
      </w:r>
      <w:r>
        <w:rPr>
          <w:rStyle w:val="FootnoteReference"/>
          <w:sz w:val="22"/>
          <w:szCs w:val="22"/>
        </w:rPr>
        <w:footnoteReference w:id="43"/>
      </w:r>
      <w:r w:rsidRPr="00683723" w:rsidR="00A7120F">
        <w:rPr>
          <w:szCs w:val="22"/>
        </w:rPr>
        <w:t xml:space="preserve">  That section provides that if, upon consideration of the application and pleadings, we find </w:t>
      </w:r>
      <w:r w:rsidR="0087417D">
        <w:rPr>
          <w:szCs w:val="22"/>
        </w:rPr>
        <w:t>that:</w:t>
      </w:r>
      <w:r w:rsidRPr="00683723" w:rsidR="00A7120F">
        <w:rPr>
          <w:szCs w:val="22"/>
        </w:rPr>
        <w:t xml:space="preserve"> </w:t>
      </w:r>
      <w:r w:rsidR="00CA7822">
        <w:rPr>
          <w:szCs w:val="22"/>
        </w:rPr>
        <w:t xml:space="preserve"> </w:t>
      </w:r>
      <w:r w:rsidRPr="00683723" w:rsidR="00A7120F">
        <w:rPr>
          <w:szCs w:val="22"/>
        </w:rPr>
        <w:t>(1) the station has served the public interest, convenience, and necessity; (2) there have been no serious violations of the Act or the Rules</w:t>
      </w:r>
      <w:r w:rsidR="00894930">
        <w:rPr>
          <w:szCs w:val="22"/>
        </w:rPr>
        <w:t xml:space="preserve"> with respect to the station</w:t>
      </w:r>
      <w:r w:rsidRPr="00683723" w:rsidR="00A7120F">
        <w:rPr>
          <w:szCs w:val="22"/>
        </w:rPr>
        <w:t>; and (3) there have been no other violations which, taken together, constitute a pattern of abuse, we are to grant the renewal application.</w:t>
      </w:r>
      <w:r>
        <w:rPr>
          <w:rStyle w:val="FootnoteReference"/>
          <w:sz w:val="22"/>
          <w:szCs w:val="22"/>
        </w:rPr>
        <w:footnoteReference w:id="44"/>
      </w:r>
      <w:r w:rsidRPr="00683723" w:rsidR="00A7120F">
        <w:rPr>
          <w:szCs w:val="22"/>
        </w:rPr>
        <w:t xml:space="preserve"> </w:t>
      </w:r>
      <w:r w:rsidRPr="00683723" w:rsidR="00A7120F">
        <w:rPr>
          <w:i/>
          <w:szCs w:val="22"/>
        </w:rPr>
        <w:t xml:space="preserve"> </w:t>
      </w:r>
      <w:r w:rsidRPr="00683723" w:rsidR="00A7120F">
        <w:rPr>
          <w:szCs w:val="22"/>
        </w:rP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45"/>
      </w:r>
      <w:r w:rsidR="001A656A">
        <w:rPr>
          <w:szCs w:val="22"/>
        </w:rPr>
        <w:t xml:space="preserve">  </w:t>
      </w:r>
    </w:p>
    <w:p w:rsidR="00026187" w:rsidP="00026187" w14:paraId="69939991" w14:textId="77777777">
      <w:pPr>
        <w:pStyle w:val="ParaNum"/>
      </w:pPr>
      <w:r w:rsidRPr="00683723">
        <w:t>We find that</w:t>
      </w:r>
      <w:r w:rsidR="00807968">
        <w:t xml:space="preserve">, with respect to each of the Stations, </w:t>
      </w:r>
      <w:r w:rsidR="00270CDD">
        <w:t>Birach’s</w:t>
      </w:r>
      <w:r w:rsidRPr="00683723">
        <w:t xml:space="preserve"> apparent violation</w:t>
      </w:r>
      <w:r w:rsidR="005A222C">
        <w:t>s</w:t>
      </w:r>
      <w:r w:rsidRPr="00683723">
        <w:t xml:space="preserve"> of section </w:t>
      </w:r>
      <w:r w:rsidR="00270CDD">
        <w:t xml:space="preserve">1.65, </w:t>
      </w:r>
      <w:r w:rsidR="00EE5E5A">
        <w:t xml:space="preserve">section 73.3526, </w:t>
      </w:r>
      <w:r w:rsidR="000B1ACC">
        <w:t xml:space="preserve"> </w:t>
      </w:r>
      <w:r w:rsidR="005A222C">
        <w:t>section 73.1740(a)(4)</w:t>
      </w:r>
      <w:r w:rsidR="000B1ACC">
        <w:t>,</w:t>
      </w:r>
      <w:r w:rsidR="005A222C">
        <w:t xml:space="preserve"> </w:t>
      </w:r>
      <w:r w:rsidR="000B1ACC">
        <w:t>and/</w:t>
      </w:r>
      <w:r w:rsidR="005A222C">
        <w:t>or section 74.1263(e) do</w:t>
      </w:r>
      <w:r w:rsidRPr="00683723">
        <w:t xml:space="preserve"> not constitute “serious violation</w:t>
      </w:r>
      <w:r w:rsidR="00B31DDE">
        <w:t>s</w:t>
      </w:r>
      <w:r w:rsidRPr="00683723">
        <w:t xml:space="preserve">” warranting designation of </w:t>
      </w:r>
      <w:r w:rsidR="006F66E5">
        <w:t>the</w:t>
      </w:r>
      <w:r w:rsidR="00A901C8">
        <w:t xml:space="preserve"> </w:t>
      </w:r>
      <w:r w:rsidR="00B31DDE">
        <w:t>Application</w:t>
      </w:r>
      <w:r w:rsidRPr="00683723">
        <w:t xml:space="preserve"> for evidentiary hearing.  Moreover, we find no evidence of violations </w:t>
      </w:r>
      <w:r w:rsidR="006F66E5">
        <w:t xml:space="preserve">at either of the Stations </w:t>
      </w:r>
      <w:r w:rsidRPr="00683723">
        <w:t>that, when considered together, constitute a pattern of abuse.</w:t>
      </w:r>
      <w:r>
        <w:rPr>
          <w:rStyle w:val="FootnoteReference"/>
          <w:sz w:val="22"/>
          <w:szCs w:val="22"/>
        </w:rPr>
        <w:footnoteReference w:id="46"/>
      </w:r>
      <w:r w:rsidRPr="00683723">
        <w:t xml:space="preserve">  </w:t>
      </w:r>
      <w:r w:rsidRPr="00683723">
        <w:rPr>
          <w:spacing w:val="-2"/>
        </w:rPr>
        <w:t>Further, based on our review of the Application</w:t>
      </w:r>
      <w:r w:rsidR="00D55A7D">
        <w:rPr>
          <w:spacing w:val="-2"/>
        </w:rPr>
        <w:t>s</w:t>
      </w:r>
      <w:r w:rsidRPr="00683723">
        <w:rPr>
          <w:spacing w:val="-2"/>
        </w:rPr>
        <w:t xml:space="preserve">, we find that </w:t>
      </w:r>
      <w:r w:rsidR="006F66E5">
        <w:rPr>
          <w:spacing w:val="-2"/>
        </w:rPr>
        <w:t>each of the</w:t>
      </w:r>
      <w:r w:rsidRPr="00683723">
        <w:t xml:space="preserve"> Station</w:t>
      </w:r>
      <w:r w:rsidR="006F66E5">
        <w:t>s</w:t>
      </w:r>
      <w:r w:rsidRPr="00683723">
        <w:t xml:space="preserve"> served the public interest, convenience, and necessity during </w:t>
      </w:r>
      <w:r w:rsidR="00BC28C1">
        <w:t>the preceding</w:t>
      </w:r>
      <w:r w:rsidRPr="00683723">
        <w:t xml:space="preserve"> license term.  We will therefore grant </w:t>
      </w:r>
      <w:r w:rsidR="00C9134E">
        <w:t>the Application</w:t>
      </w:r>
      <w:r w:rsidRPr="00683723">
        <w:t xml:space="preserve"> by separate action upon the conclusion of this forfeiture proceeding if there are no issues other than the apparent violation</w:t>
      </w:r>
      <w:r w:rsidR="00567702">
        <w:t>s</w:t>
      </w:r>
      <w:r w:rsidRPr="00683723">
        <w:t xml:space="preserve"> that would preclude grant.</w:t>
      </w:r>
      <w:r w:rsidR="00EE5E5A">
        <w:t xml:space="preserve">  </w:t>
      </w:r>
      <w:r w:rsidR="00274DD5">
        <w:t xml:space="preserve">However, given </w:t>
      </w:r>
      <w:r w:rsidR="00BD5EED">
        <w:t xml:space="preserve">the importance of </w:t>
      </w:r>
      <w:r w:rsidR="00E17926">
        <w:t xml:space="preserve">radio stations’ OPIFs, and </w:t>
      </w:r>
      <w:r w:rsidR="004B5D4B">
        <w:t xml:space="preserve">Birach’s </w:t>
      </w:r>
      <w:r w:rsidR="009861A9">
        <w:t xml:space="preserve">issues </w:t>
      </w:r>
      <w:r w:rsidR="00E17926">
        <w:t>properly maintaining</w:t>
      </w:r>
      <w:r w:rsidR="009861A9">
        <w:t xml:space="preserve"> KTUV(AM)</w:t>
      </w:r>
      <w:r w:rsidR="00E17926">
        <w:t>’s</w:t>
      </w:r>
      <w:r w:rsidR="009861A9">
        <w:t xml:space="preserve"> OPIF, we </w:t>
      </w:r>
      <w:r w:rsidR="00CD06DE">
        <w:t xml:space="preserve">will condition our grant of the Application on </w:t>
      </w:r>
      <w:r w:rsidR="002849BC">
        <w:t xml:space="preserve">Birach submitting a report </w:t>
      </w:r>
      <w:r w:rsidR="00356D24">
        <w:t xml:space="preserve">to the Bureau </w:t>
      </w:r>
      <w:r w:rsidR="002849BC">
        <w:t xml:space="preserve">regarding </w:t>
      </w:r>
      <w:r w:rsidR="007E2166">
        <w:t>KTUV(AM)’s</w:t>
      </w:r>
      <w:r w:rsidR="002849BC">
        <w:t xml:space="preserve"> compliance with the </w:t>
      </w:r>
      <w:r w:rsidR="001C6DAF">
        <w:t>Commission’s OPIF requirements</w:t>
      </w:r>
      <w:r w:rsidR="00984F99">
        <w:t xml:space="preserve">. </w:t>
      </w:r>
    </w:p>
    <w:p w:rsidR="00AE2D78" w:rsidRPr="00683723" w:rsidP="00026187" w14:paraId="71EE532E" w14:textId="4799926F">
      <w:pPr>
        <w:pStyle w:val="Heading1"/>
      </w:pPr>
      <w:r w:rsidRPr="00683723">
        <w:t>ORDERING CLAUSES</w:t>
      </w:r>
    </w:p>
    <w:p w:rsidR="004463F2" w:rsidRPr="0037606D" w:rsidP="004463F2" w14:paraId="4218E481" w14:textId="65BA8615">
      <w:pPr>
        <w:pStyle w:val="ParaNum"/>
      </w:pPr>
      <w:r w:rsidRPr="0073359F">
        <w:t>Accordingly,</w:t>
      </w:r>
      <w:r>
        <w:rPr>
          <w:b/>
          <w:bCs/>
        </w:rPr>
        <w:t xml:space="preserve"> </w:t>
      </w:r>
      <w:r w:rsidRPr="004463F2">
        <w:rPr>
          <w:b/>
          <w:bCs/>
        </w:rPr>
        <w:t>IT IS ORDERED</w:t>
      </w:r>
      <w:r w:rsidRPr="0037606D">
        <w:t xml:space="preserve"> that the Request to Withdraw </w:t>
      </w:r>
      <w:r>
        <w:t>Petition to Deny</w:t>
      </w:r>
      <w:r w:rsidRPr="0037606D">
        <w:t xml:space="preserve"> filed by Naún Domínguez, on June 10, 2020, </w:t>
      </w:r>
      <w:r w:rsidRPr="004463F2">
        <w:rPr>
          <w:b/>
          <w:bCs/>
        </w:rPr>
        <w:t xml:space="preserve">IS </w:t>
      </w:r>
      <w:r w:rsidRPr="004463F2">
        <w:rPr>
          <w:b/>
          <w:bCs/>
          <w:caps/>
        </w:rPr>
        <w:t>grantED</w:t>
      </w:r>
      <w:r w:rsidRPr="004463F2">
        <w:rPr>
          <w:caps/>
        </w:rPr>
        <w:t xml:space="preserve">, </w:t>
      </w:r>
      <w:r w:rsidRPr="0037606D">
        <w:t xml:space="preserve">and the </w:t>
      </w:r>
      <w:r>
        <w:t>Petition to Deny</w:t>
      </w:r>
      <w:r w:rsidRPr="0037606D">
        <w:t xml:space="preserve"> filed by Naún Domínguez on May 14, 2020, </w:t>
      </w:r>
      <w:r w:rsidRPr="004463F2">
        <w:rPr>
          <w:b/>
          <w:bCs/>
        </w:rPr>
        <w:t>IS DISMISSED</w:t>
      </w:r>
      <w:r w:rsidRPr="003E7AE5">
        <w:t>.</w:t>
      </w:r>
    </w:p>
    <w:p w:rsidR="00CC24F6" w:rsidRPr="0073359F" w:rsidP="00E00472" w14:paraId="218B7C42" w14:textId="01568DB0">
      <w:pPr>
        <w:pStyle w:val="ParaNum"/>
        <w:widowControl/>
      </w:pPr>
      <w:r w:rsidRPr="004A74D6">
        <w:rPr>
          <w:b/>
          <w:bCs/>
        </w:rPr>
        <w:t>IT IS FURTHER ORDERED</w:t>
      </w:r>
      <w:r w:rsidRPr="004A74D6">
        <w:t xml:space="preserve"> that the Informal Objection filed by Oscar Reyes on May 20, 2020, and the Informal Objection filed by Edward Vega on June 26, 2020, </w:t>
      </w:r>
      <w:r w:rsidRPr="004A74D6">
        <w:rPr>
          <w:b/>
          <w:bCs/>
        </w:rPr>
        <w:t>ARE GRANTED IN PART AND OTHERWISE DENIED</w:t>
      </w:r>
      <w:r w:rsidRPr="004A74D6">
        <w:t>.</w:t>
      </w:r>
    </w:p>
    <w:p w:rsidR="00AE2D78" w:rsidRPr="00683723" w:rsidP="00CB1BA6" w14:paraId="5EFA09E3" w14:textId="62D96693">
      <w:pPr>
        <w:pStyle w:val="ParaNum"/>
        <w:rPr>
          <w:szCs w:val="22"/>
        </w:rPr>
      </w:pPr>
      <w:r w:rsidRPr="00683723">
        <w:rPr>
          <w:b/>
          <w:bCs/>
          <w:szCs w:val="22"/>
        </w:rPr>
        <w:t xml:space="preserve">IT IS </w:t>
      </w:r>
      <w:r w:rsidR="0073359F">
        <w:rPr>
          <w:b/>
          <w:bCs/>
          <w:szCs w:val="22"/>
        </w:rPr>
        <w:t xml:space="preserve">FURTHER </w:t>
      </w:r>
      <w:r w:rsidRPr="00683723">
        <w:rPr>
          <w:b/>
          <w:bCs/>
          <w:szCs w:val="22"/>
        </w:rPr>
        <w:t>ORDERED</w:t>
      </w:r>
      <w:r w:rsidRPr="00683723">
        <w:rPr>
          <w:szCs w:val="22"/>
        </w:rPr>
        <w:t xml:space="preserve">, pursuant to </w:t>
      </w:r>
      <w:r w:rsidRPr="008C0C80">
        <w:rPr>
          <w:szCs w:val="22"/>
        </w:rPr>
        <w:t xml:space="preserve">section 503(b) of the Communications Act of 1934, as amended, and section 1.80 of the </w:t>
      </w:r>
      <w:r w:rsidR="003563B7">
        <w:rPr>
          <w:szCs w:val="22"/>
        </w:rPr>
        <w:t>Commission’s</w:t>
      </w:r>
      <w:r w:rsidRPr="008C0C80">
        <w:rPr>
          <w:szCs w:val="22"/>
        </w:rPr>
        <w:t xml:space="preserve"> rules,</w:t>
      </w:r>
      <w:r>
        <w:rPr>
          <w:rStyle w:val="FootnoteReference"/>
        </w:rPr>
        <w:footnoteReference w:id="47"/>
      </w:r>
      <w:r w:rsidRPr="008C0C80">
        <w:rPr>
          <w:szCs w:val="22"/>
        </w:rPr>
        <w:t xml:space="preserve"> </w:t>
      </w:r>
      <w:r w:rsidRPr="00453FF1">
        <w:rPr>
          <w:szCs w:val="22"/>
        </w:rPr>
        <w:t>that</w:t>
      </w:r>
      <w:r w:rsidRPr="00453FF1" w:rsidR="00A7120F">
        <w:rPr>
          <w:szCs w:val="22"/>
        </w:rPr>
        <w:t xml:space="preserve"> </w:t>
      </w:r>
      <w:r w:rsidR="009F5843">
        <w:rPr>
          <w:szCs w:val="22"/>
        </w:rPr>
        <w:t>Birach Broadcasting Corporation</w:t>
      </w:r>
      <w:r w:rsidR="00155950">
        <w:rPr>
          <w:szCs w:val="22"/>
        </w:rPr>
        <w:t>,</w:t>
      </w:r>
      <w:r w:rsidRPr="00453FF1" w:rsidR="00FF108E">
        <w:rPr>
          <w:szCs w:val="22"/>
        </w:rPr>
        <w:t xml:space="preserve"> </w:t>
      </w:r>
      <w:r w:rsidRPr="00453FF1">
        <w:rPr>
          <w:szCs w:val="22"/>
        </w:rPr>
        <w:t xml:space="preserve">is hereby </w:t>
      </w:r>
      <w:r w:rsidRPr="00453FF1">
        <w:rPr>
          <w:b/>
          <w:bCs/>
          <w:szCs w:val="22"/>
        </w:rPr>
        <w:t>NOTIFIED</w:t>
      </w:r>
      <w:r w:rsidRPr="00453FF1">
        <w:rPr>
          <w:szCs w:val="22"/>
        </w:rPr>
        <w:t xml:space="preserve"> of its </w:t>
      </w:r>
      <w:r w:rsidRPr="00453FF1">
        <w:rPr>
          <w:b/>
          <w:bCs/>
          <w:szCs w:val="22"/>
        </w:rPr>
        <w:t>APPARENT LIABILITY FOR FORFEITURE</w:t>
      </w:r>
      <w:r w:rsidRPr="00453FF1">
        <w:rPr>
          <w:szCs w:val="22"/>
        </w:rPr>
        <w:t xml:space="preserve"> in the amount of </w:t>
      </w:r>
      <w:r w:rsidR="00C83746">
        <w:rPr>
          <w:szCs w:val="22"/>
        </w:rPr>
        <w:t>seven</w:t>
      </w:r>
      <w:r w:rsidR="00BA0163">
        <w:rPr>
          <w:szCs w:val="22"/>
        </w:rPr>
        <w:t>teen</w:t>
      </w:r>
      <w:r w:rsidR="00C83746">
        <w:rPr>
          <w:szCs w:val="22"/>
        </w:rPr>
        <w:t xml:space="preserve"> thousand five hundred</w:t>
      </w:r>
      <w:r w:rsidRPr="00453FF1" w:rsidR="00C83746">
        <w:rPr>
          <w:szCs w:val="22"/>
        </w:rPr>
        <w:t xml:space="preserve"> </w:t>
      </w:r>
      <w:r w:rsidRPr="00453FF1">
        <w:rPr>
          <w:szCs w:val="22"/>
        </w:rPr>
        <w:t>dollars (</w:t>
      </w:r>
      <w:r w:rsidRPr="00453FF1" w:rsidR="008C0C80">
        <w:rPr>
          <w:szCs w:val="22"/>
        </w:rPr>
        <w:t>$</w:t>
      </w:r>
      <w:r w:rsidR="00C83746">
        <w:rPr>
          <w:szCs w:val="22"/>
        </w:rPr>
        <w:t xml:space="preserve"> </w:t>
      </w:r>
      <w:r w:rsidR="00BA0163">
        <w:rPr>
          <w:szCs w:val="22"/>
        </w:rPr>
        <w:t>1</w:t>
      </w:r>
      <w:r w:rsidR="00C83746">
        <w:rPr>
          <w:szCs w:val="22"/>
        </w:rPr>
        <w:t>7,500</w:t>
      </w:r>
      <w:r w:rsidRPr="00453FF1">
        <w:rPr>
          <w:szCs w:val="22"/>
        </w:rPr>
        <w:t>) for</w:t>
      </w:r>
      <w:r w:rsidRPr="00683723">
        <w:rPr>
          <w:szCs w:val="22"/>
        </w:rPr>
        <w:t xml:space="preserve"> its apparent willful</w:t>
      </w:r>
      <w:r w:rsidR="00C9134E">
        <w:rPr>
          <w:szCs w:val="22"/>
        </w:rPr>
        <w:t xml:space="preserve"> and repeated</w:t>
      </w:r>
      <w:r w:rsidRPr="00683723">
        <w:rPr>
          <w:szCs w:val="22"/>
        </w:rPr>
        <w:t xml:space="preserve"> violation</w:t>
      </w:r>
      <w:r w:rsidR="003C122C">
        <w:rPr>
          <w:szCs w:val="22"/>
        </w:rPr>
        <w:t>s</w:t>
      </w:r>
      <w:r w:rsidRPr="00683723">
        <w:rPr>
          <w:szCs w:val="22"/>
        </w:rPr>
        <w:t xml:space="preserve"> of </w:t>
      </w:r>
      <w:r w:rsidR="00C9134E">
        <w:rPr>
          <w:szCs w:val="22"/>
        </w:rPr>
        <w:t>section</w:t>
      </w:r>
      <w:r w:rsidR="00E44FE6">
        <w:rPr>
          <w:szCs w:val="22"/>
        </w:rPr>
        <w:t>s</w:t>
      </w:r>
      <w:r w:rsidR="00C9134E">
        <w:rPr>
          <w:szCs w:val="22"/>
        </w:rPr>
        <w:t xml:space="preserve"> 1.65</w:t>
      </w:r>
      <w:r w:rsidR="00E44FE6">
        <w:rPr>
          <w:szCs w:val="22"/>
        </w:rPr>
        <w:t xml:space="preserve">, 73.1740(a)(4), </w:t>
      </w:r>
      <w:r w:rsidR="00511638">
        <w:rPr>
          <w:szCs w:val="22"/>
        </w:rPr>
        <w:t xml:space="preserve">73.3526, </w:t>
      </w:r>
      <w:r w:rsidR="00E44FE6">
        <w:rPr>
          <w:szCs w:val="22"/>
        </w:rPr>
        <w:t xml:space="preserve">and </w:t>
      </w:r>
      <w:r w:rsidR="009F5843">
        <w:rPr>
          <w:szCs w:val="22"/>
        </w:rPr>
        <w:t>74.1263(</w:t>
      </w:r>
      <w:r w:rsidR="00E44FE6">
        <w:rPr>
          <w:szCs w:val="22"/>
        </w:rPr>
        <w:t>e</w:t>
      </w:r>
      <w:r w:rsidR="009F5843">
        <w:rPr>
          <w:szCs w:val="22"/>
        </w:rPr>
        <w:t>)</w:t>
      </w:r>
      <w:r w:rsidRPr="00683723">
        <w:rPr>
          <w:szCs w:val="22"/>
        </w:rPr>
        <w:t xml:space="preserve"> of the</w:t>
      </w:r>
      <w:r w:rsidR="000437E9">
        <w:rPr>
          <w:szCs w:val="22"/>
        </w:rPr>
        <w:t xml:space="preserve"> FCC’s</w:t>
      </w:r>
      <w:r w:rsidRPr="00683723">
        <w:rPr>
          <w:szCs w:val="22"/>
        </w:rPr>
        <w:t xml:space="preserve"> </w:t>
      </w:r>
      <w:r w:rsidR="001B52E5">
        <w:rPr>
          <w:szCs w:val="22"/>
        </w:rPr>
        <w:t>r</w:t>
      </w:r>
      <w:r w:rsidRPr="00683723">
        <w:rPr>
          <w:szCs w:val="22"/>
        </w:rPr>
        <w:t xml:space="preserve">ules. </w:t>
      </w:r>
    </w:p>
    <w:p w:rsidR="00AE2D78" w:rsidRPr="00683723" w:rsidP="00CB1BA6" w14:paraId="395A452C" w14:textId="5875A05C">
      <w:pPr>
        <w:pStyle w:val="ParaNum"/>
        <w:rPr>
          <w:szCs w:val="22"/>
        </w:rPr>
      </w:pPr>
      <w:r w:rsidRPr="00683723">
        <w:rPr>
          <w:b/>
          <w:bCs/>
          <w:szCs w:val="22"/>
        </w:rPr>
        <w:t>IT IS FURTHER ORDERED</w:t>
      </w:r>
      <w:r w:rsidRPr="00683723">
        <w:rPr>
          <w:szCs w:val="22"/>
        </w:rPr>
        <w:t xml:space="preserve">, pursuant to section 1.80 of the </w:t>
      </w:r>
      <w:r w:rsidR="00997348">
        <w:rPr>
          <w:szCs w:val="22"/>
        </w:rPr>
        <w:t>Commission’s</w:t>
      </w:r>
      <w:r w:rsidR="001B52E5">
        <w:rPr>
          <w:szCs w:val="22"/>
        </w:rPr>
        <w:t xml:space="preserve"> </w:t>
      </w:r>
      <w:r w:rsidRPr="00683723">
        <w:rPr>
          <w:szCs w:val="22"/>
        </w:rPr>
        <w:t xml:space="preserve">Rules, that, within thirty (30) days of the release date of this </w:t>
      </w:r>
      <w:r w:rsidRPr="00683723">
        <w:rPr>
          <w:i/>
          <w:szCs w:val="22"/>
        </w:rPr>
        <w:t xml:space="preserve">NAL, </w:t>
      </w:r>
      <w:r w:rsidR="009F5843">
        <w:rPr>
          <w:szCs w:val="22"/>
        </w:rPr>
        <w:t>Birach Broadcasting Corporation</w:t>
      </w:r>
      <w:r w:rsidR="00155950">
        <w:rPr>
          <w:szCs w:val="22"/>
        </w:rPr>
        <w:t>,</w:t>
      </w:r>
      <w:r w:rsidRPr="00683723">
        <w:rPr>
          <w:szCs w:val="22"/>
        </w:rPr>
        <w:t xml:space="preserve"> </w:t>
      </w:r>
      <w:r w:rsidRPr="00683723">
        <w:rPr>
          <w:b/>
          <w:bCs/>
          <w:szCs w:val="22"/>
        </w:rPr>
        <w:t>SHALL PAY</w:t>
      </w:r>
      <w:r w:rsidRPr="00683723">
        <w:rPr>
          <w:szCs w:val="22"/>
        </w:rPr>
        <w:t xml:space="preserve"> the full amount of the proposed forfeiture or </w:t>
      </w:r>
      <w:r w:rsidRPr="00683723">
        <w:rPr>
          <w:b/>
          <w:bCs/>
          <w:szCs w:val="22"/>
        </w:rPr>
        <w:t>SHALL FILE</w:t>
      </w:r>
      <w:r w:rsidRPr="00683723">
        <w:rPr>
          <w:szCs w:val="22"/>
        </w:rPr>
        <w:t xml:space="preserve"> a written statement seeking reduction or cancellation of the proposed forfeiture.</w:t>
      </w:r>
    </w:p>
    <w:p w:rsidR="00490C03" w:rsidP="00490C03" w14:paraId="5443E641" w14:textId="2E3B879B">
      <w:pPr>
        <w:pStyle w:val="ParaNum"/>
        <w:rPr>
          <w:snapToGrid/>
        </w:rPr>
      </w:pPr>
      <w:bookmarkStart w:id="0" w:name="_Hlk66094492"/>
      <w:r w:rsidRPr="00490C03">
        <w:t>Payment of the forfeiture must be made by credit card, ACH (Automated Clearing House) debit from a bank account using CORES (the Commission’s online payment system),</w:t>
      </w:r>
      <w:r>
        <w:rPr>
          <w:rStyle w:val="FootnoteReference"/>
          <w:szCs w:val="22"/>
        </w:rPr>
        <w:footnoteReference w:id="48"/>
      </w:r>
      <w:r w:rsidRPr="00490C03">
        <w:t xml:space="preserve"> or by wire transfer.  Payments by check or money order to pay a forfeiture</w:t>
      </w:r>
      <w:r>
        <w:t xml:space="preserve"> are no longer accepted.  Below are instructions that payors should follow based on the form of payment selected:</w:t>
      </w:r>
      <w:r>
        <w:rPr>
          <w:rStyle w:val="FootnoteReference"/>
          <w:szCs w:val="22"/>
        </w:rPr>
        <w:footnoteReference w:id="49"/>
      </w:r>
      <w:r>
        <w:t xml:space="preserve"> </w:t>
      </w:r>
    </w:p>
    <w:p w:rsidR="00490C03" w:rsidP="00490C03" w14:paraId="4BE52CA5" w14:textId="77777777">
      <w:pPr>
        <w:widowControl/>
        <w:numPr>
          <w:ilvl w:val="0"/>
          <w:numId w:val="16"/>
        </w:numPr>
        <w:snapToGrid w:val="0"/>
        <w:spacing w:after="120"/>
        <w:rPr>
          <w:b/>
          <w:szCs w:val="22"/>
        </w:rPr>
      </w:pPr>
      <w:r>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Pr>
            <w:rStyle w:val="Hyperlink"/>
            <w:szCs w:val="22"/>
          </w:rPr>
          <w:t>RROGWireFaxes@fcc.gov</w:t>
        </w:r>
      </w:hyperlink>
      <w:r>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50"/>
      </w:r>
      <w:r>
        <w:rPr>
          <w:szCs w:val="22"/>
        </w:rPr>
        <w:t xml:space="preserve">  For additional detail and wire transfer instructions, go to </w:t>
      </w:r>
      <w:hyperlink r:id="rId6" w:history="1">
        <w:r>
          <w:rPr>
            <w:rStyle w:val="Hyperlink"/>
            <w:szCs w:val="22"/>
          </w:rPr>
          <w:t>https://www.fcc.gov/licensing-databases/fees/wire-transfer</w:t>
        </w:r>
      </w:hyperlink>
      <w:r>
        <w:rPr>
          <w:szCs w:val="22"/>
        </w:rPr>
        <w:t>.</w:t>
      </w:r>
    </w:p>
    <w:p w:rsidR="00490C03" w:rsidP="00490C03" w14:paraId="31EE9866" w14:textId="77777777">
      <w:pPr>
        <w:pStyle w:val="ParaNum"/>
        <w:widowControl/>
        <w:numPr>
          <w:ilvl w:val="0"/>
          <w:numId w:val="16"/>
        </w:numPr>
        <w:tabs>
          <w:tab w:val="left" w:pos="720"/>
        </w:tabs>
        <w:snapToGrid w:val="0"/>
        <w:rPr>
          <w:szCs w:val="22"/>
        </w:rPr>
      </w:pPr>
      <w:r>
        <w:rPr>
          <w:szCs w:val="22"/>
        </w:rPr>
        <w:t xml:space="preserve">Payment by credit card must be made by using the Commission’s Registration System (CORES) at </w:t>
      </w:r>
      <w:hyperlink r:id="rId7" w:history="1">
        <w:r>
          <w:rPr>
            <w:rStyle w:val="Hyperlink"/>
            <w:szCs w:val="22"/>
          </w:rPr>
          <w:t>https://apps.fcc.gov/cores/userLogin.do</w:t>
        </w:r>
      </w:hyperlink>
      <w:r>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490C03" w:rsidP="00490C03" w14:paraId="29594E75" w14:textId="77777777">
      <w:pPr>
        <w:pStyle w:val="ParaNum"/>
        <w:widowControl/>
        <w:numPr>
          <w:ilvl w:val="0"/>
          <w:numId w:val="17"/>
        </w:numPr>
        <w:tabs>
          <w:tab w:val="left" w:pos="720"/>
        </w:tabs>
        <w:snapToGrid w:val="0"/>
        <w:ind w:left="1080"/>
        <w:rPr>
          <w:szCs w:val="22"/>
        </w:rPr>
      </w:pPr>
      <w:r>
        <w:rPr>
          <w:szCs w:val="22"/>
        </w:rPr>
        <w:t xml:space="preserve">Payment by ACH must be made by using the Commission’s Registration System (CORES) at </w:t>
      </w:r>
      <w:hyperlink r:id="rId8" w:history="1">
        <w:r>
          <w:rPr>
            <w:rStyle w:val="Hyperlink"/>
            <w:szCs w:val="22"/>
          </w:rPr>
          <w:t>https://apps.fcc.gov/cores/paymentFrnLogin.do</w:t>
        </w:r>
      </w:hyperlink>
      <w:r>
        <w:rPr>
          <w:szCs w:val="22"/>
        </w:rPr>
        <w:t xml:space="preserve">.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w:t>
      </w:r>
      <w:r>
        <w:rPr>
          <w:szCs w:val="22"/>
        </w:rPr>
        <w:t>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B0485" w:rsidRPr="00146D8A" w:rsidP="005B0485" w14:paraId="5BA7D8F7" w14:textId="77777777">
      <w:pPr>
        <w:pStyle w:val="ParaNum"/>
      </w:pPr>
      <w:r w:rsidRPr="00264220">
        <w:t xml:space="preserve">Any request for making full payment over time under an installment plan should be sent to:  </w:t>
      </w:r>
      <w:r>
        <w:t>Revenue and Receivables Operations Group</w:t>
      </w:r>
      <w:r w:rsidRPr="00264220">
        <w:t xml:space="preserve">—Financial Operations, Federal Communications Commission, </w:t>
      </w:r>
      <w:r>
        <w:t>45 L Street NE</w:t>
      </w:r>
      <w:r w:rsidRPr="00264220">
        <w:t>, Washington, DC 20554</w:t>
      </w:r>
      <w:r>
        <w:t xml:space="preserve">, </w:t>
      </w:r>
      <w:r w:rsidRPr="00264220">
        <w:t xml:space="preserve">or by e-mail, </w:t>
      </w:r>
      <w:hyperlink r:id="rId9" w:history="1">
        <w:r w:rsidRPr="00264220">
          <w:rPr>
            <w:rStyle w:val="Hyperlink"/>
          </w:rPr>
          <w:t>ARINQUIRIES@fcc.gov</w:t>
        </w:r>
      </w:hyperlink>
      <w:r w:rsidRPr="00264220">
        <w:t>.</w:t>
      </w:r>
      <w:r>
        <w:rPr>
          <w:vertAlign w:val="superscript"/>
        </w:rPr>
        <w:footnoteReference w:id="51"/>
      </w:r>
      <w:r w:rsidRPr="00264220">
        <w:t xml:space="preserve">  Questions regarding payment procedures should be directed to the Financial Operations Group Help Desk by phone, 1-877-480-3201</w:t>
      </w:r>
      <w:r>
        <w:t xml:space="preserve"> (option #6)</w:t>
      </w:r>
      <w:r w:rsidRPr="00264220">
        <w:t xml:space="preserve">, or by e-mail, </w:t>
      </w:r>
      <w:hyperlink r:id="rId9" w:history="1">
        <w:r w:rsidRPr="00264220">
          <w:rPr>
            <w:rStyle w:val="Hyperlink"/>
          </w:rPr>
          <w:t>ARINQUIRIES@fcc.gov</w:t>
        </w:r>
      </w:hyperlink>
      <w:r w:rsidRPr="00264220">
        <w:t>.</w:t>
      </w:r>
    </w:p>
    <w:bookmarkEnd w:id="0"/>
    <w:p w:rsidR="00A7120F" w:rsidRPr="00683723" w:rsidP="00A7120F" w14:paraId="2A3CD39E" w14:textId="2F8C34B9">
      <w:pPr>
        <w:pStyle w:val="ParaNum"/>
        <w:rPr>
          <w:szCs w:val="22"/>
        </w:rPr>
      </w:pPr>
      <w:r w:rsidRPr="00683723">
        <w:rPr>
          <w:szCs w:val="22"/>
        </w:rPr>
        <w:t xml:space="preserve">Any written response seeking reduction or cancellation of the proposed forfeiture  must include a detailed factual statement supported by appropriate documentation and affidavits pursuant to sections 1.16 </w:t>
      </w:r>
      <w:r w:rsidRPr="00B529DB">
        <w:rPr>
          <w:szCs w:val="22"/>
        </w:rPr>
        <w:t>and 1.80(</w:t>
      </w:r>
      <w:r w:rsidR="00540DA6">
        <w:rPr>
          <w:szCs w:val="22"/>
        </w:rPr>
        <w:t>g</w:t>
      </w:r>
      <w:r w:rsidRPr="00B529DB">
        <w:rPr>
          <w:szCs w:val="22"/>
        </w:rPr>
        <w:t>)(3) of</w:t>
      </w:r>
      <w:r w:rsidRPr="00683723">
        <w:rPr>
          <w:szCs w:val="22"/>
        </w:rPr>
        <w:t xml:space="preserve"> the Commission’s </w:t>
      </w:r>
      <w:r w:rsidR="001B52E5">
        <w:rPr>
          <w:szCs w:val="22"/>
        </w:rPr>
        <w:t>R</w:t>
      </w:r>
      <w:r w:rsidRPr="00683723">
        <w:rPr>
          <w:szCs w:val="22"/>
        </w:rPr>
        <w:t>ules.</w:t>
      </w:r>
      <w:r>
        <w:rPr>
          <w:rStyle w:val="FootnoteReference"/>
          <w:sz w:val="22"/>
          <w:szCs w:val="22"/>
        </w:rPr>
        <w:footnoteReference w:id="52"/>
      </w:r>
      <w:r w:rsidRPr="00683723">
        <w:rPr>
          <w:szCs w:val="22"/>
        </w:rPr>
        <w:t xml:space="preserve">  The written response must be filed with the Office of the Secretary, Federal Communications Commission, 45 L Street NE, Washington DC 20554, ATTN: Albert Shuldiner, Chief, Audio Division, Media Bureau, and </w:t>
      </w:r>
      <w:r w:rsidRPr="00683723">
        <w:rPr>
          <w:b/>
          <w:szCs w:val="22"/>
        </w:rPr>
        <w:t>MUST INCLUDE</w:t>
      </w:r>
      <w:r w:rsidRPr="00683723">
        <w:rPr>
          <w:szCs w:val="22"/>
        </w:rPr>
        <w:t xml:space="preserve"> the NAL/Acct. N</w:t>
      </w:r>
      <w:r w:rsidR="00872515">
        <w:rPr>
          <w:szCs w:val="22"/>
        </w:rPr>
        <w:t>umber</w:t>
      </w:r>
      <w:r w:rsidRPr="00683723">
        <w:rPr>
          <w:szCs w:val="22"/>
        </w:rPr>
        <w:t xml:space="preserve"> referenced above.  Filings can be sent by commercial overnight courier, or by first-class or overnight U.S. Postal Service mail.  All filings must be addressed to the Commission’s Secretary, Office of the Secretary, Federal Communications Commission.</w:t>
      </w:r>
      <w:r>
        <w:rPr>
          <w:rStyle w:val="FootnoteReference"/>
          <w:sz w:val="22"/>
          <w:szCs w:val="22"/>
        </w:rPr>
        <w:footnoteReference w:id="53"/>
      </w:r>
      <w:r w:rsidR="00874781">
        <w:rPr>
          <w:szCs w:val="22"/>
        </w:rPr>
        <w:t xml:space="preserve">  </w:t>
      </w:r>
      <w:r w:rsidRPr="005B1997" w:rsidR="00874781">
        <w:t xml:space="preserve">A courtesy copy emailed to </w:t>
      </w:r>
      <w:hyperlink r:id="rId10" w:history="1">
        <w:r w:rsidRPr="006F7BB3" w:rsidR="00FD40A4">
          <w:rPr>
            <w:rStyle w:val="Hyperlink"/>
          </w:rPr>
          <w:t>Heather.Dixon@fcc.gov</w:t>
        </w:r>
      </w:hyperlink>
      <w:r w:rsidRPr="005B1997" w:rsidR="00874781">
        <w:t xml:space="preserve"> will assist in processing the response.</w:t>
      </w:r>
    </w:p>
    <w:p w:rsidR="00A7120F" w:rsidRPr="00683723" w:rsidP="00A7120F" w14:paraId="7A8F22FF" w14:textId="77777777">
      <w:pPr>
        <w:pStyle w:val="ParaNum"/>
        <w:numPr>
          <w:ilvl w:val="0"/>
          <w:numId w:val="13"/>
        </w:numPr>
        <w:rPr>
          <w:szCs w:val="22"/>
        </w:rPr>
      </w:pPr>
      <w:r w:rsidRPr="00683723">
        <w:rPr>
          <w:szCs w:val="22"/>
        </w:rPr>
        <w:t xml:space="preserve">Commercial overnight mail (other than U.S. Postal Service Express Mail and Priority Mail) must be sent to 9050 Junction Drive, Annapolis Junction, MD 20701. </w:t>
      </w:r>
    </w:p>
    <w:p w:rsidR="00A7120F" w:rsidRPr="00683723" w:rsidP="00A7120F" w14:paraId="603E7F3B" w14:textId="77777777">
      <w:pPr>
        <w:pStyle w:val="ParaNum"/>
        <w:numPr>
          <w:ilvl w:val="0"/>
          <w:numId w:val="13"/>
        </w:numPr>
        <w:rPr>
          <w:szCs w:val="22"/>
        </w:rPr>
      </w:pPr>
      <w:r w:rsidRPr="00683723">
        <w:rPr>
          <w:szCs w:val="22"/>
        </w:rPr>
        <w:t>Postal Service first-class, Express, and Priority mail must be addressed to 45 L Street, NE, Washington, DC 20554.</w:t>
      </w:r>
    </w:p>
    <w:p w:rsidR="00A7120F" w:rsidRPr="00683723" w:rsidP="00A7120F" w14:paraId="58A3D82B" w14:textId="0F9FFD83">
      <w:pPr>
        <w:pStyle w:val="ParaNum"/>
        <w:rPr>
          <w:szCs w:val="22"/>
        </w:rPr>
      </w:pPr>
      <w:r w:rsidRPr="00683723">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447598">
        <w:rPr>
          <w:szCs w:val="22"/>
        </w:rPr>
        <w:t xml:space="preserve"> </w:t>
      </w:r>
      <w:r w:rsidRPr="00683723">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vertAlign w:val="superscript"/>
        </w:rPr>
        <w:footnoteReference w:id="54"/>
      </w:r>
      <w:r w:rsidRPr="00683723">
        <w:rPr>
          <w:szCs w:val="22"/>
        </w:rPr>
        <w:t xml:space="preserve">  </w:t>
      </w:r>
    </w:p>
    <w:p w:rsidR="00655BFF" w14:paraId="6AAE32D1" w14:textId="77777777">
      <w:pPr>
        <w:widowControl/>
        <w:rPr>
          <w:b/>
          <w:bCs/>
        </w:rPr>
      </w:pPr>
      <w:r>
        <w:rPr>
          <w:b/>
          <w:bCs/>
        </w:rPr>
        <w:br w:type="page"/>
      </w:r>
    </w:p>
    <w:p w:rsidR="00AE2D78" w:rsidRPr="00683723" w:rsidP="007E38E4" w14:paraId="494E0E00" w14:textId="4BB49B14">
      <w:pPr>
        <w:pStyle w:val="ParaNum"/>
      </w:pPr>
      <w:r w:rsidRPr="00196EC8">
        <w:rPr>
          <w:b/>
          <w:bCs/>
        </w:rPr>
        <w:t>IT IS FURTHER ORDERED</w:t>
      </w:r>
      <w:r w:rsidRPr="00683723">
        <w:t xml:space="preserve"> that </w:t>
      </w:r>
      <w:r w:rsidR="00D15508">
        <w:t>copies</w:t>
      </w:r>
      <w:r w:rsidRPr="00683723">
        <w:t xml:space="preserve"> of this </w:t>
      </w:r>
      <w:r w:rsidRPr="00196EC8" w:rsidR="002521B2">
        <w:rPr>
          <w:i/>
          <w:iCs/>
        </w:rPr>
        <w:t>NAL</w:t>
      </w:r>
      <w:r w:rsidRPr="00683723">
        <w:t xml:space="preserve"> shall be sent, by First Class and Certified Mail, Return Receipt Requested, </w:t>
      </w:r>
      <w:r w:rsidR="00CC5F69">
        <w:t>Birach Broadcasting Corporation</w:t>
      </w:r>
      <w:r w:rsidR="00AC2DD4">
        <w:t>,</w:t>
      </w:r>
      <w:r w:rsidR="00196EC8">
        <w:t xml:space="preserve"> </w:t>
      </w:r>
      <w:r w:rsidR="007E38E4">
        <w:t>c/o Sima Birach, President, 21700 Northwestern Highway, Tower 14, Suite 1190, Southfield, MI 48075</w:t>
      </w:r>
      <w:r w:rsidR="00196EC8">
        <w:t xml:space="preserve">, and </w:t>
      </w:r>
      <w:r w:rsidR="00B24B26">
        <w:t xml:space="preserve">its counsel, </w:t>
      </w:r>
      <w:r w:rsidR="004F1E90">
        <w:t>John C. Trent</w:t>
      </w:r>
      <w:r w:rsidR="00D42B3B">
        <w:t xml:space="preserve">, Esq., </w:t>
      </w:r>
      <w:r w:rsidR="004F1E90">
        <w:t>Putbrese</w:t>
      </w:r>
      <w:r w:rsidR="00275987">
        <w:t xml:space="preserve"> Hunsaker &amp; Trent, P.C.</w:t>
      </w:r>
      <w:r w:rsidR="00CB58E8">
        <w:t xml:space="preserve">, </w:t>
      </w:r>
      <w:r w:rsidR="00275987">
        <w:t>200 S. Church Street, Woodstock, VA 22661</w:t>
      </w:r>
      <w:r w:rsidR="00D42B3B">
        <w:t>.</w:t>
      </w:r>
    </w:p>
    <w:p w:rsidR="00AE2D78" w:rsidRPr="00683723" w:rsidP="00CB1BA6" w14:paraId="527C008C"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FEDERAL COMMUNICATIONS COMMISSION</w:t>
      </w:r>
    </w:p>
    <w:p w:rsidR="00AE2D78" w:rsidRPr="00683723" w:rsidP="00CB1BA6" w14:paraId="7A2DDFEF" w14:textId="77777777">
      <w:pPr>
        <w:keepLines/>
        <w:tabs>
          <w:tab w:val="left" w:pos="0"/>
        </w:tabs>
        <w:suppressAutoHyphens/>
        <w:jc w:val="both"/>
        <w:rPr>
          <w:szCs w:val="22"/>
        </w:rPr>
      </w:pPr>
    </w:p>
    <w:p w:rsidR="00AE2D78" w:rsidP="00CB1BA6" w14:paraId="4CF4D54D" w14:textId="72AE56A6">
      <w:pPr>
        <w:keepLines/>
        <w:tabs>
          <w:tab w:val="left" w:pos="0"/>
        </w:tabs>
        <w:suppressAutoHyphens/>
        <w:jc w:val="both"/>
        <w:rPr>
          <w:szCs w:val="22"/>
        </w:rPr>
      </w:pPr>
    </w:p>
    <w:p w:rsidR="00D36FF9" w:rsidRPr="00683723" w:rsidP="00CB1BA6" w14:paraId="253F22B4" w14:textId="77777777">
      <w:pPr>
        <w:keepLines/>
        <w:tabs>
          <w:tab w:val="left" w:pos="0"/>
        </w:tabs>
        <w:suppressAutoHyphens/>
        <w:jc w:val="both"/>
        <w:rPr>
          <w:szCs w:val="22"/>
        </w:rPr>
      </w:pPr>
    </w:p>
    <w:p w:rsidR="00AE2D78" w:rsidRPr="00683723" w:rsidP="00CB1BA6" w14:paraId="67A7C004" w14:textId="77777777">
      <w:pPr>
        <w:keepLines/>
        <w:tabs>
          <w:tab w:val="left" w:pos="0"/>
        </w:tabs>
        <w:suppressAutoHyphens/>
        <w:jc w:val="both"/>
        <w:rPr>
          <w:szCs w:val="22"/>
        </w:rPr>
      </w:pPr>
    </w:p>
    <w:p w:rsidR="00AE2D78" w:rsidRPr="00683723" w:rsidP="00CB1BA6" w14:paraId="297E3983"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Albert Shuldiner</w:t>
      </w:r>
    </w:p>
    <w:p w:rsidR="00AE2D78" w:rsidRPr="00683723" w:rsidP="00CB1BA6" w14:paraId="6A712B2E"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Chief, Audio Division</w:t>
      </w:r>
    </w:p>
    <w:p w:rsidR="00412FC5" w:rsidRPr="00683723" w:rsidP="00D36FF9" w14:paraId="1A45D4E6" w14:textId="445C5963">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Media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19D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413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90C03" w14:paraId="79C91BC2" w14:textId="79AF803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90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554D" w14:paraId="2D4FD77F" w14:textId="77777777">
      <w:r>
        <w:separator/>
      </w:r>
    </w:p>
  </w:footnote>
  <w:footnote w:type="continuationSeparator" w:id="1">
    <w:p w:rsidR="00EF554D" w:rsidP="00C721AC" w14:paraId="1E22254F" w14:textId="77777777">
      <w:pPr>
        <w:spacing w:before="120"/>
        <w:rPr>
          <w:sz w:val="20"/>
        </w:rPr>
      </w:pPr>
      <w:r>
        <w:rPr>
          <w:sz w:val="20"/>
        </w:rPr>
        <w:t xml:space="preserve">(Continued from previous page)  </w:t>
      </w:r>
      <w:r>
        <w:rPr>
          <w:sz w:val="20"/>
        </w:rPr>
        <w:separator/>
      </w:r>
    </w:p>
  </w:footnote>
  <w:footnote w:type="continuationNotice" w:id="2">
    <w:p w:rsidR="00EF554D" w:rsidP="00C721AC" w14:paraId="1054C220" w14:textId="77777777">
      <w:pPr>
        <w:jc w:val="right"/>
        <w:rPr>
          <w:sz w:val="20"/>
        </w:rPr>
      </w:pPr>
    </w:p>
  </w:footnote>
  <w:footnote w:id="3">
    <w:p w:rsidR="00CB1BA6" w14:paraId="4EC9954F" w14:textId="0FD9C574">
      <w:pPr>
        <w:pStyle w:val="FootnoteText"/>
      </w:pPr>
      <w:r>
        <w:rPr>
          <w:rStyle w:val="FootnoteReference"/>
        </w:rPr>
        <w:footnoteRef/>
      </w:r>
      <w:r>
        <w:t xml:space="preserve"> </w:t>
      </w:r>
      <w:r w:rsidR="000377BF">
        <w:t xml:space="preserve">Application </w:t>
      </w:r>
      <w:r>
        <w:t>File No</w:t>
      </w:r>
      <w:r w:rsidR="003767F2">
        <w:t xml:space="preserve">. </w:t>
      </w:r>
      <w:r w:rsidR="00F162E6">
        <w:rPr>
          <w:szCs w:val="22"/>
        </w:rPr>
        <w:t>0000101513.</w:t>
      </w:r>
    </w:p>
  </w:footnote>
  <w:footnote w:id="4">
    <w:p w:rsidR="0004451F" w:rsidRPr="00D57580" w:rsidP="0004451F" w14:paraId="0551BA52" w14:textId="6D78619B">
      <w:pPr>
        <w:pStyle w:val="FootnoteText"/>
      </w:pPr>
      <w:r w:rsidRPr="003E7BAF">
        <w:rPr>
          <w:rStyle w:val="FootnoteReference"/>
        </w:rPr>
        <w:footnoteRef/>
      </w:r>
      <w:r w:rsidRPr="003E7BAF">
        <w:t xml:space="preserve"> </w:t>
      </w:r>
      <w:r w:rsidRPr="003E7BAF">
        <w:rPr>
          <w:i/>
          <w:iCs/>
        </w:rPr>
        <w:t>See</w:t>
      </w:r>
      <w:r w:rsidRPr="003E7BAF">
        <w:t xml:space="preserve"> </w:t>
      </w:r>
      <w:r w:rsidRPr="003E7BAF" w:rsidR="001144E5">
        <w:t xml:space="preserve">Informal Objection of Oscar Reyes, </w:t>
      </w:r>
      <w:r w:rsidRPr="003E7BAF">
        <w:t xml:space="preserve">Pleading No. </w:t>
      </w:r>
      <w:r w:rsidRPr="003E7BAF" w:rsidR="00EF3018">
        <w:t>0000114089</w:t>
      </w:r>
      <w:r w:rsidRPr="003E7BAF" w:rsidR="001144E5">
        <w:t xml:space="preserve"> (filed May 20, 2020)</w:t>
      </w:r>
      <w:r w:rsidRPr="003E7BAF">
        <w:t xml:space="preserve"> (Reyes </w:t>
      </w:r>
      <w:r w:rsidRPr="003E7BAF" w:rsidR="001144E5">
        <w:t>Objection</w:t>
      </w:r>
      <w:r w:rsidRPr="003E7BAF">
        <w:t>)</w:t>
      </w:r>
      <w:r w:rsidRPr="003E7BAF" w:rsidR="001144E5">
        <w:t xml:space="preserve">; </w:t>
      </w:r>
      <w:r w:rsidRPr="003E7BAF" w:rsidR="00E4550D">
        <w:t xml:space="preserve">Reply to Opposition to Informal Objection of Oscar Reyes and Edward Vega, Pleading No. </w:t>
      </w:r>
      <w:r w:rsidRPr="003E7BAF" w:rsidR="00EF3018">
        <w:t>0000116632</w:t>
      </w:r>
      <w:r w:rsidRPr="003E7BAF" w:rsidR="00E4550D">
        <w:t xml:space="preserve"> (filed June 26</w:t>
      </w:r>
      <w:r w:rsidRPr="003E7BAF" w:rsidR="001C505F">
        <w:t xml:space="preserve">, 2020) </w:t>
      </w:r>
      <w:r w:rsidRPr="003E7BAF">
        <w:t>(Vega Objection).  We note that, in addition to allegations regarding the Stations, the Objections include allegations about another AM station</w:t>
      </w:r>
      <w:r w:rsidRPr="003E7BAF" w:rsidR="009C3F7C">
        <w:t xml:space="preserve"> (</w:t>
      </w:r>
      <w:r w:rsidRPr="003E7BAF" w:rsidR="009866F5">
        <w:t>KMTL(AM),</w:t>
      </w:r>
      <w:r w:rsidRPr="003E7BAF">
        <w:t xml:space="preserve"> </w:t>
      </w:r>
      <w:r w:rsidRPr="003E7BAF" w:rsidR="009866F5">
        <w:t>Sherwood</w:t>
      </w:r>
      <w:r w:rsidRPr="003E7BAF">
        <w:t>, Arkansas</w:t>
      </w:r>
      <w:r w:rsidRPr="003E7BAF" w:rsidR="009C3F7C">
        <w:t>)</w:t>
      </w:r>
      <w:r w:rsidRPr="003E7BAF">
        <w:t>, and its associated FM translator</w:t>
      </w:r>
      <w:r w:rsidRPr="003E7BAF" w:rsidR="009C3F7C">
        <w:t xml:space="preserve"> (</w:t>
      </w:r>
      <w:r w:rsidRPr="003E7BAF" w:rsidR="009866F5">
        <w:t>K250CF</w:t>
      </w:r>
      <w:r w:rsidRPr="003E7BAF">
        <w:t xml:space="preserve">, </w:t>
      </w:r>
      <w:r w:rsidRPr="003E7BAF" w:rsidR="009866F5">
        <w:t>Sherwood</w:t>
      </w:r>
      <w:r w:rsidRPr="003E7BAF">
        <w:t>, Arkansas</w:t>
      </w:r>
      <w:r w:rsidRPr="003E7BAF" w:rsidR="009C3F7C">
        <w:t>)</w:t>
      </w:r>
      <w:r w:rsidRPr="003E7BAF">
        <w:t xml:space="preserve">.  Because </w:t>
      </w:r>
      <w:r w:rsidRPr="003E7BAF" w:rsidR="009C3F7C">
        <w:t>Reyes and Vega</w:t>
      </w:r>
      <w:r w:rsidRPr="003E7BAF">
        <w:t xml:space="preserve"> also make these allegations in objections to the renewal application for </w:t>
      </w:r>
      <w:r w:rsidRPr="003E7BAF" w:rsidR="009866F5">
        <w:t>KMTL(AM) and K250CF</w:t>
      </w:r>
      <w:r w:rsidRPr="003E7BAF">
        <w:t xml:space="preserve">, we will address them in a separate decision regarding that application.  We also note that a </w:t>
      </w:r>
      <w:r w:rsidRPr="003E7BAF" w:rsidR="001A3CBC">
        <w:t>petition to deny</w:t>
      </w:r>
      <w:r w:rsidRPr="003E7BAF">
        <w:t xml:space="preserve"> was filed in the name of Naún Domínguez.  </w:t>
      </w:r>
      <w:r w:rsidRPr="003E7BAF" w:rsidR="009C3F7C">
        <w:t xml:space="preserve">Petition to Deny of Naún Domínguez, </w:t>
      </w:r>
      <w:r w:rsidRPr="003E7BAF">
        <w:t xml:space="preserve">Pleading No. </w:t>
      </w:r>
      <w:r w:rsidRPr="003E7BAF" w:rsidR="001A3CBC">
        <w:t>0000113754</w:t>
      </w:r>
      <w:r w:rsidRPr="003E7BAF" w:rsidR="009C3F7C">
        <w:t xml:space="preserve"> (</w:t>
      </w:r>
      <w:r w:rsidRPr="003E7BAF" w:rsidR="0011270F">
        <w:t>filed May 14, 2020)</w:t>
      </w:r>
      <w:r w:rsidRPr="003E7BAF" w:rsidR="00AD5105">
        <w:t xml:space="preserve">.  </w:t>
      </w:r>
      <w:r w:rsidRPr="003E7BAF">
        <w:t xml:space="preserve">However, Mr. Domínguez subsequently requested to withdraw the objection.  See Opposition to Informal Objection </w:t>
      </w:r>
      <w:r w:rsidRPr="003E7BAF" w:rsidR="00397C82">
        <w:t xml:space="preserve">and Petition to Deny </w:t>
      </w:r>
      <w:r w:rsidRPr="003E7BAF">
        <w:t xml:space="preserve">of </w:t>
      </w:r>
      <w:r w:rsidRPr="003E7BAF" w:rsidR="00397C82">
        <w:t xml:space="preserve">Birach </w:t>
      </w:r>
      <w:r w:rsidRPr="003E7BAF" w:rsidR="00783613">
        <w:t>Broad.</w:t>
      </w:r>
      <w:r w:rsidRPr="003E7BAF" w:rsidR="00397C82">
        <w:t xml:space="preserve"> </w:t>
      </w:r>
      <w:r w:rsidRPr="003E7BAF" w:rsidR="00783613">
        <w:t>Corp.</w:t>
      </w:r>
      <w:r w:rsidRPr="003E7BAF">
        <w:t xml:space="preserve">, </w:t>
      </w:r>
      <w:r w:rsidRPr="003E7BAF" w:rsidR="0011270F">
        <w:t>Pleading</w:t>
      </w:r>
      <w:r w:rsidRPr="003E7BAF">
        <w:t xml:space="preserve"> No. </w:t>
      </w:r>
      <w:r w:rsidRPr="003E7BAF" w:rsidR="00E909FD">
        <w:t>0000115960</w:t>
      </w:r>
      <w:r w:rsidRPr="003E7BAF">
        <w:t xml:space="preserve">, at </w:t>
      </w:r>
      <w:r w:rsidRPr="003E7BAF" w:rsidR="00397C82">
        <w:t>Exh</w:t>
      </w:r>
      <w:r w:rsidRPr="003E7BAF">
        <w:t>. 1 (filed June 1</w:t>
      </w:r>
      <w:r w:rsidRPr="003E7BAF" w:rsidR="00E909FD">
        <w:t>0</w:t>
      </w:r>
      <w:r w:rsidRPr="003E7BAF">
        <w:t>, 2020) (Opposition).  We grant this request and dismiss</w:t>
      </w:r>
      <w:r w:rsidRPr="00D541F8">
        <w:t xml:space="preserve"> the </w:t>
      </w:r>
      <w:r w:rsidR="00BF1152">
        <w:t>petition to deny</w:t>
      </w:r>
      <w:r w:rsidRPr="00D541F8">
        <w:t xml:space="preserve">.  </w:t>
      </w:r>
    </w:p>
  </w:footnote>
  <w:footnote w:id="5">
    <w:p w:rsidR="00AE2D78" w:rsidRPr="00222234" w:rsidP="00AE2D78" w14:paraId="2671E758"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6">
    <w:p w:rsidR="00992992" w:rsidP="00992992" w14:paraId="229C59D7" w14:textId="7A33907C">
      <w:pPr>
        <w:pStyle w:val="FootnoteText"/>
      </w:pPr>
      <w:r>
        <w:rPr>
          <w:rStyle w:val="FootnoteReference"/>
        </w:rPr>
        <w:footnoteRef/>
      </w:r>
      <w:r>
        <w:t xml:space="preserve"> </w:t>
      </w:r>
      <w:r>
        <w:rPr>
          <w:i/>
        </w:rPr>
        <w:t xml:space="preserve">See </w:t>
      </w:r>
      <w:r>
        <w:t>47 CFR § 7</w:t>
      </w:r>
      <w:r w:rsidR="00247DE7">
        <w:t>3.1740(a)(4)</w:t>
      </w:r>
      <w:r>
        <w:t>.</w:t>
      </w:r>
    </w:p>
  </w:footnote>
  <w:footnote w:id="7">
    <w:p w:rsidR="0000095C" w:rsidP="0000095C" w14:paraId="2EF07F26" w14:textId="2B48B894">
      <w:pPr>
        <w:pStyle w:val="FootnoteText"/>
      </w:pPr>
      <w:r>
        <w:rPr>
          <w:rStyle w:val="FootnoteReference"/>
        </w:rPr>
        <w:footnoteRef/>
      </w:r>
      <w:r>
        <w:t xml:space="preserve"> </w:t>
      </w:r>
      <w:r>
        <w:rPr>
          <w:i/>
        </w:rPr>
        <w:t xml:space="preserve">See </w:t>
      </w:r>
      <w:r w:rsidRPr="00247DE7" w:rsidR="00247DE7">
        <w:rPr>
          <w:i/>
          <w:iCs/>
        </w:rPr>
        <w:t>id</w:t>
      </w:r>
      <w:r w:rsidR="00247DE7">
        <w:t>.</w:t>
      </w:r>
      <w:r>
        <w:t xml:space="preserve"> § </w:t>
      </w:r>
      <w:r w:rsidR="00EA7B1D">
        <w:t>74.1263(c)</w:t>
      </w:r>
      <w:r>
        <w:t>.</w:t>
      </w:r>
    </w:p>
  </w:footnote>
  <w:footnote w:id="8">
    <w:p w:rsidR="00247DE7" w14:paraId="1A233272" w14:textId="652C0FF0">
      <w:pPr>
        <w:pStyle w:val="FootnoteText"/>
      </w:pPr>
      <w:r>
        <w:rPr>
          <w:rStyle w:val="FootnoteReference"/>
        </w:rPr>
        <w:footnoteRef/>
      </w:r>
      <w:r>
        <w:t xml:space="preserve"> </w:t>
      </w:r>
      <w:r>
        <w:rPr>
          <w:i/>
        </w:rPr>
        <w:t xml:space="preserve">See </w:t>
      </w:r>
      <w:r w:rsidRPr="00247DE7">
        <w:rPr>
          <w:i/>
          <w:iCs/>
        </w:rPr>
        <w:t>id</w:t>
      </w:r>
      <w:r>
        <w:t>. § 1.65.</w:t>
      </w:r>
    </w:p>
  </w:footnote>
  <w:footnote w:id="9">
    <w:p w:rsidR="002750C6" w14:paraId="7DDB47D1" w14:textId="38DCF7BE">
      <w:pPr>
        <w:pStyle w:val="FootnoteText"/>
      </w:pPr>
      <w:r>
        <w:rPr>
          <w:rStyle w:val="FootnoteReference"/>
        </w:rPr>
        <w:footnoteRef/>
      </w:r>
      <w:r>
        <w:t xml:space="preserve"> </w:t>
      </w:r>
      <w:r w:rsidR="009B4D6B">
        <w:t>Application File No. 0000101513</w:t>
      </w:r>
      <w:r w:rsidR="009E6C3A">
        <w:t xml:space="preserve"> at Renewal Certification, </w:t>
      </w:r>
      <w:r w:rsidRPr="00896F51" w:rsidR="00896F51">
        <w:t xml:space="preserve">FCC Violations </w:t>
      </w:r>
      <w:r w:rsidR="00492004">
        <w:t>During</w:t>
      </w:r>
      <w:r w:rsidRPr="00896F51" w:rsidR="00896F51">
        <w:t xml:space="preserve"> the Preceding License Term</w:t>
      </w:r>
      <w:r w:rsidR="00DC09B9">
        <w:t xml:space="preserve"> Section</w:t>
      </w:r>
      <w:r w:rsidR="00896F51">
        <w:t xml:space="preserve">; </w:t>
      </w:r>
      <w:r w:rsidR="00492004">
        <w:t xml:space="preserve">and </w:t>
      </w:r>
      <w:r w:rsidR="00FD33A1">
        <w:t xml:space="preserve">AM/FM/LPFM Certification, </w:t>
      </w:r>
      <w:r w:rsidR="00492004">
        <w:t>Adherence to Minimum Operating Schedule and Silent Station</w:t>
      </w:r>
      <w:r w:rsidR="00DC09B9">
        <w:t xml:space="preserve"> Sections.</w:t>
      </w:r>
    </w:p>
  </w:footnote>
  <w:footnote w:id="10">
    <w:p w:rsidR="00B52574" w:rsidRPr="00334F9C" w:rsidP="00B52574" w14:paraId="4FACCA1D" w14:textId="3A40191C">
      <w:pPr>
        <w:pStyle w:val="FootnoteText"/>
      </w:pPr>
      <w:r w:rsidRPr="00334F9C">
        <w:rPr>
          <w:rStyle w:val="FootnoteReference"/>
        </w:rPr>
        <w:footnoteRef/>
      </w:r>
      <w:r w:rsidRPr="00334F9C">
        <w:t xml:space="preserve"> </w:t>
      </w:r>
      <w:r w:rsidR="006D37A1">
        <w:t xml:space="preserve">Petition to Deny of Oscar Reyes, </w:t>
      </w:r>
      <w:r w:rsidRPr="00334F9C">
        <w:t>Pleading No. 0000114088</w:t>
      </w:r>
      <w:r w:rsidR="00BB4062">
        <w:t xml:space="preserve">, </w:t>
      </w:r>
      <w:r w:rsidR="005843EB">
        <w:t>at paras. 4, 5.</w:t>
      </w:r>
    </w:p>
  </w:footnote>
  <w:footnote w:id="11">
    <w:p w:rsidR="00B05988" w:rsidP="00B05988" w14:paraId="71B26CF8" w14:textId="79D56A5A">
      <w:pPr>
        <w:pStyle w:val="FootnoteText"/>
      </w:pPr>
      <w:r>
        <w:rPr>
          <w:rStyle w:val="FootnoteReference"/>
        </w:rPr>
        <w:footnoteRef/>
      </w:r>
      <w:r>
        <w:t xml:space="preserve"> BLSTA-20200522AAO</w:t>
      </w:r>
      <w:r w:rsidR="000D1B02">
        <w:t xml:space="preserve"> (</w:t>
      </w:r>
      <w:r w:rsidR="00304BC1">
        <w:t>KTUV(AM))</w:t>
      </w:r>
      <w:r>
        <w:t>, BLSTA-20200522AAP</w:t>
      </w:r>
      <w:r w:rsidR="00304BC1">
        <w:t xml:space="preserve"> (K260DT)</w:t>
      </w:r>
      <w:r>
        <w:t xml:space="preserve">.  </w:t>
      </w:r>
    </w:p>
  </w:footnote>
  <w:footnote w:id="12">
    <w:p w:rsidR="00BE6878" w14:paraId="72F32BB1" w14:textId="1F2B3BA7">
      <w:pPr>
        <w:pStyle w:val="FootnoteText"/>
      </w:pPr>
      <w:r>
        <w:rPr>
          <w:rStyle w:val="FootnoteReference"/>
        </w:rPr>
        <w:footnoteRef/>
      </w:r>
      <w:r>
        <w:t xml:space="preserve"> </w:t>
      </w:r>
      <w:r w:rsidRPr="00627594" w:rsidR="00627594">
        <w:t>Opposition</w:t>
      </w:r>
      <w:r>
        <w:t xml:space="preserve"> at 4.</w:t>
      </w:r>
    </w:p>
  </w:footnote>
  <w:footnote w:id="13">
    <w:p w:rsidR="00BE6878" w14:paraId="013131D3" w14:textId="34C0FFE0">
      <w:pPr>
        <w:pStyle w:val="FootnoteText"/>
      </w:pPr>
      <w:r>
        <w:rPr>
          <w:rStyle w:val="FootnoteReference"/>
        </w:rPr>
        <w:footnoteRef/>
      </w:r>
      <w:r>
        <w:t xml:space="preserve"> </w:t>
      </w:r>
      <w:r w:rsidRPr="00BE6878">
        <w:rPr>
          <w:i/>
          <w:iCs/>
        </w:rPr>
        <w:t>Id</w:t>
      </w:r>
      <w:r>
        <w:t>.</w:t>
      </w:r>
    </w:p>
  </w:footnote>
  <w:footnote w:id="14">
    <w:p w:rsidR="00050372" w:rsidP="00050372" w14:paraId="262A8DC0" w14:textId="2B265B8C">
      <w:pPr>
        <w:pStyle w:val="FootnoteText"/>
      </w:pPr>
      <w:r>
        <w:rPr>
          <w:rStyle w:val="FootnoteReference"/>
        </w:rPr>
        <w:footnoteRef/>
      </w:r>
      <w:r>
        <w:t xml:space="preserve"> Letter from Victoria McCauley, Attorney, Audio Division, Media Bureau, FCC, to John C. Trent, Esq., Counsel for Birach Broad. Corp., Application File No. BLSTA-20200522AAO (dated June 18, 2020) (granting KTUV(AM) STA Request); Letter from Victoria McCauley, Attorney, Audio Division, Media Bureau, FCC, to John C. Trent, Esq., Counsel for Birach Broad. Corp., Application File No. BLSTA-20200522AAP (dated June 18, 2020) (granting K260DT STA Request).  </w:t>
      </w:r>
    </w:p>
  </w:footnote>
  <w:footnote w:id="15">
    <w:p w:rsidR="00AD7EE2" w14:paraId="22018D51" w14:textId="2A0F955D">
      <w:pPr>
        <w:pStyle w:val="FootnoteText"/>
      </w:pPr>
      <w:r>
        <w:rPr>
          <w:rStyle w:val="FootnoteReference"/>
        </w:rPr>
        <w:footnoteRef/>
      </w:r>
      <w:r>
        <w:t xml:space="preserve"> </w:t>
      </w:r>
      <w:r w:rsidRPr="002D4F0C">
        <w:rPr>
          <w:i/>
          <w:iCs/>
        </w:rPr>
        <w:t>Id</w:t>
      </w:r>
      <w:r>
        <w:t>.</w:t>
      </w:r>
    </w:p>
  </w:footnote>
  <w:footnote w:id="16">
    <w:p w:rsidR="00591F1B" w:rsidP="00591F1B" w14:paraId="64C8E58C" w14:textId="6B78578F">
      <w:pPr>
        <w:pStyle w:val="FootnoteText"/>
      </w:pPr>
      <w:r>
        <w:rPr>
          <w:rStyle w:val="FootnoteReference"/>
        </w:rPr>
        <w:footnoteRef/>
      </w:r>
      <w:r>
        <w:t xml:space="preserve"> </w:t>
      </w:r>
      <w:r w:rsidRPr="009F4613" w:rsidR="009F4613">
        <w:t>Vega Objection</w:t>
      </w:r>
      <w:r>
        <w:t xml:space="preserve"> at 3.  </w:t>
      </w:r>
    </w:p>
  </w:footnote>
  <w:footnote w:id="17">
    <w:p w:rsidR="009C3B0C" w14:paraId="3A713668" w14:textId="734C5534">
      <w:pPr>
        <w:pStyle w:val="FootnoteText"/>
      </w:pPr>
      <w:r>
        <w:rPr>
          <w:rStyle w:val="FootnoteReference"/>
        </w:rPr>
        <w:footnoteRef/>
      </w:r>
      <w:r>
        <w:t xml:space="preserve"> </w:t>
      </w:r>
      <w:r w:rsidRPr="009F4613" w:rsidR="009F4613">
        <w:rPr>
          <w:i/>
          <w:iCs/>
        </w:rPr>
        <w:t>Id</w:t>
      </w:r>
      <w:r w:rsidR="009F4613">
        <w:t>.</w:t>
      </w:r>
      <w:r>
        <w:t xml:space="preserve"> at 4.  </w:t>
      </w:r>
    </w:p>
  </w:footnote>
  <w:footnote w:id="18">
    <w:p w:rsidR="00F22EE6" w14:paraId="0D2781BC" w14:textId="63B1A3EA">
      <w:pPr>
        <w:pStyle w:val="FootnoteText"/>
      </w:pPr>
      <w:r>
        <w:rPr>
          <w:rStyle w:val="FootnoteReference"/>
        </w:rPr>
        <w:footnoteRef/>
      </w:r>
      <w:r>
        <w:t xml:space="preserve"> Opposition at 4.</w:t>
      </w:r>
    </w:p>
  </w:footnote>
  <w:footnote w:id="19">
    <w:p w:rsidR="00861ED1" w:rsidP="00861ED1" w14:paraId="5D9E3F4A" w14:textId="3DAFB826">
      <w:pPr>
        <w:pStyle w:val="FootnoteText"/>
      </w:pPr>
      <w:r>
        <w:rPr>
          <w:rStyle w:val="FootnoteReference"/>
        </w:rPr>
        <w:footnoteRef/>
      </w:r>
      <w:r>
        <w:t xml:space="preserve"> </w:t>
      </w:r>
      <w:r w:rsidRPr="000D58E3" w:rsidR="000D58E3">
        <w:rPr>
          <w:i/>
          <w:iCs/>
        </w:rPr>
        <w:t>Id</w:t>
      </w:r>
      <w:r w:rsidR="000D58E3">
        <w:t>.</w:t>
      </w:r>
      <w:r>
        <w:t xml:space="preserve"> at </w:t>
      </w:r>
      <w:r w:rsidR="006B6017">
        <w:t>Exh</w:t>
      </w:r>
      <w:r>
        <w:t xml:space="preserve">. 2. </w:t>
      </w:r>
      <w:r w:rsidRPr="001E1E6F" w:rsidR="006B6017">
        <w:t>The</w:t>
      </w:r>
      <w:r w:rsidRPr="001E1E6F">
        <w:t xml:space="preserve"> email purports to summarize a telephone conversation between Carlos Morón (a principal of the company that </w:t>
      </w:r>
      <w:r w:rsidRPr="001E1E6F" w:rsidR="002E73AA">
        <w:t>operates KTUV(AM) and K260DT pursuant to a time brokerage agreement with Birach)</w:t>
      </w:r>
      <w:r w:rsidRPr="001E1E6F">
        <w:t xml:space="preserve"> (Morón) and Reyes.  In this email, Morón claims to have had an in-person meeting with Reyes and to have recorded Reyes stating “I received a phone call [Vega] yesterday night [May 20, 2020], he told me that he is the one who is sending these emails to the FCC.”  Id.  Morón also indicates that Reyes told him that he “did not create[ ], sign[ ], or sen[d] any document.”  Id.  Finally, according to Morón, Reyes said Vega would “be sending an email under my name because I am his Radio Station General Manager and because he is paying me a check.”  Id.</w:t>
      </w:r>
      <w:r w:rsidRPr="001E1E6F">
        <w:rPr>
          <w:i/>
          <w:iCs/>
        </w:rPr>
        <w:t xml:space="preserve">  </w:t>
      </w:r>
    </w:p>
  </w:footnote>
  <w:footnote w:id="20">
    <w:p w:rsidR="00861ED1" w:rsidP="00861ED1" w14:paraId="1AEEF392" w14:textId="77777777">
      <w:pPr>
        <w:pStyle w:val="FootnoteText"/>
      </w:pPr>
      <w:r>
        <w:rPr>
          <w:rStyle w:val="FootnoteReference"/>
        </w:rPr>
        <w:footnoteRef/>
      </w:r>
      <w:r>
        <w:t xml:space="preserve"> Vega Objection at 1, 3.</w:t>
      </w:r>
    </w:p>
  </w:footnote>
  <w:footnote w:id="21">
    <w:p w:rsidR="00861ED1" w:rsidRPr="00616B2A" w:rsidP="00861ED1" w14:paraId="5C02DAEA" w14:textId="77777777">
      <w:pPr>
        <w:pStyle w:val="FootnoteText"/>
      </w:pPr>
      <w:r>
        <w:rPr>
          <w:rStyle w:val="FootnoteReference"/>
        </w:rPr>
        <w:footnoteRef/>
      </w:r>
      <w:r>
        <w:t xml:space="preserve"> </w:t>
      </w:r>
      <w:r w:rsidRPr="00B21A5F">
        <w:rPr>
          <w:i/>
          <w:iCs/>
        </w:rPr>
        <w:t>See</w:t>
      </w:r>
      <w:r>
        <w:rPr>
          <w:rFonts w:ascii="Verdana" w:hAnsi="Verdana"/>
          <w:color w:val="212121"/>
          <w:sz w:val="18"/>
          <w:szCs w:val="18"/>
          <w:shd w:val="clear" w:color="auto" w:fill="FFFFFF"/>
        </w:rPr>
        <w:t xml:space="preserve"> </w:t>
      </w:r>
      <w:r w:rsidRPr="00B21A5F">
        <w:rPr>
          <w:i/>
          <w:iCs/>
          <w:bdr w:val="none" w:sz="0" w:space="0" w:color="auto" w:frame="1"/>
          <w:shd w:val="clear" w:color="auto" w:fill="FFFFFF"/>
        </w:rPr>
        <w:t>Gencom</w:t>
      </w:r>
      <w:r w:rsidRPr="00616B2A">
        <w:rPr>
          <w:i/>
          <w:iCs/>
          <w:bdr w:val="none" w:sz="0" w:space="0" w:color="auto" w:frame="1"/>
          <w:shd w:val="clear" w:color="auto" w:fill="FFFFFF"/>
        </w:rPr>
        <w:t>, Inc. v. FCC</w:t>
      </w:r>
      <w:r w:rsidRPr="00616B2A">
        <w:rPr>
          <w:bdr w:val="none" w:sz="0" w:space="0" w:color="auto" w:frame="1"/>
          <w:shd w:val="clear" w:color="auto" w:fill="FFFFFF"/>
        </w:rPr>
        <w:t>, 832 F.2d 171, 181 (D. C. Cir. 1987)</w:t>
      </w:r>
      <w:r w:rsidRPr="00616B2A">
        <w:t>.</w:t>
      </w:r>
    </w:p>
  </w:footnote>
  <w:footnote w:id="22">
    <w:p w:rsidR="00861ED1" w:rsidP="00861ED1" w14:paraId="749529A8" w14:textId="6D1E400B">
      <w:pPr>
        <w:pStyle w:val="FootnoteText"/>
      </w:pPr>
      <w:r w:rsidRPr="00616B2A">
        <w:rPr>
          <w:rStyle w:val="FootnoteReference"/>
        </w:rPr>
        <w:footnoteRef/>
      </w:r>
      <w:r w:rsidRPr="00616B2A">
        <w:t xml:space="preserve"> </w:t>
      </w:r>
      <w:r w:rsidRPr="00616B2A">
        <w:rPr>
          <w:i/>
          <w:iCs/>
        </w:rPr>
        <w:t>See supra</w:t>
      </w:r>
      <w:r w:rsidRPr="00616B2A">
        <w:t xml:space="preserve"> note </w:t>
      </w:r>
      <w:r w:rsidRPr="00616B2A" w:rsidR="00432D6C">
        <w:t>1</w:t>
      </w:r>
      <w:r w:rsidRPr="00616B2A">
        <w:t>7.</w:t>
      </w:r>
    </w:p>
  </w:footnote>
  <w:footnote w:id="23">
    <w:p w:rsidR="00861ED1" w:rsidP="00861ED1" w14:paraId="196C0C64" w14:textId="77777777">
      <w:pPr>
        <w:pStyle w:val="FootnoteText"/>
      </w:pPr>
      <w:r>
        <w:rPr>
          <w:rStyle w:val="FootnoteReference"/>
        </w:rPr>
        <w:footnoteRef/>
      </w:r>
      <w:r>
        <w:t xml:space="preserve"> Vega Objection at 1.  Vega </w:t>
      </w:r>
      <w:r w:rsidRPr="00307E89">
        <w:t>indicate</w:t>
      </w:r>
      <w:r>
        <w:t>s</w:t>
      </w:r>
      <w:r w:rsidRPr="00307E89">
        <w:t xml:space="preserve"> that Reyes works for </w:t>
      </w:r>
      <w:r>
        <w:t>him</w:t>
      </w:r>
      <w:r w:rsidRPr="00307E89">
        <w:t>.</w:t>
      </w:r>
      <w:r>
        <w:t xml:space="preserve">  </w:t>
      </w:r>
      <w:r w:rsidRPr="00A23B41">
        <w:rPr>
          <w:i/>
          <w:iCs/>
        </w:rPr>
        <w:t>Id</w:t>
      </w:r>
      <w:r>
        <w:t xml:space="preserve">.  Vega states, under penalty of perjury, that he helped Reyes put the Reyes Objection together because “his English skills are not sufficient to write a formal letter.”  </w:t>
      </w:r>
      <w:r w:rsidRPr="0005449E">
        <w:rPr>
          <w:i/>
          <w:iCs/>
        </w:rPr>
        <w:t>Id</w:t>
      </w:r>
      <w:r>
        <w:t xml:space="preserve">.  He and Reyes also state under penalty of perjury that they decided to file the Reyes Objection in Reyes’ name because Reyes had knowledge of the facts set forth therein and had made the video recordings that supported the allegations made in the Reyes Objection.  </w:t>
      </w:r>
      <w:r w:rsidRPr="005D431B">
        <w:rPr>
          <w:i/>
          <w:iCs/>
        </w:rPr>
        <w:t>Id</w:t>
      </w:r>
      <w:r>
        <w:t xml:space="preserve">.  </w:t>
      </w:r>
      <w:r w:rsidRPr="0083443D">
        <w:t xml:space="preserve">Finally, Reyes states under penalty of perjury that he did not meet with Morón.  </w:t>
      </w:r>
      <w:r w:rsidRPr="0083443D">
        <w:rPr>
          <w:i/>
          <w:iCs/>
        </w:rPr>
        <w:t>Id</w:t>
      </w:r>
      <w:r w:rsidRPr="0083443D">
        <w:t>. at 3.</w:t>
      </w:r>
      <w:r>
        <w:t xml:space="preserve">  </w:t>
      </w:r>
    </w:p>
  </w:footnote>
  <w:footnote w:id="24">
    <w:p w:rsidR="00861ED1" w:rsidP="00861ED1" w14:paraId="612423A1" w14:textId="373BCA14">
      <w:pPr>
        <w:pStyle w:val="FootnoteText"/>
      </w:pPr>
      <w:r>
        <w:rPr>
          <w:rStyle w:val="FootnoteReference"/>
        </w:rPr>
        <w:footnoteRef/>
      </w:r>
      <w:r>
        <w:t xml:space="preserve"> We note that, even if we were to dismiss the Reyes Objection as illegitimate, we would still need to address the allegation made therein because </w:t>
      </w:r>
      <w:r w:rsidR="00E929A0">
        <w:t>that</w:t>
      </w:r>
      <w:r>
        <w:t xml:space="preserve"> same allegation </w:t>
      </w:r>
      <w:r w:rsidR="00E929A0">
        <w:t>is</w:t>
      </w:r>
      <w:r>
        <w:t xml:space="preserve"> made in the Vega Objection and </w:t>
      </w:r>
      <w:r w:rsidR="00E929A0">
        <w:t>Birach</w:t>
      </w:r>
      <w:r>
        <w:t xml:space="preserve"> has not disputed the legitimacy of that filing. </w:t>
      </w:r>
    </w:p>
  </w:footnote>
  <w:footnote w:id="25">
    <w:p w:rsidR="003778F2" w14:paraId="6CE85BAA" w14:textId="129DDAC1">
      <w:pPr>
        <w:pStyle w:val="FootnoteText"/>
      </w:pPr>
      <w:r>
        <w:rPr>
          <w:rStyle w:val="FootnoteReference"/>
        </w:rPr>
        <w:footnoteRef/>
      </w:r>
      <w:r>
        <w:t xml:space="preserve"> 47 CFR </w:t>
      </w:r>
      <w:r w:rsidRPr="003B2222">
        <w:t>§§</w:t>
      </w:r>
      <w:r>
        <w:t xml:space="preserve"> 73.1740(a)(4),</w:t>
      </w:r>
      <w:r w:rsidRPr="003B2222">
        <w:t xml:space="preserve"> 74.1263(c).</w:t>
      </w:r>
    </w:p>
  </w:footnote>
  <w:footnote w:id="26">
    <w:p w:rsidR="00A72963" w14:paraId="2A51FC35" w14:textId="494AE55F">
      <w:pPr>
        <w:pStyle w:val="FootnoteText"/>
      </w:pPr>
      <w:r>
        <w:rPr>
          <w:rStyle w:val="FootnoteReference"/>
        </w:rPr>
        <w:footnoteRef/>
      </w:r>
      <w:r>
        <w:t xml:space="preserve"> </w:t>
      </w:r>
      <w:r w:rsidR="002F39C3">
        <w:t xml:space="preserve">Resumption of Operations </w:t>
      </w:r>
      <w:r w:rsidR="001940EE">
        <w:t>(dated July 31, 2020).</w:t>
      </w:r>
    </w:p>
  </w:footnote>
  <w:footnote w:id="27">
    <w:p w:rsidR="001940EE" w14:paraId="29EC06B0" w14:textId="4B1E709C">
      <w:pPr>
        <w:pStyle w:val="FootnoteText"/>
      </w:pPr>
      <w:r>
        <w:rPr>
          <w:rStyle w:val="FootnoteReference"/>
        </w:rPr>
        <w:footnoteRef/>
      </w:r>
      <w:r>
        <w:t xml:space="preserve"> Resumption of Operations (dated </w:t>
      </w:r>
      <w:r w:rsidR="008832ED">
        <w:t>Dec.</w:t>
      </w:r>
      <w:r>
        <w:t xml:space="preserve"> </w:t>
      </w:r>
      <w:r w:rsidR="008832ED">
        <w:t>4</w:t>
      </w:r>
      <w:r>
        <w:t>, 2020)</w:t>
      </w:r>
      <w:r w:rsidR="008832ED">
        <w:t>.</w:t>
      </w:r>
    </w:p>
  </w:footnote>
  <w:footnote w:id="28">
    <w:p w:rsidR="002D1EA8" w14:paraId="7F0AC552" w14:textId="0AE4E4C1">
      <w:pPr>
        <w:pStyle w:val="FootnoteText"/>
      </w:pPr>
      <w:r>
        <w:rPr>
          <w:rStyle w:val="FootnoteReference"/>
        </w:rPr>
        <w:footnoteRef/>
      </w:r>
      <w:r>
        <w:t xml:space="preserve"> 47 CFR § 73.3526.</w:t>
      </w:r>
    </w:p>
  </w:footnote>
  <w:footnote w:id="29">
    <w:p w:rsidR="00433607" w14:paraId="122ED63B" w14:textId="7E8925D0">
      <w:pPr>
        <w:pStyle w:val="FootnoteText"/>
      </w:pPr>
      <w:r>
        <w:rPr>
          <w:rStyle w:val="FootnoteReference"/>
        </w:rPr>
        <w:footnoteRef/>
      </w:r>
      <w:r>
        <w:t xml:space="preserve"> Birach uploaded these </w:t>
      </w:r>
      <w:r w:rsidR="00B625FA">
        <w:t>lists on April 22, 2019</w:t>
      </w:r>
      <w:r w:rsidR="00B23057">
        <w:t>—</w:t>
      </w:r>
      <w:r w:rsidR="00D5524D">
        <w:t xml:space="preserve">more than a year after the list for the first quarter of 2018 should have been uploaded, </w:t>
      </w:r>
      <w:r w:rsidR="00B23057">
        <w:t xml:space="preserve">and </w:t>
      </w:r>
      <w:r w:rsidR="00C95256">
        <w:t xml:space="preserve">between one month and a year after the lists for the second, third, and fourth quarters of 2018 should have been uploaded. </w:t>
      </w:r>
    </w:p>
  </w:footnote>
  <w:footnote w:id="30">
    <w:p w:rsidR="00433607" w14:paraId="56561391" w14:textId="4503A826">
      <w:pPr>
        <w:pStyle w:val="FootnoteText"/>
      </w:pPr>
      <w:r>
        <w:rPr>
          <w:rStyle w:val="FootnoteReference"/>
        </w:rPr>
        <w:footnoteRef/>
      </w:r>
      <w:r>
        <w:t xml:space="preserve"> </w:t>
      </w:r>
      <w:r w:rsidR="005E7A4B">
        <w:t>Birach uploaded the list for the first quarter of 2019 on April 22, 2019</w:t>
      </w:r>
      <w:r w:rsidR="005F05AC">
        <w:t>—almost two weeks late.  It uploaded the list for the fourt</w:t>
      </w:r>
      <w:r w:rsidR="005B5CA5">
        <w:t>h</w:t>
      </w:r>
      <w:r w:rsidR="005F05AC">
        <w:t xml:space="preserve"> quarter of 2019 on January 29, 2020</w:t>
      </w:r>
      <w:r w:rsidR="005B5CA5">
        <w:t>—almost three weeks late.</w:t>
      </w:r>
    </w:p>
  </w:footnote>
  <w:footnote w:id="31">
    <w:p w:rsidR="00A36091" w14:paraId="4772C31B" w14:textId="1121AC0B">
      <w:pPr>
        <w:pStyle w:val="FootnoteText"/>
      </w:pPr>
      <w:r>
        <w:rPr>
          <w:rStyle w:val="FootnoteReference"/>
        </w:rPr>
        <w:footnoteRef/>
      </w:r>
      <w:r>
        <w:t xml:space="preserve"> </w:t>
      </w:r>
      <w:r w:rsidRPr="002D1EA8" w:rsidR="002D1EA8">
        <w:rPr>
          <w:i/>
          <w:iCs/>
        </w:rPr>
        <w:t>Id</w:t>
      </w:r>
      <w:r w:rsidR="002D1EA8">
        <w:t>.</w:t>
      </w:r>
      <w:r w:rsidR="00796C43">
        <w:t xml:space="preserve"> § 1.65.</w:t>
      </w:r>
    </w:p>
  </w:footnote>
  <w:footnote w:id="32">
    <w:p w:rsidR="00796C43" w14:paraId="3812FC34" w14:textId="2D37C58B">
      <w:pPr>
        <w:pStyle w:val="FootnoteText"/>
      </w:pPr>
      <w:r>
        <w:rPr>
          <w:rStyle w:val="FootnoteReference"/>
        </w:rPr>
        <w:footnoteRef/>
      </w:r>
      <w:r>
        <w:t xml:space="preserve"> </w:t>
      </w:r>
      <w:r w:rsidRPr="00796C43">
        <w:rPr>
          <w:i/>
          <w:iCs/>
        </w:rPr>
        <w:t>Id</w:t>
      </w:r>
      <w:r>
        <w:t>.</w:t>
      </w:r>
    </w:p>
  </w:footnote>
  <w:footnote w:id="33">
    <w:p w:rsidR="003B56AA" w14:paraId="6632BA99" w14:textId="183481EB">
      <w:pPr>
        <w:pStyle w:val="FootnoteText"/>
      </w:pPr>
      <w:r>
        <w:rPr>
          <w:rStyle w:val="FootnoteReference"/>
        </w:rPr>
        <w:footnoteRef/>
      </w:r>
      <w:r>
        <w:t xml:space="preserve"> </w:t>
      </w:r>
      <w:r w:rsidRPr="000414B7" w:rsidR="000414B7">
        <w:rPr>
          <w:i/>
          <w:iCs/>
        </w:rPr>
        <w:t>Id</w:t>
      </w:r>
      <w:r w:rsidR="000414B7">
        <w:t>.</w:t>
      </w:r>
    </w:p>
  </w:footnote>
  <w:footnote w:id="34">
    <w:p w:rsidR="00311B51" w14:paraId="55D6436F" w14:textId="055AF0D6">
      <w:pPr>
        <w:pStyle w:val="FootnoteText"/>
      </w:pPr>
      <w:r>
        <w:rPr>
          <w:rStyle w:val="FootnoteReference"/>
        </w:rPr>
        <w:footnoteRef/>
      </w:r>
      <w:r>
        <w:t xml:space="preserve"> In the Application, Birach certified that (1) the Stations were</w:t>
      </w:r>
      <w:r w:rsidRPr="00370892">
        <w:t xml:space="preserve"> </w:t>
      </w:r>
      <w:r>
        <w:t>“</w:t>
      </w:r>
      <w:r w:rsidRPr="00370892">
        <w:t>currently on the air broadcasting programming intended to be received by the publi</w:t>
      </w:r>
      <w:r>
        <w:t xml:space="preserve">c;” (2) </w:t>
      </w:r>
      <w:r w:rsidRPr="00CB1A44">
        <w:t xml:space="preserve">with respect to the </w:t>
      </w:r>
      <w:r>
        <w:t>Stations</w:t>
      </w:r>
      <w:r w:rsidRPr="00CB1A44">
        <w:t>,</w:t>
      </w:r>
      <w:r>
        <w:t xml:space="preserve"> during the preceding license term,</w:t>
      </w:r>
      <w:r w:rsidRPr="00CB1A44">
        <w:t xml:space="preserve"> </w:t>
      </w:r>
      <w:r>
        <w:t>there had been</w:t>
      </w:r>
      <w:r w:rsidRPr="00CB1A44">
        <w:t xml:space="preserve"> </w:t>
      </w:r>
      <w:r>
        <w:t>“</w:t>
      </w:r>
      <w:r w:rsidRPr="00CB1A44">
        <w:t>no violations by the licensee of the Communications Act of 1934, as amended, or the rules or regulations of the Commission</w:t>
      </w:r>
      <w:r>
        <w:t xml:space="preserve">;” and (3) </w:t>
      </w:r>
      <w:r w:rsidRPr="00E92BF3">
        <w:t xml:space="preserve">the </w:t>
      </w:r>
      <w:r>
        <w:t>Stations had</w:t>
      </w:r>
      <w:r w:rsidRPr="00E92BF3">
        <w:t xml:space="preserve"> </w:t>
      </w:r>
      <w:r>
        <w:t>“</w:t>
      </w:r>
      <w:r w:rsidRPr="00E92BF3">
        <w:t>not been silent (or operating for less than its prescribed minimum operating hours) for any period of more than 30 days</w:t>
      </w:r>
      <w:r>
        <w:t>” during the preceding license term.</w:t>
      </w:r>
      <w:r w:rsidR="0092179E">
        <w:t xml:space="preserve">  </w:t>
      </w:r>
      <w:r w:rsidRPr="00863B3B" w:rsidR="00863B3B">
        <w:rPr>
          <w:i/>
          <w:iCs/>
        </w:rPr>
        <w:t>See</w:t>
      </w:r>
      <w:r w:rsidR="00863B3B">
        <w:t xml:space="preserve"> Application File No. 0000101513 at Renewal Certification, </w:t>
      </w:r>
      <w:r w:rsidRPr="00896F51" w:rsidR="00863B3B">
        <w:t xml:space="preserve">FCC Violations </w:t>
      </w:r>
      <w:r w:rsidR="00863B3B">
        <w:t>During</w:t>
      </w:r>
      <w:r w:rsidRPr="00896F51" w:rsidR="00863B3B">
        <w:t xml:space="preserve"> the Preceding License Term</w:t>
      </w:r>
      <w:r w:rsidR="00863B3B">
        <w:t xml:space="preserve"> Section; and AM/FM/LPFM Certification, Adherence to Minimum Operating Schedule and Silent Station Sections.  </w:t>
      </w:r>
      <w:r>
        <w:t xml:space="preserve">The first certification became inaccurate on March 6, 2020.  </w:t>
      </w:r>
      <w:r w:rsidR="00A2053B">
        <w:t>Because the filing of the Application continued</w:t>
      </w:r>
      <w:r w:rsidR="00E1328B">
        <w:t xml:space="preserve"> the Stations licenses in effect, </w:t>
      </w:r>
      <w:r w:rsidRPr="00E1328B" w:rsidR="00E1328B">
        <w:rPr>
          <w:i/>
          <w:iCs/>
        </w:rPr>
        <w:t>see</w:t>
      </w:r>
      <w:r w:rsidR="00E1328B">
        <w:t xml:space="preserve"> 47 U.S.C. § 307(c)(3), the</w:t>
      </w:r>
      <w:r>
        <w:t xml:space="preserve"> second certification became inaccurate when Birach failed to notify the Commission that the Stations were off the air on March 1</w:t>
      </w:r>
      <w:r w:rsidR="00E5201F">
        <w:t xml:space="preserve">6, </w:t>
      </w:r>
      <w:r>
        <w:t>2020, as required by section 73.1740(a)(4) and 74.1263</w:t>
      </w:r>
      <w:r w:rsidR="00E5201F">
        <w:t>(c)</w:t>
      </w:r>
      <w:r>
        <w:t xml:space="preserve"> of the Rules.</w:t>
      </w:r>
      <w:r w:rsidR="003E0499">
        <w:t xml:space="preserve">  </w:t>
      </w:r>
      <w:r w:rsidR="00897A26">
        <w:t xml:space="preserve">It was rendered doubly inaccurate when Birach failed to request STA for the Stations to remain silent on or before April </w:t>
      </w:r>
      <w:r w:rsidR="00E5201F">
        <w:t>5</w:t>
      </w:r>
      <w:r w:rsidR="00897A26">
        <w:t>, 2020, as required by sections 73.1740(a)(4), and 74.1263</w:t>
      </w:r>
      <w:r w:rsidR="00E5201F">
        <w:t>(c)</w:t>
      </w:r>
      <w:r w:rsidR="00897A26">
        <w:t xml:space="preserve"> of the Rules.  </w:t>
      </w:r>
      <w:r w:rsidR="003E0499">
        <w:t xml:space="preserve">The third certification became inaccurate on </w:t>
      </w:r>
      <w:r w:rsidR="00897A26">
        <w:t>April 6, 2020</w:t>
      </w:r>
      <w:r w:rsidR="008B11C8">
        <w:t>, the 31</w:t>
      </w:r>
      <w:r w:rsidRPr="008B11C8" w:rsidR="008B11C8">
        <w:rPr>
          <w:vertAlign w:val="superscript"/>
        </w:rPr>
        <w:t>st</w:t>
      </w:r>
      <w:r w:rsidR="008B11C8">
        <w:t xml:space="preserve"> day that the Stations were silent.</w:t>
      </w:r>
    </w:p>
  </w:footnote>
  <w:footnote w:id="35">
    <w:p w:rsidR="00DD1F31" w14:paraId="2FC5E243" w14:textId="5878AC55">
      <w:pPr>
        <w:pStyle w:val="FootnoteText"/>
      </w:pPr>
      <w:r>
        <w:rPr>
          <w:rStyle w:val="FootnoteReference"/>
        </w:rPr>
        <w:footnoteRef/>
      </w:r>
      <w:r>
        <w:t xml:space="preserve"> In fact, Birach took no steps to notify the Commission that the certifications had become inaccurate.  </w:t>
      </w:r>
      <w:r w:rsidR="00791BAF">
        <w:t>In any event, even</w:t>
      </w:r>
      <w:r>
        <w:t xml:space="preserve"> if we treat the STA requests it filed on May 22, 2020, as the notice required by section 1.65 of the Rules, Birach still violated the requirements of section 1.65 because the STA requests were not filed within 30 days of each certification becoming inaccurate.  </w:t>
      </w:r>
    </w:p>
  </w:footnote>
  <w:footnote w:id="36">
    <w:p w:rsidR="00406A52" w:rsidRPr="00E4519B" w:rsidP="00406A52" w14:paraId="44543E71" w14:textId="6377B3FD">
      <w:pPr>
        <w:pStyle w:val="FootnoteText"/>
        <w:widowControl w:val="0"/>
      </w:pPr>
      <w:r w:rsidRPr="00E4519B">
        <w:rPr>
          <w:rStyle w:val="FootnoteReference"/>
        </w:rPr>
        <w:footnoteRef/>
      </w:r>
      <w:r w:rsidRPr="00E4519B">
        <w:t xml:space="preserve"> 47 U.S.C. § </w:t>
      </w:r>
      <w:r w:rsidRPr="00BE662A">
        <w:t>503(b)(1)(B).</w:t>
      </w:r>
    </w:p>
  </w:footnote>
  <w:footnote w:id="37">
    <w:p w:rsidR="00406A52" w:rsidRPr="00D64E57" w:rsidP="00406A52" w14:paraId="6EEC5AF3" w14:textId="77777777">
      <w:pPr>
        <w:pStyle w:val="FootnoteText"/>
        <w:widowControl w:val="0"/>
      </w:pPr>
      <w:r w:rsidRPr="00E4519B">
        <w:rPr>
          <w:rStyle w:val="FootnoteReference"/>
        </w:rPr>
        <w:footnoteRef/>
      </w:r>
      <w:r w:rsidRPr="00E4519B">
        <w:t xml:space="preserve"> </w:t>
      </w:r>
      <w:r w:rsidRPr="00D64E57">
        <w:t>47 U.S.C. § 312(f)(1).</w:t>
      </w:r>
    </w:p>
  </w:footnote>
  <w:footnote w:id="38">
    <w:p w:rsidR="00406A52" w:rsidRPr="00D64E57" w:rsidP="00406A52" w14:paraId="7C6A1DAD"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39">
    <w:p w:rsidR="00406A52" w:rsidRPr="00D64E57" w:rsidP="00406A52" w14:paraId="0E016A5D" w14:textId="2AC7E37F">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w:t>
      </w:r>
      <w:r w:rsidR="002F01B8">
        <w:t xml:space="preserve"> (</w:t>
      </w:r>
      <w:r w:rsidRPr="002F01B8" w:rsidR="002F01B8">
        <w:rPr>
          <w:i/>
          <w:iCs/>
        </w:rPr>
        <w:t>Southern California</w:t>
      </w:r>
      <w:r w:rsidR="002F01B8">
        <w:t>)</w:t>
      </w:r>
      <w:r w:rsidRPr="00D64E57">
        <w:t xml:space="preserve">, </w:t>
      </w:r>
      <w:r w:rsidRPr="00D64E57">
        <w:rPr>
          <w:i/>
        </w:rPr>
        <w:t>recon. denied</w:t>
      </w:r>
      <w:r w:rsidRPr="00D64E57">
        <w:t>, 7 FCC Rcd 3454 (1992</w:t>
      </w:r>
      <w:r w:rsidRPr="00600AB4">
        <w:t>).</w:t>
      </w:r>
    </w:p>
  </w:footnote>
  <w:footnote w:id="40">
    <w:p w:rsidR="001E307A" w:rsidRPr="006F7D37" w:rsidP="001E307A" w14:paraId="675A36A4" w14:textId="77777777">
      <w:pPr>
        <w:pStyle w:val="Footer"/>
        <w:spacing w:after="120"/>
        <w:rPr>
          <w:sz w:val="20"/>
        </w:rPr>
      </w:pPr>
      <w:r w:rsidRPr="006F7D37">
        <w:rPr>
          <w:rStyle w:val="FootnoteReference"/>
        </w:rPr>
        <w:footnoteRef/>
      </w:r>
      <w:r w:rsidRPr="006F7D37">
        <w:rPr>
          <w:sz w:val="20"/>
        </w:rPr>
        <w:t xml:space="preserve"> 47 U.S.C. </w:t>
      </w:r>
      <w:r w:rsidRPr="00BE662A">
        <w:rPr>
          <w:sz w:val="20"/>
        </w:rPr>
        <w:t>§ 312(f)(2).</w:t>
      </w:r>
      <w:r w:rsidRPr="006F7D37">
        <w:rPr>
          <w:sz w:val="20"/>
        </w:rPr>
        <w:t xml:space="preserve"> </w:t>
      </w:r>
    </w:p>
  </w:footnote>
  <w:footnote w:id="41">
    <w:p w:rsidR="001E307A" w:rsidRPr="00CF021F" w:rsidP="001E307A" w14:paraId="0AEF2F03" w14:textId="1EB32307">
      <w:pPr>
        <w:spacing w:after="120"/>
        <w:rPr>
          <w:sz w:val="20"/>
        </w:rPr>
      </w:pPr>
      <w:r>
        <w:rPr>
          <w:rStyle w:val="FootnoteReference"/>
        </w:rPr>
        <w:footnoteRef/>
      </w:r>
      <w:r>
        <w:t xml:space="preserve"> </w:t>
      </w:r>
      <w:r w:rsidRPr="00CF021F">
        <w:rPr>
          <w:i/>
          <w:iCs/>
          <w:sz w:val="20"/>
        </w:rPr>
        <w:t xml:space="preserve">See </w:t>
      </w:r>
      <w:hyperlink r:id="rId1" w:anchor="co_pp_sp_4493_17113" w:history="1">
        <w:r w:rsidRPr="00CF021F">
          <w:rPr>
            <w:i/>
            <w:iCs/>
            <w:sz w:val="20"/>
          </w:rPr>
          <w:t>Forfeiture Policy Statement and Amendment of Section 1.80(b) of the Rules to Incorporate the Forfeiture Guidelines</w:t>
        </w:r>
        <w:r w:rsidRPr="00CB1BA6">
          <w:rPr>
            <w:sz w:val="20"/>
          </w:rPr>
          <w:t>,</w:t>
        </w:r>
        <w:r w:rsidRPr="00CF021F">
          <w:rPr>
            <w:sz w:val="20"/>
          </w:rPr>
          <w:t xml:space="preserve"> Report and Order, 12 FCC Rcd 17087, 17113-15 (1997)</w:t>
        </w:r>
      </w:hyperlink>
      <w:r w:rsidRPr="00CF021F">
        <w:rPr>
          <w:sz w:val="20"/>
        </w:rPr>
        <w:t xml:space="preserve"> (</w:t>
      </w:r>
      <w:r w:rsidRPr="00CF021F">
        <w:rPr>
          <w:i/>
          <w:iCs/>
          <w:sz w:val="20"/>
        </w:rPr>
        <w:t>Forfeiture</w:t>
      </w:r>
      <w:r w:rsidRPr="00CF021F">
        <w:rPr>
          <w:i/>
          <w:iCs/>
          <w:sz w:val="24"/>
          <w:szCs w:val="24"/>
        </w:rPr>
        <w:t xml:space="preserve"> </w:t>
      </w:r>
      <w:r w:rsidRPr="00CF021F">
        <w:rPr>
          <w:i/>
          <w:iCs/>
          <w:sz w:val="20"/>
        </w:rPr>
        <w:t>Policy Statement</w:t>
      </w:r>
      <w:r w:rsidRPr="00CF021F">
        <w:rPr>
          <w:sz w:val="20"/>
        </w:rPr>
        <w:t xml:space="preserve">), </w:t>
      </w:r>
      <w:r w:rsidRPr="00CF021F">
        <w:rPr>
          <w:i/>
          <w:iCs/>
          <w:sz w:val="20"/>
        </w:rPr>
        <w:t>recon. denied</w:t>
      </w:r>
      <w:r w:rsidRPr="00CF021F">
        <w:rPr>
          <w:sz w:val="20"/>
        </w:rPr>
        <w:t xml:space="preserve">, </w:t>
      </w:r>
      <w:hyperlink r:id="rId2" w:history="1">
        <w:r w:rsidRPr="00CF021F">
          <w:rPr>
            <w:sz w:val="20"/>
          </w:rPr>
          <w:t>15 FCC Rcd 303 (1999)</w:t>
        </w:r>
      </w:hyperlink>
      <w:r w:rsidRPr="00CF021F">
        <w:rPr>
          <w:sz w:val="20"/>
        </w:rPr>
        <w:t xml:space="preserve">; </w:t>
      </w:r>
      <w:hyperlink r:id="rId3" w:anchor="co_pp_6ad60000aeea7" w:history="1">
        <w:r w:rsidRPr="00BE662A">
          <w:rPr>
            <w:sz w:val="20"/>
          </w:rPr>
          <w:t>47 CFR § 1.80(b)(</w:t>
        </w:r>
        <w:r w:rsidR="00A811FA">
          <w:rPr>
            <w:sz w:val="20"/>
          </w:rPr>
          <w:t>10</w:t>
        </w:r>
        <w:r w:rsidRPr="00BE662A">
          <w:rPr>
            <w:sz w:val="20"/>
          </w:rPr>
          <w:t>)</w:t>
        </w:r>
      </w:hyperlink>
      <w:r w:rsidRPr="00BE662A">
        <w:rPr>
          <w:sz w:val="20"/>
        </w:rPr>
        <w:t xml:space="preserve">, </w:t>
      </w:r>
      <w:r w:rsidR="00341360">
        <w:rPr>
          <w:sz w:val="20"/>
        </w:rPr>
        <w:t>Table</w:t>
      </w:r>
      <w:r w:rsidRPr="00BE662A">
        <w:rPr>
          <w:sz w:val="20"/>
        </w:rPr>
        <w:t xml:space="preserve"> I.</w:t>
      </w:r>
    </w:p>
  </w:footnote>
  <w:footnote w:id="42">
    <w:p w:rsidR="001E307A" w:rsidRPr="00CF021F" w:rsidP="001E307A" w14:paraId="1F6DFCF4" w14:textId="16C839FA">
      <w:pPr>
        <w:spacing w:after="120"/>
        <w:rPr>
          <w:sz w:val="20"/>
        </w:rPr>
      </w:pPr>
      <w:r w:rsidRPr="00650B53">
        <w:rPr>
          <w:rStyle w:val="FootnoteReference"/>
        </w:rPr>
        <w:footnoteRef/>
      </w:r>
      <w:r w:rsidRPr="00650B53">
        <w:rPr>
          <w:sz w:val="20"/>
        </w:rPr>
        <w:t xml:space="preserve"> </w:t>
      </w:r>
      <w:hyperlink r:id="rId4" w:anchor="co_pp_a79d0000944d2" w:history="1">
        <w:r w:rsidRPr="00650B53">
          <w:rPr>
            <w:sz w:val="20"/>
          </w:rPr>
          <w:t>47 U.S.C. § 503(b)(2)(E)</w:t>
        </w:r>
      </w:hyperlink>
      <w:r w:rsidRPr="00650B53">
        <w:rPr>
          <w:sz w:val="20"/>
        </w:rPr>
        <w:t xml:space="preserve">; </w:t>
      </w:r>
      <w:r w:rsidRPr="00650B53">
        <w:rPr>
          <w:i/>
          <w:iCs/>
          <w:sz w:val="20"/>
        </w:rPr>
        <w:t xml:space="preserve">see also </w:t>
      </w:r>
      <w:hyperlink r:id="rId5" w:anchor="co_pp_sp_4493_17100" w:history="1">
        <w:r w:rsidRPr="00650B53">
          <w:rPr>
            <w:i/>
            <w:iCs/>
            <w:sz w:val="20"/>
          </w:rPr>
          <w:t>Forfeiture Policy Statement</w:t>
        </w:r>
        <w:r w:rsidRPr="00650B53">
          <w:rPr>
            <w:sz w:val="20"/>
          </w:rPr>
          <w:t>, 12 FCC Rcd at 17100</w:t>
        </w:r>
        <w:r w:rsidR="00A80BDA">
          <w:rPr>
            <w:sz w:val="20"/>
          </w:rPr>
          <w:t>, para. 27</w:t>
        </w:r>
        <w:r w:rsidRPr="00650B53">
          <w:rPr>
            <w:sz w:val="20"/>
          </w:rPr>
          <w:t>;</w:t>
        </w:r>
      </w:hyperlink>
      <w:r w:rsidRPr="00650B53">
        <w:rPr>
          <w:sz w:val="20"/>
        </w:rPr>
        <w:t xml:space="preserve"> </w:t>
      </w:r>
      <w:hyperlink r:id="rId3" w:anchor="co_pp_6ad60000aeea7" w:history="1">
        <w:r w:rsidRPr="00650B53">
          <w:rPr>
            <w:sz w:val="20"/>
          </w:rPr>
          <w:t>47 C.F.R. § 1.80(b)(</w:t>
        </w:r>
        <w:r w:rsidR="00A35413">
          <w:rPr>
            <w:sz w:val="20"/>
          </w:rPr>
          <w:t>10</w:t>
        </w:r>
        <w:r w:rsidRPr="00650B53">
          <w:rPr>
            <w:sz w:val="20"/>
          </w:rPr>
          <w:t>)</w:t>
        </w:r>
      </w:hyperlink>
      <w:r w:rsidRPr="00CF021F">
        <w:rPr>
          <w:sz w:val="20"/>
        </w:rPr>
        <w:t>.</w:t>
      </w:r>
    </w:p>
  </w:footnote>
  <w:footnote w:id="43">
    <w:p w:rsidR="00A7120F" w:rsidRPr="00D423B0" w:rsidP="00A7120F" w14:paraId="08899F11"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44">
    <w:p w:rsidR="00A7120F" w:rsidRPr="00E4519B" w:rsidP="00A7120F" w14:paraId="22A7FCA9" w14:textId="457DCA30">
      <w:pPr>
        <w:pStyle w:val="Footer"/>
        <w:spacing w:after="120"/>
        <w:rPr>
          <w:sz w:val="20"/>
        </w:rPr>
      </w:pPr>
      <w:r w:rsidRPr="00D423B0">
        <w:rPr>
          <w:rStyle w:val="FootnoteReference"/>
        </w:rPr>
        <w:footnoteRef/>
      </w:r>
      <w:r w:rsidRPr="00D423B0">
        <w:rPr>
          <w:sz w:val="20"/>
        </w:rPr>
        <w:t xml:space="preserve"> </w:t>
      </w:r>
      <w:r w:rsidRPr="00CA7822" w:rsidR="00CA7822">
        <w:rPr>
          <w:i/>
          <w:iCs/>
          <w:sz w:val="20"/>
        </w:rPr>
        <w:t>Id</w:t>
      </w:r>
      <w:r w:rsidR="00CA7822">
        <w:rPr>
          <w:sz w:val="20"/>
        </w:rPr>
        <w:t>.</w:t>
      </w:r>
      <w:r w:rsidRPr="00E4519B">
        <w:rPr>
          <w:sz w:val="20"/>
        </w:rPr>
        <w:t xml:space="preserve"> § 309(k)(1).</w:t>
      </w:r>
      <w:r w:rsidR="00270CDD">
        <w:rPr>
          <w:sz w:val="20"/>
        </w:rPr>
        <w:t xml:space="preserve"> </w:t>
      </w:r>
    </w:p>
  </w:footnote>
  <w:footnote w:id="45">
    <w:p w:rsidR="00A7120F" w:rsidRPr="00132193" w:rsidP="00A7120F" w14:paraId="21949CB0" w14:textId="0B060499">
      <w:pPr>
        <w:pStyle w:val="Footer"/>
        <w:spacing w:after="120"/>
        <w:rPr>
          <w:sz w:val="20"/>
        </w:rPr>
      </w:pPr>
      <w:r w:rsidRPr="00132193">
        <w:rPr>
          <w:rStyle w:val="FootnoteReference"/>
        </w:rPr>
        <w:footnoteRef/>
      </w:r>
      <w:r w:rsidRPr="00132193">
        <w:rPr>
          <w:sz w:val="20"/>
        </w:rPr>
        <w:t xml:space="preserve"> </w:t>
      </w:r>
      <w:r w:rsidRPr="00CA7822" w:rsidR="00CA7822">
        <w:rPr>
          <w:i/>
          <w:iCs/>
          <w:sz w:val="20"/>
        </w:rPr>
        <w:t>Id</w:t>
      </w:r>
      <w:r w:rsidR="00CA7822">
        <w:rPr>
          <w:sz w:val="20"/>
        </w:rPr>
        <w:t>.</w:t>
      </w:r>
      <w:r w:rsidRPr="00132193">
        <w:rPr>
          <w:sz w:val="20"/>
        </w:rPr>
        <w:t xml:space="preserve"> §§ 309(k)(2), 309(k)(3).</w:t>
      </w:r>
    </w:p>
  </w:footnote>
  <w:footnote w:id="46">
    <w:p w:rsidR="00A7120F" w:rsidRPr="00132193" w:rsidP="00A7120F" w14:paraId="5D4BD5BE" w14:textId="6B1A8361">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Licensee's operation</w:t>
      </w:r>
      <w:r w:rsidR="001F6BAE">
        <w:rPr>
          <w:sz w:val="20"/>
        </w:rPr>
        <w:t xml:space="preserve"> of the Stations</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47">
    <w:p w:rsidR="003916DF" w:rsidP="003916DF" w14:paraId="16887DCC" w14:textId="77777777">
      <w:pPr>
        <w:pStyle w:val="FootnoteText"/>
      </w:pPr>
      <w:r>
        <w:rPr>
          <w:rStyle w:val="FootnoteReference"/>
        </w:rPr>
        <w:footnoteRef/>
      </w:r>
      <w:r>
        <w:t xml:space="preserve"> 47 U.S.C. § 503(b); 47 CFR § 1.80.</w:t>
      </w:r>
    </w:p>
  </w:footnote>
  <w:footnote w:id="48">
    <w:p w:rsidR="00490C03" w:rsidP="00490C03" w14:paraId="6223AA54" w14:textId="77777777">
      <w:pPr>
        <w:pStyle w:val="FootnoteText"/>
      </w:pPr>
      <w:r>
        <w:rPr>
          <w:rStyle w:val="FootnoteReference"/>
        </w:rPr>
        <w:footnoteRef/>
      </w:r>
      <w:r>
        <w:t xml:space="preserve"> Payments made using CORES do not require the submission of an FCC Form 159.</w:t>
      </w:r>
    </w:p>
  </w:footnote>
  <w:footnote w:id="49">
    <w:p w:rsidR="00490C03" w:rsidP="00490C03" w14:paraId="0D4A51D4" w14:textId="77777777">
      <w:pPr>
        <w:pStyle w:val="FootnoteText"/>
      </w:pPr>
      <w:r>
        <w:rPr>
          <w:rStyle w:val="FootnoteReference"/>
        </w:rPr>
        <w:footnoteRef/>
      </w:r>
      <w:r>
        <w:t xml:space="preserve"> For questions regarding payment procedures, please contact the Financial Operations Group Help Desk by phone at 1-877-480-3201 (option #6), or by e-mail at </w:t>
      </w:r>
      <w:hyperlink r:id="rId6" w:history="1">
        <w:r>
          <w:rPr>
            <w:rStyle w:val="Hyperlink"/>
          </w:rPr>
          <w:t>ARINQUIRIES@fcc.gov</w:t>
        </w:r>
      </w:hyperlink>
      <w:r>
        <w:t xml:space="preserve">.  </w:t>
      </w:r>
    </w:p>
  </w:footnote>
  <w:footnote w:id="50">
    <w:p w:rsidR="00490C03" w:rsidP="00490C03" w14:paraId="7731E869" w14:textId="77777777">
      <w:pPr>
        <w:pStyle w:val="FootnoteText"/>
      </w:pPr>
      <w:r>
        <w:rPr>
          <w:rStyle w:val="FootnoteReference"/>
        </w:rPr>
        <w:footnoteRef/>
      </w:r>
      <w:r>
        <w:t xml:space="preserve"> Instructions for completing the form may be obtained at </w:t>
      </w:r>
      <w:hyperlink r:id="rId7" w:history="1">
        <w:r>
          <w:rPr>
            <w:rStyle w:val="Hyperlink"/>
          </w:rPr>
          <w:t>https://www.fcc.gov/Forms/Form159/159.pdf</w:t>
        </w:r>
      </w:hyperlink>
      <w:r>
        <w:t xml:space="preserve">. </w:t>
      </w:r>
    </w:p>
  </w:footnote>
  <w:footnote w:id="51">
    <w:p w:rsidR="005B0485" w:rsidRPr="004B33E9" w:rsidP="005B0485" w14:paraId="513B6D05"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52">
    <w:p w:rsidR="00A7120F" w:rsidP="00A7120F" w14:paraId="00E38B10" w14:textId="659961E0">
      <w:pPr>
        <w:pStyle w:val="FootnoteText"/>
        <w:widowControl w:val="0"/>
      </w:pPr>
      <w:r>
        <w:rPr>
          <w:rStyle w:val="FootnoteReference"/>
        </w:rPr>
        <w:footnoteRef/>
      </w:r>
      <w:r>
        <w:t xml:space="preserve"> 47 CFR §§ 1.16 and 1.80(</w:t>
      </w:r>
      <w:r w:rsidR="00AC2DD4">
        <w:t>g</w:t>
      </w:r>
      <w:r>
        <w:t>)(3).</w:t>
      </w:r>
    </w:p>
  </w:footnote>
  <w:footnote w:id="53">
    <w:p w:rsidR="00A7120F" w:rsidP="00A7120F" w14:paraId="345A9AFD"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54">
    <w:p w:rsidR="00A7120F" w:rsidP="00A7120F" w14:paraId="12F89BE7" w14:textId="77777777">
      <w:pPr>
        <w:pStyle w:val="FootnoteText"/>
        <w:widowControl w:val="0"/>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F3BEF" w14:textId="00FA7713">
    <w:pPr>
      <w:pStyle w:val="Header"/>
      <w:rPr>
        <w:b w:val="0"/>
      </w:rPr>
    </w:pPr>
    <w:r>
      <w:tab/>
      <w:t>Federal Communications Commission</w:t>
    </w:r>
    <w:r>
      <w:tab/>
    </w:r>
    <w:r w:rsidR="00AE2D78">
      <w:t xml:space="preserve">DA </w:t>
    </w:r>
    <w:r w:rsidR="0044571B">
      <w:t>21</w:t>
    </w:r>
    <w:r w:rsidR="00AE2D78">
      <w:t>-</w:t>
    </w:r>
    <w:r w:rsidR="00616B2A">
      <w:t>1618</w:t>
    </w:r>
  </w:p>
  <w:p w:rsidR="00D25FB5" w14:paraId="428B1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55D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315ED" w14:textId="37FB18E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D78">
      <w:rPr>
        <w:spacing w:val="-2"/>
      </w:rPr>
      <w:t>DA 2</w:t>
    </w:r>
    <w:r w:rsidR="0044571B">
      <w:rPr>
        <w:spacing w:val="-2"/>
      </w:rPr>
      <w:t>1</w:t>
    </w:r>
    <w:r w:rsidR="00AE2D78">
      <w:rPr>
        <w:spacing w:val="-2"/>
      </w:rPr>
      <w:t>-</w:t>
    </w:r>
    <w:r w:rsidR="00616B2A">
      <w:rPr>
        <w:spacing w:val="-2"/>
      </w:rPr>
      <w:t>1618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3"/>
  </w:num>
  <w:num w:numId="2">
    <w:abstractNumId w:val="10"/>
  </w:num>
  <w:num w:numId="3">
    <w:abstractNumId w:val="6"/>
  </w:num>
  <w:num w:numId="4">
    <w:abstractNumId w:val="8"/>
  </w:num>
  <w:num w:numId="5">
    <w:abstractNumId w:val="4"/>
  </w:num>
  <w:num w:numId="6">
    <w:abstractNumId w:val="1"/>
  </w:num>
  <w:num w:numId="7">
    <w:abstractNumId w:val="7"/>
  </w:num>
  <w:num w:numId="8">
    <w:abstractNumId w:val="11"/>
  </w:num>
  <w:num w:numId="9">
    <w:abstractNumId w:val="2"/>
  </w:num>
  <w:num w:numId="10">
    <w:abstractNumId w:val="10"/>
    <w:lvlOverride w:ilvl="0">
      <w:startOverride w:val="1"/>
    </w:lvlOverride>
  </w:num>
  <w:num w:numId="11">
    <w:abstractNumId w:val="10"/>
  </w:num>
  <w:num w:numId="12">
    <w:abstractNumId w:val="5"/>
  </w:num>
  <w:num w:numId="13">
    <w:abstractNumId w:val="9"/>
  </w:num>
  <w:num w:numId="14">
    <w:abstractNumId w:val="10"/>
    <w:lvlOverride w:ilvl="0">
      <w:startOverride w:val="1"/>
    </w:lvlOverride>
  </w:num>
  <w:num w:numId="15">
    <w:abstractNumId w:val="10"/>
    <w:lvlOverride w:ilvl="0">
      <w:startOverride w:val="1"/>
    </w:lvlOverride>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095C"/>
    <w:rsid w:val="00002F6C"/>
    <w:rsid w:val="000073BA"/>
    <w:rsid w:val="00016A59"/>
    <w:rsid w:val="00020000"/>
    <w:rsid w:val="0002026E"/>
    <w:rsid w:val="00020F91"/>
    <w:rsid w:val="000210B8"/>
    <w:rsid w:val="00023116"/>
    <w:rsid w:val="00025997"/>
    <w:rsid w:val="000259A6"/>
    <w:rsid w:val="00025B5B"/>
    <w:rsid w:val="00026187"/>
    <w:rsid w:val="00030C98"/>
    <w:rsid w:val="00033672"/>
    <w:rsid w:val="00036039"/>
    <w:rsid w:val="000365B8"/>
    <w:rsid w:val="000377BF"/>
    <w:rsid w:val="00037F90"/>
    <w:rsid w:val="000414B7"/>
    <w:rsid w:val="00041D2D"/>
    <w:rsid w:val="0004208D"/>
    <w:rsid w:val="000437E9"/>
    <w:rsid w:val="0004451F"/>
    <w:rsid w:val="00046299"/>
    <w:rsid w:val="00050372"/>
    <w:rsid w:val="0005449E"/>
    <w:rsid w:val="000548C8"/>
    <w:rsid w:val="00054C70"/>
    <w:rsid w:val="00054D48"/>
    <w:rsid w:val="00056C13"/>
    <w:rsid w:val="000605B3"/>
    <w:rsid w:val="00070F41"/>
    <w:rsid w:val="00071F97"/>
    <w:rsid w:val="000765C8"/>
    <w:rsid w:val="00076929"/>
    <w:rsid w:val="000837FA"/>
    <w:rsid w:val="00084275"/>
    <w:rsid w:val="000875BF"/>
    <w:rsid w:val="000923FD"/>
    <w:rsid w:val="00092A6F"/>
    <w:rsid w:val="0009425C"/>
    <w:rsid w:val="00096D8C"/>
    <w:rsid w:val="000A0EEF"/>
    <w:rsid w:val="000A2A51"/>
    <w:rsid w:val="000A564F"/>
    <w:rsid w:val="000A5C37"/>
    <w:rsid w:val="000A5DD7"/>
    <w:rsid w:val="000A6315"/>
    <w:rsid w:val="000A726E"/>
    <w:rsid w:val="000B1ACC"/>
    <w:rsid w:val="000C0B65"/>
    <w:rsid w:val="000C21D7"/>
    <w:rsid w:val="000C2713"/>
    <w:rsid w:val="000C5A63"/>
    <w:rsid w:val="000C62D7"/>
    <w:rsid w:val="000D1B02"/>
    <w:rsid w:val="000D4E69"/>
    <w:rsid w:val="000D58E3"/>
    <w:rsid w:val="000E05FE"/>
    <w:rsid w:val="000E3D42"/>
    <w:rsid w:val="000E5765"/>
    <w:rsid w:val="000F3BFA"/>
    <w:rsid w:val="001011DB"/>
    <w:rsid w:val="001046C4"/>
    <w:rsid w:val="0011270F"/>
    <w:rsid w:val="001144E5"/>
    <w:rsid w:val="00114FE4"/>
    <w:rsid w:val="00120216"/>
    <w:rsid w:val="0012024A"/>
    <w:rsid w:val="0012058C"/>
    <w:rsid w:val="00121F6D"/>
    <w:rsid w:val="00122BD5"/>
    <w:rsid w:val="00130B4A"/>
    <w:rsid w:val="00132193"/>
    <w:rsid w:val="00132BDE"/>
    <w:rsid w:val="00133F79"/>
    <w:rsid w:val="00137016"/>
    <w:rsid w:val="0014400D"/>
    <w:rsid w:val="00144D8D"/>
    <w:rsid w:val="00146D8A"/>
    <w:rsid w:val="00155798"/>
    <w:rsid w:val="00155950"/>
    <w:rsid w:val="001559D8"/>
    <w:rsid w:val="00156BBB"/>
    <w:rsid w:val="001641D7"/>
    <w:rsid w:val="00166169"/>
    <w:rsid w:val="001728BD"/>
    <w:rsid w:val="00177E7D"/>
    <w:rsid w:val="001859C2"/>
    <w:rsid w:val="00186998"/>
    <w:rsid w:val="0019392E"/>
    <w:rsid w:val="00193A0B"/>
    <w:rsid w:val="001940EE"/>
    <w:rsid w:val="00194A66"/>
    <w:rsid w:val="00195D57"/>
    <w:rsid w:val="00196EC8"/>
    <w:rsid w:val="00197841"/>
    <w:rsid w:val="001A2A87"/>
    <w:rsid w:val="001A3CBC"/>
    <w:rsid w:val="001A656A"/>
    <w:rsid w:val="001B0039"/>
    <w:rsid w:val="001B0063"/>
    <w:rsid w:val="001B5039"/>
    <w:rsid w:val="001B52E5"/>
    <w:rsid w:val="001B59B9"/>
    <w:rsid w:val="001B7771"/>
    <w:rsid w:val="001C0288"/>
    <w:rsid w:val="001C2556"/>
    <w:rsid w:val="001C505F"/>
    <w:rsid w:val="001C60F2"/>
    <w:rsid w:val="001C6DAF"/>
    <w:rsid w:val="001D1901"/>
    <w:rsid w:val="001D57A9"/>
    <w:rsid w:val="001D6BCF"/>
    <w:rsid w:val="001E01CA"/>
    <w:rsid w:val="001E0E15"/>
    <w:rsid w:val="001E1E6F"/>
    <w:rsid w:val="001E307A"/>
    <w:rsid w:val="001E5D32"/>
    <w:rsid w:val="001E6B1E"/>
    <w:rsid w:val="001F574C"/>
    <w:rsid w:val="001F6BAE"/>
    <w:rsid w:val="001F7A20"/>
    <w:rsid w:val="002011A6"/>
    <w:rsid w:val="00201D9D"/>
    <w:rsid w:val="00203CC8"/>
    <w:rsid w:val="002169FD"/>
    <w:rsid w:val="00217E01"/>
    <w:rsid w:val="0022190A"/>
    <w:rsid w:val="00221BCE"/>
    <w:rsid w:val="00222234"/>
    <w:rsid w:val="002244B4"/>
    <w:rsid w:val="002255D0"/>
    <w:rsid w:val="00226B4A"/>
    <w:rsid w:val="00226F68"/>
    <w:rsid w:val="00226FB2"/>
    <w:rsid w:val="002337B2"/>
    <w:rsid w:val="002434A5"/>
    <w:rsid w:val="0024351C"/>
    <w:rsid w:val="00244E59"/>
    <w:rsid w:val="00247DE7"/>
    <w:rsid w:val="00250E60"/>
    <w:rsid w:val="002521B2"/>
    <w:rsid w:val="00252A08"/>
    <w:rsid w:val="002535A5"/>
    <w:rsid w:val="00262650"/>
    <w:rsid w:val="00264220"/>
    <w:rsid w:val="00267F56"/>
    <w:rsid w:val="00270CDD"/>
    <w:rsid w:val="002739A0"/>
    <w:rsid w:val="00274409"/>
    <w:rsid w:val="002748A4"/>
    <w:rsid w:val="00274DD5"/>
    <w:rsid w:val="002750C6"/>
    <w:rsid w:val="00275752"/>
    <w:rsid w:val="00275987"/>
    <w:rsid w:val="00275CF5"/>
    <w:rsid w:val="00277180"/>
    <w:rsid w:val="0028301F"/>
    <w:rsid w:val="002849BC"/>
    <w:rsid w:val="00285017"/>
    <w:rsid w:val="0029355B"/>
    <w:rsid w:val="00294482"/>
    <w:rsid w:val="002950EC"/>
    <w:rsid w:val="00296235"/>
    <w:rsid w:val="002A1328"/>
    <w:rsid w:val="002A1E7C"/>
    <w:rsid w:val="002A2D2E"/>
    <w:rsid w:val="002A35B5"/>
    <w:rsid w:val="002B0A69"/>
    <w:rsid w:val="002B2977"/>
    <w:rsid w:val="002B45A2"/>
    <w:rsid w:val="002C00E8"/>
    <w:rsid w:val="002C1B50"/>
    <w:rsid w:val="002C1E06"/>
    <w:rsid w:val="002C4809"/>
    <w:rsid w:val="002D1EA8"/>
    <w:rsid w:val="002D2D54"/>
    <w:rsid w:val="002D40C2"/>
    <w:rsid w:val="002D48AC"/>
    <w:rsid w:val="002D4F0C"/>
    <w:rsid w:val="002D7B78"/>
    <w:rsid w:val="002E041A"/>
    <w:rsid w:val="002E2573"/>
    <w:rsid w:val="002E35A6"/>
    <w:rsid w:val="002E3B83"/>
    <w:rsid w:val="002E7088"/>
    <w:rsid w:val="002E73AA"/>
    <w:rsid w:val="002F01B8"/>
    <w:rsid w:val="002F127C"/>
    <w:rsid w:val="002F39C3"/>
    <w:rsid w:val="002F408A"/>
    <w:rsid w:val="002F532E"/>
    <w:rsid w:val="00301600"/>
    <w:rsid w:val="003030CD"/>
    <w:rsid w:val="0030483C"/>
    <w:rsid w:val="00304BC1"/>
    <w:rsid w:val="00305439"/>
    <w:rsid w:val="00307E89"/>
    <w:rsid w:val="00311B51"/>
    <w:rsid w:val="00314DD5"/>
    <w:rsid w:val="003164B7"/>
    <w:rsid w:val="00322F76"/>
    <w:rsid w:val="00323257"/>
    <w:rsid w:val="00324878"/>
    <w:rsid w:val="00325BB8"/>
    <w:rsid w:val="00325CD8"/>
    <w:rsid w:val="00325D61"/>
    <w:rsid w:val="003275F6"/>
    <w:rsid w:val="003321FF"/>
    <w:rsid w:val="003344E3"/>
    <w:rsid w:val="00334F9C"/>
    <w:rsid w:val="003364B8"/>
    <w:rsid w:val="00341360"/>
    <w:rsid w:val="00343250"/>
    <w:rsid w:val="00343749"/>
    <w:rsid w:val="00344C27"/>
    <w:rsid w:val="00347E89"/>
    <w:rsid w:val="0035066D"/>
    <w:rsid w:val="00354B13"/>
    <w:rsid w:val="003563B7"/>
    <w:rsid w:val="003568AC"/>
    <w:rsid w:val="00356D24"/>
    <w:rsid w:val="003600EA"/>
    <w:rsid w:val="0036418E"/>
    <w:rsid w:val="003660ED"/>
    <w:rsid w:val="00367838"/>
    <w:rsid w:val="00370892"/>
    <w:rsid w:val="003713DD"/>
    <w:rsid w:val="0037606D"/>
    <w:rsid w:val="003765DB"/>
    <w:rsid w:val="003767F2"/>
    <w:rsid w:val="003778F2"/>
    <w:rsid w:val="003846F6"/>
    <w:rsid w:val="00386456"/>
    <w:rsid w:val="00390B9C"/>
    <w:rsid w:val="003916DF"/>
    <w:rsid w:val="00392B91"/>
    <w:rsid w:val="00397C82"/>
    <w:rsid w:val="003A0CE1"/>
    <w:rsid w:val="003A102A"/>
    <w:rsid w:val="003A176B"/>
    <w:rsid w:val="003A54A1"/>
    <w:rsid w:val="003A7459"/>
    <w:rsid w:val="003B0550"/>
    <w:rsid w:val="003B2222"/>
    <w:rsid w:val="003B56AA"/>
    <w:rsid w:val="003B694F"/>
    <w:rsid w:val="003C122C"/>
    <w:rsid w:val="003C2570"/>
    <w:rsid w:val="003C67E5"/>
    <w:rsid w:val="003D4D6B"/>
    <w:rsid w:val="003E0499"/>
    <w:rsid w:val="003E37BC"/>
    <w:rsid w:val="003E6876"/>
    <w:rsid w:val="003E7AE5"/>
    <w:rsid w:val="003E7BAF"/>
    <w:rsid w:val="003F171C"/>
    <w:rsid w:val="003F41B4"/>
    <w:rsid w:val="003F5082"/>
    <w:rsid w:val="003F6DCE"/>
    <w:rsid w:val="004029B5"/>
    <w:rsid w:val="00403C7A"/>
    <w:rsid w:val="00406039"/>
    <w:rsid w:val="00406A52"/>
    <w:rsid w:val="00412FC5"/>
    <w:rsid w:val="00413F36"/>
    <w:rsid w:val="0041521A"/>
    <w:rsid w:val="00417A59"/>
    <w:rsid w:val="004204A2"/>
    <w:rsid w:val="00422270"/>
    <w:rsid w:val="00422276"/>
    <w:rsid w:val="00422607"/>
    <w:rsid w:val="004242F1"/>
    <w:rsid w:val="0042432B"/>
    <w:rsid w:val="00431BF2"/>
    <w:rsid w:val="004325CC"/>
    <w:rsid w:val="00432D6C"/>
    <w:rsid w:val="00433607"/>
    <w:rsid w:val="004349AF"/>
    <w:rsid w:val="0043532A"/>
    <w:rsid w:val="004373A6"/>
    <w:rsid w:val="00437DA8"/>
    <w:rsid w:val="0044068A"/>
    <w:rsid w:val="00440D17"/>
    <w:rsid w:val="00443A69"/>
    <w:rsid w:val="00444296"/>
    <w:rsid w:val="0044571B"/>
    <w:rsid w:val="00445A00"/>
    <w:rsid w:val="004463F2"/>
    <w:rsid w:val="00446B6E"/>
    <w:rsid w:val="00446F14"/>
    <w:rsid w:val="00447598"/>
    <w:rsid w:val="00451AEA"/>
    <w:rsid w:val="00451B0F"/>
    <w:rsid w:val="00453A11"/>
    <w:rsid w:val="00453EA6"/>
    <w:rsid w:val="00453FF1"/>
    <w:rsid w:val="004603A2"/>
    <w:rsid w:val="004631DE"/>
    <w:rsid w:val="0046407C"/>
    <w:rsid w:val="0046477F"/>
    <w:rsid w:val="00465896"/>
    <w:rsid w:val="00466349"/>
    <w:rsid w:val="00470604"/>
    <w:rsid w:val="00471790"/>
    <w:rsid w:val="00481DD0"/>
    <w:rsid w:val="00490C03"/>
    <w:rsid w:val="00490F7F"/>
    <w:rsid w:val="00492004"/>
    <w:rsid w:val="00492FE6"/>
    <w:rsid w:val="0049479B"/>
    <w:rsid w:val="004A1753"/>
    <w:rsid w:val="004A23B6"/>
    <w:rsid w:val="004A4379"/>
    <w:rsid w:val="004A74D6"/>
    <w:rsid w:val="004B30EA"/>
    <w:rsid w:val="004B33E9"/>
    <w:rsid w:val="004B5D4B"/>
    <w:rsid w:val="004B6D24"/>
    <w:rsid w:val="004B7012"/>
    <w:rsid w:val="004B71B7"/>
    <w:rsid w:val="004C0E7E"/>
    <w:rsid w:val="004C1B36"/>
    <w:rsid w:val="004C2EE3"/>
    <w:rsid w:val="004C44C7"/>
    <w:rsid w:val="004C5FF4"/>
    <w:rsid w:val="004D1CEB"/>
    <w:rsid w:val="004D3C6A"/>
    <w:rsid w:val="004E31B9"/>
    <w:rsid w:val="004E4A22"/>
    <w:rsid w:val="004F1E90"/>
    <w:rsid w:val="004F26E4"/>
    <w:rsid w:val="004F4D11"/>
    <w:rsid w:val="004F4D56"/>
    <w:rsid w:val="004F7C5A"/>
    <w:rsid w:val="00501F8A"/>
    <w:rsid w:val="00504EB9"/>
    <w:rsid w:val="005050E3"/>
    <w:rsid w:val="00505710"/>
    <w:rsid w:val="00505CE9"/>
    <w:rsid w:val="00506125"/>
    <w:rsid w:val="0050667B"/>
    <w:rsid w:val="00507BF1"/>
    <w:rsid w:val="00510597"/>
    <w:rsid w:val="00511638"/>
    <w:rsid w:val="00511968"/>
    <w:rsid w:val="00511C90"/>
    <w:rsid w:val="005239A1"/>
    <w:rsid w:val="005248B0"/>
    <w:rsid w:val="00525F98"/>
    <w:rsid w:val="0052603B"/>
    <w:rsid w:val="00526E06"/>
    <w:rsid w:val="005307CF"/>
    <w:rsid w:val="0053298C"/>
    <w:rsid w:val="00537BD6"/>
    <w:rsid w:val="00540DA6"/>
    <w:rsid w:val="00541385"/>
    <w:rsid w:val="00546D22"/>
    <w:rsid w:val="00547527"/>
    <w:rsid w:val="00547605"/>
    <w:rsid w:val="00550088"/>
    <w:rsid w:val="00553E14"/>
    <w:rsid w:val="00553FC2"/>
    <w:rsid w:val="0055614C"/>
    <w:rsid w:val="00556E77"/>
    <w:rsid w:val="00563BC9"/>
    <w:rsid w:val="00566D06"/>
    <w:rsid w:val="00567702"/>
    <w:rsid w:val="0057228E"/>
    <w:rsid w:val="00573FFC"/>
    <w:rsid w:val="0057749E"/>
    <w:rsid w:val="00581D3E"/>
    <w:rsid w:val="005843EB"/>
    <w:rsid w:val="00584B28"/>
    <w:rsid w:val="00591F1B"/>
    <w:rsid w:val="005972CC"/>
    <w:rsid w:val="005A0A58"/>
    <w:rsid w:val="005A222C"/>
    <w:rsid w:val="005A4D87"/>
    <w:rsid w:val="005A5F4E"/>
    <w:rsid w:val="005B0485"/>
    <w:rsid w:val="005B1997"/>
    <w:rsid w:val="005B4905"/>
    <w:rsid w:val="005B5791"/>
    <w:rsid w:val="005B5CA5"/>
    <w:rsid w:val="005B7F04"/>
    <w:rsid w:val="005C2116"/>
    <w:rsid w:val="005C2209"/>
    <w:rsid w:val="005C3464"/>
    <w:rsid w:val="005C639E"/>
    <w:rsid w:val="005D431B"/>
    <w:rsid w:val="005D6746"/>
    <w:rsid w:val="005E14C2"/>
    <w:rsid w:val="005E1FDE"/>
    <w:rsid w:val="005E7A4B"/>
    <w:rsid w:val="005F05AC"/>
    <w:rsid w:val="005F0E03"/>
    <w:rsid w:val="005F282C"/>
    <w:rsid w:val="005F31CD"/>
    <w:rsid w:val="005F351B"/>
    <w:rsid w:val="005F4DBD"/>
    <w:rsid w:val="005F5D89"/>
    <w:rsid w:val="00600609"/>
    <w:rsid w:val="00600AB4"/>
    <w:rsid w:val="00603561"/>
    <w:rsid w:val="00607BA5"/>
    <w:rsid w:val="0061097A"/>
    <w:rsid w:val="0061180A"/>
    <w:rsid w:val="00616B2A"/>
    <w:rsid w:val="0062230F"/>
    <w:rsid w:val="00626DAA"/>
    <w:rsid w:val="00626EB6"/>
    <w:rsid w:val="00627594"/>
    <w:rsid w:val="00633FA5"/>
    <w:rsid w:val="00636493"/>
    <w:rsid w:val="00636C51"/>
    <w:rsid w:val="006427C2"/>
    <w:rsid w:val="00650B53"/>
    <w:rsid w:val="00653505"/>
    <w:rsid w:val="00655ACE"/>
    <w:rsid w:val="00655BFF"/>
    <w:rsid w:val="00655D03"/>
    <w:rsid w:val="00663C7B"/>
    <w:rsid w:val="00664BAE"/>
    <w:rsid w:val="00672861"/>
    <w:rsid w:val="0068011C"/>
    <w:rsid w:val="0068246B"/>
    <w:rsid w:val="00683388"/>
    <w:rsid w:val="00683723"/>
    <w:rsid w:val="00683F84"/>
    <w:rsid w:val="006870B5"/>
    <w:rsid w:val="006876AF"/>
    <w:rsid w:val="00690345"/>
    <w:rsid w:val="00692304"/>
    <w:rsid w:val="006A0BEA"/>
    <w:rsid w:val="006A19BF"/>
    <w:rsid w:val="006A2551"/>
    <w:rsid w:val="006A3767"/>
    <w:rsid w:val="006A60D5"/>
    <w:rsid w:val="006A6A81"/>
    <w:rsid w:val="006A7A10"/>
    <w:rsid w:val="006B0B35"/>
    <w:rsid w:val="006B1E64"/>
    <w:rsid w:val="006B3CAF"/>
    <w:rsid w:val="006B42CE"/>
    <w:rsid w:val="006B5B56"/>
    <w:rsid w:val="006B6017"/>
    <w:rsid w:val="006B60FC"/>
    <w:rsid w:val="006C034E"/>
    <w:rsid w:val="006C18EB"/>
    <w:rsid w:val="006C4A34"/>
    <w:rsid w:val="006D00DB"/>
    <w:rsid w:val="006D1985"/>
    <w:rsid w:val="006D37A1"/>
    <w:rsid w:val="006D4C7A"/>
    <w:rsid w:val="006E1005"/>
    <w:rsid w:val="006E26D0"/>
    <w:rsid w:val="006E3BCF"/>
    <w:rsid w:val="006E7EB5"/>
    <w:rsid w:val="006F0601"/>
    <w:rsid w:val="006F087F"/>
    <w:rsid w:val="006F2A16"/>
    <w:rsid w:val="006F386A"/>
    <w:rsid w:val="006F5578"/>
    <w:rsid w:val="006F66E5"/>
    <w:rsid w:val="006F7393"/>
    <w:rsid w:val="006F7BB3"/>
    <w:rsid w:val="006F7D37"/>
    <w:rsid w:val="0070224F"/>
    <w:rsid w:val="00702C1A"/>
    <w:rsid w:val="0070583C"/>
    <w:rsid w:val="00705F9C"/>
    <w:rsid w:val="00710DF1"/>
    <w:rsid w:val="007115F7"/>
    <w:rsid w:val="00712A98"/>
    <w:rsid w:val="007135F7"/>
    <w:rsid w:val="00713C38"/>
    <w:rsid w:val="007143AC"/>
    <w:rsid w:val="007170FF"/>
    <w:rsid w:val="007264AA"/>
    <w:rsid w:val="007304FA"/>
    <w:rsid w:val="00731630"/>
    <w:rsid w:val="0073359F"/>
    <w:rsid w:val="00743676"/>
    <w:rsid w:val="00745EDD"/>
    <w:rsid w:val="0074666D"/>
    <w:rsid w:val="00750F3B"/>
    <w:rsid w:val="00753C45"/>
    <w:rsid w:val="0075574D"/>
    <w:rsid w:val="00762D8E"/>
    <w:rsid w:val="00762E29"/>
    <w:rsid w:val="0076311C"/>
    <w:rsid w:val="00767977"/>
    <w:rsid w:val="00770F52"/>
    <w:rsid w:val="00771D5F"/>
    <w:rsid w:val="00773331"/>
    <w:rsid w:val="007746B0"/>
    <w:rsid w:val="00783613"/>
    <w:rsid w:val="00785689"/>
    <w:rsid w:val="00787F68"/>
    <w:rsid w:val="00791BAF"/>
    <w:rsid w:val="007967CC"/>
    <w:rsid w:val="00796C43"/>
    <w:rsid w:val="0079754B"/>
    <w:rsid w:val="007A1E6D"/>
    <w:rsid w:val="007A3CC1"/>
    <w:rsid w:val="007A7891"/>
    <w:rsid w:val="007B0EB2"/>
    <w:rsid w:val="007B1D07"/>
    <w:rsid w:val="007B4089"/>
    <w:rsid w:val="007C19AD"/>
    <w:rsid w:val="007C53E6"/>
    <w:rsid w:val="007C6043"/>
    <w:rsid w:val="007D0E97"/>
    <w:rsid w:val="007D504D"/>
    <w:rsid w:val="007E2166"/>
    <w:rsid w:val="007E38E4"/>
    <w:rsid w:val="007F5303"/>
    <w:rsid w:val="007F5649"/>
    <w:rsid w:val="00801516"/>
    <w:rsid w:val="008049A8"/>
    <w:rsid w:val="00807968"/>
    <w:rsid w:val="00807D83"/>
    <w:rsid w:val="00810A28"/>
    <w:rsid w:val="00810B6F"/>
    <w:rsid w:val="00811C19"/>
    <w:rsid w:val="00815718"/>
    <w:rsid w:val="00815CDD"/>
    <w:rsid w:val="00821EF7"/>
    <w:rsid w:val="00822CE0"/>
    <w:rsid w:val="00822E11"/>
    <w:rsid w:val="0082617E"/>
    <w:rsid w:val="008338F6"/>
    <w:rsid w:val="0083443D"/>
    <w:rsid w:val="008352BF"/>
    <w:rsid w:val="00841AB1"/>
    <w:rsid w:val="00842EE8"/>
    <w:rsid w:val="00845645"/>
    <w:rsid w:val="00856B27"/>
    <w:rsid w:val="00856F96"/>
    <w:rsid w:val="00861ED1"/>
    <w:rsid w:val="00862C04"/>
    <w:rsid w:val="00862C7D"/>
    <w:rsid w:val="00863B3B"/>
    <w:rsid w:val="0086419A"/>
    <w:rsid w:val="008642E2"/>
    <w:rsid w:val="00864957"/>
    <w:rsid w:val="008661E2"/>
    <w:rsid w:val="008670EC"/>
    <w:rsid w:val="00872515"/>
    <w:rsid w:val="00873E90"/>
    <w:rsid w:val="0087417D"/>
    <w:rsid w:val="00874781"/>
    <w:rsid w:val="00874BED"/>
    <w:rsid w:val="0087629E"/>
    <w:rsid w:val="008762E9"/>
    <w:rsid w:val="008832ED"/>
    <w:rsid w:val="00894930"/>
    <w:rsid w:val="00896D5D"/>
    <w:rsid w:val="00896F51"/>
    <w:rsid w:val="00897A26"/>
    <w:rsid w:val="008A0535"/>
    <w:rsid w:val="008A3F25"/>
    <w:rsid w:val="008A716B"/>
    <w:rsid w:val="008B11C8"/>
    <w:rsid w:val="008B5F6F"/>
    <w:rsid w:val="008C0C80"/>
    <w:rsid w:val="008C68F1"/>
    <w:rsid w:val="008D30C5"/>
    <w:rsid w:val="008D7515"/>
    <w:rsid w:val="008E4D08"/>
    <w:rsid w:val="008E5CD8"/>
    <w:rsid w:val="008F5600"/>
    <w:rsid w:val="009002F1"/>
    <w:rsid w:val="00910EC5"/>
    <w:rsid w:val="009110AF"/>
    <w:rsid w:val="009112F8"/>
    <w:rsid w:val="00913B3D"/>
    <w:rsid w:val="0092179E"/>
    <w:rsid w:val="00921803"/>
    <w:rsid w:val="009235D9"/>
    <w:rsid w:val="00926503"/>
    <w:rsid w:val="009304DD"/>
    <w:rsid w:val="0093075B"/>
    <w:rsid w:val="00932B62"/>
    <w:rsid w:val="00935042"/>
    <w:rsid w:val="00940218"/>
    <w:rsid w:val="00941CB7"/>
    <w:rsid w:val="0094772C"/>
    <w:rsid w:val="00957F4D"/>
    <w:rsid w:val="00960C4F"/>
    <w:rsid w:val="00961CAB"/>
    <w:rsid w:val="0096341A"/>
    <w:rsid w:val="00964428"/>
    <w:rsid w:val="00970F07"/>
    <w:rsid w:val="009726D8"/>
    <w:rsid w:val="00972E77"/>
    <w:rsid w:val="0097716D"/>
    <w:rsid w:val="00977305"/>
    <w:rsid w:val="00983F2E"/>
    <w:rsid w:val="00984F99"/>
    <w:rsid w:val="009861A9"/>
    <w:rsid w:val="009866A4"/>
    <w:rsid w:val="009866F5"/>
    <w:rsid w:val="009877D5"/>
    <w:rsid w:val="00987F23"/>
    <w:rsid w:val="0099078B"/>
    <w:rsid w:val="00991446"/>
    <w:rsid w:val="00992992"/>
    <w:rsid w:val="00995EAA"/>
    <w:rsid w:val="00997348"/>
    <w:rsid w:val="009A0259"/>
    <w:rsid w:val="009A1484"/>
    <w:rsid w:val="009A1BE3"/>
    <w:rsid w:val="009A2DEF"/>
    <w:rsid w:val="009A5FF8"/>
    <w:rsid w:val="009A621D"/>
    <w:rsid w:val="009A65BD"/>
    <w:rsid w:val="009B3108"/>
    <w:rsid w:val="009B4D6B"/>
    <w:rsid w:val="009B6BAE"/>
    <w:rsid w:val="009B7144"/>
    <w:rsid w:val="009C3B0C"/>
    <w:rsid w:val="009C3B92"/>
    <w:rsid w:val="009C3F7C"/>
    <w:rsid w:val="009C4B9E"/>
    <w:rsid w:val="009C5E1D"/>
    <w:rsid w:val="009D22B8"/>
    <w:rsid w:val="009D269D"/>
    <w:rsid w:val="009D343D"/>
    <w:rsid w:val="009D4294"/>
    <w:rsid w:val="009D5131"/>
    <w:rsid w:val="009D7308"/>
    <w:rsid w:val="009E29CD"/>
    <w:rsid w:val="009E6C3A"/>
    <w:rsid w:val="009F4613"/>
    <w:rsid w:val="009F5843"/>
    <w:rsid w:val="009F6FD8"/>
    <w:rsid w:val="009F76DB"/>
    <w:rsid w:val="009F778A"/>
    <w:rsid w:val="00A001DC"/>
    <w:rsid w:val="00A02418"/>
    <w:rsid w:val="00A03362"/>
    <w:rsid w:val="00A04A74"/>
    <w:rsid w:val="00A0707D"/>
    <w:rsid w:val="00A07187"/>
    <w:rsid w:val="00A0748F"/>
    <w:rsid w:val="00A111D3"/>
    <w:rsid w:val="00A122DC"/>
    <w:rsid w:val="00A12634"/>
    <w:rsid w:val="00A1359E"/>
    <w:rsid w:val="00A17987"/>
    <w:rsid w:val="00A17AD7"/>
    <w:rsid w:val="00A2053B"/>
    <w:rsid w:val="00A20B95"/>
    <w:rsid w:val="00A23B41"/>
    <w:rsid w:val="00A24B53"/>
    <w:rsid w:val="00A2771E"/>
    <w:rsid w:val="00A32C3B"/>
    <w:rsid w:val="00A35413"/>
    <w:rsid w:val="00A36091"/>
    <w:rsid w:val="00A40554"/>
    <w:rsid w:val="00A45F4F"/>
    <w:rsid w:val="00A46B51"/>
    <w:rsid w:val="00A46FAE"/>
    <w:rsid w:val="00A51159"/>
    <w:rsid w:val="00A52908"/>
    <w:rsid w:val="00A53FAF"/>
    <w:rsid w:val="00A5516E"/>
    <w:rsid w:val="00A600A9"/>
    <w:rsid w:val="00A61051"/>
    <w:rsid w:val="00A625AA"/>
    <w:rsid w:val="00A669DB"/>
    <w:rsid w:val="00A7009C"/>
    <w:rsid w:val="00A7120F"/>
    <w:rsid w:val="00A72963"/>
    <w:rsid w:val="00A7419E"/>
    <w:rsid w:val="00A80BDA"/>
    <w:rsid w:val="00A811FA"/>
    <w:rsid w:val="00A815DA"/>
    <w:rsid w:val="00A83757"/>
    <w:rsid w:val="00A901C8"/>
    <w:rsid w:val="00A941E1"/>
    <w:rsid w:val="00AA0D89"/>
    <w:rsid w:val="00AA2F61"/>
    <w:rsid w:val="00AA55B7"/>
    <w:rsid w:val="00AA5B9E"/>
    <w:rsid w:val="00AA7905"/>
    <w:rsid w:val="00AB0947"/>
    <w:rsid w:val="00AB16E6"/>
    <w:rsid w:val="00AB2407"/>
    <w:rsid w:val="00AB38FE"/>
    <w:rsid w:val="00AB5008"/>
    <w:rsid w:val="00AB53DF"/>
    <w:rsid w:val="00AB57DA"/>
    <w:rsid w:val="00AB6476"/>
    <w:rsid w:val="00AB6C75"/>
    <w:rsid w:val="00AC1222"/>
    <w:rsid w:val="00AC2DD4"/>
    <w:rsid w:val="00AC3B1F"/>
    <w:rsid w:val="00AC6215"/>
    <w:rsid w:val="00AD454C"/>
    <w:rsid w:val="00AD5105"/>
    <w:rsid w:val="00AD5DE1"/>
    <w:rsid w:val="00AD7531"/>
    <w:rsid w:val="00AD7EE2"/>
    <w:rsid w:val="00AE2D78"/>
    <w:rsid w:val="00AE4BAF"/>
    <w:rsid w:val="00AE72A8"/>
    <w:rsid w:val="00AE7908"/>
    <w:rsid w:val="00AF0B21"/>
    <w:rsid w:val="00AF227F"/>
    <w:rsid w:val="00AF3CDD"/>
    <w:rsid w:val="00B05988"/>
    <w:rsid w:val="00B067B6"/>
    <w:rsid w:val="00B07E5C"/>
    <w:rsid w:val="00B13904"/>
    <w:rsid w:val="00B14151"/>
    <w:rsid w:val="00B21A5F"/>
    <w:rsid w:val="00B23057"/>
    <w:rsid w:val="00B24B26"/>
    <w:rsid w:val="00B26440"/>
    <w:rsid w:val="00B31DDE"/>
    <w:rsid w:val="00B339AE"/>
    <w:rsid w:val="00B36805"/>
    <w:rsid w:val="00B40D6E"/>
    <w:rsid w:val="00B43A70"/>
    <w:rsid w:val="00B47C4A"/>
    <w:rsid w:val="00B520EB"/>
    <w:rsid w:val="00B52574"/>
    <w:rsid w:val="00B529DB"/>
    <w:rsid w:val="00B55785"/>
    <w:rsid w:val="00B57DC5"/>
    <w:rsid w:val="00B6075B"/>
    <w:rsid w:val="00B61A54"/>
    <w:rsid w:val="00B625FA"/>
    <w:rsid w:val="00B667AF"/>
    <w:rsid w:val="00B679F1"/>
    <w:rsid w:val="00B75699"/>
    <w:rsid w:val="00B811F7"/>
    <w:rsid w:val="00B81D29"/>
    <w:rsid w:val="00B86ED4"/>
    <w:rsid w:val="00B8718C"/>
    <w:rsid w:val="00B919F5"/>
    <w:rsid w:val="00B92BD3"/>
    <w:rsid w:val="00B934FD"/>
    <w:rsid w:val="00B94CAE"/>
    <w:rsid w:val="00B97556"/>
    <w:rsid w:val="00BA0163"/>
    <w:rsid w:val="00BA2443"/>
    <w:rsid w:val="00BA58BD"/>
    <w:rsid w:val="00BA5DC6"/>
    <w:rsid w:val="00BA6196"/>
    <w:rsid w:val="00BB1F61"/>
    <w:rsid w:val="00BB3725"/>
    <w:rsid w:val="00BB4062"/>
    <w:rsid w:val="00BB563D"/>
    <w:rsid w:val="00BB5CF2"/>
    <w:rsid w:val="00BB5E1D"/>
    <w:rsid w:val="00BB7E71"/>
    <w:rsid w:val="00BC28C1"/>
    <w:rsid w:val="00BC58C0"/>
    <w:rsid w:val="00BC6D8C"/>
    <w:rsid w:val="00BD00E0"/>
    <w:rsid w:val="00BD3CD6"/>
    <w:rsid w:val="00BD47AF"/>
    <w:rsid w:val="00BD5354"/>
    <w:rsid w:val="00BD5EED"/>
    <w:rsid w:val="00BE18F2"/>
    <w:rsid w:val="00BE3F90"/>
    <w:rsid w:val="00BE44D4"/>
    <w:rsid w:val="00BE4786"/>
    <w:rsid w:val="00BE662A"/>
    <w:rsid w:val="00BE6878"/>
    <w:rsid w:val="00BF039D"/>
    <w:rsid w:val="00BF1152"/>
    <w:rsid w:val="00BF3F2F"/>
    <w:rsid w:val="00BF5C1D"/>
    <w:rsid w:val="00C029B2"/>
    <w:rsid w:val="00C029FB"/>
    <w:rsid w:val="00C02ABB"/>
    <w:rsid w:val="00C03307"/>
    <w:rsid w:val="00C059EC"/>
    <w:rsid w:val="00C109FC"/>
    <w:rsid w:val="00C13DEA"/>
    <w:rsid w:val="00C20ACD"/>
    <w:rsid w:val="00C226C8"/>
    <w:rsid w:val="00C272E6"/>
    <w:rsid w:val="00C27B19"/>
    <w:rsid w:val="00C34006"/>
    <w:rsid w:val="00C36B4C"/>
    <w:rsid w:val="00C426B1"/>
    <w:rsid w:val="00C42763"/>
    <w:rsid w:val="00C4323D"/>
    <w:rsid w:val="00C52B42"/>
    <w:rsid w:val="00C53E1F"/>
    <w:rsid w:val="00C5478E"/>
    <w:rsid w:val="00C573FF"/>
    <w:rsid w:val="00C57978"/>
    <w:rsid w:val="00C60B36"/>
    <w:rsid w:val="00C61CB8"/>
    <w:rsid w:val="00C61D84"/>
    <w:rsid w:val="00C63222"/>
    <w:rsid w:val="00C64401"/>
    <w:rsid w:val="00C65C51"/>
    <w:rsid w:val="00C66160"/>
    <w:rsid w:val="00C6720F"/>
    <w:rsid w:val="00C700D0"/>
    <w:rsid w:val="00C709F5"/>
    <w:rsid w:val="00C710A8"/>
    <w:rsid w:val="00C721AC"/>
    <w:rsid w:val="00C73E1C"/>
    <w:rsid w:val="00C75785"/>
    <w:rsid w:val="00C76A09"/>
    <w:rsid w:val="00C81DB0"/>
    <w:rsid w:val="00C820BE"/>
    <w:rsid w:val="00C82698"/>
    <w:rsid w:val="00C83746"/>
    <w:rsid w:val="00C8477A"/>
    <w:rsid w:val="00C90D6A"/>
    <w:rsid w:val="00C9134E"/>
    <w:rsid w:val="00C93451"/>
    <w:rsid w:val="00C94A28"/>
    <w:rsid w:val="00C95256"/>
    <w:rsid w:val="00C96B56"/>
    <w:rsid w:val="00CA247E"/>
    <w:rsid w:val="00CA5F51"/>
    <w:rsid w:val="00CA6D21"/>
    <w:rsid w:val="00CA7822"/>
    <w:rsid w:val="00CB1A44"/>
    <w:rsid w:val="00CB1BA6"/>
    <w:rsid w:val="00CB2315"/>
    <w:rsid w:val="00CB58E8"/>
    <w:rsid w:val="00CB5E16"/>
    <w:rsid w:val="00CC2241"/>
    <w:rsid w:val="00CC24F6"/>
    <w:rsid w:val="00CC4936"/>
    <w:rsid w:val="00CC5F69"/>
    <w:rsid w:val="00CC72B6"/>
    <w:rsid w:val="00CD06DE"/>
    <w:rsid w:val="00CD4E5F"/>
    <w:rsid w:val="00CD7068"/>
    <w:rsid w:val="00CD7225"/>
    <w:rsid w:val="00CF021F"/>
    <w:rsid w:val="00CF0B18"/>
    <w:rsid w:val="00CF2533"/>
    <w:rsid w:val="00CF3108"/>
    <w:rsid w:val="00CF56A8"/>
    <w:rsid w:val="00CF5F3C"/>
    <w:rsid w:val="00D0218D"/>
    <w:rsid w:val="00D033D1"/>
    <w:rsid w:val="00D15508"/>
    <w:rsid w:val="00D21D21"/>
    <w:rsid w:val="00D25FB5"/>
    <w:rsid w:val="00D2667A"/>
    <w:rsid w:val="00D31C28"/>
    <w:rsid w:val="00D36FF9"/>
    <w:rsid w:val="00D423B0"/>
    <w:rsid w:val="00D42B3B"/>
    <w:rsid w:val="00D44223"/>
    <w:rsid w:val="00D4439D"/>
    <w:rsid w:val="00D50B82"/>
    <w:rsid w:val="00D5367E"/>
    <w:rsid w:val="00D541F8"/>
    <w:rsid w:val="00D54826"/>
    <w:rsid w:val="00D5524D"/>
    <w:rsid w:val="00D55A7D"/>
    <w:rsid w:val="00D55DAF"/>
    <w:rsid w:val="00D57580"/>
    <w:rsid w:val="00D57BEE"/>
    <w:rsid w:val="00D614D0"/>
    <w:rsid w:val="00D623B1"/>
    <w:rsid w:val="00D64CDA"/>
    <w:rsid w:val="00D64E57"/>
    <w:rsid w:val="00D666C8"/>
    <w:rsid w:val="00D66DD6"/>
    <w:rsid w:val="00D72354"/>
    <w:rsid w:val="00D74CC9"/>
    <w:rsid w:val="00D77897"/>
    <w:rsid w:val="00D77E66"/>
    <w:rsid w:val="00D8049E"/>
    <w:rsid w:val="00D81CBD"/>
    <w:rsid w:val="00D8349F"/>
    <w:rsid w:val="00D863CC"/>
    <w:rsid w:val="00D91495"/>
    <w:rsid w:val="00D93068"/>
    <w:rsid w:val="00D9349C"/>
    <w:rsid w:val="00D972A2"/>
    <w:rsid w:val="00D9740A"/>
    <w:rsid w:val="00DA04C7"/>
    <w:rsid w:val="00DA2529"/>
    <w:rsid w:val="00DA6849"/>
    <w:rsid w:val="00DB130A"/>
    <w:rsid w:val="00DB2286"/>
    <w:rsid w:val="00DB2EBB"/>
    <w:rsid w:val="00DB56D6"/>
    <w:rsid w:val="00DB6870"/>
    <w:rsid w:val="00DC09B9"/>
    <w:rsid w:val="00DC10A1"/>
    <w:rsid w:val="00DC2E4A"/>
    <w:rsid w:val="00DC655F"/>
    <w:rsid w:val="00DC7C49"/>
    <w:rsid w:val="00DD0B59"/>
    <w:rsid w:val="00DD1F31"/>
    <w:rsid w:val="00DD387F"/>
    <w:rsid w:val="00DD67C6"/>
    <w:rsid w:val="00DD728C"/>
    <w:rsid w:val="00DD7E8F"/>
    <w:rsid w:val="00DD7EBD"/>
    <w:rsid w:val="00DF546E"/>
    <w:rsid w:val="00DF62B6"/>
    <w:rsid w:val="00DF6C1B"/>
    <w:rsid w:val="00E00472"/>
    <w:rsid w:val="00E01AAB"/>
    <w:rsid w:val="00E020A5"/>
    <w:rsid w:val="00E03544"/>
    <w:rsid w:val="00E03FE8"/>
    <w:rsid w:val="00E06A03"/>
    <w:rsid w:val="00E07225"/>
    <w:rsid w:val="00E07BBB"/>
    <w:rsid w:val="00E11645"/>
    <w:rsid w:val="00E12786"/>
    <w:rsid w:val="00E1328B"/>
    <w:rsid w:val="00E17926"/>
    <w:rsid w:val="00E21C87"/>
    <w:rsid w:val="00E22A1A"/>
    <w:rsid w:val="00E23B79"/>
    <w:rsid w:val="00E23D51"/>
    <w:rsid w:val="00E24E97"/>
    <w:rsid w:val="00E25A8E"/>
    <w:rsid w:val="00E3671A"/>
    <w:rsid w:val="00E37F19"/>
    <w:rsid w:val="00E44FE6"/>
    <w:rsid w:val="00E4519B"/>
    <w:rsid w:val="00E4550D"/>
    <w:rsid w:val="00E4654F"/>
    <w:rsid w:val="00E4775B"/>
    <w:rsid w:val="00E5201F"/>
    <w:rsid w:val="00E521FC"/>
    <w:rsid w:val="00E53B67"/>
    <w:rsid w:val="00E5409F"/>
    <w:rsid w:val="00E55CA4"/>
    <w:rsid w:val="00E57128"/>
    <w:rsid w:val="00E63D33"/>
    <w:rsid w:val="00E700E1"/>
    <w:rsid w:val="00E716DE"/>
    <w:rsid w:val="00E721CC"/>
    <w:rsid w:val="00E73584"/>
    <w:rsid w:val="00E73A3D"/>
    <w:rsid w:val="00E74B25"/>
    <w:rsid w:val="00E75CF1"/>
    <w:rsid w:val="00E771A2"/>
    <w:rsid w:val="00E77E92"/>
    <w:rsid w:val="00E824A0"/>
    <w:rsid w:val="00E85474"/>
    <w:rsid w:val="00E863B4"/>
    <w:rsid w:val="00E86B59"/>
    <w:rsid w:val="00E909FD"/>
    <w:rsid w:val="00E929A0"/>
    <w:rsid w:val="00E92BF3"/>
    <w:rsid w:val="00E93AE9"/>
    <w:rsid w:val="00E93CC5"/>
    <w:rsid w:val="00EA0EBC"/>
    <w:rsid w:val="00EA3A2F"/>
    <w:rsid w:val="00EA4D75"/>
    <w:rsid w:val="00EA4EF7"/>
    <w:rsid w:val="00EA52E6"/>
    <w:rsid w:val="00EA565D"/>
    <w:rsid w:val="00EA7B1D"/>
    <w:rsid w:val="00EB12CA"/>
    <w:rsid w:val="00EB4C35"/>
    <w:rsid w:val="00EB706C"/>
    <w:rsid w:val="00EC37B8"/>
    <w:rsid w:val="00EC49D7"/>
    <w:rsid w:val="00EC5720"/>
    <w:rsid w:val="00EC604E"/>
    <w:rsid w:val="00EC73EC"/>
    <w:rsid w:val="00ED20BA"/>
    <w:rsid w:val="00ED3296"/>
    <w:rsid w:val="00ED3D5F"/>
    <w:rsid w:val="00ED5320"/>
    <w:rsid w:val="00ED5E23"/>
    <w:rsid w:val="00EE0AFF"/>
    <w:rsid w:val="00EE10B8"/>
    <w:rsid w:val="00EE2A24"/>
    <w:rsid w:val="00EE5E5A"/>
    <w:rsid w:val="00EE6488"/>
    <w:rsid w:val="00EE66C9"/>
    <w:rsid w:val="00EE6BC8"/>
    <w:rsid w:val="00EE7085"/>
    <w:rsid w:val="00EF0C3E"/>
    <w:rsid w:val="00EF3018"/>
    <w:rsid w:val="00EF47D7"/>
    <w:rsid w:val="00EF4895"/>
    <w:rsid w:val="00EF554D"/>
    <w:rsid w:val="00F00C61"/>
    <w:rsid w:val="00F00DCD"/>
    <w:rsid w:val="00F021FA"/>
    <w:rsid w:val="00F03E36"/>
    <w:rsid w:val="00F04C39"/>
    <w:rsid w:val="00F12A16"/>
    <w:rsid w:val="00F135C7"/>
    <w:rsid w:val="00F1542D"/>
    <w:rsid w:val="00F162E6"/>
    <w:rsid w:val="00F178D2"/>
    <w:rsid w:val="00F22EE6"/>
    <w:rsid w:val="00F23554"/>
    <w:rsid w:val="00F23B4B"/>
    <w:rsid w:val="00F31752"/>
    <w:rsid w:val="00F31CED"/>
    <w:rsid w:val="00F32824"/>
    <w:rsid w:val="00F37307"/>
    <w:rsid w:val="00F43213"/>
    <w:rsid w:val="00F4629E"/>
    <w:rsid w:val="00F56D73"/>
    <w:rsid w:val="00F60863"/>
    <w:rsid w:val="00F62E97"/>
    <w:rsid w:val="00F64209"/>
    <w:rsid w:val="00F70083"/>
    <w:rsid w:val="00F738BD"/>
    <w:rsid w:val="00F85973"/>
    <w:rsid w:val="00F93BF5"/>
    <w:rsid w:val="00FA3FDA"/>
    <w:rsid w:val="00FA6745"/>
    <w:rsid w:val="00FB652B"/>
    <w:rsid w:val="00FC0289"/>
    <w:rsid w:val="00FC14B3"/>
    <w:rsid w:val="00FC43C7"/>
    <w:rsid w:val="00FD2D43"/>
    <w:rsid w:val="00FD33A1"/>
    <w:rsid w:val="00FD40A4"/>
    <w:rsid w:val="00FE360C"/>
    <w:rsid w:val="00FE5A80"/>
    <w:rsid w:val="00FF09FE"/>
    <w:rsid w:val="00FF10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F313DA"/>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D5"/>
    <w:pPr>
      <w:widowControl w:val="0"/>
    </w:pPr>
    <w:rPr>
      <w:snapToGrid w:val="0"/>
      <w:kern w:val="28"/>
      <w:sz w:val="22"/>
    </w:rPr>
  </w:style>
  <w:style w:type="paragraph" w:styleId="Heading1">
    <w:name w:val="heading 1"/>
    <w:basedOn w:val="Normal"/>
    <w:next w:val="ParaNum"/>
    <w:qFormat/>
    <w:rsid w:val="009877D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877D5"/>
    <w:pPr>
      <w:keepNext/>
      <w:numPr>
        <w:ilvl w:val="1"/>
        <w:numId w:val="3"/>
      </w:numPr>
      <w:spacing w:after="120"/>
      <w:outlineLvl w:val="1"/>
    </w:pPr>
    <w:rPr>
      <w:b/>
    </w:rPr>
  </w:style>
  <w:style w:type="paragraph" w:styleId="Heading3">
    <w:name w:val="heading 3"/>
    <w:basedOn w:val="Normal"/>
    <w:next w:val="ParaNum"/>
    <w:qFormat/>
    <w:rsid w:val="009877D5"/>
    <w:pPr>
      <w:keepNext/>
      <w:numPr>
        <w:ilvl w:val="2"/>
        <w:numId w:val="3"/>
      </w:numPr>
      <w:tabs>
        <w:tab w:val="left" w:pos="2160"/>
      </w:tabs>
      <w:spacing w:after="120"/>
      <w:outlineLvl w:val="2"/>
    </w:pPr>
    <w:rPr>
      <w:b/>
    </w:rPr>
  </w:style>
  <w:style w:type="paragraph" w:styleId="Heading4">
    <w:name w:val="heading 4"/>
    <w:basedOn w:val="Normal"/>
    <w:next w:val="ParaNum"/>
    <w:qFormat/>
    <w:rsid w:val="009877D5"/>
    <w:pPr>
      <w:keepNext/>
      <w:numPr>
        <w:ilvl w:val="3"/>
        <w:numId w:val="3"/>
      </w:numPr>
      <w:tabs>
        <w:tab w:val="left" w:pos="2880"/>
      </w:tabs>
      <w:spacing w:after="120"/>
      <w:outlineLvl w:val="3"/>
    </w:pPr>
    <w:rPr>
      <w:b/>
    </w:rPr>
  </w:style>
  <w:style w:type="paragraph" w:styleId="Heading5">
    <w:name w:val="heading 5"/>
    <w:basedOn w:val="Normal"/>
    <w:next w:val="ParaNum"/>
    <w:qFormat/>
    <w:rsid w:val="009877D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877D5"/>
    <w:pPr>
      <w:numPr>
        <w:ilvl w:val="5"/>
        <w:numId w:val="3"/>
      </w:numPr>
      <w:tabs>
        <w:tab w:val="left" w:pos="4320"/>
      </w:tabs>
      <w:spacing w:after="120"/>
      <w:outlineLvl w:val="5"/>
    </w:pPr>
    <w:rPr>
      <w:b/>
    </w:rPr>
  </w:style>
  <w:style w:type="paragraph" w:styleId="Heading7">
    <w:name w:val="heading 7"/>
    <w:basedOn w:val="Normal"/>
    <w:next w:val="ParaNum"/>
    <w:qFormat/>
    <w:rsid w:val="009877D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877D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877D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77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77D5"/>
  </w:style>
  <w:style w:type="paragraph" w:customStyle="1" w:styleId="ParaNum">
    <w:name w:val="ParaNum"/>
    <w:basedOn w:val="Normal"/>
    <w:link w:val="ParaNumChar"/>
    <w:rsid w:val="009877D5"/>
    <w:pPr>
      <w:numPr>
        <w:numId w:val="2"/>
      </w:numPr>
      <w:tabs>
        <w:tab w:val="clear" w:pos="1080"/>
        <w:tab w:val="num" w:pos="1440"/>
      </w:tabs>
      <w:spacing w:after="120"/>
    </w:pPr>
  </w:style>
  <w:style w:type="paragraph" w:styleId="EndnoteText">
    <w:name w:val="endnote text"/>
    <w:basedOn w:val="Normal"/>
    <w:semiHidden/>
    <w:rsid w:val="009877D5"/>
    <w:rPr>
      <w:sz w:val="20"/>
    </w:rPr>
  </w:style>
  <w:style w:type="character" w:styleId="EndnoteReference">
    <w:name w:val="endnote reference"/>
    <w:semiHidden/>
    <w:rsid w:val="009877D5"/>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9877D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877D5"/>
    <w:rPr>
      <w:rFonts w:ascii="Times New Roman" w:hAnsi="Times New Roman"/>
      <w:dstrike w:val="0"/>
      <w:color w:val="auto"/>
      <w:sz w:val="20"/>
      <w:vertAlign w:val="superscript"/>
    </w:rPr>
  </w:style>
  <w:style w:type="paragraph" w:styleId="TOC1">
    <w:name w:val="toc 1"/>
    <w:basedOn w:val="Normal"/>
    <w:next w:val="Normal"/>
    <w:semiHidden/>
    <w:rsid w:val="009877D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877D5"/>
    <w:pPr>
      <w:tabs>
        <w:tab w:val="left" w:pos="720"/>
        <w:tab w:val="right" w:leader="dot" w:pos="9360"/>
      </w:tabs>
      <w:suppressAutoHyphens/>
      <w:ind w:left="720" w:right="720" w:hanging="360"/>
    </w:pPr>
    <w:rPr>
      <w:noProof/>
    </w:rPr>
  </w:style>
  <w:style w:type="paragraph" w:styleId="TOC3">
    <w:name w:val="toc 3"/>
    <w:basedOn w:val="Normal"/>
    <w:next w:val="Normal"/>
    <w:semiHidden/>
    <w:rsid w:val="009877D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877D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877D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77D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77D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77D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77D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77D5"/>
    <w:pPr>
      <w:tabs>
        <w:tab w:val="right" w:pos="9360"/>
      </w:tabs>
      <w:suppressAutoHyphens/>
    </w:pPr>
  </w:style>
  <w:style w:type="character" w:customStyle="1" w:styleId="EquationCaption">
    <w:name w:val="_Equation Caption"/>
    <w:rsid w:val="009877D5"/>
  </w:style>
  <w:style w:type="paragraph" w:styleId="Header">
    <w:name w:val="header"/>
    <w:basedOn w:val="Normal"/>
    <w:autoRedefine/>
    <w:rsid w:val="009877D5"/>
    <w:pPr>
      <w:tabs>
        <w:tab w:val="center" w:pos="4680"/>
        <w:tab w:val="right" w:pos="9360"/>
      </w:tabs>
    </w:pPr>
    <w:rPr>
      <w:b/>
    </w:rPr>
  </w:style>
  <w:style w:type="paragraph" w:styleId="Footer">
    <w:name w:val="footer"/>
    <w:basedOn w:val="Normal"/>
    <w:link w:val="FooterChar"/>
    <w:uiPriority w:val="99"/>
    <w:rsid w:val="009877D5"/>
    <w:pPr>
      <w:tabs>
        <w:tab w:val="center" w:pos="4320"/>
        <w:tab w:val="right" w:pos="8640"/>
      </w:tabs>
    </w:pPr>
  </w:style>
  <w:style w:type="character" w:styleId="PageNumber">
    <w:name w:val="page number"/>
    <w:basedOn w:val="DefaultParagraphFont"/>
    <w:rsid w:val="009877D5"/>
  </w:style>
  <w:style w:type="paragraph" w:styleId="BlockText">
    <w:name w:val="Block Text"/>
    <w:basedOn w:val="Normal"/>
    <w:rsid w:val="009877D5"/>
    <w:pPr>
      <w:spacing w:after="240"/>
      <w:ind w:left="1440" w:right="1440"/>
    </w:pPr>
  </w:style>
  <w:style w:type="paragraph" w:customStyle="1" w:styleId="Paratitle">
    <w:name w:val="Para title"/>
    <w:basedOn w:val="Normal"/>
    <w:rsid w:val="009877D5"/>
    <w:pPr>
      <w:tabs>
        <w:tab w:val="center" w:pos="9270"/>
      </w:tabs>
      <w:spacing w:after="240"/>
    </w:pPr>
    <w:rPr>
      <w:spacing w:val="-2"/>
    </w:rPr>
  </w:style>
  <w:style w:type="paragraph" w:customStyle="1" w:styleId="Bullet">
    <w:name w:val="Bullet"/>
    <w:basedOn w:val="Normal"/>
    <w:rsid w:val="009877D5"/>
    <w:pPr>
      <w:tabs>
        <w:tab w:val="left" w:pos="2160"/>
      </w:tabs>
      <w:spacing w:after="220"/>
      <w:ind w:left="2160" w:hanging="720"/>
    </w:pPr>
  </w:style>
  <w:style w:type="paragraph" w:customStyle="1" w:styleId="TableFormat">
    <w:name w:val="TableFormat"/>
    <w:basedOn w:val="Bullet"/>
    <w:rsid w:val="009877D5"/>
    <w:pPr>
      <w:tabs>
        <w:tab w:val="clear" w:pos="2160"/>
        <w:tab w:val="left" w:pos="5040"/>
      </w:tabs>
      <w:ind w:left="5040" w:hanging="3600"/>
    </w:pPr>
  </w:style>
  <w:style w:type="paragraph" w:customStyle="1" w:styleId="TOCTitle">
    <w:name w:val="TOC Title"/>
    <w:basedOn w:val="Normal"/>
    <w:rsid w:val="009877D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77D5"/>
    <w:pPr>
      <w:jc w:val="center"/>
    </w:pPr>
    <w:rPr>
      <w:rFonts w:ascii="Times New Roman Bold" w:hAnsi="Times New Roman Bold"/>
      <w:b/>
      <w:bCs/>
      <w:caps/>
      <w:szCs w:val="22"/>
    </w:rPr>
  </w:style>
  <w:style w:type="character" w:styleId="Hyperlink">
    <w:name w:val="Hyperlink"/>
    <w:rsid w:val="009877D5"/>
    <w:rPr>
      <w:color w:val="0000FF"/>
      <w:u w:val="single"/>
    </w:rPr>
  </w:style>
  <w:style w:type="character" w:customStyle="1" w:styleId="FooterChar">
    <w:name w:val="Footer Char"/>
    <w:link w:val="Footer"/>
    <w:uiPriority w:val="99"/>
    <w:rsid w:val="009877D5"/>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customStyle="1" w:styleId="UnresolvedMention">
    <w:name w:val="Unresolved Mention"/>
    <w:basedOn w:val="DefaultParagraphFont"/>
    <w:rsid w:val="001A2A87"/>
    <w:rPr>
      <w:color w:val="605E5C"/>
      <w:shd w:val="clear" w:color="auto" w:fill="E1DFDD"/>
    </w:rPr>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f Char"/>
    <w:basedOn w:val="DefaultParagraphFont"/>
    <w:rsid w:val="0004451F"/>
    <w:rPr>
      <w:rFonts w:ascii="Times New Roman" w:eastAsia="Times New Roman" w:hAnsi="Times New Roman" w:cs="Times New Roman"/>
      <w:sz w:val="20"/>
      <w:szCs w:val="20"/>
    </w:rPr>
  </w:style>
  <w:style w:type="table" w:styleId="TableGrid">
    <w:name w:val="Table Grid"/>
    <w:basedOn w:val="TableNormal"/>
    <w:rsid w:val="00AB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it">
    <w:name w:val="ss_it"/>
    <w:basedOn w:val="DefaultParagraphFont"/>
    <w:rsid w:val="00D8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Heather.Dixon@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 Id="rId6" Type="http://schemas.openxmlformats.org/officeDocument/2006/relationships/hyperlink" Target="mailto:ARINQUIRIES@fcc.gov" TargetMode="External" /><Relationship Id="rId7"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