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C82B6B" w:rsidRPr="00854B58" w:rsidP="00C82B6B" w14:paraId="11202E7E" w14:textId="7370C5BE">
      <w:pPr>
        <w:jc w:val="right"/>
        <w:rPr>
          <w:b/>
          <w:sz w:val="24"/>
        </w:rPr>
      </w:pPr>
      <w:r>
        <w:rPr>
          <w:b/>
          <w:sz w:val="24"/>
        </w:rPr>
        <w:t>DA 21-</w:t>
      </w:r>
      <w:r w:rsidR="007E6DD1">
        <w:rPr>
          <w:b/>
          <w:sz w:val="24"/>
        </w:rPr>
        <w:t>1624</w:t>
      </w:r>
    </w:p>
    <w:p w:rsidR="00123598" w:rsidP="00123598" w14:paraId="5BBA9485" w14:textId="77777777">
      <w:pPr>
        <w:spacing w:before="60"/>
        <w:jc w:val="right"/>
        <w:rPr>
          <w:b/>
          <w:sz w:val="24"/>
        </w:rPr>
      </w:pPr>
      <w:r>
        <w:rPr>
          <w:b/>
          <w:sz w:val="24"/>
        </w:rPr>
        <w:t>Released:  December 21, 2021</w:t>
      </w:r>
    </w:p>
    <w:p w:rsidR="00C82B6B" w:rsidRPr="00854B58" w:rsidP="00C82B6B" w14:paraId="2C1885BA" w14:textId="77777777">
      <w:pPr>
        <w:jc w:val="right"/>
        <w:rPr>
          <w:b/>
          <w:sz w:val="24"/>
        </w:rPr>
      </w:pPr>
    </w:p>
    <w:p w:rsidR="00123598" w:rsidRPr="008D73BF" w:rsidP="00123598" w14:paraId="37FEA69D" w14:textId="77777777">
      <w:pPr>
        <w:spacing w:after="240"/>
        <w:jc w:val="center"/>
        <w:rPr>
          <w:rFonts w:ascii="Times New Roman Bold" w:hAnsi="Times New Roman Bold"/>
          <w:b/>
          <w:bCs/>
          <w:caps/>
          <w:sz w:val="24"/>
          <w:szCs w:val="24"/>
        </w:rPr>
      </w:pPr>
      <w:r w:rsidRPr="008D73BF">
        <w:rPr>
          <w:b/>
          <w:sz w:val="24"/>
          <w:szCs w:val="24"/>
        </w:rPr>
        <w:t xml:space="preserve">AUCTION OF </w:t>
      </w:r>
      <w:r w:rsidRPr="008D73BF">
        <w:rPr>
          <w:rFonts w:ascii="Times New Roman Bold" w:hAnsi="Times New Roman Bold"/>
          <w:b/>
          <w:bCs/>
          <w:caps/>
          <w:sz w:val="24"/>
          <w:szCs w:val="24"/>
        </w:rPr>
        <w:t>construction permits for low power television and tv translator stations (Auction 111) Cancelled</w:t>
      </w:r>
    </w:p>
    <w:p w:rsidR="00123598" w:rsidRPr="00CC17B1" w:rsidP="00123598" w14:paraId="6DA15595" w14:textId="77777777">
      <w:pPr>
        <w:spacing w:after="240"/>
        <w:jc w:val="center"/>
        <w:rPr>
          <w:rFonts w:ascii="Times New Roman Bold" w:hAnsi="Times New Roman Bold"/>
          <w:b/>
          <w:szCs w:val="22"/>
        </w:rPr>
      </w:pPr>
      <w:r>
        <w:rPr>
          <w:rFonts w:ascii="Times New Roman Bold" w:hAnsi="Times New Roman Bold"/>
          <w:b/>
          <w:bCs/>
          <w:szCs w:val="22"/>
        </w:rPr>
        <w:t>Additional Long-Form Applications Identified for Further Processing</w:t>
      </w:r>
    </w:p>
    <w:p w:rsidR="00123598" w:rsidP="00055B27" w14:paraId="7DF6D9BC" w14:textId="77777777">
      <w:pPr>
        <w:pStyle w:val="ParaNum"/>
        <w:widowControl/>
        <w:tabs>
          <w:tab w:val="num" w:pos="1080"/>
          <w:tab w:val="clear" w:pos="1440"/>
        </w:tabs>
      </w:pPr>
      <w:r w:rsidRPr="0038667B">
        <w:t xml:space="preserve">By this Public Notice, the </w:t>
      </w:r>
      <w:r>
        <w:t>Office of Economics and Analytics (OEA) and the</w:t>
      </w:r>
      <w:r w:rsidRPr="0038667B">
        <w:t xml:space="preserve"> Media Bureau (</w:t>
      </w:r>
      <w:r>
        <w:t>MB</w:t>
      </w:r>
      <w:r w:rsidRPr="0038667B">
        <w:t>)</w:t>
      </w:r>
      <w:r w:rsidRPr="0092490C">
        <w:rPr>
          <w:snapToGrid/>
        </w:rPr>
        <w:t xml:space="preserve"> </w:t>
      </w:r>
      <w:r>
        <w:rPr>
          <w:snapToGrid/>
        </w:rPr>
        <w:t xml:space="preserve">announce the cancellation of bidding in Auction 111, </w:t>
      </w:r>
      <w:r w:rsidRPr="002A3B65">
        <w:rPr>
          <w:snapToGrid/>
        </w:rPr>
        <w:t xml:space="preserve">a closed auction of </w:t>
      </w:r>
      <w:r>
        <w:rPr>
          <w:snapToGrid/>
        </w:rPr>
        <w:t>mutually exclusive applications</w:t>
      </w:r>
      <w:r>
        <w:rPr>
          <w:snapToGrid/>
        </w:rPr>
        <w:t xml:space="preserve"> </w:t>
      </w:r>
      <w:r>
        <w:rPr>
          <w:snapToGrid/>
        </w:rPr>
        <w:t xml:space="preserve">for </w:t>
      </w:r>
      <w:r w:rsidRPr="002A3B65">
        <w:rPr>
          <w:snapToGrid/>
        </w:rPr>
        <w:t xml:space="preserve">low power television </w:t>
      </w:r>
      <w:r>
        <w:rPr>
          <w:snapToGrid/>
        </w:rPr>
        <w:t>and</w:t>
      </w:r>
      <w:r w:rsidRPr="002A3B65">
        <w:rPr>
          <w:snapToGrid/>
        </w:rPr>
        <w:t xml:space="preserve"> TV translator station</w:t>
      </w:r>
      <w:r>
        <w:rPr>
          <w:snapToGrid/>
        </w:rPr>
        <w:t xml:space="preserve"> construction permits.  In the procedures for Auction 111 adopted by OEA and MB, the two remaining short-form applicants with mutually exclusive applications were provided an opportunity to resolve mutual exclusivity by settlement prior to November 30, 2021.</w:t>
      </w:r>
      <w:r>
        <w:rPr>
          <w:rStyle w:val="FootnoteReference"/>
          <w:snapToGrid/>
        </w:rPr>
        <w:footnoteReference w:id="3"/>
      </w:r>
      <w:r>
        <w:rPr>
          <w:snapToGrid/>
        </w:rPr>
        <w:t xml:space="preserve">  </w:t>
      </w:r>
      <w:r w:rsidRPr="00A5791B">
        <w:rPr>
          <w:snapToGrid/>
        </w:rPr>
        <w:t>Today, MB approved a settlement agreement filed by the parties prior to th</w:t>
      </w:r>
      <w:r>
        <w:rPr>
          <w:snapToGrid/>
        </w:rPr>
        <w:t>at date</w:t>
      </w:r>
      <w:r w:rsidRPr="00A5791B">
        <w:rPr>
          <w:snapToGrid/>
        </w:rPr>
        <w:t xml:space="preserve"> that resolved the applicants</w:t>
      </w:r>
      <w:r>
        <w:t>’</w:t>
      </w:r>
      <w:r w:rsidRPr="00A5791B">
        <w:rPr>
          <w:snapToGrid/>
        </w:rPr>
        <w:t xml:space="preserve"> mutual exclusivity.</w:t>
      </w:r>
      <w:r>
        <w:rPr>
          <w:rStyle w:val="FootnoteReference"/>
          <w:snapToGrid/>
        </w:rPr>
        <w:footnoteReference w:id="4"/>
      </w:r>
      <w:r w:rsidRPr="00FC1318">
        <w:rPr>
          <w:snapToGrid/>
        </w:rPr>
        <w:t xml:space="preserve">  </w:t>
      </w:r>
      <w:r>
        <w:t>Because there are no remaining mutually exclusive applications</w:t>
      </w:r>
      <w:r>
        <w:t xml:space="preserve"> </w:t>
      </w:r>
      <w:r>
        <w:t xml:space="preserve">to be resolved by competitive bidding, bidding in Auction 111 is cancelled.  </w:t>
      </w:r>
    </w:p>
    <w:p w:rsidR="00123598" w:rsidP="00055B27" w14:paraId="020C0B9E" w14:textId="77777777">
      <w:pPr>
        <w:pStyle w:val="ParaNum"/>
        <w:widowControl/>
        <w:tabs>
          <w:tab w:val="num" w:pos="1080"/>
          <w:tab w:val="clear" w:pos="1440"/>
        </w:tabs>
      </w:pPr>
      <w:r>
        <w:rPr>
          <w:i/>
          <w:iCs/>
        </w:rPr>
        <w:t xml:space="preserve">Additional Long-Form Applications </w:t>
      </w:r>
      <w:r>
        <w:rPr>
          <w:i/>
          <w:iCs/>
        </w:rPr>
        <w:t>To</w:t>
      </w:r>
      <w:r>
        <w:rPr>
          <w:i/>
          <w:iCs/>
        </w:rPr>
        <w:t xml:space="preserve"> Be Processed.  </w:t>
      </w:r>
      <w:r>
        <w:t xml:space="preserve">The </w:t>
      </w:r>
      <w:r w:rsidRPr="00B74F5E">
        <w:rPr>
          <w:i/>
          <w:iCs/>
        </w:rPr>
        <w:t>Auction 111 Settlement Public Notice</w:t>
      </w:r>
      <w:r>
        <w:t xml:space="preserve"> announced that certain construction permits had been removed from the auction because mutual exclusivity did not exist as of the November 9, 2021, short-form application deadline.</w:t>
      </w:r>
      <w:r>
        <w:rPr>
          <w:rStyle w:val="FootnoteReference"/>
        </w:rPr>
        <w:footnoteReference w:id="5"/>
      </w:r>
      <w:r>
        <w:t xml:space="preserve">  For each mutually exclusive (MX) group where either the applicants in the MX group had reached a settlement that was subsequently approved by MB or only one applicant in the MX group had filed a short-form application,  the </w:t>
      </w:r>
      <w:r w:rsidRPr="00B74F5E">
        <w:rPr>
          <w:i/>
          <w:iCs/>
        </w:rPr>
        <w:t>Auction 111 Settlement Public Notice</w:t>
      </w:r>
      <w:r>
        <w:t xml:space="preserve"> stated that </w:t>
      </w:r>
      <w:r w:rsidRPr="00E977F6">
        <w:t>MB w</w:t>
      </w:r>
      <w:r>
        <w:t>ould</w:t>
      </w:r>
      <w:r w:rsidRPr="00E977F6">
        <w:t xml:space="preserve"> process the</w:t>
      </w:r>
      <w:r>
        <w:t xml:space="preserve"> remaining singleton </w:t>
      </w:r>
      <w:r w:rsidRPr="00E977F6">
        <w:t>long-form application</w:t>
      </w:r>
      <w:r>
        <w:t xml:space="preserve"> from the MX group</w:t>
      </w:r>
      <w:r w:rsidRPr="00E977F6">
        <w:t xml:space="preserve"> in accordance with its standard application processing procedures</w:t>
      </w:r>
      <w:r>
        <w:t>.</w:t>
      </w:r>
      <w:r>
        <w:rPr>
          <w:rStyle w:val="FootnoteReference"/>
        </w:rPr>
        <w:footnoteReference w:id="6"/>
      </w:r>
      <w:r>
        <w:t xml:space="preserve">  The </w:t>
      </w:r>
      <w:r w:rsidRPr="00B74F5E">
        <w:rPr>
          <w:i/>
          <w:iCs/>
        </w:rPr>
        <w:t>Auction 111 Settlement Public Notice</w:t>
      </w:r>
      <w:r>
        <w:rPr>
          <w:i/>
          <w:iCs/>
        </w:rPr>
        <w:t xml:space="preserve"> </w:t>
      </w:r>
      <w:r>
        <w:t>also stated that 13 MX groups would be removed from the auction because no party had filed a short-form application and that the long-form applications in these MX groups would be dismissed.  For four of these MX Groups, however, the application-filing requirement and consequent removal did not apply because one party that was an applicant in each MX group had requested to withdraw its long-form applications prior to the short-form deadline, leaving one remaining long-form application in each of the four MX Groups.</w:t>
      </w:r>
      <w:r>
        <w:rPr>
          <w:rStyle w:val="FootnoteReference"/>
        </w:rPr>
        <w:footnoteReference w:id="7"/>
      </w:r>
      <w:r>
        <w:t xml:space="preserve">  MB has approved that request to </w:t>
      </w:r>
      <w:r>
        <w:t xml:space="preserve">withdraw, and, accordingly, each of the remaining singleton long-form applications in </w:t>
      </w:r>
      <w:r w:rsidRPr="00BE6D7C">
        <w:t>MX Group</w:t>
      </w:r>
      <w:r>
        <w:t>s 007, 014, 019 and 020</w:t>
      </w:r>
      <w:r w:rsidRPr="00814307">
        <w:t xml:space="preserve"> </w:t>
      </w:r>
      <w:r>
        <w:t>is reinstated and will be processed pursuant to standard procedures.</w:t>
      </w:r>
      <w:r>
        <w:rPr>
          <w:rStyle w:val="FootnoteReference"/>
        </w:rPr>
        <w:footnoteReference w:id="8"/>
      </w:r>
      <w:r>
        <w:t xml:space="preserve">   </w:t>
      </w:r>
    </w:p>
    <w:p w:rsidR="00123598" w:rsidRPr="0091276E" w:rsidP="00055B27" w14:paraId="23266BDD" w14:textId="77777777">
      <w:pPr>
        <w:pStyle w:val="ParaNum"/>
        <w:widowControl/>
        <w:tabs>
          <w:tab w:val="num" w:pos="1080"/>
          <w:tab w:val="clear" w:pos="1440"/>
        </w:tabs>
      </w:pPr>
      <w:r>
        <w:rPr>
          <w:snapToGrid/>
        </w:rPr>
        <w:t xml:space="preserve">For </w:t>
      </w:r>
      <w:r w:rsidRPr="0092490C">
        <w:rPr>
          <w:snapToGrid/>
        </w:rPr>
        <w:t xml:space="preserve">additional information, contact </w:t>
      </w:r>
      <w:r>
        <w:rPr>
          <w:snapToGrid/>
        </w:rPr>
        <w:t>Shaun Maher</w:t>
      </w:r>
      <w:r w:rsidRPr="0092490C">
        <w:rPr>
          <w:snapToGrid/>
        </w:rPr>
        <w:t xml:space="preserve"> of the </w:t>
      </w:r>
      <w:r>
        <w:rPr>
          <w:snapToGrid/>
        </w:rPr>
        <w:t>Video</w:t>
      </w:r>
      <w:r w:rsidRPr="0092490C">
        <w:rPr>
          <w:snapToGrid/>
        </w:rPr>
        <w:t xml:space="preserve"> Division</w:t>
      </w:r>
      <w:r>
        <w:rPr>
          <w:snapToGrid/>
        </w:rPr>
        <w:t xml:space="preserve"> of MB </w:t>
      </w:r>
      <w:r w:rsidRPr="0092490C">
        <w:rPr>
          <w:snapToGrid/>
        </w:rPr>
        <w:t>at (202)</w:t>
      </w:r>
      <w:r>
        <w:rPr>
          <w:snapToGrid/>
        </w:rPr>
        <w:t> </w:t>
      </w:r>
      <w:r w:rsidRPr="0092490C">
        <w:rPr>
          <w:snapToGrid/>
        </w:rPr>
        <w:t>418</w:t>
      </w:r>
      <w:r>
        <w:rPr>
          <w:snapToGrid/>
        </w:rPr>
        <w:noBreakHyphen/>
      </w:r>
      <w:r w:rsidRPr="0092490C">
        <w:rPr>
          <w:snapToGrid/>
        </w:rPr>
        <w:t>2</w:t>
      </w:r>
      <w:r>
        <w:rPr>
          <w:snapToGrid/>
        </w:rPr>
        <w:t xml:space="preserve">324, or </w:t>
      </w:r>
      <w:r>
        <w:t>Lyndsey Grunewald or Scott Mackoul</w:t>
      </w:r>
      <w:r w:rsidRPr="0092490C">
        <w:t xml:space="preserve"> in the Auctions Division of </w:t>
      </w:r>
      <w:r>
        <w:t>OEA</w:t>
      </w:r>
      <w:r w:rsidRPr="0092490C">
        <w:t xml:space="preserve"> at (202)</w:t>
      </w:r>
      <w:r>
        <w:t> </w:t>
      </w:r>
      <w:r w:rsidRPr="0092490C">
        <w:t>418</w:t>
      </w:r>
      <w:r>
        <w:noBreakHyphen/>
      </w:r>
      <w:r w:rsidRPr="0092490C">
        <w:t>0660.</w:t>
      </w:r>
    </w:p>
    <w:p w:rsidR="00412FC5" w:rsidRPr="00123598" w:rsidP="00123598" w14:paraId="4C7DA88F" w14:textId="4B3CFBAC">
      <w:pPr>
        <w:widowControl/>
        <w:jc w:val="center"/>
        <w:rPr>
          <w:b/>
          <w:snapToGrid/>
          <w:kern w:val="0"/>
          <w:szCs w:val="22"/>
        </w:rPr>
      </w:pPr>
      <w:r w:rsidRPr="007B1B3D">
        <w:rPr>
          <w:b/>
          <w:snapToGrid/>
          <w:kern w:val="0"/>
          <w:szCs w:val="22"/>
        </w:rPr>
        <w:t>–FCC–</w:t>
      </w:r>
    </w:p>
    <w:sectPr w:rsidSect="000E5884">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E73A4C3"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584ABC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690020E"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6F7393" w14:paraId="3DABBACA" w14:textId="77777777">
    <w:pPr>
      <w:spacing w:before="140" w:line="100" w:lineRule="exact"/>
      <w:rPr>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61314E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23598" w14:paraId="0BB85CE7" w14:textId="77777777">
      <w:r>
        <w:separator/>
      </w:r>
    </w:p>
  </w:footnote>
  <w:footnote w:type="continuationSeparator" w:id="1">
    <w:p w:rsidR="00123598" w14:paraId="784BB757" w14:textId="77777777">
      <w:pPr>
        <w:rPr>
          <w:sz w:val="20"/>
        </w:rPr>
      </w:pPr>
      <w:r>
        <w:rPr>
          <w:sz w:val="20"/>
        </w:rPr>
        <w:t xml:space="preserve">(Continued from previous page)  </w:t>
      </w:r>
      <w:r>
        <w:rPr>
          <w:sz w:val="20"/>
        </w:rPr>
        <w:separator/>
      </w:r>
    </w:p>
  </w:footnote>
  <w:footnote w:type="continuationNotice" w:id="2">
    <w:p w:rsidR="00123598" w14:paraId="301AF243" w14:textId="77777777">
      <w:pPr>
        <w:rPr>
          <w:sz w:val="20"/>
        </w:rPr>
      </w:pPr>
      <w:r>
        <w:rPr>
          <w:sz w:val="20"/>
        </w:rPr>
        <w:t>(continued….)</w:t>
      </w:r>
    </w:p>
  </w:footnote>
  <w:footnote w:id="3">
    <w:p w:rsidR="00123598" w:rsidRPr="008D73BF" w:rsidP="00123598" w14:paraId="1998B3B8" w14:textId="77777777">
      <w:pPr>
        <w:pStyle w:val="FootnoteText"/>
      </w:pPr>
      <w:r w:rsidRPr="008D73BF">
        <w:rPr>
          <w:rStyle w:val="FootnoteReference"/>
          <w:sz w:val="20"/>
        </w:rPr>
        <w:footnoteRef/>
      </w:r>
      <w:r w:rsidRPr="008D73BF">
        <w:t xml:space="preserve"> </w:t>
      </w:r>
      <w:r w:rsidRPr="008D73BF">
        <w:rPr>
          <w:i/>
          <w:iCs/>
        </w:rPr>
        <w:t>Auction of Construction Permits for Low Power Television and TV Translator Stations; Notice and Filing Requirements, Minimum Opening Bids, Upfront Payments, and Other Procedures for Auction 111</w:t>
      </w:r>
      <w:r w:rsidRPr="008D73BF">
        <w:t xml:space="preserve">, Public Notice, DA 21-1176 at </w:t>
      </w:r>
      <w:r>
        <w:t>8-9</w:t>
      </w:r>
      <w:r w:rsidRPr="008D73BF">
        <w:t xml:space="preserve">, paras. </w:t>
      </w:r>
      <w:r>
        <w:t>17, 19</w:t>
      </w:r>
      <w:r w:rsidRPr="008D73BF">
        <w:t xml:space="preserve"> (OEA/MB Sept. 21, 2021) (</w:t>
      </w:r>
      <w:r w:rsidRPr="008D73BF">
        <w:rPr>
          <w:i/>
          <w:iCs/>
        </w:rPr>
        <w:t>Auction 111 Procedures Public Notice</w:t>
      </w:r>
      <w:r w:rsidRPr="008D73BF">
        <w:t xml:space="preserve">); </w:t>
      </w:r>
      <w:r w:rsidRPr="008D73BF">
        <w:rPr>
          <w:i/>
          <w:iCs/>
        </w:rPr>
        <w:t>Auction of Construction Permits for Low Power Television and TV Translator Stations; Settlement Period Announced for Mutually Exclusive Applications for Auction 111</w:t>
      </w:r>
      <w:r w:rsidRPr="008D73BF">
        <w:t>, Public Notice, DA 21-1412 at 1</w:t>
      </w:r>
      <w:r w:rsidRPr="008D73BF">
        <w:noBreakHyphen/>
        <w:t>2, paras. 1-3 (OEA/MB Nov. 15, 2021) (</w:t>
      </w:r>
      <w:r w:rsidRPr="008D73BF">
        <w:rPr>
          <w:i/>
          <w:iCs/>
        </w:rPr>
        <w:t>Auction 111</w:t>
      </w:r>
      <w:r w:rsidRPr="008D73BF">
        <w:t xml:space="preserve"> </w:t>
      </w:r>
      <w:r w:rsidRPr="008D73BF">
        <w:rPr>
          <w:i/>
          <w:iCs/>
        </w:rPr>
        <w:t>Settlement Public Notice</w:t>
      </w:r>
      <w:r w:rsidRPr="008D73BF">
        <w:t>).</w:t>
      </w:r>
    </w:p>
  </w:footnote>
  <w:footnote w:id="4">
    <w:p w:rsidR="00123598" w:rsidRPr="008D73BF" w:rsidP="00123598" w14:paraId="12334C0D" w14:textId="77777777">
      <w:pPr>
        <w:pStyle w:val="FootnoteText"/>
      </w:pPr>
      <w:r w:rsidRPr="008D73BF">
        <w:rPr>
          <w:rStyle w:val="FootnoteReference"/>
          <w:sz w:val="20"/>
        </w:rPr>
        <w:footnoteRef/>
      </w:r>
      <w:r w:rsidRPr="008D73BF">
        <w:t xml:space="preserve"> Letter to Ravi </w:t>
      </w:r>
      <w:r w:rsidRPr="008D73BF">
        <w:t>Kapur</w:t>
      </w:r>
      <w:r w:rsidRPr="008D73BF">
        <w:t xml:space="preserve">, Major Market Broadcasting of New York Inc., and Lawrence </w:t>
      </w:r>
      <w:r w:rsidRPr="008D73BF">
        <w:t>Rogow</w:t>
      </w:r>
      <w:r w:rsidRPr="008D73BF">
        <w:t xml:space="preserve">, Venture Technologies Group, LLC, from Barbara A. </w:t>
      </w:r>
      <w:r w:rsidRPr="008D73BF">
        <w:t>Kreisman</w:t>
      </w:r>
      <w:r w:rsidRPr="008D73BF">
        <w:t>, Chief, Video Division, Media Bureau, dated December </w:t>
      </w:r>
      <w:r>
        <w:t>21</w:t>
      </w:r>
      <w:r w:rsidRPr="008D73BF">
        <w:t>, 2021.</w:t>
      </w:r>
    </w:p>
  </w:footnote>
  <w:footnote w:id="5">
    <w:p w:rsidR="00123598" w:rsidRPr="008D73BF" w:rsidP="00123598" w14:paraId="54F936A9" w14:textId="77777777">
      <w:pPr>
        <w:pStyle w:val="FootnoteText"/>
      </w:pPr>
      <w:r w:rsidRPr="008D73BF">
        <w:rPr>
          <w:rStyle w:val="FootnoteReference"/>
          <w:sz w:val="20"/>
        </w:rPr>
        <w:footnoteRef/>
      </w:r>
      <w:r w:rsidRPr="008D73BF">
        <w:t xml:space="preserve"> </w:t>
      </w:r>
      <w:r w:rsidRPr="008D73BF">
        <w:rPr>
          <w:i/>
          <w:iCs/>
        </w:rPr>
        <w:t xml:space="preserve">Auction 111 Settlement Public Notice </w:t>
      </w:r>
      <w:r w:rsidRPr="008D73BF">
        <w:t>at 2,</w:t>
      </w:r>
      <w:r w:rsidRPr="008D73BF">
        <w:rPr>
          <w:i/>
          <w:iCs/>
        </w:rPr>
        <w:t xml:space="preserve"> </w:t>
      </w:r>
      <w:r w:rsidRPr="008D73BF">
        <w:t>para. 3.</w:t>
      </w:r>
    </w:p>
  </w:footnote>
  <w:footnote w:id="6">
    <w:p w:rsidR="00123598" w:rsidRPr="008D73BF" w:rsidP="00123598" w14:paraId="77B2C41D" w14:textId="77777777">
      <w:pPr>
        <w:pStyle w:val="FootnoteText"/>
      </w:pPr>
      <w:r w:rsidRPr="008D73BF">
        <w:rPr>
          <w:rStyle w:val="FootnoteReference"/>
          <w:sz w:val="20"/>
        </w:rPr>
        <w:footnoteRef/>
      </w:r>
      <w:r w:rsidRPr="008D73BF">
        <w:t xml:space="preserve"> </w:t>
      </w:r>
      <w:r w:rsidRPr="008D73BF">
        <w:rPr>
          <w:i/>
          <w:iCs/>
        </w:rPr>
        <w:t>Id.</w:t>
      </w:r>
      <w:r w:rsidRPr="008D73BF">
        <w:t xml:space="preserve"> at 2, para. 4.  </w:t>
      </w:r>
    </w:p>
  </w:footnote>
  <w:footnote w:id="7">
    <w:p w:rsidR="00123598" w:rsidRPr="008D73BF" w:rsidP="00123598" w14:paraId="201A7AC2" w14:textId="77777777">
      <w:pPr>
        <w:pStyle w:val="FootnoteText"/>
      </w:pPr>
      <w:r w:rsidRPr="008D73BF">
        <w:rPr>
          <w:rStyle w:val="FootnoteReference"/>
          <w:sz w:val="20"/>
        </w:rPr>
        <w:footnoteRef/>
      </w:r>
      <w:r w:rsidRPr="008D73BF">
        <w:t xml:space="preserve"> On October 27, 2021, Mako Communications, LLC (Mako) filed a request in the Media Bureau’s Licensing and Management System (</w:t>
      </w:r>
      <w:r w:rsidRPr="008D73BF">
        <w:t>LMS</w:t>
      </w:r>
      <w:r w:rsidRPr="008D73BF">
        <w:t xml:space="preserve">) to withdraw its </w:t>
      </w:r>
      <w:r w:rsidRPr="008D73BF">
        <w:t>LPTV</w:t>
      </w:r>
      <w:r w:rsidRPr="008D73BF">
        <w:t xml:space="preserve">/translator construction permit applications.  </w:t>
      </w:r>
      <w:r w:rsidRPr="008D73BF">
        <w:rPr>
          <w:i/>
          <w:iCs/>
        </w:rPr>
        <w:t xml:space="preserve">See </w:t>
      </w:r>
      <w:r w:rsidRPr="008D73BF">
        <w:t xml:space="preserve">Mako request to withdraw, copy available at </w:t>
      </w:r>
      <w:r w:rsidRPr="008D73BF">
        <w:t>LMS</w:t>
      </w:r>
      <w:r w:rsidRPr="008D73BF">
        <w:t xml:space="preserve"> Facility ID Nos. 181637, 181658, 181943, and 182027.  Mako’s withdrawal for MX Group 016 did not resolve the mutual exclusivity in that group as the construction permit applications of Spanish Broadcasting System Holding Company, Inc. (SBS) and Ramon A. Hernandez remained pending.  Because neither SBS nor Mr. Hernandez filed a short-form application, their construction permit applications were properly dismissed under the procedures previously announced for Auction 111.  </w:t>
      </w:r>
      <w:r w:rsidRPr="008D73BF">
        <w:rPr>
          <w:i/>
          <w:iCs/>
        </w:rPr>
        <w:t>Auction 111 Settlement Public Notice</w:t>
      </w:r>
      <w:r w:rsidRPr="008D73BF">
        <w:t xml:space="preserve"> at 2 n.10 (citing</w:t>
      </w:r>
      <w:r w:rsidRPr="008D73BF">
        <w:rPr>
          <w:i/>
          <w:iCs/>
        </w:rPr>
        <w:t xml:space="preserve"> Auction 111 Procedures Public Notice </w:t>
      </w:r>
      <w:r w:rsidRPr="008D73BF">
        <w:t xml:space="preserve">at 9, para. 17). </w:t>
      </w:r>
    </w:p>
  </w:footnote>
  <w:footnote w:id="8">
    <w:p w:rsidR="00123598" w:rsidRPr="008D73BF" w:rsidP="00123598" w14:paraId="32E41F72" w14:textId="77777777">
      <w:pPr>
        <w:pStyle w:val="FootnoteText"/>
      </w:pPr>
      <w:r w:rsidRPr="008D73BF">
        <w:rPr>
          <w:rStyle w:val="FootnoteReference"/>
          <w:sz w:val="20"/>
        </w:rPr>
        <w:footnoteRef/>
      </w:r>
      <w:r w:rsidRPr="008D73BF">
        <w:t xml:space="preserve"> The Attachment to this Public Notice provides an updated list of long-form applications that were eligible for resolution through Auction 111 but are no longer mutually exclusive with any other long-form application and will be processed by MB in accordance with standard procedures.  For each listed long-form application, the mutual exclusivity was resolved because (1) the applicant was the only eligible party to file an FCC Form 175 that covered the relevant construction permit (singleton application), (2) the applicant settled its mutual exclusivity prior to the short-form filing deadline or during the auction settlement window (settled application), or (3) the application is the sole surviving application after the other application in its MX Group was withdrawn (surviving application).  </w:t>
      </w:r>
      <w:bookmarkStart w:id="0" w:name="_Hlk90288791"/>
      <w:r w:rsidRPr="008D73BF">
        <w:t xml:space="preserve">This Attachment updates and supersedes Attachment B of the </w:t>
      </w:r>
      <w:r w:rsidRPr="008D73BF">
        <w:rPr>
          <w:i/>
          <w:iCs/>
        </w:rPr>
        <w:t>Auction 111</w:t>
      </w:r>
      <w:r w:rsidRPr="008D73BF">
        <w:t xml:space="preserve"> </w:t>
      </w:r>
      <w:r w:rsidRPr="008D73BF">
        <w:rPr>
          <w:i/>
          <w:iCs/>
        </w:rPr>
        <w:t xml:space="preserve">Settlement Public Notice.  </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7FAD" w14:paraId="34C44A6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A918BC" w:rsidP="00837C62" w14:paraId="1EEA2B07" w14:textId="7AA91CD3">
    <w:pPr>
      <w:pStyle w:val="Header"/>
      <w:rPr>
        <w:rFonts w:ascii="Times New Roman" w:hAnsi="Times New Roman" w:cs="Times New Roman"/>
        <w:sz w:val="22"/>
        <w:szCs w:val="22"/>
      </w:rPr>
    </w:pPr>
    <w:r w:rsidRPr="00123598">
      <w:rPr>
        <w:rFonts w:ascii="Times New Roman" w:hAnsi="Times New Roman" w:cs="Times New Roman"/>
        <w:sz w:val="20"/>
        <w:szCs w:val="20"/>
      </w:rPr>
      <w:tab/>
    </w:r>
    <w:r w:rsidRPr="00A918BC">
      <w:rPr>
        <w:rFonts w:ascii="Times New Roman" w:hAnsi="Times New Roman" w:cs="Times New Roman"/>
        <w:sz w:val="22"/>
        <w:szCs w:val="22"/>
      </w:rPr>
      <w:t>Federal Communications Commission</w:t>
    </w:r>
    <w:r w:rsidRPr="00A918BC">
      <w:rPr>
        <w:rFonts w:ascii="Times New Roman" w:hAnsi="Times New Roman" w:cs="Times New Roman"/>
        <w:sz w:val="22"/>
        <w:szCs w:val="22"/>
      </w:rPr>
      <w:tab/>
    </w:r>
    <w:r w:rsidRPr="00A918BC" w:rsidR="00123598">
      <w:rPr>
        <w:rFonts w:ascii="Times New Roman" w:hAnsi="Times New Roman" w:cs="Times New Roman"/>
        <w:sz w:val="22"/>
        <w:szCs w:val="22"/>
      </w:rPr>
      <w:t>DA 21-</w:t>
    </w:r>
    <w:r w:rsidRPr="00A918BC" w:rsidR="007E6DD1">
      <w:rPr>
        <w:rFonts w:ascii="Times New Roman" w:hAnsi="Times New Roman" w:cs="Times New Roman"/>
        <w:sz w:val="22"/>
        <w:szCs w:val="22"/>
      </w:rPr>
      <w:t>1624</w:t>
    </w:r>
  </w:p>
  <w:p w:rsidR="006F7393" w14:paraId="18815B5A" w14:textId="77777777">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6F7393" w14:paraId="359A3AD4"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837C62" w:rsidP="00837C62" w14:paraId="226B88D7" w14:textId="7777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2336" o:allowincell="f">
          <v:imagedata r:id="rId1" o:title="fcc_logo"/>
          <w10:wrap type="topAndBottom"/>
        </v:shape>
      </w:pict>
    </w:r>
    <w:r w:rsidRPr="00837C62">
      <w:t>PUBLIC NOTICE</w:t>
    </w:r>
  </w:p>
  <w:p w:rsidR="00C82B6B" w:rsidP="00837C62" w14:paraId="126D5947" w14:textId="77777777">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9264" o:allowincell="f" stroked="f">
          <v:textbox>
            <w:txbxContent>
              <w:p w:rsidR="00C82B6B" w:rsidP="00C82B6B" w14:paraId="6B4B453E" w14:textId="77777777">
                <w:pPr>
                  <w:rPr>
                    <w:rFonts w:ascii="Arial" w:hAnsi="Arial"/>
                    <w:b/>
                  </w:rPr>
                </w:pPr>
                <w:r>
                  <w:rPr>
                    <w:rFonts w:ascii="Arial" w:hAnsi="Arial"/>
                    <w:b/>
                  </w:rPr>
                  <w:t>Federal Communications Commission</w:t>
                </w:r>
              </w:p>
              <w:p w:rsidR="00C82B6B" w:rsidP="00C82B6B" w14:paraId="41AC5BF3" w14:textId="3581D4F3">
                <w:pPr>
                  <w:rPr>
                    <w:rFonts w:ascii="Arial" w:hAnsi="Arial"/>
                    <w:b/>
                  </w:rPr>
                </w:pPr>
                <w:r>
                  <w:rPr>
                    <w:rFonts w:ascii="Arial" w:hAnsi="Arial"/>
                    <w:b/>
                  </w:rPr>
                  <w:t xml:space="preserve">45 </w:t>
                </w:r>
                <w:r w:rsidR="00123598">
                  <w:rPr>
                    <w:rFonts w:ascii="Arial" w:hAnsi="Arial"/>
                    <w:b/>
                  </w:rPr>
                  <w:t>L Street, NE</w:t>
                </w:r>
              </w:p>
              <w:p w:rsidR="00C82B6B" w:rsidP="00C82B6B" w14:paraId="0C506002" w14:textId="5579AD73">
                <w:pPr>
                  <w:rPr>
                    <w:rFonts w:ascii="Arial" w:hAnsi="Arial"/>
                    <w:sz w:val="24"/>
                  </w:rPr>
                </w:pPr>
                <w:r>
                  <w:rPr>
                    <w:rFonts w:ascii="Arial" w:hAnsi="Arial"/>
                    <w:b/>
                  </w:rPr>
                  <w:t>Washington, DC 20554</w:t>
                </w:r>
              </w:p>
            </w:txbxContent>
          </v:textbox>
        </v:shape>
      </w:pict>
    </w:r>
    <w:r>
      <w:rPr>
        <w:noProof/>
        <w:sz w:val="24"/>
      </w:rPr>
      <w:pict>
        <v:shape id="_x0000_s2052" type="#_x0000_t202" style="width:207.95pt;height:43.2pt;margin-top:10.25pt;margin-left:264.8pt;position:absolute;z-index:251661312" o:allowincell="f" stroked="f">
          <v:textbox inset=",0,,0">
            <w:txbxContent>
              <w:p w:rsidR="00C82B6B" w:rsidP="00C82B6B" w14:paraId="7EF41A9E" w14:textId="739EE054">
                <w:pPr>
                  <w:spacing w:before="40"/>
                  <w:jc w:val="right"/>
                  <w:rPr>
                    <w:rFonts w:ascii="Arial" w:hAnsi="Arial"/>
                    <w:b/>
                    <w:sz w:val="16"/>
                  </w:rPr>
                </w:pPr>
                <w:r>
                  <w:rPr>
                    <w:rFonts w:ascii="Arial" w:hAnsi="Arial"/>
                    <w:b/>
                    <w:sz w:val="16"/>
                  </w:rPr>
                  <w:t>News Media Information</w:t>
                </w:r>
                <w:r w:rsidR="00123598">
                  <w:rPr>
                    <w:rFonts w:ascii="Arial" w:hAnsi="Arial"/>
                    <w:b/>
                    <w:sz w:val="16"/>
                  </w:rPr>
                  <w:t>:</w:t>
                </w:r>
                <w:r>
                  <w:rPr>
                    <w:rFonts w:ascii="Arial" w:hAnsi="Arial"/>
                    <w:b/>
                    <w:sz w:val="16"/>
                  </w:rPr>
                  <w:t xml:space="preserve"> 202</w:t>
                </w:r>
                <w:r w:rsidR="00123598">
                  <w:rPr>
                    <w:rFonts w:ascii="Arial" w:hAnsi="Arial"/>
                    <w:b/>
                    <w:sz w:val="16"/>
                  </w:rPr>
                  <w:t>-</w:t>
                </w:r>
                <w:r>
                  <w:rPr>
                    <w:rFonts w:ascii="Arial" w:hAnsi="Arial"/>
                    <w:b/>
                    <w:sz w:val="16"/>
                  </w:rPr>
                  <w:t>418-0500</w:t>
                </w:r>
              </w:p>
              <w:p w:rsidR="00C82B6B" w:rsidP="00C82B6B" w14:paraId="75AE2E10" w14:textId="7914CC1D">
                <w:pPr>
                  <w:jc w:val="right"/>
                  <w:rPr>
                    <w:rFonts w:ascii="Arial" w:hAnsi="Arial"/>
                    <w:b/>
                    <w:sz w:val="16"/>
                  </w:rPr>
                </w:pPr>
                <w:r>
                  <w:rPr>
                    <w:rFonts w:ascii="Arial" w:hAnsi="Arial"/>
                    <w:b/>
                    <w:sz w:val="16"/>
                  </w:rPr>
                  <w:tab/>
                  <w:t xml:space="preserve">Internet: </w:t>
                </w:r>
                <w:hyperlink r:id="rId2" w:history="1">
                  <w:r w:rsidRPr="007345F1" w:rsidR="00123598">
                    <w:rPr>
                      <w:rStyle w:val="Hyperlink"/>
                      <w:rFonts w:ascii="Arial" w:hAnsi="Arial"/>
                      <w:b/>
                      <w:sz w:val="16"/>
                    </w:rPr>
                    <w:t>www.fcc.gov</w:t>
                  </w:r>
                </w:hyperlink>
                <w:r w:rsidR="00123598">
                  <w:rPr>
                    <w:rFonts w:ascii="Arial" w:hAnsi="Arial"/>
                    <w:b/>
                    <w:sz w:val="16"/>
                  </w:rPr>
                  <w:t xml:space="preserve"> </w:t>
                </w:r>
              </w:p>
              <w:p w:rsidR="00C82B6B" w:rsidP="00C82B6B" w14:paraId="362A06BC" w14:textId="2123431B">
                <w:pPr>
                  <w:jc w:val="right"/>
                  <w:rPr>
                    <w:rFonts w:ascii="Arial" w:hAnsi="Arial"/>
                    <w:b/>
                    <w:sz w:val="16"/>
                  </w:rPr>
                </w:pPr>
                <w:r>
                  <w:rPr>
                    <w:rFonts w:ascii="Arial" w:hAnsi="Arial"/>
                    <w:b/>
                    <w:sz w:val="16"/>
                  </w:rPr>
                  <w:t>TTY: 888-835-5322</w:t>
                </w:r>
              </w:p>
              <w:p w:rsidR="00C82B6B" w:rsidP="00C82B6B" w14:paraId="05513BEF" w14:textId="77777777">
                <w:pPr>
                  <w:jc w:val="right"/>
                </w:pPr>
              </w:p>
            </w:txbxContent>
          </v:textbox>
        </v:shape>
      </w:pict>
    </w:r>
  </w:p>
  <w:p w:rsidR="006F7393" w:rsidRPr="00C82B6B" w:rsidP="00837C62" w14:paraId="0806C2FA" w14:textId="77777777">
    <w:pPr>
      <w:pStyle w:val="Header"/>
    </w:pPr>
    <w:r>
      <w:rPr>
        <w:noProof/>
      </w:rPr>
      <w:pict>
        <v:line id="_x0000_s2053" style="position:absolute;z-index:251660288" from="2.4pt,38.85pt" to="468pt,38.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598"/>
    <w:rsid w:val="00036039"/>
    <w:rsid w:val="00037F90"/>
    <w:rsid w:val="00055B27"/>
    <w:rsid w:val="000875BF"/>
    <w:rsid w:val="00096D8C"/>
    <w:rsid w:val="000C0B65"/>
    <w:rsid w:val="000E3D42"/>
    <w:rsid w:val="000E5884"/>
    <w:rsid w:val="00122BD5"/>
    <w:rsid w:val="00123598"/>
    <w:rsid w:val="001D6BCF"/>
    <w:rsid w:val="001E01CA"/>
    <w:rsid w:val="00226822"/>
    <w:rsid w:val="00285017"/>
    <w:rsid w:val="002A2D2E"/>
    <w:rsid w:val="002A3B65"/>
    <w:rsid w:val="00343749"/>
    <w:rsid w:val="0038667B"/>
    <w:rsid w:val="003B0550"/>
    <w:rsid w:val="003B694F"/>
    <w:rsid w:val="003F171C"/>
    <w:rsid w:val="0041223B"/>
    <w:rsid w:val="00412FC5"/>
    <w:rsid w:val="00422276"/>
    <w:rsid w:val="004242F1"/>
    <w:rsid w:val="00445A00"/>
    <w:rsid w:val="00451B0F"/>
    <w:rsid w:val="00496106"/>
    <w:rsid w:val="004C12D0"/>
    <w:rsid w:val="004C2EE3"/>
    <w:rsid w:val="004E4A22"/>
    <w:rsid w:val="00511968"/>
    <w:rsid w:val="0055614C"/>
    <w:rsid w:val="00607BA5"/>
    <w:rsid w:val="00626EB6"/>
    <w:rsid w:val="00655D03"/>
    <w:rsid w:val="00683F84"/>
    <w:rsid w:val="006A6A81"/>
    <w:rsid w:val="006E26AF"/>
    <w:rsid w:val="006F7393"/>
    <w:rsid w:val="0070224F"/>
    <w:rsid w:val="007115F7"/>
    <w:rsid w:val="007345F1"/>
    <w:rsid w:val="00785689"/>
    <w:rsid w:val="0079754B"/>
    <w:rsid w:val="007A1E6D"/>
    <w:rsid w:val="007B1B3D"/>
    <w:rsid w:val="007E6DD1"/>
    <w:rsid w:val="00814307"/>
    <w:rsid w:val="00822CE0"/>
    <w:rsid w:val="00837C62"/>
    <w:rsid w:val="00841AB1"/>
    <w:rsid w:val="00854B58"/>
    <w:rsid w:val="008D73BF"/>
    <w:rsid w:val="0091276E"/>
    <w:rsid w:val="0092490C"/>
    <w:rsid w:val="00926503"/>
    <w:rsid w:val="00977FAD"/>
    <w:rsid w:val="00A45F4F"/>
    <w:rsid w:val="00A5791B"/>
    <w:rsid w:val="00A600A9"/>
    <w:rsid w:val="00A918BC"/>
    <w:rsid w:val="00AA55B7"/>
    <w:rsid w:val="00AA5B9E"/>
    <w:rsid w:val="00AB2407"/>
    <w:rsid w:val="00AB53DF"/>
    <w:rsid w:val="00B07E5C"/>
    <w:rsid w:val="00B74F5E"/>
    <w:rsid w:val="00B811F7"/>
    <w:rsid w:val="00BA5DC6"/>
    <w:rsid w:val="00BA6196"/>
    <w:rsid w:val="00BC6D8C"/>
    <w:rsid w:val="00BE6D7C"/>
    <w:rsid w:val="00C34006"/>
    <w:rsid w:val="00C426B1"/>
    <w:rsid w:val="00C82B6B"/>
    <w:rsid w:val="00C90D6A"/>
    <w:rsid w:val="00CB7FEA"/>
    <w:rsid w:val="00CC17B1"/>
    <w:rsid w:val="00CC72B6"/>
    <w:rsid w:val="00D0218D"/>
    <w:rsid w:val="00DA2529"/>
    <w:rsid w:val="00DB130A"/>
    <w:rsid w:val="00DC10A1"/>
    <w:rsid w:val="00DC655F"/>
    <w:rsid w:val="00DD7EBD"/>
    <w:rsid w:val="00DF62B6"/>
    <w:rsid w:val="00E07225"/>
    <w:rsid w:val="00E5409F"/>
    <w:rsid w:val="00E977F6"/>
    <w:rsid w:val="00F021FA"/>
    <w:rsid w:val="00F57ACA"/>
    <w:rsid w:val="00F62E97"/>
    <w:rsid w:val="00F64209"/>
    <w:rsid w:val="00F93BF5"/>
    <w:rsid w:val="00FC131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2D172A6"/>
  <w15:chartTrackingRefBased/>
  <w15:docId w15:val="{2F267C7A-45D3-43F8-97D2-D3E64824A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1 Char,Footnote Text Char1 Char Char Char Char,Footnote Text Char2 Char Char Char Char Char1,Footnote Text Char2 Char1 Char Char1,Footnote Text Char3,Footnote Text Char3 Char Char1,Footnote Text Char5"/>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 Char,Footnote Text Char1 Char Char Char Char Char,Footnote Text Char2 Char Char Char Char Char1 Char,Footnote Text Char2 Char1 Char Char1 Char,Footnote Text Char3 Char Char1 Char,Footnote Text Char5 Char"/>
    <w:link w:val="FootnoteText"/>
    <w:rsid w:val="00123598"/>
  </w:style>
  <w:style w:type="character" w:customStyle="1" w:styleId="ParaNumChar">
    <w:name w:val="ParaNum Char"/>
    <w:link w:val="ParaNum"/>
    <w:locked/>
    <w:rsid w:val="00123598"/>
    <w:rPr>
      <w:snapToGrid w:val="0"/>
      <w:kern w:val="28"/>
      <w:sz w:val="22"/>
    </w:rPr>
  </w:style>
  <w:style w:type="character" w:customStyle="1" w:styleId="UnresolvedMention">
    <w:name w:val="Unresolved Mention"/>
    <w:basedOn w:val="DefaultParagraphFont"/>
    <w:uiPriority w:val="99"/>
    <w:semiHidden/>
    <w:unhideWhenUsed/>
    <w:rsid w:val="00123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aragraph%20TOC.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