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3D4B24" w14:paraId="7364A212" w14:textId="77777777">
      <w:pPr>
        <w:jc w:val="right"/>
        <w:rPr>
          <w:sz w:val="24"/>
        </w:rPr>
      </w:pPr>
    </w:p>
    <w:p w:rsidR="00D13AA8" w:rsidRPr="00B20363" w:rsidP="00D13AA8" w14:paraId="231FC696" w14:textId="693AF21D">
      <w:pPr>
        <w:jc w:val="right"/>
        <w:rPr>
          <w:b/>
          <w:sz w:val="24"/>
        </w:rPr>
      </w:pPr>
      <w:bookmarkStart w:id="0" w:name="_Hlk84516522"/>
      <w:r>
        <w:rPr>
          <w:b/>
          <w:sz w:val="24"/>
        </w:rPr>
        <w:t>DA 21-</w:t>
      </w:r>
      <w:r w:rsidRPr="008754E1" w:rsidR="0067487A">
        <w:rPr>
          <w:b/>
          <w:sz w:val="24"/>
        </w:rPr>
        <w:t>1625</w:t>
      </w:r>
    </w:p>
    <w:p w:rsidR="00D13AA8" w:rsidRPr="00B20363" w:rsidP="00D13AA8" w14:paraId="15122842" w14:textId="408E8C2F">
      <w:pPr>
        <w:spacing w:before="60"/>
        <w:jc w:val="right"/>
        <w:rPr>
          <w:b/>
          <w:sz w:val="24"/>
        </w:rPr>
      </w:pPr>
      <w:r>
        <w:rPr>
          <w:b/>
          <w:sz w:val="24"/>
        </w:rPr>
        <w:t xml:space="preserve">December </w:t>
      </w:r>
      <w:r w:rsidRPr="0067487A" w:rsidR="0067487A">
        <w:rPr>
          <w:b/>
          <w:sz w:val="24"/>
        </w:rPr>
        <w:t>21</w:t>
      </w:r>
      <w:r>
        <w:rPr>
          <w:b/>
          <w:sz w:val="24"/>
        </w:rPr>
        <w:t>, 2021</w:t>
      </w:r>
    </w:p>
    <w:p w:rsidR="00D13AA8" w:rsidP="00D13AA8" w14:paraId="749F358E" w14:textId="6AB6A668">
      <w:pPr>
        <w:jc w:val="right"/>
        <w:rPr>
          <w:sz w:val="24"/>
        </w:rPr>
      </w:pPr>
    </w:p>
    <w:p w:rsidR="006528D7" w:rsidP="00D13AA8" w14:paraId="7C1AD1B3" w14:textId="77777777">
      <w:pPr>
        <w:jc w:val="right"/>
        <w:rPr>
          <w:sz w:val="24"/>
        </w:rPr>
      </w:pPr>
    </w:p>
    <w:p w:rsidR="00D13AA8" w:rsidP="00D13AA8" w14:paraId="2FACE8C6" w14:textId="5BAE3ABA">
      <w:pPr>
        <w:jc w:val="center"/>
        <w:rPr>
          <w:rFonts w:ascii="Times New Roman Bold" w:hAnsi="Times New Roman Bold"/>
          <w:b/>
          <w:caps/>
          <w:sz w:val="24"/>
        </w:rPr>
      </w:pPr>
      <w:r w:rsidRPr="76DB8AC3">
        <w:rPr>
          <w:rFonts w:ascii="Times New Roman Bold" w:hAnsi="Times New Roman Bold"/>
          <w:b/>
          <w:caps/>
          <w:sz w:val="24"/>
          <w:szCs w:val="24"/>
        </w:rPr>
        <w:t xml:space="preserve">NOTICE OF INTENT TO SHARE </w:t>
      </w:r>
      <w:r w:rsidR="00585217">
        <w:rPr>
          <w:rFonts w:ascii="Times New Roman Bold" w:hAnsi="Times New Roman Bold"/>
          <w:b/>
          <w:caps/>
          <w:sz w:val="24"/>
          <w:szCs w:val="24"/>
        </w:rPr>
        <w:t xml:space="preserve">confidential information with the federal aviation administration </w:t>
      </w:r>
    </w:p>
    <w:p w:rsidR="00D13AA8" w:rsidRPr="00B20363" w:rsidP="00D13AA8" w14:paraId="176AC48E" w14:textId="77777777">
      <w:pPr>
        <w:jc w:val="center"/>
        <w:rPr>
          <w:rFonts w:ascii="Times New Roman Bold" w:hAnsi="Times New Roman Bold"/>
          <w:b/>
          <w:caps/>
          <w:sz w:val="24"/>
        </w:rPr>
      </w:pPr>
    </w:p>
    <w:p w:rsidR="00D13AA8" w:rsidP="00D13AA8" w14:paraId="76034024" w14:textId="1FC8A05B">
      <w:pPr>
        <w:spacing w:after="120"/>
        <w:jc w:val="center"/>
        <w:rPr>
          <w:b/>
          <w:bCs/>
          <w:sz w:val="24"/>
          <w:szCs w:val="24"/>
        </w:rPr>
      </w:pPr>
      <w:r w:rsidRPr="00585217">
        <w:rPr>
          <w:b/>
          <w:bCs/>
          <w:sz w:val="24"/>
          <w:szCs w:val="24"/>
        </w:rPr>
        <w:t>GN DOCKET NO. 18-122, RM-11791, RM-11778</w:t>
      </w:r>
    </w:p>
    <w:p w:rsidR="00585217" w:rsidRPr="00585217" w:rsidP="00D13AA8" w14:paraId="6EBC9687" w14:textId="77777777">
      <w:pPr>
        <w:spacing w:after="120"/>
        <w:jc w:val="center"/>
        <w:rPr>
          <w:b/>
          <w:bCs/>
          <w:sz w:val="24"/>
          <w:szCs w:val="24"/>
        </w:rPr>
      </w:pPr>
    </w:p>
    <w:p w:rsidR="008448A2" w:rsidP="001271B2" w14:paraId="60ED97B0" w14:textId="31D33121">
      <w:pPr>
        <w:ind w:firstLine="720"/>
      </w:pPr>
      <w:r>
        <w:t xml:space="preserve">In the </w:t>
      </w:r>
      <w:r w:rsidRPr="00915D7F">
        <w:rPr>
          <w:i/>
          <w:iCs/>
        </w:rPr>
        <w:t>3.7 GHz Report and Order</w:t>
      </w:r>
      <w:r>
        <w:t xml:space="preserve">, the Commission adopted rules to make 280 megahertz of mid-band spectrum </w:t>
      </w:r>
      <w:r w:rsidR="00481AB1">
        <w:t xml:space="preserve">in the 3.7-3.98 GHz band </w:t>
      </w:r>
      <w:r>
        <w:t>available for flexible use (plus a 20 megahertz guard band) throughout the contiguous United States</w:t>
      </w:r>
      <w:r w:rsidR="00F41038">
        <w:t>.</w:t>
      </w:r>
      <w:r>
        <w:rPr>
          <w:rStyle w:val="FootnoteReference"/>
        </w:rPr>
        <w:footnoteReference w:id="3"/>
      </w:r>
      <w:r w:rsidR="00F41038">
        <w:t xml:space="preserve">  </w:t>
      </w:r>
      <w:r>
        <w:t>The 4.2-4.4 GHz band</w:t>
      </w:r>
      <w:r w:rsidR="001B1D53">
        <w:t>, which is separated from the 280 megahertz wireless broadband segment by a 2</w:t>
      </w:r>
      <w:r>
        <w:t>2</w:t>
      </w:r>
      <w:r w:rsidR="001B1D53">
        <w:t>0 megahertz guard band,</w:t>
      </w:r>
      <w:r>
        <w:t xml:space="preserve"> is allocated to Aeronautical Radionavigation and aeronautical mobile (route) services</w:t>
      </w:r>
      <w:r w:rsidR="006919BF">
        <w:t xml:space="preserve"> and is </w:t>
      </w:r>
      <w:r>
        <w:t>home to radio altimeters and Wireless Avionics Intra-Communications systems used on aircraft and helicopters.</w:t>
      </w:r>
      <w:r>
        <w:rPr>
          <w:rStyle w:val="FootnoteReference"/>
        </w:rPr>
        <w:footnoteReference w:id="4"/>
      </w:r>
      <w:r w:rsidR="001271B2">
        <w:t xml:space="preserve"> </w:t>
      </w:r>
      <w:r>
        <w:t xml:space="preserve"> </w:t>
      </w:r>
      <w:r w:rsidR="006919BF">
        <w:t xml:space="preserve">Members of the aviation industry timely filed petitions for reconsideration of the Report and Order, arguing that the contemplated operations in the band would interfere with </w:t>
      </w:r>
      <w:r w:rsidR="00F41038">
        <w:t xml:space="preserve">the use of </w:t>
      </w:r>
      <w:r w:rsidR="006919BF">
        <w:t>radio altimeters</w:t>
      </w:r>
      <w:r w:rsidR="006528D7">
        <w:t xml:space="preserve"> on aircraft</w:t>
      </w:r>
      <w:r w:rsidR="006919BF">
        <w:t>.</w:t>
      </w:r>
      <w:r>
        <w:rPr>
          <w:rStyle w:val="FootnoteReference"/>
        </w:rPr>
        <w:footnoteReference w:id="5"/>
      </w:r>
      <w:r w:rsidR="001271B2">
        <w:t xml:space="preserve">  They and other parties to the proceeding have submitted proprietary or commercially sensitive confidential materials in support of their respective positions, and have asked that the Commission </w:t>
      </w:r>
      <w:r w:rsidR="00F41038">
        <w:t xml:space="preserve">to </w:t>
      </w:r>
      <w:r w:rsidR="001271B2">
        <w:t>treat the</w:t>
      </w:r>
      <w:r w:rsidR="00F41038">
        <w:t xml:space="preserve"> materials </w:t>
      </w:r>
      <w:r w:rsidR="001271B2">
        <w:t xml:space="preserve">as confidential under our rules.  </w:t>
      </w:r>
    </w:p>
    <w:p w:rsidR="001271B2" w:rsidP="006919BF" w14:paraId="28CB26CB" w14:textId="149C014E">
      <w:pPr>
        <w:ind w:firstLine="720"/>
      </w:pPr>
    </w:p>
    <w:p w:rsidR="001271B2" w:rsidP="001271B2" w14:paraId="3FEAD2B8" w14:textId="2B1A8D57">
      <w:pPr>
        <w:ind w:firstLine="720"/>
      </w:pPr>
      <w:r>
        <w:t xml:space="preserve"> </w:t>
      </w:r>
      <w:r w:rsidRPr="00F41038">
        <w:t xml:space="preserve">The </w:t>
      </w:r>
      <w:r w:rsidRPr="00F41038" w:rsidR="00F41038">
        <w:t xml:space="preserve">Commission is </w:t>
      </w:r>
      <w:r w:rsidRPr="00F41038">
        <w:t xml:space="preserve">currently collaborating with </w:t>
      </w:r>
      <w:r w:rsidRPr="00F41038" w:rsidR="00F41038">
        <w:t xml:space="preserve">the </w:t>
      </w:r>
      <w:r w:rsidRPr="00F41038">
        <w:t xml:space="preserve">National Telecommunications and Information Administration (NTIA) </w:t>
      </w:r>
      <w:r w:rsidRPr="00F41038" w:rsidR="00F41038">
        <w:t xml:space="preserve">and the Federal Aviation Administration (FAA) </w:t>
      </w:r>
      <w:r w:rsidRPr="00F41038">
        <w:t>regarding</w:t>
      </w:r>
      <w:r w:rsidR="001B1D53">
        <w:t xml:space="preserve"> co-existence between C-band wireless broadband </w:t>
      </w:r>
      <w:r w:rsidR="00212BC8">
        <w:t>and radio</w:t>
      </w:r>
      <w:r w:rsidR="001B1D53">
        <w:t xml:space="preserve"> altimeters</w:t>
      </w:r>
      <w:r w:rsidR="00212BC8">
        <w:t xml:space="preserve"> at 4.2-4.4 GHz</w:t>
      </w:r>
      <w:r w:rsidRPr="00F41038">
        <w:t xml:space="preserve">.  </w:t>
      </w:r>
      <w:r w:rsidRPr="00F41038" w:rsidR="00F41038">
        <w:t xml:space="preserve">In this regard, the FAA has requested that the Commission provide it copies of the confidential materials </w:t>
      </w:r>
      <w:r w:rsidR="009F7538">
        <w:t xml:space="preserve">relating to the technical rules for use of the band </w:t>
      </w:r>
      <w:r w:rsidRPr="00F41038" w:rsidR="00F41038">
        <w:t>that have been filed in the above docket.</w:t>
      </w:r>
    </w:p>
    <w:p w:rsidR="00D13AA8" w:rsidP="00D13AA8" w14:paraId="76CDD5A0" w14:textId="77777777"/>
    <w:p w:rsidR="00E4374A" w:rsidP="0085446E" w14:paraId="1539414B" w14:textId="20404347">
      <w:r>
        <w:tab/>
      </w:r>
      <w:r w:rsidR="004262D2">
        <w:t>T</w:t>
      </w:r>
      <w:r w:rsidRPr="00B82D17" w:rsidR="00D13AA8">
        <w:t xml:space="preserve">he Commission’s regulations provide that </w:t>
      </w:r>
      <w:r w:rsidR="00F41038">
        <w:t xml:space="preserve">the </w:t>
      </w:r>
      <w:r w:rsidRPr="00B82D17" w:rsidR="00D13AA8">
        <w:t>Commission may disclose to other Federal agencies records that have been submitted to the Commission in confidence upon another agency’s request or upon the Commission’s own motion.</w:t>
      </w:r>
      <w:r>
        <w:rPr>
          <w:rStyle w:val="FootnoteReference"/>
        </w:rPr>
        <w:footnoteReference w:id="6"/>
      </w:r>
      <w:r w:rsidR="00D13AA8">
        <w:t xml:space="preserve"> </w:t>
      </w:r>
      <w:r w:rsidR="003F0352">
        <w:t xml:space="preserve"> </w:t>
      </w:r>
      <w:r w:rsidR="00810E38">
        <w:t>If it does, all provisions of law that relate to the unlawful disclosure of information apply to the employees of the agency to which the information is released “in the same manner and to the same extent” as they do to employees of the Commission</w:t>
      </w:r>
      <w:r w:rsidRPr="00B82D17" w:rsidR="00D13AA8">
        <w:t>.</w:t>
      </w:r>
      <w:r>
        <w:rPr>
          <w:rStyle w:val="FootnoteReference"/>
        </w:rPr>
        <w:footnoteReference w:id="7"/>
      </w:r>
      <w:r w:rsidRPr="00B82D17" w:rsidR="00D13AA8">
        <w:t xml:space="preserve">  </w:t>
      </w:r>
    </w:p>
    <w:p w:rsidR="00F41038" w:rsidP="00E67863" w14:paraId="1E350CC9" w14:textId="77777777">
      <w:pPr>
        <w:ind w:firstLine="720"/>
      </w:pPr>
    </w:p>
    <w:p w:rsidR="0085446E" w:rsidP="00462915" w14:paraId="20359062" w14:textId="584259CB">
      <w:pPr>
        <w:widowControl/>
        <w:ind w:firstLine="720"/>
      </w:pPr>
      <w:r>
        <w:t>The FAA states that</w:t>
      </w:r>
      <w:r w:rsidR="00722577">
        <w:t xml:space="preserve">, in accordance with the law, including 44 U.S.C. § 3510, </w:t>
      </w:r>
      <w:r>
        <w:t>it protect</w:t>
      </w:r>
      <w:r w:rsidR="00722577">
        <w:t>s</w:t>
      </w:r>
      <w:r>
        <w:t xml:space="preserve"> the confidentiality of </w:t>
      </w:r>
      <w:r w:rsidR="00722577">
        <w:t xml:space="preserve">business </w:t>
      </w:r>
      <w:r>
        <w:t xml:space="preserve">information </w:t>
      </w:r>
      <w:r w:rsidR="00722577">
        <w:t>provided to it</w:t>
      </w:r>
      <w:r>
        <w:t>.</w:t>
      </w:r>
      <w:r>
        <w:rPr>
          <w:rStyle w:val="FootnoteReference"/>
        </w:rPr>
        <w:footnoteReference w:id="8"/>
      </w:r>
      <w:r>
        <w:t xml:space="preserve">  The FAA further states that it </w:t>
      </w:r>
      <w:r w:rsidR="00391F12">
        <w:t xml:space="preserve">is its policy </w:t>
      </w:r>
      <w:r>
        <w:t xml:space="preserve">not </w:t>
      </w:r>
      <w:r w:rsidR="00391F12">
        <w:t xml:space="preserve">to </w:t>
      </w:r>
      <w:r>
        <w:t xml:space="preserve">disclose </w:t>
      </w:r>
      <w:r w:rsidR="009E5663">
        <w:t>confidential commercial</w:t>
      </w:r>
      <w:r>
        <w:t xml:space="preserve"> information unless it is required by law or necessary to further a regulatory purpose.</w:t>
      </w:r>
      <w:r>
        <w:rPr>
          <w:rStyle w:val="FootnoteReference"/>
        </w:rPr>
        <w:footnoteReference w:id="9"/>
      </w:r>
      <w:r>
        <w:t xml:space="preserve"> </w:t>
      </w:r>
    </w:p>
    <w:p w:rsidR="0085446E" w:rsidP="0085446E" w14:paraId="41F0D4A5" w14:textId="77777777"/>
    <w:p w:rsidR="0085446E" w:rsidRPr="00FA46B6" w:rsidP="00D85A78" w14:paraId="4F1A9E00" w14:textId="1519606F">
      <w:pPr>
        <w:pStyle w:val="Default"/>
      </w:pPr>
      <w:r>
        <w:tab/>
      </w:r>
      <w:r w:rsidRPr="00FA46B6">
        <w:rPr>
          <w:sz w:val="22"/>
          <w:szCs w:val="22"/>
        </w:rPr>
        <w:t xml:space="preserve">The FAA states that </w:t>
      </w:r>
      <w:r w:rsidR="00D85A78">
        <w:rPr>
          <w:sz w:val="22"/>
          <w:szCs w:val="22"/>
        </w:rPr>
        <w:t>in the event of</w:t>
      </w:r>
      <w:r w:rsidRPr="00FA46B6" w:rsidR="00D85A78">
        <w:rPr>
          <w:sz w:val="22"/>
          <w:szCs w:val="22"/>
        </w:rPr>
        <w:t xml:space="preserve"> </w:t>
      </w:r>
      <w:r w:rsidRPr="00FA46B6">
        <w:rPr>
          <w:sz w:val="22"/>
          <w:szCs w:val="22"/>
        </w:rPr>
        <w:t>a request</w:t>
      </w:r>
      <w:r w:rsidRPr="00FA46B6" w:rsidR="00391F12">
        <w:rPr>
          <w:sz w:val="22"/>
          <w:szCs w:val="22"/>
        </w:rPr>
        <w:t xml:space="preserve"> by a third party</w:t>
      </w:r>
      <w:r w:rsidRPr="00FA46B6">
        <w:rPr>
          <w:sz w:val="22"/>
          <w:szCs w:val="22"/>
        </w:rPr>
        <w:t xml:space="preserve"> for the disclosure of information</w:t>
      </w:r>
      <w:r w:rsidRPr="00FA46B6" w:rsidR="00895315">
        <w:rPr>
          <w:sz w:val="22"/>
          <w:szCs w:val="22"/>
        </w:rPr>
        <w:t xml:space="preserve"> that FAA has directly received from the FCC</w:t>
      </w:r>
      <w:r w:rsidRPr="00FA46B6">
        <w:rPr>
          <w:sz w:val="22"/>
          <w:szCs w:val="22"/>
        </w:rPr>
        <w:t xml:space="preserve">, </w:t>
      </w:r>
      <w:r w:rsidRPr="00FA46B6" w:rsidR="00FA46B6">
        <w:rPr>
          <w:sz w:val="22"/>
          <w:szCs w:val="22"/>
        </w:rPr>
        <w:t>FAA will act in accordance with the D</w:t>
      </w:r>
      <w:r w:rsidR="001F134B">
        <w:rPr>
          <w:sz w:val="22"/>
          <w:szCs w:val="22"/>
        </w:rPr>
        <w:t xml:space="preserve">epartment of </w:t>
      </w:r>
      <w:r w:rsidRPr="00FA46B6" w:rsidR="00FA46B6">
        <w:rPr>
          <w:sz w:val="22"/>
          <w:szCs w:val="22"/>
        </w:rPr>
        <w:t>T</w:t>
      </w:r>
      <w:r w:rsidR="001F134B">
        <w:rPr>
          <w:sz w:val="22"/>
          <w:szCs w:val="22"/>
        </w:rPr>
        <w:t>ransportation</w:t>
      </w:r>
      <w:r w:rsidRPr="00FA46B6" w:rsidR="00FA46B6">
        <w:rPr>
          <w:sz w:val="22"/>
          <w:szCs w:val="22"/>
        </w:rPr>
        <w:t>’s Freedom of Information Act (FOIA</w:t>
      </w:r>
      <w:r w:rsidR="00FA46B6">
        <w:rPr>
          <w:sz w:val="22"/>
          <w:szCs w:val="22"/>
        </w:rPr>
        <w:t>)</w:t>
      </w:r>
      <w:r w:rsidRPr="00FA46B6" w:rsidR="00FA46B6">
        <w:rPr>
          <w:sz w:val="22"/>
          <w:szCs w:val="22"/>
        </w:rPr>
        <w:t xml:space="preserve"> regulations and will consult with, or refer the matter to, the FCC as appropriate</w:t>
      </w:r>
      <w:r w:rsidR="00FA46B6">
        <w:rPr>
          <w:sz w:val="22"/>
          <w:szCs w:val="22"/>
        </w:rPr>
        <w:t>.</w:t>
      </w:r>
      <w:r>
        <w:rPr>
          <w:rStyle w:val="FootnoteReference"/>
          <w:szCs w:val="22"/>
        </w:rPr>
        <w:footnoteReference w:id="10"/>
      </w:r>
      <w:r w:rsidRPr="00FA46B6" w:rsidR="00FA46B6">
        <w:rPr>
          <w:sz w:val="22"/>
          <w:szCs w:val="22"/>
        </w:rPr>
        <w:t xml:space="preserve"> </w:t>
      </w:r>
      <w:r w:rsidR="00FA46B6">
        <w:rPr>
          <w:sz w:val="22"/>
          <w:szCs w:val="22"/>
        </w:rPr>
        <w:t xml:space="preserve"> </w:t>
      </w:r>
      <w:r w:rsidR="001F134B">
        <w:rPr>
          <w:sz w:val="22"/>
          <w:szCs w:val="22"/>
        </w:rPr>
        <w:t>The FAA states that, f</w:t>
      </w:r>
      <w:r w:rsidRPr="00FA46B6" w:rsidR="00FA46B6">
        <w:rPr>
          <w:sz w:val="22"/>
          <w:szCs w:val="22"/>
        </w:rPr>
        <w:t>ollowing consultation and absent referral, in response to a request from a third party for disclosure of confidential commercial information under the FOIA, the FAA will act in accordance with its stated policy and where applicable, will notify the submitter and ask them to submit any written objections to release.</w:t>
      </w:r>
      <w:r>
        <w:rPr>
          <w:rStyle w:val="FootnoteReference"/>
          <w:szCs w:val="22"/>
        </w:rPr>
        <w:footnoteReference w:id="11"/>
      </w:r>
      <w:r w:rsidR="00FA46B6">
        <w:rPr>
          <w:sz w:val="22"/>
          <w:szCs w:val="22"/>
        </w:rPr>
        <w:t xml:space="preserve"> </w:t>
      </w:r>
      <w:r w:rsidR="00FA46B6">
        <w:rPr>
          <w:sz w:val="23"/>
          <w:szCs w:val="23"/>
        </w:rPr>
        <w:t xml:space="preserve"> </w:t>
      </w:r>
      <w:r w:rsidRPr="00D85A78" w:rsidR="00FA46B6">
        <w:rPr>
          <w:sz w:val="22"/>
          <w:szCs w:val="22"/>
        </w:rPr>
        <w:t>The FAA further states that in response to the FOIA request, it will assert all applicable exemptions from disclosure,</w:t>
      </w:r>
      <w:r w:rsidR="00D85A78">
        <w:t xml:space="preserve"> </w:t>
      </w:r>
      <w:r w:rsidRPr="00D85A78" w:rsidR="00D85A78">
        <w:rPr>
          <w:sz w:val="22"/>
          <w:szCs w:val="22"/>
        </w:rPr>
        <w:t>including those exemptions set forth in 5 U.S.C.§§ 552(b)(4), (b)(7)(A).</w:t>
      </w:r>
      <w:r w:rsidR="00FA46B6">
        <w:rPr>
          <w:sz w:val="23"/>
          <w:szCs w:val="23"/>
        </w:rPr>
        <w:t xml:space="preserve"> </w:t>
      </w:r>
      <w:r w:rsidR="00D85A78">
        <w:rPr>
          <w:sz w:val="23"/>
          <w:szCs w:val="23"/>
        </w:rPr>
        <w:t xml:space="preserve"> </w:t>
      </w:r>
      <w:r w:rsidRPr="00FA46B6" w:rsidR="00391F12">
        <w:rPr>
          <w:sz w:val="22"/>
          <w:szCs w:val="22"/>
        </w:rPr>
        <w:t>In addition, the FAA states it is</w:t>
      </w:r>
      <w:r w:rsidRPr="00FA46B6" w:rsidR="003F0352">
        <w:rPr>
          <w:sz w:val="22"/>
          <w:szCs w:val="22"/>
        </w:rPr>
        <w:t xml:space="preserve"> </w:t>
      </w:r>
      <w:r w:rsidRPr="00FA46B6" w:rsidR="000629B5">
        <w:rPr>
          <w:sz w:val="22"/>
          <w:szCs w:val="22"/>
        </w:rPr>
        <w:t xml:space="preserve">its </w:t>
      </w:r>
      <w:r w:rsidRPr="00FA46B6" w:rsidR="003F0352">
        <w:rPr>
          <w:sz w:val="22"/>
          <w:szCs w:val="22"/>
        </w:rPr>
        <w:t xml:space="preserve">policy </w:t>
      </w:r>
      <w:r w:rsidRPr="00FA46B6">
        <w:rPr>
          <w:sz w:val="22"/>
          <w:szCs w:val="22"/>
        </w:rPr>
        <w:t xml:space="preserve">to use its best efforts to provide concerned parties with </w:t>
      </w:r>
      <w:r w:rsidRPr="00FA46B6" w:rsidR="00391F12">
        <w:rPr>
          <w:sz w:val="22"/>
          <w:szCs w:val="22"/>
        </w:rPr>
        <w:t xml:space="preserve">such </w:t>
      </w:r>
      <w:r w:rsidRPr="00FA46B6">
        <w:rPr>
          <w:sz w:val="22"/>
          <w:szCs w:val="22"/>
        </w:rPr>
        <w:t xml:space="preserve">notice </w:t>
      </w:r>
      <w:r w:rsidRPr="00FA46B6" w:rsidR="00391F12">
        <w:rPr>
          <w:sz w:val="22"/>
          <w:szCs w:val="22"/>
        </w:rPr>
        <w:t xml:space="preserve">as is practicable </w:t>
      </w:r>
      <w:r w:rsidRPr="00FA46B6">
        <w:rPr>
          <w:sz w:val="22"/>
          <w:szCs w:val="22"/>
        </w:rPr>
        <w:t xml:space="preserve">prior to the release of any </w:t>
      </w:r>
      <w:r w:rsidRPr="00FA46B6" w:rsidR="00391F12">
        <w:rPr>
          <w:sz w:val="22"/>
          <w:szCs w:val="22"/>
        </w:rPr>
        <w:t xml:space="preserve">confidential commercial </w:t>
      </w:r>
      <w:r w:rsidRPr="00FA46B6">
        <w:rPr>
          <w:sz w:val="22"/>
          <w:szCs w:val="22"/>
        </w:rPr>
        <w:t>information</w:t>
      </w:r>
      <w:r w:rsidRPr="00FA46B6" w:rsidR="00391F12">
        <w:rPr>
          <w:sz w:val="22"/>
          <w:szCs w:val="22"/>
        </w:rPr>
        <w:t xml:space="preserve"> to a third party who requests it under any provision of law other than the </w:t>
      </w:r>
      <w:r w:rsidR="001F134B">
        <w:rPr>
          <w:sz w:val="22"/>
          <w:szCs w:val="22"/>
        </w:rPr>
        <w:t>FOIA</w:t>
      </w:r>
      <w:r w:rsidRPr="00FA46B6">
        <w:rPr>
          <w:sz w:val="22"/>
          <w:szCs w:val="22"/>
        </w:rPr>
        <w:t xml:space="preserve">.  It also states that if confidential </w:t>
      </w:r>
      <w:r w:rsidRPr="00FA46B6" w:rsidR="003F0352">
        <w:rPr>
          <w:sz w:val="22"/>
          <w:szCs w:val="22"/>
        </w:rPr>
        <w:t xml:space="preserve">commercial </w:t>
      </w:r>
      <w:r w:rsidRPr="00FA46B6">
        <w:rPr>
          <w:sz w:val="22"/>
          <w:szCs w:val="22"/>
        </w:rPr>
        <w:t xml:space="preserve">information becomes the subject of discovery in any litigation to which the </w:t>
      </w:r>
      <w:r w:rsidRPr="00FA46B6" w:rsidR="009F7538">
        <w:rPr>
          <w:sz w:val="22"/>
          <w:szCs w:val="22"/>
        </w:rPr>
        <w:t xml:space="preserve">FAA </w:t>
      </w:r>
      <w:r w:rsidRPr="00FA46B6" w:rsidR="00810E38">
        <w:rPr>
          <w:sz w:val="22"/>
          <w:szCs w:val="22"/>
        </w:rPr>
        <w:t xml:space="preserve">is </w:t>
      </w:r>
      <w:r w:rsidRPr="00FA46B6">
        <w:rPr>
          <w:sz w:val="22"/>
          <w:szCs w:val="22"/>
        </w:rPr>
        <w:t xml:space="preserve">a party, it is the </w:t>
      </w:r>
      <w:r w:rsidRPr="00FA46B6" w:rsidR="009F7538">
        <w:rPr>
          <w:sz w:val="22"/>
          <w:szCs w:val="22"/>
        </w:rPr>
        <w:t xml:space="preserve">FAA’s </w:t>
      </w:r>
      <w:r w:rsidRPr="00FA46B6">
        <w:rPr>
          <w:sz w:val="22"/>
          <w:szCs w:val="22"/>
        </w:rPr>
        <w:t xml:space="preserve">policy to use its best efforts to assure that a protective order </w:t>
      </w:r>
      <w:r w:rsidRPr="00FA46B6" w:rsidR="009E5663">
        <w:rPr>
          <w:sz w:val="22"/>
          <w:szCs w:val="22"/>
        </w:rPr>
        <w:t xml:space="preserve">applicable to the information </w:t>
      </w:r>
      <w:r w:rsidRPr="00FA46B6">
        <w:rPr>
          <w:sz w:val="22"/>
          <w:szCs w:val="22"/>
        </w:rPr>
        <w:t>is entered</w:t>
      </w:r>
      <w:r w:rsidRPr="00FA46B6" w:rsidR="009E5663">
        <w:rPr>
          <w:sz w:val="22"/>
          <w:szCs w:val="22"/>
        </w:rPr>
        <w:t xml:space="preserve"> in the litigation</w:t>
      </w:r>
      <w:r w:rsidRPr="00FA46B6">
        <w:rPr>
          <w:sz w:val="22"/>
          <w:szCs w:val="22"/>
        </w:rPr>
        <w:t>, and to not voluntarily provide the information until concerned parties have had a</w:t>
      </w:r>
      <w:r w:rsidRPr="00FA46B6" w:rsidR="0089569A">
        <w:rPr>
          <w:sz w:val="22"/>
          <w:szCs w:val="22"/>
        </w:rPr>
        <w:t xml:space="preserve"> reasonable</w:t>
      </w:r>
      <w:r w:rsidRPr="00FA46B6">
        <w:rPr>
          <w:sz w:val="22"/>
          <w:szCs w:val="22"/>
        </w:rPr>
        <w:t xml:space="preserve"> opportunity to review and comment on the protective order and to apply to the court for </w:t>
      </w:r>
      <w:r w:rsidRPr="00FA46B6" w:rsidR="0089569A">
        <w:rPr>
          <w:sz w:val="22"/>
          <w:szCs w:val="22"/>
        </w:rPr>
        <w:t xml:space="preserve">all available legal </w:t>
      </w:r>
      <w:r w:rsidRPr="00FA46B6">
        <w:rPr>
          <w:sz w:val="22"/>
          <w:szCs w:val="22"/>
        </w:rPr>
        <w:t>protection</w:t>
      </w:r>
      <w:r w:rsidRPr="00FA46B6" w:rsidR="0089569A">
        <w:rPr>
          <w:sz w:val="22"/>
          <w:szCs w:val="22"/>
        </w:rPr>
        <w:t>s</w:t>
      </w:r>
      <w:r w:rsidRPr="00FA46B6">
        <w:rPr>
          <w:sz w:val="22"/>
          <w:szCs w:val="22"/>
        </w:rPr>
        <w:t>.</w:t>
      </w:r>
    </w:p>
    <w:p w:rsidR="009F7538" w:rsidP="00D13AA8" w14:paraId="52C219DA" w14:textId="77777777">
      <w:pPr>
        <w:ind w:firstLine="720"/>
      </w:pPr>
    </w:p>
    <w:p w:rsidR="00D13AA8" w:rsidRPr="00F830D3" w:rsidP="00462915" w14:paraId="2887A5BA" w14:textId="7B31A303">
      <w:pPr>
        <w:widowControl/>
        <w:ind w:firstLine="720"/>
        <w:rPr>
          <w:snapToGrid/>
          <w:kern w:val="0"/>
          <w:sz w:val="24"/>
          <w:szCs w:val="24"/>
        </w:rPr>
      </w:pPr>
      <w:r>
        <w:t>Any e</w:t>
      </w:r>
      <w:r>
        <w:t>ntit</w:t>
      </w:r>
      <w:r>
        <w:t>y</w:t>
      </w:r>
      <w:r>
        <w:t xml:space="preserve"> that </w:t>
      </w:r>
      <w:r w:rsidR="009F7538">
        <w:t xml:space="preserve">submitted materials relating to the technical rules for use of the </w:t>
      </w:r>
      <w:r w:rsidRPr="008448A2" w:rsidR="009F7538">
        <w:t xml:space="preserve">3.7-4.2 GHz </w:t>
      </w:r>
      <w:r w:rsidR="009F7538">
        <w:t xml:space="preserve">band in this docket </w:t>
      </w:r>
      <w:r>
        <w:t>with a request for confidential treatment</w:t>
      </w:r>
      <w:r>
        <w:t xml:space="preserve"> </w:t>
      </w:r>
      <w:r w:rsidR="009F7538">
        <w:t xml:space="preserve">has </w:t>
      </w:r>
      <w:r w:rsidR="00212B02">
        <w:t>ten (</w:t>
      </w:r>
      <w:r w:rsidRPr="003E78CB">
        <w:t>10</w:t>
      </w:r>
      <w:r w:rsidR="00212B02">
        <w:t>)</w:t>
      </w:r>
      <w:r w:rsidRPr="003E78CB">
        <w:t xml:space="preserve"> days from the date of this </w:t>
      </w:r>
      <w:r>
        <w:t xml:space="preserve">public </w:t>
      </w:r>
      <w:r w:rsidRPr="003E78CB">
        <w:t>notice to oppose disclosure</w:t>
      </w:r>
      <w:r>
        <w:t xml:space="preserve"> to the </w:t>
      </w:r>
      <w:r w:rsidR="009F7538">
        <w:t>FAA</w:t>
      </w:r>
      <w:r w:rsidRPr="003E78CB">
        <w:t>.</w:t>
      </w:r>
      <w:r>
        <w:rPr>
          <w:rStyle w:val="FootnoteReference"/>
        </w:rPr>
        <w:footnoteReference w:id="12"/>
      </w:r>
      <w:r w:rsidR="009C4AF3">
        <w:t xml:space="preserve">  </w:t>
      </w:r>
      <w:r w:rsidRPr="003E78CB" w:rsidR="009C4AF3">
        <w:t>If disclosure is opposed</w:t>
      </w:r>
      <w:r w:rsidR="009C4AF3">
        <w:t xml:space="preserve"> and the Commission decides to make the </w:t>
      </w:r>
      <w:r w:rsidR="009F7538">
        <w:t xml:space="preserve">information </w:t>
      </w:r>
      <w:r w:rsidR="009C4AF3">
        <w:t>available</w:t>
      </w:r>
      <w:r w:rsidR="009F7538">
        <w:t xml:space="preserve"> to the FAA</w:t>
      </w:r>
      <w:r w:rsidRPr="003E78CB" w:rsidR="009C4AF3">
        <w:t xml:space="preserve">, the procedures in </w:t>
      </w:r>
      <w:r w:rsidR="009C4AF3">
        <w:t xml:space="preserve">section </w:t>
      </w:r>
      <w:r w:rsidRPr="003E78CB" w:rsidR="009C4AF3">
        <w:t>0.442</w:t>
      </w:r>
      <w:r w:rsidR="009C4AF3">
        <w:t>(d)(4)</w:t>
      </w:r>
      <w:r w:rsidRPr="003E78CB" w:rsidR="009C4AF3">
        <w:t xml:space="preserve"> will apply.</w:t>
      </w:r>
      <w:r>
        <w:rPr>
          <w:rStyle w:val="FootnoteReference"/>
        </w:rPr>
        <w:footnoteReference w:id="13"/>
      </w:r>
      <w:r w:rsidRPr="003E78CB">
        <w:t xml:space="preserve"> </w:t>
      </w:r>
      <w:r w:rsidR="009C4AF3">
        <w:t xml:space="preserve"> </w:t>
      </w:r>
      <w:r w:rsidRPr="003E78CB">
        <w:t>If</w:t>
      </w:r>
      <w:r>
        <w:t xml:space="preserve"> we </w:t>
      </w:r>
      <w:r w:rsidRPr="003E78CB">
        <w:t xml:space="preserve">receive no opposition, the </w:t>
      </w:r>
      <w:r w:rsidR="009F7538">
        <w:t xml:space="preserve">Commission will </w:t>
      </w:r>
      <w:r w:rsidRPr="003E78CB">
        <w:t xml:space="preserve">disclose </w:t>
      </w:r>
      <w:r w:rsidR="009F7538">
        <w:t xml:space="preserve">the </w:t>
      </w:r>
      <w:r w:rsidRPr="003E78CB">
        <w:t>information</w:t>
      </w:r>
      <w:r>
        <w:t xml:space="preserve"> to the </w:t>
      </w:r>
      <w:r w:rsidR="009F7538">
        <w:t xml:space="preserve">FAA </w:t>
      </w:r>
      <w:r w:rsidR="00D80FD5">
        <w:t xml:space="preserve">subject to </w:t>
      </w:r>
      <w:r w:rsidR="00503D96">
        <w:t xml:space="preserve">the requirements of 44 U.S.C. </w:t>
      </w:r>
      <w:r w:rsidR="0067487A">
        <w:t xml:space="preserve">§ </w:t>
      </w:r>
      <w:r w:rsidR="00503D96">
        <w:t>3510</w:t>
      </w:r>
      <w:r w:rsidR="009F7538">
        <w:t xml:space="preserve"> and </w:t>
      </w:r>
      <w:r w:rsidR="00503D96">
        <w:t>the confidentiality protections contained in the Commission’s regulations</w:t>
      </w:r>
      <w:r w:rsidR="00A42664">
        <w:rPr>
          <w:szCs w:val="22"/>
        </w:rPr>
        <w:t>.</w:t>
      </w:r>
      <w:r w:rsidR="0044485C">
        <w:t xml:space="preserve">  </w:t>
      </w:r>
      <w:r w:rsidR="00F830D3">
        <w:rPr>
          <w:szCs w:val="22"/>
        </w:rPr>
        <w:t xml:space="preserve">For avoidance of doubt, </w:t>
      </w:r>
      <w:r w:rsidR="00640AC9">
        <w:rPr>
          <w:szCs w:val="22"/>
        </w:rPr>
        <w:t xml:space="preserve">the </w:t>
      </w:r>
      <w:r w:rsidR="00F830D3">
        <w:rPr>
          <w:szCs w:val="22"/>
        </w:rPr>
        <w:t xml:space="preserve">FAA may not disclose the </w:t>
      </w:r>
      <w:r w:rsidR="00F830D3">
        <w:t>information to anyone other than the FCC, the owners of the information, and those who properly have access to the information through the protective order adopted in these dockets.</w:t>
      </w:r>
      <w:r>
        <w:rPr>
          <w:rStyle w:val="FootnoteReference"/>
        </w:rPr>
        <w:footnoteReference w:id="14"/>
      </w:r>
      <w:r w:rsidR="00F830D3">
        <w:rPr>
          <w:kern w:val="0"/>
          <w:sz w:val="24"/>
          <w:szCs w:val="24"/>
        </w:rPr>
        <w:t xml:space="preserve"> </w:t>
      </w:r>
    </w:p>
    <w:p w:rsidR="009F7538" w:rsidP="00D13AA8" w14:paraId="6F1543DD" w14:textId="1DD95B1D">
      <w:pPr>
        <w:ind w:firstLine="720"/>
      </w:pPr>
    </w:p>
    <w:p w:rsidR="009F7538" w:rsidP="00D13AA8" w14:paraId="36893BAE" w14:textId="3DC4E46C">
      <w:pPr>
        <w:ind w:firstLine="720"/>
      </w:pPr>
      <w:r>
        <w:t xml:space="preserve">Materials relating to the technical rules for the use of the </w:t>
      </w:r>
      <w:r w:rsidRPr="008448A2">
        <w:t xml:space="preserve">3.7-4.2 GHz </w:t>
      </w:r>
      <w:r>
        <w:t xml:space="preserve">band in this docket with a request for confidential treatment submitted after the date of this Public Notice will be provided to the FAA unless a specific request is made to not share the materials.  </w:t>
      </w:r>
    </w:p>
    <w:p w:rsidR="00D13AA8" w:rsidP="00D13AA8" w14:paraId="76ED97D3" w14:textId="77777777">
      <w:pPr>
        <w:ind w:firstLine="720"/>
      </w:pPr>
    </w:p>
    <w:p w:rsidR="00D13AA8" w:rsidP="009F7538" w14:paraId="0A5F4996" w14:textId="05D8D599">
      <w:pPr>
        <w:ind w:firstLine="720"/>
      </w:pPr>
      <w:r>
        <w:t xml:space="preserve">Pursuant to sections 1.415 and 1.419 of the Commission’s rules, </w:t>
      </w:r>
      <w:r w:rsidR="009F7538">
        <w:t xml:space="preserve">objections to the planned disclosure must be filed in GN Docket 18-122 </w:t>
      </w:r>
      <w:r w:rsidRPr="00D607D6">
        <w:t xml:space="preserve">on or before </w:t>
      </w:r>
      <w:r w:rsidRPr="0069761B" w:rsidR="0067487A">
        <w:rPr>
          <w:b/>
          <w:bCs/>
        </w:rPr>
        <w:t>January 3</w:t>
      </w:r>
      <w:r w:rsidRPr="0069761B" w:rsidR="00885215">
        <w:rPr>
          <w:b/>
          <w:bCs/>
        </w:rPr>
        <w:t>, 202</w:t>
      </w:r>
      <w:r w:rsidRPr="0069761B" w:rsidR="0067487A">
        <w:rPr>
          <w:b/>
          <w:bCs/>
        </w:rPr>
        <w:t>2</w:t>
      </w:r>
      <w:r>
        <w:t>.</w:t>
      </w:r>
      <w:r>
        <w:rPr>
          <w:rStyle w:val="FootnoteReference"/>
        </w:rPr>
        <w:footnoteReference w:id="15"/>
      </w:r>
      <w:r>
        <w:t xml:space="preserve">  </w:t>
      </w:r>
      <w:r w:rsidR="00C313CE">
        <w:t>Objections and other c</w:t>
      </w:r>
      <w:r>
        <w:t xml:space="preserve">omments may be filed using the Commission’s Electronic Comment Filing System (ECFS).  </w:t>
      </w:r>
      <w:r w:rsidRPr="00BC2CCF">
        <w:rPr>
          <w:i/>
          <w:iCs/>
        </w:rPr>
        <w:t>See Electronic Filing of Documents in Rulemaking Proceedings</w:t>
      </w:r>
      <w:r w:rsidRPr="00BB7BDB">
        <w:t>, 63 FR 24121 (1998).</w:t>
      </w:r>
      <w:r>
        <w:t xml:space="preserve"> </w:t>
      </w:r>
    </w:p>
    <w:p w:rsidR="00D13AA8" w:rsidP="00D13AA8" w14:paraId="0496A51C" w14:textId="77777777">
      <w:pPr>
        <w:ind w:firstLine="720"/>
      </w:pPr>
    </w:p>
    <w:p w:rsidR="00D13AA8" w:rsidRPr="00D70A02" w:rsidP="00D13AA8" w14:paraId="2248DDB1" w14:textId="77777777">
      <w:pPr>
        <w:widowControl/>
        <w:numPr>
          <w:ilvl w:val="0"/>
          <w:numId w:val="7"/>
        </w:numPr>
        <w:rPr>
          <w:szCs w:val="22"/>
        </w:rPr>
      </w:pPr>
      <w:r w:rsidRPr="00ED553C">
        <w:rPr>
          <w:b/>
          <w:szCs w:val="22"/>
        </w:rPr>
        <w:t>Electronic Filers</w:t>
      </w:r>
      <w:r w:rsidRPr="00590F8E">
        <w:rPr>
          <w:szCs w:val="22"/>
        </w:rPr>
        <w:t>:</w:t>
      </w:r>
      <w:r w:rsidRPr="005D2A89">
        <w:rPr>
          <w:szCs w:val="22"/>
        </w:rPr>
        <w:t xml:space="preserve">  Comments may be filed electronically using the Internet by accessing the ECFS:  </w:t>
      </w:r>
      <w:hyperlink r:id="rId5" w:history="1">
        <w:r w:rsidRPr="005D2A89">
          <w:rPr>
            <w:color w:val="0000FF"/>
            <w:szCs w:val="22"/>
            <w:u w:val="single"/>
          </w:rPr>
          <w:t>http://apps.fcc.gov/ecfs/</w:t>
        </w:r>
      </w:hyperlink>
      <w:r>
        <w:rPr>
          <w:szCs w:val="22"/>
        </w:rPr>
        <w:t>.</w:t>
      </w:r>
    </w:p>
    <w:p w:rsidR="00D13AA8" w:rsidP="00D13AA8" w14:paraId="606DA3D1" w14:textId="77777777">
      <w:pPr>
        <w:widowControl/>
        <w:rPr>
          <w:color w:val="323130"/>
        </w:rPr>
      </w:pPr>
    </w:p>
    <w:p w:rsidR="00D13AA8" w:rsidP="00D13AA8" w14:paraId="693284EE" w14:textId="77777777">
      <w:pPr>
        <w:widowControl/>
        <w:numPr>
          <w:ilvl w:val="0"/>
          <w:numId w:val="8"/>
        </w:numPr>
        <w:rPr>
          <w:color w:val="000000"/>
          <w:szCs w:val="22"/>
        </w:rPr>
      </w:pPr>
      <w:r w:rsidRPr="00351885">
        <w:rPr>
          <w:b/>
          <w:color w:val="000000"/>
          <w:szCs w:val="22"/>
        </w:rPr>
        <w:t>Paper Filers:</w:t>
      </w:r>
      <w:r w:rsidRPr="00351885">
        <w:rPr>
          <w:color w:val="000000"/>
          <w:szCs w:val="22"/>
        </w:rPr>
        <w:t xml:space="preserve">  </w:t>
      </w:r>
      <w:r w:rsidRPr="00373AB8">
        <w:rPr>
          <w:color w:val="000000"/>
          <w:szCs w:val="22"/>
        </w:rPr>
        <w:t>Parties who choose to file by paper must file an original and one copy of each filing.</w:t>
      </w:r>
    </w:p>
    <w:p w:rsidR="00D13AA8" w:rsidP="00D13AA8" w14:paraId="52228FE7" w14:textId="77777777">
      <w:pPr>
        <w:widowControl/>
        <w:ind w:left="1440"/>
        <w:rPr>
          <w:color w:val="000000"/>
          <w:szCs w:val="22"/>
        </w:rPr>
      </w:pPr>
    </w:p>
    <w:p w:rsidR="00D13AA8" w:rsidRPr="00373AB8" w:rsidP="00D13AA8" w14:paraId="12F76AE9" w14:textId="77777777">
      <w:pPr>
        <w:widowControl/>
        <w:numPr>
          <w:ilvl w:val="1"/>
          <w:numId w:val="8"/>
        </w:numPr>
        <w:rPr>
          <w:color w:val="000000"/>
          <w:szCs w:val="22"/>
        </w:rPr>
      </w:pPr>
      <w:r w:rsidRPr="00373AB8">
        <w:rPr>
          <w:color w:val="000000"/>
          <w:szCs w:val="22"/>
        </w:rPr>
        <w:t>Filings can be sent by commercial overnight courier, or by first-class or overnight U.S. Postal Service mail. All filings must be addressed to the Commission’s Secretary, Office of the Secretary, Federal Communications Commission.</w:t>
      </w:r>
    </w:p>
    <w:p w:rsidR="00D13AA8" w:rsidP="00D13AA8" w14:paraId="38CD25E4" w14:textId="77777777">
      <w:pPr>
        <w:widowControl/>
        <w:numPr>
          <w:ilvl w:val="2"/>
          <w:numId w:val="8"/>
        </w:numPr>
        <w:rPr>
          <w:color w:val="000000"/>
          <w:szCs w:val="22"/>
        </w:rPr>
      </w:pPr>
      <w:r w:rsidRPr="00F95427">
        <w:rPr>
          <w:color w:val="000000"/>
          <w:szCs w:val="22"/>
        </w:rPr>
        <w:t>Commercial overnight mail (other than U.S. Postal Service Express Mail and Priority Mail) must be sent to 9050 Junction Drive, Annapolis Junction, MD 20701.</w:t>
      </w:r>
    </w:p>
    <w:p w:rsidR="00D13AA8" w:rsidP="00D13AA8" w14:paraId="31336CFA" w14:textId="77777777">
      <w:pPr>
        <w:widowControl/>
        <w:numPr>
          <w:ilvl w:val="2"/>
          <w:numId w:val="8"/>
        </w:numPr>
        <w:rPr>
          <w:color w:val="000000"/>
          <w:szCs w:val="22"/>
        </w:rPr>
      </w:pPr>
      <w:r w:rsidRPr="00F95427">
        <w:rPr>
          <w:color w:val="000000"/>
          <w:szCs w:val="22"/>
        </w:rPr>
        <w:t>U.S. Postal Service first-class, Express, and Priority mail must be addressed to 45 L Street NE</w:t>
      </w:r>
      <w:r>
        <w:rPr>
          <w:color w:val="000000"/>
          <w:szCs w:val="22"/>
        </w:rPr>
        <w:t xml:space="preserve">, </w:t>
      </w:r>
      <w:r w:rsidRPr="00F95427">
        <w:rPr>
          <w:color w:val="000000"/>
          <w:szCs w:val="22"/>
        </w:rPr>
        <w:t>Washington, DC 20554</w:t>
      </w:r>
      <w:r>
        <w:rPr>
          <w:color w:val="000000"/>
          <w:szCs w:val="22"/>
        </w:rPr>
        <w:t>.</w:t>
      </w:r>
    </w:p>
    <w:p w:rsidR="00D13AA8" w:rsidP="00D13AA8" w14:paraId="1CE881CC" w14:textId="77777777">
      <w:pPr>
        <w:widowControl/>
        <w:ind w:left="2160"/>
        <w:rPr>
          <w:color w:val="000000"/>
          <w:szCs w:val="22"/>
        </w:rPr>
      </w:pPr>
      <w:r w:rsidRPr="00BC2CCF">
        <w:rPr>
          <w:color w:val="000000"/>
          <w:szCs w:val="22"/>
        </w:rPr>
        <w:t xml:space="preserve"> </w:t>
      </w:r>
    </w:p>
    <w:p w:rsidR="00D13AA8" w:rsidRPr="00F95427" w:rsidP="00D13AA8" w14:paraId="1EC833D2" w14:textId="77777777">
      <w:pPr>
        <w:widowControl/>
        <w:numPr>
          <w:ilvl w:val="1"/>
          <w:numId w:val="8"/>
        </w:numPr>
        <w:rPr>
          <w:color w:val="000000"/>
          <w:szCs w:val="22"/>
        </w:rPr>
      </w:pPr>
      <w:r w:rsidRPr="00D70A02">
        <w:rPr>
          <w:color w:val="000000"/>
          <w:szCs w:val="22"/>
        </w:rPr>
        <w:t>Effective March 19, 2020, and until further notice, the Commission no longer accepts any hand or messenger delivered filings. This is a temporary measure taken to help protect the health and safety of individuals, and to mitigate the transmission of COVID-19.</w:t>
      </w:r>
      <w:r>
        <w:rPr>
          <w:szCs w:val="22"/>
        </w:rPr>
        <w:t xml:space="preserve">  </w:t>
      </w:r>
      <w:r w:rsidRPr="006A3F24">
        <w:rPr>
          <w:i/>
          <w:iCs/>
          <w:color w:val="000000"/>
          <w:szCs w:val="22"/>
        </w:rPr>
        <w:t>See FCC Announces Closure of FCC Headquarters Open Window and Change in Hand-Delivery Policy</w:t>
      </w:r>
      <w:r w:rsidRPr="00D70A02">
        <w:rPr>
          <w:color w:val="000000"/>
          <w:szCs w:val="22"/>
        </w:rPr>
        <w:t>, Public Notice, DA 20-304 (March 19, 2020)</w:t>
      </w:r>
      <w:r>
        <w:rPr>
          <w:color w:val="000000"/>
          <w:szCs w:val="22"/>
        </w:rPr>
        <w:t xml:space="preserve">; </w:t>
      </w:r>
      <w:hyperlink r:id="rId6" w:history="1">
        <w:r w:rsidRPr="00C9704F">
          <w:rPr>
            <w:rStyle w:val="Hyperlink"/>
            <w:szCs w:val="22"/>
          </w:rPr>
          <w:t>https://www.fcc.gov/document/fcc-closes-headquarters-open-window-and-changes-hand-delivery-policy</w:t>
        </w:r>
      </w:hyperlink>
      <w:r w:rsidRPr="00BC2CCF">
        <w:rPr>
          <w:color w:val="000000"/>
          <w:szCs w:val="22"/>
        </w:rPr>
        <w:t>.</w:t>
      </w:r>
    </w:p>
    <w:p w:rsidR="00D13AA8" w:rsidP="00D13AA8" w14:paraId="0178C86C" w14:textId="77777777">
      <w:pPr>
        <w:ind w:firstLine="720"/>
        <w:rPr>
          <w:b/>
        </w:rPr>
      </w:pPr>
    </w:p>
    <w:p w:rsidR="00D13AA8" w:rsidP="00D13AA8" w14:paraId="11AD9581" w14:textId="77777777">
      <w:pPr>
        <w:ind w:firstLine="720"/>
      </w:pPr>
      <w:r w:rsidRPr="00351885">
        <w:rPr>
          <w:b/>
        </w:rPr>
        <w:t>People with Disabilities:</w:t>
      </w:r>
      <w:r w:rsidRPr="00351885">
        <w:t xml:space="preserve">  To request materials in accessible formats for people with disabilities (braille, large print, electronic files, audio format), send an e-mail to fcc504@fcc.gov or call the Consumer &amp; Governmental Affairs Bureau at 202-418-0530 (voice), 202-418-0432 (</w:t>
      </w:r>
      <w:r w:rsidRPr="00351885">
        <w:t>tty</w:t>
      </w:r>
      <w:r w:rsidRPr="00351885">
        <w:t>).</w:t>
      </w:r>
    </w:p>
    <w:p w:rsidR="00D13AA8" w:rsidP="00D13AA8" w14:paraId="4B4D272B" w14:textId="77777777">
      <w:pPr>
        <w:ind w:firstLine="720"/>
      </w:pPr>
    </w:p>
    <w:p w:rsidR="00D13AA8" w:rsidP="00D13AA8" w14:paraId="69E46F87" w14:textId="40613098">
      <w:pPr>
        <w:ind w:firstLine="720"/>
      </w:pPr>
      <w:r>
        <w:t xml:space="preserve">Parties should also send a courtesy copy of their filing to </w:t>
      </w:r>
      <w:r w:rsidR="007F5427">
        <w:t>Nellie Foosaner</w:t>
      </w:r>
      <w:r w:rsidR="000F5D67">
        <w:t xml:space="preserve">, </w:t>
      </w:r>
      <w:r w:rsidR="00C313CE">
        <w:t xml:space="preserve">Wireless </w:t>
      </w:r>
      <w:r w:rsidR="006528D7">
        <w:t xml:space="preserve">Telecommunications </w:t>
      </w:r>
      <w:r>
        <w:t>Bureau at</w:t>
      </w:r>
      <w:r w:rsidR="00C313CE">
        <w:t xml:space="preserve"> </w:t>
      </w:r>
      <w:r w:rsidR="007F5427">
        <w:t>nellie.foosaner</w:t>
      </w:r>
      <w:r w:rsidR="000F5D67">
        <w:t>@fcc.gov</w:t>
      </w:r>
      <w:r>
        <w:t>.</w:t>
      </w:r>
    </w:p>
    <w:p w:rsidR="00D13AA8" w:rsidP="00D13AA8" w14:paraId="7B977A89" w14:textId="77777777">
      <w:pPr>
        <w:ind w:firstLine="720"/>
      </w:pPr>
    </w:p>
    <w:p w:rsidR="007239BC" w:rsidP="00D13AA8" w14:paraId="609F45BD" w14:textId="581D6863">
      <w:pPr>
        <w:ind w:firstLine="720"/>
      </w:pPr>
      <w:r>
        <w:t>For further information, please contact </w:t>
      </w:r>
    </w:p>
    <w:p w:rsidR="005C3ADA" w:rsidP="00D13AA8" w14:paraId="3FF159ED" w14:textId="77777777">
      <w:pPr>
        <w:ind w:firstLine="720"/>
      </w:pPr>
    </w:p>
    <w:p w:rsidR="00D13AA8" w:rsidRPr="00930ECF" w:rsidP="00D13AA8" w14:paraId="5376E72D" w14:textId="77777777">
      <w:pPr>
        <w:jc w:val="center"/>
        <w:rPr>
          <w:sz w:val="24"/>
        </w:rPr>
      </w:pPr>
      <w:r>
        <w:rPr>
          <w:b/>
        </w:rPr>
        <w:t>- FCC -</w:t>
      </w:r>
    </w:p>
    <w:p w:rsidR="00D13AA8" w:rsidP="00D13AA8" w14:paraId="138F9B2B" w14:textId="77777777"/>
    <w:bookmarkEnd w:id="0"/>
    <w:p w:rsidR="00D13AA8" w14:paraId="3827717F" w14:textId="77777777"/>
    <w:sectPr>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D4B24" w14:paraId="0B63DA82" w14:textId="77777777">
    <w:pPr>
      <w:pStyle w:val="Footer"/>
      <w:framePr w:wrap="around" w:vAnchor="text" w:hAnchor="margin" w:xAlign="center" w:y="1"/>
    </w:pPr>
    <w:r>
      <w:fldChar w:fldCharType="begin"/>
    </w:r>
    <w:r>
      <w:instrText xml:space="preserve">PAGE  </w:instrText>
    </w:r>
    <w:r>
      <w:fldChar w:fldCharType="separate"/>
    </w:r>
    <w:r>
      <w:fldChar w:fldCharType="end"/>
    </w:r>
  </w:p>
  <w:p w:rsidR="003D4B24" w14:paraId="10C25FC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D4B24" w14:paraId="7ED66783"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D4B24" w14:paraId="25EBCEF7"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B70A9" w14:paraId="46A5C075" w14:textId="77777777">
      <w:r>
        <w:separator/>
      </w:r>
    </w:p>
  </w:footnote>
  <w:footnote w:type="continuationSeparator" w:id="1">
    <w:p w:rsidR="003B70A9" w14:paraId="0D2EEBAE" w14:textId="77777777">
      <w:pPr>
        <w:rPr>
          <w:sz w:val="20"/>
        </w:rPr>
      </w:pPr>
      <w:r>
        <w:rPr>
          <w:sz w:val="20"/>
        </w:rPr>
        <w:t xml:space="preserve">(Continued from previous page)  </w:t>
      </w:r>
      <w:r>
        <w:rPr>
          <w:sz w:val="20"/>
        </w:rPr>
        <w:separator/>
      </w:r>
    </w:p>
  </w:footnote>
  <w:footnote w:type="continuationNotice" w:id="2">
    <w:p w:rsidR="003B70A9" w14:paraId="0DBCCE2E" w14:textId="77777777">
      <w:pPr>
        <w:jc w:val="right"/>
        <w:rPr>
          <w:sz w:val="20"/>
        </w:rPr>
      </w:pPr>
      <w:r>
        <w:rPr>
          <w:sz w:val="20"/>
        </w:rPr>
        <w:t>(continued….)</w:t>
      </w:r>
    </w:p>
  </w:footnote>
  <w:footnote w:id="3">
    <w:p w:rsidR="006528D7" w14:paraId="07FCEC59" w14:textId="3FE6D34C">
      <w:pPr>
        <w:pStyle w:val="FootnoteText"/>
      </w:pPr>
      <w:r>
        <w:rPr>
          <w:rStyle w:val="FootnoteReference"/>
        </w:rPr>
        <w:footnoteRef/>
      </w:r>
      <w:r>
        <w:t xml:space="preserve"> </w:t>
      </w:r>
      <w:r w:rsidR="0011002E">
        <w:rPr>
          <w:i/>
          <w:iCs/>
        </w:rPr>
        <w:t xml:space="preserve">See </w:t>
      </w:r>
      <w:r w:rsidRPr="00915D7F" w:rsidR="0011002E">
        <w:rPr>
          <w:i/>
          <w:iCs/>
        </w:rPr>
        <w:t>Expanding Flexible Use of the 3.7 to 4.2 GHz Band</w:t>
      </w:r>
      <w:r w:rsidR="0011002E">
        <w:t xml:space="preserve">, GN Docket No. 18-122, </w:t>
      </w:r>
      <w:r w:rsidRPr="00915D7F" w:rsidR="0011002E">
        <w:rPr>
          <w:i/>
          <w:iCs/>
        </w:rPr>
        <w:t>Report and Order and Order of Proposed Modification</w:t>
      </w:r>
      <w:r w:rsidR="0011002E">
        <w:t xml:space="preserve">, 35 FCC </w:t>
      </w:r>
      <w:r w:rsidR="0011002E">
        <w:t>Rcd</w:t>
      </w:r>
      <w:r w:rsidR="0011002E">
        <w:t xml:space="preserve"> 2343, 2345, para. 4 (2020) (</w:t>
      </w:r>
      <w:r w:rsidRPr="00915D7F" w:rsidR="0011002E">
        <w:rPr>
          <w:i/>
          <w:iCs/>
        </w:rPr>
        <w:t>3.7 GHz Report and Order</w:t>
      </w:r>
      <w:r w:rsidR="0011002E">
        <w:t>).</w:t>
      </w:r>
    </w:p>
  </w:footnote>
  <w:footnote w:id="4">
    <w:p w:rsidR="006528D7" w14:paraId="53E9EDEE" w14:textId="67D85B55">
      <w:pPr>
        <w:pStyle w:val="FootnoteText"/>
      </w:pPr>
      <w:r>
        <w:rPr>
          <w:rStyle w:val="FootnoteReference"/>
        </w:rPr>
        <w:footnoteRef/>
      </w:r>
      <w:r>
        <w:t xml:space="preserve"> </w:t>
      </w:r>
      <w:r w:rsidR="00FD6DF8">
        <w:rPr>
          <w:i/>
          <w:iCs/>
        </w:rPr>
        <w:t xml:space="preserve">See </w:t>
      </w:r>
      <w:r w:rsidR="00FD6DF8">
        <w:t xml:space="preserve">47 CFR § 2.106; </w:t>
      </w:r>
      <w:r w:rsidR="00FD6DF8">
        <w:rPr>
          <w:i/>
          <w:iCs/>
        </w:rPr>
        <w:t>3.7 GHz Report and Order</w:t>
      </w:r>
      <w:r w:rsidR="00FD6DF8">
        <w:t xml:space="preserve">, 35 FCC </w:t>
      </w:r>
      <w:r w:rsidR="00FD6DF8">
        <w:t>Rcd</w:t>
      </w:r>
      <w:r w:rsidR="00FD6DF8">
        <w:t xml:space="preserve"> at 2484, para. </w:t>
      </w:r>
      <w:r w:rsidR="001A0855">
        <w:t>3</w:t>
      </w:r>
      <w:r w:rsidR="00FD6DF8">
        <w:t>90.</w:t>
      </w:r>
    </w:p>
  </w:footnote>
  <w:footnote w:id="5">
    <w:p w:rsidR="006528D7" w:rsidRPr="00EC0D93" w14:paraId="7D3B6B8A" w14:textId="7F1A5B3E">
      <w:pPr>
        <w:pStyle w:val="FootnoteText"/>
      </w:pPr>
      <w:r>
        <w:rPr>
          <w:rStyle w:val="FootnoteReference"/>
        </w:rPr>
        <w:footnoteRef/>
      </w:r>
      <w:r>
        <w:t xml:space="preserve"> </w:t>
      </w:r>
      <w:r w:rsidR="00EC0D93">
        <w:rPr>
          <w:i/>
          <w:iCs/>
        </w:rPr>
        <w:t xml:space="preserve">See </w:t>
      </w:r>
      <w:r w:rsidR="00EC0D93">
        <w:t xml:space="preserve">Aerospace Industries Association, et al. Petition for Partial Reconsideration, GN Docket No. 18-122 (filed May 26, 2020), </w:t>
      </w:r>
      <w:r w:rsidRPr="00EC0D93" w:rsidR="00EC0D93">
        <w:t>https://ecfsapi.fcc.gov/file/10527379225572/C-BAND%20Petition%20for%20Recon.pdf</w:t>
      </w:r>
      <w:r w:rsidR="00EC0D93">
        <w:t>.</w:t>
      </w:r>
    </w:p>
  </w:footnote>
  <w:footnote w:id="6">
    <w:p w:rsidR="00D13AA8" w:rsidP="00D13AA8" w14:paraId="7B82036E" w14:textId="77777777">
      <w:pPr>
        <w:pStyle w:val="FootnoteText"/>
      </w:pPr>
      <w:r>
        <w:rPr>
          <w:rStyle w:val="FootnoteReference"/>
        </w:rPr>
        <w:footnoteRef/>
      </w:r>
      <w:r>
        <w:t xml:space="preserve"> 47 CFR § 0.442(d).</w:t>
      </w:r>
    </w:p>
  </w:footnote>
  <w:footnote w:id="7">
    <w:p w:rsidR="00D13AA8" w:rsidP="00D13AA8" w14:paraId="45CA97F5" w14:textId="77777777">
      <w:pPr>
        <w:pStyle w:val="FootnoteText"/>
      </w:pPr>
      <w:r>
        <w:rPr>
          <w:rStyle w:val="FootnoteReference"/>
        </w:rPr>
        <w:footnoteRef/>
      </w:r>
      <w:r>
        <w:t xml:space="preserve"> </w:t>
      </w:r>
      <w:r w:rsidRPr="00E33982">
        <w:t>44 U.S.C. § 3510</w:t>
      </w:r>
      <w:r>
        <w:t xml:space="preserve">(b)(1). </w:t>
      </w:r>
    </w:p>
  </w:footnote>
  <w:footnote w:id="8">
    <w:p w:rsidR="0085446E" w:rsidP="0085446E" w14:paraId="7AD0B5D4" w14:textId="6B21F8DC">
      <w:pPr>
        <w:pStyle w:val="FootnoteText"/>
      </w:pPr>
      <w:r>
        <w:rPr>
          <w:rStyle w:val="FootnoteReference"/>
        </w:rPr>
        <w:footnoteRef/>
      </w:r>
      <w:r>
        <w:t xml:space="preserve"> </w:t>
      </w:r>
      <w:r w:rsidRPr="004C6930">
        <w:rPr>
          <w:i/>
        </w:rPr>
        <w:t xml:space="preserve">See </w:t>
      </w:r>
      <w:r w:rsidRPr="00DD7E57" w:rsidR="00DD7E57">
        <w:t xml:space="preserve">Letter from </w:t>
      </w:r>
      <w:r w:rsidRPr="00895315" w:rsidR="00895315">
        <w:t xml:space="preserve">Dorothy B. </w:t>
      </w:r>
      <w:r w:rsidRPr="00895315" w:rsidR="00895315">
        <w:t>Reimold</w:t>
      </w:r>
      <w:r w:rsidRPr="00895315" w:rsidR="00DD7E57">
        <w:t xml:space="preserve">, </w:t>
      </w:r>
      <w:r w:rsidRPr="00895315" w:rsidR="00895315">
        <w:t>Acting Deputy Associate Administrator</w:t>
      </w:r>
      <w:r w:rsidRPr="00895315" w:rsidR="00DD7E57">
        <w:t xml:space="preserve">, </w:t>
      </w:r>
      <w:r w:rsidR="00895315">
        <w:t>Office of Aviation Safety</w:t>
      </w:r>
      <w:r w:rsidRPr="00DD7E57" w:rsidR="00DD7E57">
        <w:t>, F</w:t>
      </w:r>
      <w:r w:rsidR="00DD7E57">
        <w:t>AA</w:t>
      </w:r>
      <w:r w:rsidRPr="00DD7E57" w:rsidR="00DD7E57">
        <w:t xml:space="preserve">, to </w:t>
      </w:r>
      <w:r w:rsidR="00DD7E57">
        <w:t>Joel Taubenblatt</w:t>
      </w:r>
      <w:r w:rsidRPr="00DD7E57" w:rsidR="00DD7E57">
        <w:t xml:space="preserve">, </w:t>
      </w:r>
      <w:r w:rsidR="00DD7E57">
        <w:t>Acting Bureau Chief</w:t>
      </w:r>
      <w:r w:rsidRPr="00DD7E57" w:rsidR="00DD7E57">
        <w:t xml:space="preserve">, </w:t>
      </w:r>
      <w:r w:rsidR="00DD7E57">
        <w:t>Wireless Telecommunications Bureau</w:t>
      </w:r>
      <w:r w:rsidRPr="00DD7E57" w:rsidR="00DD7E57">
        <w:t>, F</w:t>
      </w:r>
      <w:r w:rsidR="00DD7E57">
        <w:t>CC</w:t>
      </w:r>
      <w:r w:rsidRPr="00DD7E57" w:rsidR="00DD7E57">
        <w:t xml:space="preserve"> at </w:t>
      </w:r>
      <w:r w:rsidRPr="00895315" w:rsidR="00895315">
        <w:t>1</w:t>
      </w:r>
      <w:r w:rsidRPr="00DD7E57" w:rsidR="00DD7E57">
        <w:t xml:space="preserve"> (</w:t>
      </w:r>
      <w:r w:rsidR="00DD7E57">
        <w:t>Dec</w:t>
      </w:r>
      <w:r w:rsidRPr="00DD7E57" w:rsidR="00DD7E57">
        <w:t xml:space="preserve">. </w:t>
      </w:r>
      <w:r w:rsidRPr="0067487A" w:rsidR="0067487A">
        <w:t>21</w:t>
      </w:r>
      <w:r w:rsidRPr="00DD7E57" w:rsidR="00DD7E57">
        <w:t>, 20</w:t>
      </w:r>
      <w:r w:rsidR="00DD7E57">
        <w:t>21</w:t>
      </w:r>
      <w:r w:rsidRPr="00DD7E57" w:rsidR="00DD7E57">
        <w:t>).</w:t>
      </w:r>
    </w:p>
  </w:footnote>
  <w:footnote w:id="9">
    <w:p w:rsidR="000021C8" w14:paraId="2FF980F7" w14:textId="0899472D">
      <w:pPr>
        <w:pStyle w:val="FootnoteText"/>
      </w:pPr>
      <w:r>
        <w:rPr>
          <w:rStyle w:val="FootnoteReference"/>
        </w:rPr>
        <w:footnoteRef/>
      </w:r>
      <w:r>
        <w:t xml:space="preserve"> The FAA defines “confidential </w:t>
      </w:r>
      <w:r w:rsidRPr="00746F0D">
        <w:rPr>
          <w:color w:val="333333"/>
          <w:lang w:val="en"/>
        </w:rPr>
        <w:t xml:space="preserve">commercial information” </w:t>
      </w:r>
      <w:r>
        <w:rPr>
          <w:color w:val="333333"/>
          <w:lang w:val="en"/>
        </w:rPr>
        <w:t>as</w:t>
      </w:r>
      <w:r w:rsidRPr="00746F0D">
        <w:rPr>
          <w:color w:val="333333"/>
          <w:lang w:val="en"/>
        </w:rPr>
        <w:t xml:space="preserve"> trade secrets and confidential, privileged, and/or proprietary business or financial information submitted to DOT by any person. </w:t>
      </w:r>
      <w:r>
        <w:rPr>
          <w:color w:val="333333"/>
          <w:lang w:val="en"/>
        </w:rPr>
        <w:t xml:space="preserve"> </w:t>
      </w:r>
      <w:r w:rsidRPr="000021C8">
        <w:rPr>
          <w:i/>
          <w:iCs/>
          <w:color w:val="333333"/>
          <w:lang w:val="en"/>
        </w:rPr>
        <w:t>Id</w:t>
      </w:r>
      <w:r>
        <w:rPr>
          <w:color w:val="333333"/>
          <w:lang w:val="en"/>
        </w:rPr>
        <w:t>.</w:t>
      </w:r>
      <w:r>
        <w:rPr>
          <w:rFonts w:ascii="Verdana" w:hAnsi="Verdana" w:cs="Helvetica"/>
          <w:color w:val="333333"/>
          <w:lang w:val="en"/>
        </w:rPr>
        <w:t xml:space="preserve"> </w:t>
      </w:r>
    </w:p>
  </w:footnote>
  <w:footnote w:id="10">
    <w:p w:rsidR="00D85A78" w14:paraId="12CB972C" w14:textId="65B6ADE7">
      <w:pPr>
        <w:pStyle w:val="FootnoteText"/>
      </w:pPr>
      <w:r>
        <w:rPr>
          <w:rStyle w:val="FootnoteReference"/>
        </w:rPr>
        <w:footnoteRef/>
      </w:r>
      <w:r>
        <w:t xml:space="preserve"> 49 CFR § 7.28.</w:t>
      </w:r>
    </w:p>
  </w:footnote>
  <w:footnote w:id="11">
    <w:p w:rsidR="00B83E5D" w14:paraId="76093F53" w14:textId="7B2167C4">
      <w:pPr>
        <w:pStyle w:val="FootnoteText"/>
      </w:pPr>
      <w:r>
        <w:rPr>
          <w:rStyle w:val="FootnoteReference"/>
        </w:rPr>
        <w:footnoteRef/>
      </w:r>
      <w:r>
        <w:t xml:space="preserve"> 49 CFR §</w:t>
      </w:r>
      <w:r w:rsidR="00D85A78">
        <w:t xml:space="preserve"> 7.29.</w:t>
      </w:r>
    </w:p>
  </w:footnote>
  <w:footnote w:id="12">
    <w:p w:rsidR="00D13AA8" w:rsidP="00D13AA8" w14:paraId="7B136249" w14:textId="77777777">
      <w:pPr>
        <w:pStyle w:val="FootnoteText"/>
      </w:pPr>
      <w:r>
        <w:rPr>
          <w:rStyle w:val="FootnoteReference"/>
        </w:rPr>
        <w:footnoteRef/>
      </w:r>
      <w:r>
        <w:t xml:space="preserve"> 47 CFR § 0.442(d)(1).</w:t>
      </w:r>
    </w:p>
  </w:footnote>
  <w:footnote w:id="13">
    <w:p w:rsidR="009C4AF3" w:rsidP="009C4AF3" w14:paraId="51FFC36C" w14:textId="77777777">
      <w:pPr>
        <w:pStyle w:val="FootnoteText"/>
      </w:pPr>
      <w:r>
        <w:rPr>
          <w:rStyle w:val="FootnoteReference"/>
        </w:rPr>
        <w:footnoteRef/>
      </w:r>
      <w:r>
        <w:t xml:space="preserve"> 47 CFR § 0.442(d)(4) (“If disclosure is opposed and the Commission decides to make the records available to the other agency, the party who furnished the records to the Commission will be afforded ten calendar days from the date of the ruling to move for a judicial stay of the Commission’s action.  If the party does not move for stay within this period, the records will be disclosed.”).</w:t>
      </w:r>
    </w:p>
  </w:footnote>
  <w:footnote w:id="14">
    <w:p w:rsidR="00F830D3" w:rsidP="00F830D3" w14:paraId="0EDB0EE4" w14:textId="65E5A608">
      <w:pPr>
        <w:pStyle w:val="FootnoteText"/>
      </w:pPr>
      <w:r>
        <w:rPr>
          <w:rStyle w:val="FootnoteReference"/>
        </w:rPr>
        <w:footnoteRef/>
      </w:r>
      <w:r>
        <w:t xml:space="preserve"> </w:t>
      </w:r>
      <w:r>
        <w:rPr>
          <w:i/>
          <w:iCs/>
        </w:rPr>
        <w:t>Expanding Flexible Use of the 3.7 to 4.2 GHz Band</w:t>
      </w:r>
      <w:r>
        <w:t xml:space="preserve">, GN Docket No. 18-122, </w:t>
      </w:r>
      <w:r>
        <w:rPr>
          <w:i/>
          <w:iCs/>
        </w:rPr>
        <w:t>Report and Order and Order of Proposed Modification</w:t>
      </w:r>
      <w:r>
        <w:t xml:space="preserve">, Protective Order, 34 FCC </w:t>
      </w:r>
      <w:r>
        <w:t>Rcd</w:t>
      </w:r>
      <w:r>
        <w:t xml:space="preserve"> 7700 (WTB 2019)</w:t>
      </w:r>
      <w:r w:rsidR="000C111B">
        <w:t>.</w:t>
      </w:r>
    </w:p>
  </w:footnote>
  <w:footnote w:id="15">
    <w:p w:rsidR="00D13AA8" w:rsidP="00D13AA8" w14:paraId="0EB69C46" w14:textId="77777777">
      <w:pPr>
        <w:pStyle w:val="FootnoteText"/>
      </w:pPr>
      <w:r>
        <w:rPr>
          <w:rStyle w:val="FootnoteReference"/>
        </w:rPr>
        <w:footnoteRef/>
      </w:r>
      <w:r>
        <w:t xml:space="preserve"> </w:t>
      </w:r>
      <w:r w:rsidRPr="0060054A">
        <w:t>47 CFR §§ 1.415, 1.419</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D4B24" w14:paraId="2D778F5D" w14:textId="156721C6">
    <w:pPr>
      <w:tabs>
        <w:tab w:val="center" w:pos="4680"/>
        <w:tab w:val="right" w:pos="9360"/>
      </w:tabs>
    </w:pPr>
    <w:r>
      <w:rPr>
        <w:b/>
      </w:rPr>
      <w:tab/>
      <w:t>Federal Communications Commission</w:t>
    </w:r>
    <w:r>
      <w:rPr>
        <w:b/>
      </w:rPr>
      <w:tab/>
    </w:r>
    <w:r w:rsidR="00B43C95">
      <w:rPr>
        <w:b/>
      </w:rPr>
      <w:t>DA 21-</w:t>
    </w:r>
    <w:r w:rsidRPr="008754E1" w:rsidR="0067487A">
      <w:rPr>
        <w:b/>
      </w:rPr>
      <w:t>1625</w:t>
    </w:r>
  </w:p>
  <w:p w:rsidR="003D4B24" w14:paraId="5EC3B6A1" w14:textId="37B4C886">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3D4B24" w14:paraId="15422225"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D4B24" w14:paraId="04E3953A" w14:textId="4570EDD5">
    <w:pPr>
      <w:pStyle w:val="Header"/>
    </w:pPr>
    <w:r>
      <w:rPr>
        <w:noProof/>
        <w:snapToGrid/>
      </w:rPr>
      <w:drawing>
        <wp:inline distT="0" distB="0" distL="0" distR="0">
          <wp:extent cx="5949315" cy="14249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9315" cy="14249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4EA7F93"/>
    <w:multiLevelType w:val="multilevel"/>
    <w:tmpl w:val="16AC4C5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2"/>
  </w:num>
  <w:num w:numId="2">
    <w:abstractNumId w:val="7"/>
  </w:num>
  <w:num w:numId="3">
    <w:abstractNumId w:val="4"/>
  </w:num>
  <w:num w:numId="4">
    <w:abstractNumId w:val="6"/>
  </w:num>
  <w:num w:numId="5">
    <w:abstractNumId w:val="3"/>
  </w:num>
  <w:num w:numId="6">
    <w:abstractNumId w:val="0"/>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AA8"/>
    <w:rsid w:val="000021C8"/>
    <w:rsid w:val="0000495B"/>
    <w:rsid w:val="00012F44"/>
    <w:rsid w:val="00015324"/>
    <w:rsid w:val="00022F18"/>
    <w:rsid w:val="00027698"/>
    <w:rsid w:val="000523D1"/>
    <w:rsid w:val="0005710C"/>
    <w:rsid w:val="000629B5"/>
    <w:rsid w:val="00064118"/>
    <w:rsid w:val="00066222"/>
    <w:rsid w:val="0007648E"/>
    <w:rsid w:val="00077535"/>
    <w:rsid w:val="00085ABC"/>
    <w:rsid w:val="00093A1C"/>
    <w:rsid w:val="00097FDB"/>
    <w:rsid w:val="000B7AF2"/>
    <w:rsid w:val="000C111B"/>
    <w:rsid w:val="000C184E"/>
    <w:rsid w:val="000C2DBC"/>
    <w:rsid w:val="000C5A4C"/>
    <w:rsid w:val="000E6925"/>
    <w:rsid w:val="000F5680"/>
    <w:rsid w:val="000F5D67"/>
    <w:rsid w:val="0011002E"/>
    <w:rsid w:val="00115F21"/>
    <w:rsid w:val="001165DC"/>
    <w:rsid w:val="00124C0F"/>
    <w:rsid w:val="001271B2"/>
    <w:rsid w:val="001275C6"/>
    <w:rsid w:val="0013109A"/>
    <w:rsid w:val="00131FBC"/>
    <w:rsid w:val="00133054"/>
    <w:rsid w:val="00133D03"/>
    <w:rsid w:val="00143CBE"/>
    <w:rsid w:val="001541B1"/>
    <w:rsid w:val="0017149E"/>
    <w:rsid w:val="00175132"/>
    <w:rsid w:val="00177209"/>
    <w:rsid w:val="001822AA"/>
    <w:rsid w:val="00193E3B"/>
    <w:rsid w:val="00197B6D"/>
    <w:rsid w:val="001A0855"/>
    <w:rsid w:val="001A7609"/>
    <w:rsid w:val="001B1D53"/>
    <w:rsid w:val="001B1F21"/>
    <w:rsid w:val="001B6787"/>
    <w:rsid w:val="001B7758"/>
    <w:rsid w:val="001C3E5A"/>
    <w:rsid w:val="001C4BAC"/>
    <w:rsid w:val="001E4E5F"/>
    <w:rsid w:val="001F0F5B"/>
    <w:rsid w:val="001F134B"/>
    <w:rsid w:val="00212B02"/>
    <w:rsid w:val="00212BC8"/>
    <w:rsid w:val="00223B4D"/>
    <w:rsid w:val="00226733"/>
    <w:rsid w:val="00227141"/>
    <w:rsid w:val="00234AA7"/>
    <w:rsid w:val="00236E53"/>
    <w:rsid w:val="0025093A"/>
    <w:rsid w:val="002524FE"/>
    <w:rsid w:val="00257CCA"/>
    <w:rsid w:val="00261399"/>
    <w:rsid w:val="00262022"/>
    <w:rsid w:val="0027052E"/>
    <w:rsid w:val="00280E4C"/>
    <w:rsid w:val="00291F46"/>
    <w:rsid w:val="00295478"/>
    <w:rsid w:val="002A7BA5"/>
    <w:rsid w:val="002B259C"/>
    <w:rsid w:val="002B7FA5"/>
    <w:rsid w:val="002C5042"/>
    <w:rsid w:val="002C725D"/>
    <w:rsid w:val="002D034E"/>
    <w:rsid w:val="002D5B5F"/>
    <w:rsid w:val="002E4503"/>
    <w:rsid w:val="002F3B13"/>
    <w:rsid w:val="003013E8"/>
    <w:rsid w:val="0030332C"/>
    <w:rsid w:val="00304CEC"/>
    <w:rsid w:val="00307DFA"/>
    <w:rsid w:val="003216BE"/>
    <w:rsid w:val="0032354B"/>
    <w:rsid w:val="00325022"/>
    <w:rsid w:val="00332892"/>
    <w:rsid w:val="00333A8B"/>
    <w:rsid w:val="00337493"/>
    <w:rsid w:val="00337609"/>
    <w:rsid w:val="0034381C"/>
    <w:rsid w:val="00351885"/>
    <w:rsid w:val="003617D9"/>
    <w:rsid w:val="003618A3"/>
    <w:rsid w:val="00364730"/>
    <w:rsid w:val="00370F06"/>
    <w:rsid w:val="003713D3"/>
    <w:rsid w:val="00373AB8"/>
    <w:rsid w:val="00376A19"/>
    <w:rsid w:val="00383409"/>
    <w:rsid w:val="00391828"/>
    <w:rsid w:val="00391F12"/>
    <w:rsid w:val="0039230B"/>
    <w:rsid w:val="003A3658"/>
    <w:rsid w:val="003B5261"/>
    <w:rsid w:val="003B70A9"/>
    <w:rsid w:val="003C1B08"/>
    <w:rsid w:val="003D4B24"/>
    <w:rsid w:val="003D5D9D"/>
    <w:rsid w:val="003D747A"/>
    <w:rsid w:val="003E78CB"/>
    <w:rsid w:val="003F0352"/>
    <w:rsid w:val="003F4C26"/>
    <w:rsid w:val="00400687"/>
    <w:rsid w:val="004022D6"/>
    <w:rsid w:val="00414B9E"/>
    <w:rsid w:val="004262D2"/>
    <w:rsid w:val="00431F1C"/>
    <w:rsid w:val="00435016"/>
    <w:rsid w:val="0044485C"/>
    <w:rsid w:val="00462915"/>
    <w:rsid w:val="00470FE9"/>
    <w:rsid w:val="00477738"/>
    <w:rsid w:val="00481AB1"/>
    <w:rsid w:val="0049398B"/>
    <w:rsid w:val="004961D4"/>
    <w:rsid w:val="00497F02"/>
    <w:rsid w:val="004A4044"/>
    <w:rsid w:val="004B0410"/>
    <w:rsid w:val="004C6930"/>
    <w:rsid w:val="004C7D8C"/>
    <w:rsid w:val="004E74BA"/>
    <w:rsid w:val="004F4412"/>
    <w:rsid w:val="00503D96"/>
    <w:rsid w:val="00525241"/>
    <w:rsid w:val="005309A5"/>
    <w:rsid w:val="00542C5E"/>
    <w:rsid w:val="005547D6"/>
    <w:rsid w:val="005564CB"/>
    <w:rsid w:val="005639CD"/>
    <w:rsid w:val="0057292B"/>
    <w:rsid w:val="00585217"/>
    <w:rsid w:val="005901C1"/>
    <w:rsid w:val="00590F8E"/>
    <w:rsid w:val="005939A3"/>
    <w:rsid w:val="00593D8F"/>
    <w:rsid w:val="005A0B79"/>
    <w:rsid w:val="005B0444"/>
    <w:rsid w:val="005B1535"/>
    <w:rsid w:val="005C0287"/>
    <w:rsid w:val="005C344D"/>
    <w:rsid w:val="005C3ADA"/>
    <w:rsid w:val="005D02B4"/>
    <w:rsid w:val="005D04C5"/>
    <w:rsid w:val="005D2A89"/>
    <w:rsid w:val="005E63DD"/>
    <w:rsid w:val="0060054A"/>
    <w:rsid w:val="006225DC"/>
    <w:rsid w:val="006258A0"/>
    <w:rsid w:val="00627986"/>
    <w:rsid w:val="00640AC9"/>
    <w:rsid w:val="006449B9"/>
    <w:rsid w:val="00647E6C"/>
    <w:rsid w:val="006528D7"/>
    <w:rsid w:val="006531FA"/>
    <w:rsid w:val="00653C18"/>
    <w:rsid w:val="00664D1A"/>
    <w:rsid w:val="0066656C"/>
    <w:rsid w:val="00671FBA"/>
    <w:rsid w:val="0067487A"/>
    <w:rsid w:val="00690FA5"/>
    <w:rsid w:val="006919BF"/>
    <w:rsid w:val="0069761B"/>
    <w:rsid w:val="006A3F24"/>
    <w:rsid w:val="006A6A7C"/>
    <w:rsid w:val="006B2B74"/>
    <w:rsid w:val="006B4916"/>
    <w:rsid w:val="006C7EFF"/>
    <w:rsid w:val="006E0DD9"/>
    <w:rsid w:val="006E5BBD"/>
    <w:rsid w:val="006F63A2"/>
    <w:rsid w:val="007018AE"/>
    <w:rsid w:val="007122D0"/>
    <w:rsid w:val="00712D42"/>
    <w:rsid w:val="007130DA"/>
    <w:rsid w:val="00722577"/>
    <w:rsid w:val="007239BC"/>
    <w:rsid w:val="00735BCF"/>
    <w:rsid w:val="00737D0C"/>
    <w:rsid w:val="00742C77"/>
    <w:rsid w:val="00746F0D"/>
    <w:rsid w:val="00774653"/>
    <w:rsid w:val="00774BAF"/>
    <w:rsid w:val="00775CF7"/>
    <w:rsid w:val="00790BB9"/>
    <w:rsid w:val="007940F2"/>
    <w:rsid w:val="007A5D15"/>
    <w:rsid w:val="007B4FF2"/>
    <w:rsid w:val="007C1118"/>
    <w:rsid w:val="007C356A"/>
    <w:rsid w:val="007C637F"/>
    <w:rsid w:val="007E3824"/>
    <w:rsid w:val="007E413C"/>
    <w:rsid w:val="007E5EDC"/>
    <w:rsid w:val="007F5427"/>
    <w:rsid w:val="00801C69"/>
    <w:rsid w:val="00806AC3"/>
    <w:rsid w:val="008076E1"/>
    <w:rsid w:val="00810E38"/>
    <w:rsid w:val="00813BDA"/>
    <w:rsid w:val="008244C0"/>
    <w:rsid w:val="008269D2"/>
    <w:rsid w:val="00835472"/>
    <w:rsid w:val="008448A2"/>
    <w:rsid w:val="00846C45"/>
    <w:rsid w:val="00850702"/>
    <w:rsid w:val="0085446E"/>
    <w:rsid w:val="00855866"/>
    <w:rsid w:val="00863181"/>
    <w:rsid w:val="00865902"/>
    <w:rsid w:val="00873B3F"/>
    <w:rsid w:val="008754E1"/>
    <w:rsid w:val="00885215"/>
    <w:rsid w:val="008864C1"/>
    <w:rsid w:val="00886C26"/>
    <w:rsid w:val="00890D80"/>
    <w:rsid w:val="00892E6B"/>
    <w:rsid w:val="00895315"/>
    <w:rsid w:val="0089569A"/>
    <w:rsid w:val="008974E3"/>
    <w:rsid w:val="008A02C4"/>
    <w:rsid w:val="008A2A2F"/>
    <w:rsid w:val="008A5DAB"/>
    <w:rsid w:val="008A609C"/>
    <w:rsid w:val="008A7410"/>
    <w:rsid w:val="008C28DF"/>
    <w:rsid w:val="008C3ACE"/>
    <w:rsid w:val="008C519C"/>
    <w:rsid w:val="008C71BA"/>
    <w:rsid w:val="008E1837"/>
    <w:rsid w:val="008E3CD1"/>
    <w:rsid w:val="00915D7F"/>
    <w:rsid w:val="00930ECF"/>
    <w:rsid w:val="009452F4"/>
    <w:rsid w:val="0096227C"/>
    <w:rsid w:val="009709FB"/>
    <w:rsid w:val="00984D39"/>
    <w:rsid w:val="009953B9"/>
    <w:rsid w:val="009A17A9"/>
    <w:rsid w:val="009B6C1D"/>
    <w:rsid w:val="009C4AF3"/>
    <w:rsid w:val="009C50F0"/>
    <w:rsid w:val="009E5663"/>
    <w:rsid w:val="009E5FF2"/>
    <w:rsid w:val="009F20DB"/>
    <w:rsid w:val="009F7538"/>
    <w:rsid w:val="00A11DF8"/>
    <w:rsid w:val="00A127C7"/>
    <w:rsid w:val="00A12921"/>
    <w:rsid w:val="00A14981"/>
    <w:rsid w:val="00A42664"/>
    <w:rsid w:val="00A53A66"/>
    <w:rsid w:val="00A642C0"/>
    <w:rsid w:val="00A70774"/>
    <w:rsid w:val="00A7099F"/>
    <w:rsid w:val="00A72506"/>
    <w:rsid w:val="00A9621B"/>
    <w:rsid w:val="00AA5DCA"/>
    <w:rsid w:val="00AA6484"/>
    <w:rsid w:val="00AB1B28"/>
    <w:rsid w:val="00AB6E42"/>
    <w:rsid w:val="00AE73AA"/>
    <w:rsid w:val="00B02304"/>
    <w:rsid w:val="00B20363"/>
    <w:rsid w:val="00B3759B"/>
    <w:rsid w:val="00B43C95"/>
    <w:rsid w:val="00B549F6"/>
    <w:rsid w:val="00B70559"/>
    <w:rsid w:val="00B7270C"/>
    <w:rsid w:val="00B82D17"/>
    <w:rsid w:val="00B83E5D"/>
    <w:rsid w:val="00B91729"/>
    <w:rsid w:val="00BA5A05"/>
    <w:rsid w:val="00BB7BDB"/>
    <w:rsid w:val="00BC2CCF"/>
    <w:rsid w:val="00BC5FB2"/>
    <w:rsid w:val="00BD2C9E"/>
    <w:rsid w:val="00BE34DD"/>
    <w:rsid w:val="00BE3C22"/>
    <w:rsid w:val="00BE6C16"/>
    <w:rsid w:val="00C10730"/>
    <w:rsid w:val="00C110E4"/>
    <w:rsid w:val="00C17C09"/>
    <w:rsid w:val="00C22308"/>
    <w:rsid w:val="00C23196"/>
    <w:rsid w:val="00C313CE"/>
    <w:rsid w:val="00C411F8"/>
    <w:rsid w:val="00C52F6D"/>
    <w:rsid w:val="00C664BC"/>
    <w:rsid w:val="00C72B00"/>
    <w:rsid w:val="00C85F2A"/>
    <w:rsid w:val="00C86B26"/>
    <w:rsid w:val="00C91410"/>
    <w:rsid w:val="00C942A5"/>
    <w:rsid w:val="00C9704F"/>
    <w:rsid w:val="00CA0801"/>
    <w:rsid w:val="00CA71FE"/>
    <w:rsid w:val="00CA78E7"/>
    <w:rsid w:val="00CB06A1"/>
    <w:rsid w:val="00CB3EE9"/>
    <w:rsid w:val="00CD3E42"/>
    <w:rsid w:val="00CD6FE8"/>
    <w:rsid w:val="00CE4F2E"/>
    <w:rsid w:val="00CE5675"/>
    <w:rsid w:val="00CF04E7"/>
    <w:rsid w:val="00CF1E9E"/>
    <w:rsid w:val="00D13AA8"/>
    <w:rsid w:val="00D17923"/>
    <w:rsid w:val="00D17A9B"/>
    <w:rsid w:val="00D22ED0"/>
    <w:rsid w:val="00D37176"/>
    <w:rsid w:val="00D40DD8"/>
    <w:rsid w:val="00D56823"/>
    <w:rsid w:val="00D607D6"/>
    <w:rsid w:val="00D63FDA"/>
    <w:rsid w:val="00D65F33"/>
    <w:rsid w:val="00D70A02"/>
    <w:rsid w:val="00D73CDB"/>
    <w:rsid w:val="00D77DC9"/>
    <w:rsid w:val="00D80FD5"/>
    <w:rsid w:val="00D85A78"/>
    <w:rsid w:val="00D959DD"/>
    <w:rsid w:val="00DA44D7"/>
    <w:rsid w:val="00DB58A8"/>
    <w:rsid w:val="00DC5376"/>
    <w:rsid w:val="00DD7E57"/>
    <w:rsid w:val="00DE4BC4"/>
    <w:rsid w:val="00DF3E13"/>
    <w:rsid w:val="00DF509E"/>
    <w:rsid w:val="00E06BCB"/>
    <w:rsid w:val="00E0715C"/>
    <w:rsid w:val="00E11E5F"/>
    <w:rsid w:val="00E13C25"/>
    <w:rsid w:val="00E25C0A"/>
    <w:rsid w:val="00E306C7"/>
    <w:rsid w:val="00E33982"/>
    <w:rsid w:val="00E4374A"/>
    <w:rsid w:val="00E45A5F"/>
    <w:rsid w:val="00E461C2"/>
    <w:rsid w:val="00E50191"/>
    <w:rsid w:val="00E52C7D"/>
    <w:rsid w:val="00E52F00"/>
    <w:rsid w:val="00E67863"/>
    <w:rsid w:val="00E813AD"/>
    <w:rsid w:val="00E90008"/>
    <w:rsid w:val="00EA2C65"/>
    <w:rsid w:val="00EB0C4C"/>
    <w:rsid w:val="00EB32C3"/>
    <w:rsid w:val="00EC0D93"/>
    <w:rsid w:val="00EC2754"/>
    <w:rsid w:val="00ED553C"/>
    <w:rsid w:val="00EE2246"/>
    <w:rsid w:val="00EE5262"/>
    <w:rsid w:val="00F01F2A"/>
    <w:rsid w:val="00F10854"/>
    <w:rsid w:val="00F41038"/>
    <w:rsid w:val="00F41D07"/>
    <w:rsid w:val="00F45003"/>
    <w:rsid w:val="00F46C6E"/>
    <w:rsid w:val="00F54416"/>
    <w:rsid w:val="00F7036A"/>
    <w:rsid w:val="00F70B34"/>
    <w:rsid w:val="00F74C46"/>
    <w:rsid w:val="00F81A6C"/>
    <w:rsid w:val="00F830D3"/>
    <w:rsid w:val="00F907A0"/>
    <w:rsid w:val="00F92803"/>
    <w:rsid w:val="00F95427"/>
    <w:rsid w:val="00F96DC8"/>
    <w:rsid w:val="00FA46B6"/>
    <w:rsid w:val="00FB2759"/>
    <w:rsid w:val="00FB6A9C"/>
    <w:rsid w:val="00FC0A7E"/>
    <w:rsid w:val="00FC567D"/>
    <w:rsid w:val="00FC6C5F"/>
    <w:rsid w:val="00FD6DF8"/>
    <w:rsid w:val="00FE548C"/>
    <w:rsid w:val="00FE5C21"/>
    <w:rsid w:val="00FF19BC"/>
    <w:rsid w:val="00FF24A0"/>
    <w:rsid w:val="76DB8AC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1F2FD3A"/>
  <w15:chartTrackingRefBased/>
  <w15:docId w15:val="{5F79933C-F27C-47EC-AAFA-C7562F37F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D13AA8"/>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Footnote Text Char Char,Footnote Text Char Char Char Char,Footnote Text Char Char Char Char Char Char1,Footnote Text Char1 Char Char,Footnote Text Char1 Char Char Char Char,Footnote Text Char2,Footnote text,f,fn"/>
    <w:link w:val="FootnoteTextChar"/>
    <w:pPr>
      <w:spacing w:after="120"/>
    </w:pPr>
  </w:style>
  <w:style w:type="character" w:styleId="FootnoteReference">
    <w:name w:val="footnote reference"/>
    <w:aliases w:val="(NECG) Footnote Reference,Appel note de bas de p,FR,Style 12,Style 124,Style 13,Style 17,Style 3,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customStyle="1" w:styleId="UnresolvedMention">
    <w:name w:val="Unresolved Mention"/>
    <w:uiPriority w:val="99"/>
    <w:unhideWhenUsed/>
    <w:rPr>
      <w:color w:val="605E5C"/>
      <w:shd w:val="clear" w:color="auto" w:fill="E1DFDD"/>
    </w:rPr>
  </w:style>
  <w:style w:type="character" w:customStyle="1" w:styleId="FootnoteTextChar">
    <w:name w:val="Footnote Text Char"/>
    <w:aliases w:val="ALTS FOOTNOTE Char,FOOTNOTE Char,Footnote Text Char Char Char,Footnote Text Char Char Char Char Char,Footnote Text Char1 Char Char Char,Footnote Text Char1 Char Char Char Char Char,Footnote Text Char2 Char,Footnote text Char,fn Char"/>
    <w:link w:val="FootnoteText"/>
    <w:locked/>
    <w:rsid w:val="00D13AA8"/>
  </w:style>
  <w:style w:type="character" w:styleId="CommentReference">
    <w:name w:val="annotation reference"/>
    <w:uiPriority w:val="99"/>
    <w:semiHidden/>
    <w:unhideWhenUsed/>
    <w:rsid w:val="00D13AA8"/>
    <w:rPr>
      <w:sz w:val="16"/>
      <w:szCs w:val="16"/>
    </w:rPr>
  </w:style>
  <w:style w:type="paragraph" w:styleId="CommentText">
    <w:name w:val="annotation text"/>
    <w:basedOn w:val="Normal"/>
    <w:link w:val="CommentTextChar"/>
    <w:uiPriority w:val="99"/>
    <w:unhideWhenUsed/>
    <w:rsid w:val="00D13AA8"/>
    <w:rPr>
      <w:sz w:val="20"/>
    </w:rPr>
  </w:style>
  <w:style w:type="character" w:customStyle="1" w:styleId="CommentTextChar">
    <w:name w:val="Comment Text Char"/>
    <w:basedOn w:val="DefaultParagraphFont"/>
    <w:link w:val="CommentText"/>
    <w:uiPriority w:val="99"/>
    <w:rsid w:val="00D13AA8"/>
    <w:rPr>
      <w:snapToGrid w:val="0"/>
      <w:kern w:val="28"/>
    </w:rPr>
  </w:style>
  <w:style w:type="character" w:customStyle="1" w:styleId="item-value">
    <w:name w:val="item-value"/>
    <w:rsid w:val="00D13AA8"/>
  </w:style>
  <w:style w:type="paragraph" w:styleId="CommentSubject">
    <w:name w:val="annotation subject"/>
    <w:basedOn w:val="CommentText"/>
    <w:next w:val="CommentText"/>
    <w:link w:val="CommentSubjectChar"/>
    <w:uiPriority w:val="99"/>
    <w:semiHidden/>
    <w:unhideWhenUsed/>
    <w:rsid w:val="00391828"/>
    <w:rPr>
      <w:b/>
      <w:bCs/>
    </w:rPr>
  </w:style>
  <w:style w:type="character" w:customStyle="1" w:styleId="CommentSubjectChar">
    <w:name w:val="Comment Subject Char"/>
    <w:basedOn w:val="CommentTextChar"/>
    <w:link w:val="CommentSubject"/>
    <w:uiPriority w:val="99"/>
    <w:semiHidden/>
    <w:rsid w:val="00391828"/>
    <w:rPr>
      <w:b/>
      <w:bCs/>
      <w:snapToGrid w:val="0"/>
      <w:kern w:val="28"/>
    </w:rPr>
  </w:style>
  <w:style w:type="paragraph" w:styleId="Revision">
    <w:name w:val="Revision"/>
    <w:hidden/>
    <w:uiPriority w:val="99"/>
    <w:semiHidden/>
    <w:rsid w:val="006B2B74"/>
    <w:rPr>
      <w:snapToGrid w:val="0"/>
      <w:kern w:val="28"/>
      <w:sz w:val="22"/>
    </w:rPr>
  </w:style>
  <w:style w:type="character" w:customStyle="1" w:styleId="Mention">
    <w:name w:val="Mention"/>
    <w:basedOn w:val="DefaultParagraphFont"/>
    <w:uiPriority w:val="99"/>
    <w:unhideWhenUsed/>
    <w:rsid w:val="00F81A6C"/>
    <w:rPr>
      <w:color w:val="2B579A"/>
      <w:shd w:val="clear" w:color="auto" w:fill="E1DFDD"/>
    </w:rPr>
  </w:style>
  <w:style w:type="paragraph" w:customStyle="1" w:styleId="Default">
    <w:name w:val="Default"/>
    <w:rsid w:val="001271B2"/>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https://www.fcc.gov/document/fcc-closes-headquarters-open-window-and-changes-hand-delivery-policy"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