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5099A" w14:paraId="63DA5340" w14:textId="77777777">
      <w:pPr>
        <w:jc w:val="right"/>
        <w:rPr>
          <w:sz w:val="24"/>
        </w:rPr>
      </w:pPr>
    </w:p>
    <w:p w:rsidR="001447F7" w:rsidRPr="00FD055D" w14:paraId="411B88C4" w14:textId="19B30322">
      <w:pPr>
        <w:spacing w:before="60"/>
        <w:jc w:val="right"/>
        <w:rPr>
          <w:b/>
          <w:szCs w:val="22"/>
        </w:rPr>
      </w:pPr>
      <w:r w:rsidRPr="00F70F1A">
        <w:rPr>
          <w:b/>
          <w:szCs w:val="22"/>
        </w:rPr>
        <w:t>DA 21-</w:t>
      </w:r>
      <w:r w:rsidR="00F70F1A">
        <w:rPr>
          <w:b/>
          <w:szCs w:val="22"/>
        </w:rPr>
        <w:t>1629</w:t>
      </w:r>
    </w:p>
    <w:p w:rsidR="0035099A" w:rsidRPr="00FD055D" w14:paraId="779F4A50" w14:textId="7DF38F9C">
      <w:pPr>
        <w:spacing w:before="60"/>
        <w:jc w:val="right"/>
        <w:rPr>
          <w:b/>
          <w:szCs w:val="22"/>
        </w:rPr>
      </w:pPr>
      <w:r w:rsidRPr="00FD055D">
        <w:rPr>
          <w:b/>
          <w:szCs w:val="22"/>
        </w:rPr>
        <w:t xml:space="preserve">Released:  </w:t>
      </w:r>
      <w:r w:rsidR="00F70F1A">
        <w:rPr>
          <w:b/>
          <w:szCs w:val="22"/>
        </w:rPr>
        <w:t>December 22, 2021</w:t>
      </w:r>
    </w:p>
    <w:p w:rsidR="0035099A" w14:paraId="34F2D7D9" w14:textId="77777777">
      <w:pPr>
        <w:jc w:val="right"/>
        <w:rPr>
          <w:sz w:val="24"/>
        </w:rPr>
      </w:pPr>
    </w:p>
    <w:p w:rsidR="001447F7" w:rsidRPr="00D15D43" w:rsidP="001447F7" w14:paraId="4BDF14A1" w14:textId="1F0DC642">
      <w:pPr>
        <w:jc w:val="center"/>
        <w:rPr>
          <w:b/>
          <w:iCs/>
          <w:caps/>
          <w:szCs w:val="22"/>
        </w:rPr>
      </w:pPr>
      <w:r w:rsidRPr="00D15D43">
        <w:rPr>
          <w:b/>
          <w:caps/>
          <w:szCs w:val="22"/>
        </w:rPr>
        <w:t xml:space="preserve">Public Safety and HOMELAND SECURITY bureau </w:t>
      </w:r>
      <w:r w:rsidR="000B3F35">
        <w:rPr>
          <w:b/>
          <w:caps/>
          <w:szCs w:val="22"/>
        </w:rPr>
        <w:t>ANNOUNCES FILING</w:t>
      </w:r>
      <w:r w:rsidRPr="00D15D43">
        <w:rPr>
          <w:b/>
          <w:caps/>
          <w:szCs w:val="22"/>
        </w:rPr>
        <w:t xml:space="preserve"> DEADLINES FOR OPPOSITIONS and replies</w:t>
      </w:r>
      <w:r w:rsidR="007B7322">
        <w:rPr>
          <w:b/>
          <w:caps/>
          <w:szCs w:val="22"/>
        </w:rPr>
        <w:t xml:space="preserve"> THERETO</w:t>
      </w:r>
      <w:r w:rsidRPr="00D15D43">
        <w:rPr>
          <w:b/>
          <w:caps/>
          <w:szCs w:val="22"/>
        </w:rPr>
        <w:t xml:space="preserve"> </w:t>
      </w:r>
      <w:r w:rsidR="007B7322">
        <w:rPr>
          <w:b/>
          <w:caps/>
          <w:szCs w:val="22"/>
        </w:rPr>
        <w:t>Regarding</w:t>
      </w:r>
      <w:r w:rsidRPr="00D15D43">
        <w:rPr>
          <w:b/>
          <w:caps/>
          <w:szCs w:val="22"/>
        </w:rPr>
        <w:t xml:space="preserve"> PETITION</w:t>
      </w:r>
      <w:r w:rsidRPr="00E82510">
        <w:rPr>
          <w:b/>
          <w:caps/>
          <w:szCs w:val="22"/>
        </w:rPr>
        <w:t>S</w:t>
      </w:r>
      <w:r w:rsidRPr="00D15D43">
        <w:rPr>
          <w:b/>
          <w:caps/>
          <w:szCs w:val="22"/>
        </w:rPr>
        <w:t xml:space="preserve"> FOR RECONSIDERATION </w:t>
      </w:r>
      <w:r w:rsidR="007B7322">
        <w:rPr>
          <w:b/>
          <w:caps/>
          <w:szCs w:val="22"/>
        </w:rPr>
        <w:t>OF</w:t>
      </w:r>
      <w:r w:rsidRPr="00D15D43">
        <w:rPr>
          <w:b/>
          <w:iCs/>
          <w:caps/>
          <w:szCs w:val="22"/>
        </w:rPr>
        <w:t xml:space="preserve"> the </w:t>
      </w:r>
      <w:r>
        <w:rPr>
          <w:b/>
          <w:iCs/>
          <w:caps/>
          <w:szCs w:val="22"/>
        </w:rPr>
        <w:t>911 Fee Diversion</w:t>
      </w:r>
      <w:r w:rsidR="007B7322">
        <w:rPr>
          <w:b/>
          <w:iCs/>
          <w:caps/>
          <w:szCs w:val="22"/>
        </w:rPr>
        <w:t xml:space="preserve"> Report and Order</w:t>
      </w:r>
      <w:r w:rsidRPr="00D15D43">
        <w:rPr>
          <w:b/>
          <w:iCs/>
          <w:caps/>
          <w:szCs w:val="22"/>
        </w:rPr>
        <w:t xml:space="preserve"> </w:t>
      </w:r>
    </w:p>
    <w:p w:rsidR="001447F7" w14:paraId="76B0F19E" w14:textId="77777777">
      <w:pPr>
        <w:jc w:val="center"/>
        <w:rPr>
          <w:b/>
          <w:sz w:val="24"/>
        </w:rPr>
      </w:pPr>
    </w:p>
    <w:p w:rsidR="0035099A" w:rsidRPr="00FD055D" w14:paraId="0BE1B3DC" w14:textId="5EB22DBE">
      <w:pPr>
        <w:jc w:val="center"/>
        <w:rPr>
          <w:b/>
          <w:szCs w:val="22"/>
        </w:rPr>
      </w:pPr>
      <w:r w:rsidRPr="00FD055D">
        <w:rPr>
          <w:b/>
          <w:szCs w:val="22"/>
        </w:rPr>
        <w:t>PS Docket Nos. 20-291</w:t>
      </w:r>
      <w:r w:rsidRPr="00FD055D" w:rsidR="003B27F7">
        <w:rPr>
          <w:b/>
          <w:szCs w:val="22"/>
        </w:rPr>
        <w:t xml:space="preserve"> and 09-14</w:t>
      </w:r>
    </w:p>
    <w:p w:rsidR="003B27F7" w14:paraId="7491AD82" w14:textId="13BA4C1D">
      <w:pPr>
        <w:jc w:val="center"/>
        <w:rPr>
          <w:b/>
          <w:sz w:val="24"/>
        </w:rPr>
      </w:pPr>
    </w:p>
    <w:p w:rsidR="003B27F7" w:rsidRPr="00D15D43" w:rsidP="003B27F7" w14:paraId="2B5DF640" w14:textId="758BA723">
      <w:pPr>
        <w:rPr>
          <w:b/>
          <w:szCs w:val="22"/>
        </w:rPr>
      </w:pPr>
      <w:r w:rsidRPr="00D15D43">
        <w:rPr>
          <w:b/>
          <w:szCs w:val="22"/>
        </w:rPr>
        <w:t xml:space="preserve">Oppositions Due: </w:t>
      </w:r>
      <w:r w:rsidR="003E4807">
        <w:rPr>
          <w:b/>
          <w:szCs w:val="22"/>
        </w:rPr>
        <w:t xml:space="preserve"> </w:t>
      </w:r>
      <w:r w:rsidRPr="003E4807" w:rsidR="00576533">
        <w:rPr>
          <w:b/>
          <w:bCs/>
          <w:szCs w:val="22"/>
        </w:rPr>
        <w:t>Jan</w:t>
      </w:r>
      <w:r w:rsidR="00A9210B">
        <w:rPr>
          <w:b/>
          <w:bCs/>
          <w:szCs w:val="22"/>
        </w:rPr>
        <w:t>uary</w:t>
      </w:r>
      <w:r w:rsidRPr="003E4807" w:rsidR="00576533">
        <w:rPr>
          <w:b/>
          <w:bCs/>
          <w:szCs w:val="22"/>
        </w:rPr>
        <w:t xml:space="preserve"> 6</w:t>
      </w:r>
      <w:r w:rsidRPr="003E4807" w:rsidR="000B3F35">
        <w:rPr>
          <w:b/>
          <w:bCs/>
          <w:szCs w:val="22"/>
        </w:rPr>
        <w:t>, 202</w:t>
      </w:r>
      <w:r w:rsidRPr="003E4807" w:rsidR="002E6A01">
        <w:rPr>
          <w:b/>
          <w:bCs/>
          <w:szCs w:val="22"/>
        </w:rPr>
        <w:t>2</w:t>
      </w:r>
    </w:p>
    <w:p w:rsidR="003B27F7" w:rsidRPr="00D15D43" w:rsidP="003B27F7" w14:paraId="4EBCC0B4" w14:textId="283A5422">
      <w:pPr>
        <w:rPr>
          <w:b/>
          <w:szCs w:val="22"/>
        </w:rPr>
      </w:pPr>
      <w:r w:rsidRPr="00D15D43">
        <w:rPr>
          <w:b/>
          <w:szCs w:val="22"/>
        </w:rPr>
        <w:t>Replies to Oppositions Due</w:t>
      </w:r>
      <w:r w:rsidRPr="003E4807">
        <w:rPr>
          <w:b/>
          <w:szCs w:val="22"/>
        </w:rPr>
        <w:t xml:space="preserve">: </w:t>
      </w:r>
      <w:r w:rsidR="003E4807">
        <w:rPr>
          <w:b/>
          <w:szCs w:val="22"/>
        </w:rPr>
        <w:t xml:space="preserve"> </w:t>
      </w:r>
      <w:r w:rsidRPr="003E4807" w:rsidR="00576533">
        <w:rPr>
          <w:b/>
          <w:bCs/>
          <w:szCs w:val="22"/>
        </w:rPr>
        <w:t>Jan</w:t>
      </w:r>
      <w:r w:rsidR="00A9210B">
        <w:rPr>
          <w:b/>
          <w:bCs/>
          <w:szCs w:val="22"/>
        </w:rPr>
        <w:t>uary</w:t>
      </w:r>
      <w:r w:rsidRPr="003E4807" w:rsidR="00576533">
        <w:rPr>
          <w:b/>
          <w:bCs/>
          <w:szCs w:val="22"/>
        </w:rPr>
        <w:t xml:space="preserve"> 18</w:t>
      </w:r>
      <w:r w:rsidRPr="003E4807" w:rsidR="000B3F35">
        <w:rPr>
          <w:b/>
          <w:bCs/>
          <w:szCs w:val="22"/>
        </w:rPr>
        <w:t>, 202</w:t>
      </w:r>
      <w:r w:rsidRPr="003E4807" w:rsidR="00911690">
        <w:rPr>
          <w:b/>
          <w:bCs/>
          <w:szCs w:val="22"/>
        </w:rPr>
        <w:t>2</w:t>
      </w:r>
    </w:p>
    <w:p w:rsidR="003B27F7" w14:paraId="6D06BFFC" w14:textId="49CC2ED7">
      <w:pPr>
        <w:jc w:val="center"/>
        <w:rPr>
          <w:b/>
          <w:sz w:val="24"/>
        </w:rPr>
      </w:pPr>
    </w:p>
    <w:p w:rsidR="003B27F7" w:rsidRPr="00C71C33" w:rsidP="00C71C33" w14:paraId="392DCE8A" w14:textId="532AA7D4">
      <w:pPr>
        <w:spacing w:after="120"/>
        <w:ind w:firstLine="720"/>
        <w:rPr>
          <w:szCs w:val="22"/>
        </w:rPr>
      </w:pPr>
      <w:r w:rsidRPr="00D15D43">
        <w:rPr>
          <w:szCs w:val="22"/>
        </w:rPr>
        <w:t xml:space="preserve">By this </w:t>
      </w:r>
      <w:r w:rsidRPr="00D15D43">
        <w:rPr>
          <w:i/>
          <w:iCs/>
          <w:szCs w:val="22"/>
        </w:rPr>
        <w:t>Public Notice</w:t>
      </w:r>
      <w:r w:rsidRPr="00D15D43">
        <w:rPr>
          <w:szCs w:val="22"/>
        </w:rPr>
        <w:t>, the Public Safety and Homeland Security Bureau notifies interested parties of the filing deadlines for oppositions, and replies thereto, to</w:t>
      </w:r>
      <w:r>
        <w:rPr>
          <w:szCs w:val="22"/>
        </w:rPr>
        <w:t xml:space="preserve"> </w:t>
      </w:r>
      <w:r w:rsidRPr="00D15D43">
        <w:rPr>
          <w:szCs w:val="22"/>
        </w:rPr>
        <w:t>petition</w:t>
      </w:r>
      <w:r w:rsidR="00851C32">
        <w:rPr>
          <w:szCs w:val="22"/>
        </w:rPr>
        <w:t>s</w:t>
      </w:r>
      <w:r w:rsidRPr="00D15D43">
        <w:rPr>
          <w:szCs w:val="22"/>
        </w:rPr>
        <w:t xml:space="preserve"> for reconsideration</w:t>
      </w:r>
      <w:r>
        <w:rPr>
          <w:szCs w:val="22"/>
        </w:rPr>
        <w:t xml:space="preserve"> </w:t>
      </w:r>
      <w:r w:rsidR="00851C32">
        <w:rPr>
          <w:szCs w:val="22"/>
        </w:rPr>
        <w:t>of the Report and Order released on June 25, 2021 in the 911 fee diversion proceeding.</w:t>
      </w:r>
      <w:r>
        <w:rPr>
          <w:iCs/>
          <w:szCs w:val="22"/>
          <w:vertAlign w:val="superscript"/>
        </w:rPr>
        <w:footnoteReference w:id="3"/>
      </w:r>
      <w:r w:rsidR="00851C32">
        <w:rPr>
          <w:szCs w:val="22"/>
        </w:rPr>
        <w:t xml:space="preserve"> </w:t>
      </w:r>
      <w:r w:rsidR="00C13951">
        <w:rPr>
          <w:szCs w:val="22"/>
        </w:rPr>
        <w:t xml:space="preserve"> </w:t>
      </w:r>
      <w:r w:rsidR="00851C32">
        <w:rPr>
          <w:szCs w:val="22"/>
        </w:rPr>
        <w:t xml:space="preserve">The petitions for reconsideration were </w:t>
      </w:r>
      <w:r>
        <w:rPr>
          <w:szCs w:val="22"/>
        </w:rPr>
        <w:t xml:space="preserve">filed by the </w:t>
      </w:r>
      <w:r>
        <w:t>Boulder Regional Emergency Telephone Service Authority (BRETSA)</w:t>
      </w:r>
      <w:r>
        <w:rPr>
          <w:rStyle w:val="FootnoteReference"/>
          <w:szCs w:val="22"/>
        </w:rPr>
        <w:footnoteReference w:id="4"/>
      </w:r>
      <w:r>
        <w:rPr>
          <w:szCs w:val="22"/>
        </w:rPr>
        <w:t xml:space="preserve"> and </w:t>
      </w:r>
      <w:r w:rsidR="00CD7E0F">
        <w:t>the City of Aurora 911 Authority</w:t>
      </w:r>
      <w:r w:rsidR="00851C32">
        <w:t xml:space="preserve"> and other Colorado emergency telephone service entities.</w:t>
      </w:r>
      <w:r>
        <w:rPr>
          <w:rStyle w:val="FootnoteReference"/>
        </w:rPr>
        <w:footnoteReference w:id="5"/>
      </w:r>
      <w:r>
        <w:rPr>
          <w:szCs w:val="22"/>
        </w:rPr>
        <w:t xml:space="preserve"> </w:t>
      </w:r>
    </w:p>
    <w:p w:rsidR="003B114D" w:rsidRPr="00D15D43" w:rsidP="003B114D" w14:paraId="61307D7E" w14:textId="2CCD4395">
      <w:pPr>
        <w:spacing w:after="120"/>
        <w:ind w:firstLine="720"/>
        <w:rPr>
          <w:szCs w:val="22"/>
        </w:rPr>
      </w:pPr>
      <w:bookmarkStart w:id="0" w:name="TOChere"/>
      <w:r>
        <w:rPr>
          <w:szCs w:val="22"/>
        </w:rPr>
        <w:t>The Bureau previously announced that o</w:t>
      </w:r>
      <w:r w:rsidRPr="00D15D43">
        <w:rPr>
          <w:szCs w:val="22"/>
        </w:rPr>
        <w:t>ppositions to the petition</w:t>
      </w:r>
      <w:r>
        <w:rPr>
          <w:szCs w:val="22"/>
        </w:rPr>
        <w:t>s</w:t>
      </w:r>
      <w:r w:rsidRPr="00D15D43">
        <w:rPr>
          <w:szCs w:val="22"/>
        </w:rPr>
        <w:t xml:space="preserve"> for reconsideration must be filed </w:t>
      </w:r>
      <w:r w:rsidR="00851C32">
        <w:rPr>
          <w:szCs w:val="22"/>
        </w:rPr>
        <w:t>within</w:t>
      </w:r>
      <w:r w:rsidRPr="00D15D43">
        <w:rPr>
          <w:szCs w:val="22"/>
        </w:rPr>
        <w:t xml:space="preserve"> 15 days after the date </w:t>
      </w:r>
      <w:r w:rsidR="007B40F3">
        <w:rPr>
          <w:szCs w:val="22"/>
        </w:rPr>
        <w:t xml:space="preserve">on which </w:t>
      </w:r>
      <w:r w:rsidR="00CF0A8E">
        <w:rPr>
          <w:szCs w:val="22"/>
        </w:rPr>
        <w:t>the Federal Register publishes notice of t</w:t>
      </w:r>
      <w:r w:rsidR="007B40F3">
        <w:rPr>
          <w:szCs w:val="22"/>
        </w:rPr>
        <w:t>he filing of the petitions</w:t>
      </w:r>
      <w:r>
        <w:rPr>
          <w:szCs w:val="22"/>
        </w:rPr>
        <w:t>, and that</w:t>
      </w:r>
      <w:r w:rsidRPr="00D15D43">
        <w:rPr>
          <w:szCs w:val="22"/>
        </w:rPr>
        <w:t xml:space="preserve"> </w:t>
      </w:r>
      <w:r>
        <w:rPr>
          <w:szCs w:val="22"/>
        </w:rPr>
        <w:t>r</w:t>
      </w:r>
      <w:r w:rsidRPr="00D15D43">
        <w:rPr>
          <w:szCs w:val="22"/>
        </w:rPr>
        <w:t xml:space="preserve">eplies to oppositions must be filed </w:t>
      </w:r>
      <w:r w:rsidR="00851C32">
        <w:rPr>
          <w:szCs w:val="22"/>
        </w:rPr>
        <w:t>within 10 days after the time for filing oppositions has expired</w:t>
      </w:r>
      <w:r w:rsidRPr="00D15D43">
        <w:rPr>
          <w:szCs w:val="22"/>
        </w:rPr>
        <w:t>.</w:t>
      </w:r>
      <w:r>
        <w:rPr>
          <w:rStyle w:val="FootnoteReference"/>
          <w:szCs w:val="22"/>
        </w:rPr>
        <w:footnoteReference w:id="6"/>
      </w:r>
      <w:r w:rsidR="00C07D56">
        <w:rPr>
          <w:szCs w:val="22"/>
        </w:rPr>
        <w:t xml:space="preserve"> </w:t>
      </w:r>
      <w:r w:rsidRPr="00D15D43">
        <w:rPr>
          <w:szCs w:val="22"/>
        </w:rPr>
        <w:t xml:space="preserve"> </w:t>
      </w:r>
      <w:r>
        <w:rPr>
          <w:szCs w:val="22"/>
        </w:rPr>
        <w:t xml:space="preserve">The Federal Register published notice of the filing of the petitions for </w:t>
      </w:r>
      <w:r w:rsidR="007B40F3">
        <w:rPr>
          <w:szCs w:val="22"/>
        </w:rPr>
        <w:t>re</w:t>
      </w:r>
      <w:r>
        <w:rPr>
          <w:szCs w:val="22"/>
        </w:rPr>
        <w:t xml:space="preserve">consideration on </w:t>
      </w:r>
      <w:r w:rsidRPr="003E4807" w:rsidR="00576533">
        <w:rPr>
          <w:szCs w:val="22"/>
        </w:rPr>
        <w:t>Dec</w:t>
      </w:r>
      <w:r w:rsidR="00A9210B">
        <w:rPr>
          <w:szCs w:val="22"/>
        </w:rPr>
        <w:t>ember</w:t>
      </w:r>
      <w:r w:rsidRPr="003E4807" w:rsidR="00576533">
        <w:rPr>
          <w:szCs w:val="22"/>
        </w:rPr>
        <w:t xml:space="preserve"> 22</w:t>
      </w:r>
      <w:r w:rsidRPr="003E4807">
        <w:rPr>
          <w:szCs w:val="22"/>
        </w:rPr>
        <w:t>, 2021.</w:t>
      </w:r>
      <w:r>
        <w:rPr>
          <w:rStyle w:val="FootnoteReference"/>
          <w:szCs w:val="22"/>
        </w:rPr>
        <w:footnoteReference w:id="7"/>
      </w:r>
      <w:r w:rsidR="00842AB6">
        <w:rPr>
          <w:szCs w:val="22"/>
        </w:rPr>
        <w:t xml:space="preserve"> </w:t>
      </w:r>
      <w:r w:rsidR="003E11CB">
        <w:rPr>
          <w:szCs w:val="22"/>
        </w:rPr>
        <w:t xml:space="preserve"> </w:t>
      </w:r>
      <w:r w:rsidRPr="00571383" w:rsidR="00842AB6">
        <w:rPr>
          <w:szCs w:val="22"/>
        </w:rPr>
        <w:t xml:space="preserve">Accordingly, oppositions to the </w:t>
      </w:r>
      <w:r w:rsidR="002E6A01">
        <w:rPr>
          <w:szCs w:val="22"/>
        </w:rPr>
        <w:t>p</w:t>
      </w:r>
      <w:r w:rsidRPr="00571383" w:rsidR="00842AB6">
        <w:rPr>
          <w:szCs w:val="22"/>
        </w:rPr>
        <w:t>etition</w:t>
      </w:r>
      <w:r w:rsidR="00842AB6">
        <w:rPr>
          <w:szCs w:val="22"/>
        </w:rPr>
        <w:t>s</w:t>
      </w:r>
      <w:r w:rsidRPr="00571383" w:rsidR="00842AB6">
        <w:rPr>
          <w:szCs w:val="22"/>
        </w:rPr>
        <w:t xml:space="preserve"> are due on </w:t>
      </w:r>
      <w:r w:rsidRPr="003E4807" w:rsidR="00576533">
        <w:rPr>
          <w:b/>
          <w:bCs/>
          <w:szCs w:val="22"/>
        </w:rPr>
        <w:t>Jan</w:t>
      </w:r>
      <w:r w:rsidR="00A9210B">
        <w:rPr>
          <w:b/>
          <w:bCs/>
          <w:szCs w:val="22"/>
        </w:rPr>
        <w:t>uary</w:t>
      </w:r>
      <w:r w:rsidRPr="003E4807" w:rsidR="00576533">
        <w:rPr>
          <w:b/>
          <w:bCs/>
          <w:szCs w:val="22"/>
        </w:rPr>
        <w:t xml:space="preserve"> 6</w:t>
      </w:r>
      <w:r w:rsidRPr="003E4807" w:rsidR="00842AB6">
        <w:rPr>
          <w:b/>
          <w:bCs/>
          <w:szCs w:val="22"/>
        </w:rPr>
        <w:t>, 202</w:t>
      </w:r>
      <w:r w:rsidRPr="003E4807" w:rsidR="00911690">
        <w:rPr>
          <w:b/>
          <w:bCs/>
          <w:szCs w:val="22"/>
        </w:rPr>
        <w:t>2</w:t>
      </w:r>
      <w:r w:rsidRPr="00571383" w:rsidR="00842AB6">
        <w:rPr>
          <w:szCs w:val="22"/>
        </w:rPr>
        <w:t xml:space="preserve">, and replies to oppositions are due on </w:t>
      </w:r>
      <w:r w:rsidRPr="003E4807" w:rsidR="00576533">
        <w:rPr>
          <w:b/>
          <w:bCs/>
          <w:szCs w:val="22"/>
        </w:rPr>
        <w:t>Jan</w:t>
      </w:r>
      <w:r w:rsidR="00A9210B">
        <w:rPr>
          <w:b/>
          <w:bCs/>
          <w:szCs w:val="22"/>
        </w:rPr>
        <w:t>uary</w:t>
      </w:r>
      <w:r w:rsidRPr="003E4807" w:rsidR="00576533">
        <w:rPr>
          <w:b/>
          <w:bCs/>
          <w:szCs w:val="22"/>
        </w:rPr>
        <w:t xml:space="preserve"> 18</w:t>
      </w:r>
      <w:r w:rsidRPr="003E4807" w:rsidR="00842AB6">
        <w:rPr>
          <w:b/>
          <w:bCs/>
          <w:szCs w:val="22"/>
        </w:rPr>
        <w:t>, 202</w:t>
      </w:r>
      <w:r w:rsidRPr="003E4807" w:rsidR="00911690">
        <w:rPr>
          <w:b/>
          <w:bCs/>
          <w:szCs w:val="22"/>
        </w:rPr>
        <w:t>2</w:t>
      </w:r>
      <w:r w:rsidRPr="003E4807" w:rsidR="00842AB6">
        <w:rPr>
          <w:szCs w:val="22"/>
        </w:rPr>
        <w:t>.</w:t>
      </w:r>
    </w:p>
    <w:p w:rsidR="00C71C33" w:rsidP="00C71C33" w14:paraId="28FF33B4" w14:textId="2C397A0A">
      <w:pPr>
        <w:ind w:firstLine="720"/>
      </w:pPr>
      <w:r w:rsidRPr="00C71C33">
        <w:rPr>
          <w:i/>
          <w:iCs/>
        </w:rPr>
        <w:t>Filing Procedures</w:t>
      </w:r>
      <w:r w:rsidRPr="00C71C33">
        <w:t xml:space="preserve">.  </w:t>
      </w:r>
      <w:r w:rsidR="00851C32">
        <w:t>Oppositions and replies</w:t>
      </w:r>
      <w:r w:rsidRPr="00C71C33">
        <w:t xml:space="preserve"> may be filed using the Commission’s Electronic Comment Filing System (ECFS)</w:t>
      </w:r>
      <w:r w:rsidR="00CA665E">
        <w:t>, or by filing paper copies</w:t>
      </w:r>
      <w:r w:rsidRPr="00C71C33">
        <w:t>.</w:t>
      </w:r>
      <w:r>
        <w:rPr>
          <w:rStyle w:val="FootnoteReference"/>
        </w:rPr>
        <w:footnoteReference w:id="8"/>
      </w:r>
      <w:r w:rsidRPr="00C71C33">
        <w:t xml:space="preserve">  </w:t>
      </w:r>
      <w:r w:rsidR="00C07D56">
        <w:t>Oppositions and replies</w:t>
      </w:r>
      <w:r w:rsidRPr="00C71C33">
        <w:t xml:space="preserve"> should refer to </w:t>
      </w:r>
      <w:r>
        <w:t>PS Docket Nos. 20-291 and 09-14</w:t>
      </w:r>
      <w:r w:rsidRPr="00C71C33">
        <w:t xml:space="preserve">. </w:t>
      </w:r>
    </w:p>
    <w:p w:rsidR="00807F3E" w:rsidRPr="00C71C33" w:rsidP="00C71C33" w14:paraId="3D5A7527" w14:textId="77777777">
      <w:pPr>
        <w:ind w:firstLine="720"/>
      </w:pPr>
    </w:p>
    <w:p w:rsidR="00C71C33" w:rsidP="00C71C33" w14:paraId="616F50F0" w14:textId="3AA9ABCA">
      <w:pPr>
        <w:numPr>
          <w:ilvl w:val="0"/>
          <w:numId w:val="7"/>
        </w:numPr>
      </w:pPr>
      <w:r w:rsidRPr="00C71C33">
        <w:t xml:space="preserve">Electronic filers:  </w:t>
      </w:r>
      <w:r w:rsidR="00384862">
        <w:t>Oppositions and replies</w:t>
      </w:r>
      <w:r w:rsidRPr="00C71C33">
        <w:t xml:space="preserve"> may be filed electronically using the Internet by accessing the ECFS:  </w:t>
      </w:r>
      <w:hyperlink r:id="rId5" w:history="1">
        <w:r w:rsidRPr="00C71C33">
          <w:rPr>
            <w:rStyle w:val="Hyperlink"/>
          </w:rPr>
          <w:t>http://apps.fcc.gov/ecfs/</w:t>
        </w:r>
      </w:hyperlink>
      <w:r w:rsidRPr="00C71C33">
        <w:t>.</w:t>
      </w:r>
    </w:p>
    <w:p w:rsidR="00807F3E" w:rsidRPr="00C71C33" w:rsidP="00807F3E" w14:paraId="74BF1B83" w14:textId="77777777">
      <w:pPr>
        <w:ind w:left="1440"/>
      </w:pPr>
    </w:p>
    <w:p w:rsidR="00C71C33" w:rsidP="00C71C33" w14:paraId="0680EB25" w14:textId="628F5824">
      <w:pPr>
        <w:numPr>
          <w:ilvl w:val="0"/>
          <w:numId w:val="7"/>
        </w:numPr>
      </w:pPr>
      <w:r w:rsidRPr="00C71C33">
        <w:t xml:space="preserve">Paper filers:  Parties who choose to file by paper must file an original and one copy of each filing.  </w:t>
      </w:r>
    </w:p>
    <w:p w:rsidR="00807F3E" w:rsidRPr="00C71C33" w:rsidP="00807F3E" w14:paraId="3035381E" w14:textId="12950893">
      <w:r>
        <w:t>21-</w:t>
      </w:r>
    </w:p>
    <w:p w:rsidR="00C71C33" w:rsidP="00C71C33" w14:paraId="1AC9A9C2" w14:textId="3785B5FF">
      <w:pPr>
        <w:numPr>
          <w:ilvl w:val="0"/>
          <w:numId w:val="7"/>
        </w:numPr>
      </w:pPr>
      <w:r w:rsidRPr="00D15D43">
        <w:rPr>
          <w:szCs w:val="22"/>
        </w:rPr>
        <w:t xml:space="preserve">Filings can be sent by commercial overnight courier, or by first-class or overnight U.S. Postal Service mail. </w:t>
      </w:r>
      <w:r>
        <w:rPr>
          <w:szCs w:val="22"/>
        </w:rPr>
        <w:t xml:space="preserve"> </w:t>
      </w:r>
      <w:r w:rsidRPr="00C71C33">
        <w:t>All filings must be addressed to the Commission’s Secretary, Office of the Secretary, Federal Communications Commission.</w:t>
      </w:r>
    </w:p>
    <w:p w:rsidR="00807F3E" w:rsidRPr="00C71C33" w:rsidP="00807F3E" w14:paraId="18128F12" w14:textId="77777777"/>
    <w:p w:rsidR="00C71C33" w:rsidP="00807F3E" w14:paraId="3082641D" w14:textId="75A7CCCB">
      <w:pPr>
        <w:numPr>
          <w:ilvl w:val="0"/>
          <w:numId w:val="7"/>
        </w:numPr>
      </w:pPr>
      <w:r w:rsidRPr="00C71C33">
        <w:t>Commercial overnight mail (other than U.S. Postal Service Express Mail and Priority Mail) must be sent to 9050 Junction Drive, Annapolis Junction, MD 20701.</w:t>
      </w:r>
      <w:r w:rsidR="00807F3E">
        <w:t xml:space="preserve">  </w:t>
      </w:r>
      <w:r w:rsidRPr="00C71C33">
        <w:t>U.S. Postal Service first-class, Express, and Priority mail must be addressed to 45 L St</w:t>
      </w:r>
      <w:r w:rsidR="00851C32">
        <w:t>reet</w:t>
      </w:r>
      <w:r w:rsidRPr="00C71C33">
        <w:t xml:space="preserve"> NE, Washington, DC 20554.</w:t>
      </w:r>
    </w:p>
    <w:p w:rsidR="00807F3E" w:rsidRPr="00C71C33" w:rsidP="00807F3E" w14:paraId="5694E96F" w14:textId="77777777">
      <w:pPr>
        <w:ind w:left="2160"/>
      </w:pPr>
    </w:p>
    <w:p w:rsidR="00C71C33" w:rsidRPr="00C71C33" w:rsidP="00C71C33" w14:paraId="1547693B" w14:textId="77777777">
      <w:pPr>
        <w:numPr>
          <w:ilvl w:val="0"/>
          <w:numId w:val="7"/>
        </w:numPr>
      </w:pPr>
      <w:r w:rsidRPr="00C71C33">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C71C33">
        <w:rPr>
          <w:i/>
        </w:rPr>
        <w:t>See FCC Announces Closure of FCC Headquarters Open Window and Change in Hand-Delivery Policy</w:t>
      </w:r>
      <w:r w:rsidRPr="00C71C33">
        <w:t xml:space="preserve">, Public Notice, DA 20-304 (March 19, 2020), </w:t>
      </w:r>
      <w:hyperlink r:id="rId6" w:history="1">
        <w:r w:rsidRPr="00C71C33">
          <w:rPr>
            <w:rStyle w:val="Hyperlink"/>
          </w:rPr>
          <w:t>https://www.fcc.gov/document/fcc-closes-headquarters-open-window-and-changes-hand-delivery-policy</w:t>
        </w:r>
      </w:hyperlink>
      <w:r w:rsidRPr="00C71C33">
        <w:t>.</w:t>
      </w:r>
    </w:p>
    <w:p w:rsidR="00C71C33" w:rsidRPr="00C71C33" w:rsidP="00C71C33" w14:paraId="6F9CB4DA" w14:textId="77777777">
      <w:pPr>
        <w:numPr>
          <w:ilvl w:val="1"/>
          <w:numId w:val="7"/>
        </w:numPr>
      </w:pPr>
      <w:r w:rsidRPr="00C71C33">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C71C33" w:rsidP="00C71C33" w14:paraId="69D306C7" w14:textId="513FEECC">
      <w:pPr>
        <w:numPr>
          <w:ilvl w:val="1"/>
          <w:numId w:val="7"/>
        </w:numPr>
      </w:pPr>
      <w:r w:rsidRPr="00C71C33">
        <w:t>After COVID-19 restrictions are lifted, the Commission has established that hand-carried documents are to be filed at the Commission’s office located at 9050 Junction Drive, Annapolis Junction, MD 20701.  This will be the only location where hand-carried paper filings for the Commission will be accepted.</w:t>
      </w:r>
      <w:r>
        <w:rPr>
          <w:vertAlign w:val="superscript"/>
        </w:rPr>
        <w:footnoteReference w:id="9"/>
      </w:r>
    </w:p>
    <w:p w:rsidR="00807F3E" w:rsidRPr="00C71C33" w:rsidP="00807F3E" w14:paraId="1CB8E70C" w14:textId="77777777">
      <w:pPr>
        <w:ind w:left="2160"/>
      </w:pPr>
    </w:p>
    <w:p w:rsidR="00C71C33" w:rsidP="00807F3E" w14:paraId="5FB7FC99" w14:textId="37D07524">
      <w:pPr>
        <w:ind w:firstLine="720"/>
      </w:pPr>
      <w:r w:rsidRPr="00C71C33">
        <w:rPr>
          <w:i/>
          <w:iCs/>
        </w:rPr>
        <w:t>People with Disabilities</w:t>
      </w:r>
      <w:r w:rsidR="00C13951">
        <w:rPr>
          <w:i/>
          <w:iCs/>
        </w:rPr>
        <w:t>.</w:t>
      </w:r>
      <w:r w:rsidRPr="00C71C33">
        <w:rPr>
          <w:i/>
          <w:iCs/>
        </w:rPr>
        <w:t xml:space="preserve">  </w:t>
      </w:r>
      <w:r w:rsidRPr="00C71C33">
        <w:t xml:space="preserve">To request materials in accessible formats for people with disabilities (Braille, large print, electronic files, audio format), send an e-mail to </w:t>
      </w:r>
      <w:hyperlink r:id="rId7" w:history="1">
        <w:r w:rsidRPr="00C71C33">
          <w:rPr>
            <w:rStyle w:val="Hyperlink"/>
          </w:rPr>
          <w:t>fcc504@fcc.gov</w:t>
        </w:r>
      </w:hyperlink>
      <w:r w:rsidRPr="00C71C33">
        <w:t xml:space="preserve"> or call the Consumer and Governmental Affairs Bureau at (202) 418-0530 (voice). </w:t>
      </w:r>
    </w:p>
    <w:p w:rsidR="00851C32" w:rsidP="00807F3E" w14:paraId="63640F24" w14:textId="10A5D42A">
      <w:pPr>
        <w:ind w:firstLine="720"/>
      </w:pPr>
    </w:p>
    <w:p w:rsidR="00851C32" w:rsidRPr="00851C32" w:rsidP="00851C32" w14:paraId="44C8FAF1" w14:textId="45F8C8AC">
      <w:pPr>
        <w:ind w:firstLine="720"/>
        <w:rPr>
          <w:szCs w:val="22"/>
        </w:rPr>
      </w:pPr>
      <w:r w:rsidRPr="00CE40F9">
        <w:rPr>
          <w:i/>
          <w:iCs/>
          <w:szCs w:val="22"/>
        </w:rPr>
        <w:t xml:space="preserve">Ex </w:t>
      </w:r>
      <w:r w:rsidRPr="00CE40F9">
        <w:rPr>
          <w:i/>
          <w:iCs/>
          <w:szCs w:val="22"/>
        </w:rPr>
        <w:t>Parte</w:t>
      </w:r>
      <w:r w:rsidRPr="00CE40F9">
        <w:rPr>
          <w:i/>
          <w:iCs/>
          <w:szCs w:val="22"/>
        </w:rPr>
        <w:t xml:space="preserve"> Rules</w:t>
      </w:r>
      <w:r>
        <w:rPr>
          <w:szCs w:val="22"/>
        </w:rPr>
        <w:t>.</w:t>
      </w:r>
      <w:r w:rsidRPr="00CE40F9">
        <w:rPr>
          <w:szCs w:val="22"/>
        </w:rPr>
        <w:t xml:space="preserve">  This proceeding shall continue to be treated as a “permit-but-disclose” proceeding in accordance with the Commission’s </w:t>
      </w:r>
      <w:r w:rsidRPr="00CE40F9">
        <w:rPr>
          <w:i/>
          <w:iCs/>
          <w:szCs w:val="22"/>
        </w:rPr>
        <w:t xml:space="preserve">ex </w:t>
      </w:r>
      <w:r w:rsidRPr="00CE40F9">
        <w:rPr>
          <w:i/>
          <w:iCs/>
          <w:szCs w:val="22"/>
        </w:rPr>
        <w:t>parte</w:t>
      </w:r>
      <w:r w:rsidRPr="00CE40F9">
        <w:rPr>
          <w:i/>
          <w:iCs/>
          <w:szCs w:val="22"/>
        </w:rPr>
        <w:t xml:space="preserve"> </w:t>
      </w:r>
      <w:r w:rsidRPr="00CE40F9">
        <w:rPr>
          <w:szCs w:val="22"/>
        </w:rPr>
        <w:t>rules.</w:t>
      </w:r>
      <w:r>
        <w:rPr>
          <w:szCs w:val="22"/>
          <w:vertAlign w:val="superscript"/>
        </w:rPr>
        <w:footnoteReference w:id="10"/>
      </w:r>
      <w:r w:rsidRPr="00CE40F9">
        <w:rPr>
          <w:szCs w:val="22"/>
        </w:rPr>
        <w:t xml:space="preserve">  Persons making </w:t>
      </w:r>
      <w:r w:rsidRPr="00CE40F9">
        <w:rPr>
          <w:i/>
          <w:szCs w:val="22"/>
        </w:rPr>
        <w:t xml:space="preserve">ex </w:t>
      </w:r>
      <w:r w:rsidRPr="00CE40F9">
        <w:rPr>
          <w:i/>
          <w:szCs w:val="22"/>
        </w:rPr>
        <w:t>parte</w:t>
      </w:r>
      <w:r w:rsidRPr="00CE40F9">
        <w:rPr>
          <w:i/>
          <w:szCs w:val="22"/>
        </w:rPr>
        <w:t xml:space="preserve"> </w:t>
      </w:r>
      <w:r w:rsidRPr="00CE40F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E40F9">
        <w:rPr>
          <w:i/>
          <w:iCs/>
          <w:szCs w:val="22"/>
        </w:rPr>
        <w:t xml:space="preserve">ex </w:t>
      </w:r>
      <w:r w:rsidRPr="00CE40F9">
        <w:rPr>
          <w:i/>
          <w:iCs/>
          <w:szCs w:val="22"/>
        </w:rPr>
        <w:t>parte</w:t>
      </w:r>
      <w:r w:rsidRPr="00CE40F9">
        <w:rPr>
          <w:i/>
          <w:iCs/>
          <w:szCs w:val="22"/>
        </w:rPr>
        <w:t xml:space="preserve"> </w:t>
      </w:r>
      <w:r w:rsidRPr="00CE40F9">
        <w:rPr>
          <w:szCs w:val="22"/>
        </w:rPr>
        <w:t xml:space="preserve">presentations are reminded that memoranda summarizing the presentation must (1) list all persons attending or otherwise participating in the meeting at which the </w:t>
      </w:r>
      <w:r w:rsidRPr="00CE40F9">
        <w:rPr>
          <w:i/>
          <w:iCs/>
          <w:szCs w:val="22"/>
        </w:rPr>
        <w:t xml:space="preserve">ex </w:t>
      </w:r>
      <w:r w:rsidRPr="00CE40F9">
        <w:rPr>
          <w:i/>
          <w:iCs/>
          <w:szCs w:val="22"/>
        </w:rPr>
        <w:t>parte</w:t>
      </w:r>
      <w:r w:rsidRPr="00CE40F9">
        <w:rPr>
          <w:i/>
          <w:iCs/>
          <w:szCs w:val="22"/>
        </w:rPr>
        <w:t xml:space="preserve"> </w:t>
      </w:r>
      <w:r w:rsidRPr="00CE40F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w:t>
      </w:r>
      <w:r w:rsidRPr="00CE40F9">
        <w:rPr>
          <w:szCs w:val="22"/>
        </w:rPr>
        <w:t xml:space="preserve">staff during </w:t>
      </w:r>
      <w:r w:rsidRPr="00CE40F9">
        <w:rPr>
          <w:i/>
          <w:iCs/>
          <w:szCs w:val="22"/>
        </w:rPr>
        <w:t xml:space="preserve">ex </w:t>
      </w:r>
      <w:r w:rsidRPr="00CE40F9">
        <w:rPr>
          <w:i/>
          <w:iCs/>
          <w:szCs w:val="22"/>
        </w:rPr>
        <w:t>parte</w:t>
      </w:r>
      <w:r w:rsidRPr="00CE40F9">
        <w:rPr>
          <w:i/>
          <w:iCs/>
          <w:szCs w:val="22"/>
        </w:rPr>
        <w:t xml:space="preserve"> </w:t>
      </w:r>
      <w:r w:rsidRPr="00CE40F9">
        <w:rPr>
          <w:szCs w:val="22"/>
        </w:rPr>
        <w:t xml:space="preserve">meetings are deemed to be written </w:t>
      </w:r>
      <w:r w:rsidRPr="00CE40F9">
        <w:rPr>
          <w:i/>
          <w:iCs/>
          <w:szCs w:val="22"/>
        </w:rPr>
        <w:t xml:space="preserve">ex </w:t>
      </w:r>
      <w:r w:rsidRPr="00CE40F9">
        <w:rPr>
          <w:i/>
          <w:iCs/>
          <w:szCs w:val="22"/>
        </w:rPr>
        <w:t>parte</w:t>
      </w:r>
      <w:r w:rsidRPr="00CE40F9">
        <w:rPr>
          <w:szCs w:val="22"/>
        </w:rPr>
        <w:t xml:space="preserve"> presentations and must be filed consistent with rule 1.1206(b).  In proceedings governed by rule 1.49(f) or for which the Commission has made available a method of electronic filing, written </w:t>
      </w:r>
      <w:r w:rsidRPr="00CE40F9">
        <w:rPr>
          <w:i/>
          <w:iCs/>
          <w:szCs w:val="22"/>
        </w:rPr>
        <w:t xml:space="preserve">ex </w:t>
      </w:r>
      <w:r w:rsidRPr="00CE40F9">
        <w:rPr>
          <w:i/>
          <w:iCs/>
          <w:szCs w:val="22"/>
        </w:rPr>
        <w:t>parte</w:t>
      </w:r>
      <w:r w:rsidRPr="00CE40F9">
        <w:rPr>
          <w:i/>
          <w:iCs/>
          <w:szCs w:val="22"/>
        </w:rPr>
        <w:t xml:space="preserve"> </w:t>
      </w:r>
      <w:r w:rsidRPr="00CE40F9">
        <w:rPr>
          <w:szCs w:val="22"/>
        </w:rPr>
        <w:t xml:space="preserve">presentations and memoranda summarizing oral </w:t>
      </w:r>
      <w:r w:rsidRPr="00CE40F9">
        <w:rPr>
          <w:i/>
          <w:iCs/>
          <w:szCs w:val="22"/>
        </w:rPr>
        <w:t xml:space="preserve">ex </w:t>
      </w:r>
      <w:r w:rsidRPr="00CE40F9">
        <w:rPr>
          <w:i/>
          <w:iCs/>
          <w:szCs w:val="22"/>
        </w:rPr>
        <w:t>parte</w:t>
      </w:r>
      <w:r w:rsidRPr="00CE40F9">
        <w:rPr>
          <w:i/>
          <w:iCs/>
          <w:szCs w:val="22"/>
        </w:rPr>
        <w:t xml:space="preserve"> </w:t>
      </w:r>
      <w:r w:rsidRPr="00CE40F9">
        <w:rPr>
          <w:szCs w:val="22"/>
        </w:rP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CE40F9">
        <w:rPr>
          <w:i/>
          <w:iCs/>
          <w:szCs w:val="22"/>
        </w:rPr>
        <w:t xml:space="preserve">ex </w:t>
      </w:r>
      <w:r w:rsidRPr="00CE40F9">
        <w:rPr>
          <w:i/>
          <w:iCs/>
          <w:szCs w:val="22"/>
        </w:rPr>
        <w:t>parte</w:t>
      </w:r>
      <w:r w:rsidRPr="00CE40F9">
        <w:rPr>
          <w:i/>
          <w:iCs/>
          <w:szCs w:val="22"/>
        </w:rPr>
        <w:t xml:space="preserve"> </w:t>
      </w:r>
      <w:r w:rsidRPr="00CE40F9">
        <w:rPr>
          <w:szCs w:val="22"/>
        </w:rPr>
        <w:t>rules.</w:t>
      </w:r>
      <w:r w:rsidRPr="00212278">
        <w:rPr>
          <w:szCs w:val="22"/>
        </w:rPr>
        <w:t xml:space="preserve"> </w:t>
      </w:r>
    </w:p>
    <w:p w:rsidR="00807F3E" w:rsidRPr="00C71C33" w:rsidP="00807F3E" w14:paraId="71C72FE1" w14:textId="77777777">
      <w:pPr>
        <w:ind w:firstLine="720"/>
      </w:pPr>
    </w:p>
    <w:p w:rsidR="007B7322" w:rsidP="00807F3E" w14:paraId="4A44EC48" w14:textId="0D03B689">
      <w:pPr>
        <w:ind w:firstLine="720"/>
      </w:pPr>
      <w:r w:rsidRPr="00C71C33">
        <w:rPr>
          <w:i/>
          <w:iCs/>
        </w:rPr>
        <w:t>Additional Information</w:t>
      </w:r>
      <w:r w:rsidRPr="00C71C33">
        <w:t xml:space="preserve">.  For additional information on this proceeding, contact </w:t>
      </w:r>
      <w:r w:rsidR="00807F3E">
        <w:t>Brenda Boykin</w:t>
      </w:r>
      <w:r w:rsidR="00AA65EF">
        <w:t>,</w:t>
      </w:r>
      <w:r w:rsidR="00807F3E">
        <w:t xml:space="preserve"> </w:t>
      </w:r>
      <w:r w:rsidR="007C11B4">
        <w:t xml:space="preserve">Deputy Chief, </w:t>
      </w:r>
      <w:r w:rsidR="00807F3E">
        <w:t>Policy and Licensing Division,</w:t>
      </w:r>
      <w:r w:rsidRPr="00C71C33">
        <w:t xml:space="preserve"> Public Safety and Homeland Security Bureau</w:t>
      </w:r>
      <w:r w:rsidR="00506C17">
        <w:t>,</w:t>
      </w:r>
      <w:r w:rsidRPr="00C71C33">
        <w:t xml:space="preserve"> at (202) 418-</w:t>
      </w:r>
      <w:r w:rsidR="00807F3E">
        <w:t>2062</w:t>
      </w:r>
      <w:r w:rsidRPr="00C71C33">
        <w:t xml:space="preserve"> or </w:t>
      </w:r>
      <w:hyperlink r:id="rId8" w:history="1">
        <w:r w:rsidRPr="00900D9B" w:rsidR="00807F3E">
          <w:rPr>
            <w:rStyle w:val="Hyperlink"/>
          </w:rPr>
          <w:t>Brenda.Boykin@fcc.gov</w:t>
        </w:r>
      </w:hyperlink>
      <w:r w:rsidR="00851C32">
        <w:t>.</w:t>
      </w:r>
    </w:p>
    <w:p w:rsidR="00C71C33" w:rsidRPr="00C71C33" w:rsidP="007B7322" w14:paraId="30626089" w14:textId="0F541DA5">
      <w:r w:rsidRPr="00C71C33">
        <w:t xml:space="preserve"> </w:t>
      </w:r>
    </w:p>
    <w:p w:rsidR="0035099A" w14:paraId="6CBDA7C1" w14:textId="77777777"/>
    <w:p w:rsidR="0035099A" w14:paraId="42D99717" w14:textId="77777777"/>
    <w:p w:rsidR="0035099A" w14:paraId="3086307D" w14:textId="77777777"/>
    <w:bookmarkEnd w:id="0"/>
    <w:p w:rsidR="001447F7" w14:paraId="26FEEACD" w14:textId="77777777"/>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099A" w14:paraId="0323A9BD" w14:textId="77777777">
    <w:pPr>
      <w:pStyle w:val="Footer"/>
      <w:framePr w:wrap="around" w:vAnchor="text" w:hAnchor="margin" w:xAlign="center" w:y="1"/>
    </w:pPr>
    <w:r>
      <w:fldChar w:fldCharType="begin"/>
    </w:r>
    <w:r>
      <w:instrText xml:space="preserve">PAGE  </w:instrText>
    </w:r>
    <w:r>
      <w:fldChar w:fldCharType="separate"/>
    </w:r>
    <w:r>
      <w:fldChar w:fldCharType="end"/>
    </w:r>
  </w:p>
  <w:p w:rsidR="0035099A" w14:paraId="0A3374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099A" w14:paraId="5684E3C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099A" w14:paraId="448B2F8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47F7" w14:paraId="1C828794" w14:textId="77777777">
      <w:r>
        <w:separator/>
      </w:r>
    </w:p>
  </w:footnote>
  <w:footnote w:type="continuationSeparator" w:id="1">
    <w:p w:rsidR="001447F7" w14:paraId="1CC7BE47" w14:textId="77777777">
      <w:pPr>
        <w:rPr>
          <w:sz w:val="20"/>
        </w:rPr>
      </w:pPr>
      <w:r>
        <w:rPr>
          <w:sz w:val="20"/>
        </w:rPr>
        <w:t xml:space="preserve">(Continued from previous page)  </w:t>
      </w:r>
      <w:r>
        <w:rPr>
          <w:sz w:val="20"/>
        </w:rPr>
        <w:separator/>
      </w:r>
    </w:p>
  </w:footnote>
  <w:footnote w:type="continuationNotice" w:id="2">
    <w:p w:rsidR="001447F7" w14:paraId="3BCC8F48" w14:textId="77777777">
      <w:pPr>
        <w:jc w:val="right"/>
        <w:rPr>
          <w:sz w:val="20"/>
        </w:rPr>
      </w:pPr>
      <w:r>
        <w:rPr>
          <w:sz w:val="20"/>
        </w:rPr>
        <w:t>(continued….)</w:t>
      </w:r>
    </w:p>
  </w:footnote>
  <w:footnote w:id="3">
    <w:p w:rsidR="00851C32" w:rsidRPr="00C41408" w:rsidP="00851C32" w14:paraId="57B0D06C" w14:textId="77777777">
      <w:pPr>
        <w:pStyle w:val="FootnoteText"/>
        <w:ind w:right="-720"/>
      </w:pPr>
      <w:r w:rsidRPr="00CF1DBF">
        <w:rPr>
          <w:rStyle w:val="FootnoteReference"/>
        </w:rPr>
        <w:footnoteRef/>
      </w:r>
      <w:r w:rsidRPr="00CF1DBF">
        <w:t xml:space="preserve"> </w:t>
      </w:r>
      <w:r w:rsidRPr="00203172">
        <w:rPr>
          <w:i/>
          <w:iCs/>
        </w:rPr>
        <w:t>911 Fee Diversion; New and Emerging Technologies 911 Improvement Act of 2008</w:t>
      </w:r>
      <w:r>
        <w:t>, PS Docket Nos. 20-291 and 09-14, Report and Order, FCC 21-80 (June 25, 2021) (</w:t>
      </w:r>
      <w:r w:rsidRPr="00D91FE7">
        <w:rPr>
          <w:i/>
          <w:iCs/>
        </w:rPr>
        <w:t>Report and Order</w:t>
      </w:r>
      <w:r>
        <w:t>).</w:t>
      </w:r>
    </w:p>
  </w:footnote>
  <w:footnote w:id="4">
    <w:p w:rsidR="00CD7E0F" w14:paraId="3ED11C4B" w14:textId="62324777">
      <w:pPr>
        <w:pStyle w:val="FootnoteText"/>
      </w:pPr>
      <w:r>
        <w:rPr>
          <w:rStyle w:val="FootnoteReference"/>
        </w:rPr>
        <w:footnoteRef/>
      </w:r>
      <w:r>
        <w:t xml:space="preserve"> BRETSA Petition for Reconsideration, PS Docket Nos. 20-291 and 09-14 (filed Sept. 16, 2021), </w:t>
      </w:r>
      <w:hyperlink r:id="rId1" w:history="1">
        <w:r w:rsidRPr="009C0538">
          <w:rPr>
            <w:rStyle w:val="Hyperlink"/>
          </w:rPr>
          <w:t>https://ecfsapi.fcc.gov/file/10916823228843/BRETSA%20210916%20Pet_Recon%20210625%20R%26O%20911%20Fee%20Diversion%20NPRM%20%20PS%2020-291%20and%2009-14.pdf</w:t>
        </w:r>
      </w:hyperlink>
      <w:r>
        <w:t>.</w:t>
      </w:r>
    </w:p>
  </w:footnote>
  <w:footnote w:id="5">
    <w:p w:rsidR="00CD7E0F" w:rsidP="00CD7E0F" w14:paraId="011C7875" w14:textId="21110CB5">
      <w:pPr>
        <w:pStyle w:val="FootnoteText"/>
      </w:pPr>
      <w:r>
        <w:rPr>
          <w:rStyle w:val="FootnoteReference"/>
        </w:rPr>
        <w:footnoteRef/>
      </w:r>
      <w:r>
        <w:t xml:space="preserve"> City of Aurora 911 Authority et al. Notice of Final Rules Petition for Reconsideration, PS Docket Nos. 20-291 and 09-14 (filed Sept. 15, 2021), </w:t>
      </w:r>
      <w:hyperlink r:id="rId2" w:history="1">
        <w:r w:rsidRPr="009C0538">
          <w:rPr>
            <w:rStyle w:val="Hyperlink"/>
          </w:rPr>
          <w:t>https://ecfsapi.fcc.gov/file/10915145788739/Petition%20for%20Reconsideration%20Regarding%20Proposed%20FCC%20911%20Anti-Fee-Diversion%20Rules(00847827_xAF7F5)).pdf</w:t>
        </w:r>
      </w:hyperlink>
      <w:r>
        <w:t>.</w:t>
      </w:r>
    </w:p>
  </w:footnote>
  <w:footnote w:id="6">
    <w:p w:rsidR="003B114D" w:rsidP="003B114D" w14:paraId="0D044777" w14:textId="325CFA6C">
      <w:pPr>
        <w:pStyle w:val="FootnoteText"/>
      </w:pPr>
      <w:r>
        <w:rPr>
          <w:rStyle w:val="FootnoteReference"/>
        </w:rPr>
        <w:footnoteRef/>
      </w:r>
      <w:r>
        <w:t xml:space="preserve"> </w:t>
      </w:r>
      <w:r w:rsidRPr="00184869">
        <w:rPr>
          <w:i/>
          <w:iCs/>
        </w:rPr>
        <w:t>See</w:t>
      </w:r>
      <w:r>
        <w:t xml:space="preserve"> </w:t>
      </w:r>
      <w:r w:rsidR="00C13951">
        <w:t xml:space="preserve">47 </w:t>
      </w:r>
      <w:r w:rsidRPr="009A66F2" w:rsidR="00C13951">
        <w:t xml:space="preserve">CFR § </w:t>
      </w:r>
      <w:r w:rsidR="00C13951">
        <w:t xml:space="preserve">1.429(f); </w:t>
      </w:r>
      <w:r>
        <w:t xml:space="preserve">47 CFR </w:t>
      </w:r>
      <w:r w:rsidRPr="00AB5713">
        <w:t>§</w:t>
      </w:r>
      <w:r>
        <w:t xml:space="preserve"> 1.429(g)</w:t>
      </w:r>
      <w:r w:rsidR="00C13951">
        <w:t xml:space="preserve">; </w:t>
      </w:r>
      <w:r w:rsidRPr="001B7442" w:rsidR="00C13951">
        <w:rPr>
          <w:i/>
          <w:iCs/>
        </w:rPr>
        <w:t>see also</w:t>
      </w:r>
      <w:r w:rsidRPr="001B7442" w:rsidR="00C13951">
        <w:t xml:space="preserve"> </w:t>
      </w:r>
      <w:r w:rsidR="00576533">
        <w:rPr>
          <w:i/>
          <w:iCs/>
        </w:rPr>
        <w:t>Petitions for Reconsideration of Action in Proceeding</w:t>
      </w:r>
      <w:r w:rsidR="00576533">
        <w:t xml:space="preserve">, PS Docket Nos. 20-291 and 09-14, Public Notice, Report No. 3184 (CGB Dec. 15, 2021), </w:t>
      </w:r>
      <w:hyperlink r:id="rId3" w:history="1">
        <w:r w:rsidRPr="00FF2F93" w:rsidR="00576533">
          <w:rPr>
            <w:rStyle w:val="Hyperlink"/>
          </w:rPr>
          <w:t>https://ecfsapi.fcc.gov/file/121529259241/DOC-378669A1.pdf</w:t>
        </w:r>
      </w:hyperlink>
      <w:r w:rsidR="00576533">
        <w:t>.</w:t>
      </w:r>
    </w:p>
  </w:footnote>
  <w:footnote w:id="7">
    <w:p w:rsidR="00C13951" w14:paraId="4788E442" w14:textId="2EA45064">
      <w:pPr>
        <w:pStyle w:val="FootnoteText"/>
      </w:pPr>
      <w:r>
        <w:rPr>
          <w:rStyle w:val="FootnoteReference"/>
        </w:rPr>
        <w:footnoteRef/>
      </w:r>
      <w:r>
        <w:t xml:space="preserve"> </w:t>
      </w:r>
      <w:r w:rsidRPr="003E4807">
        <w:rPr>
          <w:i/>
          <w:iCs/>
        </w:rPr>
        <w:t>See</w:t>
      </w:r>
      <w:r w:rsidRPr="003E4807">
        <w:t xml:space="preserve"> 86 Fed. Reg. </w:t>
      </w:r>
      <w:r w:rsidRPr="003E4807" w:rsidR="003E4807">
        <w:t>72546</w:t>
      </w:r>
      <w:r w:rsidRPr="003E4807">
        <w:t xml:space="preserve"> (</w:t>
      </w:r>
      <w:r w:rsidRPr="003E4807" w:rsidR="00576533">
        <w:t>Dec. 22</w:t>
      </w:r>
      <w:r w:rsidRPr="003E4807">
        <w:t>, 2021).</w:t>
      </w:r>
    </w:p>
  </w:footnote>
  <w:footnote w:id="8">
    <w:p w:rsidR="00B15337" w14:paraId="6B6B9D6F" w14:textId="41AD3BA4">
      <w:pPr>
        <w:pStyle w:val="FootnoteText"/>
      </w:pPr>
      <w:r>
        <w:rPr>
          <w:rStyle w:val="FootnoteReference"/>
        </w:rPr>
        <w:footnoteRef/>
      </w:r>
      <w:r>
        <w:t xml:space="preserve"> </w:t>
      </w:r>
      <w:r w:rsidRPr="00C71C33">
        <w:rPr>
          <w:i/>
          <w:iCs/>
        </w:rPr>
        <w:t xml:space="preserve">See </w:t>
      </w:r>
      <w:r w:rsidR="00C13951">
        <w:rPr>
          <w:szCs w:val="22"/>
        </w:rPr>
        <w:t xml:space="preserve">FCC, </w:t>
      </w:r>
      <w:r w:rsidRPr="00923BE8" w:rsidR="00C13951">
        <w:rPr>
          <w:szCs w:val="22"/>
        </w:rPr>
        <w:t>Electronic Filing of Documents in Rulemaking Proceedings, 63 F</w:t>
      </w:r>
      <w:r w:rsidR="00C13951">
        <w:rPr>
          <w:szCs w:val="22"/>
        </w:rPr>
        <w:t xml:space="preserve">ed. </w:t>
      </w:r>
      <w:r w:rsidRPr="00923BE8" w:rsidR="00C13951">
        <w:rPr>
          <w:szCs w:val="22"/>
        </w:rPr>
        <w:t>R</w:t>
      </w:r>
      <w:r w:rsidR="00C13951">
        <w:rPr>
          <w:szCs w:val="22"/>
        </w:rPr>
        <w:t>eg.</w:t>
      </w:r>
      <w:r w:rsidRPr="00923BE8" w:rsidR="00C13951">
        <w:rPr>
          <w:szCs w:val="22"/>
        </w:rPr>
        <w:t xml:space="preserve"> 24121 (</w:t>
      </w:r>
      <w:r w:rsidR="00C13951">
        <w:rPr>
          <w:szCs w:val="22"/>
        </w:rPr>
        <w:t xml:space="preserve">May 1, </w:t>
      </w:r>
      <w:r w:rsidRPr="00923BE8" w:rsidR="00C13951">
        <w:rPr>
          <w:szCs w:val="22"/>
        </w:rPr>
        <w:t>1998).</w:t>
      </w:r>
    </w:p>
  </w:footnote>
  <w:footnote w:id="9">
    <w:p w:rsidR="00C71C33" w:rsidP="00C71C33" w14:paraId="491E3146" w14:textId="77777777">
      <w:pPr>
        <w:pStyle w:val="FootnoteText"/>
      </w:pPr>
      <w:r>
        <w:rPr>
          <w:rStyle w:val="FootnoteReference"/>
        </w:rPr>
        <w:footnoteRef/>
      </w:r>
      <w:r>
        <w:t xml:space="preserve"> </w:t>
      </w:r>
      <w:r>
        <w:rPr>
          <w:i/>
          <w:iCs/>
        </w:rPr>
        <w:t>See Amendment of the Commission’s Rules of Practice and Procedure</w:t>
      </w:r>
      <w:r>
        <w:t xml:space="preserve">, Order, 35 FCC </w:t>
      </w:r>
      <w:r>
        <w:t>Rcd</w:t>
      </w:r>
      <w:r>
        <w:t xml:space="preserve"> 5450 (OMD 2020).</w:t>
      </w:r>
    </w:p>
  </w:footnote>
  <w:footnote w:id="10">
    <w:p w:rsidR="00851C32" w:rsidP="00851C32" w14:paraId="285579DB" w14:textId="77777777">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099A" w14:paraId="16B5C63A" w14:textId="42ECFCFE">
    <w:pPr>
      <w:tabs>
        <w:tab w:val="center" w:pos="4680"/>
        <w:tab w:val="right" w:pos="9360"/>
      </w:tabs>
    </w:pPr>
    <w:r>
      <w:rPr>
        <w:b/>
      </w:rPr>
      <w:tab/>
    </w:r>
    <w:r>
      <w:rPr>
        <w:b/>
      </w:rPr>
      <w:t>Federal Communications Commission</w:t>
    </w:r>
    <w:r>
      <w:rPr>
        <w:b/>
      </w:rPr>
      <w:tab/>
    </w:r>
    <w:r w:rsidR="00F70F1A">
      <w:rPr>
        <w:b/>
      </w:rPr>
      <w:t>DA 21-1629</w:t>
    </w:r>
  </w:p>
  <w:p w:rsidR="0035099A" w14:paraId="56824D26" w14:textId="41878C1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5099A" w14:paraId="5FD69FD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099A" w14:paraId="48DF0804" w14:textId="2D3A2FD3">
    <w:pPr>
      <w:pStyle w:val="Header"/>
    </w:pPr>
    <w:r>
      <w:rPr>
        <w:noProof/>
        <w:snapToGrid/>
      </w:rPr>
      <w:drawing>
        <wp:inline distT="0" distB="0" distL="0" distR="0">
          <wp:extent cx="5950585" cy="142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0585" cy="1426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4B2875"/>
    <w:multiLevelType w:val="hybridMultilevel"/>
    <w:tmpl w:val="BBC4D72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F7"/>
    <w:rsid w:val="000B3F35"/>
    <w:rsid w:val="001447F7"/>
    <w:rsid w:val="00184869"/>
    <w:rsid w:val="001B7442"/>
    <w:rsid w:val="00203172"/>
    <w:rsid w:val="00212278"/>
    <w:rsid w:val="002C0748"/>
    <w:rsid w:val="002E6A01"/>
    <w:rsid w:val="0035099A"/>
    <w:rsid w:val="00384862"/>
    <w:rsid w:val="003B114D"/>
    <w:rsid w:val="003B27F7"/>
    <w:rsid w:val="003E11CB"/>
    <w:rsid w:val="003E4807"/>
    <w:rsid w:val="004A5436"/>
    <w:rsid w:val="00506C17"/>
    <w:rsid w:val="00571383"/>
    <w:rsid w:val="00576533"/>
    <w:rsid w:val="007B40F3"/>
    <w:rsid w:val="007B7322"/>
    <w:rsid w:val="007C11B4"/>
    <w:rsid w:val="00807F3E"/>
    <w:rsid w:val="00842AB6"/>
    <w:rsid w:val="00851C32"/>
    <w:rsid w:val="00900D9B"/>
    <w:rsid w:val="00911690"/>
    <w:rsid w:val="00923BE8"/>
    <w:rsid w:val="0092483C"/>
    <w:rsid w:val="00951CD9"/>
    <w:rsid w:val="009A66F2"/>
    <w:rsid w:val="009A6E09"/>
    <w:rsid w:val="009C0538"/>
    <w:rsid w:val="00A345F6"/>
    <w:rsid w:val="00A9210B"/>
    <w:rsid w:val="00AA65EF"/>
    <w:rsid w:val="00AB5713"/>
    <w:rsid w:val="00B15337"/>
    <w:rsid w:val="00B200E3"/>
    <w:rsid w:val="00BC77FE"/>
    <w:rsid w:val="00C07D56"/>
    <w:rsid w:val="00C13951"/>
    <w:rsid w:val="00C41408"/>
    <w:rsid w:val="00C71C33"/>
    <w:rsid w:val="00CA665E"/>
    <w:rsid w:val="00CD7E0F"/>
    <w:rsid w:val="00CE40F9"/>
    <w:rsid w:val="00CF0A8E"/>
    <w:rsid w:val="00CF1DBF"/>
    <w:rsid w:val="00D15D43"/>
    <w:rsid w:val="00D35BD6"/>
    <w:rsid w:val="00D673E3"/>
    <w:rsid w:val="00D91FE7"/>
    <w:rsid w:val="00DE4CAC"/>
    <w:rsid w:val="00E82510"/>
    <w:rsid w:val="00F70F1A"/>
    <w:rsid w:val="00F833A4"/>
    <w:rsid w:val="00FC1905"/>
    <w:rsid w:val="00FD055D"/>
    <w:rsid w:val="00FF2F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CEF204"/>
  <w15:chartTrackingRefBased/>
  <w15:docId w15:val="{1683845F-AB75-4D8B-AE78-7D77E062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Char Char Char,Footnote Text Char Char Char,Footnote Text Char Char Char Char Char Char,Footnote Text Char1 Char,Footnote Text Char1 Char Char Char Char,Footnote Text Char2 Char Char Char,f,fn,fn Char"/>
    <w:link w:val="FootnoteTextChar"/>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 Char Char Char Char,f Char,fn Char Char,fn Char1"/>
    <w:link w:val="FootnoteText"/>
    <w:locked/>
    <w:rsid w:val="003B27F7"/>
  </w:style>
  <w:style w:type="character" w:styleId="FollowedHyperlink">
    <w:name w:val="FollowedHyperlink"/>
    <w:basedOn w:val="DefaultParagraphFont"/>
    <w:uiPriority w:val="99"/>
    <w:semiHidden/>
    <w:unhideWhenUsed/>
    <w:rsid w:val="00CD7E0F"/>
    <w:rPr>
      <w:color w:val="954F72" w:themeColor="followedHyperlink"/>
      <w:u w:val="single"/>
    </w:rPr>
  </w:style>
  <w:style w:type="paragraph" w:styleId="ListParagraph">
    <w:name w:val="List Paragraph"/>
    <w:basedOn w:val="Normal"/>
    <w:uiPriority w:val="34"/>
    <w:qFormat/>
    <w:rsid w:val="00807F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Brenda.Boykin@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916823228843/BRETSA%20210916%20Pet_Recon%20210625%20R%26O%20911%20Fee%20Diversion%20NPRM%20%20PS%2020-291%20and%2009-14.pdf" TargetMode="External" /><Relationship Id="rId2" Type="http://schemas.openxmlformats.org/officeDocument/2006/relationships/hyperlink" Target="https://ecfsapi.fcc.gov/file/10915145788739/Petition%20for%20Reconsideration%20Regarding%20Proposed%20FCC%20911%20Anti-Fee-Diversion%20Rules(00847827_xAF7F5)).pdf" TargetMode="External" /><Relationship Id="rId3" Type="http://schemas.openxmlformats.org/officeDocument/2006/relationships/hyperlink" Target="https://ecfsapi.fcc.gov/file/121529259241/DOC-378669A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