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A58756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E9DABCB" w14:textId="77777777">
      <w:pPr>
        <w:pStyle w:val="StyleBoldCentered"/>
      </w:pPr>
      <w:r>
        <w:t>F</w:t>
      </w:r>
      <w:r>
        <w:rPr>
          <w:caps w:val="0"/>
        </w:rPr>
        <w:t>ederal Communications Commission</w:t>
      </w:r>
    </w:p>
    <w:p w:rsidR="004C2EE3" w:rsidP="00096D8C" w14:paraId="41D45261" w14:textId="77777777">
      <w:pPr>
        <w:pStyle w:val="StyleBoldCentered"/>
      </w:pPr>
      <w:r>
        <w:rPr>
          <w:caps w:val="0"/>
        </w:rPr>
        <w:t>Washington, D.C. 20554</w:t>
      </w:r>
    </w:p>
    <w:p w:rsidR="004C2EE3" w:rsidP="0070224F" w14:paraId="20EDC138" w14:textId="77777777"/>
    <w:tbl>
      <w:tblPr>
        <w:tblW w:w="0" w:type="auto"/>
        <w:tblLayout w:type="fixed"/>
        <w:tblLook w:val="0000"/>
      </w:tblPr>
      <w:tblGrid>
        <w:gridCol w:w="4698"/>
        <w:gridCol w:w="630"/>
        <w:gridCol w:w="4248"/>
      </w:tblGrid>
      <w:tr w14:paraId="7ECE3D03" w14:textId="77777777">
        <w:tblPrEx>
          <w:tblW w:w="0" w:type="auto"/>
          <w:tblLayout w:type="fixed"/>
          <w:tblLook w:val="0000"/>
        </w:tblPrEx>
        <w:tc>
          <w:tcPr>
            <w:tcW w:w="4698" w:type="dxa"/>
          </w:tcPr>
          <w:p w:rsidR="00F97D9E" w:rsidRPr="008E20C2" w:rsidP="00F97D9E" w14:paraId="5A2C82DB" w14:textId="77777777">
            <w:pPr>
              <w:suppressAutoHyphens/>
              <w:rPr>
                <w:spacing w:val="-2"/>
              </w:rPr>
            </w:pPr>
            <w:r w:rsidRPr="008E20C2">
              <w:rPr>
                <w:spacing w:val="-2"/>
              </w:rPr>
              <w:t>In the Matter of</w:t>
            </w:r>
          </w:p>
          <w:p w:rsidR="00F97D9E" w:rsidRPr="008E20C2" w:rsidP="00F97D9E" w14:paraId="78A4FA13" w14:textId="77777777">
            <w:pPr>
              <w:suppressAutoHyphens/>
              <w:rPr>
                <w:spacing w:val="-2"/>
              </w:rPr>
            </w:pPr>
          </w:p>
          <w:p w:rsidR="00F97D9E" w:rsidRPr="008E20C2" w:rsidP="00F97D9E" w14:paraId="6C1AA808" w14:textId="77777777">
            <w:pPr>
              <w:suppressAutoHyphens/>
              <w:rPr>
                <w:spacing w:val="-2"/>
              </w:rPr>
            </w:pPr>
            <w:r w:rsidRPr="008E20C2">
              <w:rPr>
                <w:spacing w:val="-2"/>
              </w:rPr>
              <w:t xml:space="preserve">Amendment of Section 1.80(b) of the </w:t>
            </w:r>
          </w:p>
          <w:p w:rsidR="00F97D9E" w:rsidRPr="008E20C2" w:rsidP="00F97D9E" w14:paraId="55AD21EF" w14:textId="77777777">
            <w:pPr>
              <w:suppressAutoHyphens/>
              <w:rPr>
                <w:spacing w:val="-2"/>
              </w:rPr>
            </w:pPr>
            <w:r w:rsidRPr="008E20C2">
              <w:rPr>
                <w:spacing w:val="-2"/>
              </w:rPr>
              <w:t>Commission’s Rules</w:t>
            </w:r>
          </w:p>
          <w:p w:rsidR="00F97D9E" w:rsidRPr="008E20C2" w:rsidP="00F97D9E" w14:paraId="6DFB9E5F" w14:textId="77777777">
            <w:pPr>
              <w:suppressAutoHyphens/>
              <w:rPr>
                <w:spacing w:val="-2"/>
              </w:rPr>
            </w:pPr>
          </w:p>
          <w:p w:rsidR="00F97D9E" w:rsidRPr="008E20C2" w:rsidP="00F97D9E" w14:paraId="68F78677" w14:textId="77777777">
            <w:pPr>
              <w:suppressAutoHyphens/>
              <w:rPr>
                <w:spacing w:val="-2"/>
              </w:rPr>
            </w:pPr>
            <w:r w:rsidRPr="008E20C2">
              <w:rPr>
                <w:spacing w:val="-2"/>
              </w:rPr>
              <w:t>Adjustment of Civil Monetary Penalties to Reflect</w:t>
            </w:r>
          </w:p>
          <w:p w:rsidR="004C2EE3" w:rsidRPr="007115F7" w:rsidP="00F97D9E" w14:paraId="03BDB99C" w14:textId="7AEE690E">
            <w:pPr>
              <w:tabs>
                <w:tab w:val="center" w:pos="4680"/>
              </w:tabs>
              <w:suppressAutoHyphens/>
              <w:rPr>
                <w:spacing w:val="-2"/>
              </w:rPr>
            </w:pPr>
            <w:r w:rsidRPr="008E20C2">
              <w:rPr>
                <w:spacing w:val="-2"/>
              </w:rPr>
              <w:t>Inflation</w:t>
            </w:r>
          </w:p>
        </w:tc>
        <w:tc>
          <w:tcPr>
            <w:tcW w:w="630" w:type="dxa"/>
          </w:tcPr>
          <w:p w:rsidR="004C2EE3" w14:paraId="20865570" w14:textId="77777777">
            <w:pPr>
              <w:tabs>
                <w:tab w:val="center" w:pos="4680"/>
              </w:tabs>
              <w:suppressAutoHyphens/>
              <w:rPr>
                <w:b/>
                <w:spacing w:val="-2"/>
              </w:rPr>
            </w:pPr>
            <w:r>
              <w:rPr>
                <w:b/>
                <w:spacing w:val="-2"/>
              </w:rPr>
              <w:t>)</w:t>
            </w:r>
          </w:p>
          <w:p w:rsidR="004C2EE3" w14:paraId="5C887344" w14:textId="77777777">
            <w:pPr>
              <w:tabs>
                <w:tab w:val="center" w:pos="4680"/>
              </w:tabs>
              <w:suppressAutoHyphens/>
              <w:rPr>
                <w:b/>
                <w:spacing w:val="-2"/>
              </w:rPr>
            </w:pPr>
            <w:r>
              <w:rPr>
                <w:b/>
                <w:spacing w:val="-2"/>
              </w:rPr>
              <w:t>)</w:t>
            </w:r>
          </w:p>
          <w:p w:rsidR="004C2EE3" w14:paraId="79BADFC6" w14:textId="77777777">
            <w:pPr>
              <w:tabs>
                <w:tab w:val="center" w:pos="4680"/>
              </w:tabs>
              <w:suppressAutoHyphens/>
              <w:rPr>
                <w:b/>
                <w:spacing w:val="-2"/>
              </w:rPr>
            </w:pPr>
            <w:r>
              <w:rPr>
                <w:b/>
                <w:spacing w:val="-2"/>
              </w:rPr>
              <w:t>)</w:t>
            </w:r>
          </w:p>
          <w:p w:rsidR="004C2EE3" w14:paraId="1127BA99" w14:textId="77777777">
            <w:pPr>
              <w:tabs>
                <w:tab w:val="center" w:pos="4680"/>
              </w:tabs>
              <w:suppressAutoHyphens/>
              <w:rPr>
                <w:b/>
                <w:spacing w:val="-2"/>
              </w:rPr>
            </w:pPr>
            <w:r>
              <w:rPr>
                <w:b/>
                <w:spacing w:val="-2"/>
              </w:rPr>
              <w:t>)</w:t>
            </w:r>
          </w:p>
          <w:p w:rsidR="004C2EE3" w14:paraId="3C2E493D" w14:textId="77777777">
            <w:pPr>
              <w:tabs>
                <w:tab w:val="center" w:pos="4680"/>
              </w:tabs>
              <w:suppressAutoHyphens/>
              <w:rPr>
                <w:b/>
                <w:spacing w:val="-2"/>
              </w:rPr>
            </w:pPr>
            <w:r>
              <w:rPr>
                <w:b/>
                <w:spacing w:val="-2"/>
              </w:rPr>
              <w:t>)</w:t>
            </w:r>
          </w:p>
          <w:p w:rsidR="004C2EE3" w14:paraId="56BC71D7" w14:textId="77777777">
            <w:pPr>
              <w:tabs>
                <w:tab w:val="center" w:pos="4680"/>
              </w:tabs>
              <w:suppressAutoHyphens/>
              <w:rPr>
                <w:b/>
                <w:spacing w:val="-2"/>
              </w:rPr>
            </w:pPr>
            <w:r>
              <w:rPr>
                <w:b/>
                <w:spacing w:val="-2"/>
              </w:rPr>
              <w:t>)</w:t>
            </w:r>
          </w:p>
          <w:p w:rsidR="004C2EE3" w:rsidP="00B71BE6" w14:paraId="53F00C2A" w14:textId="3D513ED2">
            <w:pPr>
              <w:tabs>
                <w:tab w:val="center" w:pos="4680"/>
              </w:tabs>
              <w:suppressAutoHyphens/>
              <w:rPr>
                <w:spacing w:val="-2"/>
              </w:rPr>
            </w:pPr>
            <w:r>
              <w:rPr>
                <w:b/>
                <w:spacing w:val="-2"/>
              </w:rPr>
              <w:t>)</w:t>
            </w:r>
          </w:p>
        </w:tc>
        <w:tc>
          <w:tcPr>
            <w:tcW w:w="4248" w:type="dxa"/>
          </w:tcPr>
          <w:p w:rsidR="004C2EE3" w14:paraId="3B0F9A33" w14:textId="77777777">
            <w:pPr>
              <w:tabs>
                <w:tab w:val="center" w:pos="4680"/>
              </w:tabs>
              <w:suppressAutoHyphens/>
              <w:rPr>
                <w:spacing w:val="-2"/>
              </w:rPr>
            </w:pPr>
          </w:p>
          <w:p w:rsidR="004C2EE3" w14:paraId="609B626E" w14:textId="77777777">
            <w:pPr>
              <w:pStyle w:val="TOAHeading"/>
              <w:tabs>
                <w:tab w:val="center" w:pos="4680"/>
                <w:tab w:val="clear" w:pos="9360"/>
              </w:tabs>
              <w:rPr>
                <w:spacing w:val="-2"/>
              </w:rPr>
            </w:pPr>
          </w:p>
          <w:p w:rsidR="004C2EE3" w14:paraId="441BEFE0" w14:textId="2B6AF34C">
            <w:pPr>
              <w:tabs>
                <w:tab w:val="center" w:pos="4680"/>
              </w:tabs>
              <w:suppressAutoHyphens/>
              <w:rPr>
                <w:spacing w:val="-2"/>
              </w:rPr>
            </w:pPr>
          </w:p>
        </w:tc>
      </w:tr>
    </w:tbl>
    <w:p w:rsidR="004C2EE3" w:rsidP="0070224F" w14:paraId="490797B9" w14:textId="77777777"/>
    <w:p w:rsidR="00841AB1" w:rsidP="00F021FA" w14:paraId="435462F5" w14:textId="2ACAC028">
      <w:pPr>
        <w:pStyle w:val="StyleBoldCentered"/>
      </w:pPr>
      <w:r>
        <w:t xml:space="preserve">     </w:t>
      </w:r>
      <w:r w:rsidR="00F97D9E">
        <w:t>ORDER</w:t>
      </w:r>
    </w:p>
    <w:p w:rsidR="004C2EE3" w14:paraId="1765272D" w14:textId="77777777">
      <w:pPr>
        <w:tabs>
          <w:tab w:val="left" w:pos="-720"/>
        </w:tabs>
        <w:suppressAutoHyphens/>
        <w:spacing w:line="227" w:lineRule="auto"/>
        <w:rPr>
          <w:spacing w:val="-2"/>
        </w:rPr>
      </w:pPr>
    </w:p>
    <w:p w:rsidR="004C2EE3" w:rsidP="00133F79" w14:paraId="1E9C987B" w14:textId="11E90C5F">
      <w:pPr>
        <w:tabs>
          <w:tab w:val="left" w:pos="720"/>
          <w:tab w:val="right" w:pos="9360"/>
        </w:tabs>
        <w:suppressAutoHyphens/>
        <w:spacing w:line="227" w:lineRule="auto"/>
        <w:rPr>
          <w:spacing w:val="-2"/>
        </w:rPr>
      </w:pPr>
      <w:r>
        <w:rPr>
          <w:b/>
          <w:spacing w:val="-2"/>
        </w:rPr>
        <w:t xml:space="preserve">Adopted:  </w:t>
      </w:r>
      <w:r w:rsidR="00F97D9E">
        <w:rPr>
          <w:b/>
          <w:spacing w:val="-2"/>
        </w:rPr>
        <w:t xml:space="preserve">December </w:t>
      </w:r>
      <w:r w:rsidR="00B77711">
        <w:rPr>
          <w:b/>
          <w:spacing w:val="-2"/>
        </w:rPr>
        <w:t>22</w:t>
      </w:r>
      <w:r w:rsidR="00F97D9E">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97D9E">
        <w:rPr>
          <w:b/>
          <w:spacing w:val="-2"/>
        </w:rPr>
        <w:t xml:space="preserve">December </w:t>
      </w:r>
      <w:r w:rsidR="00B77711">
        <w:rPr>
          <w:b/>
          <w:spacing w:val="-2"/>
        </w:rPr>
        <w:t>22</w:t>
      </w:r>
      <w:r w:rsidR="00F97D9E">
        <w:rPr>
          <w:b/>
          <w:spacing w:val="-2"/>
        </w:rPr>
        <w:t>, 2021</w:t>
      </w:r>
    </w:p>
    <w:p w:rsidR="00822CE0" w14:paraId="789263D2" w14:textId="77777777"/>
    <w:p w:rsidR="00822CE0" w14:paraId="305FF809" w14:textId="5D1566A4">
      <w:r w:rsidRPr="00F97D9E">
        <w:t>By the Deputy Chief, Enforcement Bureau:</w:t>
      </w:r>
    </w:p>
    <w:p w:rsidR="00F97D9E" w14:paraId="190F9485" w14:textId="77777777">
      <w:pPr>
        <w:rPr>
          <w:spacing w:val="-2"/>
        </w:rPr>
      </w:pPr>
    </w:p>
    <w:p w:rsidR="00412FC5" w:rsidP="00FD7E8B" w14:paraId="6CBB506D" w14:textId="71303EBB">
      <w:pPr>
        <w:pStyle w:val="Heading1"/>
        <w:widowControl/>
      </w:pPr>
      <w:r>
        <w:t>INTRODUCTION</w:t>
      </w:r>
    </w:p>
    <w:p w:rsidR="00F97D9E" w:rsidP="00FD7E8B" w14:paraId="62E389F6" w14:textId="34D10213">
      <w:pPr>
        <w:pStyle w:val="ParaNum"/>
        <w:widowControl/>
      </w:pPr>
      <w:r>
        <w:t>This Order amends section 1.80(b) of the Commission’s rules</w:t>
      </w:r>
      <w:r>
        <w:rPr>
          <w:rStyle w:val="FootnoteReference"/>
        </w:rPr>
        <w:footnoteReference w:id="3"/>
      </w:r>
      <w:r>
        <w:t xml:space="preserve"> to adjust the forfeiture penalties for inflation, in accordance with the Federal Civil Penalties Inflation Adjustment Act Improvements Act of 2015 (2015 </w:t>
      </w:r>
      <w:r w:rsidRPr="00B37E42">
        <w:rPr>
          <w:shd w:val="clear" w:color="auto" w:fill="FFFFFF" w:themeFill="background1"/>
        </w:rPr>
        <w:t>Inflation</w:t>
      </w:r>
      <w:r>
        <w:t xml:space="preserve"> Adjustment Act).</w:t>
      </w:r>
      <w:r>
        <w:rPr>
          <w:rStyle w:val="FootnoteReference"/>
        </w:rPr>
        <w:footnoteReference w:id="4"/>
      </w:r>
      <w:r>
        <w:t xml:space="preserve">  That Act requires agencies, starting in 2017, to adjust annually the civil monetary penalties covered thereunder, and to publish each such annual adjustment by January 15.</w:t>
      </w:r>
      <w:r>
        <w:rPr>
          <w:rStyle w:val="FootnoteReference"/>
        </w:rPr>
        <w:footnoteReference w:id="5"/>
      </w:r>
      <w:r>
        <w:t xml:space="preserve">  The 2015 Inflation Adjustment Act provides that the new penalty levels shall apply to penalties assessed after the effective date of the increase, “including [penalties] whose associated violation predated such increase[.]”</w:t>
      </w:r>
      <w:r>
        <w:rPr>
          <w:rStyle w:val="FootnoteReference"/>
        </w:rPr>
        <w:footnoteReference w:id="6"/>
      </w:r>
    </w:p>
    <w:p w:rsidR="000A49FE" w:rsidP="00FD7E8B" w14:paraId="6AD61C4D" w14:textId="79C6C158">
      <w:pPr>
        <w:pStyle w:val="Heading1"/>
        <w:widowControl/>
      </w:pPr>
      <w:r>
        <w:t>DISCUSSION</w:t>
      </w:r>
    </w:p>
    <w:p w:rsidR="008E20EB" w:rsidP="00FD7E8B" w14:paraId="6D1B60B0" w14:textId="21CAFFF7">
      <w:pPr>
        <w:pStyle w:val="ParaNum"/>
        <w:widowControl/>
      </w:pPr>
      <w:r>
        <w:t>The Bipartisan Budget Act of 2015 included, as section 701 thereto, the 2015 Inflation Adjustment Act, which amended the Federal Civil Penalties Inflation Adjustment Act of 1990 (Pub. L. 101-410), to improve the effectiveness of civil monetary penalties and maintain their deterrent effect. That statute requires annual inflation adjustments for “any penalty, fine, or other sanction that . . . is for a specific monetary amount as provided by Federal law . . . or . . . has a maximum amount provided for by Federal law; and . . . is assessed or enforced by any agency pursuant to Federal law; and . . . is assessed or enforced pursuant to an administrative proceeding or a civil action in the Federal courts[.]”</w:t>
      </w:r>
      <w:r>
        <w:rPr>
          <w:rStyle w:val="FootnoteReference"/>
        </w:rPr>
        <w:footnoteReference w:id="7"/>
      </w:r>
      <w:r>
        <w:t xml:space="preserve">  This </w:t>
      </w:r>
      <w:r>
        <w:t>adjustment thus applies only to penalties with a dollar amount.</w:t>
      </w:r>
      <w:r>
        <w:rPr>
          <w:rStyle w:val="FootnoteReference"/>
        </w:rPr>
        <w:footnoteReference w:id="8"/>
      </w:r>
      <w:r>
        <w:t xml:space="preserve">  The adjustments are calculated pursuant to Office of Management and Budget (OMB) guidance.</w:t>
      </w:r>
      <w:r>
        <w:rPr>
          <w:rStyle w:val="FootnoteReference"/>
        </w:rPr>
        <w:footnoteReference w:id="9"/>
      </w:r>
    </w:p>
    <w:p w:rsidR="008E20EB" w:rsidRPr="00310BCD" w:rsidP="00FD7E8B" w14:paraId="3A802BC0" w14:textId="32C41C2B">
      <w:pPr>
        <w:pStyle w:val="ParaNum"/>
        <w:widowControl/>
      </w:pPr>
      <w:r>
        <w:t xml:space="preserve">On December </w:t>
      </w:r>
      <w:r w:rsidR="00310BCD">
        <w:t>15</w:t>
      </w:r>
      <w:r>
        <w:t xml:space="preserve">, </w:t>
      </w:r>
      <w:r w:rsidRPr="00122558">
        <w:t>2021</w:t>
      </w:r>
      <w:r>
        <w:t xml:space="preserve">, the Director of OMB issued guidance on the implementation of the annual adjustment </w:t>
      </w:r>
      <w:r w:rsidRPr="00660D1D">
        <w:t>rate for 202</w:t>
      </w:r>
      <w:r w:rsidRPr="00660D1D" w:rsidR="002E1F11">
        <w:t>2</w:t>
      </w:r>
      <w:r w:rsidRPr="00660D1D">
        <w:t xml:space="preserve"> pursuant to the 2015 Inflation Adjustment Act,</w:t>
      </w:r>
      <w:r>
        <w:rPr>
          <w:rStyle w:val="FootnoteReference"/>
        </w:rPr>
        <w:footnoteReference w:id="10"/>
      </w:r>
      <w:r w:rsidRPr="00660D1D">
        <w:t xml:space="preserve"> and this Order follows that guidance. </w:t>
      </w:r>
      <w:r w:rsidR="00E50494">
        <w:t xml:space="preserve"> </w:t>
      </w:r>
      <w:r w:rsidRPr="00660D1D">
        <w:t xml:space="preserve">OMB instructs that, in order to </w:t>
      </w:r>
      <w:r w:rsidRPr="00310BCD">
        <w:t>complete the annual adjustment for 202</w:t>
      </w:r>
      <w:r w:rsidRPr="00310BCD" w:rsidR="002E1F11">
        <w:t>2</w:t>
      </w:r>
      <w:r w:rsidRPr="00310BCD">
        <w:t>, the Commission must first identify the applicable civil monetary penalties.</w:t>
      </w:r>
      <w:r>
        <w:rPr>
          <w:rStyle w:val="FootnoteReference"/>
        </w:rPr>
        <w:footnoteReference w:id="11"/>
      </w:r>
      <w:r w:rsidRPr="00310BCD">
        <w:t xml:space="preserve"> </w:t>
      </w:r>
      <w:r w:rsidRPr="00310BCD" w:rsidR="00F1310C">
        <w:t xml:space="preserve"> </w:t>
      </w:r>
      <w:r w:rsidRPr="00310BCD">
        <w:t>Then the Commission must apply the OMB-supplied 202</w:t>
      </w:r>
      <w:r w:rsidRPr="00310BCD" w:rsidR="00F1310C">
        <w:t>2</w:t>
      </w:r>
      <w:r w:rsidRPr="00310BCD">
        <w:t xml:space="preserve"> adjustment multiplier, which is </w:t>
      </w:r>
      <w:r w:rsidRPr="00310BCD" w:rsidR="00B432B1">
        <w:t>1.06222</w:t>
      </w:r>
      <w:r w:rsidRPr="00310BCD">
        <w:t>, to the most recently established or adjusted penalty amount.</w:t>
      </w:r>
      <w:r>
        <w:rPr>
          <w:rStyle w:val="FootnoteReference"/>
        </w:rPr>
        <w:footnoteReference w:id="12"/>
      </w:r>
      <w:r w:rsidRPr="00310BCD" w:rsidR="007C5C04">
        <w:t xml:space="preserve"> </w:t>
      </w:r>
      <w:r w:rsidRPr="00310BCD">
        <w:t xml:space="preserve"> Then the Commission must round each penalty amount to the nearest dollar.</w:t>
      </w:r>
      <w:r>
        <w:rPr>
          <w:rStyle w:val="FootnoteReference"/>
        </w:rPr>
        <w:footnoteReference w:id="13"/>
      </w:r>
    </w:p>
    <w:p w:rsidR="00F97D9E" w:rsidP="00FD7E8B" w14:paraId="74DAEEFF" w14:textId="0DA06B4E">
      <w:pPr>
        <w:pStyle w:val="ParaNum"/>
        <w:widowControl/>
      </w:pPr>
      <w:r w:rsidRPr="00310BCD">
        <w:t>For 202</w:t>
      </w:r>
      <w:r w:rsidRPr="00310BCD" w:rsidR="00660D1D">
        <w:t>2</w:t>
      </w:r>
      <w:r w:rsidRPr="00310BCD">
        <w:t>, the adjusted penalty or penalty range for each applicable penalty is calculated by multiplying the most recent penalty amount by the 202</w:t>
      </w:r>
      <w:r w:rsidRPr="00310BCD" w:rsidR="00B432B1">
        <w:t>2</w:t>
      </w:r>
      <w:r w:rsidRPr="00310BCD">
        <w:t xml:space="preserve"> annual adjustment (</w:t>
      </w:r>
      <w:r w:rsidRPr="00310BCD" w:rsidR="00B432B1">
        <w:t>1.06222</w:t>
      </w:r>
      <w:r w:rsidRPr="00310BCD">
        <w:t>), then</w:t>
      </w:r>
      <w:r>
        <w:t xml:space="preserve"> rounding the result to the nearest dollar.</w:t>
      </w:r>
      <w:r>
        <w:rPr>
          <w:rStyle w:val="FootnoteReference"/>
        </w:rPr>
        <w:footnoteReference w:id="14"/>
      </w:r>
      <w:r w:rsidR="00660D1D">
        <w:t xml:space="preserve">  </w:t>
      </w:r>
      <w:r>
        <w:t>The adjustments in civil monetary penalties that we adopt in this Order apply only to such penalties assessed on and after January 15, 202</w:t>
      </w:r>
      <w:r w:rsidR="00660D1D">
        <w:t>2</w:t>
      </w:r>
      <w:r>
        <w:t>.</w:t>
      </w:r>
    </w:p>
    <w:p w:rsidR="000A49FE" w:rsidP="00FD7E8B" w14:paraId="783D3F6B" w14:textId="24E15F71">
      <w:pPr>
        <w:pStyle w:val="Heading1"/>
        <w:widowControl/>
      </w:pPr>
      <w:r>
        <w:t>PROCEDURAL MATTERS</w:t>
      </w:r>
    </w:p>
    <w:p w:rsidR="00B657A2" w:rsidP="00FD7E8B" w14:paraId="4954767E" w14:textId="685AD5CC">
      <w:pPr>
        <w:pStyle w:val="ParaNum"/>
        <w:widowControl/>
      </w:pPr>
      <w:r>
        <w:t>The Enforcement Bureau is responsible for, among other things, rulemaking proceedings regarding general enforcement policies and procedures.</w:t>
      </w:r>
      <w:r>
        <w:rPr>
          <w:rStyle w:val="FootnoteReference"/>
        </w:rPr>
        <w:footnoteReference w:id="15"/>
      </w:r>
      <w:r w:rsidR="00FA3CA6">
        <w:t xml:space="preserve">  </w:t>
      </w:r>
      <w:r>
        <w:t>Further, the Commission delegated to the</w:t>
      </w:r>
      <w:r w:rsidR="00FA3CA6">
        <w:t xml:space="preserve"> </w:t>
      </w:r>
      <w:r>
        <w:t>Chief, Enforcement Bureau authority to perform such rulemaking functions that do not involve “[n]</w:t>
      </w:r>
      <w:r>
        <w:t>otices</w:t>
      </w:r>
      <w:r>
        <w:t xml:space="preserve"> of proposed rulemaking and of inquiry and final orders in such proceedings.”</w:t>
      </w:r>
      <w:r>
        <w:rPr>
          <w:rStyle w:val="FootnoteReference"/>
        </w:rPr>
        <w:footnoteReference w:id="16"/>
      </w:r>
      <w:r>
        <w:t xml:space="preserve"> </w:t>
      </w:r>
      <w:r w:rsidR="001512E6">
        <w:t xml:space="preserve"> </w:t>
      </w:r>
      <w:r>
        <w:t xml:space="preserve">In the 2015 Inflation Adjustment Act, Congress has mandated the periodic adjustment of the Commission’s civil monetary penalties to reflect inflation and specified the formula for calculating such adjustment, and the Commission has no discretion to set alternative levels of adjusted civil monetary penalties. </w:t>
      </w:r>
      <w:r w:rsidR="001512E6">
        <w:t xml:space="preserve"> </w:t>
      </w:r>
      <w:r>
        <w:t>Moreover, that Act expressly provided that the annual adjustments shall be made “notwithstanding” the notice and comment rulemaking procedures that might otherwise apply under section 553 of the Administrative Procedure Act.</w:t>
      </w:r>
      <w:r>
        <w:rPr>
          <w:rStyle w:val="FootnoteReference"/>
        </w:rPr>
        <w:footnoteReference w:id="17"/>
      </w:r>
      <w:r>
        <w:t xml:space="preserve"> </w:t>
      </w:r>
      <w:r w:rsidR="00CE527C">
        <w:t xml:space="preserve"> </w:t>
      </w:r>
      <w:r>
        <w:t xml:space="preserve">Therefore, action on delegated authority is properly taken in this Order amending the Commission’s maximum civil monetary penalties, which are a part of the Commission’s general enforcement policies and procedures. </w:t>
      </w:r>
      <w:r w:rsidR="001512E6">
        <w:t xml:space="preserve"> </w:t>
      </w:r>
      <w:r>
        <w:t>In addition, because a notice of proposed rulemaking is not required for these rule changes, no regulatory flexibility analysis is required.</w:t>
      </w:r>
      <w:r>
        <w:rPr>
          <w:rStyle w:val="FootnoteReference"/>
        </w:rPr>
        <w:footnoteReference w:id="18"/>
      </w:r>
    </w:p>
    <w:p w:rsidR="00B71BE6" w:rsidP="00FD7E8B" w14:paraId="75173855" w14:textId="2B933491">
      <w:pPr>
        <w:pStyle w:val="ParaNum"/>
        <w:widowControl/>
      </w:pPr>
      <w:r w:rsidRPr="00B71BE6">
        <w:t>We have analyzed the actions taken herein with respect to the Paperwork Reduction Act of 1995 (PRA),</w:t>
      </w:r>
      <w:r>
        <w:rPr>
          <w:rStyle w:val="FootnoteReference"/>
        </w:rPr>
        <w:footnoteReference w:id="19"/>
      </w:r>
      <w:r w:rsidRPr="00B71BE6">
        <w:t xml:space="preserve"> and we find them to impose no new or modified information collection(s) subject to the </w:t>
      </w:r>
      <w:r w:rsidRPr="00B71BE6">
        <w:t xml:space="preserve">PRA. </w:t>
      </w:r>
      <w:r>
        <w:t xml:space="preserve"> </w:t>
      </w:r>
      <w:r w:rsidRPr="00B71BE6">
        <w:t>In addition, pursuant to the Small Business Paperwork Relief Act of 2002,</w:t>
      </w:r>
      <w:r>
        <w:rPr>
          <w:rStyle w:val="FootnoteReference"/>
        </w:rPr>
        <w:footnoteReference w:id="20"/>
      </w:r>
      <w:r w:rsidRPr="00B71BE6">
        <w:t xml:space="preserve"> our actions do not impose any new or modified “information collection burden for small business concerns with fewer than 25 employees.”</w:t>
      </w:r>
      <w:r>
        <w:rPr>
          <w:rStyle w:val="FootnoteReference"/>
        </w:rPr>
        <w:footnoteReference w:id="21"/>
      </w:r>
    </w:p>
    <w:p w:rsidR="003D3942" w:rsidRPr="003D3942" w:rsidP="00FD7E8B" w14:paraId="13524701" w14:textId="6423A227">
      <w:pPr>
        <w:pStyle w:val="ParaNum"/>
        <w:widowControl/>
      </w:pPr>
      <w:r w:rsidRPr="00576D5A">
        <w:rPr>
          <w:rFonts w:eastAsia="Calibri"/>
        </w:rPr>
        <w:t>The Commission has determined, and the Administrator of the Office of Information and Regulatory Affairs, Office of Management and Budget, concurs, that this rule is “non-major” under the Congressional Review Act, 5 U.S.C. § 804(2).  The Commission will send a copy of this Order to Congress and the Government Accountability Office pursuant to 5 U.S.C. § 801(a)(1)(A)</w:t>
      </w:r>
      <w:r w:rsidRPr="46834996">
        <w:rPr>
          <w:rFonts w:eastAsia="Calibri"/>
        </w:rPr>
        <w:t>.</w:t>
      </w:r>
    </w:p>
    <w:p w:rsidR="000A49FE" w:rsidP="00FD7E8B" w14:paraId="05496E4E" w14:textId="6BCF1FD8">
      <w:pPr>
        <w:pStyle w:val="Heading1"/>
        <w:widowControl/>
      </w:pPr>
      <w:r>
        <w:t xml:space="preserve">ORDERING CLAUSES </w:t>
      </w:r>
    </w:p>
    <w:p w:rsidR="00B71BE6" w:rsidP="00FD7E8B" w14:paraId="33C2BFF7" w14:textId="29264F1A">
      <w:pPr>
        <w:pStyle w:val="ParaNum"/>
        <w:widowControl/>
      </w:pPr>
      <w:r>
        <w:t xml:space="preserve">Accordingly, pursuant to the Bipartisan Budget Act of 2015, 28 U.S.C. § 2461 note, and sections 0.111(a)(22) and 0.311 of </w:t>
      </w:r>
      <w:r w:rsidRPr="000C32D0" w:rsidR="000C32D0">
        <w:t>the Commission’s rules</w:t>
      </w:r>
      <w:r>
        <w:t xml:space="preserve">, 47 CFR §§ 0.111(a)(22), 0.311, </w:t>
      </w:r>
      <w:r w:rsidRPr="00B71BE6">
        <w:rPr>
          <w:b/>
          <w:bCs/>
        </w:rPr>
        <w:t>IT IS ORDERED</w:t>
      </w:r>
      <w:r>
        <w:t xml:space="preserve"> that this Order </w:t>
      </w:r>
      <w:r w:rsidRPr="00B71BE6">
        <w:rPr>
          <w:b/>
          <w:bCs/>
        </w:rPr>
        <w:t>IS ADOPTED</w:t>
      </w:r>
      <w:r>
        <w:t xml:space="preserve">. </w:t>
      </w:r>
    </w:p>
    <w:p w:rsidR="00B71BE6" w:rsidP="00FD7E8B" w14:paraId="4EF349F9" w14:textId="2DD85D5D">
      <w:pPr>
        <w:pStyle w:val="ParaNum"/>
        <w:widowControl/>
      </w:pPr>
      <w:r w:rsidRPr="00B71BE6">
        <w:rPr>
          <w:b/>
          <w:bCs/>
        </w:rPr>
        <w:t>IT IS FURTHER ORDERED</w:t>
      </w:r>
      <w:r>
        <w:t xml:space="preserve"> that section 1.80(b) of </w:t>
      </w:r>
      <w:r w:rsidRPr="000C32D0" w:rsidR="000C32D0">
        <w:t>the Commission’s rules</w:t>
      </w:r>
      <w:r>
        <w:t xml:space="preserve">, 47 CFR § 1.80(b), is </w:t>
      </w:r>
      <w:r w:rsidRPr="00B71BE6">
        <w:rPr>
          <w:b/>
          <w:bCs/>
        </w:rPr>
        <w:t>AMENDED</w:t>
      </w:r>
      <w:r>
        <w:t xml:space="preserve"> as set forth in the Appendix. </w:t>
      </w:r>
    </w:p>
    <w:p w:rsidR="00B71BE6" w:rsidP="00FD7E8B" w14:paraId="7F45EA7A" w14:textId="5008799E">
      <w:pPr>
        <w:pStyle w:val="ParaNum"/>
        <w:widowControl/>
      </w:pPr>
      <w:r w:rsidRPr="00B71BE6">
        <w:rPr>
          <w:b/>
          <w:bCs/>
        </w:rPr>
        <w:t>IT IS FURTHER ORDERED</w:t>
      </w:r>
      <w:r>
        <w:t xml:space="preserve"> that this Order and the foregoing amendments to </w:t>
      </w:r>
      <w:r w:rsidRPr="000C32D0" w:rsidR="000C32D0">
        <w:t>the Commission’s rules</w:t>
      </w:r>
      <w:r>
        <w:t xml:space="preserve"> </w:t>
      </w:r>
      <w:r w:rsidRPr="00B71BE6">
        <w:rPr>
          <w:b/>
          <w:bCs/>
        </w:rPr>
        <w:t>SHALL BE EFFECTIVE</w:t>
      </w:r>
      <w:r>
        <w:t xml:space="preserve"> upon publication in the Federal Register. </w:t>
      </w:r>
    </w:p>
    <w:p w:rsidR="000A49FE" w:rsidP="00FD7E8B" w14:paraId="6357D469" w14:textId="5BF1DA91">
      <w:pPr>
        <w:pStyle w:val="ParaNum"/>
        <w:keepNext/>
        <w:keepLines/>
        <w:widowControl/>
      </w:pPr>
      <w:r w:rsidRPr="00B37E42">
        <w:rPr>
          <w:b/>
        </w:rPr>
        <w:t>IT IS FURTHER ORDERED</w:t>
      </w:r>
      <w:r w:rsidRPr="00B37E42">
        <w:t xml:space="preserve"> that the Office of the Managing Director, Performance Evaluation and Records Management, </w:t>
      </w:r>
      <w:r w:rsidRPr="00693B8B">
        <w:rPr>
          <w:b/>
          <w:bCs/>
        </w:rPr>
        <w:t>SHALL SEND</w:t>
      </w:r>
      <w:r w:rsidRPr="00B37E42">
        <w:t xml:space="preserve"> a copy of this Order in a report to be sent to Congress and the Government Accountability Office pursuant to the Congressional Review Act, 5 U.S.C. § 801(a)(1)(A)</w:t>
      </w:r>
      <w:r w:rsidR="00CE527C">
        <w:t>.</w:t>
      </w:r>
    </w:p>
    <w:p w:rsidR="00B37E42" w:rsidRPr="00FE1923" w:rsidP="00FE1923" w14:paraId="36B625C1" w14:textId="77777777">
      <w:pPr>
        <w:keepNext/>
        <w:keepLines/>
        <w:widowControl/>
      </w:pPr>
    </w:p>
    <w:p w:rsidR="00164502" w:rsidRPr="00A32859" w:rsidP="00FE1923" w14:paraId="4C4EB27D" w14:textId="77777777">
      <w:pPr>
        <w:keepNext/>
        <w:keepLines/>
        <w:widowControl/>
      </w:pPr>
      <w:r w:rsidRPr="00A32859">
        <w:tab/>
      </w:r>
      <w:r w:rsidRPr="00A32859">
        <w:tab/>
      </w:r>
      <w:r w:rsidRPr="00A32859">
        <w:tab/>
      </w:r>
      <w:r w:rsidRPr="00A32859">
        <w:tab/>
      </w:r>
      <w:r w:rsidRPr="00A32859">
        <w:tab/>
      </w:r>
      <w:r w:rsidRPr="00A32859">
        <w:tab/>
        <w:t>FEDERAL COMMUNICATIONS COMMISSION</w:t>
      </w:r>
    </w:p>
    <w:p w:rsidR="00164502" w:rsidRPr="00A32859" w:rsidP="00164502" w14:paraId="02223E0E" w14:textId="77777777">
      <w:pPr>
        <w:keepNext/>
        <w:widowControl/>
      </w:pPr>
    </w:p>
    <w:p w:rsidR="00164502" w:rsidRPr="00A32859" w:rsidP="00164502" w14:paraId="76B34DFD" w14:textId="77777777">
      <w:pPr>
        <w:keepNext/>
        <w:widowControl/>
      </w:pPr>
    </w:p>
    <w:p w:rsidR="00164502" w:rsidRPr="00A32859" w:rsidP="00164502" w14:paraId="57C3D7E0" w14:textId="77777777">
      <w:pPr>
        <w:keepNext/>
        <w:widowControl/>
      </w:pPr>
    </w:p>
    <w:p w:rsidR="00164502" w:rsidRPr="00A32859" w:rsidP="00164502" w14:paraId="0F3D8B9D" w14:textId="77777777">
      <w:pPr>
        <w:keepNext/>
        <w:widowControl/>
      </w:pPr>
    </w:p>
    <w:p w:rsidR="00164502" w:rsidRPr="00A32859" w:rsidP="00164502" w14:paraId="4721B457" w14:textId="335CD1E0">
      <w:pPr>
        <w:keepNext/>
        <w:widowControl/>
      </w:pPr>
      <w:r w:rsidRPr="00A32859">
        <w:tab/>
      </w:r>
      <w:r w:rsidRPr="00A32859">
        <w:tab/>
      </w:r>
      <w:r w:rsidRPr="00A32859">
        <w:tab/>
      </w:r>
      <w:r w:rsidRPr="00A32859">
        <w:tab/>
      </w:r>
      <w:r w:rsidRPr="00A32859">
        <w:tab/>
      </w:r>
      <w:r w:rsidRPr="00A32859">
        <w:tab/>
      </w:r>
      <w:r>
        <w:t>Lisa Gelb</w:t>
      </w:r>
    </w:p>
    <w:p w:rsidR="00164502" w:rsidP="00164502" w14:paraId="7310512F" w14:textId="77777777">
      <w:pPr>
        <w:keepNext/>
        <w:widowControl/>
      </w:pPr>
      <w:r w:rsidRPr="00A32859">
        <w:tab/>
      </w:r>
      <w:r w:rsidRPr="00A32859">
        <w:tab/>
      </w:r>
      <w:r w:rsidRPr="00A32859">
        <w:tab/>
      </w:r>
      <w:r w:rsidRPr="00A32859">
        <w:tab/>
      </w:r>
      <w:r w:rsidRPr="00A32859">
        <w:tab/>
      </w:r>
      <w:r w:rsidRPr="00A32859">
        <w:tab/>
      </w:r>
      <w:r>
        <w:t xml:space="preserve">Deputy </w:t>
      </w:r>
      <w:r w:rsidRPr="00A32859">
        <w:t xml:space="preserve">Chief </w:t>
      </w:r>
    </w:p>
    <w:p w:rsidR="00164502" w:rsidP="00164502" w14:paraId="54076146" w14:textId="6C605F67">
      <w:pPr>
        <w:keepNext/>
        <w:widowControl/>
        <w:ind w:left="3600" w:firstLine="720"/>
      </w:pPr>
      <w:r>
        <w:t xml:space="preserve">Enforcement Bureau </w:t>
      </w:r>
    </w:p>
    <w:p w:rsidR="001D1DEE" w:rsidP="00164502" w14:paraId="4838D386" w14:textId="77777777">
      <w:pPr>
        <w:keepNext/>
        <w:widowControl/>
        <w:ind w:left="3600" w:firstLine="720"/>
      </w:pPr>
    </w:p>
    <w:p w:rsidR="000A49FE" w:rsidRPr="000A49FE" w:rsidP="000A49FE" w14:paraId="299DDD00" w14:textId="77777777"/>
    <w:p w:rsidR="000A49FE" w:rsidP="00164502" w14:paraId="6EDD1FC9" w14:textId="77777777">
      <w:pPr>
        <w:pStyle w:val="ParaNum"/>
        <w:jc w:val="cente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171F4" w:rsidRPr="00FD12DE" w:rsidP="000171F4" w14:paraId="7DDA67AF" w14:textId="77777777">
      <w:pPr>
        <w:jc w:val="center"/>
        <w:rPr>
          <w:b/>
        </w:rPr>
      </w:pPr>
      <w:r w:rsidRPr="00FD12DE">
        <w:rPr>
          <w:b/>
        </w:rPr>
        <w:t>APPENDIX</w:t>
      </w:r>
    </w:p>
    <w:p w:rsidR="000171F4" w:rsidRPr="00FD12DE" w:rsidP="000171F4" w14:paraId="3EC8AD18" w14:textId="77777777">
      <w:pPr>
        <w:jc w:val="center"/>
      </w:pPr>
    </w:p>
    <w:p w:rsidR="000171F4" w:rsidRPr="00BC1318" w:rsidP="000171F4" w14:paraId="33A549C3" w14:textId="77777777">
      <w:pPr>
        <w:rPr>
          <w:bCs/>
        </w:rPr>
      </w:pPr>
      <w:r w:rsidRPr="00BC1318">
        <w:rPr>
          <w:bCs/>
        </w:rPr>
        <w:t>Part 1 of Chapter 1 of Title 47 of the Code of Federal Regulations is amended as follows:</w:t>
      </w:r>
    </w:p>
    <w:p w:rsidR="000171F4" w:rsidRPr="00BC1318" w:rsidP="000171F4" w14:paraId="670B81B9" w14:textId="77777777">
      <w:pPr>
        <w:rPr>
          <w:bCs/>
        </w:rPr>
      </w:pPr>
    </w:p>
    <w:p w:rsidR="000171F4" w:rsidRPr="00FD12DE" w:rsidP="000171F4" w14:paraId="3F7C85C7" w14:textId="77777777">
      <w:pPr>
        <w:rPr>
          <w:b/>
        </w:rPr>
      </w:pPr>
      <w:r w:rsidRPr="00FD12DE">
        <w:rPr>
          <w:b/>
        </w:rPr>
        <w:t>P</w:t>
      </w:r>
      <w:r>
        <w:rPr>
          <w:b/>
        </w:rPr>
        <w:t>ART</w:t>
      </w:r>
      <w:r w:rsidRPr="00FD12DE">
        <w:rPr>
          <w:b/>
        </w:rPr>
        <w:t xml:space="preserve"> 1---PRACTICE AND PROCEDURE</w:t>
      </w:r>
    </w:p>
    <w:p w:rsidR="000171F4" w:rsidRPr="00FD12DE" w:rsidP="000171F4" w14:paraId="2724E887" w14:textId="77777777">
      <w:pPr>
        <w:rPr>
          <w:b/>
        </w:rPr>
      </w:pPr>
    </w:p>
    <w:p w:rsidR="000171F4" w:rsidRPr="00FD12DE" w:rsidP="000171F4" w14:paraId="4DF95696" w14:textId="77777777">
      <w:pPr>
        <w:ind w:firstLine="360"/>
      </w:pPr>
      <w:r w:rsidRPr="00FD12DE">
        <w:t>1.</w:t>
      </w:r>
      <w:r w:rsidRPr="00FD12DE">
        <w:tab/>
        <w:t xml:space="preserve">The authority citation for </w:t>
      </w:r>
      <w:r>
        <w:t>p</w:t>
      </w:r>
      <w:r w:rsidRPr="00FD12DE">
        <w:t xml:space="preserve">art 1 </w:t>
      </w:r>
      <w:r>
        <w:t>continues</w:t>
      </w:r>
      <w:r w:rsidRPr="00FD12DE">
        <w:t xml:space="preserve"> to read as follows:</w:t>
      </w:r>
    </w:p>
    <w:p w:rsidR="000171F4" w:rsidRPr="00FD12DE" w:rsidP="000171F4" w14:paraId="717BA6A2" w14:textId="77777777"/>
    <w:p w:rsidR="000171F4" w:rsidRPr="00FD12DE" w:rsidP="000171F4" w14:paraId="2FB49581" w14:textId="77777777">
      <w:r w:rsidRPr="00FD12DE">
        <w:t xml:space="preserve">Authority: </w:t>
      </w:r>
      <w:r w:rsidRPr="00E07222">
        <w:t xml:space="preserve">47 U.S.C. </w:t>
      </w:r>
      <w:r w:rsidRPr="00E07222">
        <w:t>chs</w:t>
      </w:r>
      <w:r w:rsidRPr="00E07222">
        <w:t>. 2, 5, 9, 13; 28 U.S.C. 2461, unless otherwise noted</w:t>
      </w:r>
      <w:r>
        <w:t xml:space="preserve">. </w:t>
      </w:r>
    </w:p>
    <w:p w:rsidR="000171F4" w:rsidRPr="00FD12DE" w:rsidP="000171F4" w14:paraId="3DD84B0F" w14:textId="77777777"/>
    <w:p w:rsidR="000171F4" w:rsidP="000171F4" w14:paraId="2DC44615" w14:textId="3BE76B59">
      <w:pPr>
        <w:ind w:firstLine="360"/>
      </w:pPr>
      <w:r w:rsidRPr="00FD12DE">
        <w:t>2.</w:t>
      </w:r>
      <w:r w:rsidRPr="00FD12DE">
        <w:tab/>
      </w:r>
      <w:r w:rsidR="00E4126C">
        <w:t xml:space="preserve">Amend § </w:t>
      </w:r>
      <w:r w:rsidRPr="00FD12DE" w:rsidR="00E4126C">
        <w:t xml:space="preserve">1.80 by revising </w:t>
      </w:r>
      <w:r w:rsidR="00E4126C">
        <w:t>paragraphs (b)(1) through (9), T</w:t>
      </w:r>
      <w:r w:rsidRPr="00462945" w:rsidR="00E4126C">
        <w:t xml:space="preserve">able 4 to </w:t>
      </w:r>
      <w:r w:rsidR="00E4126C">
        <w:t>p</w:t>
      </w:r>
      <w:r w:rsidRPr="00462945" w:rsidR="00E4126C">
        <w:t>aragraph (b)(10)</w:t>
      </w:r>
      <w:r w:rsidR="00E4126C">
        <w:t xml:space="preserve">, and paragraph (b)(11)(ii) </w:t>
      </w:r>
      <w:r w:rsidRPr="00FD12DE" w:rsidR="00E4126C">
        <w:t>to read as follows:</w:t>
      </w:r>
    </w:p>
    <w:p w:rsidR="000171F4" w:rsidP="000171F4" w14:paraId="5DC15FFB" w14:textId="77777777"/>
    <w:p w:rsidR="002C4D12" w:rsidRPr="00C03F28" w:rsidP="002C4D12" w14:paraId="68B5909D" w14:textId="77777777">
      <w:r w:rsidRPr="00BC1318">
        <w:rPr>
          <w:b/>
        </w:rPr>
        <w:t xml:space="preserve">§1.80 </w:t>
      </w:r>
      <w:r>
        <w:rPr>
          <w:b/>
        </w:rPr>
        <w:t xml:space="preserve"> </w:t>
      </w:r>
      <w:r w:rsidRPr="00BC1318">
        <w:rPr>
          <w:b/>
        </w:rPr>
        <w:t xml:space="preserve"> Forfeiture proceedings</w:t>
      </w:r>
      <w:r w:rsidRPr="00C03F28">
        <w:t>.</w:t>
      </w:r>
    </w:p>
    <w:p w:rsidR="002C4D12" w:rsidRPr="00FD12DE" w:rsidP="002C4D12" w14:paraId="1879C508" w14:textId="77777777"/>
    <w:p w:rsidR="002C4D12" w:rsidP="002C4D12" w14:paraId="12889043" w14:textId="77777777">
      <w:pPr>
        <w:shd w:val="clear" w:color="auto" w:fill="FFFFFF"/>
      </w:pPr>
      <w:r w:rsidRPr="00BC1318">
        <w:t>* * * * *</w:t>
      </w:r>
    </w:p>
    <w:p w:rsidR="002C4D12" w:rsidRPr="00BC1318" w:rsidP="002C4D12" w14:paraId="1C131157" w14:textId="77777777">
      <w:pPr>
        <w:shd w:val="clear" w:color="auto" w:fill="FFFFFF"/>
      </w:pPr>
    </w:p>
    <w:p w:rsidR="002C4D12" w:rsidP="002C4D12" w14:paraId="228CF685" w14:textId="77777777">
      <w:pPr>
        <w:pStyle w:val="Default"/>
        <w:widowControl w:val="0"/>
        <w:rPr>
          <w:rFonts w:ascii="Times New Roman" w:hAnsi="Times New Roman" w:cs="Times New Roman"/>
          <w:color w:val="auto"/>
          <w:sz w:val="22"/>
          <w:szCs w:val="22"/>
        </w:rPr>
      </w:pPr>
      <w:r w:rsidRPr="00465A2F">
        <w:rPr>
          <w:rFonts w:ascii="Times New Roman" w:hAnsi="Times New Roman" w:cs="Times New Roman"/>
          <w:color w:val="auto"/>
          <w:sz w:val="22"/>
          <w:szCs w:val="22"/>
        </w:rPr>
        <w:t xml:space="preserve">(b) </w:t>
      </w:r>
      <w:r>
        <w:rPr>
          <w:rFonts w:ascii="Times New Roman" w:hAnsi="Times New Roman" w:cs="Times New Roman"/>
          <w:color w:val="auto"/>
          <w:sz w:val="22"/>
          <w:szCs w:val="22"/>
        </w:rPr>
        <w:t>* * *</w:t>
      </w:r>
    </w:p>
    <w:p w:rsidR="002C4D12" w:rsidP="002C4D12" w14:paraId="14DA23D6" w14:textId="77777777">
      <w:pPr>
        <w:pStyle w:val="Default"/>
        <w:widowControl w:val="0"/>
        <w:rPr>
          <w:rFonts w:ascii="Times New Roman" w:hAnsi="Times New Roman" w:cs="Times New Roman"/>
          <w:color w:val="auto"/>
          <w:sz w:val="22"/>
          <w:szCs w:val="22"/>
        </w:rPr>
      </w:pPr>
    </w:p>
    <w:p w:rsidR="002C4D12" w:rsidRPr="00B65EF7" w:rsidP="002C4D12" w14:paraId="0F9D8237" w14:textId="08D2A75A">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(1)</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broadcast station licensee, permittee, cable television operator, or applicant</w:t>
      </w:r>
      <w:r w:rsidRPr="007023D3">
        <w:rPr>
          <w:rFonts w:ascii="Times New Roman" w:hAnsi="Times New Roman" w:cs="Times New Roman"/>
          <w:bCs/>
          <w:color w:val="auto"/>
          <w:sz w:val="22"/>
          <w:szCs w:val="22"/>
        </w:rPr>
        <w:t>.</w:t>
      </w:r>
      <w:r>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If the violator is a broadcast station licensee or permittee, a cable television operator, or an applicant for any broadcast or cable television operator license, permit, certificate, or other instrument of authorization issued by the Commission, except as otherwise noted in this paragraph</w:t>
      </w:r>
      <w:r>
        <w:rPr>
          <w:rFonts w:ascii="Times New Roman" w:hAnsi="Times New Roman" w:cs="Times New Roman"/>
          <w:color w:val="auto"/>
          <w:sz w:val="22"/>
          <w:szCs w:val="22"/>
        </w:rPr>
        <w:t xml:space="preserve"> (b)(1)</w:t>
      </w:r>
      <w:r w:rsidRPr="00B65EF7">
        <w:rPr>
          <w:rFonts w:ascii="Times New Roman" w:hAnsi="Times New Roman" w:cs="Times New Roman"/>
          <w:color w:val="auto"/>
          <w:sz w:val="22"/>
          <w:szCs w:val="22"/>
        </w:rPr>
        <w:t xml:space="preserve">, the forfeiture penalty under this section shall not exceed </w:t>
      </w:r>
      <w:r w:rsidR="009F5CF8">
        <w:rPr>
          <w:rFonts w:ascii="Times New Roman" w:hAnsi="Times New Roman" w:cs="Times New Roman"/>
          <w:color w:val="auto"/>
          <w:sz w:val="22"/>
          <w:szCs w:val="22"/>
        </w:rPr>
        <w:t>$55,052</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of </w:t>
      </w:r>
      <w:r w:rsidRPr="009F5CF8" w:rsidR="009F5CF8">
        <w:rPr>
          <w:rFonts w:ascii="Times New Roman" w:hAnsi="Times New Roman" w:cs="Times New Roman"/>
          <w:color w:val="auto"/>
          <w:sz w:val="22"/>
          <w:szCs w:val="22"/>
        </w:rPr>
        <w:t>$550,531</w:t>
      </w:r>
      <w:r w:rsidR="009F5CF8">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any single act or failure to act described in paragraph (a) of this section.  There is no limit on forfeiture assessments for EEO violations by cable operators that occur after notification by the Commission of a potential violation. See section 634(f)(2) of the Communications Act.  Notwithstanding the foregoing in this section, if the violator is a broadcast station licensee or permittee or an applicant for any broadcast license, permit, certificate, or other instrument of authorization issued by the Commission, and if the violator is determined by the Commission to have broadcast obscene, indecent, or profane material, the forfeiture penalty under this section shall not exceed </w:t>
      </w:r>
      <w:r w:rsidRPr="009F5CF8" w:rsidR="009F5CF8">
        <w:rPr>
          <w:rFonts w:ascii="Times New Roman" w:hAnsi="Times New Roman" w:cs="Times New Roman"/>
          <w:color w:val="auto"/>
          <w:sz w:val="22"/>
          <w:szCs w:val="22"/>
        </w:rPr>
        <w:t xml:space="preserve">$445,445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of </w:t>
      </w:r>
      <w:r w:rsidRPr="009F5CF8" w:rsidR="009F5CF8">
        <w:rPr>
          <w:rFonts w:ascii="Times New Roman" w:hAnsi="Times New Roman" w:cs="Times New Roman"/>
          <w:color w:val="auto"/>
          <w:sz w:val="22"/>
          <w:szCs w:val="22"/>
        </w:rPr>
        <w:t>$4,111,796</w:t>
      </w:r>
      <w:r w:rsidR="009F5CF8">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 described in paragraph (a) of this section.</w:t>
      </w:r>
    </w:p>
    <w:p w:rsidR="002C4D12" w:rsidP="002C4D12" w14:paraId="289937AC" w14:textId="77777777">
      <w:pPr>
        <w:pStyle w:val="Default"/>
        <w:widowControl w:val="0"/>
        <w:rPr>
          <w:rFonts w:ascii="Times New Roman" w:hAnsi="Times New Roman" w:cs="Times New Roman"/>
          <w:color w:val="auto"/>
          <w:sz w:val="22"/>
          <w:szCs w:val="22"/>
        </w:rPr>
      </w:pPr>
    </w:p>
    <w:p w:rsidR="002C4D12" w:rsidRPr="00B65EF7" w:rsidP="002C4D12" w14:paraId="18F98419" w14:textId="39B4D316">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(2)</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common carrier or applicant</w:t>
      </w:r>
      <w:r w:rsidRPr="007023D3">
        <w:rPr>
          <w:rFonts w:ascii="Times New Roman" w:hAnsi="Times New Roman" w:cs="Times New Roman"/>
          <w:bCs/>
          <w:color w:val="auto"/>
          <w:sz w:val="22"/>
          <w:szCs w:val="22"/>
        </w:rPr>
        <w:t>.</w:t>
      </w:r>
      <w:r w:rsidRPr="0001687F">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common carrier subject to the provisions of the Communications Act or an applicant for any common carrier license, permit, certificate, or other instrument of authorization issued by the Commission, the amount of any forfeiture penalty determined under this section shall not exceed </w:t>
      </w:r>
      <w:r w:rsidRPr="00693163" w:rsidR="00693163">
        <w:rPr>
          <w:rFonts w:ascii="Times New Roman" w:hAnsi="Times New Roman" w:cs="Times New Roman"/>
          <w:color w:val="auto"/>
          <w:sz w:val="22"/>
          <w:szCs w:val="22"/>
        </w:rPr>
        <w:t>$220,213</w:t>
      </w:r>
      <w:r w:rsidR="00693163">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w:t>
      </w:r>
      <w:r w:rsidRPr="00B208D1">
        <w:rPr>
          <w:rFonts w:ascii="Times New Roman" w:hAnsi="Times New Roman" w:cs="Times New Roman"/>
          <w:color w:val="auto"/>
          <w:sz w:val="22"/>
          <w:szCs w:val="22"/>
        </w:rPr>
        <w:t xml:space="preserve">of </w:t>
      </w:r>
      <w:r w:rsidRPr="00693163" w:rsidR="00693163">
        <w:rPr>
          <w:rFonts w:ascii="Times New Roman" w:hAnsi="Times New Roman" w:cs="Times New Roman"/>
          <w:color w:val="auto"/>
          <w:sz w:val="22"/>
          <w:szCs w:val="22"/>
        </w:rPr>
        <w:t>$2,202,123</w:t>
      </w:r>
      <w:r w:rsidR="00693163">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 described in paragraph (a) of this section.</w:t>
      </w:r>
    </w:p>
    <w:p w:rsidR="002C4D12" w:rsidP="002C4D12" w14:paraId="374D78EB" w14:textId="77777777">
      <w:pPr>
        <w:pStyle w:val="Default"/>
        <w:widowControl w:val="0"/>
        <w:rPr>
          <w:rFonts w:ascii="Times New Roman" w:hAnsi="Times New Roman" w:cs="Times New Roman"/>
          <w:color w:val="auto"/>
          <w:sz w:val="22"/>
          <w:szCs w:val="22"/>
        </w:rPr>
      </w:pPr>
    </w:p>
    <w:p w:rsidR="002C4D12" w:rsidRPr="00B65EF7" w:rsidP="002C4D12" w14:paraId="32248DF0" w14:textId="37FF2FDF">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(3)</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manufacturer or service provider</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01687F">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 xml:space="preserve">If the violator is a manufacturer or service provider subject to the requirements of section 255, 716, or 718 of the Communications Act, and is determined by the Commission to have violated any such requirement, the manufacturer or service provider shall be liable to the United States for a forfeiture penalty of not more than </w:t>
      </w:r>
      <w:r w:rsidRPr="00832959" w:rsidR="00832959">
        <w:rPr>
          <w:rFonts w:ascii="Times New Roman" w:hAnsi="Times New Roman" w:cs="Times New Roman"/>
          <w:color w:val="auto"/>
          <w:sz w:val="22"/>
          <w:szCs w:val="22"/>
        </w:rPr>
        <w:t>$126,463</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for each violation or each day of a continuing violation, except that the amount assessed for any continuing violation shall not exceed a total </w:t>
      </w:r>
      <w:r w:rsidRPr="00B208D1">
        <w:rPr>
          <w:rFonts w:ascii="Times New Roman" w:hAnsi="Times New Roman" w:cs="Times New Roman"/>
          <w:color w:val="auto"/>
          <w:sz w:val="22"/>
          <w:szCs w:val="22"/>
        </w:rPr>
        <w:t xml:space="preserve">of </w:t>
      </w:r>
      <w:r w:rsidRPr="00832959" w:rsidR="00832959">
        <w:rPr>
          <w:rFonts w:ascii="Times New Roman" w:hAnsi="Times New Roman" w:cs="Times New Roman"/>
          <w:color w:val="auto"/>
          <w:sz w:val="22"/>
          <w:szCs w:val="22"/>
        </w:rPr>
        <w:t>$1,264,622</w:t>
      </w:r>
      <w:r w:rsidRPr="000352C0">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any single act or failure to act.</w:t>
      </w:r>
    </w:p>
    <w:p w:rsidR="002C4D12" w:rsidP="002C4D12" w14:paraId="3F65FD5D" w14:textId="77777777">
      <w:pPr>
        <w:pStyle w:val="Default"/>
        <w:widowControl w:val="0"/>
        <w:rPr>
          <w:rFonts w:ascii="Times New Roman" w:hAnsi="Times New Roman" w:cs="Times New Roman"/>
          <w:color w:val="auto"/>
          <w:sz w:val="22"/>
          <w:szCs w:val="22"/>
        </w:rPr>
      </w:pPr>
    </w:p>
    <w:p w:rsidR="002C4D12" w:rsidRPr="00B65EF7" w:rsidP="002C4D12" w14:paraId="46B5B612" w14:textId="22C7D448">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(4)</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227(e) violation</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01687F">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Any person determined to have violated section 227(e) of the Communications Act or the rules issued by the Commission under section</w:t>
      </w:r>
      <w:r w:rsidR="00AB7ED2">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227(e) of the Communications Act shall be liable to the United States fora forfeiture penalty of not more </w:t>
      </w:r>
      <w:r w:rsidRPr="00B208D1">
        <w:rPr>
          <w:rFonts w:ascii="Times New Roman" w:hAnsi="Times New Roman" w:cs="Times New Roman"/>
          <w:color w:val="auto"/>
          <w:sz w:val="22"/>
          <w:szCs w:val="22"/>
        </w:rPr>
        <w:t xml:space="preserve">than </w:t>
      </w:r>
      <w:r w:rsidRPr="00832959" w:rsidR="00832959">
        <w:rPr>
          <w:rFonts w:ascii="Times New Roman" w:hAnsi="Times New Roman" w:cs="Times New Roman"/>
          <w:color w:val="auto"/>
          <w:sz w:val="22"/>
          <w:szCs w:val="22"/>
        </w:rPr>
        <w:t>$12,646</w:t>
      </w:r>
      <w:r w:rsidRPr="00B65EF7">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for each violation or three times that amount for each day of a continuing violation, except that the amount assessed for any continuing violation shall not exceed a total of</w:t>
      </w:r>
      <w:r>
        <w:rPr>
          <w:rFonts w:ascii="Times New Roman" w:hAnsi="Times New Roman" w:cs="Times New Roman"/>
          <w:color w:val="auto"/>
          <w:sz w:val="22"/>
          <w:szCs w:val="22"/>
        </w:rPr>
        <w:t xml:space="preserve"> </w:t>
      </w:r>
      <w:r w:rsidRPr="00832959" w:rsidR="00832959">
        <w:rPr>
          <w:rFonts w:ascii="Times New Roman" w:hAnsi="Times New Roman" w:cs="Times New Roman"/>
          <w:color w:val="auto"/>
          <w:sz w:val="22"/>
          <w:szCs w:val="22"/>
        </w:rPr>
        <w:t>$1,264,622</w:t>
      </w:r>
      <w:r w:rsidRPr="00B65EF7">
        <w:rPr>
          <w:rFonts w:ascii="Times New Roman" w:hAnsi="Times New Roman" w:cs="Times New Roman"/>
          <w:color w:val="auto"/>
          <w:sz w:val="22"/>
          <w:szCs w:val="22"/>
        </w:rPr>
        <w:t xml:space="preserve"> for any single act or failure to act. </w:t>
      </w:r>
      <w:r w:rsidR="00AB7ED2">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Such penalty shall be in addition to any other forfeiture penalty provided for by the Communications Act.</w:t>
      </w:r>
    </w:p>
    <w:p w:rsidR="002C4D12" w:rsidP="002C4D12" w14:paraId="4416AFD9" w14:textId="77777777">
      <w:pPr>
        <w:pStyle w:val="Default"/>
        <w:widowControl w:val="0"/>
        <w:rPr>
          <w:rFonts w:ascii="Times New Roman" w:hAnsi="Times New Roman" w:cs="Times New Roman"/>
          <w:color w:val="auto"/>
          <w:sz w:val="22"/>
          <w:szCs w:val="22"/>
        </w:rPr>
      </w:pPr>
    </w:p>
    <w:p w:rsidR="002C4D12" w:rsidRPr="00B65EF7" w:rsidP="002C4D12" w14:paraId="3564F378" w14:textId="2AD51F47">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(5)</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227(b)(4)(B) violation</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FA449B">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Any person determined to have violated section 227(b)(4)(B) of the Communications Act or the rules</w:t>
      </w:r>
      <w:r>
        <w:rPr>
          <w:rFonts w:ascii="Times New Roman" w:hAnsi="Times New Roman" w:cs="Times New Roman"/>
          <w:color w:val="auto"/>
          <w:sz w:val="22"/>
          <w:szCs w:val="22"/>
        </w:rPr>
        <w:t xml:space="preserve"> in 47 CFR part 64</w:t>
      </w:r>
      <w:r w:rsidRPr="00B65EF7">
        <w:rPr>
          <w:rFonts w:ascii="Times New Roman" w:hAnsi="Times New Roman" w:cs="Times New Roman"/>
          <w:color w:val="auto"/>
          <w:sz w:val="22"/>
          <w:szCs w:val="22"/>
        </w:rPr>
        <w:t xml:space="preserve"> issued by the Commission under section</w:t>
      </w:r>
      <w:r>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227(b)(4)(B) of the Communications Act shall be liable to the United States for a forfeiture penalty determined in accordance with paragraphs</w:t>
      </w:r>
      <w:r w:rsidR="00AB7ED2">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 xml:space="preserve">(A)-(F) of section 503(b)(2) plus an additional penalty not to </w:t>
      </w:r>
      <w:r w:rsidRPr="00B208D1">
        <w:rPr>
          <w:rFonts w:ascii="Times New Roman" w:hAnsi="Times New Roman" w:cs="Times New Roman"/>
          <w:color w:val="auto"/>
          <w:sz w:val="22"/>
          <w:szCs w:val="22"/>
        </w:rPr>
        <w:t xml:space="preserve">exceed </w:t>
      </w:r>
      <w:r w:rsidRPr="00832959" w:rsidR="00832959">
        <w:rPr>
          <w:rFonts w:ascii="Times New Roman" w:hAnsi="Times New Roman" w:cs="Times New Roman"/>
          <w:color w:val="auto"/>
          <w:sz w:val="22"/>
          <w:szCs w:val="22"/>
        </w:rPr>
        <w:t>$10,748</w:t>
      </w:r>
      <w:r w:rsidRPr="00B65EF7">
        <w:rPr>
          <w:rFonts w:ascii="Times New Roman" w:hAnsi="Times New Roman" w:cs="Times New Roman"/>
          <w:color w:val="auto"/>
          <w:sz w:val="22"/>
          <w:szCs w:val="22"/>
        </w:rPr>
        <w:t>.</w:t>
      </w:r>
    </w:p>
    <w:p w:rsidR="002C4D12" w:rsidP="002C4D12" w14:paraId="7CDD220D" w14:textId="67BBB6BC">
      <w:pPr>
        <w:pStyle w:val="Default"/>
        <w:widowControl w:val="0"/>
        <w:rPr>
          <w:rFonts w:ascii="Times New Roman" w:hAnsi="Times New Roman" w:cs="Times New Roman"/>
          <w:color w:val="auto"/>
          <w:sz w:val="22"/>
          <w:szCs w:val="22"/>
        </w:rPr>
      </w:pPr>
    </w:p>
    <w:p w:rsidR="00E4126C" w:rsidP="002C4D12" w14:paraId="275E3A8B" w14:textId="4D1DB970">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w:t>
      </w:r>
      <w:r w:rsidRPr="00791E5A">
        <w:rPr>
          <w:rFonts w:ascii="Times New Roman" w:hAnsi="Times New Roman" w:cs="Times New Roman"/>
          <w:color w:val="auto"/>
          <w:sz w:val="22"/>
          <w:szCs w:val="22"/>
        </w:rPr>
        <w:t>6</w:t>
      </w:r>
      <w:r w:rsidRPr="00B65EF7">
        <w:rPr>
          <w:rFonts w:ascii="Times New Roman" w:hAnsi="Times New Roman" w:cs="Times New Roman"/>
          <w:color w:val="auto"/>
          <w:sz w:val="22"/>
          <w:szCs w:val="22"/>
        </w:rPr>
        <w:t>)</w:t>
      </w:r>
      <w:r w:rsidRPr="00791E5A">
        <w:rPr>
          <w:rFonts w:ascii="Times New Roman" w:hAnsi="Times New Roman" w:cs="Times New Roman"/>
          <w:color w:val="auto"/>
          <w:sz w:val="22"/>
          <w:szCs w:val="22"/>
        </w:rPr>
        <w:t xml:space="preserve"> </w:t>
      </w:r>
      <w:r w:rsidRPr="00791E5A">
        <w:rPr>
          <w:rFonts w:ascii="Times New Roman" w:hAnsi="Times New Roman" w:cs="Times New Roman"/>
          <w:i/>
          <w:iCs/>
          <w:color w:val="auto"/>
          <w:sz w:val="22"/>
          <w:szCs w:val="22"/>
        </w:rPr>
        <w:t>Forfeiture penalty for pirate radio broadcasting</w:t>
      </w:r>
      <w:r w:rsidRPr="00791E5A">
        <w:rPr>
          <w:rFonts w:ascii="Times New Roman" w:hAnsi="Times New Roman" w:cs="Times New Roman"/>
          <w:color w:val="auto"/>
          <w:sz w:val="22"/>
          <w:szCs w:val="22"/>
        </w:rPr>
        <w:t xml:space="preserve">. </w:t>
      </w:r>
      <w:r w:rsidR="00AB7ED2">
        <w:rPr>
          <w:rFonts w:ascii="Times New Roman" w:hAnsi="Times New Roman" w:cs="Times New Roman"/>
          <w:color w:val="auto"/>
          <w:sz w:val="22"/>
          <w:szCs w:val="22"/>
        </w:rPr>
        <w:t xml:space="preserve"> </w:t>
      </w:r>
      <w:r w:rsidRPr="00791E5A">
        <w:rPr>
          <w:rFonts w:ascii="Times New Roman" w:hAnsi="Times New Roman" w:cs="Times New Roman"/>
          <w:color w:val="auto"/>
          <w:sz w:val="22"/>
          <w:szCs w:val="22"/>
        </w:rPr>
        <w:t>(</w:t>
      </w:r>
      <w:r w:rsidRPr="00791E5A">
        <w:rPr>
          <w:rFonts w:ascii="Times New Roman" w:hAnsi="Times New Roman" w:cs="Times New Roman"/>
          <w:color w:val="auto"/>
          <w:sz w:val="22"/>
          <w:szCs w:val="22"/>
        </w:rPr>
        <w:t>i</w:t>
      </w:r>
      <w:r w:rsidRPr="00791E5A">
        <w:rPr>
          <w:rFonts w:ascii="Times New Roman" w:hAnsi="Times New Roman" w:cs="Times New Roman"/>
          <w:color w:val="auto"/>
          <w:sz w:val="22"/>
          <w:szCs w:val="22"/>
        </w:rPr>
        <w:t>) Any person who willfully and knowingly does or causes or suffers to be done any pirate radio broadcasting shall be subject to a fine of not more than $2,149,551; and (ii) Any person who willfully and knowingly violates the Act or any rule, regulation, restriction, or condition made or imposed by the Commission under authority of the Act, or any rule, regulation, restriction, or condition made or imposed by any international radio or wire communications treaty or convention, or regulations annexed thereto, to which the United States is party, relating to pirate radio broadcasting shall, in addition to any other penalties provided by law, be subject to a fine of not more than $107,478</w:t>
      </w:r>
      <w:r>
        <w:rPr>
          <w:rFonts w:ascii="Times New Roman" w:hAnsi="Times New Roman" w:cs="Times New Roman"/>
          <w:color w:val="auto"/>
          <w:sz w:val="22"/>
          <w:szCs w:val="22"/>
        </w:rPr>
        <w:t xml:space="preserve"> </w:t>
      </w:r>
      <w:r w:rsidRPr="00791E5A">
        <w:rPr>
          <w:rFonts w:ascii="Times New Roman" w:hAnsi="Times New Roman" w:cs="Times New Roman"/>
          <w:color w:val="auto"/>
          <w:sz w:val="22"/>
          <w:szCs w:val="22"/>
        </w:rPr>
        <w:t>for each day during which such offense occurs, in accordance with the limit described in this section.</w:t>
      </w:r>
    </w:p>
    <w:p w:rsidR="00E4126C" w:rsidP="002C4D12" w14:paraId="30C770AA" w14:textId="77777777">
      <w:pPr>
        <w:pStyle w:val="Default"/>
        <w:widowControl w:val="0"/>
        <w:rPr>
          <w:rFonts w:ascii="Times New Roman" w:hAnsi="Times New Roman" w:cs="Times New Roman"/>
          <w:color w:val="auto"/>
          <w:sz w:val="22"/>
          <w:szCs w:val="22"/>
        </w:rPr>
      </w:pPr>
    </w:p>
    <w:p w:rsidR="00E4126C" w:rsidRPr="00B65EF7" w:rsidP="00E4126C" w14:paraId="387A62C5" w14:textId="3F998FC4">
      <w:pPr>
        <w:pStyle w:val="Default"/>
        <w:widowControl w:val="0"/>
        <w:rPr>
          <w:rFonts w:ascii="Times New Roman" w:hAnsi="Times New Roman" w:cs="Times New Roman"/>
          <w:color w:val="auto"/>
          <w:sz w:val="22"/>
          <w:szCs w:val="22"/>
        </w:rPr>
      </w:pPr>
      <w:r w:rsidRPr="00B65EF7">
        <w:rPr>
          <w:rFonts w:ascii="Times New Roman" w:hAnsi="Times New Roman" w:cs="Times New Roman"/>
          <w:color w:val="auto"/>
          <w:sz w:val="22"/>
          <w:szCs w:val="22"/>
        </w:rPr>
        <w:t>(</w:t>
      </w:r>
      <w:r>
        <w:rPr>
          <w:rFonts w:ascii="Times New Roman" w:hAnsi="Times New Roman" w:cs="Times New Roman"/>
          <w:color w:val="auto"/>
          <w:sz w:val="22"/>
          <w:szCs w:val="22"/>
        </w:rPr>
        <w:t>7</w:t>
      </w:r>
      <w:r w:rsidRPr="00B65EF7">
        <w:rPr>
          <w:rFonts w:ascii="Times New Roman" w:hAnsi="Times New Roman" w:cs="Times New Roman"/>
          <w:color w:val="auto"/>
          <w:sz w:val="22"/>
          <w:szCs w:val="22"/>
        </w:rPr>
        <w:t>)</w:t>
      </w:r>
      <w:r w:rsidRPr="00B65EF7">
        <w:rPr>
          <w:rFonts w:ascii="Times New Roman" w:hAnsi="Times New Roman" w:cs="Times New Roman"/>
          <w:b/>
          <w:bCs/>
          <w:color w:val="auto"/>
          <w:sz w:val="22"/>
          <w:szCs w:val="22"/>
        </w:rPr>
        <w:t xml:space="preserve"> </w:t>
      </w:r>
      <w:r w:rsidRPr="007023D3">
        <w:rPr>
          <w:rFonts w:ascii="Times New Roman" w:hAnsi="Times New Roman" w:cs="Times New Roman"/>
          <w:bCs/>
          <w:i/>
          <w:color w:val="auto"/>
          <w:sz w:val="22"/>
          <w:szCs w:val="22"/>
        </w:rPr>
        <w:t>Forfeiture penalty for a section 6507(b)(4) Tax Relief Act violation</w:t>
      </w:r>
      <w:r w:rsidRPr="007023D3">
        <w:rPr>
          <w:rFonts w:ascii="Times New Roman" w:hAnsi="Times New Roman" w:cs="Times New Roman"/>
          <w:bCs/>
          <w:color w:val="auto"/>
          <w:sz w:val="22"/>
          <w:szCs w:val="22"/>
        </w:rPr>
        <w:t>.</w:t>
      </w:r>
      <w:r>
        <w:rPr>
          <w:rFonts w:ascii="Times New Roman" w:hAnsi="Times New Roman" w:cs="Times New Roman"/>
          <w:bCs/>
          <w:color w:val="auto"/>
          <w:sz w:val="22"/>
          <w:szCs w:val="22"/>
        </w:rPr>
        <w:t xml:space="preserve"> </w:t>
      </w:r>
      <w:r w:rsidRPr="00FA449B">
        <w:rPr>
          <w:rFonts w:ascii="Times New Roman" w:hAnsi="Times New Roman" w:cs="Times New Roman"/>
          <w:b/>
          <w:bCs/>
          <w:color w:val="auto"/>
          <w:sz w:val="22"/>
          <w:szCs w:val="22"/>
        </w:rPr>
        <w:t xml:space="preserve"> </w:t>
      </w:r>
      <w:r w:rsidRPr="00B65EF7">
        <w:rPr>
          <w:rFonts w:ascii="Times New Roman" w:hAnsi="Times New Roman" w:cs="Times New Roman"/>
          <w:color w:val="auto"/>
          <w:sz w:val="22"/>
          <w:szCs w:val="22"/>
        </w:rPr>
        <w:t>If a violator who is granted access to the Do-Not-Call registry of public safety answering points discloses or disseminates any registered telephone number without authorization, in violation of section 6507(b)(4) of the Middle Class Tax Relief and Job Creation Act of 2012 or the Commission's implementing rules</w:t>
      </w:r>
      <w:r>
        <w:rPr>
          <w:rFonts w:ascii="Times New Roman" w:hAnsi="Times New Roman" w:cs="Times New Roman"/>
          <w:color w:val="auto"/>
          <w:sz w:val="22"/>
          <w:szCs w:val="22"/>
        </w:rPr>
        <w:t xml:space="preserve"> in 47 CFR part 64</w:t>
      </w:r>
      <w:r w:rsidRPr="00B65EF7">
        <w:rPr>
          <w:rFonts w:ascii="Times New Roman" w:hAnsi="Times New Roman" w:cs="Times New Roman"/>
          <w:color w:val="auto"/>
          <w:sz w:val="22"/>
          <w:szCs w:val="22"/>
        </w:rPr>
        <w:t xml:space="preserve">, the monetary penalty for such </w:t>
      </w:r>
      <w:r w:rsidRPr="00B208D1">
        <w:rPr>
          <w:rFonts w:ascii="Times New Roman" w:hAnsi="Times New Roman" w:cs="Times New Roman"/>
          <w:color w:val="auto"/>
          <w:sz w:val="22"/>
          <w:szCs w:val="22"/>
        </w:rPr>
        <w:t xml:space="preserve">unauthorized disclosure or dissemination of a telephone number from the registry shall be not less than </w:t>
      </w:r>
      <w:r w:rsidRPr="00FE45B2">
        <w:rPr>
          <w:rFonts w:ascii="Times New Roman" w:hAnsi="Times New Roman" w:cs="Times New Roman"/>
          <w:color w:val="auto"/>
          <w:sz w:val="22"/>
          <w:szCs w:val="22"/>
        </w:rPr>
        <w:t>$118,430</w:t>
      </w:r>
      <w:r>
        <w:rPr>
          <w:rFonts w:ascii="Times New Roman" w:hAnsi="Times New Roman" w:cs="Times New Roman"/>
          <w:color w:val="auto"/>
          <w:sz w:val="22"/>
          <w:szCs w:val="22"/>
        </w:rPr>
        <w:t xml:space="preserve"> </w:t>
      </w:r>
      <w:r w:rsidRPr="00B65EF7">
        <w:rPr>
          <w:rFonts w:ascii="Times New Roman" w:hAnsi="Times New Roman" w:cs="Times New Roman"/>
          <w:color w:val="auto"/>
          <w:sz w:val="22"/>
          <w:szCs w:val="22"/>
        </w:rPr>
        <w:t>per incident nor more than</w:t>
      </w:r>
      <w:r>
        <w:rPr>
          <w:rFonts w:ascii="Times New Roman" w:hAnsi="Times New Roman" w:cs="Times New Roman"/>
          <w:color w:val="auto"/>
          <w:sz w:val="22"/>
          <w:szCs w:val="22"/>
        </w:rPr>
        <w:t xml:space="preserve"> </w:t>
      </w:r>
      <w:r w:rsidRPr="00FE45B2">
        <w:rPr>
          <w:rFonts w:ascii="Times New Roman" w:hAnsi="Times New Roman" w:cs="Times New Roman"/>
          <w:color w:val="auto"/>
          <w:sz w:val="22"/>
          <w:szCs w:val="22"/>
        </w:rPr>
        <w:t>$1,184,300</w:t>
      </w:r>
      <w:r w:rsidRPr="00B65EF7">
        <w:rPr>
          <w:rFonts w:ascii="Times New Roman" w:hAnsi="Times New Roman" w:cs="Times New Roman"/>
          <w:color w:val="auto"/>
          <w:sz w:val="22"/>
          <w:szCs w:val="22"/>
        </w:rPr>
        <w:t xml:space="preserve"> per incident depending upon whether the conduct leading to the violation was negligent, grossly negligent, reckless, or willful, and depending on whether the violation was a first or subsequent offense.</w:t>
      </w:r>
    </w:p>
    <w:p w:rsidR="00E4126C" w:rsidP="00E4126C" w14:paraId="4A2BE04E" w14:textId="77777777">
      <w:pPr>
        <w:rPr>
          <w:szCs w:val="22"/>
        </w:rPr>
      </w:pPr>
    </w:p>
    <w:p w:rsidR="00E4126C" w:rsidRPr="00B65EF7" w:rsidP="00E4126C" w14:paraId="1048E7C8" w14:textId="012D2EE5">
      <w:pPr>
        <w:rPr>
          <w:szCs w:val="22"/>
        </w:rPr>
      </w:pPr>
      <w:r w:rsidRPr="00B65EF7">
        <w:rPr>
          <w:szCs w:val="22"/>
        </w:rPr>
        <w:t>(</w:t>
      </w:r>
      <w:r>
        <w:rPr>
          <w:szCs w:val="22"/>
        </w:rPr>
        <w:t>8</w:t>
      </w:r>
      <w:r w:rsidRPr="00B65EF7">
        <w:rPr>
          <w:szCs w:val="22"/>
        </w:rPr>
        <w:t>)</w:t>
      </w:r>
      <w:r w:rsidRPr="00B65EF7">
        <w:rPr>
          <w:b/>
          <w:bCs/>
          <w:szCs w:val="22"/>
        </w:rPr>
        <w:t xml:space="preserve"> </w:t>
      </w:r>
      <w:r w:rsidRPr="007023D3">
        <w:rPr>
          <w:bCs/>
          <w:i/>
          <w:szCs w:val="22"/>
        </w:rPr>
        <w:t>Forfeiture penalty for a section 6507(b)(5) Tax Relief Act violation</w:t>
      </w:r>
      <w:r w:rsidRPr="007023D3">
        <w:rPr>
          <w:bCs/>
          <w:szCs w:val="22"/>
        </w:rPr>
        <w:t>.</w:t>
      </w:r>
      <w:r>
        <w:rPr>
          <w:bCs/>
          <w:szCs w:val="22"/>
        </w:rPr>
        <w:t xml:space="preserve"> </w:t>
      </w:r>
      <w:r w:rsidRPr="007023D3">
        <w:rPr>
          <w:bCs/>
          <w:szCs w:val="22"/>
        </w:rPr>
        <w:t xml:space="preserve"> </w:t>
      </w:r>
      <w:r w:rsidRPr="00B65EF7">
        <w:rPr>
          <w:szCs w:val="22"/>
        </w:rPr>
        <w:t>If a violator uses automatic dialing equipment to contact a telephone number on the Do-Not-Call registry of public safety answering points, in violation of section 6507(b)(5) of the Middle Class Tax Relief and Job Creation Act of 2012 or the Commission's implementing rules</w:t>
      </w:r>
      <w:r>
        <w:rPr>
          <w:szCs w:val="22"/>
        </w:rPr>
        <w:t xml:space="preserve"> in 47 CFR part 64</w:t>
      </w:r>
      <w:r w:rsidRPr="00B65EF7">
        <w:rPr>
          <w:szCs w:val="22"/>
        </w:rPr>
        <w:t xml:space="preserve">, the monetary penalty for contacting such a telephone number shall be not less </w:t>
      </w:r>
      <w:r w:rsidRPr="00B208D1">
        <w:rPr>
          <w:szCs w:val="22"/>
        </w:rPr>
        <w:t xml:space="preserve">than </w:t>
      </w:r>
      <w:r w:rsidRPr="00FE45B2">
        <w:rPr>
          <w:szCs w:val="22"/>
        </w:rPr>
        <w:t>$11,843</w:t>
      </w:r>
      <w:r w:rsidRPr="00B65EF7">
        <w:rPr>
          <w:szCs w:val="22"/>
        </w:rPr>
        <w:t xml:space="preserve"> per call nor more </w:t>
      </w:r>
      <w:r w:rsidRPr="00B208D1">
        <w:rPr>
          <w:szCs w:val="22"/>
        </w:rPr>
        <w:t xml:space="preserve">than </w:t>
      </w:r>
      <w:r w:rsidRPr="00FE45B2">
        <w:rPr>
          <w:szCs w:val="22"/>
        </w:rPr>
        <w:t>$118,430</w:t>
      </w:r>
      <w:r>
        <w:rPr>
          <w:szCs w:val="22"/>
        </w:rPr>
        <w:t xml:space="preserve"> </w:t>
      </w:r>
      <w:r w:rsidRPr="00B65EF7">
        <w:rPr>
          <w:szCs w:val="22"/>
        </w:rPr>
        <w:t>per call depending on whether the violation was negligent, grossly negligent, reckless, or willful, and depending on whether the violation was a first or subsequent offense.</w:t>
      </w:r>
    </w:p>
    <w:p w:rsidR="00E4126C" w:rsidP="00E4126C" w14:paraId="57F09628" w14:textId="77777777">
      <w:pPr>
        <w:rPr>
          <w:szCs w:val="22"/>
        </w:rPr>
      </w:pPr>
    </w:p>
    <w:p w:rsidR="00E4126C" w:rsidP="00E4126C" w14:paraId="43BD66B4" w14:textId="0D78F85C">
      <w:pPr>
        <w:rPr>
          <w:szCs w:val="22"/>
        </w:rPr>
      </w:pPr>
      <w:r w:rsidRPr="00B65EF7">
        <w:rPr>
          <w:szCs w:val="22"/>
        </w:rPr>
        <w:t>(</w:t>
      </w:r>
      <w:r>
        <w:rPr>
          <w:szCs w:val="22"/>
        </w:rPr>
        <w:t>9</w:t>
      </w:r>
      <w:r w:rsidRPr="00B65EF7">
        <w:rPr>
          <w:szCs w:val="22"/>
        </w:rPr>
        <w:t xml:space="preserve">) </w:t>
      </w:r>
      <w:r w:rsidRPr="007023D3">
        <w:rPr>
          <w:i/>
          <w:szCs w:val="22"/>
        </w:rPr>
        <w:t>Maximum forfeiture penalty for any case not previously covered</w:t>
      </w:r>
      <w:r w:rsidRPr="00FA449B">
        <w:rPr>
          <w:szCs w:val="22"/>
        </w:rPr>
        <w:t>.</w:t>
      </w:r>
      <w:r>
        <w:rPr>
          <w:szCs w:val="22"/>
        </w:rPr>
        <w:t xml:space="preserve">  </w:t>
      </w:r>
      <w:r w:rsidRPr="00B65EF7">
        <w:rPr>
          <w:szCs w:val="22"/>
        </w:rPr>
        <w:t>In any case not covered in paragraphs (b)(1) through (</w:t>
      </w:r>
      <w:r>
        <w:rPr>
          <w:szCs w:val="22"/>
        </w:rPr>
        <w:t>8</w:t>
      </w:r>
      <w:r w:rsidRPr="00B65EF7">
        <w:rPr>
          <w:szCs w:val="22"/>
        </w:rPr>
        <w:t xml:space="preserve">) of this section, the amount of any forfeiture penalty determined under this section shall not </w:t>
      </w:r>
      <w:r w:rsidRPr="00B208D1">
        <w:rPr>
          <w:szCs w:val="22"/>
        </w:rPr>
        <w:t xml:space="preserve">exceed </w:t>
      </w:r>
      <w:r w:rsidRPr="00FE45B2">
        <w:rPr>
          <w:szCs w:val="22"/>
        </w:rPr>
        <w:t>$22,021</w:t>
      </w:r>
      <w:r>
        <w:rPr>
          <w:szCs w:val="22"/>
        </w:rPr>
        <w:t xml:space="preserve"> </w:t>
      </w:r>
      <w:r w:rsidRPr="00B65EF7">
        <w:rPr>
          <w:szCs w:val="22"/>
        </w:rPr>
        <w:t xml:space="preserve">for each violation or each day of a continuing violation, except that the amount assessed for any continuing violation shall not exceed a total of </w:t>
      </w:r>
      <w:r w:rsidRPr="00FE45B2">
        <w:rPr>
          <w:szCs w:val="22"/>
        </w:rPr>
        <w:t>$165,159</w:t>
      </w:r>
      <w:r>
        <w:rPr>
          <w:szCs w:val="22"/>
        </w:rPr>
        <w:t xml:space="preserve"> </w:t>
      </w:r>
      <w:r w:rsidRPr="00B65EF7">
        <w:rPr>
          <w:szCs w:val="22"/>
        </w:rPr>
        <w:t>for any single act or failure to act described in paragraph (a) of this section.</w:t>
      </w:r>
    </w:p>
    <w:p w:rsidR="00E4126C" w:rsidP="00E4126C" w14:paraId="0218ACA2" w14:textId="77777777"/>
    <w:p w:rsidR="00E4126C" w:rsidRPr="00BC1318" w:rsidP="00E4126C" w14:paraId="07A36FAA" w14:textId="77777777">
      <w:pPr>
        <w:rPr>
          <w:szCs w:val="22"/>
        </w:rPr>
      </w:pPr>
      <w:r w:rsidRPr="00BC1318">
        <w:rPr>
          <w:szCs w:val="22"/>
        </w:rPr>
        <w:t>* * * * *</w:t>
      </w:r>
    </w:p>
    <w:p w:rsidR="00E4126C" w:rsidP="00E4126C" w14:paraId="23FF71B4" w14:textId="77777777">
      <w:pPr>
        <w:rPr>
          <w:b/>
          <w:bCs/>
          <w:szCs w:val="22"/>
        </w:rPr>
      </w:pPr>
    </w:p>
    <w:p w:rsidR="009026C2" w:rsidRPr="00686DE5" w:rsidP="009026C2" w14:paraId="1D65CAC6" w14:textId="6899103B">
      <w:pPr>
        <w:shd w:val="clear" w:color="auto" w:fill="FFFFFF"/>
        <w:rPr>
          <w:bCs/>
        </w:rPr>
      </w:pPr>
      <w:bookmarkStart w:id="0" w:name="_Hlk90644196"/>
      <w:r w:rsidRPr="00BC44B6">
        <w:rPr>
          <w:szCs w:val="22"/>
        </w:rPr>
        <w:t>Table 4 to Paragraph (b)(10)</w:t>
      </w:r>
      <w:bookmarkEnd w:id="0"/>
      <w:r w:rsidR="001E51DE">
        <w:rPr>
          <w:szCs w:val="22"/>
        </w:rPr>
        <w:t xml:space="preserve"> - </w:t>
      </w:r>
      <w:r w:rsidRPr="00686DE5">
        <w:rPr>
          <w:bCs/>
        </w:rPr>
        <w:t>Non-Section 503 Forfeitures That Are Affected by the Downward Adjustment Factors</w:t>
      </w:r>
    </w:p>
    <w:p w:rsidR="009026C2" w:rsidRPr="00686DE5" w:rsidP="009026C2" w14:paraId="6520DEED" w14:textId="77777777">
      <w:pPr>
        <w:shd w:val="clear" w:color="auto" w:fill="FFFFFF"/>
        <w:rPr>
          <w:b/>
          <w:bCs/>
          <w:u w:val="single"/>
        </w:rPr>
      </w:pPr>
    </w:p>
    <w:p w:rsidR="009026C2" w:rsidRPr="00BC1318" w:rsidP="009026C2" w14:paraId="39151180" w14:textId="77777777">
      <w:pPr>
        <w:shd w:val="clear" w:color="auto" w:fill="FFFFFF"/>
      </w:pPr>
      <w:r w:rsidRPr="00BC1318">
        <w:t>* * * * *</w:t>
      </w:r>
    </w:p>
    <w:p w:rsidR="009026C2" w:rsidRPr="00FD12DE" w:rsidP="009026C2" w14:paraId="784D2873" w14:textId="77777777">
      <w:pPr>
        <w:shd w:val="clear" w:color="auto" w:fill="FFFFFF"/>
      </w:pPr>
      <w:r w:rsidRPr="00FD12DE">
        <w:t>-------------------------------------------------------------</w:t>
      </w:r>
    </w:p>
    <w:p w:rsidR="009026C2" w:rsidRPr="00FD12DE" w:rsidP="009026C2" w14:paraId="4315B286" w14:textId="77777777">
      <w:pPr>
        <w:shd w:val="clear" w:color="auto" w:fill="FFFFFF"/>
      </w:pPr>
    </w:p>
    <w:tbl>
      <w:tblPr>
        <w:tblStyle w:val="PlainTable41"/>
        <w:tblW w:w="0" w:type="auto"/>
        <w:tblLook w:val="04A0"/>
      </w:tblPr>
      <w:tblGrid>
        <w:gridCol w:w="4675"/>
        <w:gridCol w:w="4675"/>
      </w:tblGrid>
      <w:tr w14:paraId="487FBD95" w14:textId="77777777" w:rsidTr="00116BF8">
        <w:tblPrEx>
          <w:tblW w:w="0" w:type="auto"/>
          <w:tblLook w:val="04A0"/>
        </w:tblPrEx>
        <w:tc>
          <w:tcPr>
            <w:tcW w:w="4675" w:type="dxa"/>
          </w:tcPr>
          <w:p w:rsidR="009026C2" w:rsidRPr="002C4D12" w:rsidP="00116BF8" w14:paraId="326E8424" w14:textId="77777777">
            <w:pPr>
              <w:spacing w:line="315" w:lineRule="atLeast"/>
              <w:jc w:val="center"/>
            </w:pPr>
            <w:bookmarkStart w:id="1" w:name="_Hlk89966757"/>
            <w:r w:rsidRPr="002C4D12">
              <w:t>Violation</w:t>
            </w:r>
          </w:p>
        </w:tc>
        <w:tc>
          <w:tcPr>
            <w:tcW w:w="4675" w:type="dxa"/>
          </w:tcPr>
          <w:p w:rsidR="009026C2" w:rsidRPr="002C4D12" w:rsidP="00116BF8" w14:paraId="54D01B2A" w14:textId="77777777">
            <w:pPr>
              <w:spacing w:line="315" w:lineRule="atLeast"/>
            </w:pPr>
            <w:r w:rsidRPr="002C4D12">
              <w:t>Statutory</w:t>
            </w:r>
          </w:p>
          <w:p w:rsidR="009026C2" w:rsidRPr="002C4D12" w:rsidP="00116BF8" w14:paraId="4EAEFC0A" w14:textId="77777777">
            <w:pPr>
              <w:spacing w:line="315" w:lineRule="atLeast"/>
            </w:pPr>
            <w:r w:rsidRPr="002C4D12">
              <w:t>Amount</w:t>
            </w:r>
          </w:p>
          <w:p w:rsidR="009026C2" w:rsidRPr="002C4D12" w:rsidP="00116BF8" w14:paraId="2A07E70C" w14:textId="307BA911">
            <w:pPr>
              <w:spacing w:line="315" w:lineRule="atLeast"/>
            </w:pPr>
            <w:r w:rsidRPr="002C4D12">
              <w:t>After 202</w:t>
            </w:r>
            <w:r w:rsidRPr="002C4D12" w:rsidR="00194E36">
              <w:t>2</w:t>
            </w:r>
            <w:r w:rsidRPr="002C4D12">
              <w:t xml:space="preserve"> Annual Inflation Adjustment</w:t>
            </w:r>
          </w:p>
          <w:p w:rsidR="009026C2" w:rsidRPr="002C4D12" w:rsidP="00116BF8" w14:paraId="0C3781EB" w14:textId="77777777">
            <w:pPr>
              <w:spacing w:line="315" w:lineRule="atLeast"/>
            </w:pPr>
          </w:p>
        </w:tc>
      </w:tr>
      <w:tr w14:paraId="3F64E58B" w14:textId="77777777" w:rsidTr="00116BF8">
        <w:tblPrEx>
          <w:tblW w:w="0" w:type="auto"/>
          <w:tblLook w:val="04A0"/>
        </w:tblPrEx>
        <w:tc>
          <w:tcPr>
            <w:tcW w:w="4675" w:type="dxa"/>
            <w:shd w:val="clear" w:color="auto" w:fill="auto"/>
          </w:tcPr>
          <w:p w:rsidR="009026C2" w:rsidRPr="002C4D12" w:rsidP="00116BF8" w14:paraId="6798D338" w14:textId="77777777">
            <w:pPr>
              <w:shd w:val="clear" w:color="auto" w:fill="FFFFFF"/>
              <w:spacing w:line="315" w:lineRule="atLeast"/>
            </w:pPr>
            <w:bookmarkStart w:id="2" w:name="_Hlk27997813"/>
            <w:r w:rsidRPr="002C4D12">
              <w:rPr>
                <w:b w:val="0"/>
              </w:rPr>
              <w:t xml:space="preserve">Sec. 202(c) Common Carrier Discrimination …… </w:t>
            </w:r>
          </w:p>
          <w:p w:rsidR="009026C2" w:rsidRPr="002C4D12" w:rsidP="00116BF8" w14:paraId="6CEC003B" w14:textId="77777777">
            <w:pPr>
              <w:shd w:val="clear" w:color="auto" w:fill="FFFFFF"/>
              <w:spacing w:line="315" w:lineRule="atLeast"/>
            </w:pPr>
            <w:r w:rsidRPr="002C4D12">
              <w:rPr>
                <w:b w:val="0"/>
              </w:rPr>
              <w:t>Sec. 203(e) Common Carrier Tariffs …………….</w:t>
            </w:r>
          </w:p>
          <w:p w:rsidR="009026C2" w:rsidRPr="002C4D12" w:rsidP="00116BF8" w14:paraId="34D1BF0F" w14:textId="77777777">
            <w:pPr>
              <w:shd w:val="clear" w:color="auto" w:fill="FFFFFF"/>
              <w:spacing w:line="315" w:lineRule="atLeast"/>
            </w:pPr>
            <w:r w:rsidRPr="002C4D12">
              <w:rPr>
                <w:b w:val="0"/>
              </w:rPr>
              <w:t>Sec. 205(b) Common Carrier Prescriptions ……...</w:t>
            </w:r>
          </w:p>
          <w:p w:rsidR="009026C2" w:rsidRPr="002C4D12" w:rsidP="00116BF8" w14:paraId="6D9B8461" w14:textId="77777777">
            <w:pPr>
              <w:shd w:val="clear" w:color="auto" w:fill="FFFFFF"/>
              <w:spacing w:line="315" w:lineRule="atLeast"/>
            </w:pPr>
            <w:r w:rsidRPr="002C4D12">
              <w:rPr>
                <w:b w:val="0"/>
              </w:rPr>
              <w:t xml:space="preserve">Sec. 214(d) Common Carrier Line Extensions …. </w:t>
            </w:r>
          </w:p>
          <w:p w:rsidR="009026C2" w:rsidRPr="002C4D12" w:rsidP="00116BF8" w14:paraId="02326697" w14:textId="77777777">
            <w:pPr>
              <w:shd w:val="clear" w:color="auto" w:fill="FFFFFF"/>
              <w:spacing w:line="315" w:lineRule="atLeast"/>
            </w:pPr>
            <w:r w:rsidRPr="002C4D12">
              <w:rPr>
                <w:b w:val="0"/>
              </w:rPr>
              <w:t>Sec. 219(b) Common Carrier Reports …………...</w:t>
            </w:r>
          </w:p>
          <w:p w:rsidR="009026C2" w:rsidRPr="002C4D12" w:rsidP="00116BF8" w14:paraId="62967151" w14:textId="77777777">
            <w:pPr>
              <w:shd w:val="clear" w:color="auto" w:fill="FFFFFF"/>
              <w:spacing w:line="315" w:lineRule="atLeast"/>
            </w:pPr>
            <w:r w:rsidRPr="002C4D12">
              <w:rPr>
                <w:b w:val="0"/>
              </w:rPr>
              <w:t xml:space="preserve">Sec. 220(d) Common Carrier Records &amp; Accounts </w:t>
            </w:r>
          </w:p>
          <w:p w:rsidR="009026C2" w:rsidRPr="002C4D12" w:rsidP="00116BF8" w14:paraId="40860EB0" w14:textId="77777777">
            <w:pPr>
              <w:shd w:val="clear" w:color="auto" w:fill="FFFFFF"/>
              <w:spacing w:line="315" w:lineRule="atLeast"/>
            </w:pPr>
            <w:r w:rsidRPr="002C4D12">
              <w:rPr>
                <w:b w:val="0"/>
              </w:rPr>
              <w:t>Sec. 223(b) Dial-a-Porn ………………………….</w:t>
            </w:r>
          </w:p>
          <w:p w:rsidR="009026C2" w:rsidRPr="002C4D12" w:rsidP="00116BF8" w14:paraId="71EE53BF" w14:textId="77777777">
            <w:pPr>
              <w:shd w:val="clear" w:color="auto" w:fill="FFFFFF"/>
              <w:spacing w:line="315" w:lineRule="atLeast"/>
            </w:pPr>
            <w:r w:rsidRPr="002C4D12">
              <w:rPr>
                <w:b w:val="0"/>
              </w:rPr>
              <w:t>Sec. 227(e) Caller Identification ………………....</w:t>
            </w:r>
          </w:p>
          <w:p w:rsidR="009026C2" w:rsidRPr="002C4D12" w:rsidP="00116BF8" w14:paraId="5F0FB01C" w14:textId="77777777">
            <w:pPr>
              <w:shd w:val="clear" w:color="auto" w:fill="FFFFFF"/>
              <w:spacing w:line="315" w:lineRule="atLeast"/>
            </w:pPr>
          </w:p>
          <w:p w:rsidR="009026C2" w:rsidRPr="002C4D12" w:rsidP="00116BF8" w14:paraId="77E40766" w14:textId="77777777">
            <w:pPr>
              <w:shd w:val="clear" w:color="auto" w:fill="FFFFFF"/>
              <w:spacing w:line="315" w:lineRule="atLeast"/>
            </w:pPr>
          </w:p>
          <w:p w:rsidR="009026C2" w:rsidRPr="002C4D12" w:rsidP="00116BF8" w14:paraId="01FCBD1C" w14:textId="77777777">
            <w:pPr>
              <w:shd w:val="clear" w:color="auto" w:fill="FFFFFF"/>
              <w:spacing w:line="315" w:lineRule="atLeast"/>
            </w:pPr>
          </w:p>
          <w:p w:rsidR="009026C2" w:rsidRPr="002C4D12" w:rsidP="00116BF8" w14:paraId="57EF81C2" w14:textId="77777777">
            <w:pPr>
              <w:shd w:val="clear" w:color="auto" w:fill="FFFFFF"/>
              <w:spacing w:line="315" w:lineRule="atLeast"/>
            </w:pPr>
            <w:r w:rsidRPr="002C4D12">
              <w:rPr>
                <w:b w:val="0"/>
              </w:rPr>
              <w:t xml:space="preserve">Sec. 364(a) Forfeitures (Ships) ………………….. </w:t>
            </w:r>
          </w:p>
          <w:p w:rsidR="009026C2" w:rsidRPr="002C4D12" w:rsidP="00116BF8" w14:paraId="1A51DE3A" w14:textId="77777777">
            <w:pPr>
              <w:shd w:val="clear" w:color="auto" w:fill="FFFFFF"/>
              <w:spacing w:line="315" w:lineRule="atLeast"/>
            </w:pPr>
            <w:r w:rsidRPr="002C4D12">
              <w:rPr>
                <w:b w:val="0"/>
              </w:rPr>
              <w:t xml:space="preserve">Sec. 364(b) Forfeitures (Ships) …………………. </w:t>
            </w:r>
          </w:p>
          <w:p w:rsidR="009026C2" w:rsidRPr="002C4D12" w:rsidP="00116BF8" w14:paraId="51C70D05" w14:textId="77777777">
            <w:pPr>
              <w:shd w:val="clear" w:color="auto" w:fill="FFFFFF"/>
              <w:spacing w:line="315" w:lineRule="atLeast"/>
            </w:pPr>
            <w:r w:rsidRPr="002C4D12">
              <w:rPr>
                <w:b w:val="0"/>
              </w:rPr>
              <w:t xml:space="preserve">Sec. 386(a) Forfeitures (Ships) …………………. </w:t>
            </w:r>
          </w:p>
          <w:p w:rsidR="009026C2" w:rsidRPr="002C4D12" w:rsidP="00116BF8" w14:paraId="5C4B4A43" w14:textId="77777777">
            <w:pPr>
              <w:shd w:val="clear" w:color="auto" w:fill="FFFFFF"/>
              <w:spacing w:line="315" w:lineRule="atLeast"/>
            </w:pPr>
            <w:r w:rsidRPr="002C4D12">
              <w:rPr>
                <w:b w:val="0"/>
              </w:rPr>
              <w:t xml:space="preserve">Sec. 386(b) Forfeitures (Ships) …………………. </w:t>
            </w:r>
          </w:p>
          <w:p w:rsidR="009026C2" w:rsidRPr="002C4D12" w:rsidP="00116BF8" w14:paraId="4F6CD730" w14:textId="77777777">
            <w:pPr>
              <w:shd w:val="clear" w:color="auto" w:fill="FFFFFF"/>
              <w:spacing w:line="315" w:lineRule="atLeast"/>
            </w:pPr>
            <w:r w:rsidRPr="002C4D12">
              <w:rPr>
                <w:b w:val="0"/>
              </w:rPr>
              <w:t>Sec. 511 Pirate Radio Broadcasting ……………..</w:t>
            </w:r>
          </w:p>
          <w:p w:rsidR="009026C2" w:rsidRPr="002C4D12" w:rsidP="00116BF8" w14:paraId="1D882707" w14:textId="77777777">
            <w:pPr>
              <w:shd w:val="clear" w:color="auto" w:fill="FFFFFF"/>
              <w:spacing w:line="315" w:lineRule="atLeast"/>
            </w:pPr>
            <w:r w:rsidRPr="002C4D12">
              <w:rPr>
                <w:b w:val="0"/>
              </w:rPr>
              <w:t xml:space="preserve">Sec. 634 Cable EEO ………………………….…. </w:t>
            </w:r>
          </w:p>
          <w:p w:rsidR="009026C2" w:rsidRPr="002C4D12" w:rsidP="00116BF8" w14:paraId="0B4E022D" w14:textId="77777777">
            <w:pPr>
              <w:spacing w:line="315" w:lineRule="atLeast"/>
            </w:pPr>
          </w:p>
        </w:tc>
        <w:tc>
          <w:tcPr>
            <w:tcW w:w="4675" w:type="dxa"/>
            <w:shd w:val="clear" w:color="auto" w:fill="auto"/>
          </w:tcPr>
          <w:p w:rsidR="007F362F" w:rsidRPr="002C4D12" w:rsidP="007F362F" w14:paraId="2FC97070" w14:textId="77777777">
            <w:pPr>
              <w:spacing w:line="315" w:lineRule="atLeast"/>
            </w:pPr>
            <w:r w:rsidRPr="002C4D12">
              <w:t>$13,213, $661/day</w:t>
            </w:r>
          </w:p>
          <w:p w:rsidR="007F362F" w:rsidRPr="002C4D12" w:rsidP="007F362F" w14:paraId="5DEB5765" w14:textId="77777777">
            <w:pPr>
              <w:spacing w:line="315" w:lineRule="atLeast"/>
            </w:pPr>
            <w:r w:rsidRPr="002C4D12">
              <w:t>$13,213, $661/day</w:t>
            </w:r>
          </w:p>
          <w:p w:rsidR="007F362F" w:rsidRPr="002C4D12" w:rsidP="007F362F" w14:paraId="2884AE4F" w14:textId="77777777">
            <w:pPr>
              <w:spacing w:line="315" w:lineRule="atLeast"/>
            </w:pPr>
            <w:r w:rsidRPr="002C4D12">
              <w:t xml:space="preserve">$26,425 </w:t>
            </w:r>
          </w:p>
          <w:p w:rsidR="007F362F" w:rsidRPr="002C4D12" w:rsidP="007F362F" w14:paraId="051FE6C4" w14:textId="77777777">
            <w:pPr>
              <w:spacing w:line="315" w:lineRule="atLeast"/>
            </w:pPr>
            <w:r w:rsidRPr="002C4D12">
              <w:t>$2,642/day</w:t>
            </w:r>
          </w:p>
          <w:p w:rsidR="007F362F" w:rsidRPr="002C4D12" w:rsidP="007F362F" w14:paraId="33E4AD6B" w14:textId="77777777">
            <w:pPr>
              <w:spacing w:line="315" w:lineRule="atLeast"/>
            </w:pPr>
            <w:r w:rsidRPr="002C4D12">
              <w:t>$2,642/day</w:t>
            </w:r>
          </w:p>
          <w:p w:rsidR="007F362F" w:rsidRPr="002C4D12" w:rsidP="007F362F" w14:paraId="66DDAEE5" w14:textId="77777777">
            <w:pPr>
              <w:spacing w:line="315" w:lineRule="atLeast"/>
            </w:pPr>
            <w:r w:rsidRPr="002C4D12">
              <w:t>$13,213/day</w:t>
            </w:r>
          </w:p>
          <w:p w:rsidR="007F362F" w:rsidRPr="002C4D12" w:rsidP="007F362F" w14:paraId="618B7CE7" w14:textId="77777777">
            <w:pPr>
              <w:spacing w:line="315" w:lineRule="atLeast"/>
            </w:pPr>
            <w:r w:rsidRPr="002C4D12">
              <w:t>$136,924/day</w:t>
            </w:r>
          </w:p>
          <w:p w:rsidR="007F362F" w:rsidRPr="002C4D12" w:rsidP="007F362F" w14:paraId="3F439178" w14:textId="77777777">
            <w:pPr>
              <w:spacing w:line="315" w:lineRule="atLeast"/>
            </w:pPr>
            <w:r w:rsidRPr="002C4D12">
              <w:t>$12,646/violation</w:t>
            </w:r>
          </w:p>
          <w:p w:rsidR="007F362F" w:rsidRPr="002C4D12" w:rsidP="007F362F" w14:paraId="1E30837C" w14:textId="77777777">
            <w:pPr>
              <w:spacing w:line="315" w:lineRule="atLeast"/>
            </w:pPr>
            <w:r w:rsidRPr="002C4D12">
              <w:t>$37,937/day for each day of continuing violation,</w:t>
            </w:r>
          </w:p>
          <w:p w:rsidR="009026C2" w:rsidRPr="002C4D12" w:rsidP="007F362F" w14:paraId="6B397E31" w14:textId="4630EC2F">
            <w:pPr>
              <w:spacing w:line="315" w:lineRule="atLeast"/>
            </w:pPr>
            <w:r w:rsidRPr="002C4D12">
              <w:t>up to $1,264,622 for any single act or failure to act</w:t>
            </w:r>
          </w:p>
          <w:p w:rsidR="007F362F" w:rsidRPr="002C4D12" w:rsidP="007F362F" w14:paraId="6305F885" w14:textId="77777777">
            <w:pPr>
              <w:spacing w:line="315" w:lineRule="atLeast"/>
            </w:pPr>
            <w:r w:rsidRPr="002C4D12">
              <w:t>$11,011/day (owner)</w:t>
            </w:r>
          </w:p>
          <w:p w:rsidR="007F362F" w:rsidRPr="002C4D12" w:rsidP="007F362F" w14:paraId="771BEBBB" w14:textId="77777777">
            <w:pPr>
              <w:spacing w:line="315" w:lineRule="atLeast"/>
            </w:pPr>
            <w:r w:rsidRPr="002C4D12">
              <w:t>$2,203 (vessel master)</w:t>
            </w:r>
          </w:p>
          <w:p w:rsidR="007F362F" w:rsidRPr="002C4D12" w:rsidP="007F362F" w14:paraId="052F4C30" w14:textId="77777777">
            <w:pPr>
              <w:spacing w:line="315" w:lineRule="atLeast"/>
            </w:pPr>
            <w:r w:rsidRPr="002C4D12">
              <w:t>$11,011/day (owner)</w:t>
            </w:r>
          </w:p>
          <w:p w:rsidR="007F362F" w:rsidRPr="002C4D12" w:rsidP="007F362F" w14:paraId="028A8C9B" w14:textId="77777777">
            <w:pPr>
              <w:spacing w:line="315" w:lineRule="atLeast"/>
            </w:pPr>
            <w:r w:rsidRPr="002C4D12">
              <w:t>$2,203 (vessel master)</w:t>
            </w:r>
          </w:p>
          <w:p w:rsidR="007F362F" w:rsidRPr="002C4D12" w:rsidP="007F362F" w14:paraId="093F0D8D" w14:textId="77777777">
            <w:pPr>
              <w:spacing w:line="315" w:lineRule="atLeast"/>
            </w:pPr>
            <w:r w:rsidRPr="002C4D12">
              <w:t>$2,149,551, $107,478 /day</w:t>
            </w:r>
          </w:p>
          <w:p w:rsidR="009026C2" w:rsidRPr="00FD12DE" w:rsidP="007F362F" w14:paraId="1CAD4CB8" w14:textId="52F786CE">
            <w:pPr>
              <w:spacing w:line="315" w:lineRule="atLeast"/>
            </w:pPr>
            <w:r w:rsidRPr="002C4D12">
              <w:t>$976/day</w:t>
            </w:r>
          </w:p>
        </w:tc>
      </w:tr>
    </w:tbl>
    <w:p w:rsidR="009026C2" w:rsidP="009026C2" w14:paraId="1CC6CFE7" w14:textId="77777777">
      <w:pPr>
        <w:shd w:val="clear" w:color="auto" w:fill="FFFFFF"/>
        <w:rPr>
          <w:rStyle w:val="enumxml"/>
          <w:bCs/>
        </w:rPr>
      </w:pPr>
      <w:bookmarkStart w:id="3" w:name="b_7"/>
      <w:bookmarkEnd w:id="1"/>
      <w:bookmarkEnd w:id="2"/>
      <w:bookmarkEnd w:id="3"/>
    </w:p>
    <w:p w:rsidR="009026C2" w:rsidP="009026C2" w14:paraId="1222928F" w14:textId="77777777">
      <w:pPr>
        <w:shd w:val="clear" w:color="auto" w:fill="FFFFFF"/>
        <w:rPr>
          <w:rStyle w:val="enumxml"/>
          <w:bCs/>
        </w:rPr>
      </w:pPr>
      <w:r>
        <w:rPr>
          <w:rStyle w:val="enumxml"/>
          <w:bCs/>
        </w:rPr>
        <w:t>* * * * *</w:t>
      </w:r>
    </w:p>
    <w:p w:rsidR="009026C2" w:rsidP="009026C2" w14:paraId="535D2FEB" w14:textId="77777777">
      <w:pPr>
        <w:shd w:val="clear" w:color="auto" w:fill="FFFFFF"/>
        <w:rPr>
          <w:rStyle w:val="enumxml"/>
          <w:bCs/>
        </w:rPr>
      </w:pPr>
    </w:p>
    <w:p w:rsidR="009026C2" w:rsidRPr="00777FD8" w:rsidP="009026C2" w14:paraId="39043E83" w14:textId="7742E99F">
      <w:pPr>
        <w:shd w:val="clear" w:color="auto" w:fill="FFFFFF"/>
        <w:rPr>
          <w:rStyle w:val="Emphasis"/>
          <w:bCs/>
          <w:i w:val="0"/>
          <w:iCs w:val="0"/>
        </w:rPr>
      </w:pPr>
      <w:r w:rsidRPr="008D7157">
        <w:rPr>
          <w:rStyle w:val="enumxml"/>
          <w:bCs/>
        </w:rPr>
        <w:t>(</w:t>
      </w:r>
      <w:r w:rsidR="00E4126C">
        <w:rPr>
          <w:rStyle w:val="enumxml"/>
          <w:bCs/>
        </w:rPr>
        <w:t>11</w:t>
      </w:r>
      <w:r w:rsidRPr="00777FD8">
        <w:rPr>
          <w:rStyle w:val="enumxml"/>
          <w:bCs/>
        </w:rPr>
        <w:t>)</w:t>
      </w:r>
      <w:r>
        <w:rPr>
          <w:rStyle w:val="apple-converted-space"/>
          <w:bCs/>
          <w:iCs/>
        </w:rPr>
        <w:t xml:space="preserve"> </w:t>
      </w:r>
      <w:r w:rsidRPr="00BC1318">
        <w:rPr>
          <w:bCs/>
          <w:szCs w:val="22"/>
        </w:rPr>
        <w:t>* * *</w:t>
      </w:r>
    </w:p>
    <w:p w:rsidR="009026C2" w:rsidRPr="00FD12DE" w:rsidP="009026C2" w14:paraId="72DEEFE5" w14:textId="77777777">
      <w:pPr>
        <w:shd w:val="clear" w:color="auto" w:fill="FFFFFF"/>
      </w:pPr>
      <w:bookmarkStart w:id="4" w:name="b_7_i"/>
      <w:bookmarkStart w:id="5" w:name="b_7_ii"/>
      <w:bookmarkEnd w:id="4"/>
      <w:bookmarkEnd w:id="5"/>
    </w:p>
    <w:p w:rsidR="009026C2" w:rsidP="009026C2" w14:paraId="6DA608E4" w14:textId="77777777">
      <w:pPr>
        <w:shd w:val="clear" w:color="auto" w:fill="FFFFFF"/>
        <w:rPr>
          <w:rStyle w:val="ptext-3"/>
        </w:rPr>
      </w:pPr>
      <w:bookmarkStart w:id="6" w:name="b_7_iii"/>
      <w:bookmarkEnd w:id="6"/>
      <w:r w:rsidRPr="00FD12DE">
        <w:rPr>
          <w:rStyle w:val="enumxml"/>
          <w:bCs/>
        </w:rPr>
        <w:t>(ii)</w:t>
      </w:r>
      <w:r w:rsidRPr="00FD12DE">
        <w:rPr>
          <w:rStyle w:val="apple-converted-space"/>
        </w:rPr>
        <w:t> </w:t>
      </w:r>
      <w:r w:rsidRPr="00FD12DE">
        <w:rPr>
          <w:rStyle w:val="ptext-3"/>
        </w:rPr>
        <w:t xml:space="preserve">The application of the </w:t>
      </w:r>
      <w:r>
        <w:rPr>
          <w:rStyle w:val="ptext-3"/>
        </w:rPr>
        <w:t xml:space="preserve">annual </w:t>
      </w:r>
      <w:r w:rsidRPr="00FD12DE">
        <w:rPr>
          <w:rStyle w:val="ptext-3"/>
        </w:rPr>
        <w:t xml:space="preserve">inflation adjustment required by the </w:t>
      </w:r>
      <w:r>
        <w:rPr>
          <w:rStyle w:val="ptext-3"/>
        </w:rPr>
        <w:t xml:space="preserve">foregoing Federal Civil Penalties </w:t>
      </w:r>
      <w:r w:rsidRPr="00FD12DE">
        <w:rPr>
          <w:rStyle w:val="ptext-3"/>
        </w:rPr>
        <w:t>Inflation Adjustment Act</w:t>
      </w:r>
      <w:r>
        <w:rPr>
          <w:rStyle w:val="ptext-3"/>
        </w:rPr>
        <w:t xml:space="preserve"> Improvements Act of 2015</w:t>
      </w:r>
      <w:r w:rsidRPr="00FD12DE">
        <w:rPr>
          <w:rStyle w:val="ptext-3"/>
        </w:rPr>
        <w:t xml:space="preserve"> results in the following adjusted statutory maximum forfeitures authorized by the Communications Act:</w:t>
      </w:r>
    </w:p>
    <w:p w:rsidR="009026C2" w:rsidP="009026C2" w14:paraId="15B017D4" w14:textId="77777777">
      <w:pPr>
        <w:shd w:val="clear" w:color="auto" w:fill="FFFFFF"/>
        <w:rPr>
          <w:rStyle w:val="ptext-3"/>
        </w:rPr>
      </w:pPr>
    </w:p>
    <w:p w:rsidR="009026C2" w:rsidRPr="002C4D12" w:rsidP="009026C2" w14:paraId="1F8EE361" w14:textId="4C141446">
      <w:pPr>
        <w:shd w:val="clear" w:color="auto" w:fill="FFFFFF"/>
        <w:jc w:val="center"/>
        <w:rPr>
          <w:rStyle w:val="ptext-3"/>
        </w:rPr>
      </w:pPr>
      <w:r w:rsidRPr="002C4D12">
        <w:rPr>
          <w:rStyle w:val="ptext-3"/>
        </w:rPr>
        <w:t xml:space="preserve">Table </w:t>
      </w:r>
      <w:r>
        <w:rPr>
          <w:rStyle w:val="ptext-3"/>
        </w:rPr>
        <w:t>5</w:t>
      </w:r>
      <w:r w:rsidRPr="002C4D12">
        <w:rPr>
          <w:rStyle w:val="ptext-3"/>
        </w:rPr>
        <w:t xml:space="preserve"> to Paragraph (b)(1</w:t>
      </w:r>
      <w:r>
        <w:rPr>
          <w:rStyle w:val="ptext-3"/>
        </w:rPr>
        <w:t>1</w:t>
      </w:r>
      <w:r w:rsidRPr="002C4D12">
        <w:rPr>
          <w:rStyle w:val="ptext-3"/>
        </w:rPr>
        <w:t>)(ii)</w:t>
      </w:r>
    </w:p>
    <w:p w:rsidR="009026C2" w:rsidRPr="002C4D12" w:rsidP="009026C2" w14:paraId="47B5BF07" w14:textId="77777777">
      <w:pPr>
        <w:rPr>
          <w:rStyle w:val="ptext-3"/>
        </w:rPr>
      </w:pPr>
    </w:p>
    <w:tbl>
      <w:tblPr>
        <w:tblStyle w:val="PlainTable41"/>
        <w:tblW w:w="5000" w:type="pct"/>
        <w:tblLook w:val="04A0"/>
      </w:tblPr>
      <w:tblGrid>
        <w:gridCol w:w="4680"/>
        <w:gridCol w:w="4680"/>
      </w:tblGrid>
      <w:tr w14:paraId="0244102B" w14:textId="77777777" w:rsidTr="000F7213">
        <w:tblPrEx>
          <w:tblW w:w="5000" w:type="pct"/>
          <w:tblLook w:val="04A0"/>
        </w:tblPrEx>
        <w:tc>
          <w:tcPr>
            <w:tcW w:w="2500" w:type="pct"/>
            <w:shd w:val="clear" w:color="auto" w:fill="auto"/>
          </w:tcPr>
          <w:p w:rsidR="009026C2" w:rsidRPr="002C4D12" w:rsidP="00116BF8" w14:paraId="226E51A0" w14:textId="77777777">
            <w:pPr>
              <w:spacing w:line="315" w:lineRule="atLeast"/>
              <w:jc w:val="center"/>
              <w:rPr>
                <w:b w:val="0"/>
              </w:rPr>
            </w:pPr>
            <w:r w:rsidRPr="002C4D12">
              <w:rPr>
                <w:b w:val="0"/>
              </w:rPr>
              <w:t>U.S. Code citation</w:t>
            </w:r>
          </w:p>
        </w:tc>
        <w:tc>
          <w:tcPr>
            <w:tcW w:w="2500" w:type="pct"/>
            <w:shd w:val="clear" w:color="auto" w:fill="auto"/>
          </w:tcPr>
          <w:p w:rsidR="009026C2" w:rsidRPr="002C4D12" w:rsidP="00116BF8" w14:paraId="7D3E380B" w14:textId="77777777">
            <w:pPr>
              <w:spacing w:line="315" w:lineRule="atLeast"/>
              <w:rPr>
                <w:b w:val="0"/>
              </w:rPr>
            </w:pPr>
            <w:r w:rsidRPr="002C4D12">
              <w:rPr>
                <w:b w:val="0"/>
              </w:rPr>
              <w:t>Maximum Penalty after</w:t>
            </w:r>
          </w:p>
          <w:p w:rsidR="009026C2" w:rsidRPr="00753925" w:rsidP="00116BF8" w14:paraId="56F904CB" w14:textId="28E93C84">
            <w:pPr>
              <w:spacing w:line="315" w:lineRule="atLeast"/>
              <w:rPr>
                <w:b w:val="0"/>
              </w:rPr>
            </w:pPr>
            <w:r w:rsidRPr="002C4D12">
              <w:rPr>
                <w:b w:val="0"/>
              </w:rPr>
              <w:t>202</w:t>
            </w:r>
            <w:r w:rsidRPr="002C4D12" w:rsidR="00925DEC">
              <w:rPr>
                <w:b w:val="0"/>
              </w:rPr>
              <w:t>2</w:t>
            </w:r>
            <w:r w:rsidRPr="002C4D12">
              <w:rPr>
                <w:b w:val="0"/>
              </w:rPr>
              <w:t xml:space="preserve"> Annual Inflation Adjustment</w:t>
            </w:r>
            <w:r w:rsidRPr="00753925">
              <w:rPr>
                <w:b w:val="0"/>
              </w:rPr>
              <w:t xml:space="preserve"> </w:t>
            </w:r>
          </w:p>
          <w:p w:rsidR="009026C2" w:rsidRPr="00753925" w:rsidP="00116BF8" w14:paraId="2A39B0E5" w14:textId="77777777">
            <w:pPr>
              <w:spacing w:line="315" w:lineRule="atLeast"/>
              <w:rPr>
                <w:b w:val="0"/>
              </w:rPr>
            </w:pPr>
          </w:p>
        </w:tc>
      </w:tr>
      <w:tr w14:paraId="45EFA309" w14:textId="77777777" w:rsidTr="000F7213">
        <w:tblPrEx>
          <w:tblW w:w="5000" w:type="pct"/>
          <w:tblLook w:val="04A0"/>
        </w:tblPrEx>
        <w:tc>
          <w:tcPr>
            <w:tcW w:w="2500" w:type="pct"/>
            <w:shd w:val="clear" w:color="auto" w:fill="auto"/>
          </w:tcPr>
          <w:p w:rsidR="000F7213" w:rsidRPr="00753925" w:rsidP="00116BF8" w14:paraId="08C89C19" w14:textId="77777777">
            <w:pPr>
              <w:spacing w:line="315" w:lineRule="atLeast"/>
              <w:jc w:val="center"/>
              <w:rPr>
                <w:b w:val="0"/>
              </w:rPr>
            </w:pPr>
          </w:p>
        </w:tc>
        <w:tc>
          <w:tcPr>
            <w:tcW w:w="2500" w:type="pct"/>
            <w:shd w:val="clear" w:color="auto" w:fill="auto"/>
          </w:tcPr>
          <w:p w:rsidR="000F7213" w:rsidRPr="00753925" w:rsidP="00116BF8" w14:paraId="1319200F" w14:textId="77777777">
            <w:pPr>
              <w:spacing w:line="315" w:lineRule="atLeast"/>
              <w:rPr>
                <w:bCs/>
              </w:rPr>
            </w:pPr>
          </w:p>
        </w:tc>
      </w:tr>
      <w:tr w14:paraId="305B98C6" w14:textId="77777777" w:rsidTr="000F7213">
        <w:tblPrEx>
          <w:tblW w:w="5000" w:type="pct"/>
          <w:tblLook w:val="04A0"/>
        </w:tblPrEx>
        <w:trPr>
          <w:trHeight w:val="290"/>
        </w:trPr>
        <w:tc>
          <w:tcPr>
            <w:tcW w:w="2500" w:type="pct"/>
            <w:shd w:val="clear" w:color="auto" w:fill="auto"/>
            <w:hideMark/>
          </w:tcPr>
          <w:p w:rsidR="000F7213" w:rsidRPr="00D26C86" w:rsidP="00116BF8" w14:paraId="18369249" w14:textId="77777777">
            <w:pPr>
              <w:widowControl/>
              <w:rPr>
                <w:b w:val="0"/>
                <w:snapToGrid/>
                <w:color w:val="000000"/>
                <w:kern w:val="0"/>
              </w:rPr>
            </w:pPr>
            <w:r w:rsidRPr="00D26C86">
              <w:rPr>
                <w:b w:val="0"/>
                <w:snapToGrid/>
                <w:kern w:val="0"/>
              </w:rPr>
              <w:t>47 U.S.C. 202(c) …………………………………</w:t>
            </w:r>
          </w:p>
        </w:tc>
        <w:tc>
          <w:tcPr>
            <w:tcW w:w="2500" w:type="pct"/>
            <w:shd w:val="clear" w:color="auto" w:fill="auto"/>
          </w:tcPr>
          <w:p w:rsidR="000F7213" w:rsidRPr="00753925" w:rsidP="00116BF8" w14:paraId="0096B2F2" w14:textId="77777777">
            <w:pPr>
              <w:widowControl/>
              <w:rPr>
                <w:bCs/>
                <w:snapToGrid/>
                <w:color w:val="000000"/>
                <w:kern w:val="0"/>
              </w:rPr>
            </w:pPr>
            <w:r w:rsidRPr="00753925">
              <w:rPr>
                <w:bCs/>
                <w:color w:val="000000"/>
              </w:rPr>
              <w:t xml:space="preserve">$13,213 </w:t>
            </w:r>
          </w:p>
        </w:tc>
      </w:tr>
      <w:tr w14:paraId="19EAB759" w14:textId="77777777" w:rsidTr="000F7213">
        <w:tblPrEx>
          <w:tblW w:w="5000" w:type="pct"/>
          <w:tblLook w:val="04A0"/>
        </w:tblPrEx>
        <w:trPr>
          <w:trHeight w:val="290"/>
        </w:trPr>
        <w:tc>
          <w:tcPr>
            <w:tcW w:w="2500" w:type="pct"/>
            <w:shd w:val="clear" w:color="auto" w:fill="auto"/>
            <w:hideMark/>
          </w:tcPr>
          <w:p w:rsidR="000F7213" w:rsidRPr="00D26C86" w:rsidP="00116BF8" w14:paraId="4500B9E0" w14:textId="77777777">
            <w:pPr>
              <w:widowControl/>
              <w:rPr>
                <w:b w:val="0"/>
                <w:snapToGrid/>
                <w:color w:val="000000"/>
                <w:kern w:val="0"/>
              </w:rPr>
            </w:pPr>
          </w:p>
        </w:tc>
        <w:tc>
          <w:tcPr>
            <w:tcW w:w="2500" w:type="pct"/>
            <w:shd w:val="clear" w:color="auto" w:fill="auto"/>
          </w:tcPr>
          <w:p w:rsidR="000F7213" w:rsidRPr="00753925" w:rsidP="00116BF8" w14:paraId="47E79277" w14:textId="77777777">
            <w:pPr>
              <w:widowControl/>
              <w:rPr>
                <w:bCs/>
                <w:snapToGrid/>
                <w:color w:val="000000"/>
                <w:kern w:val="0"/>
              </w:rPr>
            </w:pPr>
            <w:r w:rsidRPr="00753925">
              <w:rPr>
                <w:bCs/>
                <w:color w:val="000000"/>
              </w:rPr>
              <w:t xml:space="preserve">$661 </w:t>
            </w:r>
          </w:p>
        </w:tc>
      </w:tr>
      <w:tr w14:paraId="4E53B44A" w14:textId="77777777" w:rsidTr="000F7213">
        <w:tblPrEx>
          <w:tblW w:w="5000" w:type="pct"/>
          <w:tblLook w:val="04A0"/>
        </w:tblPrEx>
        <w:trPr>
          <w:trHeight w:val="290"/>
        </w:trPr>
        <w:tc>
          <w:tcPr>
            <w:tcW w:w="2500" w:type="pct"/>
            <w:shd w:val="clear" w:color="auto" w:fill="auto"/>
            <w:hideMark/>
          </w:tcPr>
          <w:p w:rsidR="000F7213" w:rsidRPr="00D26C86" w:rsidP="00116BF8" w14:paraId="5C889C2F" w14:textId="77777777">
            <w:pPr>
              <w:widowControl/>
              <w:rPr>
                <w:b w:val="0"/>
                <w:snapToGrid/>
                <w:color w:val="000000"/>
                <w:kern w:val="0"/>
              </w:rPr>
            </w:pPr>
            <w:r w:rsidRPr="00D26C86">
              <w:rPr>
                <w:b w:val="0"/>
                <w:snapToGrid/>
                <w:kern w:val="0"/>
              </w:rPr>
              <w:t>47 U.S.C. 203(e) …………………………………</w:t>
            </w:r>
          </w:p>
        </w:tc>
        <w:tc>
          <w:tcPr>
            <w:tcW w:w="2500" w:type="pct"/>
            <w:shd w:val="clear" w:color="auto" w:fill="auto"/>
          </w:tcPr>
          <w:p w:rsidR="000F7213" w:rsidRPr="00753925" w:rsidP="00116BF8" w14:paraId="7FDCA285" w14:textId="77777777">
            <w:pPr>
              <w:widowControl/>
              <w:rPr>
                <w:bCs/>
                <w:snapToGrid/>
                <w:color w:val="000000"/>
                <w:kern w:val="0"/>
              </w:rPr>
            </w:pPr>
            <w:r w:rsidRPr="00753925">
              <w:rPr>
                <w:bCs/>
                <w:color w:val="000000"/>
              </w:rPr>
              <w:t xml:space="preserve">$13,213 </w:t>
            </w:r>
          </w:p>
        </w:tc>
      </w:tr>
      <w:tr w14:paraId="47E0E157" w14:textId="77777777" w:rsidTr="000F7213">
        <w:tblPrEx>
          <w:tblW w:w="5000" w:type="pct"/>
          <w:tblLook w:val="04A0"/>
        </w:tblPrEx>
        <w:trPr>
          <w:trHeight w:val="290"/>
        </w:trPr>
        <w:tc>
          <w:tcPr>
            <w:tcW w:w="2500" w:type="pct"/>
            <w:shd w:val="clear" w:color="auto" w:fill="auto"/>
            <w:hideMark/>
          </w:tcPr>
          <w:p w:rsidR="000F7213" w:rsidRPr="00D26C86" w:rsidP="00116BF8" w14:paraId="7C384AFA" w14:textId="77777777">
            <w:pPr>
              <w:widowControl/>
              <w:rPr>
                <w:b w:val="0"/>
                <w:snapToGrid/>
                <w:color w:val="000000"/>
                <w:kern w:val="0"/>
              </w:rPr>
            </w:pPr>
          </w:p>
        </w:tc>
        <w:tc>
          <w:tcPr>
            <w:tcW w:w="2500" w:type="pct"/>
            <w:shd w:val="clear" w:color="auto" w:fill="auto"/>
          </w:tcPr>
          <w:p w:rsidR="000F7213" w:rsidRPr="00753925" w:rsidP="00116BF8" w14:paraId="16A15FB2" w14:textId="77777777">
            <w:pPr>
              <w:widowControl/>
              <w:rPr>
                <w:bCs/>
                <w:snapToGrid/>
                <w:color w:val="000000"/>
                <w:kern w:val="0"/>
              </w:rPr>
            </w:pPr>
            <w:r w:rsidRPr="00753925">
              <w:rPr>
                <w:bCs/>
                <w:color w:val="000000"/>
              </w:rPr>
              <w:t xml:space="preserve">$661 </w:t>
            </w:r>
          </w:p>
        </w:tc>
      </w:tr>
      <w:tr w14:paraId="068A4671" w14:textId="77777777" w:rsidTr="000F7213">
        <w:tblPrEx>
          <w:tblW w:w="5000" w:type="pct"/>
          <w:tblLook w:val="04A0"/>
        </w:tblPrEx>
        <w:trPr>
          <w:trHeight w:val="290"/>
        </w:trPr>
        <w:tc>
          <w:tcPr>
            <w:tcW w:w="2500" w:type="pct"/>
            <w:shd w:val="clear" w:color="auto" w:fill="auto"/>
            <w:hideMark/>
          </w:tcPr>
          <w:p w:rsidR="000F7213" w:rsidRPr="00D26C86" w:rsidP="00116BF8" w14:paraId="1931B0DB" w14:textId="77777777">
            <w:pPr>
              <w:widowControl/>
              <w:rPr>
                <w:b w:val="0"/>
                <w:snapToGrid/>
                <w:color w:val="000000"/>
                <w:kern w:val="0"/>
              </w:rPr>
            </w:pPr>
            <w:r w:rsidRPr="00D26C86">
              <w:rPr>
                <w:b w:val="0"/>
                <w:snapToGrid/>
                <w:kern w:val="0"/>
              </w:rPr>
              <w:t>47 U.S.C. 205(b) ……............................................</w:t>
            </w:r>
          </w:p>
        </w:tc>
        <w:tc>
          <w:tcPr>
            <w:tcW w:w="2500" w:type="pct"/>
            <w:shd w:val="clear" w:color="auto" w:fill="auto"/>
          </w:tcPr>
          <w:p w:rsidR="000F7213" w:rsidRPr="00753925" w:rsidP="00116BF8" w14:paraId="225A8AC4" w14:textId="77777777">
            <w:pPr>
              <w:widowControl/>
              <w:rPr>
                <w:bCs/>
                <w:snapToGrid/>
                <w:color w:val="000000"/>
                <w:kern w:val="0"/>
              </w:rPr>
            </w:pPr>
            <w:r w:rsidRPr="00753925">
              <w:rPr>
                <w:bCs/>
                <w:color w:val="000000"/>
              </w:rPr>
              <w:t xml:space="preserve">$26,425 </w:t>
            </w:r>
          </w:p>
        </w:tc>
      </w:tr>
      <w:tr w14:paraId="1118730F" w14:textId="77777777" w:rsidTr="000F7213">
        <w:tblPrEx>
          <w:tblW w:w="5000" w:type="pct"/>
          <w:tblLook w:val="04A0"/>
        </w:tblPrEx>
        <w:trPr>
          <w:trHeight w:val="290"/>
        </w:trPr>
        <w:tc>
          <w:tcPr>
            <w:tcW w:w="2500" w:type="pct"/>
            <w:shd w:val="clear" w:color="auto" w:fill="auto"/>
            <w:hideMark/>
          </w:tcPr>
          <w:p w:rsidR="000F7213" w:rsidRPr="00D26C86" w:rsidP="00116BF8" w14:paraId="01BD0A3D" w14:textId="4AE29038">
            <w:pPr>
              <w:widowControl/>
              <w:rPr>
                <w:b w:val="0"/>
                <w:snapToGrid/>
                <w:color w:val="000000"/>
                <w:kern w:val="0"/>
              </w:rPr>
            </w:pPr>
            <w:r w:rsidRPr="00D26C86">
              <w:rPr>
                <w:b w:val="0"/>
                <w:snapToGrid/>
                <w:kern w:val="0"/>
              </w:rPr>
              <w:t>47 U.S.C. 214(d)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4C3E6794" w14:textId="77777777">
            <w:pPr>
              <w:widowControl/>
              <w:rPr>
                <w:bCs/>
                <w:snapToGrid/>
                <w:color w:val="000000"/>
                <w:kern w:val="0"/>
              </w:rPr>
            </w:pPr>
            <w:r w:rsidRPr="00753925">
              <w:rPr>
                <w:bCs/>
                <w:color w:val="000000"/>
              </w:rPr>
              <w:t xml:space="preserve">$2,642 </w:t>
            </w:r>
          </w:p>
        </w:tc>
      </w:tr>
      <w:tr w14:paraId="512C6E6D" w14:textId="77777777" w:rsidTr="000F7213">
        <w:tblPrEx>
          <w:tblW w:w="5000" w:type="pct"/>
          <w:tblLook w:val="04A0"/>
        </w:tblPrEx>
        <w:trPr>
          <w:trHeight w:val="290"/>
        </w:trPr>
        <w:tc>
          <w:tcPr>
            <w:tcW w:w="2500" w:type="pct"/>
            <w:shd w:val="clear" w:color="auto" w:fill="auto"/>
            <w:hideMark/>
          </w:tcPr>
          <w:p w:rsidR="000F7213" w:rsidRPr="00D26C86" w:rsidP="00116BF8" w14:paraId="7202CC34" w14:textId="77777777">
            <w:pPr>
              <w:widowControl/>
              <w:rPr>
                <w:b w:val="0"/>
                <w:snapToGrid/>
                <w:color w:val="000000"/>
                <w:kern w:val="0"/>
              </w:rPr>
            </w:pPr>
            <w:r w:rsidRPr="00D26C86">
              <w:rPr>
                <w:b w:val="0"/>
                <w:snapToGrid/>
                <w:kern w:val="0"/>
              </w:rPr>
              <w:t>47 U.S.C. 219(b) …………………………………</w:t>
            </w:r>
          </w:p>
        </w:tc>
        <w:tc>
          <w:tcPr>
            <w:tcW w:w="2500" w:type="pct"/>
            <w:shd w:val="clear" w:color="auto" w:fill="auto"/>
          </w:tcPr>
          <w:p w:rsidR="000F7213" w:rsidRPr="00753925" w:rsidP="00116BF8" w14:paraId="7060EB36" w14:textId="77777777">
            <w:pPr>
              <w:widowControl/>
              <w:rPr>
                <w:bCs/>
                <w:snapToGrid/>
                <w:color w:val="000000"/>
                <w:kern w:val="0"/>
              </w:rPr>
            </w:pPr>
            <w:r w:rsidRPr="00753925">
              <w:rPr>
                <w:bCs/>
                <w:color w:val="000000"/>
              </w:rPr>
              <w:t xml:space="preserve">$2,642 </w:t>
            </w:r>
          </w:p>
        </w:tc>
      </w:tr>
      <w:tr w14:paraId="6CD8F0E1" w14:textId="77777777" w:rsidTr="000F7213">
        <w:tblPrEx>
          <w:tblW w:w="5000" w:type="pct"/>
          <w:tblLook w:val="04A0"/>
        </w:tblPrEx>
        <w:trPr>
          <w:trHeight w:val="290"/>
        </w:trPr>
        <w:tc>
          <w:tcPr>
            <w:tcW w:w="2500" w:type="pct"/>
            <w:shd w:val="clear" w:color="auto" w:fill="auto"/>
            <w:hideMark/>
          </w:tcPr>
          <w:p w:rsidR="000F7213" w:rsidRPr="00D26C86" w:rsidP="00116BF8" w14:paraId="30953686" w14:textId="0A6B78E5">
            <w:pPr>
              <w:widowControl/>
              <w:rPr>
                <w:b w:val="0"/>
                <w:snapToGrid/>
                <w:color w:val="000000"/>
                <w:kern w:val="0"/>
              </w:rPr>
            </w:pPr>
            <w:r w:rsidRPr="00D26C86">
              <w:rPr>
                <w:b w:val="0"/>
                <w:snapToGrid/>
                <w:kern w:val="0"/>
              </w:rPr>
              <w:t>47 U.S.C. 220(d) …………………………………</w:t>
            </w:r>
          </w:p>
        </w:tc>
        <w:tc>
          <w:tcPr>
            <w:tcW w:w="2500" w:type="pct"/>
            <w:shd w:val="clear" w:color="auto" w:fill="auto"/>
          </w:tcPr>
          <w:p w:rsidR="000F7213" w:rsidRPr="00753925" w:rsidP="00116BF8" w14:paraId="67596DDF" w14:textId="77777777">
            <w:pPr>
              <w:widowControl/>
              <w:rPr>
                <w:bCs/>
                <w:snapToGrid/>
                <w:color w:val="000000"/>
                <w:kern w:val="0"/>
              </w:rPr>
            </w:pPr>
            <w:r w:rsidRPr="00753925">
              <w:rPr>
                <w:bCs/>
                <w:color w:val="000000"/>
              </w:rPr>
              <w:t xml:space="preserve">$13,213 </w:t>
            </w:r>
          </w:p>
        </w:tc>
      </w:tr>
      <w:tr w14:paraId="3C21745C" w14:textId="77777777" w:rsidTr="000F7213">
        <w:tblPrEx>
          <w:tblW w:w="5000" w:type="pct"/>
          <w:tblLook w:val="04A0"/>
        </w:tblPrEx>
        <w:trPr>
          <w:trHeight w:val="290"/>
        </w:trPr>
        <w:tc>
          <w:tcPr>
            <w:tcW w:w="2500" w:type="pct"/>
            <w:shd w:val="clear" w:color="auto" w:fill="auto"/>
            <w:hideMark/>
          </w:tcPr>
          <w:p w:rsidR="000F7213" w:rsidRPr="00D26C86" w:rsidP="00116BF8" w14:paraId="599DE504" w14:textId="77777777">
            <w:pPr>
              <w:widowControl/>
              <w:rPr>
                <w:b w:val="0"/>
                <w:snapToGrid/>
                <w:color w:val="000000"/>
                <w:kern w:val="0"/>
              </w:rPr>
            </w:pPr>
            <w:r w:rsidRPr="00D26C86">
              <w:rPr>
                <w:b w:val="0"/>
                <w:snapToGrid/>
                <w:kern w:val="0"/>
              </w:rPr>
              <w:t>47 U.S.C. 223(b) …………………………………</w:t>
            </w:r>
          </w:p>
        </w:tc>
        <w:tc>
          <w:tcPr>
            <w:tcW w:w="2500" w:type="pct"/>
            <w:shd w:val="clear" w:color="auto" w:fill="auto"/>
          </w:tcPr>
          <w:p w:rsidR="000F7213" w:rsidRPr="00753925" w:rsidP="00116BF8" w14:paraId="1967BF45" w14:textId="77777777">
            <w:pPr>
              <w:widowControl/>
              <w:rPr>
                <w:bCs/>
                <w:snapToGrid/>
                <w:color w:val="000000"/>
                <w:kern w:val="0"/>
              </w:rPr>
            </w:pPr>
            <w:r w:rsidRPr="00753925">
              <w:rPr>
                <w:bCs/>
                <w:color w:val="000000"/>
              </w:rPr>
              <w:t xml:space="preserve">$136,924 </w:t>
            </w:r>
          </w:p>
        </w:tc>
      </w:tr>
      <w:tr w14:paraId="1A1A79C5" w14:textId="77777777" w:rsidTr="000F7213">
        <w:tblPrEx>
          <w:tblW w:w="5000" w:type="pct"/>
          <w:tblLook w:val="04A0"/>
        </w:tblPrEx>
        <w:trPr>
          <w:trHeight w:val="290"/>
        </w:trPr>
        <w:tc>
          <w:tcPr>
            <w:tcW w:w="2500" w:type="pct"/>
            <w:shd w:val="clear" w:color="auto" w:fill="auto"/>
            <w:hideMark/>
          </w:tcPr>
          <w:p w:rsidR="000F7213" w:rsidRPr="00D26C86" w:rsidP="00116BF8" w14:paraId="6A79D366" w14:textId="77777777">
            <w:pPr>
              <w:widowControl/>
              <w:rPr>
                <w:b w:val="0"/>
                <w:snapToGrid/>
                <w:color w:val="000000"/>
                <w:kern w:val="0"/>
              </w:rPr>
            </w:pPr>
            <w:r w:rsidRPr="00D26C86">
              <w:rPr>
                <w:b w:val="0"/>
                <w:snapToGrid/>
                <w:kern w:val="0"/>
              </w:rPr>
              <w:t>47 U.S.C. 227(e) …………………………………</w:t>
            </w:r>
          </w:p>
        </w:tc>
        <w:tc>
          <w:tcPr>
            <w:tcW w:w="2500" w:type="pct"/>
            <w:shd w:val="clear" w:color="auto" w:fill="auto"/>
          </w:tcPr>
          <w:p w:rsidR="000F7213" w:rsidRPr="00753925" w:rsidP="00116BF8" w14:paraId="5EAFD20F" w14:textId="77777777">
            <w:pPr>
              <w:widowControl/>
              <w:rPr>
                <w:bCs/>
                <w:snapToGrid/>
                <w:color w:val="000000"/>
                <w:kern w:val="0"/>
              </w:rPr>
            </w:pPr>
            <w:r w:rsidRPr="00753925">
              <w:rPr>
                <w:bCs/>
                <w:color w:val="000000"/>
              </w:rPr>
              <w:t xml:space="preserve">$12,646 </w:t>
            </w:r>
          </w:p>
        </w:tc>
      </w:tr>
      <w:tr w14:paraId="21AEF8E1" w14:textId="77777777" w:rsidTr="000F7213">
        <w:tblPrEx>
          <w:tblW w:w="5000" w:type="pct"/>
          <w:tblLook w:val="04A0"/>
        </w:tblPrEx>
        <w:trPr>
          <w:trHeight w:val="290"/>
        </w:trPr>
        <w:tc>
          <w:tcPr>
            <w:tcW w:w="2500" w:type="pct"/>
            <w:shd w:val="clear" w:color="auto" w:fill="auto"/>
            <w:hideMark/>
          </w:tcPr>
          <w:p w:rsidR="000F7213" w:rsidRPr="00D26C86" w:rsidP="00116BF8" w14:paraId="04BE38C3" w14:textId="77777777">
            <w:pPr>
              <w:widowControl/>
              <w:rPr>
                <w:b w:val="0"/>
                <w:snapToGrid/>
                <w:color w:val="000000"/>
                <w:kern w:val="0"/>
              </w:rPr>
            </w:pPr>
          </w:p>
        </w:tc>
        <w:tc>
          <w:tcPr>
            <w:tcW w:w="2500" w:type="pct"/>
            <w:shd w:val="clear" w:color="auto" w:fill="auto"/>
          </w:tcPr>
          <w:p w:rsidR="000F7213" w:rsidRPr="00753925" w:rsidP="00116BF8" w14:paraId="10943B2D" w14:textId="77777777">
            <w:pPr>
              <w:widowControl/>
              <w:rPr>
                <w:bCs/>
                <w:snapToGrid/>
                <w:color w:val="000000"/>
                <w:kern w:val="0"/>
              </w:rPr>
            </w:pPr>
            <w:r w:rsidRPr="00753925">
              <w:rPr>
                <w:bCs/>
                <w:color w:val="000000"/>
              </w:rPr>
              <w:t xml:space="preserve">$37,937 </w:t>
            </w:r>
          </w:p>
        </w:tc>
      </w:tr>
      <w:tr w14:paraId="72D608CE" w14:textId="77777777" w:rsidTr="000F7213">
        <w:tblPrEx>
          <w:tblW w:w="5000" w:type="pct"/>
          <w:tblLook w:val="04A0"/>
        </w:tblPrEx>
        <w:trPr>
          <w:trHeight w:val="290"/>
        </w:trPr>
        <w:tc>
          <w:tcPr>
            <w:tcW w:w="2500" w:type="pct"/>
            <w:shd w:val="clear" w:color="auto" w:fill="auto"/>
            <w:hideMark/>
          </w:tcPr>
          <w:p w:rsidR="000F7213" w:rsidRPr="00D26C86" w:rsidP="00116BF8" w14:paraId="508E86CF" w14:textId="77777777">
            <w:pPr>
              <w:widowControl/>
              <w:rPr>
                <w:b w:val="0"/>
                <w:snapToGrid/>
                <w:color w:val="000000"/>
                <w:kern w:val="0"/>
              </w:rPr>
            </w:pPr>
          </w:p>
        </w:tc>
        <w:tc>
          <w:tcPr>
            <w:tcW w:w="2500" w:type="pct"/>
            <w:shd w:val="clear" w:color="auto" w:fill="auto"/>
          </w:tcPr>
          <w:p w:rsidR="000F7213" w:rsidRPr="00753925" w:rsidP="00116BF8" w14:paraId="06D6A073" w14:textId="77777777">
            <w:pPr>
              <w:widowControl/>
              <w:rPr>
                <w:bCs/>
                <w:snapToGrid/>
                <w:color w:val="000000"/>
                <w:kern w:val="0"/>
              </w:rPr>
            </w:pPr>
            <w:r w:rsidRPr="00753925">
              <w:rPr>
                <w:bCs/>
                <w:color w:val="000000"/>
              </w:rPr>
              <w:t xml:space="preserve">$1,264,622 </w:t>
            </w:r>
          </w:p>
        </w:tc>
      </w:tr>
      <w:tr w14:paraId="53365E6E" w14:textId="77777777" w:rsidTr="000F7213">
        <w:tblPrEx>
          <w:tblW w:w="5000" w:type="pct"/>
          <w:tblLook w:val="04A0"/>
        </w:tblPrEx>
        <w:trPr>
          <w:trHeight w:val="290"/>
        </w:trPr>
        <w:tc>
          <w:tcPr>
            <w:tcW w:w="2500" w:type="pct"/>
            <w:shd w:val="clear" w:color="auto" w:fill="auto"/>
            <w:hideMark/>
          </w:tcPr>
          <w:p w:rsidR="000F7213" w:rsidRPr="00D26C86" w:rsidP="00116BF8" w14:paraId="181CCD69" w14:textId="77777777">
            <w:pPr>
              <w:widowControl/>
              <w:rPr>
                <w:b w:val="0"/>
                <w:snapToGrid/>
                <w:color w:val="000000"/>
                <w:kern w:val="0"/>
              </w:rPr>
            </w:pPr>
            <w:r w:rsidRPr="00D26C86">
              <w:rPr>
                <w:b w:val="0"/>
                <w:snapToGrid/>
                <w:kern w:val="0"/>
              </w:rPr>
              <w:t>47 U.S.C. 362(a) …………………………………</w:t>
            </w:r>
          </w:p>
        </w:tc>
        <w:tc>
          <w:tcPr>
            <w:tcW w:w="2500" w:type="pct"/>
            <w:shd w:val="clear" w:color="auto" w:fill="auto"/>
          </w:tcPr>
          <w:p w:rsidR="000F7213" w:rsidRPr="00753925" w:rsidP="00116BF8" w14:paraId="2400F150" w14:textId="77777777">
            <w:pPr>
              <w:widowControl/>
              <w:rPr>
                <w:bCs/>
                <w:snapToGrid/>
                <w:color w:val="000000"/>
                <w:kern w:val="0"/>
              </w:rPr>
            </w:pPr>
            <w:r w:rsidRPr="00753925">
              <w:rPr>
                <w:bCs/>
                <w:color w:val="000000"/>
              </w:rPr>
              <w:t xml:space="preserve">$11,011 </w:t>
            </w:r>
          </w:p>
        </w:tc>
      </w:tr>
      <w:tr w14:paraId="2EEBC850" w14:textId="77777777" w:rsidTr="000F7213">
        <w:tblPrEx>
          <w:tblW w:w="5000" w:type="pct"/>
          <w:tblLook w:val="04A0"/>
        </w:tblPrEx>
        <w:trPr>
          <w:trHeight w:val="290"/>
        </w:trPr>
        <w:tc>
          <w:tcPr>
            <w:tcW w:w="2500" w:type="pct"/>
            <w:shd w:val="clear" w:color="auto" w:fill="auto"/>
            <w:hideMark/>
          </w:tcPr>
          <w:p w:rsidR="000F7213" w:rsidRPr="00D26C86" w:rsidP="00116BF8" w14:paraId="67D19007" w14:textId="76360A5A">
            <w:pPr>
              <w:widowControl/>
              <w:rPr>
                <w:b w:val="0"/>
                <w:snapToGrid/>
                <w:color w:val="000000"/>
                <w:kern w:val="0"/>
              </w:rPr>
            </w:pPr>
            <w:r w:rsidRPr="00D26C86">
              <w:rPr>
                <w:b w:val="0"/>
                <w:snapToGrid/>
                <w:kern w:val="0"/>
              </w:rPr>
              <w:t>47 U.S.C. 362(b) …………………………………</w:t>
            </w:r>
          </w:p>
        </w:tc>
        <w:tc>
          <w:tcPr>
            <w:tcW w:w="2500" w:type="pct"/>
            <w:shd w:val="clear" w:color="auto" w:fill="auto"/>
          </w:tcPr>
          <w:p w:rsidR="000F7213" w:rsidRPr="00753925" w:rsidP="00116BF8" w14:paraId="6D8F5639" w14:textId="77777777">
            <w:pPr>
              <w:widowControl/>
              <w:rPr>
                <w:bCs/>
                <w:snapToGrid/>
                <w:color w:val="000000"/>
                <w:kern w:val="0"/>
              </w:rPr>
            </w:pPr>
            <w:r w:rsidRPr="00753925">
              <w:rPr>
                <w:bCs/>
                <w:color w:val="000000"/>
              </w:rPr>
              <w:t xml:space="preserve">$2,203 </w:t>
            </w:r>
          </w:p>
        </w:tc>
      </w:tr>
      <w:tr w14:paraId="4DAD186B" w14:textId="77777777" w:rsidTr="000F7213">
        <w:tblPrEx>
          <w:tblW w:w="5000" w:type="pct"/>
          <w:tblLook w:val="04A0"/>
        </w:tblPrEx>
        <w:trPr>
          <w:trHeight w:val="290"/>
        </w:trPr>
        <w:tc>
          <w:tcPr>
            <w:tcW w:w="2500" w:type="pct"/>
            <w:shd w:val="clear" w:color="auto" w:fill="auto"/>
            <w:hideMark/>
          </w:tcPr>
          <w:p w:rsidR="000F7213" w:rsidRPr="00D26C86" w:rsidP="00116BF8" w14:paraId="2670656E" w14:textId="4E07D490">
            <w:pPr>
              <w:widowControl/>
              <w:rPr>
                <w:b w:val="0"/>
                <w:snapToGrid/>
                <w:color w:val="000000"/>
                <w:kern w:val="0"/>
              </w:rPr>
            </w:pPr>
            <w:r w:rsidRPr="00D26C86">
              <w:rPr>
                <w:b w:val="0"/>
                <w:snapToGrid/>
                <w:kern w:val="0"/>
              </w:rPr>
              <w:t>47 U.S.C. 386(a)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40EFE190" w14:textId="77777777">
            <w:pPr>
              <w:widowControl/>
              <w:rPr>
                <w:bCs/>
                <w:snapToGrid/>
                <w:color w:val="000000"/>
                <w:kern w:val="0"/>
              </w:rPr>
            </w:pPr>
            <w:r w:rsidRPr="00753925">
              <w:rPr>
                <w:bCs/>
                <w:color w:val="000000"/>
              </w:rPr>
              <w:t xml:space="preserve">$11,011 </w:t>
            </w:r>
          </w:p>
        </w:tc>
      </w:tr>
      <w:tr w14:paraId="50E438AB" w14:textId="77777777" w:rsidTr="000F7213">
        <w:tblPrEx>
          <w:tblW w:w="5000" w:type="pct"/>
          <w:tblLook w:val="04A0"/>
        </w:tblPrEx>
        <w:trPr>
          <w:trHeight w:val="290"/>
        </w:trPr>
        <w:tc>
          <w:tcPr>
            <w:tcW w:w="2500" w:type="pct"/>
            <w:shd w:val="clear" w:color="auto" w:fill="auto"/>
            <w:hideMark/>
          </w:tcPr>
          <w:p w:rsidR="000F7213" w:rsidRPr="00D26C86" w:rsidP="00116BF8" w14:paraId="048EA92D" w14:textId="395AAA7B">
            <w:pPr>
              <w:widowControl/>
              <w:rPr>
                <w:b w:val="0"/>
                <w:snapToGrid/>
                <w:color w:val="000000"/>
                <w:kern w:val="0"/>
              </w:rPr>
            </w:pPr>
            <w:r w:rsidRPr="00D26C86">
              <w:rPr>
                <w:b w:val="0"/>
                <w:snapToGrid/>
                <w:kern w:val="0"/>
              </w:rPr>
              <w:t>47 U.S.C. 386(b) ………………….</w:t>
            </w:r>
            <w:r w:rsidR="002C4D12">
              <w:rPr>
                <w:b w:val="0"/>
                <w:snapToGrid/>
                <w:kern w:val="0"/>
              </w:rPr>
              <w:t>..</w:t>
            </w:r>
            <w:r w:rsidRPr="00D26C86">
              <w:rPr>
                <w:b w:val="0"/>
                <w:snapToGrid/>
                <w:kern w:val="0"/>
              </w:rPr>
              <w:t>…………….</w:t>
            </w:r>
          </w:p>
        </w:tc>
        <w:tc>
          <w:tcPr>
            <w:tcW w:w="2500" w:type="pct"/>
            <w:shd w:val="clear" w:color="auto" w:fill="auto"/>
          </w:tcPr>
          <w:p w:rsidR="000F7213" w:rsidRPr="00753925" w:rsidP="00116BF8" w14:paraId="6FFCD0D4" w14:textId="77777777">
            <w:pPr>
              <w:widowControl/>
              <w:rPr>
                <w:bCs/>
                <w:snapToGrid/>
                <w:color w:val="000000"/>
                <w:kern w:val="0"/>
              </w:rPr>
            </w:pPr>
            <w:r w:rsidRPr="00753925">
              <w:rPr>
                <w:bCs/>
                <w:color w:val="000000"/>
              </w:rPr>
              <w:t xml:space="preserve">$2,203 </w:t>
            </w:r>
          </w:p>
        </w:tc>
      </w:tr>
      <w:tr w14:paraId="1E581C39" w14:textId="77777777" w:rsidTr="000F7213">
        <w:tblPrEx>
          <w:tblW w:w="5000" w:type="pct"/>
          <w:tblLook w:val="04A0"/>
        </w:tblPrEx>
        <w:trPr>
          <w:trHeight w:val="290"/>
        </w:trPr>
        <w:tc>
          <w:tcPr>
            <w:tcW w:w="2500" w:type="pct"/>
            <w:shd w:val="clear" w:color="auto" w:fill="auto"/>
            <w:hideMark/>
          </w:tcPr>
          <w:p w:rsidR="000F7213" w:rsidRPr="00D26C86" w:rsidP="00116BF8" w14:paraId="5E5EE870" w14:textId="664AFD7C">
            <w:pPr>
              <w:widowControl/>
              <w:rPr>
                <w:b w:val="0"/>
                <w:snapToGrid/>
                <w:color w:val="000000"/>
                <w:kern w:val="0"/>
              </w:rPr>
            </w:pPr>
            <w:r w:rsidRPr="00D26C86">
              <w:rPr>
                <w:b w:val="0"/>
                <w:snapToGrid/>
                <w:kern w:val="0"/>
              </w:rPr>
              <w:t>47 U.S.C. 503(b)(2)(A)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7A07F53D" w14:textId="77777777">
            <w:pPr>
              <w:widowControl/>
              <w:rPr>
                <w:bCs/>
                <w:snapToGrid/>
                <w:color w:val="000000"/>
                <w:kern w:val="0"/>
              </w:rPr>
            </w:pPr>
            <w:r w:rsidRPr="00753925">
              <w:rPr>
                <w:bCs/>
                <w:color w:val="000000"/>
              </w:rPr>
              <w:t xml:space="preserve">$55,052 </w:t>
            </w:r>
          </w:p>
        </w:tc>
      </w:tr>
      <w:tr w14:paraId="4EA5CF92" w14:textId="77777777" w:rsidTr="000F7213">
        <w:tblPrEx>
          <w:tblW w:w="5000" w:type="pct"/>
          <w:tblLook w:val="04A0"/>
        </w:tblPrEx>
        <w:trPr>
          <w:trHeight w:val="290"/>
        </w:trPr>
        <w:tc>
          <w:tcPr>
            <w:tcW w:w="2500" w:type="pct"/>
            <w:shd w:val="clear" w:color="auto" w:fill="auto"/>
            <w:hideMark/>
          </w:tcPr>
          <w:p w:rsidR="000F7213" w:rsidRPr="00D26C86" w:rsidP="00116BF8" w14:paraId="353F8250" w14:textId="77777777">
            <w:pPr>
              <w:widowControl/>
              <w:rPr>
                <w:b w:val="0"/>
                <w:snapToGrid/>
                <w:color w:val="000000"/>
                <w:kern w:val="0"/>
              </w:rPr>
            </w:pPr>
          </w:p>
        </w:tc>
        <w:tc>
          <w:tcPr>
            <w:tcW w:w="2500" w:type="pct"/>
            <w:shd w:val="clear" w:color="auto" w:fill="auto"/>
          </w:tcPr>
          <w:p w:rsidR="000F7213" w:rsidRPr="00753925" w:rsidP="00116BF8" w14:paraId="6076F51A" w14:textId="77777777">
            <w:pPr>
              <w:widowControl/>
              <w:rPr>
                <w:bCs/>
                <w:snapToGrid/>
                <w:color w:val="000000"/>
                <w:kern w:val="0"/>
              </w:rPr>
            </w:pPr>
            <w:r w:rsidRPr="00753925">
              <w:rPr>
                <w:bCs/>
                <w:color w:val="000000"/>
              </w:rPr>
              <w:t xml:space="preserve">$550,531 </w:t>
            </w:r>
          </w:p>
        </w:tc>
      </w:tr>
      <w:tr w14:paraId="669DEE63" w14:textId="77777777" w:rsidTr="000F7213">
        <w:tblPrEx>
          <w:tblW w:w="5000" w:type="pct"/>
          <w:tblLook w:val="04A0"/>
        </w:tblPrEx>
        <w:trPr>
          <w:trHeight w:val="290"/>
        </w:trPr>
        <w:tc>
          <w:tcPr>
            <w:tcW w:w="2500" w:type="pct"/>
            <w:shd w:val="clear" w:color="auto" w:fill="auto"/>
            <w:hideMark/>
          </w:tcPr>
          <w:p w:rsidR="000F7213" w:rsidRPr="00D26C86" w:rsidP="00116BF8" w14:paraId="4A18E7CF" w14:textId="65EB5EDA">
            <w:pPr>
              <w:widowControl/>
              <w:rPr>
                <w:b w:val="0"/>
                <w:snapToGrid/>
                <w:color w:val="000000"/>
                <w:kern w:val="0"/>
              </w:rPr>
            </w:pPr>
            <w:r w:rsidRPr="00D26C86">
              <w:rPr>
                <w:b w:val="0"/>
                <w:snapToGrid/>
                <w:color w:val="000000"/>
                <w:kern w:val="0"/>
              </w:rPr>
              <w:t>47 U.S.C. 503(b)(2)(B) ………………...……</w:t>
            </w:r>
            <w:r w:rsidR="00977441">
              <w:rPr>
                <w:b w:val="0"/>
                <w:snapToGrid/>
                <w:color w:val="000000"/>
                <w:kern w:val="0"/>
              </w:rPr>
              <w:t>.</w:t>
            </w:r>
            <w:r w:rsidRPr="00D26C86">
              <w:rPr>
                <w:b w:val="0"/>
                <w:snapToGrid/>
                <w:color w:val="000000"/>
                <w:kern w:val="0"/>
              </w:rPr>
              <w:t>…..</w:t>
            </w:r>
          </w:p>
        </w:tc>
        <w:tc>
          <w:tcPr>
            <w:tcW w:w="2500" w:type="pct"/>
            <w:shd w:val="clear" w:color="auto" w:fill="auto"/>
          </w:tcPr>
          <w:p w:rsidR="000F7213" w:rsidRPr="00753925" w:rsidP="00116BF8" w14:paraId="3881CCE3" w14:textId="77777777">
            <w:pPr>
              <w:widowControl/>
              <w:rPr>
                <w:bCs/>
                <w:snapToGrid/>
                <w:color w:val="000000"/>
                <w:kern w:val="0"/>
              </w:rPr>
            </w:pPr>
            <w:r w:rsidRPr="00753925">
              <w:rPr>
                <w:bCs/>
                <w:color w:val="000000"/>
              </w:rPr>
              <w:t xml:space="preserve">$220,213 </w:t>
            </w:r>
          </w:p>
        </w:tc>
      </w:tr>
      <w:tr w14:paraId="2CB43EE3" w14:textId="77777777" w:rsidTr="000F7213">
        <w:tblPrEx>
          <w:tblW w:w="5000" w:type="pct"/>
          <w:tblLook w:val="04A0"/>
        </w:tblPrEx>
        <w:trPr>
          <w:trHeight w:val="290"/>
        </w:trPr>
        <w:tc>
          <w:tcPr>
            <w:tcW w:w="2500" w:type="pct"/>
            <w:shd w:val="clear" w:color="auto" w:fill="auto"/>
            <w:hideMark/>
          </w:tcPr>
          <w:p w:rsidR="000F7213" w:rsidRPr="00D26C86" w:rsidP="00116BF8" w14:paraId="53CF4892" w14:textId="77777777">
            <w:pPr>
              <w:widowControl/>
              <w:rPr>
                <w:b w:val="0"/>
                <w:snapToGrid/>
                <w:color w:val="000000"/>
                <w:kern w:val="0"/>
              </w:rPr>
            </w:pPr>
          </w:p>
        </w:tc>
        <w:tc>
          <w:tcPr>
            <w:tcW w:w="2500" w:type="pct"/>
            <w:shd w:val="clear" w:color="auto" w:fill="auto"/>
          </w:tcPr>
          <w:p w:rsidR="000F7213" w:rsidRPr="00753925" w:rsidP="00116BF8" w14:paraId="521FE580" w14:textId="77777777">
            <w:pPr>
              <w:widowControl/>
              <w:rPr>
                <w:bCs/>
                <w:snapToGrid/>
                <w:color w:val="000000"/>
                <w:kern w:val="0"/>
              </w:rPr>
            </w:pPr>
            <w:r w:rsidRPr="00753925">
              <w:rPr>
                <w:bCs/>
                <w:color w:val="000000"/>
              </w:rPr>
              <w:t xml:space="preserve">$2,202,123 </w:t>
            </w:r>
          </w:p>
        </w:tc>
      </w:tr>
      <w:tr w14:paraId="4D42814E" w14:textId="77777777" w:rsidTr="000F7213">
        <w:tblPrEx>
          <w:tblW w:w="5000" w:type="pct"/>
          <w:tblLook w:val="04A0"/>
        </w:tblPrEx>
        <w:trPr>
          <w:trHeight w:val="290"/>
        </w:trPr>
        <w:tc>
          <w:tcPr>
            <w:tcW w:w="2500" w:type="pct"/>
            <w:shd w:val="clear" w:color="auto" w:fill="auto"/>
            <w:hideMark/>
          </w:tcPr>
          <w:p w:rsidR="000F7213" w:rsidRPr="00D26C86" w:rsidP="00116BF8" w14:paraId="19DD46B6" w14:textId="11A2C51D">
            <w:pPr>
              <w:widowControl/>
              <w:rPr>
                <w:b w:val="0"/>
                <w:snapToGrid/>
                <w:color w:val="000000"/>
                <w:kern w:val="0"/>
              </w:rPr>
            </w:pPr>
            <w:r w:rsidRPr="00D26C86">
              <w:rPr>
                <w:b w:val="0"/>
                <w:snapToGrid/>
                <w:kern w:val="0"/>
              </w:rPr>
              <w:t>47 U.S.C. 503(b)(2)(C)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58EE6917" w14:textId="77777777">
            <w:pPr>
              <w:widowControl/>
              <w:rPr>
                <w:bCs/>
                <w:snapToGrid/>
                <w:color w:val="000000"/>
                <w:kern w:val="0"/>
              </w:rPr>
            </w:pPr>
            <w:r w:rsidRPr="00753925">
              <w:rPr>
                <w:bCs/>
                <w:color w:val="000000"/>
              </w:rPr>
              <w:t xml:space="preserve">$445,445 </w:t>
            </w:r>
          </w:p>
        </w:tc>
      </w:tr>
      <w:tr w14:paraId="2A35DD2C" w14:textId="77777777" w:rsidTr="000F7213">
        <w:tblPrEx>
          <w:tblW w:w="5000" w:type="pct"/>
          <w:tblLook w:val="04A0"/>
        </w:tblPrEx>
        <w:trPr>
          <w:trHeight w:val="290"/>
        </w:trPr>
        <w:tc>
          <w:tcPr>
            <w:tcW w:w="2500" w:type="pct"/>
            <w:shd w:val="clear" w:color="auto" w:fill="auto"/>
            <w:hideMark/>
          </w:tcPr>
          <w:p w:rsidR="000F7213" w:rsidRPr="00D26C86" w:rsidP="00116BF8" w14:paraId="0B676109" w14:textId="77777777">
            <w:pPr>
              <w:widowControl/>
              <w:rPr>
                <w:b w:val="0"/>
                <w:snapToGrid/>
                <w:color w:val="000000"/>
                <w:kern w:val="0"/>
              </w:rPr>
            </w:pPr>
          </w:p>
        </w:tc>
        <w:tc>
          <w:tcPr>
            <w:tcW w:w="2500" w:type="pct"/>
            <w:shd w:val="clear" w:color="auto" w:fill="auto"/>
          </w:tcPr>
          <w:p w:rsidR="000F7213" w:rsidRPr="00753925" w:rsidP="00116BF8" w14:paraId="180245A1" w14:textId="77777777">
            <w:pPr>
              <w:widowControl/>
              <w:rPr>
                <w:bCs/>
                <w:snapToGrid/>
                <w:color w:val="000000"/>
                <w:kern w:val="0"/>
              </w:rPr>
            </w:pPr>
            <w:r w:rsidRPr="00753925">
              <w:rPr>
                <w:bCs/>
                <w:color w:val="000000"/>
              </w:rPr>
              <w:t xml:space="preserve">$4,111,796 </w:t>
            </w:r>
          </w:p>
        </w:tc>
      </w:tr>
      <w:tr w14:paraId="38B0176A" w14:textId="77777777" w:rsidTr="000F7213">
        <w:tblPrEx>
          <w:tblW w:w="5000" w:type="pct"/>
          <w:tblLook w:val="04A0"/>
        </w:tblPrEx>
        <w:trPr>
          <w:trHeight w:val="290"/>
        </w:trPr>
        <w:tc>
          <w:tcPr>
            <w:tcW w:w="2500" w:type="pct"/>
            <w:shd w:val="clear" w:color="auto" w:fill="auto"/>
            <w:hideMark/>
          </w:tcPr>
          <w:p w:rsidR="000F7213" w:rsidRPr="00D26C86" w:rsidP="00116BF8" w14:paraId="6F72B6DA" w14:textId="2C709CF0">
            <w:pPr>
              <w:widowControl/>
              <w:rPr>
                <w:b w:val="0"/>
                <w:snapToGrid/>
                <w:color w:val="000000"/>
                <w:kern w:val="0"/>
              </w:rPr>
            </w:pPr>
            <w:r w:rsidRPr="00D26C86">
              <w:rPr>
                <w:b w:val="0"/>
                <w:snapToGrid/>
                <w:kern w:val="0"/>
              </w:rPr>
              <w:t>47 U.S.C. 503(b)(2)(D)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1EDDA92E" w14:textId="77777777">
            <w:pPr>
              <w:widowControl/>
              <w:rPr>
                <w:bCs/>
                <w:snapToGrid/>
                <w:color w:val="000000"/>
                <w:kern w:val="0"/>
              </w:rPr>
            </w:pPr>
            <w:r w:rsidRPr="00753925">
              <w:rPr>
                <w:bCs/>
                <w:color w:val="000000"/>
              </w:rPr>
              <w:t xml:space="preserve">$22,021 </w:t>
            </w:r>
          </w:p>
        </w:tc>
      </w:tr>
      <w:tr w14:paraId="60505481" w14:textId="77777777" w:rsidTr="000F7213">
        <w:tblPrEx>
          <w:tblW w:w="5000" w:type="pct"/>
          <w:tblLook w:val="04A0"/>
        </w:tblPrEx>
        <w:trPr>
          <w:trHeight w:val="290"/>
        </w:trPr>
        <w:tc>
          <w:tcPr>
            <w:tcW w:w="2500" w:type="pct"/>
            <w:shd w:val="clear" w:color="auto" w:fill="auto"/>
            <w:hideMark/>
          </w:tcPr>
          <w:p w:rsidR="000F7213" w:rsidRPr="00D26C86" w:rsidP="00116BF8" w14:paraId="567EFED8" w14:textId="77777777">
            <w:pPr>
              <w:widowControl/>
              <w:rPr>
                <w:b w:val="0"/>
                <w:snapToGrid/>
                <w:color w:val="000000"/>
                <w:kern w:val="0"/>
              </w:rPr>
            </w:pPr>
          </w:p>
        </w:tc>
        <w:tc>
          <w:tcPr>
            <w:tcW w:w="2500" w:type="pct"/>
            <w:shd w:val="clear" w:color="auto" w:fill="auto"/>
          </w:tcPr>
          <w:p w:rsidR="000F7213" w:rsidRPr="00753925" w:rsidP="00116BF8" w14:paraId="61038D4B" w14:textId="77777777">
            <w:pPr>
              <w:widowControl/>
              <w:rPr>
                <w:bCs/>
                <w:snapToGrid/>
                <w:color w:val="000000"/>
                <w:kern w:val="0"/>
              </w:rPr>
            </w:pPr>
            <w:r w:rsidRPr="00753925">
              <w:rPr>
                <w:bCs/>
                <w:color w:val="000000"/>
              </w:rPr>
              <w:t xml:space="preserve">$165,159 </w:t>
            </w:r>
          </w:p>
        </w:tc>
      </w:tr>
      <w:tr w14:paraId="430877FE" w14:textId="77777777" w:rsidTr="000F7213">
        <w:tblPrEx>
          <w:tblW w:w="5000" w:type="pct"/>
          <w:tblLook w:val="04A0"/>
        </w:tblPrEx>
        <w:trPr>
          <w:trHeight w:val="290"/>
        </w:trPr>
        <w:tc>
          <w:tcPr>
            <w:tcW w:w="2500" w:type="pct"/>
            <w:shd w:val="clear" w:color="auto" w:fill="auto"/>
            <w:hideMark/>
          </w:tcPr>
          <w:p w:rsidR="000F7213" w:rsidRPr="00D26C86" w:rsidP="00116BF8" w14:paraId="04C6C60A" w14:textId="77777777">
            <w:pPr>
              <w:widowControl/>
              <w:rPr>
                <w:b w:val="0"/>
                <w:snapToGrid/>
                <w:color w:val="000000"/>
                <w:kern w:val="0"/>
              </w:rPr>
            </w:pPr>
            <w:r w:rsidRPr="00D26C86">
              <w:rPr>
                <w:b w:val="0"/>
                <w:snapToGrid/>
                <w:kern w:val="0"/>
              </w:rPr>
              <w:t>47 U.S.C. 503(b)(2)(F)</w:t>
            </w:r>
          </w:p>
        </w:tc>
        <w:tc>
          <w:tcPr>
            <w:tcW w:w="2500" w:type="pct"/>
            <w:shd w:val="clear" w:color="auto" w:fill="auto"/>
          </w:tcPr>
          <w:p w:rsidR="000F7213" w:rsidRPr="00753925" w:rsidP="00116BF8" w14:paraId="58A813B2" w14:textId="77777777">
            <w:pPr>
              <w:widowControl/>
              <w:rPr>
                <w:bCs/>
                <w:snapToGrid/>
                <w:color w:val="000000"/>
                <w:kern w:val="0"/>
              </w:rPr>
            </w:pPr>
            <w:r w:rsidRPr="00753925">
              <w:rPr>
                <w:bCs/>
                <w:color w:val="000000"/>
              </w:rPr>
              <w:t xml:space="preserve">$126,463 </w:t>
            </w:r>
          </w:p>
        </w:tc>
      </w:tr>
      <w:tr w14:paraId="55F30382" w14:textId="77777777" w:rsidTr="000F7213">
        <w:tblPrEx>
          <w:tblW w:w="5000" w:type="pct"/>
          <w:tblLook w:val="04A0"/>
        </w:tblPrEx>
        <w:trPr>
          <w:trHeight w:val="290"/>
        </w:trPr>
        <w:tc>
          <w:tcPr>
            <w:tcW w:w="2500" w:type="pct"/>
            <w:shd w:val="clear" w:color="auto" w:fill="auto"/>
            <w:hideMark/>
          </w:tcPr>
          <w:p w:rsidR="000F7213" w:rsidRPr="00D26C86" w:rsidP="00116BF8" w14:paraId="36F02D6E" w14:textId="77777777">
            <w:pPr>
              <w:widowControl/>
              <w:rPr>
                <w:b w:val="0"/>
                <w:snapToGrid/>
                <w:color w:val="000000"/>
                <w:kern w:val="0"/>
              </w:rPr>
            </w:pPr>
          </w:p>
        </w:tc>
        <w:tc>
          <w:tcPr>
            <w:tcW w:w="2500" w:type="pct"/>
            <w:shd w:val="clear" w:color="auto" w:fill="auto"/>
          </w:tcPr>
          <w:p w:rsidR="000F7213" w:rsidRPr="00753925" w:rsidP="00116BF8" w14:paraId="370BACDA" w14:textId="77777777">
            <w:pPr>
              <w:widowControl/>
              <w:rPr>
                <w:bCs/>
                <w:snapToGrid/>
                <w:color w:val="000000"/>
                <w:kern w:val="0"/>
              </w:rPr>
            </w:pPr>
            <w:r w:rsidRPr="00753925">
              <w:rPr>
                <w:bCs/>
                <w:color w:val="000000"/>
              </w:rPr>
              <w:t xml:space="preserve">$1,264,622 </w:t>
            </w:r>
          </w:p>
        </w:tc>
      </w:tr>
      <w:tr w14:paraId="0FFC9F78" w14:textId="77777777" w:rsidTr="000F7213">
        <w:tblPrEx>
          <w:tblW w:w="5000" w:type="pct"/>
          <w:tblLook w:val="04A0"/>
        </w:tblPrEx>
        <w:trPr>
          <w:trHeight w:val="290"/>
        </w:trPr>
        <w:tc>
          <w:tcPr>
            <w:tcW w:w="2500" w:type="pct"/>
            <w:shd w:val="clear" w:color="auto" w:fill="auto"/>
            <w:hideMark/>
          </w:tcPr>
          <w:p w:rsidR="000F7213" w:rsidRPr="00D26C86" w:rsidP="00116BF8" w14:paraId="66DA63AC" w14:textId="77416DE3">
            <w:pPr>
              <w:widowControl/>
              <w:rPr>
                <w:b w:val="0"/>
                <w:snapToGrid/>
                <w:color w:val="000000"/>
                <w:kern w:val="0"/>
              </w:rPr>
            </w:pPr>
            <w:r w:rsidRPr="00D26C86">
              <w:rPr>
                <w:b w:val="0"/>
                <w:snapToGrid/>
                <w:kern w:val="0"/>
              </w:rPr>
              <w:t>47 U.S.C. 507(a)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632EA855" w14:textId="77777777">
            <w:pPr>
              <w:widowControl/>
              <w:rPr>
                <w:bCs/>
                <w:snapToGrid/>
                <w:color w:val="000000"/>
                <w:kern w:val="0"/>
              </w:rPr>
            </w:pPr>
            <w:r w:rsidRPr="00753925">
              <w:rPr>
                <w:bCs/>
                <w:color w:val="000000"/>
              </w:rPr>
              <w:t xml:space="preserve">$2,181 </w:t>
            </w:r>
          </w:p>
        </w:tc>
      </w:tr>
      <w:tr w14:paraId="14BF3739" w14:textId="77777777" w:rsidTr="000F7213">
        <w:tblPrEx>
          <w:tblW w:w="5000" w:type="pct"/>
          <w:tblLook w:val="04A0"/>
        </w:tblPrEx>
        <w:trPr>
          <w:trHeight w:val="290"/>
        </w:trPr>
        <w:tc>
          <w:tcPr>
            <w:tcW w:w="2500" w:type="pct"/>
            <w:shd w:val="clear" w:color="auto" w:fill="auto"/>
            <w:hideMark/>
          </w:tcPr>
          <w:p w:rsidR="000F7213" w:rsidRPr="00D26C86" w:rsidP="00116BF8" w14:paraId="697E8938" w14:textId="2421A157">
            <w:pPr>
              <w:widowControl/>
              <w:rPr>
                <w:b w:val="0"/>
                <w:snapToGrid/>
                <w:color w:val="000000"/>
                <w:kern w:val="0"/>
              </w:rPr>
            </w:pPr>
            <w:r w:rsidRPr="00D26C86">
              <w:rPr>
                <w:b w:val="0"/>
                <w:snapToGrid/>
                <w:kern w:val="0"/>
              </w:rPr>
              <w:t>47 U.S.C. 507(b)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36632640" w14:textId="77777777">
            <w:pPr>
              <w:widowControl/>
              <w:rPr>
                <w:bCs/>
                <w:snapToGrid/>
                <w:color w:val="000000"/>
                <w:kern w:val="0"/>
              </w:rPr>
            </w:pPr>
            <w:r w:rsidRPr="00753925">
              <w:rPr>
                <w:bCs/>
                <w:color w:val="000000"/>
              </w:rPr>
              <w:t xml:space="preserve">$320 </w:t>
            </w:r>
          </w:p>
        </w:tc>
      </w:tr>
      <w:tr w14:paraId="60DB89C2" w14:textId="77777777" w:rsidTr="000F7213">
        <w:tblPrEx>
          <w:tblW w:w="5000" w:type="pct"/>
          <w:tblLook w:val="04A0"/>
        </w:tblPrEx>
        <w:trPr>
          <w:trHeight w:val="290"/>
        </w:trPr>
        <w:tc>
          <w:tcPr>
            <w:tcW w:w="2500" w:type="pct"/>
            <w:shd w:val="clear" w:color="auto" w:fill="auto"/>
            <w:hideMark/>
          </w:tcPr>
          <w:p w:rsidR="000F7213" w:rsidRPr="00D26C86" w:rsidP="00116BF8" w14:paraId="06B6549C" w14:textId="39375475">
            <w:pPr>
              <w:widowControl/>
              <w:rPr>
                <w:b w:val="0"/>
                <w:snapToGrid/>
                <w:color w:val="000000"/>
                <w:kern w:val="0"/>
              </w:rPr>
            </w:pPr>
            <w:r w:rsidRPr="00D26C86">
              <w:rPr>
                <w:b w:val="0"/>
                <w:snapToGrid/>
                <w:kern w:val="0"/>
              </w:rPr>
              <w:t>47 U.S.C. 511 …………………………………</w:t>
            </w:r>
            <w:r w:rsidR="00977441">
              <w:rPr>
                <w:b w:val="0"/>
                <w:snapToGrid/>
                <w:kern w:val="0"/>
              </w:rPr>
              <w:t>.</w:t>
            </w:r>
            <w:r w:rsidRPr="00D26C86">
              <w:rPr>
                <w:b w:val="0"/>
                <w:snapToGrid/>
                <w:kern w:val="0"/>
              </w:rPr>
              <w:t>…</w:t>
            </w:r>
          </w:p>
        </w:tc>
        <w:tc>
          <w:tcPr>
            <w:tcW w:w="2500" w:type="pct"/>
            <w:shd w:val="clear" w:color="auto" w:fill="auto"/>
          </w:tcPr>
          <w:p w:rsidR="000F7213" w:rsidRPr="00753925" w:rsidP="00116BF8" w14:paraId="1BD8A26A" w14:textId="77777777">
            <w:pPr>
              <w:widowControl/>
              <w:rPr>
                <w:bCs/>
                <w:snapToGrid/>
                <w:color w:val="000000"/>
                <w:kern w:val="0"/>
              </w:rPr>
            </w:pPr>
            <w:r w:rsidRPr="00753925">
              <w:rPr>
                <w:bCs/>
                <w:color w:val="000000"/>
              </w:rPr>
              <w:t xml:space="preserve">$2,149,551 </w:t>
            </w:r>
          </w:p>
        </w:tc>
      </w:tr>
      <w:tr w14:paraId="35331146" w14:textId="77777777" w:rsidTr="000F7213">
        <w:tblPrEx>
          <w:tblW w:w="5000" w:type="pct"/>
          <w:tblLook w:val="04A0"/>
        </w:tblPrEx>
        <w:trPr>
          <w:trHeight w:val="290"/>
        </w:trPr>
        <w:tc>
          <w:tcPr>
            <w:tcW w:w="2500" w:type="pct"/>
            <w:shd w:val="clear" w:color="auto" w:fill="auto"/>
            <w:hideMark/>
          </w:tcPr>
          <w:p w:rsidR="000F7213" w:rsidRPr="00D26C86" w:rsidP="00116BF8" w14:paraId="6140BBBB" w14:textId="77777777">
            <w:pPr>
              <w:widowControl/>
              <w:rPr>
                <w:b w:val="0"/>
                <w:snapToGrid/>
                <w:color w:val="000000"/>
                <w:kern w:val="0"/>
              </w:rPr>
            </w:pPr>
          </w:p>
        </w:tc>
        <w:tc>
          <w:tcPr>
            <w:tcW w:w="2500" w:type="pct"/>
            <w:shd w:val="clear" w:color="auto" w:fill="auto"/>
          </w:tcPr>
          <w:p w:rsidR="000F7213" w:rsidRPr="00753925" w:rsidP="00116BF8" w14:paraId="0B6ED020" w14:textId="77777777">
            <w:pPr>
              <w:widowControl/>
              <w:rPr>
                <w:bCs/>
                <w:snapToGrid/>
                <w:color w:val="000000"/>
                <w:kern w:val="0"/>
              </w:rPr>
            </w:pPr>
            <w:r w:rsidRPr="00753925">
              <w:rPr>
                <w:bCs/>
                <w:color w:val="000000"/>
              </w:rPr>
              <w:t xml:space="preserve">$107,478 </w:t>
            </w:r>
          </w:p>
        </w:tc>
      </w:tr>
      <w:tr w14:paraId="4E0BECFD" w14:textId="77777777" w:rsidTr="000F7213">
        <w:tblPrEx>
          <w:tblW w:w="5000" w:type="pct"/>
          <w:tblLook w:val="04A0"/>
        </w:tblPrEx>
        <w:trPr>
          <w:trHeight w:val="290"/>
        </w:trPr>
        <w:tc>
          <w:tcPr>
            <w:tcW w:w="2500" w:type="pct"/>
            <w:shd w:val="clear" w:color="auto" w:fill="auto"/>
            <w:hideMark/>
          </w:tcPr>
          <w:p w:rsidR="000F7213" w:rsidRPr="00D26C86" w:rsidP="00116BF8" w14:paraId="032A865F" w14:textId="1AAFDBC8">
            <w:pPr>
              <w:widowControl/>
              <w:rPr>
                <w:b w:val="0"/>
                <w:snapToGrid/>
                <w:color w:val="000000"/>
                <w:kern w:val="0"/>
              </w:rPr>
            </w:pPr>
            <w:r w:rsidRPr="00D26C86">
              <w:rPr>
                <w:b w:val="0"/>
                <w:snapToGrid/>
                <w:kern w:val="0"/>
              </w:rPr>
              <w:t>47 U.S.C. 554 ……………………………………</w:t>
            </w:r>
          </w:p>
        </w:tc>
        <w:tc>
          <w:tcPr>
            <w:tcW w:w="2500" w:type="pct"/>
            <w:shd w:val="clear" w:color="auto" w:fill="auto"/>
          </w:tcPr>
          <w:p w:rsidR="000F7213" w:rsidRPr="00753925" w:rsidP="00116BF8" w14:paraId="1171991F" w14:textId="77777777">
            <w:pPr>
              <w:widowControl/>
              <w:rPr>
                <w:bCs/>
                <w:snapToGrid/>
                <w:color w:val="000000"/>
                <w:kern w:val="0"/>
              </w:rPr>
            </w:pPr>
            <w:r w:rsidRPr="00753925">
              <w:rPr>
                <w:bCs/>
                <w:color w:val="000000"/>
              </w:rPr>
              <w:t xml:space="preserve">$976 </w:t>
            </w:r>
          </w:p>
        </w:tc>
      </w:tr>
    </w:tbl>
    <w:p w:rsidR="009026C2" w:rsidP="009026C2" w14:paraId="3780128E" w14:textId="77777777">
      <w:pPr>
        <w:rPr>
          <w:rStyle w:val="ptext-3"/>
        </w:rPr>
      </w:pPr>
    </w:p>
    <w:p w:rsidR="009026C2" w:rsidRPr="00B61D02" w:rsidP="009026C2" w14:paraId="47549C4A" w14:textId="77777777">
      <w:pPr>
        <w:pStyle w:val="ParaNum"/>
        <w:numPr>
          <w:ilvl w:val="0"/>
          <w:numId w:val="0"/>
        </w:numPr>
      </w:pPr>
      <w:r w:rsidRPr="0066179B">
        <w:rPr>
          <w:rStyle w:val="ptext-3"/>
        </w:rPr>
        <w:t>* * * * *</w:t>
      </w:r>
    </w:p>
    <w:p w:rsidR="00164502" w:rsidRPr="00F97D9E" w:rsidP="009026C2" w14:paraId="35685268" w14:textId="77777777"/>
    <w:sectPr w:rsidSect="00FB1D4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E5AD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34E8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E20EB" w14:paraId="469F525E" w14:textId="7D74B15F">
    <w:pPr>
      <w:pStyle w:val="Footer"/>
      <w:jc w:val="center"/>
    </w:pPr>
    <w:r>
      <w:fldChar w:fldCharType="begin"/>
    </w:r>
    <w:r>
      <w:instrText xml:space="preserve"> PAGE   \* MERGEFORMAT </w:instrText>
    </w:r>
    <w:r>
      <w:fldChar w:fldCharType="separate"/>
    </w:r>
    <w:r w:rsidR="00575F3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8ACF42" w14:textId="621AC4E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5DEC" w14:paraId="6144B344" w14:textId="77777777">
      <w:r>
        <w:separator/>
      </w:r>
    </w:p>
  </w:footnote>
  <w:footnote w:type="continuationSeparator" w:id="1">
    <w:p w:rsidR="00545DEC" w:rsidP="00C721AC" w14:paraId="0397E1B7" w14:textId="77777777">
      <w:pPr>
        <w:spacing w:before="120"/>
        <w:rPr>
          <w:sz w:val="20"/>
        </w:rPr>
      </w:pPr>
      <w:r>
        <w:rPr>
          <w:sz w:val="20"/>
        </w:rPr>
        <w:t xml:space="preserve">(Continued from previous page)  </w:t>
      </w:r>
      <w:r>
        <w:rPr>
          <w:sz w:val="20"/>
        </w:rPr>
        <w:separator/>
      </w:r>
    </w:p>
  </w:footnote>
  <w:footnote w:type="continuationNotice" w:id="2">
    <w:p w:rsidR="00545DEC" w:rsidP="00C721AC" w14:paraId="3CC776B0" w14:textId="77777777">
      <w:pPr>
        <w:jc w:val="right"/>
        <w:rPr>
          <w:sz w:val="20"/>
        </w:rPr>
      </w:pPr>
      <w:r>
        <w:rPr>
          <w:sz w:val="20"/>
        </w:rPr>
        <w:t>(continued….)</w:t>
      </w:r>
    </w:p>
  </w:footnote>
  <w:footnote w:id="3">
    <w:p w:rsidR="00F97D9E" w:rsidP="00F97D9E" w14:paraId="7799C059" w14:textId="7CAE65B9">
      <w:pPr>
        <w:pStyle w:val="FootnoteText"/>
      </w:pPr>
      <w:r>
        <w:rPr>
          <w:rStyle w:val="FootnoteReference"/>
        </w:rPr>
        <w:footnoteRef/>
      </w:r>
      <w:r>
        <w:t xml:space="preserve"> 47 CFR § 1.80(b)</w:t>
      </w:r>
      <w:r w:rsidR="008E20EB">
        <w:t>.</w:t>
      </w:r>
    </w:p>
  </w:footnote>
  <w:footnote w:id="4">
    <w:p w:rsidR="00F97D9E" w:rsidP="00F97D9E" w14:paraId="5D161782" w14:textId="7D1E3F3D">
      <w:pPr>
        <w:pStyle w:val="FootnoteText"/>
      </w:pPr>
      <w:r>
        <w:rPr>
          <w:rStyle w:val="FootnoteReference"/>
        </w:rPr>
        <w:footnoteRef/>
      </w:r>
      <w:r>
        <w:t xml:space="preserve"> </w:t>
      </w:r>
      <w:r w:rsidRPr="00F97D9E">
        <w:t xml:space="preserve">Pub. L. No. 114-74, § 701, 129 Stat. 584, 599 (2015) (2015 Inflation Adjustment Act). </w:t>
      </w:r>
      <w:r w:rsidR="00E94ADC">
        <w:t xml:space="preserve"> </w:t>
      </w:r>
      <w:r w:rsidRPr="00F97D9E">
        <w:t>The 2015 Inflation Adjustment Act amended the Federal Civil Penalties Inflation Adjustment Act of 1990, which is codified, as amended, at 28 U.S.C. § 2461 note (1990 Inflation Adjustment Act).</w:t>
      </w:r>
    </w:p>
  </w:footnote>
  <w:footnote w:id="5">
    <w:p w:rsidR="00F97D9E" w:rsidRPr="00310BCD" w:rsidP="00F97D9E" w14:paraId="45F9B813" w14:textId="5B6642D1">
      <w:pPr>
        <w:pStyle w:val="FootnoteText"/>
      </w:pPr>
      <w:r>
        <w:rPr>
          <w:rStyle w:val="FootnoteReference"/>
        </w:rPr>
        <w:footnoteRef/>
      </w:r>
      <w:r>
        <w:t xml:space="preserve"> </w:t>
      </w:r>
      <w:r>
        <w:t xml:space="preserve">1990 Inflation Adjustment Act § 4(a). </w:t>
      </w:r>
      <w:r w:rsidR="002E1F11">
        <w:t xml:space="preserve"> </w:t>
      </w:r>
      <w:r w:rsidRPr="002E1F11">
        <w:rPr>
          <w:i/>
          <w:iCs/>
        </w:rPr>
        <w:t xml:space="preserve">See </w:t>
      </w:r>
      <w:r w:rsidRPr="00E94ADC">
        <w:rPr>
          <w:i/>
          <w:iCs/>
        </w:rPr>
        <w:t>also</w:t>
      </w:r>
      <w:r w:rsidRPr="00E94ADC">
        <w:t xml:space="preserve"> Memorandum for the Heads of Executive Departments and Agencies, Implementation of Penalty Inflation Adjustments for 202</w:t>
      </w:r>
      <w:r w:rsidRPr="00E94ADC" w:rsidR="002E1F11">
        <w:t>2</w:t>
      </w:r>
      <w:r w:rsidRPr="00E94ADC">
        <w:t>, Pursuant to the Federal Civil Penalties Inflation Adjustment Act Improvements Act of 2015, M</w:t>
      </w:r>
      <w:r w:rsidRPr="00310BCD">
        <w:t>-</w:t>
      </w:r>
      <w:r w:rsidRPr="00310BCD" w:rsidR="00E94ADC">
        <w:t>22</w:t>
      </w:r>
      <w:r w:rsidRPr="00310BCD" w:rsidR="00FE1923">
        <w:t>-</w:t>
      </w:r>
      <w:r w:rsidRPr="00310BCD" w:rsidR="00E94ADC">
        <w:t>07</w:t>
      </w:r>
      <w:r w:rsidRPr="00310BCD">
        <w:t xml:space="preserve"> (Dec. </w:t>
      </w:r>
      <w:r w:rsidRPr="00310BCD" w:rsidR="00E94ADC">
        <w:t>15</w:t>
      </w:r>
      <w:r w:rsidRPr="00310BCD">
        <w:t>, 202</w:t>
      </w:r>
      <w:r w:rsidRPr="00310BCD" w:rsidR="00FE1923">
        <w:t>1</w:t>
      </w:r>
      <w:r w:rsidRPr="00310BCD">
        <w:t>) (OMB Dec. 202</w:t>
      </w:r>
      <w:r w:rsidRPr="00310BCD" w:rsidR="002E1F11">
        <w:t>1</w:t>
      </w:r>
      <w:r w:rsidRPr="00310BCD">
        <w:t xml:space="preserve"> Guidance).</w:t>
      </w:r>
    </w:p>
  </w:footnote>
  <w:footnote w:id="6">
    <w:p w:rsidR="008E20EB" w:rsidRPr="00310BCD" w14:paraId="1CEA0D8B" w14:textId="6E143785">
      <w:pPr>
        <w:pStyle w:val="FootnoteText"/>
      </w:pPr>
      <w:r w:rsidRPr="00310BCD">
        <w:rPr>
          <w:rStyle w:val="FootnoteReference"/>
        </w:rPr>
        <w:footnoteRef/>
      </w:r>
      <w:r w:rsidRPr="00310BCD">
        <w:t xml:space="preserve"> </w:t>
      </w:r>
      <w:r w:rsidRPr="00310BCD">
        <w:t xml:space="preserve">1990 Inflation Adjustment Act § 6.  </w:t>
      </w:r>
      <w:r w:rsidRPr="00310BCD">
        <w:rPr>
          <w:i/>
          <w:iCs/>
        </w:rPr>
        <w:t>See also</w:t>
      </w:r>
      <w:r w:rsidRPr="00310BCD">
        <w:t xml:space="preserve"> OMB Dec. 202</w:t>
      </w:r>
      <w:r w:rsidRPr="00310BCD" w:rsidR="00F1310C">
        <w:t>1</w:t>
      </w:r>
      <w:r w:rsidRPr="00310BCD">
        <w:t xml:space="preserve"> Guidance at </w:t>
      </w:r>
      <w:r w:rsidRPr="00310BCD" w:rsidR="00310BCD">
        <w:t>4</w:t>
      </w:r>
      <w:r w:rsidRPr="00310BCD">
        <w:t>.</w:t>
      </w:r>
    </w:p>
  </w:footnote>
  <w:footnote w:id="7">
    <w:p w:rsidR="008E20EB" w:rsidRPr="00310BCD" w:rsidP="008E20EB" w14:paraId="4D0623A7" w14:textId="0D9C205E">
      <w:pPr>
        <w:pStyle w:val="FootnoteText"/>
      </w:pPr>
      <w:r w:rsidRPr="00310BCD">
        <w:rPr>
          <w:rStyle w:val="FootnoteReference"/>
        </w:rPr>
        <w:footnoteRef/>
      </w:r>
      <w:r w:rsidRPr="00310BCD">
        <w:t xml:space="preserve"> </w:t>
      </w:r>
      <w:r w:rsidRPr="00310BCD">
        <w:t xml:space="preserve">1990 Inflation Adjustment Act § 3(2), </w:t>
      </w:r>
      <w:r w:rsidRPr="00310BCD">
        <w:rPr>
          <w:i/>
          <w:iCs/>
        </w:rPr>
        <w:t>quoted in</w:t>
      </w:r>
      <w:r w:rsidRPr="00310BCD">
        <w:t xml:space="preserve"> OMB Dec. 202</w:t>
      </w:r>
      <w:r w:rsidRPr="00310BCD" w:rsidR="00F1310C">
        <w:t>1</w:t>
      </w:r>
      <w:r w:rsidRPr="00310BCD">
        <w:t xml:space="preserve"> Guidance at </w:t>
      </w:r>
      <w:r w:rsidRPr="00310BCD" w:rsidR="00310BCD">
        <w:t>2</w:t>
      </w:r>
      <w:r w:rsidRPr="00310BCD">
        <w:t>.</w:t>
      </w:r>
    </w:p>
  </w:footnote>
  <w:footnote w:id="8">
    <w:p w:rsidR="008E20EB" w14:paraId="69C827EA" w14:textId="44044D1A">
      <w:pPr>
        <w:pStyle w:val="FootnoteText"/>
      </w:pPr>
      <w:r w:rsidRPr="00310BCD">
        <w:rPr>
          <w:rStyle w:val="FootnoteReference"/>
        </w:rPr>
        <w:footnoteRef/>
      </w:r>
      <w:r w:rsidRPr="00310BCD">
        <w:t xml:space="preserve"> </w:t>
      </w:r>
      <w:r w:rsidRPr="00310BCD">
        <w:rPr>
          <w:i/>
          <w:iCs/>
        </w:rPr>
        <w:t>See</w:t>
      </w:r>
      <w:r w:rsidRPr="00310BCD">
        <w:t xml:space="preserve"> OMB Dec. 202</w:t>
      </w:r>
      <w:r w:rsidRPr="00310BCD" w:rsidR="00F1310C">
        <w:t>1</w:t>
      </w:r>
      <w:r w:rsidRPr="00310BCD">
        <w:t xml:space="preserve"> Guidance</w:t>
      </w:r>
      <w:r w:rsidRPr="008E20EB">
        <w:t xml:space="preserve"> at </w:t>
      </w:r>
      <w:r w:rsidR="00310BCD">
        <w:t>3</w:t>
      </w:r>
      <w:r w:rsidRPr="008E20EB">
        <w:t>.</w:t>
      </w:r>
    </w:p>
  </w:footnote>
  <w:footnote w:id="9">
    <w:p w:rsidR="008E20EB" w:rsidP="008E20EB" w14:paraId="03CA71D0" w14:textId="355DC1EF">
      <w:pPr>
        <w:pStyle w:val="FootnoteText"/>
      </w:pPr>
      <w:r>
        <w:rPr>
          <w:rStyle w:val="FootnoteReference"/>
        </w:rPr>
        <w:footnoteRef/>
      </w:r>
      <w:r>
        <w:t xml:space="preserve"> </w:t>
      </w:r>
      <w:r>
        <w:t>1990 Inflation Adjustment Act § 7.</w:t>
      </w:r>
    </w:p>
  </w:footnote>
  <w:footnote w:id="10">
    <w:p w:rsidR="002E1F11" w14:paraId="1CE6B5B6" w14:textId="22B1F0F0">
      <w:pPr>
        <w:pStyle w:val="FootnoteText"/>
      </w:pPr>
      <w:r>
        <w:rPr>
          <w:rStyle w:val="FootnoteReference"/>
        </w:rPr>
        <w:footnoteRef/>
      </w:r>
      <w:r>
        <w:t xml:space="preserve"> </w:t>
      </w:r>
      <w:r w:rsidRPr="002E1F11">
        <w:rPr>
          <w:i/>
          <w:iCs/>
        </w:rPr>
        <w:t>See generally</w:t>
      </w:r>
      <w:r w:rsidRPr="002E1F11">
        <w:t xml:space="preserve"> </w:t>
      </w:r>
      <w:r w:rsidRPr="00310BCD">
        <w:t>OMB Dec. 2021 Guidance</w:t>
      </w:r>
      <w:r w:rsidR="00657AF6">
        <w:t>.</w:t>
      </w:r>
    </w:p>
  </w:footnote>
  <w:footnote w:id="11">
    <w:p w:rsidR="002E1F11" w14:paraId="68954129" w14:textId="7A3E5335">
      <w:pPr>
        <w:pStyle w:val="FootnoteText"/>
      </w:pPr>
      <w:r w:rsidRPr="00C91920">
        <w:rPr>
          <w:rStyle w:val="FootnoteReference"/>
        </w:rPr>
        <w:footnoteRef/>
      </w:r>
      <w:r w:rsidRPr="00C91920">
        <w:t xml:space="preserve"> </w:t>
      </w:r>
      <w:r w:rsidRPr="00C91920">
        <w:t xml:space="preserve">OMB Dec. 2021 Guidance at </w:t>
      </w:r>
      <w:r w:rsidRPr="00C91920" w:rsidR="00C91920">
        <w:t>2</w:t>
      </w:r>
      <w:r w:rsidRPr="00C91920" w:rsidR="00657AF6">
        <w:t>.</w:t>
      </w:r>
    </w:p>
  </w:footnote>
  <w:footnote w:id="12">
    <w:p w:rsidR="00F1310C" w:rsidRPr="00C91920" w:rsidP="00F1310C" w14:paraId="001ECEF2" w14:textId="20401DBC">
      <w:pPr>
        <w:pStyle w:val="FootnoteText"/>
      </w:pPr>
      <w:r>
        <w:rPr>
          <w:rStyle w:val="FootnoteReference"/>
        </w:rPr>
        <w:footnoteRef/>
      </w:r>
      <w:r>
        <w:t xml:space="preserve"> </w:t>
      </w:r>
      <w:r w:rsidRPr="00F1310C">
        <w:rPr>
          <w:i/>
          <w:iCs/>
        </w:rPr>
        <w:t>Id.</w:t>
      </w:r>
      <w:r>
        <w:t xml:space="preserve"> </w:t>
      </w:r>
      <w:r w:rsidRPr="00C91920">
        <w:t xml:space="preserve">at </w:t>
      </w:r>
      <w:r w:rsidRPr="00C91920" w:rsidR="00C91920">
        <w:t>3</w:t>
      </w:r>
      <w:r w:rsidRPr="00C91920">
        <w:t xml:space="preserve">. The adjustment is “based on the percent change between each published October’s CPI-U.  In this case, October 2021 CPI-U (276.589) / October 2020 CPI-U (260.388) = 1.06222.” </w:t>
      </w:r>
      <w:r w:rsidRPr="00C91920">
        <w:rPr>
          <w:i/>
          <w:iCs/>
        </w:rPr>
        <w:t>Id.</w:t>
      </w:r>
      <w:r w:rsidRPr="00C91920">
        <w:t xml:space="preserve"> at </w:t>
      </w:r>
      <w:r w:rsidRPr="00C91920" w:rsidR="00C91920">
        <w:t>1, n.4</w:t>
      </w:r>
      <w:r w:rsidRPr="00C91920">
        <w:t>.</w:t>
      </w:r>
    </w:p>
  </w:footnote>
  <w:footnote w:id="13">
    <w:p w:rsidR="00660D1D" w:rsidP="00660D1D" w14:paraId="252AE066" w14:textId="42A828AA">
      <w:pPr>
        <w:pStyle w:val="FootnoteText"/>
      </w:pPr>
      <w:r w:rsidRPr="00C91920">
        <w:rPr>
          <w:rStyle w:val="FootnoteReference"/>
        </w:rPr>
        <w:footnoteRef/>
      </w:r>
      <w:r w:rsidRPr="00C91920">
        <w:t xml:space="preserve"> </w:t>
      </w:r>
      <w:r w:rsidRPr="00C91920">
        <w:t>OMB Dec. 2021 Guidance</w:t>
      </w:r>
      <w:r w:rsidRPr="00FE1923">
        <w:t xml:space="preserve"> at </w:t>
      </w:r>
      <w:r w:rsidR="00C91920">
        <w:t>3</w:t>
      </w:r>
      <w:r w:rsidRPr="00FE1923">
        <w:t>.</w:t>
      </w:r>
    </w:p>
  </w:footnote>
  <w:footnote w:id="14">
    <w:p w:rsidR="00660D1D" w14:paraId="0873EDA5" w14:textId="2843A3CB">
      <w:pPr>
        <w:pStyle w:val="FootnoteText"/>
      </w:pPr>
      <w:r>
        <w:rPr>
          <w:rStyle w:val="FootnoteReference"/>
        </w:rPr>
        <w:footnoteRef/>
      </w:r>
      <w:r>
        <w:t xml:space="preserve"> </w:t>
      </w:r>
      <w:r w:rsidRPr="00660D1D">
        <w:rPr>
          <w:i/>
          <w:iCs/>
        </w:rPr>
        <w:t>Id.</w:t>
      </w:r>
    </w:p>
  </w:footnote>
  <w:footnote w:id="15">
    <w:p w:rsidR="00FA3CA6" w14:paraId="53EB2F44" w14:textId="2BC286F0">
      <w:pPr>
        <w:pStyle w:val="FootnoteText"/>
      </w:pPr>
      <w:r>
        <w:rPr>
          <w:rStyle w:val="FootnoteReference"/>
        </w:rPr>
        <w:footnoteRef/>
      </w:r>
      <w:r>
        <w:t xml:space="preserve"> </w:t>
      </w:r>
      <w:r w:rsidRPr="00FA3CA6">
        <w:rPr>
          <w:i/>
          <w:iCs/>
        </w:rPr>
        <w:t>See</w:t>
      </w:r>
      <w:r w:rsidRPr="00FA3CA6">
        <w:t xml:space="preserve"> 47 CFR § 0.111(a)(22).</w:t>
      </w:r>
    </w:p>
  </w:footnote>
  <w:footnote w:id="16">
    <w:p w:rsidR="00FA3CA6" w14:paraId="2A62993D" w14:textId="27723954">
      <w:pPr>
        <w:pStyle w:val="FootnoteText"/>
      </w:pPr>
      <w:r>
        <w:rPr>
          <w:rStyle w:val="FootnoteReference"/>
        </w:rPr>
        <w:footnoteRef/>
      </w:r>
      <w:r>
        <w:t xml:space="preserve"> </w:t>
      </w:r>
      <w:r w:rsidRPr="00FA3CA6">
        <w:t>47 CFR § 0.311(a)(1).</w:t>
      </w:r>
    </w:p>
  </w:footnote>
  <w:footnote w:id="17">
    <w:p w:rsidR="001512E6" w14:paraId="27686FDB" w14:textId="4E8C031D">
      <w:pPr>
        <w:pStyle w:val="FootnoteText"/>
      </w:pPr>
      <w:r w:rsidRPr="001D1DEE">
        <w:rPr>
          <w:rStyle w:val="FootnoteReference"/>
        </w:rPr>
        <w:footnoteRef/>
      </w:r>
      <w:r w:rsidRPr="001D1DEE">
        <w:t xml:space="preserve"> </w:t>
      </w:r>
      <w:r w:rsidRPr="001D1DEE">
        <w:t xml:space="preserve">2015 Inflation Adjustment Act § 4(b)(2).  </w:t>
      </w:r>
      <w:r w:rsidRPr="001D1DEE">
        <w:rPr>
          <w:i/>
          <w:iCs/>
        </w:rPr>
        <w:t>See also</w:t>
      </w:r>
      <w:r w:rsidRPr="001D1DEE">
        <w:t xml:space="preserve"> OMB Dec. 2021 Guidance at </w:t>
      </w:r>
      <w:r w:rsidRPr="001D1DEE" w:rsidR="001D1DEE">
        <w:t>3</w:t>
      </w:r>
      <w:r w:rsidRPr="001D1DEE">
        <w:t>.</w:t>
      </w:r>
    </w:p>
  </w:footnote>
  <w:footnote w:id="18">
    <w:p w:rsidR="00B97A50" w14:paraId="0CDBB12A" w14:textId="2D1F9F11">
      <w:pPr>
        <w:pStyle w:val="FootnoteText"/>
      </w:pPr>
      <w:r>
        <w:rPr>
          <w:rStyle w:val="FootnoteReference"/>
        </w:rPr>
        <w:footnoteRef/>
      </w:r>
      <w:r>
        <w:t xml:space="preserve"> </w:t>
      </w:r>
      <w:r w:rsidRPr="00B97A50">
        <w:t>5 U.S.C. § 604(a).</w:t>
      </w:r>
    </w:p>
  </w:footnote>
  <w:footnote w:id="19">
    <w:p w:rsidR="00B71BE6" w:rsidP="00B71BE6" w14:paraId="1AC2909F" w14:textId="1628B124">
      <w:pPr>
        <w:pStyle w:val="FootnoteText"/>
      </w:pPr>
      <w:r>
        <w:rPr>
          <w:rStyle w:val="FootnoteReference"/>
        </w:rPr>
        <w:footnoteRef/>
      </w:r>
      <w:r>
        <w:t xml:space="preserve"> </w:t>
      </w:r>
      <w:r>
        <w:t>Pub. L. No. 104-13, 109 Stat. 163 (codified at 13 U.S.C. § 91, 44 U.S.C. §§ 101 note, and 44 U.S.C. §§ 3501-3520).</w:t>
      </w:r>
    </w:p>
  </w:footnote>
  <w:footnote w:id="20">
    <w:p w:rsidR="00B71BE6" w:rsidP="00B71BE6" w14:paraId="7F26063F" w14:textId="2CDEDB97">
      <w:pPr>
        <w:pStyle w:val="FootnoteText"/>
      </w:pPr>
      <w:r>
        <w:rPr>
          <w:rStyle w:val="FootnoteReference"/>
        </w:rPr>
        <w:footnoteRef/>
      </w:r>
      <w:r>
        <w:t xml:space="preserve"> </w:t>
      </w:r>
      <w:r>
        <w:t>Pub. L. No. 107-198, 116 Stat. 729 (codified at 5 U.S.C. § 601 note, 44 U.S.C. §§ 101 note, 3504, 3506, 3520, 3521).</w:t>
      </w:r>
    </w:p>
  </w:footnote>
  <w:footnote w:id="21">
    <w:p w:rsidR="00B71BE6" w14:paraId="3DE80BFA" w14:textId="23CB6608">
      <w:pPr>
        <w:pStyle w:val="FootnoteText"/>
      </w:pPr>
      <w:r>
        <w:rPr>
          <w:rStyle w:val="FootnoteReference"/>
        </w:rPr>
        <w:footnoteRef/>
      </w:r>
      <w:r>
        <w:t xml:space="preserve"> </w:t>
      </w:r>
      <w:r w:rsidRPr="00B71BE6">
        <w:rPr>
          <w:i/>
          <w:iCs/>
        </w:rPr>
        <w:t>See</w:t>
      </w:r>
      <w:r w:rsidRPr="00B71BE6">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7017BD" w14:textId="5F11EF58">
    <w:pPr>
      <w:pStyle w:val="Header"/>
      <w:rPr>
        <w:b w:val="0"/>
      </w:rPr>
    </w:pPr>
    <w:r>
      <w:tab/>
    </w:r>
    <w:r>
      <w:t>Federal Communications Commission</w:t>
    </w:r>
    <w:r>
      <w:tab/>
    </w:r>
    <w:r w:rsidR="00F97D9E">
      <w:rPr>
        <w:spacing w:val="-2"/>
      </w:rPr>
      <w:t>DA 21-</w:t>
    </w:r>
    <w:r w:rsidR="009C362E">
      <w:rPr>
        <w:spacing w:val="-2"/>
      </w:rPr>
      <w:t>1631</w:t>
    </w:r>
  </w:p>
  <w:p w:rsidR="00D25FB5" w14:paraId="404B8BFF" w14:textId="2381E7D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D4683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BDD498" w14:textId="0DE1D8F2">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F97D9E">
      <w:rPr>
        <w:spacing w:val="-2"/>
      </w:rPr>
      <w:t>DA 21-</w:t>
    </w:r>
    <w:r w:rsidR="009C362E">
      <w:rPr>
        <w:spacing w:val="-2"/>
      </w:rPr>
      <w:t>1631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9E"/>
    <w:rsid w:val="0001687F"/>
    <w:rsid w:val="000171F4"/>
    <w:rsid w:val="000352C0"/>
    <w:rsid w:val="00036039"/>
    <w:rsid w:val="00037F90"/>
    <w:rsid w:val="00074E62"/>
    <w:rsid w:val="000875BF"/>
    <w:rsid w:val="00096D8C"/>
    <w:rsid w:val="000A49FE"/>
    <w:rsid w:val="000C0B65"/>
    <w:rsid w:val="000C32D0"/>
    <w:rsid w:val="000E05FE"/>
    <w:rsid w:val="000E3D42"/>
    <w:rsid w:val="000F7213"/>
    <w:rsid w:val="00116BF8"/>
    <w:rsid w:val="00122558"/>
    <w:rsid w:val="00122BD5"/>
    <w:rsid w:val="00133F79"/>
    <w:rsid w:val="001512E6"/>
    <w:rsid w:val="00164502"/>
    <w:rsid w:val="00194A66"/>
    <w:rsid w:val="00194E36"/>
    <w:rsid w:val="001B3611"/>
    <w:rsid w:val="001D1DEE"/>
    <w:rsid w:val="001D6BCF"/>
    <w:rsid w:val="001E01CA"/>
    <w:rsid w:val="001E51DE"/>
    <w:rsid w:val="00275CF5"/>
    <w:rsid w:val="0028301F"/>
    <w:rsid w:val="00285017"/>
    <w:rsid w:val="002A2D2E"/>
    <w:rsid w:val="002C00E8"/>
    <w:rsid w:val="002C4D12"/>
    <w:rsid w:val="002E1F11"/>
    <w:rsid w:val="002F0253"/>
    <w:rsid w:val="00310BCD"/>
    <w:rsid w:val="00343749"/>
    <w:rsid w:val="003660ED"/>
    <w:rsid w:val="003B0550"/>
    <w:rsid w:val="003B694F"/>
    <w:rsid w:val="003D3942"/>
    <w:rsid w:val="003F171C"/>
    <w:rsid w:val="00400A47"/>
    <w:rsid w:val="00412FC5"/>
    <w:rsid w:val="00422276"/>
    <w:rsid w:val="004242F1"/>
    <w:rsid w:val="00445A00"/>
    <w:rsid w:val="00451B0F"/>
    <w:rsid w:val="00462945"/>
    <w:rsid w:val="00462E06"/>
    <w:rsid w:val="00465A2F"/>
    <w:rsid w:val="004C2EE3"/>
    <w:rsid w:val="004D487C"/>
    <w:rsid w:val="004E4A22"/>
    <w:rsid w:val="004F2FB1"/>
    <w:rsid w:val="004F5122"/>
    <w:rsid w:val="00511968"/>
    <w:rsid w:val="00545DEC"/>
    <w:rsid w:val="0055614C"/>
    <w:rsid w:val="00566D06"/>
    <w:rsid w:val="00575F3E"/>
    <w:rsid w:val="00576D5A"/>
    <w:rsid w:val="005E14C2"/>
    <w:rsid w:val="00607BA5"/>
    <w:rsid w:val="0061180A"/>
    <w:rsid w:val="00611AA7"/>
    <w:rsid w:val="00626EB6"/>
    <w:rsid w:val="00655D03"/>
    <w:rsid w:val="00657AF6"/>
    <w:rsid w:val="00660D1D"/>
    <w:rsid w:val="0066179B"/>
    <w:rsid w:val="00683388"/>
    <w:rsid w:val="00683F84"/>
    <w:rsid w:val="00686DE5"/>
    <w:rsid w:val="00693163"/>
    <w:rsid w:val="00693B8B"/>
    <w:rsid w:val="00695B1C"/>
    <w:rsid w:val="006A6A81"/>
    <w:rsid w:val="006B7D03"/>
    <w:rsid w:val="006F7393"/>
    <w:rsid w:val="0070224F"/>
    <w:rsid w:val="007023D3"/>
    <w:rsid w:val="007071E0"/>
    <w:rsid w:val="007115F7"/>
    <w:rsid w:val="00753925"/>
    <w:rsid w:val="00777FD8"/>
    <w:rsid w:val="00785689"/>
    <w:rsid w:val="00791E5A"/>
    <w:rsid w:val="0079754B"/>
    <w:rsid w:val="007A1E6D"/>
    <w:rsid w:val="007B0EB2"/>
    <w:rsid w:val="007C5C04"/>
    <w:rsid w:val="007D3457"/>
    <w:rsid w:val="007F362F"/>
    <w:rsid w:val="007F7D4A"/>
    <w:rsid w:val="00810B6F"/>
    <w:rsid w:val="00822CE0"/>
    <w:rsid w:val="00826323"/>
    <w:rsid w:val="00832959"/>
    <w:rsid w:val="00841AB1"/>
    <w:rsid w:val="008541B6"/>
    <w:rsid w:val="008C68F1"/>
    <w:rsid w:val="008D7157"/>
    <w:rsid w:val="008E20C2"/>
    <w:rsid w:val="008E20EB"/>
    <w:rsid w:val="00901323"/>
    <w:rsid w:val="009026C2"/>
    <w:rsid w:val="00921803"/>
    <w:rsid w:val="00925DEC"/>
    <w:rsid w:val="00926503"/>
    <w:rsid w:val="009726D8"/>
    <w:rsid w:val="00977441"/>
    <w:rsid w:val="009C362E"/>
    <w:rsid w:val="009D7308"/>
    <w:rsid w:val="009F5CF8"/>
    <w:rsid w:val="009F76DB"/>
    <w:rsid w:val="00A32859"/>
    <w:rsid w:val="00A32C3B"/>
    <w:rsid w:val="00A45F4F"/>
    <w:rsid w:val="00A50B1C"/>
    <w:rsid w:val="00A600A9"/>
    <w:rsid w:val="00AA55B7"/>
    <w:rsid w:val="00AA5B9E"/>
    <w:rsid w:val="00AB2407"/>
    <w:rsid w:val="00AB53DF"/>
    <w:rsid w:val="00AB7ED2"/>
    <w:rsid w:val="00B07E5C"/>
    <w:rsid w:val="00B208D1"/>
    <w:rsid w:val="00B24DC4"/>
    <w:rsid w:val="00B37E42"/>
    <w:rsid w:val="00B432B1"/>
    <w:rsid w:val="00B4733D"/>
    <w:rsid w:val="00B60816"/>
    <w:rsid w:val="00B61D02"/>
    <w:rsid w:val="00B657A2"/>
    <w:rsid w:val="00B65EF7"/>
    <w:rsid w:val="00B71BE6"/>
    <w:rsid w:val="00B77711"/>
    <w:rsid w:val="00B811F7"/>
    <w:rsid w:val="00B97A50"/>
    <w:rsid w:val="00BA5DC6"/>
    <w:rsid w:val="00BA6196"/>
    <w:rsid w:val="00BC1318"/>
    <w:rsid w:val="00BC44B6"/>
    <w:rsid w:val="00BC6D8C"/>
    <w:rsid w:val="00BF43A0"/>
    <w:rsid w:val="00C03F28"/>
    <w:rsid w:val="00C14012"/>
    <w:rsid w:val="00C34006"/>
    <w:rsid w:val="00C36B4C"/>
    <w:rsid w:val="00C426B1"/>
    <w:rsid w:val="00C66160"/>
    <w:rsid w:val="00C721AC"/>
    <w:rsid w:val="00C7555A"/>
    <w:rsid w:val="00C90D6A"/>
    <w:rsid w:val="00C91920"/>
    <w:rsid w:val="00CA247E"/>
    <w:rsid w:val="00CA6D21"/>
    <w:rsid w:val="00CC72B6"/>
    <w:rsid w:val="00CE4736"/>
    <w:rsid w:val="00CE527C"/>
    <w:rsid w:val="00D0218D"/>
    <w:rsid w:val="00D25FB5"/>
    <w:rsid w:val="00D26C86"/>
    <w:rsid w:val="00D44223"/>
    <w:rsid w:val="00DA0F52"/>
    <w:rsid w:val="00DA2529"/>
    <w:rsid w:val="00DB130A"/>
    <w:rsid w:val="00DB2EBB"/>
    <w:rsid w:val="00DC10A1"/>
    <w:rsid w:val="00DC655F"/>
    <w:rsid w:val="00DD0B59"/>
    <w:rsid w:val="00DD7EBD"/>
    <w:rsid w:val="00DF62B6"/>
    <w:rsid w:val="00E01365"/>
    <w:rsid w:val="00E07222"/>
    <w:rsid w:val="00E07225"/>
    <w:rsid w:val="00E10893"/>
    <w:rsid w:val="00E10F2B"/>
    <w:rsid w:val="00E4126C"/>
    <w:rsid w:val="00E50494"/>
    <w:rsid w:val="00E5409F"/>
    <w:rsid w:val="00E62F64"/>
    <w:rsid w:val="00E94ADC"/>
    <w:rsid w:val="00E961E0"/>
    <w:rsid w:val="00EA0953"/>
    <w:rsid w:val="00EE6488"/>
    <w:rsid w:val="00F021FA"/>
    <w:rsid w:val="00F1310C"/>
    <w:rsid w:val="00F62E97"/>
    <w:rsid w:val="00F63C2F"/>
    <w:rsid w:val="00F64209"/>
    <w:rsid w:val="00F85072"/>
    <w:rsid w:val="00F93BF5"/>
    <w:rsid w:val="00F97D9E"/>
    <w:rsid w:val="00FA3CA6"/>
    <w:rsid w:val="00FA449B"/>
    <w:rsid w:val="00FB1D46"/>
    <w:rsid w:val="00FD12DE"/>
    <w:rsid w:val="00FD71CB"/>
    <w:rsid w:val="00FD7E8B"/>
    <w:rsid w:val="00FE1923"/>
    <w:rsid w:val="00FE45B2"/>
    <w:rsid w:val="468349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F39A7A"/>
  <w15:docId w15:val="{DD5144AE-2535-42F3-B9FA-729B7C47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77711"/>
    <w:pPr>
      <w:widowControl w:val="0"/>
    </w:pPr>
    <w:rPr>
      <w:snapToGrid w:val="0"/>
      <w:kern w:val="28"/>
      <w:sz w:val="22"/>
    </w:rPr>
  </w:style>
  <w:style w:type="paragraph" w:styleId="Heading1">
    <w:name w:val="heading 1"/>
    <w:basedOn w:val="Normal"/>
    <w:next w:val="ParaNum"/>
    <w:qFormat/>
    <w:rsid w:val="00B7771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77711"/>
    <w:pPr>
      <w:keepNext/>
      <w:numPr>
        <w:ilvl w:val="1"/>
        <w:numId w:val="3"/>
      </w:numPr>
      <w:spacing w:after="120"/>
      <w:outlineLvl w:val="1"/>
    </w:pPr>
    <w:rPr>
      <w:b/>
    </w:rPr>
  </w:style>
  <w:style w:type="paragraph" w:styleId="Heading3">
    <w:name w:val="heading 3"/>
    <w:basedOn w:val="Normal"/>
    <w:next w:val="ParaNum"/>
    <w:qFormat/>
    <w:rsid w:val="00B77711"/>
    <w:pPr>
      <w:keepNext/>
      <w:numPr>
        <w:ilvl w:val="2"/>
        <w:numId w:val="3"/>
      </w:numPr>
      <w:tabs>
        <w:tab w:val="left" w:pos="2160"/>
      </w:tabs>
      <w:spacing w:after="120"/>
      <w:outlineLvl w:val="2"/>
    </w:pPr>
    <w:rPr>
      <w:b/>
    </w:rPr>
  </w:style>
  <w:style w:type="paragraph" w:styleId="Heading4">
    <w:name w:val="heading 4"/>
    <w:basedOn w:val="Normal"/>
    <w:next w:val="ParaNum"/>
    <w:qFormat/>
    <w:rsid w:val="00B77711"/>
    <w:pPr>
      <w:keepNext/>
      <w:numPr>
        <w:ilvl w:val="3"/>
        <w:numId w:val="3"/>
      </w:numPr>
      <w:tabs>
        <w:tab w:val="left" w:pos="2880"/>
      </w:tabs>
      <w:spacing w:after="120"/>
      <w:outlineLvl w:val="3"/>
    </w:pPr>
    <w:rPr>
      <w:b/>
    </w:rPr>
  </w:style>
  <w:style w:type="paragraph" w:styleId="Heading5">
    <w:name w:val="heading 5"/>
    <w:basedOn w:val="Normal"/>
    <w:next w:val="ParaNum"/>
    <w:qFormat/>
    <w:rsid w:val="00B7771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77711"/>
    <w:pPr>
      <w:numPr>
        <w:ilvl w:val="5"/>
        <w:numId w:val="3"/>
      </w:numPr>
      <w:tabs>
        <w:tab w:val="left" w:pos="4320"/>
      </w:tabs>
      <w:spacing w:after="120"/>
      <w:outlineLvl w:val="5"/>
    </w:pPr>
    <w:rPr>
      <w:b/>
    </w:rPr>
  </w:style>
  <w:style w:type="paragraph" w:styleId="Heading7">
    <w:name w:val="heading 7"/>
    <w:basedOn w:val="Normal"/>
    <w:next w:val="ParaNum"/>
    <w:qFormat/>
    <w:rsid w:val="00B7771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771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7771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77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711"/>
  </w:style>
  <w:style w:type="paragraph" w:customStyle="1" w:styleId="ParaNum">
    <w:name w:val="ParaNum"/>
    <w:basedOn w:val="Normal"/>
    <w:link w:val="ParaNumChar"/>
    <w:rsid w:val="00B77711"/>
    <w:pPr>
      <w:numPr>
        <w:numId w:val="2"/>
      </w:numPr>
      <w:tabs>
        <w:tab w:val="clear" w:pos="1080"/>
        <w:tab w:val="num" w:pos="1440"/>
      </w:tabs>
      <w:spacing w:after="120"/>
    </w:pPr>
  </w:style>
  <w:style w:type="paragraph" w:styleId="EndnoteText">
    <w:name w:val="endnote text"/>
    <w:basedOn w:val="Normal"/>
    <w:semiHidden/>
    <w:rsid w:val="00B77711"/>
    <w:rPr>
      <w:sz w:val="20"/>
    </w:rPr>
  </w:style>
  <w:style w:type="character" w:styleId="EndnoteReference">
    <w:name w:val="endnote reference"/>
    <w:semiHidden/>
    <w:rsid w:val="00B77711"/>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B77711"/>
    <w:pPr>
      <w:spacing w:after="120"/>
    </w:pPr>
  </w:style>
  <w:style w:type="character" w:styleId="FootnoteReference">
    <w:name w:val="footnote reference"/>
    <w:rsid w:val="00B77711"/>
    <w:rPr>
      <w:rFonts w:ascii="Times New Roman" w:hAnsi="Times New Roman"/>
      <w:dstrike w:val="0"/>
      <w:color w:val="auto"/>
      <w:sz w:val="20"/>
      <w:vertAlign w:val="superscript"/>
    </w:rPr>
  </w:style>
  <w:style w:type="paragraph" w:styleId="TOC1">
    <w:name w:val="toc 1"/>
    <w:basedOn w:val="Normal"/>
    <w:next w:val="Normal"/>
    <w:semiHidden/>
    <w:rsid w:val="00B7771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7711"/>
    <w:pPr>
      <w:tabs>
        <w:tab w:val="left" w:pos="720"/>
        <w:tab w:val="right" w:leader="dot" w:pos="9360"/>
      </w:tabs>
      <w:suppressAutoHyphens/>
      <w:ind w:left="720" w:right="720" w:hanging="360"/>
    </w:pPr>
    <w:rPr>
      <w:noProof/>
    </w:rPr>
  </w:style>
  <w:style w:type="paragraph" w:styleId="TOC3">
    <w:name w:val="toc 3"/>
    <w:basedOn w:val="Normal"/>
    <w:next w:val="Normal"/>
    <w:semiHidden/>
    <w:rsid w:val="00B777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77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77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77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77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77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77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7711"/>
    <w:pPr>
      <w:tabs>
        <w:tab w:val="right" w:pos="9360"/>
      </w:tabs>
      <w:suppressAutoHyphens/>
    </w:pPr>
  </w:style>
  <w:style w:type="character" w:customStyle="1" w:styleId="EquationCaption">
    <w:name w:val="_Equation Caption"/>
    <w:rsid w:val="00B77711"/>
  </w:style>
  <w:style w:type="paragraph" w:styleId="Header">
    <w:name w:val="header"/>
    <w:basedOn w:val="Normal"/>
    <w:autoRedefine/>
    <w:rsid w:val="00B77711"/>
    <w:pPr>
      <w:tabs>
        <w:tab w:val="center" w:pos="4680"/>
        <w:tab w:val="right" w:pos="9360"/>
      </w:tabs>
    </w:pPr>
    <w:rPr>
      <w:b/>
    </w:rPr>
  </w:style>
  <w:style w:type="paragraph" w:styleId="Footer">
    <w:name w:val="footer"/>
    <w:basedOn w:val="Normal"/>
    <w:link w:val="FooterChar"/>
    <w:uiPriority w:val="99"/>
    <w:rsid w:val="00B77711"/>
    <w:pPr>
      <w:tabs>
        <w:tab w:val="center" w:pos="4320"/>
        <w:tab w:val="right" w:pos="8640"/>
      </w:tabs>
    </w:pPr>
  </w:style>
  <w:style w:type="character" w:styleId="PageNumber">
    <w:name w:val="page number"/>
    <w:basedOn w:val="DefaultParagraphFont"/>
    <w:rsid w:val="00B77711"/>
  </w:style>
  <w:style w:type="paragraph" w:styleId="BlockText">
    <w:name w:val="Block Text"/>
    <w:basedOn w:val="Normal"/>
    <w:rsid w:val="00B77711"/>
    <w:pPr>
      <w:spacing w:after="240"/>
      <w:ind w:left="1440" w:right="1440"/>
    </w:pPr>
  </w:style>
  <w:style w:type="paragraph" w:customStyle="1" w:styleId="Paratitle">
    <w:name w:val="Para title"/>
    <w:basedOn w:val="Normal"/>
    <w:rsid w:val="00B77711"/>
    <w:pPr>
      <w:tabs>
        <w:tab w:val="center" w:pos="9270"/>
      </w:tabs>
      <w:spacing w:after="240"/>
    </w:pPr>
    <w:rPr>
      <w:spacing w:val="-2"/>
    </w:rPr>
  </w:style>
  <w:style w:type="paragraph" w:customStyle="1" w:styleId="Bullet">
    <w:name w:val="Bullet"/>
    <w:basedOn w:val="Normal"/>
    <w:rsid w:val="00B77711"/>
    <w:pPr>
      <w:tabs>
        <w:tab w:val="left" w:pos="2160"/>
      </w:tabs>
      <w:spacing w:after="220"/>
      <w:ind w:left="2160" w:hanging="720"/>
    </w:pPr>
  </w:style>
  <w:style w:type="paragraph" w:customStyle="1" w:styleId="TableFormat">
    <w:name w:val="TableFormat"/>
    <w:basedOn w:val="Bullet"/>
    <w:rsid w:val="00B77711"/>
    <w:pPr>
      <w:tabs>
        <w:tab w:val="clear" w:pos="2160"/>
        <w:tab w:val="left" w:pos="5040"/>
      </w:tabs>
      <w:ind w:left="5040" w:hanging="3600"/>
    </w:pPr>
  </w:style>
  <w:style w:type="paragraph" w:customStyle="1" w:styleId="TOCTitle">
    <w:name w:val="TOC Title"/>
    <w:basedOn w:val="Normal"/>
    <w:rsid w:val="00B777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7711"/>
    <w:pPr>
      <w:jc w:val="center"/>
    </w:pPr>
    <w:rPr>
      <w:rFonts w:ascii="Times New Roman Bold" w:hAnsi="Times New Roman Bold"/>
      <w:b/>
      <w:bCs/>
      <w:caps/>
      <w:szCs w:val="22"/>
    </w:rPr>
  </w:style>
  <w:style w:type="character" w:styleId="Hyperlink">
    <w:name w:val="Hyperlink"/>
    <w:rsid w:val="00B77711"/>
    <w:rPr>
      <w:color w:val="0000FF"/>
      <w:u w:val="single"/>
    </w:rPr>
  </w:style>
  <w:style w:type="character" w:customStyle="1" w:styleId="FooterChar">
    <w:name w:val="Footer Char"/>
    <w:link w:val="Footer"/>
    <w:uiPriority w:val="99"/>
    <w:rsid w:val="00B77711"/>
    <w:rPr>
      <w:snapToGrid w:val="0"/>
      <w:kern w:val="28"/>
      <w:sz w:val="22"/>
    </w:rPr>
  </w:style>
  <w:style w:type="character" w:customStyle="1" w:styleId="ParaNumChar">
    <w:name w:val="ParaNum Char"/>
    <w:link w:val="ParaNum"/>
    <w:locked/>
    <w:rsid w:val="00164502"/>
    <w:rPr>
      <w:snapToGrid w:val="0"/>
      <w:kern w:val="28"/>
      <w:sz w:val="22"/>
    </w:rPr>
  </w:style>
  <w:style w:type="character" w:styleId="CommentReference">
    <w:name w:val="annotation reference"/>
    <w:basedOn w:val="DefaultParagraphFont"/>
    <w:uiPriority w:val="99"/>
    <w:rsid w:val="00B37E42"/>
    <w:rPr>
      <w:sz w:val="16"/>
      <w:szCs w:val="16"/>
    </w:rPr>
  </w:style>
  <w:style w:type="paragraph" w:styleId="CommentText">
    <w:name w:val="annotation text"/>
    <w:basedOn w:val="Normal"/>
    <w:link w:val="CommentTextChar"/>
    <w:uiPriority w:val="99"/>
    <w:rsid w:val="00B37E42"/>
    <w:rPr>
      <w:sz w:val="20"/>
    </w:rPr>
  </w:style>
  <w:style w:type="character" w:customStyle="1" w:styleId="CommentTextChar">
    <w:name w:val="Comment Text Char"/>
    <w:basedOn w:val="DefaultParagraphFont"/>
    <w:link w:val="CommentText"/>
    <w:uiPriority w:val="99"/>
    <w:rsid w:val="00B37E42"/>
    <w:rPr>
      <w:snapToGrid w:val="0"/>
      <w:kern w:val="28"/>
    </w:rPr>
  </w:style>
  <w:style w:type="paragraph" w:styleId="CommentSubject">
    <w:name w:val="annotation subject"/>
    <w:basedOn w:val="CommentText"/>
    <w:next w:val="CommentText"/>
    <w:link w:val="CommentSubjectChar"/>
    <w:rsid w:val="00B37E42"/>
    <w:rPr>
      <w:b/>
      <w:bCs/>
    </w:rPr>
  </w:style>
  <w:style w:type="character" w:customStyle="1" w:styleId="CommentSubjectChar">
    <w:name w:val="Comment Subject Char"/>
    <w:basedOn w:val="CommentTextChar"/>
    <w:link w:val="CommentSubject"/>
    <w:rsid w:val="00B37E42"/>
    <w:rPr>
      <w:b/>
      <w:bCs/>
      <w:snapToGrid w:val="0"/>
      <w:kern w:val="28"/>
    </w:rPr>
  </w:style>
  <w:style w:type="paragraph" w:customStyle="1" w:styleId="Default">
    <w:name w:val="Default"/>
    <w:rsid w:val="00C7555A"/>
    <w:pPr>
      <w:autoSpaceDE w:val="0"/>
      <w:autoSpaceDN w:val="0"/>
      <w:adjustRightInd w:val="0"/>
    </w:pPr>
    <w:rPr>
      <w:rFonts w:ascii="Verdana" w:eastAsia="Calibri" w:hAnsi="Verdana" w:cs="Verdana"/>
      <w:color w:val="000000"/>
      <w:sz w:val="24"/>
      <w:szCs w:val="24"/>
    </w:rPr>
  </w:style>
  <w:style w:type="character" w:customStyle="1" w:styleId="apple-converted-space">
    <w:name w:val="apple-converted-space"/>
    <w:basedOn w:val="DefaultParagraphFont"/>
    <w:rsid w:val="009026C2"/>
  </w:style>
  <w:style w:type="character" w:customStyle="1" w:styleId="enumxml">
    <w:name w:val="enumxml"/>
    <w:basedOn w:val="DefaultParagraphFont"/>
    <w:rsid w:val="009026C2"/>
  </w:style>
  <w:style w:type="character" w:styleId="Emphasis">
    <w:name w:val="Emphasis"/>
    <w:uiPriority w:val="20"/>
    <w:qFormat/>
    <w:rsid w:val="009026C2"/>
    <w:rPr>
      <w:i/>
      <w:iCs/>
    </w:rPr>
  </w:style>
  <w:style w:type="character" w:customStyle="1" w:styleId="ptext-3">
    <w:name w:val="ptext-3"/>
    <w:basedOn w:val="DefaultParagraphFont"/>
    <w:rsid w:val="009026C2"/>
  </w:style>
  <w:style w:type="table" w:customStyle="1" w:styleId="PlainTable41">
    <w:name w:val="Plain Table 41"/>
    <w:basedOn w:val="TableNormal"/>
    <w:uiPriority w:val="44"/>
    <w:rsid w:val="009026C2"/>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locked/>
    <w:rsid w:val="00C91920"/>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7D3457"/>
    <w:rPr>
      <w:sz w:val="20"/>
      <w:szCs w:val="20"/>
    </w:rPr>
  </w:style>
  <w:style w:type="paragraph" w:styleId="BalloonText">
    <w:name w:val="Balloon Text"/>
    <w:basedOn w:val="Normal"/>
    <w:link w:val="BalloonTextChar"/>
    <w:rsid w:val="00575F3E"/>
    <w:rPr>
      <w:rFonts w:ascii="Tahoma" w:hAnsi="Tahoma" w:cs="Tahoma"/>
      <w:sz w:val="16"/>
      <w:szCs w:val="16"/>
    </w:rPr>
  </w:style>
  <w:style w:type="character" w:customStyle="1" w:styleId="BalloonTextChar">
    <w:name w:val="Balloon Text Char"/>
    <w:basedOn w:val="DefaultParagraphFont"/>
    <w:link w:val="BalloonText"/>
    <w:rsid w:val="00575F3E"/>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