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B03E61"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B03E61" w14:paraId="22A0E4C3" w14:textId="77777777">
      <w:pPr>
        <w:pStyle w:val="StyleBoldCentered"/>
      </w:pPr>
      <w:r>
        <w:t>F</w:t>
      </w:r>
      <w:r>
        <w:rPr>
          <w:caps w:val="0"/>
        </w:rPr>
        <w:t>ederal Communications Commission</w:t>
      </w:r>
    </w:p>
    <w:p w:rsidR="004C2EE3" w:rsidP="00B03E61" w14:paraId="1174C1F8" w14:textId="77777777">
      <w:pPr>
        <w:pStyle w:val="StyleBoldCentered"/>
      </w:pPr>
      <w:r>
        <w:rPr>
          <w:caps w:val="0"/>
        </w:rPr>
        <w:t>Washington, D.C. 20554</w:t>
      </w:r>
    </w:p>
    <w:p w:rsidR="004C2EE3" w:rsidP="00B03E61"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rsidP="00B03E61" w14:paraId="7B0629A4" w14:textId="77777777">
            <w:pPr>
              <w:tabs>
                <w:tab w:val="center" w:pos="4680"/>
              </w:tabs>
              <w:rPr>
                <w:spacing w:val="-2"/>
              </w:rPr>
            </w:pPr>
            <w:r>
              <w:rPr>
                <w:spacing w:val="-2"/>
              </w:rPr>
              <w:t>In the Matter of</w:t>
            </w:r>
          </w:p>
          <w:p w:rsidR="004C2EE3" w:rsidP="00B03E61" w14:paraId="367869F2" w14:textId="77777777">
            <w:pPr>
              <w:tabs>
                <w:tab w:val="center" w:pos="4680"/>
              </w:tabs>
              <w:rPr>
                <w:spacing w:val="-2"/>
              </w:rPr>
            </w:pPr>
          </w:p>
          <w:p w:rsidR="004A3C48" w:rsidRPr="00225707" w:rsidP="00B03E61" w14:paraId="206FACCA" w14:textId="4E685512">
            <w:pPr>
              <w:tabs>
                <w:tab w:val="center" w:pos="4680"/>
              </w:tabs>
            </w:pPr>
            <w:r w:rsidRPr="004F0299">
              <w:rPr>
                <w:spacing w:val="-2"/>
              </w:rPr>
              <w:t>Amendment of section 73.202(b),</w:t>
            </w:r>
            <w:r>
              <w:rPr>
                <w:spacing w:val="-2"/>
              </w:rPr>
              <w:t xml:space="preserve"> </w:t>
            </w:r>
            <w:r w:rsidRPr="004A3C48">
              <w:rPr>
                <w:spacing w:val="-2"/>
              </w:rPr>
              <w:t>Table of Allotments,</w:t>
            </w:r>
            <w:r>
              <w:t xml:space="preserve"> </w:t>
            </w:r>
            <w:r>
              <w:t>FM Broadcast Stations (</w:t>
            </w:r>
            <w:r w:rsidR="00C9085D">
              <w:t xml:space="preserve">Snowflake, Arizona; </w:t>
            </w:r>
            <w:r w:rsidRPr="005B710A" w:rsidR="005B710A">
              <w:t>Millerton, Oklahoma</w:t>
            </w:r>
            <w:r w:rsidR="005B710A">
              <w:t xml:space="preserve">; </w:t>
            </w:r>
            <w:r w:rsidRPr="005B710A" w:rsidR="005B710A">
              <w:t>Powers, Oregon</w:t>
            </w:r>
            <w:r w:rsidR="005B710A">
              <w:t xml:space="preserve">; </w:t>
            </w:r>
            <w:r w:rsidRPr="005B710A" w:rsidR="005B710A">
              <w:t>Mount Enterprise</w:t>
            </w:r>
            <w:r w:rsidR="005B710A">
              <w:t xml:space="preserve"> and </w:t>
            </w:r>
            <w:r w:rsidRPr="005B710A" w:rsidR="005B710A">
              <w:t>Paint Rock, Texas</w:t>
            </w:r>
            <w:r w:rsidR="005B710A">
              <w:t xml:space="preserve">; </w:t>
            </w:r>
            <w:r w:rsidRPr="005B710A" w:rsidR="005B710A">
              <w:t>Hardwick, Vermont</w:t>
            </w:r>
            <w:r w:rsidR="005B710A">
              <w:t xml:space="preserve">; and </w:t>
            </w:r>
            <w:r w:rsidRPr="005B710A" w:rsidR="005B710A">
              <w:t>Meeteetse, Wyoming</w:t>
            </w:r>
            <w:r>
              <w:t>)</w:t>
            </w:r>
          </w:p>
          <w:p w:rsidR="004C2EE3" w:rsidRPr="007115F7" w:rsidP="00B03E61" w14:paraId="44853C02" w14:textId="1282A029">
            <w:pPr>
              <w:tabs>
                <w:tab w:val="center" w:pos="4680"/>
              </w:tabs>
              <w:rPr>
                <w:spacing w:val="-2"/>
              </w:rPr>
            </w:pPr>
          </w:p>
        </w:tc>
        <w:tc>
          <w:tcPr>
            <w:tcW w:w="630" w:type="dxa"/>
          </w:tcPr>
          <w:p w:rsidR="004C2EE3" w:rsidP="00B03E61" w14:paraId="465C036D" w14:textId="77777777">
            <w:pPr>
              <w:tabs>
                <w:tab w:val="center" w:pos="4680"/>
              </w:tabs>
              <w:rPr>
                <w:b/>
                <w:spacing w:val="-2"/>
              </w:rPr>
            </w:pPr>
            <w:bookmarkStart w:id="0" w:name="_Hlk90553043"/>
            <w:r>
              <w:rPr>
                <w:b/>
                <w:spacing w:val="-2"/>
              </w:rPr>
              <w:t>)</w:t>
            </w:r>
          </w:p>
          <w:p w:rsidR="004C2EE3" w:rsidP="00B03E61" w14:paraId="52FC3940" w14:textId="77777777">
            <w:pPr>
              <w:tabs>
                <w:tab w:val="center" w:pos="4680"/>
              </w:tabs>
              <w:rPr>
                <w:b/>
                <w:spacing w:val="-2"/>
              </w:rPr>
            </w:pPr>
            <w:r>
              <w:rPr>
                <w:b/>
                <w:spacing w:val="-2"/>
              </w:rPr>
              <w:t>)</w:t>
            </w:r>
          </w:p>
          <w:p w:rsidR="004C2EE3" w:rsidP="00B03E61" w14:paraId="312D1F1F" w14:textId="77777777">
            <w:pPr>
              <w:tabs>
                <w:tab w:val="center" w:pos="4680"/>
              </w:tabs>
              <w:rPr>
                <w:b/>
                <w:spacing w:val="-2"/>
              </w:rPr>
            </w:pPr>
            <w:r>
              <w:rPr>
                <w:b/>
                <w:spacing w:val="-2"/>
              </w:rPr>
              <w:t>)</w:t>
            </w:r>
          </w:p>
          <w:p w:rsidR="004C2EE3" w:rsidP="00B03E61" w14:paraId="2B0FBE0E" w14:textId="77777777">
            <w:pPr>
              <w:tabs>
                <w:tab w:val="center" w:pos="4680"/>
              </w:tabs>
              <w:rPr>
                <w:b/>
                <w:spacing w:val="-2"/>
              </w:rPr>
            </w:pPr>
            <w:r>
              <w:rPr>
                <w:b/>
                <w:spacing w:val="-2"/>
              </w:rPr>
              <w:t>)</w:t>
            </w:r>
          </w:p>
          <w:p w:rsidR="004A3C48" w:rsidP="00B03E61" w14:paraId="5CE08925" w14:textId="77777777">
            <w:pPr>
              <w:tabs>
                <w:tab w:val="center" w:pos="4680"/>
              </w:tabs>
              <w:rPr>
                <w:b/>
                <w:spacing w:val="-2"/>
              </w:rPr>
            </w:pPr>
            <w:r>
              <w:rPr>
                <w:b/>
                <w:spacing w:val="-2"/>
              </w:rPr>
              <w:t>)</w:t>
            </w:r>
            <w:bookmarkEnd w:id="0"/>
          </w:p>
          <w:p w:rsidR="00225707" w:rsidP="00B03E61" w14:paraId="13BDE9B2" w14:textId="77777777">
            <w:pPr>
              <w:tabs>
                <w:tab w:val="center" w:pos="4680"/>
              </w:tabs>
              <w:rPr>
                <w:b/>
                <w:spacing w:val="-2"/>
              </w:rPr>
            </w:pPr>
            <w:r>
              <w:rPr>
                <w:b/>
                <w:spacing w:val="-2"/>
              </w:rPr>
              <w:t>)</w:t>
            </w:r>
          </w:p>
          <w:p w:rsidR="00225707" w:rsidP="00B03E61" w14:paraId="742FF637" w14:textId="77777777">
            <w:pPr>
              <w:tabs>
                <w:tab w:val="center" w:pos="4680"/>
              </w:tabs>
              <w:rPr>
                <w:b/>
                <w:spacing w:val="-2"/>
              </w:rPr>
            </w:pPr>
            <w:r>
              <w:rPr>
                <w:b/>
                <w:spacing w:val="-2"/>
              </w:rPr>
              <w:t>)</w:t>
            </w:r>
          </w:p>
          <w:p w:rsidR="00E25615" w:rsidRPr="009F2562" w:rsidP="00B03E61" w14:paraId="0F97A235" w14:textId="576275C0">
            <w:pPr>
              <w:tabs>
                <w:tab w:val="center" w:pos="4680"/>
              </w:tabs>
              <w:rPr>
                <w:b/>
                <w:spacing w:val="-2"/>
              </w:rPr>
            </w:pPr>
          </w:p>
        </w:tc>
        <w:tc>
          <w:tcPr>
            <w:tcW w:w="4248" w:type="dxa"/>
          </w:tcPr>
          <w:p w:rsidR="004C2EE3" w:rsidP="00B03E61" w14:paraId="47367464" w14:textId="77777777">
            <w:pPr>
              <w:tabs>
                <w:tab w:val="center" w:pos="4680"/>
              </w:tabs>
              <w:rPr>
                <w:spacing w:val="-2"/>
              </w:rPr>
            </w:pPr>
          </w:p>
          <w:p w:rsidR="004C2EE3" w:rsidP="00B03E61" w14:paraId="0F1BEF75" w14:textId="77777777">
            <w:pPr>
              <w:pStyle w:val="TOAHeading"/>
              <w:tabs>
                <w:tab w:val="center" w:pos="4680"/>
                <w:tab w:val="clear" w:pos="9360"/>
              </w:tabs>
              <w:suppressAutoHyphens w:val="0"/>
              <w:rPr>
                <w:spacing w:val="-2"/>
              </w:rPr>
            </w:pPr>
          </w:p>
          <w:p w:rsidR="009F2562" w:rsidRPr="009F2562" w:rsidP="00B03E61" w14:paraId="7372A6C3" w14:textId="6B6E5627">
            <w:pPr>
              <w:pStyle w:val="TOAHeading"/>
              <w:tabs>
                <w:tab w:val="center" w:pos="4680"/>
              </w:tabs>
              <w:suppressAutoHyphens w:val="0"/>
              <w:rPr>
                <w:spacing w:val="-2"/>
              </w:rPr>
            </w:pPr>
            <w:r w:rsidRPr="009F2562">
              <w:rPr>
                <w:spacing w:val="-2"/>
              </w:rPr>
              <w:t>MB Docket No. 21-</w:t>
            </w:r>
            <w:r w:rsidR="00E25615">
              <w:rPr>
                <w:spacing w:val="-2"/>
              </w:rPr>
              <w:t>502</w:t>
            </w:r>
          </w:p>
          <w:p w:rsidR="00581A23" w:rsidP="00B03E61" w14:paraId="3DBE07C9" w14:textId="4EC42325">
            <w:pPr>
              <w:tabs>
                <w:tab w:val="center" w:pos="4680"/>
              </w:tabs>
              <w:rPr>
                <w:spacing w:val="-2"/>
              </w:rPr>
            </w:pPr>
          </w:p>
        </w:tc>
      </w:tr>
    </w:tbl>
    <w:p w:rsidR="00841AB1" w:rsidP="00B03E61" w14:paraId="66DA8B09" w14:textId="6E1F5D2D">
      <w:pPr>
        <w:pStyle w:val="StyleBoldCentered"/>
      </w:pPr>
      <w:r>
        <w:t>Notice of proposed rulemaking</w:t>
      </w:r>
    </w:p>
    <w:p w:rsidR="004C2EE3" w:rsidP="00B03E61" w14:paraId="6914C331" w14:textId="77777777">
      <w:pPr>
        <w:tabs>
          <w:tab w:val="left" w:pos="-720"/>
        </w:tabs>
        <w:spacing w:line="227" w:lineRule="auto"/>
        <w:rPr>
          <w:spacing w:val="-2"/>
        </w:rPr>
      </w:pPr>
    </w:p>
    <w:p w:rsidR="004C2EE3" w:rsidP="00B03E61" w14:paraId="5C91105B" w14:textId="6F493C59">
      <w:pPr>
        <w:tabs>
          <w:tab w:val="left" w:pos="720"/>
          <w:tab w:val="right" w:pos="9360"/>
        </w:tabs>
        <w:spacing w:line="227" w:lineRule="auto"/>
        <w:rPr>
          <w:b/>
          <w:spacing w:val="-2"/>
        </w:rPr>
      </w:pPr>
      <w:r>
        <w:rPr>
          <w:b/>
          <w:spacing w:val="-2"/>
        </w:rPr>
        <w:t xml:space="preserve">Adopted:  </w:t>
      </w:r>
      <w:r w:rsidR="00260058">
        <w:rPr>
          <w:b/>
          <w:spacing w:val="-2"/>
        </w:rPr>
        <w:t>December</w:t>
      </w:r>
      <w:r w:rsidR="009F2562">
        <w:rPr>
          <w:b/>
          <w:spacing w:val="-2"/>
        </w:rPr>
        <w:t xml:space="preserve"> </w:t>
      </w:r>
      <w:r w:rsidR="00E25615">
        <w:rPr>
          <w:b/>
          <w:spacing w:val="-2"/>
        </w:rPr>
        <w:t>2</w:t>
      </w:r>
      <w:r w:rsidR="00B7232E">
        <w:rPr>
          <w:b/>
          <w:spacing w:val="-2"/>
        </w:rPr>
        <w:t>3</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60058">
        <w:rPr>
          <w:b/>
          <w:spacing w:val="-2"/>
        </w:rPr>
        <w:t>December</w:t>
      </w:r>
      <w:r w:rsidR="009F2562">
        <w:rPr>
          <w:b/>
          <w:spacing w:val="-2"/>
        </w:rPr>
        <w:t xml:space="preserve"> </w:t>
      </w:r>
      <w:r w:rsidR="00E25615">
        <w:rPr>
          <w:b/>
          <w:spacing w:val="-2"/>
        </w:rPr>
        <w:t>2</w:t>
      </w:r>
      <w:r w:rsidR="00B7232E">
        <w:rPr>
          <w:b/>
          <w:spacing w:val="-2"/>
        </w:rPr>
        <w:t>3</w:t>
      </w:r>
      <w:r w:rsidR="009F2562">
        <w:rPr>
          <w:b/>
          <w:spacing w:val="-2"/>
        </w:rPr>
        <w:t>, 2021</w:t>
      </w:r>
    </w:p>
    <w:p w:rsidR="009F2562" w:rsidP="00B03E61" w14:paraId="3E06AEA5" w14:textId="2166B8B3">
      <w:pPr>
        <w:tabs>
          <w:tab w:val="left" w:pos="720"/>
          <w:tab w:val="right" w:pos="9360"/>
        </w:tabs>
        <w:spacing w:line="227" w:lineRule="auto"/>
        <w:rPr>
          <w:b/>
          <w:spacing w:val="-2"/>
        </w:rPr>
      </w:pPr>
    </w:p>
    <w:p w:rsidR="009F2562" w:rsidRPr="001E1C45" w:rsidP="00B03E61" w14:paraId="300353D6" w14:textId="391126E4">
      <w:pPr>
        <w:tabs>
          <w:tab w:val="left" w:pos="720"/>
          <w:tab w:val="left" w:pos="5760"/>
        </w:tabs>
        <w:jc w:val="both"/>
        <w:rPr>
          <w:b/>
          <w:spacing w:val="-3"/>
          <w:kern w:val="0"/>
          <w:szCs w:val="22"/>
        </w:rPr>
      </w:pPr>
      <w:r w:rsidRPr="001E1C45">
        <w:rPr>
          <w:b/>
          <w:spacing w:val="-3"/>
          <w:kern w:val="0"/>
          <w:szCs w:val="22"/>
        </w:rPr>
        <w:t xml:space="preserve">Comment Date:  </w:t>
      </w:r>
      <w:r w:rsidR="00E25615">
        <w:rPr>
          <w:b/>
          <w:spacing w:val="-3"/>
          <w:kern w:val="0"/>
          <w:szCs w:val="22"/>
        </w:rPr>
        <w:t>February 14, 2022</w:t>
      </w:r>
    </w:p>
    <w:p w:rsidR="009F2562" w:rsidRPr="009F2562" w:rsidP="00B03E61" w14:paraId="7CC86CD0" w14:textId="34E86DCC">
      <w:pPr>
        <w:tabs>
          <w:tab w:val="left" w:pos="720"/>
          <w:tab w:val="left" w:pos="5760"/>
        </w:tabs>
        <w:jc w:val="both"/>
        <w:rPr>
          <w:b/>
          <w:spacing w:val="-3"/>
          <w:kern w:val="0"/>
          <w:szCs w:val="22"/>
        </w:rPr>
      </w:pPr>
      <w:r w:rsidRPr="001E1C45">
        <w:rPr>
          <w:b/>
          <w:spacing w:val="-3"/>
          <w:kern w:val="0"/>
          <w:szCs w:val="22"/>
        </w:rPr>
        <w:t xml:space="preserve">Reply Comment Date:  </w:t>
      </w:r>
      <w:r w:rsidR="00E25615">
        <w:rPr>
          <w:b/>
          <w:spacing w:val="-3"/>
          <w:kern w:val="0"/>
          <w:szCs w:val="22"/>
        </w:rPr>
        <w:t>March 1, 2022</w:t>
      </w:r>
    </w:p>
    <w:p w:rsidR="00822CE0" w:rsidP="00B03E61" w14:paraId="442D5FEE" w14:textId="77777777"/>
    <w:p w:rsidR="00412FC5" w:rsidP="00E25615" w14:paraId="7E6CFF97" w14:textId="468BF07A">
      <w:pPr>
        <w:rPr>
          <w:spacing w:val="-2"/>
        </w:rPr>
      </w:pPr>
      <w:r>
        <w:t xml:space="preserve">By </w:t>
      </w:r>
      <w:r w:rsidR="004E4A22">
        <w:t>the</w:t>
      </w:r>
      <w:r w:rsidR="002A2D2E">
        <w:t xml:space="preserve"> </w:t>
      </w:r>
      <w:r w:rsidR="004F0299">
        <w:t xml:space="preserve">Assistant </w:t>
      </w:r>
      <w:r w:rsidRPr="009F2562" w:rsidR="009F2562">
        <w:rPr>
          <w:spacing w:val="-2"/>
        </w:rPr>
        <w:t xml:space="preserve">Chief, </w:t>
      </w:r>
      <w:r w:rsidR="004F0299">
        <w:rPr>
          <w:spacing w:val="-2"/>
        </w:rPr>
        <w:t>Audio</w:t>
      </w:r>
      <w:r w:rsidRPr="009F2562" w:rsidR="009F2562">
        <w:rPr>
          <w:spacing w:val="-2"/>
        </w:rPr>
        <w:t xml:space="preserve"> Division, Media Bureau</w:t>
      </w:r>
      <w:r>
        <w:rPr>
          <w:spacing w:val="-2"/>
        </w:rPr>
        <w:t>:</w:t>
      </w:r>
    </w:p>
    <w:p w:rsidR="0006004C" w:rsidRPr="0006004C" w:rsidP="00E25615" w14:paraId="7D2CDBD5" w14:textId="77777777">
      <w:pPr>
        <w:pStyle w:val="ParaNum"/>
        <w:numPr>
          <w:ilvl w:val="0"/>
          <w:numId w:val="0"/>
        </w:numPr>
        <w:spacing w:after="0"/>
        <w:ind w:left="720"/>
      </w:pPr>
    </w:p>
    <w:p w:rsidR="009226B2" w:rsidP="00E25615" w14:paraId="25E0C4F2" w14:textId="0E0F4592">
      <w:pPr>
        <w:pStyle w:val="ParaNum"/>
        <w:spacing w:after="0"/>
        <w:rPr>
          <w:snapToGrid/>
          <w:spacing w:val="-2"/>
          <w:kern w:val="0"/>
        </w:rPr>
      </w:pPr>
      <w:r>
        <w:t xml:space="preserve"> </w:t>
      </w:r>
      <w:r w:rsidRPr="00932181" w:rsidR="00932181">
        <w:t>The Audio Division, on its own motion, proposes the deletion of</w:t>
      </w:r>
      <w:r w:rsidR="00BD5C0A">
        <w:t xml:space="preserve"> </w:t>
      </w:r>
      <w:r>
        <w:t xml:space="preserve">seven </w:t>
      </w:r>
      <w:r w:rsidRPr="00932181" w:rsidR="00932181">
        <w:t>vacant allotments</w:t>
      </w:r>
      <w:r w:rsidR="00996132">
        <w:t xml:space="preserve"> </w:t>
      </w:r>
      <w:r>
        <w:t xml:space="preserve">in various communities in Arizona, Oklahoma, Oregon, Texas, Vermont and Wyoming.  </w:t>
      </w:r>
      <w:r w:rsidRPr="009226B2">
        <w:rPr>
          <w:snapToGrid/>
          <w:spacing w:val="-2"/>
          <w:kern w:val="0"/>
        </w:rPr>
        <w:t xml:space="preserve">We tentatively conclude that it is in the public interest to delete </w:t>
      </w:r>
      <w:r>
        <w:rPr>
          <w:snapToGrid/>
          <w:spacing w:val="-2"/>
          <w:kern w:val="0"/>
        </w:rPr>
        <w:t>seven</w:t>
      </w:r>
      <w:r w:rsidRPr="009226B2">
        <w:rPr>
          <w:snapToGrid/>
          <w:spacing w:val="-2"/>
          <w:kern w:val="0"/>
        </w:rPr>
        <w:t xml:space="preserve"> </w:t>
      </w:r>
      <w:r w:rsidR="00D811E7">
        <w:rPr>
          <w:snapToGrid/>
          <w:spacing w:val="-2"/>
          <w:kern w:val="0"/>
        </w:rPr>
        <w:t>vacant allotments</w:t>
      </w:r>
      <w:r w:rsidRPr="009226B2">
        <w:rPr>
          <w:snapToGrid/>
          <w:spacing w:val="-2"/>
          <w:kern w:val="0"/>
        </w:rPr>
        <w:t xml:space="preserve">, as listed in paragraph 3 below, that have been offered in two FM auctions.  No bids were entered for these allotments in the recently completed FM Auction </w:t>
      </w:r>
      <w:r>
        <w:rPr>
          <w:snapToGrid/>
          <w:spacing w:val="-2"/>
          <w:kern w:val="0"/>
        </w:rPr>
        <w:t>109</w:t>
      </w:r>
      <w:r w:rsidR="00314D86">
        <w:rPr>
          <w:snapToGrid/>
          <w:spacing w:val="-2"/>
          <w:kern w:val="0"/>
        </w:rPr>
        <w:t>.  T</w:t>
      </w:r>
      <w:r w:rsidRPr="009226B2">
        <w:rPr>
          <w:snapToGrid/>
          <w:spacing w:val="-2"/>
          <w:kern w:val="0"/>
        </w:rPr>
        <w:t xml:space="preserve">hese </w:t>
      </w:r>
      <w:r w:rsidR="00314D86">
        <w:rPr>
          <w:snapToGrid/>
          <w:spacing w:val="-2"/>
          <w:kern w:val="0"/>
        </w:rPr>
        <w:t>permits</w:t>
      </w:r>
      <w:r w:rsidRPr="009226B2">
        <w:rPr>
          <w:snapToGrid/>
          <w:spacing w:val="-2"/>
          <w:kern w:val="0"/>
        </w:rPr>
        <w:t xml:space="preserve"> are now considered unsold</w:t>
      </w:r>
      <w:r w:rsidR="00314D86">
        <w:rPr>
          <w:snapToGrid/>
          <w:spacing w:val="-2"/>
          <w:kern w:val="0"/>
        </w:rPr>
        <w:t>, and the allotments remain vacant</w:t>
      </w:r>
      <w:r w:rsidRPr="009226B2">
        <w:rPr>
          <w:snapToGrid/>
          <w:spacing w:val="-2"/>
          <w:kern w:val="0"/>
        </w:rPr>
        <w:t xml:space="preserve">.  Deletion of these allotments may create other opportunities in nearby communities for new FM allotments or upgrades of existing stations.  Therefore, we believe that the proposed deletion of these vacant allotments may promote a more effective and efficient use of the FM broadcast spectrum.  </w:t>
      </w:r>
    </w:p>
    <w:p w:rsidR="00E25615" w:rsidRPr="009226B2" w:rsidP="00E25615" w14:paraId="224B04A5" w14:textId="77777777">
      <w:pPr>
        <w:pStyle w:val="ParaNum"/>
        <w:numPr>
          <w:ilvl w:val="0"/>
          <w:numId w:val="0"/>
        </w:numPr>
        <w:spacing w:after="0"/>
        <w:ind w:left="720"/>
        <w:rPr>
          <w:snapToGrid/>
          <w:spacing w:val="-2"/>
          <w:kern w:val="0"/>
        </w:rPr>
      </w:pPr>
    </w:p>
    <w:p w:rsidR="00B01DEE" w:rsidP="00E25615" w14:paraId="461FAC4F" w14:textId="71ED86B1">
      <w:pPr>
        <w:pStyle w:val="ParaNum"/>
        <w:spacing w:after="0"/>
      </w:pPr>
      <w:r>
        <w:rPr>
          <w:spacing w:val="-2"/>
        </w:rPr>
        <w:t xml:space="preserve">Interested parties must file comments expressing an interest in the vacant allotments to prevent their removal.  Moreover, interested parties must provide an explanation as to why they did not participate in prior auction events for any permit in which an interest is expressed.   </w:t>
      </w:r>
    </w:p>
    <w:p w:rsidR="00305564" w:rsidP="00E25615" w14:paraId="390E4E50" w14:textId="77777777">
      <w:pPr>
        <w:pStyle w:val="ParaNum"/>
        <w:numPr>
          <w:ilvl w:val="0"/>
          <w:numId w:val="0"/>
        </w:numPr>
        <w:spacing w:after="0"/>
        <w:ind w:left="720"/>
      </w:pPr>
    </w:p>
    <w:p w:rsidR="007147FC" w:rsidP="00E25615" w14:paraId="4066A03E" w14:textId="2729ECD2">
      <w:pPr>
        <w:pStyle w:val="ParaNum"/>
        <w:spacing w:after="0"/>
      </w:pPr>
      <w:r w:rsidRPr="00932181">
        <w:t xml:space="preserve">Accordingly, we seek comments on the proposed amendments of the FM Table of Allotments, </w:t>
      </w:r>
      <w:r w:rsidR="0006004C">
        <w:t>s</w:t>
      </w:r>
      <w:r w:rsidRPr="00932181">
        <w:t>ection 73.202(b) of the Commission’s Rules, with respect to the communities listed below, as follows</w:t>
      </w:r>
      <w:r>
        <w:t>:</w:t>
      </w:r>
      <w:r w:rsidR="004F0299">
        <w:tab/>
      </w:r>
    </w:p>
    <w:p w:rsidR="00260058" w:rsidRPr="00B03E61" w:rsidP="00E25615" w14:paraId="43E2E5D0" w14:textId="77777777">
      <w:pPr>
        <w:pStyle w:val="ParaNum"/>
        <w:numPr>
          <w:ilvl w:val="0"/>
          <w:numId w:val="0"/>
        </w:numPr>
        <w:spacing w:after="0"/>
      </w:pPr>
    </w:p>
    <w:p w:rsidR="00B01DEE" w:rsidP="00305564" w14:paraId="70876BB0" w14:textId="4DE743B6">
      <w:pPr>
        <w:pStyle w:val="ParaNum"/>
        <w:numPr>
          <w:ilvl w:val="0"/>
          <w:numId w:val="0"/>
        </w:numPr>
        <w:spacing w:after="0"/>
        <w:ind w:left="720"/>
        <w:rPr>
          <w:b/>
          <w:snapToGrid/>
          <w:kern w:val="0"/>
          <w:szCs w:val="22"/>
          <w:u w:val="words"/>
        </w:rPr>
      </w:pPr>
      <w:r>
        <w:rPr>
          <w:b/>
          <w:snapToGrid/>
          <w:kern w:val="0"/>
          <w:szCs w:val="22"/>
          <w:u w:val="words"/>
        </w:rPr>
        <w:t>Construction Permit No.</w:t>
      </w:r>
      <w:r>
        <w:rPr>
          <w:b/>
          <w:snapToGrid/>
          <w:kern w:val="0"/>
          <w:szCs w:val="22"/>
          <w:u w:val="words"/>
        </w:rPr>
        <w:tab/>
        <w:t>Community</w:t>
      </w:r>
      <w:r>
        <w:rPr>
          <w:b/>
          <w:snapToGrid/>
          <w:kern w:val="0"/>
          <w:szCs w:val="22"/>
          <w:u w:val="words"/>
        </w:rPr>
        <w:tab/>
      </w:r>
      <w:r w:rsidRPr="00690CF5">
        <w:rPr>
          <w:b/>
          <w:snapToGrid/>
          <w:kern w:val="0"/>
          <w:szCs w:val="22"/>
          <w:u w:val="words"/>
        </w:rPr>
        <w:t xml:space="preserve">      </w:t>
      </w:r>
      <w:r w:rsidRPr="00690CF5">
        <w:rPr>
          <w:b/>
          <w:snapToGrid/>
          <w:kern w:val="0"/>
          <w:szCs w:val="22"/>
          <w:u w:val="words"/>
        </w:rPr>
        <w:tab/>
      </w:r>
      <w:r>
        <w:rPr>
          <w:b/>
          <w:snapToGrid/>
          <w:kern w:val="0"/>
          <w:szCs w:val="22"/>
          <w:u w:val="words"/>
        </w:rPr>
        <w:tab/>
      </w:r>
      <w:r w:rsidRPr="00690CF5">
        <w:rPr>
          <w:b/>
          <w:snapToGrid/>
          <w:kern w:val="0"/>
          <w:szCs w:val="22"/>
          <w:u w:val="words"/>
        </w:rPr>
        <w:t>Present</w:t>
      </w:r>
      <w:r w:rsidRPr="00690CF5">
        <w:rPr>
          <w:b/>
          <w:snapToGrid/>
          <w:kern w:val="0"/>
          <w:szCs w:val="22"/>
          <w:u w:val="words"/>
        </w:rPr>
        <w:tab/>
      </w:r>
      <w:r>
        <w:rPr>
          <w:b/>
          <w:snapToGrid/>
          <w:kern w:val="0"/>
          <w:szCs w:val="22"/>
          <w:u w:val="words"/>
        </w:rPr>
        <w:t xml:space="preserve"> </w:t>
      </w:r>
      <w:r w:rsidRPr="00690CF5">
        <w:rPr>
          <w:b/>
          <w:snapToGrid/>
          <w:kern w:val="0"/>
          <w:szCs w:val="22"/>
          <w:u w:val="words"/>
        </w:rPr>
        <w:t xml:space="preserve">        </w:t>
      </w:r>
      <w:r w:rsidRPr="00690CF5">
        <w:rPr>
          <w:b/>
          <w:snapToGrid/>
          <w:kern w:val="0"/>
          <w:szCs w:val="22"/>
          <w:u w:val="words"/>
        </w:rPr>
        <w:tab/>
        <w:t xml:space="preserve">Proposed </w:t>
      </w:r>
    </w:p>
    <w:p w:rsidR="004A5C89" w:rsidP="00305564" w14:paraId="3C1D8EDC" w14:textId="75C5ABCF">
      <w:pPr>
        <w:pStyle w:val="ParaNum"/>
        <w:numPr>
          <w:ilvl w:val="0"/>
          <w:numId w:val="0"/>
        </w:numPr>
        <w:spacing w:after="0"/>
        <w:ind w:left="720"/>
        <w:rPr>
          <w:b/>
          <w:snapToGrid/>
          <w:kern w:val="0"/>
          <w:szCs w:val="22"/>
          <w:u w:val="words"/>
        </w:rPr>
      </w:pPr>
      <w:r>
        <w:rPr>
          <w:b/>
          <w:snapToGrid/>
          <w:kern w:val="0"/>
          <w:szCs w:val="22"/>
          <w:u w:val="words"/>
        </w:rPr>
        <w:tab/>
      </w:r>
      <w:r>
        <w:rPr>
          <w:b/>
          <w:snapToGrid/>
          <w:kern w:val="0"/>
          <w:szCs w:val="22"/>
          <w:u w:val="words"/>
        </w:rPr>
        <w:tab/>
      </w:r>
      <w:r>
        <w:rPr>
          <w:b/>
          <w:snapToGrid/>
          <w:kern w:val="0"/>
          <w:szCs w:val="22"/>
          <w:u w:val="words"/>
        </w:rPr>
        <w:tab/>
      </w:r>
      <w:r>
        <w:rPr>
          <w:b/>
          <w:snapToGrid/>
          <w:kern w:val="0"/>
          <w:szCs w:val="22"/>
          <w:u w:val="words"/>
        </w:rPr>
        <w:tab/>
      </w:r>
      <w:r>
        <w:rPr>
          <w:b/>
          <w:snapToGrid/>
          <w:kern w:val="0"/>
          <w:szCs w:val="22"/>
          <w:u w:val="words"/>
        </w:rPr>
        <w:tab/>
      </w:r>
      <w:r>
        <w:rPr>
          <w:b/>
          <w:snapToGrid/>
          <w:kern w:val="0"/>
          <w:szCs w:val="22"/>
          <w:u w:val="words"/>
        </w:rPr>
        <w:tab/>
      </w:r>
      <w:r>
        <w:rPr>
          <w:b/>
          <w:snapToGrid/>
          <w:kern w:val="0"/>
          <w:szCs w:val="22"/>
          <w:u w:val="words"/>
        </w:rPr>
        <w:tab/>
      </w:r>
      <w:r>
        <w:rPr>
          <w:b/>
          <w:snapToGrid/>
          <w:kern w:val="0"/>
          <w:szCs w:val="22"/>
          <w:u w:val="words"/>
        </w:rPr>
        <w:tab/>
      </w:r>
      <w:r w:rsidRPr="00DD2460">
        <w:rPr>
          <w:b/>
          <w:snapToGrid/>
          <w:kern w:val="0"/>
          <w:szCs w:val="22"/>
          <w:u w:val="single"/>
        </w:rPr>
        <w:t>Allotment</w:t>
      </w:r>
      <w:r>
        <w:rPr>
          <w:b/>
          <w:snapToGrid/>
          <w:kern w:val="0"/>
          <w:szCs w:val="22"/>
          <w:u w:val="words"/>
        </w:rPr>
        <w:tab/>
      </w:r>
      <w:r w:rsidRPr="00DD2460">
        <w:rPr>
          <w:b/>
          <w:snapToGrid/>
          <w:kern w:val="0"/>
          <w:szCs w:val="22"/>
          <w:u w:val="single"/>
        </w:rPr>
        <w:t>Allotment</w:t>
      </w:r>
    </w:p>
    <w:p w:rsidR="00C37D7F" w:rsidRPr="00690CF5" w:rsidP="00305564" w14:paraId="07B376E3" w14:textId="77777777">
      <w:pPr>
        <w:pStyle w:val="ParaNum"/>
        <w:numPr>
          <w:ilvl w:val="0"/>
          <w:numId w:val="0"/>
        </w:numPr>
        <w:spacing w:after="0"/>
        <w:ind w:left="720"/>
        <w:rPr>
          <w:snapToGrid/>
        </w:rPr>
      </w:pPr>
    </w:p>
    <w:p w:rsidR="00C9085D" w:rsidP="00305564" w14:paraId="2194FBCE" w14:textId="18838DD8">
      <w:pPr>
        <w:tabs>
          <w:tab w:val="left" w:pos="-720"/>
          <w:tab w:val="left" w:pos="720"/>
        </w:tabs>
        <w:ind w:firstLine="360"/>
        <w:rPr>
          <w:b/>
          <w:snapToGrid/>
          <w:kern w:val="0"/>
          <w:szCs w:val="22"/>
          <w:u w:val="words"/>
        </w:rPr>
      </w:pPr>
      <w:r w:rsidRPr="00690CF5">
        <w:rPr>
          <w:b/>
          <w:snapToGrid/>
          <w:kern w:val="0"/>
          <w:szCs w:val="22"/>
          <w:u w:val="words"/>
        </w:rPr>
        <w:tab/>
      </w:r>
      <w:r w:rsidRPr="00C9085D">
        <w:rPr>
          <w:bCs/>
          <w:snapToGrid/>
          <w:kern w:val="0"/>
          <w:szCs w:val="22"/>
        </w:rPr>
        <w:t>MM-FM1183-C2</w:t>
      </w:r>
      <w:r>
        <w:rPr>
          <w:bCs/>
          <w:snapToGrid/>
          <w:kern w:val="0"/>
          <w:szCs w:val="22"/>
        </w:rPr>
        <w:tab/>
      </w:r>
      <w:r>
        <w:rPr>
          <w:bCs/>
          <w:snapToGrid/>
          <w:kern w:val="0"/>
          <w:szCs w:val="22"/>
        </w:rPr>
        <w:tab/>
        <w:t>Snowflake, Arizona</w:t>
      </w:r>
      <w:r>
        <w:rPr>
          <w:bCs/>
          <w:snapToGrid/>
          <w:kern w:val="0"/>
          <w:szCs w:val="22"/>
        </w:rPr>
        <w:tab/>
      </w:r>
      <w:r>
        <w:rPr>
          <w:bCs/>
          <w:snapToGrid/>
          <w:kern w:val="0"/>
          <w:szCs w:val="22"/>
        </w:rPr>
        <w:tab/>
        <w:t>259C2</w:t>
      </w:r>
      <w:r>
        <w:rPr>
          <w:bCs/>
          <w:snapToGrid/>
          <w:kern w:val="0"/>
          <w:szCs w:val="22"/>
        </w:rPr>
        <w:tab/>
      </w:r>
      <w:r>
        <w:rPr>
          <w:bCs/>
          <w:snapToGrid/>
          <w:kern w:val="0"/>
          <w:szCs w:val="22"/>
        </w:rPr>
        <w:tab/>
        <w:t>-----------</w:t>
      </w:r>
      <w:r>
        <w:rPr>
          <w:b/>
          <w:snapToGrid/>
          <w:kern w:val="0"/>
          <w:szCs w:val="22"/>
          <w:u w:val="words"/>
        </w:rPr>
        <w:tab/>
      </w:r>
    </w:p>
    <w:p w:rsidR="00C9085D" w:rsidP="00305564" w14:paraId="14732E1F" w14:textId="77777777">
      <w:pPr>
        <w:tabs>
          <w:tab w:val="left" w:pos="-720"/>
          <w:tab w:val="left" w:pos="720"/>
        </w:tabs>
        <w:ind w:firstLine="360"/>
        <w:rPr>
          <w:b/>
          <w:snapToGrid/>
          <w:kern w:val="0"/>
          <w:szCs w:val="22"/>
          <w:u w:val="words"/>
        </w:rPr>
      </w:pPr>
    </w:p>
    <w:p w:rsidR="00932181" w:rsidP="00305564" w14:paraId="0DBE0022" w14:textId="6DA21794">
      <w:pPr>
        <w:tabs>
          <w:tab w:val="left" w:pos="-720"/>
          <w:tab w:val="left" w:pos="720"/>
        </w:tabs>
        <w:ind w:firstLine="360"/>
        <w:rPr>
          <w:snapToGrid/>
          <w:kern w:val="0"/>
          <w:szCs w:val="22"/>
        </w:rPr>
      </w:pPr>
      <w:r>
        <w:rPr>
          <w:b/>
          <w:snapToGrid/>
          <w:kern w:val="0"/>
          <w:szCs w:val="22"/>
          <w:u w:val="words"/>
        </w:rPr>
        <w:tab/>
      </w:r>
      <w:r w:rsidRPr="00932181">
        <w:rPr>
          <w:snapToGrid/>
          <w:kern w:val="0"/>
          <w:szCs w:val="22"/>
        </w:rPr>
        <w:t>MM-FM1093-C2</w:t>
      </w:r>
      <w:r>
        <w:rPr>
          <w:snapToGrid/>
          <w:kern w:val="0"/>
          <w:szCs w:val="22"/>
        </w:rPr>
        <w:tab/>
      </w:r>
      <w:r>
        <w:rPr>
          <w:snapToGrid/>
          <w:kern w:val="0"/>
          <w:szCs w:val="22"/>
        </w:rPr>
        <w:tab/>
      </w:r>
      <w:r w:rsidRPr="00932181">
        <w:rPr>
          <w:snapToGrid/>
          <w:kern w:val="0"/>
          <w:szCs w:val="22"/>
        </w:rPr>
        <w:t>Millerton</w:t>
      </w:r>
      <w:r>
        <w:rPr>
          <w:snapToGrid/>
          <w:kern w:val="0"/>
          <w:szCs w:val="22"/>
        </w:rPr>
        <w:t>, Oklahoma</w:t>
      </w:r>
      <w:r>
        <w:rPr>
          <w:snapToGrid/>
          <w:kern w:val="0"/>
          <w:szCs w:val="22"/>
        </w:rPr>
        <w:tab/>
      </w:r>
      <w:r>
        <w:rPr>
          <w:snapToGrid/>
          <w:kern w:val="0"/>
          <w:szCs w:val="22"/>
        </w:rPr>
        <w:tab/>
      </w:r>
      <w:r w:rsidRPr="00932181">
        <w:rPr>
          <w:snapToGrid/>
          <w:kern w:val="0"/>
          <w:szCs w:val="22"/>
        </w:rPr>
        <w:t>265C2</w:t>
      </w:r>
      <w:r>
        <w:rPr>
          <w:snapToGrid/>
          <w:kern w:val="0"/>
          <w:szCs w:val="22"/>
        </w:rPr>
        <w:tab/>
      </w:r>
      <w:r>
        <w:rPr>
          <w:snapToGrid/>
          <w:kern w:val="0"/>
          <w:szCs w:val="22"/>
        </w:rPr>
        <w:tab/>
        <w:t>------------</w:t>
      </w:r>
    </w:p>
    <w:p w:rsidR="00225707" w:rsidP="00305564" w14:paraId="19E01C3D" w14:textId="2992F306">
      <w:pPr>
        <w:tabs>
          <w:tab w:val="left" w:pos="-720"/>
          <w:tab w:val="left" w:pos="720"/>
        </w:tabs>
        <w:ind w:firstLine="360"/>
        <w:rPr>
          <w:snapToGrid/>
          <w:kern w:val="0"/>
          <w:szCs w:val="22"/>
        </w:rPr>
      </w:pPr>
    </w:p>
    <w:p w:rsidR="00932181" w:rsidP="00305564" w14:paraId="0E85ADD1" w14:textId="74290B26">
      <w:pPr>
        <w:tabs>
          <w:tab w:val="left" w:pos="-720"/>
          <w:tab w:val="left" w:pos="720"/>
        </w:tabs>
        <w:ind w:firstLine="360"/>
        <w:rPr>
          <w:snapToGrid/>
          <w:kern w:val="0"/>
          <w:szCs w:val="22"/>
        </w:rPr>
      </w:pPr>
      <w:r>
        <w:rPr>
          <w:snapToGrid/>
          <w:kern w:val="0"/>
          <w:szCs w:val="22"/>
        </w:rPr>
        <w:tab/>
      </w:r>
      <w:r w:rsidRPr="00932181">
        <w:rPr>
          <w:snapToGrid/>
          <w:kern w:val="0"/>
          <w:szCs w:val="22"/>
        </w:rPr>
        <w:t>MM-FM1099-C2</w:t>
      </w:r>
      <w:r>
        <w:rPr>
          <w:snapToGrid/>
          <w:kern w:val="0"/>
          <w:szCs w:val="22"/>
        </w:rPr>
        <w:tab/>
      </w:r>
      <w:r>
        <w:rPr>
          <w:snapToGrid/>
          <w:kern w:val="0"/>
          <w:szCs w:val="22"/>
        </w:rPr>
        <w:tab/>
        <w:t>Powers, Oregon</w:t>
      </w:r>
      <w:r>
        <w:rPr>
          <w:snapToGrid/>
          <w:kern w:val="0"/>
          <w:szCs w:val="22"/>
        </w:rPr>
        <w:tab/>
      </w:r>
      <w:r>
        <w:rPr>
          <w:snapToGrid/>
          <w:kern w:val="0"/>
          <w:szCs w:val="22"/>
        </w:rPr>
        <w:tab/>
      </w:r>
      <w:r>
        <w:rPr>
          <w:snapToGrid/>
          <w:kern w:val="0"/>
          <w:szCs w:val="22"/>
        </w:rPr>
        <w:tab/>
      </w:r>
      <w:r w:rsidRPr="00932181">
        <w:rPr>
          <w:snapToGrid/>
          <w:kern w:val="0"/>
          <w:szCs w:val="22"/>
        </w:rPr>
        <w:t>293C2</w:t>
      </w:r>
      <w:r>
        <w:rPr>
          <w:snapToGrid/>
          <w:kern w:val="0"/>
          <w:szCs w:val="22"/>
        </w:rPr>
        <w:tab/>
      </w:r>
      <w:r>
        <w:rPr>
          <w:snapToGrid/>
          <w:kern w:val="0"/>
          <w:szCs w:val="22"/>
        </w:rPr>
        <w:tab/>
        <w:t>------------</w:t>
      </w:r>
    </w:p>
    <w:p w:rsidR="00305564" w:rsidP="00305564" w14:paraId="0D8346BE" w14:textId="77777777">
      <w:pPr>
        <w:tabs>
          <w:tab w:val="left" w:pos="-720"/>
          <w:tab w:val="left" w:pos="720"/>
        </w:tabs>
        <w:ind w:firstLine="360"/>
        <w:rPr>
          <w:snapToGrid/>
          <w:kern w:val="0"/>
          <w:szCs w:val="22"/>
        </w:rPr>
      </w:pPr>
      <w:r>
        <w:rPr>
          <w:snapToGrid/>
          <w:kern w:val="0"/>
          <w:szCs w:val="22"/>
        </w:rPr>
        <w:tab/>
      </w:r>
    </w:p>
    <w:p w:rsidR="00932181" w:rsidP="00305564" w14:paraId="33D748C1" w14:textId="003D93FC">
      <w:pPr>
        <w:tabs>
          <w:tab w:val="left" w:pos="-720"/>
          <w:tab w:val="left" w:pos="720"/>
        </w:tabs>
        <w:ind w:firstLine="360"/>
        <w:rPr>
          <w:snapToGrid/>
          <w:kern w:val="0"/>
          <w:szCs w:val="22"/>
        </w:rPr>
      </w:pPr>
      <w:r>
        <w:rPr>
          <w:snapToGrid/>
          <w:kern w:val="0"/>
          <w:szCs w:val="22"/>
        </w:rPr>
        <w:tab/>
      </w:r>
      <w:r w:rsidRPr="00932181">
        <w:rPr>
          <w:snapToGrid/>
          <w:kern w:val="0"/>
          <w:szCs w:val="22"/>
        </w:rPr>
        <w:t>MM-FM1138-A</w:t>
      </w:r>
      <w:r>
        <w:rPr>
          <w:snapToGrid/>
          <w:kern w:val="0"/>
          <w:szCs w:val="22"/>
        </w:rPr>
        <w:tab/>
      </w:r>
      <w:r>
        <w:rPr>
          <w:snapToGrid/>
          <w:kern w:val="0"/>
          <w:szCs w:val="22"/>
        </w:rPr>
        <w:tab/>
      </w:r>
      <w:r w:rsidRPr="00932181">
        <w:rPr>
          <w:snapToGrid/>
          <w:kern w:val="0"/>
          <w:szCs w:val="22"/>
        </w:rPr>
        <w:t>Mount Enterprise</w:t>
      </w:r>
      <w:r>
        <w:rPr>
          <w:snapToGrid/>
          <w:kern w:val="0"/>
          <w:szCs w:val="22"/>
        </w:rPr>
        <w:t>, Texas</w:t>
      </w:r>
      <w:r>
        <w:rPr>
          <w:snapToGrid/>
          <w:kern w:val="0"/>
          <w:szCs w:val="22"/>
        </w:rPr>
        <w:tab/>
      </w:r>
      <w:r w:rsidRPr="00932181">
        <w:rPr>
          <w:snapToGrid/>
          <w:kern w:val="0"/>
          <w:szCs w:val="22"/>
        </w:rPr>
        <w:t>279A</w:t>
      </w:r>
      <w:r>
        <w:rPr>
          <w:snapToGrid/>
          <w:kern w:val="0"/>
          <w:szCs w:val="22"/>
        </w:rPr>
        <w:tab/>
      </w:r>
      <w:r>
        <w:rPr>
          <w:snapToGrid/>
          <w:kern w:val="0"/>
          <w:szCs w:val="22"/>
        </w:rPr>
        <w:tab/>
        <w:t>------------</w:t>
      </w:r>
    </w:p>
    <w:p w:rsidR="00305564" w:rsidP="00305564" w14:paraId="4CD55EE3" w14:textId="77777777">
      <w:pPr>
        <w:tabs>
          <w:tab w:val="left" w:pos="-720"/>
          <w:tab w:val="left" w:pos="720"/>
        </w:tabs>
        <w:ind w:firstLine="360"/>
        <w:rPr>
          <w:snapToGrid/>
          <w:kern w:val="0"/>
          <w:szCs w:val="22"/>
        </w:rPr>
      </w:pPr>
      <w:r>
        <w:rPr>
          <w:snapToGrid/>
          <w:kern w:val="0"/>
          <w:szCs w:val="22"/>
        </w:rPr>
        <w:tab/>
      </w:r>
    </w:p>
    <w:p w:rsidR="00932181" w:rsidP="00305564" w14:paraId="6F142A7D" w14:textId="30A60CD9">
      <w:pPr>
        <w:tabs>
          <w:tab w:val="left" w:pos="-720"/>
          <w:tab w:val="left" w:pos="720"/>
        </w:tabs>
        <w:ind w:firstLine="360"/>
        <w:rPr>
          <w:snapToGrid/>
          <w:kern w:val="0"/>
          <w:szCs w:val="22"/>
        </w:rPr>
      </w:pPr>
      <w:r>
        <w:rPr>
          <w:snapToGrid/>
          <w:kern w:val="0"/>
          <w:szCs w:val="22"/>
        </w:rPr>
        <w:tab/>
      </w:r>
      <w:r w:rsidRPr="00932181">
        <w:rPr>
          <w:snapToGrid/>
          <w:kern w:val="0"/>
          <w:szCs w:val="22"/>
        </w:rPr>
        <w:t>MM-FM1143-C3</w:t>
      </w:r>
      <w:r>
        <w:rPr>
          <w:snapToGrid/>
          <w:kern w:val="0"/>
          <w:szCs w:val="22"/>
        </w:rPr>
        <w:tab/>
      </w:r>
      <w:r>
        <w:rPr>
          <w:snapToGrid/>
          <w:kern w:val="0"/>
          <w:szCs w:val="22"/>
        </w:rPr>
        <w:tab/>
      </w:r>
      <w:r w:rsidRPr="00932181">
        <w:rPr>
          <w:snapToGrid/>
          <w:kern w:val="0"/>
          <w:szCs w:val="22"/>
        </w:rPr>
        <w:t>Paint Rock</w:t>
      </w:r>
      <w:r>
        <w:rPr>
          <w:snapToGrid/>
          <w:kern w:val="0"/>
          <w:szCs w:val="22"/>
        </w:rPr>
        <w:t>, Texas</w:t>
      </w:r>
      <w:r>
        <w:rPr>
          <w:snapToGrid/>
          <w:kern w:val="0"/>
          <w:szCs w:val="22"/>
        </w:rPr>
        <w:tab/>
      </w:r>
      <w:r>
        <w:rPr>
          <w:snapToGrid/>
          <w:kern w:val="0"/>
          <w:szCs w:val="22"/>
        </w:rPr>
        <w:tab/>
      </w:r>
      <w:r w:rsidRPr="00932181">
        <w:rPr>
          <w:snapToGrid/>
          <w:kern w:val="0"/>
          <w:szCs w:val="22"/>
        </w:rPr>
        <w:t>296C3</w:t>
      </w:r>
      <w:r>
        <w:rPr>
          <w:snapToGrid/>
          <w:kern w:val="0"/>
          <w:szCs w:val="22"/>
        </w:rPr>
        <w:tab/>
      </w:r>
      <w:r>
        <w:rPr>
          <w:snapToGrid/>
          <w:kern w:val="0"/>
          <w:szCs w:val="22"/>
        </w:rPr>
        <w:tab/>
        <w:t>------------</w:t>
      </w:r>
    </w:p>
    <w:p w:rsidR="00305564" w:rsidP="00305564" w14:paraId="70E8ABA6" w14:textId="77777777">
      <w:pPr>
        <w:tabs>
          <w:tab w:val="left" w:pos="-720"/>
          <w:tab w:val="left" w:pos="720"/>
        </w:tabs>
        <w:ind w:firstLine="360"/>
        <w:rPr>
          <w:snapToGrid/>
          <w:kern w:val="0"/>
          <w:szCs w:val="22"/>
        </w:rPr>
      </w:pPr>
      <w:r>
        <w:rPr>
          <w:snapToGrid/>
          <w:kern w:val="0"/>
          <w:szCs w:val="22"/>
        </w:rPr>
        <w:tab/>
      </w:r>
    </w:p>
    <w:p w:rsidR="00932181" w:rsidP="00305564" w14:paraId="26E3D86F" w14:textId="290DF851">
      <w:pPr>
        <w:tabs>
          <w:tab w:val="left" w:pos="-720"/>
          <w:tab w:val="left" w:pos="720"/>
        </w:tabs>
        <w:ind w:firstLine="360"/>
        <w:rPr>
          <w:snapToGrid/>
          <w:kern w:val="0"/>
          <w:szCs w:val="22"/>
        </w:rPr>
      </w:pPr>
      <w:r>
        <w:rPr>
          <w:snapToGrid/>
          <w:kern w:val="0"/>
          <w:szCs w:val="22"/>
        </w:rPr>
        <w:tab/>
      </w:r>
      <w:r w:rsidRPr="00932181">
        <w:rPr>
          <w:snapToGrid/>
          <w:kern w:val="0"/>
          <w:szCs w:val="22"/>
        </w:rPr>
        <w:t>MM-FM325-A</w:t>
      </w:r>
      <w:r>
        <w:rPr>
          <w:snapToGrid/>
          <w:kern w:val="0"/>
          <w:szCs w:val="22"/>
        </w:rPr>
        <w:tab/>
      </w:r>
      <w:r>
        <w:rPr>
          <w:snapToGrid/>
          <w:kern w:val="0"/>
          <w:szCs w:val="22"/>
        </w:rPr>
        <w:tab/>
      </w:r>
      <w:r>
        <w:rPr>
          <w:snapToGrid/>
          <w:kern w:val="0"/>
          <w:szCs w:val="22"/>
        </w:rPr>
        <w:tab/>
      </w:r>
      <w:r w:rsidRPr="00932181">
        <w:rPr>
          <w:snapToGrid/>
          <w:kern w:val="0"/>
          <w:szCs w:val="22"/>
        </w:rPr>
        <w:t>Hardwick</w:t>
      </w:r>
      <w:r>
        <w:rPr>
          <w:snapToGrid/>
          <w:kern w:val="0"/>
          <w:szCs w:val="22"/>
        </w:rPr>
        <w:t>, Vermont</w:t>
      </w:r>
      <w:r>
        <w:rPr>
          <w:snapToGrid/>
          <w:kern w:val="0"/>
          <w:szCs w:val="22"/>
        </w:rPr>
        <w:tab/>
      </w:r>
      <w:r>
        <w:rPr>
          <w:snapToGrid/>
          <w:kern w:val="0"/>
          <w:szCs w:val="22"/>
        </w:rPr>
        <w:tab/>
      </w:r>
      <w:r w:rsidRPr="00932181">
        <w:rPr>
          <w:snapToGrid/>
          <w:kern w:val="0"/>
          <w:szCs w:val="22"/>
        </w:rPr>
        <w:t>290A</w:t>
      </w:r>
      <w:r>
        <w:rPr>
          <w:snapToGrid/>
          <w:kern w:val="0"/>
          <w:szCs w:val="22"/>
        </w:rPr>
        <w:tab/>
      </w:r>
      <w:r>
        <w:rPr>
          <w:snapToGrid/>
          <w:kern w:val="0"/>
          <w:szCs w:val="22"/>
        </w:rPr>
        <w:tab/>
        <w:t>------------</w:t>
      </w:r>
    </w:p>
    <w:p w:rsidR="0006004C" w:rsidP="00305564" w14:paraId="5A7541FF" w14:textId="77777777">
      <w:pPr>
        <w:tabs>
          <w:tab w:val="left" w:pos="-720"/>
          <w:tab w:val="left" w:pos="720"/>
        </w:tabs>
        <w:ind w:firstLine="360"/>
        <w:rPr>
          <w:snapToGrid/>
          <w:kern w:val="0"/>
          <w:szCs w:val="22"/>
        </w:rPr>
      </w:pPr>
      <w:r>
        <w:rPr>
          <w:snapToGrid/>
          <w:kern w:val="0"/>
          <w:szCs w:val="22"/>
        </w:rPr>
        <w:tab/>
      </w:r>
    </w:p>
    <w:p w:rsidR="00271851" w:rsidRPr="00DD2460" w:rsidP="00DD2460" w14:paraId="738B119C" w14:textId="2F2AFC01">
      <w:pPr>
        <w:tabs>
          <w:tab w:val="left" w:pos="-720"/>
          <w:tab w:val="left" w:pos="720"/>
        </w:tabs>
        <w:ind w:firstLine="360"/>
        <w:rPr>
          <w:snapToGrid/>
          <w:spacing w:val="-3"/>
          <w:kern w:val="0"/>
          <w:szCs w:val="22"/>
        </w:rPr>
      </w:pPr>
      <w:r>
        <w:rPr>
          <w:snapToGrid/>
          <w:kern w:val="0"/>
          <w:szCs w:val="22"/>
        </w:rPr>
        <w:tab/>
      </w:r>
      <w:r w:rsidRPr="00932181" w:rsidR="00932181">
        <w:rPr>
          <w:snapToGrid/>
          <w:kern w:val="0"/>
          <w:szCs w:val="22"/>
        </w:rPr>
        <w:t>MM-FM1171-C</w:t>
      </w:r>
      <w:r w:rsidR="00932181">
        <w:rPr>
          <w:snapToGrid/>
          <w:kern w:val="0"/>
          <w:szCs w:val="22"/>
        </w:rPr>
        <w:tab/>
      </w:r>
      <w:r w:rsidR="00932181">
        <w:rPr>
          <w:snapToGrid/>
          <w:kern w:val="0"/>
          <w:szCs w:val="22"/>
        </w:rPr>
        <w:tab/>
      </w:r>
      <w:r w:rsidRPr="00932181" w:rsidR="00932181">
        <w:rPr>
          <w:snapToGrid/>
          <w:kern w:val="0"/>
          <w:szCs w:val="22"/>
        </w:rPr>
        <w:t>Meeteetse</w:t>
      </w:r>
      <w:r w:rsidR="00932181">
        <w:rPr>
          <w:snapToGrid/>
          <w:kern w:val="0"/>
          <w:szCs w:val="22"/>
        </w:rPr>
        <w:t>, Wyoming</w:t>
      </w:r>
      <w:r w:rsidR="00932181">
        <w:rPr>
          <w:snapToGrid/>
          <w:kern w:val="0"/>
          <w:szCs w:val="22"/>
        </w:rPr>
        <w:tab/>
      </w:r>
      <w:r w:rsidR="00932181">
        <w:rPr>
          <w:snapToGrid/>
          <w:kern w:val="0"/>
          <w:szCs w:val="22"/>
        </w:rPr>
        <w:tab/>
      </w:r>
      <w:r w:rsidRPr="00932181" w:rsidR="00932181">
        <w:rPr>
          <w:snapToGrid/>
          <w:kern w:val="0"/>
          <w:szCs w:val="22"/>
        </w:rPr>
        <w:t>259C</w:t>
      </w:r>
      <w:r w:rsidR="00932181">
        <w:rPr>
          <w:snapToGrid/>
          <w:kern w:val="0"/>
          <w:szCs w:val="22"/>
        </w:rPr>
        <w:tab/>
      </w:r>
      <w:r w:rsidR="00932181">
        <w:rPr>
          <w:snapToGrid/>
          <w:kern w:val="0"/>
          <w:szCs w:val="22"/>
        </w:rPr>
        <w:tab/>
        <w:t>------------</w:t>
      </w:r>
      <w:r w:rsidR="00932181">
        <w:rPr>
          <w:snapToGrid/>
          <w:kern w:val="0"/>
          <w:szCs w:val="22"/>
        </w:rPr>
        <w:tab/>
      </w:r>
      <w:r w:rsidR="00932181">
        <w:rPr>
          <w:snapToGrid/>
          <w:kern w:val="0"/>
          <w:szCs w:val="22"/>
        </w:rPr>
        <w:tab/>
      </w:r>
      <w:r w:rsidRPr="00690CF5" w:rsidR="00B01DEE">
        <w:rPr>
          <w:snapToGrid/>
          <w:spacing w:val="-3"/>
          <w:kern w:val="0"/>
          <w:szCs w:val="22"/>
        </w:rPr>
        <w:tab/>
      </w:r>
      <w:bookmarkStart w:id="1" w:name="_Hlk90628946"/>
    </w:p>
    <w:bookmarkEnd w:id="1"/>
    <w:p w:rsidR="00271851" w:rsidRPr="00271851" w:rsidP="00305564" w14:paraId="7504AE38" w14:textId="77777777">
      <w:pPr>
        <w:pStyle w:val="ParaNum"/>
        <w:numPr>
          <w:ilvl w:val="0"/>
          <w:numId w:val="0"/>
        </w:numPr>
        <w:spacing w:after="0"/>
        <w:ind w:left="720"/>
      </w:pPr>
    </w:p>
    <w:p w:rsidR="00127459" w:rsidP="00305564" w14:paraId="0A448F8A" w14:textId="26675437">
      <w:pPr>
        <w:pStyle w:val="ParaNum"/>
        <w:spacing w:after="0"/>
      </w:pPr>
      <w:bookmarkStart w:id="2"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bookmarkStart w:id="3" w:name="_Hlk62227634"/>
      <w:r w:rsidR="002F5FB1">
        <w:t>Interested p</w:t>
      </w:r>
      <w:r w:rsidR="00DD2460">
        <w:t>arties expressing</w:t>
      </w:r>
      <w:r w:rsidR="000F7979">
        <w:t xml:space="preserve"> interest</w:t>
      </w:r>
      <w:r>
        <w:t xml:space="preserve"> in the allotment</w:t>
      </w:r>
      <w:bookmarkEnd w:id="3"/>
      <w:r w:rsidRPr="009F2562">
        <w:t xml:space="preserve"> will be expected to answer whatever questions are presented in initial comments.  </w:t>
      </w:r>
      <w:r w:rsidR="00E25615">
        <w:t>Interested parties</w:t>
      </w:r>
      <w:r w:rsidRPr="009F2562">
        <w:t xml:space="preserve"> of a proposed allotment is </w:t>
      </w:r>
      <w:r>
        <w:t>required</w:t>
      </w:r>
      <w:r w:rsidRPr="009F2562">
        <w:t xml:space="preserve"> to file comments even if it only resubmits or incorporates by reference its former pleadings.  </w:t>
      </w:r>
      <w:r w:rsidR="00E25615">
        <w:t>Interested parties</w:t>
      </w:r>
      <w:r>
        <w:t xml:space="preserve"> must </w:t>
      </w:r>
      <w:r w:rsidRPr="009F2562">
        <w:t>restate its present intention to apply for the channel if it is allotted and, if authorized, to build a station promptly.  Failure to file may lead to denial of the request.</w:t>
      </w:r>
      <w:r>
        <w:t xml:space="preserve">  </w:t>
      </w:r>
      <w:bookmarkStart w:id="4" w:name="_Hlk62227732"/>
      <w:bookmarkStart w:id="5" w:name="_Hlk62227448"/>
      <w:r>
        <w:t>Any requests by a proponent for withdrawal or dismissal of an allotment request must be filed with the Commission in accordance with section 1.420(j) of the Rules.</w:t>
      </w:r>
      <w:bookmarkEnd w:id="4"/>
      <w:r>
        <w:rPr>
          <w:rStyle w:val="FootnoteReference"/>
        </w:rPr>
        <w:footnoteReference w:id="3"/>
      </w:r>
    </w:p>
    <w:p w:rsidR="00271851" w:rsidRPr="009F2562" w:rsidP="00271851" w14:paraId="4B674289" w14:textId="77777777">
      <w:pPr>
        <w:pStyle w:val="ParaNum"/>
        <w:numPr>
          <w:ilvl w:val="0"/>
          <w:numId w:val="0"/>
        </w:numPr>
        <w:spacing w:after="0"/>
      </w:pPr>
    </w:p>
    <w:bookmarkEnd w:id="5"/>
    <w:p w:rsidR="00127459" w:rsidP="00271851" w14:paraId="03435A28" w14:textId="5446973C">
      <w:pPr>
        <w:pStyle w:val="ParaNum"/>
        <w:spacing w:after="0"/>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271851" w:rsidRPr="009F2562" w:rsidP="00271851" w14:paraId="3324B8DB" w14:textId="77777777">
      <w:pPr>
        <w:pStyle w:val="ParaNum"/>
        <w:numPr>
          <w:ilvl w:val="0"/>
          <w:numId w:val="0"/>
        </w:numPr>
        <w:spacing w:after="0"/>
      </w:pPr>
    </w:p>
    <w:p w:rsidR="00127459" w:rsidP="00271851" w14:paraId="49E66CC6" w14:textId="23593969">
      <w:pPr>
        <w:numPr>
          <w:ilvl w:val="0"/>
          <w:numId w:val="8"/>
        </w:numPr>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4"/>
      </w:r>
      <w:r w:rsidRPr="009F2562">
        <w:t xml:space="preserve">  </w:t>
      </w:r>
    </w:p>
    <w:p w:rsidR="00271851" w:rsidRPr="009F2562" w:rsidP="00271851" w14:paraId="30FC25E5" w14:textId="77777777">
      <w:pPr>
        <w:ind w:left="1080"/>
      </w:pPr>
    </w:p>
    <w:p w:rsidR="00127459" w:rsidP="00271851" w14:paraId="27E7C345" w14:textId="704C06C9">
      <w:pPr>
        <w:numPr>
          <w:ilvl w:val="0"/>
          <w:numId w:val="8"/>
        </w:numPr>
      </w:pPr>
      <w:r w:rsidRPr="009F2562">
        <w:t>The filing of a counterproposal may lead the Commission to allot a different channel than was requested</w:t>
      </w:r>
      <w:r>
        <w:t xml:space="preserve"> in the Petition</w:t>
      </w:r>
      <w:r w:rsidRPr="009F2562">
        <w:t>.</w:t>
      </w:r>
      <w:r>
        <w:rPr>
          <w:rStyle w:val="FootnoteReference"/>
        </w:rPr>
        <w:footnoteReference w:id="5"/>
      </w:r>
    </w:p>
    <w:p w:rsidR="00271851" w:rsidRPr="005706D3" w:rsidP="00271851" w14:paraId="2FAD3865" w14:textId="77777777">
      <w:pPr>
        <w:ind w:left="1080"/>
      </w:pPr>
    </w:p>
    <w:p w:rsidR="00127459" w:rsidP="00271851" w14:paraId="013B08A9" w14:textId="36CB5FCB">
      <w:pPr>
        <w:pStyle w:val="ParaNum"/>
        <w:spacing w:after="0"/>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6"/>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7"/>
      </w:r>
      <w:r>
        <w:t xml:space="preserve">  All filings must be addressed to Marlene H. Dortch, Secretary, Federal Communications Commission, Office of the Secretary.  Any paper filing that is not addressed to the Office of the Secretary will be treated as filed on the day it is received in the Office of the Secretary.</w:t>
      </w:r>
      <w:r>
        <w:rPr>
          <w:rStyle w:val="FootnoteReference"/>
        </w:rPr>
        <w:footnoteReference w:id="8"/>
      </w:r>
      <w:r>
        <w:t xml:space="preserve">  Accordingly, failure to follow the specified requirements may result in the treatment of a filing as untimely.</w:t>
      </w:r>
    </w:p>
    <w:p w:rsidR="00271851" w:rsidP="00271851" w14:paraId="3326BDCC" w14:textId="77777777">
      <w:pPr>
        <w:pStyle w:val="ParaNum"/>
        <w:numPr>
          <w:ilvl w:val="0"/>
          <w:numId w:val="0"/>
        </w:numPr>
        <w:spacing w:after="0"/>
        <w:ind w:left="720"/>
      </w:pPr>
    </w:p>
    <w:p w:rsidR="00127459" w:rsidP="00271851" w14:paraId="50C7DFA9" w14:textId="043F6928">
      <w:pPr>
        <w:widowControl/>
        <w:numPr>
          <w:ilvl w:val="0"/>
          <w:numId w:val="10"/>
        </w:numPr>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271851" w:rsidRPr="00522221" w:rsidP="00271851" w14:paraId="0FB1E5D9" w14:textId="77777777">
      <w:pPr>
        <w:widowControl/>
        <w:ind w:left="1080"/>
        <w:rPr>
          <w:szCs w:val="22"/>
        </w:rPr>
      </w:pPr>
    </w:p>
    <w:p w:rsidR="00127459" w:rsidP="00271851" w14:paraId="1EDC2CF1" w14:textId="2B4D2DB5">
      <w:pPr>
        <w:numPr>
          <w:ilvl w:val="0"/>
          <w:numId w:val="10"/>
        </w:numPr>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71851" w:rsidRPr="00331D74" w:rsidP="00271851" w14:paraId="4ADF48ED" w14:textId="77777777">
      <w:pPr>
        <w:ind w:left="1080"/>
        <w:rPr>
          <w:szCs w:val="22"/>
        </w:rPr>
      </w:pPr>
    </w:p>
    <w:p w:rsidR="00127459" w:rsidP="00271851" w14:paraId="7FB4D09F" w14:textId="7D06BEAE">
      <w:pPr>
        <w:numPr>
          <w:ilvl w:val="0"/>
          <w:numId w:val="11"/>
        </w:numPr>
        <w:rPr>
          <w:szCs w:val="22"/>
        </w:rPr>
      </w:pPr>
      <w:r w:rsidRPr="00522221">
        <w:rPr>
          <w:szCs w:val="22"/>
        </w:rPr>
        <w:t xml:space="preserve">All hand-delivered or messenger-delivered paper filings for the Commission’s Secretary must be delivered to FCC Headquarters at </w:t>
      </w:r>
      <w:r>
        <w:rPr>
          <w:szCs w:val="22"/>
        </w:rPr>
        <w:t>45 L Street, NE, W</w:t>
      </w:r>
      <w:r w:rsidRPr="00522221">
        <w:rPr>
          <w:szCs w:val="22"/>
        </w:rPr>
        <w:t xml:space="preserve">ashington, DC 20554.  The filing hours are 8:00 a.m. to 7:00 p.m.  All hand deliveries must be held together with rubber bands or fasteners.  Any envelopes and boxes must be disposed of </w:t>
      </w:r>
      <w:r w:rsidRPr="00522221">
        <w:rPr>
          <w:szCs w:val="22"/>
          <w:u w:val="single"/>
        </w:rPr>
        <w:t>before</w:t>
      </w:r>
      <w:r w:rsidRPr="00522221">
        <w:rPr>
          <w:szCs w:val="22"/>
        </w:rPr>
        <w:t xml:space="preserve"> entering the building.  </w:t>
      </w:r>
    </w:p>
    <w:p w:rsidR="00271851" w:rsidRPr="00522221" w:rsidP="00271851" w14:paraId="06CE16CB" w14:textId="77777777">
      <w:pPr>
        <w:ind w:left="1440"/>
        <w:rPr>
          <w:szCs w:val="22"/>
        </w:rPr>
      </w:pPr>
    </w:p>
    <w:p w:rsidR="00127459" w:rsidP="00271851" w14:paraId="56B45102" w14:textId="3354AE43">
      <w:pPr>
        <w:numPr>
          <w:ilvl w:val="0"/>
          <w:numId w:val="11"/>
        </w:numPr>
        <w:rPr>
          <w:szCs w:val="22"/>
        </w:rPr>
      </w:pPr>
      <w:r w:rsidRPr="00522221">
        <w:rPr>
          <w:szCs w:val="22"/>
        </w:rPr>
        <w:t>Commercial overnight mail (other than U.S. Postal Service Express Mail and Priority Mail) must be sent to 9050 Junction Drive, Annapolis Junction, MD 20701.</w:t>
      </w:r>
    </w:p>
    <w:p w:rsidR="00271851" w:rsidRPr="00522221" w:rsidP="00271851" w14:paraId="52AE1FCC" w14:textId="77777777">
      <w:pPr>
        <w:ind w:left="1440"/>
        <w:rPr>
          <w:szCs w:val="22"/>
        </w:rPr>
      </w:pPr>
    </w:p>
    <w:p w:rsidR="00127459" w:rsidP="00271851" w14:paraId="5E948D45" w14:textId="12D62406">
      <w:pPr>
        <w:numPr>
          <w:ilvl w:val="0"/>
          <w:numId w:val="11"/>
        </w:numPr>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271851" w:rsidP="00271851" w14:paraId="3C30B320" w14:textId="77777777">
      <w:pPr>
        <w:ind w:left="1440"/>
        <w:rPr>
          <w:szCs w:val="22"/>
        </w:rPr>
      </w:pPr>
    </w:p>
    <w:p w:rsidR="00127459" w:rsidP="00271851" w14:paraId="03FC7E37" w14:textId="004AD22E">
      <w:pPr>
        <w:numPr>
          <w:ilvl w:val="0"/>
          <w:numId w:val="11"/>
        </w:numPr>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9"/>
      </w:r>
    </w:p>
    <w:p w:rsidR="00271851" w:rsidP="00271851" w14:paraId="516DD8F8" w14:textId="77777777">
      <w:pPr>
        <w:ind w:left="1440"/>
      </w:pPr>
    </w:p>
    <w:bookmarkEnd w:id="2"/>
    <w:p w:rsidR="00271851" w:rsidRPr="00271851" w:rsidP="00271851" w14:paraId="1CFBBB3D" w14:textId="77777777">
      <w:pPr>
        <w:pStyle w:val="ParaNum"/>
        <w:spacing w:after="0"/>
        <w:rPr>
          <w:snapToGrid/>
          <w:szCs w:val="22"/>
          <w:lang w:val="es-ES"/>
        </w:rPr>
      </w:pPr>
      <w:r w:rsidRPr="00CE5579">
        <w:rPr>
          <w:i/>
          <w:iCs/>
        </w:rPr>
        <w:t>Service</w:t>
      </w:r>
      <w:r>
        <w:rPr>
          <w:i/>
          <w:iCs/>
        </w:rPr>
        <w:t>.</w:t>
      </w:r>
      <w:r>
        <w:t xml:space="preserve">  Pursuant section </w:t>
      </w:r>
      <w:r w:rsidR="002C596A">
        <w:t>1.4</w:t>
      </w:r>
      <w:r>
        <w:t>20 of the Rules,</w:t>
      </w:r>
      <w:r>
        <w:rPr>
          <w:rStyle w:val="FootnoteReference"/>
        </w:rPr>
        <w:footnoteReference w:id="10"/>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11"/>
      </w:r>
      <w:r>
        <w:t xml:space="preserve"> </w:t>
      </w:r>
    </w:p>
    <w:p w:rsidR="00127459" w:rsidRPr="00690CF5" w:rsidP="00271851" w14:paraId="65471A1A" w14:textId="0B0D6C2D">
      <w:pPr>
        <w:pStyle w:val="ParaNum"/>
        <w:numPr>
          <w:ilvl w:val="0"/>
          <w:numId w:val="0"/>
        </w:numPr>
        <w:spacing w:after="0"/>
        <w:ind w:left="720"/>
        <w:rPr>
          <w:snapToGrid/>
          <w:szCs w:val="22"/>
          <w:lang w:val="es-ES"/>
        </w:rPr>
      </w:pPr>
      <w:r>
        <w:t xml:space="preserve"> </w:t>
      </w:r>
    </w:p>
    <w:p w:rsidR="00127459" w:rsidP="00271851" w14:paraId="73C1346E" w14:textId="5A8328A6">
      <w:pPr>
        <w:pStyle w:val="ParaNum"/>
        <w:spacing w:after="0"/>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12"/>
      </w:r>
      <w:r w:rsidRPr="00522221">
        <w:rPr>
          <w:szCs w:val="22"/>
        </w:rPr>
        <w:t xml:space="preserve">  </w:t>
      </w:r>
      <w:r>
        <w:t xml:space="preserve">For purposes of this restricted notice and comment rulemaking proceeding, members of the public are advised that no </w:t>
      </w:r>
      <w:r w:rsidRPr="007147FC">
        <w:rPr>
          <w:i/>
          <w:iCs/>
        </w:rPr>
        <w:t xml:space="preserve">ex </w:t>
      </w:r>
      <w:r w:rsidRPr="007147FC">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13"/>
      </w:r>
      <w:r>
        <w:t xml:space="preserve">  An </w:t>
      </w:r>
      <w:r w:rsidRPr="007147FC">
        <w:rPr>
          <w:i/>
          <w:iCs/>
        </w:rPr>
        <w:t xml:space="preserve">ex </w:t>
      </w:r>
      <w:r w:rsidRPr="007147FC">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1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15"/>
      </w:r>
      <w:r>
        <w:t xml:space="preserve">  Any comment that has not been served on the petitioner constitutes an </w:t>
      </w:r>
      <w:r w:rsidRPr="00986CEC">
        <w:rPr>
          <w:i/>
          <w:iCs/>
        </w:rPr>
        <w:t xml:space="preserve">ex </w:t>
      </w:r>
      <w:r w:rsidRPr="00986CEC">
        <w:rPr>
          <w:i/>
          <w:iCs/>
        </w:rPr>
        <w:t>parte</w:t>
      </w:r>
      <w:r>
        <w:t xml:space="preserve"> presentation and shall not be considered in the proceeding.  Any reply comment which has not been served on the person(s) who filed the comment, to which the reply is directed, constitutes an </w:t>
      </w:r>
      <w:r w:rsidRPr="00986CEC">
        <w:rPr>
          <w:i/>
          <w:iCs/>
        </w:rPr>
        <w:t xml:space="preserve">ex </w:t>
      </w:r>
      <w:r w:rsidRPr="00986CEC">
        <w:rPr>
          <w:i/>
          <w:iCs/>
        </w:rPr>
        <w:t>parte</w:t>
      </w:r>
      <w:r>
        <w:t xml:space="preserve"> </w:t>
      </w:r>
      <w:r>
        <w:t xml:space="preserve">presentation and shall not be considered in the proceeding. </w:t>
      </w:r>
    </w:p>
    <w:p w:rsidR="00271851" w:rsidP="00271851" w14:paraId="74BB57F2" w14:textId="77777777">
      <w:pPr>
        <w:pStyle w:val="ParaNum"/>
        <w:numPr>
          <w:ilvl w:val="0"/>
          <w:numId w:val="0"/>
        </w:numPr>
        <w:spacing w:after="0"/>
        <w:ind w:left="720"/>
      </w:pPr>
    </w:p>
    <w:p w:rsidR="00127459" w:rsidP="00271851" w14:paraId="560549C2" w14:textId="5229D17B">
      <w:pPr>
        <w:pStyle w:val="ParaNum"/>
        <w:spacing w:after="0"/>
      </w:pPr>
      <w:r w:rsidRPr="006F1759">
        <w:rPr>
          <w:i/>
          <w:iCs/>
        </w:rPr>
        <w:t xml:space="preserve">Availability of Documents.  </w:t>
      </w:r>
      <w:r w:rsidRPr="006F1759">
        <w:t xml:space="preserve">Comments, reply comments, and </w:t>
      </w:r>
      <w:r w:rsidRPr="00986CEC">
        <w:rPr>
          <w:i/>
          <w:iCs/>
        </w:rPr>
        <w:t xml:space="preserve">ex </w:t>
      </w:r>
      <w:r w:rsidRPr="00986CEC">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271851" w:rsidP="00271851" w14:paraId="29562B2F" w14:textId="77777777">
      <w:pPr>
        <w:pStyle w:val="ParaNum"/>
        <w:numPr>
          <w:ilvl w:val="0"/>
          <w:numId w:val="0"/>
        </w:numPr>
        <w:spacing w:after="0"/>
      </w:pPr>
    </w:p>
    <w:p w:rsidR="00127459" w:rsidP="00271851" w14:paraId="23EB839A" w14:textId="5F087162">
      <w:pPr>
        <w:pStyle w:val="ParaNum"/>
        <w:spacing w:after="0"/>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16"/>
      </w:r>
      <w:r>
        <w:t xml:space="preserve"> do not apply to a rulemaking proceeding to amend the FM Table of Allotments, section </w:t>
      </w:r>
      <w:r w:rsidRPr="005E3497">
        <w:t>73.202(b)</w:t>
      </w:r>
      <w:r>
        <w:t xml:space="preserve"> of the Rules.</w:t>
      </w:r>
      <w:r>
        <w:rPr>
          <w:rStyle w:val="FootnoteReference"/>
        </w:rPr>
        <w:footnoteReference w:id="17"/>
      </w:r>
      <w:r>
        <w:t xml:space="preserve">  This document does not contain proposed information collection requirements subject to the Paperwork Reduction Act of 1995.</w:t>
      </w:r>
      <w:r>
        <w:rPr>
          <w:rStyle w:val="FootnoteReference"/>
        </w:rPr>
        <w:footnoteReference w:id="1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19"/>
      </w:r>
    </w:p>
    <w:p w:rsidR="00271851" w:rsidRPr="006F1759" w:rsidP="00271851" w14:paraId="61F29C35" w14:textId="77777777">
      <w:pPr>
        <w:pStyle w:val="ParaNum"/>
        <w:numPr>
          <w:ilvl w:val="0"/>
          <w:numId w:val="0"/>
        </w:numPr>
        <w:spacing w:after="0"/>
        <w:ind w:left="720"/>
      </w:pPr>
    </w:p>
    <w:p w:rsidR="00127459" w:rsidP="00271851" w14:paraId="1D24628B" w14:textId="62E78A39">
      <w:pPr>
        <w:pStyle w:val="ParaNum"/>
        <w:spacing w:after="0"/>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 (voice), 202-418-0432 (</w:t>
      </w:r>
      <w:r w:rsidRPr="005706D3">
        <w:rPr>
          <w:szCs w:val="22"/>
        </w:rPr>
        <w:t>tty</w:t>
      </w:r>
      <w:r w:rsidRPr="005706D3">
        <w:rPr>
          <w:szCs w:val="22"/>
        </w:rPr>
        <w:t>).</w:t>
      </w:r>
    </w:p>
    <w:p w:rsidR="00271851" w:rsidRPr="005706D3" w:rsidP="00271851" w14:paraId="67AE9C93" w14:textId="77777777">
      <w:pPr>
        <w:pStyle w:val="ParaNum"/>
        <w:numPr>
          <w:ilvl w:val="0"/>
          <w:numId w:val="0"/>
        </w:numPr>
        <w:spacing w:after="0"/>
        <w:rPr>
          <w:szCs w:val="22"/>
        </w:rPr>
      </w:pPr>
    </w:p>
    <w:p w:rsidR="00F52858" w:rsidP="00F52858" w14:paraId="5D2B64EF" w14:textId="1F632A0B">
      <w:pPr>
        <w:pStyle w:val="ParaNum"/>
        <w:spacing w:after="0"/>
      </w:pPr>
      <w:r w:rsidRPr="00DD2460">
        <w:rPr>
          <w:i/>
          <w:iCs/>
        </w:rPr>
        <w:t>Additional Information</w:t>
      </w:r>
      <w:r w:rsidRPr="005706D3">
        <w:t>.  For further information concerning this proceeding</w:t>
      </w:r>
      <w:r>
        <w:t xml:space="preserve">, contact </w:t>
      </w:r>
      <w:r w:rsidR="00260058">
        <w:t>Rolanda F. Smith</w:t>
      </w:r>
      <w:r>
        <w:t>, Audio Division, Media Bureau, at (202) 418-</w:t>
      </w:r>
      <w:r w:rsidR="00260058">
        <w:t>2054</w:t>
      </w:r>
      <w:r>
        <w:t xml:space="preserve">, </w:t>
      </w:r>
      <w:r w:rsidR="00260058">
        <w:t>Rolanda-Faye.Smith</w:t>
      </w:r>
      <w:r>
        <w:t xml:space="preserve">@fcc.gov. </w:t>
      </w:r>
    </w:p>
    <w:p w:rsidR="00F52858" w:rsidP="00F52858" w14:paraId="641D8E5E" w14:textId="77777777">
      <w:pPr>
        <w:pStyle w:val="ListParagraph"/>
        <w:rPr>
          <w:b/>
          <w:bCs/>
        </w:rPr>
      </w:pPr>
    </w:p>
    <w:p w:rsidR="00383330" w:rsidP="00383330" w14:paraId="3A613FD8" w14:textId="670E1B30">
      <w:pPr>
        <w:pStyle w:val="ParaNum"/>
        <w:spacing w:after="0"/>
        <w:rPr>
          <w:i/>
          <w:iCs/>
        </w:rPr>
      </w:pPr>
      <w:r w:rsidRPr="00F52858">
        <w:rPr>
          <w:b/>
          <w:bCs/>
        </w:rPr>
        <w:t>IT IS FURTHER ORDERED</w:t>
      </w:r>
      <w:r>
        <w:t xml:space="preserve"> that, purs</w:t>
      </w:r>
      <w:r w:rsidRPr="00F52858">
        <w:rPr>
          <w:spacing w:val="-3"/>
          <w:szCs w:val="22"/>
        </w:rPr>
        <w:t xml:space="preserve">uant to </w:t>
      </w:r>
      <w:r w:rsidRPr="009F2562">
        <w:t>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sidRPr="00F52858">
        <w:rPr>
          <w:b/>
          <w:bCs/>
        </w:rPr>
        <w:t>IT IS PROPOSED TO AMEND</w:t>
      </w:r>
      <w:r w:rsidRPr="009F2562">
        <w:t xml:space="preserve"> the </w:t>
      </w:r>
      <w:r>
        <w:t>FM</w:t>
      </w:r>
      <w:r w:rsidRPr="009F2562">
        <w:t xml:space="preserve"> Table of Allotments, section 73.622(</w:t>
      </w:r>
      <w:r w:rsidRPr="009F2562">
        <w:t>i</w:t>
      </w:r>
      <w:r w:rsidRPr="009F2562">
        <w:t>)</w:t>
      </w:r>
      <w:r>
        <w:t xml:space="preserve"> of the Rules</w:t>
      </w:r>
      <w:r w:rsidRPr="009F2562">
        <w:t>,</w:t>
      </w:r>
      <w:r>
        <w:t xml:space="preserve"> 47 CFR § 73.202(b),</w:t>
      </w:r>
      <w:r w:rsidRPr="009F2562">
        <w:t xml:space="preserve"> as set forth in </w:t>
      </w:r>
      <w:r>
        <w:t>this</w:t>
      </w:r>
      <w:r w:rsidRPr="009F2562">
        <w:t xml:space="preserve"> Notice of Proposed Rulemaking</w:t>
      </w:r>
      <w:r>
        <w:t xml:space="preserve">, and </w:t>
      </w:r>
      <w:r w:rsidRPr="00F52858">
        <w:rPr>
          <w:szCs w:val="22"/>
        </w:rPr>
        <w:t xml:space="preserve">this Notice of Proposed Rulemaking </w:t>
      </w:r>
      <w:r w:rsidRPr="00F52858">
        <w:rPr>
          <w:b/>
          <w:szCs w:val="22"/>
        </w:rPr>
        <w:t>IS ADOPTED</w:t>
      </w:r>
      <w:r w:rsidRPr="00F52858">
        <w:rPr>
          <w:bCs/>
          <w:szCs w:val="22"/>
        </w:rPr>
        <w:t>.</w:t>
      </w:r>
      <w:r w:rsidRPr="00F52858">
        <w:rPr>
          <w:b/>
          <w:szCs w:val="22"/>
        </w:rPr>
        <w:t xml:space="preserve">  </w:t>
      </w:r>
    </w:p>
    <w:p w:rsidR="00F52858" w:rsidRPr="00DD2460" w:rsidP="00DD2460" w14:paraId="5A587219" w14:textId="77777777">
      <w:pPr>
        <w:rPr>
          <w:i/>
          <w:iCs/>
        </w:rPr>
      </w:pPr>
    </w:p>
    <w:p w:rsidR="00F52858" w:rsidRPr="00F52858" w:rsidP="00F52858" w14:paraId="3678FB96" w14:textId="2A32D529">
      <w:pPr>
        <w:pStyle w:val="ParaNum"/>
        <w:spacing w:after="0"/>
        <w:rPr>
          <w:i/>
          <w:iCs/>
        </w:rPr>
      </w:pPr>
      <w:r w:rsidRPr="00F4674F">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Pr>
          <w:szCs w:val="22"/>
        </w:rPr>
        <w:t>R</w:t>
      </w:r>
      <w:r w:rsidRPr="00522221">
        <w:rPr>
          <w:szCs w:val="22"/>
        </w:rPr>
        <w:t>ules, 47 CFR §§ 1.415, 1.419,</w:t>
      </w:r>
      <w:r>
        <w:rPr>
          <w:szCs w:val="22"/>
        </w:rPr>
        <w:t xml:space="preserve"> and 1.420,</w:t>
      </w:r>
      <w:r w:rsidRPr="00522221">
        <w:rPr>
          <w:szCs w:val="22"/>
        </w:rPr>
        <w:t xml:space="preserve"> interested parties may file comments </w:t>
      </w:r>
      <w:r>
        <w:rPr>
          <w:szCs w:val="22"/>
        </w:rPr>
        <w:t xml:space="preserve">and reply comments </w:t>
      </w:r>
      <w:r w:rsidRPr="00522221">
        <w:rPr>
          <w:szCs w:val="22"/>
        </w:rPr>
        <w:t xml:space="preserve">on the </w:t>
      </w:r>
      <w:r w:rsidRPr="000A72DA">
        <w:rPr>
          <w:i/>
          <w:iCs/>
          <w:szCs w:val="22"/>
        </w:rPr>
        <w:t>NPRM</w:t>
      </w:r>
      <w:r w:rsidRPr="00522221">
        <w:rPr>
          <w:szCs w:val="22"/>
        </w:rPr>
        <w:t xml:space="preserve"> in </w:t>
      </w:r>
      <w:r>
        <w:rPr>
          <w:szCs w:val="22"/>
        </w:rPr>
        <w:t>MB Docket</w:t>
      </w:r>
      <w:r w:rsidRPr="00522221">
        <w:rPr>
          <w:szCs w:val="22"/>
        </w:rPr>
        <w:t xml:space="preserve"> No.</w:t>
      </w:r>
      <w:r w:rsidR="00383330">
        <w:rPr>
          <w:szCs w:val="22"/>
        </w:rPr>
        <w:t xml:space="preserve"> </w:t>
      </w:r>
      <w:r w:rsidR="00E25615">
        <w:rPr>
          <w:szCs w:val="22"/>
        </w:rPr>
        <w:t>21-502</w:t>
      </w:r>
      <w:r>
        <w:rPr>
          <w:szCs w:val="22"/>
        </w:rPr>
        <w:t xml:space="preserve"> </w:t>
      </w:r>
      <w:r w:rsidRPr="00522221">
        <w:rPr>
          <w:szCs w:val="22"/>
        </w:rPr>
        <w:t xml:space="preserve">on or before </w:t>
      </w:r>
      <w:r w:rsidR="00E25615">
        <w:rPr>
          <w:szCs w:val="22"/>
        </w:rPr>
        <w:t>February 14, 2022</w:t>
      </w:r>
      <w:r>
        <w:rPr>
          <w:szCs w:val="22"/>
        </w:rPr>
        <w:t xml:space="preserve"> </w:t>
      </w:r>
      <w:r w:rsidRPr="00522221">
        <w:rPr>
          <w:szCs w:val="22"/>
        </w:rPr>
        <w:t xml:space="preserve">and reply comments on or before </w:t>
      </w:r>
      <w:r w:rsidR="00E25615">
        <w:rPr>
          <w:szCs w:val="22"/>
        </w:rPr>
        <w:t>March 1, 2022</w:t>
      </w:r>
      <w:r>
        <w:rPr>
          <w:szCs w:val="22"/>
        </w:rPr>
        <w:t>.</w:t>
      </w:r>
    </w:p>
    <w:p w:rsidR="00F52858" w:rsidRPr="005706D3" w:rsidP="00F52858" w14:paraId="7E714F3D" w14:textId="77777777">
      <w:pPr>
        <w:pStyle w:val="ParaNum"/>
        <w:numPr>
          <w:ilvl w:val="0"/>
          <w:numId w:val="0"/>
        </w:numPr>
        <w:spacing w:after="0"/>
        <w:ind w:firstLine="720"/>
        <w:rPr>
          <w:i/>
          <w:iCs/>
        </w:rPr>
      </w:pPr>
    </w:p>
    <w:p w:rsidR="00127459" w:rsidP="00271851" w14:paraId="6BB27FA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6"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127459" w:rsidP="00271851" w14:paraId="39D7C25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271851" w14:paraId="2546947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271851" w14:paraId="1FBB4AF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6"/>
    <w:p w:rsidR="00127459" w:rsidP="00271851" w14:paraId="6F36B69F" w14:textId="77777777">
      <w:pPr>
        <w:ind w:left="3600" w:firstLine="720"/>
      </w:pPr>
      <w:r>
        <w:t>Nazifa Sawez</w:t>
      </w:r>
    </w:p>
    <w:p w:rsidR="00127459" w:rsidP="00271851" w14:paraId="2108DF02" w14:textId="77777777">
      <w:pPr>
        <w:ind w:left="3600" w:firstLine="720"/>
      </w:pPr>
      <w:r>
        <w:t xml:space="preserve">Assistant Chief, Audio Division </w:t>
      </w:r>
    </w:p>
    <w:p w:rsidR="00127459" w:rsidRPr="009F2562" w:rsidP="00271851" w14:paraId="6C602345" w14:textId="77777777">
      <w:pPr>
        <w:ind w:left="3600" w:firstLine="720"/>
      </w:pPr>
      <w:r>
        <w:t>Media Bureau</w:t>
      </w:r>
    </w:p>
    <w:sectPr w:rsidSect="006F1759">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F3B" w14:paraId="63AB029B" w14:textId="77777777">
      <w:r>
        <w:separator/>
      </w:r>
    </w:p>
  </w:footnote>
  <w:footnote w:type="continuationSeparator" w:id="1">
    <w:p w:rsidR="007E1F3B" w:rsidP="00C721AC" w14:paraId="55A18E69" w14:textId="77777777">
      <w:pPr>
        <w:spacing w:before="120"/>
        <w:rPr>
          <w:sz w:val="20"/>
        </w:rPr>
      </w:pPr>
      <w:r>
        <w:rPr>
          <w:sz w:val="20"/>
        </w:rPr>
        <w:t xml:space="preserve">(Continued from previous page)  </w:t>
      </w:r>
      <w:r>
        <w:rPr>
          <w:sz w:val="20"/>
        </w:rPr>
        <w:separator/>
      </w:r>
    </w:p>
  </w:footnote>
  <w:footnote w:type="continuationNotice" w:id="2">
    <w:p w:rsidR="007E1F3B" w:rsidP="00C721AC" w14:paraId="27A045DE" w14:textId="77777777">
      <w:pPr>
        <w:jc w:val="right"/>
        <w:rPr>
          <w:sz w:val="20"/>
        </w:rPr>
      </w:pPr>
      <w:r>
        <w:rPr>
          <w:sz w:val="20"/>
        </w:rPr>
        <w:t>(continued….)</w:t>
      </w:r>
    </w:p>
  </w:footnote>
  <w:footnote w:id="3">
    <w:p w:rsidR="00127459" w:rsidP="00127459" w14:paraId="15197E0F" w14:textId="77777777">
      <w:pPr>
        <w:pStyle w:val="FootnoteText"/>
        <w:widowControl w:val="0"/>
      </w:pPr>
      <w:r>
        <w:rPr>
          <w:rStyle w:val="FootnoteReference"/>
        </w:rPr>
        <w:footnoteRef/>
      </w:r>
      <w:r>
        <w:t xml:space="preserve"> </w:t>
      </w:r>
      <w:r w:rsidRPr="00B03E61">
        <w:t>47 CFR §</w:t>
      </w:r>
      <w:r>
        <w:t xml:space="preserve"> </w:t>
      </w:r>
      <w:r w:rsidRPr="00B03E61">
        <w:t>1.420(d).</w:t>
      </w:r>
    </w:p>
  </w:footnote>
  <w:footnote w:id="4">
    <w:p w:rsidR="00127459" w:rsidP="00127459" w14:paraId="0E05C225" w14:textId="77777777">
      <w:pPr>
        <w:pStyle w:val="FootnoteText"/>
        <w:widowControl w:val="0"/>
      </w:pPr>
      <w:r>
        <w:rPr>
          <w:rStyle w:val="FootnoteReference"/>
        </w:rPr>
        <w:footnoteRef/>
      </w:r>
      <w:r>
        <w:t xml:space="preserve"> </w:t>
      </w:r>
      <w:r w:rsidRPr="003B6FA0">
        <w:t xml:space="preserve">47 CFR </w:t>
      </w:r>
      <w:r>
        <w:t xml:space="preserve">§ </w:t>
      </w:r>
      <w:r w:rsidRPr="003B6FA0">
        <w:t>1.420(</w:t>
      </w:r>
      <w:r>
        <w:t>j</w:t>
      </w:r>
      <w:r w:rsidRPr="003B6FA0">
        <w:t>)</w:t>
      </w:r>
      <w:r>
        <w:t>.</w:t>
      </w:r>
    </w:p>
  </w:footnote>
  <w:footnote w:id="5">
    <w:p w:rsidR="00127459" w:rsidP="00127459" w14:paraId="0DF5BDDE" w14:textId="77777777">
      <w:pPr>
        <w:pStyle w:val="FootnoteText"/>
        <w:widowControl w:val="0"/>
      </w:pPr>
      <w:r>
        <w:rPr>
          <w:rStyle w:val="FootnoteReference"/>
        </w:rPr>
        <w:footnoteRef/>
      </w:r>
      <w:r>
        <w:t xml:space="preserve"> </w:t>
      </w:r>
      <w:r w:rsidRPr="005F375B">
        <w:t>47 CFR § 1.420(</w:t>
      </w:r>
      <w:r>
        <w:t>g)(2)</w:t>
      </w:r>
      <w:r w:rsidRPr="005F375B">
        <w:t>.</w:t>
      </w:r>
    </w:p>
  </w:footnote>
  <w:footnote w:id="6">
    <w:p w:rsidR="00127459" w:rsidP="00127459" w14:paraId="27819882" w14:textId="77777777">
      <w:pPr>
        <w:pStyle w:val="FootnoteText"/>
        <w:widowControl w:val="0"/>
      </w:pPr>
      <w:r>
        <w:rPr>
          <w:rStyle w:val="FootnoteReference"/>
        </w:rPr>
        <w:footnoteRef/>
      </w:r>
      <w:r>
        <w:t xml:space="preserve"> </w:t>
      </w:r>
      <w:r w:rsidRPr="003B6FA0">
        <w:t>47 CFR §§ 1.415, 1.419,</w:t>
      </w:r>
      <w:r>
        <w:t xml:space="preserve"> and 1.420.</w:t>
      </w:r>
    </w:p>
  </w:footnote>
  <w:footnote w:id="7">
    <w:p w:rsidR="00127459" w:rsidRPr="006F1759" w:rsidP="00127459" w14:paraId="31C4892C"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8">
    <w:p w:rsidR="00127459" w:rsidP="00127459" w14:paraId="5BCF1D92" w14:textId="77777777">
      <w:pPr>
        <w:pStyle w:val="FootnoteText"/>
        <w:widowControl w:val="0"/>
      </w:pPr>
      <w:r>
        <w:rPr>
          <w:rStyle w:val="FootnoteReference"/>
        </w:rPr>
        <w:footnoteRef/>
      </w:r>
      <w:r>
        <w:t xml:space="preserve"> </w:t>
      </w:r>
      <w:r>
        <w:rPr>
          <w:i/>
          <w:spacing w:val="-3"/>
          <w:szCs w:val="22"/>
        </w:rPr>
        <w:t>See</w:t>
      </w:r>
      <w:r>
        <w:rPr>
          <w:spacing w:val="-3"/>
          <w:szCs w:val="22"/>
        </w:rPr>
        <w:t xml:space="preserve"> 47 CFR § 1.7.</w:t>
      </w:r>
    </w:p>
  </w:footnote>
  <w:footnote w:id="9">
    <w:p w:rsidR="00127459" w:rsidP="00127459" w14:paraId="33AE59E8"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0">
    <w:p w:rsidR="00127459" w:rsidP="00127459" w14:paraId="42BBFA63" w14:textId="76D9C45E">
      <w:pPr>
        <w:pStyle w:val="FootnoteText"/>
        <w:widowControl w:val="0"/>
      </w:pPr>
      <w:r>
        <w:rPr>
          <w:rStyle w:val="FootnoteReference"/>
        </w:rPr>
        <w:footnoteRef/>
      </w:r>
      <w:r>
        <w:t xml:space="preserve"> 47 CFR § </w:t>
      </w:r>
      <w:r w:rsidR="002C596A">
        <w:t>1</w:t>
      </w:r>
      <w:r>
        <w:t>.</w:t>
      </w:r>
      <w:r w:rsidR="002C596A">
        <w:t>4</w:t>
      </w:r>
      <w:r>
        <w:t>20.</w:t>
      </w:r>
    </w:p>
  </w:footnote>
  <w:footnote w:id="11">
    <w:p w:rsidR="00127459" w:rsidP="00127459" w14:paraId="40819164" w14:textId="2E534E86">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D66F85">
        <w:t xml:space="preserve"> </w:t>
      </w:r>
      <w:r w:rsidRPr="005E3497">
        <w:t>1.420(a), (b) and (c)</w:t>
      </w:r>
      <w:r>
        <w:t>.</w:t>
      </w:r>
    </w:p>
  </w:footnote>
  <w:footnote w:id="12">
    <w:p w:rsidR="00127459" w:rsidRPr="00522221" w:rsidP="00127459" w14:paraId="45B3729C"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13">
    <w:p w:rsidR="00127459" w:rsidP="00127459" w14:paraId="104096E1" w14:textId="77777777">
      <w:pPr>
        <w:pStyle w:val="FootnoteText"/>
        <w:widowControl w:val="0"/>
      </w:pPr>
      <w:r>
        <w:rPr>
          <w:rStyle w:val="FootnoteReference"/>
        </w:rPr>
        <w:footnoteRef/>
      </w:r>
      <w:r>
        <w:t xml:space="preserve"> 47 CFR § 1.1208.</w:t>
      </w:r>
    </w:p>
  </w:footnote>
  <w:footnote w:id="14">
    <w:p w:rsidR="00127459" w:rsidP="00127459" w14:paraId="18E8DECD" w14:textId="77777777">
      <w:pPr>
        <w:pStyle w:val="FootnoteText"/>
        <w:widowControl w:val="0"/>
      </w:pPr>
      <w:r>
        <w:rPr>
          <w:rStyle w:val="FootnoteReference"/>
        </w:rPr>
        <w:footnoteRef/>
      </w:r>
      <w:r>
        <w:t xml:space="preserve"> 47 CFR § 1.1204(a)(10).</w:t>
      </w:r>
    </w:p>
  </w:footnote>
  <w:footnote w:id="15">
    <w:p w:rsidR="00127459" w:rsidP="00127459" w14:paraId="38B826A1"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 xml:space="preserve">ex </w:t>
      </w:r>
      <w:r w:rsidRPr="00986CEC">
        <w:rPr>
          <w:i/>
          <w:iCs/>
        </w:rPr>
        <w:t>parte</w:t>
      </w:r>
      <w:r w:rsidRPr="00F30797">
        <w:t xml:space="preserve"> presentation, subject to the same service requirement.</w:t>
      </w:r>
      <w:r>
        <w:t xml:space="preserve">  </w:t>
      </w:r>
      <w:r w:rsidRPr="00F30797">
        <w:t>47 CFR § 1.1204(a)(1</w:t>
      </w:r>
      <w:r>
        <w:t>1</w:t>
      </w:r>
      <w:r w:rsidRPr="00F30797">
        <w:t>)</w:t>
      </w:r>
      <w:r>
        <w:t>.</w:t>
      </w:r>
    </w:p>
  </w:footnote>
  <w:footnote w:id="16">
    <w:p w:rsidR="00127459" w:rsidP="00127459" w14:paraId="0BAEC542"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17">
    <w:p w:rsidR="00127459" w:rsidP="00127459" w14:paraId="4AD2357D" w14:textId="77777777">
      <w:pPr>
        <w:pStyle w:val="FootnoteText"/>
        <w:widowControl w:val="0"/>
      </w:pPr>
      <w:r>
        <w:rPr>
          <w:rStyle w:val="FootnoteReference"/>
        </w:rPr>
        <w:footnoteRef/>
      </w:r>
      <w:r>
        <w:t xml:space="preserve"> </w:t>
      </w:r>
      <w:r w:rsidRPr="009F2562">
        <w:t>47 CFR § 73.6</w:t>
      </w:r>
      <w:r>
        <w:t>0</w:t>
      </w:r>
      <w:r w:rsidRPr="009F2562">
        <w:t>2(</w:t>
      </w:r>
      <w:r>
        <w:t>b</w:t>
      </w:r>
      <w:r w:rsidRPr="009F2562">
        <w:t>).</w:t>
      </w:r>
    </w:p>
  </w:footnote>
  <w:footnote w:id="18">
    <w:p w:rsidR="00127459" w:rsidP="00127459" w14:paraId="7D5AE54E"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19">
    <w:p w:rsidR="00127459" w:rsidP="00127459" w14:paraId="231BECEE"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388D0E18">
    <w:pPr>
      <w:pStyle w:val="Header"/>
      <w:rPr>
        <w:b w:val="0"/>
      </w:rPr>
    </w:pPr>
    <w:r>
      <w:tab/>
    </w:r>
    <w:r>
      <w:t>Federal Communications Commission</w:t>
    </w:r>
    <w:r>
      <w:tab/>
    </w:r>
    <w:r w:rsidR="00260058">
      <w:t>DA 21-</w:t>
    </w:r>
    <w:r w:rsidR="000E6C6D">
      <w:t>1635</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19BEEDF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260058">
      <w:rPr>
        <w:spacing w:val="-2"/>
      </w:rPr>
      <w:t>DA 21-</w:t>
    </w:r>
    <w:r w:rsidR="000E6C6D">
      <w:rPr>
        <w:spacing w:val="-2"/>
      </w:rPr>
      <w:t>1635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10"/>
  </w:num>
  <w:num w:numId="9">
    <w:abstractNumId w:val="9"/>
  </w:num>
  <w:num w:numId="10">
    <w:abstractNumId w:val="1"/>
  </w:num>
  <w:num w:numId="11">
    <w:abstractNumId w:val="11"/>
  </w:num>
  <w:num w:numId="12">
    <w:abstractNumId w:val="8"/>
    <w:lvlOverride w:ilvl="0">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27A1D"/>
    <w:rsid w:val="00036039"/>
    <w:rsid w:val="00037F90"/>
    <w:rsid w:val="0006004C"/>
    <w:rsid w:val="000875BF"/>
    <w:rsid w:val="00096D8C"/>
    <w:rsid w:val="000A72DA"/>
    <w:rsid w:val="000C0B65"/>
    <w:rsid w:val="000E05FE"/>
    <w:rsid w:val="000E3D42"/>
    <w:rsid w:val="000E6C6D"/>
    <w:rsid w:val="000F7979"/>
    <w:rsid w:val="00122BD5"/>
    <w:rsid w:val="00127459"/>
    <w:rsid w:val="00133F79"/>
    <w:rsid w:val="00183C33"/>
    <w:rsid w:val="00194A66"/>
    <w:rsid w:val="001A0909"/>
    <w:rsid w:val="001A3CBE"/>
    <w:rsid w:val="001A7095"/>
    <w:rsid w:val="001C6748"/>
    <w:rsid w:val="001D6BCF"/>
    <w:rsid w:val="001E01CA"/>
    <w:rsid w:val="001E1C45"/>
    <w:rsid w:val="001F250D"/>
    <w:rsid w:val="00202AF5"/>
    <w:rsid w:val="002073C1"/>
    <w:rsid w:val="00225707"/>
    <w:rsid w:val="0022695F"/>
    <w:rsid w:val="002572F5"/>
    <w:rsid w:val="00260058"/>
    <w:rsid w:val="00271851"/>
    <w:rsid w:val="00275CF5"/>
    <w:rsid w:val="0028301F"/>
    <w:rsid w:val="00283A40"/>
    <w:rsid w:val="00285017"/>
    <w:rsid w:val="002A2D2E"/>
    <w:rsid w:val="002B07BE"/>
    <w:rsid w:val="002C00E8"/>
    <w:rsid w:val="002C596A"/>
    <w:rsid w:val="002D46BF"/>
    <w:rsid w:val="002F5FB1"/>
    <w:rsid w:val="00305564"/>
    <w:rsid w:val="00314D86"/>
    <w:rsid w:val="003176B1"/>
    <w:rsid w:val="00331D74"/>
    <w:rsid w:val="00343749"/>
    <w:rsid w:val="00351EF5"/>
    <w:rsid w:val="00352A67"/>
    <w:rsid w:val="003660ED"/>
    <w:rsid w:val="00383330"/>
    <w:rsid w:val="003B0550"/>
    <w:rsid w:val="003B694F"/>
    <w:rsid w:val="003B6FA0"/>
    <w:rsid w:val="003F171C"/>
    <w:rsid w:val="00406272"/>
    <w:rsid w:val="00412FC5"/>
    <w:rsid w:val="00422276"/>
    <w:rsid w:val="004242F1"/>
    <w:rsid w:val="00441C02"/>
    <w:rsid w:val="00445A00"/>
    <w:rsid w:val="00451B0F"/>
    <w:rsid w:val="0048464E"/>
    <w:rsid w:val="004A3C48"/>
    <w:rsid w:val="004A5C89"/>
    <w:rsid w:val="004C2EE3"/>
    <w:rsid w:val="004E4A22"/>
    <w:rsid w:val="004F0299"/>
    <w:rsid w:val="00511968"/>
    <w:rsid w:val="00522221"/>
    <w:rsid w:val="0055614C"/>
    <w:rsid w:val="00566D06"/>
    <w:rsid w:val="005706D3"/>
    <w:rsid w:val="00581A23"/>
    <w:rsid w:val="0058200E"/>
    <w:rsid w:val="005B1762"/>
    <w:rsid w:val="005B710A"/>
    <w:rsid w:val="005E14C2"/>
    <w:rsid w:val="005E3497"/>
    <w:rsid w:val="005F375B"/>
    <w:rsid w:val="00607BA5"/>
    <w:rsid w:val="0061180A"/>
    <w:rsid w:val="00626EB6"/>
    <w:rsid w:val="00655D03"/>
    <w:rsid w:val="00683388"/>
    <w:rsid w:val="00683F84"/>
    <w:rsid w:val="00690CF5"/>
    <w:rsid w:val="006A6A81"/>
    <w:rsid w:val="006F1759"/>
    <w:rsid w:val="006F7393"/>
    <w:rsid w:val="0070224F"/>
    <w:rsid w:val="007115F7"/>
    <w:rsid w:val="007147FC"/>
    <w:rsid w:val="0075166D"/>
    <w:rsid w:val="00785689"/>
    <w:rsid w:val="0079754B"/>
    <w:rsid w:val="007A1E6D"/>
    <w:rsid w:val="007B0EB2"/>
    <w:rsid w:val="007E1F3B"/>
    <w:rsid w:val="00810B6F"/>
    <w:rsid w:val="00822CE0"/>
    <w:rsid w:val="00831A92"/>
    <w:rsid w:val="00840FF0"/>
    <w:rsid w:val="00841AB1"/>
    <w:rsid w:val="008470CB"/>
    <w:rsid w:val="0085430C"/>
    <w:rsid w:val="008C68F1"/>
    <w:rsid w:val="00921803"/>
    <w:rsid w:val="009226B2"/>
    <w:rsid w:val="00926503"/>
    <w:rsid w:val="00932181"/>
    <w:rsid w:val="00950467"/>
    <w:rsid w:val="009726D8"/>
    <w:rsid w:val="00983425"/>
    <w:rsid w:val="00986CEC"/>
    <w:rsid w:val="00996132"/>
    <w:rsid w:val="009D7308"/>
    <w:rsid w:val="009F11D4"/>
    <w:rsid w:val="009F2562"/>
    <w:rsid w:val="009F76DB"/>
    <w:rsid w:val="00A32C3B"/>
    <w:rsid w:val="00A44F77"/>
    <w:rsid w:val="00A45F4F"/>
    <w:rsid w:val="00A600A9"/>
    <w:rsid w:val="00AA55B7"/>
    <w:rsid w:val="00AA5B9E"/>
    <w:rsid w:val="00AB2407"/>
    <w:rsid w:val="00AB3A2D"/>
    <w:rsid w:val="00AB53DF"/>
    <w:rsid w:val="00AF6613"/>
    <w:rsid w:val="00B01DEE"/>
    <w:rsid w:val="00B03E61"/>
    <w:rsid w:val="00B07E5C"/>
    <w:rsid w:val="00B46202"/>
    <w:rsid w:val="00B7232E"/>
    <w:rsid w:val="00B7456F"/>
    <w:rsid w:val="00B811F7"/>
    <w:rsid w:val="00BA5DC6"/>
    <w:rsid w:val="00BA6196"/>
    <w:rsid w:val="00BC69ED"/>
    <w:rsid w:val="00BC6D8C"/>
    <w:rsid w:val="00BD5C0A"/>
    <w:rsid w:val="00BD7087"/>
    <w:rsid w:val="00C34006"/>
    <w:rsid w:val="00C36B4C"/>
    <w:rsid w:val="00C37D7F"/>
    <w:rsid w:val="00C4056D"/>
    <w:rsid w:val="00C426B1"/>
    <w:rsid w:val="00C66160"/>
    <w:rsid w:val="00C721AC"/>
    <w:rsid w:val="00C9085D"/>
    <w:rsid w:val="00C90D6A"/>
    <w:rsid w:val="00CA247E"/>
    <w:rsid w:val="00CA6D21"/>
    <w:rsid w:val="00CC72B6"/>
    <w:rsid w:val="00CE40BC"/>
    <w:rsid w:val="00CE5579"/>
    <w:rsid w:val="00D0218D"/>
    <w:rsid w:val="00D25FB5"/>
    <w:rsid w:val="00D44223"/>
    <w:rsid w:val="00D66F85"/>
    <w:rsid w:val="00D811E7"/>
    <w:rsid w:val="00DA2529"/>
    <w:rsid w:val="00DB130A"/>
    <w:rsid w:val="00DB2EBB"/>
    <w:rsid w:val="00DC10A1"/>
    <w:rsid w:val="00DC655F"/>
    <w:rsid w:val="00DD0B59"/>
    <w:rsid w:val="00DD2460"/>
    <w:rsid w:val="00DD7EBD"/>
    <w:rsid w:val="00DF62B6"/>
    <w:rsid w:val="00E07225"/>
    <w:rsid w:val="00E10278"/>
    <w:rsid w:val="00E208EC"/>
    <w:rsid w:val="00E25615"/>
    <w:rsid w:val="00E5409F"/>
    <w:rsid w:val="00EA23F6"/>
    <w:rsid w:val="00EE6488"/>
    <w:rsid w:val="00F021FA"/>
    <w:rsid w:val="00F30797"/>
    <w:rsid w:val="00F4674F"/>
    <w:rsid w:val="00F52858"/>
    <w:rsid w:val="00F62E97"/>
    <w:rsid w:val="00F64209"/>
    <w:rsid w:val="00F9019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E916BC"/>
  <w15:chartTrackingRefBased/>
  <w15:docId w15:val="{72B2CABC-1570-4184-8D02-4A9C57DA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E6C6D"/>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0E6C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0E6C6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0E6C6D"/>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0E6C6D"/>
    <w:pPr>
      <w:keepNext/>
      <w:numPr>
        <w:ilvl w:val="3"/>
        <w:numId w:val="3"/>
      </w:numPr>
      <w:tabs>
        <w:tab w:val="left" w:pos="2880"/>
      </w:tabs>
      <w:spacing w:after="120"/>
      <w:outlineLvl w:val="3"/>
    </w:pPr>
    <w:rPr>
      <w:b/>
    </w:rPr>
  </w:style>
  <w:style w:type="paragraph" w:styleId="Heading5">
    <w:name w:val="heading 5"/>
    <w:basedOn w:val="Normal"/>
    <w:next w:val="ParaNum"/>
    <w:qFormat/>
    <w:rsid w:val="000E6C6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E6C6D"/>
    <w:pPr>
      <w:numPr>
        <w:ilvl w:val="5"/>
        <w:numId w:val="3"/>
      </w:numPr>
      <w:tabs>
        <w:tab w:val="left" w:pos="4320"/>
      </w:tabs>
      <w:spacing w:after="120"/>
      <w:outlineLvl w:val="5"/>
    </w:pPr>
    <w:rPr>
      <w:b/>
    </w:rPr>
  </w:style>
  <w:style w:type="paragraph" w:styleId="Heading7">
    <w:name w:val="heading 7"/>
    <w:basedOn w:val="Normal"/>
    <w:next w:val="ParaNum"/>
    <w:qFormat/>
    <w:rsid w:val="000E6C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E6C6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E6C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E6C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C6D"/>
  </w:style>
  <w:style w:type="paragraph" w:customStyle="1" w:styleId="ParaNum">
    <w:name w:val="ParaNum"/>
    <w:basedOn w:val="Normal"/>
    <w:link w:val="ParaNumChar1"/>
    <w:rsid w:val="000E6C6D"/>
    <w:pPr>
      <w:numPr>
        <w:numId w:val="2"/>
      </w:numPr>
      <w:tabs>
        <w:tab w:val="clear" w:pos="1080"/>
        <w:tab w:val="num" w:pos="1440"/>
      </w:tabs>
      <w:spacing w:after="120"/>
    </w:pPr>
  </w:style>
  <w:style w:type="paragraph" w:styleId="EndnoteText">
    <w:name w:val="endnote text"/>
    <w:basedOn w:val="Normal"/>
    <w:semiHidden/>
    <w:rsid w:val="000E6C6D"/>
    <w:rPr>
      <w:sz w:val="20"/>
    </w:rPr>
  </w:style>
  <w:style w:type="character" w:styleId="EndnoteReference">
    <w:name w:val="endnote reference"/>
    <w:semiHidden/>
    <w:rsid w:val="000E6C6D"/>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6C6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E6C6D"/>
    <w:rPr>
      <w:rFonts w:ascii="Times New Roman" w:hAnsi="Times New Roman"/>
      <w:dstrike w:val="0"/>
      <w:color w:val="auto"/>
      <w:sz w:val="20"/>
      <w:vertAlign w:val="superscript"/>
    </w:rPr>
  </w:style>
  <w:style w:type="paragraph" w:styleId="TOC1">
    <w:name w:val="toc 1"/>
    <w:basedOn w:val="Normal"/>
    <w:next w:val="Normal"/>
    <w:semiHidden/>
    <w:rsid w:val="000E6C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E6C6D"/>
    <w:pPr>
      <w:tabs>
        <w:tab w:val="left" w:pos="720"/>
        <w:tab w:val="right" w:leader="dot" w:pos="9360"/>
      </w:tabs>
      <w:suppressAutoHyphens/>
      <w:ind w:left="720" w:right="720" w:hanging="360"/>
    </w:pPr>
    <w:rPr>
      <w:noProof/>
    </w:rPr>
  </w:style>
  <w:style w:type="paragraph" w:styleId="TOC3">
    <w:name w:val="toc 3"/>
    <w:basedOn w:val="Normal"/>
    <w:next w:val="Normal"/>
    <w:semiHidden/>
    <w:rsid w:val="000E6C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E6C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E6C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E6C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E6C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E6C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E6C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E6C6D"/>
    <w:pPr>
      <w:tabs>
        <w:tab w:val="right" w:pos="9360"/>
      </w:tabs>
      <w:suppressAutoHyphens/>
    </w:pPr>
  </w:style>
  <w:style w:type="character" w:customStyle="1" w:styleId="EquationCaption">
    <w:name w:val="_Equation Caption"/>
    <w:rsid w:val="000E6C6D"/>
  </w:style>
  <w:style w:type="paragraph" w:styleId="Header">
    <w:name w:val="header"/>
    <w:basedOn w:val="Normal"/>
    <w:autoRedefine/>
    <w:rsid w:val="000E6C6D"/>
    <w:pPr>
      <w:tabs>
        <w:tab w:val="center" w:pos="4680"/>
        <w:tab w:val="right" w:pos="9360"/>
      </w:tabs>
    </w:pPr>
    <w:rPr>
      <w:b/>
    </w:rPr>
  </w:style>
  <w:style w:type="paragraph" w:styleId="Footer">
    <w:name w:val="footer"/>
    <w:basedOn w:val="Normal"/>
    <w:link w:val="FooterChar"/>
    <w:uiPriority w:val="99"/>
    <w:rsid w:val="000E6C6D"/>
    <w:pPr>
      <w:tabs>
        <w:tab w:val="center" w:pos="4320"/>
        <w:tab w:val="right" w:pos="8640"/>
      </w:tabs>
    </w:pPr>
  </w:style>
  <w:style w:type="character" w:styleId="PageNumber">
    <w:name w:val="page number"/>
    <w:basedOn w:val="DefaultParagraphFont"/>
    <w:rsid w:val="000E6C6D"/>
  </w:style>
  <w:style w:type="paragraph" w:styleId="BlockText">
    <w:name w:val="Block Text"/>
    <w:basedOn w:val="Normal"/>
    <w:rsid w:val="000E6C6D"/>
    <w:pPr>
      <w:spacing w:after="240"/>
      <w:ind w:left="1440" w:right="1440"/>
    </w:pPr>
  </w:style>
  <w:style w:type="paragraph" w:customStyle="1" w:styleId="Paratitle">
    <w:name w:val="Para title"/>
    <w:basedOn w:val="Normal"/>
    <w:rsid w:val="000E6C6D"/>
    <w:pPr>
      <w:tabs>
        <w:tab w:val="center" w:pos="9270"/>
      </w:tabs>
      <w:spacing w:after="240"/>
    </w:pPr>
    <w:rPr>
      <w:spacing w:val="-2"/>
    </w:rPr>
  </w:style>
  <w:style w:type="paragraph" w:customStyle="1" w:styleId="Bullet">
    <w:name w:val="Bullet"/>
    <w:basedOn w:val="Normal"/>
    <w:rsid w:val="000E6C6D"/>
    <w:pPr>
      <w:tabs>
        <w:tab w:val="left" w:pos="2160"/>
      </w:tabs>
      <w:spacing w:after="220"/>
      <w:ind w:left="2160" w:hanging="720"/>
    </w:pPr>
  </w:style>
  <w:style w:type="paragraph" w:customStyle="1" w:styleId="TableFormat">
    <w:name w:val="TableFormat"/>
    <w:basedOn w:val="Bullet"/>
    <w:rsid w:val="000E6C6D"/>
    <w:pPr>
      <w:tabs>
        <w:tab w:val="clear" w:pos="2160"/>
        <w:tab w:val="left" w:pos="5040"/>
      </w:tabs>
      <w:ind w:left="5040" w:hanging="3600"/>
    </w:pPr>
  </w:style>
  <w:style w:type="paragraph" w:customStyle="1" w:styleId="TOCTitle">
    <w:name w:val="TOC Title"/>
    <w:basedOn w:val="Normal"/>
    <w:rsid w:val="000E6C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E6C6D"/>
    <w:pPr>
      <w:jc w:val="center"/>
    </w:pPr>
    <w:rPr>
      <w:rFonts w:ascii="Times New Roman Bold" w:hAnsi="Times New Roman Bold"/>
      <w:b/>
      <w:bCs/>
      <w:caps/>
      <w:szCs w:val="22"/>
    </w:rPr>
  </w:style>
  <w:style w:type="character" w:styleId="Hyperlink">
    <w:name w:val="Hyperlink"/>
    <w:rsid w:val="000E6C6D"/>
    <w:rPr>
      <w:color w:val="0000FF"/>
      <w:u w:val="single"/>
    </w:rPr>
  </w:style>
  <w:style w:type="character" w:customStyle="1" w:styleId="FooterChar">
    <w:name w:val="Footer Char"/>
    <w:link w:val="Footer"/>
    <w:uiPriority w:val="99"/>
    <w:rsid w:val="000E6C6D"/>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BodyText2">
    <w:name w:val="Body Text 2"/>
    <w:basedOn w:val="Normal"/>
    <w:link w:val="BodyText2Char"/>
    <w:rsid w:val="005E3497"/>
    <w:rPr>
      <w:kern w:val="0"/>
      <w:sz w:val="24"/>
    </w:rPr>
  </w:style>
  <w:style w:type="character" w:customStyle="1" w:styleId="BodyText2Char">
    <w:name w:val="Body Text 2 Char"/>
    <w:basedOn w:val="DefaultParagraphFont"/>
    <w:link w:val="BodyText2"/>
    <w:rsid w:val="005E3497"/>
    <w:rPr>
      <w:snapToGrid w:val="0"/>
      <w:sz w:val="24"/>
    </w:rPr>
  </w:style>
  <w:style w:type="paragraph" w:styleId="ListParagraph">
    <w:name w:val="List Paragraph"/>
    <w:basedOn w:val="Normal"/>
    <w:uiPriority w:val="34"/>
    <w:qFormat/>
    <w:rsid w:val="00271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