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24563" w:rsidP="00247723" w14:paraId="4D921CB8" w14:textId="77777777">
      <w:pPr>
        <w:jc w:val="right"/>
        <w:rPr>
          <w:b/>
          <w:sz w:val="24"/>
        </w:rPr>
      </w:pPr>
    </w:p>
    <w:p w:rsidR="003A0DD8" w:rsidRPr="00B3607A" w:rsidP="00247723" w14:paraId="0F432B1B" w14:textId="60B29390">
      <w:pPr>
        <w:jc w:val="right"/>
        <w:rPr>
          <w:b/>
          <w:szCs w:val="22"/>
        </w:rPr>
      </w:pPr>
      <w:r w:rsidRPr="00774B91">
        <w:rPr>
          <w:b/>
          <w:szCs w:val="22"/>
        </w:rPr>
        <w:t xml:space="preserve">DA </w:t>
      </w:r>
      <w:r w:rsidRPr="00774B91" w:rsidR="00774B91">
        <w:rPr>
          <w:b/>
          <w:szCs w:val="22"/>
        </w:rPr>
        <w:t>21</w:t>
      </w:r>
      <w:r w:rsidRPr="00774B91" w:rsidR="00531D94">
        <w:rPr>
          <w:b/>
          <w:szCs w:val="22"/>
        </w:rPr>
        <w:t>-</w:t>
      </w:r>
      <w:r w:rsidR="008E5BE3">
        <w:rPr>
          <w:b/>
          <w:szCs w:val="22"/>
        </w:rPr>
        <w:t>1639</w:t>
      </w:r>
    </w:p>
    <w:p w:rsidR="003A0DD8" w:rsidRPr="00B3607A" w14:paraId="1ED964BB" w14:textId="7AF0D7DF">
      <w:pPr>
        <w:spacing w:before="60"/>
        <w:jc w:val="right"/>
        <w:rPr>
          <w:b/>
          <w:szCs w:val="22"/>
        </w:rPr>
      </w:pPr>
      <w:r w:rsidRPr="00B3607A">
        <w:rPr>
          <w:b/>
          <w:szCs w:val="22"/>
        </w:rPr>
        <w:t xml:space="preserve">Released:  </w:t>
      </w:r>
      <w:r w:rsidR="00774B91">
        <w:rPr>
          <w:b/>
          <w:szCs w:val="22"/>
        </w:rPr>
        <w:t>December</w:t>
      </w:r>
      <w:r w:rsidR="002D0CC6">
        <w:rPr>
          <w:b/>
          <w:szCs w:val="22"/>
        </w:rPr>
        <w:t xml:space="preserve"> 23</w:t>
      </w:r>
      <w:r w:rsidRPr="00B3607A" w:rsidR="00247723">
        <w:rPr>
          <w:b/>
          <w:szCs w:val="22"/>
        </w:rPr>
        <w:t>, 2021</w:t>
      </w:r>
    </w:p>
    <w:p w:rsidR="003A0DD8" w:rsidRPr="00B3607A" w14:paraId="14FA1D13" w14:textId="77777777">
      <w:pPr>
        <w:jc w:val="right"/>
        <w:rPr>
          <w:szCs w:val="22"/>
        </w:rPr>
      </w:pPr>
    </w:p>
    <w:p w:rsidR="00247723" w:rsidRPr="00B3607A" w:rsidP="00531D94" w14:paraId="7BCF8953" w14:textId="5F95E8A2">
      <w:pPr>
        <w:spacing w:after="240"/>
        <w:jc w:val="center"/>
        <w:rPr>
          <w:b/>
          <w:szCs w:val="22"/>
          <w:highlight w:val="yellow"/>
        </w:rPr>
      </w:pPr>
      <w:r w:rsidRPr="00B3607A">
        <w:rPr>
          <w:b/>
          <w:szCs w:val="22"/>
        </w:rPr>
        <w:t>MEDIA</w:t>
      </w:r>
      <w:r w:rsidR="00531D94">
        <w:rPr>
          <w:b/>
          <w:szCs w:val="22"/>
        </w:rPr>
        <w:t xml:space="preserve"> </w:t>
      </w:r>
      <w:r w:rsidRPr="00B3607A">
        <w:rPr>
          <w:b/>
          <w:szCs w:val="22"/>
        </w:rPr>
        <w:t>BUREAU</w:t>
      </w:r>
      <w:r w:rsidR="00531D94">
        <w:rPr>
          <w:b/>
          <w:szCs w:val="22"/>
        </w:rPr>
        <w:t xml:space="preserve"> </w:t>
      </w:r>
      <w:r w:rsidRPr="00B3607A">
        <w:rPr>
          <w:b/>
          <w:szCs w:val="22"/>
        </w:rPr>
        <w:t>SEEK</w:t>
      </w:r>
      <w:r w:rsidR="00531D94">
        <w:rPr>
          <w:b/>
          <w:szCs w:val="22"/>
        </w:rPr>
        <w:t>S</w:t>
      </w:r>
      <w:r w:rsidRPr="00B3607A">
        <w:rPr>
          <w:b/>
          <w:szCs w:val="22"/>
        </w:rPr>
        <w:t xml:space="preserve"> </w:t>
      </w:r>
      <w:r w:rsidR="00F27D8B">
        <w:rPr>
          <w:b/>
          <w:szCs w:val="22"/>
        </w:rPr>
        <w:t>COMMENT ON PELOTON INTERACTIVE</w:t>
      </w:r>
      <w:r w:rsidR="004C7C75">
        <w:rPr>
          <w:b/>
          <w:szCs w:val="22"/>
        </w:rPr>
        <w:t>,</w:t>
      </w:r>
      <w:r w:rsidR="00F27D8B">
        <w:rPr>
          <w:b/>
          <w:szCs w:val="22"/>
        </w:rPr>
        <w:t xml:space="preserve"> INC.’S PETITION FOR LIMITED WAIVER OF ACCESSIBLE USER INTERFACES REQUIREMENTS</w:t>
      </w:r>
    </w:p>
    <w:p w:rsidR="003A0DD8" w:rsidRPr="00B3607A" w14:paraId="44620107" w14:textId="311DEF72">
      <w:pPr>
        <w:jc w:val="center"/>
        <w:rPr>
          <w:b/>
          <w:szCs w:val="22"/>
        </w:rPr>
      </w:pPr>
      <w:r>
        <w:rPr>
          <w:b/>
          <w:szCs w:val="22"/>
        </w:rPr>
        <w:t>MB</w:t>
      </w:r>
      <w:r w:rsidRPr="00B3607A" w:rsidR="007F12E7">
        <w:rPr>
          <w:b/>
          <w:szCs w:val="22"/>
        </w:rPr>
        <w:t xml:space="preserve"> Docket No. </w:t>
      </w:r>
      <w:r>
        <w:rPr>
          <w:b/>
          <w:szCs w:val="22"/>
        </w:rPr>
        <w:t>12-</w:t>
      </w:r>
      <w:r w:rsidR="00C35632">
        <w:rPr>
          <w:b/>
          <w:szCs w:val="22"/>
        </w:rPr>
        <w:t>1</w:t>
      </w:r>
      <w:r>
        <w:rPr>
          <w:b/>
          <w:szCs w:val="22"/>
        </w:rPr>
        <w:t>08</w:t>
      </w:r>
      <w:r w:rsidR="00774B91">
        <w:rPr>
          <w:b/>
          <w:szCs w:val="22"/>
        </w:rPr>
        <w:t>; GN Docket No. 21-140</w:t>
      </w:r>
    </w:p>
    <w:p w:rsidR="00B3607A" w:rsidRPr="00B3607A" w14:paraId="2468BF02" w14:textId="61746CF1">
      <w:pPr>
        <w:jc w:val="center"/>
        <w:rPr>
          <w:b/>
          <w:szCs w:val="22"/>
        </w:rPr>
      </w:pPr>
    </w:p>
    <w:p w:rsidR="00B3607A" w:rsidRPr="00B3607A" w:rsidP="00B3607A" w14:paraId="4A8442C0" w14:textId="23E0F237">
      <w:pPr>
        <w:rPr>
          <w:b/>
          <w:szCs w:val="22"/>
        </w:rPr>
      </w:pPr>
      <w:r w:rsidRPr="00B3607A">
        <w:rPr>
          <w:b/>
          <w:szCs w:val="22"/>
        </w:rPr>
        <w:t xml:space="preserve">Comments Due:  </w:t>
      </w:r>
      <w:bookmarkStart w:id="0" w:name="_Hlk89763721"/>
      <w:r w:rsidR="00AF25BB">
        <w:rPr>
          <w:b/>
          <w:szCs w:val="22"/>
        </w:rPr>
        <w:t>January 24, 2022</w:t>
      </w:r>
    </w:p>
    <w:bookmarkEnd w:id="0"/>
    <w:p w:rsidR="00B3607A" w:rsidRPr="00B3607A" w:rsidP="00B3607A" w14:paraId="4F63160C" w14:textId="2913328C">
      <w:pPr>
        <w:rPr>
          <w:b/>
          <w:szCs w:val="22"/>
        </w:rPr>
      </w:pPr>
      <w:r w:rsidRPr="00B3607A">
        <w:rPr>
          <w:b/>
          <w:szCs w:val="22"/>
        </w:rPr>
        <w:t xml:space="preserve">Reply Comments Due:  </w:t>
      </w:r>
      <w:r w:rsidR="00AF25BB">
        <w:rPr>
          <w:b/>
          <w:szCs w:val="22"/>
        </w:rPr>
        <w:t>February 8, 2022</w:t>
      </w:r>
    </w:p>
    <w:p w:rsidR="003A0DD8" w14:paraId="7ECE549D" w14:textId="77777777">
      <w:pPr>
        <w:rPr>
          <w:b/>
          <w:sz w:val="24"/>
        </w:rPr>
      </w:pPr>
    </w:p>
    <w:p w:rsidR="00F27D8B" w:rsidRPr="00F27D8B" w:rsidP="00F27D8B" w14:paraId="473E99DA" w14:textId="03078796">
      <w:pPr>
        <w:spacing w:after="120"/>
        <w:ind w:firstLine="720"/>
        <w:rPr>
          <w:rFonts w:eastAsia="Calibri"/>
          <w:snapToGrid/>
        </w:rPr>
      </w:pPr>
      <w:r>
        <w:rPr>
          <w:rFonts w:eastAsia="Calibri"/>
          <w:snapToGrid/>
        </w:rPr>
        <w:t>Peloton Interactive, Inc</w:t>
      </w:r>
      <w:r w:rsidRPr="00F27D8B">
        <w:rPr>
          <w:rFonts w:eastAsia="Calibri"/>
          <w:snapToGrid/>
        </w:rPr>
        <w:t>. (</w:t>
      </w:r>
      <w:r>
        <w:rPr>
          <w:rFonts w:eastAsia="Calibri"/>
          <w:snapToGrid/>
        </w:rPr>
        <w:t>Peloton)</w:t>
      </w:r>
      <w:r w:rsidRPr="00F27D8B">
        <w:rPr>
          <w:rFonts w:eastAsia="Calibri"/>
          <w:snapToGrid/>
        </w:rPr>
        <w:t xml:space="preserve"> has filed a</w:t>
      </w:r>
      <w:r>
        <w:rPr>
          <w:rFonts w:eastAsia="Calibri"/>
          <w:snapToGrid/>
        </w:rPr>
        <w:t xml:space="preserve"> </w:t>
      </w:r>
      <w:r w:rsidRPr="00F27D8B">
        <w:rPr>
          <w:rFonts w:eastAsia="Calibri"/>
          <w:snapToGrid/>
        </w:rPr>
        <w:t>petition</w:t>
      </w:r>
      <w:r>
        <w:rPr>
          <w:rStyle w:val="FootnoteReference"/>
          <w:rFonts w:eastAsia="Calibri"/>
          <w:snapToGrid/>
        </w:rPr>
        <w:footnoteReference w:id="3"/>
      </w:r>
      <w:r w:rsidRPr="00F27D8B">
        <w:rPr>
          <w:rFonts w:eastAsia="Calibri"/>
          <w:snapToGrid/>
        </w:rPr>
        <w:t xml:space="preserve"> requesting that the Media Bureau grant a limited waiver of the Commission’s rules requiring the accessibility of user interfaces on covered </w:t>
      </w:r>
      <w:r>
        <w:rPr>
          <w:rFonts w:eastAsia="Calibri"/>
          <w:snapToGrid/>
        </w:rPr>
        <w:t>digital apparatus</w:t>
      </w:r>
      <w:r w:rsidRPr="00F27D8B">
        <w:rPr>
          <w:rFonts w:eastAsia="Calibri"/>
          <w:snapToGrid/>
        </w:rPr>
        <w:t>.</w:t>
      </w:r>
      <w:r>
        <w:rPr>
          <w:rStyle w:val="FootnoteReference"/>
          <w:rFonts w:eastAsia="Calibri"/>
          <w:snapToGrid/>
        </w:rPr>
        <w:footnoteReference w:id="4"/>
      </w:r>
      <w:r w:rsidRPr="00F27D8B">
        <w:rPr>
          <w:rFonts w:eastAsia="Calibri"/>
          <w:snapToGrid/>
        </w:rPr>
        <w:t xml:space="preserve">  Specifically, </w:t>
      </w:r>
      <w:r>
        <w:rPr>
          <w:rFonts w:eastAsia="Calibri"/>
          <w:snapToGrid/>
        </w:rPr>
        <w:t>Peloton</w:t>
      </w:r>
      <w:r w:rsidRPr="00F27D8B">
        <w:rPr>
          <w:rFonts w:eastAsia="Calibri"/>
          <w:snapToGrid/>
        </w:rPr>
        <w:t xml:space="preserve"> requests a</w:t>
      </w:r>
      <w:r w:rsidR="00E520D3">
        <w:rPr>
          <w:rFonts w:eastAsia="Calibri"/>
          <w:snapToGrid/>
        </w:rPr>
        <w:t xml:space="preserve">n 18-month </w:t>
      </w:r>
      <w:r w:rsidRPr="00F27D8B">
        <w:rPr>
          <w:rFonts w:eastAsia="Calibri"/>
          <w:snapToGrid/>
        </w:rPr>
        <w:t>waiver of</w:t>
      </w:r>
      <w:r w:rsidR="00D1720B">
        <w:rPr>
          <w:rFonts w:eastAsia="Calibri"/>
          <w:snapToGrid/>
        </w:rPr>
        <w:t xml:space="preserve"> </w:t>
      </w:r>
      <w:r w:rsidR="00E520D3">
        <w:rPr>
          <w:rFonts w:eastAsia="Calibri"/>
          <w:snapToGrid/>
        </w:rPr>
        <w:t xml:space="preserve">the obligations in section 79.107 of the Commission’s rules </w:t>
      </w:r>
      <w:r w:rsidR="00B8560C">
        <w:rPr>
          <w:rFonts w:eastAsia="Calibri"/>
          <w:snapToGrid/>
        </w:rPr>
        <w:t>to implement additional accessibility features for its connected fitness equipment</w:t>
      </w:r>
      <w:r w:rsidRPr="00F27D8B">
        <w:rPr>
          <w:rFonts w:eastAsia="Calibri"/>
          <w:snapToGrid/>
        </w:rPr>
        <w:t>.</w:t>
      </w:r>
    </w:p>
    <w:p w:rsidR="00F27D8B" w:rsidRPr="00F27D8B" w:rsidP="00F27D8B" w14:paraId="47A12CB1" w14:textId="571F56E9">
      <w:pPr>
        <w:spacing w:after="120"/>
        <w:ind w:firstLine="720"/>
        <w:rPr>
          <w:rFonts w:eastAsia="Calibri"/>
          <w:snapToGrid/>
        </w:rPr>
      </w:pPr>
      <w:r w:rsidRPr="007C1CA4">
        <w:rPr>
          <w:rFonts w:eastAsia="Calibri"/>
          <w:snapToGrid/>
        </w:rPr>
        <w:t xml:space="preserve">In October 2013, the Commission adopted rules under the authority of </w:t>
      </w:r>
      <w:r>
        <w:rPr>
          <w:rFonts w:eastAsia="Calibri"/>
          <w:snapToGrid/>
        </w:rPr>
        <w:t>s</w:t>
      </w:r>
      <w:r w:rsidRPr="007C1CA4">
        <w:rPr>
          <w:rFonts w:eastAsia="Calibri"/>
          <w:snapToGrid/>
        </w:rPr>
        <w:t>ections 204 of the Twenty-First Century Communications and Video Accessibility Act of 2010 (CVAA)</w:t>
      </w:r>
      <w:r>
        <w:rPr>
          <w:rStyle w:val="FootnoteReference"/>
          <w:rFonts w:eastAsia="Calibri"/>
          <w:snapToGrid/>
        </w:rPr>
        <w:footnoteReference w:id="5"/>
      </w:r>
      <w:r w:rsidRPr="007C1CA4">
        <w:rPr>
          <w:rFonts w:eastAsia="Calibri"/>
          <w:snapToGrid/>
        </w:rPr>
        <w:t xml:space="preserve"> to make user interfaces on televisions, set-top boxes, and other devices used to view video programming.</w:t>
      </w:r>
      <w:r>
        <w:rPr>
          <w:rStyle w:val="FootnoteReference"/>
          <w:rFonts w:eastAsia="Calibri"/>
          <w:snapToGrid/>
        </w:rPr>
        <w:footnoteReference w:id="6"/>
      </w:r>
      <w:r w:rsidRPr="007C1CA4">
        <w:rPr>
          <w:rFonts w:eastAsia="Calibri"/>
          <w:snapToGrid/>
        </w:rPr>
        <w:t xml:space="preserve">  Section 79.107 of the Commission’s rules requires that digital apparatus be designed, developed, and fabricated so that control of appropriate built-in functions (</w:t>
      </w:r>
      <w:r w:rsidRPr="007C1CA4">
        <w:rPr>
          <w:rFonts w:eastAsia="Calibri"/>
          <w:i/>
          <w:iCs/>
          <w:snapToGrid/>
        </w:rPr>
        <w:t>i.e.</w:t>
      </w:r>
      <w:r w:rsidRPr="007C1CA4">
        <w:rPr>
          <w:rFonts w:eastAsia="Calibri"/>
          <w:snapToGrid/>
        </w:rPr>
        <w:t>, those functions used for the reception, play back, or display of video programming) included in the apparatus are accessible to and usable by individuals who are blind or visually impaired,</w:t>
      </w:r>
      <w:r>
        <w:rPr>
          <w:rStyle w:val="FootnoteReference"/>
          <w:rFonts w:eastAsia="Calibri"/>
          <w:snapToGrid/>
        </w:rPr>
        <w:footnoteReference w:id="7"/>
      </w:r>
      <w:r w:rsidRPr="007C1CA4">
        <w:rPr>
          <w:rFonts w:eastAsia="Calibri"/>
          <w:snapToGrid/>
        </w:rPr>
        <w:t xml:space="preserve"> if achievable.</w:t>
      </w:r>
      <w:r>
        <w:rPr>
          <w:rStyle w:val="FootnoteReference"/>
          <w:rFonts w:eastAsia="Calibri"/>
          <w:snapToGrid/>
        </w:rPr>
        <w:footnoteReference w:id="8"/>
      </w:r>
      <w:r w:rsidRPr="007C1CA4">
        <w:rPr>
          <w:rFonts w:eastAsia="Calibri"/>
          <w:snapToGrid/>
        </w:rPr>
        <w:t xml:space="preserve">  </w:t>
      </w:r>
      <w:r w:rsidR="00E520D3">
        <w:rPr>
          <w:rFonts w:eastAsia="Calibri"/>
          <w:snapToGrid/>
        </w:rPr>
        <w:t>This rule</w:t>
      </w:r>
      <w:r w:rsidRPr="00E520D3" w:rsidR="00E520D3">
        <w:rPr>
          <w:rFonts w:eastAsia="Calibri"/>
          <w:snapToGrid/>
        </w:rPr>
        <w:t xml:space="preserve"> </w:t>
      </w:r>
      <w:r w:rsidR="00B8560C">
        <w:rPr>
          <w:rFonts w:eastAsia="Calibri"/>
          <w:snapToGrid/>
        </w:rPr>
        <w:t>also</w:t>
      </w:r>
      <w:r w:rsidRPr="00E520D3" w:rsidR="00E520D3">
        <w:rPr>
          <w:rFonts w:eastAsia="Calibri"/>
          <w:snapToGrid/>
        </w:rPr>
        <w:t xml:space="preserve"> require</w:t>
      </w:r>
      <w:r w:rsidR="00E520D3">
        <w:rPr>
          <w:rFonts w:eastAsia="Calibri"/>
          <w:snapToGrid/>
        </w:rPr>
        <w:t>s</w:t>
      </w:r>
      <w:r w:rsidRPr="00E520D3" w:rsidR="00E520D3">
        <w:rPr>
          <w:rFonts w:eastAsia="Calibri"/>
          <w:snapToGrid/>
        </w:rPr>
        <w:t xml:space="preserve"> covered entities to ensure that individuals with disabilities are aware of the availability of accessible digital apparatus and have ready access to information and support that will allow them to operate such devices.</w:t>
      </w:r>
      <w:r>
        <w:rPr>
          <w:rStyle w:val="FootnoteReference"/>
          <w:rFonts w:eastAsia="Calibri"/>
          <w:snapToGrid/>
        </w:rPr>
        <w:footnoteReference w:id="9"/>
      </w:r>
      <w:r w:rsidRPr="00E520D3" w:rsidR="00E520D3">
        <w:rPr>
          <w:rFonts w:eastAsia="Calibri"/>
          <w:snapToGrid/>
        </w:rPr>
        <w:t xml:space="preserve">  </w:t>
      </w:r>
      <w:r w:rsidRPr="007C1CA4">
        <w:rPr>
          <w:rFonts w:eastAsia="Calibri"/>
          <w:snapToGrid/>
        </w:rPr>
        <w:t xml:space="preserve">Manufacturers of </w:t>
      </w:r>
      <w:r w:rsidR="00140E43">
        <w:rPr>
          <w:rFonts w:eastAsia="Calibri"/>
          <w:snapToGrid/>
        </w:rPr>
        <w:t xml:space="preserve">covered </w:t>
      </w:r>
      <w:r w:rsidRPr="007C1CA4">
        <w:rPr>
          <w:rFonts w:eastAsia="Calibri"/>
          <w:snapToGrid/>
        </w:rPr>
        <w:t>digital apparatus</w:t>
      </w:r>
      <w:r>
        <w:rPr>
          <w:rStyle w:val="FootnoteReference"/>
          <w:rFonts w:eastAsia="Calibri"/>
          <w:snapToGrid/>
        </w:rPr>
        <w:footnoteReference w:id="10"/>
      </w:r>
      <w:r w:rsidRPr="007C1CA4">
        <w:rPr>
          <w:rFonts w:eastAsia="Calibri"/>
          <w:snapToGrid/>
        </w:rPr>
        <w:t xml:space="preserve"> are responsible for compliance with the rules, which set a compliance deadline of December 20, 2016, subject to certain exceptions.</w:t>
      </w:r>
      <w:r>
        <w:rPr>
          <w:rStyle w:val="FootnoteReference"/>
          <w:rFonts w:eastAsia="Calibri"/>
          <w:snapToGrid/>
        </w:rPr>
        <w:footnoteReference w:id="11"/>
      </w:r>
      <w:r>
        <w:rPr>
          <w:rFonts w:eastAsia="Calibri"/>
          <w:snapToGrid/>
        </w:rPr>
        <w:t xml:space="preserve">  </w:t>
      </w:r>
      <w:r w:rsidRPr="007C1CA4">
        <w:rPr>
          <w:rFonts w:eastAsia="Calibri"/>
          <w:snapToGrid/>
        </w:rPr>
        <w:t xml:space="preserve">Certain categories of digital apparatus such as display-only monitors and video projectors and devices primarily designed for purposes other than displaying video programming </w:t>
      </w:r>
      <w:r w:rsidR="00FE4A3E">
        <w:rPr>
          <w:rFonts w:eastAsia="Calibri"/>
          <w:snapToGrid/>
        </w:rPr>
        <w:t>were</w:t>
      </w:r>
      <w:r w:rsidRPr="007C1CA4">
        <w:rPr>
          <w:rFonts w:eastAsia="Calibri"/>
          <w:snapToGrid/>
        </w:rPr>
        <w:t xml:space="preserve"> subject to a five-year deferred compliance deadline</w:t>
      </w:r>
      <w:r w:rsidR="00C40DA0">
        <w:rPr>
          <w:rFonts w:eastAsia="Calibri"/>
          <w:snapToGrid/>
        </w:rPr>
        <w:t xml:space="preserve">; </w:t>
      </w:r>
      <w:r w:rsidR="00807676">
        <w:rPr>
          <w:rFonts w:eastAsia="Calibri"/>
          <w:snapToGrid/>
        </w:rPr>
        <w:t xml:space="preserve">thus, </w:t>
      </w:r>
      <w:r w:rsidR="00FE4A3E">
        <w:rPr>
          <w:rFonts w:eastAsia="Calibri"/>
          <w:snapToGrid/>
        </w:rPr>
        <w:t>the compliance deadline for these devices was December 20, 2021</w:t>
      </w:r>
      <w:r w:rsidRPr="007C1CA4">
        <w:rPr>
          <w:rFonts w:eastAsia="Calibri"/>
          <w:snapToGrid/>
        </w:rPr>
        <w:t>.</w:t>
      </w:r>
      <w:r>
        <w:rPr>
          <w:rStyle w:val="FootnoteReference"/>
          <w:rFonts w:eastAsia="Calibri"/>
          <w:snapToGrid/>
        </w:rPr>
        <w:footnoteReference w:id="12"/>
      </w:r>
      <w:r w:rsidRPr="007C1CA4">
        <w:rPr>
          <w:rFonts w:eastAsia="Calibri"/>
          <w:snapToGrid/>
        </w:rPr>
        <w:t xml:space="preserve">  </w:t>
      </w:r>
    </w:p>
    <w:p w:rsidR="00F27D8B" w:rsidRPr="00F27D8B" w:rsidP="00F27D8B" w14:paraId="7BF64664" w14:textId="38AE3859">
      <w:pPr>
        <w:spacing w:after="120"/>
        <w:ind w:firstLine="720"/>
        <w:rPr>
          <w:rFonts w:eastAsia="Calibri"/>
          <w:snapToGrid/>
        </w:rPr>
      </w:pPr>
      <w:r>
        <w:rPr>
          <w:rFonts w:eastAsia="Calibri"/>
          <w:snapToGrid/>
        </w:rPr>
        <w:t xml:space="preserve">Peloton is an interactive fitness company that manufactures connected fitness equipment that hosts proprietary networked software and </w:t>
      </w:r>
      <w:r w:rsidR="00865AB8">
        <w:rPr>
          <w:rFonts w:eastAsia="Calibri"/>
          <w:snapToGrid/>
        </w:rPr>
        <w:t>produces</w:t>
      </w:r>
      <w:r>
        <w:rPr>
          <w:rFonts w:eastAsia="Calibri"/>
          <w:snapToGrid/>
        </w:rPr>
        <w:t xml:space="preserve"> an extensive library of digital fitness content</w:t>
      </w:r>
      <w:r w:rsidR="004A79BC">
        <w:rPr>
          <w:rFonts w:eastAsia="Calibri"/>
          <w:snapToGrid/>
        </w:rPr>
        <w:t xml:space="preserve"> featuring a variety of instructors and fitness and wellness disciplines</w:t>
      </w:r>
      <w:r>
        <w:rPr>
          <w:rFonts w:eastAsia="Calibri"/>
          <w:snapToGrid/>
        </w:rPr>
        <w:t>.</w:t>
      </w:r>
      <w:r>
        <w:rPr>
          <w:rStyle w:val="FootnoteReference"/>
          <w:rFonts w:eastAsia="Calibri"/>
          <w:snapToGrid/>
        </w:rPr>
        <w:footnoteReference w:id="13"/>
      </w:r>
      <w:r>
        <w:rPr>
          <w:rFonts w:eastAsia="Calibri"/>
          <w:snapToGrid/>
        </w:rPr>
        <w:t xml:space="preserve">  </w:t>
      </w:r>
      <w:r w:rsidR="005301F7">
        <w:rPr>
          <w:rFonts w:eastAsia="Calibri"/>
          <w:snapToGrid/>
        </w:rPr>
        <w:t xml:space="preserve">According to Peloton, it has begun implementing accessibility features into its products, including providing subtitles for live and on demand classes and screen reader technology on certain devices, but it needs additional time to complete the development and integration efforts for accessibility features that would meet or exceed Section 204’s </w:t>
      </w:r>
      <w:r w:rsidR="00C127EC">
        <w:rPr>
          <w:rFonts w:eastAsia="Calibri"/>
          <w:snapToGrid/>
        </w:rPr>
        <w:t xml:space="preserve">accessible user interfaces </w:t>
      </w:r>
      <w:r w:rsidR="005301F7">
        <w:rPr>
          <w:rFonts w:eastAsia="Calibri"/>
          <w:snapToGrid/>
        </w:rPr>
        <w:t>requirements.</w:t>
      </w:r>
      <w:r>
        <w:rPr>
          <w:rStyle w:val="FootnoteReference"/>
          <w:rFonts w:eastAsia="Calibri"/>
          <w:snapToGrid/>
        </w:rPr>
        <w:footnoteReference w:id="14"/>
      </w:r>
      <w:r w:rsidR="005301F7">
        <w:rPr>
          <w:rFonts w:eastAsia="Calibri"/>
          <w:snapToGrid/>
        </w:rPr>
        <w:t xml:space="preserve">  </w:t>
      </w:r>
      <w:r w:rsidR="00F728C9">
        <w:rPr>
          <w:rFonts w:eastAsia="Calibri"/>
          <w:snapToGrid/>
        </w:rPr>
        <w:t>Peloton contends that “designing and successfully integrating assistive technology into Peloton’s platform is more complex than a simple software update,” particularly given quality and safety product development requirements for all users, and that the additional time will allow for collaboration, testing, and training with Peloton’s community members on proposed changes.</w:t>
      </w:r>
      <w:r>
        <w:rPr>
          <w:rStyle w:val="FootnoteReference"/>
          <w:rFonts w:eastAsia="Calibri"/>
          <w:snapToGrid/>
        </w:rPr>
        <w:footnoteReference w:id="15"/>
      </w:r>
      <w:r w:rsidRPr="00F27D8B" w:rsidR="00F728C9">
        <w:rPr>
          <w:rFonts w:eastAsia="Calibri"/>
          <w:snapToGrid/>
        </w:rPr>
        <w:t xml:space="preserve"> </w:t>
      </w:r>
      <w:r w:rsidR="00F728C9">
        <w:rPr>
          <w:rFonts w:eastAsia="Calibri"/>
          <w:snapToGrid/>
        </w:rPr>
        <w:t xml:space="preserve"> </w:t>
      </w:r>
      <w:r>
        <w:rPr>
          <w:rFonts w:eastAsia="Calibri"/>
          <w:snapToGrid/>
        </w:rPr>
        <w:t>Peloton</w:t>
      </w:r>
      <w:r w:rsidRPr="00F27D8B">
        <w:rPr>
          <w:rFonts w:eastAsia="Calibri"/>
          <w:snapToGrid/>
        </w:rPr>
        <w:t xml:space="preserve"> requests that the Media Bureau grant a</w:t>
      </w:r>
      <w:r w:rsidR="00655DF4">
        <w:rPr>
          <w:rFonts w:eastAsia="Calibri"/>
          <w:snapToGrid/>
        </w:rPr>
        <w:t>n 18-month</w:t>
      </w:r>
      <w:r w:rsidRPr="00F27D8B">
        <w:rPr>
          <w:rFonts w:eastAsia="Calibri"/>
          <w:snapToGrid/>
        </w:rPr>
        <w:t xml:space="preserve"> waiver of the requirements of </w:t>
      </w:r>
      <w:r>
        <w:rPr>
          <w:rFonts w:eastAsia="Calibri"/>
          <w:snapToGrid/>
        </w:rPr>
        <w:t>s</w:t>
      </w:r>
      <w:r w:rsidRPr="00F27D8B">
        <w:rPr>
          <w:rFonts w:eastAsia="Calibri"/>
          <w:snapToGrid/>
        </w:rPr>
        <w:t>ection 79.10</w:t>
      </w:r>
      <w:r>
        <w:rPr>
          <w:rFonts w:eastAsia="Calibri"/>
          <w:snapToGrid/>
        </w:rPr>
        <w:t>7</w:t>
      </w:r>
      <w:r w:rsidRPr="00F27D8B">
        <w:rPr>
          <w:rFonts w:eastAsia="Calibri"/>
          <w:snapToGrid/>
        </w:rPr>
        <w:t xml:space="preserve"> </w:t>
      </w:r>
      <w:r w:rsidR="00655DF4">
        <w:rPr>
          <w:rFonts w:eastAsia="Calibri"/>
          <w:snapToGrid/>
        </w:rPr>
        <w:t>–</w:t>
      </w:r>
      <w:r w:rsidR="00116FD8">
        <w:rPr>
          <w:rFonts w:eastAsia="Calibri"/>
          <w:snapToGrid/>
        </w:rPr>
        <w:t xml:space="preserve"> </w:t>
      </w:r>
      <w:r w:rsidR="00655DF4">
        <w:rPr>
          <w:rFonts w:eastAsia="Calibri"/>
          <w:snapToGrid/>
        </w:rPr>
        <w:t>from December 20, 2021 to June 20, 2023 – with respect to the Peloton Bike+, Peloton Bike, Peloton Tread+, Peloton Tread, Precor’s P62 Console, and Precor’s P82 Console,</w:t>
      </w:r>
      <w:r>
        <w:rPr>
          <w:rStyle w:val="FootnoteReference"/>
          <w:rFonts w:eastAsia="Calibri"/>
          <w:snapToGrid/>
        </w:rPr>
        <w:footnoteReference w:id="16"/>
      </w:r>
      <w:r w:rsidR="00655DF4">
        <w:rPr>
          <w:rFonts w:eastAsia="Calibri"/>
          <w:snapToGrid/>
        </w:rPr>
        <w:t xml:space="preserve"> as well as for any future products that may be subject to </w:t>
      </w:r>
      <w:r w:rsidR="00961145">
        <w:rPr>
          <w:rFonts w:eastAsia="Calibri"/>
          <w:snapToGrid/>
        </w:rPr>
        <w:t>the</w:t>
      </w:r>
      <w:r w:rsidR="003C1279">
        <w:rPr>
          <w:rFonts w:eastAsia="Calibri"/>
          <w:snapToGrid/>
        </w:rPr>
        <w:t xml:space="preserve"> Commission’s</w:t>
      </w:r>
      <w:r w:rsidR="00655DF4">
        <w:rPr>
          <w:rFonts w:eastAsia="Calibri"/>
          <w:snapToGrid/>
        </w:rPr>
        <w:t xml:space="preserve"> accessibility obligations and may launch during the waiver period.</w:t>
      </w:r>
      <w:r>
        <w:rPr>
          <w:rStyle w:val="FootnoteReference"/>
          <w:rFonts w:eastAsia="Calibri"/>
          <w:snapToGrid/>
        </w:rPr>
        <w:footnoteReference w:id="17"/>
      </w:r>
      <w:r w:rsidRPr="00F27D8B">
        <w:rPr>
          <w:rFonts w:eastAsia="Calibri"/>
          <w:snapToGrid/>
        </w:rPr>
        <w:t xml:space="preserve"> </w:t>
      </w:r>
      <w:r w:rsidR="00AA4664">
        <w:rPr>
          <w:rFonts w:eastAsia="Calibri"/>
          <w:snapToGrid/>
        </w:rPr>
        <w:t xml:space="preserve"> </w:t>
      </w:r>
      <w:r w:rsidRPr="00F27D8B">
        <w:rPr>
          <w:rFonts w:eastAsia="Calibri"/>
          <w:snapToGrid/>
        </w:rPr>
        <w:t xml:space="preserve">We seek comment on </w:t>
      </w:r>
      <w:r>
        <w:rPr>
          <w:rFonts w:eastAsia="Calibri"/>
          <w:snapToGrid/>
        </w:rPr>
        <w:t xml:space="preserve">Peloton’s </w:t>
      </w:r>
      <w:r w:rsidRPr="00F27D8B">
        <w:rPr>
          <w:rFonts w:eastAsia="Calibri"/>
          <w:snapToGrid/>
        </w:rPr>
        <w:t>request.</w:t>
      </w:r>
    </w:p>
    <w:p w:rsidR="00247723" w:rsidP="00247723" w14:paraId="5D97848E" w14:textId="11EE3F12">
      <w:pPr>
        <w:spacing w:after="120"/>
        <w:ind w:firstLine="720"/>
        <w:rPr>
          <w:szCs w:val="18"/>
        </w:rPr>
      </w:pPr>
      <w:r w:rsidRPr="00AB2E2D">
        <w:rPr>
          <w:rFonts w:eastAsia="Calibri"/>
          <w:i/>
          <w:iCs/>
          <w:snapToGrid/>
        </w:rPr>
        <w:t xml:space="preserve">Ex </w:t>
      </w:r>
      <w:r w:rsidRPr="00AB2E2D">
        <w:rPr>
          <w:rFonts w:eastAsia="Calibri"/>
          <w:i/>
          <w:iCs/>
          <w:snapToGrid/>
        </w:rPr>
        <w:t>Parte</w:t>
      </w:r>
      <w:r w:rsidRPr="00AB2E2D">
        <w:rPr>
          <w:rFonts w:eastAsia="Calibri"/>
          <w:i/>
          <w:iCs/>
          <w:snapToGrid/>
        </w:rPr>
        <w:t xml:space="preserve"> Rules</w:t>
      </w:r>
      <w:r w:rsidRPr="00AB2E2D">
        <w:rPr>
          <w:rFonts w:eastAsia="Calibri"/>
          <w:snapToGrid/>
        </w:rPr>
        <w:t>.</w:t>
      </w:r>
      <w:r w:rsidRPr="00430441">
        <w:rPr>
          <w:rFonts w:eastAsia="Calibri"/>
          <w:snapToGrid/>
        </w:rPr>
        <w:t xml:space="preserve">  </w:t>
      </w:r>
      <w:r>
        <w:rPr>
          <w:rFonts w:eastAsia="Calibri"/>
          <w:snapToGrid/>
        </w:rPr>
        <w:t xml:space="preserve">The proceeding this Public Notice initiates shall be treated as a “permit-but-disclose” proceeding in accordance with the Commission’s </w:t>
      </w:r>
      <w:r>
        <w:rPr>
          <w:rFonts w:eastAsia="Calibri"/>
          <w:i/>
          <w:iCs/>
          <w:snapToGrid/>
        </w:rPr>
        <w:t xml:space="preserve">ex </w:t>
      </w:r>
      <w:r>
        <w:rPr>
          <w:rFonts w:eastAsia="Calibri"/>
          <w:i/>
          <w:iCs/>
          <w:snapToGrid/>
        </w:rPr>
        <w:t>parte</w:t>
      </w:r>
      <w:r>
        <w:rPr>
          <w:rFonts w:eastAsia="Calibri"/>
          <w:i/>
          <w:iCs/>
          <w:snapToGrid/>
        </w:rPr>
        <w:t xml:space="preserve"> </w:t>
      </w:r>
      <w:r>
        <w:rPr>
          <w:rFonts w:eastAsia="Calibri"/>
          <w:snapToGrid/>
        </w:rPr>
        <w:t>rules.</w:t>
      </w:r>
      <w:r>
        <w:rPr>
          <w:rFonts w:eastAsia="Calibri"/>
          <w:snapToGrid/>
          <w:vertAlign w:val="superscript"/>
        </w:rPr>
        <w:footnoteReference w:id="18"/>
      </w:r>
      <w:r>
        <w:rPr>
          <w:rFonts w:eastAsia="Calibri"/>
          <w:snapToGrid/>
        </w:rPr>
        <w:t xml:space="preserve">  Persons making </w:t>
      </w:r>
      <w:r>
        <w:rPr>
          <w:rFonts w:eastAsia="Calibri"/>
          <w:i/>
          <w:snapToGrid/>
        </w:rPr>
        <w:t xml:space="preserve">ex </w:t>
      </w:r>
      <w:r>
        <w:rPr>
          <w:rFonts w:eastAsia="Calibri"/>
          <w:i/>
          <w:snapToGrid/>
        </w:rPr>
        <w:t>parte</w:t>
      </w:r>
      <w:r>
        <w:rPr>
          <w:rFonts w:eastAsia="Calibri"/>
          <w:i/>
          <w:snapToGrid/>
        </w:rPr>
        <w:t xml:space="preserve"> </w:t>
      </w:r>
      <w:r>
        <w:rPr>
          <w:rFonts w:eastAsia="Calibri"/>
          <w:snapToGrid/>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rFonts w:eastAsia="Calibri"/>
          <w:i/>
          <w:iCs/>
          <w:snapToGrid/>
        </w:rPr>
        <w:t xml:space="preserve">ex </w:t>
      </w:r>
      <w:r>
        <w:rPr>
          <w:rFonts w:eastAsia="Calibri"/>
          <w:i/>
          <w:iCs/>
          <w:snapToGrid/>
        </w:rPr>
        <w:t>parte</w:t>
      </w:r>
      <w:r>
        <w:rPr>
          <w:rFonts w:eastAsia="Calibri"/>
          <w:i/>
          <w:iCs/>
          <w:snapToGrid/>
        </w:rPr>
        <w:t xml:space="preserve"> </w:t>
      </w:r>
      <w:r>
        <w:rPr>
          <w:rFonts w:eastAsia="Calibri"/>
          <w:snapToGrid/>
        </w:rPr>
        <w:t xml:space="preserve">presentations are reminded that memoranda summarizing the presentation must (1) list all persons attending or otherwise participating in the meeting at which the </w:t>
      </w:r>
      <w:r>
        <w:rPr>
          <w:rFonts w:eastAsia="Calibri"/>
          <w:i/>
          <w:iCs/>
          <w:snapToGrid/>
        </w:rPr>
        <w:t xml:space="preserve">ex </w:t>
      </w:r>
      <w:r>
        <w:rPr>
          <w:rFonts w:eastAsia="Calibri"/>
          <w:i/>
          <w:iCs/>
          <w:snapToGrid/>
        </w:rPr>
        <w:t>parte</w:t>
      </w:r>
      <w:r>
        <w:rPr>
          <w:rFonts w:eastAsia="Calibri"/>
          <w:i/>
          <w:iCs/>
          <w:snapToGrid/>
        </w:rPr>
        <w:t xml:space="preserve"> </w:t>
      </w:r>
      <w:r>
        <w:rPr>
          <w:rFonts w:eastAsia="Calibri"/>
          <w:snapToGrid/>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w:t>
      </w:r>
      <w:r>
        <w:rPr>
          <w:rFonts w:eastAsia="Calibri"/>
          <w:snapToGrid/>
        </w:rPr>
        <w:t xml:space="preserve">memoranda, or other filings (specifying the relevant page and/or paragraph numbers where such data or arguments can be found) in lieu of summarizing them in the memorandum.  Documents shown or given to Commission staff during </w:t>
      </w:r>
      <w:r>
        <w:rPr>
          <w:rFonts w:eastAsia="Calibri"/>
          <w:i/>
          <w:iCs/>
          <w:snapToGrid/>
        </w:rPr>
        <w:t xml:space="preserve">ex </w:t>
      </w:r>
      <w:r>
        <w:rPr>
          <w:rFonts w:eastAsia="Calibri"/>
          <w:i/>
          <w:iCs/>
          <w:snapToGrid/>
        </w:rPr>
        <w:t>parte</w:t>
      </w:r>
      <w:r>
        <w:rPr>
          <w:rFonts w:eastAsia="Calibri"/>
          <w:i/>
          <w:iCs/>
          <w:snapToGrid/>
        </w:rPr>
        <w:t xml:space="preserve"> </w:t>
      </w:r>
      <w:r>
        <w:rPr>
          <w:rFonts w:eastAsia="Calibri"/>
          <w:snapToGrid/>
        </w:rPr>
        <w:t xml:space="preserve">meetings are deemed to be written </w:t>
      </w:r>
      <w:r>
        <w:rPr>
          <w:rFonts w:eastAsia="Calibri"/>
          <w:i/>
          <w:iCs/>
          <w:snapToGrid/>
        </w:rPr>
        <w:t xml:space="preserve">ex </w:t>
      </w:r>
      <w:r>
        <w:rPr>
          <w:rFonts w:eastAsia="Calibri"/>
          <w:i/>
          <w:iCs/>
          <w:snapToGrid/>
        </w:rPr>
        <w:t>parte</w:t>
      </w:r>
      <w:r>
        <w:rPr>
          <w:rFonts w:eastAsia="Calibri"/>
          <w:snapToGrid/>
        </w:rPr>
        <w:t xml:space="preserve"> presentations and must be filed consistent with rule 1.1206(b).  In proceedings governed by rule 1.49(f) or for which the Commission has made available a method of electronic filing, written </w:t>
      </w:r>
      <w:r>
        <w:rPr>
          <w:rFonts w:eastAsia="Calibri"/>
          <w:i/>
          <w:iCs/>
          <w:snapToGrid/>
        </w:rPr>
        <w:t xml:space="preserve">ex </w:t>
      </w:r>
      <w:r>
        <w:rPr>
          <w:rFonts w:eastAsia="Calibri"/>
          <w:i/>
          <w:iCs/>
          <w:snapToGrid/>
        </w:rPr>
        <w:t>parte</w:t>
      </w:r>
      <w:r>
        <w:rPr>
          <w:rFonts w:eastAsia="Calibri"/>
          <w:i/>
          <w:iCs/>
          <w:snapToGrid/>
        </w:rPr>
        <w:t xml:space="preserve"> </w:t>
      </w:r>
      <w:r>
        <w:rPr>
          <w:rFonts w:eastAsia="Calibri"/>
          <w:snapToGrid/>
        </w:rPr>
        <w:t xml:space="preserve">presentations and memoranda summarizing oral </w:t>
      </w:r>
      <w:r>
        <w:rPr>
          <w:rFonts w:eastAsia="Calibri"/>
          <w:i/>
          <w:iCs/>
          <w:snapToGrid/>
        </w:rPr>
        <w:t xml:space="preserve">ex </w:t>
      </w:r>
      <w:r>
        <w:rPr>
          <w:rFonts w:eastAsia="Calibri"/>
          <w:i/>
          <w:iCs/>
          <w:snapToGrid/>
        </w:rPr>
        <w:t>parte</w:t>
      </w:r>
      <w:r>
        <w:rPr>
          <w:rFonts w:eastAsia="Calibri"/>
          <w:i/>
          <w:iCs/>
          <w:snapToGrid/>
        </w:rPr>
        <w:t xml:space="preserve"> </w:t>
      </w:r>
      <w:r>
        <w:rPr>
          <w:rFonts w:eastAsia="Calibri"/>
          <w:snapToGrid/>
        </w:rPr>
        <w:t>presentations, and all attachments thereto, must be filed through the electronic comment filing system available for that proceeding, and must be filed in their native format (</w:t>
      </w:r>
      <w:r>
        <w:rPr>
          <w:rFonts w:eastAsia="Calibri"/>
          <w:i/>
          <w:iCs/>
          <w:snapToGrid/>
        </w:rPr>
        <w:t>e.g.</w:t>
      </w:r>
      <w:r>
        <w:rPr>
          <w:rFonts w:eastAsia="Calibri"/>
          <w:snapToGrid/>
        </w:rPr>
        <w:t xml:space="preserve">, .doc, .xml, .ppt, searchable .pdf).  Participants in this proceeding should familiarize themselves with the Commission’s </w:t>
      </w:r>
      <w:r>
        <w:rPr>
          <w:rFonts w:eastAsia="Calibri"/>
          <w:i/>
          <w:iCs/>
          <w:snapToGrid/>
        </w:rPr>
        <w:t xml:space="preserve">ex </w:t>
      </w:r>
      <w:r>
        <w:rPr>
          <w:rFonts w:eastAsia="Calibri"/>
          <w:i/>
          <w:iCs/>
          <w:snapToGrid/>
        </w:rPr>
        <w:t>parte</w:t>
      </w:r>
      <w:r>
        <w:rPr>
          <w:rFonts w:eastAsia="Calibri"/>
          <w:i/>
          <w:iCs/>
          <w:snapToGrid/>
        </w:rPr>
        <w:t xml:space="preserve"> </w:t>
      </w:r>
      <w:r>
        <w:rPr>
          <w:rFonts w:eastAsia="Calibri"/>
          <w:snapToGrid/>
        </w:rPr>
        <w:t>rules.</w:t>
      </w:r>
    </w:p>
    <w:p w:rsidR="00247723" w:rsidP="00247723" w14:paraId="18C51BCC" w14:textId="4C9799A6">
      <w:pPr>
        <w:spacing w:after="120"/>
        <w:ind w:firstLine="720"/>
        <w:rPr>
          <w:szCs w:val="18"/>
        </w:rPr>
      </w:pPr>
      <w:r w:rsidRPr="00AB2E2D">
        <w:rPr>
          <w:i/>
          <w:iCs/>
          <w:szCs w:val="18"/>
        </w:rPr>
        <w:t>Filing Requirements</w:t>
      </w:r>
      <w:r w:rsidRPr="00AB2E2D">
        <w:rPr>
          <w:szCs w:val="18"/>
        </w:rPr>
        <w:t>.</w:t>
      </w:r>
      <w:r>
        <w:rPr>
          <w:szCs w:val="18"/>
        </w:rPr>
        <w:t xml:space="preserve">  </w:t>
      </w:r>
      <w:r>
        <w:rPr>
          <w:rFonts w:eastAsia="Calibri"/>
          <w:snapToGrid/>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rFonts w:eastAsia="Calibri"/>
          <w:i/>
          <w:snapToGrid/>
        </w:rPr>
        <w:t>See Electronic Filing of Documents in Rulemaking Proceedings</w:t>
      </w:r>
      <w:r>
        <w:rPr>
          <w:rFonts w:eastAsia="Calibri"/>
          <w:snapToGrid/>
        </w:rPr>
        <w:t>, 63 FR 24121 (1998).</w:t>
      </w:r>
    </w:p>
    <w:p w:rsidR="00247723" w:rsidP="00247723" w14:paraId="5CC81D46" w14:textId="77777777">
      <w:pPr>
        <w:numPr>
          <w:ilvl w:val="0"/>
          <w:numId w:val="7"/>
        </w:numPr>
        <w:spacing w:after="120"/>
        <w:rPr>
          <w:szCs w:val="18"/>
        </w:rPr>
      </w:pPr>
      <w:r>
        <w:rPr>
          <w:szCs w:val="18"/>
        </w:rPr>
        <w:t xml:space="preserve">Electronic Filers:  Comments may be filed electronically using the Internet by accessing the ECFS:  http://apps.fcc.gov/ecfs/.  </w:t>
      </w:r>
    </w:p>
    <w:p w:rsidR="00247723" w:rsidP="00247723" w14:paraId="0418012B" w14:textId="77777777">
      <w:pPr>
        <w:numPr>
          <w:ilvl w:val="0"/>
          <w:numId w:val="7"/>
        </w:numPr>
        <w:spacing w:after="120"/>
        <w:rPr>
          <w:szCs w:val="18"/>
        </w:rPr>
      </w:pPr>
      <w:r>
        <w:rPr>
          <w:szCs w:val="18"/>
        </w:rPr>
        <w:t xml:space="preserve">Paper Filers:  Parties who choose to file by paper must file an original and one copy of each filing. </w:t>
      </w:r>
    </w:p>
    <w:p w:rsidR="00247723" w:rsidP="00247723" w14:paraId="27F16FF7" w14:textId="77777777">
      <w:pPr>
        <w:numPr>
          <w:ilvl w:val="0"/>
          <w:numId w:val="7"/>
        </w:numPr>
        <w:spacing w:after="120"/>
        <w:rPr>
          <w:szCs w:val="18"/>
        </w:rPr>
      </w:pPr>
      <w:r>
        <w:rPr>
          <w:szCs w:val="18"/>
        </w:rPr>
        <w:t>Filings can be sent by commercial overnight courier, or by first-class or overnight U.S. Postal Service mail.  All filings must be addressed to the Commission’s Secretary, Office of the Secretary, Federal Communications Commission.</w:t>
      </w:r>
    </w:p>
    <w:p w:rsidR="00247723" w:rsidRPr="004D3CFE" w:rsidP="004D3CFE" w14:paraId="4E970DF6" w14:textId="33DEC69B">
      <w:pPr>
        <w:numPr>
          <w:ilvl w:val="1"/>
          <w:numId w:val="7"/>
        </w:numPr>
        <w:spacing w:after="120"/>
        <w:rPr>
          <w:szCs w:val="18"/>
        </w:rPr>
      </w:pPr>
      <w:r>
        <w:rPr>
          <w:szCs w:val="18"/>
        </w:rPr>
        <w:t>Commercial overnight mail (other than U.S. Postal Service Express Mail and Priority Mail) must be sent to 9050 Junction Drive, Annapolis Junction, MD  20701.</w:t>
      </w:r>
      <w:r w:rsidR="004D3CFE">
        <w:rPr>
          <w:szCs w:val="18"/>
        </w:rPr>
        <w:t xml:space="preserve">  </w:t>
      </w:r>
      <w:r w:rsidRPr="004D3CFE">
        <w:rPr>
          <w:szCs w:val="18"/>
        </w:rPr>
        <w:t>U.S. Postal Service first-class, Express, and Priority mail must be addressed to 45 L Street, NE, Washington, DC 20554.</w:t>
      </w:r>
    </w:p>
    <w:p w:rsidR="00247723" w:rsidRPr="004D3CFE" w:rsidP="004D3CFE" w14:paraId="13FF7D19" w14:textId="2A0DE1E5">
      <w:pPr>
        <w:numPr>
          <w:ilvl w:val="0"/>
          <w:numId w:val="7"/>
        </w:numPr>
        <w:spacing w:after="120"/>
        <w:rPr>
          <w:szCs w:val="18"/>
        </w:rPr>
      </w:pPr>
      <w:r>
        <w:rPr>
          <w:szCs w:val="18"/>
        </w:rPr>
        <w:t>Effective March 19, 2020, and until further notice, the Commission no longer accepts any hand or messenger delivered filings.  This is a temporary measure taken to help protect the health and safety of individuals, and to mitigate the transmission of COVID-19.</w:t>
      </w:r>
      <w:r w:rsidR="004D3CFE">
        <w:rPr>
          <w:szCs w:val="18"/>
        </w:rPr>
        <w:t xml:space="preserve">  </w:t>
      </w:r>
      <w:r w:rsidRPr="004D3CFE" w:rsidR="004D3CFE">
        <w:rPr>
          <w:szCs w:val="18"/>
        </w:rPr>
        <w:t xml:space="preserve">See FCC Announces Closure of FCC Headquarters Open Window and Change in Hand-Delivery Policy, Public Notice, DA 20-304 (March 19, 2020).  </w:t>
      </w:r>
    </w:p>
    <w:p w:rsidR="00247723" w:rsidP="00247723" w14:paraId="7714ECAE" w14:textId="77777777">
      <w:pPr>
        <w:spacing w:after="120"/>
        <w:ind w:firstLine="720"/>
        <w:rPr>
          <w:szCs w:val="18"/>
        </w:rPr>
      </w:pPr>
      <w:r w:rsidRPr="00AB2E2D">
        <w:rPr>
          <w:i/>
          <w:iCs/>
          <w:szCs w:val="18"/>
        </w:rPr>
        <w:t>People with Disabilities</w:t>
      </w:r>
      <w:r w:rsidRPr="00AB2E2D">
        <w:rPr>
          <w:szCs w:val="18"/>
        </w:rPr>
        <w:t>.</w:t>
      </w:r>
      <w:r>
        <w:rPr>
          <w:szCs w:val="18"/>
        </w:rPr>
        <w:t xml:space="preserve">  To request materials in accessible formats for people with disabilities (braille, large print, electronic files, audio format), send an e-mail to </w:t>
      </w:r>
      <w:hyperlink r:id="rId5" w:history="1">
        <w:r w:rsidRPr="00954A3A">
          <w:rPr>
            <w:rStyle w:val="Hyperlink"/>
            <w:szCs w:val="18"/>
          </w:rPr>
          <w:t>fcc504@fcc.gov</w:t>
        </w:r>
      </w:hyperlink>
      <w:r>
        <w:rPr>
          <w:szCs w:val="18"/>
        </w:rPr>
        <w:t xml:space="preserve"> or call the FCC’s Consumer and Governmental Affairs Bureau at (202) 418-0530 (voice).</w:t>
      </w:r>
    </w:p>
    <w:p w:rsidR="00247723" w:rsidP="00247723" w14:paraId="78C8B782" w14:textId="77777777">
      <w:pPr>
        <w:spacing w:after="120"/>
        <w:ind w:firstLine="720"/>
        <w:rPr>
          <w:szCs w:val="18"/>
          <w:highlight w:val="yellow"/>
        </w:rPr>
      </w:pPr>
      <w:r w:rsidRPr="00AB2E2D">
        <w:rPr>
          <w:i/>
          <w:iCs/>
          <w:szCs w:val="18"/>
        </w:rPr>
        <w:t>Availability of Documents</w:t>
      </w:r>
      <w:r w:rsidRPr="00AB2E2D">
        <w:rPr>
          <w:szCs w:val="18"/>
        </w:rPr>
        <w:t>.</w:t>
      </w:r>
      <w:r>
        <w:rPr>
          <w:szCs w:val="18"/>
        </w:rPr>
        <w:t xml:space="preserve">  Comments, reply comments, and </w:t>
      </w:r>
      <w:r>
        <w:rPr>
          <w:i/>
          <w:iCs/>
          <w:szCs w:val="18"/>
        </w:rPr>
        <w:t xml:space="preserve">ex </w:t>
      </w:r>
      <w:r>
        <w:rPr>
          <w:i/>
          <w:iCs/>
          <w:szCs w:val="18"/>
        </w:rPr>
        <w:t>parte</w:t>
      </w:r>
      <w:r>
        <w:rPr>
          <w:szCs w:val="18"/>
        </w:rPr>
        <w:t xml:space="preserve"> submissions will be available via ECFS.  Documents will be available electronically in ASCII, Microsoft Word, and/or Adobe Acrobat.</w:t>
      </w:r>
    </w:p>
    <w:p w:rsidR="00247723" w:rsidRPr="00A2342B" w:rsidP="00247723" w14:paraId="4734F06F" w14:textId="35DEAAC6">
      <w:pPr>
        <w:spacing w:after="120"/>
        <w:ind w:firstLine="720"/>
        <w:rPr>
          <w:szCs w:val="18"/>
        </w:rPr>
      </w:pPr>
      <w:r w:rsidRPr="00AB2E2D">
        <w:rPr>
          <w:i/>
          <w:iCs/>
          <w:szCs w:val="18"/>
        </w:rPr>
        <w:t>Additional Information</w:t>
      </w:r>
      <w:r w:rsidRPr="00AB2E2D">
        <w:rPr>
          <w:szCs w:val="18"/>
        </w:rPr>
        <w:t>.</w:t>
      </w:r>
      <w:r>
        <w:rPr>
          <w:szCs w:val="18"/>
        </w:rPr>
        <w:t xml:space="preserve">  For additional information, contact </w:t>
      </w:r>
      <w:r w:rsidR="00774B91">
        <w:t>Maria Mullarkey</w:t>
      </w:r>
      <w:r w:rsidR="00734749">
        <w:t>, M</w:t>
      </w:r>
      <w:r w:rsidR="00774B91">
        <w:t>aria</w:t>
      </w:r>
      <w:r w:rsidR="00734749">
        <w:t>.</w:t>
      </w:r>
      <w:r w:rsidR="00774B91">
        <w:t>Mullarkey</w:t>
      </w:r>
      <w:r w:rsidR="00734749">
        <w:t>@fcc.gov,</w:t>
      </w:r>
      <w:r>
        <w:rPr>
          <w:szCs w:val="18"/>
        </w:rPr>
        <w:t xml:space="preserve"> of the Media Bureau, Policy Division, (202) 418-</w:t>
      </w:r>
      <w:r w:rsidR="00A9198E">
        <w:rPr>
          <w:szCs w:val="18"/>
        </w:rPr>
        <w:t>2120</w:t>
      </w:r>
      <w:r w:rsidR="00734749">
        <w:rPr>
          <w:szCs w:val="18"/>
        </w:rPr>
        <w:t>.</w:t>
      </w:r>
    </w:p>
    <w:p w:rsidR="00247723" w:rsidP="00247723" w14:paraId="54F8B60E" w14:textId="77777777">
      <w:pPr>
        <w:spacing w:after="120"/>
        <w:jc w:val="center"/>
        <w:rPr>
          <w:szCs w:val="18"/>
        </w:rPr>
      </w:pPr>
      <w:r>
        <w:rPr>
          <w:szCs w:val="18"/>
        </w:rPr>
        <w:t>-FCC-</w:t>
      </w:r>
    </w:p>
    <w:p w:rsidR="00247723" w14:paraId="4C90FA87" w14:textId="77777777">
      <w:pPr>
        <w:rPr>
          <w:bCs/>
          <w:sz w:val="24"/>
        </w:rPr>
      </w:pP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09ABC7EA" w14:textId="77777777">
    <w:pPr>
      <w:pStyle w:val="Footer"/>
      <w:framePr w:wrap="around" w:vAnchor="text" w:hAnchor="margin" w:xAlign="center" w:y="1"/>
    </w:pPr>
    <w:r>
      <w:fldChar w:fldCharType="begin"/>
    </w:r>
    <w:r>
      <w:instrText xml:space="preserve">PAGE  </w:instrText>
    </w:r>
    <w:r>
      <w:fldChar w:fldCharType="separate"/>
    </w:r>
    <w:r>
      <w:fldChar w:fldCharType="end"/>
    </w:r>
  </w:p>
  <w:p w:rsidR="003A0DD8" w14:paraId="1E210A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4E21C83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64DC8E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6344" w14:paraId="6C191E9E" w14:textId="77777777">
      <w:r>
        <w:separator/>
      </w:r>
    </w:p>
  </w:footnote>
  <w:footnote w:type="continuationSeparator" w:id="1">
    <w:p w:rsidR="00486344" w14:paraId="32011AF0" w14:textId="77777777">
      <w:pPr>
        <w:rPr>
          <w:sz w:val="20"/>
        </w:rPr>
      </w:pPr>
      <w:r>
        <w:rPr>
          <w:sz w:val="20"/>
        </w:rPr>
        <w:t xml:space="preserve">(Continued from previous page)  </w:t>
      </w:r>
      <w:r>
        <w:rPr>
          <w:sz w:val="20"/>
        </w:rPr>
        <w:separator/>
      </w:r>
    </w:p>
  </w:footnote>
  <w:footnote w:type="continuationNotice" w:id="2">
    <w:p w:rsidR="00486344" w14:paraId="32276901" w14:textId="77777777">
      <w:pPr>
        <w:jc w:val="right"/>
        <w:rPr>
          <w:sz w:val="20"/>
        </w:rPr>
      </w:pPr>
      <w:r>
        <w:rPr>
          <w:sz w:val="20"/>
        </w:rPr>
        <w:t>(continued….)</w:t>
      </w:r>
    </w:p>
  </w:footnote>
  <w:footnote w:id="3">
    <w:p w:rsidR="00140E43" w14:paraId="6982D99A" w14:textId="4DC27A0D">
      <w:pPr>
        <w:pStyle w:val="FootnoteText"/>
      </w:pPr>
      <w:r>
        <w:rPr>
          <w:rStyle w:val="FootnoteReference"/>
        </w:rPr>
        <w:footnoteRef/>
      </w:r>
      <w:r>
        <w:t xml:space="preserve"> </w:t>
      </w:r>
      <w:r w:rsidR="004527AD">
        <w:t>Petition for Limited Waiver of Peloton Interactive, Inc., MB Docket No. 12-108, GN Docket No. 21-140 (Dec. 20, 2021) (Petition)</w:t>
      </w:r>
      <w:r w:rsidR="00862DCF">
        <w:t xml:space="preserve">, </w:t>
      </w:r>
      <w:r w:rsidRPr="00862DCF" w:rsidR="00862DCF">
        <w:rPr>
          <w:i/>
          <w:iCs/>
        </w:rPr>
        <w:t>available at</w:t>
      </w:r>
      <w:r w:rsidR="00862DCF">
        <w:t xml:space="preserve"> </w:t>
      </w:r>
      <w:r w:rsidRPr="00862DCF" w:rsidR="00862DCF">
        <w:t>https://ecfsapi.fcc.gov/file/1221276597367/2021.12.20%20-%20Peloton%20FCC%20Petition%20for%20Waiver%20(Final).pdf</w:t>
      </w:r>
      <w:r w:rsidR="00862DCF">
        <w:t xml:space="preserve">. </w:t>
      </w:r>
    </w:p>
  </w:footnote>
  <w:footnote w:id="4">
    <w:p w:rsidR="005558E6" w14:paraId="43A217FC" w14:textId="26FA4CA9">
      <w:pPr>
        <w:pStyle w:val="FootnoteText"/>
      </w:pPr>
      <w:r>
        <w:rPr>
          <w:rStyle w:val="FootnoteReference"/>
        </w:rPr>
        <w:footnoteRef/>
      </w:r>
      <w:r>
        <w:t xml:space="preserve"> </w:t>
      </w:r>
      <w:r w:rsidRPr="005558E6">
        <w:t xml:space="preserve">Covered digital apparatus are those that are designed to receive or play back video programming transmitted in digital format simultaneously with sound, excluding navigation devices.  </w:t>
      </w:r>
      <w:r w:rsidRPr="005558E6">
        <w:rPr>
          <w:i/>
          <w:iCs/>
        </w:rPr>
        <w:t>See</w:t>
      </w:r>
      <w:r w:rsidRPr="005558E6">
        <w:t xml:space="preserve"> 47 U.S.C. § 303(aa)(1); 47 CFR § 79.107(a)(1).</w:t>
      </w:r>
    </w:p>
  </w:footnote>
  <w:footnote w:id="5">
    <w:p w:rsidR="00343B4F" w:rsidP="00343B4F" w14:paraId="74B38950" w14:textId="11D85C50">
      <w:pPr>
        <w:pStyle w:val="FootnoteText"/>
      </w:pPr>
      <w:r>
        <w:rPr>
          <w:rStyle w:val="FootnoteReference"/>
        </w:rPr>
        <w:footnoteRef/>
      </w:r>
      <w:r>
        <w:t xml:space="preserve"> Pub. L. No. 111-260, 124 Stat. 2751 (2010) (as codified in various sections of 47 U.S.C.).  </w:t>
      </w:r>
      <w:r w:rsidRPr="00343B4F">
        <w:rPr>
          <w:i/>
          <w:iCs/>
        </w:rPr>
        <w:t>See also</w:t>
      </w:r>
      <w:r>
        <w:t xml:space="preserve"> Amendment of Twenty-First Century Communications and Video Accessibility Act of 2010, Pub. L. No. 111-265, 124 Stat. 2795 (2010) (making technical corrections to the CVAA).</w:t>
      </w:r>
    </w:p>
  </w:footnote>
  <w:footnote w:id="6">
    <w:p w:rsidR="007C1CA4" w14:paraId="74A2AB94" w14:textId="21F15F21">
      <w:pPr>
        <w:pStyle w:val="FootnoteText"/>
      </w:pPr>
      <w:r>
        <w:rPr>
          <w:rStyle w:val="FootnoteReference"/>
        </w:rPr>
        <w:footnoteRef/>
      </w:r>
      <w:r>
        <w:t xml:space="preserve"> </w:t>
      </w:r>
      <w:r w:rsidRPr="005558E6" w:rsidR="005558E6">
        <w:rPr>
          <w:i/>
          <w:iCs/>
        </w:rPr>
        <w:t>See Accessibility of User Interfaces, and Video Programming Guides and Menus; Accessible Emergency Information, and Apparatus Requirements for Emergency Information and Video Description: Implementation of the Twenty-First Century Communications and Video Accessibility Act of 2010</w:t>
      </w:r>
      <w:r w:rsidRPr="005558E6" w:rsidR="005558E6">
        <w:t xml:space="preserve">, Report and Order and Further Notice of Proposed Rulemaking, 28 FCC </w:t>
      </w:r>
      <w:r w:rsidRPr="005558E6" w:rsidR="005558E6">
        <w:t>Rcd</w:t>
      </w:r>
      <w:r w:rsidRPr="005558E6" w:rsidR="005558E6">
        <w:t xml:space="preserve"> 17330 (2013) (</w:t>
      </w:r>
      <w:r w:rsidRPr="005558E6" w:rsidR="005558E6">
        <w:rPr>
          <w:i/>
          <w:iCs/>
        </w:rPr>
        <w:t>Accessible User Interfaces Order</w:t>
      </w:r>
      <w:r w:rsidRPr="005558E6" w:rsidR="005558E6">
        <w:t>).</w:t>
      </w:r>
    </w:p>
  </w:footnote>
  <w:footnote w:id="7">
    <w:p w:rsidR="00753F89" w:rsidRPr="00B8560C" w:rsidP="00B8560C" w14:paraId="16A738D5" w14:textId="182FBF97">
      <w:pPr>
        <w:pStyle w:val="FootnoteText"/>
        <w:rPr>
          <w:rFonts w:eastAsia="Calibri"/>
        </w:rPr>
      </w:pPr>
      <w:r>
        <w:rPr>
          <w:rStyle w:val="FootnoteReference"/>
        </w:rPr>
        <w:footnoteRef/>
      </w:r>
      <w:r>
        <w:t xml:space="preserve"> </w:t>
      </w:r>
      <w:r w:rsidRPr="007C1CA4">
        <w:t>47 CFR § 79.107(a)(1)</w:t>
      </w:r>
      <w:r w:rsidR="00D962E6">
        <w:t>-(4)</w:t>
      </w:r>
      <w:r w:rsidRPr="007C1CA4">
        <w:t xml:space="preserve">.  </w:t>
      </w:r>
      <w:r w:rsidRPr="007C1CA4">
        <w:rPr>
          <w:i/>
          <w:iCs/>
        </w:rPr>
        <w:t xml:space="preserve">See also </w:t>
      </w:r>
      <w:r>
        <w:rPr>
          <w:i/>
          <w:iCs/>
        </w:rPr>
        <w:t>Accessible User Interfaces Order</w:t>
      </w:r>
      <w:r>
        <w:t xml:space="preserve">, 28 FCC </w:t>
      </w:r>
      <w:r>
        <w:t>Rcd</w:t>
      </w:r>
      <w:r>
        <w:t xml:space="preserve"> at</w:t>
      </w:r>
      <w:r w:rsidRPr="007C1CA4">
        <w:t xml:space="preserve"> 17363-71, paras. 53-63.</w:t>
      </w:r>
      <w:r w:rsidR="00B8560C">
        <w:t xml:space="preserve"> </w:t>
      </w:r>
    </w:p>
  </w:footnote>
  <w:footnote w:id="8">
    <w:p w:rsidR="007C1CA4" w14:paraId="2AECA015" w14:textId="388BE0DA">
      <w:pPr>
        <w:pStyle w:val="FootnoteText"/>
      </w:pPr>
      <w:r>
        <w:rPr>
          <w:rStyle w:val="FootnoteReference"/>
        </w:rPr>
        <w:footnoteRef/>
      </w:r>
      <w:r>
        <w:t xml:space="preserve"> </w:t>
      </w:r>
      <w:r w:rsidRPr="007C1CA4" w:rsidR="00753F89">
        <w:t>47 CFR § 79.107</w:t>
      </w:r>
      <w:r w:rsidR="00753F89">
        <w:t>(c)</w:t>
      </w:r>
      <w:r w:rsidRPr="007C1CA4" w:rsidR="00753F89">
        <w:t xml:space="preserve">.  </w:t>
      </w:r>
      <w:r w:rsidRPr="007C1CA4" w:rsidR="00753F89">
        <w:rPr>
          <w:i/>
          <w:iCs/>
        </w:rPr>
        <w:t xml:space="preserve">See also </w:t>
      </w:r>
      <w:r w:rsidR="00753F89">
        <w:rPr>
          <w:i/>
          <w:iCs/>
        </w:rPr>
        <w:t>Accessible User Interfaces Order</w:t>
      </w:r>
      <w:r w:rsidR="00753F89">
        <w:t xml:space="preserve">, 28 FCC </w:t>
      </w:r>
      <w:r w:rsidR="00753F89">
        <w:t>Rcd</w:t>
      </w:r>
      <w:r w:rsidR="00753F89">
        <w:t xml:space="preserve"> at</w:t>
      </w:r>
      <w:r w:rsidRPr="007C1CA4" w:rsidR="00753F89">
        <w:t xml:space="preserve"> </w:t>
      </w:r>
      <w:r w:rsidR="00587B0E">
        <w:t>17379</w:t>
      </w:r>
      <w:r w:rsidRPr="007C1CA4" w:rsidR="00753F89">
        <w:t>, paras.</w:t>
      </w:r>
      <w:r w:rsidR="00753F89">
        <w:t xml:space="preserve"> 77-78</w:t>
      </w:r>
      <w:r w:rsidRPr="007C1CA4" w:rsidR="00753F89">
        <w:t>.</w:t>
      </w:r>
    </w:p>
  </w:footnote>
  <w:footnote w:id="9">
    <w:p w:rsidR="00E520D3" w14:paraId="208C8194" w14:textId="05423EEF">
      <w:pPr>
        <w:pStyle w:val="FootnoteText"/>
      </w:pPr>
      <w:r>
        <w:rPr>
          <w:rStyle w:val="FootnoteReference"/>
        </w:rPr>
        <w:footnoteRef/>
      </w:r>
      <w:r>
        <w:t xml:space="preserve"> </w:t>
      </w:r>
      <w:r w:rsidRPr="007C1CA4">
        <w:t xml:space="preserve">47 CFR § 79.107(d)-(e).  </w:t>
      </w:r>
      <w:r w:rsidRPr="005558E6">
        <w:rPr>
          <w:i/>
          <w:iCs/>
        </w:rPr>
        <w:t>See also Accessibility of User Interfaces, and Video Programming Guides and Menus</w:t>
      </w:r>
      <w:r w:rsidRPr="007C1CA4">
        <w:t xml:space="preserve">, MB Docket No. 12-108, Second Report and Order, Order on Reconsideration, and Second Further Notice of Proposed Rulemaking, 30 FCC </w:t>
      </w:r>
      <w:r w:rsidRPr="007C1CA4">
        <w:t>Rcd</w:t>
      </w:r>
      <w:r w:rsidRPr="007C1CA4">
        <w:t xml:space="preserve"> 13914 (2015).</w:t>
      </w:r>
    </w:p>
  </w:footnote>
  <w:footnote w:id="10">
    <w:p w:rsidR="00140E43" w:rsidP="00140E43" w14:paraId="3199B3FF" w14:textId="27BE6F81">
      <w:pPr>
        <w:pStyle w:val="FootnoteText"/>
      </w:pPr>
      <w:r>
        <w:rPr>
          <w:rStyle w:val="FootnoteReference"/>
        </w:rPr>
        <w:footnoteRef/>
      </w:r>
      <w:r>
        <w:t xml:space="preserve"> </w:t>
      </w:r>
      <w:r>
        <w:rPr>
          <w:i/>
          <w:iCs/>
        </w:rPr>
        <w:t xml:space="preserve">See </w:t>
      </w:r>
      <w:r w:rsidRPr="00140E43">
        <w:rPr>
          <w:i/>
          <w:iCs/>
        </w:rPr>
        <w:t>supra</w:t>
      </w:r>
      <w:r>
        <w:t xml:space="preserve"> note 2.  </w:t>
      </w:r>
      <w:r w:rsidRPr="00140E43">
        <w:t>The</w:t>
      </w:r>
      <w:r>
        <w:t xml:space="preserve"> term “digital apparatus” includes the physical device and the video player(s) capable of displaying video programming transmitted in digital format simultaneously with sound that manufacturers install into the devices they manufacture before sale or direct consumers to install after sale, whether in the form of hardware, software, or a combination of both.  </w:t>
      </w:r>
      <w:r w:rsidRPr="00140E43">
        <w:rPr>
          <w:i/>
          <w:iCs/>
        </w:rPr>
        <w:t>See</w:t>
      </w:r>
      <w:r>
        <w:t xml:space="preserve"> Note 1 to 47 CFR § 79.107(a)(1).</w:t>
      </w:r>
    </w:p>
  </w:footnote>
  <w:footnote w:id="11">
    <w:p w:rsidR="00587B0E" w14:paraId="080A88FC" w14:textId="7BC0E675">
      <w:pPr>
        <w:pStyle w:val="FootnoteText"/>
      </w:pPr>
      <w:r>
        <w:rPr>
          <w:rStyle w:val="FootnoteReference"/>
        </w:rPr>
        <w:footnoteRef/>
      </w:r>
      <w:r>
        <w:t xml:space="preserve"> </w:t>
      </w:r>
      <w:r w:rsidRPr="007C1CA4" w:rsidR="004527AD">
        <w:t>47 CFR § 79.107</w:t>
      </w:r>
      <w:r w:rsidR="004527AD">
        <w:t>(b).</w:t>
      </w:r>
    </w:p>
  </w:footnote>
  <w:footnote w:id="12">
    <w:p w:rsidR="007C1CA4" w14:paraId="0F187BAD" w14:textId="2D870FDD">
      <w:pPr>
        <w:pStyle w:val="FootnoteText"/>
      </w:pPr>
      <w:r>
        <w:rPr>
          <w:rStyle w:val="FootnoteReference"/>
        </w:rPr>
        <w:footnoteRef/>
      </w:r>
      <w:r>
        <w:t xml:space="preserve"> </w:t>
      </w:r>
      <w:r w:rsidRPr="004527AD" w:rsidR="004527AD">
        <w:rPr>
          <w:i/>
          <w:iCs/>
        </w:rPr>
        <w:t>Id</w:t>
      </w:r>
      <w:r w:rsidR="004527AD">
        <w:t>.</w:t>
      </w:r>
      <w:r w:rsidRPr="007C1CA4">
        <w:t xml:space="preserve"> § 79.107(b)(1)-(3).</w:t>
      </w:r>
    </w:p>
  </w:footnote>
  <w:footnote w:id="13">
    <w:p w:rsidR="00530D4A" w:rsidRPr="00530D4A" w14:paraId="54F90AEE" w14:textId="5B6B56F4">
      <w:pPr>
        <w:pStyle w:val="FootnoteText"/>
      </w:pPr>
      <w:r>
        <w:rPr>
          <w:rStyle w:val="FootnoteReference"/>
        </w:rPr>
        <w:footnoteRef/>
      </w:r>
      <w:r>
        <w:t xml:space="preserve"> Petition at 2.</w:t>
      </w:r>
    </w:p>
  </w:footnote>
  <w:footnote w:id="14">
    <w:p w:rsidR="005301F7" w:rsidRPr="005301F7" w14:paraId="5A9321C2" w14:textId="284C8255">
      <w:pPr>
        <w:pStyle w:val="FootnoteText"/>
      </w:pPr>
      <w:r>
        <w:rPr>
          <w:rStyle w:val="FootnoteReference"/>
        </w:rPr>
        <w:footnoteRef/>
      </w:r>
      <w:r>
        <w:t xml:space="preserve"> </w:t>
      </w:r>
      <w:r>
        <w:rPr>
          <w:i/>
          <w:iCs/>
        </w:rPr>
        <w:t>Id</w:t>
      </w:r>
      <w:r>
        <w:t>. at 3.</w:t>
      </w:r>
    </w:p>
  </w:footnote>
  <w:footnote w:id="15">
    <w:p w:rsidR="00F728C9" w:rsidRPr="00AA4664" w:rsidP="00F728C9" w14:paraId="6611170D" w14:textId="58DD673D">
      <w:pPr>
        <w:pStyle w:val="FootnoteText"/>
      </w:pPr>
      <w:r>
        <w:rPr>
          <w:rStyle w:val="FootnoteReference"/>
        </w:rPr>
        <w:footnoteRef/>
      </w:r>
      <w:r>
        <w:t xml:space="preserve"> </w:t>
      </w:r>
      <w:r>
        <w:rPr>
          <w:i/>
          <w:iCs/>
        </w:rPr>
        <w:t>Id</w:t>
      </w:r>
      <w:r>
        <w:t>. at 7-11.</w:t>
      </w:r>
      <w:r w:rsidR="0046742F">
        <w:t xml:space="preserve">  Peloton provides a list of the</w:t>
      </w:r>
      <w:r w:rsidR="003670A5">
        <w:t xml:space="preserve"> additional</w:t>
      </w:r>
      <w:r w:rsidR="0046742F">
        <w:t xml:space="preserve"> accessibility features it plans to make in both Peloton and Precor products.  </w:t>
      </w:r>
      <w:r w:rsidR="0046742F">
        <w:rPr>
          <w:i/>
          <w:iCs/>
        </w:rPr>
        <w:t>Id</w:t>
      </w:r>
      <w:r w:rsidR="0046742F">
        <w:t xml:space="preserve">. at 12-14.  </w:t>
      </w:r>
    </w:p>
  </w:footnote>
  <w:footnote w:id="16">
    <w:p w:rsidR="00116FD8" w:rsidRPr="00116FD8" w14:paraId="76CC41B6" w14:textId="4BB660E7">
      <w:pPr>
        <w:pStyle w:val="FootnoteText"/>
      </w:pPr>
      <w:r>
        <w:rPr>
          <w:rStyle w:val="FootnoteReference"/>
        </w:rPr>
        <w:footnoteRef/>
      </w:r>
      <w:r>
        <w:t xml:space="preserve"> Peloton indicates that it acquired Precor Incorporated (Precor), one of the world’s largest commercial fitness equipment providers, earlier this year.  </w:t>
      </w:r>
      <w:r>
        <w:rPr>
          <w:i/>
          <w:iCs/>
        </w:rPr>
        <w:t>Id</w:t>
      </w:r>
      <w:r>
        <w:t>.</w:t>
      </w:r>
    </w:p>
  </w:footnote>
  <w:footnote w:id="17">
    <w:p w:rsidR="00655DF4" w:rsidRPr="006602DD" w14:paraId="42D398FD" w14:textId="73503D41">
      <w:pPr>
        <w:pStyle w:val="FootnoteText"/>
      </w:pPr>
      <w:r>
        <w:rPr>
          <w:rStyle w:val="FootnoteReference"/>
        </w:rPr>
        <w:footnoteRef/>
      </w:r>
      <w:r>
        <w:t xml:space="preserve"> </w:t>
      </w:r>
      <w:r>
        <w:rPr>
          <w:i/>
          <w:iCs/>
        </w:rPr>
        <w:t>Id</w:t>
      </w:r>
      <w:r>
        <w:t>. at 3-5.</w:t>
      </w:r>
      <w:r w:rsidR="006602DD">
        <w:t xml:space="preserve">  More specifically, Peloton seeks a waiver of Section 204’s requirements for subject products sold before the waiver period (on or before December 20, 2021), subject products sold during the waiver period (between December 20, 2021 and June 20, 2023), and subject products developed and sold prior to the expiration of the waiver period (on or before June 20, 2023)</w:t>
      </w:r>
      <w:r w:rsidR="00B50EB7">
        <w:t>.</w:t>
      </w:r>
      <w:r w:rsidR="006602DD">
        <w:t xml:space="preserve">  </w:t>
      </w:r>
      <w:r w:rsidR="006602DD">
        <w:rPr>
          <w:i/>
          <w:iCs/>
        </w:rPr>
        <w:t>Id</w:t>
      </w:r>
      <w:r w:rsidR="006602DD">
        <w:t>. at 5.</w:t>
      </w:r>
      <w:r w:rsidR="00C0334E">
        <w:t xml:space="preserve">  </w:t>
      </w:r>
    </w:p>
  </w:footnote>
  <w:footnote w:id="18">
    <w:p w:rsidR="00247723" w:rsidP="00247723" w14:paraId="128C83B5" w14:textId="77777777">
      <w:pPr>
        <w:pStyle w:val="FootnoteText"/>
      </w:pPr>
      <w:r>
        <w:rPr>
          <w:rStyle w:val="FootnoteReference"/>
          <w:szCs w:val="22"/>
        </w:rPr>
        <w:footnoteRef/>
      </w:r>
      <w:r>
        <w:rPr>
          <w:lang w:val="da-DK"/>
        </w:rPr>
        <w:t xml:space="preserve"> 47 CFR § 1.1200 </w:t>
      </w:r>
      <w:r>
        <w:rPr>
          <w:i/>
          <w:iCs/>
          <w:lang w:val="da-DK"/>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0214ED3C" w14:textId="3769151E">
    <w:pPr>
      <w:tabs>
        <w:tab w:val="center" w:pos="4680"/>
        <w:tab w:val="right" w:pos="9360"/>
      </w:tabs>
    </w:pPr>
    <w:r>
      <w:rPr>
        <w:b/>
      </w:rPr>
      <w:tab/>
    </w:r>
    <w:r>
      <w:rPr>
        <w:b/>
      </w:rPr>
      <w:t>Federal Communications Commission</w:t>
    </w:r>
    <w:r>
      <w:rPr>
        <w:b/>
      </w:rPr>
      <w:tab/>
    </w:r>
    <w:r w:rsidR="00867D72">
      <w:rPr>
        <w:b/>
      </w:rPr>
      <w:t xml:space="preserve">DA </w:t>
    </w:r>
    <w:r w:rsidR="008E5BE3">
      <w:rPr>
        <w:b/>
      </w:rPr>
      <w:t>21-1639</w:t>
    </w:r>
  </w:p>
  <w:p w:rsidR="003A0DD8" w14:paraId="77DDD655" w14:textId="539B3BBF">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3A0DD8" w14:paraId="14747C4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563" w:rsidRPr="00A866AC" w:rsidP="00824563" w14:paraId="0C55D834" w14:textId="3DA106B3">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4563" w:rsidP="00824563" w14:textId="77777777">
                          <w:pPr>
                            <w:rPr>
                              <w:rFonts w:ascii="Arial" w:hAnsi="Arial"/>
                              <w:b/>
                            </w:rPr>
                          </w:pPr>
                          <w:r>
                            <w:rPr>
                              <w:rFonts w:ascii="Arial" w:hAnsi="Arial"/>
                              <w:b/>
                            </w:rPr>
                            <w:t>Federal Communications Commission</w:t>
                          </w:r>
                        </w:p>
                        <w:p w:rsidR="00824563" w:rsidP="00824563" w14:textId="62546DBB">
                          <w:pPr>
                            <w:rPr>
                              <w:rFonts w:ascii="Arial" w:hAnsi="Arial"/>
                              <w:b/>
                            </w:rPr>
                          </w:pPr>
                          <w:r>
                            <w:rPr>
                              <w:rFonts w:ascii="Arial" w:hAnsi="Arial"/>
                              <w:b/>
                            </w:rPr>
                            <w:t>45 L Street NE</w:t>
                          </w:r>
                        </w:p>
                        <w:p w:rsidR="00824563" w:rsidP="00824563" w14:textId="684A19CB">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24563" w:rsidP="00824563" w14:paraId="27016715" w14:textId="77777777">
                    <w:pPr>
                      <w:rPr>
                        <w:rFonts w:ascii="Arial" w:hAnsi="Arial"/>
                        <w:b/>
                      </w:rPr>
                    </w:pPr>
                    <w:r>
                      <w:rPr>
                        <w:rFonts w:ascii="Arial" w:hAnsi="Arial"/>
                        <w:b/>
                      </w:rPr>
                      <w:t>Federal Communications Commission</w:t>
                    </w:r>
                  </w:p>
                  <w:p w:rsidR="00824563" w:rsidP="00824563" w14:paraId="7BDC55B6" w14:textId="62546DBB">
                    <w:pPr>
                      <w:rPr>
                        <w:rFonts w:ascii="Arial" w:hAnsi="Arial"/>
                        <w:b/>
                      </w:rPr>
                    </w:pPr>
                    <w:r>
                      <w:rPr>
                        <w:rFonts w:ascii="Arial" w:hAnsi="Arial"/>
                        <w:b/>
                      </w:rPr>
                      <w:t>45 L Street NE</w:t>
                    </w:r>
                  </w:p>
                  <w:p w:rsidR="00824563" w:rsidP="00824563" w14:paraId="4ED11317" w14:textId="684A19CB">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6697DC6" w:rsidR="007F12E7">
      <w:rPr>
        <w:rFonts w:ascii="Arial" w:hAnsi="Arial" w:cs="Arial"/>
        <w:b/>
        <w:bCs/>
        <w:sz w:val="96"/>
        <w:szCs w:val="96"/>
      </w:rPr>
      <w:t>PUBLIC NOTICE</w:t>
    </w:r>
  </w:p>
  <w:p w:rsidR="003A0DD8" w:rsidRPr="00824563" w:rsidP="00824563" w14:paraId="60540AAE" w14:textId="3C267F6D">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335" t="5715" r="571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4563" w:rsidP="00824563" w14:textId="77777777">
                          <w:pPr>
                            <w:spacing w:before="40"/>
                            <w:jc w:val="right"/>
                            <w:rPr>
                              <w:rFonts w:ascii="Arial" w:hAnsi="Arial"/>
                              <w:b/>
                              <w:sz w:val="16"/>
                            </w:rPr>
                          </w:pPr>
                          <w:r>
                            <w:rPr>
                              <w:rFonts w:ascii="Arial" w:hAnsi="Arial"/>
                              <w:b/>
                              <w:sz w:val="16"/>
                            </w:rPr>
                            <w:t>News Media Information 202 / 418-0500</w:t>
                          </w:r>
                        </w:p>
                        <w:p w:rsidR="00824563" w:rsidP="0082456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824563" w:rsidP="00824563" w14:textId="7C958770">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824563" w:rsidP="00824563" w14:paraId="440127A6" w14:textId="77777777">
                    <w:pPr>
                      <w:spacing w:before="40"/>
                      <w:jc w:val="right"/>
                      <w:rPr>
                        <w:rFonts w:ascii="Arial" w:hAnsi="Arial"/>
                        <w:b/>
                        <w:sz w:val="16"/>
                      </w:rPr>
                    </w:pPr>
                    <w:r>
                      <w:rPr>
                        <w:rFonts w:ascii="Arial" w:hAnsi="Arial"/>
                        <w:b/>
                        <w:sz w:val="16"/>
                      </w:rPr>
                      <w:t>News Media Information 202 / 418-0500</w:t>
                    </w:r>
                  </w:p>
                  <w:p w:rsidR="00824563" w:rsidP="00824563" w14:paraId="7B5AE358"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824563" w:rsidP="00824563" w14:paraId="68D09137" w14:textId="7C958770">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23"/>
    <w:rsid w:val="00002A3E"/>
    <w:rsid w:val="000134E2"/>
    <w:rsid w:val="000414BB"/>
    <w:rsid w:val="000478C9"/>
    <w:rsid w:val="000530FC"/>
    <w:rsid w:val="000755AA"/>
    <w:rsid w:val="00080569"/>
    <w:rsid w:val="000830CB"/>
    <w:rsid w:val="00095DC2"/>
    <w:rsid w:val="000B3B7A"/>
    <w:rsid w:val="000B48E8"/>
    <w:rsid w:val="000C3167"/>
    <w:rsid w:val="000C5490"/>
    <w:rsid w:val="000E510D"/>
    <w:rsid w:val="000F1550"/>
    <w:rsid w:val="00116FD8"/>
    <w:rsid w:val="001212D9"/>
    <w:rsid w:val="001231C8"/>
    <w:rsid w:val="00124A53"/>
    <w:rsid w:val="0013332B"/>
    <w:rsid w:val="00133ECD"/>
    <w:rsid w:val="001363C7"/>
    <w:rsid w:val="00140E43"/>
    <w:rsid w:val="0017450A"/>
    <w:rsid w:val="00190BF1"/>
    <w:rsid w:val="001B3867"/>
    <w:rsid w:val="001D1963"/>
    <w:rsid w:val="001D380C"/>
    <w:rsid w:val="001E5F40"/>
    <w:rsid w:val="001F249D"/>
    <w:rsid w:val="001F4685"/>
    <w:rsid w:val="0021425C"/>
    <w:rsid w:val="00226304"/>
    <w:rsid w:val="002305C1"/>
    <w:rsid w:val="0023248B"/>
    <w:rsid w:val="00247723"/>
    <w:rsid w:val="00272AC5"/>
    <w:rsid w:val="0027339A"/>
    <w:rsid w:val="0028345C"/>
    <w:rsid w:val="00285B62"/>
    <w:rsid w:val="002971FF"/>
    <w:rsid w:val="002A5B5D"/>
    <w:rsid w:val="002C0C73"/>
    <w:rsid w:val="002D0CC6"/>
    <w:rsid w:val="002E5375"/>
    <w:rsid w:val="00314108"/>
    <w:rsid w:val="003179E7"/>
    <w:rsid w:val="0032021E"/>
    <w:rsid w:val="00336502"/>
    <w:rsid w:val="00343B4F"/>
    <w:rsid w:val="00364BCA"/>
    <w:rsid w:val="003670A5"/>
    <w:rsid w:val="0037126C"/>
    <w:rsid w:val="003850AF"/>
    <w:rsid w:val="00385EC5"/>
    <w:rsid w:val="00385F4E"/>
    <w:rsid w:val="003A0DD8"/>
    <w:rsid w:val="003A4A2E"/>
    <w:rsid w:val="003A766F"/>
    <w:rsid w:val="003A76A3"/>
    <w:rsid w:val="003B4AE3"/>
    <w:rsid w:val="003B6F05"/>
    <w:rsid w:val="003C1279"/>
    <w:rsid w:val="003E6874"/>
    <w:rsid w:val="00402D1C"/>
    <w:rsid w:val="00407020"/>
    <w:rsid w:val="00413934"/>
    <w:rsid w:val="00413CFE"/>
    <w:rsid w:val="00416592"/>
    <w:rsid w:val="0042113C"/>
    <w:rsid w:val="00430441"/>
    <w:rsid w:val="0045231D"/>
    <w:rsid w:val="004527AD"/>
    <w:rsid w:val="0046742F"/>
    <w:rsid w:val="0046771B"/>
    <w:rsid w:val="0047313A"/>
    <w:rsid w:val="00486344"/>
    <w:rsid w:val="004A79BC"/>
    <w:rsid w:val="004C7C75"/>
    <w:rsid w:val="004D3CFE"/>
    <w:rsid w:val="004F6746"/>
    <w:rsid w:val="00501D33"/>
    <w:rsid w:val="00507E43"/>
    <w:rsid w:val="005301F7"/>
    <w:rsid w:val="00530D4A"/>
    <w:rsid w:val="00531632"/>
    <w:rsid w:val="00531D94"/>
    <w:rsid w:val="0054329C"/>
    <w:rsid w:val="005550AB"/>
    <w:rsid w:val="005558E6"/>
    <w:rsid w:val="00587B0E"/>
    <w:rsid w:val="00590706"/>
    <w:rsid w:val="005A6137"/>
    <w:rsid w:val="005B410B"/>
    <w:rsid w:val="005B6239"/>
    <w:rsid w:val="005B6C5E"/>
    <w:rsid w:val="005D6132"/>
    <w:rsid w:val="005E2B6B"/>
    <w:rsid w:val="005E3121"/>
    <w:rsid w:val="00611432"/>
    <w:rsid w:val="00616A46"/>
    <w:rsid w:val="0063509F"/>
    <w:rsid w:val="006371AC"/>
    <w:rsid w:val="0063782E"/>
    <w:rsid w:val="0064191C"/>
    <w:rsid w:val="006443E5"/>
    <w:rsid w:val="00645318"/>
    <w:rsid w:val="0065436D"/>
    <w:rsid w:val="00655DF4"/>
    <w:rsid w:val="006602DD"/>
    <w:rsid w:val="00670323"/>
    <w:rsid w:val="00687F15"/>
    <w:rsid w:val="006950DA"/>
    <w:rsid w:val="006A0FE2"/>
    <w:rsid w:val="006C69A0"/>
    <w:rsid w:val="006D42D3"/>
    <w:rsid w:val="006F3997"/>
    <w:rsid w:val="006F40A5"/>
    <w:rsid w:val="0070290A"/>
    <w:rsid w:val="00713616"/>
    <w:rsid w:val="007176F9"/>
    <w:rsid w:val="00734749"/>
    <w:rsid w:val="00747B7B"/>
    <w:rsid w:val="00753F89"/>
    <w:rsid w:val="00755E1B"/>
    <w:rsid w:val="00763F38"/>
    <w:rsid w:val="00774B91"/>
    <w:rsid w:val="00796A67"/>
    <w:rsid w:val="007C1CA4"/>
    <w:rsid w:val="007D6828"/>
    <w:rsid w:val="007E4EE6"/>
    <w:rsid w:val="007F12E7"/>
    <w:rsid w:val="008002F1"/>
    <w:rsid w:val="00807676"/>
    <w:rsid w:val="00821266"/>
    <w:rsid w:val="00824563"/>
    <w:rsid w:val="00824E52"/>
    <w:rsid w:val="00831B5F"/>
    <w:rsid w:val="008347E4"/>
    <w:rsid w:val="00862DCF"/>
    <w:rsid w:val="00865AB8"/>
    <w:rsid w:val="00867D72"/>
    <w:rsid w:val="00867FAD"/>
    <w:rsid w:val="00895112"/>
    <w:rsid w:val="00896327"/>
    <w:rsid w:val="008A3EE3"/>
    <w:rsid w:val="008B6AD8"/>
    <w:rsid w:val="008C0600"/>
    <w:rsid w:val="008C0A6F"/>
    <w:rsid w:val="008D2FA1"/>
    <w:rsid w:val="008E5BD5"/>
    <w:rsid w:val="008E5BE3"/>
    <w:rsid w:val="008F3C32"/>
    <w:rsid w:val="009114FB"/>
    <w:rsid w:val="00917B98"/>
    <w:rsid w:val="0092262F"/>
    <w:rsid w:val="0092456C"/>
    <w:rsid w:val="00926567"/>
    <w:rsid w:val="00936C97"/>
    <w:rsid w:val="00942CAA"/>
    <w:rsid w:val="00943097"/>
    <w:rsid w:val="009540EF"/>
    <w:rsid w:val="00954A3A"/>
    <w:rsid w:val="00961145"/>
    <w:rsid w:val="009642FF"/>
    <w:rsid w:val="009672FB"/>
    <w:rsid w:val="0097041D"/>
    <w:rsid w:val="00977BFE"/>
    <w:rsid w:val="00997264"/>
    <w:rsid w:val="009B59C2"/>
    <w:rsid w:val="009B7AEB"/>
    <w:rsid w:val="009C0FAF"/>
    <w:rsid w:val="009C709D"/>
    <w:rsid w:val="009E194C"/>
    <w:rsid w:val="009E58A9"/>
    <w:rsid w:val="009F67DF"/>
    <w:rsid w:val="00A01B6A"/>
    <w:rsid w:val="00A049E3"/>
    <w:rsid w:val="00A055FB"/>
    <w:rsid w:val="00A064D9"/>
    <w:rsid w:val="00A23351"/>
    <w:rsid w:val="00A2342B"/>
    <w:rsid w:val="00A471C8"/>
    <w:rsid w:val="00A5114A"/>
    <w:rsid w:val="00A52A04"/>
    <w:rsid w:val="00A70806"/>
    <w:rsid w:val="00A82575"/>
    <w:rsid w:val="00A866AC"/>
    <w:rsid w:val="00A91058"/>
    <w:rsid w:val="00A9198E"/>
    <w:rsid w:val="00A95D07"/>
    <w:rsid w:val="00AA4664"/>
    <w:rsid w:val="00AA5055"/>
    <w:rsid w:val="00AB2E2D"/>
    <w:rsid w:val="00AC5E0A"/>
    <w:rsid w:val="00AD3858"/>
    <w:rsid w:val="00AD3A87"/>
    <w:rsid w:val="00AE0474"/>
    <w:rsid w:val="00AE1589"/>
    <w:rsid w:val="00AF25BB"/>
    <w:rsid w:val="00AF4507"/>
    <w:rsid w:val="00B3607A"/>
    <w:rsid w:val="00B46579"/>
    <w:rsid w:val="00B50EB7"/>
    <w:rsid w:val="00B635CB"/>
    <w:rsid w:val="00B66CC2"/>
    <w:rsid w:val="00B81342"/>
    <w:rsid w:val="00B8202E"/>
    <w:rsid w:val="00B8560C"/>
    <w:rsid w:val="00BA4D69"/>
    <w:rsid w:val="00BB7BCA"/>
    <w:rsid w:val="00BB7D02"/>
    <w:rsid w:val="00BE2AA1"/>
    <w:rsid w:val="00BF6591"/>
    <w:rsid w:val="00C0334E"/>
    <w:rsid w:val="00C127EC"/>
    <w:rsid w:val="00C35632"/>
    <w:rsid w:val="00C37E5B"/>
    <w:rsid w:val="00C40DA0"/>
    <w:rsid w:val="00C462C1"/>
    <w:rsid w:val="00C46C01"/>
    <w:rsid w:val="00C60834"/>
    <w:rsid w:val="00C6257A"/>
    <w:rsid w:val="00C6755B"/>
    <w:rsid w:val="00CA0B61"/>
    <w:rsid w:val="00CA1EC5"/>
    <w:rsid w:val="00CA68C8"/>
    <w:rsid w:val="00D0557F"/>
    <w:rsid w:val="00D1174A"/>
    <w:rsid w:val="00D1720B"/>
    <w:rsid w:val="00D216CD"/>
    <w:rsid w:val="00D75042"/>
    <w:rsid w:val="00D962E6"/>
    <w:rsid w:val="00DA283D"/>
    <w:rsid w:val="00DB79CC"/>
    <w:rsid w:val="00DC6FF1"/>
    <w:rsid w:val="00DD11AF"/>
    <w:rsid w:val="00DE3BAA"/>
    <w:rsid w:val="00DE3E2A"/>
    <w:rsid w:val="00DE4123"/>
    <w:rsid w:val="00DE738E"/>
    <w:rsid w:val="00DF123E"/>
    <w:rsid w:val="00E04236"/>
    <w:rsid w:val="00E24020"/>
    <w:rsid w:val="00E327CB"/>
    <w:rsid w:val="00E34B8A"/>
    <w:rsid w:val="00E45D1E"/>
    <w:rsid w:val="00E520D3"/>
    <w:rsid w:val="00E53360"/>
    <w:rsid w:val="00E552FF"/>
    <w:rsid w:val="00E7703E"/>
    <w:rsid w:val="00E8249B"/>
    <w:rsid w:val="00E87097"/>
    <w:rsid w:val="00E92196"/>
    <w:rsid w:val="00EA7224"/>
    <w:rsid w:val="00EB7F96"/>
    <w:rsid w:val="00EE42DF"/>
    <w:rsid w:val="00EE4F84"/>
    <w:rsid w:val="00F243F5"/>
    <w:rsid w:val="00F27D8B"/>
    <w:rsid w:val="00F67685"/>
    <w:rsid w:val="00F7211B"/>
    <w:rsid w:val="00F728C9"/>
    <w:rsid w:val="00F73F28"/>
    <w:rsid w:val="00F82F49"/>
    <w:rsid w:val="00F84023"/>
    <w:rsid w:val="00F91E7F"/>
    <w:rsid w:val="00F92233"/>
    <w:rsid w:val="00F92D0E"/>
    <w:rsid w:val="00FB20FE"/>
    <w:rsid w:val="00FB7410"/>
    <w:rsid w:val="00FC1976"/>
    <w:rsid w:val="00FD64F7"/>
    <w:rsid w:val="00FE4A3E"/>
    <w:rsid w:val="3EE24E9E"/>
    <w:rsid w:val="66697DC6"/>
    <w:rsid w:val="7D84E9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90174E"/>
  <w15:chartTrackingRefBased/>
  <w15:docId w15:val="{557017BD-EB3D-4324-AD52-05321EC0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247723"/>
  </w:style>
  <w:style w:type="character" w:customStyle="1" w:styleId="UnresolvedMention">
    <w:name w:val="Unresolved Mention"/>
    <w:basedOn w:val="DefaultParagraphFont"/>
    <w:uiPriority w:val="99"/>
    <w:rsid w:val="004D3CFE"/>
    <w:rPr>
      <w:color w:val="605E5C"/>
      <w:shd w:val="clear" w:color="auto" w:fill="E1DFDD"/>
    </w:rPr>
  </w:style>
  <w:style w:type="character" w:styleId="CommentReference">
    <w:name w:val="annotation reference"/>
    <w:basedOn w:val="DefaultParagraphFont"/>
    <w:uiPriority w:val="99"/>
    <w:semiHidden/>
    <w:unhideWhenUsed/>
    <w:rsid w:val="00A064D9"/>
    <w:rPr>
      <w:sz w:val="16"/>
      <w:szCs w:val="16"/>
    </w:rPr>
  </w:style>
  <w:style w:type="paragraph" w:styleId="CommentText">
    <w:name w:val="annotation text"/>
    <w:basedOn w:val="Normal"/>
    <w:link w:val="CommentTextChar"/>
    <w:uiPriority w:val="99"/>
    <w:semiHidden/>
    <w:unhideWhenUsed/>
    <w:rsid w:val="00A064D9"/>
    <w:rPr>
      <w:sz w:val="20"/>
    </w:rPr>
  </w:style>
  <w:style w:type="character" w:customStyle="1" w:styleId="CommentTextChar">
    <w:name w:val="Comment Text Char"/>
    <w:basedOn w:val="DefaultParagraphFont"/>
    <w:link w:val="CommentText"/>
    <w:uiPriority w:val="99"/>
    <w:semiHidden/>
    <w:rsid w:val="00A064D9"/>
    <w:rPr>
      <w:snapToGrid w:val="0"/>
      <w:kern w:val="28"/>
    </w:rPr>
  </w:style>
  <w:style w:type="paragraph" w:styleId="CommentSubject">
    <w:name w:val="annotation subject"/>
    <w:basedOn w:val="CommentText"/>
    <w:next w:val="CommentText"/>
    <w:link w:val="CommentSubjectChar"/>
    <w:uiPriority w:val="99"/>
    <w:semiHidden/>
    <w:unhideWhenUsed/>
    <w:rsid w:val="00A064D9"/>
    <w:rPr>
      <w:b/>
      <w:bCs/>
    </w:rPr>
  </w:style>
  <w:style w:type="character" w:customStyle="1" w:styleId="CommentSubjectChar">
    <w:name w:val="Comment Subject Char"/>
    <w:basedOn w:val="CommentTextChar"/>
    <w:link w:val="CommentSubject"/>
    <w:uiPriority w:val="99"/>
    <w:semiHidden/>
    <w:rsid w:val="00A064D9"/>
    <w:rPr>
      <w:b/>
      <w:bCs/>
      <w:snapToGrid w:val="0"/>
      <w:kern w:val="28"/>
    </w:rPr>
  </w:style>
  <w:style w:type="paragraph" w:styleId="Revision">
    <w:name w:val="Revision"/>
    <w:hidden/>
    <w:uiPriority w:val="99"/>
    <w:semiHidden/>
    <w:rsid w:val="000830C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