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1CDEDD6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CDF7468" w14:textId="77777777">
      <w:pPr>
        <w:pStyle w:val="StyleBoldCentered"/>
      </w:pPr>
      <w:r>
        <w:t>F</w:t>
      </w:r>
      <w:r>
        <w:rPr>
          <w:caps w:val="0"/>
        </w:rPr>
        <w:t>ederal Communications Commission</w:t>
      </w:r>
    </w:p>
    <w:p w:rsidR="004C2EE3" w:rsidP="00096D8C" w14:paraId="13818D08" w14:textId="77777777">
      <w:pPr>
        <w:pStyle w:val="StyleBoldCentered"/>
      </w:pPr>
      <w:r>
        <w:rPr>
          <w:caps w:val="0"/>
        </w:rPr>
        <w:t>Washington, D.C. 20554</w:t>
      </w:r>
    </w:p>
    <w:p w:rsidR="004C2EE3" w:rsidP="0070224F" w14:paraId="26FA7156" w14:textId="77777777"/>
    <w:tbl>
      <w:tblPr>
        <w:tblW w:w="0" w:type="auto"/>
        <w:tblLayout w:type="fixed"/>
        <w:tblLook w:val="0000"/>
      </w:tblPr>
      <w:tblGrid>
        <w:gridCol w:w="4698"/>
        <w:gridCol w:w="630"/>
        <w:gridCol w:w="4248"/>
      </w:tblGrid>
      <w:tr w14:paraId="668AC215" w14:textId="77777777">
        <w:tblPrEx>
          <w:tblW w:w="0" w:type="auto"/>
          <w:tblLayout w:type="fixed"/>
          <w:tblLook w:val="0000"/>
        </w:tblPrEx>
        <w:tc>
          <w:tcPr>
            <w:tcW w:w="4698" w:type="dxa"/>
          </w:tcPr>
          <w:p w:rsidR="004C2EE3" w14:paraId="70DAC3EF" w14:textId="77777777">
            <w:pPr>
              <w:tabs>
                <w:tab w:val="center" w:pos="4680"/>
              </w:tabs>
              <w:suppressAutoHyphens/>
              <w:rPr>
                <w:spacing w:val="-2"/>
              </w:rPr>
            </w:pPr>
            <w:r>
              <w:rPr>
                <w:spacing w:val="-2"/>
              </w:rPr>
              <w:t>In the Matter of</w:t>
            </w:r>
            <w:r w:rsidR="00C02DDB">
              <w:rPr>
                <w:spacing w:val="-2"/>
              </w:rPr>
              <w:t xml:space="preserve"> the Application</w:t>
            </w:r>
            <w:r w:rsidR="00105057">
              <w:rPr>
                <w:spacing w:val="-2"/>
              </w:rPr>
              <w:t xml:space="preserve"> of</w:t>
            </w:r>
          </w:p>
          <w:p w:rsidR="004C2EE3" w14:paraId="139BA3E9" w14:textId="77777777">
            <w:pPr>
              <w:tabs>
                <w:tab w:val="center" w:pos="4680"/>
              </w:tabs>
              <w:suppressAutoHyphens/>
              <w:rPr>
                <w:spacing w:val="-2"/>
              </w:rPr>
            </w:pPr>
          </w:p>
          <w:p w:rsidR="003179B7" w:rsidP="00105057" w14:paraId="54EBCD54" w14:textId="77777777">
            <w:pPr>
              <w:widowControl/>
              <w:autoSpaceDE w:val="0"/>
              <w:autoSpaceDN w:val="0"/>
              <w:adjustRightInd w:val="0"/>
              <w:rPr>
                <w:spacing w:val="-2"/>
              </w:rPr>
            </w:pPr>
            <w:r>
              <w:rPr>
                <w:spacing w:val="-2"/>
              </w:rPr>
              <w:t>Amendment of Section 73.</w:t>
            </w:r>
            <w:r w:rsidR="00671F04">
              <w:rPr>
                <w:spacing w:val="-2"/>
              </w:rPr>
              <w:t>622(</w:t>
            </w:r>
            <w:r w:rsidR="00671F04">
              <w:rPr>
                <w:spacing w:val="-2"/>
              </w:rPr>
              <w:t>i</w:t>
            </w:r>
            <w:r w:rsidR="00671F04">
              <w:rPr>
                <w:spacing w:val="-2"/>
              </w:rPr>
              <w:t>)</w:t>
            </w:r>
            <w:r>
              <w:rPr>
                <w:spacing w:val="-2"/>
              </w:rPr>
              <w:t xml:space="preserve"> </w:t>
            </w:r>
          </w:p>
          <w:p w:rsidR="003E161E" w:rsidP="00105057" w14:paraId="7530E561" w14:textId="77777777">
            <w:pPr>
              <w:widowControl/>
              <w:autoSpaceDE w:val="0"/>
              <w:autoSpaceDN w:val="0"/>
              <w:adjustRightInd w:val="0"/>
              <w:rPr>
                <w:spacing w:val="-2"/>
              </w:rPr>
            </w:pPr>
            <w:r>
              <w:rPr>
                <w:spacing w:val="-2"/>
              </w:rPr>
              <w:t>Post-Transition Table of DTV Allotments</w:t>
            </w:r>
          </w:p>
          <w:p w:rsidR="003179B7" w:rsidP="00105057" w14:paraId="6FDCC095" w14:textId="77777777">
            <w:pPr>
              <w:widowControl/>
              <w:autoSpaceDE w:val="0"/>
              <w:autoSpaceDN w:val="0"/>
              <w:adjustRightInd w:val="0"/>
              <w:rPr>
                <w:spacing w:val="-2"/>
              </w:rPr>
            </w:pPr>
            <w:r>
              <w:rPr>
                <w:spacing w:val="-2"/>
              </w:rPr>
              <w:t>Television Broadcast Stations</w:t>
            </w:r>
          </w:p>
          <w:p w:rsidR="003179B7" w:rsidRPr="00105057" w:rsidP="00105057" w14:paraId="02D50832" w14:textId="77777777">
            <w:pPr>
              <w:widowControl/>
              <w:autoSpaceDE w:val="0"/>
              <w:autoSpaceDN w:val="0"/>
              <w:adjustRightInd w:val="0"/>
              <w:rPr>
                <w:spacing w:val="-2"/>
              </w:rPr>
            </w:pPr>
            <w:r>
              <w:rPr>
                <w:spacing w:val="-2"/>
              </w:rPr>
              <w:t>(</w:t>
            </w:r>
            <w:bookmarkStart w:id="0" w:name="_GoBack"/>
            <w:r w:rsidR="003E161E">
              <w:rPr>
                <w:spacing w:val="-2"/>
              </w:rPr>
              <w:t>Peoria and Oswego, Illinois</w:t>
            </w:r>
            <w:bookmarkEnd w:id="0"/>
            <w:r>
              <w:rPr>
                <w:spacing w:val="-2"/>
              </w:rPr>
              <w:t>)</w:t>
            </w:r>
          </w:p>
          <w:p w:rsidR="004C2EE3" w:rsidRPr="007115F7" w:rsidP="00CF0B5C" w14:paraId="41A82794" w14:textId="77777777">
            <w:pPr>
              <w:widowControl/>
              <w:autoSpaceDE w:val="0"/>
              <w:autoSpaceDN w:val="0"/>
              <w:adjustRightInd w:val="0"/>
              <w:rPr>
                <w:spacing w:val="-2"/>
              </w:rPr>
            </w:pPr>
          </w:p>
        </w:tc>
        <w:tc>
          <w:tcPr>
            <w:tcW w:w="630" w:type="dxa"/>
          </w:tcPr>
          <w:p w:rsidR="004C2EE3" w:rsidRPr="00105057" w14:paraId="6B032232" w14:textId="77777777">
            <w:pPr>
              <w:tabs>
                <w:tab w:val="center" w:pos="4680"/>
              </w:tabs>
              <w:suppressAutoHyphens/>
              <w:rPr>
                <w:spacing w:val="-2"/>
              </w:rPr>
            </w:pPr>
            <w:r w:rsidRPr="00105057">
              <w:rPr>
                <w:spacing w:val="-2"/>
              </w:rPr>
              <w:t>)</w:t>
            </w:r>
          </w:p>
          <w:p w:rsidR="004C2EE3" w:rsidRPr="00105057" w14:paraId="7243C94E" w14:textId="77777777">
            <w:pPr>
              <w:tabs>
                <w:tab w:val="center" w:pos="4680"/>
              </w:tabs>
              <w:suppressAutoHyphens/>
              <w:rPr>
                <w:spacing w:val="-2"/>
              </w:rPr>
            </w:pPr>
            <w:r w:rsidRPr="00105057">
              <w:rPr>
                <w:spacing w:val="-2"/>
              </w:rPr>
              <w:t>)</w:t>
            </w:r>
          </w:p>
          <w:p w:rsidR="004C2EE3" w:rsidRPr="00105057" w14:paraId="2D8E99F7" w14:textId="77777777">
            <w:pPr>
              <w:tabs>
                <w:tab w:val="center" w:pos="4680"/>
              </w:tabs>
              <w:suppressAutoHyphens/>
              <w:rPr>
                <w:spacing w:val="-2"/>
              </w:rPr>
            </w:pPr>
            <w:r w:rsidRPr="00105057">
              <w:rPr>
                <w:spacing w:val="-2"/>
              </w:rPr>
              <w:t>)</w:t>
            </w:r>
          </w:p>
          <w:p w:rsidR="004C2EE3" w:rsidRPr="00105057" w14:paraId="52B57078" w14:textId="77777777">
            <w:pPr>
              <w:tabs>
                <w:tab w:val="center" w:pos="4680"/>
              </w:tabs>
              <w:suppressAutoHyphens/>
              <w:rPr>
                <w:spacing w:val="-2"/>
              </w:rPr>
            </w:pPr>
            <w:r w:rsidRPr="00105057">
              <w:rPr>
                <w:spacing w:val="-2"/>
              </w:rPr>
              <w:t>)</w:t>
            </w:r>
          </w:p>
          <w:p w:rsidR="004C2EE3" w14:paraId="15A8A056" w14:textId="05977B86">
            <w:pPr>
              <w:tabs>
                <w:tab w:val="center" w:pos="4680"/>
              </w:tabs>
              <w:suppressAutoHyphens/>
              <w:rPr>
                <w:spacing w:val="-2"/>
              </w:rPr>
            </w:pPr>
            <w:r w:rsidRPr="00105057">
              <w:rPr>
                <w:spacing w:val="-2"/>
              </w:rPr>
              <w:t>)</w:t>
            </w:r>
          </w:p>
          <w:p w:rsidR="00C00738" w:rsidRPr="00105057" w14:paraId="1F6A6613" w14:textId="4FDAA8B0">
            <w:pPr>
              <w:tabs>
                <w:tab w:val="center" w:pos="4680"/>
              </w:tabs>
              <w:suppressAutoHyphens/>
              <w:rPr>
                <w:spacing w:val="-2"/>
              </w:rPr>
            </w:pPr>
            <w:r>
              <w:rPr>
                <w:spacing w:val="-2"/>
              </w:rPr>
              <w:t>)</w:t>
            </w:r>
          </w:p>
          <w:p w:rsidR="00CF0B5C" w14:paraId="011BB692" w14:textId="77777777">
            <w:pPr>
              <w:tabs>
                <w:tab w:val="center" w:pos="4680"/>
              </w:tabs>
              <w:suppressAutoHyphens/>
              <w:rPr>
                <w:spacing w:val="-2"/>
              </w:rPr>
            </w:pPr>
          </w:p>
        </w:tc>
        <w:tc>
          <w:tcPr>
            <w:tcW w:w="4248" w:type="dxa"/>
          </w:tcPr>
          <w:p w:rsidR="004C2EE3" w14:paraId="1F37C2C7" w14:textId="77777777">
            <w:pPr>
              <w:tabs>
                <w:tab w:val="center" w:pos="4680"/>
              </w:tabs>
              <w:suppressAutoHyphens/>
              <w:rPr>
                <w:spacing w:val="-2"/>
              </w:rPr>
            </w:pPr>
          </w:p>
          <w:p w:rsidR="004C2EE3" w14:paraId="39380790" w14:textId="77777777">
            <w:pPr>
              <w:pStyle w:val="TOAHeading"/>
              <w:tabs>
                <w:tab w:val="center" w:pos="4680"/>
                <w:tab w:val="clear" w:pos="9360"/>
              </w:tabs>
              <w:rPr>
                <w:spacing w:val="-2"/>
              </w:rPr>
            </w:pPr>
          </w:p>
          <w:p w:rsidR="004C2EE3" w14:paraId="3586F84A" w14:textId="6AE86F28">
            <w:pPr>
              <w:tabs>
                <w:tab w:val="center" w:pos="4680"/>
              </w:tabs>
              <w:suppressAutoHyphens/>
              <w:rPr>
                <w:spacing w:val="-2"/>
              </w:rPr>
            </w:pPr>
            <w:bookmarkStart w:id="1" w:name="_Hlk500146806"/>
            <w:r>
              <w:rPr>
                <w:spacing w:val="-2"/>
              </w:rPr>
              <w:t>MB Docket No.</w:t>
            </w:r>
            <w:r w:rsidR="008D617A">
              <w:rPr>
                <w:spacing w:val="-2"/>
              </w:rPr>
              <w:t xml:space="preserve"> </w:t>
            </w:r>
            <w:r w:rsidR="003E161E">
              <w:rPr>
                <w:spacing w:val="-2"/>
              </w:rPr>
              <w:t>21-</w:t>
            </w:r>
            <w:r w:rsidR="00325544">
              <w:rPr>
                <w:spacing w:val="-2"/>
              </w:rPr>
              <w:t>54</w:t>
            </w:r>
          </w:p>
          <w:p w:rsidR="00C7372D" w14:paraId="15F0104B" w14:textId="11B80590">
            <w:pPr>
              <w:tabs>
                <w:tab w:val="center" w:pos="4680"/>
              </w:tabs>
              <w:suppressAutoHyphens/>
              <w:rPr>
                <w:spacing w:val="-2"/>
              </w:rPr>
            </w:pPr>
            <w:r>
              <w:rPr>
                <w:spacing w:val="-2"/>
              </w:rPr>
              <w:t>RM</w:t>
            </w:r>
            <w:r w:rsidR="00325544">
              <w:rPr>
                <w:spacing w:val="-2"/>
              </w:rPr>
              <w:t>-11879</w:t>
            </w:r>
          </w:p>
          <w:bookmarkEnd w:id="1"/>
          <w:p w:rsidR="00105057" w:rsidP="00C7372D" w14:paraId="35ADC5D1" w14:textId="77777777">
            <w:pPr>
              <w:widowControl/>
              <w:autoSpaceDE w:val="0"/>
              <w:autoSpaceDN w:val="0"/>
              <w:adjustRightInd w:val="0"/>
              <w:rPr>
                <w:spacing w:val="-2"/>
              </w:rPr>
            </w:pPr>
          </w:p>
        </w:tc>
      </w:tr>
    </w:tbl>
    <w:p w:rsidR="00841AB1" w:rsidP="00F021FA" w14:paraId="05E2D501" w14:textId="77777777">
      <w:pPr>
        <w:pStyle w:val="StyleBoldCentered"/>
      </w:pPr>
      <w:r>
        <w:t xml:space="preserve">Notice of Proposed RuleMaking </w:t>
      </w:r>
    </w:p>
    <w:p w:rsidR="004C2EE3" w14:paraId="6A1249D3" w14:textId="77777777">
      <w:pPr>
        <w:tabs>
          <w:tab w:val="left" w:pos="-720"/>
        </w:tabs>
        <w:suppressAutoHyphens/>
        <w:spacing w:line="227" w:lineRule="auto"/>
        <w:rPr>
          <w:spacing w:val="-2"/>
        </w:rPr>
      </w:pPr>
    </w:p>
    <w:p w:rsidR="004C2EE3" w:rsidP="00133F79" w14:paraId="5AA701E9" w14:textId="78B01E16">
      <w:pPr>
        <w:tabs>
          <w:tab w:val="left" w:pos="720"/>
          <w:tab w:val="right" w:pos="9360"/>
        </w:tabs>
        <w:suppressAutoHyphens/>
        <w:spacing w:line="227" w:lineRule="auto"/>
        <w:rPr>
          <w:spacing w:val="-2"/>
        </w:rPr>
      </w:pPr>
      <w:r>
        <w:rPr>
          <w:b/>
          <w:spacing w:val="-2"/>
        </w:rPr>
        <w:t xml:space="preserve">Adopted:  </w:t>
      </w:r>
      <w:r w:rsidR="00E61C0E">
        <w:rPr>
          <w:b/>
          <w:spacing w:val="-2"/>
        </w:rPr>
        <w:t>February 12, 2021</w:t>
      </w:r>
      <w:r w:rsidR="00CE1F7C">
        <w:rPr>
          <w:b/>
          <w:spacing w:val="-2"/>
        </w:rPr>
        <w:t xml:space="preserve">                                                                            </w:t>
      </w:r>
      <w:r w:rsidR="00596EB6">
        <w:rPr>
          <w:b/>
          <w:spacing w:val="-2"/>
        </w:rPr>
        <w:tab/>
      </w:r>
      <w:r w:rsidR="00822CE0">
        <w:rPr>
          <w:b/>
          <w:spacing w:val="-2"/>
        </w:rPr>
        <w:t>Released</w:t>
      </w:r>
      <w:r>
        <w:rPr>
          <w:b/>
          <w:spacing w:val="-2"/>
        </w:rPr>
        <w:t>:</w:t>
      </w:r>
      <w:r w:rsidR="00822CE0">
        <w:rPr>
          <w:b/>
          <w:spacing w:val="-2"/>
        </w:rPr>
        <w:t xml:space="preserve"> </w:t>
      </w:r>
      <w:r w:rsidR="00E61C0E">
        <w:rPr>
          <w:b/>
          <w:spacing w:val="-2"/>
        </w:rPr>
        <w:t>February 12, 2021</w:t>
      </w:r>
    </w:p>
    <w:p w:rsidR="00822CE0" w14:paraId="540134D0" w14:textId="77777777"/>
    <w:p w:rsidR="00C7372D" w14:paraId="4D54025A" w14:textId="77777777">
      <w:r>
        <w:t>Comment Date:</w:t>
      </w:r>
      <w:r w:rsidR="001349BA">
        <w:t xml:space="preserve"> </w:t>
      </w:r>
      <w:r w:rsidRPr="00E13606" w:rsidR="001349BA">
        <w:t>[30 days after date of publication in the Federal Register]</w:t>
      </w:r>
    </w:p>
    <w:p w:rsidR="00C7372D" w14:paraId="2AEB1B07" w14:textId="77777777">
      <w:r>
        <w:t>Reply Comment Date:</w:t>
      </w:r>
      <w:r w:rsidR="001349BA">
        <w:t xml:space="preserve"> [45 days after date of publ</w:t>
      </w:r>
      <w:r w:rsidR="001D1734">
        <w:t>ication in the Federal Register]</w:t>
      </w:r>
    </w:p>
    <w:p w:rsidR="00C7372D" w14:paraId="18789757" w14:textId="77777777"/>
    <w:p w:rsidR="004C2EE3" w14:paraId="65529622" w14:textId="49C7793A">
      <w:pPr>
        <w:rPr>
          <w:spacing w:val="-2"/>
        </w:rPr>
      </w:pPr>
      <w:r>
        <w:t xml:space="preserve">By </w:t>
      </w:r>
      <w:r w:rsidR="004E4A22">
        <w:t>the</w:t>
      </w:r>
      <w:r w:rsidR="002A2D2E">
        <w:t xml:space="preserve"> </w:t>
      </w:r>
      <w:r w:rsidR="003F47A5">
        <w:t xml:space="preserve">Chief, Video Division, </w:t>
      </w:r>
      <w:r w:rsidR="00105057">
        <w:t>Media Bureau</w:t>
      </w:r>
      <w:r>
        <w:rPr>
          <w:spacing w:val="-2"/>
        </w:rPr>
        <w:t>:</w:t>
      </w:r>
    </w:p>
    <w:p w:rsidR="00AE78D5" w14:paraId="04828ADA" w14:textId="1F158C70">
      <w:pPr>
        <w:rPr>
          <w:spacing w:val="-2"/>
        </w:rPr>
      </w:pPr>
    </w:p>
    <w:p w:rsidR="00AE78D5" w:rsidP="00AE78D5" w14:paraId="18B963DB" w14:textId="0DC4D4A1">
      <w:pPr>
        <w:pStyle w:val="Heading1"/>
      </w:pPr>
      <w:r>
        <w:t>INTRODUCTION</w:t>
      </w:r>
    </w:p>
    <w:p w:rsidR="00412FC5" w:rsidP="00412FC5" w14:paraId="2C5672AA" w14:textId="77777777"/>
    <w:p w:rsidR="00B87078" w:rsidP="00596EB6" w14:paraId="0B79B535" w14:textId="15206673">
      <w:pPr>
        <w:pStyle w:val="ParaNum"/>
      </w:pPr>
      <w:r>
        <w:t>The</w:t>
      </w:r>
      <w:r w:rsidR="00C7372D">
        <w:t xml:space="preserve"> </w:t>
      </w:r>
      <w:r w:rsidR="00121B85">
        <w:t>Video Division</w:t>
      </w:r>
      <w:r w:rsidR="00C7372D">
        <w:t xml:space="preserve"> </w:t>
      </w:r>
      <w:r w:rsidR="00955003">
        <w:t xml:space="preserve">(Division) </w:t>
      </w:r>
      <w:r w:rsidR="00C7372D">
        <w:t xml:space="preserve">has before it a petition for rulemaking </w:t>
      </w:r>
      <w:r w:rsidR="001947B7">
        <w:t xml:space="preserve">(Petition) </w:t>
      </w:r>
      <w:r w:rsidR="00C7372D">
        <w:t xml:space="preserve">filed </w:t>
      </w:r>
      <w:bookmarkStart w:id="2" w:name="_Hlk61250100"/>
      <w:r w:rsidR="00C7372D">
        <w:t xml:space="preserve">by </w:t>
      </w:r>
      <w:r w:rsidRPr="001C6F24" w:rsidR="001C6F24">
        <w:t>Four Seasons Peoria, LLC</w:t>
      </w:r>
      <w:r w:rsidR="00C7372D">
        <w:t xml:space="preserve"> </w:t>
      </w:r>
      <w:bookmarkEnd w:id="2"/>
      <w:r w:rsidR="00C7372D">
        <w:t>(Petitioner</w:t>
      </w:r>
      <w:r w:rsidR="00E94A7E">
        <w:t>)</w:t>
      </w:r>
      <w:r w:rsidR="00C7372D">
        <w:t xml:space="preserve">, licensee of television station </w:t>
      </w:r>
      <w:r w:rsidR="001C6F24">
        <w:t>WAOE, channel 10, Peoria, Illinois</w:t>
      </w:r>
      <w:r w:rsidR="00EE63C7">
        <w:t xml:space="preserve"> (WAOE or Station)</w:t>
      </w:r>
      <w:r w:rsidR="001947B7">
        <w:t>.</w:t>
      </w:r>
      <w:r>
        <w:rPr>
          <w:rStyle w:val="FootnoteReference"/>
        </w:rPr>
        <w:footnoteReference w:id="3"/>
      </w:r>
      <w:r w:rsidR="001947B7">
        <w:t xml:space="preserve">  </w:t>
      </w:r>
      <w:r w:rsidR="00E94A7E">
        <w:t>Petitioner</w:t>
      </w:r>
      <w:r w:rsidR="001947B7">
        <w:t xml:space="preserve"> </w:t>
      </w:r>
      <w:r w:rsidR="002228A1">
        <w:t>requests an</w:t>
      </w:r>
      <w:r w:rsidR="001947B7">
        <w:t xml:space="preserve"> </w:t>
      </w:r>
      <w:r w:rsidR="009E2E69">
        <w:t>amend</w:t>
      </w:r>
      <w:r w:rsidR="000E3CB9">
        <w:t>ment</w:t>
      </w:r>
      <w:r w:rsidR="00513726">
        <w:t xml:space="preserve"> </w:t>
      </w:r>
      <w:r w:rsidR="002228A1">
        <w:t>of</w:t>
      </w:r>
      <w:r w:rsidR="00671F04">
        <w:t xml:space="preserve"> </w:t>
      </w:r>
      <w:r w:rsidR="00DF3050">
        <w:t xml:space="preserve">the </w:t>
      </w:r>
      <w:r w:rsidR="00671F04">
        <w:t>DTV Table of Allotments</w:t>
      </w:r>
      <w:r w:rsidR="00DC76CF">
        <w:t xml:space="preserve"> </w:t>
      </w:r>
      <w:r w:rsidR="00671F04">
        <w:t>to</w:t>
      </w:r>
      <w:r w:rsidR="00431BD6">
        <w:t xml:space="preserve"> delet</w:t>
      </w:r>
      <w:r w:rsidR="00671F04">
        <w:t>e</w:t>
      </w:r>
      <w:r w:rsidR="00431BD6">
        <w:t xml:space="preserve"> c</w:t>
      </w:r>
      <w:r w:rsidR="001947B7">
        <w:t xml:space="preserve">hannel </w:t>
      </w:r>
      <w:r w:rsidR="00A559BF">
        <w:t>10</w:t>
      </w:r>
      <w:r w:rsidR="001947B7">
        <w:t xml:space="preserve"> at </w:t>
      </w:r>
      <w:r w:rsidR="001C6F24">
        <w:t>Peoria, Illinois</w:t>
      </w:r>
      <w:r w:rsidR="009E2E69">
        <w:t>,</w:t>
      </w:r>
      <w:r w:rsidR="00513726">
        <w:t xml:space="preserve"> and</w:t>
      </w:r>
      <w:r w:rsidR="00431BD6">
        <w:t xml:space="preserve"> substitut</w:t>
      </w:r>
      <w:r w:rsidR="00671F04">
        <w:t>e</w:t>
      </w:r>
      <w:r w:rsidR="00431BD6">
        <w:t xml:space="preserve"> channel </w:t>
      </w:r>
      <w:r w:rsidR="00A559BF">
        <w:t>10</w:t>
      </w:r>
      <w:r w:rsidR="00431BD6">
        <w:t xml:space="preserve"> at </w:t>
      </w:r>
      <w:r w:rsidR="001C6F24">
        <w:t>Oswego, Illinois</w:t>
      </w:r>
      <w:r w:rsidR="001947B7">
        <w:t>.</w:t>
      </w:r>
      <w:r>
        <w:rPr>
          <w:rStyle w:val="FootnoteReference"/>
        </w:rPr>
        <w:footnoteReference w:id="4"/>
      </w:r>
      <w:r w:rsidR="00CE3D90">
        <w:t xml:space="preserve"> </w:t>
      </w:r>
      <w:r w:rsidR="001947B7">
        <w:t xml:space="preserve"> Petitioner </w:t>
      </w:r>
      <w:r w:rsidR="00CE1F7C">
        <w:t>further</w:t>
      </w:r>
      <w:r w:rsidR="001947B7">
        <w:t xml:space="preserve"> requests modification of W</w:t>
      </w:r>
      <w:r w:rsidR="001C6F24">
        <w:t>AOE</w:t>
      </w:r>
      <w:r w:rsidR="001947B7">
        <w:t xml:space="preserve">’s license to specify </w:t>
      </w:r>
      <w:r w:rsidR="001C6F24">
        <w:t>Oswego</w:t>
      </w:r>
      <w:r w:rsidR="001947B7">
        <w:t xml:space="preserve"> as </w:t>
      </w:r>
      <w:r w:rsidR="00513726">
        <w:t>its</w:t>
      </w:r>
      <w:r w:rsidR="001947B7">
        <w:t xml:space="preserve"> community of license</w:t>
      </w:r>
      <w:r w:rsidR="006F08B2">
        <w:t xml:space="preserve"> purs</w:t>
      </w:r>
      <w:r w:rsidR="002228A1">
        <w:t xml:space="preserve">uant to </w:t>
      </w:r>
      <w:r w:rsidR="00A21E15">
        <w:t>s</w:t>
      </w:r>
      <w:r w:rsidR="002228A1">
        <w:t>ection 1.420(</w:t>
      </w:r>
      <w:r w:rsidR="002228A1">
        <w:t>i</w:t>
      </w:r>
      <w:r w:rsidR="002228A1">
        <w:t xml:space="preserve">) of the </w:t>
      </w:r>
      <w:r w:rsidR="00596EB6">
        <w:t xml:space="preserve">Commission’s </w:t>
      </w:r>
      <w:r w:rsidR="000E3F06">
        <w:t>r</w:t>
      </w:r>
      <w:r w:rsidR="006F08B2">
        <w:t>ules</w:t>
      </w:r>
      <w:r w:rsidR="00596EB6">
        <w:t xml:space="preserve"> (rules)</w:t>
      </w:r>
      <w:r w:rsidR="001947B7">
        <w:t>.</w:t>
      </w:r>
      <w:r>
        <w:rPr>
          <w:rStyle w:val="FootnoteReference"/>
        </w:rPr>
        <w:footnoteReference w:id="5"/>
      </w:r>
    </w:p>
    <w:p w:rsidR="00AE78D5" w:rsidP="00AE78D5" w14:paraId="3D8DD266" w14:textId="5EFE1B8B">
      <w:pPr>
        <w:pStyle w:val="Heading1"/>
      </w:pPr>
      <w:r>
        <w:t>BACKGROUND</w:t>
      </w:r>
    </w:p>
    <w:p w:rsidR="005052EA" w:rsidP="00AE78D5" w14:paraId="572976BD" w14:textId="62CDFA57">
      <w:pPr>
        <w:pStyle w:val="ParaNum"/>
      </w:pPr>
      <w:bookmarkStart w:id="3" w:name="_Hlk501539640"/>
      <w:r>
        <w:t>Section 1.420(</w:t>
      </w:r>
      <w:r>
        <w:t>i</w:t>
      </w:r>
      <w:r>
        <w:t xml:space="preserve">) of the </w:t>
      </w:r>
      <w:r w:rsidR="000E3F06">
        <w:t>r</w:t>
      </w:r>
      <w:r w:rsidR="00DC76CF">
        <w:t>ules</w:t>
      </w:r>
      <w:r w:rsidR="006F08B2">
        <w:t xml:space="preserve"> provides that </w:t>
      </w:r>
      <w:r w:rsidR="00335E11">
        <w:t>the Commission, during</w:t>
      </w:r>
      <w:r w:rsidR="006F08B2">
        <w:t xml:space="preserve"> a rulemaking proceeding to amend the Tab</w:t>
      </w:r>
      <w:r w:rsidR="00335E11">
        <w:t>le of Allotments,</w:t>
      </w:r>
      <w:r w:rsidR="006F08B2">
        <w:t xml:space="preserve"> may modify a station’s license to specify </w:t>
      </w:r>
      <w:r>
        <w:t xml:space="preserve">a new community of license without affording other interested parties </w:t>
      </w:r>
      <w:r w:rsidR="00115C5E">
        <w:t>an opportunity to file co</w:t>
      </w:r>
      <w:r>
        <w:t>mp</w:t>
      </w:r>
      <w:r w:rsidR="00115C5E">
        <w:t>e</w:t>
      </w:r>
      <w:r>
        <w:t>ting expressions of interest</w:t>
      </w:r>
      <w:r w:rsidR="003103D3">
        <w:t>.</w:t>
      </w:r>
      <w:r>
        <w:rPr>
          <w:rStyle w:val="FootnoteReference"/>
        </w:rPr>
        <w:footnoteReference w:id="6"/>
      </w:r>
      <w:r w:rsidR="003103D3">
        <w:t xml:space="preserve">  The Commission will apply this procedure in the limited circumstances in which:</w:t>
      </w:r>
      <w:r w:rsidR="009409CC">
        <w:t xml:space="preserve"> </w:t>
      </w:r>
      <w:r w:rsidR="003103D3">
        <w:t xml:space="preserve">(1) the new allotment will be mutually exclusive with a station’s existing allotment; (2) the new allotment will result </w:t>
      </w:r>
      <w:r w:rsidR="003103D3">
        <w:t xml:space="preserve">in </w:t>
      </w:r>
      <w:bookmarkStart w:id="4" w:name="_Hlk506388394"/>
      <w:r w:rsidR="003103D3">
        <w:t xml:space="preserve">a preferential arrangement of the allotments </w:t>
      </w:r>
      <w:bookmarkEnd w:id="4"/>
      <w:r w:rsidR="003103D3">
        <w:t>according to the Commission’s television allotment</w:t>
      </w:r>
      <w:r w:rsidR="00AE78D5">
        <w:t xml:space="preserve"> </w:t>
      </w:r>
      <w:r w:rsidR="003103D3">
        <w:t>priorities; and (3) the new allotment will not deprive a community of its sole local transmission outlet.</w:t>
      </w:r>
      <w:r>
        <w:rPr>
          <w:rStyle w:val="FootnoteReference"/>
        </w:rPr>
        <w:footnoteReference w:id="7"/>
      </w:r>
      <w:r w:rsidR="002A5FA2">
        <w:t xml:space="preserve">  </w:t>
      </w:r>
      <w:r w:rsidRPr="00762A73" w:rsidR="002A5FA2">
        <w:t>The Commission determines a preferential arrangement of allotments based on the following five priorities: (1) provide at least one television service to all parts of the United States; (2) provide each community with at least one television broadcast station;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in other communities</w:t>
      </w:r>
      <w:r w:rsidR="002A5FA2">
        <w:t>.</w:t>
      </w:r>
      <w:r>
        <w:rPr>
          <w:rStyle w:val="FootnoteReference"/>
        </w:rPr>
        <w:footnoteReference w:id="8"/>
      </w:r>
      <w:r w:rsidR="00341124">
        <w:t xml:space="preserve">  </w:t>
      </w:r>
      <w:r w:rsidR="003103D3">
        <w:t xml:space="preserve">  </w:t>
      </w:r>
    </w:p>
    <w:p w:rsidR="00A4259C" w:rsidP="00596EB6" w14:paraId="6CBD0B3F" w14:textId="009E653A">
      <w:pPr>
        <w:pStyle w:val="ParaNum"/>
      </w:pPr>
      <w:r>
        <w:t>Petitioner</w:t>
      </w:r>
      <w:r w:rsidR="00E27087">
        <w:t xml:space="preserve"> do</w:t>
      </w:r>
      <w:r w:rsidR="006873FB">
        <w:t>es</w:t>
      </w:r>
      <w:r w:rsidR="00E27087">
        <w:t xml:space="preserve"> not propose any changes in W</w:t>
      </w:r>
      <w:r w:rsidR="00EE63C7">
        <w:t>AOE</w:t>
      </w:r>
      <w:r w:rsidR="00E27087">
        <w:t xml:space="preserve">’s </w:t>
      </w:r>
      <w:r w:rsidR="00A748F1">
        <w:t>authorized</w:t>
      </w:r>
      <w:r w:rsidR="00E27087">
        <w:t xml:space="preserve"> facilities and will continue to p</w:t>
      </w:r>
      <w:r w:rsidR="009A1BF7">
        <w:t xml:space="preserve">rovide a </w:t>
      </w:r>
      <w:r w:rsidR="00C61CB9">
        <w:t xml:space="preserve">principal community coverage </w:t>
      </w:r>
      <w:r w:rsidR="009A1BF7">
        <w:t xml:space="preserve">signal </w:t>
      </w:r>
      <w:r w:rsidR="00345118">
        <w:t xml:space="preserve">both </w:t>
      </w:r>
      <w:r w:rsidR="00EE63C7">
        <w:t>Oswego</w:t>
      </w:r>
      <w:r w:rsidR="00E27087">
        <w:t xml:space="preserve"> </w:t>
      </w:r>
      <w:r w:rsidR="00936AA6">
        <w:t xml:space="preserve">and </w:t>
      </w:r>
      <w:r w:rsidR="00EE63C7">
        <w:t>Peoria</w:t>
      </w:r>
      <w:r w:rsidR="00936AA6">
        <w:t xml:space="preserve"> </w:t>
      </w:r>
      <w:r w:rsidR="006873FB">
        <w:t xml:space="preserve">from </w:t>
      </w:r>
      <w:r w:rsidR="000E3CB9">
        <w:t>its</w:t>
      </w:r>
      <w:r w:rsidR="00E27087">
        <w:t xml:space="preserve"> currently au</w:t>
      </w:r>
      <w:r w:rsidR="006873FB">
        <w:t>thorized transmission facilities</w:t>
      </w:r>
      <w:r w:rsidR="00936AA6">
        <w:t>.</w:t>
      </w:r>
      <w:r>
        <w:rPr>
          <w:rStyle w:val="FootnoteReference"/>
        </w:rPr>
        <w:footnoteReference w:id="9"/>
      </w:r>
      <w:r>
        <w:t xml:space="preserve"> </w:t>
      </w:r>
      <w:r w:rsidR="00BD1914">
        <w:t xml:space="preserve"> </w:t>
      </w:r>
      <w:r>
        <w:t xml:space="preserve">Petitioner maintains that the proposed community of license change is mutually exclusive with WAOE’s current allotment </w:t>
      </w:r>
      <w:r w:rsidR="00F757B9">
        <w:t>and therefore its proposal satisfies the requirement that its proposed allotment be “mutually exclusive with the licensee’s present allotment.”</w:t>
      </w:r>
      <w:r>
        <w:rPr>
          <w:rStyle w:val="FootnoteReference"/>
        </w:rPr>
        <w:footnoteReference w:id="10"/>
      </w:r>
    </w:p>
    <w:p w:rsidR="005202CC" w:rsidP="00C00738" w14:paraId="2B6560E1" w14:textId="636BD309">
      <w:pPr>
        <w:pStyle w:val="ParaNum"/>
        <w:widowControl/>
      </w:pPr>
      <w:r>
        <w:t>Peti</w:t>
      </w:r>
      <w:r w:rsidR="00186CB6">
        <w:t>tioner assert</w:t>
      </w:r>
      <w:r w:rsidR="005C776D">
        <w:t>s</w:t>
      </w:r>
      <w:r w:rsidR="00186CB6">
        <w:t xml:space="preserve"> that </w:t>
      </w:r>
      <w:r w:rsidR="00EE63C7">
        <w:t>Oswego</w:t>
      </w:r>
      <w:r w:rsidR="005C776D">
        <w:t xml:space="preserve"> qualifies as a community for allotment purposes</w:t>
      </w:r>
      <w:r w:rsidR="00EE63C7">
        <w:t>.</w:t>
      </w:r>
      <w:r>
        <w:rPr>
          <w:rStyle w:val="FootnoteReference"/>
        </w:rPr>
        <w:footnoteReference w:id="11"/>
      </w:r>
      <w:r w:rsidR="00EE63C7">
        <w:t xml:space="preserve">  </w:t>
      </w:r>
      <w:r w:rsidR="00E94A7E">
        <w:t>Petitioner maintains that Oswego, which</w:t>
      </w:r>
      <w:r w:rsidR="0057743E">
        <w:t>, noted above,</w:t>
      </w:r>
      <w:r w:rsidR="00E94A7E">
        <w:t xml:space="preserve"> currently has no local television allotment, is the largest community within Kendall County, Illinois.</w:t>
      </w:r>
      <w:r>
        <w:rPr>
          <w:rStyle w:val="FootnoteReference"/>
        </w:rPr>
        <w:footnoteReference w:id="12"/>
      </w:r>
      <w:r>
        <w:t xml:space="preserve">  Petitioner states that </w:t>
      </w:r>
      <w:r w:rsidR="00E94A7E">
        <w:t>Oswego</w:t>
      </w:r>
      <w:r>
        <w:t xml:space="preserve">’s population has </w:t>
      </w:r>
      <w:r w:rsidR="00E94A7E">
        <w:t>increase</w:t>
      </w:r>
      <w:r>
        <w:t>d</w:t>
      </w:r>
      <w:r w:rsidR="00E94A7E">
        <w:t xml:space="preserve"> almost ten-fold from 3,875 in 1990 to 34,383 today</w:t>
      </w:r>
      <w:r>
        <w:rPr>
          <w:rStyle w:val="FootnoteReference"/>
        </w:rPr>
        <w:footnoteReference w:id="13"/>
      </w:r>
      <w:r>
        <w:t xml:space="preserve"> and is expected to double by 2040.</w:t>
      </w:r>
      <w:r>
        <w:rPr>
          <w:rStyle w:val="FootnoteReference"/>
        </w:rPr>
        <w:footnoteReference w:id="14"/>
      </w:r>
      <w:r>
        <w:t xml:space="preserve"> </w:t>
      </w:r>
      <w:r w:rsidR="00F70B78">
        <w:t xml:space="preserve"> </w:t>
      </w:r>
      <w:r>
        <w:t>Petitioner notes that Oswego has a fully autonomous municipal government led by a President and a seven-member Board of Trustees; as well as a professional management staff, led by a professional Village Administrator and a Village Clerk.</w:t>
      </w:r>
      <w:r>
        <w:rPr>
          <w:rStyle w:val="FootnoteReference"/>
        </w:rPr>
        <w:footnoteReference w:id="15"/>
      </w:r>
      <w:r>
        <w:t xml:space="preserve">  Oswego has a full-service Police Department</w:t>
      </w:r>
      <w:r w:rsidR="002F61E3">
        <w:t>;</w:t>
      </w:r>
      <w:r>
        <w:t xml:space="preserve"> schools, including six elementary</w:t>
      </w:r>
      <w:r w:rsidR="00596EB6">
        <w:t xml:space="preserve"> schools</w:t>
      </w:r>
      <w:r>
        <w:t>, three junior high</w:t>
      </w:r>
      <w:r w:rsidR="00596EB6">
        <w:t xml:space="preserve"> schools</w:t>
      </w:r>
      <w:r>
        <w:t xml:space="preserve"> and two high schools; a Public Library District</w:t>
      </w:r>
      <w:r w:rsidR="002F61E3">
        <w:t>;</w:t>
      </w:r>
      <w:r>
        <w:t xml:space="preserve"> and extensive Park District.</w:t>
      </w:r>
      <w:r>
        <w:rPr>
          <w:rStyle w:val="FootnoteReference"/>
        </w:rPr>
        <w:footnoteReference w:id="16"/>
      </w:r>
      <w:r>
        <w:t xml:space="preserve"> </w:t>
      </w:r>
      <w:r w:rsidR="002F61E3">
        <w:t xml:space="preserve"> </w:t>
      </w:r>
      <w:r>
        <w:t xml:space="preserve">Finally, Petitioner states that Oswego has </w:t>
      </w:r>
      <w:r w:rsidRPr="005202CC">
        <w:t>its own ZIP Code</w:t>
      </w:r>
      <w:r w:rsidR="002F61E3">
        <w:t>;</w:t>
      </w:r>
      <w:r w:rsidRPr="005202CC">
        <w:t xml:space="preserve"> a local newspaper (the Oswego Ledger-Sentinel)</w:t>
      </w:r>
      <w:r w:rsidR="002F61E3">
        <w:t>;</w:t>
      </w:r>
      <w:r w:rsidRPr="005202CC">
        <w:t xml:space="preserve"> </w:t>
      </w:r>
      <w:r w:rsidR="00870AF3">
        <w:t>chamber of commerce</w:t>
      </w:r>
      <w:r w:rsidR="005C07A9">
        <w:t>;</w:t>
      </w:r>
      <w:r w:rsidR="00870AF3">
        <w:t xml:space="preserve"> </w:t>
      </w:r>
      <w:r w:rsidRPr="005202CC">
        <w:t xml:space="preserve">multiple </w:t>
      </w:r>
      <w:r>
        <w:t>medical facilities</w:t>
      </w:r>
      <w:r w:rsidR="002F61E3">
        <w:t>;</w:t>
      </w:r>
      <w:r>
        <w:t xml:space="preserve"> and is part of a transit system dedicated to serving residents of Kendall County.</w:t>
      </w:r>
      <w:r>
        <w:rPr>
          <w:rStyle w:val="FootnoteReference"/>
        </w:rPr>
        <w:footnoteReference w:id="17"/>
      </w:r>
    </w:p>
    <w:p w:rsidR="00EE63C7" w:rsidP="00C00738" w14:paraId="6B426E47" w14:textId="5C9D51A8">
      <w:pPr>
        <w:pStyle w:val="ParaNum"/>
      </w:pPr>
      <w:r>
        <w:t>Petitioner argues that its proposal represents a preferential arrangement of allotments under the Commission’s second allotment priority because it will result in a first local television station for Oswego, which is the largest community in Kendall County, Illinois.</w:t>
      </w:r>
      <w:r>
        <w:rPr>
          <w:rStyle w:val="FootnoteReference"/>
        </w:rPr>
        <w:footnoteReference w:id="18"/>
      </w:r>
      <w:r>
        <w:t xml:space="preserve"> </w:t>
      </w:r>
      <w:r w:rsidR="002E7FAA">
        <w:t xml:space="preserve"> </w:t>
      </w:r>
      <w:r>
        <w:t xml:space="preserve">Petitioner notes that WAOE’s existing community of license, Peoria, will continue to have four full power local television stations </w:t>
      </w:r>
      <w:r w:rsidR="00596EB6">
        <w:t xml:space="preserve">licensed to it </w:t>
      </w:r>
      <w:r>
        <w:t>following the reallotment, and because WAOE is not proposing to modify its technical facilities, the community of license change will not adversely affect the service provided to Peoria.</w:t>
      </w:r>
      <w:r>
        <w:rPr>
          <w:rStyle w:val="FootnoteReference"/>
        </w:rPr>
        <w:footnoteReference w:id="19"/>
      </w:r>
      <w:r>
        <w:t xml:space="preserve"> </w:t>
      </w:r>
      <w:r w:rsidR="002E7FAA">
        <w:t xml:space="preserve"> </w:t>
      </w:r>
      <w:r>
        <w:t>Accordingly, Petitioner concludes that application of the Commission’s television allotment priorities favors a reallotment of channel 10 to Oswego.</w:t>
      </w:r>
      <w:r>
        <w:rPr>
          <w:rStyle w:val="FootnoteReference"/>
        </w:rPr>
        <w:footnoteReference w:id="20"/>
      </w:r>
    </w:p>
    <w:p w:rsidR="00AE78D5" w:rsidP="00AE78D5" w14:paraId="28C7A1C8" w14:textId="6AA1A398">
      <w:pPr>
        <w:pStyle w:val="Heading1"/>
      </w:pPr>
      <w:r>
        <w:t>DISCUSSION</w:t>
      </w:r>
    </w:p>
    <w:p w:rsidR="003E161E" w:rsidP="003E161E" w14:paraId="6E8D9220" w14:textId="7BD24AE9">
      <w:pPr>
        <w:pStyle w:val="ParaNum"/>
      </w:pPr>
      <w:bookmarkStart w:id="5" w:name="_Hlk506449115"/>
      <w:r>
        <w:t>We believe that Petitioner’s proposal warrants consideration.  Accordingly, we seek commen</w:t>
      </w:r>
      <w:r w:rsidR="001C5898">
        <w:t>t</w:t>
      </w:r>
      <w:r>
        <w:t xml:space="preserve"> </w:t>
      </w:r>
      <w:r w:rsidR="00357FF2">
        <w:t xml:space="preserve">on </w:t>
      </w:r>
      <w:r w:rsidRPr="00B1303A" w:rsidR="00357FF2">
        <w:t>whether Petitioner has provided suffi</w:t>
      </w:r>
      <w:r w:rsidRPr="003B57B7" w:rsidR="003B57B7">
        <w:t xml:space="preserve">cient evidence indicating that </w:t>
      </w:r>
      <w:r w:rsidR="007E7646">
        <w:t>its proposal</w:t>
      </w:r>
      <w:r w:rsidRPr="003B57B7" w:rsidR="003B57B7">
        <w:t xml:space="preserve"> </w:t>
      </w:r>
      <w:r w:rsidRPr="00B1303A" w:rsidR="00357FF2">
        <w:t xml:space="preserve">to </w:t>
      </w:r>
      <w:r>
        <w:t xml:space="preserve">amend </w:t>
      </w:r>
      <w:r w:rsidR="003B57B7">
        <w:t>the</w:t>
      </w:r>
      <w:r>
        <w:t xml:space="preserve"> DTV Table of Allotments in </w:t>
      </w:r>
      <w:r w:rsidR="00A21E15">
        <w:t>s</w:t>
      </w:r>
      <w:r>
        <w:t>ection 73.622(</w:t>
      </w:r>
      <w:r>
        <w:t>i</w:t>
      </w:r>
      <w:r>
        <w:t xml:space="preserve">) of the </w:t>
      </w:r>
      <w:r w:rsidR="000C1A49">
        <w:t>r</w:t>
      </w:r>
      <w:r>
        <w:t>ules</w:t>
      </w:r>
      <w:r w:rsidR="007E7646">
        <w:t>, as seen below,</w:t>
      </w:r>
      <w:r w:rsidRPr="0017340B" w:rsidR="003B57B7">
        <w:t xml:space="preserve"> </w:t>
      </w:r>
      <w:r w:rsidR="007E7646">
        <w:t>is consistent with the public interest</w:t>
      </w:r>
      <w:r>
        <w:t>:</w:t>
      </w:r>
      <w:bookmarkEnd w:id="5"/>
      <w:bookmarkEnd w:id="3"/>
      <w:r>
        <w:rPr>
          <w:rStyle w:val="FootnoteReference"/>
        </w:rPr>
        <w:footnoteReference w:id="21"/>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1"/>
        <w:gridCol w:w="2611"/>
        <w:gridCol w:w="2612"/>
      </w:tblGrid>
      <w:tr w14:paraId="02B043F2" w14:textId="77777777" w:rsidTr="00AC6B57">
        <w:tblPrEx>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3"/>
        </w:trPr>
        <w:tc>
          <w:tcPr>
            <w:tcW w:w="2611" w:type="dxa"/>
            <w:shd w:val="clear" w:color="auto" w:fill="auto"/>
          </w:tcPr>
          <w:p w:rsidR="003E161E" w:rsidP="00AC6B57" w14:paraId="482BCB0A" w14:textId="77777777">
            <w:pPr>
              <w:pStyle w:val="AppNum"/>
              <w:numPr>
                <w:ilvl w:val="0"/>
                <w:numId w:val="0"/>
              </w:numPr>
              <w:spacing w:after="240"/>
              <w:jc w:val="both"/>
              <w:rPr>
                <w:rFonts w:ascii="Times New Roman" w:hAnsi="Times New Roman"/>
                <w:spacing w:val="-3"/>
                <w:sz w:val="22"/>
                <w:szCs w:val="22"/>
              </w:rPr>
            </w:pPr>
            <w:bookmarkStart w:id="6" w:name="_Hlk61254473"/>
          </w:p>
        </w:tc>
        <w:tc>
          <w:tcPr>
            <w:tcW w:w="5223" w:type="dxa"/>
            <w:gridSpan w:val="2"/>
            <w:shd w:val="clear" w:color="auto" w:fill="auto"/>
          </w:tcPr>
          <w:p w:rsidR="003E161E" w:rsidP="00AC6B57" w14:paraId="53190A62" w14:textId="77777777">
            <w:pPr>
              <w:pStyle w:val="AppNum"/>
              <w:numPr>
                <w:ilvl w:val="0"/>
                <w:numId w:val="0"/>
              </w:numPr>
              <w:tabs>
                <w:tab w:val="center" w:pos="2364"/>
                <w:tab w:val="right" w:pos="4728"/>
              </w:tabs>
              <w:spacing w:after="240"/>
              <w:rPr>
                <w:rFonts w:ascii="Times New Roman" w:hAnsi="Times New Roman"/>
                <w:spacing w:val="-3"/>
                <w:sz w:val="22"/>
                <w:szCs w:val="22"/>
              </w:rPr>
            </w:pPr>
            <w:r>
              <w:rPr>
                <w:rFonts w:ascii="Times New Roman" w:hAnsi="Times New Roman"/>
                <w:spacing w:val="-3"/>
                <w:sz w:val="22"/>
                <w:szCs w:val="22"/>
              </w:rPr>
              <w:tab/>
              <w:t>Channel No.</w:t>
            </w:r>
            <w:r>
              <w:rPr>
                <w:rFonts w:ascii="Times New Roman" w:hAnsi="Times New Roman"/>
                <w:spacing w:val="-3"/>
                <w:sz w:val="22"/>
                <w:szCs w:val="22"/>
              </w:rPr>
              <w:tab/>
            </w:r>
          </w:p>
        </w:tc>
      </w:tr>
      <w:tr w14:paraId="6D27CF0F" w14:textId="77777777" w:rsidTr="00AC6B57">
        <w:tblPrEx>
          <w:tblW w:w="0" w:type="auto"/>
          <w:tblInd w:w="976" w:type="dxa"/>
          <w:tblLook w:val="04A0"/>
        </w:tblPrEx>
        <w:trPr>
          <w:trHeight w:val="323"/>
        </w:trPr>
        <w:tc>
          <w:tcPr>
            <w:tcW w:w="2611" w:type="dxa"/>
            <w:shd w:val="clear" w:color="auto" w:fill="auto"/>
          </w:tcPr>
          <w:p w:rsidR="003E161E" w:rsidP="00AC6B57" w14:paraId="3F2B556F" w14:textId="77777777">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City and State</w:t>
            </w:r>
          </w:p>
        </w:tc>
        <w:tc>
          <w:tcPr>
            <w:tcW w:w="2611" w:type="dxa"/>
            <w:shd w:val="clear" w:color="auto" w:fill="auto"/>
          </w:tcPr>
          <w:p w:rsidR="003E161E" w:rsidP="00AC6B57" w14:paraId="7C7957D8" w14:textId="77777777">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 xml:space="preserve">Present </w:t>
            </w:r>
          </w:p>
        </w:tc>
        <w:tc>
          <w:tcPr>
            <w:tcW w:w="2611" w:type="dxa"/>
            <w:shd w:val="clear" w:color="auto" w:fill="auto"/>
          </w:tcPr>
          <w:p w:rsidR="003E161E" w:rsidP="00AC6B57" w14:paraId="562BE61D" w14:textId="77777777">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Proposed</w:t>
            </w:r>
          </w:p>
        </w:tc>
      </w:tr>
      <w:tr w14:paraId="67E0B52D" w14:textId="77777777" w:rsidTr="00AC6B57">
        <w:tblPrEx>
          <w:tblW w:w="0" w:type="auto"/>
          <w:tblInd w:w="976" w:type="dxa"/>
          <w:tblLook w:val="04A0"/>
        </w:tblPrEx>
        <w:trPr>
          <w:trHeight w:val="484"/>
        </w:trPr>
        <w:tc>
          <w:tcPr>
            <w:tcW w:w="2611" w:type="dxa"/>
            <w:shd w:val="clear" w:color="auto" w:fill="auto"/>
          </w:tcPr>
          <w:p w:rsidR="003E161E" w:rsidP="00AC6B57" w14:paraId="2B3F5B33" w14:textId="77777777">
            <w:pPr>
              <w:pStyle w:val="AppNum"/>
              <w:numPr>
                <w:ilvl w:val="0"/>
                <w:numId w:val="0"/>
              </w:numPr>
              <w:spacing w:after="240"/>
              <w:rPr>
                <w:rFonts w:ascii="Times New Roman" w:hAnsi="Times New Roman"/>
                <w:spacing w:val="-3"/>
                <w:sz w:val="22"/>
                <w:szCs w:val="22"/>
              </w:rPr>
            </w:pPr>
            <w:r>
              <w:rPr>
                <w:rFonts w:ascii="Times New Roman" w:hAnsi="Times New Roman"/>
                <w:spacing w:val="-3"/>
                <w:sz w:val="22"/>
                <w:szCs w:val="22"/>
              </w:rPr>
              <w:t>Peoria, Illinois</w:t>
            </w:r>
          </w:p>
        </w:tc>
        <w:tc>
          <w:tcPr>
            <w:tcW w:w="2611" w:type="dxa"/>
            <w:shd w:val="clear" w:color="auto" w:fill="auto"/>
          </w:tcPr>
          <w:p w:rsidR="003E161E" w:rsidP="00AC6B57" w14:paraId="389A8AF8" w14:textId="2ED8B429">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19, 25, 30, 39, *46</w:t>
            </w:r>
          </w:p>
        </w:tc>
        <w:tc>
          <w:tcPr>
            <w:tcW w:w="2611" w:type="dxa"/>
            <w:shd w:val="clear" w:color="auto" w:fill="auto"/>
          </w:tcPr>
          <w:p w:rsidR="003E161E" w:rsidP="00AC6B57" w14:paraId="1BD224F6" w14:textId="5FA4A335">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19</w:t>
            </w:r>
            <w:r w:rsidRPr="000F5EFD" w:rsidR="000F5EFD">
              <w:rPr>
                <w:rFonts w:ascii="Times New Roman" w:hAnsi="Times New Roman"/>
                <w:spacing w:val="-3"/>
                <w:sz w:val="22"/>
                <w:szCs w:val="22"/>
              </w:rPr>
              <w:t xml:space="preserve">, 25, </w:t>
            </w:r>
            <w:r>
              <w:rPr>
                <w:rFonts w:ascii="Times New Roman" w:hAnsi="Times New Roman"/>
                <w:spacing w:val="-3"/>
                <w:sz w:val="22"/>
                <w:szCs w:val="22"/>
              </w:rPr>
              <w:t>30</w:t>
            </w:r>
            <w:r w:rsidRPr="000F5EFD" w:rsidR="000F5EFD">
              <w:rPr>
                <w:rFonts w:ascii="Times New Roman" w:hAnsi="Times New Roman"/>
                <w:spacing w:val="-3"/>
                <w:sz w:val="22"/>
                <w:szCs w:val="22"/>
              </w:rPr>
              <w:t xml:space="preserve">, </w:t>
            </w:r>
            <w:r>
              <w:rPr>
                <w:rFonts w:ascii="Times New Roman" w:hAnsi="Times New Roman"/>
                <w:spacing w:val="-3"/>
                <w:sz w:val="22"/>
                <w:szCs w:val="22"/>
              </w:rPr>
              <w:t>*46</w:t>
            </w:r>
          </w:p>
        </w:tc>
      </w:tr>
      <w:tr w14:paraId="3D05317C" w14:textId="77777777" w:rsidTr="00AC6B57">
        <w:tblPrEx>
          <w:tblW w:w="0" w:type="auto"/>
          <w:tblInd w:w="976" w:type="dxa"/>
          <w:tblLook w:val="04A0"/>
        </w:tblPrEx>
        <w:trPr>
          <w:trHeight w:val="323"/>
        </w:trPr>
        <w:tc>
          <w:tcPr>
            <w:tcW w:w="2611" w:type="dxa"/>
            <w:shd w:val="clear" w:color="auto" w:fill="auto"/>
          </w:tcPr>
          <w:p w:rsidR="003E161E" w:rsidP="00AC6B57" w14:paraId="329367F3" w14:textId="77777777">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Oswego, Illinois</w:t>
            </w:r>
          </w:p>
        </w:tc>
        <w:tc>
          <w:tcPr>
            <w:tcW w:w="2611" w:type="dxa"/>
            <w:shd w:val="clear" w:color="auto" w:fill="auto"/>
          </w:tcPr>
          <w:p w:rsidR="003E161E" w:rsidP="00AC6B57" w14:paraId="5C079EA1" w14:textId="77777777">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w:t>
            </w:r>
          </w:p>
        </w:tc>
        <w:tc>
          <w:tcPr>
            <w:tcW w:w="2611" w:type="dxa"/>
            <w:shd w:val="clear" w:color="auto" w:fill="auto"/>
          </w:tcPr>
          <w:p w:rsidR="003E161E" w:rsidP="00AC6B57" w14:paraId="2B5D8006" w14:textId="2F9F5BE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10</w:t>
            </w:r>
          </w:p>
        </w:tc>
      </w:tr>
      <w:bookmarkEnd w:id="6"/>
    </w:tbl>
    <w:p w:rsidR="00AE78D5" w:rsidP="00AE78D5" w14:paraId="6F96388C" w14:textId="45BB18EC">
      <w:pPr>
        <w:pStyle w:val="ParaNum"/>
        <w:numPr>
          <w:ilvl w:val="0"/>
          <w:numId w:val="0"/>
        </w:numPr>
      </w:pPr>
    </w:p>
    <w:p w:rsidR="00AE78D5" w:rsidP="00AE78D5" w14:paraId="35B7F232" w14:textId="02C7DFFE">
      <w:pPr>
        <w:pStyle w:val="Heading1"/>
      </w:pPr>
      <w:r>
        <w:t>PROCEDURAL MATTERS</w:t>
      </w:r>
    </w:p>
    <w:p w:rsidR="00AE78D5" w:rsidRPr="009F2562" w:rsidP="00AE78D5" w14:paraId="486A62D0" w14:textId="77777777">
      <w:pPr>
        <w:pStyle w:val="ParaNum"/>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506F28">
        <w:rPr>
          <w:i/>
          <w:iCs/>
        </w:rPr>
        <w:t>NPRM</w:t>
      </w:r>
      <w:r>
        <w:t>)</w:t>
      </w:r>
      <w:r w:rsidRPr="009F2562">
        <w:t xml:space="preserve">.  </w:t>
      </w:r>
      <w:r>
        <w:t>Petitioner</w:t>
      </w:r>
      <w:r w:rsidRPr="009F2562">
        <w:t xml:space="preserve"> </w:t>
      </w:r>
      <w:r w:rsidRPr="0025083E">
        <w:t xml:space="preserve">or any </w:t>
      </w:r>
      <w:r>
        <w:t>proponent</w:t>
      </w:r>
      <w:r w:rsidRPr="0025083E">
        <w:t xml:space="preserve"> that expresses interest in the allotment </w:t>
      </w:r>
      <w:r w:rsidRPr="009F2562">
        <w:t xml:space="preserve">will be expected to answer whatever questions are presented in initial comments.  The </w:t>
      </w:r>
      <w:r>
        <w:t>petitioner</w:t>
      </w:r>
      <w:r w:rsidRPr="009F2562">
        <w:t xml:space="preserve"> of a proposed allotment is </w:t>
      </w:r>
      <w:r>
        <w:t>required</w:t>
      </w:r>
      <w:r w:rsidRPr="009F2562">
        <w:t xml:space="preserve"> to file comments even if it only resubmits or incorporates by reference its former pleadings.  </w:t>
      </w:r>
      <w:r>
        <w:t xml:space="preserve">The petitioner must </w:t>
      </w:r>
      <w:r w:rsidRPr="009F2562">
        <w:t>restate its present intention to apply for the channel if it is allotted and, if authorized, to build a station promptly.</w:t>
      </w:r>
      <w:r>
        <w:rPr>
          <w:rStyle w:val="FootnoteReference"/>
        </w:rPr>
        <w:footnoteReference w:id="22"/>
      </w:r>
      <w:r w:rsidRPr="009F2562">
        <w:t xml:space="preserve">  Failure to file may lead to denial of the request.</w:t>
      </w:r>
      <w:r>
        <w:t xml:space="preserve">  </w:t>
      </w:r>
      <w:r w:rsidRPr="0025083E">
        <w:t xml:space="preserve">Any requests by a proponent for withdrawal or dismissal of an allotment request must be filed with the Commission in accordance with section 1.420(j) of the </w:t>
      </w:r>
      <w:r>
        <w:t>r</w:t>
      </w:r>
      <w:r w:rsidRPr="0025083E">
        <w:t>ules.</w:t>
      </w:r>
      <w:r>
        <w:rPr>
          <w:rStyle w:val="FootnoteReference"/>
        </w:rPr>
        <w:footnoteReference w:id="23"/>
      </w:r>
    </w:p>
    <w:p w:rsidR="00AE78D5" w:rsidRPr="009F2562" w:rsidP="00AE78D5" w14:paraId="345DB1E9" w14:textId="77777777">
      <w:pPr>
        <w:pStyle w:val="ParaNum"/>
        <w:keepNext/>
        <w:keepLines/>
        <w:widowControl/>
      </w:pPr>
      <w:r w:rsidRPr="00506F28">
        <w:rPr>
          <w:i/>
          <w:iCs/>
        </w:rPr>
        <w:t>Cut-off Protection</w:t>
      </w:r>
      <w:r w:rsidRPr="009F2562">
        <w:t>.  The following procedures will govern the consideration of the filings in this proceeding:</w:t>
      </w:r>
    </w:p>
    <w:p w:rsidR="00AE78D5" w:rsidRPr="009F2562" w:rsidP="00AE78D5" w14:paraId="097F0426" w14:textId="77777777">
      <w:pPr>
        <w:widowControl/>
        <w:numPr>
          <w:ilvl w:val="0"/>
          <w:numId w:val="17"/>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24"/>
      </w:r>
      <w:r w:rsidRPr="009F2562">
        <w:t xml:space="preserve">  </w:t>
      </w:r>
    </w:p>
    <w:p w:rsidR="00AE78D5" w:rsidP="00C00738" w14:paraId="68CEEABD" w14:textId="77777777">
      <w:pPr>
        <w:widowControl/>
        <w:numPr>
          <w:ilvl w:val="0"/>
          <w:numId w:val="17"/>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25"/>
      </w:r>
    </w:p>
    <w:p w:rsidR="00AE78D5" w:rsidP="00AE78D5" w14:paraId="651032B1"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Pr>
          <w:szCs w:val="22"/>
        </w:rPr>
        <w:t>r</w:t>
      </w:r>
      <w:r w:rsidRPr="00CE5579">
        <w:rPr>
          <w:szCs w:val="22"/>
        </w:rPr>
        <w:t>ules</w:t>
      </w:r>
      <w:r>
        <w:rPr>
          <w:szCs w:val="22"/>
        </w:rPr>
        <w:t>,</w:t>
      </w:r>
      <w:r>
        <w:rPr>
          <w:rStyle w:val="FootnoteReference"/>
          <w:szCs w:val="22"/>
        </w:rPr>
        <w:footnoteReference w:id="26"/>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27"/>
      </w:r>
    </w:p>
    <w:p w:rsidR="00AE78D5" w:rsidRPr="00522221" w:rsidP="00AE78D5" w14:paraId="3975AEEE" w14:textId="77777777">
      <w:pPr>
        <w:numPr>
          <w:ilvl w:val="0"/>
          <w:numId w:val="18"/>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AE78D5" w:rsidRPr="00331D74" w:rsidP="00AE78D5" w14:paraId="72C4B940" w14:textId="77777777">
      <w:pPr>
        <w:numPr>
          <w:ilvl w:val="0"/>
          <w:numId w:val="18"/>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Pr>
          <w:szCs w:val="22"/>
        </w:rPr>
        <w:t xml:space="preserve">  </w:t>
      </w:r>
      <w:r w:rsidRPr="00787DB6">
        <w:rPr>
          <w:szCs w:val="22"/>
        </w:rPr>
        <w:t>Accordingly, failure to follow the specified requirements may result in the treatment of a filing as untimely.</w:t>
      </w:r>
    </w:p>
    <w:p w:rsidR="00AE78D5" w:rsidRPr="00522221" w:rsidP="00AE78D5" w14:paraId="0003AF76" w14:textId="77777777">
      <w:pPr>
        <w:numPr>
          <w:ilvl w:val="0"/>
          <w:numId w:val="19"/>
        </w:numPr>
        <w:spacing w:after="120"/>
        <w:rPr>
          <w:szCs w:val="22"/>
        </w:rPr>
      </w:pPr>
      <w:r w:rsidRPr="00522221">
        <w:rPr>
          <w:szCs w:val="22"/>
        </w:rPr>
        <w:t>Commercial overnight mail (other than U.S. Postal Service Express Mail and Priority Mail) must be sent to 9050 Junction Drive, Annapolis Junction, MD 20701.</w:t>
      </w:r>
    </w:p>
    <w:p w:rsidR="00AE78D5" w:rsidP="00AE78D5" w14:paraId="286EE1DD" w14:textId="77777777">
      <w:pPr>
        <w:numPr>
          <w:ilvl w:val="0"/>
          <w:numId w:val="19"/>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AE78D5" w:rsidP="00AE78D5" w14:paraId="40DBA444" w14:textId="77777777">
      <w:pPr>
        <w:numPr>
          <w:ilvl w:val="0"/>
          <w:numId w:val="19"/>
        </w:numPr>
        <w:spacing w:after="120"/>
      </w:pPr>
      <w:bookmarkStart w:id="7" w:name="_Hlk62469034"/>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8"/>
      </w:r>
    </w:p>
    <w:p w:rsidR="00AE78D5" w:rsidP="00AE78D5" w14:paraId="4539A938" w14:textId="77777777">
      <w:pPr>
        <w:pStyle w:val="ListParagraph"/>
        <w:numPr>
          <w:ilvl w:val="0"/>
          <w:numId w:val="19"/>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bookmarkEnd w:id="7"/>
    <w:p w:rsidR="00AE78D5" w:rsidP="00AE78D5" w14:paraId="1D04287F" w14:textId="657B2FCE">
      <w:pPr>
        <w:pStyle w:val="ParaNum"/>
      </w:pPr>
      <w:r w:rsidRPr="00CE5579">
        <w:rPr>
          <w:i/>
          <w:iCs/>
        </w:rPr>
        <w:t>Service</w:t>
      </w:r>
      <w:r>
        <w:rPr>
          <w:i/>
          <w:iCs/>
        </w:rPr>
        <w:t>.</w:t>
      </w:r>
      <w:r>
        <w:t xml:space="preserve">  Pursuant section 1.420 of the rules,</w:t>
      </w:r>
      <w:r>
        <w:rPr>
          <w:rStyle w:val="FootnoteReference"/>
        </w:rPr>
        <w:footnoteReference w:id="29"/>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t xml:space="preserve"> </w:t>
      </w:r>
      <w:r w:rsidRPr="001F250D">
        <w:t xml:space="preserve">directed. </w:t>
      </w:r>
      <w:r>
        <w:t xml:space="preserve"> </w:t>
      </w:r>
      <w:r w:rsidRPr="001F250D">
        <w:t>A certificate of service shall accompany such comments and reply comments.</w:t>
      </w:r>
      <w:r>
        <w:rPr>
          <w:rStyle w:val="FootnoteReference"/>
        </w:rPr>
        <w:footnoteReference w:id="30"/>
      </w:r>
      <w:r>
        <w:t xml:space="preserve">  Additionally, a copy of such comments should be served on counsel for petitioner, as follows:</w:t>
      </w:r>
    </w:p>
    <w:p w:rsidR="00AE78D5" w:rsidP="00AE78D5" w14:paraId="3285C968" w14:textId="77777777">
      <w:pPr>
        <w:pStyle w:val="ParaNum"/>
        <w:numPr>
          <w:ilvl w:val="0"/>
          <w:numId w:val="0"/>
        </w:numPr>
        <w:spacing w:after="0"/>
        <w:ind w:left="720"/>
      </w:pPr>
      <w:r>
        <w:t>Joan Stewart, Esq.</w:t>
      </w:r>
    </w:p>
    <w:p w:rsidR="00AE78D5" w:rsidP="00AE78D5" w14:paraId="518C5F0A" w14:textId="77777777">
      <w:pPr>
        <w:pStyle w:val="ParaNum"/>
        <w:numPr>
          <w:ilvl w:val="0"/>
          <w:numId w:val="0"/>
        </w:numPr>
        <w:spacing w:after="0"/>
        <w:ind w:left="720"/>
      </w:pPr>
      <w:r>
        <w:t>Wiley Rein LLP</w:t>
      </w:r>
    </w:p>
    <w:p w:rsidR="00AE78D5" w:rsidP="00AE78D5" w14:paraId="1126EEAF" w14:textId="3790B686">
      <w:pPr>
        <w:pStyle w:val="ParaNum"/>
        <w:numPr>
          <w:ilvl w:val="0"/>
          <w:numId w:val="21"/>
        </w:numPr>
        <w:spacing w:after="0"/>
      </w:pPr>
      <w:r>
        <w:t>Street NW</w:t>
      </w:r>
    </w:p>
    <w:p w:rsidR="00AE78D5" w:rsidP="00AE78D5" w14:paraId="1D9F6035" w14:textId="5DEE5B2C">
      <w:pPr>
        <w:pStyle w:val="ParaNum"/>
        <w:numPr>
          <w:ilvl w:val="0"/>
          <w:numId w:val="0"/>
        </w:numPr>
        <w:spacing w:after="0"/>
        <w:ind w:left="720"/>
      </w:pPr>
      <w:r>
        <w:t>Washington, DC 20006</w:t>
      </w:r>
    </w:p>
    <w:p w:rsidR="00AE78D5" w:rsidP="00AE78D5" w14:paraId="1C2C8E8A" w14:textId="77777777">
      <w:pPr>
        <w:pStyle w:val="ParaNum"/>
        <w:numPr>
          <w:ilvl w:val="0"/>
          <w:numId w:val="0"/>
        </w:numPr>
        <w:spacing w:after="0"/>
        <w:ind w:left="720"/>
      </w:pPr>
    </w:p>
    <w:p w:rsidR="00AE78D5" w:rsidP="00AE78D5" w14:paraId="328DD593" w14:textId="77777777">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 xml:space="preserve">The proceeding this </w:t>
      </w:r>
      <w:r w:rsidRPr="00506F28">
        <w:rPr>
          <w:i/>
          <w:iCs/>
          <w:szCs w:val="22"/>
        </w:rPr>
        <w:t>NPRM</w:t>
      </w:r>
      <w:r w:rsidRPr="00522221">
        <w:rPr>
          <w:szCs w:val="22"/>
        </w:rPr>
        <w:t xml:space="preserv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31"/>
      </w:r>
      <w:r w:rsidRPr="00522221">
        <w:rPr>
          <w:szCs w:val="22"/>
        </w:rPr>
        <w:t xml:space="preserve">  </w:t>
      </w:r>
      <w:r>
        <w:t xml:space="preserve">For purposes of this restricted notice and comment rulemaking proceeding, members of the public are advised that no </w:t>
      </w:r>
      <w:r w:rsidRPr="00506F28">
        <w:rPr>
          <w:i/>
          <w:iCs/>
        </w:rPr>
        <w:t xml:space="preserve">ex </w:t>
      </w:r>
      <w:r w:rsidRPr="00506F28">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32"/>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33"/>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34"/>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AE78D5" w:rsidP="00AE78D5" w14:paraId="06472566"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AE78D5" w:rsidRPr="006F1759" w:rsidP="00AE78D5" w14:paraId="727267FC" w14:textId="77777777">
      <w:pPr>
        <w:pStyle w:val="ParaNum"/>
        <w:widowControl/>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35"/>
      </w:r>
      <w:r>
        <w:t xml:space="preserve"> do not apply to a rulemaking proceeding to amend the DTV Table of Allotments, section 73.622(</w:t>
      </w:r>
      <w:r>
        <w:t>i</w:t>
      </w:r>
      <w:r>
        <w:t>) of the rules.</w:t>
      </w:r>
      <w:r>
        <w:rPr>
          <w:rStyle w:val="FootnoteReference"/>
        </w:rPr>
        <w:footnoteReference w:id="36"/>
      </w:r>
      <w:r>
        <w:t xml:space="preserve">  This document does not contain proposed information collection requirements subject to the Paperwork Reduction Act of 1995.</w:t>
      </w:r>
      <w:r>
        <w:rPr>
          <w:rStyle w:val="FootnoteReference"/>
        </w:rPr>
        <w:footnoteReference w:id="37"/>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38"/>
      </w:r>
    </w:p>
    <w:p w:rsidR="00AE78D5" w:rsidRPr="006F1759" w:rsidP="00AE78D5" w14:paraId="2A0C15A6"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AE78D5" w:rsidRPr="006F1759" w:rsidP="00AE78D5" w14:paraId="2CA758BF" w14:textId="77777777">
      <w:pPr>
        <w:pStyle w:val="ParaNum"/>
      </w:pPr>
      <w:r w:rsidRPr="00CE5579">
        <w:rPr>
          <w:i/>
          <w:iCs/>
        </w:rPr>
        <w:t>Additional Information</w:t>
      </w:r>
      <w:r>
        <w:t xml:space="preserve">.  For further information concerning the proceeding listed above, contact Shaun A. Maher, Video Division, Media Bureau, (202) 418-2324, </w:t>
      </w:r>
      <w:hyperlink r:id="rId7" w:history="1">
        <w:r w:rsidRPr="002946AC">
          <w:rPr>
            <w:rStyle w:val="Hyperlink"/>
          </w:rPr>
          <w:t>Shaun.Maher@fcc.gov</w:t>
        </w:r>
      </w:hyperlink>
      <w:r>
        <w:t xml:space="preserve">. </w:t>
      </w:r>
    </w:p>
    <w:p w:rsidR="00AE78D5" w:rsidP="00C00738" w14:paraId="2B047041" w14:textId="77777777">
      <w:pPr>
        <w:pStyle w:val="Heading1"/>
        <w:keepLines/>
        <w:suppressAutoHyphens w:val="0"/>
      </w:pPr>
      <w:r>
        <w:t>Ordering clauses</w:t>
      </w:r>
    </w:p>
    <w:p w:rsidR="00AE78D5" w:rsidRPr="00955003" w:rsidP="00C00738" w14:paraId="24ECA7A0" w14:textId="7941FA4B">
      <w:pPr>
        <w:pStyle w:val="ParaNum"/>
        <w:keepNext/>
        <w:keepLines/>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t>47 U.S.C. §§ 154</w:t>
      </w:r>
      <w:r>
        <w:t>(</w:t>
      </w:r>
      <w:r>
        <w:t>i</w:t>
      </w:r>
      <w:r>
        <w:t>)</w:t>
      </w:r>
      <w:r w:rsidRPr="00CE5579">
        <w:t>, 15</w:t>
      </w:r>
      <w:r>
        <w:t>5(c)(1)</w:t>
      </w:r>
      <w:r w:rsidRPr="00CE5579">
        <w:t>, 303</w:t>
      </w:r>
      <w:r>
        <w:t>(g)</w:t>
      </w:r>
      <w:r w:rsidRPr="00CE5579">
        <w:t>,</w:t>
      </w:r>
      <w:r>
        <w:t xml:space="preserve"> (r), and</w:t>
      </w:r>
      <w:r w:rsidRPr="00CE5579">
        <w:t xml:space="preserve"> 307</w:t>
      </w:r>
      <w:r>
        <w:t>(b),</w:t>
      </w:r>
      <w:r w:rsidRPr="00CE5579">
        <w:t xml:space="preserve"> </w:t>
      </w:r>
      <w:r w:rsidRPr="009F2562">
        <w:t>and sections 0.61, 0.204(b)</w:t>
      </w:r>
      <w:r>
        <w:t>,</w:t>
      </w:r>
      <w:r w:rsidRPr="009F2562">
        <w:t xml:space="preserve"> and 0.283</w:t>
      </w:r>
      <w:r>
        <w:t xml:space="preserve"> of the rules</w:t>
      </w:r>
      <w:r w:rsidRPr="009F2562">
        <w:t>,</w:t>
      </w:r>
      <w:r>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t xml:space="preserve"> of the rules</w:t>
      </w:r>
      <w:r w:rsidRPr="009F2562">
        <w:t>,</w:t>
      </w:r>
      <w:r>
        <w:t xml:space="preserve"> 47 CFR § 73.622(</w:t>
      </w:r>
      <w:r>
        <w:t>i</w:t>
      </w:r>
      <w:r>
        <w:t>),</w:t>
      </w:r>
      <w:r w:rsidRPr="009F2562">
        <w:t xml:space="preserve"> as set forth in </w:t>
      </w:r>
      <w:r>
        <w:t>this</w:t>
      </w:r>
      <w:r w:rsidRPr="009F2562">
        <w:t xml:space="preserve"> </w:t>
      </w:r>
      <w:r w:rsidRPr="00506F28">
        <w:rPr>
          <w:i/>
          <w:iCs/>
        </w:rPr>
        <w:t>NPRM</w:t>
      </w:r>
      <w:r>
        <w:t xml:space="preserve">, and </w:t>
      </w:r>
      <w:r w:rsidRPr="006F1759">
        <w:rPr>
          <w:szCs w:val="22"/>
        </w:rPr>
        <w:t xml:space="preserve">this </w:t>
      </w:r>
      <w:r w:rsidRPr="00506F28">
        <w:rPr>
          <w:i/>
          <w:iCs/>
          <w:szCs w:val="22"/>
        </w:rPr>
        <w:t>NPRM</w:t>
      </w:r>
      <w:r w:rsidRPr="006F1759">
        <w:rPr>
          <w:szCs w:val="22"/>
        </w:rPr>
        <w:t xml:space="preserve"> </w:t>
      </w:r>
      <w:r w:rsidRPr="006F1759">
        <w:rPr>
          <w:b/>
          <w:szCs w:val="22"/>
        </w:rPr>
        <w:t xml:space="preserve">IS ADOPTED.  </w:t>
      </w:r>
    </w:p>
    <w:p w:rsidR="00AE78D5" w:rsidRPr="006F1759" w:rsidP="00AE78D5" w14:paraId="669BE4D5" w14:textId="192DBFFD">
      <w:pPr>
        <w:pStyle w:val="ParaNum"/>
        <w:rPr>
          <w:szCs w:val="22"/>
        </w:rPr>
      </w:pPr>
      <w:r w:rsidRPr="00522221">
        <w:rPr>
          <w:b/>
          <w:szCs w:val="22"/>
        </w:rPr>
        <w:t>IT IS FURTHER ORDERED</w:t>
      </w:r>
      <w:r w:rsidRPr="00522221">
        <w:rPr>
          <w:szCs w:val="22"/>
        </w:rPr>
        <w:t xml:space="preserve"> that, pursuant to applicable procedures set forth in sections 1.415</w:t>
      </w:r>
      <w:r>
        <w:rPr>
          <w:szCs w:val="22"/>
        </w:rPr>
        <w:t xml:space="preserve">, </w:t>
      </w:r>
      <w:r w:rsidRPr="00522221">
        <w:rPr>
          <w:szCs w:val="22"/>
        </w:rPr>
        <w:t>1.419</w:t>
      </w:r>
      <w:r>
        <w:rPr>
          <w:szCs w:val="22"/>
        </w:rPr>
        <w:t>, 1.420</w:t>
      </w:r>
      <w:r w:rsidRPr="00522221">
        <w:rPr>
          <w:szCs w:val="22"/>
        </w:rPr>
        <w:t xml:space="preserve"> of the </w:t>
      </w:r>
      <w:r>
        <w:rPr>
          <w:szCs w:val="22"/>
        </w:rPr>
        <w:t>r</w:t>
      </w:r>
      <w:r w:rsidRPr="00522221">
        <w:rPr>
          <w:szCs w:val="22"/>
        </w:rPr>
        <w:t>ules, 47 CFR §§ 1.415, 1.419,</w:t>
      </w:r>
      <w:r>
        <w:rPr>
          <w:szCs w:val="22"/>
        </w:rPr>
        <w:t xml:space="preserve"> and 1.420,</w:t>
      </w:r>
      <w:r w:rsidRPr="00522221">
        <w:rPr>
          <w:szCs w:val="22"/>
        </w:rPr>
        <w:t xml:space="preserve"> interested parties may file comments</w:t>
      </w:r>
      <w:r>
        <w:rPr>
          <w:szCs w:val="22"/>
        </w:rPr>
        <w:t>, including counterproposals,</w:t>
      </w:r>
      <w:r w:rsidRPr="00522221">
        <w:rPr>
          <w:szCs w:val="22"/>
        </w:rPr>
        <w:t xml:space="preserve"> on the </w:t>
      </w:r>
      <w:r w:rsidRPr="000A72DA">
        <w:rPr>
          <w:i/>
          <w:iCs/>
          <w:szCs w:val="22"/>
        </w:rPr>
        <w:t>NPRM</w:t>
      </w:r>
      <w:r w:rsidRPr="00522221">
        <w:rPr>
          <w:szCs w:val="22"/>
        </w:rPr>
        <w:t xml:space="preserve"> in </w:t>
      </w:r>
      <w:r>
        <w:rPr>
          <w:szCs w:val="22"/>
        </w:rPr>
        <w:t>MB Docket</w:t>
      </w:r>
      <w:r w:rsidRPr="00522221">
        <w:rPr>
          <w:szCs w:val="22"/>
        </w:rPr>
        <w:t xml:space="preserve"> No. </w:t>
      </w:r>
      <w:r>
        <w:rPr>
          <w:szCs w:val="22"/>
        </w:rPr>
        <w:t>21</w:t>
      </w:r>
      <w:r w:rsidRPr="00522221">
        <w:rPr>
          <w:szCs w:val="22"/>
        </w:rPr>
        <w:t>-</w:t>
      </w:r>
      <w:r w:rsidR="00E61C0E">
        <w:rPr>
          <w:szCs w:val="22"/>
        </w:rPr>
        <w:t>54</w:t>
      </w:r>
      <w:r w:rsidRPr="00522221">
        <w:rPr>
          <w:szCs w:val="22"/>
        </w:rPr>
        <w:t xml:space="preserve"> </w:t>
      </w:r>
      <w:r>
        <w:rPr>
          <w:szCs w:val="22"/>
        </w:rPr>
        <w:t>and RM-</w:t>
      </w:r>
      <w:r w:rsidR="00E61C0E">
        <w:rPr>
          <w:szCs w:val="22"/>
        </w:rPr>
        <w:t>11879</w:t>
      </w:r>
      <w:r>
        <w:rPr>
          <w:szCs w:val="22"/>
        </w:rPr>
        <w:t xml:space="preserve"> </w:t>
      </w:r>
      <w:r w:rsidRPr="00522221">
        <w:rPr>
          <w:szCs w:val="22"/>
        </w:rPr>
        <w:t xml:space="preserve">on or before thirty (30) days after publication in the </w:t>
      </w:r>
      <w:r w:rsidRPr="0081452B">
        <w:rPr>
          <w:iCs/>
          <w:szCs w:val="22"/>
        </w:rPr>
        <w:t>Federal Register</w:t>
      </w:r>
      <w:r w:rsidRPr="00522221">
        <w:rPr>
          <w:szCs w:val="22"/>
        </w:rPr>
        <w:t xml:space="preserve"> and reply comments on or before forty five (45) days after publication in the </w:t>
      </w:r>
      <w:r w:rsidRPr="0081452B">
        <w:rPr>
          <w:iCs/>
          <w:szCs w:val="22"/>
        </w:rPr>
        <w:t>Federal Register</w:t>
      </w:r>
      <w:r w:rsidRPr="00522221">
        <w:rPr>
          <w:szCs w:val="22"/>
        </w:rPr>
        <w:t>.</w:t>
      </w:r>
    </w:p>
    <w:p w:rsidR="00AE78D5" w:rsidP="00AE78D5" w14:paraId="05A6AF1A" w14:textId="77777777">
      <w:r>
        <w:tab/>
      </w:r>
      <w:r>
        <w:tab/>
      </w:r>
      <w:r>
        <w:tab/>
      </w:r>
      <w:r>
        <w:tab/>
      </w:r>
      <w:r>
        <w:tab/>
      </w:r>
      <w:r>
        <w:tab/>
        <w:t>FEDERAL COMMUNICATIONS COMMISSION</w:t>
      </w:r>
    </w:p>
    <w:p w:rsidR="00AE78D5" w:rsidP="00AE78D5" w14:paraId="66982540" w14:textId="77777777"/>
    <w:p w:rsidR="00AE78D5" w:rsidP="00AE78D5" w14:paraId="75D9F9EA" w14:textId="77777777"/>
    <w:p w:rsidR="00AE78D5" w:rsidP="00AE78D5" w14:paraId="465574E7" w14:textId="77777777"/>
    <w:p w:rsidR="00AE78D5" w:rsidP="00AE78D5" w14:paraId="5772952A" w14:textId="77777777"/>
    <w:p w:rsidR="00AE78D5" w:rsidP="00AE78D5" w14:paraId="61D13E87" w14:textId="77777777">
      <w:r>
        <w:tab/>
      </w:r>
      <w:r>
        <w:tab/>
      </w:r>
      <w:r>
        <w:tab/>
      </w:r>
      <w:r>
        <w:tab/>
      </w:r>
      <w:r>
        <w:tab/>
      </w:r>
      <w:r>
        <w:tab/>
        <w:t>Barbara A. Kreisman</w:t>
      </w:r>
    </w:p>
    <w:p w:rsidR="00AE78D5" w:rsidP="00AE78D5" w14:paraId="3358ABD1" w14:textId="77777777">
      <w:r>
        <w:tab/>
      </w:r>
      <w:r>
        <w:tab/>
      </w:r>
      <w:r>
        <w:tab/>
      </w:r>
      <w:r>
        <w:tab/>
      </w:r>
      <w:r>
        <w:tab/>
      </w:r>
      <w:r>
        <w:tab/>
        <w:t>Chief, Video Division</w:t>
      </w:r>
    </w:p>
    <w:p w:rsidR="00CA2EF7" w:rsidP="00AE78D5" w14:paraId="2C86CD99" w14:textId="7464F8A8">
      <w:pPr>
        <w:pStyle w:val="ParaNum"/>
        <w:numPr>
          <w:ilvl w:val="0"/>
          <w:numId w:val="0"/>
        </w:numPr>
        <w:ind w:left="3600" w:firstLine="720"/>
        <w:rPr>
          <w:spacing w:val="-3"/>
          <w:szCs w:val="22"/>
        </w:rPr>
      </w:pPr>
      <w:r>
        <w:t>Media Bureau</w:t>
      </w: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E8ACC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33904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E0ED53" w14:textId="77777777">
    <w:pPr>
      <w:pStyle w:val="Footer"/>
      <w:framePr w:wrap="around" w:vAnchor="text" w:hAnchor="margin" w:xAlign="center" w:y="1"/>
    </w:pPr>
    <w:r>
      <w:fldChar w:fldCharType="begin"/>
    </w:r>
    <w:r>
      <w:instrText xml:space="preserve">PAGE  </w:instrText>
    </w:r>
    <w:r>
      <w:fldChar w:fldCharType="separate"/>
    </w:r>
    <w:r w:rsidR="00DD7B81">
      <w:rPr>
        <w:noProof/>
      </w:rPr>
      <w:t>2</w:t>
    </w:r>
    <w:r>
      <w:fldChar w:fldCharType="end"/>
    </w:r>
  </w:p>
  <w:p w:rsidR="00D25FB5" w14:paraId="54FD746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6897F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4C2E" w14:paraId="03839FD1" w14:textId="77777777">
      <w:r>
        <w:separator/>
      </w:r>
    </w:p>
  </w:footnote>
  <w:footnote w:type="continuationSeparator" w:id="1">
    <w:p w:rsidR="00614C2E" w:rsidP="00C721AC" w14:paraId="14CEEF5B" w14:textId="77777777">
      <w:pPr>
        <w:spacing w:before="120"/>
        <w:rPr>
          <w:sz w:val="20"/>
        </w:rPr>
      </w:pPr>
      <w:r>
        <w:continuationSeparator/>
      </w:r>
    </w:p>
  </w:footnote>
  <w:footnote w:type="continuationNotice" w:id="2">
    <w:p w:rsidR="00614C2E" w:rsidP="00C721AC" w14:paraId="4DE9D5D5" w14:textId="77777777">
      <w:pPr>
        <w:jc w:val="right"/>
        <w:rPr>
          <w:sz w:val="20"/>
        </w:rPr>
      </w:pPr>
    </w:p>
  </w:footnote>
  <w:footnote w:id="3">
    <w:p w:rsidR="001947B7" w:rsidRPr="00762A73" w14:paraId="6CC26DB1" w14:textId="508A2831">
      <w:pPr>
        <w:pStyle w:val="FootnoteText"/>
      </w:pPr>
      <w:r w:rsidRPr="00762A73">
        <w:rPr>
          <w:rStyle w:val="FootnoteReference"/>
        </w:rPr>
        <w:footnoteRef/>
      </w:r>
      <w:r w:rsidRPr="00762A73">
        <w:t xml:space="preserve"> </w:t>
      </w:r>
      <w:r w:rsidRPr="001C6F24" w:rsidR="001C6F24">
        <w:t>Four Seasons Peoria, LLC</w:t>
      </w:r>
      <w:r w:rsidRPr="00762A73">
        <w:t>, Petition for Rulemaking</w:t>
      </w:r>
      <w:r w:rsidR="001C6F24">
        <w:t xml:space="preserve"> </w:t>
      </w:r>
      <w:r w:rsidRPr="00762A73">
        <w:t xml:space="preserve">(filed </w:t>
      </w:r>
      <w:r w:rsidR="001C6F24">
        <w:t>Nov</w:t>
      </w:r>
      <w:r w:rsidR="0086004E">
        <w:t>.</w:t>
      </w:r>
      <w:r w:rsidR="001C6F24">
        <w:t xml:space="preserve"> 27, 2020</w:t>
      </w:r>
      <w:r w:rsidRPr="00762A73" w:rsidR="005052EA">
        <w:t>)</w:t>
      </w:r>
      <w:r w:rsidR="00830753">
        <w:t>, LMS File No. 0000127616</w:t>
      </w:r>
      <w:r w:rsidR="00AE78D5">
        <w:t xml:space="preserve"> (Petition)</w:t>
      </w:r>
      <w:r w:rsidRPr="00762A73" w:rsidR="005052EA">
        <w:t>.</w:t>
      </w:r>
    </w:p>
  </w:footnote>
  <w:footnote w:id="4">
    <w:p w:rsidR="00CE3D90" w:rsidRPr="00364566" w:rsidP="00CE3D90" w14:paraId="79F708DF" w14:textId="531603E9">
      <w:pPr>
        <w:pStyle w:val="FootnoteText"/>
      </w:pPr>
      <w:r w:rsidRPr="00762A73">
        <w:rPr>
          <w:rStyle w:val="FootnoteReference"/>
        </w:rPr>
        <w:footnoteRef/>
      </w:r>
      <w:r w:rsidRPr="00762A73">
        <w:t xml:space="preserve"> </w:t>
      </w:r>
      <w:r w:rsidR="003B134A">
        <w:rPr>
          <w:snapToGrid w:val="0"/>
        </w:rPr>
        <w:t>Petition at 1, citing 47 CFR §§ 1.401, 1.420, and 73.622(</w:t>
      </w:r>
      <w:r w:rsidR="003B134A">
        <w:rPr>
          <w:snapToGrid w:val="0"/>
        </w:rPr>
        <w:t>i</w:t>
      </w:r>
      <w:r w:rsidR="003B134A">
        <w:rPr>
          <w:snapToGrid w:val="0"/>
        </w:rPr>
        <w:t xml:space="preserve">).  On April 13, 2017, the Commission completed the incentive auction and broadcast television spectrum repacking authorized by the Spectrum Act.  </w:t>
      </w:r>
      <w:r w:rsidR="003B134A">
        <w:rPr>
          <w:rStyle w:val="Emphasis"/>
          <w:snapToGrid w:val="0"/>
        </w:rPr>
        <w:t>See</w:t>
      </w:r>
      <w:r w:rsidR="003B134A">
        <w:rPr>
          <w:snapToGrid w:val="0"/>
        </w:rPr>
        <w:t xml:space="preserve"> Middle Class Tax Relief and Job Creation Act of 2012, </w:t>
      </w:r>
      <w:r w:rsidRPr="00C00738" w:rsidR="00E21FD1">
        <w:t>Pub. L. No. 112-96</w:t>
      </w:r>
      <w:r w:rsidR="003B134A">
        <w:rPr>
          <w:snapToGrid w:val="0"/>
        </w:rPr>
        <w:t xml:space="preserve">, §§ 6402 (codified at </w:t>
      </w:r>
      <w:r w:rsidRPr="00C00738" w:rsidR="00E21FD1">
        <w:t>47 U.S.C. § 309(j)(8)(G)</w:t>
      </w:r>
      <w:r w:rsidR="003B134A">
        <w:rPr>
          <w:snapToGrid w:val="0"/>
        </w:rPr>
        <w:t xml:space="preserve">), 6403 (codified at </w:t>
      </w:r>
      <w:r w:rsidRPr="00C00738" w:rsidR="00E21FD1">
        <w:t>47 U.S.C. § 1452</w:t>
      </w:r>
      <w:r w:rsidR="003B134A">
        <w:rPr>
          <w:snapToGrid w:val="0"/>
        </w:rPr>
        <w:t xml:space="preserve">), 126 Stat. 156 (2012) (Spectrum Act).  As a result of the Commission’s Incentive Auction and repacking process, WAOE was repacked from channel 39 to channel 10.  </w:t>
      </w:r>
      <w:r w:rsidR="003B134A">
        <w:rPr>
          <w:i/>
          <w:iCs/>
          <w:snapToGrid w:val="0"/>
        </w:rPr>
        <w:t xml:space="preserve">See </w:t>
      </w:r>
      <w:r w:rsidR="003B134A">
        <w:rPr>
          <w:i/>
          <w:snapToGrid w:val="0"/>
        </w:rPr>
        <w:t>Incentive Auction Closing and Channel Reassignment Public Notice:  The Broadcast Television Incentive Auction Closes; Reverse Auction and Forward Auction Results Announced; Final Television Band Channel Assignments Announced; Post-Auction Deadlines Announced</w:t>
      </w:r>
      <w:r w:rsidR="003B134A">
        <w:rPr>
          <w:snapToGrid w:val="0"/>
        </w:rPr>
        <w:t xml:space="preserve">, GN Docket No. 12-268, Public Notice, 32 FCC </w:t>
      </w:r>
      <w:r w:rsidR="003B134A">
        <w:rPr>
          <w:snapToGrid w:val="0"/>
        </w:rPr>
        <w:t>Rcd</w:t>
      </w:r>
      <w:r w:rsidR="003B134A">
        <w:rPr>
          <w:snapToGrid w:val="0"/>
        </w:rPr>
        <w:t xml:space="preserve"> 2786 (2017).  However, the Media Bureau has yet to adopt a revised Table of Allotments to reflect the new full power channel assignments that resulted from the Incentive Auction and repacking.  For the purpose of this proceeding, we shall refer to WAOE’s repacked channel 10.</w:t>
      </w:r>
    </w:p>
  </w:footnote>
  <w:footnote w:id="5">
    <w:p w:rsidR="005052EA" w:rsidRPr="001C6F24" w14:paraId="151C50AB" w14:textId="6D9623BE">
      <w:pPr>
        <w:pStyle w:val="FootnoteText"/>
        <w:rPr>
          <w:i/>
          <w:iCs/>
        </w:rPr>
      </w:pPr>
      <w:r w:rsidRPr="00762A73">
        <w:rPr>
          <w:rStyle w:val="FootnoteReference"/>
        </w:rPr>
        <w:footnoteRef/>
      </w:r>
      <w:r w:rsidRPr="00762A73">
        <w:t xml:space="preserve"> </w:t>
      </w:r>
      <w:r w:rsidR="00AE78D5">
        <w:t xml:space="preserve">Petition </w:t>
      </w:r>
      <w:r w:rsidR="00350511">
        <w:t>at 1-2</w:t>
      </w:r>
      <w:r w:rsidR="00574AA0">
        <w:t>,</w:t>
      </w:r>
      <w:r w:rsidR="001C6F24">
        <w:t xml:space="preserve"> </w:t>
      </w:r>
      <w:r w:rsidRPr="000F5EFD" w:rsidR="001C6F24">
        <w:t xml:space="preserve">citing </w:t>
      </w:r>
      <w:r w:rsidRPr="001C6F24" w:rsidR="001C6F24">
        <w:t>47 CFR § 1.420(</w:t>
      </w:r>
      <w:r w:rsidRPr="001C6F24" w:rsidR="001C6F24">
        <w:t>i</w:t>
      </w:r>
      <w:r w:rsidRPr="001C6F24" w:rsidR="001C6F24">
        <w:t>)</w:t>
      </w:r>
      <w:r w:rsidR="001C6F24">
        <w:t>.</w:t>
      </w:r>
    </w:p>
  </w:footnote>
  <w:footnote w:id="6">
    <w:p w:rsidR="003103D3" w:rsidRPr="00762A73" w14:paraId="7A4F7B1F" w14:textId="37159B23">
      <w:pPr>
        <w:pStyle w:val="FootnoteText"/>
      </w:pPr>
      <w:r w:rsidRPr="000B2A15">
        <w:rPr>
          <w:rStyle w:val="FootnoteReference"/>
        </w:rPr>
        <w:footnoteRef/>
      </w:r>
      <w:r w:rsidRPr="000B2A15">
        <w:t xml:space="preserve"> 47 CFR § 1.420(</w:t>
      </w:r>
      <w:r w:rsidRPr="000B2A15">
        <w:t>i</w:t>
      </w:r>
      <w:r w:rsidRPr="000B2A15">
        <w:t>)</w:t>
      </w:r>
      <w:r w:rsidRPr="000B2A15" w:rsidR="00FF7DF8">
        <w:t xml:space="preserve">; </w:t>
      </w:r>
      <w:hyperlink r:id="rId1" w:history="1">
        <w:r w:rsidRPr="006D321A" w:rsidR="00FF7DF8">
          <w:rPr>
            <w:i/>
            <w:iCs/>
            <w:snapToGrid w:val="0"/>
            <w:kern w:val="28"/>
          </w:rPr>
          <w:t>Modification of FM and TV Authorizations to Specify a New Community of License</w:t>
        </w:r>
        <w:r w:rsidRPr="006D321A" w:rsidR="00FF7DF8">
          <w:rPr>
            <w:snapToGrid w:val="0"/>
            <w:kern w:val="28"/>
          </w:rPr>
          <w:t xml:space="preserve">, </w:t>
        </w:r>
        <w:r w:rsidR="00E21FD1">
          <w:rPr>
            <w:snapToGrid w:val="0"/>
            <w:kern w:val="28"/>
          </w:rPr>
          <w:t xml:space="preserve">MM Docket No. 88-526, </w:t>
        </w:r>
        <w:r w:rsidRPr="006D321A" w:rsidR="00FF7DF8">
          <w:rPr>
            <w:snapToGrid w:val="0"/>
            <w:kern w:val="28"/>
          </w:rPr>
          <w:t xml:space="preserve">Report and Order, 4 FCC </w:t>
        </w:r>
        <w:r w:rsidRPr="006D321A" w:rsidR="00FF7DF8">
          <w:rPr>
            <w:snapToGrid w:val="0"/>
            <w:kern w:val="28"/>
          </w:rPr>
          <w:t>Rcd</w:t>
        </w:r>
        <w:r w:rsidRPr="006D321A" w:rsidR="00FF7DF8">
          <w:rPr>
            <w:snapToGrid w:val="0"/>
            <w:kern w:val="28"/>
          </w:rPr>
          <w:t xml:space="preserve"> 4870</w:t>
        </w:r>
        <w:r w:rsidR="0003403B">
          <w:rPr>
            <w:snapToGrid w:val="0"/>
            <w:kern w:val="28"/>
          </w:rPr>
          <w:t xml:space="preserve">, </w:t>
        </w:r>
        <w:r w:rsidR="00D23CFB">
          <w:rPr>
            <w:snapToGrid w:val="0"/>
            <w:kern w:val="28"/>
          </w:rPr>
          <w:t>4873</w:t>
        </w:r>
        <w:r w:rsidR="00547D07">
          <w:rPr>
            <w:snapToGrid w:val="0"/>
            <w:kern w:val="28"/>
          </w:rPr>
          <w:t>,</w:t>
        </w:r>
        <w:r w:rsidR="00D23CFB">
          <w:rPr>
            <w:snapToGrid w:val="0"/>
            <w:kern w:val="28"/>
          </w:rPr>
          <w:t xml:space="preserve"> para. 22</w:t>
        </w:r>
        <w:r w:rsidRPr="006D321A" w:rsidR="00FF7DF8">
          <w:rPr>
            <w:snapToGrid w:val="0"/>
            <w:kern w:val="28"/>
          </w:rPr>
          <w:t xml:space="preserve"> (1989)</w:t>
        </w:r>
      </w:hyperlink>
      <w:r w:rsidR="0003403B">
        <w:rPr>
          <w:snapToGrid w:val="0"/>
          <w:kern w:val="28"/>
        </w:rPr>
        <w:t xml:space="preserve"> </w:t>
      </w:r>
      <w:r w:rsidRPr="00762A73" w:rsidR="0003403B">
        <w:t>(</w:t>
      </w:r>
      <w:r w:rsidR="000A5B7C">
        <w:rPr>
          <w:i/>
        </w:rPr>
        <w:t>Change in Community R</w:t>
      </w:r>
      <w:r w:rsidRPr="00762A73" w:rsidR="0003403B">
        <w:rPr>
          <w:i/>
        </w:rPr>
        <w:t>&amp;O</w:t>
      </w:r>
      <w:r w:rsidRPr="00762A73" w:rsidR="0003403B">
        <w:t>)</w:t>
      </w:r>
      <w:r w:rsidRPr="006D321A" w:rsidR="00FF7DF8">
        <w:rPr>
          <w:snapToGrid w:val="0"/>
          <w:kern w:val="28"/>
        </w:rPr>
        <w:t>, </w:t>
      </w:r>
      <w:r w:rsidRPr="006D321A" w:rsidR="00FF7DF8">
        <w:rPr>
          <w:i/>
          <w:iCs/>
          <w:snapToGrid w:val="0"/>
          <w:kern w:val="28"/>
        </w:rPr>
        <w:t>recon. granted in part</w:t>
      </w:r>
      <w:r w:rsidRPr="006D321A" w:rsidR="00FF7DF8">
        <w:rPr>
          <w:snapToGrid w:val="0"/>
          <w:kern w:val="28"/>
        </w:rPr>
        <w:t>, </w:t>
      </w:r>
      <w:hyperlink r:id="rId2" w:history="1">
        <w:r w:rsidRPr="006D321A" w:rsidR="00FF7DF8">
          <w:rPr>
            <w:snapToGrid w:val="0"/>
            <w:kern w:val="28"/>
          </w:rPr>
          <w:t xml:space="preserve">5 FCC </w:t>
        </w:r>
        <w:r w:rsidRPr="006D321A" w:rsidR="00FF7DF8">
          <w:rPr>
            <w:snapToGrid w:val="0"/>
            <w:kern w:val="28"/>
          </w:rPr>
          <w:t>Rcd</w:t>
        </w:r>
        <w:r w:rsidRPr="006D321A" w:rsidR="00FF7DF8">
          <w:rPr>
            <w:snapToGrid w:val="0"/>
            <w:kern w:val="28"/>
          </w:rPr>
          <w:t xml:space="preserve"> 7094 (1990)</w:t>
        </w:r>
      </w:hyperlink>
      <w:r w:rsidR="00B71C1A">
        <w:rPr>
          <w:snapToGrid w:val="0"/>
          <w:kern w:val="28"/>
        </w:rPr>
        <w:t xml:space="preserve"> </w:t>
      </w:r>
      <w:r w:rsidRPr="00762A73" w:rsidR="00B71C1A">
        <w:t>(</w:t>
      </w:r>
      <w:r w:rsidR="0003403B">
        <w:rPr>
          <w:i/>
        </w:rPr>
        <w:t>Recon M</w:t>
      </w:r>
      <w:r w:rsidRPr="00762A73" w:rsidR="00B71C1A">
        <w:rPr>
          <w:i/>
        </w:rPr>
        <w:t>O&amp;O</w:t>
      </w:r>
      <w:r w:rsidRPr="00762A73" w:rsidR="00B71C1A">
        <w:t>)</w:t>
      </w:r>
      <w:r w:rsidRPr="006D321A" w:rsidR="00FF7DF8">
        <w:rPr>
          <w:snapToGrid w:val="0"/>
          <w:kern w:val="28"/>
        </w:rPr>
        <w:t>.</w:t>
      </w:r>
    </w:p>
  </w:footnote>
  <w:footnote w:id="7">
    <w:p w:rsidR="003103D3" w:rsidRPr="00762A73" w14:paraId="56334DA5" w14:textId="16A0B0C3">
      <w:pPr>
        <w:pStyle w:val="FootnoteText"/>
      </w:pPr>
      <w:r w:rsidRPr="00762A73">
        <w:rPr>
          <w:rStyle w:val="FootnoteReference"/>
        </w:rPr>
        <w:footnoteRef/>
      </w:r>
      <w:r w:rsidRPr="00762A73">
        <w:t xml:space="preserve"> </w:t>
      </w:r>
      <w:r w:rsidRPr="00762A73" w:rsidR="0003403B">
        <w:rPr>
          <w:i/>
        </w:rPr>
        <w:t>Change in Community R&amp;O</w:t>
      </w:r>
      <w:r w:rsidR="00D23CFB">
        <w:t>,</w:t>
      </w:r>
      <w:r w:rsidRPr="00762A73" w:rsidR="00AB75C8">
        <w:rPr>
          <w:i/>
        </w:rPr>
        <w:t xml:space="preserve"> </w:t>
      </w:r>
      <w:r w:rsidR="00D23CFB">
        <w:t xml:space="preserve">4 </w:t>
      </w:r>
      <w:r w:rsidRPr="00762A73" w:rsidR="00AB75C8">
        <w:t xml:space="preserve">FCC </w:t>
      </w:r>
      <w:r w:rsidRPr="00762A73" w:rsidR="00AB75C8">
        <w:t>Rcd</w:t>
      </w:r>
      <w:r w:rsidR="0003403B">
        <w:t xml:space="preserve"> at 4874, para. 28</w:t>
      </w:r>
      <w:r w:rsidRPr="00762A73" w:rsidR="00AB75C8">
        <w:rPr>
          <w:i/>
        </w:rPr>
        <w:t>.</w:t>
      </w:r>
    </w:p>
  </w:footnote>
  <w:footnote w:id="8">
    <w:p w:rsidR="002A5FA2" w14:paraId="2D10CA68" w14:textId="282B8780">
      <w:pPr>
        <w:pStyle w:val="FootnoteText"/>
      </w:pPr>
      <w:r>
        <w:rPr>
          <w:rStyle w:val="FootnoteReference"/>
        </w:rPr>
        <w:footnoteRef/>
      </w:r>
      <w:r>
        <w:t xml:space="preserve"> </w:t>
      </w:r>
      <w:r w:rsidRPr="00762A73">
        <w:rPr>
          <w:i/>
        </w:rPr>
        <w:t xml:space="preserve">Amendment of Section 3.606 of the Commission’s Rules and Regulations, </w:t>
      </w:r>
      <w:r w:rsidRPr="00762A73">
        <w:t>Sixth Report and Order, 41 F.C.C. 148, 167-173 (1952)</w:t>
      </w:r>
      <w:r w:rsidRPr="00762A73">
        <w:rPr>
          <w:i/>
        </w:rPr>
        <w:t>.</w:t>
      </w:r>
    </w:p>
  </w:footnote>
  <w:footnote w:id="9">
    <w:p w:rsidR="00936AA6" w:rsidRPr="00955003" w:rsidP="00A4259C" w14:paraId="251F5779" w14:textId="44C70516">
      <w:pPr>
        <w:pStyle w:val="FootnoteText"/>
      </w:pPr>
      <w:r w:rsidRPr="00762A73">
        <w:rPr>
          <w:rStyle w:val="FootnoteReference"/>
        </w:rPr>
        <w:footnoteRef/>
      </w:r>
      <w:r w:rsidRPr="00762A73">
        <w:t xml:space="preserve"> Petition at </w:t>
      </w:r>
      <w:r w:rsidR="00EE63C7">
        <w:t>4</w:t>
      </w:r>
      <w:r w:rsidRPr="00762A73">
        <w:t>.</w:t>
      </w:r>
      <w:r w:rsidR="00A4259C">
        <w:t xml:space="preserve">  Therefore, Petitioner maintains, the proposal satisfies the requirement that it provide the required principal community coverage to its new community of license.  </w:t>
      </w:r>
      <w:r w:rsidR="00A4259C">
        <w:rPr>
          <w:i/>
          <w:iCs/>
        </w:rPr>
        <w:t xml:space="preserve">Id. </w:t>
      </w:r>
      <w:r w:rsidR="00955003">
        <w:t>at 4 and Engineering Statement at 1.</w:t>
      </w:r>
    </w:p>
  </w:footnote>
  <w:footnote w:id="10">
    <w:p w:rsidR="00955003" w:rsidRPr="00955003" w:rsidP="00C00738" w14:paraId="2A9D18CF" w14:textId="3A8BEAF8">
      <w:pPr>
        <w:widowControl/>
        <w:autoSpaceDE w:val="0"/>
        <w:autoSpaceDN w:val="0"/>
        <w:adjustRightInd w:val="0"/>
        <w:spacing w:after="120"/>
        <w:rPr>
          <w:color w:val="4F4F4F"/>
        </w:rPr>
      </w:pPr>
      <w:r w:rsidRPr="00430881">
        <w:rPr>
          <w:rStyle w:val="FootnoteReference"/>
        </w:rPr>
        <w:footnoteRef/>
      </w:r>
      <w:r w:rsidRPr="008169B9">
        <w:rPr>
          <w:sz w:val="20"/>
        </w:rPr>
        <w:t xml:space="preserve"> </w:t>
      </w:r>
      <w:r w:rsidRPr="008169B9">
        <w:rPr>
          <w:i/>
          <w:iCs/>
          <w:sz w:val="20"/>
        </w:rPr>
        <w:t>Id.</w:t>
      </w:r>
      <w:r w:rsidRPr="008169B9" w:rsidR="005D0656">
        <w:rPr>
          <w:i/>
          <w:iCs/>
          <w:sz w:val="20"/>
        </w:rPr>
        <w:t>,</w:t>
      </w:r>
      <w:r w:rsidRPr="008169B9">
        <w:rPr>
          <w:sz w:val="20"/>
        </w:rPr>
        <w:t xml:space="preserve"> </w:t>
      </w:r>
      <w:r w:rsidRPr="008169B9" w:rsidR="00F757B9">
        <w:rPr>
          <w:sz w:val="20"/>
        </w:rPr>
        <w:t>citing 47 CFR § 1.420(</w:t>
      </w:r>
      <w:r w:rsidRPr="008169B9" w:rsidR="00F757B9">
        <w:rPr>
          <w:sz w:val="20"/>
        </w:rPr>
        <w:t>i</w:t>
      </w:r>
      <w:r w:rsidRPr="008169B9" w:rsidR="00F757B9">
        <w:rPr>
          <w:sz w:val="20"/>
        </w:rPr>
        <w:t>)</w:t>
      </w:r>
      <w:r w:rsidRPr="008169B9" w:rsidR="005D0656">
        <w:rPr>
          <w:sz w:val="20"/>
        </w:rPr>
        <w:t xml:space="preserve"> </w:t>
      </w:r>
      <w:r w:rsidRPr="00430881" w:rsidR="005D0656">
        <w:rPr>
          <w:sz w:val="20"/>
        </w:rPr>
        <w:t>and</w:t>
      </w:r>
      <w:r w:rsidRPr="00955003" w:rsidR="005D0656">
        <w:rPr>
          <w:sz w:val="20"/>
        </w:rPr>
        <w:t xml:space="preserve"> </w:t>
      </w:r>
      <w:r w:rsidRPr="00F45263" w:rsidR="005D0656">
        <w:rPr>
          <w:i/>
          <w:iCs/>
          <w:snapToGrid/>
          <w:kern w:val="0"/>
          <w:sz w:val="20"/>
        </w:rPr>
        <w:t>In the Matter of Amendment of Section 73.622(</w:t>
      </w:r>
      <w:r w:rsidRPr="00F45263" w:rsidR="005D0656">
        <w:rPr>
          <w:i/>
          <w:iCs/>
          <w:snapToGrid/>
          <w:kern w:val="0"/>
          <w:sz w:val="20"/>
        </w:rPr>
        <w:t>i</w:t>
      </w:r>
      <w:r w:rsidRPr="00F45263" w:rsidR="005D0656">
        <w:rPr>
          <w:i/>
          <w:iCs/>
          <w:snapToGrid/>
          <w:kern w:val="0"/>
          <w:sz w:val="20"/>
        </w:rPr>
        <w:t>)</w:t>
      </w:r>
      <w:r w:rsidRPr="00F45263" w:rsidR="00D01849">
        <w:rPr>
          <w:i/>
          <w:iCs/>
          <w:snapToGrid/>
          <w:kern w:val="0"/>
          <w:sz w:val="20"/>
        </w:rPr>
        <w:t xml:space="preserve"> (Cookeville and Franklin, Tennessee</w:t>
      </w:r>
      <w:r w:rsidRPr="00F45263" w:rsidR="005C07A9">
        <w:rPr>
          <w:i/>
          <w:iCs/>
          <w:snapToGrid/>
          <w:kern w:val="0"/>
          <w:sz w:val="20"/>
        </w:rPr>
        <w:t>)</w:t>
      </w:r>
      <w:r w:rsidRPr="00F45263" w:rsidR="005D0656">
        <w:rPr>
          <w:snapToGrid/>
          <w:kern w:val="0"/>
          <w:sz w:val="20"/>
        </w:rPr>
        <w:t xml:space="preserve">, Report and Order, </w:t>
      </w:r>
      <w:r w:rsidR="00E21FD1">
        <w:rPr>
          <w:snapToGrid/>
          <w:kern w:val="0"/>
          <w:sz w:val="20"/>
        </w:rPr>
        <w:t xml:space="preserve">MB Docket No. 18-383, </w:t>
      </w:r>
      <w:r w:rsidRPr="00F45263" w:rsidR="00D01849">
        <w:rPr>
          <w:snapToGrid/>
          <w:kern w:val="0"/>
          <w:sz w:val="20"/>
        </w:rPr>
        <w:t xml:space="preserve">34 FCC </w:t>
      </w:r>
      <w:r w:rsidRPr="00F45263" w:rsidR="00D01849">
        <w:rPr>
          <w:snapToGrid/>
          <w:kern w:val="0"/>
          <w:sz w:val="20"/>
        </w:rPr>
        <w:t>Rcd</w:t>
      </w:r>
      <w:r w:rsidRPr="00F45263" w:rsidR="00D01849">
        <w:rPr>
          <w:snapToGrid/>
          <w:kern w:val="0"/>
          <w:sz w:val="20"/>
        </w:rPr>
        <w:t xml:space="preserve"> 1082</w:t>
      </w:r>
      <w:r w:rsidRPr="00F45263" w:rsidR="005C07A9">
        <w:rPr>
          <w:snapToGrid/>
          <w:kern w:val="0"/>
          <w:sz w:val="20"/>
        </w:rPr>
        <w:t>,</w:t>
      </w:r>
      <w:r w:rsidRPr="00F45263" w:rsidR="00D01849">
        <w:rPr>
          <w:snapToGrid/>
          <w:kern w:val="0"/>
          <w:sz w:val="20"/>
        </w:rPr>
        <w:t>1082-83, para. 1</w:t>
      </w:r>
      <w:r w:rsidRPr="00F45263" w:rsidR="005C07A9">
        <w:rPr>
          <w:snapToGrid/>
          <w:kern w:val="0"/>
          <w:sz w:val="20"/>
        </w:rPr>
        <w:t xml:space="preserve"> </w:t>
      </w:r>
      <w:r w:rsidRPr="00F45263" w:rsidR="005D0656">
        <w:rPr>
          <w:snapToGrid/>
          <w:kern w:val="0"/>
          <w:sz w:val="20"/>
        </w:rPr>
        <w:t>(</w:t>
      </w:r>
      <w:r w:rsidRPr="00F45263" w:rsidR="00D01849">
        <w:rPr>
          <w:snapToGrid/>
          <w:kern w:val="0"/>
          <w:sz w:val="20"/>
        </w:rPr>
        <w:t>Vid. Div.</w:t>
      </w:r>
      <w:r w:rsidRPr="00F45263" w:rsidR="005D0656">
        <w:rPr>
          <w:snapToGrid/>
          <w:kern w:val="0"/>
          <w:sz w:val="20"/>
        </w:rPr>
        <w:t xml:space="preserve"> 2019) (recognizing </w:t>
      </w:r>
      <w:r w:rsidRPr="00F45263" w:rsidR="005C07A9">
        <w:rPr>
          <w:snapToGrid/>
          <w:kern w:val="0"/>
          <w:sz w:val="20"/>
        </w:rPr>
        <w:t xml:space="preserve">mutual </w:t>
      </w:r>
      <w:r w:rsidRPr="00F45263" w:rsidR="005D0656">
        <w:rPr>
          <w:snapToGrid/>
          <w:kern w:val="0"/>
          <w:sz w:val="20"/>
        </w:rPr>
        <w:t>exclusivity of proposed reallotment where it was “based on the technical specifications currently authorized for the station</w:t>
      </w:r>
      <w:r w:rsidR="00011E8E">
        <w:rPr>
          <w:snapToGrid/>
          <w:kern w:val="0"/>
          <w:sz w:val="20"/>
        </w:rPr>
        <w:t>.</w:t>
      </w:r>
      <w:r w:rsidRPr="00F45263" w:rsidR="005D0656">
        <w:rPr>
          <w:snapToGrid/>
          <w:kern w:val="0"/>
          <w:sz w:val="20"/>
        </w:rPr>
        <w:t>”)</w:t>
      </w:r>
      <w:r w:rsidRPr="00F45263">
        <w:t>.</w:t>
      </w:r>
    </w:p>
  </w:footnote>
  <w:footnote w:id="11">
    <w:p w:rsidR="00870AF3" w:rsidRPr="000805A3" w:rsidP="00364566" w14:paraId="35D17592" w14:textId="2570C8F9">
      <w:pPr>
        <w:pStyle w:val="FootnoteText"/>
      </w:pPr>
      <w:r>
        <w:rPr>
          <w:rStyle w:val="FootnoteReference"/>
        </w:rPr>
        <w:footnoteRef/>
      </w:r>
      <w:r>
        <w:t xml:space="preserve"> </w:t>
      </w:r>
      <w:r w:rsidR="00A559BF">
        <w:rPr>
          <w:i/>
          <w:iCs/>
        </w:rPr>
        <w:t xml:space="preserve">Id. </w:t>
      </w:r>
      <w:r w:rsidR="00A559BF">
        <w:t xml:space="preserve">at 4.  </w:t>
      </w:r>
      <w:r w:rsidR="00A559BF">
        <w:rPr>
          <w:i/>
          <w:iCs/>
        </w:rPr>
        <w:t xml:space="preserve">See also </w:t>
      </w:r>
      <w:r w:rsidRPr="000805A3" w:rsidR="00A559BF">
        <w:rPr>
          <w:i/>
          <w:iCs/>
        </w:rPr>
        <w:t>Beacon Broadcasting</w:t>
      </w:r>
      <w:r w:rsidRPr="000805A3" w:rsidR="00A559BF">
        <w:t>, 2 FCC Red 3469</w:t>
      </w:r>
      <w:r w:rsidR="00A559BF">
        <w:t xml:space="preserve"> (1987); and </w:t>
      </w:r>
      <w:r w:rsidRPr="00364566" w:rsidR="00A559BF">
        <w:rPr>
          <w:i/>
          <w:iCs/>
        </w:rPr>
        <w:t>Willows and Dunnigan, California</w:t>
      </w:r>
      <w:r w:rsidR="00A559BF">
        <w:t xml:space="preserve">, 10 FCC </w:t>
      </w:r>
      <w:r w:rsidR="00A559BF">
        <w:t>Rcd</w:t>
      </w:r>
      <w:r w:rsidR="00A559BF">
        <w:t xml:space="preserve"> 11522 (1995) </w:t>
      </w:r>
      <w:r w:rsidRPr="00364566" w:rsidR="00A559BF">
        <w:t>(outlining the test for community status under section 307(b) of the Communications Act</w:t>
      </w:r>
      <w:r w:rsidR="00D01849">
        <w:t xml:space="preserve"> of 1934, as amended</w:t>
      </w:r>
      <w:r w:rsidRPr="00364566" w:rsidR="00A559BF">
        <w:t>)</w:t>
      </w:r>
      <w:r w:rsidR="00A559BF">
        <w:t>.</w:t>
      </w:r>
    </w:p>
  </w:footnote>
  <w:footnote w:id="12">
    <w:p w:rsidR="00E94A7E" w:rsidRPr="00E94A7E" w:rsidP="00E94A7E" w14:paraId="4070C2B0" w14:textId="5405D95E">
      <w:pPr>
        <w:pStyle w:val="FootnoteText"/>
      </w:pPr>
      <w:r>
        <w:rPr>
          <w:rStyle w:val="FootnoteReference"/>
        </w:rPr>
        <w:footnoteRef/>
      </w:r>
      <w:r>
        <w:t xml:space="preserve"> </w:t>
      </w:r>
      <w:r w:rsidR="00D01849">
        <w:t>Petition</w:t>
      </w:r>
      <w:r>
        <w:t xml:space="preserve"> at 2</w:t>
      </w:r>
      <w:r w:rsidR="00F43AB4">
        <w:t>,</w:t>
      </w:r>
      <w:r>
        <w:t xml:space="preserve"> </w:t>
      </w:r>
      <w:r w:rsidRPr="00870AF3">
        <w:t>citing</w:t>
      </w:r>
      <w:r>
        <w:rPr>
          <w:i/>
          <w:iCs/>
        </w:rPr>
        <w:t xml:space="preserve"> </w:t>
      </w:r>
      <w:r>
        <w:t xml:space="preserve">Kendall County, Illinois, Economic Development, </w:t>
      </w:r>
      <w:hyperlink r:id="rId3" w:history="1">
        <w:r w:rsidRPr="00805DF2">
          <w:rPr>
            <w:rStyle w:val="Hyperlink"/>
          </w:rPr>
          <w:t>https://www.co.kendall.il.us/departments/economic-development</w:t>
        </w:r>
      </w:hyperlink>
      <w:r>
        <w:t xml:space="preserve"> (last visited Nov. 13, 2020)</w:t>
      </w:r>
      <w:r w:rsidR="00F43AB4">
        <w:t>;</w:t>
      </w:r>
      <w:r w:rsidR="005202CC">
        <w:t xml:space="preserve"> </w:t>
      </w:r>
      <w:r>
        <w:t>Les Christie,</w:t>
      </w:r>
      <w:r w:rsidR="005202CC">
        <w:t xml:space="preserve"> </w:t>
      </w:r>
      <w:r w:rsidRPr="005202CC">
        <w:rPr>
          <w:i/>
          <w:iCs/>
        </w:rPr>
        <w:t>Fastest Growing Counties in the U.S.</w:t>
      </w:r>
      <w:r>
        <w:t>, CNNMoney (June 16, 2010),</w:t>
      </w:r>
      <w:r w:rsidR="005202CC">
        <w:t xml:space="preserve"> </w:t>
      </w:r>
      <w:hyperlink r:id="rId4" w:history="1">
        <w:r w:rsidRPr="00805DF2" w:rsidR="005202CC">
          <w:rPr>
            <w:rStyle w:val="Hyperlink"/>
          </w:rPr>
          <w:t>https://money.cnn.com/2010/06/16/real_estate/fastest_growing_counties/</w:t>
        </w:r>
      </w:hyperlink>
      <w:r w:rsidR="005202CC">
        <w:t xml:space="preserve"> </w:t>
      </w:r>
      <w:r>
        <w:t>(last visited Nov. 13,</w:t>
      </w:r>
      <w:r w:rsidR="005202CC">
        <w:t xml:space="preserve"> </w:t>
      </w:r>
      <w:r>
        <w:t>2020)</w:t>
      </w:r>
      <w:r w:rsidR="005202CC">
        <w:t>.</w:t>
      </w:r>
    </w:p>
  </w:footnote>
  <w:footnote w:id="13">
    <w:p w:rsidR="005202CC" w:rsidRPr="005202CC" w14:paraId="40E9A9D0" w14:textId="0C26559D">
      <w:pPr>
        <w:pStyle w:val="FootnoteText"/>
      </w:pPr>
      <w:r>
        <w:rPr>
          <w:rStyle w:val="FootnoteReference"/>
        </w:rPr>
        <w:footnoteRef/>
      </w:r>
      <w:r>
        <w:t xml:space="preserve"> </w:t>
      </w:r>
      <w:r w:rsidR="005C07A9">
        <w:t>Petition</w:t>
      </w:r>
      <w:r>
        <w:t xml:space="preserve"> at 2 and </w:t>
      </w:r>
      <w:r w:rsidRPr="005202CC">
        <w:t>Exhibit A, Oswego Characteristics.</w:t>
      </w:r>
    </w:p>
  </w:footnote>
  <w:footnote w:id="14">
    <w:p w:rsidR="005202CC" w:rsidRPr="005202CC" w:rsidP="005202CC" w14:paraId="10F09BAA" w14:textId="35AF27A6">
      <w:pPr>
        <w:pStyle w:val="FootnoteText"/>
      </w:pPr>
      <w:r>
        <w:rPr>
          <w:rStyle w:val="FootnoteReference"/>
        </w:rPr>
        <w:footnoteRef/>
      </w:r>
      <w:r>
        <w:t xml:space="preserve">  </w:t>
      </w:r>
      <w:r w:rsidR="005C07A9">
        <w:t xml:space="preserve">Petition </w:t>
      </w:r>
      <w:r>
        <w:t>at 2</w:t>
      </w:r>
      <w:r w:rsidR="00F43AB4">
        <w:t>,</w:t>
      </w:r>
      <w:r>
        <w:t xml:space="preserve"> </w:t>
      </w:r>
      <w:r w:rsidRPr="00870AF3">
        <w:t>citing</w:t>
      </w:r>
      <w:r>
        <w:rPr>
          <w:i/>
          <w:iCs/>
        </w:rPr>
        <w:t xml:space="preserve"> </w:t>
      </w:r>
      <w:r>
        <w:t>Village of Oswego, 2015 Comprehensive Growth Plan at 10 (2015), available at</w:t>
      </w:r>
      <w:r w:rsidR="005C07A9">
        <w:t xml:space="preserve"> </w:t>
      </w:r>
      <w:hyperlink r:id="rId5" w:history="1">
        <w:r w:rsidRPr="005C07A9" w:rsidR="005C07A9">
          <w:rPr>
            <w:rStyle w:val="Hyperlink"/>
          </w:rPr>
          <w:t>http://www.oswegoil.org/OSWEGO2015COMPREHENSIVEPLAN.pdf</w:t>
        </w:r>
      </w:hyperlink>
      <w:r>
        <w:t xml:space="preserve"> </w:t>
      </w:r>
    </w:p>
  </w:footnote>
  <w:footnote w:id="15">
    <w:p w:rsidR="005202CC" w:rsidRPr="005202CC" w14:paraId="79908B84" w14:textId="4FBCABAB">
      <w:pPr>
        <w:pStyle w:val="FootnoteText"/>
      </w:pPr>
      <w:r>
        <w:rPr>
          <w:rStyle w:val="FootnoteReference"/>
        </w:rPr>
        <w:footnoteRef/>
      </w:r>
      <w:r>
        <w:t xml:space="preserve"> </w:t>
      </w:r>
      <w:r w:rsidR="002E7FAA">
        <w:t>Petition</w:t>
      </w:r>
      <w:r>
        <w:t xml:space="preserve"> at 2-3 and Exhibit A.</w:t>
      </w:r>
    </w:p>
  </w:footnote>
  <w:footnote w:id="16">
    <w:p w:rsidR="005202CC" w:rsidRPr="005202CC" w14:paraId="39454116" w14:textId="77777777">
      <w:pPr>
        <w:pStyle w:val="FootnoteText"/>
      </w:pPr>
      <w:r>
        <w:rPr>
          <w:rStyle w:val="FootnoteReference"/>
        </w:rPr>
        <w:footnoteRef/>
      </w:r>
      <w:r>
        <w:t xml:space="preserve"> </w:t>
      </w:r>
      <w:r>
        <w:rPr>
          <w:i/>
          <w:iCs/>
        </w:rPr>
        <w:t xml:space="preserve">Id. </w:t>
      </w:r>
      <w:r>
        <w:t>at 3 and Exhibit A.</w:t>
      </w:r>
    </w:p>
  </w:footnote>
  <w:footnote w:id="17">
    <w:p w:rsidR="005202CC" w:rsidRPr="005202CC" w14:paraId="30DEC5D4" w14:textId="77777777">
      <w:pPr>
        <w:pStyle w:val="FootnoteText"/>
      </w:pPr>
      <w:r>
        <w:rPr>
          <w:rStyle w:val="FootnoteReference"/>
        </w:rPr>
        <w:footnoteRef/>
      </w:r>
      <w:r>
        <w:t xml:space="preserve"> </w:t>
      </w:r>
      <w:r>
        <w:rPr>
          <w:i/>
          <w:iCs/>
        </w:rPr>
        <w:t xml:space="preserve">Id. </w:t>
      </w:r>
      <w:r>
        <w:t>at 3-4 and Exhibit A.</w:t>
      </w:r>
    </w:p>
  </w:footnote>
  <w:footnote w:id="18">
    <w:p w:rsidR="00A4259C" w:rsidRPr="00A4259C" w14:paraId="6D5831E0" w14:textId="77777777">
      <w:pPr>
        <w:pStyle w:val="FootnoteText"/>
      </w:pPr>
      <w:r>
        <w:rPr>
          <w:rStyle w:val="FootnoteReference"/>
        </w:rPr>
        <w:footnoteRef/>
      </w:r>
      <w:r>
        <w:t xml:space="preserve"> </w:t>
      </w:r>
      <w:r>
        <w:rPr>
          <w:i/>
          <w:iCs/>
        </w:rPr>
        <w:t>Id.</w:t>
      </w:r>
      <w:r>
        <w:t xml:space="preserve"> at 5 and </w:t>
      </w:r>
      <w:r w:rsidRPr="00A4259C">
        <w:t>Exhibit D, List of Television Stations in Illinois</w:t>
      </w:r>
      <w:r>
        <w:t>.</w:t>
      </w:r>
    </w:p>
  </w:footnote>
  <w:footnote w:id="19">
    <w:p w:rsidR="00A4259C" w:rsidRPr="00A4259C" w14:paraId="6B7E52BC" w14:textId="07963137">
      <w:pPr>
        <w:pStyle w:val="FootnoteText"/>
      </w:pPr>
      <w:r>
        <w:rPr>
          <w:rStyle w:val="FootnoteReference"/>
        </w:rPr>
        <w:footnoteRef/>
      </w:r>
      <w:r>
        <w:t xml:space="preserve"> </w:t>
      </w:r>
      <w:r w:rsidR="00F43AB4">
        <w:t>Petition</w:t>
      </w:r>
      <w:r>
        <w:t xml:space="preserve"> at 5.</w:t>
      </w:r>
    </w:p>
  </w:footnote>
  <w:footnote w:id="20">
    <w:p w:rsidR="00A4259C" w:rsidRPr="00A4259C" w:rsidP="004C3D24" w14:paraId="6838F9F2" w14:textId="77777777">
      <w:pPr>
        <w:pStyle w:val="FootnoteText"/>
        <w:rPr>
          <w:i/>
          <w:iCs/>
        </w:rPr>
      </w:pPr>
      <w:r>
        <w:rPr>
          <w:rStyle w:val="FootnoteReference"/>
        </w:rPr>
        <w:footnoteRef/>
      </w:r>
      <w:r>
        <w:t xml:space="preserve"> </w:t>
      </w:r>
      <w:r>
        <w:rPr>
          <w:i/>
          <w:iCs/>
        </w:rPr>
        <w:t>Id.</w:t>
      </w:r>
    </w:p>
  </w:footnote>
  <w:footnote w:id="21">
    <w:p w:rsidR="0025758F" w14:paraId="31154273" w14:textId="1863B4B8">
      <w:pPr>
        <w:pStyle w:val="FootnoteText"/>
      </w:pPr>
      <w:r>
        <w:rPr>
          <w:rStyle w:val="FootnoteReference"/>
        </w:rPr>
        <w:footnoteRef/>
      </w:r>
      <w:r>
        <w:t xml:space="preserve"> </w:t>
      </w:r>
      <w:r w:rsidRPr="00955003">
        <w:rPr>
          <w:i/>
          <w:iCs/>
        </w:rPr>
        <w:t xml:space="preserve">See supra </w:t>
      </w:r>
      <w:r>
        <w:t>n</w:t>
      </w:r>
      <w:r w:rsidR="00011E8E">
        <w:t xml:space="preserve">ote </w:t>
      </w:r>
      <w:r>
        <w:t>2</w:t>
      </w:r>
      <w:r w:rsidR="00011E8E">
        <w:t>.</w:t>
      </w:r>
    </w:p>
  </w:footnote>
  <w:footnote w:id="22">
    <w:p w:rsidR="00AE78D5" w:rsidP="00AE78D5" w14:paraId="63867D9B" w14:textId="4418A5D3">
      <w:pPr>
        <w:pStyle w:val="FootnoteText"/>
        <w:widowControl w:val="0"/>
      </w:pPr>
      <w:r>
        <w:rPr>
          <w:rStyle w:val="FootnoteReference"/>
        </w:rPr>
        <w:footnoteRef/>
      </w:r>
      <w:r>
        <w:t xml:space="preserve"> </w:t>
      </w:r>
      <w:r w:rsidRPr="00C43C45">
        <w:rPr>
          <w:i/>
          <w:iCs/>
        </w:rPr>
        <w:t>See, e.g., Buffalo, Io</w:t>
      </w:r>
      <w:r w:rsidR="005C07A9">
        <w:rPr>
          <w:i/>
          <w:iCs/>
        </w:rPr>
        <w:t>l</w:t>
      </w:r>
      <w:r w:rsidRPr="00C43C45">
        <w:rPr>
          <w:i/>
          <w:iCs/>
        </w:rPr>
        <w:t>a, Normangee, and Madisonville, Texas</w:t>
      </w:r>
      <w:r w:rsidRPr="00C43C45">
        <w:t xml:space="preserve">, Report and Order, </w:t>
      </w:r>
      <w:r w:rsidR="00011E8E">
        <w:t xml:space="preserve">MB Docket No. 07-279, </w:t>
      </w:r>
      <w:r w:rsidRPr="00C43C45">
        <w:t xml:space="preserve">24 FCC </w:t>
      </w:r>
      <w:r w:rsidRPr="00C43C45">
        <w:t>Rcd</w:t>
      </w:r>
      <w:r w:rsidRPr="00C43C45">
        <w:t xml:space="preserve"> 8192, 8194</w:t>
      </w:r>
      <w:r>
        <w:t>, para. 9</w:t>
      </w:r>
      <w:r w:rsidRPr="00C43C45">
        <w:t xml:space="preserve"> (</w:t>
      </w:r>
      <w:r w:rsidR="00011E8E">
        <w:t>Aud. Div.</w:t>
      </w:r>
      <w:r w:rsidRPr="00C43C45" w:rsidR="00011E8E">
        <w:t xml:space="preserve"> </w:t>
      </w:r>
      <w:r w:rsidRPr="00C43C45">
        <w:t>2009).</w:t>
      </w:r>
    </w:p>
  </w:footnote>
  <w:footnote w:id="23">
    <w:p w:rsidR="00AE78D5" w:rsidP="00AE78D5" w14:paraId="398D9FEA" w14:textId="77777777">
      <w:pPr>
        <w:pStyle w:val="FootnoteText"/>
        <w:widowControl w:val="0"/>
      </w:pPr>
      <w:r>
        <w:rPr>
          <w:rStyle w:val="FootnoteReference"/>
        </w:rPr>
        <w:footnoteRef/>
      </w:r>
      <w:r>
        <w:t xml:space="preserve"> </w:t>
      </w:r>
      <w:r w:rsidRPr="0025083E">
        <w:t>47 CFR § 1.420(j).</w:t>
      </w:r>
    </w:p>
  </w:footnote>
  <w:footnote w:id="24">
    <w:p w:rsidR="00AE78D5" w:rsidP="00AE78D5" w14:paraId="093CB079" w14:textId="77777777">
      <w:pPr>
        <w:pStyle w:val="FootnoteText"/>
        <w:widowControl w:val="0"/>
      </w:pPr>
      <w:r>
        <w:rPr>
          <w:rStyle w:val="FootnoteReference"/>
        </w:rPr>
        <w:footnoteRef/>
      </w:r>
      <w:r>
        <w:t xml:space="preserve"> </w:t>
      </w:r>
      <w:r w:rsidRPr="003B6FA0">
        <w:t xml:space="preserve">47 CFR </w:t>
      </w:r>
      <w:r>
        <w:t xml:space="preserve">§ </w:t>
      </w:r>
      <w:r w:rsidRPr="003B6FA0">
        <w:t>1.420(d)</w:t>
      </w:r>
      <w:r>
        <w:t>.</w:t>
      </w:r>
    </w:p>
  </w:footnote>
  <w:footnote w:id="25">
    <w:p w:rsidR="00AE78D5" w:rsidP="00AE78D5" w14:paraId="784ACAF9" w14:textId="77777777">
      <w:pPr>
        <w:pStyle w:val="FootnoteText"/>
        <w:widowControl w:val="0"/>
      </w:pPr>
      <w:r>
        <w:rPr>
          <w:rStyle w:val="FootnoteReference"/>
        </w:rPr>
        <w:footnoteRef/>
      </w:r>
      <w:r>
        <w:t xml:space="preserve"> </w:t>
      </w:r>
      <w:r w:rsidRPr="005F375B">
        <w:t>47 CFR § 1.420(</w:t>
      </w:r>
      <w:r>
        <w:t>g)(2)</w:t>
      </w:r>
      <w:r w:rsidRPr="005F375B">
        <w:t>.</w:t>
      </w:r>
    </w:p>
  </w:footnote>
  <w:footnote w:id="26">
    <w:p w:rsidR="00AE78D5" w:rsidP="00AE78D5" w14:paraId="6859BB6C" w14:textId="77777777">
      <w:pPr>
        <w:pStyle w:val="FootnoteText"/>
        <w:widowControl w:val="0"/>
      </w:pPr>
      <w:r>
        <w:rPr>
          <w:rStyle w:val="FootnoteReference"/>
        </w:rPr>
        <w:footnoteRef/>
      </w:r>
      <w:r>
        <w:t xml:space="preserve"> </w:t>
      </w:r>
      <w:r w:rsidRPr="003B6FA0">
        <w:t>47 CFR §§ 1.415, 1.419,</w:t>
      </w:r>
      <w:r>
        <w:t xml:space="preserve"> and 1.420.</w:t>
      </w:r>
    </w:p>
  </w:footnote>
  <w:footnote w:id="27">
    <w:p w:rsidR="00AE78D5" w:rsidRPr="006F1759" w:rsidP="00AE78D5" w14:paraId="55781FEF"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8">
    <w:p w:rsidR="00AE78D5" w:rsidP="00AE78D5" w14:paraId="7C6DFDC5"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9">
    <w:p w:rsidR="00AE78D5" w:rsidP="00AE78D5" w14:paraId="22AD68A0" w14:textId="77777777">
      <w:pPr>
        <w:pStyle w:val="FootnoteText"/>
        <w:widowControl w:val="0"/>
      </w:pPr>
      <w:r>
        <w:rPr>
          <w:rStyle w:val="FootnoteReference"/>
        </w:rPr>
        <w:footnoteRef/>
      </w:r>
      <w:r>
        <w:t xml:space="preserve"> 47 CFR § 1.420.</w:t>
      </w:r>
    </w:p>
  </w:footnote>
  <w:footnote w:id="30">
    <w:p w:rsidR="00AE78D5" w:rsidP="00AE78D5" w14:paraId="719397EA"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 xml:space="preserve">§ </w:t>
      </w:r>
      <w:r w:rsidRPr="005E3497">
        <w:t>1.420(a), (b) and (c)</w:t>
      </w:r>
      <w:r>
        <w:t>.</w:t>
      </w:r>
    </w:p>
  </w:footnote>
  <w:footnote w:id="31">
    <w:p w:rsidR="00AE78D5" w:rsidRPr="00522221" w:rsidP="00AE78D5" w14:paraId="4637EB63"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32">
    <w:p w:rsidR="00AE78D5" w:rsidP="00AE78D5" w14:paraId="6A4E06B6" w14:textId="77777777">
      <w:pPr>
        <w:pStyle w:val="FootnoteText"/>
        <w:widowControl w:val="0"/>
      </w:pPr>
      <w:r>
        <w:rPr>
          <w:rStyle w:val="FootnoteReference"/>
        </w:rPr>
        <w:footnoteRef/>
      </w:r>
      <w:r>
        <w:t xml:space="preserve"> 47 CFR § 1.1208.</w:t>
      </w:r>
    </w:p>
  </w:footnote>
  <w:footnote w:id="33">
    <w:p w:rsidR="00AE78D5" w:rsidP="00AE78D5" w14:paraId="4E645479" w14:textId="77777777">
      <w:pPr>
        <w:pStyle w:val="FootnoteText"/>
        <w:widowControl w:val="0"/>
      </w:pPr>
      <w:r>
        <w:rPr>
          <w:rStyle w:val="FootnoteReference"/>
        </w:rPr>
        <w:footnoteRef/>
      </w:r>
      <w:r>
        <w:t xml:space="preserve"> 47 CFR § 1.1204(a)(10).</w:t>
      </w:r>
    </w:p>
  </w:footnote>
  <w:footnote w:id="34">
    <w:p w:rsidR="00AE78D5" w:rsidP="00AE78D5" w14:paraId="7A09966C" w14:textId="5E59FF38">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6A3156">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35">
    <w:p w:rsidR="00AE78D5" w:rsidP="00AE78D5" w14:paraId="5CDC9FB9"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36">
    <w:p w:rsidR="00AE78D5" w:rsidP="00AE78D5" w14:paraId="16E86B07"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37">
    <w:p w:rsidR="00AE78D5" w:rsidP="00AE78D5" w14:paraId="6D5EB7D1"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8">
    <w:p w:rsidR="00AE78D5" w:rsidP="00AE78D5" w14:paraId="65BEC9AE"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53F680" w14:textId="4C0E9443">
    <w:pPr>
      <w:pStyle w:val="Header"/>
      <w:rPr>
        <w:b w:val="0"/>
      </w:rPr>
    </w:pPr>
    <w:r>
      <w:tab/>
      <w:t>Federal Communications Commission</w:t>
    </w:r>
    <w:r>
      <w:tab/>
    </w:r>
    <w:r w:rsidR="004534B2">
      <w:t xml:space="preserve">DA </w:t>
    </w:r>
    <w:r w:rsidR="00EE63C7">
      <w:t>21</w:t>
    </w:r>
    <w:r w:rsidR="004534B2">
      <w:t>-</w:t>
    </w:r>
    <w:r w:rsidR="00E61C0E">
      <w:t>163</w:t>
    </w:r>
  </w:p>
  <w:p w:rsidR="00D25FB5" w14:paraId="4D24581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0654C1D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42EC2EF" w14:textId="44327874">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4534B2">
      <w:t xml:space="preserve">DA </w:t>
    </w:r>
    <w:r w:rsidR="003E161E">
      <w:t>21</w:t>
    </w:r>
    <w:r w:rsidR="004534B2">
      <w:t>-</w:t>
    </w:r>
    <w:r w:rsidR="00E61C0E">
      <w:t>163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4B470E6"/>
    <w:multiLevelType w:val="hybridMultilevel"/>
    <w:tmpl w:val="8F54132E"/>
    <w:lvl w:ilvl="0">
      <w:start w:val="1776"/>
      <w:numFmt w:val="decimal"/>
      <w:lvlText w:val="%1"/>
      <w:lvlJc w:val="left"/>
      <w:pPr>
        <w:ind w:left="1200" w:hanging="48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5B61AE6"/>
    <w:multiLevelType w:val="hybridMultilevel"/>
    <w:tmpl w:val="B3100A04"/>
    <w:lvl w:ilvl="0">
      <w:start w:val="1776"/>
      <w:numFmt w:val="decimal"/>
      <w:lvlText w:val="%1"/>
      <w:lvlJc w:val="left"/>
      <w:pPr>
        <w:ind w:left="1200" w:hanging="48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572F17"/>
    <w:multiLevelType w:val="hybridMultilevel"/>
    <w:tmpl w:val="478651C8"/>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D2B48D2"/>
    <w:multiLevelType w:val="singleLevel"/>
    <w:tmpl w:val="462A4EC8"/>
    <w:lvl w:ilvl="0">
      <w:start w:val="0"/>
      <w:numFmt w:val="decimal"/>
      <w:pStyle w:val="Paranum0"/>
      <w:lvlJc w:val="left"/>
    </w:lvl>
  </w:abstractNum>
  <w:abstractNum w:abstractNumId="12">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10"/>
  </w:num>
  <w:num w:numId="3">
    <w:abstractNumId w:val="4"/>
  </w:num>
  <w:num w:numId="4">
    <w:abstractNumId w:val="8"/>
  </w:num>
  <w:num w:numId="5">
    <w:abstractNumId w:val="3"/>
  </w:num>
  <w:num w:numId="6">
    <w:abstractNumId w:val="0"/>
  </w:num>
  <w:num w:numId="7">
    <w:abstractNumId w:val="5"/>
  </w:num>
  <w:num w:numId="8">
    <w:abstractNumId w:val="9"/>
  </w:num>
  <w:num w:numId="9">
    <w:abstractNumId w:val="10"/>
  </w:num>
  <w:num w:numId="10">
    <w:abstractNumId w:val="10"/>
    <w:lvlOverride w:ilvl="0">
      <w:startOverride w:val="1"/>
    </w:lvlOverride>
  </w:num>
  <w:num w:numId="11">
    <w:abstractNumId w:val="10"/>
  </w:num>
  <w:num w:numId="12">
    <w:abstractNumId w:val="11"/>
  </w:num>
  <w:num w:numId="13">
    <w:abstractNumId w:val="10"/>
    <w:lvlOverride w:ilvl="0">
      <w:startOverride w:val="1"/>
    </w:lvlOverride>
  </w:num>
  <w:num w:numId="14">
    <w:abstractNumId w:val="10"/>
    <w:lvlOverride w:ilvl="0">
      <w:startOverride w:val="1"/>
    </w:lvlOverride>
  </w:num>
  <w:num w:numId="15">
    <w:abstractNumId w:val="12"/>
  </w:num>
  <w:num w:numId="16">
    <w:abstractNumId w:val="10"/>
  </w:num>
  <w:num w:numId="17">
    <w:abstractNumId w:val="13"/>
  </w:num>
  <w:num w:numId="18">
    <w:abstractNumId w:val="1"/>
  </w:num>
  <w:num w:numId="19">
    <w:abstractNumId w:val="14"/>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57"/>
    <w:rsid w:val="00004E82"/>
    <w:rsid w:val="000050BB"/>
    <w:rsid w:val="0000693A"/>
    <w:rsid w:val="000076D9"/>
    <w:rsid w:val="00010D45"/>
    <w:rsid w:val="000118D7"/>
    <w:rsid w:val="00011E8E"/>
    <w:rsid w:val="0001217D"/>
    <w:rsid w:val="000138B8"/>
    <w:rsid w:val="00016DEE"/>
    <w:rsid w:val="0002538E"/>
    <w:rsid w:val="00025E41"/>
    <w:rsid w:val="00032308"/>
    <w:rsid w:val="00033410"/>
    <w:rsid w:val="00033A54"/>
    <w:rsid w:val="0003403B"/>
    <w:rsid w:val="00035133"/>
    <w:rsid w:val="0003601C"/>
    <w:rsid w:val="00036039"/>
    <w:rsid w:val="00036115"/>
    <w:rsid w:val="00037F90"/>
    <w:rsid w:val="000402B1"/>
    <w:rsid w:val="00041C85"/>
    <w:rsid w:val="000451D8"/>
    <w:rsid w:val="00045C74"/>
    <w:rsid w:val="000508A5"/>
    <w:rsid w:val="00050A9D"/>
    <w:rsid w:val="000525F5"/>
    <w:rsid w:val="0005460E"/>
    <w:rsid w:val="00062988"/>
    <w:rsid w:val="000636BB"/>
    <w:rsid w:val="00064F8A"/>
    <w:rsid w:val="0006510E"/>
    <w:rsid w:val="00065D6E"/>
    <w:rsid w:val="00072368"/>
    <w:rsid w:val="0007270F"/>
    <w:rsid w:val="00074192"/>
    <w:rsid w:val="000805A3"/>
    <w:rsid w:val="00082BB8"/>
    <w:rsid w:val="00087084"/>
    <w:rsid w:val="000875BF"/>
    <w:rsid w:val="00093FAF"/>
    <w:rsid w:val="0009457D"/>
    <w:rsid w:val="000955F4"/>
    <w:rsid w:val="00096D8C"/>
    <w:rsid w:val="000A0099"/>
    <w:rsid w:val="000A0131"/>
    <w:rsid w:val="000A0623"/>
    <w:rsid w:val="000A154A"/>
    <w:rsid w:val="000A5B7C"/>
    <w:rsid w:val="000A6720"/>
    <w:rsid w:val="000A72DA"/>
    <w:rsid w:val="000B2A15"/>
    <w:rsid w:val="000B3E34"/>
    <w:rsid w:val="000B5B62"/>
    <w:rsid w:val="000B5F4E"/>
    <w:rsid w:val="000B74EA"/>
    <w:rsid w:val="000C0A47"/>
    <w:rsid w:val="000C0B65"/>
    <w:rsid w:val="000C14BF"/>
    <w:rsid w:val="000C1A49"/>
    <w:rsid w:val="000D2074"/>
    <w:rsid w:val="000D509C"/>
    <w:rsid w:val="000E05FE"/>
    <w:rsid w:val="000E2D19"/>
    <w:rsid w:val="000E3CB9"/>
    <w:rsid w:val="000E3D42"/>
    <w:rsid w:val="000E3F06"/>
    <w:rsid w:val="000E51CA"/>
    <w:rsid w:val="000F3D99"/>
    <w:rsid w:val="000F497C"/>
    <w:rsid w:val="000F4E0F"/>
    <w:rsid w:val="000F5EFD"/>
    <w:rsid w:val="000F73DD"/>
    <w:rsid w:val="001021CC"/>
    <w:rsid w:val="00105057"/>
    <w:rsid w:val="00111429"/>
    <w:rsid w:val="00114231"/>
    <w:rsid w:val="00115C5E"/>
    <w:rsid w:val="00116909"/>
    <w:rsid w:val="00117C6B"/>
    <w:rsid w:val="00121B85"/>
    <w:rsid w:val="00122BD5"/>
    <w:rsid w:val="001230D1"/>
    <w:rsid w:val="00125EF0"/>
    <w:rsid w:val="00130102"/>
    <w:rsid w:val="00130AA2"/>
    <w:rsid w:val="00132588"/>
    <w:rsid w:val="00133461"/>
    <w:rsid w:val="00133F79"/>
    <w:rsid w:val="001349BA"/>
    <w:rsid w:val="00135AF8"/>
    <w:rsid w:val="00135FCB"/>
    <w:rsid w:val="001364E3"/>
    <w:rsid w:val="00144B55"/>
    <w:rsid w:val="0014592D"/>
    <w:rsid w:val="0015058D"/>
    <w:rsid w:val="00151B98"/>
    <w:rsid w:val="00156B25"/>
    <w:rsid w:val="001627E1"/>
    <w:rsid w:val="00165EA0"/>
    <w:rsid w:val="0017340B"/>
    <w:rsid w:val="00173A3E"/>
    <w:rsid w:val="00180F7C"/>
    <w:rsid w:val="0018191D"/>
    <w:rsid w:val="00185375"/>
    <w:rsid w:val="00186CB6"/>
    <w:rsid w:val="001929F8"/>
    <w:rsid w:val="001947B7"/>
    <w:rsid w:val="00194A66"/>
    <w:rsid w:val="00197AC4"/>
    <w:rsid w:val="001A44F5"/>
    <w:rsid w:val="001A55B6"/>
    <w:rsid w:val="001A670D"/>
    <w:rsid w:val="001A6B07"/>
    <w:rsid w:val="001A7095"/>
    <w:rsid w:val="001B1699"/>
    <w:rsid w:val="001B2B68"/>
    <w:rsid w:val="001B4D5D"/>
    <w:rsid w:val="001B63AE"/>
    <w:rsid w:val="001B7024"/>
    <w:rsid w:val="001C120E"/>
    <w:rsid w:val="001C5898"/>
    <w:rsid w:val="001C6F24"/>
    <w:rsid w:val="001D0428"/>
    <w:rsid w:val="001D1734"/>
    <w:rsid w:val="001D35B8"/>
    <w:rsid w:val="001D55B5"/>
    <w:rsid w:val="001D601F"/>
    <w:rsid w:val="001D6BCF"/>
    <w:rsid w:val="001E0155"/>
    <w:rsid w:val="001E01CA"/>
    <w:rsid w:val="001E087C"/>
    <w:rsid w:val="001E26E4"/>
    <w:rsid w:val="001F14D7"/>
    <w:rsid w:val="001F250D"/>
    <w:rsid w:val="0020281D"/>
    <w:rsid w:val="00202AF5"/>
    <w:rsid w:val="00204BF3"/>
    <w:rsid w:val="0020686D"/>
    <w:rsid w:val="0020762A"/>
    <w:rsid w:val="002107CD"/>
    <w:rsid w:val="00213726"/>
    <w:rsid w:val="00221348"/>
    <w:rsid w:val="002228A1"/>
    <w:rsid w:val="0022695F"/>
    <w:rsid w:val="00226D0F"/>
    <w:rsid w:val="00227E60"/>
    <w:rsid w:val="00234436"/>
    <w:rsid w:val="00236EA4"/>
    <w:rsid w:val="00237E6C"/>
    <w:rsid w:val="002427BA"/>
    <w:rsid w:val="0025083E"/>
    <w:rsid w:val="0025144F"/>
    <w:rsid w:val="00253104"/>
    <w:rsid w:val="002545CD"/>
    <w:rsid w:val="0025742E"/>
    <w:rsid w:val="0025758F"/>
    <w:rsid w:val="00264939"/>
    <w:rsid w:val="002666A9"/>
    <w:rsid w:val="00267044"/>
    <w:rsid w:val="002705D0"/>
    <w:rsid w:val="00272BF0"/>
    <w:rsid w:val="00275CF5"/>
    <w:rsid w:val="00280048"/>
    <w:rsid w:val="002801D6"/>
    <w:rsid w:val="00280596"/>
    <w:rsid w:val="0028157D"/>
    <w:rsid w:val="00282E92"/>
    <w:rsid w:val="0028301F"/>
    <w:rsid w:val="00283451"/>
    <w:rsid w:val="00285017"/>
    <w:rsid w:val="00290740"/>
    <w:rsid w:val="00291C3D"/>
    <w:rsid w:val="0029277B"/>
    <w:rsid w:val="002946AC"/>
    <w:rsid w:val="00294ABC"/>
    <w:rsid w:val="002A2D2E"/>
    <w:rsid w:val="002A5D97"/>
    <w:rsid w:val="002A5FA2"/>
    <w:rsid w:val="002B0155"/>
    <w:rsid w:val="002B122A"/>
    <w:rsid w:val="002B18A4"/>
    <w:rsid w:val="002B2338"/>
    <w:rsid w:val="002C00E8"/>
    <w:rsid w:val="002C5DC6"/>
    <w:rsid w:val="002C7686"/>
    <w:rsid w:val="002C7C13"/>
    <w:rsid w:val="002D0CFA"/>
    <w:rsid w:val="002D0E63"/>
    <w:rsid w:val="002D1EFD"/>
    <w:rsid w:val="002D6B54"/>
    <w:rsid w:val="002E0171"/>
    <w:rsid w:val="002E3561"/>
    <w:rsid w:val="002E7FAA"/>
    <w:rsid w:val="002F0041"/>
    <w:rsid w:val="002F2E11"/>
    <w:rsid w:val="002F3B0A"/>
    <w:rsid w:val="002F61E3"/>
    <w:rsid w:val="00302F2E"/>
    <w:rsid w:val="0030733C"/>
    <w:rsid w:val="003103D3"/>
    <w:rsid w:val="003107EF"/>
    <w:rsid w:val="0031634D"/>
    <w:rsid w:val="00317281"/>
    <w:rsid w:val="003179B7"/>
    <w:rsid w:val="00325544"/>
    <w:rsid w:val="00325CFB"/>
    <w:rsid w:val="00326680"/>
    <w:rsid w:val="003306EE"/>
    <w:rsid w:val="00331337"/>
    <w:rsid w:val="00331D74"/>
    <w:rsid w:val="003356DC"/>
    <w:rsid w:val="00335E11"/>
    <w:rsid w:val="00336C14"/>
    <w:rsid w:val="00341124"/>
    <w:rsid w:val="00341BB1"/>
    <w:rsid w:val="00343749"/>
    <w:rsid w:val="00345118"/>
    <w:rsid w:val="0034693F"/>
    <w:rsid w:val="00350511"/>
    <w:rsid w:val="003522B8"/>
    <w:rsid w:val="00357FF2"/>
    <w:rsid w:val="003627AF"/>
    <w:rsid w:val="00362C78"/>
    <w:rsid w:val="00363709"/>
    <w:rsid w:val="00364566"/>
    <w:rsid w:val="003660ED"/>
    <w:rsid w:val="00366E1B"/>
    <w:rsid w:val="003679FC"/>
    <w:rsid w:val="00376551"/>
    <w:rsid w:val="00377F12"/>
    <w:rsid w:val="00380926"/>
    <w:rsid w:val="00381256"/>
    <w:rsid w:val="00381FBF"/>
    <w:rsid w:val="00386516"/>
    <w:rsid w:val="00386C3A"/>
    <w:rsid w:val="00394DD2"/>
    <w:rsid w:val="003A3F64"/>
    <w:rsid w:val="003A7408"/>
    <w:rsid w:val="003B0550"/>
    <w:rsid w:val="003B134A"/>
    <w:rsid w:val="003B5366"/>
    <w:rsid w:val="003B57B7"/>
    <w:rsid w:val="003B6431"/>
    <w:rsid w:val="003B694F"/>
    <w:rsid w:val="003B6EE1"/>
    <w:rsid w:val="003B6FA0"/>
    <w:rsid w:val="003B7F5E"/>
    <w:rsid w:val="003C262C"/>
    <w:rsid w:val="003C2889"/>
    <w:rsid w:val="003C434F"/>
    <w:rsid w:val="003C5A1F"/>
    <w:rsid w:val="003E161E"/>
    <w:rsid w:val="003E402D"/>
    <w:rsid w:val="003E7DE8"/>
    <w:rsid w:val="003F171C"/>
    <w:rsid w:val="003F2CDB"/>
    <w:rsid w:val="003F47A5"/>
    <w:rsid w:val="00400751"/>
    <w:rsid w:val="004068A0"/>
    <w:rsid w:val="00407EFE"/>
    <w:rsid w:val="00412FC5"/>
    <w:rsid w:val="00413522"/>
    <w:rsid w:val="0041468C"/>
    <w:rsid w:val="0041534D"/>
    <w:rsid w:val="00415677"/>
    <w:rsid w:val="00417026"/>
    <w:rsid w:val="00417050"/>
    <w:rsid w:val="00421D72"/>
    <w:rsid w:val="00422276"/>
    <w:rsid w:val="00423E2B"/>
    <w:rsid w:val="004242F1"/>
    <w:rsid w:val="00426011"/>
    <w:rsid w:val="0042656F"/>
    <w:rsid w:val="004275A5"/>
    <w:rsid w:val="00430881"/>
    <w:rsid w:val="00430B23"/>
    <w:rsid w:val="00431BD6"/>
    <w:rsid w:val="00433668"/>
    <w:rsid w:val="0043470F"/>
    <w:rsid w:val="004375C2"/>
    <w:rsid w:val="00440A8F"/>
    <w:rsid w:val="00441493"/>
    <w:rsid w:val="00441AD1"/>
    <w:rsid w:val="00445A00"/>
    <w:rsid w:val="004466F1"/>
    <w:rsid w:val="00446948"/>
    <w:rsid w:val="00451B0F"/>
    <w:rsid w:val="004534B2"/>
    <w:rsid w:val="00457DFE"/>
    <w:rsid w:val="00460344"/>
    <w:rsid w:val="004624EC"/>
    <w:rsid w:val="004627DE"/>
    <w:rsid w:val="00465B25"/>
    <w:rsid w:val="004674DC"/>
    <w:rsid w:val="00475EC0"/>
    <w:rsid w:val="00476A84"/>
    <w:rsid w:val="004823C3"/>
    <w:rsid w:val="004874E9"/>
    <w:rsid w:val="004936F2"/>
    <w:rsid w:val="00496737"/>
    <w:rsid w:val="004A048B"/>
    <w:rsid w:val="004A107D"/>
    <w:rsid w:val="004A195F"/>
    <w:rsid w:val="004A2BF9"/>
    <w:rsid w:val="004B161A"/>
    <w:rsid w:val="004B1FF1"/>
    <w:rsid w:val="004B5464"/>
    <w:rsid w:val="004C2EE3"/>
    <w:rsid w:val="004C2F37"/>
    <w:rsid w:val="004C3D24"/>
    <w:rsid w:val="004C51F6"/>
    <w:rsid w:val="004C7606"/>
    <w:rsid w:val="004D1AEB"/>
    <w:rsid w:val="004D1E39"/>
    <w:rsid w:val="004D3E90"/>
    <w:rsid w:val="004D6269"/>
    <w:rsid w:val="004E1A5A"/>
    <w:rsid w:val="004E2A6C"/>
    <w:rsid w:val="004E4A22"/>
    <w:rsid w:val="004E4B9B"/>
    <w:rsid w:val="004E54F8"/>
    <w:rsid w:val="004E5B1F"/>
    <w:rsid w:val="004F0363"/>
    <w:rsid w:val="004F2A71"/>
    <w:rsid w:val="004F432E"/>
    <w:rsid w:val="004F5F2B"/>
    <w:rsid w:val="004F72C3"/>
    <w:rsid w:val="004F7F73"/>
    <w:rsid w:val="004F7F74"/>
    <w:rsid w:val="00500D11"/>
    <w:rsid w:val="00502F47"/>
    <w:rsid w:val="00503331"/>
    <w:rsid w:val="005040B1"/>
    <w:rsid w:val="00504CDB"/>
    <w:rsid w:val="00504F87"/>
    <w:rsid w:val="005052EA"/>
    <w:rsid w:val="00506F28"/>
    <w:rsid w:val="00507278"/>
    <w:rsid w:val="00507D4D"/>
    <w:rsid w:val="00511968"/>
    <w:rsid w:val="005127EE"/>
    <w:rsid w:val="00512A4A"/>
    <w:rsid w:val="00513726"/>
    <w:rsid w:val="005144FD"/>
    <w:rsid w:val="00515372"/>
    <w:rsid w:val="00516A1A"/>
    <w:rsid w:val="005202CC"/>
    <w:rsid w:val="00522221"/>
    <w:rsid w:val="00530230"/>
    <w:rsid w:val="00531BB2"/>
    <w:rsid w:val="00533C5C"/>
    <w:rsid w:val="0054292D"/>
    <w:rsid w:val="0054295D"/>
    <w:rsid w:val="00542D07"/>
    <w:rsid w:val="00543ED0"/>
    <w:rsid w:val="005442FD"/>
    <w:rsid w:val="005448B8"/>
    <w:rsid w:val="00547D07"/>
    <w:rsid w:val="005504A0"/>
    <w:rsid w:val="0055086F"/>
    <w:rsid w:val="00550A38"/>
    <w:rsid w:val="0055150B"/>
    <w:rsid w:val="005517BB"/>
    <w:rsid w:val="00552577"/>
    <w:rsid w:val="0055614C"/>
    <w:rsid w:val="00570D70"/>
    <w:rsid w:val="005727EA"/>
    <w:rsid w:val="00574AA0"/>
    <w:rsid w:val="0057743E"/>
    <w:rsid w:val="00580E19"/>
    <w:rsid w:val="00580E82"/>
    <w:rsid w:val="005868D4"/>
    <w:rsid w:val="00592034"/>
    <w:rsid w:val="005942EA"/>
    <w:rsid w:val="00594AFB"/>
    <w:rsid w:val="00596EB6"/>
    <w:rsid w:val="00597BC9"/>
    <w:rsid w:val="005A3409"/>
    <w:rsid w:val="005A53E1"/>
    <w:rsid w:val="005B1DAB"/>
    <w:rsid w:val="005C07A9"/>
    <w:rsid w:val="005C5D84"/>
    <w:rsid w:val="005C69DE"/>
    <w:rsid w:val="005C776D"/>
    <w:rsid w:val="005D0656"/>
    <w:rsid w:val="005D0AAE"/>
    <w:rsid w:val="005D14A6"/>
    <w:rsid w:val="005D3374"/>
    <w:rsid w:val="005D5EF3"/>
    <w:rsid w:val="005D70DB"/>
    <w:rsid w:val="005D71EF"/>
    <w:rsid w:val="005D796A"/>
    <w:rsid w:val="005E14C2"/>
    <w:rsid w:val="005E1F53"/>
    <w:rsid w:val="005E270E"/>
    <w:rsid w:val="005E3497"/>
    <w:rsid w:val="005E3B17"/>
    <w:rsid w:val="005E4D14"/>
    <w:rsid w:val="005E5A34"/>
    <w:rsid w:val="005F023D"/>
    <w:rsid w:val="005F0CF0"/>
    <w:rsid w:val="005F0F99"/>
    <w:rsid w:val="005F2358"/>
    <w:rsid w:val="005F36E6"/>
    <w:rsid w:val="005F375B"/>
    <w:rsid w:val="005F3970"/>
    <w:rsid w:val="006018F8"/>
    <w:rsid w:val="00602495"/>
    <w:rsid w:val="00602DC6"/>
    <w:rsid w:val="00604891"/>
    <w:rsid w:val="00607BA5"/>
    <w:rsid w:val="00610ED2"/>
    <w:rsid w:val="0061180A"/>
    <w:rsid w:val="00612D04"/>
    <w:rsid w:val="00614C2E"/>
    <w:rsid w:val="00620852"/>
    <w:rsid w:val="00624660"/>
    <w:rsid w:val="00626EB6"/>
    <w:rsid w:val="006300B9"/>
    <w:rsid w:val="006310E5"/>
    <w:rsid w:val="00634457"/>
    <w:rsid w:val="006407ED"/>
    <w:rsid w:val="00640B5C"/>
    <w:rsid w:val="0065028B"/>
    <w:rsid w:val="006512E8"/>
    <w:rsid w:val="00655D03"/>
    <w:rsid w:val="00662B95"/>
    <w:rsid w:val="00666050"/>
    <w:rsid w:val="00666FFC"/>
    <w:rsid w:val="006676BD"/>
    <w:rsid w:val="00667FB4"/>
    <w:rsid w:val="00671F04"/>
    <w:rsid w:val="00673866"/>
    <w:rsid w:val="00682EC3"/>
    <w:rsid w:val="00683388"/>
    <w:rsid w:val="00683F84"/>
    <w:rsid w:val="0068468B"/>
    <w:rsid w:val="0068723C"/>
    <w:rsid w:val="006873FB"/>
    <w:rsid w:val="00693D8E"/>
    <w:rsid w:val="0069494C"/>
    <w:rsid w:val="006A1D9F"/>
    <w:rsid w:val="006A293B"/>
    <w:rsid w:val="006A3156"/>
    <w:rsid w:val="006A684B"/>
    <w:rsid w:val="006A6A81"/>
    <w:rsid w:val="006A6DF8"/>
    <w:rsid w:val="006B4F67"/>
    <w:rsid w:val="006B58DB"/>
    <w:rsid w:val="006B6A70"/>
    <w:rsid w:val="006C681E"/>
    <w:rsid w:val="006D321A"/>
    <w:rsid w:val="006D5295"/>
    <w:rsid w:val="006D5BE0"/>
    <w:rsid w:val="006D629D"/>
    <w:rsid w:val="006E2CA0"/>
    <w:rsid w:val="006E4B32"/>
    <w:rsid w:val="006F08B2"/>
    <w:rsid w:val="006F1759"/>
    <w:rsid w:val="006F3838"/>
    <w:rsid w:val="006F61BD"/>
    <w:rsid w:val="006F7393"/>
    <w:rsid w:val="00700491"/>
    <w:rsid w:val="007004D4"/>
    <w:rsid w:val="00701799"/>
    <w:rsid w:val="0070224F"/>
    <w:rsid w:val="007113CB"/>
    <w:rsid w:val="007115F7"/>
    <w:rsid w:val="0071630D"/>
    <w:rsid w:val="00721482"/>
    <w:rsid w:val="0072791A"/>
    <w:rsid w:val="007327C8"/>
    <w:rsid w:val="0073303D"/>
    <w:rsid w:val="007338C0"/>
    <w:rsid w:val="00734FB3"/>
    <w:rsid w:val="00735680"/>
    <w:rsid w:val="00736D9B"/>
    <w:rsid w:val="00736E4C"/>
    <w:rsid w:val="007371D3"/>
    <w:rsid w:val="007374DE"/>
    <w:rsid w:val="00742566"/>
    <w:rsid w:val="00742AA8"/>
    <w:rsid w:val="00743039"/>
    <w:rsid w:val="00743B8E"/>
    <w:rsid w:val="0074651F"/>
    <w:rsid w:val="00750441"/>
    <w:rsid w:val="00756C70"/>
    <w:rsid w:val="00762A73"/>
    <w:rsid w:val="007640DD"/>
    <w:rsid w:val="00764193"/>
    <w:rsid w:val="00764495"/>
    <w:rsid w:val="00770AD4"/>
    <w:rsid w:val="00772BA4"/>
    <w:rsid w:val="00773B59"/>
    <w:rsid w:val="00776160"/>
    <w:rsid w:val="00777F16"/>
    <w:rsid w:val="00777FE0"/>
    <w:rsid w:val="007813BF"/>
    <w:rsid w:val="00782011"/>
    <w:rsid w:val="0078296F"/>
    <w:rsid w:val="00783BAD"/>
    <w:rsid w:val="00785689"/>
    <w:rsid w:val="00787DB6"/>
    <w:rsid w:val="0079037A"/>
    <w:rsid w:val="00791903"/>
    <w:rsid w:val="00792C74"/>
    <w:rsid w:val="00795877"/>
    <w:rsid w:val="00795998"/>
    <w:rsid w:val="00796595"/>
    <w:rsid w:val="0079754B"/>
    <w:rsid w:val="007A1E6D"/>
    <w:rsid w:val="007A36FA"/>
    <w:rsid w:val="007A434A"/>
    <w:rsid w:val="007B0EB2"/>
    <w:rsid w:val="007B1900"/>
    <w:rsid w:val="007B2253"/>
    <w:rsid w:val="007C5A69"/>
    <w:rsid w:val="007D0578"/>
    <w:rsid w:val="007D10B5"/>
    <w:rsid w:val="007D5A1D"/>
    <w:rsid w:val="007D721E"/>
    <w:rsid w:val="007D7460"/>
    <w:rsid w:val="007D7E74"/>
    <w:rsid w:val="007E0A4B"/>
    <w:rsid w:val="007E370E"/>
    <w:rsid w:val="007E6019"/>
    <w:rsid w:val="007E606D"/>
    <w:rsid w:val="007E7646"/>
    <w:rsid w:val="007E7A9F"/>
    <w:rsid w:val="007F1D63"/>
    <w:rsid w:val="007F4DD6"/>
    <w:rsid w:val="008004C2"/>
    <w:rsid w:val="00801D84"/>
    <w:rsid w:val="00805DF2"/>
    <w:rsid w:val="008068F8"/>
    <w:rsid w:val="00807A23"/>
    <w:rsid w:val="00810859"/>
    <w:rsid w:val="00810B6F"/>
    <w:rsid w:val="00813BC2"/>
    <w:rsid w:val="0081452B"/>
    <w:rsid w:val="008169B9"/>
    <w:rsid w:val="008204E2"/>
    <w:rsid w:val="008210B7"/>
    <w:rsid w:val="00822CE0"/>
    <w:rsid w:val="00824F9F"/>
    <w:rsid w:val="00830753"/>
    <w:rsid w:val="008325C0"/>
    <w:rsid w:val="00834664"/>
    <w:rsid w:val="008357C0"/>
    <w:rsid w:val="00840618"/>
    <w:rsid w:val="00840FF0"/>
    <w:rsid w:val="00841793"/>
    <w:rsid w:val="00841AB1"/>
    <w:rsid w:val="00844DE1"/>
    <w:rsid w:val="008451BE"/>
    <w:rsid w:val="008470CB"/>
    <w:rsid w:val="00850D3A"/>
    <w:rsid w:val="008510E2"/>
    <w:rsid w:val="00851176"/>
    <w:rsid w:val="00853E63"/>
    <w:rsid w:val="00856666"/>
    <w:rsid w:val="0086004E"/>
    <w:rsid w:val="008645A7"/>
    <w:rsid w:val="00866C6D"/>
    <w:rsid w:val="00870AF3"/>
    <w:rsid w:val="0087394A"/>
    <w:rsid w:val="00876CBB"/>
    <w:rsid w:val="00877BC3"/>
    <w:rsid w:val="0089451B"/>
    <w:rsid w:val="00897256"/>
    <w:rsid w:val="0089735C"/>
    <w:rsid w:val="008A3EC2"/>
    <w:rsid w:val="008A5C21"/>
    <w:rsid w:val="008A6E0F"/>
    <w:rsid w:val="008B2C6F"/>
    <w:rsid w:val="008B5484"/>
    <w:rsid w:val="008B74AE"/>
    <w:rsid w:val="008C5CCD"/>
    <w:rsid w:val="008C5FDE"/>
    <w:rsid w:val="008C68F1"/>
    <w:rsid w:val="008C7BC9"/>
    <w:rsid w:val="008D1444"/>
    <w:rsid w:val="008D4507"/>
    <w:rsid w:val="008D617A"/>
    <w:rsid w:val="008E06C8"/>
    <w:rsid w:val="008E1E5D"/>
    <w:rsid w:val="008E3145"/>
    <w:rsid w:val="008E4184"/>
    <w:rsid w:val="008E7E2A"/>
    <w:rsid w:val="008F0402"/>
    <w:rsid w:val="008F0EE8"/>
    <w:rsid w:val="008F1517"/>
    <w:rsid w:val="008F26B4"/>
    <w:rsid w:val="0090164F"/>
    <w:rsid w:val="00902A10"/>
    <w:rsid w:val="00902B66"/>
    <w:rsid w:val="00907913"/>
    <w:rsid w:val="00913C84"/>
    <w:rsid w:val="0092094D"/>
    <w:rsid w:val="0092167B"/>
    <w:rsid w:val="00921803"/>
    <w:rsid w:val="00926503"/>
    <w:rsid w:val="0092663C"/>
    <w:rsid w:val="00931457"/>
    <w:rsid w:val="00931DF0"/>
    <w:rsid w:val="00931FDE"/>
    <w:rsid w:val="00932D93"/>
    <w:rsid w:val="009346C3"/>
    <w:rsid w:val="00936AA6"/>
    <w:rsid w:val="00937D1F"/>
    <w:rsid w:val="009400D0"/>
    <w:rsid w:val="009409CC"/>
    <w:rsid w:val="00942EA3"/>
    <w:rsid w:val="009444DA"/>
    <w:rsid w:val="00945046"/>
    <w:rsid w:val="00946E3C"/>
    <w:rsid w:val="009531E0"/>
    <w:rsid w:val="0095489E"/>
    <w:rsid w:val="00955003"/>
    <w:rsid w:val="009554E1"/>
    <w:rsid w:val="0096073E"/>
    <w:rsid w:val="009618E5"/>
    <w:rsid w:val="009662B5"/>
    <w:rsid w:val="0097100D"/>
    <w:rsid w:val="009726B2"/>
    <w:rsid w:val="009726D8"/>
    <w:rsid w:val="00975A1E"/>
    <w:rsid w:val="0097677E"/>
    <w:rsid w:val="00980BA4"/>
    <w:rsid w:val="00985E47"/>
    <w:rsid w:val="00985F7E"/>
    <w:rsid w:val="00987B91"/>
    <w:rsid w:val="00990149"/>
    <w:rsid w:val="0099056F"/>
    <w:rsid w:val="009979C9"/>
    <w:rsid w:val="009A0E87"/>
    <w:rsid w:val="009A1BF7"/>
    <w:rsid w:val="009B2385"/>
    <w:rsid w:val="009B33F4"/>
    <w:rsid w:val="009B5249"/>
    <w:rsid w:val="009B585D"/>
    <w:rsid w:val="009B6152"/>
    <w:rsid w:val="009B6D5A"/>
    <w:rsid w:val="009B70FA"/>
    <w:rsid w:val="009C1C72"/>
    <w:rsid w:val="009C23C4"/>
    <w:rsid w:val="009D395B"/>
    <w:rsid w:val="009D4DCA"/>
    <w:rsid w:val="009E0DD1"/>
    <w:rsid w:val="009E2E69"/>
    <w:rsid w:val="009E35FD"/>
    <w:rsid w:val="009E5896"/>
    <w:rsid w:val="009F2562"/>
    <w:rsid w:val="009F57AD"/>
    <w:rsid w:val="009F58D4"/>
    <w:rsid w:val="009F6BFA"/>
    <w:rsid w:val="009F76DB"/>
    <w:rsid w:val="00A0781C"/>
    <w:rsid w:val="00A13FF8"/>
    <w:rsid w:val="00A16DBC"/>
    <w:rsid w:val="00A21BB6"/>
    <w:rsid w:val="00A21E15"/>
    <w:rsid w:val="00A25603"/>
    <w:rsid w:val="00A26B94"/>
    <w:rsid w:val="00A27FA8"/>
    <w:rsid w:val="00A32C3B"/>
    <w:rsid w:val="00A32F46"/>
    <w:rsid w:val="00A34022"/>
    <w:rsid w:val="00A403FA"/>
    <w:rsid w:val="00A4259C"/>
    <w:rsid w:val="00A45F4F"/>
    <w:rsid w:val="00A559BF"/>
    <w:rsid w:val="00A55C57"/>
    <w:rsid w:val="00A56385"/>
    <w:rsid w:val="00A57E67"/>
    <w:rsid w:val="00A600A9"/>
    <w:rsid w:val="00A63B34"/>
    <w:rsid w:val="00A668A6"/>
    <w:rsid w:val="00A7010F"/>
    <w:rsid w:val="00A730AE"/>
    <w:rsid w:val="00A748F1"/>
    <w:rsid w:val="00A74C58"/>
    <w:rsid w:val="00A75DF9"/>
    <w:rsid w:val="00A75FA7"/>
    <w:rsid w:val="00A77877"/>
    <w:rsid w:val="00A8054D"/>
    <w:rsid w:val="00A8203F"/>
    <w:rsid w:val="00A82728"/>
    <w:rsid w:val="00A84F24"/>
    <w:rsid w:val="00A86189"/>
    <w:rsid w:val="00A91C03"/>
    <w:rsid w:val="00A928A3"/>
    <w:rsid w:val="00A92AE2"/>
    <w:rsid w:val="00A94305"/>
    <w:rsid w:val="00AA55B7"/>
    <w:rsid w:val="00AA5B9E"/>
    <w:rsid w:val="00AA5CC2"/>
    <w:rsid w:val="00AA6B6A"/>
    <w:rsid w:val="00AB2407"/>
    <w:rsid w:val="00AB2E01"/>
    <w:rsid w:val="00AB53DF"/>
    <w:rsid w:val="00AB55E4"/>
    <w:rsid w:val="00AB75C8"/>
    <w:rsid w:val="00AB7938"/>
    <w:rsid w:val="00AC000D"/>
    <w:rsid w:val="00AC6B57"/>
    <w:rsid w:val="00AD1309"/>
    <w:rsid w:val="00AD3F16"/>
    <w:rsid w:val="00AD45C6"/>
    <w:rsid w:val="00AD6F8B"/>
    <w:rsid w:val="00AE0940"/>
    <w:rsid w:val="00AE0FA6"/>
    <w:rsid w:val="00AE1085"/>
    <w:rsid w:val="00AE2D32"/>
    <w:rsid w:val="00AE4483"/>
    <w:rsid w:val="00AE78D5"/>
    <w:rsid w:val="00AE7B0E"/>
    <w:rsid w:val="00AF0869"/>
    <w:rsid w:val="00AF0A74"/>
    <w:rsid w:val="00AF0D37"/>
    <w:rsid w:val="00AF503B"/>
    <w:rsid w:val="00AF549D"/>
    <w:rsid w:val="00AF5A10"/>
    <w:rsid w:val="00B00F70"/>
    <w:rsid w:val="00B07E5C"/>
    <w:rsid w:val="00B1119B"/>
    <w:rsid w:val="00B1303A"/>
    <w:rsid w:val="00B1783B"/>
    <w:rsid w:val="00B2159A"/>
    <w:rsid w:val="00B227D6"/>
    <w:rsid w:val="00B236F2"/>
    <w:rsid w:val="00B2379C"/>
    <w:rsid w:val="00B3622A"/>
    <w:rsid w:val="00B378FD"/>
    <w:rsid w:val="00B404FC"/>
    <w:rsid w:val="00B42B47"/>
    <w:rsid w:val="00B4487F"/>
    <w:rsid w:val="00B507F1"/>
    <w:rsid w:val="00B50951"/>
    <w:rsid w:val="00B52C7E"/>
    <w:rsid w:val="00B63499"/>
    <w:rsid w:val="00B717BC"/>
    <w:rsid w:val="00B71C1A"/>
    <w:rsid w:val="00B7278B"/>
    <w:rsid w:val="00B76230"/>
    <w:rsid w:val="00B80055"/>
    <w:rsid w:val="00B811F7"/>
    <w:rsid w:val="00B819BE"/>
    <w:rsid w:val="00B826B7"/>
    <w:rsid w:val="00B87078"/>
    <w:rsid w:val="00B87A8E"/>
    <w:rsid w:val="00B95EF7"/>
    <w:rsid w:val="00BA1A9F"/>
    <w:rsid w:val="00BA25F8"/>
    <w:rsid w:val="00BA31DE"/>
    <w:rsid w:val="00BA5DC6"/>
    <w:rsid w:val="00BA6196"/>
    <w:rsid w:val="00BA789D"/>
    <w:rsid w:val="00BB328E"/>
    <w:rsid w:val="00BB5DAD"/>
    <w:rsid w:val="00BC198C"/>
    <w:rsid w:val="00BC31BA"/>
    <w:rsid w:val="00BC645C"/>
    <w:rsid w:val="00BC6D8C"/>
    <w:rsid w:val="00BD1914"/>
    <w:rsid w:val="00BD425A"/>
    <w:rsid w:val="00BD68FD"/>
    <w:rsid w:val="00BE2BF1"/>
    <w:rsid w:val="00BE747C"/>
    <w:rsid w:val="00BF0D33"/>
    <w:rsid w:val="00BF2842"/>
    <w:rsid w:val="00BF3A30"/>
    <w:rsid w:val="00BF482F"/>
    <w:rsid w:val="00BF6E00"/>
    <w:rsid w:val="00C00738"/>
    <w:rsid w:val="00C01B0B"/>
    <w:rsid w:val="00C02DDB"/>
    <w:rsid w:val="00C0524F"/>
    <w:rsid w:val="00C21E29"/>
    <w:rsid w:val="00C2257C"/>
    <w:rsid w:val="00C24F8B"/>
    <w:rsid w:val="00C2553B"/>
    <w:rsid w:val="00C2620A"/>
    <w:rsid w:val="00C334F2"/>
    <w:rsid w:val="00C34006"/>
    <w:rsid w:val="00C356B6"/>
    <w:rsid w:val="00C426B1"/>
    <w:rsid w:val="00C43C45"/>
    <w:rsid w:val="00C57982"/>
    <w:rsid w:val="00C61AC5"/>
    <w:rsid w:val="00C61CB9"/>
    <w:rsid w:val="00C628BD"/>
    <w:rsid w:val="00C632B6"/>
    <w:rsid w:val="00C63CAC"/>
    <w:rsid w:val="00C644C4"/>
    <w:rsid w:val="00C66160"/>
    <w:rsid w:val="00C714AD"/>
    <w:rsid w:val="00C721AC"/>
    <w:rsid w:val="00C72F01"/>
    <w:rsid w:val="00C7372D"/>
    <w:rsid w:val="00C7377F"/>
    <w:rsid w:val="00C737A3"/>
    <w:rsid w:val="00C76715"/>
    <w:rsid w:val="00C767AE"/>
    <w:rsid w:val="00C816F7"/>
    <w:rsid w:val="00C87BA3"/>
    <w:rsid w:val="00C90D6A"/>
    <w:rsid w:val="00C935A7"/>
    <w:rsid w:val="00CA0FC5"/>
    <w:rsid w:val="00CA247E"/>
    <w:rsid w:val="00CA2EF7"/>
    <w:rsid w:val="00CA4976"/>
    <w:rsid w:val="00CA49E6"/>
    <w:rsid w:val="00CA55E7"/>
    <w:rsid w:val="00CA5F24"/>
    <w:rsid w:val="00CB475F"/>
    <w:rsid w:val="00CC01F9"/>
    <w:rsid w:val="00CC136E"/>
    <w:rsid w:val="00CC45C9"/>
    <w:rsid w:val="00CC72B6"/>
    <w:rsid w:val="00CD2A27"/>
    <w:rsid w:val="00CD2FA8"/>
    <w:rsid w:val="00CD42B0"/>
    <w:rsid w:val="00CD4F9A"/>
    <w:rsid w:val="00CE1F7C"/>
    <w:rsid w:val="00CE360E"/>
    <w:rsid w:val="00CE3D90"/>
    <w:rsid w:val="00CE4440"/>
    <w:rsid w:val="00CE5579"/>
    <w:rsid w:val="00CE55D1"/>
    <w:rsid w:val="00CF09ED"/>
    <w:rsid w:val="00CF0B5C"/>
    <w:rsid w:val="00CF19AB"/>
    <w:rsid w:val="00CF7116"/>
    <w:rsid w:val="00CF74AE"/>
    <w:rsid w:val="00CF76A1"/>
    <w:rsid w:val="00CF7ADD"/>
    <w:rsid w:val="00D0043B"/>
    <w:rsid w:val="00D01849"/>
    <w:rsid w:val="00D0218D"/>
    <w:rsid w:val="00D16EDD"/>
    <w:rsid w:val="00D20D1C"/>
    <w:rsid w:val="00D20F48"/>
    <w:rsid w:val="00D23350"/>
    <w:rsid w:val="00D23CFB"/>
    <w:rsid w:val="00D25FB5"/>
    <w:rsid w:val="00D26956"/>
    <w:rsid w:val="00D27033"/>
    <w:rsid w:val="00D32085"/>
    <w:rsid w:val="00D35647"/>
    <w:rsid w:val="00D40C1D"/>
    <w:rsid w:val="00D44223"/>
    <w:rsid w:val="00D461ED"/>
    <w:rsid w:val="00D50EFA"/>
    <w:rsid w:val="00D52899"/>
    <w:rsid w:val="00D55756"/>
    <w:rsid w:val="00D62B11"/>
    <w:rsid w:val="00D65BFD"/>
    <w:rsid w:val="00D72361"/>
    <w:rsid w:val="00D76DCE"/>
    <w:rsid w:val="00D81627"/>
    <w:rsid w:val="00D91383"/>
    <w:rsid w:val="00D9267F"/>
    <w:rsid w:val="00D9413C"/>
    <w:rsid w:val="00D95EC9"/>
    <w:rsid w:val="00DA219E"/>
    <w:rsid w:val="00DA2529"/>
    <w:rsid w:val="00DA4B93"/>
    <w:rsid w:val="00DB11AA"/>
    <w:rsid w:val="00DB130A"/>
    <w:rsid w:val="00DB2D18"/>
    <w:rsid w:val="00DB2EBB"/>
    <w:rsid w:val="00DB3345"/>
    <w:rsid w:val="00DB3EF7"/>
    <w:rsid w:val="00DB64ED"/>
    <w:rsid w:val="00DC0B8A"/>
    <w:rsid w:val="00DC0BE7"/>
    <w:rsid w:val="00DC10A1"/>
    <w:rsid w:val="00DC17C6"/>
    <w:rsid w:val="00DC2F3A"/>
    <w:rsid w:val="00DC3D05"/>
    <w:rsid w:val="00DC655F"/>
    <w:rsid w:val="00DC76CF"/>
    <w:rsid w:val="00DD0836"/>
    <w:rsid w:val="00DD0B59"/>
    <w:rsid w:val="00DD1759"/>
    <w:rsid w:val="00DD3249"/>
    <w:rsid w:val="00DD41C0"/>
    <w:rsid w:val="00DD5496"/>
    <w:rsid w:val="00DD7B81"/>
    <w:rsid w:val="00DD7EBD"/>
    <w:rsid w:val="00DE119E"/>
    <w:rsid w:val="00DE3592"/>
    <w:rsid w:val="00DE62DA"/>
    <w:rsid w:val="00DE72A7"/>
    <w:rsid w:val="00DF0996"/>
    <w:rsid w:val="00DF3050"/>
    <w:rsid w:val="00DF4A24"/>
    <w:rsid w:val="00DF62B6"/>
    <w:rsid w:val="00DF7305"/>
    <w:rsid w:val="00E00392"/>
    <w:rsid w:val="00E011BB"/>
    <w:rsid w:val="00E015CB"/>
    <w:rsid w:val="00E02AAF"/>
    <w:rsid w:val="00E07225"/>
    <w:rsid w:val="00E07C55"/>
    <w:rsid w:val="00E13606"/>
    <w:rsid w:val="00E13B5A"/>
    <w:rsid w:val="00E15D2D"/>
    <w:rsid w:val="00E21FD1"/>
    <w:rsid w:val="00E24DD4"/>
    <w:rsid w:val="00E27087"/>
    <w:rsid w:val="00E348E1"/>
    <w:rsid w:val="00E42B8C"/>
    <w:rsid w:val="00E43B88"/>
    <w:rsid w:val="00E43F10"/>
    <w:rsid w:val="00E4684A"/>
    <w:rsid w:val="00E474DB"/>
    <w:rsid w:val="00E5079D"/>
    <w:rsid w:val="00E5314F"/>
    <w:rsid w:val="00E5409F"/>
    <w:rsid w:val="00E60EAA"/>
    <w:rsid w:val="00E61C0E"/>
    <w:rsid w:val="00E62494"/>
    <w:rsid w:val="00E6330D"/>
    <w:rsid w:val="00E646BC"/>
    <w:rsid w:val="00E664A3"/>
    <w:rsid w:val="00E66905"/>
    <w:rsid w:val="00E676A2"/>
    <w:rsid w:val="00E71E3B"/>
    <w:rsid w:val="00E75AD1"/>
    <w:rsid w:val="00E767CB"/>
    <w:rsid w:val="00E81544"/>
    <w:rsid w:val="00E875A1"/>
    <w:rsid w:val="00E87A36"/>
    <w:rsid w:val="00E90343"/>
    <w:rsid w:val="00E90ACE"/>
    <w:rsid w:val="00E945F7"/>
    <w:rsid w:val="00E94A7E"/>
    <w:rsid w:val="00E95192"/>
    <w:rsid w:val="00E9647C"/>
    <w:rsid w:val="00EA1377"/>
    <w:rsid w:val="00EB061E"/>
    <w:rsid w:val="00EB1227"/>
    <w:rsid w:val="00EB275F"/>
    <w:rsid w:val="00EC383A"/>
    <w:rsid w:val="00EC3F75"/>
    <w:rsid w:val="00EC6CDF"/>
    <w:rsid w:val="00ED02E5"/>
    <w:rsid w:val="00ED1283"/>
    <w:rsid w:val="00ED15B4"/>
    <w:rsid w:val="00ED63CE"/>
    <w:rsid w:val="00ED7C28"/>
    <w:rsid w:val="00EE20D4"/>
    <w:rsid w:val="00EE63C7"/>
    <w:rsid w:val="00EE6488"/>
    <w:rsid w:val="00EF1CD7"/>
    <w:rsid w:val="00EF6EDD"/>
    <w:rsid w:val="00EF7AC0"/>
    <w:rsid w:val="00F00606"/>
    <w:rsid w:val="00F00995"/>
    <w:rsid w:val="00F021FA"/>
    <w:rsid w:val="00F04E7C"/>
    <w:rsid w:val="00F0612D"/>
    <w:rsid w:val="00F222B8"/>
    <w:rsid w:val="00F25AFC"/>
    <w:rsid w:val="00F265BC"/>
    <w:rsid w:val="00F30797"/>
    <w:rsid w:val="00F314DE"/>
    <w:rsid w:val="00F3284D"/>
    <w:rsid w:val="00F369B9"/>
    <w:rsid w:val="00F36CBE"/>
    <w:rsid w:val="00F4125A"/>
    <w:rsid w:val="00F4277B"/>
    <w:rsid w:val="00F429DA"/>
    <w:rsid w:val="00F43AB4"/>
    <w:rsid w:val="00F44087"/>
    <w:rsid w:val="00F4456E"/>
    <w:rsid w:val="00F4465A"/>
    <w:rsid w:val="00F44755"/>
    <w:rsid w:val="00F45263"/>
    <w:rsid w:val="00F541C1"/>
    <w:rsid w:val="00F54258"/>
    <w:rsid w:val="00F55CEC"/>
    <w:rsid w:val="00F560D9"/>
    <w:rsid w:val="00F61A6A"/>
    <w:rsid w:val="00F62E97"/>
    <w:rsid w:val="00F64209"/>
    <w:rsid w:val="00F64762"/>
    <w:rsid w:val="00F65A3D"/>
    <w:rsid w:val="00F66972"/>
    <w:rsid w:val="00F67629"/>
    <w:rsid w:val="00F67F84"/>
    <w:rsid w:val="00F706E9"/>
    <w:rsid w:val="00F70B78"/>
    <w:rsid w:val="00F757B9"/>
    <w:rsid w:val="00F900AA"/>
    <w:rsid w:val="00F93BF5"/>
    <w:rsid w:val="00F9412C"/>
    <w:rsid w:val="00FA419F"/>
    <w:rsid w:val="00FA65E9"/>
    <w:rsid w:val="00FA68CE"/>
    <w:rsid w:val="00FA6F20"/>
    <w:rsid w:val="00FB276E"/>
    <w:rsid w:val="00FB2A78"/>
    <w:rsid w:val="00FB3C67"/>
    <w:rsid w:val="00FB75D8"/>
    <w:rsid w:val="00FC3DC2"/>
    <w:rsid w:val="00FC781B"/>
    <w:rsid w:val="00FD3946"/>
    <w:rsid w:val="00FD4BA6"/>
    <w:rsid w:val="00FD6C72"/>
    <w:rsid w:val="00FD6DFA"/>
    <w:rsid w:val="00FD7CCB"/>
    <w:rsid w:val="00FE0F59"/>
    <w:rsid w:val="00FE499B"/>
    <w:rsid w:val="00FF6F15"/>
    <w:rsid w:val="00FF7D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544"/>
    <w:pPr>
      <w:widowControl w:val="0"/>
    </w:pPr>
    <w:rPr>
      <w:snapToGrid w:val="0"/>
      <w:kern w:val="28"/>
      <w:sz w:val="22"/>
    </w:rPr>
  </w:style>
  <w:style w:type="paragraph" w:styleId="Heading1">
    <w:name w:val="heading 1"/>
    <w:basedOn w:val="Normal"/>
    <w:next w:val="ParaNum"/>
    <w:qFormat/>
    <w:rsid w:val="0032554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25544"/>
    <w:pPr>
      <w:keepNext/>
      <w:numPr>
        <w:ilvl w:val="1"/>
        <w:numId w:val="3"/>
      </w:numPr>
      <w:spacing w:after="120"/>
      <w:outlineLvl w:val="1"/>
    </w:pPr>
    <w:rPr>
      <w:b/>
    </w:rPr>
  </w:style>
  <w:style w:type="paragraph" w:styleId="Heading3">
    <w:name w:val="heading 3"/>
    <w:basedOn w:val="Normal"/>
    <w:next w:val="ParaNum"/>
    <w:qFormat/>
    <w:rsid w:val="00325544"/>
    <w:pPr>
      <w:keepNext/>
      <w:numPr>
        <w:ilvl w:val="2"/>
        <w:numId w:val="3"/>
      </w:numPr>
      <w:tabs>
        <w:tab w:val="left" w:pos="2160"/>
      </w:tabs>
      <w:spacing w:after="120"/>
      <w:outlineLvl w:val="2"/>
    </w:pPr>
    <w:rPr>
      <w:b/>
    </w:rPr>
  </w:style>
  <w:style w:type="paragraph" w:styleId="Heading4">
    <w:name w:val="heading 4"/>
    <w:basedOn w:val="Normal"/>
    <w:next w:val="ParaNum"/>
    <w:qFormat/>
    <w:rsid w:val="00325544"/>
    <w:pPr>
      <w:keepNext/>
      <w:numPr>
        <w:ilvl w:val="3"/>
        <w:numId w:val="3"/>
      </w:numPr>
      <w:tabs>
        <w:tab w:val="left" w:pos="2880"/>
      </w:tabs>
      <w:spacing w:after="120"/>
      <w:outlineLvl w:val="3"/>
    </w:pPr>
    <w:rPr>
      <w:b/>
    </w:rPr>
  </w:style>
  <w:style w:type="paragraph" w:styleId="Heading5">
    <w:name w:val="heading 5"/>
    <w:basedOn w:val="Normal"/>
    <w:next w:val="ParaNum"/>
    <w:qFormat/>
    <w:rsid w:val="0032554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25544"/>
    <w:pPr>
      <w:numPr>
        <w:ilvl w:val="5"/>
        <w:numId w:val="3"/>
      </w:numPr>
      <w:tabs>
        <w:tab w:val="left" w:pos="4320"/>
      </w:tabs>
      <w:spacing w:after="120"/>
      <w:outlineLvl w:val="5"/>
    </w:pPr>
    <w:rPr>
      <w:b/>
    </w:rPr>
  </w:style>
  <w:style w:type="paragraph" w:styleId="Heading7">
    <w:name w:val="heading 7"/>
    <w:basedOn w:val="Normal"/>
    <w:next w:val="ParaNum"/>
    <w:qFormat/>
    <w:rsid w:val="0032554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2554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2554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255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5544"/>
  </w:style>
  <w:style w:type="paragraph" w:customStyle="1" w:styleId="ParaNum">
    <w:name w:val="ParaNum"/>
    <w:basedOn w:val="Normal"/>
    <w:link w:val="ParaNumChar"/>
    <w:rsid w:val="00325544"/>
    <w:pPr>
      <w:numPr>
        <w:numId w:val="2"/>
      </w:numPr>
      <w:tabs>
        <w:tab w:val="clear" w:pos="1080"/>
        <w:tab w:val="num" w:pos="1440"/>
      </w:tabs>
      <w:spacing w:after="120"/>
    </w:pPr>
  </w:style>
  <w:style w:type="paragraph" w:styleId="EndnoteText">
    <w:name w:val="endnote text"/>
    <w:basedOn w:val="Normal"/>
    <w:semiHidden/>
    <w:rsid w:val="00325544"/>
    <w:rPr>
      <w:sz w:val="20"/>
    </w:rPr>
  </w:style>
  <w:style w:type="character" w:styleId="EndnoteReference">
    <w:name w:val="endnote reference"/>
    <w:semiHidden/>
    <w:rsid w:val="00325544"/>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rsid w:val="0032554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25544"/>
    <w:rPr>
      <w:rFonts w:ascii="Times New Roman" w:hAnsi="Times New Roman"/>
      <w:dstrike w:val="0"/>
      <w:color w:val="auto"/>
      <w:sz w:val="20"/>
      <w:vertAlign w:val="superscript"/>
    </w:rPr>
  </w:style>
  <w:style w:type="paragraph" w:styleId="TOC1">
    <w:name w:val="toc 1"/>
    <w:basedOn w:val="Normal"/>
    <w:next w:val="Normal"/>
    <w:semiHidden/>
    <w:rsid w:val="0032554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25544"/>
    <w:pPr>
      <w:tabs>
        <w:tab w:val="left" w:pos="720"/>
        <w:tab w:val="right" w:leader="dot" w:pos="9360"/>
      </w:tabs>
      <w:suppressAutoHyphens/>
      <w:ind w:left="720" w:right="720" w:hanging="360"/>
    </w:pPr>
    <w:rPr>
      <w:noProof/>
    </w:rPr>
  </w:style>
  <w:style w:type="paragraph" w:styleId="TOC3">
    <w:name w:val="toc 3"/>
    <w:basedOn w:val="Normal"/>
    <w:next w:val="Normal"/>
    <w:semiHidden/>
    <w:rsid w:val="0032554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2554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2554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2554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2554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2554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2554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25544"/>
    <w:pPr>
      <w:tabs>
        <w:tab w:val="right" w:pos="9360"/>
      </w:tabs>
      <w:suppressAutoHyphens/>
    </w:pPr>
  </w:style>
  <w:style w:type="character" w:customStyle="1" w:styleId="EquationCaption">
    <w:name w:val="_Equation Caption"/>
    <w:rsid w:val="00325544"/>
  </w:style>
  <w:style w:type="paragraph" w:styleId="Header">
    <w:name w:val="header"/>
    <w:basedOn w:val="Normal"/>
    <w:autoRedefine/>
    <w:rsid w:val="00325544"/>
    <w:pPr>
      <w:tabs>
        <w:tab w:val="center" w:pos="4680"/>
        <w:tab w:val="right" w:pos="9360"/>
      </w:tabs>
    </w:pPr>
    <w:rPr>
      <w:b/>
    </w:rPr>
  </w:style>
  <w:style w:type="paragraph" w:styleId="Footer">
    <w:name w:val="footer"/>
    <w:basedOn w:val="Normal"/>
    <w:link w:val="FooterChar"/>
    <w:uiPriority w:val="99"/>
    <w:rsid w:val="00325544"/>
    <w:pPr>
      <w:tabs>
        <w:tab w:val="center" w:pos="4320"/>
        <w:tab w:val="right" w:pos="8640"/>
      </w:tabs>
    </w:pPr>
  </w:style>
  <w:style w:type="character" w:styleId="PageNumber">
    <w:name w:val="page number"/>
    <w:basedOn w:val="DefaultParagraphFont"/>
    <w:rsid w:val="00325544"/>
  </w:style>
  <w:style w:type="paragraph" w:styleId="BlockText">
    <w:name w:val="Block Text"/>
    <w:basedOn w:val="Normal"/>
    <w:rsid w:val="00325544"/>
    <w:pPr>
      <w:spacing w:after="240"/>
      <w:ind w:left="1440" w:right="1440"/>
    </w:pPr>
  </w:style>
  <w:style w:type="paragraph" w:customStyle="1" w:styleId="Paratitle">
    <w:name w:val="Para title"/>
    <w:basedOn w:val="Normal"/>
    <w:rsid w:val="00325544"/>
    <w:pPr>
      <w:tabs>
        <w:tab w:val="center" w:pos="9270"/>
      </w:tabs>
      <w:spacing w:after="240"/>
    </w:pPr>
    <w:rPr>
      <w:spacing w:val="-2"/>
    </w:rPr>
  </w:style>
  <w:style w:type="paragraph" w:customStyle="1" w:styleId="Bullet">
    <w:name w:val="Bullet"/>
    <w:basedOn w:val="Normal"/>
    <w:rsid w:val="00325544"/>
    <w:pPr>
      <w:tabs>
        <w:tab w:val="left" w:pos="2160"/>
      </w:tabs>
      <w:spacing w:after="220"/>
      <w:ind w:left="2160" w:hanging="720"/>
    </w:pPr>
  </w:style>
  <w:style w:type="paragraph" w:customStyle="1" w:styleId="TableFormat">
    <w:name w:val="TableFormat"/>
    <w:basedOn w:val="Bullet"/>
    <w:rsid w:val="00325544"/>
    <w:pPr>
      <w:tabs>
        <w:tab w:val="clear" w:pos="2160"/>
        <w:tab w:val="left" w:pos="5040"/>
      </w:tabs>
      <w:ind w:left="5040" w:hanging="3600"/>
    </w:pPr>
  </w:style>
  <w:style w:type="paragraph" w:customStyle="1" w:styleId="TOCTitle">
    <w:name w:val="TOC Title"/>
    <w:basedOn w:val="Normal"/>
    <w:rsid w:val="0032554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25544"/>
    <w:pPr>
      <w:jc w:val="center"/>
    </w:pPr>
    <w:rPr>
      <w:rFonts w:ascii="Times New Roman Bold" w:hAnsi="Times New Roman Bold"/>
      <w:b/>
      <w:bCs/>
      <w:caps/>
      <w:szCs w:val="22"/>
    </w:rPr>
  </w:style>
  <w:style w:type="character" w:styleId="Hyperlink">
    <w:name w:val="Hyperlink"/>
    <w:rsid w:val="00325544"/>
    <w:rPr>
      <w:color w:val="0000FF"/>
      <w:u w:val="single"/>
    </w:rPr>
  </w:style>
  <w:style w:type="character" w:customStyle="1" w:styleId="FootnoteTextChar">
    <w:name w:val="Footnote Text Char"/>
    <w:aliases w:val="Footnote Text Char Char Char4 Char Char,Footnote Text Char1 Char,Footnote Text Char2 Char,Footnote Text Char4 Char1 Char Char,Footnote Text Char4 Char1 Char Char Char Char Char,Footnote Text Char7 Char Char,f Char,fn Char"/>
    <w:link w:val="FootnoteText"/>
    <w:rsid w:val="00EB061E"/>
  </w:style>
  <w:style w:type="paragraph" w:customStyle="1" w:styleId="Paranum0">
    <w:name w:val="Paranum"/>
    <w:rsid w:val="00932D93"/>
    <w:pPr>
      <w:numPr>
        <w:numId w:val="12"/>
      </w:numPr>
      <w:tabs>
        <w:tab w:val="left" w:pos="1440"/>
      </w:tabs>
      <w:spacing w:after="240"/>
      <w:jc w:val="both"/>
    </w:pPr>
    <w:rPr>
      <w:sz w:val="22"/>
    </w:rPr>
  </w:style>
  <w:style w:type="character" w:customStyle="1" w:styleId="ParaNumChar">
    <w:name w:val="ParaNum Char"/>
    <w:link w:val="ParaNum"/>
    <w:rsid w:val="00932D93"/>
    <w:rPr>
      <w:snapToGrid w:val="0"/>
      <w:kern w:val="28"/>
      <w:sz w:val="22"/>
    </w:rPr>
  </w:style>
  <w:style w:type="paragraph" w:styleId="BalloonText">
    <w:name w:val="Balloon Text"/>
    <w:basedOn w:val="Normal"/>
    <w:link w:val="BalloonTextChar"/>
    <w:rsid w:val="00932D93"/>
    <w:rPr>
      <w:rFonts w:ascii="Segoe UI" w:hAnsi="Segoe UI" w:cs="Segoe UI"/>
      <w:sz w:val="18"/>
      <w:szCs w:val="18"/>
    </w:rPr>
  </w:style>
  <w:style w:type="character" w:customStyle="1" w:styleId="BalloonTextChar">
    <w:name w:val="Balloon Text Char"/>
    <w:link w:val="BalloonText"/>
    <w:rsid w:val="00932D93"/>
    <w:rPr>
      <w:rFonts w:ascii="Segoe UI" w:hAnsi="Segoe UI" w:cs="Segoe UI"/>
      <w:snapToGrid w:val="0"/>
      <w:kern w:val="28"/>
      <w:sz w:val="18"/>
      <w:szCs w:val="18"/>
    </w:rPr>
  </w:style>
  <w:style w:type="character" w:styleId="CommentReference">
    <w:name w:val="annotation reference"/>
    <w:basedOn w:val="DefaultParagraphFont"/>
    <w:semiHidden/>
    <w:unhideWhenUsed/>
    <w:rsid w:val="00CA55E7"/>
    <w:rPr>
      <w:sz w:val="16"/>
      <w:szCs w:val="16"/>
    </w:rPr>
  </w:style>
  <w:style w:type="paragraph" w:styleId="CommentText">
    <w:name w:val="annotation text"/>
    <w:basedOn w:val="Normal"/>
    <w:link w:val="CommentTextChar"/>
    <w:semiHidden/>
    <w:unhideWhenUsed/>
    <w:rsid w:val="00CA55E7"/>
    <w:rPr>
      <w:sz w:val="20"/>
    </w:rPr>
  </w:style>
  <w:style w:type="character" w:customStyle="1" w:styleId="CommentTextChar">
    <w:name w:val="Comment Text Char"/>
    <w:basedOn w:val="DefaultParagraphFont"/>
    <w:link w:val="CommentText"/>
    <w:semiHidden/>
    <w:rsid w:val="00CA55E7"/>
    <w:rPr>
      <w:snapToGrid w:val="0"/>
      <w:kern w:val="28"/>
    </w:rPr>
  </w:style>
  <w:style w:type="paragraph" w:styleId="CommentSubject">
    <w:name w:val="annotation subject"/>
    <w:basedOn w:val="CommentText"/>
    <w:next w:val="CommentText"/>
    <w:link w:val="CommentSubjectChar"/>
    <w:semiHidden/>
    <w:unhideWhenUsed/>
    <w:rsid w:val="00CA55E7"/>
    <w:rPr>
      <w:b/>
      <w:bCs/>
    </w:rPr>
  </w:style>
  <w:style w:type="character" w:customStyle="1" w:styleId="CommentSubjectChar">
    <w:name w:val="Comment Subject Char"/>
    <w:basedOn w:val="CommentTextChar"/>
    <w:link w:val="CommentSubject"/>
    <w:semiHidden/>
    <w:rsid w:val="00CA55E7"/>
    <w:rPr>
      <w:b/>
      <w:bCs/>
      <w:snapToGrid w:val="0"/>
      <w:kern w:val="28"/>
    </w:rPr>
  </w:style>
  <w:style w:type="paragraph" w:styleId="Revision">
    <w:name w:val="Revision"/>
    <w:hidden/>
    <w:uiPriority w:val="99"/>
    <w:semiHidden/>
    <w:rsid w:val="00CA55E7"/>
    <w:rPr>
      <w:snapToGrid w:val="0"/>
      <w:kern w:val="28"/>
      <w:sz w:val="22"/>
    </w:rPr>
  </w:style>
  <w:style w:type="character" w:customStyle="1" w:styleId="UnresolvedMention1">
    <w:name w:val="Unresolved Mention1"/>
    <w:basedOn w:val="DefaultParagraphFont"/>
    <w:uiPriority w:val="99"/>
    <w:semiHidden/>
    <w:unhideWhenUsed/>
    <w:rsid w:val="00936AA6"/>
    <w:rPr>
      <w:color w:val="808080"/>
      <w:shd w:val="clear" w:color="auto" w:fill="E6E6E6"/>
    </w:rPr>
  </w:style>
  <w:style w:type="paragraph" w:customStyle="1" w:styleId="AppNum">
    <w:name w:val="App Num"/>
    <w:basedOn w:val="Normal"/>
    <w:rsid w:val="00BF6E00"/>
    <w:pPr>
      <w:numPr>
        <w:numId w:val="15"/>
      </w:numPr>
    </w:pPr>
    <w:rPr>
      <w:rFonts w:ascii="Courier New" w:hAnsi="Courier New"/>
      <w:kern w:val="0"/>
      <w:sz w:val="24"/>
    </w:rPr>
  </w:style>
  <w:style w:type="paragraph" w:styleId="BodyText">
    <w:name w:val="Body Text"/>
    <w:basedOn w:val="Normal"/>
    <w:link w:val="BodyTextChar"/>
    <w:rsid w:val="0065028B"/>
    <w:pPr>
      <w:widowControl/>
      <w:spacing w:after="240"/>
      <w:jc w:val="both"/>
    </w:pPr>
    <w:rPr>
      <w:snapToGrid/>
      <w:kern w:val="0"/>
    </w:rPr>
  </w:style>
  <w:style w:type="character" w:customStyle="1" w:styleId="BodyTextChar">
    <w:name w:val="Body Text Char"/>
    <w:basedOn w:val="DefaultParagraphFont"/>
    <w:link w:val="BodyText"/>
    <w:rsid w:val="0065028B"/>
    <w:rPr>
      <w:sz w:val="22"/>
    </w:rPr>
  </w:style>
  <w:style w:type="character" w:styleId="FollowedHyperlink">
    <w:name w:val="FollowedHyperlink"/>
    <w:basedOn w:val="DefaultParagraphFont"/>
    <w:semiHidden/>
    <w:unhideWhenUsed/>
    <w:rsid w:val="00D81627"/>
    <w:rPr>
      <w:color w:val="954F72" w:themeColor="followedHyperlink"/>
      <w:u w:val="single"/>
    </w:rPr>
  </w:style>
  <w:style w:type="character" w:customStyle="1" w:styleId="UnresolvedMention2">
    <w:name w:val="Unresolved Mention2"/>
    <w:basedOn w:val="DefaultParagraphFont"/>
    <w:uiPriority w:val="99"/>
    <w:semiHidden/>
    <w:unhideWhenUsed/>
    <w:rsid w:val="00D81627"/>
    <w:rPr>
      <w:color w:val="808080"/>
      <w:shd w:val="clear" w:color="auto" w:fill="E6E6E6"/>
    </w:rPr>
  </w:style>
  <w:style w:type="character" w:customStyle="1" w:styleId="UnresolvedMention">
    <w:name w:val="Unresolved Mention"/>
    <w:basedOn w:val="DefaultParagraphFont"/>
    <w:uiPriority w:val="99"/>
    <w:semiHidden/>
    <w:unhideWhenUsed/>
    <w:rsid w:val="00E94A7E"/>
    <w:rPr>
      <w:color w:val="605E5C"/>
      <w:shd w:val="clear" w:color="auto" w:fill="E1DFDD"/>
    </w:rPr>
  </w:style>
  <w:style w:type="character" w:styleId="Emphasis">
    <w:name w:val="Emphasis"/>
    <w:uiPriority w:val="20"/>
    <w:qFormat/>
    <w:rsid w:val="00364566"/>
    <w:rPr>
      <w:i/>
      <w:iCs/>
    </w:rPr>
  </w:style>
  <w:style w:type="character" w:customStyle="1" w:styleId="ParaNumChar1">
    <w:name w:val="ParaNum Char1"/>
    <w:locked/>
    <w:rsid w:val="00AE78D5"/>
    <w:rPr>
      <w:snapToGrid w:val="0"/>
      <w:kern w:val="28"/>
      <w:sz w:val="22"/>
    </w:rPr>
  </w:style>
  <w:style w:type="paragraph" w:styleId="ListParagraph">
    <w:name w:val="List Paragraph"/>
    <w:basedOn w:val="Normal"/>
    <w:uiPriority w:val="34"/>
    <w:qFormat/>
    <w:rsid w:val="00AE78D5"/>
    <w:pPr>
      <w:ind w:left="720"/>
      <w:contextualSpacing/>
    </w:pPr>
  </w:style>
  <w:style w:type="character" w:customStyle="1" w:styleId="FooterChar">
    <w:name w:val="Footer Char"/>
    <w:link w:val="Footer"/>
    <w:uiPriority w:val="99"/>
    <w:rsid w:val="0032554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Shaun.Maher@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89192501&amp;pubNum=0004493&amp;originatingDoc=I9233453c1c0b11e6b86bd602cb8781fa&amp;refType=CA&amp;originationContext=document&amp;transitionType=DocumentItem&amp;contextData=(sc.DocLink)" TargetMode="External" /><Relationship Id="rId2" Type="http://schemas.openxmlformats.org/officeDocument/2006/relationships/hyperlink" Target="https://1.next.westlaw.com/Link/Document/FullText?findType=Y&amp;serNum=1990195134&amp;pubNum=0004493&amp;originatingDoc=I9233453c1c0b11e6b86bd602cb8781fa&amp;refType=CA&amp;originationContext=document&amp;transitionType=DocumentItem&amp;contextData=(sc.DocLink)" TargetMode="External" /><Relationship Id="rId3" Type="http://schemas.openxmlformats.org/officeDocument/2006/relationships/hyperlink" Target="https://www.co.kendall.il.us/departments/economic-development" TargetMode="External" /><Relationship Id="rId4" Type="http://schemas.openxmlformats.org/officeDocument/2006/relationships/hyperlink" Target="https://money.cnn.com/2010/06/16/real_estate/fastest_growing_counties/" TargetMode="External" /><Relationship Id="rId5" Type="http://schemas.openxmlformats.org/officeDocument/2006/relationships/hyperlink" Target="http://www.oswegoil.org/OSWEGO2015COMPREHENSIVEPLAN.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